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73FB30" w14:textId="58024E9E" w:rsidR="00DA17AE" w:rsidRPr="007A69F2" w:rsidRDefault="00175CC9" w:rsidP="00405FD8">
      <w:pPr>
        <w:pStyle w:val="BMCENTRED"/>
        <w:rPr>
          <w:szCs w:val="22"/>
          <w:u w:val="single"/>
          <w:lang w:val="sr-Latn-ME"/>
        </w:rPr>
      </w:pPr>
      <w:bookmarkStart w:id="0" w:name="_Hlk129278788"/>
      <w:r w:rsidRPr="007A69F2">
        <w:rPr>
          <w:szCs w:val="22"/>
          <w:lang w:val="sr-Latn-ME"/>
        </w:rPr>
        <w:t xml:space="preserve">           </w:t>
      </w:r>
      <w:r w:rsidRPr="007A69F2">
        <w:rPr>
          <w:szCs w:val="22"/>
          <w:u w:val="single"/>
          <w:lang w:val="sr-Latn-ME"/>
        </w:rPr>
        <w:t xml:space="preserve">SAŽETAK </w:t>
      </w:r>
      <w:r w:rsidR="00D04C51" w:rsidRPr="007A69F2">
        <w:rPr>
          <w:szCs w:val="22"/>
          <w:u w:val="single"/>
          <w:lang w:val="sr-Latn-ME"/>
        </w:rPr>
        <w:t>KARAKTERISTIKA LIJEKA</w:t>
      </w:r>
    </w:p>
    <w:p w14:paraId="6A3A0BC0" w14:textId="77777777" w:rsidR="002B3519" w:rsidRPr="007A69F2" w:rsidRDefault="002B3519" w:rsidP="005A7D04">
      <w:pPr>
        <w:pStyle w:val="BMCENTRED"/>
        <w:jc w:val="both"/>
        <w:rPr>
          <w:szCs w:val="22"/>
          <w:lang w:val="sr-Latn-ME"/>
        </w:rPr>
      </w:pPr>
    </w:p>
    <w:p w14:paraId="6776D877" w14:textId="65CC5232" w:rsidR="00DA17AE" w:rsidRPr="007A69F2" w:rsidRDefault="00D04C51" w:rsidP="005A7D04">
      <w:pPr>
        <w:spacing w:line="240" w:lineRule="auto"/>
        <w:jc w:val="both"/>
        <w:rPr>
          <w:szCs w:val="22"/>
          <w:lang w:val="sr-Latn-ME"/>
        </w:rPr>
      </w:pPr>
      <w:r w:rsidRPr="007A69F2">
        <w:rPr>
          <w:szCs w:val="22"/>
          <w:lang w:val="sr-Latn-ME"/>
        </w:rPr>
        <mc:AlternateContent>
          <mc:Choice Requires="wps">
            <w:drawing>
              <wp:inline distT="0" distB="0" distL="0" distR="0" wp14:anchorId="46A5D6CE" wp14:editId="632E6823">
                <wp:extent cx="201168" cy="164592"/>
                <wp:effectExtent l="19050" t="0" r="46990" b="45085"/>
                <wp:docPr id="10" name="Isosceles Triangle 10"/>
                <wp:cNvGraphicFramePr/>
                <a:graphic xmlns:a="http://schemas.openxmlformats.org/drawingml/2006/main">
                  <a:graphicData uri="http://schemas.microsoft.com/office/word/2010/wordprocessingShape">
                    <wps:wsp>
                      <wps:cNvSpPr/>
                      <wps:spPr>
                        <a:xfrm rot="10800000">
                          <a:off x="0" y="0"/>
                          <a:ext cx="201168" cy="164592"/>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0" o:spid="_x0000_i1025" type="#_x0000_t5" style="width:15.85pt;height:12.95pt;mso-left-percent:-10001;mso-position-horizontal-relative:char;mso-position-vertical-relative:line;mso-top-percent:-10001;mso-wrap-style:square;rotation:180;visibility:visible;v-text-anchor:middle" fillcolor="black" strokecolor="black" strokeweight="1pt">
                <w10:wrap type="none"/>
                <w10:anchorlock/>
              </v:shape>
            </w:pict>
          </mc:Fallback>
        </mc:AlternateContent>
      </w:r>
      <w:r w:rsidR="00072D43" w:rsidRPr="007A69F2">
        <w:rPr>
          <w:szCs w:val="22"/>
          <w:lang w:val="sr-Latn-ME"/>
        </w:rPr>
        <w:t xml:space="preserve"> </w:t>
      </w:r>
      <w:r w:rsidR="00702CB1" w:rsidRPr="007A69F2">
        <w:rPr>
          <w:szCs w:val="22"/>
          <w:lang w:val="sr-Latn-ME"/>
        </w:rPr>
        <w:t xml:space="preserve">Ovaj lijek je pod dodatnim praćenjem. Time se omogućava brzo otkrivanje novih </w:t>
      </w:r>
      <w:proofErr w:type="spellStart"/>
      <w:r w:rsidR="00702CB1" w:rsidRPr="007A69F2">
        <w:rPr>
          <w:szCs w:val="22"/>
          <w:lang w:val="sr-Latn-ME"/>
        </w:rPr>
        <w:t>bezbjednosnih</w:t>
      </w:r>
      <w:proofErr w:type="spellEnd"/>
      <w:r w:rsidR="00702CB1" w:rsidRPr="007A69F2">
        <w:rPr>
          <w:szCs w:val="22"/>
          <w:lang w:val="sr-Latn-ME"/>
        </w:rPr>
        <w:t xml:space="preserve"> informacija. Zdravstveni radnici treba da prijave svaku sumnju na neželjeno dejstvo ovog lijeka. Za način prijavljivanja neželjenih dejstava vidjeti dio 4.8.</w:t>
      </w:r>
    </w:p>
    <w:p w14:paraId="555B29B1" w14:textId="77777777" w:rsidR="00DA17AE" w:rsidRPr="007A69F2" w:rsidRDefault="00DA17AE" w:rsidP="005A7D04">
      <w:pPr>
        <w:spacing w:line="240" w:lineRule="auto"/>
        <w:jc w:val="both"/>
        <w:rPr>
          <w:szCs w:val="22"/>
          <w:lang w:val="sr-Latn-ME"/>
        </w:rPr>
      </w:pPr>
    </w:p>
    <w:p w14:paraId="255B4AB0" w14:textId="77777777" w:rsidR="005E7F80" w:rsidRPr="007A69F2" w:rsidRDefault="005E7F80" w:rsidP="005A7D04">
      <w:pPr>
        <w:spacing w:line="240" w:lineRule="auto"/>
        <w:jc w:val="both"/>
        <w:rPr>
          <w:szCs w:val="22"/>
          <w:lang w:val="sr-Latn-ME"/>
        </w:rPr>
      </w:pPr>
    </w:p>
    <w:p w14:paraId="3A4CFE2E" w14:textId="77777777" w:rsidR="0013067C" w:rsidRPr="007A69F2" w:rsidRDefault="00D04C51" w:rsidP="005A7D04">
      <w:pPr>
        <w:suppressAutoHyphens/>
        <w:spacing w:line="240" w:lineRule="auto"/>
        <w:ind w:left="567" w:hanging="567"/>
        <w:jc w:val="both"/>
        <w:rPr>
          <w:szCs w:val="22"/>
          <w:lang w:val="sr-Latn-ME"/>
        </w:rPr>
      </w:pPr>
      <w:r w:rsidRPr="007A69F2">
        <w:rPr>
          <w:b/>
          <w:szCs w:val="22"/>
          <w:lang w:val="sr-Latn-ME"/>
        </w:rPr>
        <w:t>1.</w:t>
      </w:r>
      <w:r w:rsidRPr="007A69F2">
        <w:rPr>
          <w:b/>
          <w:szCs w:val="22"/>
          <w:lang w:val="sr-Latn-ME"/>
        </w:rPr>
        <w:tab/>
        <w:t>NAZIV LIJEKA</w:t>
      </w:r>
    </w:p>
    <w:p w14:paraId="36C0060D" w14:textId="77777777" w:rsidR="00DA17AE" w:rsidRPr="007A69F2" w:rsidRDefault="00DA17AE" w:rsidP="005A7D04">
      <w:pPr>
        <w:spacing w:line="240" w:lineRule="auto"/>
        <w:jc w:val="both"/>
        <w:rPr>
          <w:szCs w:val="22"/>
          <w:lang w:val="sr-Latn-ME"/>
        </w:rPr>
      </w:pPr>
    </w:p>
    <w:p w14:paraId="7FB4E44E" w14:textId="6B8EEE9E" w:rsidR="00DA17AE" w:rsidRPr="007A69F2" w:rsidRDefault="00D04C51" w:rsidP="005A7D04">
      <w:pPr>
        <w:spacing w:line="240" w:lineRule="auto"/>
        <w:jc w:val="both"/>
        <w:rPr>
          <w:szCs w:val="22"/>
          <w:lang w:val="sr-Latn-ME"/>
        </w:rPr>
      </w:pPr>
      <w:r w:rsidRPr="007A69F2">
        <w:rPr>
          <w:szCs w:val="22"/>
          <w:lang w:val="sr-Latn-ME"/>
        </w:rPr>
        <w:t>AQUIPTA 10 mg tablet</w:t>
      </w:r>
      <w:r w:rsidR="00405FD8" w:rsidRPr="007A69F2">
        <w:rPr>
          <w:szCs w:val="22"/>
          <w:lang w:val="sr-Latn-ME"/>
        </w:rPr>
        <w:t>a</w:t>
      </w:r>
    </w:p>
    <w:p w14:paraId="59A77E65" w14:textId="656520D4" w:rsidR="00DA17AE" w:rsidRPr="007A69F2" w:rsidRDefault="00D04C51" w:rsidP="005A7D04">
      <w:pPr>
        <w:spacing w:line="240" w:lineRule="auto"/>
        <w:jc w:val="both"/>
        <w:rPr>
          <w:szCs w:val="22"/>
          <w:lang w:val="sr-Latn-ME"/>
        </w:rPr>
      </w:pPr>
      <w:r w:rsidRPr="007A69F2">
        <w:rPr>
          <w:szCs w:val="22"/>
          <w:lang w:val="sr-Latn-ME"/>
        </w:rPr>
        <w:t>AQUIPTA 60 mg tablet</w:t>
      </w:r>
      <w:r w:rsidR="00405FD8" w:rsidRPr="007A69F2">
        <w:rPr>
          <w:szCs w:val="22"/>
          <w:lang w:val="sr-Latn-ME"/>
        </w:rPr>
        <w:t>a</w:t>
      </w:r>
    </w:p>
    <w:p w14:paraId="1E478CF3" w14:textId="77777777" w:rsidR="00405FD8" w:rsidRPr="007A69F2" w:rsidRDefault="00405FD8" w:rsidP="00405FD8">
      <w:pPr>
        <w:spacing w:line="240" w:lineRule="auto"/>
        <w:jc w:val="both"/>
        <w:rPr>
          <w:szCs w:val="22"/>
          <w:lang w:val="sr-Latn-ME"/>
        </w:rPr>
      </w:pPr>
    </w:p>
    <w:p w14:paraId="70C64BC8" w14:textId="5A30D426" w:rsidR="00702CB1" w:rsidRPr="007A69F2" w:rsidRDefault="00702CB1" w:rsidP="005A7D04">
      <w:pPr>
        <w:spacing w:line="240" w:lineRule="auto"/>
        <w:jc w:val="both"/>
        <w:rPr>
          <w:szCs w:val="22"/>
          <w:lang w:val="sr-Latn-ME"/>
        </w:rPr>
      </w:pPr>
      <w:r w:rsidRPr="007A69F2">
        <w:rPr>
          <w:szCs w:val="22"/>
          <w:lang w:val="sr-Latn-ME"/>
        </w:rPr>
        <w:t xml:space="preserve">INN: </w:t>
      </w:r>
      <w:proofErr w:type="spellStart"/>
      <w:r w:rsidRPr="007A69F2">
        <w:rPr>
          <w:szCs w:val="22"/>
          <w:lang w:val="sr-Latn-ME"/>
        </w:rPr>
        <w:t>atogepant</w:t>
      </w:r>
      <w:proofErr w:type="spellEnd"/>
    </w:p>
    <w:p w14:paraId="09A8BE7D" w14:textId="77777777" w:rsidR="00DA17AE" w:rsidRPr="007A69F2" w:rsidRDefault="00DA17AE" w:rsidP="005A7D04">
      <w:pPr>
        <w:spacing w:line="240" w:lineRule="auto"/>
        <w:jc w:val="both"/>
        <w:rPr>
          <w:szCs w:val="22"/>
          <w:lang w:val="sr-Latn-ME"/>
        </w:rPr>
      </w:pPr>
    </w:p>
    <w:p w14:paraId="29A07410" w14:textId="77777777" w:rsidR="00DA17AE" w:rsidRPr="007A69F2" w:rsidRDefault="00DA17AE" w:rsidP="005A7D04">
      <w:pPr>
        <w:spacing w:line="240" w:lineRule="auto"/>
        <w:jc w:val="both"/>
        <w:rPr>
          <w:szCs w:val="22"/>
          <w:lang w:val="sr-Latn-ME"/>
        </w:rPr>
      </w:pPr>
    </w:p>
    <w:p w14:paraId="0B915B90" w14:textId="77777777" w:rsidR="003F3324" w:rsidRPr="007A69F2" w:rsidRDefault="00D04C51" w:rsidP="005A7D04">
      <w:pPr>
        <w:suppressAutoHyphens/>
        <w:spacing w:line="240" w:lineRule="auto"/>
        <w:ind w:left="567" w:hanging="567"/>
        <w:jc w:val="both"/>
        <w:rPr>
          <w:szCs w:val="22"/>
          <w:lang w:val="sr-Latn-ME"/>
        </w:rPr>
      </w:pPr>
      <w:r w:rsidRPr="007A69F2">
        <w:rPr>
          <w:b/>
          <w:szCs w:val="22"/>
          <w:lang w:val="sr-Latn-ME"/>
        </w:rPr>
        <w:t>2.</w:t>
      </w:r>
      <w:r w:rsidRPr="007A69F2">
        <w:rPr>
          <w:b/>
          <w:szCs w:val="22"/>
          <w:lang w:val="sr-Latn-ME"/>
        </w:rPr>
        <w:tab/>
        <w:t>KVALITATIVNI I KVANTITATIVNI SASTAV</w:t>
      </w:r>
    </w:p>
    <w:p w14:paraId="62725D4E" w14:textId="77777777" w:rsidR="00DA17AE" w:rsidRPr="007A69F2" w:rsidRDefault="00DA17AE" w:rsidP="005A7D04">
      <w:pPr>
        <w:spacing w:line="240" w:lineRule="auto"/>
        <w:jc w:val="both"/>
        <w:rPr>
          <w:szCs w:val="22"/>
          <w:lang w:val="sr-Latn-ME"/>
        </w:rPr>
      </w:pPr>
    </w:p>
    <w:p w14:paraId="587269CD" w14:textId="73A9418D" w:rsidR="00DA17AE" w:rsidRPr="007A69F2" w:rsidRDefault="00D04C51" w:rsidP="005A7D04">
      <w:pPr>
        <w:spacing w:line="240" w:lineRule="auto"/>
        <w:jc w:val="both"/>
        <w:rPr>
          <w:szCs w:val="22"/>
          <w:u w:val="single"/>
          <w:lang w:val="sr-Latn-ME"/>
        </w:rPr>
      </w:pPr>
      <w:r w:rsidRPr="007A69F2">
        <w:rPr>
          <w:szCs w:val="22"/>
          <w:u w:val="single"/>
          <w:lang w:val="sr-Latn-ME"/>
        </w:rPr>
        <w:t>AQUIPTA 10 mg tablet</w:t>
      </w:r>
      <w:r w:rsidR="00405FD8" w:rsidRPr="007A69F2">
        <w:rPr>
          <w:szCs w:val="22"/>
          <w:u w:val="single"/>
          <w:lang w:val="sr-Latn-ME"/>
        </w:rPr>
        <w:t>a</w:t>
      </w:r>
    </w:p>
    <w:p w14:paraId="35A3FF30" w14:textId="4038DB69" w:rsidR="00DA17AE" w:rsidRPr="007A69F2" w:rsidRDefault="0024765A" w:rsidP="005A7D04">
      <w:pPr>
        <w:spacing w:line="240" w:lineRule="auto"/>
        <w:jc w:val="both"/>
        <w:rPr>
          <w:szCs w:val="22"/>
          <w:lang w:val="sr-Latn-ME"/>
        </w:rPr>
      </w:pPr>
      <w:r w:rsidRPr="007A69F2">
        <w:rPr>
          <w:szCs w:val="22"/>
          <w:lang w:val="sr-Latn-ME"/>
        </w:rPr>
        <w:t>Jedna</w:t>
      </w:r>
      <w:r w:rsidR="00D04C51" w:rsidRPr="007A69F2">
        <w:rPr>
          <w:szCs w:val="22"/>
          <w:lang w:val="sr-Latn-ME"/>
        </w:rPr>
        <w:t xml:space="preserve"> tableta sadrži 10 mg </w:t>
      </w:r>
      <w:proofErr w:type="spellStart"/>
      <w:r w:rsidR="00D04C51" w:rsidRPr="007A69F2">
        <w:rPr>
          <w:szCs w:val="22"/>
          <w:lang w:val="sr-Latn-ME"/>
        </w:rPr>
        <w:t>atogepanta</w:t>
      </w:r>
      <w:proofErr w:type="spellEnd"/>
      <w:r w:rsidR="00D04C51" w:rsidRPr="007A69F2">
        <w:rPr>
          <w:szCs w:val="22"/>
          <w:lang w:val="sr-Latn-ME"/>
        </w:rPr>
        <w:t>.</w:t>
      </w:r>
    </w:p>
    <w:p w14:paraId="6F81A0B6" w14:textId="77777777" w:rsidR="00DA17AE" w:rsidRPr="007A69F2" w:rsidRDefault="00DA17AE" w:rsidP="005A7D04">
      <w:pPr>
        <w:spacing w:line="240" w:lineRule="auto"/>
        <w:jc w:val="both"/>
        <w:rPr>
          <w:szCs w:val="22"/>
          <w:lang w:val="sr-Latn-ME"/>
        </w:rPr>
      </w:pPr>
    </w:p>
    <w:p w14:paraId="5AFF62DF" w14:textId="4515ABE4" w:rsidR="00DA17AE" w:rsidRPr="007A69F2" w:rsidRDefault="00D04C51" w:rsidP="005A7D04">
      <w:pPr>
        <w:spacing w:line="240" w:lineRule="auto"/>
        <w:jc w:val="both"/>
        <w:rPr>
          <w:szCs w:val="22"/>
          <w:u w:val="single"/>
          <w:lang w:val="sr-Latn-ME"/>
        </w:rPr>
      </w:pPr>
      <w:r w:rsidRPr="007A69F2">
        <w:rPr>
          <w:szCs w:val="22"/>
          <w:u w:val="single"/>
          <w:lang w:val="sr-Latn-ME"/>
        </w:rPr>
        <w:t>AQUIPTA 60 mg tablet</w:t>
      </w:r>
      <w:r w:rsidR="00405FD8" w:rsidRPr="007A69F2">
        <w:rPr>
          <w:szCs w:val="22"/>
          <w:u w:val="single"/>
          <w:lang w:val="sr-Latn-ME"/>
        </w:rPr>
        <w:t>a</w:t>
      </w:r>
    </w:p>
    <w:p w14:paraId="77704627" w14:textId="44B53D25" w:rsidR="00DA17AE" w:rsidRPr="007A69F2" w:rsidRDefault="0024765A" w:rsidP="005A7D04">
      <w:pPr>
        <w:spacing w:line="240" w:lineRule="auto"/>
        <w:jc w:val="both"/>
        <w:rPr>
          <w:szCs w:val="22"/>
          <w:lang w:val="sr-Latn-ME"/>
        </w:rPr>
      </w:pPr>
      <w:r w:rsidRPr="007A69F2">
        <w:rPr>
          <w:szCs w:val="22"/>
          <w:lang w:val="sr-Latn-ME"/>
        </w:rPr>
        <w:t>Jedna</w:t>
      </w:r>
      <w:r w:rsidR="00D04C51" w:rsidRPr="007A69F2">
        <w:rPr>
          <w:szCs w:val="22"/>
          <w:lang w:val="sr-Latn-ME"/>
        </w:rPr>
        <w:t xml:space="preserve"> tableta sadrži 60 mg </w:t>
      </w:r>
      <w:proofErr w:type="spellStart"/>
      <w:r w:rsidR="00D04C51" w:rsidRPr="007A69F2">
        <w:rPr>
          <w:szCs w:val="22"/>
          <w:lang w:val="sr-Latn-ME"/>
        </w:rPr>
        <w:t>atogepanta</w:t>
      </w:r>
      <w:proofErr w:type="spellEnd"/>
      <w:r w:rsidR="00D04C51" w:rsidRPr="007A69F2">
        <w:rPr>
          <w:szCs w:val="22"/>
          <w:lang w:val="sr-Latn-ME"/>
        </w:rPr>
        <w:t>.</w:t>
      </w:r>
    </w:p>
    <w:p w14:paraId="29404BC4" w14:textId="77777777" w:rsidR="00DA17AE" w:rsidRPr="007A69F2" w:rsidRDefault="00DA17AE" w:rsidP="005A7D04">
      <w:pPr>
        <w:spacing w:line="240" w:lineRule="auto"/>
        <w:jc w:val="both"/>
        <w:rPr>
          <w:szCs w:val="22"/>
          <w:lang w:val="sr-Latn-ME"/>
        </w:rPr>
      </w:pPr>
    </w:p>
    <w:p w14:paraId="0CF19877" w14:textId="6CB61DAE" w:rsidR="00AB62E9" w:rsidRPr="007A69F2" w:rsidRDefault="00702CB1" w:rsidP="005A7D04">
      <w:pPr>
        <w:spacing w:line="240" w:lineRule="auto"/>
        <w:jc w:val="both"/>
        <w:rPr>
          <w:szCs w:val="22"/>
          <w:lang w:val="sr-Latn-ME"/>
        </w:rPr>
      </w:pPr>
      <w:r w:rsidRPr="007A69F2">
        <w:rPr>
          <w:szCs w:val="22"/>
          <w:u w:val="single"/>
          <w:lang w:val="sr-Latn-ME"/>
        </w:rPr>
        <w:t>Pomoćn</w:t>
      </w:r>
      <w:r w:rsidR="00405FD8" w:rsidRPr="007A69F2">
        <w:rPr>
          <w:szCs w:val="22"/>
          <w:u w:val="single"/>
          <w:lang w:val="sr-Latn-ME"/>
        </w:rPr>
        <w:t>a</w:t>
      </w:r>
      <w:r w:rsidRPr="007A69F2">
        <w:rPr>
          <w:szCs w:val="22"/>
          <w:u w:val="single"/>
          <w:lang w:val="sr-Latn-ME"/>
        </w:rPr>
        <w:t xml:space="preserve"> supstanc</w:t>
      </w:r>
      <w:r w:rsidR="00405FD8" w:rsidRPr="007A69F2">
        <w:rPr>
          <w:szCs w:val="22"/>
          <w:u w:val="single"/>
          <w:lang w:val="sr-Latn-ME"/>
        </w:rPr>
        <w:t>a</w:t>
      </w:r>
      <w:r w:rsidRPr="007A69F2">
        <w:rPr>
          <w:szCs w:val="22"/>
          <w:u w:val="single"/>
          <w:lang w:val="sr-Latn-ME"/>
        </w:rPr>
        <w:t xml:space="preserve"> sa potvrđenim dejstvom</w:t>
      </w:r>
    </w:p>
    <w:p w14:paraId="2B72CBF2" w14:textId="1DD1DB4B" w:rsidR="00DA17AE" w:rsidRPr="007A69F2" w:rsidRDefault="00405FD8" w:rsidP="005A7D04">
      <w:pPr>
        <w:spacing w:line="240" w:lineRule="auto"/>
        <w:jc w:val="both"/>
        <w:rPr>
          <w:szCs w:val="22"/>
          <w:lang w:val="sr-Latn-ME"/>
        </w:rPr>
      </w:pPr>
      <w:r w:rsidRPr="007A69F2">
        <w:rPr>
          <w:szCs w:val="22"/>
          <w:lang w:val="sr-Latn-ME"/>
        </w:rPr>
        <w:t>J</w:t>
      </w:r>
      <w:r w:rsidR="00702CB1" w:rsidRPr="007A69F2">
        <w:rPr>
          <w:szCs w:val="22"/>
          <w:lang w:val="sr-Latn-ME"/>
        </w:rPr>
        <w:t>edna tableta sadrži 31,5 mg natrijuma</w:t>
      </w:r>
      <w:r w:rsidR="00D04C51" w:rsidRPr="007A69F2">
        <w:rPr>
          <w:szCs w:val="22"/>
          <w:lang w:val="sr-Latn-ME"/>
        </w:rPr>
        <w:t>.</w:t>
      </w:r>
    </w:p>
    <w:p w14:paraId="6E06DE06" w14:textId="77777777" w:rsidR="00DA17AE" w:rsidRPr="007A69F2" w:rsidRDefault="00DA17AE" w:rsidP="005A7D04">
      <w:pPr>
        <w:spacing w:line="240" w:lineRule="auto"/>
        <w:jc w:val="both"/>
        <w:rPr>
          <w:szCs w:val="22"/>
          <w:lang w:val="sr-Latn-ME"/>
        </w:rPr>
      </w:pPr>
    </w:p>
    <w:p w14:paraId="15DE65A1" w14:textId="3C4440A2" w:rsidR="00DA17AE" w:rsidRPr="007A69F2" w:rsidRDefault="00702CB1" w:rsidP="005A7D04">
      <w:pPr>
        <w:spacing w:line="240" w:lineRule="auto"/>
        <w:jc w:val="both"/>
        <w:rPr>
          <w:szCs w:val="22"/>
          <w:lang w:val="sr-Latn-ME"/>
        </w:rPr>
      </w:pPr>
      <w:r w:rsidRPr="007A69F2">
        <w:rPr>
          <w:szCs w:val="22"/>
          <w:lang w:val="sr-Latn-ME"/>
        </w:rPr>
        <w:t xml:space="preserve">Za spisak svih </w:t>
      </w:r>
      <w:proofErr w:type="spellStart"/>
      <w:r w:rsidRPr="007A69F2">
        <w:rPr>
          <w:szCs w:val="22"/>
          <w:lang w:val="sr-Latn-ME"/>
        </w:rPr>
        <w:t>ekscipijenasa</w:t>
      </w:r>
      <w:proofErr w:type="spellEnd"/>
      <w:r w:rsidRPr="007A69F2">
        <w:rPr>
          <w:szCs w:val="22"/>
          <w:lang w:val="sr-Latn-ME"/>
        </w:rPr>
        <w:t>, pogledati dio 6.1.</w:t>
      </w:r>
    </w:p>
    <w:p w14:paraId="0FED86B1" w14:textId="62F58F4C" w:rsidR="00DA17AE" w:rsidRPr="007A69F2" w:rsidRDefault="00DA17AE" w:rsidP="005A7D04">
      <w:pPr>
        <w:spacing w:line="240" w:lineRule="auto"/>
        <w:jc w:val="both"/>
        <w:rPr>
          <w:szCs w:val="22"/>
          <w:lang w:val="sr-Latn-ME"/>
        </w:rPr>
      </w:pPr>
    </w:p>
    <w:p w14:paraId="01873A45" w14:textId="77777777" w:rsidR="00405FD8" w:rsidRPr="007A69F2" w:rsidRDefault="00405FD8" w:rsidP="005A7D04">
      <w:pPr>
        <w:spacing w:line="240" w:lineRule="auto"/>
        <w:jc w:val="both"/>
        <w:rPr>
          <w:szCs w:val="22"/>
          <w:lang w:val="sr-Latn-ME"/>
        </w:rPr>
      </w:pPr>
    </w:p>
    <w:p w14:paraId="2654E66E" w14:textId="77777777" w:rsidR="00605634" w:rsidRPr="007A69F2" w:rsidRDefault="00D04C51" w:rsidP="005A7D04">
      <w:pPr>
        <w:suppressAutoHyphens/>
        <w:spacing w:line="240" w:lineRule="auto"/>
        <w:ind w:left="567" w:hanging="567"/>
        <w:jc w:val="both"/>
        <w:rPr>
          <w:caps/>
          <w:szCs w:val="22"/>
          <w:lang w:val="sr-Latn-ME"/>
        </w:rPr>
      </w:pPr>
      <w:r w:rsidRPr="007A69F2">
        <w:rPr>
          <w:b/>
          <w:szCs w:val="22"/>
          <w:lang w:val="sr-Latn-ME"/>
        </w:rPr>
        <w:t>3.</w:t>
      </w:r>
      <w:r w:rsidRPr="007A69F2">
        <w:rPr>
          <w:b/>
          <w:szCs w:val="22"/>
          <w:lang w:val="sr-Latn-ME"/>
        </w:rPr>
        <w:tab/>
        <w:t>FARMACEUTSKI OBLIK</w:t>
      </w:r>
    </w:p>
    <w:p w14:paraId="2218D14B" w14:textId="77777777" w:rsidR="00EB2926" w:rsidRPr="007A69F2" w:rsidRDefault="00EB2926" w:rsidP="005A7D04">
      <w:pPr>
        <w:spacing w:line="240" w:lineRule="auto"/>
        <w:jc w:val="both"/>
        <w:rPr>
          <w:szCs w:val="22"/>
          <w:lang w:val="sr-Latn-ME"/>
        </w:rPr>
      </w:pPr>
    </w:p>
    <w:p w14:paraId="2D220117" w14:textId="0761142B" w:rsidR="00323BCF" w:rsidRPr="007A69F2" w:rsidRDefault="00D04C51" w:rsidP="005A7D04">
      <w:pPr>
        <w:spacing w:line="240" w:lineRule="auto"/>
        <w:jc w:val="both"/>
        <w:rPr>
          <w:szCs w:val="22"/>
          <w:lang w:val="sr-Latn-ME"/>
        </w:rPr>
      </w:pPr>
      <w:r w:rsidRPr="007A69F2">
        <w:rPr>
          <w:szCs w:val="22"/>
          <w:lang w:val="sr-Latn-ME"/>
        </w:rPr>
        <w:t>Tableta</w:t>
      </w:r>
      <w:r w:rsidR="00405FD8" w:rsidRPr="007A69F2">
        <w:rPr>
          <w:szCs w:val="22"/>
          <w:lang w:val="sr-Latn-ME"/>
        </w:rPr>
        <w:t>.</w:t>
      </w:r>
    </w:p>
    <w:p w14:paraId="0C9096D7" w14:textId="77777777" w:rsidR="00323BCF" w:rsidRPr="007A69F2" w:rsidRDefault="00323BCF" w:rsidP="005A7D04">
      <w:pPr>
        <w:spacing w:line="240" w:lineRule="auto"/>
        <w:jc w:val="both"/>
        <w:rPr>
          <w:szCs w:val="22"/>
          <w:lang w:val="sr-Latn-ME"/>
        </w:rPr>
      </w:pPr>
    </w:p>
    <w:p w14:paraId="21F77486" w14:textId="335BC4BA" w:rsidR="00DA17AE" w:rsidRPr="007A69F2" w:rsidRDefault="00D04C51" w:rsidP="005A7D04">
      <w:pPr>
        <w:spacing w:line="240" w:lineRule="auto"/>
        <w:jc w:val="both"/>
        <w:rPr>
          <w:szCs w:val="22"/>
          <w:u w:val="single"/>
          <w:lang w:val="sr-Latn-ME"/>
        </w:rPr>
      </w:pPr>
      <w:r w:rsidRPr="007A69F2">
        <w:rPr>
          <w:szCs w:val="22"/>
          <w:u w:val="single"/>
          <w:lang w:val="sr-Latn-ME"/>
        </w:rPr>
        <w:t>AQUIPTA 10 mg tablet</w:t>
      </w:r>
      <w:r w:rsidR="00405FD8" w:rsidRPr="007A69F2">
        <w:rPr>
          <w:szCs w:val="22"/>
          <w:u w:val="single"/>
          <w:lang w:val="sr-Latn-ME"/>
        </w:rPr>
        <w:t>a</w:t>
      </w:r>
    </w:p>
    <w:p w14:paraId="3D5CD7E6" w14:textId="0AEB7DDD" w:rsidR="00DA17AE" w:rsidRPr="007A69F2" w:rsidRDefault="00D04C51" w:rsidP="005A7D04">
      <w:pPr>
        <w:spacing w:line="240" w:lineRule="auto"/>
        <w:jc w:val="both"/>
        <w:rPr>
          <w:szCs w:val="22"/>
          <w:lang w:val="sr-Latn-ME"/>
        </w:rPr>
      </w:pPr>
      <w:r w:rsidRPr="007A69F2">
        <w:rPr>
          <w:szCs w:val="22"/>
          <w:lang w:val="sr-Latn-ME"/>
        </w:rPr>
        <w:t xml:space="preserve">Bijela do </w:t>
      </w:r>
      <w:r w:rsidR="00405FD8" w:rsidRPr="007A69F2">
        <w:rPr>
          <w:szCs w:val="22"/>
          <w:lang w:val="sr-Latn-ME"/>
        </w:rPr>
        <w:t xml:space="preserve">gotovo </w:t>
      </w:r>
      <w:r w:rsidRPr="007A69F2">
        <w:rPr>
          <w:szCs w:val="22"/>
          <w:lang w:val="sr-Latn-ME"/>
        </w:rPr>
        <w:t xml:space="preserve">bijela, okrugla, </w:t>
      </w:r>
      <w:proofErr w:type="spellStart"/>
      <w:r w:rsidRPr="007A69F2">
        <w:rPr>
          <w:szCs w:val="22"/>
          <w:lang w:val="sr-Latn-ME"/>
        </w:rPr>
        <w:t>bikonveksna</w:t>
      </w:r>
      <w:proofErr w:type="spellEnd"/>
      <w:r w:rsidRPr="007A69F2">
        <w:rPr>
          <w:szCs w:val="22"/>
          <w:lang w:val="sr-Latn-ME"/>
        </w:rPr>
        <w:t xml:space="preserve"> tableta, </w:t>
      </w:r>
      <w:r w:rsidR="00702CB1" w:rsidRPr="007A69F2">
        <w:rPr>
          <w:szCs w:val="22"/>
          <w:lang w:val="sr-Latn-ME"/>
        </w:rPr>
        <w:t>prečnika</w:t>
      </w:r>
      <w:r w:rsidRPr="007A69F2">
        <w:rPr>
          <w:szCs w:val="22"/>
          <w:lang w:val="sr-Latn-ME"/>
        </w:rPr>
        <w:t xml:space="preserve"> 6 mm, s</w:t>
      </w:r>
      <w:r w:rsidR="002F0724" w:rsidRPr="007A69F2">
        <w:rPr>
          <w:szCs w:val="22"/>
          <w:lang w:val="sr-Latn-ME"/>
        </w:rPr>
        <w:t>a</w:t>
      </w:r>
      <w:r w:rsidRPr="007A69F2">
        <w:rPr>
          <w:szCs w:val="22"/>
          <w:lang w:val="sr-Latn-ME"/>
        </w:rPr>
        <w:t xml:space="preserve"> utisnutim oznakama „A” i „10” na jednoj strani</w:t>
      </w:r>
      <w:r w:rsidR="00405FD8" w:rsidRPr="007A69F2">
        <w:rPr>
          <w:szCs w:val="22"/>
          <w:lang w:val="sr-Latn-ME"/>
        </w:rPr>
        <w:t xml:space="preserve"> tablete</w:t>
      </w:r>
      <w:r w:rsidRPr="007A69F2">
        <w:rPr>
          <w:szCs w:val="22"/>
          <w:lang w:val="sr-Latn-ME"/>
        </w:rPr>
        <w:t>.</w:t>
      </w:r>
    </w:p>
    <w:p w14:paraId="2DD3711E" w14:textId="77777777" w:rsidR="00DA17AE" w:rsidRPr="007A69F2" w:rsidRDefault="00DA17AE" w:rsidP="005A7D04">
      <w:pPr>
        <w:spacing w:line="240" w:lineRule="auto"/>
        <w:jc w:val="both"/>
        <w:rPr>
          <w:szCs w:val="22"/>
          <w:lang w:val="sr-Latn-ME"/>
        </w:rPr>
      </w:pPr>
    </w:p>
    <w:p w14:paraId="23A74838" w14:textId="3B2ABEE4" w:rsidR="00DA17AE" w:rsidRPr="007A69F2" w:rsidRDefault="00D04C51" w:rsidP="005A7D04">
      <w:pPr>
        <w:spacing w:line="240" w:lineRule="auto"/>
        <w:jc w:val="both"/>
        <w:rPr>
          <w:szCs w:val="22"/>
          <w:u w:val="single"/>
          <w:lang w:val="sr-Latn-ME"/>
        </w:rPr>
      </w:pPr>
      <w:r w:rsidRPr="007A69F2">
        <w:rPr>
          <w:szCs w:val="22"/>
          <w:u w:val="single"/>
          <w:lang w:val="sr-Latn-ME"/>
        </w:rPr>
        <w:t>AQUIPTA 60 mg tablet</w:t>
      </w:r>
      <w:r w:rsidR="00405FD8" w:rsidRPr="007A69F2">
        <w:rPr>
          <w:szCs w:val="22"/>
          <w:u w:val="single"/>
          <w:lang w:val="sr-Latn-ME"/>
        </w:rPr>
        <w:t>a</w:t>
      </w:r>
    </w:p>
    <w:p w14:paraId="4B03FE59" w14:textId="6EF6B5D8" w:rsidR="00DA17AE" w:rsidRPr="007A69F2" w:rsidRDefault="00D04C51" w:rsidP="005A7D04">
      <w:pPr>
        <w:spacing w:line="240" w:lineRule="auto"/>
        <w:jc w:val="both"/>
        <w:rPr>
          <w:szCs w:val="22"/>
          <w:lang w:val="sr-Latn-ME"/>
        </w:rPr>
      </w:pPr>
      <w:r w:rsidRPr="007A69F2">
        <w:rPr>
          <w:szCs w:val="22"/>
          <w:lang w:val="sr-Latn-ME"/>
        </w:rPr>
        <w:t xml:space="preserve">Bijela do </w:t>
      </w:r>
      <w:r w:rsidR="00405FD8" w:rsidRPr="007A69F2">
        <w:rPr>
          <w:szCs w:val="22"/>
          <w:lang w:val="sr-Latn-ME"/>
        </w:rPr>
        <w:t xml:space="preserve">gotovo </w:t>
      </w:r>
      <w:r w:rsidRPr="007A69F2">
        <w:rPr>
          <w:szCs w:val="22"/>
          <w:lang w:val="sr-Latn-ME"/>
        </w:rPr>
        <w:t xml:space="preserve">bijela, ovalna, </w:t>
      </w:r>
      <w:proofErr w:type="spellStart"/>
      <w:r w:rsidRPr="007A69F2">
        <w:rPr>
          <w:szCs w:val="22"/>
          <w:lang w:val="sr-Latn-ME"/>
        </w:rPr>
        <w:t>bikonveksna</w:t>
      </w:r>
      <w:proofErr w:type="spellEnd"/>
      <w:r w:rsidRPr="007A69F2">
        <w:rPr>
          <w:szCs w:val="22"/>
          <w:lang w:val="sr-Latn-ME"/>
        </w:rPr>
        <w:t xml:space="preserve"> tableta, </w:t>
      </w:r>
      <w:r w:rsidR="00405FD8" w:rsidRPr="007A69F2">
        <w:rPr>
          <w:szCs w:val="22"/>
          <w:lang w:val="sr-Latn-ME"/>
        </w:rPr>
        <w:t xml:space="preserve">dimenzija </w:t>
      </w:r>
      <w:r w:rsidRPr="007A69F2">
        <w:rPr>
          <w:szCs w:val="22"/>
          <w:lang w:val="sr-Latn-ME"/>
        </w:rPr>
        <w:t>16 mm × 9 mm, s</w:t>
      </w:r>
      <w:r w:rsidR="002F0724" w:rsidRPr="007A69F2">
        <w:rPr>
          <w:szCs w:val="22"/>
          <w:lang w:val="sr-Latn-ME"/>
        </w:rPr>
        <w:t>a</w:t>
      </w:r>
      <w:r w:rsidRPr="007A69F2">
        <w:rPr>
          <w:szCs w:val="22"/>
          <w:lang w:val="sr-Latn-ME"/>
        </w:rPr>
        <w:t xml:space="preserve"> utisnutom oznakom „A60” na jednoj strani</w:t>
      </w:r>
      <w:r w:rsidR="00405FD8" w:rsidRPr="007A69F2">
        <w:rPr>
          <w:szCs w:val="22"/>
          <w:lang w:val="sr-Latn-ME"/>
        </w:rPr>
        <w:t xml:space="preserve"> tablete</w:t>
      </w:r>
      <w:r w:rsidRPr="007A69F2">
        <w:rPr>
          <w:szCs w:val="22"/>
          <w:lang w:val="sr-Latn-ME"/>
        </w:rPr>
        <w:t>.</w:t>
      </w:r>
    </w:p>
    <w:p w14:paraId="73417066" w14:textId="77777777" w:rsidR="00DA17AE" w:rsidRPr="007A69F2" w:rsidRDefault="00DA17AE" w:rsidP="005A7D04">
      <w:pPr>
        <w:spacing w:line="240" w:lineRule="auto"/>
        <w:jc w:val="both"/>
        <w:rPr>
          <w:szCs w:val="22"/>
          <w:lang w:val="sr-Latn-ME"/>
        </w:rPr>
      </w:pPr>
    </w:p>
    <w:p w14:paraId="3081F19E" w14:textId="77777777" w:rsidR="00DA17AE" w:rsidRPr="007A69F2" w:rsidRDefault="00DA17AE" w:rsidP="005A7D04">
      <w:pPr>
        <w:spacing w:line="240" w:lineRule="auto"/>
        <w:jc w:val="both"/>
        <w:rPr>
          <w:szCs w:val="22"/>
          <w:lang w:val="sr-Latn-ME"/>
        </w:rPr>
      </w:pPr>
    </w:p>
    <w:p w14:paraId="041EF7EB" w14:textId="77777777" w:rsidR="00E22FFA" w:rsidRPr="007A69F2" w:rsidRDefault="00D04C51" w:rsidP="005A7D04">
      <w:pPr>
        <w:keepNext/>
        <w:suppressAutoHyphens/>
        <w:spacing w:line="240" w:lineRule="auto"/>
        <w:ind w:left="567" w:hanging="567"/>
        <w:jc w:val="both"/>
        <w:rPr>
          <w:caps/>
          <w:szCs w:val="22"/>
          <w:lang w:val="sr-Latn-ME"/>
        </w:rPr>
      </w:pPr>
      <w:r w:rsidRPr="007A69F2">
        <w:rPr>
          <w:b/>
          <w:caps/>
          <w:szCs w:val="22"/>
          <w:lang w:val="sr-Latn-ME"/>
        </w:rPr>
        <w:t>4.</w:t>
      </w:r>
      <w:r w:rsidRPr="007A69F2">
        <w:rPr>
          <w:b/>
          <w:caps/>
          <w:szCs w:val="22"/>
          <w:lang w:val="sr-Latn-ME"/>
        </w:rPr>
        <w:tab/>
      </w:r>
      <w:r w:rsidRPr="007A69F2">
        <w:rPr>
          <w:b/>
          <w:szCs w:val="22"/>
          <w:lang w:val="sr-Latn-ME"/>
        </w:rPr>
        <w:t>KLINIČKI PODACI</w:t>
      </w:r>
    </w:p>
    <w:p w14:paraId="3319AAB8" w14:textId="77777777" w:rsidR="00DA17AE" w:rsidRPr="007A69F2" w:rsidRDefault="00DA17AE" w:rsidP="005A7D04">
      <w:pPr>
        <w:spacing w:line="240" w:lineRule="auto"/>
        <w:jc w:val="both"/>
        <w:rPr>
          <w:szCs w:val="22"/>
          <w:lang w:val="sr-Latn-ME"/>
        </w:rPr>
      </w:pPr>
    </w:p>
    <w:p w14:paraId="7AB71F18" w14:textId="77777777" w:rsidR="00DA17AE" w:rsidRPr="007A69F2" w:rsidRDefault="00D04C51" w:rsidP="005A7D04">
      <w:pPr>
        <w:spacing w:line="240" w:lineRule="auto"/>
        <w:ind w:left="567" w:hanging="567"/>
        <w:jc w:val="both"/>
        <w:outlineLvl w:val="0"/>
        <w:rPr>
          <w:szCs w:val="22"/>
          <w:lang w:val="sr-Latn-ME"/>
        </w:rPr>
      </w:pPr>
      <w:r w:rsidRPr="007A69F2">
        <w:rPr>
          <w:b/>
          <w:szCs w:val="22"/>
          <w:lang w:val="sr-Latn-ME"/>
        </w:rPr>
        <w:t>4.1</w:t>
      </w:r>
      <w:r w:rsidRPr="007A69F2">
        <w:rPr>
          <w:b/>
          <w:szCs w:val="22"/>
          <w:lang w:val="sr-Latn-ME"/>
        </w:rPr>
        <w:tab/>
        <w:t>Terapijske indikacije</w:t>
      </w:r>
    </w:p>
    <w:p w14:paraId="5E30DC25" w14:textId="77777777" w:rsidR="00DA17AE" w:rsidRPr="007A69F2" w:rsidRDefault="00DA17AE" w:rsidP="005A7D04">
      <w:pPr>
        <w:spacing w:line="240" w:lineRule="auto"/>
        <w:jc w:val="both"/>
        <w:rPr>
          <w:szCs w:val="22"/>
          <w:lang w:val="sr-Latn-ME"/>
        </w:rPr>
      </w:pPr>
    </w:p>
    <w:p w14:paraId="1284C062" w14:textId="1039426A" w:rsidR="00702CB1" w:rsidRPr="007A69F2" w:rsidRDefault="00702CB1" w:rsidP="005A7D04">
      <w:pPr>
        <w:tabs>
          <w:tab w:val="clear" w:pos="567"/>
          <w:tab w:val="left" w:pos="540"/>
          <w:tab w:val="left" w:pos="569"/>
        </w:tabs>
        <w:spacing w:line="240" w:lineRule="auto"/>
        <w:jc w:val="both"/>
        <w:rPr>
          <w:bCs/>
          <w:szCs w:val="22"/>
          <w:lang w:val="sr-Latn-ME"/>
        </w:rPr>
      </w:pPr>
      <w:r w:rsidRPr="007A69F2">
        <w:rPr>
          <w:bCs/>
          <w:szCs w:val="22"/>
          <w:lang w:val="sr-Latn-ME"/>
        </w:rPr>
        <w:t xml:space="preserve">Lijek AQUIPTA </w:t>
      </w:r>
      <w:proofErr w:type="spellStart"/>
      <w:r w:rsidRPr="007A69F2">
        <w:rPr>
          <w:bCs/>
          <w:szCs w:val="22"/>
          <w:lang w:val="sr-Latn-ME"/>
        </w:rPr>
        <w:t>indikovan</w:t>
      </w:r>
      <w:proofErr w:type="spellEnd"/>
      <w:r w:rsidRPr="007A69F2">
        <w:rPr>
          <w:bCs/>
          <w:szCs w:val="22"/>
          <w:lang w:val="sr-Latn-ME"/>
        </w:rPr>
        <w:t xml:space="preserve"> je za profilaksu migrene kod odraslih pacij</w:t>
      </w:r>
      <w:r w:rsidR="00405FD8" w:rsidRPr="007A69F2">
        <w:rPr>
          <w:bCs/>
          <w:szCs w:val="22"/>
          <w:lang w:val="sr-Latn-ME"/>
        </w:rPr>
        <w:t>e</w:t>
      </w:r>
      <w:r w:rsidRPr="007A69F2">
        <w:rPr>
          <w:bCs/>
          <w:szCs w:val="22"/>
          <w:lang w:val="sr-Latn-ME"/>
        </w:rPr>
        <w:t>nata koji imaju migrenu najmanje 4 dana mjesečno.</w:t>
      </w:r>
    </w:p>
    <w:p w14:paraId="42CF493A" w14:textId="77777777" w:rsidR="00072D43" w:rsidRPr="007A69F2" w:rsidRDefault="00072D43" w:rsidP="005A7D04">
      <w:pPr>
        <w:spacing w:line="240" w:lineRule="auto"/>
        <w:jc w:val="both"/>
        <w:rPr>
          <w:szCs w:val="22"/>
          <w:lang w:val="sr-Latn-ME"/>
        </w:rPr>
      </w:pPr>
    </w:p>
    <w:p w14:paraId="12E7AB9A" w14:textId="77777777" w:rsidR="00DA17AE" w:rsidRPr="007A69F2" w:rsidRDefault="00D04C51" w:rsidP="005A7D04">
      <w:pPr>
        <w:spacing w:line="240" w:lineRule="auto"/>
        <w:jc w:val="both"/>
        <w:outlineLvl w:val="0"/>
        <w:rPr>
          <w:szCs w:val="22"/>
          <w:lang w:val="sr-Latn-ME"/>
        </w:rPr>
      </w:pPr>
      <w:r w:rsidRPr="007A69F2">
        <w:rPr>
          <w:b/>
          <w:szCs w:val="22"/>
          <w:lang w:val="sr-Latn-ME"/>
        </w:rPr>
        <w:t>4.2</w:t>
      </w:r>
      <w:r w:rsidRPr="007A69F2">
        <w:rPr>
          <w:b/>
          <w:szCs w:val="22"/>
          <w:lang w:val="sr-Latn-ME"/>
        </w:rPr>
        <w:tab/>
        <w:t>Doziranje i način primjene</w:t>
      </w:r>
    </w:p>
    <w:p w14:paraId="5CAEF4E1" w14:textId="77777777" w:rsidR="00DA17AE" w:rsidRPr="007A69F2" w:rsidRDefault="00DA17AE" w:rsidP="005A7D04">
      <w:pPr>
        <w:keepNext/>
        <w:spacing w:line="240" w:lineRule="auto"/>
        <w:jc w:val="both"/>
        <w:rPr>
          <w:szCs w:val="22"/>
          <w:lang w:val="sr-Latn-ME"/>
        </w:rPr>
      </w:pPr>
    </w:p>
    <w:p w14:paraId="3EF555F2" w14:textId="77777777" w:rsidR="00DA17AE" w:rsidRPr="007A69F2" w:rsidRDefault="00D04C51" w:rsidP="005A7D04">
      <w:pPr>
        <w:spacing w:line="240" w:lineRule="auto"/>
        <w:jc w:val="both"/>
        <w:rPr>
          <w:szCs w:val="22"/>
          <w:u w:val="single"/>
          <w:lang w:val="sr-Latn-ME"/>
        </w:rPr>
      </w:pPr>
      <w:r w:rsidRPr="007A69F2">
        <w:rPr>
          <w:szCs w:val="22"/>
          <w:u w:val="single"/>
          <w:lang w:val="sr-Latn-ME"/>
        </w:rPr>
        <w:t>Doziranje</w:t>
      </w:r>
    </w:p>
    <w:p w14:paraId="412892D8" w14:textId="77777777" w:rsidR="00EE522F" w:rsidRPr="007A69F2" w:rsidRDefault="00D04C51" w:rsidP="005A7D04">
      <w:pPr>
        <w:spacing w:line="240" w:lineRule="auto"/>
        <w:jc w:val="both"/>
        <w:rPr>
          <w:szCs w:val="22"/>
          <w:lang w:val="sr-Latn-ME"/>
        </w:rPr>
      </w:pPr>
      <w:bookmarkStart w:id="1" w:name="_Hlk87521748"/>
      <w:r w:rsidRPr="007A69F2">
        <w:rPr>
          <w:szCs w:val="22"/>
          <w:lang w:val="sr-Latn-ME"/>
        </w:rPr>
        <w:t xml:space="preserve">Preporučena doza je 60 mg </w:t>
      </w:r>
      <w:proofErr w:type="spellStart"/>
      <w:r w:rsidRPr="007A69F2">
        <w:rPr>
          <w:szCs w:val="22"/>
          <w:lang w:val="sr-Latn-ME"/>
        </w:rPr>
        <w:t>atogepanta</w:t>
      </w:r>
      <w:proofErr w:type="spellEnd"/>
      <w:r w:rsidRPr="007A69F2">
        <w:rPr>
          <w:szCs w:val="22"/>
          <w:lang w:val="sr-Latn-ME"/>
        </w:rPr>
        <w:t xml:space="preserve"> jednom dnevno.</w:t>
      </w:r>
    </w:p>
    <w:p w14:paraId="4C963F16" w14:textId="77777777" w:rsidR="00B1231C" w:rsidRPr="007A69F2" w:rsidRDefault="00B1231C" w:rsidP="005A7D04">
      <w:pPr>
        <w:spacing w:line="240" w:lineRule="auto"/>
        <w:jc w:val="both"/>
        <w:rPr>
          <w:szCs w:val="22"/>
          <w:lang w:val="sr-Latn-ME"/>
        </w:rPr>
      </w:pPr>
    </w:p>
    <w:p w14:paraId="3AFF07EF" w14:textId="13CDD3BC" w:rsidR="004B4731" w:rsidRPr="007A69F2" w:rsidRDefault="00D04C51" w:rsidP="005A7D04">
      <w:pPr>
        <w:spacing w:line="240" w:lineRule="auto"/>
        <w:jc w:val="both"/>
        <w:rPr>
          <w:szCs w:val="22"/>
          <w:lang w:val="sr-Latn-ME"/>
        </w:rPr>
      </w:pPr>
      <w:r w:rsidRPr="007A69F2">
        <w:rPr>
          <w:szCs w:val="22"/>
          <w:lang w:val="sr-Latn-ME"/>
        </w:rPr>
        <w:lastRenderedPageBreak/>
        <w:t xml:space="preserve">Tablete se mogu uzimati </w:t>
      </w:r>
      <w:r w:rsidR="00702CB1" w:rsidRPr="007A69F2">
        <w:rPr>
          <w:szCs w:val="22"/>
          <w:lang w:val="sr-Latn-ME"/>
        </w:rPr>
        <w:t>uz obrok ili bez njega</w:t>
      </w:r>
      <w:r w:rsidRPr="007A69F2">
        <w:rPr>
          <w:szCs w:val="22"/>
          <w:lang w:val="sr-Latn-ME"/>
        </w:rPr>
        <w:t>.</w:t>
      </w:r>
    </w:p>
    <w:p w14:paraId="64E0269A" w14:textId="77777777" w:rsidR="00EB2926" w:rsidRPr="007A69F2" w:rsidRDefault="00EB2926" w:rsidP="005A7D04">
      <w:pPr>
        <w:spacing w:line="240" w:lineRule="auto"/>
        <w:jc w:val="both"/>
        <w:rPr>
          <w:szCs w:val="22"/>
          <w:lang w:val="sr-Latn-ME"/>
        </w:rPr>
      </w:pPr>
    </w:p>
    <w:p w14:paraId="0635C66E" w14:textId="77777777" w:rsidR="00EE522F" w:rsidRPr="007A69F2" w:rsidRDefault="00D04C51" w:rsidP="005A7D04">
      <w:pPr>
        <w:spacing w:line="240" w:lineRule="auto"/>
        <w:jc w:val="both"/>
        <w:rPr>
          <w:i/>
          <w:iCs/>
          <w:szCs w:val="22"/>
          <w:u w:val="single"/>
          <w:lang w:val="sr-Latn-ME"/>
        </w:rPr>
      </w:pPr>
      <w:r w:rsidRPr="007A69F2">
        <w:rPr>
          <w:i/>
          <w:szCs w:val="22"/>
          <w:u w:val="single"/>
          <w:lang w:val="sr-Latn-ME"/>
        </w:rPr>
        <w:t>Propuštena doza</w:t>
      </w:r>
    </w:p>
    <w:p w14:paraId="14AE1F2B" w14:textId="4BD603F5" w:rsidR="00DA17AE" w:rsidRPr="007A69F2" w:rsidRDefault="00D04C51" w:rsidP="005A7D04">
      <w:pPr>
        <w:spacing w:line="240" w:lineRule="auto"/>
        <w:jc w:val="both"/>
        <w:rPr>
          <w:szCs w:val="22"/>
          <w:lang w:val="sr-Latn-ME"/>
        </w:rPr>
      </w:pPr>
      <w:r w:rsidRPr="007A69F2">
        <w:rPr>
          <w:szCs w:val="22"/>
          <w:lang w:val="sr-Latn-ME"/>
        </w:rPr>
        <w:t>Propuštenu dozu</w:t>
      </w:r>
      <w:r w:rsidR="0024765A" w:rsidRPr="007A69F2">
        <w:rPr>
          <w:szCs w:val="22"/>
          <w:lang w:val="sr-Latn-ME"/>
        </w:rPr>
        <w:t xml:space="preserve"> </w:t>
      </w:r>
      <w:r w:rsidR="00260573" w:rsidRPr="007A69F2">
        <w:rPr>
          <w:szCs w:val="22"/>
          <w:lang w:val="sr-Latn-ME"/>
        </w:rPr>
        <w:t>pacijent</w:t>
      </w:r>
      <w:r w:rsidRPr="007A69F2">
        <w:rPr>
          <w:szCs w:val="22"/>
          <w:lang w:val="sr-Latn-ME"/>
        </w:rPr>
        <w:t xml:space="preserve"> treba uzeti čim se sjeti. </w:t>
      </w:r>
      <w:r w:rsidR="00702CB1" w:rsidRPr="007A69F2">
        <w:rPr>
          <w:szCs w:val="22"/>
          <w:lang w:val="sr-Latn-ME"/>
        </w:rPr>
        <w:t>Ako je zaboravio da uzme dozu cijeli dan, propuštenu dozu treba da preskoči, a sljedeću uzme prema uobičajenom rasporedu</w:t>
      </w:r>
      <w:r w:rsidR="005A7D04" w:rsidRPr="007A69F2">
        <w:rPr>
          <w:szCs w:val="22"/>
          <w:lang w:val="sr-Latn-ME"/>
        </w:rPr>
        <w:t>.</w:t>
      </w:r>
    </w:p>
    <w:p w14:paraId="76EE6B51" w14:textId="77777777" w:rsidR="00DA17AE" w:rsidRPr="007A69F2" w:rsidRDefault="00DA17AE" w:rsidP="005A7D04">
      <w:pPr>
        <w:spacing w:line="240" w:lineRule="auto"/>
        <w:jc w:val="both"/>
        <w:rPr>
          <w:szCs w:val="22"/>
          <w:lang w:val="sr-Latn-ME"/>
        </w:rPr>
      </w:pPr>
    </w:p>
    <w:p w14:paraId="3397F332" w14:textId="201D024B" w:rsidR="00DA17AE" w:rsidRPr="007A69F2" w:rsidRDefault="004D73C5" w:rsidP="005A7D04">
      <w:pPr>
        <w:spacing w:line="240" w:lineRule="auto"/>
        <w:jc w:val="both"/>
        <w:rPr>
          <w:i/>
          <w:szCs w:val="22"/>
          <w:u w:val="single"/>
          <w:lang w:val="sr-Latn-ME"/>
        </w:rPr>
      </w:pPr>
      <w:r w:rsidRPr="007A69F2">
        <w:rPr>
          <w:i/>
          <w:szCs w:val="22"/>
          <w:u w:val="single"/>
          <w:lang w:val="sr-Latn-ME"/>
        </w:rPr>
        <w:t>Prilagođavanje</w:t>
      </w:r>
      <w:r w:rsidR="00D04C51" w:rsidRPr="007A69F2">
        <w:rPr>
          <w:i/>
          <w:szCs w:val="22"/>
          <w:u w:val="single"/>
          <w:lang w:val="sr-Latn-ME"/>
        </w:rPr>
        <w:t xml:space="preserve"> doze</w:t>
      </w:r>
    </w:p>
    <w:p w14:paraId="709824AD" w14:textId="06D66D54" w:rsidR="00DA17AE" w:rsidRPr="007A69F2" w:rsidRDefault="00405FD8" w:rsidP="005A7D04">
      <w:pPr>
        <w:spacing w:line="240" w:lineRule="auto"/>
        <w:jc w:val="both"/>
        <w:rPr>
          <w:szCs w:val="22"/>
          <w:lang w:val="sr-Latn-ME"/>
        </w:rPr>
      </w:pPr>
      <w:r w:rsidRPr="007A69F2">
        <w:rPr>
          <w:szCs w:val="22"/>
          <w:lang w:val="sr-Latn-ME"/>
        </w:rPr>
        <w:t xml:space="preserve">Prilagođavanje doze </w:t>
      </w:r>
      <w:r w:rsidR="00702CB1" w:rsidRPr="007A69F2">
        <w:rPr>
          <w:szCs w:val="22"/>
          <w:lang w:val="sr-Latn-ME"/>
        </w:rPr>
        <w:t xml:space="preserve">kod istovremene primjene određenih </w:t>
      </w:r>
      <w:r w:rsidR="008007BD" w:rsidRPr="007A69F2">
        <w:rPr>
          <w:szCs w:val="22"/>
          <w:lang w:val="sr-Latn-ME"/>
        </w:rPr>
        <w:t>ljekov</w:t>
      </w:r>
      <w:r w:rsidR="00702CB1" w:rsidRPr="007A69F2">
        <w:rPr>
          <w:szCs w:val="22"/>
          <w:lang w:val="sr-Latn-ME"/>
        </w:rPr>
        <w:t>a naveden</w:t>
      </w:r>
      <w:r w:rsidRPr="007A69F2">
        <w:rPr>
          <w:szCs w:val="22"/>
          <w:lang w:val="sr-Latn-ME"/>
        </w:rPr>
        <w:t>o</w:t>
      </w:r>
      <w:r w:rsidR="00702CB1" w:rsidRPr="007A69F2">
        <w:rPr>
          <w:szCs w:val="22"/>
          <w:lang w:val="sr-Latn-ME"/>
        </w:rPr>
        <w:t xml:space="preserve"> </w:t>
      </w:r>
      <w:r w:rsidRPr="007A69F2">
        <w:rPr>
          <w:szCs w:val="22"/>
          <w:lang w:val="sr-Latn-ME"/>
        </w:rPr>
        <w:t>je</w:t>
      </w:r>
      <w:r w:rsidR="00702CB1" w:rsidRPr="007A69F2">
        <w:rPr>
          <w:szCs w:val="22"/>
          <w:lang w:val="sr-Latn-ME"/>
        </w:rPr>
        <w:t xml:space="preserve"> u </w:t>
      </w:r>
      <w:r w:rsidRPr="007A69F2">
        <w:rPr>
          <w:szCs w:val="22"/>
          <w:lang w:val="sr-Latn-ME"/>
        </w:rPr>
        <w:t>T</w:t>
      </w:r>
      <w:r w:rsidR="00702CB1" w:rsidRPr="007A69F2">
        <w:rPr>
          <w:szCs w:val="22"/>
          <w:lang w:val="sr-Latn-ME"/>
        </w:rPr>
        <w:t>abeli</w:t>
      </w:r>
      <w:r w:rsidRPr="007A69F2">
        <w:rPr>
          <w:szCs w:val="22"/>
          <w:lang w:val="sr-Latn-ME"/>
        </w:rPr>
        <w:t xml:space="preserve"> </w:t>
      </w:r>
      <w:r w:rsidR="00702CB1" w:rsidRPr="007A69F2">
        <w:rPr>
          <w:szCs w:val="22"/>
          <w:lang w:val="sr-Latn-ME"/>
        </w:rPr>
        <w:t>1</w:t>
      </w:r>
      <w:r w:rsidRPr="007A69F2">
        <w:rPr>
          <w:szCs w:val="22"/>
          <w:lang w:val="sr-Latn-ME"/>
        </w:rPr>
        <w:t xml:space="preserve"> (vidjeti dio 4.5)</w:t>
      </w:r>
      <w:r w:rsidR="00D04C51" w:rsidRPr="007A69F2">
        <w:rPr>
          <w:szCs w:val="22"/>
          <w:lang w:val="sr-Latn-ME"/>
        </w:rPr>
        <w:t>.</w:t>
      </w:r>
    </w:p>
    <w:p w14:paraId="17C3F0DE" w14:textId="77777777" w:rsidR="00DA17AE" w:rsidRPr="007A69F2" w:rsidRDefault="00DA17AE" w:rsidP="002400BD">
      <w:pPr>
        <w:spacing w:line="240" w:lineRule="auto"/>
        <w:jc w:val="both"/>
        <w:rPr>
          <w:szCs w:val="22"/>
          <w:lang w:val="sr-Latn-ME"/>
        </w:rPr>
      </w:pPr>
    </w:p>
    <w:p w14:paraId="52FC3D67" w14:textId="1E2DB637" w:rsidR="00DA17AE" w:rsidRPr="007A69F2" w:rsidRDefault="00D04C51" w:rsidP="002400BD">
      <w:pPr>
        <w:keepNext/>
        <w:spacing w:line="240" w:lineRule="auto"/>
        <w:ind w:right="3223"/>
        <w:jc w:val="both"/>
        <w:rPr>
          <w:b/>
          <w:szCs w:val="22"/>
          <w:lang w:val="sr-Latn-ME"/>
        </w:rPr>
      </w:pPr>
      <w:r w:rsidRPr="007A69F2">
        <w:rPr>
          <w:b/>
          <w:szCs w:val="22"/>
          <w:lang w:val="sr-Latn-ME"/>
        </w:rPr>
        <w:t xml:space="preserve">Tabela 1: </w:t>
      </w:r>
      <w:r w:rsidR="004D73C5" w:rsidRPr="007A69F2">
        <w:rPr>
          <w:b/>
          <w:szCs w:val="22"/>
          <w:lang w:val="sr-Latn-ME"/>
        </w:rPr>
        <w:t xml:space="preserve">Prilagođavanje </w:t>
      </w:r>
      <w:r w:rsidRPr="007A69F2">
        <w:rPr>
          <w:b/>
          <w:szCs w:val="22"/>
          <w:lang w:val="sr-Latn-ME"/>
        </w:rPr>
        <w:t>doze zbog interakcija</w:t>
      </w:r>
    </w:p>
    <w:p w14:paraId="5AB426AF" w14:textId="77777777" w:rsidR="00405FD8" w:rsidRPr="007A69F2" w:rsidRDefault="00405FD8" w:rsidP="002400BD">
      <w:pPr>
        <w:keepNext/>
        <w:spacing w:line="240" w:lineRule="auto"/>
        <w:ind w:right="3223"/>
        <w:jc w:val="both"/>
        <w:rPr>
          <w:b/>
          <w:szCs w:val="22"/>
          <w:lang w:val="sr-Latn-ME"/>
        </w:rPr>
      </w:pPr>
    </w:p>
    <w:tbl>
      <w:tblP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5"/>
        <w:gridCol w:w="2896"/>
      </w:tblGrid>
      <w:tr w:rsidR="00BD6090" w:rsidRPr="007A69F2" w14:paraId="2F7BFDD0" w14:textId="77777777" w:rsidTr="006074EE">
        <w:tc>
          <w:tcPr>
            <w:tcW w:w="4045" w:type="dxa"/>
            <w:shd w:val="clear" w:color="auto" w:fill="auto"/>
            <w:vAlign w:val="center"/>
          </w:tcPr>
          <w:p w14:paraId="31CC8092" w14:textId="2B0CEEEF" w:rsidR="00DA17AE" w:rsidRPr="007A69F2" w:rsidRDefault="004D73C5" w:rsidP="006074EE">
            <w:pPr>
              <w:spacing w:line="240" w:lineRule="auto"/>
              <w:jc w:val="center"/>
              <w:rPr>
                <w:b/>
                <w:szCs w:val="22"/>
                <w:lang w:val="sr-Latn-ME"/>
              </w:rPr>
            </w:pPr>
            <w:bookmarkStart w:id="2" w:name="_Hlk86342133"/>
            <w:r w:rsidRPr="007A69F2">
              <w:rPr>
                <w:b/>
                <w:szCs w:val="22"/>
                <w:lang w:val="sr-Latn-ME"/>
              </w:rPr>
              <w:t>Prilagođavanje</w:t>
            </w:r>
            <w:r w:rsidR="00D04C51" w:rsidRPr="007A69F2">
              <w:rPr>
                <w:b/>
                <w:szCs w:val="22"/>
                <w:lang w:val="sr-Latn-ME"/>
              </w:rPr>
              <w:t xml:space="preserve"> doze</w:t>
            </w:r>
          </w:p>
        </w:tc>
        <w:tc>
          <w:tcPr>
            <w:tcW w:w="2896" w:type="dxa"/>
            <w:shd w:val="clear" w:color="auto" w:fill="auto"/>
            <w:vAlign w:val="center"/>
          </w:tcPr>
          <w:p w14:paraId="0D6D26F3" w14:textId="77777777" w:rsidR="00DA17AE" w:rsidRPr="007A69F2" w:rsidRDefault="00D04C51" w:rsidP="006074EE">
            <w:pPr>
              <w:spacing w:line="240" w:lineRule="auto"/>
              <w:jc w:val="center"/>
              <w:rPr>
                <w:b/>
                <w:szCs w:val="22"/>
                <w:lang w:val="sr-Latn-ME"/>
              </w:rPr>
            </w:pPr>
            <w:r w:rsidRPr="007A69F2">
              <w:rPr>
                <w:b/>
                <w:szCs w:val="22"/>
                <w:lang w:val="sr-Latn-ME"/>
              </w:rPr>
              <w:t>Preporučena doza jednom dnevno</w:t>
            </w:r>
          </w:p>
        </w:tc>
      </w:tr>
      <w:tr w:rsidR="00BD6090" w:rsidRPr="007A69F2" w14:paraId="0AB21F3D" w14:textId="77777777" w:rsidTr="006074EE">
        <w:tc>
          <w:tcPr>
            <w:tcW w:w="4045" w:type="dxa"/>
            <w:shd w:val="clear" w:color="auto" w:fill="auto"/>
            <w:vAlign w:val="center"/>
          </w:tcPr>
          <w:p w14:paraId="42C4DD9E" w14:textId="7DF0E63E" w:rsidR="00DA17AE" w:rsidRPr="007A69F2" w:rsidRDefault="004D73C5" w:rsidP="002400BD">
            <w:pPr>
              <w:spacing w:line="240" w:lineRule="auto"/>
              <w:jc w:val="both"/>
              <w:rPr>
                <w:szCs w:val="22"/>
                <w:lang w:val="sr-Latn-ME"/>
              </w:rPr>
            </w:pPr>
            <w:r w:rsidRPr="007A69F2">
              <w:rPr>
                <w:szCs w:val="22"/>
                <w:lang w:val="sr-Latn-ME"/>
              </w:rPr>
              <w:t>Jaki</w:t>
            </w:r>
            <w:r w:rsidR="00D04C51" w:rsidRPr="007A69F2">
              <w:rPr>
                <w:szCs w:val="22"/>
                <w:lang w:val="sr-Latn-ME"/>
              </w:rPr>
              <w:t xml:space="preserve"> </w:t>
            </w:r>
            <w:proofErr w:type="spellStart"/>
            <w:r w:rsidR="00D04C51" w:rsidRPr="007A69F2">
              <w:rPr>
                <w:szCs w:val="22"/>
                <w:lang w:val="sr-Latn-ME"/>
              </w:rPr>
              <w:t>inhibitori</w:t>
            </w:r>
            <w:proofErr w:type="spellEnd"/>
            <w:r w:rsidR="00D04C51" w:rsidRPr="007A69F2">
              <w:rPr>
                <w:szCs w:val="22"/>
                <w:lang w:val="sr-Latn-ME"/>
              </w:rPr>
              <w:t xml:space="preserve"> CYP3A4</w:t>
            </w:r>
            <w:r w:rsidR="00D04C51" w:rsidRPr="007A69F2">
              <w:rPr>
                <w:i/>
                <w:szCs w:val="22"/>
                <w:lang w:val="sr-Latn-ME"/>
              </w:rPr>
              <w:t xml:space="preserve"> </w:t>
            </w:r>
          </w:p>
        </w:tc>
        <w:tc>
          <w:tcPr>
            <w:tcW w:w="2896" w:type="dxa"/>
            <w:shd w:val="clear" w:color="auto" w:fill="auto"/>
            <w:vAlign w:val="center"/>
          </w:tcPr>
          <w:p w14:paraId="1576D410" w14:textId="77777777" w:rsidR="00DA17AE" w:rsidRPr="007A69F2" w:rsidRDefault="00D04C51" w:rsidP="002400BD">
            <w:pPr>
              <w:spacing w:line="240" w:lineRule="auto"/>
              <w:jc w:val="both"/>
              <w:rPr>
                <w:szCs w:val="22"/>
                <w:lang w:val="sr-Latn-ME"/>
              </w:rPr>
            </w:pPr>
            <w:r w:rsidRPr="007A69F2">
              <w:rPr>
                <w:szCs w:val="22"/>
                <w:lang w:val="sr-Latn-ME"/>
              </w:rPr>
              <w:t>10 mg</w:t>
            </w:r>
          </w:p>
        </w:tc>
      </w:tr>
      <w:tr w:rsidR="00BD6090" w:rsidRPr="007A69F2" w14:paraId="2447C365" w14:textId="77777777" w:rsidTr="006074EE">
        <w:tc>
          <w:tcPr>
            <w:tcW w:w="4045" w:type="dxa"/>
            <w:shd w:val="clear" w:color="auto" w:fill="auto"/>
            <w:vAlign w:val="center"/>
          </w:tcPr>
          <w:p w14:paraId="6E652E31" w14:textId="58C4C4E3" w:rsidR="00DA17AE" w:rsidRPr="007A69F2" w:rsidRDefault="004D73C5" w:rsidP="002400BD">
            <w:pPr>
              <w:spacing w:line="240" w:lineRule="auto"/>
              <w:jc w:val="both"/>
              <w:rPr>
                <w:szCs w:val="22"/>
                <w:lang w:val="sr-Latn-ME"/>
              </w:rPr>
            </w:pPr>
            <w:r w:rsidRPr="007A69F2">
              <w:rPr>
                <w:szCs w:val="22"/>
                <w:lang w:val="sr-Latn-ME"/>
              </w:rPr>
              <w:t>Jaki</w:t>
            </w:r>
            <w:r w:rsidR="00D04C51" w:rsidRPr="007A69F2">
              <w:rPr>
                <w:szCs w:val="22"/>
                <w:lang w:val="sr-Latn-ME"/>
              </w:rPr>
              <w:t xml:space="preserve"> </w:t>
            </w:r>
            <w:proofErr w:type="spellStart"/>
            <w:r w:rsidR="00D04C51" w:rsidRPr="007A69F2">
              <w:rPr>
                <w:szCs w:val="22"/>
                <w:lang w:val="sr-Latn-ME"/>
              </w:rPr>
              <w:t>inhibitori</w:t>
            </w:r>
            <w:proofErr w:type="spellEnd"/>
            <w:r w:rsidR="00D04C51" w:rsidRPr="007A69F2">
              <w:rPr>
                <w:szCs w:val="22"/>
                <w:lang w:val="sr-Latn-ME"/>
              </w:rPr>
              <w:t xml:space="preserve"> OATP </w:t>
            </w:r>
          </w:p>
        </w:tc>
        <w:tc>
          <w:tcPr>
            <w:tcW w:w="2896" w:type="dxa"/>
            <w:shd w:val="clear" w:color="auto" w:fill="auto"/>
            <w:vAlign w:val="center"/>
          </w:tcPr>
          <w:p w14:paraId="3AA9EF22" w14:textId="77777777" w:rsidR="00DA17AE" w:rsidRPr="007A69F2" w:rsidRDefault="00D04C51" w:rsidP="002400BD">
            <w:pPr>
              <w:spacing w:line="240" w:lineRule="auto"/>
              <w:jc w:val="both"/>
              <w:rPr>
                <w:szCs w:val="22"/>
                <w:lang w:val="sr-Latn-ME"/>
              </w:rPr>
            </w:pPr>
            <w:r w:rsidRPr="007A69F2">
              <w:rPr>
                <w:szCs w:val="22"/>
                <w:lang w:val="sr-Latn-ME"/>
              </w:rPr>
              <w:t>10 mg</w:t>
            </w:r>
          </w:p>
        </w:tc>
      </w:tr>
      <w:bookmarkEnd w:id="1"/>
      <w:bookmarkEnd w:id="2"/>
    </w:tbl>
    <w:p w14:paraId="701FBD93" w14:textId="77777777" w:rsidR="00D55C21" w:rsidRPr="007A69F2" w:rsidRDefault="00D55C21" w:rsidP="002400BD">
      <w:pPr>
        <w:spacing w:line="240" w:lineRule="auto"/>
        <w:jc w:val="both"/>
        <w:rPr>
          <w:szCs w:val="22"/>
          <w:lang w:val="sr-Latn-ME"/>
        </w:rPr>
      </w:pPr>
    </w:p>
    <w:p w14:paraId="0CB89FF9" w14:textId="77777777" w:rsidR="00DA17AE" w:rsidRPr="007A69F2" w:rsidRDefault="00D04C51" w:rsidP="002400BD">
      <w:pPr>
        <w:spacing w:line="240" w:lineRule="auto"/>
        <w:jc w:val="both"/>
        <w:rPr>
          <w:i/>
          <w:szCs w:val="22"/>
          <w:u w:val="single"/>
          <w:lang w:val="sr-Latn-ME"/>
        </w:rPr>
      </w:pPr>
      <w:r w:rsidRPr="007A69F2">
        <w:rPr>
          <w:i/>
          <w:szCs w:val="22"/>
          <w:u w:val="single"/>
          <w:lang w:val="sr-Latn-ME"/>
        </w:rPr>
        <w:t>Posebne populacije</w:t>
      </w:r>
    </w:p>
    <w:p w14:paraId="21DDD8C5" w14:textId="77777777" w:rsidR="00EB2926" w:rsidRPr="007A69F2" w:rsidRDefault="00EB2926" w:rsidP="002400BD">
      <w:pPr>
        <w:spacing w:line="240" w:lineRule="auto"/>
        <w:jc w:val="both"/>
        <w:rPr>
          <w:szCs w:val="22"/>
          <w:lang w:val="sr-Latn-ME"/>
        </w:rPr>
      </w:pPr>
    </w:p>
    <w:p w14:paraId="56D1B1B7" w14:textId="77777777" w:rsidR="00DA17AE" w:rsidRPr="007A69F2" w:rsidRDefault="00D04C51" w:rsidP="002400BD">
      <w:pPr>
        <w:spacing w:line="240" w:lineRule="auto"/>
        <w:jc w:val="both"/>
        <w:rPr>
          <w:i/>
          <w:szCs w:val="22"/>
          <w:lang w:val="sr-Latn-ME"/>
        </w:rPr>
      </w:pPr>
      <w:r w:rsidRPr="007A69F2">
        <w:rPr>
          <w:i/>
          <w:szCs w:val="22"/>
          <w:lang w:val="sr-Latn-ME"/>
        </w:rPr>
        <w:t>Starije osobe</w:t>
      </w:r>
    </w:p>
    <w:p w14:paraId="459BA381" w14:textId="07B87893" w:rsidR="00DA17AE" w:rsidRPr="007A69F2" w:rsidRDefault="004D73C5" w:rsidP="002400BD">
      <w:pPr>
        <w:spacing w:line="240" w:lineRule="auto"/>
        <w:jc w:val="both"/>
        <w:rPr>
          <w:szCs w:val="22"/>
          <w:lang w:val="sr-Latn-ME"/>
        </w:rPr>
      </w:pPr>
      <w:r w:rsidRPr="007A69F2">
        <w:rPr>
          <w:szCs w:val="22"/>
          <w:lang w:val="sr-Latn-ME"/>
        </w:rPr>
        <w:t xml:space="preserve">Populacioni </w:t>
      </w:r>
      <w:proofErr w:type="spellStart"/>
      <w:r w:rsidRPr="007A69F2">
        <w:rPr>
          <w:szCs w:val="22"/>
          <w:lang w:val="sr-Latn-ME"/>
        </w:rPr>
        <w:t>farmakokinetički</w:t>
      </w:r>
      <w:proofErr w:type="spellEnd"/>
      <w:r w:rsidRPr="007A69F2">
        <w:rPr>
          <w:szCs w:val="22"/>
          <w:lang w:val="sr-Latn-ME"/>
        </w:rPr>
        <w:t xml:space="preserve"> modeli</w:t>
      </w:r>
      <w:r w:rsidR="00D04C51" w:rsidRPr="007A69F2">
        <w:rPr>
          <w:szCs w:val="22"/>
          <w:lang w:val="sr-Latn-ME"/>
        </w:rPr>
        <w:t xml:space="preserve"> ne ukazuj</w:t>
      </w:r>
      <w:r w:rsidRPr="007A69F2">
        <w:rPr>
          <w:szCs w:val="22"/>
          <w:lang w:val="sr-Latn-ME"/>
        </w:rPr>
        <w:t>u</w:t>
      </w:r>
      <w:r w:rsidR="00D04C51" w:rsidRPr="007A69F2">
        <w:rPr>
          <w:szCs w:val="22"/>
          <w:lang w:val="sr-Latn-ME"/>
        </w:rPr>
        <w:t xml:space="preserve"> na značajne </w:t>
      </w:r>
      <w:proofErr w:type="spellStart"/>
      <w:r w:rsidR="00D04C51" w:rsidRPr="007A69F2">
        <w:rPr>
          <w:szCs w:val="22"/>
          <w:lang w:val="sr-Latn-ME"/>
        </w:rPr>
        <w:t>farmakokinetičke</w:t>
      </w:r>
      <w:proofErr w:type="spellEnd"/>
      <w:r w:rsidR="00D04C51" w:rsidRPr="007A69F2">
        <w:rPr>
          <w:szCs w:val="22"/>
          <w:lang w:val="sr-Latn-ME"/>
        </w:rPr>
        <w:t xml:space="preserve"> razlike između starijih i mlađih </w:t>
      </w:r>
      <w:r w:rsidR="000E6633" w:rsidRPr="007A69F2">
        <w:rPr>
          <w:szCs w:val="22"/>
          <w:lang w:val="sr-Latn-ME"/>
        </w:rPr>
        <w:t>osoba</w:t>
      </w:r>
      <w:r w:rsidR="00D04C51" w:rsidRPr="007A69F2">
        <w:rPr>
          <w:szCs w:val="22"/>
          <w:lang w:val="sr-Latn-ME"/>
        </w:rPr>
        <w:t xml:space="preserve">. Za starije </w:t>
      </w:r>
      <w:r w:rsidR="00260573" w:rsidRPr="007A69F2">
        <w:rPr>
          <w:szCs w:val="22"/>
          <w:lang w:val="sr-Latn-ME"/>
        </w:rPr>
        <w:t>pacijent</w:t>
      </w:r>
      <w:r w:rsidR="000E6633" w:rsidRPr="007A69F2">
        <w:rPr>
          <w:szCs w:val="22"/>
          <w:lang w:val="sr-Latn-ME"/>
        </w:rPr>
        <w:t>e</w:t>
      </w:r>
      <w:r w:rsidR="00D04C51" w:rsidRPr="007A69F2">
        <w:rPr>
          <w:szCs w:val="22"/>
          <w:lang w:val="sr-Latn-ME"/>
        </w:rPr>
        <w:t xml:space="preserve"> nije potrebno p</w:t>
      </w:r>
      <w:r w:rsidRPr="007A69F2">
        <w:rPr>
          <w:szCs w:val="22"/>
          <w:lang w:val="sr-Latn-ME"/>
        </w:rPr>
        <w:t>rilagođavanje</w:t>
      </w:r>
      <w:r w:rsidR="00D04C51" w:rsidRPr="007A69F2">
        <w:rPr>
          <w:szCs w:val="22"/>
          <w:lang w:val="sr-Latn-ME"/>
        </w:rPr>
        <w:t xml:space="preserve"> doze.</w:t>
      </w:r>
    </w:p>
    <w:p w14:paraId="7EDC6686" w14:textId="77777777" w:rsidR="00DA17AE" w:rsidRPr="007A69F2" w:rsidRDefault="00DA17AE" w:rsidP="002400BD">
      <w:pPr>
        <w:spacing w:line="240" w:lineRule="auto"/>
        <w:jc w:val="both"/>
        <w:rPr>
          <w:szCs w:val="22"/>
          <w:lang w:val="sr-Latn-ME"/>
        </w:rPr>
      </w:pPr>
    </w:p>
    <w:p w14:paraId="68561AA3" w14:textId="77777777" w:rsidR="00194C54" w:rsidRPr="007A69F2" w:rsidRDefault="00D04C51" w:rsidP="002400BD">
      <w:pPr>
        <w:spacing w:line="240" w:lineRule="auto"/>
        <w:jc w:val="both"/>
        <w:rPr>
          <w:i/>
          <w:szCs w:val="22"/>
          <w:lang w:val="sr-Latn-ME"/>
        </w:rPr>
      </w:pPr>
      <w:bookmarkStart w:id="3" w:name="_Hlk121388309"/>
      <w:r w:rsidRPr="007A69F2">
        <w:rPr>
          <w:i/>
          <w:szCs w:val="22"/>
          <w:lang w:val="sr-Latn-ME"/>
        </w:rPr>
        <w:t>Oštećenje funkcije bubrega</w:t>
      </w:r>
    </w:p>
    <w:bookmarkEnd w:id="3"/>
    <w:p w14:paraId="4A48D813" w14:textId="743969BA" w:rsidR="00DA561F" w:rsidRPr="007A69F2" w:rsidRDefault="000E6633" w:rsidP="002400BD">
      <w:pPr>
        <w:spacing w:line="240" w:lineRule="auto"/>
        <w:jc w:val="both"/>
        <w:rPr>
          <w:szCs w:val="22"/>
          <w:lang w:val="sr-Latn-ME"/>
        </w:rPr>
      </w:pPr>
      <w:r w:rsidRPr="007A69F2">
        <w:rPr>
          <w:szCs w:val="22"/>
          <w:lang w:val="sr-Latn-ME"/>
        </w:rPr>
        <w:t>Ne preporučuje se p</w:t>
      </w:r>
      <w:r w:rsidR="00D04C51" w:rsidRPr="007A69F2">
        <w:rPr>
          <w:szCs w:val="22"/>
          <w:lang w:val="sr-Latn-ME"/>
        </w:rPr>
        <w:t xml:space="preserve">rilagođavanje doze </w:t>
      </w:r>
      <w:r w:rsidRPr="007A69F2">
        <w:rPr>
          <w:szCs w:val="22"/>
          <w:lang w:val="sr-Latn-ME"/>
        </w:rPr>
        <w:t>kod</w:t>
      </w:r>
      <w:r w:rsidR="00D04C51" w:rsidRPr="007A69F2">
        <w:rPr>
          <w:szCs w:val="22"/>
          <w:lang w:val="sr-Latn-ME"/>
        </w:rPr>
        <w:t xml:space="preserve"> </w:t>
      </w:r>
      <w:r w:rsidR="00260573" w:rsidRPr="007A69F2">
        <w:rPr>
          <w:szCs w:val="22"/>
          <w:lang w:val="sr-Latn-ME"/>
        </w:rPr>
        <w:t>pacijenata</w:t>
      </w:r>
      <w:r w:rsidR="00D04C51" w:rsidRPr="007A69F2">
        <w:rPr>
          <w:szCs w:val="22"/>
          <w:lang w:val="sr-Latn-ME"/>
        </w:rPr>
        <w:t xml:space="preserve"> s</w:t>
      </w:r>
      <w:r w:rsidR="00702CB1" w:rsidRPr="007A69F2">
        <w:rPr>
          <w:szCs w:val="22"/>
          <w:lang w:val="sr-Latn-ME"/>
        </w:rPr>
        <w:t>a</w:t>
      </w:r>
      <w:r w:rsidR="00D04C51" w:rsidRPr="007A69F2">
        <w:rPr>
          <w:szCs w:val="22"/>
          <w:lang w:val="sr-Latn-ME"/>
        </w:rPr>
        <w:t xml:space="preserve"> blagim ili umjerenim oštećenjem funkcije bubrega (vidjeti dio 5.2). Kod </w:t>
      </w:r>
      <w:r w:rsidR="00702CB1" w:rsidRPr="007A69F2">
        <w:rPr>
          <w:szCs w:val="22"/>
          <w:lang w:val="sr-Latn-ME"/>
        </w:rPr>
        <w:t>pacijenata</w:t>
      </w:r>
      <w:r w:rsidR="00D04C51" w:rsidRPr="007A69F2">
        <w:rPr>
          <w:szCs w:val="22"/>
          <w:lang w:val="sr-Latn-ME"/>
        </w:rPr>
        <w:t xml:space="preserve"> s</w:t>
      </w:r>
      <w:r w:rsidR="00702CB1" w:rsidRPr="007A69F2">
        <w:rPr>
          <w:szCs w:val="22"/>
          <w:lang w:val="sr-Latn-ME"/>
        </w:rPr>
        <w:t>a</w:t>
      </w:r>
      <w:r w:rsidR="00D04C51" w:rsidRPr="007A69F2">
        <w:rPr>
          <w:szCs w:val="22"/>
          <w:lang w:val="sr-Latn-ME"/>
        </w:rPr>
        <w:t xml:space="preserve"> teškim oštećenjem funkcije bubrega (</w:t>
      </w:r>
      <w:proofErr w:type="spellStart"/>
      <w:r w:rsidR="00D04C51" w:rsidRPr="007A69F2">
        <w:rPr>
          <w:szCs w:val="22"/>
          <w:lang w:val="sr-Latn-ME"/>
        </w:rPr>
        <w:t>klirens</w:t>
      </w:r>
      <w:proofErr w:type="spellEnd"/>
      <w:r w:rsidR="00D04C51" w:rsidRPr="007A69F2">
        <w:rPr>
          <w:szCs w:val="22"/>
          <w:lang w:val="sr-Latn-ME"/>
        </w:rPr>
        <w:t xml:space="preserve"> </w:t>
      </w:r>
      <w:proofErr w:type="spellStart"/>
      <w:r w:rsidR="00D04C51" w:rsidRPr="007A69F2">
        <w:rPr>
          <w:szCs w:val="22"/>
          <w:lang w:val="sr-Latn-ME"/>
        </w:rPr>
        <w:t>kreatinina</w:t>
      </w:r>
      <w:proofErr w:type="spellEnd"/>
      <w:r w:rsidR="00D04C51" w:rsidRPr="007A69F2">
        <w:rPr>
          <w:szCs w:val="22"/>
          <w:lang w:val="sr-Latn-ME"/>
        </w:rPr>
        <w:t xml:space="preserve"> [</w:t>
      </w:r>
      <w:proofErr w:type="spellStart"/>
      <w:r w:rsidR="00D04C51" w:rsidRPr="007A69F2">
        <w:rPr>
          <w:szCs w:val="22"/>
          <w:lang w:val="sr-Latn-ME"/>
        </w:rPr>
        <w:t>CLcr</w:t>
      </w:r>
      <w:proofErr w:type="spellEnd"/>
      <w:r w:rsidR="00D04C51" w:rsidRPr="007A69F2">
        <w:rPr>
          <w:szCs w:val="22"/>
          <w:lang w:val="sr-Latn-ME"/>
        </w:rPr>
        <w:t>] 15</w:t>
      </w:r>
      <w:r w:rsidR="00D04C51" w:rsidRPr="007A69F2">
        <w:rPr>
          <w:szCs w:val="22"/>
          <w:lang w:val="sr-Latn-ME"/>
        </w:rPr>
        <w:noBreakHyphen/>
        <w:t xml:space="preserve">29 ml/min) i </w:t>
      </w:r>
      <w:r w:rsidRPr="007A69F2">
        <w:rPr>
          <w:szCs w:val="22"/>
          <w:lang w:val="sr-Latn-ME"/>
        </w:rPr>
        <w:t xml:space="preserve">kod </w:t>
      </w:r>
      <w:r w:rsidR="00260573" w:rsidRPr="007A69F2">
        <w:rPr>
          <w:szCs w:val="22"/>
          <w:lang w:val="sr-Latn-ME"/>
        </w:rPr>
        <w:t>pacijenata</w:t>
      </w:r>
      <w:r w:rsidR="00D04C51" w:rsidRPr="007A69F2">
        <w:rPr>
          <w:szCs w:val="22"/>
          <w:lang w:val="sr-Latn-ME"/>
        </w:rPr>
        <w:t xml:space="preserve"> </w:t>
      </w:r>
      <w:r w:rsidRPr="007A69F2">
        <w:rPr>
          <w:szCs w:val="22"/>
          <w:lang w:val="sr-Latn-ME"/>
        </w:rPr>
        <w:t>sa</w:t>
      </w:r>
      <w:r w:rsidR="00D04C51" w:rsidRPr="007A69F2">
        <w:rPr>
          <w:szCs w:val="22"/>
          <w:lang w:val="sr-Latn-ME"/>
        </w:rPr>
        <w:t xml:space="preserve"> završn</w:t>
      </w:r>
      <w:r w:rsidRPr="007A69F2">
        <w:rPr>
          <w:szCs w:val="22"/>
          <w:lang w:val="sr-Latn-ME"/>
        </w:rPr>
        <w:t>im stadij</w:t>
      </w:r>
      <w:r w:rsidR="00702CB1" w:rsidRPr="007A69F2">
        <w:rPr>
          <w:szCs w:val="22"/>
          <w:lang w:val="sr-Latn-ME"/>
        </w:rPr>
        <w:t>umom</w:t>
      </w:r>
      <w:r w:rsidR="00D04C51" w:rsidRPr="007A69F2">
        <w:rPr>
          <w:szCs w:val="22"/>
          <w:lang w:val="sr-Latn-ME"/>
        </w:rPr>
        <w:t xml:space="preserve"> </w:t>
      </w:r>
      <w:r w:rsidRPr="007A69F2">
        <w:rPr>
          <w:szCs w:val="22"/>
          <w:lang w:val="sr-Latn-ME"/>
        </w:rPr>
        <w:t>bolesti bubrega</w:t>
      </w:r>
      <w:r w:rsidR="00D04C51" w:rsidRPr="007A69F2">
        <w:rPr>
          <w:szCs w:val="22"/>
          <w:lang w:val="sr-Latn-ME"/>
        </w:rPr>
        <w:t xml:space="preserve"> (</w:t>
      </w:r>
      <w:proofErr w:type="spellStart"/>
      <w:r w:rsidR="00D04C51" w:rsidRPr="007A69F2">
        <w:rPr>
          <w:szCs w:val="22"/>
          <w:lang w:val="sr-Latn-ME"/>
        </w:rPr>
        <w:t>eng</w:t>
      </w:r>
      <w:proofErr w:type="spellEnd"/>
      <w:r w:rsidR="00D04C51" w:rsidRPr="007A69F2">
        <w:rPr>
          <w:szCs w:val="22"/>
          <w:lang w:val="sr-Latn-ME"/>
        </w:rPr>
        <w:t xml:space="preserve">. </w:t>
      </w:r>
      <w:proofErr w:type="spellStart"/>
      <w:r w:rsidR="00D04C51" w:rsidRPr="007A69F2">
        <w:rPr>
          <w:i/>
          <w:iCs/>
          <w:szCs w:val="22"/>
          <w:lang w:val="sr-Latn-ME"/>
        </w:rPr>
        <w:t>end-stage</w:t>
      </w:r>
      <w:proofErr w:type="spellEnd"/>
      <w:r w:rsidR="00D04C51" w:rsidRPr="007A69F2">
        <w:rPr>
          <w:i/>
          <w:iCs/>
          <w:szCs w:val="22"/>
          <w:lang w:val="sr-Latn-ME"/>
        </w:rPr>
        <w:t xml:space="preserve"> </w:t>
      </w:r>
      <w:proofErr w:type="spellStart"/>
      <w:r w:rsidR="00D04C51" w:rsidRPr="007A69F2">
        <w:rPr>
          <w:i/>
          <w:iCs/>
          <w:szCs w:val="22"/>
          <w:lang w:val="sr-Latn-ME"/>
        </w:rPr>
        <w:t>renal</w:t>
      </w:r>
      <w:proofErr w:type="spellEnd"/>
      <w:r w:rsidR="00D04C51" w:rsidRPr="007A69F2">
        <w:rPr>
          <w:i/>
          <w:iCs/>
          <w:szCs w:val="22"/>
          <w:lang w:val="sr-Latn-ME"/>
        </w:rPr>
        <w:t xml:space="preserve"> </w:t>
      </w:r>
      <w:proofErr w:type="spellStart"/>
      <w:r w:rsidR="00D04C51" w:rsidRPr="007A69F2">
        <w:rPr>
          <w:i/>
          <w:iCs/>
          <w:szCs w:val="22"/>
          <w:lang w:val="sr-Latn-ME"/>
        </w:rPr>
        <w:t>disease</w:t>
      </w:r>
      <w:proofErr w:type="spellEnd"/>
      <w:r w:rsidR="00D04C51" w:rsidRPr="007A69F2">
        <w:rPr>
          <w:szCs w:val="22"/>
          <w:lang w:val="sr-Latn-ME"/>
        </w:rPr>
        <w:t>, ESRD) (</w:t>
      </w:r>
      <w:proofErr w:type="spellStart"/>
      <w:r w:rsidR="00D04C51" w:rsidRPr="007A69F2">
        <w:rPr>
          <w:szCs w:val="22"/>
          <w:lang w:val="sr-Latn-ME"/>
        </w:rPr>
        <w:t>CLcr</w:t>
      </w:r>
      <w:proofErr w:type="spellEnd"/>
      <w:r w:rsidR="00D04C51" w:rsidRPr="007A69F2">
        <w:rPr>
          <w:szCs w:val="22"/>
          <w:lang w:val="sr-Latn-ME"/>
        </w:rPr>
        <w:t xml:space="preserve"> &lt; 15 ml/min), preporučena doza je 10 mg jednom dnevno. </w:t>
      </w:r>
      <w:r w:rsidRPr="007A69F2">
        <w:rPr>
          <w:szCs w:val="22"/>
          <w:lang w:val="sr-Latn-ME"/>
        </w:rPr>
        <w:t xml:space="preserve">Poželjno je da </w:t>
      </w:r>
      <w:r w:rsidR="00935E09" w:rsidRPr="007A69F2">
        <w:rPr>
          <w:szCs w:val="22"/>
          <w:lang w:val="sr-Latn-ME"/>
        </w:rPr>
        <w:t>pacijenti</w:t>
      </w:r>
      <w:r w:rsidRPr="007A69F2">
        <w:rPr>
          <w:szCs w:val="22"/>
          <w:lang w:val="sr-Latn-ME"/>
        </w:rPr>
        <w:t xml:space="preserve"> </w:t>
      </w:r>
      <w:r w:rsidR="00D04C51" w:rsidRPr="007A69F2">
        <w:rPr>
          <w:szCs w:val="22"/>
          <w:lang w:val="sr-Latn-ME"/>
        </w:rPr>
        <w:t>s ESRD</w:t>
      </w:r>
      <w:r w:rsidR="00D04C51" w:rsidRPr="007A69F2">
        <w:rPr>
          <w:szCs w:val="22"/>
          <w:lang w:val="sr-Latn-ME"/>
        </w:rPr>
        <w:noBreakHyphen/>
        <w:t>om</w:t>
      </w:r>
      <w:r w:rsidRPr="007A69F2">
        <w:rPr>
          <w:szCs w:val="22"/>
          <w:lang w:val="sr-Latn-ME"/>
        </w:rPr>
        <w:t>,</w:t>
      </w:r>
      <w:r w:rsidR="00D04C51" w:rsidRPr="007A69F2">
        <w:rPr>
          <w:szCs w:val="22"/>
          <w:lang w:val="sr-Latn-ME"/>
        </w:rPr>
        <w:t xml:space="preserve"> koji su na </w:t>
      </w:r>
      <w:proofErr w:type="spellStart"/>
      <w:r w:rsidR="00D04C51" w:rsidRPr="007A69F2">
        <w:rPr>
          <w:szCs w:val="22"/>
          <w:lang w:val="sr-Latn-ME"/>
        </w:rPr>
        <w:t>intermitentnoj</w:t>
      </w:r>
      <w:proofErr w:type="spellEnd"/>
      <w:r w:rsidR="00D04C51" w:rsidRPr="007A69F2">
        <w:rPr>
          <w:szCs w:val="22"/>
          <w:lang w:val="sr-Latn-ME"/>
        </w:rPr>
        <w:t xml:space="preserve"> dijalizi, lijek AQUIPTA uzima</w:t>
      </w:r>
      <w:r w:rsidRPr="007A69F2">
        <w:rPr>
          <w:szCs w:val="22"/>
          <w:lang w:val="sr-Latn-ME"/>
        </w:rPr>
        <w:t>ju</w:t>
      </w:r>
      <w:r w:rsidR="00D04C51" w:rsidRPr="007A69F2">
        <w:rPr>
          <w:szCs w:val="22"/>
          <w:lang w:val="sr-Latn-ME"/>
        </w:rPr>
        <w:t xml:space="preserve"> nakon dijalize.</w:t>
      </w:r>
    </w:p>
    <w:p w14:paraId="67962A37" w14:textId="77777777" w:rsidR="00DA561F" w:rsidRPr="007A69F2" w:rsidRDefault="00DA561F" w:rsidP="002400BD">
      <w:pPr>
        <w:spacing w:line="240" w:lineRule="auto"/>
        <w:jc w:val="both"/>
        <w:rPr>
          <w:szCs w:val="22"/>
          <w:lang w:val="sr-Latn-ME"/>
        </w:rPr>
      </w:pPr>
    </w:p>
    <w:p w14:paraId="06DE6D9B" w14:textId="77777777" w:rsidR="00DA17AE" w:rsidRPr="007A69F2" w:rsidRDefault="00D04C51" w:rsidP="002400BD">
      <w:pPr>
        <w:spacing w:line="240" w:lineRule="auto"/>
        <w:jc w:val="both"/>
        <w:rPr>
          <w:i/>
          <w:szCs w:val="22"/>
          <w:lang w:val="sr-Latn-ME"/>
        </w:rPr>
      </w:pPr>
      <w:r w:rsidRPr="007A69F2">
        <w:rPr>
          <w:i/>
          <w:szCs w:val="22"/>
          <w:lang w:val="sr-Latn-ME"/>
        </w:rPr>
        <w:t>Oštećenje funkcije jetre</w:t>
      </w:r>
    </w:p>
    <w:p w14:paraId="1E1F7CD2" w14:textId="5ECF49D3" w:rsidR="000D7286" w:rsidRPr="007A69F2" w:rsidRDefault="000E6633" w:rsidP="002400BD">
      <w:pPr>
        <w:spacing w:line="240" w:lineRule="auto"/>
        <w:jc w:val="both"/>
        <w:rPr>
          <w:szCs w:val="22"/>
          <w:lang w:val="sr-Latn-ME"/>
        </w:rPr>
      </w:pPr>
      <w:r w:rsidRPr="007A69F2">
        <w:rPr>
          <w:szCs w:val="22"/>
          <w:lang w:val="sr-Latn-ME"/>
        </w:rPr>
        <w:t>Ne preporučuje se p</w:t>
      </w:r>
      <w:r w:rsidR="00D04C51" w:rsidRPr="007A69F2">
        <w:rPr>
          <w:szCs w:val="22"/>
          <w:lang w:val="sr-Latn-ME"/>
        </w:rPr>
        <w:t xml:space="preserve">rilagođavanje doze </w:t>
      </w:r>
      <w:r w:rsidRPr="007A69F2">
        <w:rPr>
          <w:szCs w:val="22"/>
          <w:lang w:val="sr-Latn-ME"/>
        </w:rPr>
        <w:t>kod</w:t>
      </w:r>
      <w:r w:rsidR="00D04C51" w:rsidRPr="007A69F2">
        <w:rPr>
          <w:szCs w:val="22"/>
          <w:lang w:val="sr-Latn-ME"/>
        </w:rPr>
        <w:t xml:space="preserve"> </w:t>
      </w:r>
      <w:r w:rsidR="00260573" w:rsidRPr="007A69F2">
        <w:rPr>
          <w:szCs w:val="22"/>
          <w:lang w:val="sr-Latn-ME"/>
        </w:rPr>
        <w:t>pacijenata</w:t>
      </w:r>
      <w:r w:rsidR="00D04C51" w:rsidRPr="007A69F2">
        <w:rPr>
          <w:szCs w:val="22"/>
          <w:lang w:val="sr-Latn-ME"/>
        </w:rPr>
        <w:t xml:space="preserve"> s</w:t>
      </w:r>
      <w:r w:rsidR="00702CB1" w:rsidRPr="007A69F2">
        <w:rPr>
          <w:szCs w:val="22"/>
          <w:lang w:val="sr-Latn-ME"/>
        </w:rPr>
        <w:t>a</w:t>
      </w:r>
      <w:r w:rsidR="00D04C51" w:rsidRPr="007A69F2">
        <w:rPr>
          <w:szCs w:val="22"/>
          <w:lang w:val="sr-Latn-ME"/>
        </w:rPr>
        <w:t xml:space="preserve"> blagim ili umjerenim oštećenjem funkcije jetre (vidjeti dio 5.2). </w:t>
      </w:r>
      <w:r w:rsidRPr="007A69F2">
        <w:rPr>
          <w:szCs w:val="22"/>
          <w:lang w:val="sr-Latn-ME"/>
        </w:rPr>
        <w:t xml:space="preserve">Primjenu lijeka </w:t>
      </w:r>
      <w:proofErr w:type="spellStart"/>
      <w:r w:rsidRPr="007A69F2">
        <w:rPr>
          <w:szCs w:val="22"/>
          <w:lang w:val="sr-Latn-ME"/>
        </w:rPr>
        <w:t>atogepant</w:t>
      </w:r>
      <w:proofErr w:type="spellEnd"/>
      <w:r w:rsidRPr="007A69F2">
        <w:rPr>
          <w:szCs w:val="22"/>
          <w:lang w:val="sr-Latn-ME"/>
        </w:rPr>
        <w:t xml:space="preserve"> treba izbjegavati kod </w:t>
      </w:r>
      <w:r w:rsidR="00260573" w:rsidRPr="007A69F2">
        <w:rPr>
          <w:szCs w:val="22"/>
          <w:lang w:val="sr-Latn-ME"/>
        </w:rPr>
        <w:t>pacijenata</w:t>
      </w:r>
      <w:r w:rsidR="00D04C51" w:rsidRPr="007A69F2">
        <w:rPr>
          <w:szCs w:val="22"/>
          <w:lang w:val="sr-Latn-ME"/>
        </w:rPr>
        <w:t xml:space="preserve"> s</w:t>
      </w:r>
      <w:r w:rsidR="00702CB1" w:rsidRPr="007A69F2">
        <w:rPr>
          <w:szCs w:val="22"/>
          <w:lang w:val="sr-Latn-ME"/>
        </w:rPr>
        <w:t>a</w:t>
      </w:r>
      <w:r w:rsidR="00D04C51" w:rsidRPr="007A69F2">
        <w:rPr>
          <w:szCs w:val="22"/>
          <w:lang w:val="sr-Latn-ME"/>
        </w:rPr>
        <w:t xml:space="preserve"> teškim oštećenjem funkcije jetre.</w:t>
      </w:r>
    </w:p>
    <w:p w14:paraId="39044FE4" w14:textId="77777777" w:rsidR="00DA17AE" w:rsidRPr="007A69F2" w:rsidRDefault="00DA17AE" w:rsidP="002400BD">
      <w:pPr>
        <w:spacing w:line="240" w:lineRule="auto"/>
        <w:jc w:val="both"/>
        <w:rPr>
          <w:szCs w:val="22"/>
          <w:lang w:val="sr-Latn-ME"/>
        </w:rPr>
      </w:pPr>
    </w:p>
    <w:p w14:paraId="7579C23B" w14:textId="77777777" w:rsidR="00DA17AE" w:rsidRPr="007A69F2" w:rsidRDefault="00D04C51" w:rsidP="002400BD">
      <w:pPr>
        <w:spacing w:line="240" w:lineRule="auto"/>
        <w:jc w:val="both"/>
        <w:rPr>
          <w:i/>
          <w:szCs w:val="22"/>
          <w:lang w:val="sr-Latn-ME"/>
        </w:rPr>
      </w:pPr>
      <w:r w:rsidRPr="007A69F2">
        <w:rPr>
          <w:i/>
          <w:szCs w:val="22"/>
          <w:lang w:val="sr-Latn-ME"/>
        </w:rPr>
        <w:t>Pedijatrijska populacija</w:t>
      </w:r>
    </w:p>
    <w:p w14:paraId="5B1D3A8F" w14:textId="132636B4" w:rsidR="00DA17AE" w:rsidRPr="007A69F2" w:rsidRDefault="005F40FD" w:rsidP="002400BD">
      <w:pPr>
        <w:spacing w:line="240" w:lineRule="auto"/>
        <w:jc w:val="both"/>
        <w:rPr>
          <w:szCs w:val="22"/>
          <w:lang w:val="sr-Latn-ME"/>
        </w:rPr>
      </w:pPr>
      <w:r w:rsidRPr="007A69F2">
        <w:rPr>
          <w:szCs w:val="22"/>
          <w:lang w:val="sr-Latn-ME"/>
        </w:rPr>
        <w:t xml:space="preserve">Bezbjednost </w:t>
      </w:r>
      <w:r w:rsidR="00D04C51" w:rsidRPr="007A69F2">
        <w:rPr>
          <w:szCs w:val="22"/>
          <w:lang w:val="sr-Latn-ME"/>
        </w:rPr>
        <w:t>i efikasnost</w:t>
      </w:r>
      <w:r w:rsidR="000E6633" w:rsidRPr="007A69F2">
        <w:rPr>
          <w:szCs w:val="22"/>
          <w:lang w:val="sr-Latn-ME"/>
        </w:rPr>
        <w:t xml:space="preserve"> lijeka</w:t>
      </w:r>
      <w:r w:rsidR="00D04C51" w:rsidRPr="007A69F2">
        <w:rPr>
          <w:szCs w:val="22"/>
          <w:lang w:val="sr-Latn-ME"/>
        </w:rPr>
        <w:t xml:space="preserve"> </w:t>
      </w:r>
      <w:proofErr w:type="spellStart"/>
      <w:r w:rsidR="00D04C51" w:rsidRPr="007A69F2">
        <w:rPr>
          <w:szCs w:val="22"/>
          <w:lang w:val="sr-Latn-ME"/>
        </w:rPr>
        <w:t>atogepant</w:t>
      </w:r>
      <w:proofErr w:type="spellEnd"/>
      <w:r w:rsidR="00D04C51" w:rsidRPr="007A69F2">
        <w:rPr>
          <w:szCs w:val="22"/>
          <w:lang w:val="sr-Latn-ME"/>
        </w:rPr>
        <w:t xml:space="preserve"> kod djece </w:t>
      </w:r>
      <w:r w:rsidR="000E6633" w:rsidRPr="007A69F2">
        <w:rPr>
          <w:szCs w:val="22"/>
          <w:lang w:val="sr-Latn-ME"/>
        </w:rPr>
        <w:t>(</w:t>
      </w:r>
      <w:r w:rsidR="00D04C51" w:rsidRPr="007A69F2">
        <w:rPr>
          <w:szCs w:val="22"/>
          <w:lang w:val="sr-Latn-ME"/>
        </w:rPr>
        <w:t>mlađ</w:t>
      </w:r>
      <w:r w:rsidR="000E6633" w:rsidRPr="007A69F2">
        <w:rPr>
          <w:szCs w:val="22"/>
          <w:lang w:val="sr-Latn-ME"/>
        </w:rPr>
        <w:t>i</w:t>
      </w:r>
      <w:r w:rsidR="00D04C51" w:rsidRPr="007A69F2">
        <w:rPr>
          <w:szCs w:val="22"/>
          <w:lang w:val="sr-Latn-ME"/>
        </w:rPr>
        <w:t xml:space="preserve"> od 18 godina</w:t>
      </w:r>
      <w:r w:rsidR="000E6633" w:rsidRPr="007A69F2">
        <w:rPr>
          <w:szCs w:val="22"/>
          <w:lang w:val="sr-Latn-ME"/>
        </w:rPr>
        <w:t>)</w:t>
      </w:r>
      <w:r w:rsidR="00D04C51" w:rsidRPr="007A69F2">
        <w:rPr>
          <w:szCs w:val="22"/>
          <w:lang w:val="sr-Latn-ME"/>
        </w:rPr>
        <w:t xml:space="preserve"> još nisu utvrđeni. Nema </w:t>
      </w:r>
      <w:r w:rsidR="000E6633" w:rsidRPr="007A69F2">
        <w:rPr>
          <w:szCs w:val="22"/>
          <w:lang w:val="sr-Latn-ME"/>
        </w:rPr>
        <w:t>dostupnih</w:t>
      </w:r>
      <w:r w:rsidR="00D04C51" w:rsidRPr="007A69F2">
        <w:rPr>
          <w:szCs w:val="22"/>
          <w:lang w:val="sr-Latn-ME"/>
        </w:rPr>
        <w:t xml:space="preserve"> podataka.</w:t>
      </w:r>
    </w:p>
    <w:p w14:paraId="0B5C53CC" w14:textId="77777777" w:rsidR="00DA17AE" w:rsidRPr="007A69F2" w:rsidRDefault="00DA17AE" w:rsidP="002400BD">
      <w:pPr>
        <w:spacing w:line="240" w:lineRule="auto"/>
        <w:jc w:val="both"/>
        <w:rPr>
          <w:szCs w:val="22"/>
          <w:lang w:val="sr-Latn-ME"/>
        </w:rPr>
      </w:pPr>
    </w:p>
    <w:p w14:paraId="70077666" w14:textId="77777777" w:rsidR="00DA17AE" w:rsidRPr="007A69F2" w:rsidRDefault="00D04C51" w:rsidP="002400BD">
      <w:pPr>
        <w:spacing w:line="240" w:lineRule="auto"/>
        <w:jc w:val="both"/>
        <w:rPr>
          <w:szCs w:val="22"/>
          <w:u w:val="single"/>
          <w:lang w:val="sr-Latn-ME"/>
        </w:rPr>
      </w:pPr>
      <w:r w:rsidRPr="007A69F2">
        <w:rPr>
          <w:szCs w:val="22"/>
          <w:u w:val="single"/>
          <w:lang w:val="sr-Latn-ME"/>
        </w:rPr>
        <w:t>Način primjene</w:t>
      </w:r>
    </w:p>
    <w:p w14:paraId="551D964E" w14:textId="102420F9" w:rsidR="00702CB1" w:rsidRPr="007A69F2" w:rsidRDefault="00D04C51" w:rsidP="002400BD">
      <w:pPr>
        <w:tabs>
          <w:tab w:val="clear" w:pos="567"/>
          <w:tab w:val="left" w:pos="540"/>
          <w:tab w:val="left" w:pos="569"/>
        </w:tabs>
        <w:spacing w:line="240" w:lineRule="auto"/>
        <w:jc w:val="both"/>
        <w:rPr>
          <w:szCs w:val="22"/>
          <w:lang w:val="sr-Latn-ME"/>
        </w:rPr>
      </w:pPr>
      <w:r w:rsidRPr="007A69F2">
        <w:rPr>
          <w:szCs w:val="22"/>
          <w:lang w:val="sr-Latn-ME"/>
        </w:rPr>
        <w:t xml:space="preserve">Lijek AQUIPTA je namijenjen za oralnu upotrebu. </w:t>
      </w:r>
      <w:r w:rsidR="00702CB1" w:rsidRPr="007A69F2">
        <w:rPr>
          <w:szCs w:val="22"/>
          <w:lang w:val="sr-Latn-ME"/>
        </w:rPr>
        <w:t xml:space="preserve">Tablete je potrebno progutati cijele </w:t>
      </w:r>
      <w:r w:rsidR="005F40FD" w:rsidRPr="007A69F2">
        <w:rPr>
          <w:szCs w:val="22"/>
          <w:lang w:val="sr-Latn-ME"/>
        </w:rPr>
        <w:t xml:space="preserve">i </w:t>
      </w:r>
      <w:r w:rsidR="00702CB1" w:rsidRPr="007A69F2">
        <w:rPr>
          <w:szCs w:val="22"/>
          <w:lang w:val="sr-Latn-ME"/>
        </w:rPr>
        <w:t>ne smijete ih lomiti, drobiti ili žvakati.</w:t>
      </w:r>
    </w:p>
    <w:p w14:paraId="0AD974F7" w14:textId="6B1C1669" w:rsidR="00DA17AE" w:rsidRPr="007A69F2" w:rsidRDefault="00DA17AE" w:rsidP="00C95656">
      <w:pPr>
        <w:spacing w:line="240" w:lineRule="auto"/>
        <w:jc w:val="both"/>
        <w:rPr>
          <w:szCs w:val="22"/>
          <w:lang w:val="sr-Latn-ME"/>
        </w:rPr>
      </w:pPr>
    </w:p>
    <w:p w14:paraId="5368EE63" w14:textId="77777777" w:rsidR="00DA17AE" w:rsidRPr="007A69F2" w:rsidRDefault="00D04C51" w:rsidP="00C95656">
      <w:pPr>
        <w:keepNext/>
        <w:spacing w:line="240" w:lineRule="auto"/>
        <w:ind w:left="567" w:hanging="567"/>
        <w:jc w:val="both"/>
        <w:rPr>
          <w:szCs w:val="22"/>
          <w:lang w:val="sr-Latn-ME"/>
        </w:rPr>
      </w:pPr>
      <w:r w:rsidRPr="007A69F2">
        <w:rPr>
          <w:b/>
          <w:szCs w:val="22"/>
          <w:lang w:val="sr-Latn-ME"/>
        </w:rPr>
        <w:t>4.3</w:t>
      </w:r>
      <w:r w:rsidRPr="007A69F2">
        <w:rPr>
          <w:b/>
          <w:szCs w:val="22"/>
          <w:lang w:val="sr-Latn-ME"/>
        </w:rPr>
        <w:tab/>
      </w:r>
      <w:proofErr w:type="spellStart"/>
      <w:r w:rsidRPr="007A69F2">
        <w:rPr>
          <w:b/>
          <w:szCs w:val="22"/>
          <w:lang w:val="sr-Latn-ME"/>
        </w:rPr>
        <w:t>Kontraindikacije</w:t>
      </w:r>
      <w:proofErr w:type="spellEnd"/>
    </w:p>
    <w:p w14:paraId="7B8E30D1" w14:textId="77777777" w:rsidR="00DA17AE" w:rsidRPr="007A69F2" w:rsidRDefault="00DA17AE" w:rsidP="00C95656">
      <w:pPr>
        <w:keepNext/>
        <w:spacing w:line="240" w:lineRule="auto"/>
        <w:jc w:val="both"/>
        <w:rPr>
          <w:szCs w:val="22"/>
          <w:lang w:val="sr-Latn-ME"/>
        </w:rPr>
      </w:pPr>
    </w:p>
    <w:p w14:paraId="18F3AE80" w14:textId="08BE5A68" w:rsidR="00DA17AE" w:rsidRPr="007A69F2" w:rsidRDefault="00D04C51" w:rsidP="00C95656">
      <w:pPr>
        <w:spacing w:line="240" w:lineRule="auto"/>
        <w:jc w:val="both"/>
        <w:rPr>
          <w:szCs w:val="22"/>
          <w:lang w:val="sr-Latn-ME"/>
        </w:rPr>
      </w:pPr>
      <w:r w:rsidRPr="007A69F2">
        <w:rPr>
          <w:szCs w:val="22"/>
          <w:lang w:val="sr-Latn-ME"/>
        </w:rPr>
        <w:t xml:space="preserve">Preosjetljivost na aktivnu supstancu ili </w:t>
      </w:r>
      <w:r w:rsidR="000E6633" w:rsidRPr="007A69F2">
        <w:rPr>
          <w:szCs w:val="22"/>
          <w:lang w:val="sr-Latn-ME"/>
        </w:rPr>
        <w:t>neku</w:t>
      </w:r>
      <w:r w:rsidRPr="007A69F2">
        <w:rPr>
          <w:szCs w:val="22"/>
          <w:lang w:val="sr-Latn-ME"/>
        </w:rPr>
        <w:t xml:space="preserve"> od pomoćnih supstanci navedenih u dijelu 6.1.</w:t>
      </w:r>
      <w:r w:rsidR="00CF5B81" w:rsidRPr="007A69F2">
        <w:rPr>
          <w:szCs w:val="22"/>
          <w:lang w:val="sr-Latn-ME"/>
        </w:rPr>
        <w:t xml:space="preserve"> </w:t>
      </w:r>
      <w:r w:rsidR="00D05A34" w:rsidRPr="007A69F2">
        <w:rPr>
          <w:szCs w:val="22"/>
          <w:lang w:val="sr-Latn-ME"/>
        </w:rPr>
        <w:t>(vid</w:t>
      </w:r>
      <w:r w:rsidR="00405FD8" w:rsidRPr="007A69F2">
        <w:rPr>
          <w:szCs w:val="22"/>
          <w:lang w:val="sr-Latn-ME"/>
        </w:rPr>
        <w:t>j</w:t>
      </w:r>
      <w:r w:rsidR="00D05A34" w:rsidRPr="007A69F2">
        <w:rPr>
          <w:szCs w:val="22"/>
          <w:lang w:val="sr-Latn-ME"/>
        </w:rPr>
        <w:t>eti dio 4.4).</w:t>
      </w:r>
    </w:p>
    <w:p w14:paraId="0365D4FD" w14:textId="77777777" w:rsidR="00072D43" w:rsidRPr="007A69F2" w:rsidRDefault="00072D43" w:rsidP="00C95656">
      <w:pPr>
        <w:spacing w:line="240" w:lineRule="auto"/>
        <w:jc w:val="both"/>
        <w:rPr>
          <w:szCs w:val="22"/>
          <w:lang w:val="sr-Latn-ME"/>
        </w:rPr>
      </w:pPr>
    </w:p>
    <w:p w14:paraId="031BD64E" w14:textId="6BB35D58" w:rsidR="00DA17AE" w:rsidRPr="007A69F2" w:rsidRDefault="00D04C51" w:rsidP="00DD3999">
      <w:pPr>
        <w:spacing w:line="240" w:lineRule="auto"/>
        <w:ind w:left="567" w:hanging="567"/>
        <w:jc w:val="both"/>
        <w:rPr>
          <w:szCs w:val="22"/>
          <w:lang w:val="sr-Latn-ME"/>
        </w:rPr>
      </w:pPr>
      <w:bookmarkStart w:id="4" w:name="_Hlk119077451"/>
      <w:r w:rsidRPr="007A69F2">
        <w:rPr>
          <w:b/>
          <w:szCs w:val="22"/>
          <w:lang w:val="sr-Latn-ME"/>
        </w:rPr>
        <w:t>4.4</w:t>
      </w:r>
      <w:r w:rsidRPr="007A69F2">
        <w:rPr>
          <w:b/>
          <w:szCs w:val="22"/>
          <w:lang w:val="sr-Latn-ME"/>
        </w:rPr>
        <w:tab/>
      </w:r>
      <w:r w:rsidR="0031244D" w:rsidRPr="007A69F2">
        <w:rPr>
          <w:b/>
          <w:bCs/>
          <w:szCs w:val="22"/>
          <w:lang w:val="sr-Latn-ME"/>
        </w:rPr>
        <w:t>Posebna upozorenja i mjere opreza pri upotrebi lijeka</w:t>
      </w:r>
    </w:p>
    <w:p w14:paraId="3730ED30" w14:textId="77777777" w:rsidR="00D05A34" w:rsidRPr="007A69F2" w:rsidRDefault="00D05A34" w:rsidP="00DD3999">
      <w:pPr>
        <w:spacing w:line="240" w:lineRule="auto"/>
        <w:jc w:val="both"/>
        <w:rPr>
          <w:szCs w:val="22"/>
          <w:lang w:val="sr-Latn-ME"/>
        </w:rPr>
      </w:pPr>
    </w:p>
    <w:p w14:paraId="2F8F1E28" w14:textId="0B5C66CA" w:rsidR="00D05A34" w:rsidRPr="007A69F2" w:rsidRDefault="00D05A34" w:rsidP="00DD3999">
      <w:pPr>
        <w:spacing w:line="240" w:lineRule="auto"/>
        <w:jc w:val="both"/>
        <w:rPr>
          <w:szCs w:val="22"/>
          <w:u w:val="single"/>
          <w:lang w:val="sr-Latn-ME"/>
        </w:rPr>
      </w:pPr>
      <w:r w:rsidRPr="007A69F2">
        <w:rPr>
          <w:szCs w:val="22"/>
          <w:u w:val="single"/>
          <w:lang w:val="sr-Latn-ME"/>
        </w:rPr>
        <w:t>Teške reakcije preos</w:t>
      </w:r>
      <w:r w:rsidR="00405FD8" w:rsidRPr="007A69F2">
        <w:rPr>
          <w:szCs w:val="22"/>
          <w:u w:val="single"/>
          <w:lang w:val="sr-Latn-ME"/>
        </w:rPr>
        <w:t>j</w:t>
      </w:r>
      <w:r w:rsidRPr="007A69F2">
        <w:rPr>
          <w:szCs w:val="22"/>
          <w:u w:val="single"/>
          <w:lang w:val="sr-Latn-ME"/>
        </w:rPr>
        <w:t>etljivosti</w:t>
      </w:r>
    </w:p>
    <w:p w14:paraId="5DF92302" w14:textId="3CF51F50" w:rsidR="00DA17AE" w:rsidRPr="007A69F2" w:rsidRDefault="00D05A34" w:rsidP="00405FD8">
      <w:pPr>
        <w:spacing w:line="240" w:lineRule="auto"/>
        <w:jc w:val="both"/>
        <w:rPr>
          <w:szCs w:val="22"/>
          <w:lang w:val="sr-Latn-ME"/>
        </w:rPr>
      </w:pPr>
      <w:r w:rsidRPr="007A69F2">
        <w:rPr>
          <w:szCs w:val="22"/>
          <w:lang w:val="sr-Latn-ME"/>
        </w:rPr>
        <w:t>Teške reakcije preos</w:t>
      </w:r>
      <w:r w:rsidR="00124BEA" w:rsidRPr="007A69F2">
        <w:rPr>
          <w:szCs w:val="22"/>
          <w:lang w:val="sr-Latn-ME"/>
        </w:rPr>
        <w:t>j</w:t>
      </w:r>
      <w:r w:rsidRPr="007A69F2">
        <w:rPr>
          <w:szCs w:val="22"/>
          <w:lang w:val="sr-Latn-ME"/>
        </w:rPr>
        <w:t xml:space="preserve">etljivosti, uključujući </w:t>
      </w:r>
      <w:proofErr w:type="spellStart"/>
      <w:r w:rsidRPr="007A69F2">
        <w:rPr>
          <w:szCs w:val="22"/>
          <w:lang w:val="sr-Latn-ME"/>
        </w:rPr>
        <w:t>anafilaksiju</w:t>
      </w:r>
      <w:proofErr w:type="spellEnd"/>
      <w:r w:rsidRPr="007A69F2">
        <w:rPr>
          <w:szCs w:val="22"/>
          <w:lang w:val="sr-Latn-ME"/>
        </w:rPr>
        <w:t xml:space="preserve">, </w:t>
      </w:r>
      <w:proofErr w:type="spellStart"/>
      <w:r w:rsidRPr="007A69F2">
        <w:rPr>
          <w:szCs w:val="22"/>
          <w:lang w:val="sr-Latn-ME"/>
        </w:rPr>
        <w:t>dispneju</w:t>
      </w:r>
      <w:proofErr w:type="spellEnd"/>
      <w:r w:rsidRPr="007A69F2">
        <w:rPr>
          <w:szCs w:val="22"/>
          <w:lang w:val="sr-Latn-ME"/>
        </w:rPr>
        <w:t xml:space="preserve">, osip, svrab, urtikariju i </w:t>
      </w:r>
      <w:proofErr w:type="spellStart"/>
      <w:r w:rsidRPr="007A69F2">
        <w:rPr>
          <w:szCs w:val="22"/>
          <w:lang w:val="sr-Latn-ME"/>
        </w:rPr>
        <w:t>edem</w:t>
      </w:r>
      <w:proofErr w:type="spellEnd"/>
      <w:r w:rsidRPr="007A69F2">
        <w:rPr>
          <w:szCs w:val="22"/>
          <w:lang w:val="sr-Latn-ME"/>
        </w:rPr>
        <w:t xml:space="preserve"> lica, prijavljene su pri upotrebi </w:t>
      </w:r>
      <w:r w:rsidR="00664A57" w:rsidRPr="007A69F2">
        <w:rPr>
          <w:szCs w:val="22"/>
          <w:lang w:val="sr-Latn-ME"/>
        </w:rPr>
        <w:t xml:space="preserve">lijeka </w:t>
      </w:r>
      <w:r w:rsidRPr="007A69F2">
        <w:rPr>
          <w:szCs w:val="22"/>
          <w:lang w:val="sr-Latn-ME"/>
        </w:rPr>
        <w:t>AQUIPT</w:t>
      </w:r>
      <w:r w:rsidR="00664A57" w:rsidRPr="007A69F2">
        <w:rPr>
          <w:szCs w:val="22"/>
          <w:lang w:val="sr-Latn-ME"/>
        </w:rPr>
        <w:t>A</w:t>
      </w:r>
      <w:r w:rsidRPr="007A69F2">
        <w:rPr>
          <w:szCs w:val="22"/>
          <w:lang w:val="sr-Latn-ME"/>
        </w:rPr>
        <w:t xml:space="preserve"> (vid</w:t>
      </w:r>
      <w:r w:rsidR="00124BEA" w:rsidRPr="007A69F2">
        <w:rPr>
          <w:szCs w:val="22"/>
          <w:lang w:val="sr-Latn-ME"/>
        </w:rPr>
        <w:t>j</w:t>
      </w:r>
      <w:r w:rsidRPr="007A69F2">
        <w:rPr>
          <w:szCs w:val="22"/>
          <w:lang w:val="sr-Latn-ME"/>
        </w:rPr>
        <w:t xml:space="preserve">eti </w:t>
      </w:r>
      <w:r w:rsidR="00124BEA" w:rsidRPr="007A69F2">
        <w:rPr>
          <w:szCs w:val="22"/>
          <w:lang w:val="sr-Latn-ME"/>
        </w:rPr>
        <w:t>dio</w:t>
      </w:r>
      <w:r w:rsidRPr="007A69F2">
        <w:rPr>
          <w:szCs w:val="22"/>
          <w:lang w:val="sr-Latn-ME"/>
        </w:rPr>
        <w:t xml:space="preserve"> 4.8). Najveći broj ozbiljnih reakcija javio se unutar 24 sata od prve prim</w:t>
      </w:r>
      <w:r w:rsidR="00124BEA" w:rsidRPr="007A69F2">
        <w:rPr>
          <w:szCs w:val="22"/>
          <w:lang w:val="sr-Latn-ME"/>
        </w:rPr>
        <w:t>j</w:t>
      </w:r>
      <w:r w:rsidRPr="007A69F2">
        <w:rPr>
          <w:szCs w:val="22"/>
          <w:lang w:val="sr-Latn-ME"/>
        </w:rPr>
        <w:t>ene, međutim, neke reakcije preos</w:t>
      </w:r>
      <w:r w:rsidR="00405FD8" w:rsidRPr="007A69F2">
        <w:rPr>
          <w:szCs w:val="22"/>
          <w:lang w:val="sr-Latn-ME"/>
        </w:rPr>
        <w:t>j</w:t>
      </w:r>
      <w:r w:rsidRPr="007A69F2">
        <w:rPr>
          <w:szCs w:val="22"/>
          <w:lang w:val="sr-Latn-ME"/>
        </w:rPr>
        <w:t>etljivosti mogu se javiti i nekoliko dana nakon prim</w:t>
      </w:r>
      <w:r w:rsidR="00124BEA" w:rsidRPr="007A69F2">
        <w:rPr>
          <w:szCs w:val="22"/>
          <w:lang w:val="sr-Latn-ME"/>
        </w:rPr>
        <w:t>j</w:t>
      </w:r>
      <w:r w:rsidRPr="007A69F2">
        <w:rPr>
          <w:szCs w:val="22"/>
          <w:lang w:val="sr-Latn-ME"/>
        </w:rPr>
        <w:t>ene. Pacijenti treba da budu upozoreni na simptome povezane sa preos</w:t>
      </w:r>
      <w:r w:rsidR="00405FD8" w:rsidRPr="007A69F2">
        <w:rPr>
          <w:szCs w:val="22"/>
          <w:lang w:val="sr-Latn-ME"/>
        </w:rPr>
        <w:t>j</w:t>
      </w:r>
      <w:r w:rsidRPr="007A69F2">
        <w:rPr>
          <w:szCs w:val="22"/>
          <w:lang w:val="sr-Latn-ME"/>
        </w:rPr>
        <w:t xml:space="preserve">etljivošću. Ukoliko </w:t>
      </w:r>
      <w:r w:rsidRPr="007A69F2">
        <w:rPr>
          <w:szCs w:val="22"/>
          <w:lang w:val="sr-Latn-ME"/>
        </w:rPr>
        <w:lastRenderedPageBreak/>
        <w:t>dođe do reakcije preos</w:t>
      </w:r>
      <w:r w:rsidR="00405FD8" w:rsidRPr="007A69F2">
        <w:rPr>
          <w:szCs w:val="22"/>
          <w:lang w:val="sr-Latn-ME"/>
        </w:rPr>
        <w:t>j</w:t>
      </w:r>
      <w:r w:rsidRPr="007A69F2">
        <w:rPr>
          <w:szCs w:val="22"/>
          <w:lang w:val="sr-Latn-ME"/>
        </w:rPr>
        <w:t>etljivosti, obustavite prim</w:t>
      </w:r>
      <w:r w:rsidR="00124BEA" w:rsidRPr="007A69F2">
        <w:rPr>
          <w:szCs w:val="22"/>
          <w:lang w:val="sr-Latn-ME"/>
        </w:rPr>
        <w:t>j</w:t>
      </w:r>
      <w:r w:rsidRPr="007A69F2">
        <w:rPr>
          <w:szCs w:val="22"/>
          <w:lang w:val="sr-Latn-ME"/>
        </w:rPr>
        <w:t xml:space="preserve">enu </w:t>
      </w:r>
      <w:r w:rsidR="00F36F82" w:rsidRPr="007A69F2">
        <w:rPr>
          <w:szCs w:val="22"/>
          <w:lang w:val="sr-Latn-ME"/>
        </w:rPr>
        <w:t xml:space="preserve">lijeka </w:t>
      </w:r>
      <w:r w:rsidRPr="007A69F2">
        <w:rPr>
          <w:szCs w:val="22"/>
          <w:lang w:val="sr-Latn-ME"/>
        </w:rPr>
        <w:t>AQUIPT</w:t>
      </w:r>
      <w:r w:rsidR="00F36F82" w:rsidRPr="007A69F2">
        <w:rPr>
          <w:szCs w:val="22"/>
          <w:lang w:val="sr-Latn-ME"/>
        </w:rPr>
        <w:t>A</w:t>
      </w:r>
      <w:r w:rsidRPr="007A69F2">
        <w:rPr>
          <w:szCs w:val="22"/>
          <w:lang w:val="sr-Latn-ME"/>
        </w:rPr>
        <w:t xml:space="preserve"> i prim</w:t>
      </w:r>
      <w:r w:rsidR="00124BEA" w:rsidRPr="007A69F2">
        <w:rPr>
          <w:szCs w:val="22"/>
          <w:lang w:val="sr-Latn-ME"/>
        </w:rPr>
        <w:t>ij</w:t>
      </w:r>
      <w:r w:rsidRPr="007A69F2">
        <w:rPr>
          <w:szCs w:val="22"/>
          <w:lang w:val="sr-Latn-ME"/>
        </w:rPr>
        <w:t>enite odgovarajuću terapiju.</w:t>
      </w:r>
    </w:p>
    <w:p w14:paraId="585FE9B0" w14:textId="77777777" w:rsidR="00124BEA" w:rsidRPr="007A69F2" w:rsidRDefault="00124BEA" w:rsidP="00405FD8">
      <w:pPr>
        <w:spacing w:line="240" w:lineRule="auto"/>
        <w:jc w:val="both"/>
        <w:rPr>
          <w:szCs w:val="22"/>
          <w:lang w:val="sr-Latn-ME"/>
        </w:rPr>
      </w:pPr>
    </w:p>
    <w:p w14:paraId="138B45A1" w14:textId="58F3B9D5" w:rsidR="00124BEA" w:rsidRPr="007A69F2" w:rsidRDefault="00124BEA" w:rsidP="00405FD8">
      <w:pPr>
        <w:spacing w:line="240" w:lineRule="auto"/>
        <w:jc w:val="both"/>
        <w:rPr>
          <w:szCs w:val="22"/>
          <w:u w:val="single"/>
          <w:lang w:val="sr-Latn-ME"/>
        </w:rPr>
      </w:pPr>
      <w:r w:rsidRPr="007A69F2">
        <w:rPr>
          <w:szCs w:val="22"/>
          <w:u w:val="single"/>
          <w:lang w:val="sr-Latn-ME"/>
        </w:rPr>
        <w:t>Ošte</w:t>
      </w:r>
      <w:r w:rsidR="00313D65" w:rsidRPr="007A69F2">
        <w:rPr>
          <w:szCs w:val="22"/>
          <w:u w:val="single"/>
          <w:lang w:val="sr-Latn-ME"/>
        </w:rPr>
        <w:t>ć</w:t>
      </w:r>
      <w:r w:rsidRPr="007A69F2">
        <w:rPr>
          <w:szCs w:val="22"/>
          <w:u w:val="single"/>
          <w:lang w:val="sr-Latn-ME"/>
        </w:rPr>
        <w:t xml:space="preserve">enje </w:t>
      </w:r>
      <w:r w:rsidR="00F12E92" w:rsidRPr="007A69F2">
        <w:rPr>
          <w:szCs w:val="22"/>
          <w:u w:val="single"/>
          <w:lang w:val="sr-Latn-ME"/>
        </w:rPr>
        <w:t xml:space="preserve">funkcije </w:t>
      </w:r>
      <w:r w:rsidRPr="007A69F2">
        <w:rPr>
          <w:szCs w:val="22"/>
          <w:u w:val="single"/>
          <w:lang w:val="sr-Latn-ME"/>
        </w:rPr>
        <w:t>jetre</w:t>
      </w:r>
    </w:p>
    <w:p w14:paraId="39C0F82B" w14:textId="3A834CEA" w:rsidR="006F3C77" w:rsidRPr="007A69F2" w:rsidRDefault="00B757FB" w:rsidP="00EE17D3">
      <w:pPr>
        <w:spacing w:line="240" w:lineRule="auto"/>
        <w:jc w:val="both"/>
        <w:rPr>
          <w:szCs w:val="22"/>
          <w:lang w:val="sr-Latn-ME"/>
        </w:rPr>
      </w:pPr>
      <w:r w:rsidRPr="007A69F2">
        <w:rPr>
          <w:szCs w:val="22"/>
          <w:lang w:val="sr-Latn-ME"/>
        </w:rPr>
        <w:t xml:space="preserve">Primjena lijeka </w:t>
      </w:r>
      <w:proofErr w:type="spellStart"/>
      <w:r w:rsidRPr="007A69F2">
        <w:rPr>
          <w:szCs w:val="22"/>
          <w:lang w:val="sr-Latn-ME"/>
        </w:rPr>
        <w:t>a</w:t>
      </w:r>
      <w:r w:rsidR="00D04C51" w:rsidRPr="007A69F2">
        <w:rPr>
          <w:szCs w:val="22"/>
          <w:lang w:val="sr-Latn-ME"/>
        </w:rPr>
        <w:t>togepant</w:t>
      </w:r>
      <w:proofErr w:type="spellEnd"/>
      <w:r w:rsidR="00D04C51" w:rsidRPr="007A69F2">
        <w:rPr>
          <w:szCs w:val="22"/>
          <w:lang w:val="sr-Latn-ME"/>
        </w:rPr>
        <w:t xml:space="preserve"> se ne preporučuje </w:t>
      </w:r>
      <w:r w:rsidRPr="007A69F2">
        <w:rPr>
          <w:szCs w:val="22"/>
          <w:lang w:val="sr-Latn-ME"/>
        </w:rPr>
        <w:t xml:space="preserve">kod </w:t>
      </w:r>
      <w:r w:rsidR="00260573" w:rsidRPr="007A69F2">
        <w:rPr>
          <w:szCs w:val="22"/>
          <w:lang w:val="sr-Latn-ME"/>
        </w:rPr>
        <w:t>pacijenata</w:t>
      </w:r>
      <w:r w:rsidR="00D04C51" w:rsidRPr="007A69F2">
        <w:rPr>
          <w:szCs w:val="22"/>
          <w:lang w:val="sr-Latn-ME"/>
        </w:rPr>
        <w:t xml:space="preserve"> s</w:t>
      </w:r>
      <w:r w:rsidR="00A40B4D" w:rsidRPr="007A69F2">
        <w:rPr>
          <w:szCs w:val="22"/>
          <w:lang w:val="sr-Latn-ME"/>
        </w:rPr>
        <w:t>a</w:t>
      </w:r>
      <w:r w:rsidR="00D04C51" w:rsidRPr="007A69F2">
        <w:rPr>
          <w:szCs w:val="22"/>
          <w:lang w:val="sr-Latn-ME"/>
        </w:rPr>
        <w:t xml:space="preserve"> teškim oštećenjem funkcije jetre (vidjeti </w:t>
      </w:r>
      <w:r w:rsidRPr="007A69F2">
        <w:rPr>
          <w:szCs w:val="22"/>
          <w:lang w:val="sr-Latn-ME"/>
        </w:rPr>
        <w:t>dio</w:t>
      </w:r>
      <w:r w:rsidR="00D04C51" w:rsidRPr="007A69F2">
        <w:rPr>
          <w:szCs w:val="22"/>
          <w:lang w:val="sr-Latn-ME"/>
        </w:rPr>
        <w:t> 4.2).</w:t>
      </w:r>
    </w:p>
    <w:p w14:paraId="3AFD5E71" w14:textId="77777777" w:rsidR="006F3C77" w:rsidRPr="007A69F2" w:rsidRDefault="006F3C77" w:rsidP="00EE17D3">
      <w:pPr>
        <w:spacing w:line="240" w:lineRule="auto"/>
        <w:jc w:val="both"/>
        <w:rPr>
          <w:szCs w:val="22"/>
          <w:lang w:val="sr-Latn-ME"/>
        </w:rPr>
      </w:pPr>
    </w:p>
    <w:p w14:paraId="251CE035" w14:textId="487E4A42" w:rsidR="00DA17AE" w:rsidRPr="007A69F2" w:rsidRDefault="00D04C51" w:rsidP="00EE17D3">
      <w:pPr>
        <w:keepNext/>
        <w:spacing w:line="240" w:lineRule="auto"/>
        <w:jc w:val="both"/>
        <w:rPr>
          <w:szCs w:val="22"/>
          <w:u w:val="single"/>
          <w:lang w:val="sr-Latn-ME"/>
        </w:rPr>
      </w:pPr>
      <w:r w:rsidRPr="007A69F2">
        <w:rPr>
          <w:szCs w:val="22"/>
          <w:u w:val="single"/>
          <w:lang w:val="sr-Latn-ME"/>
        </w:rPr>
        <w:t xml:space="preserve">Pomoćne supstance </w:t>
      </w:r>
      <w:r w:rsidR="00313D65" w:rsidRPr="007A69F2">
        <w:rPr>
          <w:szCs w:val="22"/>
          <w:u w:val="single"/>
          <w:lang w:val="sr-Latn-ME"/>
        </w:rPr>
        <w:t>sa potvrđenim dejstvom</w:t>
      </w:r>
      <w:r w:rsidR="00313D65" w:rsidRPr="007A69F2" w:rsidDel="00313D65">
        <w:rPr>
          <w:szCs w:val="22"/>
          <w:u w:val="single"/>
          <w:lang w:val="sr-Latn-ME"/>
        </w:rPr>
        <w:t xml:space="preserve"> </w:t>
      </w:r>
    </w:p>
    <w:p w14:paraId="181D5F52" w14:textId="22BF1303" w:rsidR="00116575" w:rsidRPr="007A69F2" w:rsidRDefault="00B31E92" w:rsidP="00EE17D3">
      <w:pPr>
        <w:keepNext/>
        <w:spacing w:line="240" w:lineRule="auto"/>
        <w:jc w:val="both"/>
        <w:rPr>
          <w:szCs w:val="22"/>
          <w:lang w:val="sr-Latn-ME"/>
        </w:rPr>
      </w:pPr>
      <w:r w:rsidRPr="007A69F2">
        <w:rPr>
          <w:szCs w:val="22"/>
          <w:lang w:val="sr-Latn-ME"/>
        </w:rPr>
        <w:t xml:space="preserve">Tablete lijeka </w:t>
      </w:r>
      <w:r w:rsidR="00702CB1" w:rsidRPr="007A69F2">
        <w:rPr>
          <w:szCs w:val="22"/>
          <w:lang w:val="sr-Latn-ME"/>
        </w:rPr>
        <w:t xml:space="preserve">AQUIPTA od 10 mg sadrže manje od 1 </w:t>
      </w:r>
      <w:proofErr w:type="spellStart"/>
      <w:r w:rsidR="00702CB1" w:rsidRPr="007A69F2">
        <w:rPr>
          <w:szCs w:val="22"/>
          <w:lang w:val="sr-Latn-ME"/>
        </w:rPr>
        <w:t>mmol</w:t>
      </w:r>
      <w:proofErr w:type="spellEnd"/>
      <w:r w:rsidR="00702CB1" w:rsidRPr="007A69F2">
        <w:rPr>
          <w:szCs w:val="22"/>
          <w:lang w:val="sr-Latn-ME"/>
        </w:rPr>
        <w:t xml:space="preserve"> natrijuma (23 mg) po tableti</w:t>
      </w:r>
      <w:r w:rsidR="00D04C51" w:rsidRPr="007A69F2">
        <w:rPr>
          <w:szCs w:val="22"/>
          <w:lang w:val="sr-Latn-ME"/>
        </w:rPr>
        <w:t xml:space="preserve">, tj. </w:t>
      </w:r>
      <w:r w:rsidR="00B757FB" w:rsidRPr="007A69F2">
        <w:rPr>
          <w:szCs w:val="22"/>
          <w:lang w:val="sr-Latn-ME"/>
        </w:rPr>
        <w:t>zanemar</w:t>
      </w:r>
      <w:r w:rsidR="00313D65" w:rsidRPr="007A69F2">
        <w:rPr>
          <w:szCs w:val="22"/>
          <w:lang w:val="sr-Latn-ME"/>
        </w:rPr>
        <w:t>lj</w:t>
      </w:r>
      <w:r w:rsidR="00B757FB" w:rsidRPr="007A69F2">
        <w:rPr>
          <w:szCs w:val="22"/>
          <w:lang w:val="sr-Latn-ME"/>
        </w:rPr>
        <w:t>ive količine</w:t>
      </w:r>
      <w:r w:rsidR="00D04C51" w:rsidRPr="007A69F2">
        <w:rPr>
          <w:szCs w:val="22"/>
          <w:lang w:val="sr-Latn-ME"/>
        </w:rPr>
        <w:t xml:space="preserve"> natrij</w:t>
      </w:r>
      <w:r w:rsidR="00313D65" w:rsidRPr="007A69F2">
        <w:rPr>
          <w:szCs w:val="22"/>
          <w:lang w:val="sr-Latn-ME"/>
        </w:rPr>
        <w:t>um</w:t>
      </w:r>
      <w:r w:rsidR="00D04C51" w:rsidRPr="007A69F2">
        <w:rPr>
          <w:szCs w:val="22"/>
          <w:lang w:val="sr-Latn-ME"/>
        </w:rPr>
        <w:t>a.</w:t>
      </w:r>
    </w:p>
    <w:p w14:paraId="2C6C2E84" w14:textId="37A60FF5" w:rsidR="00DA17AE" w:rsidRPr="007A69F2" w:rsidRDefault="00D04C51" w:rsidP="00EE17D3">
      <w:pPr>
        <w:spacing w:line="240" w:lineRule="auto"/>
        <w:jc w:val="both"/>
        <w:rPr>
          <w:szCs w:val="22"/>
          <w:lang w:val="sr-Latn-ME"/>
        </w:rPr>
      </w:pPr>
      <w:r w:rsidRPr="007A69F2">
        <w:rPr>
          <w:szCs w:val="22"/>
          <w:lang w:val="sr-Latn-ME"/>
        </w:rPr>
        <w:t xml:space="preserve">Tablete lijeka AQUIPTA </w:t>
      </w:r>
      <w:r w:rsidR="00B31E92" w:rsidRPr="007A69F2">
        <w:rPr>
          <w:szCs w:val="22"/>
          <w:lang w:val="sr-Latn-ME"/>
        </w:rPr>
        <w:t xml:space="preserve">od </w:t>
      </w:r>
      <w:r w:rsidRPr="007A69F2">
        <w:rPr>
          <w:szCs w:val="22"/>
          <w:lang w:val="sr-Latn-ME"/>
        </w:rPr>
        <w:t>60 mg sadrže 31,5 mg natrij</w:t>
      </w:r>
      <w:r w:rsidR="00313D65" w:rsidRPr="007A69F2">
        <w:rPr>
          <w:szCs w:val="22"/>
          <w:lang w:val="sr-Latn-ME"/>
        </w:rPr>
        <w:t>um</w:t>
      </w:r>
      <w:r w:rsidRPr="007A69F2">
        <w:rPr>
          <w:szCs w:val="22"/>
          <w:lang w:val="sr-Latn-ME"/>
        </w:rPr>
        <w:t xml:space="preserve">a po tableti, što </w:t>
      </w:r>
      <w:r w:rsidR="00B757FB" w:rsidRPr="007A69F2">
        <w:rPr>
          <w:szCs w:val="22"/>
          <w:lang w:val="sr-Latn-ME"/>
        </w:rPr>
        <w:t>odgovara</w:t>
      </w:r>
      <w:r w:rsidRPr="007A69F2">
        <w:rPr>
          <w:szCs w:val="22"/>
          <w:lang w:val="sr-Latn-ME"/>
        </w:rPr>
        <w:t xml:space="preserve"> 1,6% maksimalnog dnevnog unosa od 2 g natrij</w:t>
      </w:r>
      <w:r w:rsidR="00702CB1" w:rsidRPr="007A69F2">
        <w:rPr>
          <w:szCs w:val="22"/>
          <w:lang w:val="sr-Latn-ME"/>
        </w:rPr>
        <w:t>uma</w:t>
      </w:r>
      <w:r w:rsidRPr="007A69F2">
        <w:rPr>
          <w:szCs w:val="22"/>
          <w:lang w:val="sr-Latn-ME"/>
        </w:rPr>
        <w:t xml:space="preserve"> za odraslu osobu koju preporučuje Svjetska zdravstvena organizacija</w:t>
      </w:r>
      <w:r w:rsidR="00313D65" w:rsidRPr="007A69F2">
        <w:rPr>
          <w:szCs w:val="22"/>
          <w:lang w:val="sr-Latn-ME"/>
        </w:rPr>
        <w:t xml:space="preserve"> </w:t>
      </w:r>
      <w:r w:rsidR="00B757FB" w:rsidRPr="007A69F2">
        <w:rPr>
          <w:szCs w:val="22"/>
          <w:lang w:val="sr-Latn-ME"/>
        </w:rPr>
        <w:t>(SZO)</w:t>
      </w:r>
      <w:r w:rsidRPr="007A69F2">
        <w:rPr>
          <w:szCs w:val="22"/>
          <w:lang w:val="sr-Latn-ME"/>
        </w:rPr>
        <w:t>.</w:t>
      </w:r>
    </w:p>
    <w:p w14:paraId="4D41546B" w14:textId="77777777" w:rsidR="00DA17AE" w:rsidRPr="007A69F2" w:rsidRDefault="00DA17AE" w:rsidP="00EE17D3">
      <w:pPr>
        <w:spacing w:line="240" w:lineRule="auto"/>
        <w:jc w:val="both"/>
        <w:rPr>
          <w:szCs w:val="22"/>
          <w:lang w:val="sr-Latn-ME"/>
        </w:rPr>
      </w:pPr>
    </w:p>
    <w:p w14:paraId="5E507E3C" w14:textId="15F46EA4" w:rsidR="00DA17AE" w:rsidRPr="007A69F2" w:rsidRDefault="00D04C51" w:rsidP="00EE17D3">
      <w:pPr>
        <w:keepNext/>
        <w:spacing w:line="240" w:lineRule="auto"/>
        <w:jc w:val="both"/>
        <w:outlineLvl w:val="0"/>
        <w:rPr>
          <w:szCs w:val="22"/>
          <w:lang w:val="sr-Latn-ME"/>
        </w:rPr>
      </w:pPr>
      <w:bookmarkStart w:id="5" w:name="_Hlk121155649"/>
      <w:bookmarkStart w:id="6" w:name="_Hlk130205420"/>
      <w:bookmarkStart w:id="7" w:name="_Hlk119938733"/>
      <w:r w:rsidRPr="007A69F2">
        <w:rPr>
          <w:b/>
          <w:szCs w:val="22"/>
          <w:lang w:val="sr-Latn-ME"/>
        </w:rPr>
        <w:t>4.5</w:t>
      </w:r>
      <w:r w:rsidRPr="007A69F2">
        <w:rPr>
          <w:b/>
          <w:szCs w:val="22"/>
          <w:lang w:val="sr-Latn-ME"/>
        </w:rPr>
        <w:tab/>
      </w:r>
      <w:r w:rsidR="0031244D" w:rsidRPr="007A69F2">
        <w:rPr>
          <w:b/>
          <w:bCs/>
          <w:szCs w:val="22"/>
          <w:lang w:val="sr-Latn-ME"/>
        </w:rPr>
        <w:t>Interakcije sa drugim ljekovima i druge vrste interakcija</w:t>
      </w:r>
    </w:p>
    <w:p w14:paraId="5107BD2E" w14:textId="77777777" w:rsidR="00EB2926" w:rsidRPr="007A69F2" w:rsidRDefault="00EB2926" w:rsidP="00EE17D3">
      <w:pPr>
        <w:keepNext/>
        <w:spacing w:line="240" w:lineRule="auto"/>
        <w:jc w:val="both"/>
        <w:rPr>
          <w:szCs w:val="22"/>
          <w:lang w:val="sr-Latn-ME"/>
        </w:rPr>
      </w:pPr>
      <w:bookmarkStart w:id="8" w:name="_Hlk119077345"/>
      <w:bookmarkEnd w:id="4"/>
      <w:bookmarkEnd w:id="5"/>
    </w:p>
    <w:p w14:paraId="30F17171" w14:textId="4C7D2043" w:rsidR="00DA17AE" w:rsidRPr="007A69F2" w:rsidRDefault="00D04C51" w:rsidP="00EE17D3">
      <w:pPr>
        <w:spacing w:line="240" w:lineRule="auto"/>
        <w:jc w:val="both"/>
        <w:rPr>
          <w:szCs w:val="22"/>
          <w:u w:val="single"/>
          <w:lang w:val="sr-Latn-ME"/>
        </w:rPr>
      </w:pPr>
      <w:bookmarkStart w:id="9" w:name="_Hlk102998366"/>
      <w:proofErr w:type="spellStart"/>
      <w:r w:rsidRPr="007A69F2">
        <w:rPr>
          <w:szCs w:val="22"/>
          <w:u w:val="single"/>
          <w:lang w:val="sr-Latn-ME"/>
        </w:rPr>
        <w:t>Inhibitori</w:t>
      </w:r>
      <w:proofErr w:type="spellEnd"/>
      <w:r w:rsidRPr="007A69F2">
        <w:rPr>
          <w:szCs w:val="22"/>
          <w:u w:val="single"/>
          <w:lang w:val="sr-Latn-ME"/>
        </w:rPr>
        <w:t xml:space="preserve"> CYP3A4</w:t>
      </w:r>
    </w:p>
    <w:p w14:paraId="5C538D26" w14:textId="4A97E9C4" w:rsidR="00DA17AE" w:rsidRPr="007A69F2" w:rsidRDefault="00B757FB" w:rsidP="00405FD8">
      <w:pPr>
        <w:spacing w:line="240" w:lineRule="auto"/>
        <w:jc w:val="both"/>
        <w:rPr>
          <w:szCs w:val="22"/>
          <w:lang w:val="sr-Latn-ME"/>
        </w:rPr>
      </w:pPr>
      <w:r w:rsidRPr="007A69F2">
        <w:rPr>
          <w:szCs w:val="22"/>
          <w:lang w:val="sr-Latn-ME"/>
        </w:rPr>
        <w:t>Jaki</w:t>
      </w:r>
      <w:r w:rsidR="00D04C51" w:rsidRPr="007A69F2">
        <w:rPr>
          <w:szCs w:val="22"/>
          <w:lang w:val="sr-Latn-ME"/>
        </w:rPr>
        <w:t xml:space="preserve"> </w:t>
      </w:r>
      <w:proofErr w:type="spellStart"/>
      <w:r w:rsidR="00D04C51" w:rsidRPr="007A69F2">
        <w:rPr>
          <w:szCs w:val="22"/>
          <w:lang w:val="sr-Latn-ME"/>
        </w:rPr>
        <w:t>inhibitori</w:t>
      </w:r>
      <w:proofErr w:type="spellEnd"/>
      <w:r w:rsidR="00D04C51" w:rsidRPr="007A69F2">
        <w:rPr>
          <w:szCs w:val="22"/>
          <w:lang w:val="sr-Latn-ME"/>
        </w:rPr>
        <w:t xml:space="preserve"> CYP3A4 (npr. </w:t>
      </w:r>
      <w:proofErr w:type="spellStart"/>
      <w:r w:rsidR="00D04C51" w:rsidRPr="007A69F2">
        <w:rPr>
          <w:szCs w:val="22"/>
          <w:lang w:val="sr-Latn-ME"/>
        </w:rPr>
        <w:t>ketokonazol</w:t>
      </w:r>
      <w:proofErr w:type="spellEnd"/>
      <w:r w:rsidR="00D04C51" w:rsidRPr="007A69F2">
        <w:rPr>
          <w:szCs w:val="22"/>
          <w:lang w:val="sr-Latn-ME"/>
        </w:rPr>
        <w:t xml:space="preserve">, </w:t>
      </w:r>
      <w:proofErr w:type="spellStart"/>
      <w:r w:rsidR="00D04C51" w:rsidRPr="007A69F2">
        <w:rPr>
          <w:szCs w:val="22"/>
          <w:lang w:val="sr-Latn-ME"/>
        </w:rPr>
        <w:t>itrakonazol</w:t>
      </w:r>
      <w:proofErr w:type="spellEnd"/>
      <w:r w:rsidR="00D04C51" w:rsidRPr="007A69F2">
        <w:rPr>
          <w:szCs w:val="22"/>
          <w:lang w:val="sr-Latn-ME"/>
        </w:rPr>
        <w:t xml:space="preserve">, </w:t>
      </w:r>
      <w:proofErr w:type="spellStart"/>
      <w:r w:rsidR="00D04C51" w:rsidRPr="007A69F2">
        <w:rPr>
          <w:szCs w:val="22"/>
          <w:lang w:val="sr-Latn-ME"/>
        </w:rPr>
        <w:t>klaritromicin</w:t>
      </w:r>
      <w:proofErr w:type="spellEnd"/>
      <w:r w:rsidR="00D04C51" w:rsidRPr="007A69F2">
        <w:rPr>
          <w:szCs w:val="22"/>
          <w:lang w:val="sr-Latn-ME"/>
        </w:rPr>
        <w:t xml:space="preserve">, </w:t>
      </w:r>
      <w:proofErr w:type="spellStart"/>
      <w:r w:rsidR="00D04C51" w:rsidRPr="007A69F2">
        <w:rPr>
          <w:szCs w:val="22"/>
          <w:lang w:val="sr-Latn-ME"/>
        </w:rPr>
        <w:t>ritonavir</w:t>
      </w:r>
      <w:proofErr w:type="spellEnd"/>
      <w:r w:rsidR="00D04C51" w:rsidRPr="007A69F2">
        <w:rPr>
          <w:szCs w:val="22"/>
          <w:lang w:val="sr-Latn-ME"/>
        </w:rPr>
        <w:t xml:space="preserve">) mogu značajno </w:t>
      </w:r>
      <w:r w:rsidRPr="007A69F2">
        <w:rPr>
          <w:szCs w:val="22"/>
          <w:lang w:val="sr-Latn-ME"/>
        </w:rPr>
        <w:t>povećati</w:t>
      </w:r>
      <w:r w:rsidR="00D04C51" w:rsidRPr="007A69F2">
        <w:rPr>
          <w:szCs w:val="22"/>
          <w:lang w:val="sr-Latn-ME"/>
        </w:rPr>
        <w:t xml:space="preserve"> sistemsku izloženost</w:t>
      </w:r>
      <w:r w:rsidRPr="007A69F2">
        <w:rPr>
          <w:szCs w:val="22"/>
          <w:lang w:val="sr-Latn-ME"/>
        </w:rPr>
        <w:t xml:space="preserve"> lijeku</w:t>
      </w:r>
      <w:r w:rsidR="00D04C51" w:rsidRPr="007A69F2">
        <w:rPr>
          <w:szCs w:val="22"/>
          <w:lang w:val="sr-Latn-ME"/>
        </w:rPr>
        <w:t xml:space="preserve"> </w:t>
      </w:r>
      <w:proofErr w:type="spellStart"/>
      <w:r w:rsidR="00D04C51" w:rsidRPr="007A69F2">
        <w:rPr>
          <w:szCs w:val="22"/>
          <w:lang w:val="sr-Latn-ME"/>
        </w:rPr>
        <w:t>atogepant</w:t>
      </w:r>
      <w:proofErr w:type="spellEnd"/>
      <w:r w:rsidR="00D04C51" w:rsidRPr="007A69F2">
        <w:rPr>
          <w:szCs w:val="22"/>
          <w:lang w:val="sr-Latn-ME"/>
        </w:rPr>
        <w:t>. Istovremena primjena</w:t>
      </w:r>
      <w:r w:rsidRPr="007A69F2">
        <w:rPr>
          <w:szCs w:val="22"/>
          <w:lang w:val="sr-Latn-ME"/>
        </w:rPr>
        <w:t xml:space="preserve"> </w:t>
      </w:r>
      <w:r w:rsidR="008007BD" w:rsidRPr="007A69F2">
        <w:rPr>
          <w:szCs w:val="22"/>
          <w:lang w:val="sr-Latn-ME"/>
        </w:rPr>
        <w:t>ljekov</w:t>
      </w:r>
      <w:r w:rsidRPr="007A69F2">
        <w:rPr>
          <w:szCs w:val="22"/>
          <w:lang w:val="sr-Latn-ME"/>
        </w:rPr>
        <w:t>a</w:t>
      </w:r>
      <w:r w:rsidR="00D04C51" w:rsidRPr="007A69F2">
        <w:rPr>
          <w:szCs w:val="22"/>
          <w:lang w:val="sr-Latn-ME"/>
        </w:rPr>
        <w:t xml:space="preserve"> </w:t>
      </w:r>
      <w:proofErr w:type="spellStart"/>
      <w:r w:rsidR="00D04C51" w:rsidRPr="007A69F2">
        <w:rPr>
          <w:szCs w:val="22"/>
          <w:lang w:val="sr-Latn-ME"/>
        </w:rPr>
        <w:t>atogepant</w:t>
      </w:r>
      <w:proofErr w:type="spellEnd"/>
      <w:r w:rsidR="00D04C51" w:rsidRPr="007A69F2">
        <w:rPr>
          <w:szCs w:val="22"/>
          <w:lang w:val="sr-Latn-ME"/>
        </w:rPr>
        <w:t xml:space="preserve"> i </w:t>
      </w:r>
      <w:proofErr w:type="spellStart"/>
      <w:r w:rsidR="00D04C51" w:rsidRPr="007A69F2">
        <w:rPr>
          <w:szCs w:val="22"/>
          <w:lang w:val="sr-Latn-ME"/>
        </w:rPr>
        <w:t>itrakonazol</w:t>
      </w:r>
      <w:proofErr w:type="spellEnd"/>
      <w:r w:rsidR="00D04C51" w:rsidRPr="007A69F2">
        <w:rPr>
          <w:szCs w:val="22"/>
          <w:lang w:val="sr-Latn-ME"/>
        </w:rPr>
        <w:t xml:space="preserve"> rezultirala je povećanom izloženošću </w:t>
      </w:r>
      <w:r w:rsidRPr="007A69F2">
        <w:rPr>
          <w:szCs w:val="22"/>
          <w:lang w:val="sr-Latn-ME"/>
        </w:rPr>
        <w:t>lijeku</w:t>
      </w:r>
      <w:r w:rsidR="00D04C51" w:rsidRPr="007A69F2">
        <w:rPr>
          <w:szCs w:val="22"/>
          <w:lang w:val="sr-Latn-ME"/>
        </w:rPr>
        <w:t xml:space="preserve"> </w:t>
      </w:r>
      <w:proofErr w:type="spellStart"/>
      <w:r w:rsidR="00D04C51" w:rsidRPr="007A69F2">
        <w:rPr>
          <w:szCs w:val="22"/>
          <w:lang w:val="sr-Latn-ME"/>
        </w:rPr>
        <w:t>atogepant</w:t>
      </w:r>
      <w:proofErr w:type="spellEnd"/>
      <w:r w:rsidR="00D04C51" w:rsidRPr="007A69F2">
        <w:rPr>
          <w:szCs w:val="22"/>
          <w:lang w:val="sr-Latn-ME"/>
        </w:rPr>
        <w:t xml:space="preserve"> </w:t>
      </w:r>
      <w:r w:rsidRPr="007A69F2">
        <w:rPr>
          <w:szCs w:val="22"/>
          <w:lang w:val="sr-Latn-ME"/>
        </w:rPr>
        <w:t>(</w:t>
      </w:r>
      <w:proofErr w:type="spellStart"/>
      <w:r w:rsidRPr="007A69F2">
        <w:rPr>
          <w:szCs w:val="22"/>
          <w:lang w:val="sr-Latn-ME"/>
        </w:rPr>
        <w:t>C</w:t>
      </w:r>
      <w:r w:rsidRPr="007A69F2">
        <w:rPr>
          <w:szCs w:val="22"/>
          <w:vertAlign w:val="subscript"/>
          <w:lang w:val="sr-Latn-ME"/>
        </w:rPr>
        <w:t>max</w:t>
      </w:r>
      <w:proofErr w:type="spellEnd"/>
      <w:r w:rsidRPr="007A69F2">
        <w:rPr>
          <w:szCs w:val="22"/>
          <w:lang w:val="sr-Latn-ME"/>
        </w:rPr>
        <w:t xml:space="preserve"> za 2,15 puta i AUC za 5,5 puta)  </w:t>
      </w:r>
      <w:r w:rsidR="00D04C51" w:rsidRPr="007A69F2">
        <w:rPr>
          <w:szCs w:val="22"/>
          <w:lang w:val="sr-Latn-ME"/>
        </w:rPr>
        <w:t>kod zdravih ispitanika (vidjeti dio 4.2). Ne očekuje se da će promjene</w:t>
      </w:r>
      <w:r w:rsidRPr="007A69F2">
        <w:rPr>
          <w:szCs w:val="22"/>
          <w:lang w:val="sr-Latn-ME"/>
        </w:rPr>
        <w:t xml:space="preserve"> u</w:t>
      </w:r>
      <w:r w:rsidR="00D04C51" w:rsidRPr="007A69F2">
        <w:rPr>
          <w:szCs w:val="22"/>
          <w:lang w:val="sr-Latn-ME"/>
        </w:rPr>
        <w:t xml:space="preserve"> izloženosti</w:t>
      </w:r>
      <w:r w:rsidRPr="007A69F2">
        <w:rPr>
          <w:szCs w:val="22"/>
          <w:lang w:val="sr-Latn-ME"/>
        </w:rPr>
        <w:t xml:space="preserve"> lijeku</w:t>
      </w:r>
      <w:r w:rsidR="00D04C51" w:rsidRPr="007A69F2">
        <w:rPr>
          <w:szCs w:val="22"/>
          <w:lang w:val="sr-Latn-ME"/>
        </w:rPr>
        <w:t xml:space="preserve"> </w:t>
      </w:r>
      <w:proofErr w:type="spellStart"/>
      <w:r w:rsidR="00D04C51" w:rsidRPr="007A69F2">
        <w:rPr>
          <w:szCs w:val="22"/>
          <w:lang w:val="sr-Latn-ME"/>
        </w:rPr>
        <w:t>atogepant</w:t>
      </w:r>
      <w:proofErr w:type="spellEnd"/>
      <w:r w:rsidR="00D04C51" w:rsidRPr="007A69F2">
        <w:rPr>
          <w:szCs w:val="22"/>
          <w:lang w:val="sr-Latn-ME"/>
        </w:rPr>
        <w:t xml:space="preserve"> tokom istovremene primjene sa slabim ili umjerenim </w:t>
      </w:r>
      <w:proofErr w:type="spellStart"/>
      <w:r w:rsidR="00D04C51" w:rsidRPr="007A69F2">
        <w:rPr>
          <w:szCs w:val="22"/>
          <w:lang w:val="sr-Latn-ME"/>
        </w:rPr>
        <w:t>inhibitorima</w:t>
      </w:r>
      <w:proofErr w:type="spellEnd"/>
      <w:r w:rsidR="00D04C51" w:rsidRPr="007A69F2">
        <w:rPr>
          <w:szCs w:val="22"/>
          <w:lang w:val="sr-Latn-ME"/>
        </w:rPr>
        <w:t xml:space="preserve"> CYP3A4 biti </w:t>
      </w:r>
      <w:r w:rsidR="00702CB1" w:rsidRPr="007A69F2">
        <w:rPr>
          <w:szCs w:val="22"/>
          <w:lang w:val="sr-Latn-ME"/>
        </w:rPr>
        <w:t xml:space="preserve">klinički </w:t>
      </w:r>
      <w:r w:rsidR="00D04C51" w:rsidRPr="007A69F2">
        <w:rPr>
          <w:szCs w:val="22"/>
          <w:lang w:val="sr-Latn-ME"/>
        </w:rPr>
        <w:t>značajne.</w:t>
      </w:r>
    </w:p>
    <w:p w14:paraId="0C5AC41F" w14:textId="77777777" w:rsidR="0066080F" w:rsidRPr="007A69F2" w:rsidRDefault="0066080F" w:rsidP="00F12E92">
      <w:pPr>
        <w:spacing w:line="240" w:lineRule="auto"/>
        <w:jc w:val="both"/>
        <w:rPr>
          <w:szCs w:val="22"/>
          <w:lang w:val="sr-Latn-ME"/>
        </w:rPr>
      </w:pPr>
    </w:p>
    <w:bookmarkEnd w:id="6"/>
    <w:bookmarkEnd w:id="8"/>
    <w:bookmarkEnd w:id="9"/>
    <w:p w14:paraId="57EE2737" w14:textId="77777777" w:rsidR="00702CB1" w:rsidRPr="007A69F2" w:rsidRDefault="00702CB1" w:rsidP="00F12E92">
      <w:pPr>
        <w:pStyle w:val="Default"/>
        <w:jc w:val="both"/>
        <w:rPr>
          <w:sz w:val="22"/>
          <w:szCs w:val="22"/>
          <w:u w:val="single"/>
          <w:lang w:val="sr-Latn-ME"/>
        </w:rPr>
      </w:pPr>
      <w:proofErr w:type="spellStart"/>
      <w:r w:rsidRPr="007A69F2">
        <w:rPr>
          <w:sz w:val="22"/>
          <w:szCs w:val="22"/>
          <w:u w:val="single"/>
          <w:lang w:val="sr-Latn-ME"/>
        </w:rPr>
        <w:t>Inhibitori</w:t>
      </w:r>
      <w:proofErr w:type="spellEnd"/>
      <w:r w:rsidRPr="007A69F2">
        <w:rPr>
          <w:sz w:val="22"/>
          <w:szCs w:val="22"/>
          <w:u w:val="single"/>
          <w:lang w:val="sr-Latn-ME"/>
        </w:rPr>
        <w:t xml:space="preserve"> transportera </w:t>
      </w:r>
    </w:p>
    <w:p w14:paraId="66635733" w14:textId="1749107E" w:rsidR="00702CB1" w:rsidRPr="007A69F2" w:rsidRDefault="00702CB1" w:rsidP="00F12E92">
      <w:pPr>
        <w:pStyle w:val="Default"/>
        <w:jc w:val="both"/>
        <w:rPr>
          <w:sz w:val="22"/>
          <w:szCs w:val="22"/>
          <w:lang w:val="sr-Latn-ME"/>
        </w:rPr>
      </w:pPr>
      <w:proofErr w:type="spellStart"/>
      <w:r w:rsidRPr="007A69F2">
        <w:rPr>
          <w:sz w:val="22"/>
          <w:szCs w:val="22"/>
          <w:lang w:val="sr-Latn-ME"/>
        </w:rPr>
        <w:t>Inhibitori</w:t>
      </w:r>
      <w:proofErr w:type="spellEnd"/>
      <w:r w:rsidRPr="007A69F2">
        <w:rPr>
          <w:sz w:val="22"/>
          <w:szCs w:val="22"/>
          <w:lang w:val="sr-Latn-ME"/>
        </w:rPr>
        <w:t xml:space="preserve"> </w:t>
      </w:r>
      <w:proofErr w:type="spellStart"/>
      <w:r w:rsidRPr="007A69F2">
        <w:rPr>
          <w:sz w:val="22"/>
          <w:szCs w:val="22"/>
          <w:lang w:val="sr-Latn-ME"/>
        </w:rPr>
        <w:t>polipeptidnog</w:t>
      </w:r>
      <w:proofErr w:type="spellEnd"/>
      <w:r w:rsidRPr="007A69F2">
        <w:rPr>
          <w:sz w:val="22"/>
          <w:szCs w:val="22"/>
          <w:lang w:val="sr-Latn-ME"/>
        </w:rPr>
        <w:t xml:space="preserve"> transportera organskih an</w:t>
      </w:r>
      <w:r w:rsidR="00313D65" w:rsidRPr="007A69F2">
        <w:rPr>
          <w:sz w:val="22"/>
          <w:szCs w:val="22"/>
          <w:lang w:val="sr-Latn-ME"/>
        </w:rPr>
        <w:t>j</w:t>
      </w:r>
      <w:r w:rsidRPr="007A69F2">
        <w:rPr>
          <w:sz w:val="22"/>
          <w:szCs w:val="22"/>
          <w:lang w:val="sr-Latn-ME"/>
        </w:rPr>
        <w:t xml:space="preserve">ona (engl. </w:t>
      </w:r>
      <w:proofErr w:type="spellStart"/>
      <w:r w:rsidRPr="007A69F2">
        <w:rPr>
          <w:i/>
          <w:iCs/>
          <w:sz w:val="22"/>
          <w:szCs w:val="22"/>
          <w:lang w:val="sr-Latn-ME"/>
        </w:rPr>
        <w:t>organic</w:t>
      </w:r>
      <w:proofErr w:type="spellEnd"/>
      <w:r w:rsidRPr="007A69F2">
        <w:rPr>
          <w:i/>
          <w:iCs/>
          <w:sz w:val="22"/>
          <w:szCs w:val="22"/>
          <w:lang w:val="sr-Latn-ME"/>
        </w:rPr>
        <w:t xml:space="preserve"> </w:t>
      </w:r>
      <w:proofErr w:type="spellStart"/>
      <w:r w:rsidRPr="007A69F2">
        <w:rPr>
          <w:i/>
          <w:iCs/>
          <w:sz w:val="22"/>
          <w:szCs w:val="22"/>
          <w:lang w:val="sr-Latn-ME"/>
        </w:rPr>
        <w:t>anion</w:t>
      </w:r>
      <w:proofErr w:type="spellEnd"/>
      <w:r w:rsidRPr="007A69F2">
        <w:rPr>
          <w:i/>
          <w:iCs/>
          <w:sz w:val="22"/>
          <w:szCs w:val="22"/>
          <w:lang w:val="sr-Latn-ME"/>
        </w:rPr>
        <w:t xml:space="preserve"> </w:t>
      </w:r>
      <w:proofErr w:type="spellStart"/>
      <w:r w:rsidRPr="007A69F2">
        <w:rPr>
          <w:i/>
          <w:iCs/>
          <w:sz w:val="22"/>
          <w:szCs w:val="22"/>
          <w:lang w:val="sr-Latn-ME"/>
        </w:rPr>
        <w:t>transporting</w:t>
      </w:r>
      <w:proofErr w:type="spellEnd"/>
      <w:r w:rsidRPr="007A69F2">
        <w:rPr>
          <w:i/>
          <w:iCs/>
          <w:sz w:val="22"/>
          <w:szCs w:val="22"/>
          <w:lang w:val="sr-Latn-ME"/>
        </w:rPr>
        <w:t xml:space="preserve"> </w:t>
      </w:r>
      <w:proofErr w:type="spellStart"/>
      <w:r w:rsidRPr="007A69F2">
        <w:rPr>
          <w:i/>
          <w:iCs/>
          <w:sz w:val="22"/>
          <w:szCs w:val="22"/>
          <w:lang w:val="sr-Latn-ME"/>
        </w:rPr>
        <w:t>polypeptide</w:t>
      </w:r>
      <w:proofErr w:type="spellEnd"/>
      <w:r w:rsidRPr="007A69F2">
        <w:rPr>
          <w:sz w:val="22"/>
          <w:szCs w:val="22"/>
          <w:lang w:val="sr-Latn-ME"/>
        </w:rPr>
        <w:t xml:space="preserve">, OATP) (npr. </w:t>
      </w:r>
      <w:proofErr w:type="spellStart"/>
      <w:r w:rsidRPr="007A69F2">
        <w:rPr>
          <w:sz w:val="22"/>
          <w:szCs w:val="22"/>
          <w:lang w:val="sr-Latn-ME"/>
        </w:rPr>
        <w:t>rifampicin</w:t>
      </w:r>
      <w:proofErr w:type="spellEnd"/>
      <w:r w:rsidRPr="007A69F2">
        <w:rPr>
          <w:sz w:val="22"/>
          <w:szCs w:val="22"/>
          <w:lang w:val="sr-Latn-ME"/>
        </w:rPr>
        <w:t xml:space="preserve">, </w:t>
      </w:r>
      <w:proofErr w:type="spellStart"/>
      <w:r w:rsidRPr="007A69F2">
        <w:rPr>
          <w:sz w:val="22"/>
          <w:szCs w:val="22"/>
          <w:lang w:val="sr-Latn-ME"/>
        </w:rPr>
        <w:t>ciklosporin</w:t>
      </w:r>
      <w:proofErr w:type="spellEnd"/>
      <w:r w:rsidRPr="007A69F2">
        <w:rPr>
          <w:sz w:val="22"/>
          <w:szCs w:val="22"/>
          <w:lang w:val="sr-Latn-ME"/>
        </w:rPr>
        <w:t xml:space="preserve">, </w:t>
      </w:r>
      <w:proofErr w:type="spellStart"/>
      <w:r w:rsidRPr="007A69F2">
        <w:rPr>
          <w:sz w:val="22"/>
          <w:szCs w:val="22"/>
          <w:lang w:val="sr-Latn-ME"/>
        </w:rPr>
        <w:t>ritonavir</w:t>
      </w:r>
      <w:proofErr w:type="spellEnd"/>
      <w:r w:rsidRPr="007A69F2">
        <w:rPr>
          <w:sz w:val="22"/>
          <w:szCs w:val="22"/>
          <w:lang w:val="sr-Latn-ME"/>
        </w:rPr>
        <w:t xml:space="preserve">) mogu značajno povećati sistemsku izloženost </w:t>
      </w:r>
      <w:proofErr w:type="spellStart"/>
      <w:r w:rsidRPr="007A69F2">
        <w:rPr>
          <w:sz w:val="22"/>
          <w:szCs w:val="22"/>
          <w:lang w:val="sr-Latn-ME"/>
        </w:rPr>
        <w:t>atogepantu</w:t>
      </w:r>
      <w:proofErr w:type="spellEnd"/>
      <w:r w:rsidRPr="007A69F2">
        <w:rPr>
          <w:sz w:val="22"/>
          <w:szCs w:val="22"/>
          <w:lang w:val="sr-Latn-ME"/>
        </w:rPr>
        <w:t xml:space="preserve">. </w:t>
      </w:r>
      <w:r w:rsidR="009839B5" w:rsidRPr="007A69F2">
        <w:rPr>
          <w:sz w:val="22"/>
          <w:szCs w:val="22"/>
          <w:lang w:val="sr-Latn-ME"/>
        </w:rPr>
        <w:t>I</w:t>
      </w:r>
      <w:r w:rsidRPr="007A69F2">
        <w:rPr>
          <w:sz w:val="22"/>
          <w:szCs w:val="22"/>
          <w:lang w:val="sr-Latn-ME"/>
        </w:rPr>
        <w:t xml:space="preserve">stovremena primjena </w:t>
      </w:r>
      <w:proofErr w:type="spellStart"/>
      <w:r w:rsidRPr="007A69F2">
        <w:rPr>
          <w:sz w:val="22"/>
          <w:szCs w:val="22"/>
          <w:lang w:val="sr-Latn-ME"/>
        </w:rPr>
        <w:t>atogepanta</w:t>
      </w:r>
      <w:proofErr w:type="spellEnd"/>
      <w:r w:rsidRPr="007A69F2">
        <w:rPr>
          <w:sz w:val="22"/>
          <w:szCs w:val="22"/>
          <w:lang w:val="sr-Latn-ME"/>
        </w:rPr>
        <w:t xml:space="preserve"> i jedne doze </w:t>
      </w:r>
      <w:proofErr w:type="spellStart"/>
      <w:r w:rsidRPr="007A69F2">
        <w:rPr>
          <w:sz w:val="22"/>
          <w:szCs w:val="22"/>
          <w:lang w:val="sr-Latn-ME"/>
        </w:rPr>
        <w:t>rifampicina</w:t>
      </w:r>
      <w:proofErr w:type="spellEnd"/>
      <w:r w:rsidRPr="007A69F2">
        <w:rPr>
          <w:sz w:val="22"/>
          <w:szCs w:val="22"/>
          <w:lang w:val="sr-Latn-ME"/>
        </w:rPr>
        <w:t xml:space="preserve"> rezultirala je povećanom izloženošću </w:t>
      </w:r>
      <w:proofErr w:type="spellStart"/>
      <w:r w:rsidRPr="007A69F2">
        <w:rPr>
          <w:sz w:val="22"/>
          <w:szCs w:val="22"/>
          <w:lang w:val="sr-Latn-ME"/>
        </w:rPr>
        <w:t>atogepantu</w:t>
      </w:r>
      <w:proofErr w:type="spellEnd"/>
      <w:r w:rsidRPr="007A69F2">
        <w:rPr>
          <w:sz w:val="22"/>
          <w:szCs w:val="22"/>
          <w:lang w:val="sr-Latn-ME"/>
        </w:rPr>
        <w:t xml:space="preserve"> kod zdravih ispitanika (</w:t>
      </w:r>
      <w:proofErr w:type="spellStart"/>
      <w:r w:rsidRPr="007A69F2">
        <w:rPr>
          <w:sz w:val="22"/>
          <w:szCs w:val="22"/>
          <w:lang w:val="sr-Latn-ME"/>
        </w:rPr>
        <w:t>C</w:t>
      </w:r>
      <w:r w:rsidRPr="007A69F2">
        <w:rPr>
          <w:sz w:val="22"/>
          <w:szCs w:val="22"/>
          <w:vertAlign w:val="subscript"/>
          <w:lang w:val="sr-Latn-ME"/>
        </w:rPr>
        <w:t>max</w:t>
      </w:r>
      <w:proofErr w:type="spellEnd"/>
      <w:r w:rsidRPr="007A69F2">
        <w:rPr>
          <w:sz w:val="22"/>
          <w:szCs w:val="22"/>
          <w:lang w:val="sr-Latn-ME"/>
        </w:rPr>
        <w:t xml:space="preserve"> za 2,23 puta i AUC za 2,85 puta) (vidjeti dio 4.2). </w:t>
      </w:r>
    </w:p>
    <w:p w14:paraId="0C1520CA" w14:textId="77777777" w:rsidR="00702CB1" w:rsidRPr="007A69F2" w:rsidRDefault="00702CB1" w:rsidP="00F12E92">
      <w:pPr>
        <w:pStyle w:val="Default"/>
        <w:jc w:val="both"/>
        <w:rPr>
          <w:sz w:val="22"/>
          <w:szCs w:val="22"/>
          <w:lang w:val="sr-Latn-ME"/>
        </w:rPr>
      </w:pPr>
    </w:p>
    <w:p w14:paraId="21979005" w14:textId="77777777" w:rsidR="00702CB1" w:rsidRPr="007A69F2" w:rsidRDefault="00702CB1" w:rsidP="00F12E92">
      <w:pPr>
        <w:pStyle w:val="Default"/>
        <w:jc w:val="both"/>
        <w:rPr>
          <w:sz w:val="22"/>
          <w:szCs w:val="22"/>
          <w:u w:val="single"/>
          <w:lang w:val="sr-Latn-ME"/>
        </w:rPr>
      </w:pPr>
      <w:r w:rsidRPr="007A69F2">
        <w:rPr>
          <w:sz w:val="22"/>
          <w:szCs w:val="22"/>
          <w:u w:val="single"/>
          <w:lang w:val="sr-Latn-ME"/>
        </w:rPr>
        <w:t xml:space="preserve">Ljekovi koji se često istovremeno primjenjuju </w:t>
      </w:r>
    </w:p>
    <w:p w14:paraId="4E7CD0DB" w14:textId="1DC984B3" w:rsidR="00702CB1" w:rsidRPr="007A69F2" w:rsidRDefault="00702CB1" w:rsidP="00F12E92">
      <w:pPr>
        <w:pStyle w:val="Default"/>
        <w:jc w:val="both"/>
        <w:rPr>
          <w:sz w:val="22"/>
          <w:szCs w:val="22"/>
          <w:lang w:val="sr-Latn-ME"/>
        </w:rPr>
      </w:pPr>
      <w:r w:rsidRPr="007A69F2">
        <w:rPr>
          <w:sz w:val="22"/>
          <w:szCs w:val="22"/>
          <w:lang w:val="sr-Latn-ME"/>
        </w:rPr>
        <w:t xml:space="preserve">Istovremena primjena </w:t>
      </w:r>
      <w:proofErr w:type="spellStart"/>
      <w:r w:rsidRPr="007A69F2">
        <w:rPr>
          <w:sz w:val="22"/>
          <w:szCs w:val="22"/>
          <w:lang w:val="sr-Latn-ME"/>
        </w:rPr>
        <w:t>atogepanta</w:t>
      </w:r>
      <w:proofErr w:type="spellEnd"/>
      <w:r w:rsidRPr="007A69F2">
        <w:rPr>
          <w:sz w:val="22"/>
          <w:szCs w:val="22"/>
          <w:lang w:val="sr-Latn-ME"/>
        </w:rPr>
        <w:t xml:space="preserve"> s</w:t>
      </w:r>
      <w:r w:rsidR="00313D65" w:rsidRPr="007A69F2">
        <w:rPr>
          <w:sz w:val="22"/>
          <w:szCs w:val="22"/>
          <w:lang w:val="sr-Latn-ME"/>
        </w:rPr>
        <w:t>a</w:t>
      </w:r>
      <w:r w:rsidRPr="007A69F2">
        <w:rPr>
          <w:sz w:val="22"/>
          <w:szCs w:val="22"/>
          <w:lang w:val="sr-Latn-ME"/>
        </w:rPr>
        <w:t xml:space="preserve"> komponentama oralnih </w:t>
      </w:r>
      <w:proofErr w:type="spellStart"/>
      <w:r w:rsidRPr="007A69F2">
        <w:rPr>
          <w:sz w:val="22"/>
          <w:szCs w:val="22"/>
          <w:lang w:val="sr-Latn-ME"/>
        </w:rPr>
        <w:t>kontraceptiva</w:t>
      </w:r>
      <w:proofErr w:type="spellEnd"/>
      <w:r w:rsidRPr="007A69F2">
        <w:rPr>
          <w:sz w:val="22"/>
          <w:szCs w:val="22"/>
          <w:lang w:val="sr-Latn-ME"/>
        </w:rPr>
        <w:t xml:space="preserve"> </w:t>
      </w:r>
      <w:proofErr w:type="spellStart"/>
      <w:r w:rsidRPr="007A69F2">
        <w:rPr>
          <w:sz w:val="22"/>
          <w:szCs w:val="22"/>
          <w:lang w:val="sr-Latn-ME"/>
        </w:rPr>
        <w:t>etinilestradiolom</w:t>
      </w:r>
      <w:proofErr w:type="spellEnd"/>
      <w:r w:rsidRPr="007A69F2">
        <w:rPr>
          <w:sz w:val="22"/>
          <w:szCs w:val="22"/>
          <w:lang w:val="sr-Latn-ME"/>
        </w:rPr>
        <w:t xml:space="preserve"> i </w:t>
      </w:r>
      <w:proofErr w:type="spellStart"/>
      <w:r w:rsidRPr="007A69F2">
        <w:rPr>
          <w:sz w:val="22"/>
          <w:szCs w:val="22"/>
          <w:lang w:val="sr-Latn-ME"/>
        </w:rPr>
        <w:t>levonorgestrelom</w:t>
      </w:r>
      <w:proofErr w:type="spellEnd"/>
      <w:r w:rsidRPr="007A69F2">
        <w:rPr>
          <w:sz w:val="22"/>
          <w:szCs w:val="22"/>
          <w:lang w:val="sr-Latn-ME"/>
        </w:rPr>
        <w:t xml:space="preserve">, </w:t>
      </w:r>
      <w:proofErr w:type="spellStart"/>
      <w:r w:rsidRPr="007A69F2">
        <w:rPr>
          <w:sz w:val="22"/>
          <w:szCs w:val="22"/>
          <w:lang w:val="sr-Latn-ME"/>
        </w:rPr>
        <w:t>paracetamolom</w:t>
      </w:r>
      <w:proofErr w:type="spellEnd"/>
      <w:r w:rsidRPr="007A69F2">
        <w:rPr>
          <w:sz w:val="22"/>
          <w:szCs w:val="22"/>
          <w:lang w:val="sr-Latn-ME"/>
        </w:rPr>
        <w:t xml:space="preserve">, </w:t>
      </w:r>
      <w:proofErr w:type="spellStart"/>
      <w:r w:rsidRPr="007A69F2">
        <w:rPr>
          <w:sz w:val="22"/>
          <w:szCs w:val="22"/>
          <w:lang w:val="sr-Latn-ME"/>
        </w:rPr>
        <w:t>naproksenom</w:t>
      </w:r>
      <w:proofErr w:type="spellEnd"/>
      <w:r w:rsidRPr="007A69F2">
        <w:rPr>
          <w:sz w:val="22"/>
          <w:szCs w:val="22"/>
          <w:lang w:val="sr-Latn-ME"/>
        </w:rPr>
        <w:t xml:space="preserve">, </w:t>
      </w:r>
      <w:proofErr w:type="spellStart"/>
      <w:r w:rsidRPr="007A69F2">
        <w:rPr>
          <w:sz w:val="22"/>
          <w:szCs w:val="22"/>
          <w:lang w:val="sr-Latn-ME"/>
        </w:rPr>
        <w:t>sumatriptanom</w:t>
      </w:r>
      <w:proofErr w:type="spellEnd"/>
      <w:r w:rsidRPr="007A69F2">
        <w:rPr>
          <w:sz w:val="22"/>
          <w:szCs w:val="22"/>
          <w:lang w:val="sr-Latn-ME"/>
        </w:rPr>
        <w:t xml:space="preserve"> ili </w:t>
      </w:r>
      <w:proofErr w:type="spellStart"/>
      <w:r w:rsidRPr="007A69F2">
        <w:rPr>
          <w:sz w:val="22"/>
          <w:szCs w:val="22"/>
          <w:lang w:val="sr-Latn-ME"/>
        </w:rPr>
        <w:t>ubrogepantom</w:t>
      </w:r>
      <w:proofErr w:type="spellEnd"/>
      <w:r w:rsidRPr="007A69F2">
        <w:rPr>
          <w:sz w:val="22"/>
          <w:szCs w:val="22"/>
          <w:lang w:val="sr-Latn-ME"/>
        </w:rPr>
        <w:t xml:space="preserve"> nije kao rezultat imala značajne </w:t>
      </w:r>
      <w:proofErr w:type="spellStart"/>
      <w:r w:rsidRPr="007A69F2">
        <w:rPr>
          <w:sz w:val="22"/>
          <w:szCs w:val="22"/>
          <w:lang w:val="sr-Latn-ME"/>
        </w:rPr>
        <w:t>farmakokinetičke</w:t>
      </w:r>
      <w:proofErr w:type="spellEnd"/>
      <w:r w:rsidRPr="007A69F2">
        <w:rPr>
          <w:sz w:val="22"/>
          <w:szCs w:val="22"/>
          <w:lang w:val="sr-Latn-ME"/>
        </w:rPr>
        <w:t xml:space="preserve"> interakcije ni </w:t>
      </w:r>
      <w:r w:rsidR="00313D65" w:rsidRPr="007A69F2">
        <w:rPr>
          <w:sz w:val="22"/>
          <w:szCs w:val="22"/>
          <w:lang w:val="sr-Latn-ME"/>
        </w:rPr>
        <w:t xml:space="preserve">za </w:t>
      </w:r>
      <w:proofErr w:type="spellStart"/>
      <w:r w:rsidRPr="007A69F2">
        <w:rPr>
          <w:sz w:val="22"/>
          <w:szCs w:val="22"/>
          <w:lang w:val="sr-Latn-ME"/>
        </w:rPr>
        <w:t>atogepant</w:t>
      </w:r>
      <w:proofErr w:type="spellEnd"/>
      <w:r w:rsidRPr="007A69F2">
        <w:rPr>
          <w:sz w:val="22"/>
          <w:szCs w:val="22"/>
          <w:lang w:val="sr-Latn-ME"/>
        </w:rPr>
        <w:t xml:space="preserve"> ni </w:t>
      </w:r>
      <w:r w:rsidR="00313D65" w:rsidRPr="007A69F2">
        <w:rPr>
          <w:sz w:val="22"/>
          <w:szCs w:val="22"/>
          <w:lang w:val="sr-Latn-ME"/>
        </w:rPr>
        <w:t xml:space="preserve">za </w:t>
      </w:r>
      <w:r w:rsidRPr="007A69F2">
        <w:rPr>
          <w:sz w:val="22"/>
          <w:szCs w:val="22"/>
          <w:lang w:val="sr-Latn-ME"/>
        </w:rPr>
        <w:t>istovremeno prim</w:t>
      </w:r>
      <w:r w:rsidR="00313D65" w:rsidRPr="007A69F2">
        <w:rPr>
          <w:sz w:val="22"/>
          <w:szCs w:val="22"/>
          <w:lang w:val="sr-Latn-ME"/>
        </w:rPr>
        <w:t>i</w:t>
      </w:r>
      <w:r w:rsidRPr="007A69F2">
        <w:rPr>
          <w:sz w:val="22"/>
          <w:szCs w:val="22"/>
          <w:lang w:val="sr-Latn-ME"/>
        </w:rPr>
        <w:t>jenjen</w:t>
      </w:r>
      <w:r w:rsidR="00313D65" w:rsidRPr="007A69F2">
        <w:rPr>
          <w:sz w:val="22"/>
          <w:szCs w:val="22"/>
          <w:lang w:val="sr-Latn-ME"/>
        </w:rPr>
        <w:t>e</w:t>
      </w:r>
      <w:r w:rsidRPr="007A69F2">
        <w:rPr>
          <w:sz w:val="22"/>
          <w:szCs w:val="22"/>
          <w:lang w:val="sr-Latn-ME"/>
        </w:rPr>
        <w:t xml:space="preserve"> ljekov</w:t>
      </w:r>
      <w:r w:rsidR="00313D65" w:rsidRPr="007A69F2">
        <w:rPr>
          <w:sz w:val="22"/>
          <w:szCs w:val="22"/>
          <w:lang w:val="sr-Latn-ME"/>
        </w:rPr>
        <w:t>e</w:t>
      </w:r>
      <w:r w:rsidRPr="007A69F2">
        <w:rPr>
          <w:sz w:val="22"/>
          <w:szCs w:val="22"/>
          <w:lang w:val="sr-Latn-ME"/>
        </w:rPr>
        <w:t xml:space="preserve">. </w:t>
      </w:r>
      <w:r w:rsidR="00175CC9" w:rsidRPr="007A69F2">
        <w:rPr>
          <w:sz w:val="22"/>
          <w:szCs w:val="22"/>
          <w:lang w:val="sr-Latn-ME"/>
        </w:rPr>
        <w:t>I</w:t>
      </w:r>
      <w:r w:rsidRPr="007A69F2">
        <w:rPr>
          <w:sz w:val="22"/>
          <w:szCs w:val="22"/>
          <w:lang w:val="sr-Latn-ME"/>
        </w:rPr>
        <w:t xml:space="preserve">stovremena primjena sa </w:t>
      </w:r>
      <w:proofErr w:type="spellStart"/>
      <w:r w:rsidRPr="007A69F2">
        <w:rPr>
          <w:sz w:val="22"/>
          <w:szCs w:val="22"/>
          <w:lang w:val="sr-Latn-ME"/>
        </w:rPr>
        <w:t>famotidinom</w:t>
      </w:r>
      <w:proofErr w:type="spellEnd"/>
      <w:r w:rsidRPr="007A69F2">
        <w:rPr>
          <w:sz w:val="22"/>
          <w:szCs w:val="22"/>
          <w:lang w:val="sr-Latn-ME"/>
        </w:rPr>
        <w:t xml:space="preserve"> ili </w:t>
      </w:r>
      <w:proofErr w:type="spellStart"/>
      <w:r w:rsidRPr="007A69F2">
        <w:rPr>
          <w:sz w:val="22"/>
          <w:szCs w:val="22"/>
          <w:lang w:val="sr-Latn-ME"/>
        </w:rPr>
        <w:t>esomeprazolom</w:t>
      </w:r>
      <w:proofErr w:type="spellEnd"/>
      <w:r w:rsidRPr="007A69F2">
        <w:rPr>
          <w:sz w:val="22"/>
          <w:szCs w:val="22"/>
          <w:lang w:val="sr-Latn-ME"/>
        </w:rPr>
        <w:t xml:space="preserve"> nije kao rezultat imala klinički relevant</w:t>
      </w:r>
      <w:r w:rsidR="00313D65" w:rsidRPr="007A69F2">
        <w:rPr>
          <w:sz w:val="22"/>
          <w:szCs w:val="22"/>
          <w:lang w:val="sr-Latn-ME"/>
        </w:rPr>
        <w:t>n</w:t>
      </w:r>
      <w:r w:rsidRPr="007A69F2">
        <w:rPr>
          <w:sz w:val="22"/>
          <w:szCs w:val="22"/>
          <w:lang w:val="sr-Latn-ME"/>
        </w:rPr>
        <w:t xml:space="preserve">e promjene izloženosti </w:t>
      </w:r>
      <w:proofErr w:type="spellStart"/>
      <w:r w:rsidRPr="007A69F2">
        <w:rPr>
          <w:sz w:val="22"/>
          <w:szCs w:val="22"/>
          <w:lang w:val="sr-Latn-ME"/>
        </w:rPr>
        <w:t>atogepantu</w:t>
      </w:r>
      <w:proofErr w:type="spellEnd"/>
      <w:r w:rsidRPr="007A69F2">
        <w:rPr>
          <w:sz w:val="22"/>
          <w:szCs w:val="22"/>
          <w:lang w:val="sr-Latn-ME"/>
        </w:rPr>
        <w:t xml:space="preserve">. </w:t>
      </w:r>
    </w:p>
    <w:p w14:paraId="7D7F36F9" w14:textId="77777777" w:rsidR="00040A44" w:rsidRPr="007A69F2" w:rsidRDefault="00040A44" w:rsidP="00F12E92">
      <w:pPr>
        <w:spacing w:line="240" w:lineRule="auto"/>
        <w:jc w:val="both"/>
        <w:rPr>
          <w:szCs w:val="22"/>
          <w:lang w:val="sr-Latn-ME"/>
        </w:rPr>
      </w:pPr>
    </w:p>
    <w:bookmarkEnd w:id="7"/>
    <w:p w14:paraId="146CFCD3" w14:textId="77777777" w:rsidR="00DA17AE" w:rsidRPr="007A69F2" w:rsidRDefault="00D04C51" w:rsidP="00F12E92">
      <w:pPr>
        <w:spacing w:line="240" w:lineRule="auto"/>
        <w:jc w:val="both"/>
        <w:outlineLvl w:val="0"/>
        <w:rPr>
          <w:b/>
          <w:szCs w:val="22"/>
          <w:lang w:val="sr-Latn-ME"/>
        </w:rPr>
      </w:pPr>
      <w:r w:rsidRPr="007A69F2">
        <w:rPr>
          <w:b/>
          <w:szCs w:val="22"/>
          <w:lang w:val="sr-Latn-ME"/>
        </w:rPr>
        <w:t>4.6</w:t>
      </w:r>
      <w:r w:rsidRPr="007A69F2">
        <w:rPr>
          <w:b/>
          <w:szCs w:val="22"/>
          <w:lang w:val="sr-Latn-ME"/>
        </w:rPr>
        <w:tab/>
        <w:t>Plodnost, trudnoća i dojenje</w:t>
      </w:r>
    </w:p>
    <w:p w14:paraId="1990BCA6" w14:textId="77777777" w:rsidR="0031244D" w:rsidRPr="007A69F2" w:rsidRDefault="0031244D" w:rsidP="00F12E92">
      <w:pPr>
        <w:spacing w:line="240" w:lineRule="auto"/>
        <w:jc w:val="both"/>
        <w:rPr>
          <w:szCs w:val="22"/>
          <w:u w:val="single"/>
          <w:lang w:val="sr-Latn-ME"/>
        </w:rPr>
      </w:pPr>
    </w:p>
    <w:p w14:paraId="2FD2B011" w14:textId="140B88EE" w:rsidR="0031244D" w:rsidRPr="007A69F2" w:rsidRDefault="0031244D" w:rsidP="00F12E92">
      <w:pPr>
        <w:spacing w:line="240" w:lineRule="auto"/>
        <w:jc w:val="both"/>
        <w:rPr>
          <w:szCs w:val="22"/>
          <w:u w:val="single"/>
          <w:lang w:val="sr-Latn-ME"/>
        </w:rPr>
      </w:pPr>
      <w:r w:rsidRPr="007A69F2">
        <w:rPr>
          <w:szCs w:val="22"/>
          <w:u w:val="single"/>
          <w:lang w:val="sr-Latn-ME"/>
        </w:rPr>
        <w:t>Plodnost</w:t>
      </w:r>
    </w:p>
    <w:p w14:paraId="1DC4700E" w14:textId="2A36C821" w:rsidR="0031244D" w:rsidRPr="007A69F2" w:rsidRDefault="0031244D" w:rsidP="00F12E92">
      <w:pPr>
        <w:spacing w:line="240" w:lineRule="auto"/>
        <w:jc w:val="both"/>
        <w:rPr>
          <w:szCs w:val="22"/>
          <w:lang w:val="sr-Latn-ME"/>
        </w:rPr>
      </w:pPr>
      <w:r w:rsidRPr="007A69F2">
        <w:rPr>
          <w:szCs w:val="22"/>
          <w:lang w:val="sr-Latn-ME"/>
        </w:rPr>
        <w:t xml:space="preserve">Nema podataka o dejstvu lijeka </w:t>
      </w:r>
      <w:proofErr w:type="spellStart"/>
      <w:r w:rsidRPr="007A69F2">
        <w:rPr>
          <w:szCs w:val="22"/>
          <w:lang w:val="sr-Latn-ME"/>
        </w:rPr>
        <w:t>atogepant</w:t>
      </w:r>
      <w:proofErr w:type="spellEnd"/>
      <w:r w:rsidRPr="007A69F2">
        <w:rPr>
          <w:szCs w:val="22"/>
          <w:lang w:val="sr-Latn-ME"/>
        </w:rPr>
        <w:t xml:space="preserve"> na plodnost kod </w:t>
      </w:r>
      <w:proofErr w:type="spellStart"/>
      <w:r w:rsidRPr="007A69F2">
        <w:rPr>
          <w:szCs w:val="22"/>
          <w:lang w:val="sr-Latn-ME"/>
        </w:rPr>
        <w:t>ljudi</w:t>
      </w:r>
      <w:proofErr w:type="spellEnd"/>
      <w:r w:rsidRPr="007A69F2">
        <w:rPr>
          <w:szCs w:val="22"/>
          <w:lang w:val="sr-Latn-ME"/>
        </w:rPr>
        <w:t xml:space="preserve">. Ispitivanja na životinjama nisu pokazala da primjena lijeka </w:t>
      </w:r>
      <w:proofErr w:type="spellStart"/>
      <w:r w:rsidRPr="007A69F2">
        <w:rPr>
          <w:szCs w:val="22"/>
          <w:lang w:val="sr-Latn-ME"/>
        </w:rPr>
        <w:t>atogepant</w:t>
      </w:r>
      <w:proofErr w:type="spellEnd"/>
      <w:r w:rsidRPr="007A69F2">
        <w:rPr>
          <w:szCs w:val="22"/>
          <w:lang w:val="sr-Latn-ME"/>
        </w:rPr>
        <w:t xml:space="preserve"> utiče na plodnost ženki i mužjaka (vidjeti dio 5.3).</w:t>
      </w:r>
    </w:p>
    <w:p w14:paraId="342BE2A0" w14:textId="77777777" w:rsidR="00DA17AE" w:rsidRPr="007A69F2" w:rsidRDefault="00DA17AE" w:rsidP="00F12E92">
      <w:pPr>
        <w:spacing w:line="240" w:lineRule="auto"/>
        <w:jc w:val="both"/>
        <w:rPr>
          <w:szCs w:val="22"/>
          <w:lang w:val="sr-Latn-ME"/>
        </w:rPr>
      </w:pPr>
    </w:p>
    <w:p w14:paraId="12A1E1E7" w14:textId="77777777" w:rsidR="00DA17AE" w:rsidRPr="007A69F2" w:rsidRDefault="00D04C51" w:rsidP="00F12E92">
      <w:pPr>
        <w:widowControl w:val="0"/>
        <w:spacing w:line="240" w:lineRule="auto"/>
        <w:jc w:val="both"/>
        <w:rPr>
          <w:szCs w:val="22"/>
          <w:u w:val="single"/>
          <w:lang w:val="sr-Latn-ME"/>
        </w:rPr>
      </w:pPr>
      <w:r w:rsidRPr="007A69F2">
        <w:rPr>
          <w:szCs w:val="22"/>
          <w:u w:val="single"/>
          <w:lang w:val="sr-Latn-ME"/>
        </w:rPr>
        <w:t>Trudnoća</w:t>
      </w:r>
    </w:p>
    <w:p w14:paraId="07A8266A" w14:textId="1E0339D8" w:rsidR="00DA17AE" w:rsidRPr="007A69F2" w:rsidRDefault="00D04C51" w:rsidP="00405FD8">
      <w:pPr>
        <w:widowControl w:val="0"/>
        <w:spacing w:line="240" w:lineRule="auto"/>
        <w:jc w:val="both"/>
        <w:rPr>
          <w:szCs w:val="22"/>
          <w:lang w:val="sr-Latn-ME"/>
        </w:rPr>
      </w:pPr>
      <w:r w:rsidRPr="007A69F2">
        <w:rPr>
          <w:szCs w:val="22"/>
          <w:lang w:val="sr-Latn-ME"/>
        </w:rPr>
        <w:t>Podaci o primjeni</w:t>
      </w:r>
      <w:r w:rsidR="00052561" w:rsidRPr="007A69F2">
        <w:rPr>
          <w:szCs w:val="22"/>
          <w:lang w:val="sr-Latn-ME"/>
        </w:rPr>
        <w:t xml:space="preserve"> lijeka</w:t>
      </w:r>
      <w:r w:rsidRPr="007A69F2">
        <w:rPr>
          <w:szCs w:val="22"/>
          <w:lang w:val="sr-Latn-ME"/>
        </w:rPr>
        <w:t xml:space="preserve"> </w:t>
      </w:r>
      <w:proofErr w:type="spellStart"/>
      <w:r w:rsidRPr="007A69F2">
        <w:rPr>
          <w:szCs w:val="22"/>
          <w:lang w:val="sr-Latn-ME"/>
        </w:rPr>
        <w:t>atogepant</w:t>
      </w:r>
      <w:proofErr w:type="spellEnd"/>
      <w:r w:rsidRPr="007A69F2">
        <w:rPr>
          <w:szCs w:val="22"/>
          <w:lang w:val="sr-Latn-ME"/>
        </w:rPr>
        <w:t xml:space="preserve"> kod trudnica su ograničeni. Ispitivanja na životinjama su pokazala reproduktivnu toksičnost (vidjeti dio 5.3). Ne preporučuje se primjena</w:t>
      </w:r>
      <w:r w:rsidR="00052561" w:rsidRPr="007A69F2">
        <w:rPr>
          <w:szCs w:val="22"/>
          <w:lang w:val="sr-Latn-ME"/>
        </w:rPr>
        <w:t xml:space="preserve"> lijeka</w:t>
      </w:r>
      <w:r w:rsidRPr="007A69F2">
        <w:rPr>
          <w:szCs w:val="22"/>
          <w:lang w:val="sr-Latn-ME"/>
        </w:rPr>
        <w:t xml:space="preserve"> </w:t>
      </w:r>
      <w:proofErr w:type="spellStart"/>
      <w:r w:rsidRPr="007A69F2">
        <w:rPr>
          <w:szCs w:val="22"/>
          <w:lang w:val="sr-Latn-ME"/>
        </w:rPr>
        <w:t>atogepant</w:t>
      </w:r>
      <w:proofErr w:type="spellEnd"/>
      <w:r w:rsidRPr="007A69F2">
        <w:rPr>
          <w:szCs w:val="22"/>
          <w:lang w:val="sr-Latn-ME"/>
        </w:rPr>
        <w:t xml:space="preserve"> tokom trudnoće i kod žena reproduktivn</w:t>
      </w:r>
      <w:r w:rsidR="00052561" w:rsidRPr="007A69F2">
        <w:rPr>
          <w:szCs w:val="22"/>
          <w:lang w:val="sr-Latn-ME"/>
        </w:rPr>
        <w:t>e dobi</w:t>
      </w:r>
      <w:r w:rsidRPr="007A69F2">
        <w:rPr>
          <w:szCs w:val="22"/>
          <w:lang w:val="sr-Latn-ME"/>
        </w:rPr>
        <w:t xml:space="preserve"> koje ne koriste kontracepciju.</w:t>
      </w:r>
    </w:p>
    <w:p w14:paraId="58D668C7" w14:textId="77777777" w:rsidR="00C100BA" w:rsidRPr="007A69F2" w:rsidRDefault="00C100BA" w:rsidP="00232835">
      <w:pPr>
        <w:widowControl w:val="0"/>
        <w:spacing w:line="240" w:lineRule="auto"/>
        <w:jc w:val="both"/>
        <w:rPr>
          <w:szCs w:val="22"/>
          <w:lang w:val="sr-Latn-ME"/>
        </w:rPr>
      </w:pPr>
    </w:p>
    <w:p w14:paraId="347E83F1" w14:textId="77777777" w:rsidR="00DA17AE" w:rsidRPr="007A69F2" w:rsidRDefault="00D04C51" w:rsidP="00232835">
      <w:pPr>
        <w:widowControl w:val="0"/>
        <w:spacing w:line="240" w:lineRule="auto"/>
        <w:jc w:val="both"/>
        <w:rPr>
          <w:szCs w:val="22"/>
          <w:u w:val="single"/>
          <w:lang w:val="sr-Latn-ME"/>
        </w:rPr>
      </w:pPr>
      <w:r w:rsidRPr="007A69F2">
        <w:rPr>
          <w:szCs w:val="22"/>
          <w:u w:val="single"/>
          <w:lang w:val="sr-Latn-ME"/>
        </w:rPr>
        <w:t>Dojenje</w:t>
      </w:r>
    </w:p>
    <w:p w14:paraId="1C421C80" w14:textId="27B00471" w:rsidR="00DA17AE" w:rsidRPr="007A69F2" w:rsidRDefault="00D04C51" w:rsidP="00232835">
      <w:pPr>
        <w:spacing w:line="240" w:lineRule="auto"/>
        <w:jc w:val="both"/>
        <w:rPr>
          <w:szCs w:val="22"/>
          <w:lang w:val="sr-Latn-ME"/>
        </w:rPr>
      </w:pPr>
      <w:r w:rsidRPr="007A69F2">
        <w:rPr>
          <w:szCs w:val="22"/>
          <w:lang w:val="sr-Latn-ME"/>
        </w:rPr>
        <w:t>Nije poznato izlučuje li se</w:t>
      </w:r>
      <w:r w:rsidR="00052561" w:rsidRPr="007A69F2">
        <w:rPr>
          <w:szCs w:val="22"/>
          <w:lang w:val="sr-Latn-ME"/>
        </w:rPr>
        <w:t xml:space="preserve"> lijek</w:t>
      </w:r>
      <w:r w:rsidRPr="007A69F2">
        <w:rPr>
          <w:szCs w:val="22"/>
          <w:lang w:val="sr-Latn-ME"/>
        </w:rPr>
        <w:t xml:space="preserve"> </w:t>
      </w:r>
      <w:proofErr w:type="spellStart"/>
      <w:r w:rsidRPr="007A69F2">
        <w:rPr>
          <w:szCs w:val="22"/>
          <w:lang w:val="sr-Latn-ME"/>
        </w:rPr>
        <w:t>atogepant</w:t>
      </w:r>
      <w:proofErr w:type="spellEnd"/>
      <w:r w:rsidRPr="007A69F2">
        <w:rPr>
          <w:szCs w:val="22"/>
          <w:lang w:val="sr-Latn-ME"/>
        </w:rPr>
        <w:t xml:space="preserve"> u majčino mlijeko. Dostupni </w:t>
      </w:r>
      <w:proofErr w:type="spellStart"/>
      <w:r w:rsidRPr="007A69F2">
        <w:rPr>
          <w:szCs w:val="22"/>
          <w:lang w:val="sr-Latn-ME"/>
        </w:rPr>
        <w:t>toksikološki</w:t>
      </w:r>
      <w:proofErr w:type="spellEnd"/>
      <w:r w:rsidRPr="007A69F2">
        <w:rPr>
          <w:szCs w:val="22"/>
          <w:lang w:val="sr-Latn-ME"/>
        </w:rPr>
        <w:t xml:space="preserve"> podaci kod životinja su pokazali </w:t>
      </w:r>
      <w:r w:rsidR="00052561" w:rsidRPr="007A69F2">
        <w:rPr>
          <w:szCs w:val="22"/>
          <w:lang w:val="sr-Latn-ME"/>
        </w:rPr>
        <w:t>da se lijek</w:t>
      </w:r>
      <w:r w:rsidRPr="007A69F2">
        <w:rPr>
          <w:szCs w:val="22"/>
          <w:lang w:val="sr-Latn-ME"/>
        </w:rPr>
        <w:t xml:space="preserve"> </w:t>
      </w:r>
      <w:proofErr w:type="spellStart"/>
      <w:r w:rsidRPr="007A69F2">
        <w:rPr>
          <w:szCs w:val="22"/>
          <w:lang w:val="sr-Latn-ME"/>
        </w:rPr>
        <w:t>atogepant</w:t>
      </w:r>
      <w:proofErr w:type="spellEnd"/>
      <w:r w:rsidR="00052561" w:rsidRPr="007A69F2">
        <w:rPr>
          <w:szCs w:val="22"/>
          <w:lang w:val="sr-Latn-ME"/>
        </w:rPr>
        <w:t xml:space="preserve"> izlučuje</w:t>
      </w:r>
      <w:r w:rsidRPr="007A69F2">
        <w:rPr>
          <w:szCs w:val="22"/>
          <w:lang w:val="sr-Latn-ME"/>
        </w:rPr>
        <w:t xml:space="preserve"> u mlijeko (vidjeti dio 5.3). Ne može se isključiti rizik za</w:t>
      </w:r>
      <w:r w:rsidR="00052561" w:rsidRPr="007A69F2">
        <w:rPr>
          <w:szCs w:val="22"/>
          <w:lang w:val="sr-Latn-ME"/>
        </w:rPr>
        <w:t xml:space="preserve"> </w:t>
      </w:r>
      <w:bookmarkStart w:id="10" w:name="_Hlk204603318"/>
      <w:r w:rsidR="00052561" w:rsidRPr="007A69F2">
        <w:rPr>
          <w:szCs w:val="22"/>
          <w:lang w:val="sr-Latn-ME"/>
        </w:rPr>
        <w:t>novorođenče/</w:t>
      </w:r>
      <w:r w:rsidRPr="007A69F2">
        <w:rPr>
          <w:szCs w:val="22"/>
          <w:lang w:val="sr-Latn-ME"/>
        </w:rPr>
        <w:t>dojenče</w:t>
      </w:r>
      <w:bookmarkEnd w:id="10"/>
      <w:r w:rsidRPr="007A69F2">
        <w:rPr>
          <w:szCs w:val="22"/>
          <w:lang w:val="sr-Latn-ME"/>
        </w:rPr>
        <w:t xml:space="preserve">. Potrebno je donijeti odluku </w:t>
      </w:r>
      <w:r w:rsidR="00052561" w:rsidRPr="007A69F2">
        <w:rPr>
          <w:szCs w:val="22"/>
          <w:lang w:val="sr-Latn-ME"/>
        </w:rPr>
        <w:t>da li treba</w:t>
      </w:r>
      <w:r w:rsidRPr="007A69F2">
        <w:rPr>
          <w:szCs w:val="22"/>
          <w:lang w:val="sr-Latn-ME"/>
        </w:rPr>
        <w:t xml:space="preserve"> prekinuti dojenje ili prekinuti</w:t>
      </w:r>
      <w:r w:rsidR="00052561" w:rsidRPr="007A69F2">
        <w:rPr>
          <w:szCs w:val="22"/>
          <w:lang w:val="sr-Latn-ME"/>
        </w:rPr>
        <w:t xml:space="preserve"> liječenje</w:t>
      </w:r>
      <w:r w:rsidRPr="007A69F2">
        <w:rPr>
          <w:szCs w:val="22"/>
          <w:lang w:val="sr-Latn-ME"/>
        </w:rPr>
        <w:t>/suzdržati</w:t>
      </w:r>
      <w:r w:rsidR="00052561" w:rsidRPr="007A69F2">
        <w:rPr>
          <w:szCs w:val="22"/>
          <w:lang w:val="sr-Latn-ME"/>
        </w:rPr>
        <w:t xml:space="preserve"> se</w:t>
      </w:r>
      <w:r w:rsidRPr="007A69F2">
        <w:rPr>
          <w:szCs w:val="22"/>
          <w:lang w:val="sr-Latn-ME"/>
        </w:rPr>
        <w:t xml:space="preserve"> od terapije</w:t>
      </w:r>
      <w:r w:rsidR="00052561" w:rsidRPr="007A69F2">
        <w:rPr>
          <w:szCs w:val="22"/>
          <w:lang w:val="sr-Latn-ME"/>
        </w:rPr>
        <w:t xml:space="preserve"> sa lijekom</w:t>
      </w:r>
      <w:r w:rsidRPr="007A69F2">
        <w:rPr>
          <w:szCs w:val="22"/>
          <w:lang w:val="sr-Latn-ME"/>
        </w:rPr>
        <w:t xml:space="preserve"> </w:t>
      </w:r>
      <w:proofErr w:type="spellStart"/>
      <w:r w:rsidRPr="007A69F2">
        <w:rPr>
          <w:szCs w:val="22"/>
          <w:lang w:val="sr-Latn-ME"/>
        </w:rPr>
        <w:t>atogepant</w:t>
      </w:r>
      <w:proofErr w:type="spellEnd"/>
      <w:r w:rsidRPr="007A69F2">
        <w:rPr>
          <w:szCs w:val="22"/>
          <w:lang w:val="sr-Latn-ME"/>
        </w:rPr>
        <w:t xml:space="preserve"> uzimajući u obzir koristi dojenja za dijete i koristi </w:t>
      </w:r>
      <w:r w:rsidR="00824122" w:rsidRPr="007A69F2">
        <w:rPr>
          <w:szCs w:val="22"/>
          <w:lang w:val="sr-Latn-ME"/>
        </w:rPr>
        <w:t>liječenja</w:t>
      </w:r>
      <w:r w:rsidRPr="007A69F2">
        <w:rPr>
          <w:szCs w:val="22"/>
          <w:lang w:val="sr-Latn-ME"/>
        </w:rPr>
        <w:t xml:space="preserve"> za ženu.</w:t>
      </w:r>
    </w:p>
    <w:p w14:paraId="2F4C2B0D" w14:textId="77777777" w:rsidR="00DA17AE" w:rsidRPr="007A69F2" w:rsidRDefault="00DA17AE" w:rsidP="00232835">
      <w:pPr>
        <w:spacing w:line="240" w:lineRule="auto"/>
        <w:jc w:val="both"/>
        <w:rPr>
          <w:szCs w:val="22"/>
          <w:lang w:val="sr-Latn-ME"/>
        </w:rPr>
      </w:pPr>
    </w:p>
    <w:p w14:paraId="35F1E526" w14:textId="77777777" w:rsidR="00DA17AE" w:rsidRPr="007A69F2" w:rsidRDefault="00D04C51" w:rsidP="00232835">
      <w:pPr>
        <w:keepNext/>
        <w:spacing w:line="240" w:lineRule="auto"/>
        <w:jc w:val="both"/>
        <w:outlineLvl w:val="0"/>
        <w:rPr>
          <w:szCs w:val="22"/>
          <w:lang w:val="sr-Latn-ME"/>
        </w:rPr>
      </w:pPr>
      <w:r w:rsidRPr="007A69F2">
        <w:rPr>
          <w:b/>
          <w:szCs w:val="22"/>
          <w:lang w:val="sr-Latn-ME"/>
        </w:rPr>
        <w:lastRenderedPageBreak/>
        <w:t>4.7</w:t>
      </w:r>
      <w:r w:rsidRPr="007A69F2">
        <w:rPr>
          <w:b/>
          <w:szCs w:val="22"/>
          <w:lang w:val="sr-Latn-ME"/>
        </w:rPr>
        <w:tab/>
        <w:t>Uticaj na sposobnost upravljanja vozilima i rada s mašinama</w:t>
      </w:r>
    </w:p>
    <w:p w14:paraId="1BF0C197" w14:textId="77777777" w:rsidR="00DA17AE" w:rsidRPr="007A69F2" w:rsidRDefault="00DA17AE" w:rsidP="00232835">
      <w:pPr>
        <w:spacing w:line="240" w:lineRule="auto"/>
        <w:jc w:val="both"/>
        <w:rPr>
          <w:szCs w:val="22"/>
          <w:lang w:val="sr-Latn-ME"/>
        </w:rPr>
      </w:pPr>
    </w:p>
    <w:p w14:paraId="7E3F8F13" w14:textId="221DB206" w:rsidR="00DA17AE" w:rsidRPr="007A69F2" w:rsidRDefault="00824122" w:rsidP="00405FD8">
      <w:pPr>
        <w:spacing w:line="240" w:lineRule="auto"/>
        <w:jc w:val="both"/>
        <w:rPr>
          <w:szCs w:val="22"/>
          <w:lang w:val="sr-Latn-ME"/>
        </w:rPr>
      </w:pPr>
      <w:r w:rsidRPr="007A69F2">
        <w:rPr>
          <w:szCs w:val="22"/>
          <w:lang w:val="sr-Latn-ME"/>
        </w:rPr>
        <w:t xml:space="preserve">Lijek </w:t>
      </w:r>
      <w:proofErr w:type="spellStart"/>
      <w:r w:rsidRPr="007A69F2">
        <w:rPr>
          <w:szCs w:val="22"/>
          <w:lang w:val="sr-Latn-ME"/>
        </w:rPr>
        <w:t>a</w:t>
      </w:r>
      <w:r w:rsidR="00D04C51" w:rsidRPr="007A69F2">
        <w:rPr>
          <w:szCs w:val="22"/>
          <w:lang w:val="sr-Latn-ME"/>
        </w:rPr>
        <w:t>togepant</w:t>
      </w:r>
      <w:proofErr w:type="spellEnd"/>
      <w:r w:rsidR="00D04C51" w:rsidRPr="007A69F2">
        <w:rPr>
          <w:szCs w:val="22"/>
          <w:lang w:val="sr-Latn-ME"/>
        </w:rPr>
        <w:t xml:space="preserve"> ne utiče ili zanemar</w:t>
      </w:r>
      <w:r w:rsidR="0031244D" w:rsidRPr="007A69F2">
        <w:rPr>
          <w:szCs w:val="22"/>
          <w:lang w:val="sr-Latn-ME"/>
        </w:rPr>
        <w:t>lji</w:t>
      </w:r>
      <w:r w:rsidR="00D04C51" w:rsidRPr="007A69F2">
        <w:rPr>
          <w:szCs w:val="22"/>
          <w:lang w:val="sr-Latn-ME"/>
        </w:rPr>
        <w:t>vo utiče na sposobnost upravljanja vozilima i rada s</w:t>
      </w:r>
      <w:r w:rsidR="0031244D" w:rsidRPr="007A69F2">
        <w:rPr>
          <w:szCs w:val="22"/>
          <w:lang w:val="sr-Latn-ME"/>
        </w:rPr>
        <w:t>a</w:t>
      </w:r>
      <w:r w:rsidR="00D04C51" w:rsidRPr="007A69F2">
        <w:rPr>
          <w:szCs w:val="22"/>
          <w:lang w:val="sr-Latn-ME"/>
        </w:rPr>
        <w:t xml:space="preserve"> mašinama. Međutim, </w:t>
      </w:r>
      <w:r w:rsidRPr="007A69F2">
        <w:rPr>
          <w:szCs w:val="22"/>
          <w:lang w:val="sr-Latn-ME"/>
        </w:rPr>
        <w:t xml:space="preserve">kod nekih </w:t>
      </w:r>
      <w:r w:rsidR="00260573" w:rsidRPr="007A69F2">
        <w:rPr>
          <w:szCs w:val="22"/>
          <w:lang w:val="sr-Latn-ME"/>
        </w:rPr>
        <w:t>pacijenata</w:t>
      </w:r>
      <w:r w:rsidRPr="007A69F2">
        <w:rPr>
          <w:szCs w:val="22"/>
          <w:lang w:val="sr-Latn-ME"/>
        </w:rPr>
        <w:t xml:space="preserve"> može izazvati </w:t>
      </w:r>
      <w:proofErr w:type="spellStart"/>
      <w:r w:rsidRPr="007A69F2">
        <w:rPr>
          <w:szCs w:val="22"/>
          <w:lang w:val="sr-Latn-ME"/>
        </w:rPr>
        <w:t>somnolenciju</w:t>
      </w:r>
      <w:proofErr w:type="spellEnd"/>
      <w:r w:rsidR="00D04C51" w:rsidRPr="007A69F2">
        <w:rPr>
          <w:szCs w:val="22"/>
          <w:lang w:val="sr-Latn-ME"/>
        </w:rPr>
        <w:t xml:space="preserve">. </w:t>
      </w:r>
      <w:r w:rsidR="00313D65" w:rsidRPr="007A69F2">
        <w:rPr>
          <w:szCs w:val="22"/>
          <w:lang w:val="sr-Latn-ME"/>
        </w:rPr>
        <w:t>P</w:t>
      </w:r>
      <w:r w:rsidR="00E24E0C" w:rsidRPr="007A69F2">
        <w:rPr>
          <w:szCs w:val="22"/>
          <w:lang w:val="sr-Latn-ME"/>
        </w:rPr>
        <w:t>acijenti</w:t>
      </w:r>
      <w:r w:rsidR="00D04C51" w:rsidRPr="007A69F2">
        <w:rPr>
          <w:szCs w:val="22"/>
          <w:lang w:val="sr-Latn-ME"/>
        </w:rPr>
        <w:t xml:space="preserve"> treba</w:t>
      </w:r>
      <w:r w:rsidR="00E24E0C" w:rsidRPr="007A69F2">
        <w:rPr>
          <w:szCs w:val="22"/>
          <w:lang w:val="sr-Latn-ME"/>
        </w:rPr>
        <w:t xml:space="preserve"> da budu </w:t>
      </w:r>
      <w:r w:rsidR="00D04C51" w:rsidRPr="007A69F2">
        <w:rPr>
          <w:szCs w:val="22"/>
          <w:lang w:val="sr-Latn-ME"/>
        </w:rPr>
        <w:t>oprezni prije upravljanja vozilima ili r</w:t>
      </w:r>
      <w:r w:rsidRPr="007A69F2">
        <w:rPr>
          <w:szCs w:val="22"/>
          <w:lang w:val="sr-Latn-ME"/>
        </w:rPr>
        <w:t>ada sa</w:t>
      </w:r>
      <w:r w:rsidR="00D04C51" w:rsidRPr="007A69F2">
        <w:rPr>
          <w:szCs w:val="22"/>
          <w:lang w:val="sr-Latn-ME"/>
        </w:rPr>
        <w:t xml:space="preserve"> mašinama dok ne budu </w:t>
      </w:r>
      <w:r w:rsidRPr="007A69F2">
        <w:rPr>
          <w:szCs w:val="22"/>
          <w:lang w:val="sr-Latn-ME"/>
        </w:rPr>
        <w:t>u potpunosti</w:t>
      </w:r>
      <w:r w:rsidR="00D04C51" w:rsidRPr="007A69F2">
        <w:rPr>
          <w:szCs w:val="22"/>
          <w:lang w:val="sr-Latn-ME"/>
        </w:rPr>
        <w:t xml:space="preserve"> sigurni da</w:t>
      </w:r>
      <w:r w:rsidRPr="007A69F2">
        <w:rPr>
          <w:szCs w:val="22"/>
          <w:lang w:val="sr-Latn-ME"/>
        </w:rPr>
        <w:t xml:space="preserve"> lijek</w:t>
      </w:r>
      <w:r w:rsidR="00D04C51" w:rsidRPr="007A69F2">
        <w:rPr>
          <w:szCs w:val="22"/>
          <w:lang w:val="sr-Latn-ME"/>
        </w:rPr>
        <w:t xml:space="preserve"> </w:t>
      </w:r>
      <w:proofErr w:type="spellStart"/>
      <w:r w:rsidR="00D04C51" w:rsidRPr="007A69F2">
        <w:rPr>
          <w:szCs w:val="22"/>
          <w:lang w:val="sr-Latn-ME"/>
        </w:rPr>
        <w:t>atogepant</w:t>
      </w:r>
      <w:proofErr w:type="spellEnd"/>
      <w:r w:rsidR="00D04C51" w:rsidRPr="007A69F2">
        <w:rPr>
          <w:szCs w:val="22"/>
          <w:lang w:val="sr-Latn-ME"/>
        </w:rPr>
        <w:t xml:space="preserve"> ne utiče negativno na njihov</w:t>
      </w:r>
      <w:r w:rsidRPr="007A69F2">
        <w:rPr>
          <w:szCs w:val="22"/>
          <w:lang w:val="sr-Latn-ME"/>
        </w:rPr>
        <w:t>e aktivnosti</w:t>
      </w:r>
      <w:r w:rsidR="00D04C51" w:rsidRPr="007A69F2">
        <w:rPr>
          <w:szCs w:val="22"/>
          <w:lang w:val="sr-Latn-ME"/>
        </w:rPr>
        <w:t>.</w:t>
      </w:r>
    </w:p>
    <w:p w14:paraId="6760C835" w14:textId="77777777" w:rsidR="00DA17AE" w:rsidRPr="007A69F2" w:rsidRDefault="00DA17AE" w:rsidP="0054395F">
      <w:pPr>
        <w:spacing w:line="240" w:lineRule="auto"/>
        <w:jc w:val="both"/>
        <w:rPr>
          <w:szCs w:val="22"/>
          <w:lang w:val="sr-Latn-ME"/>
        </w:rPr>
      </w:pPr>
    </w:p>
    <w:p w14:paraId="06ED8049" w14:textId="77777777" w:rsidR="00DA17AE" w:rsidRPr="007A69F2" w:rsidRDefault="00D04C51" w:rsidP="0054395F">
      <w:pPr>
        <w:keepNext/>
        <w:spacing w:line="240" w:lineRule="auto"/>
        <w:jc w:val="both"/>
        <w:outlineLvl w:val="0"/>
        <w:rPr>
          <w:szCs w:val="22"/>
          <w:lang w:val="sr-Latn-ME"/>
        </w:rPr>
      </w:pPr>
      <w:r w:rsidRPr="007A69F2">
        <w:rPr>
          <w:b/>
          <w:szCs w:val="22"/>
          <w:lang w:val="sr-Latn-ME"/>
        </w:rPr>
        <w:t>4.8</w:t>
      </w:r>
      <w:r w:rsidRPr="007A69F2">
        <w:rPr>
          <w:b/>
          <w:szCs w:val="22"/>
          <w:lang w:val="sr-Latn-ME"/>
        </w:rPr>
        <w:tab/>
        <w:t>Neželjena dejstva</w:t>
      </w:r>
    </w:p>
    <w:p w14:paraId="605F1AA1" w14:textId="77777777" w:rsidR="00DA17AE" w:rsidRPr="007A69F2" w:rsidRDefault="00DA17AE" w:rsidP="0054395F">
      <w:pPr>
        <w:keepNext/>
        <w:spacing w:line="240" w:lineRule="auto"/>
        <w:jc w:val="both"/>
        <w:rPr>
          <w:szCs w:val="22"/>
          <w:lang w:val="sr-Latn-ME"/>
        </w:rPr>
      </w:pPr>
    </w:p>
    <w:p w14:paraId="6E943CCE" w14:textId="77777777" w:rsidR="0031244D" w:rsidRPr="007A69F2" w:rsidRDefault="0031244D" w:rsidP="0054395F">
      <w:pPr>
        <w:pStyle w:val="Default"/>
        <w:jc w:val="both"/>
        <w:rPr>
          <w:sz w:val="22"/>
          <w:szCs w:val="22"/>
          <w:lang w:val="sr-Latn-ME"/>
        </w:rPr>
      </w:pPr>
      <w:r w:rsidRPr="007A69F2">
        <w:rPr>
          <w:sz w:val="22"/>
          <w:szCs w:val="22"/>
          <w:u w:val="single"/>
          <w:lang w:val="sr-Latn-ME"/>
        </w:rPr>
        <w:t xml:space="preserve">Sažetak </w:t>
      </w:r>
      <w:proofErr w:type="spellStart"/>
      <w:r w:rsidRPr="007A69F2">
        <w:rPr>
          <w:sz w:val="22"/>
          <w:szCs w:val="22"/>
          <w:u w:val="single"/>
          <w:lang w:val="sr-Latn-ME"/>
        </w:rPr>
        <w:t>bezbjednosnog</w:t>
      </w:r>
      <w:proofErr w:type="spellEnd"/>
      <w:r w:rsidRPr="007A69F2">
        <w:rPr>
          <w:sz w:val="22"/>
          <w:szCs w:val="22"/>
          <w:u w:val="single"/>
          <w:lang w:val="sr-Latn-ME"/>
        </w:rPr>
        <w:t xml:space="preserve">  profila</w:t>
      </w:r>
    </w:p>
    <w:p w14:paraId="0F11FE3D" w14:textId="32E07CBD" w:rsidR="00DA17AE" w:rsidRPr="007A69F2" w:rsidRDefault="00260573" w:rsidP="0054395F">
      <w:pPr>
        <w:keepNext/>
        <w:spacing w:line="240" w:lineRule="auto"/>
        <w:jc w:val="both"/>
        <w:rPr>
          <w:szCs w:val="22"/>
          <w:lang w:val="sr-Latn-ME"/>
        </w:rPr>
      </w:pPr>
      <w:r w:rsidRPr="007A69F2">
        <w:rPr>
          <w:szCs w:val="22"/>
          <w:lang w:val="sr-Latn-ME"/>
        </w:rPr>
        <w:t>Bezbjednost</w:t>
      </w:r>
      <w:r w:rsidR="00D04C51" w:rsidRPr="007A69F2">
        <w:rPr>
          <w:szCs w:val="22"/>
          <w:lang w:val="sr-Latn-ME"/>
        </w:rPr>
        <w:t xml:space="preserve"> je procijenjena</w:t>
      </w:r>
      <w:r w:rsidR="00824122" w:rsidRPr="007A69F2">
        <w:rPr>
          <w:szCs w:val="22"/>
          <w:lang w:val="sr-Latn-ME"/>
        </w:rPr>
        <w:t xml:space="preserve"> u kliničkim ispitivanjima</w:t>
      </w:r>
      <w:r w:rsidR="00D04C51" w:rsidRPr="007A69F2">
        <w:rPr>
          <w:szCs w:val="22"/>
          <w:lang w:val="sr-Latn-ME"/>
        </w:rPr>
        <w:t xml:space="preserve"> </w:t>
      </w:r>
      <w:r w:rsidR="00824122" w:rsidRPr="007A69F2">
        <w:rPr>
          <w:szCs w:val="22"/>
          <w:lang w:val="sr-Latn-ME"/>
        </w:rPr>
        <w:t>kod</w:t>
      </w:r>
      <w:r w:rsidR="00D04C51" w:rsidRPr="007A69F2">
        <w:rPr>
          <w:szCs w:val="22"/>
          <w:lang w:val="sr-Latn-ME"/>
        </w:rPr>
        <w:t xml:space="preserve"> 2657 </w:t>
      </w:r>
      <w:r w:rsidRPr="007A69F2">
        <w:rPr>
          <w:szCs w:val="22"/>
          <w:lang w:val="sr-Latn-ME"/>
        </w:rPr>
        <w:t>pacijenta</w:t>
      </w:r>
      <w:r w:rsidR="00D04C51" w:rsidRPr="007A69F2">
        <w:rPr>
          <w:szCs w:val="22"/>
          <w:lang w:val="sr-Latn-ME"/>
        </w:rPr>
        <w:t xml:space="preserve"> s</w:t>
      </w:r>
      <w:r w:rsidRPr="007A69F2">
        <w:rPr>
          <w:szCs w:val="22"/>
          <w:lang w:val="sr-Latn-ME"/>
        </w:rPr>
        <w:t>a</w:t>
      </w:r>
      <w:r w:rsidR="00D04C51" w:rsidRPr="007A69F2">
        <w:rPr>
          <w:szCs w:val="22"/>
          <w:lang w:val="sr-Latn-ME"/>
        </w:rPr>
        <w:t xml:space="preserve"> migrenama koji su primili najmanje jednu dozu</w:t>
      </w:r>
      <w:r w:rsidR="00824122" w:rsidRPr="007A69F2">
        <w:rPr>
          <w:szCs w:val="22"/>
          <w:lang w:val="sr-Latn-ME"/>
        </w:rPr>
        <w:t xml:space="preserve"> lijeka</w:t>
      </w:r>
      <w:r w:rsidR="00D04C51" w:rsidRPr="007A69F2">
        <w:rPr>
          <w:szCs w:val="22"/>
          <w:lang w:val="sr-Latn-ME"/>
        </w:rPr>
        <w:t xml:space="preserve"> </w:t>
      </w:r>
      <w:proofErr w:type="spellStart"/>
      <w:r w:rsidR="00D04C51" w:rsidRPr="007A69F2">
        <w:rPr>
          <w:szCs w:val="22"/>
          <w:lang w:val="sr-Latn-ME"/>
        </w:rPr>
        <w:t>atogepant</w:t>
      </w:r>
      <w:proofErr w:type="spellEnd"/>
      <w:r w:rsidR="00D04C51" w:rsidRPr="007A69F2">
        <w:rPr>
          <w:szCs w:val="22"/>
          <w:lang w:val="sr-Latn-ME"/>
        </w:rPr>
        <w:t xml:space="preserve">. Od </w:t>
      </w:r>
      <w:r w:rsidR="00824122" w:rsidRPr="007A69F2">
        <w:rPr>
          <w:szCs w:val="22"/>
          <w:lang w:val="sr-Latn-ME"/>
        </w:rPr>
        <w:t xml:space="preserve">tih </w:t>
      </w:r>
      <w:r w:rsidRPr="007A69F2">
        <w:rPr>
          <w:szCs w:val="22"/>
          <w:lang w:val="sr-Latn-ME"/>
        </w:rPr>
        <w:t>pacijenat</w:t>
      </w:r>
      <w:r w:rsidR="00824122" w:rsidRPr="007A69F2">
        <w:rPr>
          <w:szCs w:val="22"/>
          <w:lang w:val="sr-Latn-ME"/>
        </w:rPr>
        <w:t>a</w:t>
      </w:r>
      <w:r w:rsidR="00D04C51" w:rsidRPr="007A69F2">
        <w:rPr>
          <w:szCs w:val="22"/>
          <w:lang w:val="sr-Latn-ME"/>
        </w:rPr>
        <w:t>,</w:t>
      </w:r>
      <w:r w:rsidR="00824122" w:rsidRPr="007A69F2">
        <w:rPr>
          <w:szCs w:val="22"/>
          <w:lang w:val="sr-Latn-ME"/>
        </w:rPr>
        <w:t xml:space="preserve"> njih</w:t>
      </w:r>
      <w:r w:rsidR="00D04C51" w:rsidRPr="007A69F2">
        <w:rPr>
          <w:szCs w:val="22"/>
          <w:lang w:val="sr-Latn-ME"/>
        </w:rPr>
        <w:t xml:space="preserve"> 1225 je bilo izloženo</w:t>
      </w:r>
      <w:r w:rsidR="00824122" w:rsidRPr="007A69F2">
        <w:rPr>
          <w:szCs w:val="22"/>
          <w:lang w:val="sr-Latn-ME"/>
        </w:rPr>
        <w:t xml:space="preserve"> lijeku</w:t>
      </w:r>
      <w:r w:rsidR="00D04C51" w:rsidRPr="007A69F2">
        <w:rPr>
          <w:szCs w:val="22"/>
          <w:lang w:val="sr-Latn-ME"/>
        </w:rPr>
        <w:t xml:space="preserve"> </w:t>
      </w:r>
      <w:proofErr w:type="spellStart"/>
      <w:r w:rsidR="00D04C51" w:rsidRPr="007A69F2">
        <w:rPr>
          <w:szCs w:val="22"/>
          <w:lang w:val="sr-Latn-ME"/>
        </w:rPr>
        <w:t>atogepant</w:t>
      </w:r>
      <w:proofErr w:type="spellEnd"/>
      <w:r w:rsidR="00D04C51" w:rsidRPr="007A69F2">
        <w:rPr>
          <w:szCs w:val="22"/>
          <w:lang w:val="sr-Latn-ME"/>
        </w:rPr>
        <w:t xml:space="preserve"> najmanje 6 mjeseci, a 826 </w:t>
      </w:r>
      <w:r w:rsidRPr="007A69F2">
        <w:rPr>
          <w:szCs w:val="22"/>
          <w:lang w:val="sr-Latn-ME"/>
        </w:rPr>
        <w:t>pacijenata</w:t>
      </w:r>
      <w:r w:rsidR="00D04C51" w:rsidRPr="007A69F2">
        <w:rPr>
          <w:szCs w:val="22"/>
          <w:lang w:val="sr-Latn-ME"/>
        </w:rPr>
        <w:t xml:space="preserve"> je bilo izloženo 12 mjeseci.</w:t>
      </w:r>
    </w:p>
    <w:p w14:paraId="405321C2" w14:textId="77777777" w:rsidR="00DA17AE" w:rsidRPr="007A69F2" w:rsidRDefault="00DA17AE" w:rsidP="0054395F">
      <w:pPr>
        <w:spacing w:line="240" w:lineRule="auto"/>
        <w:jc w:val="both"/>
        <w:rPr>
          <w:szCs w:val="22"/>
          <w:lang w:val="sr-Latn-ME"/>
        </w:rPr>
      </w:pPr>
    </w:p>
    <w:p w14:paraId="5042E0C6" w14:textId="0E430A2F" w:rsidR="00DA17AE" w:rsidRPr="007A69F2" w:rsidRDefault="00D04C51" w:rsidP="0054395F">
      <w:pPr>
        <w:spacing w:line="240" w:lineRule="auto"/>
        <w:jc w:val="both"/>
        <w:rPr>
          <w:szCs w:val="22"/>
          <w:lang w:val="sr-Latn-ME"/>
        </w:rPr>
      </w:pPr>
      <w:r w:rsidRPr="007A69F2">
        <w:rPr>
          <w:szCs w:val="22"/>
          <w:lang w:val="sr-Latn-ME"/>
        </w:rPr>
        <w:t xml:space="preserve">U </w:t>
      </w:r>
      <w:proofErr w:type="spellStart"/>
      <w:r w:rsidRPr="007A69F2">
        <w:rPr>
          <w:szCs w:val="22"/>
          <w:lang w:val="sr-Latn-ME"/>
        </w:rPr>
        <w:t>placebo</w:t>
      </w:r>
      <w:proofErr w:type="spellEnd"/>
      <w:r w:rsidRPr="007A69F2">
        <w:rPr>
          <w:szCs w:val="22"/>
          <w:lang w:val="sr-Latn-ME"/>
        </w:rPr>
        <w:t xml:space="preserve"> kontroli</w:t>
      </w:r>
      <w:r w:rsidR="00824122" w:rsidRPr="007A69F2">
        <w:rPr>
          <w:szCs w:val="22"/>
          <w:lang w:val="sr-Latn-ME"/>
        </w:rPr>
        <w:t>s</w:t>
      </w:r>
      <w:r w:rsidRPr="007A69F2">
        <w:rPr>
          <w:szCs w:val="22"/>
          <w:lang w:val="sr-Latn-ME"/>
        </w:rPr>
        <w:t xml:space="preserve">anim </w:t>
      </w:r>
      <w:r w:rsidR="00824122" w:rsidRPr="007A69F2">
        <w:rPr>
          <w:szCs w:val="22"/>
          <w:lang w:val="sr-Latn-ME"/>
        </w:rPr>
        <w:t>kliničkim ispitivanjima</w:t>
      </w:r>
      <w:r w:rsidRPr="007A69F2">
        <w:rPr>
          <w:szCs w:val="22"/>
          <w:lang w:val="sr-Latn-ME"/>
        </w:rPr>
        <w:t xml:space="preserve"> u trajanju od 12 </w:t>
      </w:r>
      <w:r w:rsidR="00260573" w:rsidRPr="007A69F2">
        <w:rPr>
          <w:szCs w:val="22"/>
          <w:lang w:val="sr-Latn-ME"/>
        </w:rPr>
        <w:t>ned</w:t>
      </w:r>
      <w:r w:rsidR="00313D65" w:rsidRPr="007A69F2">
        <w:rPr>
          <w:szCs w:val="22"/>
          <w:lang w:val="sr-Latn-ME"/>
        </w:rPr>
        <w:t>j</w:t>
      </w:r>
      <w:r w:rsidR="00260573" w:rsidRPr="007A69F2">
        <w:rPr>
          <w:szCs w:val="22"/>
          <w:lang w:val="sr-Latn-ME"/>
        </w:rPr>
        <w:t>elja</w:t>
      </w:r>
      <w:r w:rsidRPr="007A69F2">
        <w:rPr>
          <w:szCs w:val="22"/>
          <w:lang w:val="sr-Latn-ME"/>
        </w:rPr>
        <w:t>, 678 </w:t>
      </w:r>
      <w:r w:rsidR="00260573" w:rsidRPr="007A69F2">
        <w:rPr>
          <w:szCs w:val="22"/>
          <w:lang w:val="sr-Latn-ME"/>
        </w:rPr>
        <w:t>pacijenat</w:t>
      </w:r>
      <w:r w:rsidR="00824122" w:rsidRPr="007A69F2">
        <w:rPr>
          <w:szCs w:val="22"/>
          <w:lang w:val="sr-Latn-ME"/>
        </w:rPr>
        <w:t>a</w:t>
      </w:r>
      <w:r w:rsidRPr="007A69F2">
        <w:rPr>
          <w:szCs w:val="22"/>
          <w:lang w:val="sr-Latn-ME"/>
        </w:rPr>
        <w:t xml:space="preserve"> je primalo najmanje jednu dozu</w:t>
      </w:r>
      <w:r w:rsidR="00824122" w:rsidRPr="007A69F2">
        <w:rPr>
          <w:szCs w:val="22"/>
          <w:lang w:val="sr-Latn-ME"/>
        </w:rPr>
        <w:t xml:space="preserve"> lijeka</w:t>
      </w:r>
      <w:r w:rsidRPr="007A69F2">
        <w:rPr>
          <w:szCs w:val="22"/>
          <w:lang w:val="sr-Latn-ME"/>
        </w:rPr>
        <w:t xml:space="preserve"> </w:t>
      </w:r>
      <w:proofErr w:type="spellStart"/>
      <w:r w:rsidRPr="007A69F2">
        <w:rPr>
          <w:szCs w:val="22"/>
          <w:lang w:val="sr-Latn-ME"/>
        </w:rPr>
        <w:t>atogepant</w:t>
      </w:r>
      <w:proofErr w:type="spellEnd"/>
      <w:r w:rsidRPr="007A69F2">
        <w:rPr>
          <w:szCs w:val="22"/>
          <w:lang w:val="sr-Latn-ME"/>
        </w:rPr>
        <w:t xml:space="preserve"> od 60 mg jednom dnevno, a 663 </w:t>
      </w:r>
      <w:r w:rsidR="00260573" w:rsidRPr="007A69F2">
        <w:rPr>
          <w:szCs w:val="22"/>
          <w:lang w:val="sr-Latn-ME"/>
        </w:rPr>
        <w:t>pacijenat</w:t>
      </w:r>
      <w:r w:rsidR="00824122" w:rsidRPr="007A69F2">
        <w:rPr>
          <w:szCs w:val="22"/>
          <w:lang w:val="sr-Latn-ME"/>
        </w:rPr>
        <w:t>a</w:t>
      </w:r>
      <w:r w:rsidRPr="007A69F2">
        <w:rPr>
          <w:szCs w:val="22"/>
          <w:lang w:val="sr-Latn-ME"/>
        </w:rPr>
        <w:t xml:space="preserve"> je primalo </w:t>
      </w:r>
      <w:proofErr w:type="spellStart"/>
      <w:r w:rsidRPr="007A69F2">
        <w:rPr>
          <w:szCs w:val="22"/>
          <w:lang w:val="sr-Latn-ME"/>
        </w:rPr>
        <w:t>placebo</w:t>
      </w:r>
      <w:proofErr w:type="spellEnd"/>
      <w:r w:rsidRPr="007A69F2">
        <w:rPr>
          <w:szCs w:val="22"/>
          <w:lang w:val="sr-Latn-ME"/>
        </w:rPr>
        <w:t>.</w:t>
      </w:r>
    </w:p>
    <w:p w14:paraId="30B5E8D8" w14:textId="77777777" w:rsidR="00DA17AE" w:rsidRPr="007A69F2" w:rsidRDefault="00DA17AE" w:rsidP="0054395F">
      <w:pPr>
        <w:spacing w:line="240" w:lineRule="auto"/>
        <w:jc w:val="both"/>
        <w:rPr>
          <w:szCs w:val="22"/>
          <w:lang w:val="sr-Latn-ME"/>
        </w:rPr>
      </w:pPr>
    </w:p>
    <w:p w14:paraId="4DB262EF" w14:textId="32FEA6BB" w:rsidR="00DA17AE" w:rsidRPr="007A69F2" w:rsidRDefault="00D04C51" w:rsidP="0054395F">
      <w:pPr>
        <w:spacing w:line="240" w:lineRule="auto"/>
        <w:jc w:val="both"/>
        <w:rPr>
          <w:szCs w:val="22"/>
          <w:lang w:val="sr-Latn-ME"/>
        </w:rPr>
      </w:pPr>
      <w:r w:rsidRPr="007A69F2">
        <w:rPr>
          <w:szCs w:val="22"/>
          <w:lang w:val="sr-Latn-ME"/>
        </w:rPr>
        <w:t>Najčešće prijavljen</w:t>
      </w:r>
      <w:r w:rsidR="00260573" w:rsidRPr="007A69F2">
        <w:rPr>
          <w:szCs w:val="22"/>
          <w:lang w:val="sr-Latn-ME"/>
        </w:rPr>
        <w:t>a</w:t>
      </w:r>
      <w:r w:rsidRPr="007A69F2">
        <w:rPr>
          <w:szCs w:val="22"/>
          <w:lang w:val="sr-Latn-ME"/>
        </w:rPr>
        <w:t xml:space="preserve"> neželjen</w:t>
      </w:r>
      <w:r w:rsidR="00260573" w:rsidRPr="007A69F2">
        <w:rPr>
          <w:szCs w:val="22"/>
          <w:lang w:val="sr-Latn-ME"/>
        </w:rPr>
        <w:t>a</w:t>
      </w:r>
      <w:r w:rsidRPr="007A69F2">
        <w:rPr>
          <w:szCs w:val="22"/>
          <w:lang w:val="sr-Latn-ME"/>
        </w:rPr>
        <w:t xml:space="preserve"> </w:t>
      </w:r>
      <w:r w:rsidR="00260573" w:rsidRPr="007A69F2">
        <w:rPr>
          <w:szCs w:val="22"/>
          <w:lang w:val="sr-Latn-ME"/>
        </w:rPr>
        <w:t>dejstva</w:t>
      </w:r>
      <w:r w:rsidRPr="007A69F2">
        <w:rPr>
          <w:szCs w:val="22"/>
          <w:lang w:val="sr-Latn-ME"/>
        </w:rPr>
        <w:t xml:space="preserve"> na lijek bile su mučnina (9%), </w:t>
      </w:r>
      <w:r w:rsidR="00824122" w:rsidRPr="007A69F2">
        <w:rPr>
          <w:szCs w:val="22"/>
          <w:lang w:val="sr-Latn-ME"/>
        </w:rPr>
        <w:t>konstipacija</w:t>
      </w:r>
      <w:r w:rsidRPr="007A69F2">
        <w:rPr>
          <w:szCs w:val="22"/>
          <w:lang w:val="sr-Latn-ME"/>
        </w:rPr>
        <w:t xml:space="preserve"> (8%) i </w:t>
      </w:r>
      <w:r w:rsidR="00735FD4" w:rsidRPr="007A69F2">
        <w:rPr>
          <w:szCs w:val="22"/>
          <w:lang w:val="sr-Latn-ME"/>
        </w:rPr>
        <w:t>u</w:t>
      </w:r>
      <w:r w:rsidR="00824122" w:rsidRPr="007A69F2">
        <w:rPr>
          <w:szCs w:val="22"/>
          <w:lang w:val="sr-Latn-ME"/>
        </w:rPr>
        <w:t>mor</w:t>
      </w:r>
      <w:r w:rsidRPr="007A69F2">
        <w:rPr>
          <w:szCs w:val="22"/>
          <w:lang w:val="sr-Latn-ME"/>
        </w:rPr>
        <w:t>/</w:t>
      </w:r>
      <w:proofErr w:type="spellStart"/>
      <w:r w:rsidR="00824122" w:rsidRPr="007A69F2">
        <w:rPr>
          <w:szCs w:val="22"/>
          <w:lang w:val="sr-Latn-ME"/>
        </w:rPr>
        <w:t>somnolencija</w:t>
      </w:r>
      <w:proofErr w:type="spellEnd"/>
      <w:r w:rsidRPr="007A69F2">
        <w:rPr>
          <w:szCs w:val="22"/>
          <w:lang w:val="sr-Latn-ME"/>
        </w:rPr>
        <w:t xml:space="preserve"> (5%). Većina reakcija su bile blage ili umjerene težine. Neželjen</w:t>
      </w:r>
      <w:r w:rsidR="00260573" w:rsidRPr="007A69F2">
        <w:rPr>
          <w:szCs w:val="22"/>
          <w:lang w:val="sr-Latn-ME"/>
        </w:rPr>
        <w:t>o</w:t>
      </w:r>
      <w:r w:rsidRPr="007A69F2">
        <w:rPr>
          <w:szCs w:val="22"/>
          <w:lang w:val="sr-Latn-ME"/>
        </w:rPr>
        <w:t xml:space="preserve"> </w:t>
      </w:r>
      <w:r w:rsidR="00260573" w:rsidRPr="007A69F2">
        <w:rPr>
          <w:szCs w:val="22"/>
          <w:lang w:val="sr-Latn-ME"/>
        </w:rPr>
        <w:t>dejstvo</w:t>
      </w:r>
      <w:r w:rsidRPr="007A69F2">
        <w:rPr>
          <w:szCs w:val="22"/>
          <w:lang w:val="sr-Latn-ME"/>
        </w:rPr>
        <w:t xml:space="preserve"> ko</w:t>
      </w:r>
      <w:r w:rsidR="00260573" w:rsidRPr="007A69F2">
        <w:rPr>
          <w:szCs w:val="22"/>
          <w:lang w:val="sr-Latn-ME"/>
        </w:rPr>
        <w:t>je</w:t>
      </w:r>
      <w:r w:rsidRPr="007A69F2">
        <w:rPr>
          <w:szCs w:val="22"/>
          <w:lang w:val="sr-Latn-ME"/>
        </w:rPr>
        <w:t xml:space="preserve"> </w:t>
      </w:r>
      <w:r w:rsidR="00260573" w:rsidRPr="007A69F2">
        <w:rPr>
          <w:szCs w:val="22"/>
          <w:lang w:val="sr-Latn-ME"/>
        </w:rPr>
        <w:t xml:space="preserve">je </w:t>
      </w:r>
      <w:r w:rsidRPr="007A69F2">
        <w:rPr>
          <w:szCs w:val="22"/>
          <w:lang w:val="sr-Latn-ME"/>
        </w:rPr>
        <w:t>najčešće dovel</w:t>
      </w:r>
      <w:r w:rsidR="00260573" w:rsidRPr="007A69F2">
        <w:rPr>
          <w:szCs w:val="22"/>
          <w:lang w:val="sr-Latn-ME"/>
        </w:rPr>
        <w:t>o</w:t>
      </w:r>
      <w:r w:rsidRPr="007A69F2">
        <w:rPr>
          <w:szCs w:val="22"/>
          <w:lang w:val="sr-Latn-ME"/>
        </w:rPr>
        <w:t xml:space="preserve"> do prekida uzimanja lijeka</w:t>
      </w:r>
      <w:r w:rsidR="00A8395C" w:rsidRPr="007A69F2">
        <w:rPr>
          <w:szCs w:val="22"/>
          <w:lang w:val="sr-Latn-ME"/>
        </w:rPr>
        <w:t xml:space="preserve"> je</w:t>
      </w:r>
      <w:r w:rsidRPr="007A69F2">
        <w:rPr>
          <w:szCs w:val="22"/>
          <w:lang w:val="sr-Latn-ME"/>
        </w:rPr>
        <w:t xml:space="preserve"> bil</w:t>
      </w:r>
      <w:r w:rsidR="00260573" w:rsidRPr="007A69F2">
        <w:rPr>
          <w:szCs w:val="22"/>
          <w:lang w:val="sr-Latn-ME"/>
        </w:rPr>
        <w:t>o</w:t>
      </w:r>
      <w:r w:rsidRPr="007A69F2">
        <w:rPr>
          <w:szCs w:val="22"/>
          <w:lang w:val="sr-Latn-ME"/>
        </w:rPr>
        <w:t xml:space="preserve"> mučnina (0,4%).</w:t>
      </w:r>
    </w:p>
    <w:p w14:paraId="4F8A5B11" w14:textId="77777777" w:rsidR="00DA17AE" w:rsidRPr="007A69F2" w:rsidRDefault="00DA17AE" w:rsidP="0054395F">
      <w:pPr>
        <w:spacing w:line="240" w:lineRule="auto"/>
        <w:jc w:val="both"/>
        <w:rPr>
          <w:szCs w:val="22"/>
          <w:lang w:val="sr-Latn-ME"/>
        </w:rPr>
      </w:pPr>
    </w:p>
    <w:p w14:paraId="06CFBF79" w14:textId="77777777" w:rsidR="00260573" w:rsidRPr="007A69F2" w:rsidRDefault="00260573" w:rsidP="00405FD8">
      <w:pPr>
        <w:keepNext/>
        <w:autoSpaceDE w:val="0"/>
        <w:autoSpaceDN w:val="0"/>
        <w:adjustRightInd w:val="0"/>
        <w:spacing w:line="240" w:lineRule="auto"/>
        <w:contextualSpacing/>
        <w:jc w:val="both"/>
        <w:rPr>
          <w:szCs w:val="22"/>
          <w:u w:val="single"/>
          <w:lang w:val="sr-Latn-ME"/>
        </w:rPr>
      </w:pPr>
      <w:bookmarkStart w:id="11" w:name="_Hlk119077235"/>
      <w:r w:rsidRPr="007A69F2">
        <w:rPr>
          <w:szCs w:val="22"/>
          <w:u w:val="single"/>
          <w:lang w:val="sr-Latn-ME"/>
        </w:rPr>
        <w:t>Tabelarni prikaz neželjenih dejstava</w:t>
      </w:r>
    </w:p>
    <w:p w14:paraId="53C50F8C" w14:textId="6F650D8C" w:rsidR="00DA17AE" w:rsidRPr="007A69F2" w:rsidRDefault="00D04C51" w:rsidP="002C0B33">
      <w:pPr>
        <w:spacing w:line="240" w:lineRule="auto"/>
        <w:jc w:val="both"/>
        <w:rPr>
          <w:szCs w:val="22"/>
          <w:lang w:val="sr-Latn-ME"/>
        </w:rPr>
      </w:pPr>
      <w:r w:rsidRPr="007A69F2">
        <w:rPr>
          <w:szCs w:val="22"/>
          <w:lang w:val="sr-Latn-ME"/>
        </w:rPr>
        <w:t>Neželjen</w:t>
      </w:r>
      <w:r w:rsidR="00260573" w:rsidRPr="007A69F2">
        <w:rPr>
          <w:szCs w:val="22"/>
          <w:lang w:val="sr-Latn-ME"/>
        </w:rPr>
        <w:t>a</w:t>
      </w:r>
      <w:r w:rsidRPr="007A69F2">
        <w:rPr>
          <w:szCs w:val="22"/>
          <w:lang w:val="sr-Latn-ME"/>
        </w:rPr>
        <w:t xml:space="preserve"> </w:t>
      </w:r>
      <w:r w:rsidR="00260573" w:rsidRPr="007A69F2">
        <w:rPr>
          <w:szCs w:val="22"/>
          <w:lang w:val="sr-Latn-ME"/>
        </w:rPr>
        <w:t>dejstva</w:t>
      </w:r>
      <w:r w:rsidRPr="007A69F2">
        <w:rPr>
          <w:szCs w:val="22"/>
          <w:lang w:val="sr-Latn-ME"/>
        </w:rPr>
        <w:t xml:space="preserve"> </w:t>
      </w:r>
      <w:r w:rsidR="00A8395C" w:rsidRPr="007A69F2">
        <w:rPr>
          <w:szCs w:val="22"/>
          <w:lang w:val="sr-Latn-ME"/>
        </w:rPr>
        <w:t>zabilježen</w:t>
      </w:r>
      <w:r w:rsidR="00260573" w:rsidRPr="007A69F2">
        <w:rPr>
          <w:szCs w:val="22"/>
          <w:lang w:val="sr-Latn-ME"/>
        </w:rPr>
        <w:t>a</w:t>
      </w:r>
      <w:r w:rsidRPr="007A69F2">
        <w:rPr>
          <w:szCs w:val="22"/>
          <w:lang w:val="sr-Latn-ME"/>
        </w:rPr>
        <w:t xml:space="preserve"> u kliničkim ispitivanjima i </w:t>
      </w:r>
      <w:r w:rsidR="00A8395C" w:rsidRPr="007A69F2">
        <w:rPr>
          <w:szCs w:val="22"/>
          <w:lang w:val="sr-Latn-ME"/>
        </w:rPr>
        <w:t xml:space="preserve">u periodu </w:t>
      </w:r>
      <w:r w:rsidRPr="007A69F2">
        <w:rPr>
          <w:szCs w:val="22"/>
          <w:lang w:val="sr-Latn-ME"/>
        </w:rPr>
        <w:t>nakon stavljanja</w:t>
      </w:r>
      <w:r w:rsidR="00A8395C" w:rsidRPr="007A69F2">
        <w:rPr>
          <w:szCs w:val="22"/>
          <w:lang w:val="sr-Latn-ME"/>
        </w:rPr>
        <w:t xml:space="preserve"> lijeka</w:t>
      </w:r>
      <w:r w:rsidRPr="007A69F2">
        <w:rPr>
          <w:szCs w:val="22"/>
          <w:lang w:val="sr-Latn-ME"/>
        </w:rPr>
        <w:t xml:space="preserve"> </w:t>
      </w:r>
      <w:r w:rsidR="00A8395C" w:rsidRPr="007A69F2">
        <w:rPr>
          <w:szCs w:val="22"/>
          <w:lang w:val="sr-Latn-ME"/>
        </w:rPr>
        <w:t>u promet</w:t>
      </w:r>
      <w:r w:rsidRPr="007A69F2">
        <w:rPr>
          <w:szCs w:val="22"/>
          <w:lang w:val="sr-Latn-ME"/>
        </w:rPr>
        <w:t xml:space="preserve"> </w:t>
      </w:r>
      <w:r w:rsidR="00A8395C" w:rsidRPr="007A69F2">
        <w:rPr>
          <w:szCs w:val="22"/>
          <w:lang w:val="sr-Latn-ME"/>
        </w:rPr>
        <w:t xml:space="preserve">su </w:t>
      </w:r>
      <w:r w:rsidRPr="007A69F2">
        <w:rPr>
          <w:szCs w:val="22"/>
          <w:lang w:val="sr-Latn-ME"/>
        </w:rPr>
        <w:t>naveden</w:t>
      </w:r>
      <w:r w:rsidR="00260573" w:rsidRPr="007A69F2">
        <w:rPr>
          <w:szCs w:val="22"/>
          <w:lang w:val="sr-Latn-ME"/>
        </w:rPr>
        <w:t>a</w:t>
      </w:r>
      <w:r w:rsidRPr="007A69F2">
        <w:rPr>
          <w:szCs w:val="22"/>
          <w:lang w:val="sr-Latn-ME"/>
        </w:rPr>
        <w:t xml:space="preserve"> u nastavku prema klasifikaciji organskih sistema i učestalosti, počevši od najčešćih</w:t>
      </w:r>
      <w:r w:rsidR="00A8395C" w:rsidRPr="007A69F2">
        <w:rPr>
          <w:szCs w:val="22"/>
          <w:lang w:val="sr-Latn-ME"/>
        </w:rPr>
        <w:t xml:space="preserve"> neželjenih</w:t>
      </w:r>
      <w:r w:rsidRPr="007A69F2">
        <w:rPr>
          <w:szCs w:val="22"/>
          <w:lang w:val="sr-Latn-ME"/>
        </w:rPr>
        <w:t xml:space="preserve"> </w:t>
      </w:r>
      <w:r w:rsidR="00260573" w:rsidRPr="007A69F2">
        <w:rPr>
          <w:szCs w:val="22"/>
          <w:lang w:val="sr-Latn-ME"/>
        </w:rPr>
        <w:t>dejstava</w:t>
      </w:r>
      <w:r w:rsidRPr="007A69F2">
        <w:rPr>
          <w:szCs w:val="22"/>
          <w:lang w:val="sr-Latn-ME"/>
        </w:rPr>
        <w:t>. Učestalosti su defini</w:t>
      </w:r>
      <w:r w:rsidR="00A8395C" w:rsidRPr="007A69F2">
        <w:rPr>
          <w:szCs w:val="22"/>
          <w:lang w:val="sr-Latn-ME"/>
        </w:rPr>
        <w:t>s</w:t>
      </w:r>
      <w:r w:rsidRPr="007A69F2">
        <w:rPr>
          <w:szCs w:val="22"/>
          <w:lang w:val="sr-Latn-ME"/>
        </w:rPr>
        <w:t xml:space="preserve">ane </w:t>
      </w:r>
      <w:r w:rsidR="00A8395C" w:rsidRPr="007A69F2">
        <w:rPr>
          <w:szCs w:val="22"/>
          <w:lang w:val="sr-Latn-ME"/>
        </w:rPr>
        <w:t>na sljedeći način</w:t>
      </w:r>
      <w:r w:rsidRPr="007A69F2">
        <w:rPr>
          <w:szCs w:val="22"/>
          <w:lang w:val="sr-Latn-ME"/>
        </w:rPr>
        <w:t xml:space="preserve">: vrlo često (≥ 1/10), često (≥ 1/100 i &lt; 1/10), manje često (≥ 1/1 000 i &lt; 1/100), rijetko (≥ 1/10 000 i &lt; 1/1 000), vrlo rijetko (&lt; 1/10 000) i nepoznato (ne može se procijeniti iz dostupnih podataka). </w:t>
      </w:r>
      <w:bookmarkStart w:id="12" w:name="_Hlk117505044"/>
      <w:r w:rsidRPr="007A69F2">
        <w:rPr>
          <w:szCs w:val="22"/>
          <w:lang w:val="sr-Latn-ME"/>
        </w:rPr>
        <w:t>Unutar svake grupe učestalosti</w:t>
      </w:r>
      <w:r w:rsidR="00A8395C" w:rsidRPr="007A69F2">
        <w:rPr>
          <w:szCs w:val="22"/>
          <w:lang w:val="sr-Latn-ME"/>
        </w:rPr>
        <w:t>,</w:t>
      </w:r>
      <w:r w:rsidRPr="007A69F2">
        <w:rPr>
          <w:szCs w:val="22"/>
          <w:lang w:val="sr-Latn-ME"/>
        </w:rPr>
        <w:t xml:space="preserve"> n</w:t>
      </w:r>
      <w:r w:rsidR="00A8395C" w:rsidRPr="007A69F2">
        <w:rPr>
          <w:szCs w:val="22"/>
          <w:lang w:val="sr-Latn-ME"/>
        </w:rPr>
        <w:t>eželjen</w:t>
      </w:r>
      <w:r w:rsidR="00260573" w:rsidRPr="007A69F2">
        <w:rPr>
          <w:szCs w:val="22"/>
          <w:lang w:val="sr-Latn-ME"/>
        </w:rPr>
        <w:t>a</w:t>
      </w:r>
      <w:r w:rsidR="00A8395C" w:rsidRPr="007A69F2">
        <w:rPr>
          <w:szCs w:val="22"/>
          <w:lang w:val="sr-Latn-ME"/>
        </w:rPr>
        <w:t xml:space="preserve"> </w:t>
      </w:r>
      <w:r w:rsidR="00260573" w:rsidRPr="007A69F2">
        <w:rPr>
          <w:szCs w:val="22"/>
          <w:lang w:val="sr-Latn-ME"/>
        </w:rPr>
        <w:t>dejstva</w:t>
      </w:r>
      <w:r w:rsidRPr="007A69F2">
        <w:rPr>
          <w:szCs w:val="22"/>
          <w:lang w:val="sr-Latn-ME"/>
        </w:rPr>
        <w:t xml:space="preserve"> su prikazan</w:t>
      </w:r>
      <w:r w:rsidR="00260573" w:rsidRPr="007A69F2">
        <w:rPr>
          <w:szCs w:val="22"/>
          <w:lang w:val="sr-Latn-ME"/>
        </w:rPr>
        <w:t>a</w:t>
      </w:r>
      <w:r w:rsidRPr="007A69F2">
        <w:rPr>
          <w:szCs w:val="22"/>
          <w:lang w:val="sr-Latn-ME"/>
        </w:rPr>
        <w:t xml:space="preserve"> padajućim </w:t>
      </w:r>
      <w:proofErr w:type="spellStart"/>
      <w:r w:rsidRPr="007A69F2">
        <w:rPr>
          <w:szCs w:val="22"/>
          <w:lang w:val="sr-Latn-ME"/>
        </w:rPr>
        <w:t>redosljedom</w:t>
      </w:r>
      <w:proofErr w:type="spellEnd"/>
      <w:r w:rsidRPr="007A69F2">
        <w:rPr>
          <w:szCs w:val="22"/>
          <w:lang w:val="sr-Latn-ME"/>
        </w:rPr>
        <w:t xml:space="preserve"> prema </w:t>
      </w:r>
      <w:r w:rsidR="003F3267" w:rsidRPr="007A69F2">
        <w:rPr>
          <w:szCs w:val="22"/>
          <w:lang w:val="sr-Latn-ME"/>
        </w:rPr>
        <w:t>ozbiljnosti</w:t>
      </w:r>
      <w:r w:rsidRPr="007A69F2">
        <w:rPr>
          <w:szCs w:val="22"/>
          <w:lang w:val="sr-Latn-ME"/>
        </w:rPr>
        <w:t>.</w:t>
      </w:r>
      <w:bookmarkEnd w:id="12"/>
    </w:p>
    <w:p w14:paraId="6F0E4133" w14:textId="6EC202CF" w:rsidR="00313D65" w:rsidRPr="007A69F2" w:rsidRDefault="00313D65" w:rsidP="002C0B33">
      <w:pPr>
        <w:spacing w:line="240" w:lineRule="auto"/>
        <w:jc w:val="both"/>
        <w:rPr>
          <w:szCs w:val="22"/>
          <w:lang w:val="sr-Latn-ME"/>
        </w:rPr>
      </w:pPr>
    </w:p>
    <w:p w14:paraId="23F2A135" w14:textId="12C59FAF" w:rsidR="00313D65" w:rsidRPr="007A69F2" w:rsidRDefault="00313D65" w:rsidP="000B10D9">
      <w:pPr>
        <w:widowControl w:val="0"/>
        <w:autoSpaceDE w:val="0"/>
        <w:autoSpaceDN w:val="0"/>
        <w:adjustRightInd w:val="0"/>
        <w:spacing w:line="240" w:lineRule="auto"/>
        <w:rPr>
          <w:szCs w:val="22"/>
          <w:lang w:val="sr-Latn-ME"/>
        </w:rPr>
      </w:pPr>
      <w:r w:rsidRPr="007A69F2">
        <w:rPr>
          <w:b/>
          <w:szCs w:val="22"/>
          <w:lang w:val="sr-Latn-ME"/>
        </w:rPr>
        <w:t>Tabela 2</w:t>
      </w:r>
      <w:r w:rsidR="005A6D9D" w:rsidRPr="007A69F2">
        <w:rPr>
          <w:b/>
          <w:szCs w:val="22"/>
          <w:lang w:val="sr-Latn-ME"/>
        </w:rPr>
        <w:t>:</w:t>
      </w:r>
      <w:r w:rsidRPr="007A69F2">
        <w:rPr>
          <w:b/>
          <w:szCs w:val="22"/>
          <w:lang w:val="sr-Latn-ME"/>
        </w:rPr>
        <w:t xml:space="preserve"> Neželjena dejstva zabilježena u toku primjene lijeka </w:t>
      </w:r>
      <w:proofErr w:type="spellStart"/>
      <w:r w:rsidRPr="007A69F2">
        <w:rPr>
          <w:b/>
          <w:szCs w:val="22"/>
          <w:lang w:val="sr-Latn-ME"/>
        </w:rPr>
        <w:t>atogepant</w:t>
      </w:r>
      <w:proofErr w:type="spellEnd"/>
    </w:p>
    <w:tbl>
      <w:tblPr>
        <w:tblpPr w:leftFromText="180" w:rightFromText="180" w:vertAnchor="text" w:horzAnchor="margin" w:tblpY="177"/>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95"/>
        <w:gridCol w:w="1440"/>
        <w:gridCol w:w="3891"/>
      </w:tblGrid>
      <w:tr w:rsidR="00CD6C8D" w:rsidRPr="007A69F2" w14:paraId="0978D89B" w14:textId="77777777" w:rsidTr="006074EE">
        <w:tc>
          <w:tcPr>
            <w:tcW w:w="3595" w:type="dxa"/>
            <w:shd w:val="clear" w:color="auto" w:fill="auto"/>
          </w:tcPr>
          <w:p w14:paraId="6F39B9B8" w14:textId="77777777" w:rsidR="00CD6C8D" w:rsidRPr="007A69F2" w:rsidRDefault="00CD6C8D" w:rsidP="00313D65">
            <w:pPr>
              <w:spacing w:line="240" w:lineRule="auto"/>
              <w:jc w:val="both"/>
              <w:rPr>
                <w:b/>
                <w:szCs w:val="22"/>
                <w:lang w:val="sr-Latn-ME"/>
              </w:rPr>
            </w:pPr>
            <w:r w:rsidRPr="007A69F2">
              <w:rPr>
                <w:b/>
                <w:szCs w:val="22"/>
                <w:lang w:val="sr-Latn-ME"/>
              </w:rPr>
              <w:t>Klasifikacija organskih sistema</w:t>
            </w:r>
          </w:p>
        </w:tc>
        <w:tc>
          <w:tcPr>
            <w:tcW w:w="1440" w:type="dxa"/>
            <w:shd w:val="clear" w:color="auto" w:fill="auto"/>
          </w:tcPr>
          <w:p w14:paraId="749427FD" w14:textId="77777777" w:rsidR="00CD6C8D" w:rsidRPr="007A69F2" w:rsidRDefault="00CD6C8D" w:rsidP="00313D65">
            <w:pPr>
              <w:spacing w:line="240" w:lineRule="auto"/>
              <w:jc w:val="both"/>
              <w:rPr>
                <w:b/>
                <w:szCs w:val="22"/>
                <w:lang w:val="sr-Latn-ME"/>
              </w:rPr>
            </w:pPr>
            <w:r w:rsidRPr="007A69F2">
              <w:rPr>
                <w:b/>
                <w:szCs w:val="22"/>
                <w:lang w:val="sr-Latn-ME"/>
              </w:rPr>
              <w:t>Učestalost</w:t>
            </w:r>
          </w:p>
        </w:tc>
        <w:tc>
          <w:tcPr>
            <w:tcW w:w="3891" w:type="dxa"/>
            <w:shd w:val="clear" w:color="auto" w:fill="auto"/>
          </w:tcPr>
          <w:p w14:paraId="72CEFACF" w14:textId="77777777" w:rsidR="00CD6C8D" w:rsidRPr="007A69F2" w:rsidRDefault="00CD6C8D" w:rsidP="00313D65">
            <w:pPr>
              <w:widowControl w:val="0"/>
              <w:autoSpaceDE w:val="0"/>
              <w:autoSpaceDN w:val="0"/>
              <w:adjustRightInd w:val="0"/>
              <w:spacing w:line="240" w:lineRule="auto"/>
              <w:jc w:val="both"/>
              <w:rPr>
                <w:b/>
                <w:szCs w:val="22"/>
                <w:lang w:val="sr-Latn-ME"/>
              </w:rPr>
            </w:pPr>
            <w:r w:rsidRPr="007A69F2">
              <w:rPr>
                <w:b/>
                <w:szCs w:val="22"/>
                <w:lang w:val="sr-Latn-ME"/>
              </w:rPr>
              <w:t>Neželjena reakcija</w:t>
            </w:r>
          </w:p>
        </w:tc>
      </w:tr>
      <w:tr w:rsidR="00CD6C8D" w:rsidRPr="007A69F2" w14:paraId="447766D4" w14:textId="77777777" w:rsidTr="006074EE">
        <w:tc>
          <w:tcPr>
            <w:tcW w:w="3595" w:type="dxa"/>
            <w:shd w:val="clear" w:color="auto" w:fill="auto"/>
          </w:tcPr>
          <w:p w14:paraId="7C1A5A18" w14:textId="77777777" w:rsidR="00CD6C8D" w:rsidRPr="007A69F2" w:rsidRDefault="00CD6C8D" w:rsidP="00313D65">
            <w:pPr>
              <w:spacing w:line="240" w:lineRule="auto"/>
              <w:jc w:val="both"/>
              <w:rPr>
                <w:szCs w:val="22"/>
                <w:lang w:val="sr-Latn-ME"/>
              </w:rPr>
            </w:pPr>
            <w:r w:rsidRPr="007A69F2">
              <w:rPr>
                <w:szCs w:val="22"/>
                <w:lang w:val="sr-Latn-ME"/>
              </w:rPr>
              <w:t>Poremećaji imunološkog sistema</w:t>
            </w:r>
          </w:p>
        </w:tc>
        <w:tc>
          <w:tcPr>
            <w:tcW w:w="1440" w:type="dxa"/>
            <w:shd w:val="clear" w:color="auto" w:fill="auto"/>
          </w:tcPr>
          <w:p w14:paraId="6EC255E5" w14:textId="77777777" w:rsidR="00CD6C8D" w:rsidRPr="007A69F2" w:rsidRDefault="00CD6C8D" w:rsidP="00313D65">
            <w:pPr>
              <w:spacing w:line="240" w:lineRule="auto"/>
              <w:jc w:val="both"/>
              <w:rPr>
                <w:szCs w:val="22"/>
                <w:lang w:val="sr-Latn-ME"/>
              </w:rPr>
            </w:pPr>
            <w:r w:rsidRPr="007A69F2">
              <w:rPr>
                <w:szCs w:val="22"/>
                <w:lang w:val="sr-Latn-ME"/>
              </w:rPr>
              <w:t>Nepoznato</w:t>
            </w:r>
          </w:p>
        </w:tc>
        <w:tc>
          <w:tcPr>
            <w:tcW w:w="3891" w:type="dxa"/>
            <w:shd w:val="clear" w:color="auto" w:fill="auto"/>
          </w:tcPr>
          <w:p w14:paraId="58FEDD2A" w14:textId="428BBEBC" w:rsidR="00CD6C8D" w:rsidRPr="007A69F2" w:rsidRDefault="00CD6C8D" w:rsidP="00313D65">
            <w:pPr>
              <w:spacing w:line="240" w:lineRule="auto"/>
              <w:jc w:val="both"/>
              <w:rPr>
                <w:szCs w:val="22"/>
                <w:lang w:val="sr-Latn-ME"/>
              </w:rPr>
            </w:pPr>
            <w:r w:rsidRPr="007A69F2">
              <w:rPr>
                <w:szCs w:val="22"/>
                <w:lang w:val="sr-Latn-ME"/>
              </w:rPr>
              <w:t xml:space="preserve">Preosjetljivost (npr. </w:t>
            </w:r>
            <w:proofErr w:type="spellStart"/>
            <w:r w:rsidRPr="007A69F2">
              <w:rPr>
                <w:szCs w:val="22"/>
                <w:lang w:val="sr-Latn-ME"/>
              </w:rPr>
              <w:t>anafilaksa</w:t>
            </w:r>
            <w:proofErr w:type="spellEnd"/>
            <w:r w:rsidRPr="007A69F2">
              <w:rPr>
                <w:szCs w:val="22"/>
                <w:lang w:val="sr-Latn-ME"/>
              </w:rPr>
              <w:t>,</w:t>
            </w:r>
            <w:r w:rsidR="00B545EE" w:rsidRPr="007A69F2">
              <w:rPr>
                <w:szCs w:val="22"/>
                <w:lang w:val="sr-Latn-ME"/>
              </w:rPr>
              <w:t xml:space="preserve"> </w:t>
            </w:r>
            <w:proofErr w:type="spellStart"/>
            <w:r w:rsidRPr="007A69F2">
              <w:rPr>
                <w:szCs w:val="22"/>
                <w:lang w:val="sr-Latn-ME"/>
              </w:rPr>
              <w:t>dispneja</w:t>
            </w:r>
            <w:proofErr w:type="spellEnd"/>
            <w:r w:rsidRPr="007A69F2">
              <w:rPr>
                <w:szCs w:val="22"/>
                <w:lang w:val="sr-Latn-ME"/>
              </w:rPr>
              <w:t xml:space="preserve">, osip, </w:t>
            </w:r>
            <w:proofErr w:type="spellStart"/>
            <w:r w:rsidRPr="007A69F2">
              <w:rPr>
                <w:szCs w:val="22"/>
                <w:lang w:val="sr-Latn-ME"/>
              </w:rPr>
              <w:t>pruritus</w:t>
            </w:r>
            <w:proofErr w:type="spellEnd"/>
            <w:r w:rsidRPr="007A69F2">
              <w:rPr>
                <w:szCs w:val="22"/>
                <w:lang w:val="sr-Latn-ME"/>
              </w:rPr>
              <w:t xml:space="preserve">, urtikarija, </w:t>
            </w:r>
            <w:proofErr w:type="spellStart"/>
            <w:r w:rsidRPr="007A69F2">
              <w:rPr>
                <w:szCs w:val="22"/>
                <w:lang w:val="sr-Latn-ME"/>
              </w:rPr>
              <w:t>edem</w:t>
            </w:r>
            <w:proofErr w:type="spellEnd"/>
            <w:r w:rsidRPr="007A69F2">
              <w:rPr>
                <w:szCs w:val="22"/>
                <w:lang w:val="sr-Latn-ME"/>
              </w:rPr>
              <w:t xml:space="preserve"> lica)</w:t>
            </w:r>
          </w:p>
        </w:tc>
      </w:tr>
      <w:tr w:rsidR="00CD6C8D" w:rsidRPr="007A69F2" w14:paraId="3405E43A" w14:textId="77777777" w:rsidTr="006074EE">
        <w:tc>
          <w:tcPr>
            <w:tcW w:w="3595" w:type="dxa"/>
            <w:shd w:val="clear" w:color="auto" w:fill="auto"/>
          </w:tcPr>
          <w:p w14:paraId="33B0B34D" w14:textId="77777777" w:rsidR="00CD6C8D" w:rsidRPr="007A69F2" w:rsidRDefault="00CD6C8D" w:rsidP="00313D65">
            <w:pPr>
              <w:spacing w:line="240" w:lineRule="auto"/>
              <w:jc w:val="both"/>
              <w:rPr>
                <w:szCs w:val="22"/>
                <w:lang w:val="sr-Latn-ME"/>
              </w:rPr>
            </w:pPr>
            <w:r w:rsidRPr="007A69F2">
              <w:rPr>
                <w:szCs w:val="22"/>
                <w:lang w:val="sr-Latn-ME"/>
              </w:rPr>
              <w:t>Poremećaji metabolizma i ishrane</w:t>
            </w:r>
          </w:p>
        </w:tc>
        <w:tc>
          <w:tcPr>
            <w:tcW w:w="1440" w:type="dxa"/>
            <w:shd w:val="clear" w:color="auto" w:fill="auto"/>
          </w:tcPr>
          <w:p w14:paraId="2536866C" w14:textId="77777777" w:rsidR="00CD6C8D" w:rsidRPr="007A69F2" w:rsidRDefault="00CD6C8D" w:rsidP="00313D65">
            <w:pPr>
              <w:spacing w:line="240" w:lineRule="auto"/>
              <w:jc w:val="both"/>
              <w:rPr>
                <w:szCs w:val="22"/>
                <w:lang w:val="sr-Latn-ME"/>
              </w:rPr>
            </w:pPr>
            <w:r w:rsidRPr="007A69F2">
              <w:rPr>
                <w:szCs w:val="22"/>
                <w:lang w:val="sr-Latn-ME"/>
              </w:rPr>
              <w:t>Često</w:t>
            </w:r>
          </w:p>
        </w:tc>
        <w:tc>
          <w:tcPr>
            <w:tcW w:w="3891" w:type="dxa"/>
            <w:shd w:val="clear" w:color="auto" w:fill="auto"/>
          </w:tcPr>
          <w:p w14:paraId="37CFA551" w14:textId="77777777" w:rsidR="00CD6C8D" w:rsidRPr="007A69F2" w:rsidRDefault="00CD6C8D" w:rsidP="00313D65">
            <w:pPr>
              <w:spacing w:line="240" w:lineRule="auto"/>
              <w:jc w:val="both"/>
              <w:rPr>
                <w:szCs w:val="22"/>
                <w:lang w:val="sr-Latn-ME"/>
              </w:rPr>
            </w:pPr>
            <w:r w:rsidRPr="007A69F2">
              <w:rPr>
                <w:szCs w:val="22"/>
                <w:lang w:val="sr-Latn-ME"/>
              </w:rPr>
              <w:t>Smanjen apetit</w:t>
            </w:r>
          </w:p>
        </w:tc>
      </w:tr>
      <w:tr w:rsidR="00CD6C8D" w:rsidRPr="007A69F2" w14:paraId="7B02CBF8" w14:textId="77777777" w:rsidTr="006074EE">
        <w:tc>
          <w:tcPr>
            <w:tcW w:w="3595" w:type="dxa"/>
            <w:shd w:val="clear" w:color="auto" w:fill="auto"/>
          </w:tcPr>
          <w:p w14:paraId="611149B4" w14:textId="77777777" w:rsidR="00CD6C8D" w:rsidRPr="007A69F2" w:rsidRDefault="00CD6C8D" w:rsidP="00313D65">
            <w:pPr>
              <w:spacing w:line="240" w:lineRule="auto"/>
              <w:jc w:val="both"/>
              <w:rPr>
                <w:szCs w:val="22"/>
                <w:lang w:val="sr-Latn-ME"/>
              </w:rPr>
            </w:pPr>
            <w:r w:rsidRPr="007A69F2">
              <w:rPr>
                <w:szCs w:val="22"/>
                <w:lang w:val="sr-Latn-ME"/>
              </w:rPr>
              <w:t xml:space="preserve">Poremećaji </w:t>
            </w:r>
            <w:proofErr w:type="spellStart"/>
            <w:r w:rsidRPr="007A69F2">
              <w:rPr>
                <w:szCs w:val="22"/>
                <w:lang w:val="sr-Latn-ME"/>
              </w:rPr>
              <w:t>digestivnog</w:t>
            </w:r>
            <w:proofErr w:type="spellEnd"/>
            <w:r w:rsidRPr="007A69F2">
              <w:rPr>
                <w:szCs w:val="22"/>
                <w:lang w:val="sr-Latn-ME"/>
              </w:rPr>
              <w:t xml:space="preserve"> sistema</w:t>
            </w:r>
          </w:p>
        </w:tc>
        <w:tc>
          <w:tcPr>
            <w:tcW w:w="1440" w:type="dxa"/>
            <w:shd w:val="clear" w:color="auto" w:fill="auto"/>
          </w:tcPr>
          <w:p w14:paraId="548A07C2" w14:textId="77777777" w:rsidR="00CD6C8D" w:rsidRPr="007A69F2" w:rsidRDefault="00CD6C8D" w:rsidP="00313D65">
            <w:pPr>
              <w:spacing w:line="240" w:lineRule="auto"/>
              <w:jc w:val="both"/>
              <w:rPr>
                <w:szCs w:val="22"/>
                <w:lang w:val="sr-Latn-ME"/>
              </w:rPr>
            </w:pPr>
            <w:r w:rsidRPr="007A69F2">
              <w:rPr>
                <w:szCs w:val="22"/>
                <w:lang w:val="sr-Latn-ME"/>
              </w:rPr>
              <w:t>Često</w:t>
            </w:r>
          </w:p>
        </w:tc>
        <w:tc>
          <w:tcPr>
            <w:tcW w:w="3891" w:type="dxa"/>
            <w:shd w:val="clear" w:color="auto" w:fill="auto"/>
          </w:tcPr>
          <w:p w14:paraId="4E5874EB" w14:textId="77777777" w:rsidR="00CD6C8D" w:rsidRPr="007A69F2" w:rsidRDefault="00CD6C8D" w:rsidP="00313D65">
            <w:pPr>
              <w:spacing w:line="240" w:lineRule="auto"/>
              <w:jc w:val="both"/>
              <w:rPr>
                <w:szCs w:val="22"/>
                <w:lang w:val="sr-Latn-ME"/>
              </w:rPr>
            </w:pPr>
            <w:r w:rsidRPr="007A69F2">
              <w:rPr>
                <w:szCs w:val="22"/>
                <w:lang w:val="sr-Latn-ME"/>
              </w:rPr>
              <w:t>Mučnina</w:t>
            </w:r>
          </w:p>
          <w:p w14:paraId="328A343D" w14:textId="77777777" w:rsidR="00CD6C8D" w:rsidRPr="007A69F2" w:rsidRDefault="00CD6C8D" w:rsidP="00313D65">
            <w:pPr>
              <w:spacing w:line="240" w:lineRule="auto"/>
              <w:jc w:val="both"/>
              <w:rPr>
                <w:szCs w:val="22"/>
                <w:lang w:val="sr-Latn-ME"/>
              </w:rPr>
            </w:pPr>
            <w:r w:rsidRPr="007A69F2">
              <w:rPr>
                <w:szCs w:val="22"/>
                <w:lang w:val="sr-Latn-ME"/>
              </w:rPr>
              <w:t>Konstipacija</w:t>
            </w:r>
          </w:p>
        </w:tc>
      </w:tr>
      <w:tr w:rsidR="00CD6C8D" w:rsidRPr="007A69F2" w14:paraId="538E5896" w14:textId="77777777" w:rsidTr="006074EE">
        <w:tc>
          <w:tcPr>
            <w:tcW w:w="3595" w:type="dxa"/>
            <w:tcBorders>
              <w:bottom w:val="single" w:sz="4" w:space="0" w:color="000000"/>
            </w:tcBorders>
            <w:shd w:val="clear" w:color="auto" w:fill="auto"/>
          </w:tcPr>
          <w:p w14:paraId="3557D1B2" w14:textId="77777777" w:rsidR="00CD6C8D" w:rsidRPr="007A69F2" w:rsidRDefault="00CD6C8D" w:rsidP="00313D65">
            <w:pPr>
              <w:tabs>
                <w:tab w:val="left" w:pos="2481"/>
              </w:tabs>
              <w:spacing w:line="240" w:lineRule="auto"/>
              <w:jc w:val="both"/>
              <w:rPr>
                <w:szCs w:val="22"/>
                <w:lang w:val="sr-Latn-ME"/>
              </w:rPr>
            </w:pPr>
            <w:r w:rsidRPr="007A69F2">
              <w:rPr>
                <w:szCs w:val="22"/>
                <w:lang w:val="sr-Latn-ME"/>
              </w:rPr>
              <w:t>Opšti poremećaji i reakcije na mjestu primjene</w:t>
            </w:r>
          </w:p>
        </w:tc>
        <w:tc>
          <w:tcPr>
            <w:tcW w:w="1440" w:type="dxa"/>
            <w:tcBorders>
              <w:bottom w:val="single" w:sz="4" w:space="0" w:color="000000"/>
            </w:tcBorders>
            <w:shd w:val="clear" w:color="auto" w:fill="auto"/>
          </w:tcPr>
          <w:p w14:paraId="7A2789FC" w14:textId="77777777" w:rsidR="00CD6C8D" w:rsidRPr="007A69F2" w:rsidRDefault="00CD6C8D" w:rsidP="00313D65">
            <w:pPr>
              <w:spacing w:line="240" w:lineRule="auto"/>
              <w:jc w:val="both"/>
              <w:rPr>
                <w:szCs w:val="22"/>
                <w:lang w:val="sr-Latn-ME"/>
              </w:rPr>
            </w:pPr>
            <w:r w:rsidRPr="007A69F2">
              <w:rPr>
                <w:szCs w:val="22"/>
                <w:lang w:val="sr-Latn-ME"/>
              </w:rPr>
              <w:t>Često</w:t>
            </w:r>
          </w:p>
        </w:tc>
        <w:tc>
          <w:tcPr>
            <w:tcW w:w="3891" w:type="dxa"/>
            <w:tcBorders>
              <w:bottom w:val="single" w:sz="4" w:space="0" w:color="000000"/>
            </w:tcBorders>
            <w:shd w:val="clear" w:color="auto" w:fill="auto"/>
          </w:tcPr>
          <w:p w14:paraId="59E57A36" w14:textId="77777777" w:rsidR="00CD6C8D" w:rsidRPr="007A69F2" w:rsidRDefault="00CD6C8D" w:rsidP="00313D65">
            <w:pPr>
              <w:spacing w:line="240" w:lineRule="auto"/>
              <w:jc w:val="both"/>
              <w:rPr>
                <w:szCs w:val="22"/>
                <w:lang w:val="sr-Latn-ME"/>
              </w:rPr>
            </w:pPr>
            <w:r w:rsidRPr="007A69F2">
              <w:rPr>
                <w:szCs w:val="22"/>
                <w:lang w:val="sr-Latn-ME"/>
              </w:rPr>
              <w:t>Umor/</w:t>
            </w:r>
            <w:proofErr w:type="spellStart"/>
            <w:r w:rsidRPr="007A69F2">
              <w:rPr>
                <w:szCs w:val="22"/>
                <w:lang w:val="sr-Latn-ME"/>
              </w:rPr>
              <w:t>somnolencija</w:t>
            </w:r>
            <w:proofErr w:type="spellEnd"/>
          </w:p>
        </w:tc>
      </w:tr>
      <w:tr w:rsidR="00CD6C8D" w:rsidRPr="007A69F2" w14:paraId="00C607F1" w14:textId="77777777" w:rsidTr="006074EE">
        <w:tc>
          <w:tcPr>
            <w:tcW w:w="3595" w:type="dxa"/>
            <w:tcBorders>
              <w:bottom w:val="nil"/>
            </w:tcBorders>
            <w:shd w:val="clear" w:color="auto" w:fill="auto"/>
          </w:tcPr>
          <w:p w14:paraId="16E94CB5" w14:textId="77777777" w:rsidR="00CD6C8D" w:rsidRPr="007A69F2" w:rsidRDefault="00CD6C8D" w:rsidP="00313D65">
            <w:pPr>
              <w:tabs>
                <w:tab w:val="left" w:pos="2481"/>
              </w:tabs>
              <w:spacing w:line="240" w:lineRule="auto"/>
              <w:jc w:val="both"/>
              <w:rPr>
                <w:szCs w:val="22"/>
                <w:lang w:val="sr-Latn-ME"/>
              </w:rPr>
            </w:pPr>
            <w:r w:rsidRPr="007A69F2">
              <w:rPr>
                <w:szCs w:val="22"/>
                <w:lang w:val="sr-Latn-ME"/>
              </w:rPr>
              <w:t>Pretrage</w:t>
            </w:r>
          </w:p>
        </w:tc>
        <w:tc>
          <w:tcPr>
            <w:tcW w:w="1440" w:type="dxa"/>
            <w:tcBorders>
              <w:bottom w:val="single" w:sz="4" w:space="0" w:color="auto"/>
            </w:tcBorders>
            <w:shd w:val="clear" w:color="auto" w:fill="auto"/>
          </w:tcPr>
          <w:p w14:paraId="54274E11" w14:textId="77777777" w:rsidR="00CD6C8D" w:rsidRPr="007A69F2" w:rsidRDefault="00CD6C8D" w:rsidP="00313D65">
            <w:pPr>
              <w:spacing w:line="240" w:lineRule="auto"/>
              <w:jc w:val="both"/>
              <w:rPr>
                <w:szCs w:val="22"/>
                <w:lang w:val="sr-Latn-ME"/>
              </w:rPr>
            </w:pPr>
            <w:r w:rsidRPr="007A69F2">
              <w:rPr>
                <w:szCs w:val="22"/>
                <w:lang w:val="sr-Latn-ME"/>
              </w:rPr>
              <w:t>Često</w:t>
            </w:r>
          </w:p>
        </w:tc>
        <w:tc>
          <w:tcPr>
            <w:tcW w:w="3891" w:type="dxa"/>
            <w:tcBorders>
              <w:bottom w:val="single" w:sz="4" w:space="0" w:color="auto"/>
            </w:tcBorders>
            <w:shd w:val="clear" w:color="auto" w:fill="auto"/>
          </w:tcPr>
          <w:p w14:paraId="02EAB247" w14:textId="77777777" w:rsidR="00CD6C8D" w:rsidRPr="007A69F2" w:rsidRDefault="00CD6C8D" w:rsidP="00313D65">
            <w:pPr>
              <w:spacing w:line="240" w:lineRule="auto"/>
              <w:jc w:val="both"/>
              <w:rPr>
                <w:szCs w:val="22"/>
                <w:lang w:val="sr-Latn-ME"/>
              </w:rPr>
            </w:pPr>
            <w:r w:rsidRPr="007A69F2">
              <w:rPr>
                <w:szCs w:val="22"/>
                <w:lang w:val="sr-Latn-ME"/>
              </w:rPr>
              <w:t>Smanjena tjelesna težina*</w:t>
            </w:r>
          </w:p>
        </w:tc>
      </w:tr>
      <w:tr w:rsidR="00CD6C8D" w:rsidRPr="007A69F2" w14:paraId="1A99FCAC" w14:textId="77777777" w:rsidTr="006074EE">
        <w:tc>
          <w:tcPr>
            <w:tcW w:w="3595" w:type="dxa"/>
            <w:tcBorders>
              <w:top w:val="nil"/>
            </w:tcBorders>
            <w:shd w:val="clear" w:color="auto" w:fill="auto"/>
          </w:tcPr>
          <w:p w14:paraId="482B5A3B" w14:textId="77777777" w:rsidR="00CD6C8D" w:rsidRPr="007A69F2" w:rsidRDefault="00CD6C8D" w:rsidP="00313D65">
            <w:pPr>
              <w:tabs>
                <w:tab w:val="left" w:pos="2481"/>
              </w:tabs>
              <w:spacing w:line="240" w:lineRule="auto"/>
              <w:jc w:val="both"/>
              <w:rPr>
                <w:szCs w:val="22"/>
                <w:lang w:val="sr-Latn-ME"/>
              </w:rPr>
            </w:pPr>
          </w:p>
        </w:tc>
        <w:tc>
          <w:tcPr>
            <w:tcW w:w="1440" w:type="dxa"/>
            <w:tcBorders>
              <w:top w:val="single" w:sz="4" w:space="0" w:color="auto"/>
            </w:tcBorders>
            <w:shd w:val="clear" w:color="auto" w:fill="auto"/>
          </w:tcPr>
          <w:p w14:paraId="7BE24AD1" w14:textId="77777777" w:rsidR="00CD6C8D" w:rsidRPr="007A69F2" w:rsidRDefault="00CD6C8D" w:rsidP="00313D65">
            <w:pPr>
              <w:spacing w:line="240" w:lineRule="auto"/>
              <w:jc w:val="both"/>
              <w:rPr>
                <w:szCs w:val="22"/>
                <w:lang w:val="sr-Latn-ME"/>
              </w:rPr>
            </w:pPr>
            <w:r w:rsidRPr="007A69F2">
              <w:rPr>
                <w:szCs w:val="22"/>
                <w:lang w:val="sr-Latn-ME"/>
              </w:rPr>
              <w:t>Manje često</w:t>
            </w:r>
          </w:p>
        </w:tc>
        <w:tc>
          <w:tcPr>
            <w:tcW w:w="3891" w:type="dxa"/>
            <w:tcBorders>
              <w:top w:val="single" w:sz="4" w:space="0" w:color="auto"/>
            </w:tcBorders>
            <w:shd w:val="clear" w:color="auto" w:fill="auto"/>
          </w:tcPr>
          <w:p w14:paraId="335D3A80" w14:textId="77777777" w:rsidR="00CD6C8D" w:rsidRPr="007A69F2" w:rsidRDefault="00CD6C8D" w:rsidP="00313D65">
            <w:pPr>
              <w:spacing w:line="240" w:lineRule="auto"/>
              <w:jc w:val="both"/>
              <w:rPr>
                <w:szCs w:val="22"/>
                <w:lang w:val="sr-Latn-ME"/>
              </w:rPr>
            </w:pPr>
            <w:r w:rsidRPr="007A69F2">
              <w:rPr>
                <w:szCs w:val="22"/>
                <w:lang w:val="sr-Latn-ME"/>
              </w:rPr>
              <w:t>Povišen ALT/AST**</w:t>
            </w:r>
          </w:p>
        </w:tc>
      </w:tr>
    </w:tbl>
    <w:p w14:paraId="026AEB49" w14:textId="3D451077" w:rsidR="000C02C0" w:rsidRPr="007A69F2" w:rsidRDefault="00D04C51" w:rsidP="00FD5AE7">
      <w:pPr>
        <w:spacing w:line="240" w:lineRule="auto"/>
        <w:jc w:val="both"/>
        <w:rPr>
          <w:szCs w:val="22"/>
          <w:lang w:val="sr-Latn-ME"/>
        </w:rPr>
      </w:pPr>
      <w:bookmarkStart w:id="13" w:name="_Hlk130225094"/>
      <w:r w:rsidRPr="007A69F2">
        <w:rPr>
          <w:szCs w:val="22"/>
          <w:lang w:val="sr-Latn-ME"/>
        </w:rPr>
        <w:t>* </w:t>
      </w:r>
      <w:r w:rsidR="00A8395C" w:rsidRPr="007A69F2">
        <w:rPr>
          <w:szCs w:val="22"/>
          <w:lang w:val="sr-Latn-ME"/>
        </w:rPr>
        <w:t>Definisano u</w:t>
      </w:r>
      <w:r w:rsidRPr="007A69F2">
        <w:rPr>
          <w:szCs w:val="22"/>
          <w:lang w:val="sr-Latn-ME"/>
        </w:rPr>
        <w:t xml:space="preserve"> kliničkim ispitivanjima kao smanjenje tjelesne težine za najmanje 7% u bilo </w:t>
      </w:r>
      <w:r w:rsidR="00260573" w:rsidRPr="007A69F2">
        <w:rPr>
          <w:szCs w:val="22"/>
          <w:lang w:val="sr-Latn-ME"/>
        </w:rPr>
        <w:t>kom</w:t>
      </w:r>
      <w:r w:rsidR="00A8395C" w:rsidRPr="007A69F2">
        <w:rPr>
          <w:szCs w:val="22"/>
          <w:lang w:val="sr-Latn-ME"/>
        </w:rPr>
        <w:t xml:space="preserve"> trenutku</w:t>
      </w:r>
      <w:r w:rsidRPr="007A69F2">
        <w:rPr>
          <w:szCs w:val="22"/>
          <w:lang w:val="sr-Latn-ME"/>
        </w:rPr>
        <w:t>.</w:t>
      </w:r>
    </w:p>
    <w:p w14:paraId="55C5CFDB" w14:textId="3F1772A7" w:rsidR="00260573" w:rsidRPr="007A69F2" w:rsidRDefault="00D04C51" w:rsidP="00FD5AE7">
      <w:pPr>
        <w:spacing w:line="240" w:lineRule="auto"/>
        <w:jc w:val="both"/>
        <w:rPr>
          <w:szCs w:val="22"/>
          <w:lang w:val="sr-Latn-ME"/>
        </w:rPr>
      </w:pPr>
      <w:r w:rsidRPr="007A69F2">
        <w:rPr>
          <w:szCs w:val="22"/>
          <w:lang w:val="sr-Latn-ME"/>
        </w:rPr>
        <w:t>** Slučajevi povećanja ALT/AST (defini</w:t>
      </w:r>
      <w:r w:rsidR="00A8395C" w:rsidRPr="007A69F2">
        <w:rPr>
          <w:szCs w:val="22"/>
          <w:lang w:val="sr-Latn-ME"/>
        </w:rPr>
        <w:t>sano</w:t>
      </w:r>
      <w:r w:rsidRPr="007A69F2">
        <w:rPr>
          <w:szCs w:val="22"/>
          <w:lang w:val="sr-Latn-ME"/>
        </w:rPr>
        <w:t xml:space="preserve"> kao ≥ 3× gornje granice normal</w:t>
      </w:r>
      <w:r w:rsidR="00A8395C" w:rsidRPr="007A69F2">
        <w:rPr>
          <w:szCs w:val="22"/>
          <w:lang w:val="sr-Latn-ME"/>
        </w:rPr>
        <w:t>ne vrijednosti</w:t>
      </w:r>
      <w:r w:rsidRPr="007A69F2">
        <w:rPr>
          <w:szCs w:val="22"/>
          <w:lang w:val="sr-Latn-ME"/>
        </w:rPr>
        <w:t xml:space="preserve">) </w:t>
      </w:r>
      <w:r w:rsidR="00A8395C" w:rsidRPr="007A69F2">
        <w:rPr>
          <w:szCs w:val="22"/>
          <w:lang w:val="sr-Latn-ME"/>
        </w:rPr>
        <w:t>vremenski</w:t>
      </w:r>
      <w:r w:rsidRPr="007A69F2">
        <w:rPr>
          <w:szCs w:val="22"/>
          <w:lang w:val="sr-Latn-ME"/>
        </w:rPr>
        <w:t xml:space="preserve"> povezani s</w:t>
      </w:r>
      <w:r w:rsidR="00260573" w:rsidRPr="007A69F2">
        <w:rPr>
          <w:szCs w:val="22"/>
          <w:lang w:val="sr-Latn-ME"/>
        </w:rPr>
        <w:t>a</w:t>
      </w:r>
      <w:r w:rsidR="00EC543E" w:rsidRPr="007A69F2">
        <w:rPr>
          <w:szCs w:val="22"/>
          <w:lang w:val="sr-Latn-ME"/>
        </w:rPr>
        <w:t xml:space="preserve"> primjenom lijeka</w:t>
      </w:r>
      <w:r w:rsidRPr="007A69F2">
        <w:rPr>
          <w:szCs w:val="22"/>
          <w:lang w:val="sr-Latn-ME"/>
        </w:rPr>
        <w:t xml:space="preserve"> </w:t>
      </w:r>
      <w:proofErr w:type="spellStart"/>
      <w:r w:rsidRPr="007A69F2">
        <w:rPr>
          <w:szCs w:val="22"/>
          <w:lang w:val="sr-Latn-ME"/>
        </w:rPr>
        <w:t>atogepant</w:t>
      </w:r>
      <w:proofErr w:type="spellEnd"/>
      <w:r w:rsidRPr="007A69F2">
        <w:rPr>
          <w:szCs w:val="22"/>
          <w:lang w:val="sr-Latn-ME"/>
        </w:rPr>
        <w:t xml:space="preserve"> </w:t>
      </w:r>
      <w:r w:rsidR="00EC543E" w:rsidRPr="007A69F2">
        <w:rPr>
          <w:szCs w:val="22"/>
          <w:lang w:val="sr-Latn-ME"/>
        </w:rPr>
        <w:t>zabilježeni</w:t>
      </w:r>
      <w:r w:rsidRPr="007A69F2">
        <w:rPr>
          <w:szCs w:val="22"/>
          <w:lang w:val="sr-Latn-ME"/>
        </w:rPr>
        <w:t xml:space="preserve"> su u kliničkim </w:t>
      </w:r>
      <w:r w:rsidR="00EC543E" w:rsidRPr="007A69F2">
        <w:rPr>
          <w:szCs w:val="22"/>
          <w:lang w:val="sr-Latn-ME"/>
        </w:rPr>
        <w:t>ispitivanjima</w:t>
      </w:r>
      <w:r w:rsidRPr="007A69F2">
        <w:rPr>
          <w:szCs w:val="22"/>
          <w:lang w:val="sr-Latn-ME"/>
        </w:rPr>
        <w:t>, uključujući</w:t>
      </w:r>
      <w:r w:rsidR="00EC543E" w:rsidRPr="007A69F2">
        <w:rPr>
          <w:szCs w:val="22"/>
          <w:lang w:val="sr-Latn-ME"/>
        </w:rPr>
        <w:t xml:space="preserve"> i</w:t>
      </w:r>
      <w:r w:rsidRPr="007A69F2">
        <w:rPr>
          <w:szCs w:val="22"/>
          <w:lang w:val="sr-Latn-ME"/>
        </w:rPr>
        <w:t xml:space="preserve"> slučajeve</w:t>
      </w:r>
      <w:r w:rsidR="00EC543E" w:rsidRPr="007A69F2">
        <w:rPr>
          <w:szCs w:val="22"/>
          <w:lang w:val="sr-Latn-ME"/>
        </w:rPr>
        <w:t xml:space="preserve"> s</w:t>
      </w:r>
      <w:r w:rsidR="00827FE7" w:rsidRPr="007A69F2">
        <w:rPr>
          <w:szCs w:val="22"/>
          <w:lang w:val="sr-Latn-ME"/>
        </w:rPr>
        <w:t>a</w:t>
      </w:r>
      <w:r w:rsidR="00673458" w:rsidRPr="007A69F2">
        <w:rPr>
          <w:szCs w:val="22"/>
          <w:lang w:val="sr-Latn-ME"/>
        </w:rPr>
        <w:t xml:space="preserve"> potencijalno</w:t>
      </w:r>
      <w:r w:rsidR="00EC543E" w:rsidRPr="007A69F2">
        <w:rPr>
          <w:szCs w:val="22"/>
          <w:lang w:val="sr-Latn-ME"/>
        </w:rPr>
        <w:t xml:space="preserve"> pozitivnim </w:t>
      </w:r>
      <w:proofErr w:type="spellStart"/>
      <w:r w:rsidR="00EC543E" w:rsidRPr="007A69F2">
        <w:rPr>
          <w:i/>
          <w:iCs/>
          <w:szCs w:val="22"/>
          <w:lang w:val="sr-Latn-ME"/>
        </w:rPr>
        <w:t>dechallenge</w:t>
      </w:r>
      <w:proofErr w:type="spellEnd"/>
      <w:r w:rsidR="00EC543E" w:rsidRPr="007A69F2">
        <w:rPr>
          <w:szCs w:val="22"/>
          <w:lang w:val="sr-Latn-ME"/>
        </w:rPr>
        <w:t>-om</w:t>
      </w:r>
      <w:r w:rsidRPr="007A69F2">
        <w:rPr>
          <w:szCs w:val="22"/>
          <w:lang w:val="sr-Latn-ME"/>
        </w:rPr>
        <w:t xml:space="preserve"> </w:t>
      </w:r>
      <w:r w:rsidR="00EC543E" w:rsidRPr="007A69F2">
        <w:rPr>
          <w:szCs w:val="22"/>
          <w:lang w:val="sr-Latn-ME"/>
        </w:rPr>
        <w:t>u anamnezi,</w:t>
      </w:r>
      <w:r w:rsidRPr="007A69F2">
        <w:rPr>
          <w:szCs w:val="22"/>
          <w:lang w:val="sr-Latn-ME"/>
        </w:rPr>
        <w:t xml:space="preserve"> </w:t>
      </w:r>
      <w:r w:rsidR="00EC543E" w:rsidRPr="007A69F2">
        <w:rPr>
          <w:szCs w:val="22"/>
          <w:lang w:val="sr-Latn-ME"/>
        </w:rPr>
        <w:t>s</w:t>
      </w:r>
      <w:r w:rsidR="00260573" w:rsidRPr="007A69F2">
        <w:rPr>
          <w:szCs w:val="22"/>
          <w:lang w:val="sr-Latn-ME"/>
        </w:rPr>
        <w:t>a</w:t>
      </w:r>
      <w:r w:rsidR="00EC543E" w:rsidRPr="007A69F2">
        <w:rPr>
          <w:szCs w:val="22"/>
          <w:lang w:val="sr-Latn-ME"/>
        </w:rPr>
        <w:t xml:space="preserve"> povlačenjem u roku od 8 </w:t>
      </w:r>
      <w:r w:rsidR="00260573" w:rsidRPr="007A69F2">
        <w:rPr>
          <w:szCs w:val="22"/>
          <w:lang w:val="sr-Latn-ME"/>
        </w:rPr>
        <w:t>ned</w:t>
      </w:r>
      <w:r w:rsidR="00175CC9" w:rsidRPr="007A69F2">
        <w:rPr>
          <w:szCs w:val="22"/>
          <w:lang w:val="sr-Latn-ME"/>
        </w:rPr>
        <w:t>j</w:t>
      </w:r>
      <w:r w:rsidR="00260573" w:rsidRPr="007A69F2">
        <w:rPr>
          <w:szCs w:val="22"/>
          <w:lang w:val="sr-Latn-ME"/>
        </w:rPr>
        <w:t>elja</w:t>
      </w:r>
      <w:r w:rsidR="00EC543E" w:rsidRPr="007A69F2">
        <w:rPr>
          <w:szCs w:val="22"/>
          <w:lang w:val="sr-Latn-ME"/>
        </w:rPr>
        <w:t xml:space="preserve"> </w:t>
      </w:r>
      <w:r w:rsidR="0085425C" w:rsidRPr="007A69F2">
        <w:rPr>
          <w:szCs w:val="22"/>
          <w:lang w:val="sr-Latn-ME"/>
        </w:rPr>
        <w:t>od prestanka uzimanja lijeka.</w:t>
      </w:r>
      <w:r w:rsidR="00B545EE" w:rsidRPr="007A69F2">
        <w:rPr>
          <w:szCs w:val="22"/>
          <w:lang w:val="sr-Latn-ME"/>
        </w:rPr>
        <w:t xml:space="preserve"> </w:t>
      </w:r>
      <w:r w:rsidRPr="007A69F2">
        <w:rPr>
          <w:szCs w:val="22"/>
          <w:lang w:val="sr-Latn-ME"/>
        </w:rPr>
        <w:t>Međutim</w:t>
      </w:r>
      <w:r w:rsidR="0085425C" w:rsidRPr="007A69F2">
        <w:rPr>
          <w:szCs w:val="22"/>
          <w:lang w:val="sr-Latn-ME"/>
        </w:rPr>
        <w:t xml:space="preserve"> ukupna</w:t>
      </w:r>
      <w:r w:rsidRPr="007A69F2">
        <w:rPr>
          <w:szCs w:val="22"/>
          <w:lang w:val="sr-Latn-ME"/>
        </w:rPr>
        <w:t xml:space="preserve"> učestalost povećanja</w:t>
      </w:r>
      <w:r w:rsidR="0085425C" w:rsidRPr="007A69F2">
        <w:rPr>
          <w:szCs w:val="22"/>
          <w:lang w:val="sr-Latn-ME"/>
        </w:rPr>
        <w:t xml:space="preserve"> vrijednosti</w:t>
      </w:r>
      <w:r w:rsidRPr="007A69F2">
        <w:rPr>
          <w:szCs w:val="22"/>
          <w:lang w:val="sr-Latn-ME"/>
        </w:rPr>
        <w:t xml:space="preserve"> jetrenih enzima u grup</w:t>
      </w:r>
      <w:r w:rsidR="0085425C" w:rsidRPr="007A69F2">
        <w:rPr>
          <w:szCs w:val="22"/>
          <w:lang w:val="sr-Latn-ME"/>
        </w:rPr>
        <w:t>i</w:t>
      </w:r>
      <w:r w:rsidRPr="007A69F2">
        <w:rPr>
          <w:szCs w:val="22"/>
          <w:lang w:val="sr-Latn-ME"/>
        </w:rPr>
        <w:t xml:space="preserve"> koj</w:t>
      </w:r>
      <w:r w:rsidR="0085425C" w:rsidRPr="007A69F2">
        <w:rPr>
          <w:szCs w:val="22"/>
          <w:lang w:val="sr-Latn-ME"/>
        </w:rPr>
        <w:t>a</w:t>
      </w:r>
      <w:r w:rsidRPr="007A69F2">
        <w:rPr>
          <w:szCs w:val="22"/>
          <w:lang w:val="sr-Latn-ME"/>
        </w:rPr>
        <w:t xml:space="preserve"> </w:t>
      </w:r>
      <w:r w:rsidR="0085425C" w:rsidRPr="007A69F2">
        <w:rPr>
          <w:szCs w:val="22"/>
          <w:lang w:val="sr-Latn-ME"/>
        </w:rPr>
        <w:t>je</w:t>
      </w:r>
      <w:r w:rsidRPr="007A69F2">
        <w:rPr>
          <w:szCs w:val="22"/>
          <w:lang w:val="sr-Latn-ME"/>
        </w:rPr>
        <w:t xml:space="preserve"> primal</w:t>
      </w:r>
      <w:r w:rsidR="0085425C" w:rsidRPr="007A69F2">
        <w:rPr>
          <w:szCs w:val="22"/>
          <w:lang w:val="sr-Latn-ME"/>
        </w:rPr>
        <w:t>a lijek</w:t>
      </w:r>
      <w:r w:rsidRPr="007A69F2">
        <w:rPr>
          <w:szCs w:val="22"/>
          <w:lang w:val="sr-Latn-ME"/>
        </w:rPr>
        <w:t xml:space="preserve"> </w:t>
      </w:r>
      <w:proofErr w:type="spellStart"/>
      <w:r w:rsidRPr="007A69F2">
        <w:rPr>
          <w:szCs w:val="22"/>
          <w:lang w:val="sr-Latn-ME"/>
        </w:rPr>
        <w:t>atogepant</w:t>
      </w:r>
      <w:proofErr w:type="spellEnd"/>
      <w:r w:rsidRPr="007A69F2">
        <w:rPr>
          <w:szCs w:val="22"/>
          <w:lang w:val="sr-Latn-ME"/>
        </w:rPr>
        <w:t xml:space="preserve"> </w:t>
      </w:r>
      <w:r w:rsidR="0085425C" w:rsidRPr="007A69F2">
        <w:rPr>
          <w:szCs w:val="22"/>
          <w:lang w:val="sr-Latn-ME"/>
        </w:rPr>
        <w:t>je bila slična onoj u grupi koja je primala</w:t>
      </w:r>
      <w:r w:rsidRPr="007A69F2">
        <w:rPr>
          <w:szCs w:val="22"/>
          <w:lang w:val="sr-Latn-ME"/>
        </w:rPr>
        <w:t xml:space="preserve"> </w:t>
      </w:r>
      <w:proofErr w:type="spellStart"/>
      <w:r w:rsidRPr="007A69F2">
        <w:rPr>
          <w:szCs w:val="22"/>
          <w:lang w:val="sr-Latn-ME"/>
        </w:rPr>
        <w:t>placebo</w:t>
      </w:r>
      <w:proofErr w:type="spellEnd"/>
      <w:r w:rsidRPr="007A69F2">
        <w:rPr>
          <w:szCs w:val="22"/>
          <w:lang w:val="sr-Latn-ME"/>
        </w:rPr>
        <w:t>.</w:t>
      </w:r>
      <w:bookmarkEnd w:id="13"/>
    </w:p>
    <w:bookmarkEnd w:id="11"/>
    <w:p w14:paraId="28D8089D" w14:textId="77777777" w:rsidR="00C27426" w:rsidRPr="007A69F2" w:rsidRDefault="00C27426" w:rsidP="00FD5AE7">
      <w:pPr>
        <w:keepNext/>
        <w:spacing w:line="240" w:lineRule="auto"/>
        <w:jc w:val="both"/>
        <w:rPr>
          <w:szCs w:val="22"/>
          <w:u w:val="single"/>
          <w:lang w:val="sr-Latn-ME"/>
        </w:rPr>
      </w:pPr>
    </w:p>
    <w:p w14:paraId="410CE68B" w14:textId="77777777" w:rsidR="00260573" w:rsidRPr="007A69F2" w:rsidRDefault="00260573" w:rsidP="00FD5AE7">
      <w:pPr>
        <w:spacing w:line="240" w:lineRule="auto"/>
        <w:jc w:val="both"/>
        <w:rPr>
          <w:szCs w:val="22"/>
          <w:u w:val="single"/>
          <w:lang w:val="sr-Latn-ME"/>
        </w:rPr>
      </w:pPr>
      <w:r w:rsidRPr="007A69F2">
        <w:rPr>
          <w:szCs w:val="22"/>
          <w:u w:val="single"/>
          <w:lang w:val="sr-Latn-ME"/>
        </w:rPr>
        <w:t>Prijavljivanje sumnji na neželjena dejstva</w:t>
      </w:r>
    </w:p>
    <w:p w14:paraId="26F52F99" w14:textId="17D7EB27" w:rsidR="00260573" w:rsidRPr="007A69F2" w:rsidRDefault="00260573" w:rsidP="00FD5AE7">
      <w:pPr>
        <w:spacing w:line="240" w:lineRule="auto"/>
        <w:jc w:val="both"/>
        <w:rPr>
          <w:szCs w:val="22"/>
          <w:lang w:val="sr-Latn-ME"/>
        </w:rPr>
      </w:pPr>
      <w:r w:rsidRPr="007A69F2">
        <w:rPr>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516503D2" w14:textId="77777777" w:rsidR="00313D65" w:rsidRPr="007A69F2" w:rsidRDefault="00313D65" w:rsidP="00FD5AE7">
      <w:pPr>
        <w:spacing w:line="240" w:lineRule="auto"/>
        <w:jc w:val="both"/>
        <w:rPr>
          <w:szCs w:val="22"/>
          <w:lang w:val="sr-Latn-ME"/>
        </w:rPr>
      </w:pPr>
    </w:p>
    <w:p w14:paraId="272FD6E7" w14:textId="77777777" w:rsidR="00260573" w:rsidRPr="007A69F2" w:rsidRDefault="00260573" w:rsidP="00FD5AE7">
      <w:pPr>
        <w:spacing w:line="240" w:lineRule="auto"/>
        <w:jc w:val="both"/>
        <w:rPr>
          <w:szCs w:val="22"/>
          <w:lang w:val="sr-Latn-ME"/>
        </w:rPr>
      </w:pPr>
      <w:r w:rsidRPr="007A69F2">
        <w:rPr>
          <w:szCs w:val="22"/>
          <w:lang w:val="sr-Latn-ME"/>
        </w:rPr>
        <w:t xml:space="preserve">Institut za ljekove i medicinska sredstva </w:t>
      </w:r>
    </w:p>
    <w:p w14:paraId="715418FB" w14:textId="77777777" w:rsidR="00260573" w:rsidRPr="007A69F2" w:rsidRDefault="00260573" w:rsidP="00FD5AE7">
      <w:pPr>
        <w:spacing w:line="240" w:lineRule="auto"/>
        <w:jc w:val="both"/>
        <w:rPr>
          <w:szCs w:val="22"/>
          <w:lang w:val="sr-Latn-ME"/>
        </w:rPr>
      </w:pPr>
      <w:r w:rsidRPr="007A69F2">
        <w:rPr>
          <w:szCs w:val="22"/>
          <w:lang w:val="sr-Latn-ME"/>
        </w:rPr>
        <w:lastRenderedPageBreak/>
        <w:t xml:space="preserve">Odjeljenje za </w:t>
      </w:r>
      <w:proofErr w:type="spellStart"/>
      <w:r w:rsidRPr="007A69F2">
        <w:rPr>
          <w:szCs w:val="22"/>
          <w:lang w:val="sr-Latn-ME"/>
        </w:rPr>
        <w:t>farmakovigilancu</w:t>
      </w:r>
      <w:proofErr w:type="spellEnd"/>
    </w:p>
    <w:p w14:paraId="424F56CF" w14:textId="77777777" w:rsidR="00260573" w:rsidRPr="007A69F2" w:rsidRDefault="00260573" w:rsidP="00FD5AE7">
      <w:pPr>
        <w:spacing w:line="240" w:lineRule="auto"/>
        <w:jc w:val="both"/>
        <w:rPr>
          <w:szCs w:val="22"/>
          <w:lang w:val="sr-Latn-ME"/>
        </w:rPr>
      </w:pPr>
      <w:r w:rsidRPr="007A69F2">
        <w:rPr>
          <w:szCs w:val="22"/>
          <w:lang w:val="sr-Latn-ME"/>
        </w:rPr>
        <w:t>Bulevar Ivana Crnojevića 64a, 81000 Podgorica</w:t>
      </w:r>
    </w:p>
    <w:p w14:paraId="78C22654" w14:textId="77777777" w:rsidR="00260573" w:rsidRPr="007A69F2" w:rsidRDefault="00260573" w:rsidP="00FD5AE7">
      <w:pPr>
        <w:spacing w:line="240" w:lineRule="auto"/>
        <w:jc w:val="both"/>
        <w:rPr>
          <w:szCs w:val="22"/>
          <w:lang w:val="sr-Latn-ME"/>
        </w:rPr>
      </w:pPr>
    </w:p>
    <w:p w14:paraId="4B454A45" w14:textId="77777777" w:rsidR="00260573" w:rsidRPr="007A69F2" w:rsidRDefault="00260573" w:rsidP="00FD5AE7">
      <w:pPr>
        <w:spacing w:line="240" w:lineRule="auto"/>
        <w:jc w:val="both"/>
        <w:rPr>
          <w:szCs w:val="22"/>
          <w:lang w:val="sr-Latn-ME"/>
        </w:rPr>
      </w:pPr>
      <w:r w:rsidRPr="007A69F2">
        <w:rPr>
          <w:szCs w:val="22"/>
          <w:lang w:val="sr-Latn-ME"/>
        </w:rPr>
        <w:t>tel: +382 (0) 20 310 280</w:t>
      </w:r>
    </w:p>
    <w:p w14:paraId="3C3F0651" w14:textId="77777777" w:rsidR="00260573" w:rsidRPr="007A69F2" w:rsidRDefault="00260573" w:rsidP="00FD5AE7">
      <w:pPr>
        <w:spacing w:line="240" w:lineRule="auto"/>
        <w:jc w:val="both"/>
        <w:rPr>
          <w:szCs w:val="22"/>
          <w:lang w:val="sr-Latn-ME"/>
        </w:rPr>
      </w:pPr>
      <w:proofErr w:type="spellStart"/>
      <w:r w:rsidRPr="007A69F2">
        <w:rPr>
          <w:szCs w:val="22"/>
          <w:lang w:val="sr-Latn-ME"/>
        </w:rPr>
        <w:t>fax</w:t>
      </w:r>
      <w:proofErr w:type="spellEnd"/>
      <w:r w:rsidRPr="007A69F2">
        <w:rPr>
          <w:szCs w:val="22"/>
          <w:lang w:val="sr-Latn-ME"/>
        </w:rPr>
        <w:t>: +382 (0) 20 310 581</w:t>
      </w:r>
      <w:r w:rsidRPr="007A69F2">
        <w:rPr>
          <w:szCs w:val="22"/>
          <w:lang w:val="sr-Latn-ME"/>
        </w:rPr>
        <w:tab/>
      </w:r>
    </w:p>
    <w:p w14:paraId="6952728D" w14:textId="77777777" w:rsidR="008115B9" w:rsidRPr="007A69F2" w:rsidRDefault="00131873" w:rsidP="00405FD8">
      <w:pPr>
        <w:pStyle w:val="NoSpacing"/>
        <w:jc w:val="both"/>
        <w:rPr>
          <w:rFonts w:eastAsia="Calibri"/>
          <w:sz w:val="22"/>
          <w:szCs w:val="22"/>
          <w:lang w:val="sr-Latn-ME"/>
        </w:rPr>
      </w:pPr>
      <w:hyperlink r:id="rId12" w:history="1">
        <w:r w:rsidR="008115B9" w:rsidRPr="007A69F2">
          <w:rPr>
            <w:rStyle w:val="Hyperlink"/>
            <w:rFonts w:eastAsia="Calibri"/>
            <w:sz w:val="22"/>
            <w:szCs w:val="22"/>
            <w:lang w:val="sr-Latn-ME"/>
          </w:rPr>
          <w:t>www.cinmed.me</w:t>
        </w:r>
      </w:hyperlink>
    </w:p>
    <w:p w14:paraId="1B016B5C" w14:textId="77777777" w:rsidR="008115B9" w:rsidRPr="007A69F2" w:rsidRDefault="00131873" w:rsidP="00405FD8">
      <w:pPr>
        <w:pStyle w:val="NoSpacing"/>
        <w:jc w:val="both"/>
        <w:rPr>
          <w:rFonts w:eastAsia="Calibri"/>
          <w:color w:val="0000FF"/>
          <w:sz w:val="22"/>
          <w:szCs w:val="22"/>
          <w:u w:val="single"/>
          <w:lang w:val="sr-Latn-ME"/>
        </w:rPr>
      </w:pPr>
      <w:hyperlink r:id="rId13" w:history="1">
        <w:r w:rsidR="008115B9" w:rsidRPr="007A69F2">
          <w:rPr>
            <w:rStyle w:val="Hyperlink"/>
            <w:rFonts w:eastAsia="Calibri"/>
            <w:sz w:val="22"/>
            <w:szCs w:val="22"/>
            <w:lang w:val="sr-Latn-ME"/>
          </w:rPr>
          <w:t>nezeljenadejstva@cinmed.me</w:t>
        </w:r>
      </w:hyperlink>
    </w:p>
    <w:p w14:paraId="15513812" w14:textId="77777777" w:rsidR="00260573" w:rsidRPr="007A69F2" w:rsidRDefault="00260573" w:rsidP="00FD5AE7">
      <w:pPr>
        <w:spacing w:line="240" w:lineRule="auto"/>
        <w:jc w:val="both"/>
        <w:rPr>
          <w:szCs w:val="22"/>
          <w:lang w:val="sr-Latn-ME"/>
        </w:rPr>
      </w:pPr>
      <w:r w:rsidRPr="007A69F2">
        <w:rPr>
          <w:szCs w:val="22"/>
          <w:lang w:val="sr-Latn-ME"/>
        </w:rPr>
        <w:t>putem IS zdravstvene zaštite</w:t>
      </w:r>
    </w:p>
    <w:p w14:paraId="67E0C01C" w14:textId="77777777" w:rsidR="00260573" w:rsidRPr="007A69F2" w:rsidRDefault="00260573" w:rsidP="00FD5AE7">
      <w:pPr>
        <w:spacing w:line="240" w:lineRule="auto"/>
        <w:jc w:val="both"/>
        <w:rPr>
          <w:szCs w:val="22"/>
          <w:lang w:val="sr-Latn-ME"/>
        </w:rPr>
      </w:pPr>
      <w:r w:rsidRPr="007A69F2">
        <w:rPr>
          <w:szCs w:val="22"/>
          <w:lang w:val="sr-Latn-ME"/>
        </w:rPr>
        <w:t xml:space="preserve">QR kod za </w:t>
      </w:r>
      <w:proofErr w:type="spellStart"/>
      <w:r w:rsidRPr="007A69F2">
        <w:rPr>
          <w:szCs w:val="22"/>
          <w:lang w:val="sr-Latn-ME"/>
        </w:rPr>
        <w:t>online</w:t>
      </w:r>
      <w:proofErr w:type="spellEnd"/>
      <w:r w:rsidRPr="007A69F2">
        <w:rPr>
          <w:szCs w:val="22"/>
          <w:lang w:val="sr-Latn-ME"/>
        </w:rPr>
        <w:t xml:space="preserve"> prijavu sumnje na neželjeno dejstvo lijeka:</w:t>
      </w:r>
    </w:p>
    <w:p w14:paraId="5A6AFD62" w14:textId="2FD70CD4" w:rsidR="008115B9" w:rsidRPr="007A69F2" w:rsidRDefault="008115B9" w:rsidP="00FD5AE7">
      <w:pPr>
        <w:spacing w:line="240" w:lineRule="auto"/>
        <w:jc w:val="both"/>
        <w:rPr>
          <w:szCs w:val="22"/>
          <w:lang w:val="sr-Latn-ME"/>
        </w:rPr>
      </w:pPr>
    </w:p>
    <w:p w14:paraId="6813E38D" w14:textId="420FFD87" w:rsidR="00313D65" w:rsidRPr="007A69F2" w:rsidRDefault="00313D65" w:rsidP="00FD5AE7">
      <w:pPr>
        <w:spacing w:line="240" w:lineRule="auto"/>
        <w:jc w:val="both"/>
        <w:rPr>
          <w:szCs w:val="22"/>
          <w:lang w:val="sr-Latn-ME"/>
        </w:rPr>
      </w:pPr>
      <w:r w:rsidRPr="007A69F2">
        <w:rPr>
          <w:b/>
          <w:bCs/>
          <w:szCs w:val="22"/>
          <w:lang w:val="sr-Latn-ME"/>
        </w:rPr>
        <w:drawing>
          <wp:inline distT="0" distB="0" distL="0" distR="0" wp14:anchorId="7A7E0DC3" wp14:editId="4D28AFCB">
            <wp:extent cx="980796" cy="972000"/>
            <wp:effectExtent l="0" t="0" r="0" b="0"/>
            <wp:docPr id="3" name="Picture 9">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4"/>
                    </pic:cNvPr>
                    <pic:cNvPicPr>
                      <a:picLocks noChangeAspect="1"/>
                    </pic:cNvPicPr>
                  </pic:nvPicPr>
                  <pic:blipFill rotWithShape="1">
                    <a:blip r:embed="rId15"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60630223" w14:textId="77777777" w:rsidR="00DA17AE" w:rsidRPr="007A69F2" w:rsidRDefault="00DA17AE" w:rsidP="002E3CE3">
      <w:pPr>
        <w:spacing w:line="240" w:lineRule="auto"/>
        <w:jc w:val="both"/>
        <w:rPr>
          <w:szCs w:val="22"/>
          <w:lang w:val="sr-Latn-ME"/>
        </w:rPr>
      </w:pPr>
    </w:p>
    <w:p w14:paraId="5155EF54" w14:textId="77777777" w:rsidR="00DA17AE" w:rsidRPr="007A69F2" w:rsidRDefault="00D04C51" w:rsidP="002E3CE3">
      <w:pPr>
        <w:spacing w:line="240" w:lineRule="auto"/>
        <w:jc w:val="both"/>
        <w:outlineLvl w:val="0"/>
        <w:rPr>
          <w:szCs w:val="22"/>
          <w:lang w:val="sr-Latn-ME"/>
        </w:rPr>
      </w:pPr>
      <w:r w:rsidRPr="007A69F2">
        <w:rPr>
          <w:b/>
          <w:szCs w:val="22"/>
          <w:lang w:val="sr-Latn-ME"/>
        </w:rPr>
        <w:t>4.9</w:t>
      </w:r>
      <w:r w:rsidRPr="007A69F2">
        <w:rPr>
          <w:b/>
          <w:szCs w:val="22"/>
          <w:lang w:val="sr-Latn-ME"/>
        </w:rPr>
        <w:tab/>
      </w:r>
      <w:proofErr w:type="spellStart"/>
      <w:r w:rsidRPr="007A69F2">
        <w:rPr>
          <w:b/>
          <w:szCs w:val="22"/>
          <w:lang w:val="sr-Latn-ME"/>
        </w:rPr>
        <w:t>Predoziranje</w:t>
      </w:r>
      <w:proofErr w:type="spellEnd"/>
    </w:p>
    <w:p w14:paraId="68CB4899" w14:textId="77777777" w:rsidR="00DA17AE" w:rsidRPr="007A69F2" w:rsidRDefault="00DA17AE" w:rsidP="002E3CE3">
      <w:pPr>
        <w:spacing w:line="240" w:lineRule="auto"/>
        <w:jc w:val="both"/>
        <w:rPr>
          <w:szCs w:val="22"/>
          <w:highlight w:val="yellow"/>
          <w:lang w:val="sr-Latn-ME"/>
        </w:rPr>
      </w:pPr>
    </w:p>
    <w:p w14:paraId="59AD02AD" w14:textId="53EA9E33" w:rsidR="00DA17AE" w:rsidRPr="007A69F2" w:rsidRDefault="0077751F" w:rsidP="00405FD8">
      <w:pPr>
        <w:spacing w:line="240" w:lineRule="auto"/>
        <w:jc w:val="both"/>
        <w:rPr>
          <w:szCs w:val="22"/>
          <w:lang w:val="sr-Latn-ME"/>
        </w:rPr>
      </w:pPr>
      <w:r w:rsidRPr="007A69F2">
        <w:rPr>
          <w:szCs w:val="22"/>
          <w:lang w:val="sr-Latn-ME"/>
        </w:rPr>
        <w:t>U</w:t>
      </w:r>
      <w:r w:rsidR="00D04C51" w:rsidRPr="007A69F2">
        <w:rPr>
          <w:szCs w:val="22"/>
          <w:lang w:val="sr-Latn-ME"/>
        </w:rPr>
        <w:t xml:space="preserve"> kliničkim </w:t>
      </w:r>
      <w:r w:rsidRPr="007A69F2">
        <w:rPr>
          <w:szCs w:val="22"/>
          <w:lang w:val="sr-Latn-ME"/>
        </w:rPr>
        <w:t>ispitivanjima</w:t>
      </w:r>
      <w:r w:rsidR="00260D3B" w:rsidRPr="007A69F2">
        <w:rPr>
          <w:szCs w:val="22"/>
          <w:lang w:val="sr-Latn-ME"/>
        </w:rPr>
        <w:t>,</w:t>
      </w:r>
      <w:r w:rsidRPr="007A69F2">
        <w:rPr>
          <w:szCs w:val="22"/>
          <w:lang w:val="sr-Latn-ME"/>
        </w:rPr>
        <w:t xml:space="preserve"> lijek </w:t>
      </w:r>
      <w:proofErr w:type="spellStart"/>
      <w:r w:rsidRPr="007A69F2">
        <w:rPr>
          <w:szCs w:val="22"/>
          <w:lang w:val="sr-Latn-ME"/>
        </w:rPr>
        <w:t>atogepant</w:t>
      </w:r>
      <w:proofErr w:type="spellEnd"/>
      <w:r w:rsidRPr="007A69F2">
        <w:rPr>
          <w:szCs w:val="22"/>
          <w:lang w:val="sr-Latn-ME"/>
        </w:rPr>
        <w:t xml:space="preserve"> se</w:t>
      </w:r>
      <w:r w:rsidR="00D04C51" w:rsidRPr="007A69F2">
        <w:rPr>
          <w:szCs w:val="22"/>
          <w:lang w:val="sr-Latn-ME"/>
        </w:rPr>
        <w:t xml:space="preserve"> primjen</w:t>
      </w:r>
      <w:r w:rsidRPr="007A69F2">
        <w:rPr>
          <w:szCs w:val="22"/>
          <w:lang w:val="sr-Latn-ME"/>
        </w:rPr>
        <w:t>jivao</w:t>
      </w:r>
      <w:r w:rsidR="00D04C51" w:rsidRPr="007A69F2">
        <w:rPr>
          <w:szCs w:val="22"/>
          <w:lang w:val="sr-Latn-ME"/>
        </w:rPr>
        <w:t xml:space="preserve"> kao jedn</w:t>
      </w:r>
      <w:r w:rsidR="00260D3B" w:rsidRPr="007A69F2">
        <w:rPr>
          <w:szCs w:val="22"/>
          <w:lang w:val="sr-Latn-ME"/>
        </w:rPr>
        <w:t>okratna</w:t>
      </w:r>
      <w:r w:rsidR="00D04C51" w:rsidRPr="007A69F2">
        <w:rPr>
          <w:szCs w:val="22"/>
          <w:lang w:val="sr-Latn-ME"/>
        </w:rPr>
        <w:t xml:space="preserve"> doza </w:t>
      </w:r>
      <w:r w:rsidR="00260D3B" w:rsidRPr="007A69F2">
        <w:rPr>
          <w:szCs w:val="22"/>
          <w:lang w:val="sr-Latn-ME"/>
        </w:rPr>
        <w:t>do</w:t>
      </w:r>
      <w:r w:rsidR="00D04C51" w:rsidRPr="007A69F2">
        <w:rPr>
          <w:szCs w:val="22"/>
          <w:lang w:val="sr-Latn-ME"/>
        </w:rPr>
        <w:t xml:space="preserve"> 300 mg i  više</w:t>
      </w:r>
      <w:r w:rsidR="00260D3B" w:rsidRPr="007A69F2">
        <w:rPr>
          <w:szCs w:val="22"/>
          <w:lang w:val="sr-Latn-ME"/>
        </w:rPr>
        <w:t>kratna</w:t>
      </w:r>
      <w:r w:rsidR="00D04C51" w:rsidRPr="007A69F2">
        <w:rPr>
          <w:szCs w:val="22"/>
          <w:lang w:val="sr-Latn-ME"/>
        </w:rPr>
        <w:t xml:space="preserve"> doza </w:t>
      </w:r>
      <w:r w:rsidR="00260D3B" w:rsidRPr="007A69F2">
        <w:rPr>
          <w:szCs w:val="22"/>
          <w:lang w:val="sr-Latn-ME"/>
        </w:rPr>
        <w:t>do</w:t>
      </w:r>
      <w:r w:rsidR="00D04C51" w:rsidRPr="007A69F2">
        <w:rPr>
          <w:szCs w:val="22"/>
          <w:lang w:val="sr-Latn-ME"/>
        </w:rPr>
        <w:t xml:space="preserve"> 170 mg jednom dnevno. Neželjen</w:t>
      </w:r>
      <w:r w:rsidR="00B93698" w:rsidRPr="007A69F2">
        <w:rPr>
          <w:szCs w:val="22"/>
          <w:lang w:val="sr-Latn-ME"/>
        </w:rPr>
        <w:t>a</w:t>
      </w:r>
      <w:r w:rsidR="00D04C51" w:rsidRPr="007A69F2">
        <w:rPr>
          <w:szCs w:val="22"/>
          <w:lang w:val="sr-Latn-ME"/>
        </w:rPr>
        <w:t xml:space="preserve"> </w:t>
      </w:r>
      <w:r w:rsidR="00B93698" w:rsidRPr="007A69F2">
        <w:rPr>
          <w:szCs w:val="22"/>
          <w:lang w:val="sr-Latn-ME"/>
        </w:rPr>
        <w:t>dejstva</w:t>
      </w:r>
      <w:r w:rsidR="00D04C51" w:rsidRPr="007A69F2">
        <w:rPr>
          <w:szCs w:val="22"/>
          <w:lang w:val="sr-Latn-ME"/>
        </w:rPr>
        <w:t xml:space="preserve"> su bil</w:t>
      </w:r>
      <w:r w:rsidR="00B93698" w:rsidRPr="007A69F2">
        <w:rPr>
          <w:szCs w:val="22"/>
          <w:lang w:val="sr-Latn-ME"/>
        </w:rPr>
        <w:t>a</w:t>
      </w:r>
      <w:r w:rsidR="00D04C51" w:rsidRPr="007A69F2">
        <w:rPr>
          <w:szCs w:val="22"/>
          <w:lang w:val="sr-Latn-ME"/>
        </w:rPr>
        <w:t xml:space="preserve"> </w:t>
      </w:r>
      <w:r w:rsidR="00260D3B" w:rsidRPr="007A69F2">
        <w:rPr>
          <w:szCs w:val="22"/>
          <w:lang w:val="sr-Latn-ME"/>
        </w:rPr>
        <w:t>sličn</w:t>
      </w:r>
      <w:r w:rsidR="00B93698" w:rsidRPr="007A69F2">
        <w:rPr>
          <w:szCs w:val="22"/>
          <w:lang w:val="sr-Latn-ME"/>
        </w:rPr>
        <w:t>a</w:t>
      </w:r>
      <w:r w:rsidR="00D04C51" w:rsidRPr="007A69F2">
        <w:rPr>
          <w:szCs w:val="22"/>
          <w:lang w:val="sr-Latn-ME"/>
        </w:rPr>
        <w:t xml:space="preserve"> onima pri ni</w:t>
      </w:r>
      <w:r w:rsidR="00260D3B" w:rsidRPr="007A69F2">
        <w:rPr>
          <w:szCs w:val="22"/>
          <w:lang w:val="sr-Latn-ME"/>
        </w:rPr>
        <w:t>žim</w:t>
      </w:r>
      <w:r w:rsidR="00D04C51" w:rsidRPr="007A69F2">
        <w:rPr>
          <w:szCs w:val="22"/>
          <w:lang w:val="sr-Latn-ME"/>
        </w:rPr>
        <w:t xml:space="preserve"> dozama</w:t>
      </w:r>
      <w:r w:rsidR="00260D3B" w:rsidRPr="007A69F2">
        <w:rPr>
          <w:szCs w:val="22"/>
          <w:lang w:val="sr-Latn-ME"/>
        </w:rPr>
        <w:t xml:space="preserve"> i nisu ustanovljene nikakve</w:t>
      </w:r>
      <w:r w:rsidR="00D04C51" w:rsidRPr="007A69F2">
        <w:rPr>
          <w:szCs w:val="22"/>
          <w:lang w:val="sr-Latn-ME"/>
        </w:rPr>
        <w:t xml:space="preserve"> specifične toksičnosti. Nema poznatog antidota za </w:t>
      </w:r>
      <w:r w:rsidR="00260D3B" w:rsidRPr="007A69F2">
        <w:rPr>
          <w:szCs w:val="22"/>
          <w:lang w:val="sr-Latn-ME"/>
        </w:rPr>
        <w:t xml:space="preserve">lijek </w:t>
      </w:r>
      <w:proofErr w:type="spellStart"/>
      <w:r w:rsidR="00D04C51" w:rsidRPr="007A69F2">
        <w:rPr>
          <w:szCs w:val="22"/>
          <w:lang w:val="sr-Latn-ME"/>
        </w:rPr>
        <w:t>atogepant</w:t>
      </w:r>
      <w:proofErr w:type="spellEnd"/>
      <w:r w:rsidR="00D04C51" w:rsidRPr="007A69F2">
        <w:rPr>
          <w:szCs w:val="22"/>
          <w:lang w:val="sr-Latn-ME"/>
        </w:rPr>
        <w:t xml:space="preserve">. Liječenje </w:t>
      </w:r>
      <w:proofErr w:type="spellStart"/>
      <w:r w:rsidR="00D04C51" w:rsidRPr="007A69F2">
        <w:rPr>
          <w:szCs w:val="22"/>
          <w:lang w:val="sr-Latn-ME"/>
        </w:rPr>
        <w:t>predoziranja</w:t>
      </w:r>
      <w:proofErr w:type="spellEnd"/>
      <w:r w:rsidR="00D04C51" w:rsidRPr="007A69F2">
        <w:rPr>
          <w:szCs w:val="22"/>
          <w:lang w:val="sr-Latn-ME"/>
        </w:rPr>
        <w:t xml:space="preserve"> treba </w:t>
      </w:r>
      <w:r w:rsidR="00260D3B" w:rsidRPr="007A69F2">
        <w:rPr>
          <w:szCs w:val="22"/>
          <w:lang w:val="sr-Latn-ME"/>
        </w:rPr>
        <w:t>uključivati</w:t>
      </w:r>
      <w:r w:rsidR="00D04C51" w:rsidRPr="007A69F2">
        <w:rPr>
          <w:szCs w:val="22"/>
          <w:lang w:val="sr-Latn-ME"/>
        </w:rPr>
        <w:t xml:space="preserve"> op</w:t>
      </w:r>
      <w:r w:rsidR="00260D3B" w:rsidRPr="007A69F2">
        <w:rPr>
          <w:szCs w:val="22"/>
          <w:lang w:val="sr-Latn-ME"/>
        </w:rPr>
        <w:t>šte</w:t>
      </w:r>
      <w:r w:rsidR="00D04C51" w:rsidRPr="007A69F2">
        <w:rPr>
          <w:szCs w:val="22"/>
          <w:lang w:val="sr-Latn-ME"/>
        </w:rPr>
        <w:t xml:space="preserve"> </w:t>
      </w:r>
      <w:proofErr w:type="spellStart"/>
      <w:r w:rsidR="00D04C51" w:rsidRPr="007A69F2">
        <w:rPr>
          <w:szCs w:val="22"/>
          <w:lang w:val="sr-Latn-ME"/>
        </w:rPr>
        <w:t>suportivn</w:t>
      </w:r>
      <w:r w:rsidR="00260D3B" w:rsidRPr="007A69F2">
        <w:rPr>
          <w:szCs w:val="22"/>
          <w:lang w:val="sr-Latn-ME"/>
        </w:rPr>
        <w:t>e</w:t>
      </w:r>
      <w:proofErr w:type="spellEnd"/>
      <w:r w:rsidR="00D04C51" w:rsidRPr="007A69F2">
        <w:rPr>
          <w:szCs w:val="22"/>
          <w:lang w:val="sr-Latn-ME"/>
        </w:rPr>
        <w:t xml:space="preserve"> mjer</w:t>
      </w:r>
      <w:r w:rsidR="00260D3B" w:rsidRPr="007A69F2">
        <w:rPr>
          <w:szCs w:val="22"/>
          <w:lang w:val="sr-Latn-ME"/>
        </w:rPr>
        <w:t>e</w:t>
      </w:r>
      <w:r w:rsidR="00D04C51" w:rsidRPr="007A69F2">
        <w:rPr>
          <w:szCs w:val="22"/>
          <w:lang w:val="sr-Latn-ME"/>
        </w:rPr>
        <w:t xml:space="preserve"> </w:t>
      </w:r>
      <w:r w:rsidR="00C77840" w:rsidRPr="007A69F2">
        <w:rPr>
          <w:szCs w:val="22"/>
          <w:lang w:val="sr-Latn-ME"/>
        </w:rPr>
        <w:t xml:space="preserve">liječenja </w:t>
      </w:r>
      <w:r w:rsidR="00D04C51" w:rsidRPr="007A69F2">
        <w:rPr>
          <w:szCs w:val="22"/>
          <w:lang w:val="sr-Latn-ME"/>
        </w:rPr>
        <w:t xml:space="preserve">uključujući praćenje vitalnih znakova i </w:t>
      </w:r>
      <w:r w:rsidR="00B93698" w:rsidRPr="007A69F2">
        <w:rPr>
          <w:szCs w:val="22"/>
          <w:lang w:val="sr-Latn-ME"/>
        </w:rPr>
        <w:t>posmatranje</w:t>
      </w:r>
      <w:r w:rsidR="00D04C51" w:rsidRPr="007A69F2">
        <w:rPr>
          <w:szCs w:val="22"/>
          <w:lang w:val="sr-Latn-ME"/>
        </w:rPr>
        <w:t xml:space="preserve"> kliničkog </w:t>
      </w:r>
      <w:r w:rsidR="00B93698" w:rsidRPr="007A69F2">
        <w:rPr>
          <w:szCs w:val="22"/>
          <w:lang w:val="sr-Latn-ME"/>
        </w:rPr>
        <w:t>stanja</w:t>
      </w:r>
      <w:r w:rsidR="00D04C51" w:rsidRPr="007A69F2">
        <w:rPr>
          <w:szCs w:val="22"/>
          <w:lang w:val="sr-Latn-ME"/>
        </w:rPr>
        <w:t xml:space="preserve"> pacijenta.</w:t>
      </w:r>
    </w:p>
    <w:p w14:paraId="5D4C92AB" w14:textId="77777777" w:rsidR="00DA17AE" w:rsidRPr="007A69F2" w:rsidRDefault="00DA17AE" w:rsidP="000E7927">
      <w:pPr>
        <w:spacing w:line="240" w:lineRule="auto"/>
        <w:jc w:val="both"/>
        <w:rPr>
          <w:szCs w:val="22"/>
          <w:lang w:val="sr-Latn-ME"/>
        </w:rPr>
      </w:pPr>
    </w:p>
    <w:p w14:paraId="5DA39292" w14:textId="77777777" w:rsidR="00DA17AE" w:rsidRPr="007A69F2" w:rsidRDefault="00DA17AE" w:rsidP="000E7927">
      <w:pPr>
        <w:spacing w:line="240" w:lineRule="auto"/>
        <w:jc w:val="both"/>
        <w:rPr>
          <w:szCs w:val="22"/>
          <w:lang w:val="sr-Latn-ME"/>
        </w:rPr>
      </w:pPr>
    </w:p>
    <w:p w14:paraId="673ACCD2" w14:textId="77777777" w:rsidR="009230C6" w:rsidRPr="007A69F2" w:rsidRDefault="00D04C51" w:rsidP="000E7927">
      <w:pPr>
        <w:keepNext/>
        <w:suppressAutoHyphens/>
        <w:spacing w:line="240" w:lineRule="auto"/>
        <w:ind w:left="567" w:hanging="567"/>
        <w:jc w:val="both"/>
        <w:rPr>
          <w:szCs w:val="22"/>
          <w:lang w:val="sr-Latn-ME"/>
        </w:rPr>
      </w:pPr>
      <w:r w:rsidRPr="007A69F2">
        <w:rPr>
          <w:b/>
          <w:szCs w:val="22"/>
          <w:lang w:val="sr-Latn-ME"/>
        </w:rPr>
        <w:t>5.</w:t>
      </w:r>
      <w:r w:rsidRPr="007A69F2">
        <w:rPr>
          <w:b/>
          <w:szCs w:val="22"/>
          <w:lang w:val="sr-Latn-ME"/>
        </w:rPr>
        <w:tab/>
        <w:t>FARMAKOLOŠKA SVOJSTVA</w:t>
      </w:r>
    </w:p>
    <w:p w14:paraId="55D06FB3" w14:textId="77777777" w:rsidR="00DA17AE" w:rsidRPr="007A69F2" w:rsidRDefault="00DA17AE" w:rsidP="000E7927">
      <w:pPr>
        <w:keepNext/>
        <w:spacing w:line="240" w:lineRule="auto"/>
        <w:jc w:val="both"/>
        <w:rPr>
          <w:szCs w:val="22"/>
          <w:lang w:val="sr-Latn-ME"/>
        </w:rPr>
      </w:pPr>
    </w:p>
    <w:p w14:paraId="385A16F2" w14:textId="486C0B11" w:rsidR="00DA17AE" w:rsidRPr="007A69F2" w:rsidRDefault="00D04C51" w:rsidP="000E7927">
      <w:pPr>
        <w:keepNext/>
        <w:spacing w:line="240" w:lineRule="auto"/>
        <w:jc w:val="both"/>
        <w:outlineLvl w:val="0"/>
        <w:rPr>
          <w:szCs w:val="22"/>
          <w:lang w:val="sr-Latn-ME"/>
        </w:rPr>
      </w:pPr>
      <w:r w:rsidRPr="007A69F2">
        <w:rPr>
          <w:b/>
          <w:szCs w:val="22"/>
          <w:lang w:val="sr-Latn-ME"/>
        </w:rPr>
        <w:t>5.1</w:t>
      </w:r>
      <w:r w:rsidRPr="007A69F2">
        <w:rPr>
          <w:b/>
          <w:szCs w:val="22"/>
          <w:lang w:val="sr-Latn-ME"/>
        </w:rPr>
        <w:tab/>
      </w:r>
      <w:proofErr w:type="spellStart"/>
      <w:r w:rsidR="00B93698" w:rsidRPr="007A69F2">
        <w:rPr>
          <w:b/>
          <w:szCs w:val="22"/>
          <w:lang w:val="sr-Latn-ME"/>
        </w:rPr>
        <w:t>Farmakodinamski</w:t>
      </w:r>
      <w:proofErr w:type="spellEnd"/>
      <w:r w:rsidR="00B93698" w:rsidRPr="007A69F2">
        <w:rPr>
          <w:b/>
          <w:szCs w:val="22"/>
          <w:lang w:val="sr-Latn-ME"/>
        </w:rPr>
        <w:t xml:space="preserve"> podaci</w:t>
      </w:r>
    </w:p>
    <w:p w14:paraId="732F117C" w14:textId="77777777" w:rsidR="00DA17AE" w:rsidRPr="007A69F2" w:rsidRDefault="00DA17AE" w:rsidP="000E7927">
      <w:pPr>
        <w:keepNext/>
        <w:spacing w:line="240" w:lineRule="auto"/>
        <w:jc w:val="both"/>
        <w:rPr>
          <w:szCs w:val="22"/>
          <w:lang w:val="sr-Latn-ME"/>
        </w:rPr>
      </w:pPr>
    </w:p>
    <w:p w14:paraId="27391010" w14:textId="1B934F7A" w:rsidR="00295336" w:rsidRPr="007A69F2" w:rsidRDefault="00D04C51" w:rsidP="000E7927">
      <w:pPr>
        <w:keepNext/>
        <w:spacing w:line="240" w:lineRule="auto"/>
        <w:jc w:val="both"/>
        <w:rPr>
          <w:szCs w:val="22"/>
          <w:lang w:val="sr-Latn-ME"/>
        </w:rPr>
      </w:pPr>
      <w:proofErr w:type="spellStart"/>
      <w:r w:rsidRPr="007A69F2">
        <w:rPr>
          <w:szCs w:val="22"/>
          <w:lang w:val="sr-Latn-ME"/>
        </w:rPr>
        <w:t>Farmakoterapijska</w:t>
      </w:r>
      <w:proofErr w:type="spellEnd"/>
      <w:r w:rsidRPr="007A69F2">
        <w:rPr>
          <w:szCs w:val="22"/>
          <w:lang w:val="sr-Latn-ME"/>
        </w:rPr>
        <w:t xml:space="preserve"> grupa: analgetici, antagonisti </w:t>
      </w:r>
      <w:proofErr w:type="spellStart"/>
      <w:r w:rsidRPr="007A69F2">
        <w:rPr>
          <w:szCs w:val="22"/>
          <w:lang w:val="sr-Latn-ME"/>
        </w:rPr>
        <w:t>peptida</w:t>
      </w:r>
      <w:proofErr w:type="spellEnd"/>
      <w:r w:rsidRPr="007A69F2">
        <w:rPr>
          <w:szCs w:val="22"/>
          <w:lang w:val="sr-Latn-ME"/>
        </w:rPr>
        <w:t xml:space="preserve"> povezanog s</w:t>
      </w:r>
      <w:r w:rsidR="002651F3" w:rsidRPr="007A69F2">
        <w:rPr>
          <w:szCs w:val="22"/>
          <w:lang w:val="sr-Latn-ME"/>
        </w:rPr>
        <w:t>a</w:t>
      </w:r>
      <w:r w:rsidRPr="007A69F2">
        <w:rPr>
          <w:szCs w:val="22"/>
          <w:lang w:val="sr-Latn-ME"/>
        </w:rPr>
        <w:t xml:space="preserve"> genom</w:t>
      </w:r>
      <w:r w:rsidR="00777039" w:rsidRPr="007A69F2">
        <w:rPr>
          <w:szCs w:val="22"/>
          <w:lang w:val="sr-Latn-ME"/>
        </w:rPr>
        <w:t xml:space="preserve"> za</w:t>
      </w:r>
      <w:r w:rsidRPr="007A69F2">
        <w:rPr>
          <w:szCs w:val="22"/>
          <w:lang w:val="sr-Latn-ME"/>
        </w:rPr>
        <w:t xml:space="preserve"> </w:t>
      </w:r>
      <w:proofErr w:type="spellStart"/>
      <w:r w:rsidRPr="007A69F2">
        <w:rPr>
          <w:szCs w:val="22"/>
          <w:lang w:val="sr-Latn-ME"/>
        </w:rPr>
        <w:t>kalcitonin</w:t>
      </w:r>
      <w:proofErr w:type="spellEnd"/>
      <w:r w:rsidRPr="007A69F2">
        <w:rPr>
          <w:szCs w:val="22"/>
          <w:lang w:val="sr-Latn-ME"/>
        </w:rPr>
        <w:t xml:space="preserve"> (CGRP)</w:t>
      </w:r>
    </w:p>
    <w:p w14:paraId="6500E5AE" w14:textId="77777777" w:rsidR="00295336" w:rsidRPr="007A69F2" w:rsidRDefault="00295336" w:rsidP="000E7927">
      <w:pPr>
        <w:keepNext/>
        <w:spacing w:line="240" w:lineRule="auto"/>
        <w:jc w:val="both"/>
        <w:rPr>
          <w:szCs w:val="22"/>
          <w:lang w:val="sr-Latn-ME"/>
        </w:rPr>
      </w:pPr>
    </w:p>
    <w:p w14:paraId="6FBEBE80" w14:textId="72FA45DF" w:rsidR="00DA17AE" w:rsidRPr="007A69F2" w:rsidRDefault="00D04C51" w:rsidP="000E7927">
      <w:pPr>
        <w:keepNext/>
        <w:spacing w:line="240" w:lineRule="auto"/>
        <w:jc w:val="both"/>
        <w:rPr>
          <w:szCs w:val="22"/>
          <w:lang w:val="sr-Latn-ME"/>
        </w:rPr>
      </w:pPr>
      <w:r w:rsidRPr="007A69F2">
        <w:rPr>
          <w:szCs w:val="22"/>
          <w:lang w:val="sr-Latn-ME"/>
        </w:rPr>
        <w:t>AT</w:t>
      </w:r>
      <w:r w:rsidR="00777039" w:rsidRPr="007A69F2">
        <w:rPr>
          <w:szCs w:val="22"/>
          <w:lang w:val="sr-Latn-ME"/>
        </w:rPr>
        <w:t>C</w:t>
      </w:r>
      <w:r w:rsidRPr="007A69F2">
        <w:rPr>
          <w:szCs w:val="22"/>
          <w:lang w:val="sr-Latn-ME"/>
        </w:rPr>
        <w:t xml:space="preserve"> </w:t>
      </w:r>
      <w:r w:rsidR="00295336" w:rsidRPr="007A69F2">
        <w:rPr>
          <w:szCs w:val="22"/>
          <w:lang w:val="sr-Latn-ME"/>
        </w:rPr>
        <w:t>kod</w:t>
      </w:r>
      <w:r w:rsidRPr="007A69F2">
        <w:rPr>
          <w:szCs w:val="22"/>
          <w:lang w:val="sr-Latn-ME"/>
        </w:rPr>
        <w:t>: N02CD07</w:t>
      </w:r>
    </w:p>
    <w:p w14:paraId="039F2978" w14:textId="77777777" w:rsidR="00DA17AE" w:rsidRPr="007A69F2" w:rsidRDefault="00DA17AE" w:rsidP="000E7927">
      <w:pPr>
        <w:spacing w:line="240" w:lineRule="auto"/>
        <w:jc w:val="both"/>
        <w:rPr>
          <w:szCs w:val="22"/>
          <w:lang w:val="sr-Latn-ME"/>
        </w:rPr>
      </w:pPr>
    </w:p>
    <w:p w14:paraId="70CAA678" w14:textId="62B09C4E" w:rsidR="00C27426" w:rsidRPr="007A69F2" w:rsidRDefault="00D04C51" w:rsidP="000E7927">
      <w:pPr>
        <w:spacing w:line="240" w:lineRule="auto"/>
        <w:jc w:val="both"/>
        <w:rPr>
          <w:szCs w:val="22"/>
          <w:u w:val="single"/>
          <w:lang w:val="sr-Latn-ME"/>
        </w:rPr>
      </w:pPr>
      <w:r w:rsidRPr="007A69F2">
        <w:rPr>
          <w:szCs w:val="22"/>
          <w:u w:val="single"/>
          <w:lang w:val="sr-Latn-ME"/>
        </w:rPr>
        <w:t>Mehanizam djelovanja</w:t>
      </w:r>
    </w:p>
    <w:p w14:paraId="29614E98" w14:textId="49009A9A" w:rsidR="00A50EAD" w:rsidRPr="007A69F2" w:rsidRDefault="00D04C51" w:rsidP="00405FD8">
      <w:pPr>
        <w:pStyle w:val="BodytextAgency"/>
        <w:spacing w:after="0" w:line="240" w:lineRule="auto"/>
        <w:jc w:val="both"/>
        <w:rPr>
          <w:rFonts w:ascii="Times New Roman" w:hAnsi="Times New Roman" w:cs="Times New Roman"/>
          <w:sz w:val="22"/>
          <w:szCs w:val="22"/>
          <w:lang w:val="sr-Latn-ME"/>
        </w:rPr>
      </w:pPr>
      <w:bookmarkStart w:id="14" w:name="_Hlk128632137"/>
      <w:proofErr w:type="spellStart"/>
      <w:r w:rsidRPr="007A69F2">
        <w:rPr>
          <w:rFonts w:ascii="Times New Roman" w:hAnsi="Times New Roman" w:cs="Times New Roman"/>
          <w:sz w:val="22"/>
          <w:szCs w:val="22"/>
          <w:lang w:val="sr-Latn-ME"/>
        </w:rPr>
        <w:t>Nekliničk</w:t>
      </w:r>
      <w:r w:rsidR="00777039" w:rsidRPr="007A69F2">
        <w:rPr>
          <w:rFonts w:ascii="Times New Roman" w:hAnsi="Times New Roman" w:cs="Times New Roman"/>
          <w:sz w:val="22"/>
          <w:szCs w:val="22"/>
          <w:lang w:val="sr-Latn-ME"/>
        </w:rPr>
        <w:t>a</w:t>
      </w:r>
      <w:proofErr w:type="spellEnd"/>
      <w:r w:rsidR="00777039" w:rsidRPr="007A69F2">
        <w:rPr>
          <w:rFonts w:ascii="Times New Roman" w:hAnsi="Times New Roman" w:cs="Times New Roman"/>
          <w:sz w:val="22"/>
          <w:szCs w:val="22"/>
          <w:lang w:val="sr-Latn-ME"/>
        </w:rPr>
        <w:t xml:space="preserve"> ispitivanja</w:t>
      </w:r>
      <w:r w:rsidRPr="007A69F2">
        <w:rPr>
          <w:rFonts w:ascii="Times New Roman" w:hAnsi="Times New Roman" w:cs="Times New Roman"/>
          <w:sz w:val="22"/>
          <w:szCs w:val="22"/>
          <w:lang w:val="sr-Latn-ME"/>
        </w:rPr>
        <w:t xml:space="preserve"> vez</w:t>
      </w:r>
      <w:r w:rsidR="00777039" w:rsidRPr="007A69F2">
        <w:rPr>
          <w:rFonts w:ascii="Times New Roman" w:hAnsi="Times New Roman" w:cs="Times New Roman"/>
          <w:sz w:val="22"/>
          <w:szCs w:val="22"/>
          <w:lang w:val="sr-Latn-ME"/>
        </w:rPr>
        <w:t>anja na</w:t>
      </w:r>
      <w:r w:rsidRPr="007A69F2">
        <w:rPr>
          <w:rFonts w:ascii="Times New Roman" w:hAnsi="Times New Roman" w:cs="Times New Roman"/>
          <w:sz w:val="22"/>
          <w:szCs w:val="22"/>
          <w:lang w:val="sr-Latn-ME"/>
        </w:rPr>
        <w:t xml:space="preserve"> receptor i </w:t>
      </w:r>
      <w:r w:rsidRPr="007A69F2">
        <w:rPr>
          <w:rFonts w:ascii="Times New Roman" w:hAnsi="Times New Roman" w:cs="Times New Roman"/>
          <w:i/>
          <w:sz w:val="22"/>
          <w:szCs w:val="22"/>
          <w:lang w:val="sr-Latn-ME"/>
        </w:rPr>
        <w:t xml:space="preserve">in </w:t>
      </w:r>
      <w:proofErr w:type="spellStart"/>
      <w:r w:rsidRPr="007A69F2">
        <w:rPr>
          <w:rFonts w:ascii="Times New Roman" w:hAnsi="Times New Roman" w:cs="Times New Roman"/>
          <w:i/>
          <w:sz w:val="22"/>
          <w:szCs w:val="22"/>
          <w:lang w:val="sr-Latn-ME"/>
        </w:rPr>
        <w:t>vitro</w:t>
      </w:r>
      <w:proofErr w:type="spellEnd"/>
      <w:r w:rsidRPr="007A69F2">
        <w:rPr>
          <w:rFonts w:ascii="Times New Roman" w:hAnsi="Times New Roman" w:cs="Times New Roman"/>
          <w:sz w:val="22"/>
          <w:szCs w:val="22"/>
          <w:lang w:val="sr-Latn-ME"/>
        </w:rPr>
        <w:t xml:space="preserve"> funkcionaln</w:t>
      </w:r>
      <w:r w:rsidR="00777039" w:rsidRPr="007A69F2">
        <w:rPr>
          <w:rFonts w:ascii="Times New Roman" w:hAnsi="Times New Roman" w:cs="Times New Roman"/>
          <w:sz w:val="22"/>
          <w:szCs w:val="22"/>
          <w:lang w:val="sr-Latn-ME"/>
        </w:rPr>
        <w:t xml:space="preserve">a ispitivanja upućuju na to da farmakološki efekti lijeka </w:t>
      </w:r>
      <w:proofErr w:type="spellStart"/>
      <w:r w:rsidR="00777039" w:rsidRPr="007A69F2">
        <w:rPr>
          <w:rFonts w:ascii="Times New Roman" w:hAnsi="Times New Roman" w:cs="Times New Roman"/>
          <w:sz w:val="22"/>
          <w:szCs w:val="22"/>
          <w:lang w:val="sr-Latn-ME"/>
        </w:rPr>
        <w:t>atogepant</w:t>
      </w:r>
      <w:proofErr w:type="spellEnd"/>
      <w:r w:rsidR="00777039" w:rsidRPr="007A69F2">
        <w:rPr>
          <w:rFonts w:ascii="Times New Roman" w:hAnsi="Times New Roman" w:cs="Times New Roman"/>
          <w:sz w:val="22"/>
          <w:szCs w:val="22"/>
          <w:lang w:val="sr-Latn-ME"/>
        </w:rPr>
        <w:t xml:space="preserve"> uključuju više od jednog tipa receptora. Lijek </w:t>
      </w:r>
      <w:proofErr w:type="spellStart"/>
      <w:r w:rsidR="00777039" w:rsidRPr="007A69F2">
        <w:rPr>
          <w:rFonts w:ascii="Times New Roman" w:hAnsi="Times New Roman" w:cs="Times New Roman"/>
          <w:sz w:val="22"/>
          <w:szCs w:val="22"/>
          <w:lang w:val="sr-Latn-ME"/>
        </w:rPr>
        <w:t>a</w:t>
      </w:r>
      <w:r w:rsidRPr="007A69F2">
        <w:rPr>
          <w:rFonts w:ascii="Times New Roman" w:hAnsi="Times New Roman" w:cs="Times New Roman"/>
          <w:sz w:val="22"/>
          <w:szCs w:val="22"/>
          <w:lang w:val="sr-Latn-ME"/>
        </w:rPr>
        <w:t>togepant</w:t>
      </w:r>
      <w:proofErr w:type="spellEnd"/>
      <w:r w:rsidRPr="007A69F2">
        <w:rPr>
          <w:rFonts w:ascii="Times New Roman" w:hAnsi="Times New Roman" w:cs="Times New Roman"/>
          <w:sz w:val="22"/>
          <w:szCs w:val="22"/>
          <w:lang w:val="sr-Latn-ME"/>
        </w:rPr>
        <w:t xml:space="preserve"> pokazuje afinitet </w:t>
      </w:r>
      <w:r w:rsidR="00777039" w:rsidRPr="007A69F2">
        <w:rPr>
          <w:rFonts w:ascii="Times New Roman" w:hAnsi="Times New Roman" w:cs="Times New Roman"/>
          <w:sz w:val="22"/>
          <w:szCs w:val="22"/>
          <w:lang w:val="sr-Latn-ME"/>
        </w:rPr>
        <w:t>z</w:t>
      </w:r>
      <w:r w:rsidRPr="007A69F2">
        <w:rPr>
          <w:rFonts w:ascii="Times New Roman" w:hAnsi="Times New Roman" w:cs="Times New Roman"/>
          <w:sz w:val="22"/>
          <w:szCs w:val="22"/>
          <w:lang w:val="sr-Latn-ME"/>
        </w:rPr>
        <w:t xml:space="preserve">a nekoliko receptora iz porodice </w:t>
      </w:r>
      <w:proofErr w:type="spellStart"/>
      <w:r w:rsidRPr="007A69F2">
        <w:rPr>
          <w:rFonts w:ascii="Times New Roman" w:hAnsi="Times New Roman" w:cs="Times New Roman"/>
          <w:sz w:val="22"/>
          <w:szCs w:val="22"/>
          <w:lang w:val="sr-Latn-ME"/>
        </w:rPr>
        <w:t>kalcitoni</w:t>
      </w:r>
      <w:r w:rsidR="00777039" w:rsidRPr="007A69F2">
        <w:rPr>
          <w:rFonts w:ascii="Times New Roman" w:hAnsi="Times New Roman" w:cs="Times New Roman"/>
          <w:sz w:val="22"/>
          <w:szCs w:val="22"/>
          <w:lang w:val="sr-Latn-ME"/>
        </w:rPr>
        <w:t>nskih</w:t>
      </w:r>
      <w:proofErr w:type="spellEnd"/>
      <w:r w:rsidRPr="007A69F2">
        <w:rPr>
          <w:rFonts w:ascii="Times New Roman" w:hAnsi="Times New Roman" w:cs="Times New Roman"/>
          <w:sz w:val="22"/>
          <w:szCs w:val="22"/>
          <w:lang w:val="sr-Latn-ME"/>
        </w:rPr>
        <w:t>/CGRP</w:t>
      </w:r>
      <w:r w:rsidR="00777039" w:rsidRPr="007A69F2">
        <w:rPr>
          <w:rFonts w:ascii="Times New Roman" w:hAnsi="Times New Roman" w:cs="Times New Roman"/>
          <w:sz w:val="22"/>
          <w:szCs w:val="22"/>
          <w:lang w:val="sr-Latn-ME"/>
        </w:rPr>
        <w:t xml:space="preserve"> </w:t>
      </w:r>
      <w:r w:rsidR="00777039" w:rsidRPr="007A69F2">
        <w:rPr>
          <w:rFonts w:ascii="Times New Roman" w:hAnsi="Times New Roman" w:cs="Times New Roman"/>
          <w:i/>
          <w:iCs/>
          <w:sz w:val="22"/>
          <w:szCs w:val="22"/>
          <w:lang w:val="sr-Latn-ME"/>
        </w:rPr>
        <w:t>(</w:t>
      </w:r>
      <w:r w:rsidR="00777039" w:rsidRPr="007A69F2">
        <w:rPr>
          <w:rFonts w:ascii="Times New Roman" w:hAnsi="Times New Roman" w:cs="Times New Roman"/>
          <w:sz w:val="22"/>
          <w:szCs w:val="22"/>
          <w:lang w:val="sr-Latn-ME"/>
        </w:rPr>
        <w:t>engl.</w:t>
      </w:r>
      <w:r w:rsidR="00777039" w:rsidRPr="007A69F2">
        <w:rPr>
          <w:rFonts w:ascii="Times New Roman" w:hAnsi="Times New Roman" w:cs="Times New Roman"/>
          <w:i/>
          <w:iCs/>
          <w:sz w:val="22"/>
          <w:szCs w:val="22"/>
          <w:lang w:val="sr-Latn-ME"/>
        </w:rPr>
        <w:t xml:space="preserve"> </w:t>
      </w:r>
      <w:proofErr w:type="spellStart"/>
      <w:r w:rsidR="00777039" w:rsidRPr="007A69F2">
        <w:rPr>
          <w:rFonts w:ascii="Times New Roman" w:hAnsi="Times New Roman" w:cs="Times New Roman"/>
          <w:i/>
          <w:iCs/>
          <w:sz w:val="22"/>
          <w:szCs w:val="22"/>
          <w:lang w:val="sr-Latn-ME"/>
        </w:rPr>
        <w:t>calcitonin</w:t>
      </w:r>
      <w:proofErr w:type="spellEnd"/>
      <w:r w:rsidR="00777039" w:rsidRPr="007A69F2">
        <w:rPr>
          <w:rFonts w:ascii="Times New Roman" w:hAnsi="Times New Roman" w:cs="Times New Roman"/>
          <w:i/>
          <w:iCs/>
          <w:sz w:val="22"/>
          <w:szCs w:val="22"/>
          <w:lang w:val="sr-Latn-ME"/>
        </w:rPr>
        <w:t xml:space="preserve"> gene-</w:t>
      </w:r>
      <w:proofErr w:type="spellStart"/>
      <w:r w:rsidR="00777039" w:rsidRPr="007A69F2">
        <w:rPr>
          <w:rFonts w:ascii="Times New Roman" w:hAnsi="Times New Roman" w:cs="Times New Roman"/>
          <w:i/>
          <w:iCs/>
          <w:sz w:val="22"/>
          <w:szCs w:val="22"/>
          <w:lang w:val="sr-Latn-ME"/>
        </w:rPr>
        <w:t>related</w:t>
      </w:r>
      <w:proofErr w:type="spellEnd"/>
      <w:r w:rsidR="00777039" w:rsidRPr="007A69F2">
        <w:rPr>
          <w:rFonts w:ascii="Times New Roman" w:hAnsi="Times New Roman" w:cs="Times New Roman"/>
          <w:i/>
          <w:iCs/>
          <w:sz w:val="22"/>
          <w:szCs w:val="22"/>
          <w:lang w:val="sr-Latn-ME"/>
        </w:rPr>
        <w:t xml:space="preserve"> </w:t>
      </w:r>
      <w:proofErr w:type="spellStart"/>
      <w:r w:rsidR="00777039" w:rsidRPr="007A69F2">
        <w:rPr>
          <w:rFonts w:ascii="Times New Roman" w:hAnsi="Times New Roman" w:cs="Times New Roman"/>
          <w:i/>
          <w:iCs/>
          <w:sz w:val="22"/>
          <w:szCs w:val="22"/>
          <w:lang w:val="sr-Latn-ME"/>
        </w:rPr>
        <w:t>peptide</w:t>
      </w:r>
      <w:proofErr w:type="spellEnd"/>
      <w:r w:rsidR="00777039" w:rsidRPr="007A69F2">
        <w:rPr>
          <w:rFonts w:ascii="Times New Roman" w:hAnsi="Times New Roman" w:cs="Times New Roman"/>
          <w:i/>
          <w:iCs/>
          <w:sz w:val="22"/>
          <w:szCs w:val="22"/>
          <w:lang w:val="sr-Latn-ME"/>
        </w:rPr>
        <w:t>, CGRP)</w:t>
      </w:r>
      <w:r w:rsidR="00777039" w:rsidRPr="007A69F2">
        <w:rPr>
          <w:rFonts w:ascii="Times New Roman" w:hAnsi="Times New Roman" w:cs="Times New Roman"/>
          <w:sz w:val="22"/>
          <w:szCs w:val="22"/>
          <w:lang w:val="sr-Latn-ME"/>
        </w:rPr>
        <w:t xml:space="preserve"> receptora</w:t>
      </w:r>
      <w:r w:rsidRPr="007A69F2">
        <w:rPr>
          <w:rFonts w:ascii="Times New Roman" w:hAnsi="Times New Roman" w:cs="Times New Roman"/>
          <w:sz w:val="22"/>
          <w:szCs w:val="22"/>
          <w:lang w:val="sr-Latn-ME"/>
        </w:rPr>
        <w:t xml:space="preserve">. S obzirom na klinički relevantne koncentracije slobodnog </w:t>
      </w:r>
      <w:proofErr w:type="spellStart"/>
      <w:r w:rsidRPr="007A69F2">
        <w:rPr>
          <w:rFonts w:ascii="Times New Roman" w:hAnsi="Times New Roman" w:cs="Times New Roman"/>
          <w:sz w:val="22"/>
          <w:szCs w:val="22"/>
          <w:lang w:val="sr-Latn-ME"/>
        </w:rPr>
        <w:t>atogepanta</w:t>
      </w:r>
      <w:proofErr w:type="spellEnd"/>
      <w:r w:rsidRPr="007A69F2">
        <w:rPr>
          <w:rFonts w:ascii="Times New Roman" w:hAnsi="Times New Roman" w:cs="Times New Roman"/>
          <w:sz w:val="22"/>
          <w:szCs w:val="22"/>
          <w:lang w:val="sr-Latn-ME"/>
        </w:rPr>
        <w:t xml:space="preserve"> u plazmi </w:t>
      </w:r>
      <w:r w:rsidR="00777039" w:rsidRPr="007A69F2">
        <w:rPr>
          <w:rFonts w:ascii="Times New Roman" w:hAnsi="Times New Roman" w:cs="Times New Roman"/>
          <w:sz w:val="22"/>
          <w:szCs w:val="22"/>
          <w:lang w:val="sr-Latn-ME"/>
        </w:rPr>
        <w:t xml:space="preserve"> </w:t>
      </w:r>
      <w:r w:rsidRPr="007A69F2">
        <w:rPr>
          <w:rFonts w:ascii="Times New Roman" w:hAnsi="Times New Roman" w:cs="Times New Roman"/>
          <w:sz w:val="22"/>
          <w:szCs w:val="22"/>
          <w:lang w:val="sr-Latn-ME"/>
        </w:rPr>
        <w:t>(</w:t>
      </w:r>
      <w:proofErr w:type="spellStart"/>
      <w:r w:rsidRPr="007A69F2">
        <w:rPr>
          <w:rFonts w:ascii="Times New Roman" w:hAnsi="Times New Roman" w:cs="Times New Roman"/>
          <w:sz w:val="22"/>
          <w:szCs w:val="22"/>
          <w:lang w:val="sr-Latn-ME"/>
        </w:rPr>
        <w:t>C</w:t>
      </w:r>
      <w:r w:rsidRPr="007A69F2">
        <w:rPr>
          <w:rFonts w:ascii="Times New Roman" w:hAnsi="Times New Roman" w:cs="Times New Roman"/>
          <w:sz w:val="22"/>
          <w:szCs w:val="22"/>
          <w:vertAlign w:val="subscript"/>
          <w:lang w:val="sr-Latn-ME"/>
        </w:rPr>
        <w:t>max</w:t>
      </w:r>
      <w:proofErr w:type="spellEnd"/>
      <w:r w:rsidRPr="007A69F2">
        <w:rPr>
          <w:rFonts w:ascii="Times New Roman" w:hAnsi="Times New Roman" w:cs="Times New Roman"/>
          <w:sz w:val="22"/>
          <w:szCs w:val="22"/>
          <w:lang w:val="sr-Latn-ME"/>
        </w:rPr>
        <w:t xml:space="preserve"> &gt; 20 </w:t>
      </w:r>
      <w:proofErr w:type="spellStart"/>
      <w:r w:rsidRPr="007A69F2">
        <w:rPr>
          <w:rFonts w:ascii="Times New Roman" w:hAnsi="Times New Roman" w:cs="Times New Roman"/>
          <w:sz w:val="22"/>
          <w:szCs w:val="22"/>
          <w:lang w:val="sr-Latn-ME"/>
        </w:rPr>
        <w:t>nM</w:t>
      </w:r>
      <w:proofErr w:type="spellEnd"/>
      <w:r w:rsidRPr="007A69F2">
        <w:rPr>
          <w:rFonts w:ascii="Times New Roman" w:hAnsi="Times New Roman" w:cs="Times New Roman"/>
          <w:sz w:val="22"/>
          <w:szCs w:val="22"/>
          <w:lang w:val="sr-Latn-ME"/>
        </w:rPr>
        <w:t xml:space="preserve"> za dozu od 60 mg) i činjenicu da se smatra da su receptori CGRP</w:t>
      </w:r>
      <w:r w:rsidR="00126786" w:rsidRPr="007A69F2">
        <w:rPr>
          <w:rFonts w:ascii="Times New Roman" w:hAnsi="Times New Roman" w:cs="Times New Roman"/>
          <w:sz w:val="22"/>
          <w:szCs w:val="22"/>
          <w:lang w:val="sr-Latn-ME"/>
        </w:rPr>
        <w:t>-</w:t>
      </w:r>
      <w:r w:rsidR="002755B3" w:rsidRPr="007A69F2">
        <w:rPr>
          <w:rFonts w:ascii="Times New Roman" w:hAnsi="Times New Roman" w:cs="Times New Roman"/>
          <w:sz w:val="22"/>
          <w:szCs w:val="22"/>
          <w:lang w:val="sr-Latn-ME"/>
        </w:rPr>
        <w:t>a</w:t>
      </w:r>
      <w:r w:rsidRPr="007A69F2">
        <w:rPr>
          <w:rFonts w:ascii="Times New Roman" w:hAnsi="Times New Roman" w:cs="Times New Roman"/>
          <w:sz w:val="22"/>
          <w:szCs w:val="22"/>
          <w:lang w:val="sr-Latn-ME"/>
        </w:rPr>
        <w:t xml:space="preserve"> i amilin</w:t>
      </w:r>
      <w:r w:rsidR="002755B3" w:rsidRPr="007A69F2">
        <w:rPr>
          <w:rFonts w:ascii="Times New Roman" w:hAnsi="Times New Roman" w:cs="Times New Roman"/>
          <w:sz w:val="22"/>
          <w:szCs w:val="22"/>
          <w:lang w:val="sr-Latn-ME"/>
        </w:rPr>
        <w:t>a</w:t>
      </w:r>
      <w:r w:rsidRPr="007A69F2">
        <w:rPr>
          <w:rFonts w:ascii="Times New Roman" w:hAnsi="Times New Roman" w:cs="Times New Roman"/>
          <w:sz w:val="22"/>
          <w:szCs w:val="22"/>
          <w:lang w:val="sr-Latn-ME"/>
        </w:rPr>
        <w:noBreakHyphen/>
        <w:t xml:space="preserve">1 uključeni u </w:t>
      </w:r>
      <w:proofErr w:type="spellStart"/>
      <w:r w:rsidRPr="007A69F2">
        <w:rPr>
          <w:rFonts w:ascii="Times New Roman" w:hAnsi="Times New Roman" w:cs="Times New Roman"/>
          <w:sz w:val="22"/>
          <w:szCs w:val="22"/>
          <w:lang w:val="sr-Latn-ME"/>
        </w:rPr>
        <w:t>patofiziologiju</w:t>
      </w:r>
      <w:proofErr w:type="spellEnd"/>
      <w:r w:rsidRPr="007A69F2">
        <w:rPr>
          <w:rFonts w:ascii="Times New Roman" w:hAnsi="Times New Roman" w:cs="Times New Roman"/>
          <w:sz w:val="22"/>
          <w:szCs w:val="22"/>
          <w:lang w:val="sr-Latn-ME"/>
        </w:rPr>
        <w:t xml:space="preserve"> migrene, inhibitorni</w:t>
      </w:r>
      <w:r w:rsidR="00777039" w:rsidRPr="007A69F2">
        <w:rPr>
          <w:rFonts w:ascii="Times New Roman" w:hAnsi="Times New Roman" w:cs="Times New Roman"/>
          <w:sz w:val="22"/>
          <w:szCs w:val="22"/>
          <w:lang w:val="sr-Latn-ME"/>
        </w:rPr>
        <w:t xml:space="preserve"> efekti lijeka</w:t>
      </w:r>
      <w:r w:rsidRPr="007A69F2">
        <w:rPr>
          <w:rFonts w:ascii="Times New Roman" w:hAnsi="Times New Roman" w:cs="Times New Roman"/>
          <w:sz w:val="22"/>
          <w:szCs w:val="22"/>
          <w:lang w:val="sr-Latn-ME"/>
        </w:rPr>
        <w:t xml:space="preserve"> </w:t>
      </w:r>
      <w:proofErr w:type="spellStart"/>
      <w:r w:rsidRPr="007A69F2">
        <w:rPr>
          <w:rFonts w:ascii="Times New Roman" w:hAnsi="Times New Roman" w:cs="Times New Roman"/>
          <w:sz w:val="22"/>
          <w:szCs w:val="22"/>
          <w:lang w:val="sr-Latn-ME"/>
        </w:rPr>
        <w:t>atogepant</w:t>
      </w:r>
      <w:proofErr w:type="spellEnd"/>
      <w:r w:rsidRPr="007A69F2">
        <w:rPr>
          <w:rFonts w:ascii="Times New Roman" w:hAnsi="Times New Roman" w:cs="Times New Roman"/>
          <w:sz w:val="22"/>
          <w:szCs w:val="22"/>
          <w:lang w:val="sr-Latn-ME"/>
        </w:rPr>
        <w:t xml:space="preserve"> na te receptore (K</w:t>
      </w:r>
      <w:r w:rsidRPr="007A69F2">
        <w:rPr>
          <w:rFonts w:ascii="Times New Roman" w:hAnsi="Times New Roman" w:cs="Times New Roman"/>
          <w:sz w:val="22"/>
          <w:szCs w:val="22"/>
          <w:vertAlign w:val="subscript"/>
          <w:lang w:val="sr-Latn-ME"/>
        </w:rPr>
        <w:t>i</w:t>
      </w:r>
      <w:r w:rsidRPr="007A69F2">
        <w:rPr>
          <w:rFonts w:ascii="Times New Roman" w:hAnsi="Times New Roman" w:cs="Times New Roman"/>
          <w:sz w:val="22"/>
          <w:szCs w:val="22"/>
          <w:lang w:val="sr-Latn-ME"/>
        </w:rPr>
        <w:noBreakHyphen/>
        <w:t>vrijednost 26 </w:t>
      </w:r>
      <w:proofErr w:type="spellStart"/>
      <w:r w:rsidRPr="007A69F2">
        <w:rPr>
          <w:rFonts w:ascii="Times New Roman" w:hAnsi="Times New Roman" w:cs="Times New Roman"/>
          <w:sz w:val="22"/>
          <w:szCs w:val="22"/>
          <w:lang w:val="sr-Latn-ME"/>
        </w:rPr>
        <w:t>pM</w:t>
      </w:r>
      <w:proofErr w:type="spellEnd"/>
      <w:r w:rsidRPr="007A69F2">
        <w:rPr>
          <w:rFonts w:ascii="Times New Roman" w:hAnsi="Times New Roman" w:cs="Times New Roman"/>
          <w:sz w:val="22"/>
          <w:szCs w:val="22"/>
          <w:lang w:val="sr-Latn-ME"/>
        </w:rPr>
        <w:t xml:space="preserve"> odnosno 2,4 </w:t>
      </w:r>
      <w:proofErr w:type="spellStart"/>
      <w:r w:rsidRPr="007A69F2">
        <w:rPr>
          <w:rFonts w:ascii="Times New Roman" w:hAnsi="Times New Roman" w:cs="Times New Roman"/>
          <w:sz w:val="22"/>
          <w:szCs w:val="22"/>
          <w:lang w:val="sr-Latn-ME"/>
        </w:rPr>
        <w:t>nM</w:t>
      </w:r>
      <w:proofErr w:type="spellEnd"/>
      <w:r w:rsidRPr="007A69F2">
        <w:rPr>
          <w:rFonts w:ascii="Times New Roman" w:hAnsi="Times New Roman" w:cs="Times New Roman"/>
          <w:sz w:val="22"/>
          <w:szCs w:val="22"/>
          <w:lang w:val="sr-Latn-ME"/>
        </w:rPr>
        <w:t>) mog</w:t>
      </w:r>
      <w:r w:rsidR="00777039" w:rsidRPr="007A69F2">
        <w:rPr>
          <w:rFonts w:ascii="Times New Roman" w:hAnsi="Times New Roman" w:cs="Times New Roman"/>
          <w:sz w:val="22"/>
          <w:szCs w:val="22"/>
          <w:lang w:val="sr-Latn-ME"/>
        </w:rPr>
        <w:t xml:space="preserve">u </w:t>
      </w:r>
      <w:r w:rsidRPr="007A69F2">
        <w:rPr>
          <w:rFonts w:ascii="Times New Roman" w:hAnsi="Times New Roman" w:cs="Times New Roman"/>
          <w:sz w:val="22"/>
          <w:szCs w:val="22"/>
          <w:lang w:val="sr-Latn-ME"/>
        </w:rPr>
        <w:t>biti kliničk</w:t>
      </w:r>
      <w:r w:rsidR="00777039" w:rsidRPr="007A69F2">
        <w:rPr>
          <w:rFonts w:ascii="Times New Roman" w:hAnsi="Times New Roman" w:cs="Times New Roman"/>
          <w:sz w:val="22"/>
          <w:szCs w:val="22"/>
          <w:lang w:val="sr-Latn-ME"/>
        </w:rPr>
        <w:t>i relevantni</w:t>
      </w:r>
      <w:r w:rsidRPr="007A69F2">
        <w:rPr>
          <w:rFonts w:ascii="Times New Roman" w:hAnsi="Times New Roman" w:cs="Times New Roman"/>
          <w:sz w:val="22"/>
          <w:szCs w:val="22"/>
          <w:lang w:val="sr-Latn-ME"/>
        </w:rPr>
        <w:t>. Međutim, precizan mehanizam djelovanja</w:t>
      </w:r>
      <w:r w:rsidR="00777039" w:rsidRPr="007A69F2">
        <w:rPr>
          <w:rFonts w:ascii="Times New Roman" w:hAnsi="Times New Roman" w:cs="Times New Roman"/>
          <w:sz w:val="22"/>
          <w:szCs w:val="22"/>
          <w:lang w:val="sr-Latn-ME"/>
        </w:rPr>
        <w:t xml:space="preserve"> lijeka</w:t>
      </w:r>
      <w:r w:rsidRPr="007A69F2">
        <w:rPr>
          <w:rFonts w:ascii="Times New Roman" w:hAnsi="Times New Roman" w:cs="Times New Roman"/>
          <w:sz w:val="22"/>
          <w:szCs w:val="22"/>
          <w:lang w:val="sr-Latn-ME"/>
        </w:rPr>
        <w:t xml:space="preserve"> </w:t>
      </w:r>
      <w:proofErr w:type="spellStart"/>
      <w:r w:rsidRPr="007A69F2">
        <w:rPr>
          <w:rFonts w:ascii="Times New Roman" w:hAnsi="Times New Roman" w:cs="Times New Roman"/>
          <w:sz w:val="22"/>
          <w:szCs w:val="22"/>
          <w:lang w:val="sr-Latn-ME"/>
        </w:rPr>
        <w:t>atogepant</w:t>
      </w:r>
      <w:proofErr w:type="spellEnd"/>
      <w:r w:rsidRPr="007A69F2">
        <w:rPr>
          <w:rFonts w:ascii="Times New Roman" w:hAnsi="Times New Roman" w:cs="Times New Roman"/>
          <w:sz w:val="22"/>
          <w:szCs w:val="22"/>
          <w:lang w:val="sr-Latn-ME"/>
        </w:rPr>
        <w:t xml:space="preserve"> u profilaksi migrene</w:t>
      </w:r>
      <w:r w:rsidR="00777039" w:rsidRPr="007A69F2">
        <w:rPr>
          <w:rFonts w:ascii="Times New Roman" w:hAnsi="Times New Roman" w:cs="Times New Roman"/>
          <w:sz w:val="22"/>
          <w:szCs w:val="22"/>
          <w:lang w:val="sr-Latn-ME"/>
        </w:rPr>
        <w:t xml:space="preserve"> se</w:t>
      </w:r>
      <w:r w:rsidRPr="007A69F2">
        <w:rPr>
          <w:rFonts w:ascii="Times New Roman" w:hAnsi="Times New Roman" w:cs="Times New Roman"/>
          <w:sz w:val="22"/>
          <w:szCs w:val="22"/>
          <w:lang w:val="sr-Latn-ME"/>
        </w:rPr>
        <w:t xml:space="preserve"> još uvijek </w:t>
      </w:r>
      <w:r w:rsidR="00B93698" w:rsidRPr="007A69F2">
        <w:rPr>
          <w:rFonts w:ascii="Times New Roman" w:hAnsi="Times New Roman" w:cs="Times New Roman"/>
          <w:sz w:val="22"/>
          <w:szCs w:val="22"/>
          <w:lang w:val="sr-Latn-ME"/>
        </w:rPr>
        <w:t>nije utvrđen</w:t>
      </w:r>
      <w:r w:rsidRPr="007A69F2">
        <w:rPr>
          <w:rFonts w:ascii="Times New Roman" w:hAnsi="Times New Roman" w:cs="Times New Roman"/>
          <w:sz w:val="22"/>
          <w:szCs w:val="22"/>
          <w:lang w:val="sr-Latn-ME"/>
        </w:rPr>
        <w:t>.</w:t>
      </w:r>
    </w:p>
    <w:bookmarkEnd w:id="14"/>
    <w:p w14:paraId="1510E095" w14:textId="77777777" w:rsidR="00DA17AE" w:rsidRPr="007A69F2" w:rsidRDefault="00DA17AE" w:rsidP="001C7E17">
      <w:pPr>
        <w:spacing w:line="240" w:lineRule="auto"/>
        <w:jc w:val="both"/>
        <w:rPr>
          <w:szCs w:val="22"/>
          <w:lang w:val="sr-Latn-ME"/>
        </w:rPr>
      </w:pPr>
    </w:p>
    <w:p w14:paraId="4B398374" w14:textId="117B98A5" w:rsidR="002233BB" w:rsidRPr="007A69F2" w:rsidRDefault="00D04C51" w:rsidP="001C7E17">
      <w:pPr>
        <w:keepNext/>
        <w:spacing w:line="240" w:lineRule="auto"/>
        <w:jc w:val="both"/>
        <w:rPr>
          <w:szCs w:val="22"/>
          <w:u w:val="single"/>
          <w:lang w:val="sr-Latn-ME"/>
        </w:rPr>
      </w:pPr>
      <w:bookmarkStart w:id="15" w:name="_Hlk88489884"/>
      <w:r w:rsidRPr="007A69F2">
        <w:rPr>
          <w:szCs w:val="22"/>
          <w:u w:val="single"/>
          <w:lang w:val="sr-Latn-ME"/>
        </w:rPr>
        <w:t xml:space="preserve">Klinička </w:t>
      </w:r>
      <w:r w:rsidR="00777039" w:rsidRPr="007A69F2">
        <w:rPr>
          <w:szCs w:val="22"/>
          <w:u w:val="single"/>
          <w:lang w:val="sr-Latn-ME"/>
        </w:rPr>
        <w:t>efikasnost</w:t>
      </w:r>
      <w:r w:rsidRPr="007A69F2">
        <w:rPr>
          <w:szCs w:val="22"/>
          <w:u w:val="single"/>
          <w:lang w:val="sr-Latn-ME"/>
        </w:rPr>
        <w:t xml:space="preserve"> i </w:t>
      </w:r>
      <w:r w:rsidR="00C77AB4" w:rsidRPr="007A69F2">
        <w:rPr>
          <w:szCs w:val="22"/>
          <w:u w:val="single"/>
          <w:lang w:val="sr-Latn-ME"/>
        </w:rPr>
        <w:t>bezbjednost</w:t>
      </w:r>
    </w:p>
    <w:p w14:paraId="7874CA0F" w14:textId="4D9BA56B" w:rsidR="00DA17AE" w:rsidRPr="007A69F2" w:rsidRDefault="00777039" w:rsidP="00405FD8">
      <w:pPr>
        <w:spacing w:line="240" w:lineRule="auto"/>
        <w:jc w:val="both"/>
        <w:rPr>
          <w:szCs w:val="22"/>
          <w:lang w:val="sr-Latn-ME"/>
        </w:rPr>
      </w:pPr>
      <w:r w:rsidRPr="007A69F2">
        <w:rPr>
          <w:szCs w:val="22"/>
          <w:lang w:val="sr-Latn-ME"/>
        </w:rPr>
        <w:t xml:space="preserve">Lijek </w:t>
      </w:r>
      <w:proofErr w:type="spellStart"/>
      <w:r w:rsidRPr="007A69F2">
        <w:rPr>
          <w:szCs w:val="22"/>
          <w:lang w:val="sr-Latn-ME"/>
        </w:rPr>
        <w:t>a</w:t>
      </w:r>
      <w:r w:rsidR="00D04C51" w:rsidRPr="007A69F2">
        <w:rPr>
          <w:szCs w:val="22"/>
          <w:lang w:val="sr-Latn-ME"/>
        </w:rPr>
        <w:t>togepant</w:t>
      </w:r>
      <w:proofErr w:type="spellEnd"/>
      <w:r w:rsidR="00D04C51" w:rsidRPr="007A69F2">
        <w:rPr>
          <w:szCs w:val="22"/>
          <w:lang w:val="sr-Latn-ME"/>
        </w:rPr>
        <w:t xml:space="preserve"> je procijenjen za profilaksu migrene u dv</w:t>
      </w:r>
      <w:r w:rsidRPr="007A69F2">
        <w:rPr>
          <w:szCs w:val="22"/>
          <w:lang w:val="sr-Latn-ME"/>
        </w:rPr>
        <w:t xml:space="preserve">a </w:t>
      </w:r>
      <w:proofErr w:type="spellStart"/>
      <w:r w:rsidRPr="007A69F2">
        <w:rPr>
          <w:szCs w:val="22"/>
          <w:lang w:val="sr-Latn-ME"/>
        </w:rPr>
        <w:t>pivotalna</w:t>
      </w:r>
      <w:proofErr w:type="spellEnd"/>
      <w:r w:rsidRPr="007A69F2">
        <w:rPr>
          <w:szCs w:val="22"/>
          <w:lang w:val="sr-Latn-ME"/>
        </w:rPr>
        <w:t xml:space="preserve"> ispitivanja primjene u cijelom</w:t>
      </w:r>
      <w:r w:rsidR="00D04C51" w:rsidRPr="007A69F2">
        <w:rPr>
          <w:szCs w:val="22"/>
          <w:lang w:val="sr-Latn-ME"/>
        </w:rPr>
        <w:t xml:space="preserve"> </w:t>
      </w:r>
      <w:proofErr w:type="spellStart"/>
      <w:r w:rsidR="00D04C51" w:rsidRPr="007A69F2">
        <w:rPr>
          <w:szCs w:val="22"/>
          <w:lang w:val="sr-Latn-ME"/>
        </w:rPr>
        <w:t>spektr</w:t>
      </w:r>
      <w:r w:rsidRPr="007A69F2">
        <w:rPr>
          <w:szCs w:val="22"/>
          <w:lang w:val="sr-Latn-ME"/>
        </w:rPr>
        <w:t>u</w:t>
      </w:r>
      <w:proofErr w:type="spellEnd"/>
      <w:r w:rsidR="00D04C51" w:rsidRPr="007A69F2">
        <w:rPr>
          <w:szCs w:val="22"/>
          <w:lang w:val="sr-Latn-ME"/>
        </w:rPr>
        <w:t xml:space="preserve"> migrene</w:t>
      </w:r>
      <w:r w:rsidR="004535DE" w:rsidRPr="007A69F2">
        <w:rPr>
          <w:szCs w:val="22"/>
          <w:lang w:val="sr-Latn-ME"/>
        </w:rPr>
        <w:t>, i</w:t>
      </w:r>
      <w:r w:rsidR="00D04C51" w:rsidRPr="007A69F2">
        <w:rPr>
          <w:szCs w:val="22"/>
          <w:lang w:val="sr-Latn-ME"/>
        </w:rPr>
        <w:t xml:space="preserve"> za hroničnu i epizodnu migrenu. </w:t>
      </w:r>
      <w:r w:rsidR="00B16B62" w:rsidRPr="007A69F2">
        <w:rPr>
          <w:szCs w:val="22"/>
          <w:lang w:val="sr-Latn-ME"/>
        </w:rPr>
        <w:t>U ispitivanju</w:t>
      </w:r>
      <w:r w:rsidR="00D04C51" w:rsidRPr="007A69F2">
        <w:rPr>
          <w:szCs w:val="22"/>
          <w:lang w:val="sr-Latn-ME"/>
        </w:rPr>
        <w:t xml:space="preserve"> epizodne migrene (ADVANCE) </w:t>
      </w:r>
      <w:r w:rsidR="00B16B62" w:rsidRPr="007A69F2">
        <w:rPr>
          <w:szCs w:val="22"/>
          <w:lang w:val="sr-Latn-ME"/>
        </w:rPr>
        <w:t>su</w:t>
      </w:r>
      <w:r w:rsidR="00D04C51" w:rsidRPr="007A69F2">
        <w:rPr>
          <w:szCs w:val="22"/>
          <w:lang w:val="sr-Latn-ME"/>
        </w:rPr>
        <w:t xml:space="preserve"> </w:t>
      </w:r>
      <w:r w:rsidR="00B16B62" w:rsidRPr="007A69F2">
        <w:rPr>
          <w:szCs w:val="22"/>
          <w:lang w:val="sr-Latn-ME"/>
        </w:rPr>
        <w:t xml:space="preserve">bili </w:t>
      </w:r>
      <w:r w:rsidR="00D04C51" w:rsidRPr="007A69F2">
        <w:rPr>
          <w:szCs w:val="22"/>
          <w:lang w:val="sr-Latn-ME"/>
        </w:rPr>
        <w:t>uključ</w:t>
      </w:r>
      <w:r w:rsidR="00B16B62" w:rsidRPr="007A69F2">
        <w:rPr>
          <w:szCs w:val="22"/>
          <w:lang w:val="sr-Latn-ME"/>
        </w:rPr>
        <w:t xml:space="preserve">eni </w:t>
      </w:r>
      <w:r w:rsidR="00935E09" w:rsidRPr="007A69F2">
        <w:rPr>
          <w:szCs w:val="22"/>
          <w:lang w:val="sr-Latn-ME"/>
        </w:rPr>
        <w:t>pacijenti</w:t>
      </w:r>
      <w:r w:rsidR="00D04C51" w:rsidRPr="007A69F2">
        <w:rPr>
          <w:szCs w:val="22"/>
          <w:lang w:val="sr-Latn-ME"/>
        </w:rPr>
        <w:t xml:space="preserve"> koji </w:t>
      </w:r>
      <w:r w:rsidR="00B16B62" w:rsidRPr="007A69F2">
        <w:rPr>
          <w:szCs w:val="22"/>
          <w:lang w:val="sr-Latn-ME"/>
        </w:rPr>
        <w:t>su prema</w:t>
      </w:r>
      <w:r w:rsidR="00D04C51" w:rsidRPr="007A69F2">
        <w:rPr>
          <w:szCs w:val="22"/>
          <w:lang w:val="sr-Latn-ME"/>
        </w:rPr>
        <w:t xml:space="preserve"> </w:t>
      </w:r>
      <w:r w:rsidR="00C9057D" w:rsidRPr="007A69F2">
        <w:rPr>
          <w:szCs w:val="22"/>
          <w:lang w:val="sr-Latn-ME"/>
        </w:rPr>
        <w:t>M</w:t>
      </w:r>
      <w:r w:rsidR="00D04C51" w:rsidRPr="007A69F2">
        <w:rPr>
          <w:szCs w:val="22"/>
          <w:lang w:val="sr-Latn-ME"/>
        </w:rPr>
        <w:t>eđunarodn</w:t>
      </w:r>
      <w:r w:rsidR="00B16B62" w:rsidRPr="007A69F2">
        <w:rPr>
          <w:szCs w:val="22"/>
          <w:lang w:val="sr-Latn-ME"/>
        </w:rPr>
        <w:t>oj</w:t>
      </w:r>
      <w:r w:rsidR="00D04C51" w:rsidRPr="007A69F2">
        <w:rPr>
          <w:szCs w:val="22"/>
          <w:lang w:val="sr-Latn-ME"/>
        </w:rPr>
        <w:t xml:space="preserve"> klasifikacij</w:t>
      </w:r>
      <w:r w:rsidR="00B16B62" w:rsidRPr="007A69F2">
        <w:rPr>
          <w:szCs w:val="22"/>
          <w:lang w:val="sr-Latn-ME"/>
        </w:rPr>
        <w:t>i</w:t>
      </w:r>
      <w:r w:rsidR="00D04C51" w:rsidRPr="007A69F2">
        <w:rPr>
          <w:szCs w:val="22"/>
          <w:lang w:val="sr-Latn-ME"/>
        </w:rPr>
        <w:t xml:space="preserve"> poremećaja glavobolje (</w:t>
      </w:r>
      <w:proofErr w:type="spellStart"/>
      <w:r w:rsidR="00D04C51" w:rsidRPr="007A69F2">
        <w:rPr>
          <w:szCs w:val="22"/>
          <w:lang w:val="sr-Latn-ME"/>
        </w:rPr>
        <w:t>eng</w:t>
      </w:r>
      <w:proofErr w:type="spellEnd"/>
      <w:r w:rsidR="00D04C51" w:rsidRPr="007A69F2">
        <w:rPr>
          <w:szCs w:val="22"/>
          <w:lang w:val="sr-Latn-ME"/>
        </w:rPr>
        <w:t xml:space="preserve">. </w:t>
      </w:r>
      <w:proofErr w:type="spellStart"/>
      <w:r w:rsidR="00D04C51" w:rsidRPr="007A69F2">
        <w:rPr>
          <w:i/>
          <w:iCs/>
          <w:szCs w:val="22"/>
          <w:lang w:val="sr-Latn-ME"/>
        </w:rPr>
        <w:t>International</w:t>
      </w:r>
      <w:proofErr w:type="spellEnd"/>
      <w:r w:rsidR="00D04C51" w:rsidRPr="007A69F2">
        <w:rPr>
          <w:i/>
          <w:iCs/>
          <w:szCs w:val="22"/>
          <w:lang w:val="sr-Latn-ME"/>
        </w:rPr>
        <w:t xml:space="preserve"> </w:t>
      </w:r>
      <w:proofErr w:type="spellStart"/>
      <w:r w:rsidR="00D04C51" w:rsidRPr="007A69F2">
        <w:rPr>
          <w:i/>
          <w:iCs/>
          <w:szCs w:val="22"/>
          <w:lang w:val="sr-Latn-ME"/>
        </w:rPr>
        <w:t>Classification</w:t>
      </w:r>
      <w:proofErr w:type="spellEnd"/>
      <w:r w:rsidR="00D04C51" w:rsidRPr="007A69F2">
        <w:rPr>
          <w:i/>
          <w:iCs/>
          <w:szCs w:val="22"/>
          <w:lang w:val="sr-Latn-ME"/>
        </w:rPr>
        <w:t xml:space="preserve"> </w:t>
      </w:r>
      <w:proofErr w:type="spellStart"/>
      <w:r w:rsidR="00D04C51" w:rsidRPr="007A69F2">
        <w:rPr>
          <w:i/>
          <w:iCs/>
          <w:szCs w:val="22"/>
          <w:lang w:val="sr-Latn-ME"/>
        </w:rPr>
        <w:t>of</w:t>
      </w:r>
      <w:proofErr w:type="spellEnd"/>
      <w:r w:rsidR="00D04C51" w:rsidRPr="007A69F2">
        <w:rPr>
          <w:i/>
          <w:iCs/>
          <w:szCs w:val="22"/>
          <w:lang w:val="sr-Latn-ME"/>
        </w:rPr>
        <w:t xml:space="preserve"> </w:t>
      </w:r>
      <w:proofErr w:type="spellStart"/>
      <w:r w:rsidR="00D04C51" w:rsidRPr="007A69F2">
        <w:rPr>
          <w:i/>
          <w:iCs/>
          <w:szCs w:val="22"/>
          <w:lang w:val="sr-Latn-ME"/>
        </w:rPr>
        <w:t>Headache</w:t>
      </w:r>
      <w:proofErr w:type="spellEnd"/>
      <w:r w:rsidR="00D04C51" w:rsidRPr="007A69F2">
        <w:rPr>
          <w:i/>
          <w:iCs/>
          <w:szCs w:val="22"/>
          <w:lang w:val="sr-Latn-ME"/>
        </w:rPr>
        <w:t xml:space="preserve"> </w:t>
      </w:r>
      <w:proofErr w:type="spellStart"/>
      <w:r w:rsidR="00D04C51" w:rsidRPr="007A69F2">
        <w:rPr>
          <w:i/>
          <w:iCs/>
          <w:szCs w:val="22"/>
          <w:lang w:val="sr-Latn-ME"/>
        </w:rPr>
        <w:t>Disorders</w:t>
      </w:r>
      <w:proofErr w:type="spellEnd"/>
      <w:r w:rsidR="00D04C51" w:rsidRPr="007A69F2">
        <w:rPr>
          <w:szCs w:val="22"/>
          <w:lang w:val="sr-Latn-ME"/>
        </w:rPr>
        <w:t>, ICHD)</w:t>
      </w:r>
      <w:r w:rsidR="00B16B62" w:rsidRPr="007A69F2">
        <w:rPr>
          <w:szCs w:val="22"/>
          <w:lang w:val="sr-Latn-ME"/>
        </w:rPr>
        <w:t xml:space="preserve"> zadovoljavali kriterij</w:t>
      </w:r>
      <w:r w:rsidR="00B93698" w:rsidRPr="007A69F2">
        <w:rPr>
          <w:szCs w:val="22"/>
          <w:lang w:val="sr-Latn-ME"/>
        </w:rPr>
        <w:t>ume</w:t>
      </w:r>
      <w:r w:rsidR="00D04C51" w:rsidRPr="007A69F2">
        <w:rPr>
          <w:szCs w:val="22"/>
          <w:lang w:val="sr-Latn-ME"/>
        </w:rPr>
        <w:t xml:space="preserve"> za dijagnozu migrene sa ili bez aure. </w:t>
      </w:r>
      <w:r w:rsidR="00B16B62" w:rsidRPr="007A69F2">
        <w:rPr>
          <w:szCs w:val="22"/>
          <w:lang w:val="sr-Latn-ME"/>
        </w:rPr>
        <w:t>U ispitivanju</w:t>
      </w:r>
      <w:r w:rsidR="00D04C51" w:rsidRPr="007A69F2">
        <w:rPr>
          <w:szCs w:val="22"/>
          <w:lang w:val="sr-Latn-ME"/>
        </w:rPr>
        <w:t xml:space="preserve"> hronične migrene (PROGRESS)</w:t>
      </w:r>
      <w:r w:rsidR="00B16B62" w:rsidRPr="007A69F2">
        <w:rPr>
          <w:szCs w:val="22"/>
          <w:lang w:val="sr-Latn-ME"/>
        </w:rPr>
        <w:t>, bili su</w:t>
      </w:r>
      <w:r w:rsidR="00D04C51" w:rsidRPr="007A69F2">
        <w:rPr>
          <w:szCs w:val="22"/>
          <w:lang w:val="sr-Latn-ME"/>
        </w:rPr>
        <w:t xml:space="preserve"> uključ</w:t>
      </w:r>
      <w:r w:rsidR="00B16B62" w:rsidRPr="007A69F2">
        <w:rPr>
          <w:szCs w:val="22"/>
          <w:lang w:val="sr-Latn-ME"/>
        </w:rPr>
        <w:t>eni</w:t>
      </w:r>
      <w:r w:rsidR="00D04C51" w:rsidRPr="007A69F2">
        <w:rPr>
          <w:szCs w:val="22"/>
          <w:lang w:val="sr-Latn-ME"/>
        </w:rPr>
        <w:t xml:space="preserve"> </w:t>
      </w:r>
      <w:r w:rsidR="00935E09" w:rsidRPr="007A69F2">
        <w:rPr>
          <w:szCs w:val="22"/>
          <w:lang w:val="sr-Latn-ME"/>
        </w:rPr>
        <w:t>pacijenti</w:t>
      </w:r>
      <w:r w:rsidR="00D04C51" w:rsidRPr="007A69F2">
        <w:rPr>
          <w:szCs w:val="22"/>
          <w:lang w:val="sr-Latn-ME"/>
        </w:rPr>
        <w:t xml:space="preserve"> koji su </w:t>
      </w:r>
      <w:r w:rsidR="00B16B62" w:rsidRPr="007A69F2">
        <w:rPr>
          <w:szCs w:val="22"/>
          <w:lang w:val="sr-Latn-ME"/>
        </w:rPr>
        <w:t>prema</w:t>
      </w:r>
      <w:r w:rsidR="00D04C51" w:rsidRPr="007A69F2">
        <w:rPr>
          <w:szCs w:val="22"/>
          <w:lang w:val="sr-Latn-ME"/>
        </w:rPr>
        <w:t xml:space="preserve"> ICHD</w:t>
      </w:r>
      <w:r w:rsidR="00D04C51" w:rsidRPr="007A69F2">
        <w:rPr>
          <w:szCs w:val="22"/>
          <w:lang w:val="sr-Latn-ME"/>
        </w:rPr>
        <w:noBreakHyphen/>
      </w:r>
      <w:r w:rsidR="00B16B62" w:rsidRPr="007A69F2">
        <w:rPr>
          <w:szCs w:val="22"/>
          <w:lang w:val="sr-Latn-ME"/>
        </w:rPr>
        <w:t>u takođe zadovoljavali kriterij</w:t>
      </w:r>
      <w:r w:rsidR="00B93698" w:rsidRPr="007A69F2">
        <w:rPr>
          <w:szCs w:val="22"/>
          <w:lang w:val="sr-Latn-ME"/>
        </w:rPr>
        <w:t>ume</w:t>
      </w:r>
      <w:r w:rsidR="00D04C51" w:rsidRPr="007A69F2">
        <w:rPr>
          <w:szCs w:val="22"/>
          <w:lang w:val="sr-Latn-ME"/>
        </w:rPr>
        <w:t xml:space="preserve"> za hroničnu migrenu. </w:t>
      </w:r>
      <w:r w:rsidR="00B16B62" w:rsidRPr="007A69F2">
        <w:rPr>
          <w:szCs w:val="22"/>
          <w:lang w:val="sr-Latn-ME"/>
        </w:rPr>
        <w:t>Iz oba ispitivanja su bili</w:t>
      </w:r>
      <w:r w:rsidR="00D04C51" w:rsidRPr="007A69F2">
        <w:rPr>
          <w:szCs w:val="22"/>
          <w:lang w:val="sr-Latn-ME"/>
        </w:rPr>
        <w:t xml:space="preserve"> isklju</w:t>
      </w:r>
      <w:r w:rsidR="00B16B62" w:rsidRPr="007A69F2">
        <w:rPr>
          <w:szCs w:val="22"/>
          <w:lang w:val="sr-Latn-ME"/>
        </w:rPr>
        <w:t>čeni</w:t>
      </w:r>
      <w:r w:rsidR="00D04C51" w:rsidRPr="007A69F2">
        <w:rPr>
          <w:szCs w:val="22"/>
          <w:lang w:val="sr-Latn-ME"/>
        </w:rPr>
        <w:t xml:space="preserve"> </w:t>
      </w:r>
      <w:r w:rsidR="00935E09" w:rsidRPr="007A69F2">
        <w:rPr>
          <w:szCs w:val="22"/>
          <w:lang w:val="sr-Latn-ME"/>
        </w:rPr>
        <w:t>pacijenti</w:t>
      </w:r>
      <w:r w:rsidR="00B16B62" w:rsidRPr="007A69F2">
        <w:rPr>
          <w:szCs w:val="22"/>
          <w:lang w:val="sr-Latn-ME"/>
        </w:rPr>
        <w:t xml:space="preserve"> koji su unutar šest mjeseci prije </w:t>
      </w:r>
      <w:proofErr w:type="spellStart"/>
      <w:r w:rsidR="00B93698" w:rsidRPr="007A69F2">
        <w:rPr>
          <w:szCs w:val="22"/>
          <w:lang w:val="sr-Latn-ME"/>
        </w:rPr>
        <w:t>skrininga</w:t>
      </w:r>
      <w:proofErr w:type="spellEnd"/>
      <w:r w:rsidR="00B16B62" w:rsidRPr="007A69F2">
        <w:rPr>
          <w:szCs w:val="22"/>
          <w:lang w:val="sr-Latn-ME"/>
        </w:rPr>
        <w:t xml:space="preserve"> imali</w:t>
      </w:r>
      <w:r w:rsidR="00D04C51" w:rsidRPr="007A69F2">
        <w:rPr>
          <w:szCs w:val="22"/>
          <w:lang w:val="sr-Latn-ME"/>
        </w:rPr>
        <w:t xml:space="preserve"> infarkt </w:t>
      </w:r>
      <w:proofErr w:type="spellStart"/>
      <w:r w:rsidR="00D04C51" w:rsidRPr="007A69F2">
        <w:rPr>
          <w:szCs w:val="22"/>
          <w:lang w:val="sr-Latn-ME"/>
        </w:rPr>
        <w:t>miokarda</w:t>
      </w:r>
      <w:proofErr w:type="spellEnd"/>
      <w:r w:rsidR="00D04C51" w:rsidRPr="007A69F2">
        <w:rPr>
          <w:szCs w:val="22"/>
          <w:lang w:val="sr-Latn-ME"/>
        </w:rPr>
        <w:t xml:space="preserve">, moždani udar ili prolazni </w:t>
      </w:r>
      <w:proofErr w:type="spellStart"/>
      <w:r w:rsidR="00D04C51" w:rsidRPr="007A69F2">
        <w:rPr>
          <w:szCs w:val="22"/>
          <w:lang w:val="sr-Latn-ME"/>
        </w:rPr>
        <w:t>ishemijski</w:t>
      </w:r>
      <w:proofErr w:type="spellEnd"/>
      <w:r w:rsidR="00D04C51" w:rsidRPr="007A69F2">
        <w:rPr>
          <w:szCs w:val="22"/>
          <w:lang w:val="sr-Latn-ME"/>
        </w:rPr>
        <w:t xml:space="preserve"> napad</w:t>
      </w:r>
      <w:r w:rsidR="00B16B62" w:rsidRPr="007A69F2">
        <w:rPr>
          <w:szCs w:val="22"/>
          <w:lang w:val="sr-Latn-ME"/>
        </w:rPr>
        <w:t>.</w:t>
      </w:r>
      <w:r w:rsidR="00D04C51" w:rsidRPr="007A69F2">
        <w:rPr>
          <w:szCs w:val="22"/>
          <w:lang w:val="sr-Latn-ME"/>
        </w:rPr>
        <w:t xml:space="preserve"> </w:t>
      </w:r>
    </w:p>
    <w:p w14:paraId="3378A83F" w14:textId="77777777" w:rsidR="00DA17AE" w:rsidRPr="007A69F2" w:rsidRDefault="00DA17AE" w:rsidP="001C7E17">
      <w:pPr>
        <w:spacing w:line="240" w:lineRule="auto"/>
        <w:jc w:val="both"/>
        <w:rPr>
          <w:szCs w:val="22"/>
          <w:lang w:val="sr-Latn-ME"/>
        </w:rPr>
      </w:pPr>
    </w:p>
    <w:p w14:paraId="36DB4A09" w14:textId="77777777" w:rsidR="00DA17AE" w:rsidRPr="007A69F2" w:rsidRDefault="00D04C51" w:rsidP="001C7E17">
      <w:pPr>
        <w:spacing w:line="240" w:lineRule="auto"/>
        <w:jc w:val="both"/>
        <w:rPr>
          <w:szCs w:val="22"/>
          <w:u w:val="single"/>
          <w:lang w:val="sr-Latn-ME"/>
        </w:rPr>
      </w:pPr>
      <w:r w:rsidRPr="007A69F2">
        <w:rPr>
          <w:szCs w:val="22"/>
          <w:u w:val="single"/>
          <w:lang w:val="sr-Latn-ME"/>
        </w:rPr>
        <w:t>Epizodna migrena</w:t>
      </w:r>
    </w:p>
    <w:p w14:paraId="1FFDD476" w14:textId="18F5D071" w:rsidR="00B16B62" w:rsidRPr="007A69F2" w:rsidRDefault="00B16B62" w:rsidP="00405FD8">
      <w:pPr>
        <w:spacing w:line="240" w:lineRule="auto"/>
        <w:jc w:val="both"/>
        <w:rPr>
          <w:szCs w:val="22"/>
          <w:lang w:val="sr-Latn-ME"/>
        </w:rPr>
      </w:pPr>
      <w:r w:rsidRPr="007A69F2">
        <w:rPr>
          <w:szCs w:val="22"/>
          <w:lang w:val="sr-Latn-ME"/>
        </w:rPr>
        <w:lastRenderedPageBreak/>
        <w:t xml:space="preserve">Lijek </w:t>
      </w:r>
      <w:proofErr w:type="spellStart"/>
      <w:r w:rsidRPr="007A69F2">
        <w:rPr>
          <w:szCs w:val="22"/>
          <w:lang w:val="sr-Latn-ME"/>
        </w:rPr>
        <w:t>atogepant</w:t>
      </w:r>
      <w:proofErr w:type="spellEnd"/>
      <w:r w:rsidRPr="007A69F2">
        <w:rPr>
          <w:szCs w:val="22"/>
          <w:lang w:val="sr-Latn-ME"/>
        </w:rPr>
        <w:t xml:space="preserve"> je procijenjen za profilaksu epizodne migrene (4 do 14 dana s</w:t>
      </w:r>
      <w:r w:rsidR="00B93698" w:rsidRPr="007A69F2">
        <w:rPr>
          <w:szCs w:val="22"/>
          <w:lang w:val="sr-Latn-ME"/>
        </w:rPr>
        <w:t>a</w:t>
      </w:r>
      <w:r w:rsidRPr="007A69F2">
        <w:rPr>
          <w:szCs w:val="22"/>
          <w:lang w:val="sr-Latn-ME"/>
        </w:rPr>
        <w:t xml:space="preserve"> migrenom mjesečno) u </w:t>
      </w:r>
      <w:proofErr w:type="spellStart"/>
      <w:r w:rsidR="00295336" w:rsidRPr="007A69F2">
        <w:rPr>
          <w:szCs w:val="22"/>
          <w:lang w:val="sr-Latn-ME"/>
        </w:rPr>
        <w:t>randomizovanom</w:t>
      </w:r>
      <w:proofErr w:type="spellEnd"/>
      <w:r w:rsidRPr="007A69F2">
        <w:rPr>
          <w:szCs w:val="22"/>
          <w:lang w:val="sr-Latn-ME"/>
        </w:rPr>
        <w:t xml:space="preserve">, </w:t>
      </w:r>
      <w:proofErr w:type="spellStart"/>
      <w:r w:rsidRPr="007A69F2">
        <w:rPr>
          <w:szCs w:val="22"/>
          <w:lang w:val="sr-Latn-ME"/>
        </w:rPr>
        <w:t>multicentričnom</w:t>
      </w:r>
      <w:proofErr w:type="spellEnd"/>
      <w:r w:rsidRPr="007A69F2">
        <w:rPr>
          <w:szCs w:val="22"/>
          <w:lang w:val="sr-Latn-ME"/>
        </w:rPr>
        <w:t>,</w:t>
      </w:r>
      <w:r w:rsidR="00B93698" w:rsidRPr="007A69F2">
        <w:rPr>
          <w:szCs w:val="22"/>
          <w:lang w:val="sr-Latn-ME"/>
        </w:rPr>
        <w:t xml:space="preserve"> </w:t>
      </w:r>
      <w:r w:rsidRPr="007A69F2">
        <w:rPr>
          <w:szCs w:val="22"/>
          <w:lang w:val="sr-Latn-ME"/>
        </w:rPr>
        <w:t xml:space="preserve">dvostruko slijepom, </w:t>
      </w:r>
      <w:proofErr w:type="spellStart"/>
      <w:r w:rsidRPr="007A69F2">
        <w:rPr>
          <w:szCs w:val="22"/>
          <w:lang w:val="sr-Latn-ME"/>
        </w:rPr>
        <w:t>placebom</w:t>
      </w:r>
      <w:proofErr w:type="spellEnd"/>
      <w:r w:rsidRPr="007A69F2">
        <w:rPr>
          <w:szCs w:val="22"/>
          <w:lang w:val="sr-Latn-ME"/>
        </w:rPr>
        <w:t xml:space="preserve"> kontrolisanom ispitivanju (ADVANCE). </w:t>
      </w:r>
      <w:r w:rsidR="00935E09" w:rsidRPr="007A69F2">
        <w:rPr>
          <w:szCs w:val="22"/>
          <w:lang w:val="sr-Latn-ME"/>
        </w:rPr>
        <w:t>Pacijenti</w:t>
      </w:r>
      <w:r w:rsidRPr="007A69F2">
        <w:rPr>
          <w:szCs w:val="22"/>
          <w:lang w:val="sr-Latn-ME"/>
        </w:rPr>
        <w:t xml:space="preserve"> su </w:t>
      </w:r>
      <w:proofErr w:type="spellStart"/>
      <w:r w:rsidRPr="007A69F2">
        <w:rPr>
          <w:szCs w:val="22"/>
          <w:lang w:val="sr-Latn-ME"/>
        </w:rPr>
        <w:t>randomiz</w:t>
      </w:r>
      <w:r w:rsidR="00B93698" w:rsidRPr="007A69F2">
        <w:rPr>
          <w:szCs w:val="22"/>
          <w:lang w:val="sr-Latn-ME"/>
        </w:rPr>
        <w:t>ovani</w:t>
      </w:r>
      <w:proofErr w:type="spellEnd"/>
      <w:r w:rsidRPr="007A69F2">
        <w:rPr>
          <w:szCs w:val="22"/>
          <w:lang w:val="sr-Latn-ME"/>
        </w:rPr>
        <w:t xml:space="preserve"> u grupu koja je primala lijek AQUIPTA u dozi od 60 mg </w:t>
      </w:r>
      <w:r w:rsidR="004A54DE" w:rsidRPr="007A69F2">
        <w:rPr>
          <w:szCs w:val="22"/>
          <w:lang w:val="sr-Latn-ME"/>
        </w:rPr>
        <w:t xml:space="preserve"> </w:t>
      </w:r>
      <w:r w:rsidRPr="007A69F2">
        <w:rPr>
          <w:szCs w:val="22"/>
          <w:lang w:val="sr-Latn-ME"/>
        </w:rPr>
        <w:t xml:space="preserve">(N = 235) ili u grupu koja je primala </w:t>
      </w:r>
      <w:proofErr w:type="spellStart"/>
      <w:r w:rsidRPr="007A69F2">
        <w:rPr>
          <w:szCs w:val="22"/>
          <w:lang w:val="sr-Latn-ME"/>
        </w:rPr>
        <w:t>placebo</w:t>
      </w:r>
      <w:proofErr w:type="spellEnd"/>
      <w:r w:rsidRPr="007A69F2">
        <w:rPr>
          <w:szCs w:val="22"/>
          <w:lang w:val="sr-Latn-ME"/>
        </w:rPr>
        <w:t xml:space="preserve"> (N = 223) jednom dnevno tokom 12 </w:t>
      </w:r>
      <w:r w:rsidR="00260573" w:rsidRPr="007A69F2">
        <w:rPr>
          <w:szCs w:val="22"/>
          <w:lang w:val="sr-Latn-ME"/>
        </w:rPr>
        <w:t>ned</w:t>
      </w:r>
      <w:r w:rsidR="00175CC9" w:rsidRPr="007A69F2">
        <w:rPr>
          <w:szCs w:val="22"/>
          <w:lang w:val="sr-Latn-ME"/>
        </w:rPr>
        <w:t>j</w:t>
      </w:r>
      <w:r w:rsidR="00260573" w:rsidRPr="007A69F2">
        <w:rPr>
          <w:szCs w:val="22"/>
          <w:lang w:val="sr-Latn-ME"/>
        </w:rPr>
        <w:t>elja</w:t>
      </w:r>
      <w:r w:rsidRPr="007A69F2">
        <w:rPr>
          <w:szCs w:val="22"/>
          <w:lang w:val="sr-Latn-ME"/>
        </w:rPr>
        <w:t xml:space="preserve">. </w:t>
      </w:r>
      <w:r w:rsidR="00DF5240" w:rsidRPr="007A69F2">
        <w:rPr>
          <w:szCs w:val="22"/>
          <w:lang w:val="sr-Latn-ME"/>
        </w:rPr>
        <w:t>Pacijentima</w:t>
      </w:r>
      <w:r w:rsidRPr="007A69F2">
        <w:rPr>
          <w:szCs w:val="22"/>
          <w:lang w:val="sr-Latn-ME"/>
        </w:rPr>
        <w:t xml:space="preserve"> je prema potrebi bila dopuštena primjena </w:t>
      </w:r>
      <w:r w:rsidR="008007BD" w:rsidRPr="007A69F2">
        <w:rPr>
          <w:szCs w:val="22"/>
          <w:lang w:val="sr-Latn-ME"/>
        </w:rPr>
        <w:t>ljekov</w:t>
      </w:r>
      <w:r w:rsidRPr="007A69F2">
        <w:rPr>
          <w:szCs w:val="22"/>
          <w:lang w:val="sr-Latn-ME"/>
        </w:rPr>
        <w:t xml:space="preserve">a za akutnu terapiju glavobolje (tj. </w:t>
      </w:r>
      <w:proofErr w:type="spellStart"/>
      <w:r w:rsidRPr="007A69F2">
        <w:rPr>
          <w:szCs w:val="22"/>
          <w:lang w:val="sr-Latn-ME"/>
        </w:rPr>
        <w:t>triptana</w:t>
      </w:r>
      <w:proofErr w:type="spellEnd"/>
      <w:r w:rsidRPr="007A69F2">
        <w:rPr>
          <w:szCs w:val="22"/>
          <w:lang w:val="sr-Latn-ME"/>
        </w:rPr>
        <w:t xml:space="preserve">, derivata </w:t>
      </w:r>
      <w:proofErr w:type="spellStart"/>
      <w:r w:rsidRPr="007A69F2">
        <w:rPr>
          <w:szCs w:val="22"/>
          <w:lang w:val="sr-Latn-ME"/>
        </w:rPr>
        <w:t>ergotamina</w:t>
      </w:r>
      <w:proofErr w:type="spellEnd"/>
      <w:r w:rsidRPr="007A69F2">
        <w:rPr>
          <w:szCs w:val="22"/>
          <w:lang w:val="sr-Latn-ME"/>
        </w:rPr>
        <w:t xml:space="preserve">, </w:t>
      </w:r>
      <w:proofErr w:type="spellStart"/>
      <w:r w:rsidRPr="007A69F2">
        <w:rPr>
          <w:szCs w:val="22"/>
          <w:lang w:val="sr-Latn-ME"/>
        </w:rPr>
        <w:t>nesteroidnih</w:t>
      </w:r>
      <w:proofErr w:type="spellEnd"/>
      <w:r w:rsidRPr="007A69F2">
        <w:rPr>
          <w:szCs w:val="22"/>
          <w:lang w:val="sr-Latn-ME"/>
        </w:rPr>
        <w:t xml:space="preserve"> </w:t>
      </w:r>
      <w:proofErr w:type="spellStart"/>
      <w:r w:rsidRPr="007A69F2">
        <w:rPr>
          <w:szCs w:val="22"/>
          <w:lang w:val="sr-Latn-ME"/>
        </w:rPr>
        <w:t>antiinflamatornih</w:t>
      </w:r>
      <w:proofErr w:type="spellEnd"/>
      <w:r w:rsidRPr="007A69F2">
        <w:rPr>
          <w:szCs w:val="22"/>
          <w:lang w:val="sr-Latn-ME"/>
        </w:rPr>
        <w:t xml:space="preserve"> </w:t>
      </w:r>
      <w:r w:rsidR="008007BD" w:rsidRPr="007A69F2">
        <w:rPr>
          <w:szCs w:val="22"/>
          <w:lang w:val="sr-Latn-ME"/>
        </w:rPr>
        <w:t>ljekov</w:t>
      </w:r>
      <w:r w:rsidRPr="007A69F2">
        <w:rPr>
          <w:szCs w:val="22"/>
          <w:lang w:val="sr-Latn-ME"/>
        </w:rPr>
        <w:t xml:space="preserve">a (NSAIL-a), </w:t>
      </w:r>
      <w:proofErr w:type="spellStart"/>
      <w:r w:rsidRPr="007A69F2">
        <w:rPr>
          <w:szCs w:val="22"/>
          <w:lang w:val="sr-Latn-ME"/>
        </w:rPr>
        <w:t>paracetamola</w:t>
      </w:r>
      <w:proofErr w:type="spellEnd"/>
      <w:r w:rsidRPr="007A69F2">
        <w:rPr>
          <w:szCs w:val="22"/>
          <w:lang w:val="sr-Latn-ME"/>
        </w:rPr>
        <w:t xml:space="preserve"> i </w:t>
      </w:r>
      <w:proofErr w:type="spellStart"/>
      <w:r w:rsidRPr="007A69F2">
        <w:rPr>
          <w:szCs w:val="22"/>
          <w:lang w:val="sr-Latn-ME"/>
        </w:rPr>
        <w:t>opioida</w:t>
      </w:r>
      <w:proofErr w:type="spellEnd"/>
      <w:r w:rsidRPr="007A69F2">
        <w:rPr>
          <w:szCs w:val="22"/>
          <w:lang w:val="sr-Latn-ME"/>
        </w:rPr>
        <w:t xml:space="preserve">). Istovremena primjena </w:t>
      </w:r>
      <w:r w:rsidR="008007BD" w:rsidRPr="007A69F2">
        <w:rPr>
          <w:szCs w:val="22"/>
          <w:lang w:val="sr-Latn-ME"/>
        </w:rPr>
        <w:t>ljekov</w:t>
      </w:r>
      <w:r w:rsidRPr="007A69F2">
        <w:rPr>
          <w:szCs w:val="22"/>
          <w:lang w:val="sr-Latn-ME"/>
        </w:rPr>
        <w:t>a koji djeluju na signalni put CGRP-a nije bila dopuštena ni za akutno ni za preventivno liječenje migrene.</w:t>
      </w:r>
    </w:p>
    <w:p w14:paraId="013CC60D" w14:textId="77777777" w:rsidR="00F60FFB" w:rsidRPr="007A69F2" w:rsidRDefault="00F60FFB" w:rsidP="00405FD8">
      <w:pPr>
        <w:spacing w:line="240" w:lineRule="auto"/>
        <w:jc w:val="both"/>
        <w:rPr>
          <w:szCs w:val="22"/>
          <w:lang w:val="sr-Latn-ME"/>
        </w:rPr>
      </w:pPr>
    </w:p>
    <w:p w14:paraId="7FA3B26E" w14:textId="1BC57596" w:rsidR="00B16B62" w:rsidRPr="007A69F2" w:rsidRDefault="004A54DE" w:rsidP="00405FD8">
      <w:pPr>
        <w:spacing w:line="240" w:lineRule="auto"/>
        <w:jc w:val="both"/>
        <w:rPr>
          <w:szCs w:val="22"/>
          <w:lang w:val="sr-Latn-ME"/>
        </w:rPr>
      </w:pPr>
      <w:r w:rsidRPr="007A69F2">
        <w:rPr>
          <w:szCs w:val="22"/>
          <w:lang w:val="sr-Latn-ME"/>
        </w:rPr>
        <w:t>Period</w:t>
      </w:r>
      <w:r w:rsidR="00B16B62" w:rsidRPr="007A69F2">
        <w:rPr>
          <w:szCs w:val="22"/>
          <w:lang w:val="sr-Latn-ME"/>
        </w:rPr>
        <w:t xml:space="preserve"> </w:t>
      </w:r>
      <w:r w:rsidRPr="007A69F2">
        <w:rPr>
          <w:szCs w:val="22"/>
          <w:lang w:val="sr-Latn-ME"/>
        </w:rPr>
        <w:t xml:space="preserve">od 12 </w:t>
      </w:r>
      <w:r w:rsidR="00260573" w:rsidRPr="007A69F2">
        <w:rPr>
          <w:szCs w:val="22"/>
          <w:lang w:val="sr-Latn-ME"/>
        </w:rPr>
        <w:t>ned</w:t>
      </w:r>
      <w:r w:rsidR="00175CC9" w:rsidRPr="007A69F2">
        <w:rPr>
          <w:szCs w:val="22"/>
          <w:lang w:val="sr-Latn-ME"/>
        </w:rPr>
        <w:t>j</w:t>
      </w:r>
      <w:r w:rsidR="00260573" w:rsidRPr="007A69F2">
        <w:rPr>
          <w:szCs w:val="22"/>
          <w:lang w:val="sr-Latn-ME"/>
        </w:rPr>
        <w:t>elja</w:t>
      </w:r>
      <w:r w:rsidRPr="007A69F2">
        <w:rPr>
          <w:szCs w:val="22"/>
          <w:lang w:val="sr-Latn-ME"/>
        </w:rPr>
        <w:t>,</w:t>
      </w:r>
      <w:r w:rsidR="00B16B62" w:rsidRPr="007A69F2">
        <w:rPr>
          <w:szCs w:val="22"/>
          <w:lang w:val="sr-Latn-ME"/>
        </w:rPr>
        <w:t xml:space="preserve"> dvostruko slijepog ispitivanja</w:t>
      </w:r>
      <w:r w:rsidRPr="007A69F2">
        <w:rPr>
          <w:szCs w:val="22"/>
          <w:lang w:val="sr-Latn-ME"/>
        </w:rPr>
        <w:t>,</w:t>
      </w:r>
      <w:r w:rsidR="00B16B62" w:rsidRPr="007A69F2">
        <w:rPr>
          <w:szCs w:val="22"/>
          <w:lang w:val="sr-Latn-ME"/>
        </w:rPr>
        <w:t xml:space="preserve"> završilo je ukupno 88% </w:t>
      </w:r>
      <w:r w:rsidR="00260573" w:rsidRPr="007A69F2">
        <w:rPr>
          <w:szCs w:val="22"/>
          <w:lang w:val="sr-Latn-ME"/>
        </w:rPr>
        <w:t>pacijenat</w:t>
      </w:r>
      <w:r w:rsidR="00B16B62" w:rsidRPr="007A69F2">
        <w:rPr>
          <w:szCs w:val="22"/>
          <w:lang w:val="sr-Latn-ME"/>
        </w:rPr>
        <w:t>a. Srednja vrijednost</w:t>
      </w:r>
      <w:r w:rsidRPr="007A69F2">
        <w:rPr>
          <w:szCs w:val="22"/>
          <w:lang w:val="sr-Latn-ME"/>
        </w:rPr>
        <w:t xml:space="preserve"> starosti</w:t>
      </w:r>
      <w:r w:rsidR="00B16B62" w:rsidRPr="007A69F2">
        <w:rPr>
          <w:szCs w:val="22"/>
          <w:lang w:val="sr-Latn-ME"/>
        </w:rPr>
        <w:t xml:space="preserve"> </w:t>
      </w:r>
      <w:r w:rsidR="00260573" w:rsidRPr="007A69F2">
        <w:rPr>
          <w:szCs w:val="22"/>
          <w:lang w:val="sr-Latn-ME"/>
        </w:rPr>
        <w:t>pacijenat</w:t>
      </w:r>
      <w:r w:rsidR="00B16B62" w:rsidRPr="007A69F2">
        <w:rPr>
          <w:szCs w:val="22"/>
          <w:lang w:val="sr-Latn-ME"/>
        </w:rPr>
        <w:t xml:space="preserve">a bila je 42 godine (raspon: od 18 do 73 godine), 4% </w:t>
      </w:r>
      <w:r w:rsidR="00260573" w:rsidRPr="007A69F2">
        <w:rPr>
          <w:szCs w:val="22"/>
          <w:lang w:val="sr-Latn-ME"/>
        </w:rPr>
        <w:t>pacijenat</w:t>
      </w:r>
      <w:r w:rsidR="00B16B62" w:rsidRPr="007A69F2">
        <w:rPr>
          <w:szCs w:val="22"/>
          <w:lang w:val="sr-Latn-ME"/>
        </w:rPr>
        <w:t xml:space="preserve">a bilo je </w:t>
      </w:r>
      <w:r w:rsidRPr="007A69F2">
        <w:rPr>
          <w:szCs w:val="22"/>
          <w:lang w:val="sr-Latn-ME"/>
        </w:rPr>
        <w:t>starosti</w:t>
      </w:r>
      <w:r w:rsidR="00B16B62" w:rsidRPr="007A69F2">
        <w:rPr>
          <w:szCs w:val="22"/>
          <w:lang w:val="sr-Latn-ME"/>
        </w:rPr>
        <w:t xml:space="preserve"> od 65 godina ili starije, 89% bile su žene, a 83% bijelci. Srednja vrijednost učestalosti migrene na početku ispitivanja iznosila je približno 8 dana s migrenom mjesečno i bila je slična u obje terapijske </w:t>
      </w:r>
      <w:r w:rsidRPr="007A69F2">
        <w:rPr>
          <w:szCs w:val="22"/>
          <w:lang w:val="sr-Latn-ME"/>
        </w:rPr>
        <w:t>grupe</w:t>
      </w:r>
      <w:r w:rsidR="00B16B62" w:rsidRPr="007A69F2">
        <w:rPr>
          <w:szCs w:val="22"/>
          <w:lang w:val="sr-Latn-ME"/>
        </w:rPr>
        <w:t xml:space="preserve">. </w:t>
      </w:r>
    </w:p>
    <w:p w14:paraId="5D3DD20D" w14:textId="77777777" w:rsidR="00DA17AE" w:rsidRPr="007A69F2" w:rsidRDefault="00DA17AE" w:rsidP="00405FD8">
      <w:pPr>
        <w:spacing w:line="240" w:lineRule="auto"/>
        <w:jc w:val="both"/>
        <w:rPr>
          <w:szCs w:val="22"/>
          <w:lang w:val="sr-Latn-ME"/>
        </w:rPr>
      </w:pPr>
    </w:p>
    <w:p w14:paraId="5AECFAC5" w14:textId="3F510A2F" w:rsidR="000B62AB" w:rsidRPr="007A69F2" w:rsidRDefault="00D04C51" w:rsidP="00405FD8">
      <w:pPr>
        <w:spacing w:line="240" w:lineRule="auto"/>
        <w:jc w:val="both"/>
        <w:rPr>
          <w:szCs w:val="22"/>
          <w:lang w:val="sr-Latn-ME"/>
        </w:rPr>
      </w:pPr>
      <w:r w:rsidRPr="007A69F2">
        <w:rPr>
          <w:szCs w:val="22"/>
          <w:lang w:val="sr-Latn-ME"/>
        </w:rPr>
        <w:t xml:space="preserve">Primarna </w:t>
      </w:r>
      <w:r w:rsidR="004A54DE" w:rsidRPr="007A69F2">
        <w:rPr>
          <w:szCs w:val="22"/>
          <w:lang w:val="sr-Latn-ME"/>
        </w:rPr>
        <w:t>mjera ishoda</w:t>
      </w:r>
      <w:r w:rsidRPr="007A69F2">
        <w:rPr>
          <w:szCs w:val="22"/>
          <w:lang w:val="sr-Latn-ME"/>
        </w:rPr>
        <w:t xml:space="preserve"> efikasnosti je bila promjena srednje vrijednosti broja dana s migren</w:t>
      </w:r>
      <w:r w:rsidR="004A54DE" w:rsidRPr="007A69F2">
        <w:rPr>
          <w:szCs w:val="22"/>
          <w:lang w:val="sr-Latn-ME"/>
        </w:rPr>
        <w:t>om</w:t>
      </w:r>
      <w:r w:rsidRPr="007A69F2">
        <w:rPr>
          <w:szCs w:val="22"/>
          <w:lang w:val="sr-Latn-ME"/>
        </w:rPr>
        <w:t xml:space="preserve"> u mjesecu (MM</w:t>
      </w:r>
      <w:r w:rsidR="004A54DE" w:rsidRPr="007A69F2">
        <w:rPr>
          <w:szCs w:val="22"/>
          <w:lang w:val="sr-Latn-ME"/>
        </w:rPr>
        <w:t>D</w:t>
      </w:r>
      <w:r w:rsidRPr="007A69F2">
        <w:rPr>
          <w:szCs w:val="22"/>
          <w:lang w:val="sr-Latn-ME"/>
        </w:rPr>
        <w:t>) tokom perioda liječenja od 12 </w:t>
      </w:r>
      <w:r w:rsidR="00260573" w:rsidRPr="007A69F2">
        <w:rPr>
          <w:szCs w:val="22"/>
          <w:lang w:val="sr-Latn-ME"/>
        </w:rPr>
        <w:t>ned</w:t>
      </w:r>
      <w:r w:rsidR="00295336" w:rsidRPr="007A69F2">
        <w:rPr>
          <w:szCs w:val="22"/>
          <w:lang w:val="sr-Latn-ME"/>
        </w:rPr>
        <w:t>j</w:t>
      </w:r>
      <w:r w:rsidR="00260573" w:rsidRPr="007A69F2">
        <w:rPr>
          <w:szCs w:val="22"/>
          <w:lang w:val="sr-Latn-ME"/>
        </w:rPr>
        <w:t>elja</w:t>
      </w:r>
      <w:r w:rsidR="004A54DE" w:rsidRPr="007A69F2">
        <w:rPr>
          <w:szCs w:val="22"/>
          <w:lang w:val="sr-Latn-ME"/>
        </w:rPr>
        <w:t xml:space="preserve"> u odnosu na početak ispitivanja</w:t>
      </w:r>
      <w:r w:rsidRPr="007A69F2">
        <w:rPr>
          <w:szCs w:val="22"/>
          <w:lang w:val="sr-Latn-ME"/>
        </w:rPr>
        <w:t xml:space="preserve">. Sekundarne </w:t>
      </w:r>
      <w:r w:rsidR="004A54DE" w:rsidRPr="007A69F2">
        <w:rPr>
          <w:szCs w:val="22"/>
          <w:lang w:val="sr-Latn-ME"/>
        </w:rPr>
        <w:t>mjere ishoda,</w:t>
      </w:r>
      <w:r w:rsidRPr="007A69F2">
        <w:rPr>
          <w:szCs w:val="22"/>
          <w:lang w:val="sr-Latn-ME"/>
        </w:rPr>
        <w:t xml:space="preserve"> kontroli</w:t>
      </w:r>
      <w:r w:rsidR="004A54DE" w:rsidRPr="007A69F2">
        <w:rPr>
          <w:szCs w:val="22"/>
          <w:lang w:val="sr-Latn-ME"/>
        </w:rPr>
        <w:t>s</w:t>
      </w:r>
      <w:r w:rsidRPr="007A69F2">
        <w:rPr>
          <w:szCs w:val="22"/>
          <w:lang w:val="sr-Latn-ME"/>
        </w:rPr>
        <w:t xml:space="preserve">ane na </w:t>
      </w:r>
      <w:proofErr w:type="spellStart"/>
      <w:r w:rsidRPr="007A69F2">
        <w:rPr>
          <w:szCs w:val="22"/>
          <w:lang w:val="sr-Latn-ME"/>
        </w:rPr>
        <w:t>multiplicitet</w:t>
      </w:r>
      <w:proofErr w:type="spellEnd"/>
      <w:r w:rsidR="004A54DE" w:rsidRPr="007A69F2">
        <w:rPr>
          <w:szCs w:val="22"/>
          <w:lang w:val="sr-Latn-ME"/>
        </w:rPr>
        <w:t>,</w:t>
      </w:r>
      <w:r w:rsidRPr="007A69F2">
        <w:rPr>
          <w:szCs w:val="22"/>
          <w:lang w:val="sr-Latn-ME"/>
        </w:rPr>
        <w:t xml:space="preserve"> su uključivale promjenu srednje vrijednosti broja dana s glavobolj</w:t>
      </w:r>
      <w:r w:rsidR="004A54DE" w:rsidRPr="007A69F2">
        <w:rPr>
          <w:szCs w:val="22"/>
          <w:lang w:val="sr-Latn-ME"/>
        </w:rPr>
        <w:t>om mjesečno u odnosu na</w:t>
      </w:r>
      <w:r w:rsidRPr="007A69F2">
        <w:rPr>
          <w:szCs w:val="22"/>
          <w:lang w:val="sr-Latn-ME"/>
        </w:rPr>
        <w:t xml:space="preserve"> počet</w:t>
      </w:r>
      <w:r w:rsidR="004A54DE" w:rsidRPr="007A69F2">
        <w:rPr>
          <w:szCs w:val="22"/>
          <w:lang w:val="sr-Latn-ME"/>
        </w:rPr>
        <w:t>ak ispitivanja</w:t>
      </w:r>
      <w:r w:rsidRPr="007A69F2">
        <w:rPr>
          <w:szCs w:val="22"/>
          <w:lang w:val="sr-Latn-ME"/>
        </w:rPr>
        <w:t xml:space="preserve">, promjenu srednje vrijednosti broja dana </w:t>
      </w:r>
      <w:r w:rsidR="004A54DE" w:rsidRPr="007A69F2">
        <w:rPr>
          <w:szCs w:val="22"/>
          <w:lang w:val="sr-Latn-ME"/>
        </w:rPr>
        <w:t xml:space="preserve">uzimanja </w:t>
      </w:r>
      <w:r w:rsidRPr="007A69F2">
        <w:rPr>
          <w:szCs w:val="22"/>
          <w:lang w:val="sr-Latn-ME"/>
        </w:rPr>
        <w:t xml:space="preserve">akutne </w:t>
      </w:r>
      <w:r w:rsidR="004A54DE" w:rsidRPr="007A69F2">
        <w:rPr>
          <w:szCs w:val="22"/>
          <w:lang w:val="sr-Latn-ME"/>
        </w:rPr>
        <w:t>terapije mjesečno u odnosu na</w:t>
      </w:r>
      <w:r w:rsidRPr="007A69F2">
        <w:rPr>
          <w:szCs w:val="22"/>
          <w:lang w:val="sr-Latn-ME"/>
        </w:rPr>
        <w:t xml:space="preserve"> poč</w:t>
      </w:r>
      <w:r w:rsidR="004A54DE" w:rsidRPr="007A69F2">
        <w:rPr>
          <w:szCs w:val="22"/>
          <w:lang w:val="sr-Latn-ME"/>
        </w:rPr>
        <w:t>e</w:t>
      </w:r>
      <w:r w:rsidRPr="007A69F2">
        <w:rPr>
          <w:szCs w:val="22"/>
          <w:lang w:val="sr-Latn-ME"/>
        </w:rPr>
        <w:t>t</w:t>
      </w:r>
      <w:r w:rsidR="004A54DE" w:rsidRPr="007A69F2">
        <w:rPr>
          <w:szCs w:val="22"/>
          <w:lang w:val="sr-Latn-ME"/>
        </w:rPr>
        <w:t>ak</w:t>
      </w:r>
      <w:r w:rsidRPr="007A69F2">
        <w:rPr>
          <w:szCs w:val="22"/>
          <w:lang w:val="sr-Latn-ME"/>
        </w:rPr>
        <w:t xml:space="preserve"> </w:t>
      </w:r>
      <w:r w:rsidR="004A54DE" w:rsidRPr="007A69F2">
        <w:rPr>
          <w:szCs w:val="22"/>
          <w:lang w:val="sr-Latn-ME"/>
        </w:rPr>
        <w:t>ispitivanja</w:t>
      </w:r>
      <w:r w:rsidRPr="007A69F2">
        <w:rPr>
          <w:szCs w:val="22"/>
          <w:lang w:val="sr-Latn-ME"/>
        </w:rPr>
        <w:t xml:space="preserve">, </w:t>
      </w:r>
      <w:proofErr w:type="spellStart"/>
      <w:r w:rsidR="004A54DE" w:rsidRPr="007A69F2">
        <w:rPr>
          <w:szCs w:val="22"/>
          <w:lang w:val="sr-Latn-ME"/>
        </w:rPr>
        <w:t>udio</w:t>
      </w:r>
      <w:proofErr w:type="spellEnd"/>
      <w:r w:rsidR="004A54DE" w:rsidRPr="007A69F2">
        <w:rPr>
          <w:szCs w:val="22"/>
          <w:lang w:val="sr-Latn-ME"/>
        </w:rPr>
        <w:t xml:space="preserve"> </w:t>
      </w:r>
      <w:r w:rsidR="00260573" w:rsidRPr="007A69F2">
        <w:rPr>
          <w:szCs w:val="22"/>
          <w:lang w:val="sr-Latn-ME"/>
        </w:rPr>
        <w:t>pacijenat</w:t>
      </w:r>
      <w:r w:rsidR="004A54DE" w:rsidRPr="007A69F2">
        <w:rPr>
          <w:szCs w:val="22"/>
          <w:lang w:val="sr-Latn-ME"/>
        </w:rPr>
        <w:t xml:space="preserve">a koji su postigli najmanje 50% smanjenja srednje vrijednosti MMD (3-mjesečni prosjek) u odnosu na početak ispitivanja i nekoliko mjera ishoda kojima se procjenjivalo funkcioniranje prema </w:t>
      </w:r>
      <w:proofErr w:type="spellStart"/>
      <w:r w:rsidR="004A54DE" w:rsidRPr="007A69F2">
        <w:rPr>
          <w:szCs w:val="22"/>
          <w:lang w:val="sr-Latn-ME"/>
        </w:rPr>
        <w:t>samoprocjeni</w:t>
      </w:r>
      <w:proofErr w:type="spellEnd"/>
      <w:r w:rsidR="004A54DE" w:rsidRPr="007A69F2">
        <w:rPr>
          <w:szCs w:val="22"/>
          <w:lang w:val="sr-Latn-ME"/>
        </w:rPr>
        <w:t xml:space="preserve"> </w:t>
      </w:r>
      <w:r w:rsidR="00260573" w:rsidRPr="007A69F2">
        <w:rPr>
          <w:szCs w:val="22"/>
          <w:lang w:val="sr-Latn-ME"/>
        </w:rPr>
        <w:t>pacijenat</w:t>
      </w:r>
      <w:r w:rsidR="004A54DE" w:rsidRPr="007A69F2">
        <w:rPr>
          <w:szCs w:val="22"/>
          <w:lang w:val="sr-Latn-ME"/>
        </w:rPr>
        <w:t xml:space="preserve">a. </w:t>
      </w:r>
    </w:p>
    <w:p w14:paraId="23F220CC" w14:textId="77777777" w:rsidR="000B62AB" w:rsidRPr="007A69F2" w:rsidRDefault="000B62AB" w:rsidP="00405FD8">
      <w:pPr>
        <w:spacing w:line="240" w:lineRule="auto"/>
        <w:jc w:val="both"/>
        <w:rPr>
          <w:szCs w:val="22"/>
          <w:lang w:val="sr-Latn-ME"/>
        </w:rPr>
      </w:pPr>
    </w:p>
    <w:p w14:paraId="58FC011C" w14:textId="7AF38C77" w:rsidR="004A54DE" w:rsidRPr="007A69F2" w:rsidRDefault="004A54DE" w:rsidP="00405FD8">
      <w:pPr>
        <w:spacing w:line="240" w:lineRule="auto"/>
        <w:jc w:val="both"/>
        <w:rPr>
          <w:szCs w:val="22"/>
          <w:lang w:val="sr-Latn-ME"/>
        </w:rPr>
      </w:pPr>
      <w:r w:rsidRPr="007A69F2">
        <w:rPr>
          <w:szCs w:val="22"/>
          <w:lang w:val="sr-Latn-ME"/>
        </w:rPr>
        <w:t>Statistički značajni rezultati pokazali su se za primarne i sekundarne mjere ishoda efika</w:t>
      </w:r>
      <w:r w:rsidR="000B62AB" w:rsidRPr="007A69F2">
        <w:rPr>
          <w:szCs w:val="22"/>
          <w:lang w:val="sr-Latn-ME"/>
        </w:rPr>
        <w:t>s</w:t>
      </w:r>
      <w:r w:rsidRPr="007A69F2">
        <w:rPr>
          <w:szCs w:val="22"/>
          <w:lang w:val="sr-Latn-ME"/>
        </w:rPr>
        <w:t>nos</w:t>
      </w:r>
      <w:r w:rsidR="000B62AB" w:rsidRPr="007A69F2">
        <w:rPr>
          <w:szCs w:val="22"/>
          <w:lang w:val="sr-Latn-ME"/>
        </w:rPr>
        <w:t>ti</w:t>
      </w:r>
      <w:r w:rsidRPr="007A69F2">
        <w:rPr>
          <w:szCs w:val="22"/>
          <w:lang w:val="sr-Latn-ME"/>
        </w:rPr>
        <w:t xml:space="preserve"> uz primjenu lijeka AQUIPTA u </w:t>
      </w:r>
      <w:r w:rsidR="000B62AB" w:rsidRPr="007A69F2">
        <w:rPr>
          <w:szCs w:val="22"/>
          <w:lang w:val="sr-Latn-ME"/>
        </w:rPr>
        <w:t>poređenju</w:t>
      </w:r>
      <w:r w:rsidRPr="007A69F2">
        <w:rPr>
          <w:szCs w:val="22"/>
          <w:lang w:val="sr-Latn-ME"/>
        </w:rPr>
        <w:t xml:space="preserve"> s </w:t>
      </w:r>
      <w:proofErr w:type="spellStart"/>
      <w:r w:rsidRPr="007A69F2">
        <w:rPr>
          <w:szCs w:val="22"/>
          <w:lang w:val="sr-Latn-ME"/>
        </w:rPr>
        <w:t>placebom</w:t>
      </w:r>
      <w:proofErr w:type="spellEnd"/>
      <w:r w:rsidRPr="007A69F2">
        <w:rPr>
          <w:szCs w:val="22"/>
          <w:lang w:val="sr-Latn-ME"/>
        </w:rPr>
        <w:t xml:space="preserve"> u ispitivanju ADVANCE, kao što je sažeto prikazano u tab</w:t>
      </w:r>
      <w:r w:rsidR="000B62AB" w:rsidRPr="007A69F2">
        <w:rPr>
          <w:szCs w:val="22"/>
          <w:lang w:val="sr-Latn-ME"/>
        </w:rPr>
        <w:t>eli</w:t>
      </w:r>
      <w:r w:rsidRPr="007A69F2">
        <w:rPr>
          <w:szCs w:val="22"/>
          <w:lang w:val="sr-Latn-ME"/>
        </w:rPr>
        <w:t xml:space="preserve"> 3</w:t>
      </w:r>
      <w:r w:rsidR="000B62AB" w:rsidRPr="007A69F2">
        <w:rPr>
          <w:szCs w:val="22"/>
          <w:lang w:val="sr-Latn-ME"/>
        </w:rPr>
        <w:t>.</w:t>
      </w:r>
    </w:p>
    <w:p w14:paraId="3A589ADA" w14:textId="588D0175" w:rsidR="00DA17AE" w:rsidRPr="007A69F2" w:rsidRDefault="00D04C51" w:rsidP="000B10C0">
      <w:pPr>
        <w:keepNext/>
        <w:keepLines/>
        <w:spacing w:line="240" w:lineRule="auto"/>
        <w:jc w:val="both"/>
        <w:rPr>
          <w:b/>
          <w:szCs w:val="22"/>
          <w:lang w:val="sr-Latn-ME"/>
        </w:rPr>
      </w:pPr>
      <w:r w:rsidRPr="007A69F2">
        <w:rPr>
          <w:b/>
          <w:szCs w:val="22"/>
          <w:lang w:val="sr-Latn-ME"/>
        </w:rPr>
        <w:lastRenderedPageBreak/>
        <w:t xml:space="preserve">Tabela 3: </w:t>
      </w:r>
      <w:r w:rsidR="000B62AB" w:rsidRPr="007A69F2">
        <w:rPr>
          <w:b/>
          <w:szCs w:val="22"/>
          <w:lang w:val="sr-Latn-ME"/>
        </w:rPr>
        <w:t>Mjera ishoda</w:t>
      </w:r>
      <w:r w:rsidRPr="007A69F2">
        <w:rPr>
          <w:b/>
          <w:szCs w:val="22"/>
          <w:lang w:val="sr-Latn-ME"/>
        </w:rPr>
        <w:t xml:space="preserve"> efikasnosti u </w:t>
      </w:r>
      <w:r w:rsidR="000B62AB" w:rsidRPr="007A69F2">
        <w:rPr>
          <w:b/>
          <w:szCs w:val="22"/>
          <w:lang w:val="sr-Latn-ME"/>
        </w:rPr>
        <w:t>ispitivanju</w:t>
      </w:r>
      <w:r w:rsidRPr="007A69F2">
        <w:rPr>
          <w:b/>
          <w:szCs w:val="22"/>
          <w:lang w:val="sr-Latn-ME"/>
        </w:rPr>
        <w:t xml:space="preserve"> ADVANCE</w:t>
      </w:r>
    </w:p>
    <w:p w14:paraId="347DD6CC" w14:textId="77777777" w:rsidR="00295336" w:rsidRPr="007A69F2" w:rsidRDefault="00295336" w:rsidP="000B10C0">
      <w:pPr>
        <w:keepNext/>
        <w:keepLines/>
        <w:spacing w:line="240" w:lineRule="auto"/>
        <w:jc w:val="both"/>
        <w:rPr>
          <w:b/>
          <w:szCs w:val="22"/>
          <w:lang w:val="sr-Latn-M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5"/>
        <w:gridCol w:w="2070"/>
        <w:gridCol w:w="1731"/>
      </w:tblGrid>
      <w:tr w:rsidR="00BD6090" w:rsidRPr="007A69F2" w14:paraId="12B58B7D" w14:textId="77777777" w:rsidTr="005E64FD">
        <w:tc>
          <w:tcPr>
            <w:tcW w:w="5215" w:type="dxa"/>
            <w:shd w:val="clear" w:color="auto" w:fill="auto"/>
          </w:tcPr>
          <w:p w14:paraId="74398258" w14:textId="77777777" w:rsidR="00DA17AE" w:rsidRPr="007A69F2" w:rsidRDefault="00DA17AE" w:rsidP="000B10C0">
            <w:pPr>
              <w:keepNext/>
              <w:keepLines/>
              <w:spacing w:line="240" w:lineRule="auto"/>
              <w:jc w:val="both"/>
              <w:rPr>
                <w:b/>
                <w:szCs w:val="22"/>
                <w:lang w:val="sr-Latn-ME"/>
              </w:rPr>
            </w:pPr>
            <w:bookmarkStart w:id="16" w:name="_Hlk89257530"/>
          </w:p>
        </w:tc>
        <w:tc>
          <w:tcPr>
            <w:tcW w:w="2070" w:type="dxa"/>
            <w:shd w:val="clear" w:color="auto" w:fill="FFFFFF" w:themeFill="background1"/>
          </w:tcPr>
          <w:p w14:paraId="5D4A7269" w14:textId="77777777" w:rsidR="00DA17AE" w:rsidRPr="007A69F2" w:rsidRDefault="00D04C51" w:rsidP="006074EE">
            <w:pPr>
              <w:keepNext/>
              <w:keepLines/>
              <w:spacing w:line="240" w:lineRule="auto"/>
              <w:jc w:val="center"/>
              <w:rPr>
                <w:b/>
                <w:szCs w:val="22"/>
                <w:lang w:val="sr-Latn-ME"/>
              </w:rPr>
            </w:pPr>
            <w:r w:rsidRPr="007A69F2">
              <w:rPr>
                <w:b/>
                <w:szCs w:val="22"/>
                <w:lang w:val="sr-Latn-ME"/>
              </w:rPr>
              <w:t>AQUIPTA 60 mg</w:t>
            </w:r>
          </w:p>
          <w:p w14:paraId="0C141D82" w14:textId="77777777" w:rsidR="00DA17AE" w:rsidRPr="007A69F2" w:rsidRDefault="00D04C51" w:rsidP="006074EE">
            <w:pPr>
              <w:keepNext/>
              <w:keepLines/>
              <w:spacing w:line="240" w:lineRule="auto"/>
              <w:jc w:val="center"/>
              <w:rPr>
                <w:b/>
                <w:szCs w:val="22"/>
                <w:lang w:val="sr-Latn-ME"/>
              </w:rPr>
            </w:pPr>
            <w:r w:rsidRPr="007A69F2">
              <w:rPr>
                <w:b/>
                <w:szCs w:val="22"/>
                <w:lang w:val="sr-Latn-ME"/>
              </w:rPr>
              <w:t>N = 226</w:t>
            </w:r>
          </w:p>
        </w:tc>
        <w:tc>
          <w:tcPr>
            <w:tcW w:w="1731" w:type="dxa"/>
            <w:shd w:val="clear" w:color="auto" w:fill="FFFFFF" w:themeFill="background1"/>
          </w:tcPr>
          <w:p w14:paraId="7ABCC543" w14:textId="77777777" w:rsidR="00DA17AE" w:rsidRPr="007A69F2" w:rsidRDefault="00D04C51" w:rsidP="006074EE">
            <w:pPr>
              <w:keepNext/>
              <w:keepLines/>
              <w:spacing w:line="240" w:lineRule="auto"/>
              <w:jc w:val="center"/>
              <w:rPr>
                <w:b/>
                <w:szCs w:val="22"/>
                <w:lang w:val="sr-Latn-ME"/>
              </w:rPr>
            </w:pPr>
            <w:proofErr w:type="spellStart"/>
            <w:r w:rsidRPr="007A69F2">
              <w:rPr>
                <w:b/>
                <w:szCs w:val="22"/>
                <w:lang w:val="sr-Latn-ME"/>
              </w:rPr>
              <w:t>Placebo</w:t>
            </w:r>
            <w:proofErr w:type="spellEnd"/>
          </w:p>
          <w:p w14:paraId="36E88EA8" w14:textId="77777777" w:rsidR="00DA17AE" w:rsidRPr="007A69F2" w:rsidRDefault="00D04C51" w:rsidP="006074EE">
            <w:pPr>
              <w:keepNext/>
              <w:keepLines/>
              <w:spacing w:line="240" w:lineRule="auto"/>
              <w:jc w:val="center"/>
              <w:rPr>
                <w:b/>
                <w:szCs w:val="22"/>
                <w:lang w:val="sr-Latn-ME"/>
              </w:rPr>
            </w:pPr>
            <w:r w:rsidRPr="007A69F2">
              <w:rPr>
                <w:b/>
                <w:szCs w:val="22"/>
                <w:lang w:val="sr-Latn-ME"/>
              </w:rPr>
              <w:t>N = 216</w:t>
            </w:r>
          </w:p>
        </w:tc>
      </w:tr>
      <w:tr w:rsidR="00BD6090" w:rsidRPr="007A69F2" w14:paraId="10CE6455" w14:textId="77777777" w:rsidTr="007520F7">
        <w:tc>
          <w:tcPr>
            <w:tcW w:w="9016" w:type="dxa"/>
            <w:gridSpan w:val="3"/>
            <w:shd w:val="clear" w:color="auto" w:fill="auto"/>
          </w:tcPr>
          <w:p w14:paraId="59B506B0" w14:textId="7A00742C" w:rsidR="00DA17AE" w:rsidRPr="007A69F2" w:rsidRDefault="000B62AB" w:rsidP="000B10C0">
            <w:pPr>
              <w:keepNext/>
              <w:keepLines/>
              <w:spacing w:line="240" w:lineRule="auto"/>
              <w:jc w:val="both"/>
              <w:rPr>
                <w:b/>
                <w:szCs w:val="22"/>
                <w:lang w:val="sr-Latn-ME"/>
              </w:rPr>
            </w:pPr>
            <w:r w:rsidRPr="007A69F2">
              <w:rPr>
                <w:b/>
                <w:szCs w:val="22"/>
                <w:lang w:val="sr-Latn-ME"/>
              </w:rPr>
              <w:t>Broj dana s</w:t>
            </w:r>
            <w:r w:rsidR="00DF5240" w:rsidRPr="007A69F2">
              <w:rPr>
                <w:b/>
                <w:szCs w:val="22"/>
                <w:lang w:val="sr-Latn-ME"/>
              </w:rPr>
              <w:t>a</w:t>
            </w:r>
            <w:r w:rsidRPr="007A69F2">
              <w:rPr>
                <w:b/>
                <w:szCs w:val="22"/>
                <w:lang w:val="sr-Latn-ME"/>
              </w:rPr>
              <w:t xml:space="preserve"> migrenom mjesečno </w:t>
            </w:r>
            <w:r w:rsidR="00D04C51" w:rsidRPr="007A69F2">
              <w:rPr>
                <w:b/>
                <w:szCs w:val="22"/>
                <w:lang w:val="sr-Latn-ME"/>
              </w:rPr>
              <w:t>(MMD) tokom 12 </w:t>
            </w:r>
            <w:r w:rsidR="00260573" w:rsidRPr="007A69F2">
              <w:rPr>
                <w:b/>
                <w:szCs w:val="22"/>
                <w:lang w:val="sr-Latn-ME"/>
              </w:rPr>
              <w:t>ned</w:t>
            </w:r>
            <w:r w:rsidR="00175CC9" w:rsidRPr="007A69F2">
              <w:rPr>
                <w:b/>
                <w:szCs w:val="22"/>
                <w:lang w:val="sr-Latn-ME"/>
              </w:rPr>
              <w:t>j</w:t>
            </w:r>
            <w:r w:rsidR="00260573" w:rsidRPr="007A69F2">
              <w:rPr>
                <w:b/>
                <w:szCs w:val="22"/>
                <w:lang w:val="sr-Latn-ME"/>
              </w:rPr>
              <w:t>elja</w:t>
            </w:r>
          </w:p>
        </w:tc>
      </w:tr>
      <w:tr w:rsidR="00BD6090" w:rsidRPr="007A69F2" w14:paraId="38116631" w14:textId="77777777" w:rsidTr="005E64FD">
        <w:tc>
          <w:tcPr>
            <w:tcW w:w="5215" w:type="dxa"/>
            <w:shd w:val="clear" w:color="auto" w:fill="auto"/>
          </w:tcPr>
          <w:p w14:paraId="58EBD4EA" w14:textId="48EE483D" w:rsidR="00DA17AE" w:rsidRPr="007A69F2" w:rsidRDefault="00D04C51" w:rsidP="000B10C0">
            <w:pPr>
              <w:keepNext/>
              <w:keepLines/>
              <w:spacing w:line="240" w:lineRule="auto"/>
              <w:jc w:val="both"/>
              <w:rPr>
                <w:szCs w:val="22"/>
                <w:lang w:val="sr-Latn-ME"/>
              </w:rPr>
            </w:pPr>
            <w:r w:rsidRPr="007A69F2">
              <w:rPr>
                <w:szCs w:val="22"/>
                <w:lang w:val="sr-Latn-ME"/>
              </w:rPr>
              <w:t xml:space="preserve">Početak </w:t>
            </w:r>
            <w:r w:rsidR="000B62AB" w:rsidRPr="007A69F2">
              <w:rPr>
                <w:szCs w:val="22"/>
                <w:lang w:val="sr-Latn-ME"/>
              </w:rPr>
              <w:t>ispitivanja</w:t>
            </w:r>
          </w:p>
        </w:tc>
        <w:tc>
          <w:tcPr>
            <w:tcW w:w="2070" w:type="dxa"/>
            <w:shd w:val="clear" w:color="auto" w:fill="auto"/>
          </w:tcPr>
          <w:p w14:paraId="6A53EC26" w14:textId="77777777" w:rsidR="00DA17AE" w:rsidRPr="007A69F2" w:rsidRDefault="00D04C51" w:rsidP="000B10C0">
            <w:pPr>
              <w:keepNext/>
              <w:keepLines/>
              <w:spacing w:line="240" w:lineRule="auto"/>
              <w:jc w:val="both"/>
              <w:rPr>
                <w:szCs w:val="22"/>
                <w:lang w:val="sr-Latn-ME"/>
              </w:rPr>
            </w:pPr>
            <w:r w:rsidRPr="007A69F2">
              <w:rPr>
                <w:szCs w:val="22"/>
                <w:lang w:val="sr-Latn-ME"/>
              </w:rPr>
              <w:t>7,8</w:t>
            </w:r>
          </w:p>
        </w:tc>
        <w:tc>
          <w:tcPr>
            <w:tcW w:w="1731" w:type="dxa"/>
          </w:tcPr>
          <w:p w14:paraId="30975129" w14:textId="77777777" w:rsidR="00DA17AE" w:rsidRPr="007A69F2" w:rsidRDefault="00D04C51" w:rsidP="000B10C0">
            <w:pPr>
              <w:keepNext/>
              <w:keepLines/>
              <w:spacing w:line="240" w:lineRule="auto"/>
              <w:jc w:val="both"/>
              <w:rPr>
                <w:szCs w:val="22"/>
                <w:lang w:val="sr-Latn-ME"/>
              </w:rPr>
            </w:pPr>
            <w:r w:rsidRPr="007A69F2">
              <w:rPr>
                <w:szCs w:val="22"/>
                <w:lang w:val="sr-Latn-ME"/>
              </w:rPr>
              <w:t>7,5</w:t>
            </w:r>
          </w:p>
        </w:tc>
      </w:tr>
      <w:tr w:rsidR="00BD6090" w:rsidRPr="007A69F2" w14:paraId="73E7A5E0" w14:textId="77777777" w:rsidTr="005E64FD">
        <w:tc>
          <w:tcPr>
            <w:tcW w:w="5215" w:type="dxa"/>
            <w:shd w:val="clear" w:color="auto" w:fill="auto"/>
          </w:tcPr>
          <w:p w14:paraId="0E8A268B" w14:textId="66E300D7" w:rsidR="00DA17AE" w:rsidRPr="007A69F2" w:rsidRDefault="00D04C51" w:rsidP="000B10C0">
            <w:pPr>
              <w:keepNext/>
              <w:keepLines/>
              <w:spacing w:line="240" w:lineRule="auto"/>
              <w:jc w:val="both"/>
              <w:rPr>
                <w:szCs w:val="22"/>
                <w:lang w:val="sr-Latn-ME"/>
              </w:rPr>
            </w:pPr>
            <w:r w:rsidRPr="007A69F2">
              <w:rPr>
                <w:szCs w:val="22"/>
                <w:lang w:val="sr-Latn-ME"/>
              </w:rPr>
              <w:t>Srednja vrijednost promjen</w:t>
            </w:r>
            <w:r w:rsidR="000B62AB" w:rsidRPr="007A69F2">
              <w:rPr>
                <w:szCs w:val="22"/>
                <w:lang w:val="sr-Latn-ME"/>
              </w:rPr>
              <w:t>e u odnosu na</w:t>
            </w:r>
            <w:r w:rsidRPr="007A69F2">
              <w:rPr>
                <w:szCs w:val="22"/>
                <w:lang w:val="sr-Latn-ME"/>
              </w:rPr>
              <w:t xml:space="preserve"> počet</w:t>
            </w:r>
            <w:r w:rsidR="000B62AB" w:rsidRPr="007A69F2">
              <w:rPr>
                <w:szCs w:val="22"/>
                <w:lang w:val="sr-Latn-ME"/>
              </w:rPr>
              <w:t>a</w:t>
            </w:r>
            <w:r w:rsidRPr="007A69F2">
              <w:rPr>
                <w:szCs w:val="22"/>
                <w:lang w:val="sr-Latn-ME"/>
              </w:rPr>
              <w:t xml:space="preserve">k </w:t>
            </w:r>
            <w:r w:rsidR="000B62AB" w:rsidRPr="007A69F2">
              <w:rPr>
                <w:szCs w:val="22"/>
                <w:lang w:val="sr-Latn-ME"/>
              </w:rPr>
              <w:t>ispitivanja</w:t>
            </w:r>
          </w:p>
        </w:tc>
        <w:tc>
          <w:tcPr>
            <w:tcW w:w="2070" w:type="dxa"/>
            <w:shd w:val="clear" w:color="auto" w:fill="auto"/>
          </w:tcPr>
          <w:p w14:paraId="64F55392" w14:textId="77777777" w:rsidR="00DA17AE" w:rsidRPr="007A69F2" w:rsidRDefault="00D04C51" w:rsidP="000B10C0">
            <w:pPr>
              <w:keepNext/>
              <w:keepLines/>
              <w:spacing w:line="240" w:lineRule="auto"/>
              <w:jc w:val="both"/>
              <w:rPr>
                <w:szCs w:val="22"/>
                <w:lang w:val="sr-Latn-ME"/>
              </w:rPr>
            </w:pPr>
            <w:r w:rsidRPr="007A69F2">
              <w:rPr>
                <w:szCs w:val="22"/>
                <w:lang w:val="sr-Latn-ME"/>
              </w:rPr>
              <w:t>-4,1</w:t>
            </w:r>
          </w:p>
        </w:tc>
        <w:tc>
          <w:tcPr>
            <w:tcW w:w="1731" w:type="dxa"/>
          </w:tcPr>
          <w:p w14:paraId="32940745" w14:textId="77777777" w:rsidR="00DA17AE" w:rsidRPr="007A69F2" w:rsidRDefault="00D04C51" w:rsidP="000B10C0">
            <w:pPr>
              <w:keepNext/>
              <w:keepLines/>
              <w:spacing w:line="240" w:lineRule="auto"/>
              <w:jc w:val="both"/>
              <w:rPr>
                <w:szCs w:val="22"/>
                <w:lang w:val="sr-Latn-ME"/>
              </w:rPr>
            </w:pPr>
            <w:r w:rsidRPr="007A69F2">
              <w:rPr>
                <w:szCs w:val="22"/>
                <w:lang w:val="sr-Latn-ME"/>
              </w:rPr>
              <w:t>-2,5</w:t>
            </w:r>
          </w:p>
        </w:tc>
      </w:tr>
      <w:tr w:rsidR="00BD6090" w:rsidRPr="007A69F2" w14:paraId="1167B8A0" w14:textId="77777777" w:rsidTr="005E64FD">
        <w:tc>
          <w:tcPr>
            <w:tcW w:w="5215" w:type="dxa"/>
            <w:shd w:val="clear" w:color="auto" w:fill="auto"/>
          </w:tcPr>
          <w:p w14:paraId="18D36AFA" w14:textId="28D57C31" w:rsidR="00DA17AE" w:rsidRPr="007A69F2" w:rsidRDefault="00D04C51" w:rsidP="000B10C0">
            <w:pPr>
              <w:keepNext/>
              <w:keepLines/>
              <w:spacing w:line="240" w:lineRule="auto"/>
              <w:jc w:val="both"/>
              <w:rPr>
                <w:i/>
                <w:szCs w:val="22"/>
                <w:lang w:val="sr-Latn-ME"/>
              </w:rPr>
            </w:pPr>
            <w:r w:rsidRPr="007A69F2">
              <w:rPr>
                <w:szCs w:val="22"/>
                <w:lang w:val="sr-Latn-ME"/>
              </w:rPr>
              <w:t xml:space="preserve">Razlika </w:t>
            </w:r>
            <w:r w:rsidR="000B62AB" w:rsidRPr="007A69F2">
              <w:rPr>
                <w:szCs w:val="22"/>
                <w:lang w:val="sr-Latn-ME"/>
              </w:rPr>
              <w:t>u odnosu na</w:t>
            </w:r>
            <w:r w:rsidRPr="007A69F2">
              <w:rPr>
                <w:szCs w:val="22"/>
                <w:lang w:val="sr-Latn-ME"/>
              </w:rPr>
              <w:t xml:space="preserve"> </w:t>
            </w:r>
            <w:proofErr w:type="spellStart"/>
            <w:r w:rsidRPr="007A69F2">
              <w:rPr>
                <w:szCs w:val="22"/>
                <w:lang w:val="sr-Latn-ME"/>
              </w:rPr>
              <w:t>placeb</w:t>
            </w:r>
            <w:r w:rsidR="000B62AB" w:rsidRPr="007A69F2">
              <w:rPr>
                <w:szCs w:val="22"/>
                <w:lang w:val="sr-Latn-ME"/>
              </w:rPr>
              <w:t>o</w:t>
            </w:r>
            <w:proofErr w:type="spellEnd"/>
          </w:p>
        </w:tc>
        <w:tc>
          <w:tcPr>
            <w:tcW w:w="2070" w:type="dxa"/>
            <w:shd w:val="clear" w:color="auto" w:fill="auto"/>
          </w:tcPr>
          <w:p w14:paraId="01BBC22E" w14:textId="77777777" w:rsidR="00DA17AE" w:rsidRPr="007A69F2" w:rsidRDefault="00D04C51" w:rsidP="000B10C0">
            <w:pPr>
              <w:keepNext/>
              <w:keepLines/>
              <w:spacing w:line="240" w:lineRule="auto"/>
              <w:jc w:val="both"/>
              <w:rPr>
                <w:szCs w:val="22"/>
                <w:lang w:val="sr-Latn-ME"/>
              </w:rPr>
            </w:pPr>
            <w:r w:rsidRPr="007A69F2">
              <w:rPr>
                <w:szCs w:val="22"/>
                <w:lang w:val="sr-Latn-ME"/>
              </w:rPr>
              <w:t>-1,7</w:t>
            </w:r>
          </w:p>
        </w:tc>
        <w:tc>
          <w:tcPr>
            <w:tcW w:w="1731" w:type="dxa"/>
          </w:tcPr>
          <w:p w14:paraId="1B150B85" w14:textId="77777777" w:rsidR="00DA17AE" w:rsidRPr="007A69F2" w:rsidRDefault="00DA17AE" w:rsidP="000B10C0">
            <w:pPr>
              <w:keepNext/>
              <w:keepLines/>
              <w:spacing w:line="240" w:lineRule="auto"/>
              <w:jc w:val="both"/>
              <w:rPr>
                <w:szCs w:val="22"/>
                <w:lang w:val="sr-Latn-ME"/>
              </w:rPr>
            </w:pPr>
          </w:p>
        </w:tc>
      </w:tr>
      <w:tr w:rsidR="00BD6090" w:rsidRPr="007A69F2" w14:paraId="3ECFF718" w14:textId="77777777" w:rsidTr="005E64FD">
        <w:tc>
          <w:tcPr>
            <w:tcW w:w="5215" w:type="dxa"/>
            <w:shd w:val="clear" w:color="auto" w:fill="auto"/>
          </w:tcPr>
          <w:p w14:paraId="53228B4B" w14:textId="77777777" w:rsidR="00DA17AE" w:rsidRPr="007A69F2" w:rsidRDefault="00D04C51" w:rsidP="000B10C0">
            <w:pPr>
              <w:keepNext/>
              <w:keepLines/>
              <w:spacing w:line="240" w:lineRule="auto"/>
              <w:jc w:val="both"/>
              <w:rPr>
                <w:szCs w:val="22"/>
                <w:lang w:val="sr-Latn-ME"/>
              </w:rPr>
            </w:pPr>
            <w:r w:rsidRPr="007A69F2">
              <w:rPr>
                <w:i/>
                <w:szCs w:val="22"/>
                <w:lang w:val="sr-Latn-ME"/>
              </w:rPr>
              <w:t>p</w:t>
            </w:r>
            <w:r w:rsidRPr="007A69F2">
              <w:rPr>
                <w:szCs w:val="22"/>
                <w:lang w:val="sr-Latn-ME"/>
              </w:rPr>
              <w:t>-vrijednost</w:t>
            </w:r>
          </w:p>
        </w:tc>
        <w:tc>
          <w:tcPr>
            <w:tcW w:w="2070" w:type="dxa"/>
            <w:shd w:val="clear" w:color="auto" w:fill="auto"/>
          </w:tcPr>
          <w:p w14:paraId="6F46ACC9" w14:textId="77777777" w:rsidR="00DA17AE" w:rsidRPr="007A69F2" w:rsidRDefault="00D04C51" w:rsidP="000B10C0">
            <w:pPr>
              <w:keepNext/>
              <w:keepLines/>
              <w:spacing w:line="240" w:lineRule="auto"/>
              <w:jc w:val="both"/>
              <w:rPr>
                <w:szCs w:val="22"/>
                <w:lang w:val="sr-Latn-ME"/>
              </w:rPr>
            </w:pPr>
            <w:r w:rsidRPr="007A69F2">
              <w:rPr>
                <w:szCs w:val="22"/>
                <w:lang w:val="sr-Latn-ME"/>
              </w:rPr>
              <w:t>&lt; 0,001</w:t>
            </w:r>
          </w:p>
        </w:tc>
        <w:tc>
          <w:tcPr>
            <w:tcW w:w="1731" w:type="dxa"/>
          </w:tcPr>
          <w:p w14:paraId="055F947B" w14:textId="77777777" w:rsidR="00DA17AE" w:rsidRPr="007A69F2" w:rsidRDefault="00DA17AE" w:rsidP="000B10C0">
            <w:pPr>
              <w:keepNext/>
              <w:keepLines/>
              <w:spacing w:line="240" w:lineRule="auto"/>
              <w:jc w:val="both"/>
              <w:rPr>
                <w:szCs w:val="22"/>
                <w:lang w:val="sr-Latn-ME"/>
              </w:rPr>
            </w:pPr>
          </w:p>
        </w:tc>
      </w:tr>
      <w:tr w:rsidR="00BD6090" w:rsidRPr="007A69F2" w14:paraId="03BD035C" w14:textId="77777777" w:rsidTr="007520F7">
        <w:tc>
          <w:tcPr>
            <w:tcW w:w="9016" w:type="dxa"/>
            <w:gridSpan w:val="3"/>
            <w:shd w:val="clear" w:color="auto" w:fill="auto"/>
          </w:tcPr>
          <w:p w14:paraId="4B472757" w14:textId="0D5F12B1" w:rsidR="00DA17AE" w:rsidRPr="007A69F2" w:rsidRDefault="000B62AB" w:rsidP="000B10C0">
            <w:pPr>
              <w:keepNext/>
              <w:keepLines/>
              <w:spacing w:line="240" w:lineRule="auto"/>
              <w:jc w:val="both"/>
              <w:rPr>
                <w:b/>
                <w:szCs w:val="22"/>
                <w:lang w:val="sr-Latn-ME"/>
              </w:rPr>
            </w:pPr>
            <w:r w:rsidRPr="007A69F2">
              <w:rPr>
                <w:b/>
                <w:szCs w:val="22"/>
                <w:lang w:val="sr-Latn-ME"/>
              </w:rPr>
              <w:t>Broj dana s</w:t>
            </w:r>
            <w:r w:rsidR="00DF5240" w:rsidRPr="007A69F2">
              <w:rPr>
                <w:b/>
                <w:szCs w:val="22"/>
                <w:lang w:val="sr-Latn-ME"/>
              </w:rPr>
              <w:t>a</w:t>
            </w:r>
            <w:r w:rsidRPr="007A69F2">
              <w:rPr>
                <w:b/>
                <w:szCs w:val="22"/>
                <w:lang w:val="sr-Latn-ME"/>
              </w:rPr>
              <w:t xml:space="preserve"> glavoboljom mjesečno</w:t>
            </w:r>
            <w:r w:rsidR="00D04C51" w:rsidRPr="007A69F2">
              <w:rPr>
                <w:b/>
                <w:szCs w:val="22"/>
                <w:lang w:val="sr-Latn-ME"/>
              </w:rPr>
              <w:t xml:space="preserve"> tokom 12 </w:t>
            </w:r>
            <w:r w:rsidR="00260573" w:rsidRPr="007A69F2">
              <w:rPr>
                <w:b/>
                <w:szCs w:val="22"/>
                <w:lang w:val="sr-Latn-ME"/>
              </w:rPr>
              <w:t>ned</w:t>
            </w:r>
            <w:r w:rsidR="00175CC9" w:rsidRPr="007A69F2">
              <w:rPr>
                <w:b/>
                <w:szCs w:val="22"/>
                <w:lang w:val="sr-Latn-ME"/>
              </w:rPr>
              <w:t>j</w:t>
            </w:r>
            <w:r w:rsidR="00260573" w:rsidRPr="007A69F2">
              <w:rPr>
                <w:b/>
                <w:szCs w:val="22"/>
                <w:lang w:val="sr-Latn-ME"/>
              </w:rPr>
              <w:t>elja</w:t>
            </w:r>
          </w:p>
        </w:tc>
      </w:tr>
      <w:tr w:rsidR="00BD6090" w:rsidRPr="007A69F2" w14:paraId="20C07529" w14:textId="77777777" w:rsidTr="005E64FD">
        <w:tc>
          <w:tcPr>
            <w:tcW w:w="5215" w:type="dxa"/>
            <w:shd w:val="clear" w:color="auto" w:fill="auto"/>
          </w:tcPr>
          <w:p w14:paraId="0536903B" w14:textId="4455DF49" w:rsidR="00DA17AE" w:rsidRPr="007A69F2" w:rsidRDefault="00D04C51" w:rsidP="000B10C0">
            <w:pPr>
              <w:keepNext/>
              <w:keepLines/>
              <w:spacing w:line="240" w:lineRule="auto"/>
              <w:jc w:val="both"/>
              <w:rPr>
                <w:szCs w:val="22"/>
                <w:lang w:val="sr-Latn-ME"/>
              </w:rPr>
            </w:pPr>
            <w:r w:rsidRPr="007A69F2">
              <w:rPr>
                <w:szCs w:val="22"/>
                <w:lang w:val="sr-Latn-ME"/>
              </w:rPr>
              <w:t xml:space="preserve">Početak </w:t>
            </w:r>
            <w:r w:rsidR="000B62AB" w:rsidRPr="007A69F2">
              <w:rPr>
                <w:szCs w:val="22"/>
                <w:lang w:val="sr-Latn-ME"/>
              </w:rPr>
              <w:t>ispitivanja</w:t>
            </w:r>
          </w:p>
        </w:tc>
        <w:tc>
          <w:tcPr>
            <w:tcW w:w="2070" w:type="dxa"/>
            <w:shd w:val="clear" w:color="auto" w:fill="auto"/>
          </w:tcPr>
          <w:p w14:paraId="1947D691" w14:textId="77777777" w:rsidR="00DA17AE" w:rsidRPr="007A69F2" w:rsidRDefault="00D04C51" w:rsidP="000B10C0">
            <w:pPr>
              <w:keepNext/>
              <w:keepLines/>
              <w:spacing w:line="240" w:lineRule="auto"/>
              <w:jc w:val="both"/>
              <w:rPr>
                <w:szCs w:val="22"/>
                <w:lang w:val="sr-Latn-ME"/>
              </w:rPr>
            </w:pPr>
            <w:r w:rsidRPr="007A69F2">
              <w:rPr>
                <w:szCs w:val="22"/>
                <w:lang w:val="sr-Latn-ME"/>
              </w:rPr>
              <w:t>9,0</w:t>
            </w:r>
          </w:p>
        </w:tc>
        <w:tc>
          <w:tcPr>
            <w:tcW w:w="1731" w:type="dxa"/>
          </w:tcPr>
          <w:p w14:paraId="73FF35D0" w14:textId="77777777" w:rsidR="00DA17AE" w:rsidRPr="007A69F2" w:rsidRDefault="00D04C51" w:rsidP="000B10C0">
            <w:pPr>
              <w:keepNext/>
              <w:keepLines/>
              <w:spacing w:line="240" w:lineRule="auto"/>
              <w:jc w:val="both"/>
              <w:rPr>
                <w:szCs w:val="22"/>
                <w:lang w:val="sr-Latn-ME"/>
              </w:rPr>
            </w:pPr>
            <w:r w:rsidRPr="007A69F2">
              <w:rPr>
                <w:szCs w:val="22"/>
                <w:lang w:val="sr-Latn-ME"/>
              </w:rPr>
              <w:t>8,5</w:t>
            </w:r>
          </w:p>
        </w:tc>
      </w:tr>
      <w:tr w:rsidR="00BD6090" w:rsidRPr="007A69F2" w14:paraId="0D5A803F" w14:textId="77777777" w:rsidTr="005E64FD">
        <w:tc>
          <w:tcPr>
            <w:tcW w:w="5215" w:type="dxa"/>
            <w:shd w:val="clear" w:color="auto" w:fill="auto"/>
          </w:tcPr>
          <w:p w14:paraId="125B5E78" w14:textId="583A467B" w:rsidR="00DA17AE" w:rsidRPr="007A69F2" w:rsidRDefault="00D04C51" w:rsidP="000B10C0">
            <w:pPr>
              <w:keepNext/>
              <w:keepLines/>
              <w:spacing w:line="240" w:lineRule="auto"/>
              <w:jc w:val="both"/>
              <w:rPr>
                <w:szCs w:val="22"/>
                <w:lang w:val="sr-Latn-ME"/>
              </w:rPr>
            </w:pPr>
            <w:r w:rsidRPr="007A69F2">
              <w:rPr>
                <w:szCs w:val="22"/>
                <w:lang w:val="sr-Latn-ME"/>
              </w:rPr>
              <w:t>Srednja vrijednost</w:t>
            </w:r>
            <w:r w:rsidR="000B62AB" w:rsidRPr="007A69F2">
              <w:rPr>
                <w:szCs w:val="22"/>
                <w:lang w:val="sr-Latn-ME"/>
              </w:rPr>
              <w:t xml:space="preserve"> promjene u odnosu na početak ispitivanja</w:t>
            </w:r>
          </w:p>
        </w:tc>
        <w:tc>
          <w:tcPr>
            <w:tcW w:w="2070" w:type="dxa"/>
            <w:shd w:val="clear" w:color="auto" w:fill="auto"/>
          </w:tcPr>
          <w:p w14:paraId="5643DA63" w14:textId="77777777" w:rsidR="00DA17AE" w:rsidRPr="007A69F2" w:rsidRDefault="00D04C51" w:rsidP="000B10C0">
            <w:pPr>
              <w:keepNext/>
              <w:keepLines/>
              <w:spacing w:line="240" w:lineRule="auto"/>
              <w:jc w:val="both"/>
              <w:rPr>
                <w:szCs w:val="22"/>
                <w:lang w:val="sr-Latn-ME"/>
              </w:rPr>
            </w:pPr>
            <w:r w:rsidRPr="007A69F2">
              <w:rPr>
                <w:szCs w:val="22"/>
                <w:lang w:val="sr-Latn-ME"/>
              </w:rPr>
              <w:t>-4,2</w:t>
            </w:r>
          </w:p>
        </w:tc>
        <w:tc>
          <w:tcPr>
            <w:tcW w:w="1731" w:type="dxa"/>
          </w:tcPr>
          <w:p w14:paraId="041DFC08" w14:textId="77777777" w:rsidR="00DA17AE" w:rsidRPr="007A69F2" w:rsidRDefault="00D04C51" w:rsidP="000B10C0">
            <w:pPr>
              <w:keepNext/>
              <w:keepLines/>
              <w:spacing w:line="240" w:lineRule="auto"/>
              <w:jc w:val="both"/>
              <w:rPr>
                <w:szCs w:val="22"/>
                <w:lang w:val="sr-Latn-ME"/>
              </w:rPr>
            </w:pPr>
            <w:r w:rsidRPr="007A69F2">
              <w:rPr>
                <w:szCs w:val="22"/>
                <w:lang w:val="sr-Latn-ME"/>
              </w:rPr>
              <w:t>-2,5</w:t>
            </w:r>
          </w:p>
        </w:tc>
      </w:tr>
      <w:tr w:rsidR="00BD6090" w:rsidRPr="007A69F2" w14:paraId="62ACC1F8" w14:textId="77777777" w:rsidTr="005E64FD">
        <w:tc>
          <w:tcPr>
            <w:tcW w:w="5215" w:type="dxa"/>
            <w:shd w:val="clear" w:color="auto" w:fill="auto"/>
          </w:tcPr>
          <w:p w14:paraId="63F6B359" w14:textId="29870B21" w:rsidR="00DA17AE" w:rsidRPr="007A69F2" w:rsidRDefault="00D04C51" w:rsidP="000B10C0">
            <w:pPr>
              <w:keepNext/>
              <w:keepLines/>
              <w:spacing w:line="240" w:lineRule="auto"/>
              <w:jc w:val="both"/>
              <w:rPr>
                <w:i/>
                <w:szCs w:val="22"/>
                <w:lang w:val="sr-Latn-ME"/>
              </w:rPr>
            </w:pPr>
            <w:r w:rsidRPr="007A69F2">
              <w:rPr>
                <w:szCs w:val="22"/>
                <w:lang w:val="sr-Latn-ME"/>
              </w:rPr>
              <w:t xml:space="preserve">Razlika </w:t>
            </w:r>
            <w:r w:rsidR="000B62AB" w:rsidRPr="007A69F2">
              <w:rPr>
                <w:szCs w:val="22"/>
                <w:lang w:val="sr-Latn-ME"/>
              </w:rPr>
              <w:t xml:space="preserve">u odnosu na </w:t>
            </w:r>
            <w:proofErr w:type="spellStart"/>
            <w:r w:rsidR="000B62AB" w:rsidRPr="007A69F2">
              <w:rPr>
                <w:szCs w:val="22"/>
                <w:lang w:val="sr-Latn-ME"/>
              </w:rPr>
              <w:t>placebo</w:t>
            </w:r>
            <w:proofErr w:type="spellEnd"/>
          </w:p>
        </w:tc>
        <w:tc>
          <w:tcPr>
            <w:tcW w:w="2070" w:type="dxa"/>
            <w:shd w:val="clear" w:color="auto" w:fill="auto"/>
          </w:tcPr>
          <w:p w14:paraId="0A4B3B98" w14:textId="77777777" w:rsidR="00DA17AE" w:rsidRPr="007A69F2" w:rsidRDefault="00D04C51" w:rsidP="000B10C0">
            <w:pPr>
              <w:keepNext/>
              <w:keepLines/>
              <w:spacing w:line="240" w:lineRule="auto"/>
              <w:jc w:val="both"/>
              <w:rPr>
                <w:szCs w:val="22"/>
                <w:lang w:val="sr-Latn-ME"/>
              </w:rPr>
            </w:pPr>
            <w:r w:rsidRPr="007A69F2">
              <w:rPr>
                <w:szCs w:val="22"/>
                <w:lang w:val="sr-Latn-ME"/>
              </w:rPr>
              <w:t>-1,7</w:t>
            </w:r>
          </w:p>
        </w:tc>
        <w:tc>
          <w:tcPr>
            <w:tcW w:w="1731" w:type="dxa"/>
          </w:tcPr>
          <w:p w14:paraId="0339FD08" w14:textId="77777777" w:rsidR="00DA17AE" w:rsidRPr="007A69F2" w:rsidRDefault="00DA17AE" w:rsidP="000B10C0">
            <w:pPr>
              <w:keepNext/>
              <w:keepLines/>
              <w:spacing w:line="240" w:lineRule="auto"/>
              <w:jc w:val="both"/>
              <w:rPr>
                <w:szCs w:val="22"/>
                <w:lang w:val="sr-Latn-ME"/>
              </w:rPr>
            </w:pPr>
          </w:p>
        </w:tc>
      </w:tr>
      <w:tr w:rsidR="00BD6090" w:rsidRPr="007A69F2" w14:paraId="20147117" w14:textId="77777777" w:rsidTr="005E64FD">
        <w:tc>
          <w:tcPr>
            <w:tcW w:w="5215" w:type="dxa"/>
            <w:shd w:val="clear" w:color="auto" w:fill="auto"/>
          </w:tcPr>
          <w:p w14:paraId="189A2B6E" w14:textId="77777777" w:rsidR="00DA17AE" w:rsidRPr="007A69F2" w:rsidRDefault="00D04C51" w:rsidP="000B10C0">
            <w:pPr>
              <w:keepNext/>
              <w:keepLines/>
              <w:spacing w:line="240" w:lineRule="auto"/>
              <w:jc w:val="both"/>
              <w:rPr>
                <w:szCs w:val="22"/>
                <w:lang w:val="sr-Latn-ME"/>
              </w:rPr>
            </w:pPr>
            <w:r w:rsidRPr="007A69F2">
              <w:rPr>
                <w:i/>
                <w:szCs w:val="22"/>
                <w:lang w:val="sr-Latn-ME"/>
              </w:rPr>
              <w:t>p</w:t>
            </w:r>
            <w:r w:rsidRPr="007A69F2">
              <w:rPr>
                <w:szCs w:val="22"/>
                <w:lang w:val="sr-Latn-ME"/>
              </w:rPr>
              <w:t>-vrijednost</w:t>
            </w:r>
          </w:p>
        </w:tc>
        <w:tc>
          <w:tcPr>
            <w:tcW w:w="2070" w:type="dxa"/>
            <w:shd w:val="clear" w:color="auto" w:fill="auto"/>
          </w:tcPr>
          <w:p w14:paraId="6D80C764" w14:textId="77777777" w:rsidR="00DA17AE" w:rsidRPr="007A69F2" w:rsidRDefault="00D04C51" w:rsidP="000B10C0">
            <w:pPr>
              <w:keepNext/>
              <w:keepLines/>
              <w:spacing w:line="240" w:lineRule="auto"/>
              <w:jc w:val="both"/>
              <w:rPr>
                <w:szCs w:val="22"/>
                <w:lang w:val="sr-Latn-ME"/>
              </w:rPr>
            </w:pPr>
            <w:r w:rsidRPr="007A69F2">
              <w:rPr>
                <w:szCs w:val="22"/>
                <w:lang w:val="sr-Latn-ME"/>
              </w:rPr>
              <w:t>&lt; 0,001</w:t>
            </w:r>
          </w:p>
        </w:tc>
        <w:tc>
          <w:tcPr>
            <w:tcW w:w="1731" w:type="dxa"/>
          </w:tcPr>
          <w:p w14:paraId="006E3C85" w14:textId="77777777" w:rsidR="00DA17AE" w:rsidRPr="007A69F2" w:rsidRDefault="00DA17AE" w:rsidP="000B10C0">
            <w:pPr>
              <w:keepNext/>
              <w:keepLines/>
              <w:spacing w:line="240" w:lineRule="auto"/>
              <w:jc w:val="both"/>
              <w:rPr>
                <w:szCs w:val="22"/>
                <w:lang w:val="sr-Latn-ME"/>
              </w:rPr>
            </w:pPr>
          </w:p>
        </w:tc>
      </w:tr>
      <w:tr w:rsidR="00BD6090" w:rsidRPr="007A69F2" w14:paraId="707CDEF3" w14:textId="77777777" w:rsidTr="007520F7">
        <w:tc>
          <w:tcPr>
            <w:tcW w:w="9016" w:type="dxa"/>
            <w:gridSpan w:val="3"/>
            <w:shd w:val="clear" w:color="auto" w:fill="auto"/>
          </w:tcPr>
          <w:p w14:paraId="4B4350BA" w14:textId="03086028" w:rsidR="00DA17AE" w:rsidRPr="007A69F2" w:rsidRDefault="000B62AB" w:rsidP="000B10C0">
            <w:pPr>
              <w:keepNext/>
              <w:keepLines/>
              <w:spacing w:line="240" w:lineRule="auto"/>
              <w:jc w:val="both"/>
              <w:rPr>
                <w:b/>
                <w:szCs w:val="22"/>
                <w:lang w:val="sr-Latn-ME"/>
              </w:rPr>
            </w:pPr>
            <w:r w:rsidRPr="007A69F2">
              <w:rPr>
                <w:b/>
                <w:szCs w:val="22"/>
                <w:lang w:val="sr-Latn-ME"/>
              </w:rPr>
              <w:t>Broj dana uzimanja akutne terapije mjesečno</w:t>
            </w:r>
            <w:r w:rsidR="00D04C51" w:rsidRPr="007A69F2">
              <w:rPr>
                <w:b/>
                <w:szCs w:val="22"/>
                <w:lang w:val="sr-Latn-ME"/>
              </w:rPr>
              <w:t xml:space="preserve"> tokom 12 </w:t>
            </w:r>
            <w:r w:rsidR="00260573" w:rsidRPr="007A69F2">
              <w:rPr>
                <w:b/>
                <w:szCs w:val="22"/>
                <w:lang w:val="sr-Latn-ME"/>
              </w:rPr>
              <w:t>ned</w:t>
            </w:r>
            <w:r w:rsidR="00175CC9" w:rsidRPr="007A69F2">
              <w:rPr>
                <w:b/>
                <w:szCs w:val="22"/>
                <w:lang w:val="sr-Latn-ME"/>
              </w:rPr>
              <w:t>j</w:t>
            </w:r>
            <w:r w:rsidR="00260573" w:rsidRPr="007A69F2">
              <w:rPr>
                <w:b/>
                <w:szCs w:val="22"/>
                <w:lang w:val="sr-Latn-ME"/>
              </w:rPr>
              <w:t>elja</w:t>
            </w:r>
          </w:p>
        </w:tc>
      </w:tr>
      <w:tr w:rsidR="00BD6090" w:rsidRPr="007A69F2" w14:paraId="18260EA6" w14:textId="77777777" w:rsidTr="005E64FD">
        <w:tc>
          <w:tcPr>
            <w:tcW w:w="5215" w:type="dxa"/>
            <w:shd w:val="clear" w:color="auto" w:fill="auto"/>
          </w:tcPr>
          <w:p w14:paraId="0181FDAD" w14:textId="65D3710D" w:rsidR="00DA17AE" w:rsidRPr="007A69F2" w:rsidRDefault="00D04C51" w:rsidP="000B10C0">
            <w:pPr>
              <w:keepNext/>
              <w:keepLines/>
              <w:spacing w:line="240" w:lineRule="auto"/>
              <w:jc w:val="both"/>
              <w:rPr>
                <w:szCs w:val="22"/>
                <w:lang w:val="sr-Latn-ME"/>
              </w:rPr>
            </w:pPr>
            <w:r w:rsidRPr="007A69F2">
              <w:rPr>
                <w:szCs w:val="22"/>
                <w:lang w:val="sr-Latn-ME"/>
              </w:rPr>
              <w:t>Početak</w:t>
            </w:r>
            <w:r w:rsidR="000B62AB" w:rsidRPr="007A69F2">
              <w:rPr>
                <w:szCs w:val="22"/>
                <w:lang w:val="sr-Latn-ME"/>
              </w:rPr>
              <w:t xml:space="preserve"> ispitivanja</w:t>
            </w:r>
          </w:p>
        </w:tc>
        <w:tc>
          <w:tcPr>
            <w:tcW w:w="2070" w:type="dxa"/>
            <w:shd w:val="clear" w:color="auto" w:fill="auto"/>
          </w:tcPr>
          <w:p w14:paraId="72ED90D0" w14:textId="77777777" w:rsidR="00DA17AE" w:rsidRPr="007A69F2" w:rsidRDefault="00D04C51" w:rsidP="000B10C0">
            <w:pPr>
              <w:keepNext/>
              <w:keepLines/>
              <w:spacing w:line="240" w:lineRule="auto"/>
              <w:jc w:val="both"/>
              <w:rPr>
                <w:szCs w:val="22"/>
                <w:lang w:val="sr-Latn-ME"/>
              </w:rPr>
            </w:pPr>
            <w:r w:rsidRPr="007A69F2">
              <w:rPr>
                <w:szCs w:val="22"/>
                <w:lang w:val="sr-Latn-ME"/>
              </w:rPr>
              <w:t>6,9</w:t>
            </w:r>
          </w:p>
        </w:tc>
        <w:tc>
          <w:tcPr>
            <w:tcW w:w="1731" w:type="dxa"/>
          </w:tcPr>
          <w:p w14:paraId="1ED979E5" w14:textId="77777777" w:rsidR="00DA17AE" w:rsidRPr="007A69F2" w:rsidRDefault="00D04C51" w:rsidP="000B10C0">
            <w:pPr>
              <w:keepNext/>
              <w:keepLines/>
              <w:spacing w:line="240" w:lineRule="auto"/>
              <w:jc w:val="both"/>
              <w:rPr>
                <w:szCs w:val="22"/>
                <w:lang w:val="sr-Latn-ME"/>
              </w:rPr>
            </w:pPr>
            <w:r w:rsidRPr="007A69F2">
              <w:rPr>
                <w:szCs w:val="22"/>
                <w:lang w:val="sr-Latn-ME"/>
              </w:rPr>
              <w:t>6,5</w:t>
            </w:r>
          </w:p>
        </w:tc>
      </w:tr>
      <w:tr w:rsidR="00BD6090" w:rsidRPr="007A69F2" w14:paraId="71947F9F" w14:textId="77777777" w:rsidTr="005E64FD">
        <w:tc>
          <w:tcPr>
            <w:tcW w:w="5215" w:type="dxa"/>
            <w:shd w:val="clear" w:color="auto" w:fill="auto"/>
          </w:tcPr>
          <w:p w14:paraId="070CC296" w14:textId="3D98F30F" w:rsidR="00DA17AE" w:rsidRPr="007A69F2" w:rsidRDefault="00D04C51" w:rsidP="000B10C0">
            <w:pPr>
              <w:keepNext/>
              <w:keepLines/>
              <w:spacing w:line="240" w:lineRule="auto"/>
              <w:jc w:val="both"/>
              <w:rPr>
                <w:szCs w:val="22"/>
                <w:lang w:val="sr-Latn-ME"/>
              </w:rPr>
            </w:pPr>
            <w:r w:rsidRPr="007A69F2">
              <w:rPr>
                <w:szCs w:val="22"/>
                <w:lang w:val="sr-Latn-ME"/>
              </w:rPr>
              <w:t>Srednja vrijednost</w:t>
            </w:r>
            <w:r w:rsidR="000B62AB" w:rsidRPr="007A69F2">
              <w:rPr>
                <w:szCs w:val="22"/>
                <w:lang w:val="sr-Latn-ME"/>
              </w:rPr>
              <w:t xml:space="preserve"> promjene u odnosu na početak ispitivanja</w:t>
            </w:r>
          </w:p>
        </w:tc>
        <w:tc>
          <w:tcPr>
            <w:tcW w:w="2070" w:type="dxa"/>
            <w:shd w:val="clear" w:color="auto" w:fill="auto"/>
          </w:tcPr>
          <w:p w14:paraId="0F91A486" w14:textId="77777777" w:rsidR="00DA17AE" w:rsidRPr="007A69F2" w:rsidRDefault="00D04C51" w:rsidP="000B10C0">
            <w:pPr>
              <w:keepNext/>
              <w:keepLines/>
              <w:spacing w:line="240" w:lineRule="auto"/>
              <w:jc w:val="both"/>
              <w:rPr>
                <w:szCs w:val="22"/>
                <w:lang w:val="sr-Latn-ME"/>
              </w:rPr>
            </w:pPr>
            <w:r w:rsidRPr="007A69F2">
              <w:rPr>
                <w:szCs w:val="22"/>
                <w:lang w:val="sr-Latn-ME"/>
              </w:rPr>
              <w:t>-3,8</w:t>
            </w:r>
          </w:p>
        </w:tc>
        <w:tc>
          <w:tcPr>
            <w:tcW w:w="1731" w:type="dxa"/>
          </w:tcPr>
          <w:p w14:paraId="61616CB6" w14:textId="77777777" w:rsidR="00DA17AE" w:rsidRPr="007A69F2" w:rsidRDefault="00D04C51" w:rsidP="000B10C0">
            <w:pPr>
              <w:keepNext/>
              <w:keepLines/>
              <w:spacing w:line="240" w:lineRule="auto"/>
              <w:jc w:val="both"/>
              <w:rPr>
                <w:szCs w:val="22"/>
                <w:lang w:val="sr-Latn-ME"/>
              </w:rPr>
            </w:pPr>
            <w:r w:rsidRPr="007A69F2">
              <w:rPr>
                <w:szCs w:val="22"/>
                <w:lang w:val="sr-Latn-ME"/>
              </w:rPr>
              <w:t>-2,3</w:t>
            </w:r>
          </w:p>
        </w:tc>
      </w:tr>
      <w:tr w:rsidR="00BD6090" w:rsidRPr="007A69F2" w14:paraId="2C303C4B" w14:textId="77777777" w:rsidTr="005E64FD">
        <w:tc>
          <w:tcPr>
            <w:tcW w:w="5215" w:type="dxa"/>
            <w:shd w:val="clear" w:color="auto" w:fill="auto"/>
          </w:tcPr>
          <w:p w14:paraId="68F0DA1D" w14:textId="677F8503" w:rsidR="00DA17AE" w:rsidRPr="007A69F2" w:rsidRDefault="00D04C51" w:rsidP="000B10C0">
            <w:pPr>
              <w:keepNext/>
              <w:keepLines/>
              <w:spacing w:line="240" w:lineRule="auto"/>
              <w:jc w:val="both"/>
              <w:rPr>
                <w:i/>
                <w:szCs w:val="22"/>
                <w:lang w:val="sr-Latn-ME"/>
              </w:rPr>
            </w:pPr>
            <w:r w:rsidRPr="007A69F2">
              <w:rPr>
                <w:szCs w:val="22"/>
                <w:lang w:val="sr-Latn-ME"/>
              </w:rPr>
              <w:t xml:space="preserve">Razlika </w:t>
            </w:r>
            <w:r w:rsidR="000B62AB" w:rsidRPr="007A69F2">
              <w:rPr>
                <w:szCs w:val="22"/>
                <w:lang w:val="sr-Latn-ME"/>
              </w:rPr>
              <w:t xml:space="preserve">u odnosu na </w:t>
            </w:r>
            <w:proofErr w:type="spellStart"/>
            <w:r w:rsidR="000B62AB" w:rsidRPr="007A69F2">
              <w:rPr>
                <w:szCs w:val="22"/>
                <w:lang w:val="sr-Latn-ME"/>
              </w:rPr>
              <w:t>placebo</w:t>
            </w:r>
            <w:proofErr w:type="spellEnd"/>
          </w:p>
        </w:tc>
        <w:tc>
          <w:tcPr>
            <w:tcW w:w="2070" w:type="dxa"/>
            <w:shd w:val="clear" w:color="auto" w:fill="auto"/>
          </w:tcPr>
          <w:p w14:paraId="7AEC8557" w14:textId="77777777" w:rsidR="00DA17AE" w:rsidRPr="007A69F2" w:rsidRDefault="00D04C51" w:rsidP="000B10C0">
            <w:pPr>
              <w:keepNext/>
              <w:keepLines/>
              <w:spacing w:line="240" w:lineRule="auto"/>
              <w:jc w:val="both"/>
              <w:rPr>
                <w:szCs w:val="22"/>
                <w:lang w:val="sr-Latn-ME"/>
              </w:rPr>
            </w:pPr>
            <w:r w:rsidRPr="007A69F2">
              <w:rPr>
                <w:szCs w:val="22"/>
                <w:lang w:val="sr-Latn-ME"/>
              </w:rPr>
              <w:t>-1,4</w:t>
            </w:r>
          </w:p>
        </w:tc>
        <w:tc>
          <w:tcPr>
            <w:tcW w:w="1731" w:type="dxa"/>
          </w:tcPr>
          <w:p w14:paraId="5EC44FA4" w14:textId="77777777" w:rsidR="00DA17AE" w:rsidRPr="007A69F2" w:rsidRDefault="00DA17AE" w:rsidP="000B10C0">
            <w:pPr>
              <w:keepNext/>
              <w:keepLines/>
              <w:spacing w:line="240" w:lineRule="auto"/>
              <w:jc w:val="both"/>
              <w:rPr>
                <w:szCs w:val="22"/>
                <w:lang w:val="sr-Latn-ME"/>
              </w:rPr>
            </w:pPr>
          </w:p>
        </w:tc>
      </w:tr>
      <w:tr w:rsidR="00BD6090" w:rsidRPr="007A69F2" w14:paraId="7D42C851" w14:textId="77777777" w:rsidTr="005E64FD">
        <w:tc>
          <w:tcPr>
            <w:tcW w:w="5215" w:type="dxa"/>
            <w:shd w:val="clear" w:color="auto" w:fill="auto"/>
          </w:tcPr>
          <w:p w14:paraId="5185CA6F" w14:textId="77777777" w:rsidR="00DA17AE" w:rsidRPr="007A69F2" w:rsidRDefault="00D04C51" w:rsidP="000B10C0">
            <w:pPr>
              <w:keepNext/>
              <w:keepLines/>
              <w:spacing w:line="240" w:lineRule="auto"/>
              <w:jc w:val="both"/>
              <w:rPr>
                <w:szCs w:val="22"/>
                <w:lang w:val="sr-Latn-ME"/>
              </w:rPr>
            </w:pPr>
            <w:r w:rsidRPr="007A69F2">
              <w:rPr>
                <w:i/>
                <w:szCs w:val="22"/>
                <w:lang w:val="sr-Latn-ME"/>
              </w:rPr>
              <w:t>p</w:t>
            </w:r>
            <w:r w:rsidRPr="007A69F2">
              <w:rPr>
                <w:szCs w:val="22"/>
                <w:lang w:val="sr-Latn-ME"/>
              </w:rPr>
              <w:t>-vrijednost</w:t>
            </w:r>
          </w:p>
        </w:tc>
        <w:tc>
          <w:tcPr>
            <w:tcW w:w="2070" w:type="dxa"/>
            <w:shd w:val="clear" w:color="auto" w:fill="auto"/>
          </w:tcPr>
          <w:p w14:paraId="14B3DF37" w14:textId="77777777" w:rsidR="00DA17AE" w:rsidRPr="007A69F2" w:rsidRDefault="00D04C51" w:rsidP="000B10C0">
            <w:pPr>
              <w:keepNext/>
              <w:keepLines/>
              <w:spacing w:line="240" w:lineRule="auto"/>
              <w:jc w:val="both"/>
              <w:rPr>
                <w:szCs w:val="22"/>
                <w:lang w:val="sr-Latn-ME"/>
              </w:rPr>
            </w:pPr>
            <w:r w:rsidRPr="007A69F2">
              <w:rPr>
                <w:szCs w:val="22"/>
                <w:lang w:val="sr-Latn-ME"/>
              </w:rPr>
              <w:t>&lt; 0,001</w:t>
            </w:r>
          </w:p>
        </w:tc>
        <w:tc>
          <w:tcPr>
            <w:tcW w:w="1731" w:type="dxa"/>
          </w:tcPr>
          <w:p w14:paraId="5387011E" w14:textId="77777777" w:rsidR="00DA17AE" w:rsidRPr="007A69F2" w:rsidRDefault="00DA17AE" w:rsidP="000B10C0">
            <w:pPr>
              <w:keepNext/>
              <w:keepLines/>
              <w:spacing w:line="240" w:lineRule="auto"/>
              <w:jc w:val="both"/>
              <w:rPr>
                <w:szCs w:val="22"/>
                <w:lang w:val="sr-Latn-ME"/>
              </w:rPr>
            </w:pPr>
          </w:p>
        </w:tc>
      </w:tr>
      <w:tr w:rsidR="00BD6090" w:rsidRPr="007A69F2" w14:paraId="0C9B5C4E" w14:textId="77777777" w:rsidTr="007520F7">
        <w:tc>
          <w:tcPr>
            <w:tcW w:w="9016" w:type="dxa"/>
            <w:gridSpan w:val="3"/>
            <w:shd w:val="clear" w:color="auto" w:fill="auto"/>
          </w:tcPr>
          <w:p w14:paraId="060BC543" w14:textId="34A1A596" w:rsidR="00DA17AE" w:rsidRPr="007A69F2" w:rsidRDefault="00D04C51" w:rsidP="000B10C0">
            <w:pPr>
              <w:keepNext/>
              <w:keepLines/>
              <w:spacing w:line="240" w:lineRule="auto"/>
              <w:jc w:val="both"/>
              <w:rPr>
                <w:b/>
                <w:szCs w:val="22"/>
                <w:lang w:val="sr-Latn-ME"/>
              </w:rPr>
            </w:pPr>
            <w:r w:rsidRPr="007A69F2">
              <w:rPr>
                <w:b/>
                <w:szCs w:val="22"/>
                <w:lang w:val="sr-Latn-ME"/>
              </w:rPr>
              <w:t xml:space="preserve">≥ 50% </w:t>
            </w:r>
            <w:r w:rsidR="000B62AB" w:rsidRPr="007A69F2">
              <w:rPr>
                <w:b/>
                <w:szCs w:val="22"/>
                <w:lang w:val="sr-Latn-ME"/>
              </w:rPr>
              <w:t xml:space="preserve">odgovor u </w:t>
            </w:r>
            <w:r w:rsidRPr="007A69F2">
              <w:rPr>
                <w:b/>
                <w:szCs w:val="22"/>
                <w:lang w:val="sr-Latn-ME"/>
              </w:rPr>
              <w:t>MMD tokom 12 </w:t>
            </w:r>
            <w:r w:rsidR="00260573" w:rsidRPr="007A69F2">
              <w:rPr>
                <w:b/>
                <w:szCs w:val="22"/>
                <w:lang w:val="sr-Latn-ME"/>
              </w:rPr>
              <w:t>ned</w:t>
            </w:r>
            <w:r w:rsidR="00175CC9" w:rsidRPr="007A69F2">
              <w:rPr>
                <w:b/>
                <w:szCs w:val="22"/>
                <w:lang w:val="sr-Latn-ME"/>
              </w:rPr>
              <w:t>j</w:t>
            </w:r>
            <w:r w:rsidR="00260573" w:rsidRPr="007A69F2">
              <w:rPr>
                <w:b/>
                <w:szCs w:val="22"/>
                <w:lang w:val="sr-Latn-ME"/>
              </w:rPr>
              <w:t>elja</w:t>
            </w:r>
          </w:p>
        </w:tc>
      </w:tr>
      <w:tr w:rsidR="00BD6090" w:rsidRPr="007A69F2" w14:paraId="6B8D2CBE" w14:textId="77777777" w:rsidTr="005E64FD">
        <w:tc>
          <w:tcPr>
            <w:tcW w:w="5215" w:type="dxa"/>
            <w:shd w:val="clear" w:color="auto" w:fill="auto"/>
          </w:tcPr>
          <w:p w14:paraId="3F30E252" w14:textId="41757442" w:rsidR="00DA17AE" w:rsidRPr="007A69F2" w:rsidRDefault="00D04C51" w:rsidP="000B10C0">
            <w:pPr>
              <w:keepNext/>
              <w:keepLines/>
              <w:spacing w:line="240" w:lineRule="auto"/>
              <w:jc w:val="both"/>
              <w:rPr>
                <w:szCs w:val="22"/>
                <w:lang w:val="sr-Latn-ME"/>
              </w:rPr>
            </w:pPr>
            <w:r w:rsidRPr="007A69F2">
              <w:rPr>
                <w:szCs w:val="22"/>
                <w:lang w:val="sr-Latn-ME"/>
              </w:rPr>
              <w:t xml:space="preserve">% </w:t>
            </w:r>
            <w:r w:rsidR="000B62AB" w:rsidRPr="007A69F2">
              <w:rPr>
                <w:szCs w:val="22"/>
                <w:lang w:val="sr-Latn-ME"/>
              </w:rPr>
              <w:t>ispitanika s odgovorom</w:t>
            </w:r>
          </w:p>
        </w:tc>
        <w:tc>
          <w:tcPr>
            <w:tcW w:w="2070" w:type="dxa"/>
            <w:shd w:val="clear" w:color="auto" w:fill="auto"/>
          </w:tcPr>
          <w:p w14:paraId="5167304A" w14:textId="77777777" w:rsidR="00DA17AE" w:rsidRPr="007A69F2" w:rsidRDefault="00D04C51" w:rsidP="000B10C0">
            <w:pPr>
              <w:keepNext/>
              <w:keepLines/>
              <w:spacing w:line="240" w:lineRule="auto"/>
              <w:jc w:val="both"/>
              <w:rPr>
                <w:szCs w:val="22"/>
                <w:lang w:val="sr-Latn-ME"/>
              </w:rPr>
            </w:pPr>
            <w:r w:rsidRPr="007A69F2">
              <w:rPr>
                <w:szCs w:val="22"/>
                <w:lang w:val="sr-Latn-ME"/>
              </w:rPr>
              <w:t>59</w:t>
            </w:r>
          </w:p>
        </w:tc>
        <w:tc>
          <w:tcPr>
            <w:tcW w:w="1731" w:type="dxa"/>
          </w:tcPr>
          <w:p w14:paraId="7EB4722D" w14:textId="77777777" w:rsidR="00DA17AE" w:rsidRPr="007A69F2" w:rsidRDefault="00D04C51" w:rsidP="000B10C0">
            <w:pPr>
              <w:keepNext/>
              <w:keepLines/>
              <w:spacing w:line="240" w:lineRule="auto"/>
              <w:jc w:val="both"/>
              <w:rPr>
                <w:szCs w:val="22"/>
                <w:lang w:val="sr-Latn-ME"/>
              </w:rPr>
            </w:pPr>
            <w:r w:rsidRPr="007A69F2">
              <w:rPr>
                <w:szCs w:val="22"/>
                <w:lang w:val="sr-Latn-ME"/>
              </w:rPr>
              <w:t>29</w:t>
            </w:r>
          </w:p>
        </w:tc>
      </w:tr>
      <w:tr w:rsidR="00BD6090" w:rsidRPr="007A69F2" w14:paraId="2EC4FB92" w14:textId="77777777" w:rsidTr="005E64FD">
        <w:tc>
          <w:tcPr>
            <w:tcW w:w="5215" w:type="dxa"/>
            <w:shd w:val="clear" w:color="auto" w:fill="auto"/>
          </w:tcPr>
          <w:p w14:paraId="21FA73BB" w14:textId="6725CB8A" w:rsidR="00DA17AE" w:rsidRPr="007A69F2" w:rsidRDefault="008F3F19" w:rsidP="000B10C0">
            <w:pPr>
              <w:keepNext/>
              <w:keepLines/>
              <w:spacing w:line="240" w:lineRule="auto"/>
              <w:jc w:val="both"/>
              <w:rPr>
                <w:i/>
                <w:szCs w:val="22"/>
                <w:lang w:val="sr-Latn-ME"/>
              </w:rPr>
            </w:pPr>
            <w:r w:rsidRPr="007A69F2">
              <w:rPr>
                <w:szCs w:val="22"/>
                <w:lang w:val="sr-Latn-ME"/>
              </w:rPr>
              <w:t xml:space="preserve">Odnos </w:t>
            </w:r>
            <w:r w:rsidR="00D04C51" w:rsidRPr="007A69F2">
              <w:rPr>
                <w:szCs w:val="22"/>
                <w:lang w:val="sr-Latn-ME"/>
              </w:rPr>
              <w:t>izgleda (95% CI)</w:t>
            </w:r>
          </w:p>
        </w:tc>
        <w:tc>
          <w:tcPr>
            <w:tcW w:w="2070" w:type="dxa"/>
            <w:shd w:val="clear" w:color="auto" w:fill="auto"/>
          </w:tcPr>
          <w:p w14:paraId="20368668" w14:textId="77777777" w:rsidR="00DA17AE" w:rsidRPr="007A69F2" w:rsidRDefault="00D04C51" w:rsidP="000B10C0">
            <w:pPr>
              <w:keepNext/>
              <w:keepLines/>
              <w:spacing w:line="240" w:lineRule="auto"/>
              <w:jc w:val="both"/>
              <w:rPr>
                <w:szCs w:val="22"/>
                <w:lang w:val="sr-Latn-ME"/>
              </w:rPr>
            </w:pPr>
            <w:r w:rsidRPr="007A69F2">
              <w:rPr>
                <w:szCs w:val="22"/>
                <w:lang w:val="sr-Latn-ME"/>
              </w:rPr>
              <w:t>3,55 (2,39; 5,28)</w:t>
            </w:r>
          </w:p>
        </w:tc>
        <w:tc>
          <w:tcPr>
            <w:tcW w:w="1731" w:type="dxa"/>
          </w:tcPr>
          <w:p w14:paraId="66CF0378" w14:textId="77777777" w:rsidR="00DA17AE" w:rsidRPr="007A69F2" w:rsidRDefault="00DA17AE" w:rsidP="000B10C0">
            <w:pPr>
              <w:keepNext/>
              <w:keepLines/>
              <w:spacing w:line="240" w:lineRule="auto"/>
              <w:jc w:val="both"/>
              <w:rPr>
                <w:szCs w:val="22"/>
                <w:lang w:val="sr-Latn-ME"/>
              </w:rPr>
            </w:pPr>
          </w:p>
        </w:tc>
      </w:tr>
      <w:tr w:rsidR="00BD6090" w:rsidRPr="007A69F2" w14:paraId="7283EEDA" w14:textId="77777777" w:rsidTr="005E64FD">
        <w:tc>
          <w:tcPr>
            <w:tcW w:w="5215" w:type="dxa"/>
            <w:shd w:val="clear" w:color="auto" w:fill="auto"/>
          </w:tcPr>
          <w:p w14:paraId="55F3D5DF" w14:textId="77777777" w:rsidR="00DA17AE" w:rsidRPr="007A69F2" w:rsidRDefault="00D04C51" w:rsidP="000B10C0">
            <w:pPr>
              <w:keepNext/>
              <w:keepLines/>
              <w:spacing w:line="240" w:lineRule="auto"/>
              <w:jc w:val="both"/>
              <w:rPr>
                <w:szCs w:val="22"/>
                <w:lang w:val="sr-Latn-ME"/>
              </w:rPr>
            </w:pPr>
            <w:r w:rsidRPr="007A69F2">
              <w:rPr>
                <w:i/>
                <w:szCs w:val="22"/>
                <w:lang w:val="sr-Latn-ME"/>
              </w:rPr>
              <w:t>p</w:t>
            </w:r>
            <w:r w:rsidRPr="007A69F2">
              <w:rPr>
                <w:szCs w:val="22"/>
                <w:lang w:val="sr-Latn-ME"/>
              </w:rPr>
              <w:t>-vrijednost</w:t>
            </w:r>
          </w:p>
        </w:tc>
        <w:tc>
          <w:tcPr>
            <w:tcW w:w="2070" w:type="dxa"/>
            <w:shd w:val="clear" w:color="auto" w:fill="auto"/>
          </w:tcPr>
          <w:p w14:paraId="0660B0F2" w14:textId="77777777" w:rsidR="00DA17AE" w:rsidRPr="007A69F2" w:rsidRDefault="00D04C51" w:rsidP="000B10C0">
            <w:pPr>
              <w:keepNext/>
              <w:keepLines/>
              <w:spacing w:line="240" w:lineRule="auto"/>
              <w:jc w:val="both"/>
              <w:rPr>
                <w:szCs w:val="22"/>
                <w:lang w:val="sr-Latn-ME"/>
              </w:rPr>
            </w:pPr>
            <w:r w:rsidRPr="007A69F2">
              <w:rPr>
                <w:szCs w:val="22"/>
                <w:lang w:val="sr-Latn-ME"/>
              </w:rPr>
              <w:t>&lt; 0,001</w:t>
            </w:r>
          </w:p>
        </w:tc>
        <w:tc>
          <w:tcPr>
            <w:tcW w:w="1731" w:type="dxa"/>
          </w:tcPr>
          <w:p w14:paraId="4670DABA" w14:textId="77777777" w:rsidR="00DA17AE" w:rsidRPr="007A69F2" w:rsidRDefault="00DA17AE" w:rsidP="000B10C0">
            <w:pPr>
              <w:keepNext/>
              <w:keepLines/>
              <w:spacing w:line="240" w:lineRule="auto"/>
              <w:jc w:val="both"/>
              <w:rPr>
                <w:szCs w:val="22"/>
                <w:lang w:val="sr-Latn-ME"/>
              </w:rPr>
            </w:pPr>
          </w:p>
        </w:tc>
      </w:tr>
      <w:bookmarkEnd w:id="16"/>
    </w:tbl>
    <w:p w14:paraId="4A6F26DE" w14:textId="77777777" w:rsidR="00DA17AE" w:rsidRPr="007A69F2" w:rsidRDefault="00DA17AE" w:rsidP="000B10C0">
      <w:pPr>
        <w:keepNext/>
        <w:keepLines/>
        <w:spacing w:line="240" w:lineRule="auto"/>
        <w:jc w:val="both"/>
        <w:rPr>
          <w:szCs w:val="22"/>
          <w:lang w:val="sr-Latn-ME"/>
        </w:rPr>
      </w:pPr>
    </w:p>
    <w:p w14:paraId="2ADC5252" w14:textId="19F2286D" w:rsidR="006C5900" w:rsidRPr="007A69F2" w:rsidRDefault="00D04C51" w:rsidP="000B10C0">
      <w:pPr>
        <w:spacing w:line="240" w:lineRule="auto"/>
        <w:jc w:val="both"/>
        <w:rPr>
          <w:szCs w:val="22"/>
          <w:lang w:val="sr-Latn-ME"/>
        </w:rPr>
      </w:pPr>
      <w:r w:rsidRPr="007A69F2">
        <w:rPr>
          <w:szCs w:val="22"/>
          <w:lang w:val="sr-Latn-ME"/>
        </w:rPr>
        <w:t>Slika 1 prikazuje srednju vrijednost promjene MMD</w:t>
      </w:r>
      <w:r w:rsidRPr="007A69F2">
        <w:rPr>
          <w:szCs w:val="22"/>
          <w:lang w:val="sr-Latn-ME"/>
        </w:rPr>
        <w:noBreakHyphen/>
        <w:t xml:space="preserve">a </w:t>
      </w:r>
      <w:r w:rsidR="000B62AB" w:rsidRPr="007A69F2">
        <w:rPr>
          <w:szCs w:val="22"/>
          <w:lang w:val="sr-Latn-ME"/>
        </w:rPr>
        <w:t>u odnosu na početak u ispitivanju</w:t>
      </w:r>
      <w:r w:rsidRPr="007A69F2">
        <w:rPr>
          <w:szCs w:val="22"/>
          <w:lang w:val="sr-Latn-ME"/>
        </w:rPr>
        <w:t xml:space="preserve"> ADVANCE. </w:t>
      </w:r>
      <w:r w:rsidR="00DF5240" w:rsidRPr="007A69F2">
        <w:rPr>
          <w:szCs w:val="22"/>
          <w:lang w:val="sr-Latn-ME"/>
        </w:rPr>
        <w:t>Kod</w:t>
      </w:r>
      <w:r w:rsidR="000B62AB" w:rsidRPr="007A69F2">
        <w:rPr>
          <w:szCs w:val="22"/>
          <w:lang w:val="sr-Latn-ME"/>
        </w:rPr>
        <w:t xml:space="preserve"> </w:t>
      </w:r>
      <w:r w:rsidR="00260573" w:rsidRPr="007A69F2">
        <w:rPr>
          <w:szCs w:val="22"/>
          <w:lang w:val="sr-Latn-ME"/>
        </w:rPr>
        <w:t>pacijenata</w:t>
      </w:r>
      <w:r w:rsidR="000B62AB" w:rsidRPr="007A69F2">
        <w:rPr>
          <w:szCs w:val="22"/>
          <w:lang w:val="sr-Latn-ME"/>
        </w:rPr>
        <w:t xml:space="preserve"> liječenih sa lijekom AQUIPTA u dozi od 60 mg jednom dnevno, srednja vrijednost smanjenja MMD-a tokom perioda liječenja od 12 </w:t>
      </w:r>
      <w:r w:rsidR="00260573" w:rsidRPr="007A69F2">
        <w:rPr>
          <w:szCs w:val="22"/>
          <w:lang w:val="sr-Latn-ME"/>
        </w:rPr>
        <w:t>ned</w:t>
      </w:r>
      <w:r w:rsidR="00175CC9" w:rsidRPr="007A69F2">
        <w:rPr>
          <w:szCs w:val="22"/>
          <w:lang w:val="sr-Latn-ME"/>
        </w:rPr>
        <w:t>j</w:t>
      </w:r>
      <w:r w:rsidR="00260573" w:rsidRPr="007A69F2">
        <w:rPr>
          <w:szCs w:val="22"/>
          <w:lang w:val="sr-Latn-ME"/>
        </w:rPr>
        <w:t>elja</w:t>
      </w:r>
      <w:r w:rsidR="000B62AB" w:rsidRPr="007A69F2">
        <w:rPr>
          <w:szCs w:val="22"/>
          <w:lang w:val="sr-Latn-ME"/>
        </w:rPr>
        <w:t xml:space="preserve"> u odnosu na početak bila je veće nego </w:t>
      </w:r>
      <w:r w:rsidR="006C5900" w:rsidRPr="007A69F2">
        <w:rPr>
          <w:szCs w:val="22"/>
          <w:lang w:val="sr-Latn-ME"/>
        </w:rPr>
        <w:t>kod</w:t>
      </w:r>
      <w:r w:rsidR="000B62AB" w:rsidRPr="007A69F2">
        <w:rPr>
          <w:szCs w:val="22"/>
          <w:lang w:val="sr-Latn-ME"/>
        </w:rPr>
        <w:t xml:space="preserve"> </w:t>
      </w:r>
      <w:r w:rsidR="00260573" w:rsidRPr="007A69F2">
        <w:rPr>
          <w:szCs w:val="22"/>
          <w:lang w:val="sr-Latn-ME"/>
        </w:rPr>
        <w:t>pacijenata</w:t>
      </w:r>
      <w:r w:rsidR="000B62AB" w:rsidRPr="007A69F2">
        <w:rPr>
          <w:szCs w:val="22"/>
          <w:lang w:val="sr-Latn-ME"/>
        </w:rPr>
        <w:t xml:space="preserve"> koji su primali </w:t>
      </w:r>
      <w:proofErr w:type="spellStart"/>
      <w:r w:rsidR="000B62AB" w:rsidRPr="007A69F2">
        <w:rPr>
          <w:szCs w:val="22"/>
          <w:lang w:val="sr-Latn-ME"/>
        </w:rPr>
        <w:t>placebo</w:t>
      </w:r>
      <w:proofErr w:type="spellEnd"/>
      <w:r w:rsidR="000B62AB" w:rsidRPr="007A69F2">
        <w:rPr>
          <w:szCs w:val="22"/>
          <w:lang w:val="sr-Latn-ME"/>
        </w:rPr>
        <w:t>. Unutar prvog 4-</w:t>
      </w:r>
      <w:r w:rsidR="00DF5240" w:rsidRPr="007A69F2">
        <w:rPr>
          <w:szCs w:val="22"/>
          <w:lang w:val="sr-Latn-ME"/>
        </w:rPr>
        <w:t>ned</w:t>
      </w:r>
      <w:r w:rsidR="00175CC9" w:rsidRPr="007A69F2">
        <w:rPr>
          <w:szCs w:val="22"/>
          <w:lang w:val="sr-Latn-ME"/>
        </w:rPr>
        <w:t>j</w:t>
      </w:r>
      <w:r w:rsidR="00DF5240" w:rsidRPr="007A69F2">
        <w:rPr>
          <w:szCs w:val="22"/>
          <w:lang w:val="sr-Latn-ME"/>
        </w:rPr>
        <w:t>eljnog</w:t>
      </w:r>
      <w:r w:rsidR="000B62AB" w:rsidRPr="007A69F2">
        <w:rPr>
          <w:szCs w:val="22"/>
          <w:lang w:val="sr-Latn-ME"/>
        </w:rPr>
        <w:t xml:space="preserve"> intervala, primjena lijeka AQUIPTA u dozi od 60 mg jed</w:t>
      </w:r>
      <w:r w:rsidR="006C5900" w:rsidRPr="007A69F2">
        <w:rPr>
          <w:szCs w:val="22"/>
          <w:lang w:val="sr-Latn-ME"/>
        </w:rPr>
        <w:t>nom</w:t>
      </w:r>
      <w:r w:rsidR="000B62AB" w:rsidRPr="007A69F2">
        <w:rPr>
          <w:szCs w:val="22"/>
          <w:lang w:val="sr-Latn-ME"/>
        </w:rPr>
        <w:t xml:space="preserve"> d</w:t>
      </w:r>
      <w:r w:rsidR="006C5900" w:rsidRPr="007A69F2">
        <w:rPr>
          <w:szCs w:val="22"/>
          <w:lang w:val="sr-Latn-ME"/>
        </w:rPr>
        <w:t>nevno</w:t>
      </w:r>
      <w:r w:rsidR="000B62AB" w:rsidRPr="007A69F2">
        <w:rPr>
          <w:szCs w:val="22"/>
          <w:lang w:val="sr-Latn-ME"/>
        </w:rPr>
        <w:t xml:space="preserve"> u </w:t>
      </w:r>
      <w:r w:rsidR="006C5900" w:rsidRPr="007A69F2">
        <w:rPr>
          <w:szCs w:val="22"/>
          <w:lang w:val="sr-Latn-ME"/>
        </w:rPr>
        <w:t>poređenju</w:t>
      </w:r>
      <w:r w:rsidR="000B62AB" w:rsidRPr="007A69F2">
        <w:rPr>
          <w:szCs w:val="22"/>
          <w:lang w:val="sr-Latn-ME"/>
        </w:rPr>
        <w:t xml:space="preserve"> s</w:t>
      </w:r>
      <w:r w:rsidR="00DF5240" w:rsidRPr="007A69F2">
        <w:rPr>
          <w:szCs w:val="22"/>
          <w:lang w:val="sr-Latn-ME"/>
        </w:rPr>
        <w:t>a</w:t>
      </w:r>
      <w:r w:rsidR="000B62AB" w:rsidRPr="007A69F2">
        <w:rPr>
          <w:szCs w:val="22"/>
          <w:lang w:val="sr-Latn-ME"/>
        </w:rPr>
        <w:t xml:space="preserve"> </w:t>
      </w:r>
      <w:r w:rsidR="00DF5240" w:rsidRPr="007A69F2">
        <w:rPr>
          <w:szCs w:val="22"/>
          <w:lang w:val="sr-Latn-ME"/>
        </w:rPr>
        <w:t>pacijentima</w:t>
      </w:r>
      <w:r w:rsidR="000B62AB" w:rsidRPr="007A69F2">
        <w:rPr>
          <w:szCs w:val="22"/>
          <w:lang w:val="sr-Latn-ME"/>
        </w:rPr>
        <w:t xml:space="preserve"> koji su primali </w:t>
      </w:r>
      <w:proofErr w:type="spellStart"/>
      <w:r w:rsidR="000B62AB" w:rsidRPr="007A69F2">
        <w:rPr>
          <w:szCs w:val="22"/>
          <w:lang w:val="sr-Latn-ME"/>
        </w:rPr>
        <w:t>placebo</w:t>
      </w:r>
      <w:proofErr w:type="spellEnd"/>
      <w:r w:rsidR="000B62AB" w:rsidRPr="007A69F2">
        <w:rPr>
          <w:szCs w:val="22"/>
          <w:lang w:val="sr-Latn-ME"/>
        </w:rPr>
        <w:t xml:space="preserve"> rezultirala je značajnim smanjenjem srednje vrijednosti broja dana s</w:t>
      </w:r>
      <w:r w:rsidR="00DF5240" w:rsidRPr="007A69F2">
        <w:rPr>
          <w:szCs w:val="22"/>
          <w:lang w:val="sr-Latn-ME"/>
        </w:rPr>
        <w:t>a</w:t>
      </w:r>
      <w:r w:rsidR="000B62AB" w:rsidRPr="007A69F2">
        <w:rPr>
          <w:szCs w:val="22"/>
          <w:lang w:val="sr-Latn-ME"/>
        </w:rPr>
        <w:t xml:space="preserve"> migrenom mjesečno u odnosu na početak ispitivanja</w:t>
      </w:r>
      <w:r w:rsidR="006C5900" w:rsidRPr="007A69F2">
        <w:rPr>
          <w:szCs w:val="22"/>
          <w:lang w:val="sr-Latn-ME"/>
        </w:rPr>
        <w:t>.</w:t>
      </w:r>
      <w:r w:rsidR="000B62AB" w:rsidRPr="007A69F2">
        <w:rPr>
          <w:szCs w:val="22"/>
          <w:lang w:val="sr-Latn-ME"/>
        </w:rPr>
        <w:t xml:space="preserve"> </w:t>
      </w:r>
    </w:p>
    <w:p w14:paraId="2DEC45FB" w14:textId="77777777" w:rsidR="00DA17AE" w:rsidRPr="007A69F2" w:rsidRDefault="00DA17AE" w:rsidP="000B10C0">
      <w:pPr>
        <w:spacing w:line="240" w:lineRule="auto"/>
        <w:jc w:val="both"/>
        <w:rPr>
          <w:szCs w:val="22"/>
          <w:highlight w:val="yellow"/>
          <w:lang w:val="sr-Latn-ME"/>
        </w:rPr>
      </w:pPr>
    </w:p>
    <w:p w14:paraId="5C457165" w14:textId="167E6388" w:rsidR="00DA17AE" w:rsidRPr="007A69F2" w:rsidRDefault="00D04C51" w:rsidP="000B10C0">
      <w:pPr>
        <w:keepNext/>
        <w:spacing w:line="240" w:lineRule="auto"/>
        <w:jc w:val="both"/>
        <w:rPr>
          <w:b/>
          <w:szCs w:val="22"/>
          <w:lang w:val="sr-Latn-ME"/>
        </w:rPr>
      </w:pPr>
      <w:r w:rsidRPr="007A69F2">
        <w:rPr>
          <w:b/>
          <w:szCs w:val="22"/>
          <w:lang w:val="sr-Latn-ME"/>
        </w:rPr>
        <w:lastRenderedPageBreak/>
        <w:t>Slika 1: Promjena broj</w:t>
      </w:r>
      <w:r w:rsidR="006C5900" w:rsidRPr="007A69F2">
        <w:rPr>
          <w:b/>
          <w:szCs w:val="22"/>
          <w:lang w:val="sr-Latn-ME"/>
        </w:rPr>
        <w:t>a</w:t>
      </w:r>
      <w:r w:rsidRPr="007A69F2">
        <w:rPr>
          <w:b/>
          <w:szCs w:val="22"/>
          <w:lang w:val="sr-Latn-ME"/>
        </w:rPr>
        <w:t xml:space="preserve"> dana s migrenom mjese</w:t>
      </w:r>
      <w:r w:rsidR="006C5900" w:rsidRPr="007A69F2">
        <w:rPr>
          <w:b/>
          <w:szCs w:val="22"/>
          <w:lang w:val="sr-Latn-ME"/>
        </w:rPr>
        <w:t>čno</w:t>
      </w:r>
      <w:r w:rsidRPr="007A69F2">
        <w:rPr>
          <w:b/>
          <w:szCs w:val="22"/>
          <w:lang w:val="sr-Latn-ME"/>
        </w:rPr>
        <w:t xml:space="preserve"> </w:t>
      </w:r>
      <w:r w:rsidR="006C5900" w:rsidRPr="007A69F2">
        <w:rPr>
          <w:b/>
          <w:szCs w:val="22"/>
          <w:lang w:val="sr-Latn-ME"/>
        </w:rPr>
        <w:t xml:space="preserve">u odnosu na početak u ispitivanju </w:t>
      </w:r>
      <w:r w:rsidRPr="007A69F2">
        <w:rPr>
          <w:b/>
          <w:szCs w:val="22"/>
          <w:lang w:val="sr-Latn-ME"/>
        </w:rPr>
        <w:t>ADVANCE</w:t>
      </w:r>
    </w:p>
    <w:tbl>
      <w:tblPr>
        <w:tblStyle w:val="TableGrid"/>
        <w:tblW w:w="9432"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0"/>
        <w:gridCol w:w="792"/>
        <w:gridCol w:w="450"/>
        <w:gridCol w:w="360"/>
        <w:gridCol w:w="1530"/>
        <w:gridCol w:w="810"/>
        <w:gridCol w:w="180"/>
        <w:gridCol w:w="1530"/>
        <w:gridCol w:w="1980"/>
        <w:gridCol w:w="90"/>
        <w:gridCol w:w="1080"/>
      </w:tblGrid>
      <w:tr w:rsidR="00BD6090" w:rsidRPr="007A69F2" w14:paraId="76B8F68E" w14:textId="77777777" w:rsidTr="003A6090">
        <w:trPr>
          <w:cantSplit/>
        </w:trPr>
        <w:tc>
          <w:tcPr>
            <w:tcW w:w="630" w:type="dxa"/>
            <w:textDirection w:val="btLr"/>
            <w:vAlign w:val="bottom"/>
          </w:tcPr>
          <w:p w14:paraId="0F30937B" w14:textId="173DF37D" w:rsidR="006C5900" w:rsidRPr="007A69F2" w:rsidRDefault="006C5900" w:rsidP="000B10C0">
            <w:pPr>
              <w:keepNext/>
              <w:spacing w:line="240" w:lineRule="auto"/>
              <w:ind w:left="113" w:right="113"/>
              <w:jc w:val="both"/>
              <w:rPr>
                <w:sz w:val="22"/>
                <w:szCs w:val="22"/>
                <w:lang w:val="sr-Latn-ME"/>
              </w:rPr>
            </w:pPr>
            <w:r w:rsidRPr="007A69F2">
              <w:rPr>
                <w:sz w:val="22"/>
                <w:szCs w:val="22"/>
                <w:lang w:val="sr-Latn-ME"/>
              </w:rPr>
              <w:t xml:space="preserve">Promjena broja dana s migrenom mjesečno u odnosu na početak ispitivanja </w:t>
            </w:r>
            <w:r w:rsidR="005F0BB1" w:rsidRPr="007A69F2">
              <w:rPr>
                <w:sz w:val="22"/>
                <w:szCs w:val="22"/>
                <w:lang w:val="sr-Latn-ME"/>
              </w:rPr>
              <w:t>*</w:t>
            </w:r>
          </w:p>
          <w:p w14:paraId="234F1EAB" w14:textId="46611990" w:rsidR="006C5900" w:rsidRPr="007A69F2" w:rsidRDefault="006C5900" w:rsidP="000B10C0">
            <w:pPr>
              <w:keepNext/>
              <w:spacing w:line="240" w:lineRule="auto"/>
              <w:ind w:left="113" w:right="113"/>
              <w:jc w:val="both"/>
              <w:rPr>
                <w:sz w:val="22"/>
                <w:szCs w:val="22"/>
                <w:lang w:val="sr-Latn-ME"/>
              </w:rPr>
            </w:pPr>
            <w:proofErr w:type="spellStart"/>
            <w:r w:rsidRPr="007A69F2">
              <w:rPr>
                <w:sz w:val="22"/>
                <w:szCs w:val="22"/>
                <w:lang w:val="sr-Latn-ME"/>
              </w:rPr>
              <w:t>nanan</w:t>
            </w:r>
            <w:proofErr w:type="spellEnd"/>
          </w:p>
          <w:p w14:paraId="0E0419F2" w14:textId="77777777" w:rsidR="006C5900" w:rsidRPr="007A69F2" w:rsidRDefault="006C5900" w:rsidP="000B10C0">
            <w:pPr>
              <w:keepNext/>
              <w:spacing w:line="240" w:lineRule="auto"/>
              <w:ind w:left="113" w:right="113"/>
              <w:jc w:val="both"/>
              <w:rPr>
                <w:sz w:val="22"/>
                <w:szCs w:val="22"/>
                <w:lang w:val="sr-Latn-ME"/>
              </w:rPr>
            </w:pPr>
          </w:p>
          <w:p w14:paraId="6F92661E" w14:textId="77777777" w:rsidR="006C5900" w:rsidRPr="007A69F2" w:rsidRDefault="006C5900" w:rsidP="000B10C0">
            <w:pPr>
              <w:keepNext/>
              <w:spacing w:line="240" w:lineRule="auto"/>
              <w:ind w:left="113" w:right="113"/>
              <w:jc w:val="both"/>
              <w:rPr>
                <w:sz w:val="22"/>
                <w:szCs w:val="22"/>
                <w:lang w:val="sr-Latn-ME"/>
              </w:rPr>
            </w:pPr>
          </w:p>
          <w:p w14:paraId="512CFFB6" w14:textId="77777777" w:rsidR="006C5900" w:rsidRPr="007A69F2" w:rsidRDefault="006C5900" w:rsidP="000B10C0">
            <w:pPr>
              <w:keepNext/>
              <w:spacing w:line="240" w:lineRule="auto"/>
              <w:ind w:left="113" w:right="113"/>
              <w:jc w:val="both"/>
              <w:rPr>
                <w:sz w:val="22"/>
                <w:szCs w:val="22"/>
                <w:lang w:val="sr-Latn-ME"/>
              </w:rPr>
            </w:pPr>
          </w:p>
          <w:p w14:paraId="476BE2E9" w14:textId="5E64841C" w:rsidR="006C5900" w:rsidRPr="007A69F2" w:rsidRDefault="006C5900" w:rsidP="000B10C0">
            <w:pPr>
              <w:keepNext/>
              <w:spacing w:line="240" w:lineRule="auto"/>
              <w:ind w:left="113" w:right="113"/>
              <w:jc w:val="both"/>
              <w:rPr>
                <w:sz w:val="22"/>
                <w:szCs w:val="22"/>
                <w:lang w:val="sr-Latn-ME"/>
              </w:rPr>
            </w:pPr>
            <w:r w:rsidRPr="007A69F2">
              <w:rPr>
                <w:sz w:val="22"/>
                <w:szCs w:val="22"/>
                <w:lang w:val="sr-Latn-ME"/>
              </w:rPr>
              <w:t xml:space="preserve"> </w:t>
            </w:r>
          </w:p>
          <w:p w14:paraId="6F1C06E8" w14:textId="6BA0EB3E" w:rsidR="00DA17AE" w:rsidRPr="007A69F2" w:rsidRDefault="006C5900" w:rsidP="000B10C0">
            <w:pPr>
              <w:keepNext/>
              <w:spacing w:line="240" w:lineRule="auto"/>
              <w:ind w:left="113" w:right="113"/>
              <w:jc w:val="both"/>
              <w:rPr>
                <w:bCs/>
                <w:sz w:val="22"/>
                <w:szCs w:val="22"/>
                <w:lang w:val="sr-Latn-ME"/>
              </w:rPr>
            </w:pPr>
            <w:r w:rsidRPr="007A69F2">
              <w:rPr>
                <w:sz w:val="22"/>
                <w:szCs w:val="22"/>
                <w:lang w:val="sr-Latn-ME"/>
              </w:rPr>
              <w:t xml:space="preserve">Najmanjih </w:t>
            </w:r>
            <w:proofErr w:type="spellStart"/>
            <w:r w:rsidRPr="007A69F2">
              <w:rPr>
                <w:sz w:val="22"/>
                <w:szCs w:val="22"/>
                <w:lang w:val="sr-Latn-ME"/>
              </w:rPr>
              <w:t>kvadratanajmanjih</w:t>
            </w:r>
            <w:proofErr w:type="spellEnd"/>
            <w:r w:rsidRPr="007A69F2">
              <w:rPr>
                <w:sz w:val="22"/>
                <w:szCs w:val="22"/>
                <w:lang w:val="sr-Latn-ME"/>
              </w:rPr>
              <w:t xml:space="preserve"> kvadrata ± standardna pogreška) </w:t>
            </w:r>
            <w:r w:rsidR="00D04C51" w:rsidRPr="007A69F2">
              <w:rPr>
                <w:sz w:val="22"/>
                <w:szCs w:val="22"/>
                <w:lang w:val="sr-Latn-ME"/>
              </w:rPr>
              <w:t>Promjena brojem dana s migrenom u mjesecu od osnovice (srednja vrijednost najmanjeg kvadrata ± standardna greška)</w:t>
            </w:r>
          </w:p>
        </w:tc>
        <w:tc>
          <w:tcPr>
            <w:tcW w:w="8802" w:type="dxa"/>
            <w:gridSpan w:val="10"/>
          </w:tcPr>
          <w:p w14:paraId="2141DC9B" w14:textId="77777777" w:rsidR="00DA17AE" w:rsidRPr="007A69F2" w:rsidRDefault="00D04C51" w:rsidP="000B10C0">
            <w:pPr>
              <w:keepNext/>
              <w:spacing w:line="240" w:lineRule="auto"/>
              <w:jc w:val="both"/>
              <w:rPr>
                <w:b/>
                <w:bCs/>
                <w:sz w:val="22"/>
                <w:szCs w:val="22"/>
                <w:lang w:val="sr-Latn-ME"/>
              </w:rPr>
            </w:pPr>
            <w:r w:rsidRPr="007A69F2">
              <w:rPr>
                <w:sz w:val="22"/>
                <w:szCs w:val="22"/>
                <w:lang w:val="sr-Latn-ME"/>
              </w:rPr>
              <w:drawing>
                <wp:anchor distT="0" distB="0" distL="114300" distR="114300" simplePos="0" relativeHeight="251661312" behindDoc="0" locked="0" layoutInCell="1" allowOverlap="1" wp14:anchorId="065DF59D" wp14:editId="2E9C49D9">
                  <wp:simplePos x="0" y="0"/>
                  <wp:positionH relativeFrom="column">
                    <wp:posOffset>-46355</wp:posOffset>
                  </wp:positionH>
                  <wp:positionV relativeFrom="paragraph">
                    <wp:posOffset>120015</wp:posOffset>
                  </wp:positionV>
                  <wp:extent cx="4730750" cy="28956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screen">
                            <a:extLst>
                              <a:ext uri="{28A0092B-C50C-407E-A947-70E740481C1C}">
                                <a14:useLocalDpi xmlns:a14="http://schemas.microsoft.com/office/drawing/2010/main" val="0"/>
                              </a:ext>
                            </a:extLst>
                          </a:blip>
                          <a:stretch>
                            <a:fillRect/>
                          </a:stretch>
                        </pic:blipFill>
                        <pic:spPr bwMode="auto">
                          <a:xfrm>
                            <a:off x="0" y="0"/>
                            <a:ext cx="4730750" cy="2895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BD6090" w:rsidRPr="007A69F2" w14:paraId="4E656412" w14:textId="77777777" w:rsidTr="004F5264">
        <w:tc>
          <w:tcPr>
            <w:tcW w:w="630" w:type="dxa"/>
          </w:tcPr>
          <w:p w14:paraId="30D79408" w14:textId="77777777" w:rsidR="00DA17AE" w:rsidRPr="007A69F2" w:rsidRDefault="00DA17AE" w:rsidP="000B10C0">
            <w:pPr>
              <w:spacing w:line="240" w:lineRule="auto"/>
              <w:jc w:val="both"/>
              <w:rPr>
                <w:b/>
                <w:sz w:val="22"/>
                <w:szCs w:val="22"/>
                <w:lang w:val="sr-Latn-ME"/>
              </w:rPr>
            </w:pPr>
          </w:p>
        </w:tc>
        <w:tc>
          <w:tcPr>
            <w:tcW w:w="1242" w:type="dxa"/>
            <w:gridSpan w:val="2"/>
          </w:tcPr>
          <w:p w14:paraId="5956C6DB" w14:textId="2FFE6CE3" w:rsidR="00DA17AE" w:rsidRPr="007A69F2" w:rsidRDefault="00D04C51" w:rsidP="000B10C0">
            <w:pPr>
              <w:tabs>
                <w:tab w:val="left" w:pos="140"/>
              </w:tabs>
              <w:spacing w:line="240" w:lineRule="auto"/>
              <w:jc w:val="both"/>
              <w:rPr>
                <w:sz w:val="22"/>
                <w:szCs w:val="22"/>
                <w:lang w:val="sr-Latn-ME"/>
              </w:rPr>
            </w:pPr>
            <w:r w:rsidRPr="007A69F2">
              <w:rPr>
                <w:sz w:val="22"/>
                <w:szCs w:val="22"/>
                <w:lang w:val="sr-Latn-ME"/>
              </w:rPr>
              <w:t>Početak liječenja</w:t>
            </w:r>
          </w:p>
        </w:tc>
        <w:tc>
          <w:tcPr>
            <w:tcW w:w="2880" w:type="dxa"/>
            <w:gridSpan w:val="4"/>
          </w:tcPr>
          <w:p w14:paraId="71179220" w14:textId="4EA40EB0" w:rsidR="00DA17AE" w:rsidRPr="007A69F2" w:rsidRDefault="00324281" w:rsidP="000B10C0">
            <w:pPr>
              <w:spacing w:line="240" w:lineRule="auto"/>
              <w:jc w:val="both"/>
              <w:rPr>
                <w:sz w:val="22"/>
                <w:szCs w:val="22"/>
                <w:lang w:val="sr-Latn-ME"/>
              </w:rPr>
            </w:pPr>
            <w:r w:rsidRPr="007A69F2">
              <w:rPr>
                <w:sz w:val="22"/>
                <w:szCs w:val="22"/>
                <w:lang w:val="sr-Latn-ME"/>
              </w:rPr>
              <w:t xml:space="preserve">            </w:t>
            </w:r>
            <w:r w:rsidR="00D04C51" w:rsidRPr="007A69F2">
              <w:rPr>
                <w:sz w:val="22"/>
                <w:szCs w:val="22"/>
                <w:lang w:val="sr-Latn-ME"/>
              </w:rPr>
              <w:t>1</w:t>
            </w:r>
            <w:r w:rsidR="005F0BB1" w:rsidRPr="007A69F2">
              <w:rPr>
                <w:sz w:val="22"/>
                <w:szCs w:val="22"/>
                <w:lang w:val="sr-Latn-ME"/>
              </w:rPr>
              <w:t>.-</w:t>
            </w:r>
            <w:r w:rsidR="00D04C51" w:rsidRPr="007A69F2">
              <w:rPr>
                <w:sz w:val="22"/>
                <w:szCs w:val="22"/>
                <w:lang w:val="sr-Latn-ME"/>
              </w:rPr>
              <w:t>4</w:t>
            </w:r>
            <w:r w:rsidR="005F0BB1" w:rsidRPr="007A69F2">
              <w:rPr>
                <w:sz w:val="22"/>
                <w:szCs w:val="22"/>
                <w:lang w:val="sr-Latn-ME"/>
              </w:rPr>
              <w:t>.</w:t>
            </w:r>
            <w:r w:rsidR="00D04C51" w:rsidRPr="007A69F2">
              <w:rPr>
                <w:sz w:val="22"/>
                <w:szCs w:val="22"/>
                <w:lang w:val="sr-Latn-ME"/>
              </w:rPr>
              <w:t> </w:t>
            </w:r>
            <w:r w:rsidR="00547B44" w:rsidRPr="007A69F2">
              <w:rPr>
                <w:sz w:val="22"/>
                <w:szCs w:val="22"/>
                <w:lang w:val="sr-Latn-ME"/>
              </w:rPr>
              <w:t>nedjelje</w:t>
            </w:r>
          </w:p>
        </w:tc>
        <w:tc>
          <w:tcPr>
            <w:tcW w:w="1530" w:type="dxa"/>
          </w:tcPr>
          <w:p w14:paraId="304DDC46" w14:textId="06D4680F" w:rsidR="00DA17AE" w:rsidRPr="007A69F2" w:rsidRDefault="00D04C51" w:rsidP="000B10C0">
            <w:pPr>
              <w:spacing w:line="240" w:lineRule="auto"/>
              <w:jc w:val="both"/>
              <w:rPr>
                <w:sz w:val="22"/>
                <w:szCs w:val="22"/>
                <w:lang w:val="sr-Latn-ME"/>
              </w:rPr>
            </w:pPr>
            <w:r w:rsidRPr="007A69F2">
              <w:rPr>
                <w:sz w:val="22"/>
                <w:szCs w:val="22"/>
                <w:lang w:val="sr-Latn-ME"/>
              </w:rPr>
              <w:t xml:space="preserve">5. </w:t>
            </w:r>
            <w:r w:rsidR="005F0BB1" w:rsidRPr="007A69F2">
              <w:rPr>
                <w:sz w:val="22"/>
                <w:szCs w:val="22"/>
                <w:lang w:val="sr-Latn-ME"/>
              </w:rPr>
              <w:t>-</w:t>
            </w:r>
            <w:r w:rsidRPr="007A69F2">
              <w:rPr>
                <w:sz w:val="22"/>
                <w:szCs w:val="22"/>
                <w:lang w:val="sr-Latn-ME"/>
              </w:rPr>
              <w:t>8. </w:t>
            </w:r>
            <w:r w:rsidR="00547B44" w:rsidRPr="007A69F2">
              <w:rPr>
                <w:sz w:val="22"/>
                <w:szCs w:val="22"/>
                <w:lang w:val="sr-Latn-ME"/>
              </w:rPr>
              <w:t>nedjelje</w:t>
            </w:r>
          </w:p>
        </w:tc>
        <w:tc>
          <w:tcPr>
            <w:tcW w:w="2070" w:type="dxa"/>
            <w:gridSpan w:val="2"/>
          </w:tcPr>
          <w:p w14:paraId="36082CA4" w14:textId="1DA8AD11" w:rsidR="00DA17AE" w:rsidRPr="007A69F2" w:rsidRDefault="00D04C51" w:rsidP="000B10C0">
            <w:pPr>
              <w:spacing w:line="240" w:lineRule="auto"/>
              <w:jc w:val="both"/>
              <w:rPr>
                <w:sz w:val="22"/>
                <w:szCs w:val="22"/>
                <w:lang w:val="sr-Latn-ME"/>
              </w:rPr>
            </w:pPr>
            <w:r w:rsidRPr="007A69F2">
              <w:rPr>
                <w:sz w:val="22"/>
                <w:szCs w:val="22"/>
                <w:lang w:val="sr-Latn-ME"/>
              </w:rPr>
              <w:t xml:space="preserve"> </w:t>
            </w:r>
            <w:r w:rsidR="00324281" w:rsidRPr="007A69F2">
              <w:rPr>
                <w:sz w:val="22"/>
                <w:szCs w:val="22"/>
                <w:lang w:val="sr-Latn-ME"/>
              </w:rPr>
              <w:t xml:space="preserve">  </w:t>
            </w:r>
            <w:r w:rsidRPr="007A69F2">
              <w:rPr>
                <w:sz w:val="22"/>
                <w:szCs w:val="22"/>
                <w:lang w:val="sr-Latn-ME"/>
              </w:rPr>
              <w:t xml:space="preserve">9. </w:t>
            </w:r>
            <w:r w:rsidR="005F0BB1" w:rsidRPr="007A69F2">
              <w:rPr>
                <w:sz w:val="22"/>
                <w:szCs w:val="22"/>
                <w:lang w:val="sr-Latn-ME"/>
              </w:rPr>
              <w:t>-</w:t>
            </w:r>
            <w:r w:rsidRPr="007A69F2">
              <w:rPr>
                <w:sz w:val="22"/>
                <w:szCs w:val="22"/>
                <w:lang w:val="sr-Latn-ME"/>
              </w:rPr>
              <w:t>12. </w:t>
            </w:r>
            <w:r w:rsidR="00547B44" w:rsidRPr="007A69F2">
              <w:rPr>
                <w:sz w:val="22"/>
                <w:szCs w:val="22"/>
                <w:lang w:val="sr-Latn-ME"/>
              </w:rPr>
              <w:t>nedjelje</w:t>
            </w:r>
          </w:p>
        </w:tc>
        <w:tc>
          <w:tcPr>
            <w:tcW w:w="1080" w:type="dxa"/>
          </w:tcPr>
          <w:p w14:paraId="72A566CB" w14:textId="77777777" w:rsidR="00DA17AE" w:rsidRPr="007A69F2" w:rsidRDefault="00DA17AE" w:rsidP="000B10C0">
            <w:pPr>
              <w:spacing w:line="240" w:lineRule="auto"/>
              <w:jc w:val="both"/>
              <w:rPr>
                <w:b/>
                <w:sz w:val="22"/>
                <w:szCs w:val="22"/>
                <w:lang w:val="sr-Latn-ME"/>
              </w:rPr>
            </w:pPr>
          </w:p>
        </w:tc>
      </w:tr>
      <w:tr w:rsidR="00BD6090" w:rsidRPr="007A69F2" w14:paraId="5A98AE19" w14:textId="77777777" w:rsidTr="0073231E">
        <w:tc>
          <w:tcPr>
            <w:tcW w:w="1422" w:type="dxa"/>
            <w:gridSpan w:val="2"/>
          </w:tcPr>
          <w:p w14:paraId="22BCD6CA" w14:textId="77777777" w:rsidR="00DA17AE" w:rsidRPr="007A69F2" w:rsidRDefault="00DA17AE" w:rsidP="000B10C0">
            <w:pPr>
              <w:spacing w:line="240" w:lineRule="auto"/>
              <w:jc w:val="both"/>
              <w:rPr>
                <w:b/>
                <w:sz w:val="22"/>
                <w:szCs w:val="22"/>
                <w:lang w:val="sr-Latn-ME"/>
              </w:rPr>
            </w:pPr>
          </w:p>
        </w:tc>
        <w:tc>
          <w:tcPr>
            <w:tcW w:w="810" w:type="dxa"/>
            <w:gridSpan w:val="2"/>
          </w:tcPr>
          <w:p w14:paraId="4188CB77" w14:textId="77777777" w:rsidR="00DA17AE" w:rsidRPr="007A69F2" w:rsidRDefault="00D04C51" w:rsidP="000B10C0">
            <w:pPr>
              <w:spacing w:line="240" w:lineRule="auto"/>
              <w:jc w:val="both"/>
              <w:rPr>
                <w:b/>
                <w:sz w:val="22"/>
                <w:szCs w:val="22"/>
                <w:lang w:val="sr-Latn-ME"/>
              </w:rPr>
            </w:pPr>
            <w:r w:rsidRPr="007A69F2">
              <w:rPr>
                <w:sz w:val="22"/>
                <w:szCs w:val="22"/>
                <w:lang w:val="sr-Latn-ME"/>
              </w:rPr>
              <w:drawing>
                <wp:anchor distT="0" distB="0" distL="114300" distR="114300" simplePos="0" relativeHeight="251662336" behindDoc="0" locked="0" layoutInCell="1" allowOverlap="1" wp14:anchorId="7F8EEDA4" wp14:editId="293F975A">
                  <wp:simplePos x="0" y="0"/>
                  <wp:positionH relativeFrom="column">
                    <wp:posOffset>0</wp:posOffset>
                  </wp:positionH>
                  <wp:positionV relativeFrom="paragraph">
                    <wp:posOffset>85725</wp:posOffset>
                  </wp:positionV>
                  <wp:extent cx="377190" cy="81280"/>
                  <wp:effectExtent l="0" t="0" r="381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7"/>
                          <a:stretch>
                            <a:fillRect/>
                          </a:stretch>
                        </pic:blipFill>
                        <pic:spPr>
                          <a:xfrm>
                            <a:off x="0" y="0"/>
                            <a:ext cx="377190" cy="81280"/>
                          </a:xfrm>
                          <a:prstGeom prst="rect">
                            <a:avLst/>
                          </a:prstGeom>
                        </pic:spPr>
                      </pic:pic>
                    </a:graphicData>
                  </a:graphic>
                </wp:anchor>
              </w:drawing>
            </w:r>
          </w:p>
        </w:tc>
        <w:tc>
          <w:tcPr>
            <w:tcW w:w="1530" w:type="dxa"/>
          </w:tcPr>
          <w:p w14:paraId="37F26408" w14:textId="77777777" w:rsidR="00DA17AE" w:rsidRPr="007A69F2" w:rsidRDefault="00D04C51" w:rsidP="000B10C0">
            <w:pPr>
              <w:spacing w:line="240" w:lineRule="auto"/>
              <w:jc w:val="both"/>
              <w:rPr>
                <w:bCs/>
                <w:sz w:val="22"/>
                <w:szCs w:val="22"/>
                <w:lang w:val="sr-Latn-ME"/>
              </w:rPr>
            </w:pPr>
            <w:proofErr w:type="spellStart"/>
            <w:r w:rsidRPr="007A69F2">
              <w:rPr>
                <w:sz w:val="22"/>
                <w:szCs w:val="22"/>
                <w:lang w:val="sr-Latn-ME"/>
              </w:rPr>
              <w:t>Placebo</w:t>
            </w:r>
            <w:proofErr w:type="spellEnd"/>
          </w:p>
        </w:tc>
        <w:tc>
          <w:tcPr>
            <w:tcW w:w="810" w:type="dxa"/>
          </w:tcPr>
          <w:p w14:paraId="68F44B8A" w14:textId="77777777" w:rsidR="00DA17AE" w:rsidRPr="007A69F2" w:rsidRDefault="00D04C51" w:rsidP="000B10C0">
            <w:pPr>
              <w:spacing w:line="240" w:lineRule="auto"/>
              <w:jc w:val="both"/>
              <w:rPr>
                <w:b/>
                <w:sz w:val="22"/>
                <w:szCs w:val="22"/>
                <w:lang w:val="sr-Latn-ME"/>
              </w:rPr>
            </w:pPr>
            <w:r w:rsidRPr="007A69F2">
              <w:rPr>
                <w:sz w:val="22"/>
                <w:szCs w:val="22"/>
                <w:lang w:val="sr-Latn-ME"/>
              </w:rPr>
              <w:drawing>
                <wp:anchor distT="0" distB="0" distL="114300" distR="114300" simplePos="0" relativeHeight="251663360" behindDoc="0" locked="0" layoutInCell="1" allowOverlap="1" wp14:anchorId="079E2B65" wp14:editId="59F3710B">
                  <wp:simplePos x="0" y="0"/>
                  <wp:positionH relativeFrom="column">
                    <wp:posOffset>0</wp:posOffset>
                  </wp:positionH>
                  <wp:positionV relativeFrom="paragraph">
                    <wp:posOffset>79375</wp:posOffset>
                  </wp:positionV>
                  <wp:extent cx="377190" cy="72390"/>
                  <wp:effectExtent l="0" t="0" r="3810" b="381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8"/>
                          <a:stretch>
                            <a:fillRect/>
                          </a:stretch>
                        </pic:blipFill>
                        <pic:spPr>
                          <a:xfrm>
                            <a:off x="0" y="0"/>
                            <a:ext cx="377190" cy="72390"/>
                          </a:xfrm>
                          <a:prstGeom prst="rect">
                            <a:avLst/>
                          </a:prstGeom>
                        </pic:spPr>
                      </pic:pic>
                    </a:graphicData>
                  </a:graphic>
                </wp:anchor>
              </w:drawing>
            </w:r>
          </w:p>
        </w:tc>
        <w:tc>
          <w:tcPr>
            <w:tcW w:w="3690" w:type="dxa"/>
            <w:gridSpan w:val="3"/>
          </w:tcPr>
          <w:p w14:paraId="0D050C2B" w14:textId="15B08BD1" w:rsidR="005F0BB1" w:rsidRPr="007A69F2" w:rsidRDefault="00D04C51" w:rsidP="000B10C0">
            <w:pPr>
              <w:spacing w:line="240" w:lineRule="auto"/>
              <w:jc w:val="both"/>
              <w:rPr>
                <w:sz w:val="22"/>
                <w:szCs w:val="22"/>
                <w:lang w:val="sr-Latn-ME"/>
              </w:rPr>
            </w:pPr>
            <w:r w:rsidRPr="007A69F2">
              <w:rPr>
                <w:sz w:val="22"/>
                <w:szCs w:val="22"/>
                <w:lang w:val="sr-Latn-ME"/>
              </w:rPr>
              <w:t>AQUIPTA 60 mg jednom dnevno</w:t>
            </w:r>
          </w:p>
          <w:p w14:paraId="7F02D5A7" w14:textId="28D082BE" w:rsidR="005F0BB1" w:rsidRPr="007A69F2" w:rsidRDefault="005F0BB1" w:rsidP="000B10C0">
            <w:pPr>
              <w:spacing w:line="240" w:lineRule="auto"/>
              <w:jc w:val="both"/>
              <w:rPr>
                <w:sz w:val="22"/>
                <w:szCs w:val="22"/>
                <w:lang w:val="sr-Latn-ME"/>
              </w:rPr>
            </w:pPr>
          </w:p>
        </w:tc>
        <w:tc>
          <w:tcPr>
            <w:tcW w:w="1170" w:type="dxa"/>
            <w:gridSpan w:val="2"/>
          </w:tcPr>
          <w:p w14:paraId="2ACB76C8" w14:textId="77777777" w:rsidR="00DA17AE" w:rsidRPr="007A69F2" w:rsidRDefault="00DA17AE" w:rsidP="000B10C0">
            <w:pPr>
              <w:spacing w:line="240" w:lineRule="auto"/>
              <w:jc w:val="both"/>
              <w:rPr>
                <w:b/>
                <w:sz w:val="22"/>
                <w:szCs w:val="22"/>
                <w:lang w:val="sr-Latn-ME"/>
              </w:rPr>
            </w:pPr>
          </w:p>
        </w:tc>
      </w:tr>
    </w:tbl>
    <w:p w14:paraId="718849C6" w14:textId="6B041FB1" w:rsidR="005F0BB1" w:rsidRPr="007A69F2" w:rsidRDefault="005F0BB1" w:rsidP="000B10C0">
      <w:pPr>
        <w:keepNext/>
        <w:spacing w:line="240" w:lineRule="auto"/>
        <w:jc w:val="both"/>
        <w:rPr>
          <w:i/>
          <w:iCs/>
          <w:szCs w:val="22"/>
          <w:lang w:val="sr-Latn-ME"/>
        </w:rPr>
      </w:pPr>
      <w:r w:rsidRPr="007A69F2">
        <w:rPr>
          <w:i/>
          <w:iCs/>
          <w:szCs w:val="22"/>
          <w:lang w:val="sr-Latn-ME"/>
        </w:rPr>
        <w:t>* (srednja vrijednost dobivena metodom najmanjih kvadrata ± standardna greška)</w:t>
      </w:r>
    </w:p>
    <w:p w14:paraId="038E6A51" w14:textId="77777777" w:rsidR="005F0BB1" w:rsidRPr="007A69F2" w:rsidRDefault="005F0BB1" w:rsidP="000B10C0">
      <w:pPr>
        <w:keepNext/>
        <w:spacing w:line="240" w:lineRule="auto"/>
        <w:jc w:val="both"/>
        <w:rPr>
          <w:i/>
          <w:szCs w:val="22"/>
          <w:lang w:val="sr-Latn-ME"/>
        </w:rPr>
      </w:pPr>
    </w:p>
    <w:p w14:paraId="12F8A717" w14:textId="5725BA37" w:rsidR="00DA17AE" w:rsidRPr="007A69F2" w:rsidRDefault="00D04C51" w:rsidP="000B10C0">
      <w:pPr>
        <w:keepNext/>
        <w:spacing w:line="240" w:lineRule="auto"/>
        <w:jc w:val="both"/>
        <w:rPr>
          <w:i/>
          <w:szCs w:val="22"/>
          <w:u w:val="single"/>
          <w:lang w:val="sr-Latn-ME"/>
        </w:rPr>
      </w:pPr>
      <w:r w:rsidRPr="007A69F2">
        <w:rPr>
          <w:i/>
          <w:szCs w:val="22"/>
          <w:u w:val="single"/>
          <w:lang w:val="sr-Latn-ME"/>
        </w:rPr>
        <w:t xml:space="preserve">Dugotrajna </w:t>
      </w:r>
      <w:r w:rsidR="005F0BB1" w:rsidRPr="007A69F2">
        <w:rPr>
          <w:i/>
          <w:szCs w:val="22"/>
          <w:u w:val="single"/>
          <w:lang w:val="sr-Latn-ME"/>
        </w:rPr>
        <w:t>efikasnost</w:t>
      </w:r>
    </w:p>
    <w:p w14:paraId="1B957821" w14:textId="648D789D" w:rsidR="005F0BB1" w:rsidRPr="007A69F2" w:rsidRDefault="005F0BB1" w:rsidP="00405FD8">
      <w:pPr>
        <w:spacing w:line="240" w:lineRule="auto"/>
        <w:jc w:val="both"/>
        <w:rPr>
          <w:szCs w:val="22"/>
          <w:lang w:val="sr-Latn-ME"/>
        </w:rPr>
      </w:pPr>
      <w:r w:rsidRPr="007A69F2">
        <w:rPr>
          <w:szCs w:val="22"/>
          <w:lang w:val="sr-Latn-ME"/>
        </w:rPr>
        <w:t xml:space="preserve">U otvorenom ispitivanju u kojem je 546 </w:t>
      </w:r>
      <w:r w:rsidR="00260573" w:rsidRPr="007A69F2">
        <w:rPr>
          <w:szCs w:val="22"/>
          <w:lang w:val="sr-Latn-ME"/>
        </w:rPr>
        <w:t>pacijenata</w:t>
      </w:r>
      <w:r w:rsidRPr="007A69F2">
        <w:rPr>
          <w:szCs w:val="22"/>
          <w:lang w:val="sr-Latn-ME"/>
        </w:rPr>
        <w:t xml:space="preserve"> s epizodnom migrenom </w:t>
      </w:r>
      <w:proofErr w:type="spellStart"/>
      <w:r w:rsidR="00295336" w:rsidRPr="007A69F2">
        <w:rPr>
          <w:szCs w:val="22"/>
          <w:lang w:val="sr-Latn-ME"/>
        </w:rPr>
        <w:t>randomizovano</w:t>
      </w:r>
      <w:proofErr w:type="spellEnd"/>
      <w:r w:rsidR="00295336" w:rsidRPr="007A69F2">
        <w:rPr>
          <w:szCs w:val="22"/>
          <w:lang w:val="sr-Latn-ME"/>
        </w:rPr>
        <w:t xml:space="preserve"> </w:t>
      </w:r>
      <w:r w:rsidRPr="007A69F2">
        <w:rPr>
          <w:szCs w:val="22"/>
          <w:lang w:val="sr-Latn-ME"/>
        </w:rPr>
        <w:t xml:space="preserve">u grupu koja je primala lijek AQUIPTA u dozi od 60 mg jednom dnevno, efikasnost se održala do jedne godine. Period liječenja završilo je 68% (373/546) </w:t>
      </w:r>
      <w:r w:rsidR="00260573" w:rsidRPr="007A69F2">
        <w:rPr>
          <w:szCs w:val="22"/>
          <w:lang w:val="sr-Latn-ME"/>
        </w:rPr>
        <w:t>pacijenata</w:t>
      </w:r>
      <w:r w:rsidRPr="007A69F2">
        <w:rPr>
          <w:szCs w:val="22"/>
          <w:lang w:val="sr-Latn-ME"/>
        </w:rPr>
        <w:t xml:space="preserve">. Smanjenje srednje vrijednosti MMD-a dobivenog metodom najmanjih kvadrata iznosilo je -3,8 dana u prvom mjesecu (od 1. do 4. </w:t>
      </w:r>
      <w:r w:rsidR="00DF5240" w:rsidRPr="007A69F2">
        <w:rPr>
          <w:szCs w:val="22"/>
          <w:lang w:val="sr-Latn-ME"/>
        </w:rPr>
        <w:t>ned</w:t>
      </w:r>
      <w:r w:rsidR="00175CC9" w:rsidRPr="007A69F2">
        <w:rPr>
          <w:szCs w:val="22"/>
          <w:lang w:val="sr-Latn-ME"/>
        </w:rPr>
        <w:t>j</w:t>
      </w:r>
      <w:r w:rsidR="00DF5240" w:rsidRPr="007A69F2">
        <w:rPr>
          <w:szCs w:val="22"/>
          <w:lang w:val="sr-Latn-ME"/>
        </w:rPr>
        <w:t>elje</w:t>
      </w:r>
      <w:r w:rsidRPr="007A69F2">
        <w:rPr>
          <w:szCs w:val="22"/>
          <w:lang w:val="sr-Latn-ME"/>
        </w:rPr>
        <w:t xml:space="preserve">) i poboljšalo se na -5,2 dana u zadnjem mjesecu (od 49. do 52. </w:t>
      </w:r>
      <w:r w:rsidR="00DF5240" w:rsidRPr="007A69F2">
        <w:rPr>
          <w:szCs w:val="22"/>
          <w:lang w:val="sr-Latn-ME"/>
        </w:rPr>
        <w:t>ned</w:t>
      </w:r>
      <w:r w:rsidR="00295336" w:rsidRPr="007A69F2">
        <w:rPr>
          <w:szCs w:val="22"/>
          <w:lang w:val="sr-Latn-ME"/>
        </w:rPr>
        <w:t>j</w:t>
      </w:r>
      <w:r w:rsidR="00DF5240" w:rsidRPr="007A69F2">
        <w:rPr>
          <w:szCs w:val="22"/>
          <w:lang w:val="sr-Latn-ME"/>
        </w:rPr>
        <w:t>elje</w:t>
      </w:r>
      <w:r w:rsidRPr="007A69F2">
        <w:rPr>
          <w:szCs w:val="22"/>
          <w:lang w:val="sr-Latn-ME"/>
        </w:rPr>
        <w:t xml:space="preserve">). U periodu od 49. do 52. </w:t>
      </w:r>
      <w:r w:rsidR="00DF5240" w:rsidRPr="007A69F2">
        <w:rPr>
          <w:szCs w:val="22"/>
          <w:lang w:val="sr-Latn-ME"/>
        </w:rPr>
        <w:t>ned</w:t>
      </w:r>
      <w:r w:rsidR="00295336" w:rsidRPr="007A69F2">
        <w:rPr>
          <w:szCs w:val="22"/>
          <w:lang w:val="sr-Latn-ME"/>
        </w:rPr>
        <w:t>j</w:t>
      </w:r>
      <w:r w:rsidR="00DF5240" w:rsidRPr="007A69F2">
        <w:rPr>
          <w:szCs w:val="22"/>
          <w:lang w:val="sr-Latn-ME"/>
        </w:rPr>
        <w:t>elje</w:t>
      </w:r>
      <w:r w:rsidRPr="007A69F2">
        <w:rPr>
          <w:szCs w:val="22"/>
          <w:lang w:val="sr-Latn-ME"/>
        </w:rPr>
        <w:t xml:space="preserve">, približno 84%, 70% odnosno 48% </w:t>
      </w:r>
      <w:r w:rsidR="00260573" w:rsidRPr="007A69F2">
        <w:rPr>
          <w:szCs w:val="22"/>
          <w:lang w:val="sr-Latn-ME"/>
        </w:rPr>
        <w:t>pacijenata</w:t>
      </w:r>
      <w:r w:rsidRPr="007A69F2">
        <w:rPr>
          <w:szCs w:val="22"/>
          <w:lang w:val="sr-Latn-ME"/>
        </w:rPr>
        <w:t xml:space="preserve"> prijavilo je smanjenje MMD-a za ≥ 50%, ≥ 75% odnosno 100%.</w:t>
      </w:r>
    </w:p>
    <w:p w14:paraId="1A09E39E" w14:textId="77777777" w:rsidR="005F0BB1" w:rsidRPr="007A69F2" w:rsidRDefault="005F0BB1" w:rsidP="000B10C0">
      <w:pPr>
        <w:spacing w:line="240" w:lineRule="auto"/>
        <w:jc w:val="both"/>
        <w:rPr>
          <w:szCs w:val="22"/>
          <w:lang w:val="sr-Latn-ME"/>
        </w:rPr>
      </w:pPr>
    </w:p>
    <w:p w14:paraId="46EDA139" w14:textId="79F0B757" w:rsidR="00CF5B81" w:rsidRPr="007A69F2" w:rsidRDefault="00CF5B81" w:rsidP="000B10C0">
      <w:pPr>
        <w:spacing w:line="240" w:lineRule="auto"/>
        <w:jc w:val="both"/>
        <w:rPr>
          <w:i/>
          <w:iCs/>
          <w:szCs w:val="22"/>
          <w:lang w:val="sr-Latn-ME"/>
        </w:rPr>
      </w:pPr>
      <w:r w:rsidRPr="007A69F2">
        <w:rPr>
          <w:i/>
          <w:iCs/>
          <w:szCs w:val="22"/>
          <w:lang w:val="sr-Latn-ME"/>
        </w:rPr>
        <w:t xml:space="preserve">Pacijenti prethodno neuspješno liječeni sa ljekovima iz 2 do 4 terapijske grupe oralnih ljekova za profilaksu migrene </w:t>
      </w:r>
    </w:p>
    <w:p w14:paraId="5E6EC6AF" w14:textId="77777777" w:rsidR="00CF5B81" w:rsidRPr="007A69F2" w:rsidRDefault="00CF5B81" w:rsidP="000B10C0">
      <w:pPr>
        <w:spacing w:line="240" w:lineRule="auto"/>
        <w:jc w:val="both"/>
        <w:rPr>
          <w:szCs w:val="22"/>
          <w:lang w:val="sr-Latn-ME"/>
        </w:rPr>
      </w:pPr>
    </w:p>
    <w:p w14:paraId="5B717E7D" w14:textId="55F8F78F" w:rsidR="00CF5B81" w:rsidRPr="007A69F2" w:rsidRDefault="00CF5B81" w:rsidP="00405FD8">
      <w:pPr>
        <w:spacing w:line="240" w:lineRule="auto"/>
        <w:jc w:val="both"/>
        <w:rPr>
          <w:szCs w:val="22"/>
          <w:lang w:val="sr-Latn-ME"/>
        </w:rPr>
      </w:pPr>
      <w:r w:rsidRPr="007A69F2">
        <w:rPr>
          <w:szCs w:val="22"/>
          <w:lang w:val="sr-Latn-ME"/>
        </w:rPr>
        <w:t xml:space="preserve">U ispitivanju ELEVATE, 315 odraslih pacijenata sa epizodnom migrenom prethodno neuspješno liječenih sa ljekovima iz 2 do 4 terapijske grupe oralnih ljekova za profilaksu migrene (npr. </w:t>
      </w:r>
      <w:proofErr w:type="spellStart"/>
      <w:r w:rsidRPr="007A69F2">
        <w:rPr>
          <w:szCs w:val="22"/>
          <w:lang w:val="sr-Latn-ME"/>
        </w:rPr>
        <w:t>topiramatom</w:t>
      </w:r>
      <w:proofErr w:type="spellEnd"/>
      <w:r w:rsidRPr="007A69F2">
        <w:rPr>
          <w:szCs w:val="22"/>
          <w:lang w:val="sr-Latn-ME"/>
        </w:rPr>
        <w:t xml:space="preserve">, </w:t>
      </w:r>
      <w:proofErr w:type="spellStart"/>
      <w:r w:rsidRPr="007A69F2">
        <w:rPr>
          <w:szCs w:val="22"/>
          <w:lang w:val="sr-Latn-ME"/>
        </w:rPr>
        <w:t>triciklič</w:t>
      </w:r>
      <w:r w:rsidR="00295336" w:rsidRPr="007A69F2">
        <w:rPr>
          <w:szCs w:val="22"/>
          <w:lang w:val="sr-Latn-ME"/>
        </w:rPr>
        <w:t>n</w:t>
      </w:r>
      <w:r w:rsidRPr="007A69F2">
        <w:rPr>
          <w:szCs w:val="22"/>
          <w:lang w:val="sr-Latn-ME"/>
        </w:rPr>
        <w:t>im</w:t>
      </w:r>
      <w:proofErr w:type="spellEnd"/>
      <w:r w:rsidRPr="007A69F2">
        <w:rPr>
          <w:szCs w:val="22"/>
          <w:lang w:val="sr-Latn-ME"/>
        </w:rPr>
        <w:t xml:space="preserve"> </w:t>
      </w:r>
      <w:proofErr w:type="spellStart"/>
      <w:r w:rsidRPr="007A69F2">
        <w:rPr>
          <w:szCs w:val="22"/>
          <w:lang w:val="sr-Latn-ME"/>
        </w:rPr>
        <w:t>antidepresivima</w:t>
      </w:r>
      <w:proofErr w:type="spellEnd"/>
      <w:r w:rsidRPr="007A69F2">
        <w:rPr>
          <w:szCs w:val="22"/>
          <w:lang w:val="sr-Latn-ME"/>
        </w:rPr>
        <w:t>, beta-</w:t>
      </w:r>
      <w:proofErr w:type="spellStart"/>
      <w:r w:rsidRPr="007A69F2">
        <w:rPr>
          <w:szCs w:val="22"/>
          <w:lang w:val="sr-Latn-ME"/>
        </w:rPr>
        <w:t>blokatorima</w:t>
      </w:r>
      <w:proofErr w:type="spellEnd"/>
      <w:r w:rsidRPr="007A69F2">
        <w:rPr>
          <w:szCs w:val="22"/>
          <w:lang w:val="sr-Latn-ME"/>
        </w:rPr>
        <w:t xml:space="preserve">) na osnovu </w:t>
      </w:r>
      <w:proofErr w:type="spellStart"/>
      <w:r w:rsidRPr="007A69F2">
        <w:rPr>
          <w:szCs w:val="22"/>
          <w:lang w:val="sr-Latn-ME"/>
        </w:rPr>
        <w:t>efektivnosti</w:t>
      </w:r>
      <w:proofErr w:type="spellEnd"/>
      <w:r w:rsidRPr="007A69F2">
        <w:rPr>
          <w:szCs w:val="22"/>
          <w:lang w:val="sr-Latn-ME"/>
        </w:rPr>
        <w:t xml:space="preserve"> i/ili </w:t>
      </w:r>
      <w:proofErr w:type="spellStart"/>
      <w:r w:rsidRPr="007A69F2">
        <w:rPr>
          <w:szCs w:val="22"/>
          <w:lang w:val="sr-Latn-ME"/>
        </w:rPr>
        <w:t>podnošljivosti</w:t>
      </w:r>
      <w:proofErr w:type="spellEnd"/>
      <w:r w:rsidRPr="007A69F2">
        <w:rPr>
          <w:szCs w:val="22"/>
          <w:lang w:val="sr-Latn-ME"/>
        </w:rPr>
        <w:t xml:space="preserve">, </w:t>
      </w:r>
      <w:proofErr w:type="spellStart"/>
      <w:r w:rsidRPr="007A69F2">
        <w:rPr>
          <w:szCs w:val="22"/>
          <w:lang w:val="sr-Latn-ME"/>
        </w:rPr>
        <w:t>randomiz</w:t>
      </w:r>
      <w:r w:rsidR="00295336" w:rsidRPr="007A69F2">
        <w:rPr>
          <w:szCs w:val="22"/>
          <w:lang w:val="sr-Latn-ME"/>
        </w:rPr>
        <w:t>ov</w:t>
      </w:r>
      <w:r w:rsidRPr="007A69F2">
        <w:rPr>
          <w:szCs w:val="22"/>
          <w:lang w:val="sr-Latn-ME"/>
        </w:rPr>
        <w:t>ano</w:t>
      </w:r>
      <w:proofErr w:type="spellEnd"/>
      <w:r w:rsidRPr="007A69F2">
        <w:rPr>
          <w:szCs w:val="22"/>
          <w:lang w:val="sr-Latn-ME"/>
        </w:rPr>
        <w:t xml:space="preserve"> je u razmjeri 1 : 1 u grupu koja je primala </w:t>
      </w:r>
      <w:proofErr w:type="spellStart"/>
      <w:r w:rsidRPr="007A69F2">
        <w:rPr>
          <w:szCs w:val="22"/>
          <w:lang w:val="sr-Latn-ME"/>
        </w:rPr>
        <w:t>atogepant</w:t>
      </w:r>
      <w:proofErr w:type="spellEnd"/>
      <w:r w:rsidRPr="007A69F2">
        <w:rPr>
          <w:szCs w:val="22"/>
          <w:lang w:val="sr-Latn-ME"/>
        </w:rPr>
        <w:t xml:space="preserve"> u dozi od 60 mg (N = 157) ili u grupu koja je primala </w:t>
      </w:r>
      <w:proofErr w:type="spellStart"/>
      <w:r w:rsidRPr="007A69F2">
        <w:rPr>
          <w:szCs w:val="22"/>
          <w:lang w:val="sr-Latn-ME"/>
        </w:rPr>
        <w:t>placebo</w:t>
      </w:r>
      <w:proofErr w:type="spellEnd"/>
      <w:r w:rsidRPr="007A69F2">
        <w:rPr>
          <w:szCs w:val="22"/>
          <w:lang w:val="sr-Latn-ME"/>
        </w:rPr>
        <w:t xml:space="preserve"> (N = 158) tokom 12 ned</w:t>
      </w:r>
      <w:r w:rsidR="00295336" w:rsidRPr="007A69F2">
        <w:rPr>
          <w:szCs w:val="22"/>
          <w:lang w:val="sr-Latn-ME"/>
        </w:rPr>
        <w:t>j</w:t>
      </w:r>
      <w:r w:rsidRPr="007A69F2">
        <w:rPr>
          <w:szCs w:val="22"/>
          <w:lang w:val="sr-Latn-ME"/>
        </w:rPr>
        <w:t xml:space="preserve">elja. Rezultati ovog ispitivanja bili su u skladu sa glavnim nalazima prethodnih ispitivanja efikasnosti kod epizodne migrene i statistički značajni za primarne i sekundarne mjere ishoda efikasnosti, uključujući nekoliko mjera ishoda kojima se procjenjivalo funkcionisanje prema procjeni </w:t>
      </w:r>
      <w:r w:rsidR="00935E09" w:rsidRPr="007A69F2">
        <w:rPr>
          <w:szCs w:val="22"/>
          <w:lang w:val="sr-Latn-ME"/>
        </w:rPr>
        <w:t>pacijenata</w:t>
      </w:r>
      <w:r w:rsidRPr="007A69F2">
        <w:rPr>
          <w:szCs w:val="22"/>
          <w:lang w:val="sr-Latn-ME"/>
        </w:rPr>
        <w:t xml:space="preserve">. Liječenje </w:t>
      </w:r>
      <w:proofErr w:type="spellStart"/>
      <w:r w:rsidRPr="007A69F2">
        <w:rPr>
          <w:szCs w:val="22"/>
          <w:lang w:val="sr-Latn-ME"/>
        </w:rPr>
        <w:t>atogepantom</w:t>
      </w:r>
      <w:proofErr w:type="spellEnd"/>
      <w:r w:rsidRPr="007A69F2">
        <w:rPr>
          <w:szCs w:val="22"/>
          <w:lang w:val="sr-Latn-ME"/>
        </w:rPr>
        <w:t xml:space="preserve"> dovelo je do smanjenja srednje vrijednosti DMM-a za 4,2 dana u poređenju sa 1,9 dana u grupi koja je primala </w:t>
      </w:r>
      <w:proofErr w:type="spellStart"/>
      <w:r w:rsidRPr="007A69F2">
        <w:rPr>
          <w:szCs w:val="22"/>
          <w:lang w:val="sr-Latn-ME"/>
        </w:rPr>
        <w:t>placebo</w:t>
      </w:r>
      <w:proofErr w:type="spellEnd"/>
      <w:r w:rsidRPr="007A69F2">
        <w:rPr>
          <w:szCs w:val="22"/>
          <w:lang w:val="sr-Latn-ME"/>
        </w:rPr>
        <w:t xml:space="preserve"> (p &lt; 0,001). 50,6 % (78/154) </w:t>
      </w:r>
      <w:r w:rsidR="00935E09" w:rsidRPr="007A69F2">
        <w:rPr>
          <w:szCs w:val="22"/>
          <w:lang w:val="sr-Latn-ME"/>
        </w:rPr>
        <w:t>pacijenata</w:t>
      </w:r>
      <w:r w:rsidRPr="007A69F2">
        <w:rPr>
          <w:szCs w:val="22"/>
          <w:lang w:val="sr-Latn-ME"/>
        </w:rPr>
        <w:t xml:space="preserve"> u </w:t>
      </w:r>
      <w:r w:rsidR="00935E09" w:rsidRPr="007A69F2">
        <w:rPr>
          <w:szCs w:val="22"/>
          <w:lang w:val="sr-Latn-ME"/>
        </w:rPr>
        <w:t>grupi</w:t>
      </w:r>
      <w:r w:rsidRPr="007A69F2">
        <w:rPr>
          <w:szCs w:val="22"/>
          <w:lang w:val="sr-Latn-ME"/>
        </w:rPr>
        <w:t xml:space="preserve"> koja je primala </w:t>
      </w:r>
      <w:proofErr w:type="spellStart"/>
      <w:r w:rsidRPr="007A69F2">
        <w:rPr>
          <w:szCs w:val="22"/>
          <w:lang w:val="sr-Latn-ME"/>
        </w:rPr>
        <w:t>atogepant</w:t>
      </w:r>
      <w:proofErr w:type="spellEnd"/>
      <w:r w:rsidRPr="007A69F2">
        <w:rPr>
          <w:szCs w:val="22"/>
          <w:lang w:val="sr-Latn-ME"/>
        </w:rPr>
        <w:t xml:space="preserve"> postiglo je najmanje 50 %-</w:t>
      </w:r>
      <w:proofErr w:type="spellStart"/>
      <w:r w:rsidRPr="007A69F2">
        <w:rPr>
          <w:szCs w:val="22"/>
          <w:lang w:val="sr-Latn-ME"/>
        </w:rPr>
        <w:t>tno</w:t>
      </w:r>
      <w:proofErr w:type="spellEnd"/>
      <w:r w:rsidRPr="007A69F2">
        <w:rPr>
          <w:szCs w:val="22"/>
          <w:lang w:val="sr-Latn-ME"/>
        </w:rPr>
        <w:t xml:space="preserve"> smanjenje DMM-a u odnosu na početak ispitivanja </w:t>
      </w:r>
      <w:r w:rsidR="00935E09" w:rsidRPr="007A69F2">
        <w:rPr>
          <w:szCs w:val="22"/>
          <w:lang w:val="sr-Latn-ME"/>
        </w:rPr>
        <w:t>u poređenju sa</w:t>
      </w:r>
      <w:r w:rsidRPr="007A69F2">
        <w:rPr>
          <w:szCs w:val="22"/>
          <w:lang w:val="sr-Latn-ME"/>
        </w:rPr>
        <w:t xml:space="preserve"> 18,1 % (28/155) u </w:t>
      </w:r>
      <w:r w:rsidR="00935E09" w:rsidRPr="007A69F2">
        <w:rPr>
          <w:szCs w:val="22"/>
          <w:lang w:val="sr-Latn-ME"/>
        </w:rPr>
        <w:t>grupi</w:t>
      </w:r>
      <w:r w:rsidRPr="007A69F2">
        <w:rPr>
          <w:szCs w:val="22"/>
          <w:lang w:val="sr-Latn-ME"/>
        </w:rPr>
        <w:t xml:space="preserve"> koja je primala </w:t>
      </w:r>
      <w:proofErr w:type="spellStart"/>
      <w:r w:rsidRPr="007A69F2">
        <w:rPr>
          <w:szCs w:val="22"/>
          <w:lang w:val="sr-Latn-ME"/>
        </w:rPr>
        <w:t>placebo</w:t>
      </w:r>
      <w:proofErr w:type="spellEnd"/>
      <w:r w:rsidRPr="007A69F2">
        <w:rPr>
          <w:szCs w:val="22"/>
          <w:lang w:val="sr-Latn-ME"/>
        </w:rPr>
        <w:t xml:space="preserve"> (</w:t>
      </w:r>
      <w:r w:rsidR="00935E09" w:rsidRPr="007A69F2">
        <w:rPr>
          <w:szCs w:val="22"/>
          <w:lang w:val="sr-Latn-ME"/>
        </w:rPr>
        <w:t>odnos</w:t>
      </w:r>
      <w:r w:rsidRPr="007A69F2">
        <w:rPr>
          <w:szCs w:val="22"/>
          <w:lang w:val="sr-Latn-ME"/>
        </w:rPr>
        <w:t xml:space="preserve"> izgleda [95 % CI]: 4,82 [2,85; 8,14], p &lt; 0,001).</w:t>
      </w:r>
    </w:p>
    <w:p w14:paraId="27CB3E26" w14:textId="77777777" w:rsidR="00935E09" w:rsidRPr="007A69F2" w:rsidRDefault="00935E09" w:rsidP="000B10C0">
      <w:pPr>
        <w:spacing w:line="240" w:lineRule="auto"/>
        <w:jc w:val="both"/>
        <w:rPr>
          <w:szCs w:val="22"/>
          <w:lang w:val="sr-Latn-ME"/>
        </w:rPr>
      </w:pPr>
    </w:p>
    <w:p w14:paraId="17866FB5" w14:textId="6F0C3A8A" w:rsidR="00C27426" w:rsidRPr="007A69F2" w:rsidRDefault="00D04C51" w:rsidP="000B10C0">
      <w:pPr>
        <w:keepNext/>
        <w:spacing w:line="240" w:lineRule="auto"/>
        <w:jc w:val="both"/>
        <w:rPr>
          <w:iCs/>
          <w:szCs w:val="22"/>
          <w:lang w:val="sr-Latn-ME"/>
        </w:rPr>
      </w:pPr>
      <w:r w:rsidRPr="007A69F2">
        <w:rPr>
          <w:i/>
          <w:szCs w:val="22"/>
          <w:u w:val="single"/>
          <w:lang w:val="sr-Latn-ME"/>
        </w:rPr>
        <w:t>Hronična migrena</w:t>
      </w:r>
    </w:p>
    <w:p w14:paraId="6EE17F2E" w14:textId="4F5C56E8" w:rsidR="005F0BB1" w:rsidRPr="007A69F2" w:rsidRDefault="005F0BB1" w:rsidP="00405FD8">
      <w:pPr>
        <w:spacing w:line="240" w:lineRule="auto"/>
        <w:jc w:val="both"/>
        <w:rPr>
          <w:szCs w:val="22"/>
          <w:lang w:val="sr-Latn-ME"/>
        </w:rPr>
      </w:pPr>
      <w:r w:rsidRPr="007A69F2">
        <w:rPr>
          <w:szCs w:val="22"/>
          <w:lang w:val="sr-Latn-ME"/>
        </w:rPr>
        <w:t xml:space="preserve">Lijek </w:t>
      </w:r>
      <w:proofErr w:type="spellStart"/>
      <w:r w:rsidRPr="007A69F2">
        <w:rPr>
          <w:szCs w:val="22"/>
          <w:lang w:val="sr-Latn-ME"/>
        </w:rPr>
        <w:t>atogepant</w:t>
      </w:r>
      <w:proofErr w:type="spellEnd"/>
      <w:r w:rsidRPr="007A69F2">
        <w:rPr>
          <w:szCs w:val="22"/>
          <w:lang w:val="sr-Latn-ME"/>
        </w:rPr>
        <w:t xml:space="preserve"> je procijenjen za profilaksu hronične migrene (15 ili više dana s</w:t>
      </w:r>
      <w:r w:rsidR="00DF5240" w:rsidRPr="007A69F2">
        <w:rPr>
          <w:szCs w:val="22"/>
          <w:lang w:val="sr-Latn-ME"/>
        </w:rPr>
        <w:t>a</w:t>
      </w:r>
      <w:r w:rsidRPr="007A69F2">
        <w:rPr>
          <w:szCs w:val="22"/>
          <w:lang w:val="sr-Latn-ME"/>
        </w:rPr>
        <w:t xml:space="preserve"> glavoboljom mjesečno, od čega je najmanje 8 dana bilo s</w:t>
      </w:r>
      <w:r w:rsidR="00DF5240" w:rsidRPr="007A69F2">
        <w:rPr>
          <w:szCs w:val="22"/>
          <w:lang w:val="sr-Latn-ME"/>
        </w:rPr>
        <w:t>a</w:t>
      </w:r>
      <w:r w:rsidRPr="007A69F2">
        <w:rPr>
          <w:szCs w:val="22"/>
          <w:lang w:val="sr-Latn-ME"/>
        </w:rPr>
        <w:t xml:space="preserve"> migrenom) u </w:t>
      </w:r>
      <w:proofErr w:type="spellStart"/>
      <w:r w:rsidR="00295336" w:rsidRPr="007A69F2">
        <w:rPr>
          <w:szCs w:val="22"/>
          <w:lang w:val="sr-Latn-ME"/>
        </w:rPr>
        <w:t>randomizovanom</w:t>
      </w:r>
      <w:proofErr w:type="spellEnd"/>
      <w:r w:rsidRPr="007A69F2">
        <w:rPr>
          <w:szCs w:val="22"/>
          <w:lang w:val="sr-Latn-ME"/>
        </w:rPr>
        <w:t xml:space="preserve">, </w:t>
      </w:r>
      <w:proofErr w:type="spellStart"/>
      <w:r w:rsidRPr="007A69F2">
        <w:rPr>
          <w:szCs w:val="22"/>
          <w:lang w:val="sr-Latn-ME"/>
        </w:rPr>
        <w:t>multicentričnom</w:t>
      </w:r>
      <w:proofErr w:type="spellEnd"/>
      <w:r w:rsidRPr="007A69F2">
        <w:rPr>
          <w:szCs w:val="22"/>
          <w:lang w:val="sr-Latn-ME"/>
        </w:rPr>
        <w:t xml:space="preserve">, </w:t>
      </w:r>
      <w:r w:rsidRPr="007A69F2">
        <w:rPr>
          <w:szCs w:val="22"/>
          <w:lang w:val="sr-Latn-ME"/>
        </w:rPr>
        <w:lastRenderedPageBreak/>
        <w:t xml:space="preserve">dvostruko slijepom, </w:t>
      </w:r>
      <w:proofErr w:type="spellStart"/>
      <w:r w:rsidRPr="007A69F2">
        <w:rPr>
          <w:szCs w:val="22"/>
          <w:lang w:val="sr-Latn-ME"/>
        </w:rPr>
        <w:t>placebom</w:t>
      </w:r>
      <w:proofErr w:type="spellEnd"/>
      <w:r w:rsidRPr="007A69F2">
        <w:rPr>
          <w:szCs w:val="22"/>
          <w:lang w:val="sr-Latn-ME"/>
        </w:rPr>
        <w:t xml:space="preserve"> kontrolisanom ispitivanju (PROGRESS). </w:t>
      </w:r>
      <w:r w:rsidR="00935E09" w:rsidRPr="007A69F2">
        <w:rPr>
          <w:szCs w:val="22"/>
          <w:lang w:val="sr-Latn-ME"/>
        </w:rPr>
        <w:t xml:space="preserve">Pacijenti </w:t>
      </w:r>
      <w:r w:rsidRPr="007A69F2">
        <w:rPr>
          <w:szCs w:val="22"/>
          <w:lang w:val="sr-Latn-ME"/>
        </w:rPr>
        <w:t xml:space="preserve">su </w:t>
      </w:r>
      <w:proofErr w:type="spellStart"/>
      <w:r w:rsidRPr="007A69F2">
        <w:rPr>
          <w:szCs w:val="22"/>
          <w:lang w:val="sr-Latn-ME"/>
        </w:rPr>
        <w:t>randomiz</w:t>
      </w:r>
      <w:r w:rsidR="00DF5240" w:rsidRPr="007A69F2">
        <w:rPr>
          <w:szCs w:val="22"/>
          <w:lang w:val="sr-Latn-ME"/>
        </w:rPr>
        <w:t>ovani</w:t>
      </w:r>
      <w:proofErr w:type="spellEnd"/>
      <w:r w:rsidRPr="007A69F2">
        <w:rPr>
          <w:szCs w:val="22"/>
          <w:lang w:val="sr-Latn-ME"/>
        </w:rPr>
        <w:t xml:space="preserve"> u grupu koja je primala lijek AQUIPTA u dozi od 60 mg (N = 262) ili u grupu koja je primala </w:t>
      </w:r>
      <w:proofErr w:type="spellStart"/>
      <w:r w:rsidRPr="007A69F2">
        <w:rPr>
          <w:szCs w:val="22"/>
          <w:lang w:val="sr-Latn-ME"/>
        </w:rPr>
        <w:t>placebo</w:t>
      </w:r>
      <w:proofErr w:type="spellEnd"/>
      <w:r w:rsidRPr="007A69F2">
        <w:rPr>
          <w:szCs w:val="22"/>
          <w:lang w:val="sr-Latn-ME"/>
        </w:rPr>
        <w:t xml:space="preserve"> (N = 259) jednom dnevno tokom 12 </w:t>
      </w:r>
      <w:r w:rsidR="00260573" w:rsidRPr="007A69F2">
        <w:rPr>
          <w:szCs w:val="22"/>
          <w:lang w:val="sr-Latn-ME"/>
        </w:rPr>
        <w:t>ned</w:t>
      </w:r>
      <w:r w:rsidR="00175CC9" w:rsidRPr="007A69F2">
        <w:rPr>
          <w:szCs w:val="22"/>
          <w:lang w:val="sr-Latn-ME"/>
        </w:rPr>
        <w:t>j</w:t>
      </w:r>
      <w:r w:rsidR="00260573" w:rsidRPr="007A69F2">
        <w:rPr>
          <w:szCs w:val="22"/>
          <w:lang w:val="sr-Latn-ME"/>
        </w:rPr>
        <w:t>elja</w:t>
      </w:r>
      <w:r w:rsidRPr="007A69F2">
        <w:rPr>
          <w:szCs w:val="22"/>
          <w:lang w:val="sr-Latn-ME"/>
        </w:rPr>
        <w:t xml:space="preserve">. Podgrupi </w:t>
      </w:r>
      <w:r w:rsidR="00260573" w:rsidRPr="007A69F2">
        <w:rPr>
          <w:szCs w:val="22"/>
          <w:lang w:val="sr-Latn-ME"/>
        </w:rPr>
        <w:t>pacijenata</w:t>
      </w:r>
      <w:r w:rsidRPr="007A69F2">
        <w:rPr>
          <w:szCs w:val="22"/>
          <w:lang w:val="sr-Latn-ME"/>
        </w:rPr>
        <w:t xml:space="preserve"> (11%) bila je dopuštena istovremena primjena jednog lijeka za profilaksu migrene (npr. </w:t>
      </w:r>
      <w:proofErr w:type="spellStart"/>
      <w:r w:rsidRPr="007A69F2">
        <w:rPr>
          <w:szCs w:val="22"/>
          <w:lang w:val="sr-Latn-ME"/>
        </w:rPr>
        <w:t>amitriptilina</w:t>
      </w:r>
      <w:proofErr w:type="spellEnd"/>
      <w:r w:rsidRPr="007A69F2">
        <w:rPr>
          <w:szCs w:val="22"/>
          <w:lang w:val="sr-Latn-ME"/>
        </w:rPr>
        <w:t xml:space="preserve">, </w:t>
      </w:r>
      <w:proofErr w:type="spellStart"/>
      <w:r w:rsidRPr="007A69F2">
        <w:rPr>
          <w:szCs w:val="22"/>
          <w:lang w:val="sr-Latn-ME"/>
        </w:rPr>
        <w:t>propranolola</w:t>
      </w:r>
      <w:proofErr w:type="spellEnd"/>
      <w:r w:rsidRPr="007A69F2">
        <w:rPr>
          <w:szCs w:val="22"/>
          <w:lang w:val="sr-Latn-ME"/>
        </w:rPr>
        <w:t xml:space="preserve">, </w:t>
      </w:r>
      <w:proofErr w:type="spellStart"/>
      <w:r w:rsidRPr="007A69F2">
        <w:rPr>
          <w:szCs w:val="22"/>
          <w:lang w:val="sr-Latn-ME"/>
        </w:rPr>
        <w:t>topiramata</w:t>
      </w:r>
      <w:proofErr w:type="spellEnd"/>
      <w:r w:rsidRPr="007A69F2">
        <w:rPr>
          <w:szCs w:val="22"/>
          <w:lang w:val="sr-Latn-ME"/>
        </w:rPr>
        <w:t xml:space="preserve">). </w:t>
      </w:r>
      <w:r w:rsidR="00DF5240" w:rsidRPr="007A69F2">
        <w:rPr>
          <w:szCs w:val="22"/>
          <w:lang w:val="sr-Latn-ME"/>
        </w:rPr>
        <w:t>Pacijentima</w:t>
      </w:r>
      <w:r w:rsidRPr="007A69F2">
        <w:rPr>
          <w:szCs w:val="22"/>
          <w:lang w:val="sr-Latn-ME"/>
        </w:rPr>
        <w:t xml:space="preserve"> je, prema potrebi, bila dopuštena primjena </w:t>
      </w:r>
      <w:r w:rsidR="008007BD" w:rsidRPr="007A69F2">
        <w:rPr>
          <w:szCs w:val="22"/>
          <w:lang w:val="sr-Latn-ME"/>
        </w:rPr>
        <w:t>ljekov</w:t>
      </w:r>
      <w:r w:rsidRPr="007A69F2">
        <w:rPr>
          <w:szCs w:val="22"/>
          <w:lang w:val="sr-Latn-ME"/>
        </w:rPr>
        <w:t xml:space="preserve">a za akutnu terapiju glavobolje (tj. </w:t>
      </w:r>
      <w:proofErr w:type="spellStart"/>
      <w:r w:rsidRPr="007A69F2">
        <w:rPr>
          <w:szCs w:val="22"/>
          <w:lang w:val="sr-Latn-ME"/>
        </w:rPr>
        <w:t>triptana</w:t>
      </w:r>
      <w:proofErr w:type="spellEnd"/>
      <w:r w:rsidRPr="007A69F2">
        <w:rPr>
          <w:szCs w:val="22"/>
          <w:lang w:val="sr-Latn-ME"/>
        </w:rPr>
        <w:t xml:space="preserve">, derivata </w:t>
      </w:r>
      <w:proofErr w:type="spellStart"/>
      <w:r w:rsidRPr="007A69F2">
        <w:rPr>
          <w:szCs w:val="22"/>
          <w:lang w:val="sr-Latn-ME"/>
        </w:rPr>
        <w:t>ergotamina</w:t>
      </w:r>
      <w:proofErr w:type="spellEnd"/>
      <w:r w:rsidRPr="007A69F2">
        <w:rPr>
          <w:szCs w:val="22"/>
          <w:lang w:val="sr-Latn-ME"/>
        </w:rPr>
        <w:t xml:space="preserve">, </w:t>
      </w:r>
      <w:proofErr w:type="spellStart"/>
      <w:r w:rsidRPr="007A69F2">
        <w:rPr>
          <w:szCs w:val="22"/>
          <w:lang w:val="sr-Latn-ME"/>
        </w:rPr>
        <w:t>nesteroidnih</w:t>
      </w:r>
      <w:proofErr w:type="spellEnd"/>
      <w:r w:rsidRPr="007A69F2">
        <w:rPr>
          <w:szCs w:val="22"/>
          <w:lang w:val="sr-Latn-ME"/>
        </w:rPr>
        <w:t xml:space="preserve"> </w:t>
      </w:r>
      <w:proofErr w:type="spellStart"/>
      <w:r w:rsidRPr="007A69F2">
        <w:rPr>
          <w:szCs w:val="22"/>
          <w:lang w:val="sr-Latn-ME"/>
        </w:rPr>
        <w:t>antiinflamatornih</w:t>
      </w:r>
      <w:proofErr w:type="spellEnd"/>
      <w:r w:rsidRPr="007A69F2">
        <w:rPr>
          <w:szCs w:val="22"/>
          <w:lang w:val="sr-Latn-ME"/>
        </w:rPr>
        <w:t xml:space="preserve"> </w:t>
      </w:r>
      <w:r w:rsidR="008007BD" w:rsidRPr="007A69F2">
        <w:rPr>
          <w:szCs w:val="22"/>
          <w:lang w:val="sr-Latn-ME"/>
        </w:rPr>
        <w:t>ljekov</w:t>
      </w:r>
      <w:r w:rsidRPr="007A69F2">
        <w:rPr>
          <w:szCs w:val="22"/>
          <w:lang w:val="sr-Latn-ME"/>
        </w:rPr>
        <w:t xml:space="preserve">a (NSAIL-a), </w:t>
      </w:r>
      <w:proofErr w:type="spellStart"/>
      <w:r w:rsidRPr="007A69F2">
        <w:rPr>
          <w:szCs w:val="22"/>
          <w:lang w:val="sr-Latn-ME"/>
        </w:rPr>
        <w:t>paracetamola</w:t>
      </w:r>
      <w:proofErr w:type="spellEnd"/>
      <w:r w:rsidRPr="007A69F2">
        <w:rPr>
          <w:szCs w:val="22"/>
          <w:lang w:val="sr-Latn-ME"/>
        </w:rPr>
        <w:t xml:space="preserve"> i </w:t>
      </w:r>
      <w:proofErr w:type="spellStart"/>
      <w:r w:rsidRPr="007A69F2">
        <w:rPr>
          <w:szCs w:val="22"/>
          <w:lang w:val="sr-Latn-ME"/>
        </w:rPr>
        <w:t>opioida</w:t>
      </w:r>
      <w:proofErr w:type="spellEnd"/>
      <w:r w:rsidRPr="007A69F2">
        <w:rPr>
          <w:szCs w:val="22"/>
          <w:lang w:val="sr-Latn-ME"/>
        </w:rPr>
        <w:t xml:space="preserve">). </w:t>
      </w:r>
      <w:r w:rsidR="00935E09" w:rsidRPr="007A69F2">
        <w:rPr>
          <w:szCs w:val="22"/>
          <w:lang w:val="sr-Latn-ME"/>
        </w:rPr>
        <w:t>Pacijenti</w:t>
      </w:r>
      <w:r w:rsidRPr="007A69F2">
        <w:rPr>
          <w:szCs w:val="22"/>
          <w:lang w:val="sr-Latn-ME"/>
        </w:rPr>
        <w:t xml:space="preserve"> koji su prekomjerno uzimali </w:t>
      </w:r>
      <w:r w:rsidR="008007BD" w:rsidRPr="007A69F2">
        <w:rPr>
          <w:szCs w:val="22"/>
          <w:lang w:val="sr-Latn-ME"/>
        </w:rPr>
        <w:t>ljekov</w:t>
      </w:r>
      <w:r w:rsidRPr="007A69F2">
        <w:rPr>
          <w:szCs w:val="22"/>
          <w:lang w:val="sr-Latn-ME"/>
        </w:rPr>
        <w:t>e za akutnu terapiju i oni s</w:t>
      </w:r>
      <w:r w:rsidR="00DF5240" w:rsidRPr="007A69F2">
        <w:rPr>
          <w:szCs w:val="22"/>
          <w:lang w:val="sr-Latn-ME"/>
        </w:rPr>
        <w:t>a</w:t>
      </w:r>
      <w:r w:rsidRPr="007A69F2">
        <w:rPr>
          <w:szCs w:val="22"/>
          <w:lang w:val="sr-Latn-ME"/>
        </w:rPr>
        <w:t xml:space="preserve"> glavoboljom uzrokovanom prekomjernim uzimanjem </w:t>
      </w:r>
      <w:r w:rsidR="008007BD" w:rsidRPr="007A69F2">
        <w:rPr>
          <w:szCs w:val="22"/>
          <w:lang w:val="sr-Latn-ME"/>
        </w:rPr>
        <w:t>ljekov</w:t>
      </w:r>
      <w:r w:rsidRPr="007A69F2">
        <w:rPr>
          <w:szCs w:val="22"/>
          <w:lang w:val="sr-Latn-ME"/>
        </w:rPr>
        <w:t xml:space="preserve">a, takođe su bili uključeni u ispitivanje. Istovremena primjena </w:t>
      </w:r>
      <w:r w:rsidR="008007BD" w:rsidRPr="007A69F2">
        <w:rPr>
          <w:szCs w:val="22"/>
          <w:lang w:val="sr-Latn-ME"/>
        </w:rPr>
        <w:t>ljekov</w:t>
      </w:r>
      <w:r w:rsidRPr="007A69F2">
        <w:rPr>
          <w:szCs w:val="22"/>
          <w:lang w:val="sr-Latn-ME"/>
        </w:rPr>
        <w:t>a koji djeluju na signalni put CGRP-a nije bila dopuštena ni za akutno ni za preventivno liječenje migrene.</w:t>
      </w:r>
    </w:p>
    <w:p w14:paraId="086ED0AA" w14:textId="77777777" w:rsidR="00BD6FF3" w:rsidRPr="007A69F2" w:rsidRDefault="00BD6FF3" w:rsidP="00405FD8">
      <w:pPr>
        <w:spacing w:line="240" w:lineRule="auto"/>
        <w:jc w:val="both"/>
        <w:rPr>
          <w:szCs w:val="22"/>
          <w:lang w:val="sr-Latn-ME"/>
        </w:rPr>
      </w:pPr>
    </w:p>
    <w:p w14:paraId="5BD90224" w14:textId="5CE2E647" w:rsidR="005F0BB1" w:rsidRPr="007A69F2" w:rsidRDefault="005F0BB1" w:rsidP="00405FD8">
      <w:pPr>
        <w:spacing w:line="240" w:lineRule="auto"/>
        <w:jc w:val="both"/>
        <w:rPr>
          <w:szCs w:val="22"/>
          <w:lang w:val="sr-Latn-ME"/>
        </w:rPr>
      </w:pPr>
      <w:r w:rsidRPr="007A69F2">
        <w:rPr>
          <w:szCs w:val="22"/>
          <w:lang w:val="sr-Latn-ME"/>
        </w:rPr>
        <w:t>Dvostruko slijepo 12-</w:t>
      </w:r>
      <w:r w:rsidR="00DF5240" w:rsidRPr="007A69F2">
        <w:rPr>
          <w:szCs w:val="22"/>
          <w:lang w:val="sr-Latn-ME"/>
        </w:rPr>
        <w:t>ned</w:t>
      </w:r>
      <w:r w:rsidR="00175CC9" w:rsidRPr="007A69F2">
        <w:rPr>
          <w:szCs w:val="22"/>
          <w:lang w:val="sr-Latn-ME"/>
        </w:rPr>
        <w:t>j</w:t>
      </w:r>
      <w:r w:rsidR="00DF5240" w:rsidRPr="007A69F2">
        <w:rPr>
          <w:szCs w:val="22"/>
          <w:lang w:val="sr-Latn-ME"/>
        </w:rPr>
        <w:t>eljno</w:t>
      </w:r>
      <w:r w:rsidRPr="007A69F2">
        <w:rPr>
          <w:szCs w:val="22"/>
          <w:lang w:val="sr-Latn-ME"/>
        </w:rPr>
        <w:t xml:space="preserve"> ispitivanje završilo je ukupno 463 (89%) </w:t>
      </w:r>
      <w:r w:rsidR="00260573" w:rsidRPr="007A69F2">
        <w:rPr>
          <w:szCs w:val="22"/>
          <w:lang w:val="sr-Latn-ME"/>
        </w:rPr>
        <w:t>pacijenata</w:t>
      </w:r>
      <w:r w:rsidRPr="007A69F2">
        <w:rPr>
          <w:szCs w:val="22"/>
          <w:lang w:val="sr-Latn-ME"/>
        </w:rPr>
        <w:t xml:space="preserve">. Srednja vrijednost </w:t>
      </w:r>
      <w:r w:rsidR="00BD6FF3" w:rsidRPr="007A69F2">
        <w:rPr>
          <w:szCs w:val="22"/>
          <w:lang w:val="sr-Latn-ME"/>
        </w:rPr>
        <w:t>starosti</w:t>
      </w:r>
      <w:r w:rsidRPr="007A69F2">
        <w:rPr>
          <w:szCs w:val="22"/>
          <w:lang w:val="sr-Latn-ME"/>
        </w:rPr>
        <w:t xml:space="preserve"> </w:t>
      </w:r>
      <w:r w:rsidR="00260573" w:rsidRPr="007A69F2">
        <w:rPr>
          <w:szCs w:val="22"/>
          <w:lang w:val="sr-Latn-ME"/>
        </w:rPr>
        <w:t>pacijenata</w:t>
      </w:r>
      <w:r w:rsidRPr="007A69F2">
        <w:rPr>
          <w:szCs w:val="22"/>
          <w:lang w:val="sr-Latn-ME"/>
        </w:rPr>
        <w:t xml:space="preserve"> bila je 42 godine (raspon: od 18 do 74 godine), 3% </w:t>
      </w:r>
      <w:r w:rsidR="00260573" w:rsidRPr="007A69F2">
        <w:rPr>
          <w:szCs w:val="22"/>
          <w:lang w:val="sr-Latn-ME"/>
        </w:rPr>
        <w:t>pacijenata</w:t>
      </w:r>
      <w:r w:rsidRPr="007A69F2">
        <w:rPr>
          <w:szCs w:val="22"/>
          <w:lang w:val="sr-Latn-ME"/>
        </w:rPr>
        <w:t xml:space="preserve"> bilo je </w:t>
      </w:r>
      <w:r w:rsidR="00BD6FF3" w:rsidRPr="007A69F2">
        <w:rPr>
          <w:szCs w:val="22"/>
          <w:lang w:val="sr-Latn-ME"/>
        </w:rPr>
        <w:t>starosti</w:t>
      </w:r>
      <w:r w:rsidRPr="007A69F2">
        <w:rPr>
          <w:szCs w:val="22"/>
          <w:lang w:val="sr-Latn-ME"/>
        </w:rPr>
        <w:t xml:space="preserve"> od 65 godina ili starije, 87% bile su žene, a 59% bijelci. Srednja vrijednost učestalosti migrene na početku ispitivanja iznosila je približno 19 dana s</w:t>
      </w:r>
      <w:r w:rsidR="00DF5240" w:rsidRPr="007A69F2">
        <w:rPr>
          <w:szCs w:val="22"/>
          <w:lang w:val="sr-Latn-ME"/>
        </w:rPr>
        <w:t>a</w:t>
      </w:r>
      <w:r w:rsidRPr="007A69F2">
        <w:rPr>
          <w:szCs w:val="22"/>
          <w:lang w:val="sr-Latn-ME"/>
        </w:rPr>
        <w:t xml:space="preserve"> migrenom mjesečno i bila je slična u obje terapijske </w:t>
      </w:r>
      <w:r w:rsidR="00BD6FF3" w:rsidRPr="007A69F2">
        <w:rPr>
          <w:szCs w:val="22"/>
          <w:lang w:val="sr-Latn-ME"/>
        </w:rPr>
        <w:t>grupe</w:t>
      </w:r>
      <w:r w:rsidRPr="007A69F2">
        <w:rPr>
          <w:szCs w:val="22"/>
          <w:lang w:val="sr-Latn-ME"/>
        </w:rPr>
        <w:t>.</w:t>
      </w:r>
    </w:p>
    <w:p w14:paraId="7189F554" w14:textId="77777777" w:rsidR="00BD6FF3" w:rsidRPr="007A69F2" w:rsidRDefault="00BD6FF3" w:rsidP="00405FD8">
      <w:pPr>
        <w:spacing w:line="240" w:lineRule="auto"/>
        <w:jc w:val="both"/>
        <w:rPr>
          <w:szCs w:val="22"/>
          <w:lang w:val="sr-Latn-ME"/>
        </w:rPr>
      </w:pPr>
    </w:p>
    <w:p w14:paraId="3CA12B8F" w14:textId="77777777" w:rsidR="00175CC9" w:rsidRPr="007A69F2" w:rsidRDefault="005F0BB1" w:rsidP="00405FD8">
      <w:pPr>
        <w:spacing w:line="240" w:lineRule="auto"/>
        <w:jc w:val="both"/>
        <w:rPr>
          <w:szCs w:val="22"/>
          <w:lang w:val="sr-Latn-ME"/>
        </w:rPr>
      </w:pPr>
      <w:r w:rsidRPr="007A69F2">
        <w:rPr>
          <w:szCs w:val="22"/>
          <w:lang w:val="sr-Latn-ME"/>
        </w:rPr>
        <w:t xml:space="preserve">Primarna mjera ishoda </w:t>
      </w:r>
      <w:r w:rsidR="00BD6FF3" w:rsidRPr="007A69F2">
        <w:rPr>
          <w:szCs w:val="22"/>
          <w:lang w:val="sr-Latn-ME"/>
        </w:rPr>
        <w:t>efikasnosti</w:t>
      </w:r>
      <w:r w:rsidRPr="007A69F2">
        <w:rPr>
          <w:szCs w:val="22"/>
          <w:lang w:val="sr-Latn-ME"/>
        </w:rPr>
        <w:t xml:space="preserve"> bila je promjena srednje vrijednosti MM</w:t>
      </w:r>
      <w:r w:rsidR="00BD6FF3" w:rsidRPr="007A69F2">
        <w:rPr>
          <w:szCs w:val="22"/>
          <w:lang w:val="sr-Latn-ME"/>
        </w:rPr>
        <w:t>D</w:t>
      </w:r>
      <w:r w:rsidRPr="007A69F2">
        <w:rPr>
          <w:szCs w:val="22"/>
          <w:lang w:val="sr-Latn-ME"/>
        </w:rPr>
        <w:t>-a t</w:t>
      </w:r>
      <w:r w:rsidR="00BD6FF3" w:rsidRPr="007A69F2">
        <w:rPr>
          <w:szCs w:val="22"/>
          <w:lang w:val="sr-Latn-ME"/>
        </w:rPr>
        <w:t>o</w:t>
      </w:r>
      <w:r w:rsidRPr="007A69F2">
        <w:rPr>
          <w:szCs w:val="22"/>
          <w:lang w:val="sr-Latn-ME"/>
        </w:rPr>
        <w:t>kom 12-</w:t>
      </w:r>
      <w:r w:rsidR="00DF5240" w:rsidRPr="007A69F2">
        <w:rPr>
          <w:szCs w:val="22"/>
          <w:lang w:val="sr-Latn-ME"/>
        </w:rPr>
        <w:t>ned</w:t>
      </w:r>
      <w:r w:rsidR="00175CC9" w:rsidRPr="007A69F2">
        <w:rPr>
          <w:szCs w:val="22"/>
          <w:lang w:val="sr-Latn-ME"/>
        </w:rPr>
        <w:t>j</w:t>
      </w:r>
      <w:r w:rsidR="00DF5240" w:rsidRPr="007A69F2">
        <w:rPr>
          <w:szCs w:val="22"/>
          <w:lang w:val="sr-Latn-ME"/>
        </w:rPr>
        <w:t>eljnog</w:t>
      </w:r>
      <w:r w:rsidR="00BD6FF3" w:rsidRPr="007A69F2">
        <w:rPr>
          <w:szCs w:val="22"/>
          <w:lang w:val="sr-Latn-ME"/>
        </w:rPr>
        <w:t xml:space="preserve"> perioda</w:t>
      </w:r>
      <w:r w:rsidRPr="007A69F2">
        <w:rPr>
          <w:szCs w:val="22"/>
          <w:lang w:val="sr-Latn-ME"/>
        </w:rPr>
        <w:t xml:space="preserve"> liječenja u odnosu na početak ispitivanja. Sekundarne mjere ishoda, kontroli</w:t>
      </w:r>
      <w:r w:rsidR="00BD6FF3" w:rsidRPr="007A69F2">
        <w:rPr>
          <w:szCs w:val="22"/>
          <w:lang w:val="sr-Latn-ME"/>
        </w:rPr>
        <w:t>s</w:t>
      </w:r>
      <w:r w:rsidRPr="007A69F2">
        <w:rPr>
          <w:szCs w:val="22"/>
          <w:lang w:val="sr-Latn-ME"/>
        </w:rPr>
        <w:t xml:space="preserve">ane za </w:t>
      </w:r>
      <w:proofErr w:type="spellStart"/>
      <w:r w:rsidRPr="007A69F2">
        <w:rPr>
          <w:szCs w:val="22"/>
          <w:lang w:val="sr-Latn-ME"/>
        </w:rPr>
        <w:t>multiplicitet</w:t>
      </w:r>
      <w:proofErr w:type="spellEnd"/>
      <w:r w:rsidRPr="007A69F2">
        <w:rPr>
          <w:szCs w:val="22"/>
          <w:lang w:val="sr-Latn-ME"/>
        </w:rPr>
        <w:t>, uključivale su promjenu srednje vrijednosti broja dana s glavoboljom mjesečno u odnosu</w:t>
      </w:r>
      <w:r w:rsidR="00175CC9" w:rsidRPr="007A69F2">
        <w:rPr>
          <w:szCs w:val="22"/>
          <w:lang w:val="sr-Latn-ME"/>
        </w:rPr>
        <w:t xml:space="preserve"> na početak ispitivanja, promjenu srednje vrijednosti broja dana uzimanja ljekova za akutnu primjenu mjesečno u odnosu na početak ispitivanja, </w:t>
      </w:r>
      <w:proofErr w:type="spellStart"/>
      <w:r w:rsidR="00175CC9" w:rsidRPr="007A69F2">
        <w:rPr>
          <w:szCs w:val="22"/>
          <w:lang w:val="sr-Latn-ME"/>
        </w:rPr>
        <w:t>udio</w:t>
      </w:r>
      <w:proofErr w:type="spellEnd"/>
      <w:r w:rsidR="00175CC9" w:rsidRPr="007A69F2">
        <w:rPr>
          <w:szCs w:val="22"/>
          <w:lang w:val="sr-Latn-ME"/>
        </w:rPr>
        <w:t xml:space="preserve"> pacijenata koji su postigli najmanje 50% smanjenje srednje vrijednosti MMD-a (3-mjesečni prosjek) u odnosu na početak ispitivanja i nekoliko mjera ishoda kojima se procjenjivalo funkcionisanje prema </w:t>
      </w:r>
      <w:proofErr w:type="spellStart"/>
      <w:r w:rsidR="00175CC9" w:rsidRPr="007A69F2">
        <w:rPr>
          <w:szCs w:val="22"/>
          <w:lang w:val="sr-Latn-ME"/>
        </w:rPr>
        <w:t>samoprocjeni</w:t>
      </w:r>
      <w:proofErr w:type="spellEnd"/>
      <w:r w:rsidR="00175CC9" w:rsidRPr="007A69F2">
        <w:rPr>
          <w:szCs w:val="22"/>
          <w:lang w:val="sr-Latn-ME"/>
        </w:rPr>
        <w:t xml:space="preserve"> pacijenata. Statistički značajni nalazi pokazali su se za primarne i sekundarne mjere ishoda efikasnosti uz primjenu lijeka AQUIPTA u poređenju s </w:t>
      </w:r>
      <w:proofErr w:type="spellStart"/>
      <w:r w:rsidR="00175CC9" w:rsidRPr="007A69F2">
        <w:rPr>
          <w:szCs w:val="22"/>
          <w:lang w:val="sr-Latn-ME"/>
        </w:rPr>
        <w:t>placebom</w:t>
      </w:r>
      <w:proofErr w:type="spellEnd"/>
      <w:r w:rsidR="00175CC9" w:rsidRPr="007A69F2">
        <w:rPr>
          <w:szCs w:val="22"/>
          <w:lang w:val="sr-Latn-ME"/>
        </w:rPr>
        <w:t xml:space="preserve"> u ispitivanju PROGRESS, kao što je sažeto prikazano u tabeli 4.</w:t>
      </w:r>
    </w:p>
    <w:bookmarkEnd w:id="15"/>
    <w:p w14:paraId="5390F21E" w14:textId="77777777" w:rsidR="00DA17AE" w:rsidRPr="007A69F2" w:rsidRDefault="00DA17AE" w:rsidP="00E4549D">
      <w:pPr>
        <w:spacing w:line="240" w:lineRule="auto"/>
        <w:jc w:val="both"/>
        <w:rPr>
          <w:szCs w:val="22"/>
          <w:lang w:val="sr-Latn-ME"/>
        </w:rPr>
      </w:pPr>
    </w:p>
    <w:p w14:paraId="7AA53FD0" w14:textId="0357D4F1" w:rsidR="00DA17AE" w:rsidRPr="007A69F2" w:rsidRDefault="00D04C51" w:rsidP="00E4549D">
      <w:pPr>
        <w:spacing w:line="240" w:lineRule="auto"/>
        <w:jc w:val="both"/>
        <w:rPr>
          <w:b/>
          <w:szCs w:val="22"/>
          <w:lang w:val="sr-Latn-ME"/>
        </w:rPr>
      </w:pPr>
      <w:r w:rsidRPr="007A69F2">
        <w:rPr>
          <w:b/>
          <w:szCs w:val="22"/>
          <w:lang w:val="sr-Latn-ME"/>
        </w:rPr>
        <w:t xml:space="preserve">Tabela 4: </w:t>
      </w:r>
      <w:r w:rsidR="00432F2D" w:rsidRPr="007A69F2">
        <w:rPr>
          <w:b/>
          <w:szCs w:val="22"/>
          <w:lang w:val="sr-Latn-ME"/>
        </w:rPr>
        <w:t>Mjere ishoda efikasnosti u ispitivanju</w:t>
      </w:r>
      <w:r w:rsidRPr="007A69F2">
        <w:rPr>
          <w:b/>
          <w:szCs w:val="22"/>
          <w:lang w:val="sr-Latn-ME"/>
        </w:rPr>
        <w:t xml:space="preserve"> PROGRESS</w:t>
      </w:r>
    </w:p>
    <w:p w14:paraId="5B90D181" w14:textId="77777777" w:rsidR="00295336" w:rsidRPr="007A69F2" w:rsidRDefault="00295336" w:rsidP="00E4549D">
      <w:pPr>
        <w:spacing w:line="240" w:lineRule="auto"/>
        <w:jc w:val="both"/>
        <w:rPr>
          <w:b/>
          <w:szCs w:val="22"/>
          <w:lang w:val="sr-Latn-ME"/>
        </w:rPr>
      </w:pPr>
    </w:p>
    <w:tbl>
      <w:tblPr>
        <w:tblStyle w:val="TableGrid"/>
        <w:tblW w:w="0" w:type="auto"/>
        <w:tblLook w:val="04A0" w:firstRow="1" w:lastRow="0" w:firstColumn="1" w:lastColumn="0" w:noHBand="0" w:noVBand="1"/>
      </w:tblPr>
      <w:tblGrid>
        <w:gridCol w:w="5665"/>
        <w:gridCol w:w="1985"/>
        <w:gridCol w:w="1366"/>
      </w:tblGrid>
      <w:tr w:rsidR="00BD6090" w:rsidRPr="007A69F2" w14:paraId="7AD8AE0B" w14:textId="77777777" w:rsidTr="009A5DA9">
        <w:tc>
          <w:tcPr>
            <w:tcW w:w="5665" w:type="dxa"/>
          </w:tcPr>
          <w:p w14:paraId="308E0361" w14:textId="77777777" w:rsidR="00DA17AE" w:rsidRPr="007A69F2" w:rsidRDefault="00DA17AE" w:rsidP="00E4549D">
            <w:pPr>
              <w:spacing w:line="240" w:lineRule="auto"/>
              <w:jc w:val="both"/>
              <w:rPr>
                <w:sz w:val="22"/>
                <w:szCs w:val="22"/>
                <w:lang w:val="sr-Latn-ME"/>
              </w:rPr>
            </w:pPr>
            <w:bookmarkStart w:id="17" w:name="_Hlk101778075"/>
          </w:p>
        </w:tc>
        <w:tc>
          <w:tcPr>
            <w:tcW w:w="1985" w:type="dxa"/>
          </w:tcPr>
          <w:p w14:paraId="53245A9B" w14:textId="77777777" w:rsidR="00DA17AE" w:rsidRPr="007A69F2" w:rsidRDefault="00D04C51" w:rsidP="006074EE">
            <w:pPr>
              <w:keepNext/>
              <w:keepLines/>
              <w:spacing w:line="240" w:lineRule="auto"/>
              <w:jc w:val="center"/>
              <w:rPr>
                <w:b/>
                <w:bCs/>
                <w:iCs/>
                <w:sz w:val="22"/>
                <w:szCs w:val="22"/>
                <w:lang w:val="sr-Latn-ME"/>
              </w:rPr>
            </w:pPr>
            <w:r w:rsidRPr="007A69F2">
              <w:rPr>
                <w:b/>
                <w:sz w:val="22"/>
                <w:szCs w:val="22"/>
                <w:lang w:val="sr-Latn-ME"/>
              </w:rPr>
              <w:t>AQUIPTA 60 mg</w:t>
            </w:r>
          </w:p>
          <w:p w14:paraId="34B4D941" w14:textId="77777777" w:rsidR="00DA17AE" w:rsidRPr="007A69F2" w:rsidRDefault="00D04C51" w:rsidP="006074EE">
            <w:pPr>
              <w:spacing w:line="240" w:lineRule="auto"/>
              <w:jc w:val="center"/>
              <w:rPr>
                <w:sz w:val="22"/>
                <w:szCs w:val="22"/>
                <w:lang w:val="sr-Latn-ME"/>
              </w:rPr>
            </w:pPr>
            <w:r w:rsidRPr="007A69F2">
              <w:rPr>
                <w:b/>
                <w:sz w:val="22"/>
                <w:szCs w:val="22"/>
                <w:lang w:val="sr-Latn-ME"/>
              </w:rPr>
              <w:t>N = 257</w:t>
            </w:r>
          </w:p>
        </w:tc>
        <w:tc>
          <w:tcPr>
            <w:tcW w:w="1366" w:type="dxa"/>
          </w:tcPr>
          <w:p w14:paraId="18FF7080" w14:textId="77777777" w:rsidR="00DA17AE" w:rsidRPr="007A69F2" w:rsidRDefault="00D04C51" w:rsidP="006074EE">
            <w:pPr>
              <w:keepNext/>
              <w:keepLines/>
              <w:spacing w:line="240" w:lineRule="auto"/>
              <w:jc w:val="center"/>
              <w:rPr>
                <w:b/>
                <w:bCs/>
                <w:iCs/>
                <w:sz w:val="22"/>
                <w:szCs w:val="22"/>
                <w:lang w:val="sr-Latn-ME"/>
              </w:rPr>
            </w:pPr>
            <w:proofErr w:type="spellStart"/>
            <w:r w:rsidRPr="007A69F2">
              <w:rPr>
                <w:b/>
                <w:sz w:val="22"/>
                <w:szCs w:val="22"/>
                <w:lang w:val="sr-Latn-ME"/>
              </w:rPr>
              <w:t>Placebo</w:t>
            </w:r>
            <w:proofErr w:type="spellEnd"/>
          </w:p>
          <w:p w14:paraId="1A8BA8D5" w14:textId="77777777" w:rsidR="00DA17AE" w:rsidRPr="007A69F2" w:rsidRDefault="00D04C51" w:rsidP="006074EE">
            <w:pPr>
              <w:spacing w:line="240" w:lineRule="auto"/>
              <w:jc w:val="center"/>
              <w:rPr>
                <w:sz w:val="22"/>
                <w:szCs w:val="22"/>
                <w:lang w:val="sr-Latn-ME"/>
              </w:rPr>
            </w:pPr>
            <w:r w:rsidRPr="007A69F2">
              <w:rPr>
                <w:b/>
                <w:sz w:val="22"/>
                <w:szCs w:val="22"/>
                <w:lang w:val="sr-Latn-ME"/>
              </w:rPr>
              <w:t>N = 249</w:t>
            </w:r>
          </w:p>
        </w:tc>
      </w:tr>
      <w:tr w:rsidR="00BD6090" w:rsidRPr="007A69F2" w14:paraId="5BEBF37A" w14:textId="77777777" w:rsidTr="007520F7">
        <w:tc>
          <w:tcPr>
            <w:tcW w:w="9016" w:type="dxa"/>
            <w:gridSpan w:val="3"/>
          </w:tcPr>
          <w:p w14:paraId="6599E4D0" w14:textId="360EEC58" w:rsidR="00DA17AE" w:rsidRPr="007A69F2" w:rsidRDefault="00432F2D" w:rsidP="00E4549D">
            <w:pPr>
              <w:spacing w:line="240" w:lineRule="auto"/>
              <w:jc w:val="both"/>
              <w:rPr>
                <w:sz w:val="22"/>
                <w:szCs w:val="22"/>
                <w:lang w:val="sr-Latn-ME"/>
              </w:rPr>
            </w:pPr>
            <w:r w:rsidRPr="007A69F2">
              <w:rPr>
                <w:b/>
                <w:sz w:val="22"/>
                <w:szCs w:val="22"/>
                <w:lang w:val="sr-Latn-ME"/>
              </w:rPr>
              <w:t>Broj dana s</w:t>
            </w:r>
            <w:r w:rsidR="00DF5240" w:rsidRPr="007A69F2">
              <w:rPr>
                <w:b/>
                <w:sz w:val="22"/>
                <w:szCs w:val="22"/>
                <w:lang w:val="sr-Latn-ME"/>
              </w:rPr>
              <w:t>a</w:t>
            </w:r>
            <w:r w:rsidRPr="007A69F2">
              <w:rPr>
                <w:b/>
                <w:sz w:val="22"/>
                <w:szCs w:val="22"/>
                <w:lang w:val="sr-Latn-ME"/>
              </w:rPr>
              <w:t xml:space="preserve"> migrenom mjesečno (MMD) tokom</w:t>
            </w:r>
            <w:r w:rsidR="00D04C51" w:rsidRPr="007A69F2">
              <w:rPr>
                <w:b/>
                <w:sz w:val="22"/>
                <w:szCs w:val="22"/>
                <w:lang w:val="sr-Latn-ME"/>
              </w:rPr>
              <w:t xml:space="preserve"> 12 </w:t>
            </w:r>
            <w:r w:rsidR="00260573" w:rsidRPr="007A69F2">
              <w:rPr>
                <w:b/>
                <w:sz w:val="22"/>
                <w:szCs w:val="22"/>
                <w:lang w:val="sr-Latn-ME"/>
              </w:rPr>
              <w:t>ned</w:t>
            </w:r>
            <w:r w:rsidR="00657712" w:rsidRPr="007A69F2">
              <w:rPr>
                <w:b/>
                <w:sz w:val="22"/>
                <w:szCs w:val="22"/>
                <w:lang w:val="sr-Latn-ME"/>
              </w:rPr>
              <w:t>j</w:t>
            </w:r>
            <w:r w:rsidR="00260573" w:rsidRPr="007A69F2">
              <w:rPr>
                <w:b/>
                <w:sz w:val="22"/>
                <w:szCs w:val="22"/>
                <w:lang w:val="sr-Latn-ME"/>
              </w:rPr>
              <w:t>elja</w:t>
            </w:r>
          </w:p>
        </w:tc>
      </w:tr>
      <w:tr w:rsidR="00BD6090" w:rsidRPr="007A69F2" w14:paraId="1B5E0133" w14:textId="77777777" w:rsidTr="009A5DA9">
        <w:tc>
          <w:tcPr>
            <w:tcW w:w="5665" w:type="dxa"/>
          </w:tcPr>
          <w:p w14:paraId="05E86917" w14:textId="098D7D28" w:rsidR="00DA17AE" w:rsidRPr="007A69F2" w:rsidRDefault="00D04C51" w:rsidP="00E4549D">
            <w:pPr>
              <w:spacing w:line="240" w:lineRule="auto"/>
              <w:jc w:val="both"/>
              <w:rPr>
                <w:sz w:val="22"/>
                <w:szCs w:val="22"/>
                <w:lang w:val="sr-Latn-ME"/>
              </w:rPr>
            </w:pPr>
            <w:r w:rsidRPr="007A69F2">
              <w:rPr>
                <w:sz w:val="22"/>
                <w:szCs w:val="22"/>
                <w:lang w:val="sr-Latn-ME"/>
              </w:rPr>
              <w:t xml:space="preserve">Početak </w:t>
            </w:r>
            <w:r w:rsidR="00432F2D" w:rsidRPr="007A69F2">
              <w:rPr>
                <w:sz w:val="22"/>
                <w:szCs w:val="22"/>
                <w:lang w:val="sr-Latn-ME"/>
              </w:rPr>
              <w:t>ispitivanja</w:t>
            </w:r>
          </w:p>
        </w:tc>
        <w:tc>
          <w:tcPr>
            <w:tcW w:w="1985" w:type="dxa"/>
          </w:tcPr>
          <w:p w14:paraId="40143BB2" w14:textId="77777777" w:rsidR="00DA17AE" w:rsidRPr="007A69F2" w:rsidRDefault="00D04C51" w:rsidP="00E4549D">
            <w:pPr>
              <w:spacing w:line="240" w:lineRule="auto"/>
              <w:jc w:val="both"/>
              <w:rPr>
                <w:sz w:val="22"/>
                <w:szCs w:val="22"/>
                <w:lang w:val="sr-Latn-ME"/>
              </w:rPr>
            </w:pPr>
            <w:r w:rsidRPr="007A69F2">
              <w:rPr>
                <w:sz w:val="22"/>
                <w:szCs w:val="22"/>
                <w:lang w:val="sr-Latn-ME"/>
              </w:rPr>
              <w:t>19,2</w:t>
            </w:r>
          </w:p>
        </w:tc>
        <w:tc>
          <w:tcPr>
            <w:tcW w:w="1366" w:type="dxa"/>
          </w:tcPr>
          <w:p w14:paraId="6342F92C" w14:textId="77777777" w:rsidR="00DA17AE" w:rsidRPr="007A69F2" w:rsidRDefault="00D04C51" w:rsidP="00E4549D">
            <w:pPr>
              <w:spacing w:line="240" w:lineRule="auto"/>
              <w:jc w:val="both"/>
              <w:rPr>
                <w:sz w:val="22"/>
                <w:szCs w:val="22"/>
                <w:lang w:val="sr-Latn-ME"/>
              </w:rPr>
            </w:pPr>
            <w:r w:rsidRPr="007A69F2">
              <w:rPr>
                <w:sz w:val="22"/>
                <w:szCs w:val="22"/>
                <w:lang w:val="sr-Latn-ME"/>
              </w:rPr>
              <w:t>19,0</w:t>
            </w:r>
          </w:p>
        </w:tc>
      </w:tr>
      <w:tr w:rsidR="00BD6090" w:rsidRPr="007A69F2" w14:paraId="68E4D63B" w14:textId="77777777" w:rsidTr="009A5DA9">
        <w:tc>
          <w:tcPr>
            <w:tcW w:w="5665" w:type="dxa"/>
          </w:tcPr>
          <w:p w14:paraId="0060D0CE" w14:textId="13A09DB8" w:rsidR="00DA17AE" w:rsidRPr="007A69F2" w:rsidRDefault="009A5DA9" w:rsidP="00E4549D">
            <w:pPr>
              <w:spacing w:line="240" w:lineRule="auto"/>
              <w:jc w:val="both"/>
              <w:rPr>
                <w:sz w:val="22"/>
                <w:szCs w:val="22"/>
                <w:lang w:val="sr-Latn-ME"/>
              </w:rPr>
            </w:pPr>
            <w:r w:rsidRPr="007A69F2">
              <w:rPr>
                <w:sz w:val="22"/>
                <w:szCs w:val="22"/>
                <w:lang w:val="sr-Latn-ME"/>
              </w:rPr>
              <w:t>Srednja vrijednost promjene u odnosu na početak ispitivanja</w:t>
            </w:r>
          </w:p>
        </w:tc>
        <w:tc>
          <w:tcPr>
            <w:tcW w:w="1985" w:type="dxa"/>
          </w:tcPr>
          <w:p w14:paraId="1D37290F" w14:textId="77777777" w:rsidR="00DA17AE" w:rsidRPr="007A69F2" w:rsidRDefault="00D04C51" w:rsidP="00E4549D">
            <w:pPr>
              <w:spacing w:line="240" w:lineRule="auto"/>
              <w:jc w:val="both"/>
              <w:rPr>
                <w:sz w:val="22"/>
                <w:szCs w:val="22"/>
                <w:lang w:val="sr-Latn-ME"/>
              </w:rPr>
            </w:pPr>
            <w:r w:rsidRPr="007A69F2">
              <w:rPr>
                <w:sz w:val="22"/>
                <w:szCs w:val="22"/>
                <w:lang w:val="sr-Latn-ME"/>
              </w:rPr>
              <w:t>-6,8</w:t>
            </w:r>
          </w:p>
        </w:tc>
        <w:tc>
          <w:tcPr>
            <w:tcW w:w="1366" w:type="dxa"/>
          </w:tcPr>
          <w:p w14:paraId="682EDD18" w14:textId="77777777" w:rsidR="00DA17AE" w:rsidRPr="007A69F2" w:rsidRDefault="00D04C51" w:rsidP="00E4549D">
            <w:pPr>
              <w:spacing w:line="240" w:lineRule="auto"/>
              <w:jc w:val="both"/>
              <w:rPr>
                <w:sz w:val="22"/>
                <w:szCs w:val="22"/>
                <w:lang w:val="sr-Latn-ME"/>
              </w:rPr>
            </w:pPr>
            <w:r w:rsidRPr="007A69F2">
              <w:rPr>
                <w:sz w:val="22"/>
                <w:szCs w:val="22"/>
                <w:lang w:val="sr-Latn-ME"/>
              </w:rPr>
              <w:t>-5,1</w:t>
            </w:r>
          </w:p>
        </w:tc>
      </w:tr>
      <w:tr w:rsidR="00BD6090" w:rsidRPr="007A69F2" w14:paraId="239376CF" w14:textId="77777777" w:rsidTr="009A5DA9">
        <w:tc>
          <w:tcPr>
            <w:tcW w:w="5665" w:type="dxa"/>
          </w:tcPr>
          <w:p w14:paraId="2DFB8095" w14:textId="098667D4" w:rsidR="00DA17AE" w:rsidRPr="007A69F2" w:rsidRDefault="00D04C51" w:rsidP="00E4549D">
            <w:pPr>
              <w:spacing w:line="240" w:lineRule="auto"/>
              <w:jc w:val="both"/>
              <w:rPr>
                <w:iCs/>
                <w:sz w:val="22"/>
                <w:szCs w:val="22"/>
                <w:lang w:val="sr-Latn-ME"/>
              </w:rPr>
            </w:pPr>
            <w:r w:rsidRPr="007A69F2">
              <w:rPr>
                <w:sz w:val="22"/>
                <w:szCs w:val="22"/>
                <w:lang w:val="sr-Latn-ME"/>
              </w:rPr>
              <w:t xml:space="preserve">Razlika </w:t>
            </w:r>
            <w:r w:rsidR="009A5DA9" w:rsidRPr="007A69F2">
              <w:rPr>
                <w:sz w:val="22"/>
                <w:szCs w:val="22"/>
                <w:lang w:val="sr-Latn-ME"/>
              </w:rPr>
              <w:t xml:space="preserve">u odnosu na </w:t>
            </w:r>
            <w:proofErr w:type="spellStart"/>
            <w:r w:rsidR="009A5DA9" w:rsidRPr="007A69F2">
              <w:rPr>
                <w:sz w:val="22"/>
                <w:szCs w:val="22"/>
                <w:lang w:val="sr-Latn-ME"/>
              </w:rPr>
              <w:t>placebo</w:t>
            </w:r>
            <w:proofErr w:type="spellEnd"/>
          </w:p>
        </w:tc>
        <w:tc>
          <w:tcPr>
            <w:tcW w:w="1985" w:type="dxa"/>
          </w:tcPr>
          <w:p w14:paraId="2480A43B" w14:textId="77777777" w:rsidR="00DA17AE" w:rsidRPr="007A69F2" w:rsidRDefault="00D04C51" w:rsidP="00E4549D">
            <w:pPr>
              <w:spacing w:line="240" w:lineRule="auto"/>
              <w:jc w:val="both"/>
              <w:rPr>
                <w:sz w:val="22"/>
                <w:szCs w:val="22"/>
                <w:lang w:val="sr-Latn-ME"/>
              </w:rPr>
            </w:pPr>
            <w:r w:rsidRPr="007A69F2">
              <w:rPr>
                <w:sz w:val="22"/>
                <w:szCs w:val="22"/>
                <w:lang w:val="sr-Latn-ME"/>
              </w:rPr>
              <w:t>-1,7</w:t>
            </w:r>
          </w:p>
        </w:tc>
        <w:tc>
          <w:tcPr>
            <w:tcW w:w="1366" w:type="dxa"/>
          </w:tcPr>
          <w:p w14:paraId="76292593" w14:textId="77777777" w:rsidR="00DA17AE" w:rsidRPr="007A69F2" w:rsidRDefault="00DA17AE" w:rsidP="00E4549D">
            <w:pPr>
              <w:spacing w:line="240" w:lineRule="auto"/>
              <w:jc w:val="both"/>
              <w:rPr>
                <w:sz w:val="22"/>
                <w:szCs w:val="22"/>
                <w:lang w:val="sr-Latn-ME"/>
              </w:rPr>
            </w:pPr>
          </w:p>
        </w:tc>
      </w:tr>
      <w:tr w:rsidR="00BD6090" w:rsidRPr="007A69F2" w14:paraId="4E5E0154" w14:textId="77777777" w:rsidTr="009A5DA9">
        <w:tc>
          <w:tcPr>
            <w:tcW w:w="5665" w:type="dxa"/>
          </w:tcPr>
          <w:p w14:paraId="6B41A728" w14:textId="77777777" w:rsidR="00DA17AE" w:rsidRPr="007A69F2" w:rsidRDefault="00D04C51" w:rsidP="00E4549D">
            <w:pPr>
              <w:spacing w:line="240" w:lineRule="auto"/>
              <w:jc w:val="both"/>
              <w:rPr>
                <w:sz w:val="22"/>
                <w:szCs w:val="22"/>
                <w:lang w:val="sr-Latn-ME"/>
              </w:rPr>
            </w:pPr>
            <w:r w:rsidRPr="007A69F2">
              <w:rPr>
                <w:i/>
                <w:sz w:val="22"/>
                <w:szCs w:val="22"/>
                <w:lang w:val="sr-Latn-ME"/>
              </w:rPr>
              <w:t>p</w:t>
            </w:r>
            <w:r w:rsidRPr="007A69F2">
              <w:rPr>
                <w:sz w:val="22"/>
                <w:szCs w:val="22"/>
                <w:lang w:val="sr-Latn-ME"/>
              </w:rPr>
              <w:t>-vrijednost</w:t>
            </w:r>
          </w:p>
        </w:tc>
        <w:tc>
          <w:tcPr>
            <w:tcW w:w="1985" w:type="dxa"/>
          </w:tcPr>
          <w:p w14:paraId="50B6A011" w14:textId="77777777" w:rsidR="00DA17AE" w:rsidRPr="007A69F2" w:rsidRDefault="00D04C51" w:rsidP="00E4549D">
            <w:pPr>
              <w:spacing w:line="240" w:lineRule="auto"/>
              <w:jc w:val="both"/>
              <w:rPr>
                <w:sz w:val="22"/>
                <w:szCs w:val="22"/>
                <w:lang w:val="sr-Latn-ME"/>
              </w:rPr>
            </w:pPr>
            <w:r w:rsidRPr="007A69F2">
              <w:rPr>
                <w:sz w:val="22"/>
                <w:szCs w:val="22"/>
                <w:lang w:val="sr-Latn-ME"/>
              </w:rPr>
              <w:t>0,002</w:t>
            </w:r>
          </w:p>
        </w:tc>
        <w:tc>
          <w:tcPr>
            <w:tcW w:w="1366" w:type="dxa"/>
          </w:tcPr>
          <w:p w14:paraId="092793CE" w14:textId="77777777" w:rsidR="00DA17AE" w:rsidRPr="007A69F2" w:rsidRDefault="00DA17AE" w:rsidP="00E4549D">
            <w:pPr>
              <w:spacing w:line="240" w:lineRule="auto"/>
              <w:jc w:val="both"/>
              <w:rPr>
                <w:sz w:val="22"/>
                <w:szCs w:val="22"/>
                <w:lang w:val="sr-Latn-ME"/>
              </w:rPr>
            </w:pPr>
          </w:p>
        </w:tc>
      </w:tr>
      <w:tr w:rsidR="00BD6090" w:rsidRPr="007A69F2" w14:paraId="68CB9EFC" w14:textId="77777777" w:rsidTr="007520F7">
        <w:tc>
          <w:tcPr>
            <w:tcW w:w="9016" w:type="dxa"/>
            <w:gridSpan w:val="3"/>
          </w:tcPr>
          <w:p w14:paraId="0765D5E6" w14:textId="55DE940E" w:rsidR="00DA17AE" w:rsidRPr="007A69F2" w:rsidRDefault="009A5DA9" w:rsidP="00E4549D">
            <w:pPr>
              <w:spacing w:line="240" w:lineRule="auto"/>
              <w:jc w:val="both"/>
              <w:rPr>
                <w:sz w:val="22"/>
                <w:szCs w:val="22"/>
                <w:lang w:val="sr-Latn-ME"/>
              </w:rPr>
            </w:pPr>
            <w:r w:rsidRPr="007A69F2">
              <w:rPr>
                <w:b/>
                <w:sz w:val="22"/>
                <w:szCs w:val="22"/>
                <w:lang w:val="sr-Latn-ME"/>
              </w:rPr>
              <w:t>Broj dana s</w:t>
            </w:r>
            <w:r w:rsidR="00DF5240" w:rsidRPr="007A69F2">
              <w:rPr>
                <w:b/>
                <w:sz w:val="22"/>
                <w:szCs w:val="22"/>
                <w:lang w:val="sr-Latn-ME"/>
              </w:rPr>
              <w:t>a</w:t>
            </w:r>
            <w:r w:rsidRPr="007A69F2">
              <w:rPr>
                <w:b/>
                <w:sz w:val="22"/>
                <w:szCs w:val="22"/>
                <w:lang w:val="sr-Latn-ME"/>
              </w:rPr>
              <w:t xml:space="preserve"> glavoboljom mjesečno</w:t>
            </w:r>
            <w:r w:rsidR="00D04C51" w:rsidRPr="007A69F2">
              <w:rPr>
                <w:b/>
                <w:sz w:val="22"/>
                <w:szCs w:val="22"/>
                <w:lang w:val="sr-Latn-ME"/>
              </w:rPr>
              <w:t xml:space="preserve"> tokom 12 </w:t>
            </w:r>
            <w:r w:rsidR="00260573" w:rsidRPr="007A69F2">
              <w:rPr>
                <w:b/>
                <w:sz w:val="22"/>
                <w:szCs w:val="22"/>
                <w:lang w:val="sr-Latn-ME"/>
              </w:rPr>
              <w:t>ned</w:t>
            </w:r>
            <w:r w:rsidR="00295336" w:rsidRPr="007A69F2">
              <w:rPr>
                <w:b/>
                <w:sz w:val="22"/>
                <w:szCs w:val="22"/>
                <w:lang w:val="sr-Latn-ME"/>
              </w:rPr>
              <w:t>j</w:t>
            </w:r>
            <w:r w:rsidR="00260573" w:rsidRPr="007A69F2">
              <w:rPr>
                <w:b/>
                <w:sz w:val="22"/>
                <w:szCs w:val="22"/>
                <w:lang w:val="sr-Latn-ME"/>
              </w:rPr>
              <w:t>elja</w:t>
            </w:r>
          </w:p>
        </w:tc>
      </w:tr>
      <w:tr w:rsidR="00BD6090" w:rsidRPr="007A69F2" w14:paraId="65CDB196" w14:textId="77777777" w:rsidTr="009A5DA9">
        <w:tc>
          <w:tcPr>
            <w:tcW w:w="5665" w:type="dxa"/>
          </w:tcPr>
          <w:p w14:paraId="669F1FDB" w14:textId="07BBE470" w:rsidR="00DA17AE" w:rsidRPr="007A69F2" w:rsidRDefault="00D04C51" w:rsidP="00E4549D">
            <w:pPr>
              <w:spacing w:line="240" w:lineRule="auto"/>
              <w:jc w:val="both"/>
              <w:rPr>
                <w:i/>
                <w:sz w:val="22"/>
                <w:szCs w:val="22"/>
                <w:lang w:val="sr-Latn-ME"/>
              </w:rPr>
            </w:pPr>
            <w:r w:rsidRPr="007A69F2">
              <w:rPr>
                <w:sz w:val="22"/>
                <w:szCs w:val="22"/>
                <w:lang w:val="sr-Latn-ME"/>
              </w:rPr>
              <w:t>Početak</w:t>
            </w:r>
            <w:r w:rsidR="00432F2D" w:rsidRPr="007A69F2">
              <w:rPr>
                <w:sz w:val="22"/>
                <w:szCs w:val="22"/>
                <w:lang w:val="sr-Latn-ME"/>
              </w:rPr>
              <w:t xml:space="preserve"> ispitivanja</w:t>
            </w:r>
          </w:p>
        </w:tc>
        <w:tc>
          <w:tcPr>
            <w:tcW w:w="1985" w:type="dxa"/>
          </w:tcPr>
          <w:p w14:paraId="01960D7F" w14:textId="77777777" w:rsidR="00DA17AE" w:rsidRPr="007A69F2" w:rsidRDefault="00D04C51" w:rsidP="00E4549D">
            <w:pPr>
              <w:spacing w:line="240" w:lineRule="auto"/>
              <w:jc w:val="both"/>
              <w:rPr>
                <w:sz w:val="22"/>
                <w:szCs w:val="22"/>
                <w:lang w:val="sr-Latn-ME"/>
              </w:rPr>
            </w:pPr>
            <w:r w:rsidRPr="007A69F2">
              <w:rPr>
                <w:sz w:val="22"/>
                <w:szCs w:val="22"/>
                <w:lang w:val="sr-Latn-ME"/>
              </w:rPr>
              <w:t>21,5</w:t>
            </w:r>
          </w:p>
        </w:tc>
        <w:tc>
          <w:tcPr>
            <w:tcW w:w="1366" w:type="dxa"/>
          </w:tcPr>
          <w:p w14:paraId="74907B0E" w14:textId="77777777" w:rsidR="00DA17AE" w:rsidRPr="007A69F2" w:rsidRDefault="00D04C51" w:rsidP="00E4549D">
            <w:pPr>
              <w:spacing w:line="240" w:lineRule="auto"/>
              <w:jc w:val="both"/>
              <w:rPr>
                <w:sz w:val="22"/>
                <w:szCs w:val="22"/>
                <w:lang w:val="sr-Latn-ME"/>
              </w:rPr>
            </w:pPr>
            <w:r w:rsidRPr="007A69F2">
              <w:rPr>
                <w:sz w:val="22"/>
                <w:szCs w:val="22"/>
                <w:lang w:val="sr-Latn-ME"/>
              </w:rPr>
              <w:t>21,4</w:t>
            </w:r>
          </w:p>
        </w:tc>
      </w:tr>
      <w:tr w:rsidR="00BD6090" w:rsidRPr="007A69F2" w14:paraId="4AB3EF88" w14:textId="77777777" w:rsidTr="009A5DA9">
        <w:tc>
          <w:tcPr>
            <w:tcW w:w="5665" w:type="dxa"/>
          </w:tcPr>
          <w:p w14:paraId="1F22A348" w14:textId="42A25D31" w:rsidR="00DA17AE" w:rsidRPr="007A69F2" w:rsidRDefault="00D04C51" w:rsidP="00E4549D">
            <w:pPr>
              <w:spacing w:line="240" w:lineRule="auto"/>
              <w:jc w:val="both"/>
              <w:rPr>
                <w:i/>
                <w:sz w:val="22"/>
                <w:szCs w:val="22"/>
                <w:lang w:val="sr-Latn-ME"/>
              </w:rPr>
            </w:pPr>
            <w:r w:rsidRPr="007A69F2">
              <w:rPr>
                <w:sz w:val="22"/>
                <w:szCs w:val="22"/>
                <w:lang w:val="sr-Latn-ME"/>
              </w:rPr>
              <w:t>Srednja vrijednost</w:t>
            </w:r>
            <w:r w:rsidR="009A5DA9" w:rsidRPr="007A69F2">
              <w:rPr>
                <w:sz w:val="22"/>
                <w:szCs w:val="22"/>
                <w:lang w:val="sr-Latn-ME"/>
              </w:rPr>
              <w:t xml:space="preserve"> promjene u odnosu na početak ispitivanja</w:t>
            </w:r>
          </w:p>
        </w:tc>
        <w:tc>
          <w:tcPr>
            <w:tcW w:w="1985" w:type="dxa"/>
          </w:tcPr>
          <w:p w14:paraId="0EDEC831" w14:textId="77777777" w:rsidR="00DA17AE" w:rsidRPr="007A69F2" w:rsidRDefault="00D04C51" w:rsidP="00E4549D">
            <w:pPr>
              <w:spacing w:line="240" w:lineRule="auto"/>
              <w:jc w:val="both"/>
              <w:rPr>
                <w:sz w:val="22"/>
                <w:szCs w:val="22"/>
                <w:lang w:val="sr-Latn-ME"/>
              </w:rPr>
            </w:pPr>
            <w:r w:rsidRPr="007A69F2">
              <w:rPr>
                <w:sz w:val="22"/>
                <w:szCs w:val="22"/>
                <w:lang w:val="sr-Latn-ME"/>
              </w:rPr>
              <w:t>-6,9</w:t>
            </w:r>
          </w:p>
        </w:tc>
        <w:tc>
          <w:tcPr>
            <w:tcW w:w="1366" w:type="dxa"/>
          </w:tcPr>
          <w:p w14:paraId="13B2BAC6" w14:textId="77777777" w:rsidR="00DA17AE" w:rsidRPr="007A69F2" w:rsidRDefault="00D04C51" w:rsidP="00E4549D">
            <w:pPr>
              <w:spacing w:line="240" w:lineRule="auto"/>
              <w:jc w:val="both"/>
              <w:rPr>
                <w:sz w:val="22"/>
                <w:szCs w:val="22"/>
                <w:lang w:val="sr-Latn-ME"/>
              </w:rPr>
            </w:pPr>
            <w:r w:rsidRPr="007A69F2">
              <w:rPr>
                <w:sz w:val="22"/>
                <w:szCs w:val="22"/>
                <w:lang w:val="sr-Latn-ME"/>
              </w:rPr>
              <w:t>-5,2</w:t>
            </w:r>
          </w:p>
        </w:tc>
      </w:tr>
      <w:tr w:rsidR="00BD6090" w:rsidRPr="007A69F2" w14:paraId="7EA83460" w14:textId="77777777" w:rsidTr="009A5DA9">
        <w:tc>
          <w:tcPr>
            <w:tcW w:w="5665" w:type="dxa"/>
          </w:tcPr>
          <w:p w14:paraId="73F917AF" w14:textId="46949B35" w:rsidR="00DA17AE" w:rsidRPr="007A69F2" w:rsidRDefault="00D04C51" w:rsidP="00E4549D">
            <w:pPr>
              <w:spacing w:line="240" w:lineRule="auto"/>
              <w:jc w:val="both"/>
              <w:rPr>
                <w:i/>
                <w:sz w:val="22"/>
                <w:szCs w:val="22"/>
                <w:lang w:val="sr-Latn-ME"/>
              </w:rPr>
            </w:pPr>
            <w:r w:rsidRPr="007A69F2">
              <w:rPr>
                <w:sz w:val="22"/>
                <w:szCs w:val="22"/>
                <w:lang w:val="sr-Latn-ME"/>
              </w:rPr>
              <w:t>Razlika</w:t>
            </w:r>
            <w:r w:rsidR="009A5DA9" w:rsidRPr="007A69F2">
              <w:rPr>
                <w:sz w:val="22"/>
                <w:szCs w:val="22"/>
                <w:lang w:val="sr-Latn-ME"/>
              </w:rPr>
              <w:t xml:space="preserve"> u odnosu na </w:t>
            </w:r>
            <w:proofErr w:type="spellStart"/>
            <w:r w:rsidR="009A5DA9" w:rsidRPr="007A69F2">
              <w:rPr>
                <w:sz w:val="22"/>
                <w:szCs w:val="22"/>
                <w:lang w:val="sr-Latn-ME"/>
              </w:rPr>
              <w:t>placebo</w:t>
            </w:r>
            <w:proofErr w:type="spellEnd"/>
          </w:p>
        </w:tc>
        <w:tc>
          <w:tcPr>
            <w:tcW w:w="1985" w:type="dxa"/>
          </w:tcPr>
          <w:p w14:paraId="360E8844" w14:textId="77777777" w:rsidR="00DA17AE" w:rsidRPr="007A69F2" w:rsidRDefault="00D04C51" w:rsidP="00E4549D">
            <w:pPr>
              <w:spacing w:line="240" w:lineRule="auto"/>
              <w:jc w:val="both"/>
              <w:rPr>
                <w:sz w:val="22"/>
                <w:szCs w:val="22"/>
                <w:lang w:val="sr-Latn-ME"/>
              </w:rPr>
            </w:pPr>
            <w:r w:rsidRPr="007A69F2">
              <w:rPr>
                <w:sz w:val="22"/>
                <w:szCs w:val="22"/>
                <w:lang w:val="sr-Latn-ME"/>
              </w:rPr>
              <w:t>-1,7</w:t>
            </w:r>
          </w:p>
        </w:tc>
        <w:tc>
          <w:tcPr>
            <w:tcW w:w="1366" w:type="dxa"/>
          </w:tcPr>
          <w:p w14:paraId="668E5D8F" w14:textId="77777777" w:rsidR="00DA17AE" w:rsidRPr="007A69F2" w:rsidRDefault="00DA17AE" w:rsidP="00E4549D">
            <w:pPr>
              <w:spacing w:line="240" w:lineRule="auto"/>
              <w:jc w:val="both"/>
              <w:rPr>
                <w:sz w:val="22"/>
                <w:szCs w:val="22"/>
                <w:lang w:val="sr-Latn-ME"/>
              </w:rPr>
            </w:pPr>
          </w:p>
        </w:tc>
      </w:tr>
      <w:tr w:rsidR="00BD6090" w:rsidRPr="007A69F2" w14:paraId="4F414FC6" w14:textId="77777777" w:rsidTr="009A5DA9">
        <w:tc>
          <w:tcPr>
            <w:tcW w:w="5665" w:type="dxa"/>
          </w:tcPr>
          <w:p w14:paraId="15EE49A1" w14:textId="77777777" w:rsidR="00DA17AE" w:rsidRPr="007A69F2" w:rsidRDefault="00D04C51" w:rsidP="00E4549D">
            <w:pPr>
              <w:spacing w:line="240" w:lineRule="auto"/>
              <w:jc w:val="both"/>
              <w:rPr>
                <w:i/>
                <w:sz w:val="22"/>
                <w:szCs w:val="22"/>
                <w:lang w:val="sr-Latn-ME"/>
              </w:rPr>
            </w:pPr>
            <w:r w:rsidRPr="007A69F2">
              <w:rPr>
                <w:i/>
                <w:sz w:val="22"/>
                <w:szCs w:val="22"/>
                <w:lang w:val="sr-Latn-ME"/>
              </w:rPr>
              <w:t>p</w:t>
            </w:r>
            <w:r w:rsidRPr="007A69F2">
              <w:rPr>
                <w:sz w:val="22"/>
                <w:szCs w:val="22"/>
                <w:lang w:val="sr-Latn-ME"/>
              </w:rPr>
              <w:t>-vrijednost</w:t>
            </w:r>
          </w:p>
        </w:tc>
        <w:tc>
          <w:tcPr>
            <w:tcW w:w="1985" w:type="dxa"/>
          </w:tcPr>
          <w:p w14:paraId="718B579D" w14:textId="77777777" w:rsidR="00DA17AE" w:rsidRPr="007A69F2" w:rsidRDefault="00D04C51" w:rsidP="00E4549D">
            <w:pPr>
              <w:spacing w:line="240" w:lineRule="auto"/>
              <w:jc w:val="both"/>
              <w:rPr>
                <w:sz w:val="22"/>
                <w:szCs w:val="22"/>
                <w:lang w:val="sr-Latn-ME"/>
              </w:rPr>
            </w:pPr>
            <w:r w:rsidRPr="007A69F2">
              <w:rPr>
                <w:sz w:val="22"/>
                <w:szCs w:val="22"/>
                <w:lang w:val="sr-Latn-ME"/>
              </w:rPr>
              <w:t>0,002</w:t>
            </w:r>
          </w:p>
        </w:tc>
        <w:tc>
          <w:tcPr>
            <w:tcW w:w="1366" w:type="dxa"/>
          </w:tcPr>
          <w:p w14:paraId="09AD0FBC" w14:textId="77777777" w:rsidR="00DA17AE" w:rsidRPr="007A69F2" w:rsidRDefault="00DA17AE" w:rsidP="00E4549D">
            <w:pPr>
              <w:spacing w:line="240" w:lineRule="auto"/>
              <w:jc w:val="both"/>
              <w:rPr>
                <w:sz w:val="22"/>
                <w:szCs w:val="22"/>
                <w:lang w:val="sr-Latn-ME"/>
              </w:rPr>
            </w:pPr>
          </w:p>
        </w:tc>
      </w:tr>
      <w:tr w:rsidR="00BD6090" w:rsidRPr="007A69F2" w14:paraId="2EF42CB6" w14:textId="77777777" w:rsidTr="007520F7">
        <w:tc>
          <w:tcPr>
            <w:tcW w:w="9016" w:type="dxa"/>
            <w:gridSpan w:val="3"/>
          </w:tcPr>
          <w:p w14:paraId="179E4CC7" w14:textId="25698582" w:rsidR="00DA17AE" w:rsidRPr="007A69F2" w:rsidRDefault="009A5DA9" w:rsidP="00E4549D">
            <w:pPr>
              <w:spacing w:line="240" w:lineRule="auto"/>
              <w:jc w:val="both"/>
              <w:rPr>
                <w:sz w:val="22"/>
                <w:szCs w:val="22"/>
                <w:lang w:val="sr-Latn-ME"/>
              </w:rPr>
            </w:pPr>
            <w:r w:rsidRPr="007A69F2">
              <w:rPr>
                <w:b/>
                <w:sz w:val="22"/>
                <w:szCs w:val="22"/>
                <w:lang w:val="sr-Latn-ME"/>
              </w:rPr>
              <w:t>Broj dana uzimanja akutne terapije mjesečno</w:t>
            </w:r>
            <w:r w:rsidR="00D04C51" w:rsidRPr="007A69F2">
              <w:rPr>
                <w:b/>
                <w:sz w:val="22"/>
                <w:szCs w:val="22"/>
                <w:lang w:val="sr-Latn-ME"/>
              </w:rPr>
              <w:t xml:space="preserve"> tokom 12 </w:t>
            </w:r>
            <w:r w:rsidR="00260573" w:rsidRPr="007A69F2">
              <w:rPr>
                <w:b/>
                <w:sz w:val="22"/>
                <w:szCs w:val="22"/>
                <w:lang w:val="sr-Latn-ME"/>
              </w:rPr>
              <w:t>ned</w:t>
            </w:r>
            <w:r w:rsidR="00657712" w:rsidRPr="007A69F2">
              <w:rPr>
                <w:b/>
                <w:sz w:val="22"/>
                <w:szCs w:val="22"/>
                <w:lang w:val="sr-Latn-ME"/>
              </w:rPr>
              <w:t>j</w:t>
            </w:r>
            <w:r w:rsidR="00260573" w:rsidRPr="007A69F2">
              <w:rPr>
                <w:b/>
                <w:sz w:val="22"/>
                <w:szCs w:val="22"/>
                <w:lang w:val="sr-Latn-ME"/>
              </w:rPr>
              <w:t>elja</w:t>
            </w:r>
          </w:p>
        </w:tc>
      </w:tr>
      <w:tr w:rsidR="00BD6090" w:rsidRPr="007A69F2" w14:paraId="0A14F768" w14:textId="77777777" w:rsidTr="009A5DA9">
        <w:tc>
          <w:tcPr>
            <w:tcW w:w="5665" w:type="dxa"/>
          </w:tcPr>
          <w:p w14:paraId="6864015B" w14:textId="0DE17B44" w:rsidR="00DA17AE" w:rsidRPr="007A69F2" w:rsidRDefault="00D04C51" w:rsidP="00E4549D">
            <w:pPr>
              <w:spacing w:line="240" w:lineRule="auto"/>
              <w:jc w:val="both"/>
              <w:rPr>
                <w:i/>
                <w:sz w:val="22"/>
                <w:szCs w:val="22"/>
                <w:lang w:val="sr-Latn-ME"/>
              </w:rPr>
            </w:pPr>
            <w:r w:rsidRPr="007A69F2">
              <w:rPr>
                <w:sz w:val="22"/>
                <w:szCs w:val="22"/>
                <w:lang w:val="sr-Latn-ME"/>
              </w:rPr>
              <w:t xml:space="preserve">Početak </w:t>
            </w:r>
            <w:r w:rsidR="00432F2D" w:rsidRPr="007A69F2">
              <w:rPr>
                <w:sz w:val="22"/>
                <w:szCs w:val="22"/>
                <w:lang w:val="sr-Latn-ME"/>
              </w:rPr>
              <w:t>ispitivanja</w:t>
            </w:r>
          </w:p>
        </w:tc>
        <w:tc>
          <w:tcPr>
            <w:tcW w:w="1985" w:type="dxa"/>
          </w:tcPr>
          <w:p w14:paraId="5F94E596" w14:textId="77777777" w:rsidR="00DA17AE" w:rsidRPr="007A69F2" w:rsidRDefault="00D04C51" w:rsidP="00E4549D">
            <w:pPr>
              <w:spacing w:line="240" w:lineRule="auto"/>
              <w:jc w:val="both"/>
              <w:rPr>
                <w:sz w:val="22"/>
                <w:szCs w:val="22"/>
                <w:lang w:val="sr-Latn-ME"/>
              </w:rPr>
            </w:pPr>
            <w:r w:rsidRPr="007A69F2">
              <w:rPr>
                <w:sz w:val="22"/>
                <w:szCs w:val="22"/>
                <w:lang w:val="sr-Latn-ME"/>
              </w:rPr>
              <w:t>15,5</w:t>
            </w:r>
          </w:p>
        </w:tc>
        <w:tc>
          <w:tcPr>
            <w:tcW w:w="1366" w:type="dxa"/>
          </w:tcPr>
          <w:p w14:paraId="6E388A0D" w14:textId="77777777" w:rsidR="00DA17AE" w:rsidRPr="007A69F2" w:rsidRDefault="00D04C51" w:rsidP="00E4549D">
            <w:pPr>
              <w:spacing w:line="240" w:lineRule="auto"/>
              <w:jc w:val="both"/>
              <w:rPr>
                <w:sz w:val="22"/>
                <w:szCs w:val="22"/>
                <w:lang w:val="sr-Latn-ME"/>
              </w:rPr>
            </w:pPr>
            <w:r w:rsidRPr="007A69F2">
              <w:rPr>
                <w:sz w:val="22"/>
                <w:szCs w:val="22"/>
                <w:lang w:val="sr-Latn-ME"/>
              </w:rPr>
              <w:t>15,3</w:t>
            </w:r>
          </w:p>
        </w:tc>
      </w:tr>
      <w:tr w:rsidR="00BD6090" w:rsidRPr="007A69F2" w14:paraId="72D69800" w14:textId="77777777" w:rsidTr="009A5DA9">
        <w:tc>
          <w:tcPr>
            <w:tcW w:w="5665" w:type="dxa"/>
          </w:tcPr>
          <w:p w14:paraId="61640CCC" w14:textId="0CB8E3DA" w:rsidR="00DA17AE" w:rsidRPr="007A69F2" w:rsidRDefault="00D04C51" w:rsidP="00E4549D">
            <w:pPr>
              <w:spacing w:line="240" w:lineRule="auto"/>
              <w:jc w:val="both"/>
              <w:rPr>
                <w:i/>
                <w:sz w:val="22"/>
                <w:szCs w:val="22"/>
                <w:lang w:val="sr-Latn-ME"/>
              </w:rPr>
            </w:pPr>
            <w:r w:rsidRPr="007A69F2">
              <w:rPr>
                <w:sz w:val="22"/>
                <w:szCs w:val="22"/>
                <w:lang w:val="sr-Latn-ME"/>
              </w:rPr>
              <w:t>Srednja vrijednost</w:t>
            </w:r>
            <w:r w:rsidR="009A5DA9" w:rsidRPr="007A69F2">
              <w:rPr>
                <w:sz w:val="22"/>
                <w:szCs w:val="22"/>
                <w:lang w:val="sr-Latn-ME"/>
              </w:rPr>
              <w:t xml:space="preserve"> promjene u odnosu na početak ispitivanja</w:t>
            </w:r>
          </w:p>
        </w:tc>
        <w:tc>
          <w:tcPr>
            <w:tcW w:w="1985" w:type="dxa"/>
          </w:tcPr>
          <w:p w14:paraId="564BDAE7" w14:textId="77777777" w:rsidR="00DA17AE" w:rsidRPr="007A69F2" w:rsidRDefault="00D04C51" w:rsidP="00E4549D">
            <w:pPr>
              <w:spacing w:line="240" w:lineRule="auto"/>
              <w:jc w:val="both"/>
              <w:rPr>
                <w:sz w:val="22"/>
                <w:szCs w:val="22"/>
                <w:lang w:val="sr-Latn-ME"/>
              </w:rPr>
            </w:pPr>
            <w:r w:rsidRPr="007A69F2">
              <w:rPr>
                <w:sz w:val="22"/>
                <w:szCs w:val="22"/>
                <w:lang w:val="sr-Latn-ME"/>
              </w:rPr>
              <w:t>-6,2</w:t>
            </w:r>
          </w:p>
        </w:tc>
        <w:tc>
          <w:tcPr>
            <w:tcW w:w="1366" w:type="dxa"/>
          </w:tcPr>
          <w:p w14:paraId="3719C63B" w14:textId="77777777" w:rsidR="00DA17AE" w:rsidRPr="007A69F2" w:rsidRDefault="00D04C51" w:rsidP="00E4549D">
            <w:pPr>
              <w:spacing w:line="240" w:lineRule="auto"/>
              <w:jc w:val="both"/>
              <w:rPr>
                <w:sz w:val="22"/>
                <w:szCs w:val="22"/>
                <w:lang w:val="sr-Latn-ME"/>
              </w:rPr>
            </w:pPr>
            <w:r w:rsidRPr="007A69F2">
              <w:rPr>
                <w:sz w:val="22"/>
                <w:szCs w:val="22"/>
                <w:lang w:val="sr-Latn-ME"/>
              </w:rPr>
              <w:t>-4,1</w:t>
            </w:r>
          </w:p>
        </w:tc>
      </w:tr>
      <w:tr w:rsidR="00BD6090" w:rsidRPr="007A69F2" w14:paraId="42B64FF2" w14:textId="77777777" w:rsidTr="009A5DA9">
        <w:tc>
          <w:tcPr>
            <w:tcW w:w="5665" w:type="dxa"/>
          </w:tcPr>
          <w:p w14:paraId="2D923EA6" w14:textId="77777777" w:rsidR="00DA17AE" w:rsidRPr="007A69F2" w:rsidRDefault="00D04C51" w:rsidP="00E4549D">
            <w:pPr>
              <w:spacing w:line="240" w:lineRule="auto"/>
              <w:jc w:val="both"/>
              <w:rPr>
                <w:i/>
                <w:sz w:val="22"/>
                <w:szCs w:val="22"/>
                <w:lang w:val="sr-Latn-ME"/>
              </w:rPr>
            </w:pPr>
            <w:r w:rsidRPr="007A69F2">
              <w:rPr>
                <w:sz w:val="22"/>
                <w:szCs w:val="22"/>
                <w:lang w:val="sr-Latn-ME"/>
              </w:rPr>
              <w:t xml:space="preserve">Razlika od </w:t>
            </w:r>
            <w:proofErr w:type="spellStart"/>
            <w:r w:rsidRPr="007A69F2">
              <w:rPr>
                <w:sz w:val="22"/>
                <w:szCs w:val="22"/>
                <w:lang w:val="sr-Latn-ME"/>
              </w:rPr>
              <w:t>placeba</w:t>
            </w:r>
            <w:proofErr w:type="spellEnd"/>
          </w:p>
        </w:tc>
        <w:tc>
          <w:tcPr>
            <w:tcW w:w="1985" w:type="dxa"/>
          </w:tcPr>
          <w:p w14:paraId="5E7A2984" w14:textId="77777777" w:rsidR="00DA17AE" w:rsidRPr="007A69F2" w:rsidRDefault="00D04C51" w:rsidP="00E4549D">
            <w:pPr>
              <w:spacing w:line="240" w:lineRule="auto"/>
              <w:jc w:val="both"/>
              <w:rPr>
                <w:sz w:val="22"/>
                <w:szCs w:val="22"/>
                <w:lang w:val="sr-Latn-ME"/>
              </w:rPr>
            </w:pPr>
            <w:r w:rsidRPr="007A69F2">
              <w:rPr>
                <w:sz w:val="22"/>
                <w:szCs w:val="22"/>
                <w:lang w:val="sr-Latn-ME"/>
              </w:rPr>
              <w:t>-2,1</w:t>
            </w:r>
          </w:p>
        </w:tc>
        <w:tc>
          <w:tcPr>
            <w:tcW w:w="1366" w:type="dxa"/>
          </w:tcPr>
          <w:p w14:paraId="0F97842C" w14:textId="77777777" w:rsidR="00DA17AE" w:rsidRPr="007A69F2" w:rsidRDefault="00DA17AE" w:rsidP="00E4549D">
            <w:pPr>
              <w:spacing w:line="240" w:lineRule="auto"/>
              <w:jc w:val="both"/>
              <w:rPr>
                <w:sz w:val="22"/>
                <w:szCs w:val="22"/>
                <w:lang w:val="sr-Latn-ME"/>
              </w:rPr>
            </w:pPr>
          </w:p>
        </w:tc>
      </w:tr>
      <w:tr w:rsidR="00BD6090" w:rsidRPr="007A69F2" w14:paraId="569FAD36" w14:textId="77777777" w:rsidTr="009A5DA9">
        <w:tc>
          <w:tcPr>
            <w:tcW w:w="5665" w:type="dxa"/>
          </w:tcPr>
          <w:p w14:paraId="6725C716" w14:textId="77777777" w:rsidR="00DA17AE" w:rsidRPr="007A69F2" w:rsidRDefault="00D04C51" w:rsidP="00E4549D">
            <w:pPr>
              <w:spacing w:line="240" w:lineRule="auto"/>
              <w:jc w:val="both"/>
              <w:rPr>
                <w:i/>
                <w:sz w:val="22"/>
                <w:szCs w:val="22"/>
                <w:lang w:val="sr-Latn-ME"/>
              </w:rPr>
            </w:pPr>
            <w:r w:rsidRPr="007A69F2">
              <w:rPr>
                <w:i/>
                <w:sz w:val="22"/>
                <w:szCs w:val="22"/>
                <w:lang w:val="sr-Latn-ME"/>
              </w:rPr>
              <w:t>p</w:t>
            </w:r>
            <w:r w:rsidRPr="007A69F2">
              <w:rPr>
                <w:sz w:val="22"/>
                <w:szCs w:val="22"/>
                <w:lang w:val="sr-Latn-ME"/>
              </w:rPr>
              <w:t>-vrijednost</w:t>
            </w:r>
          </w:p>
        </w:tc>
        <w:tc>
          <w:tcPr>
            <w:tcW w:w="1985" w:type="dxa"/>
          </w:tcPr>
          <w:p w14:paraId="2F537E78" w14:textId="77777777" w:rsidR="00DA17AE" w:rsidRPr="007A69F2" w:rsidRDefault="00D04C51" w:rsidP="00E4549D">
            <w:pPr>
              <w:spacing w:line="240" w:lineRule="auto"/>
              <w:jc w:val="both"/>
              <w:rPr>
                <w:sz w:val="22"/>
                <w:szCs w:val="22"/>
                <w:lang w:val="sr-Latn-ME"/>
              </w:rPr>
            </w:pPr>
            <w:r w:rsidRPr="007A69F2">
              <w:rPr>
                <w:sz w:val="22"/>
                <w:szCs w:val="22"/>
                <w:lang w:val="sr-Latn-ME"/>
              </w:rPr>
              <w:t>0,002</w:t>
            </w:r>
          </w:p>
        </w:tc>
        <w:tc>
          <w:tcPr>
            <w:tcW w:w="1366" w:type="dxa"/>
          </w:tcPr>
          <w:p w14:paraId="31279584" w14:textId="77777777" w:rsidR="00DA17AE" w:rsidRPr="007A69F2" w:rsidRDefault="00DA17AE" w:rsidP="00E4549D">
            <w:pPr>
              <w:spacing w:line="240" w:lineRule="auto"/>
              <w:jc w:val="both"/>
              <w:rPr>
                <w:sz w:val="22"/>
                <w:szCs w:val="22"/>
                <w:lang w:val="sr-Latn-ME"/>
              </w:rPr>
            </w:pPr>
          </w:p>
        </w:tc>
      </w:tr>
      <w:tr w:rsidR="00BD6090" w:rsidRPr="007A69F2" w14:paraId="09523CC1" w14:textId="77777777" w:rsidTr="007520F7">
        <w:tc>
          <w:tcPr>
            <w:tcW w:w="9016" w:type="dxa"/>
            <w:gridSpan w:val="3"/>
          </w:tcPr>
          <w:p w14:paraId="46C4DCAA" w14:textId="5B78D36E" w:rsidR="00DA17AE" w:rsidRPr="007A69F2" w:rsidRDefault="00D04C51" w:rsidP="00E4549D">
            <w:pPr>
              <w:spacing w:line="240" w:lineRule="auto"/>
              <w:jc w:val="both"/>
              <w:rPr>
                <w:sz w:val="22"/>
                <w:szCs w:val="22"/>
                <w:lang w:val="sr-Latn-ME"/>
              </w:rPr>
            </w:pPr>
            <w:r w:rsidRPr="007A69F2">
              <w:rPr>
                <w:b/>
                <w:sz w:val="22"/>
                <w:szCs w:val="22"/>
                <w:lang w:val="sr-Latn-ME"/>
              </w:rPr>
              <w:t xml:space="preserve">≥ 50% </w:t>
            </w:r>
            <w:r w:rsidR="009A5DA9" w:rsidRPr="007A69F2">
              <w:rPr>
                <w:b/>
                <w:sz w:val="22"/>
                <w:szCs w:val="22"/>
                <w:lang w:val="sr-Latn-ME"/>
              </w:rPr>
              <w:t>odgovora</w:t>
            </w:r>
            <w:r w:rsidRPr="007A69F2">
              <w:rPr>
                <w:b/>
                <w:sz w:val="22"/>
                <w:szCs w:val="22"/>
                <w:lang w:val="sr-Latn-ME"/>
              </w:rPr>
              <w:t xml:space="preserve"> </w:t>
            </w:r>
            <w:r w:rsidR="00DF5240" w:rsidRPr="007A69F2">
              <w:rPr>
                <w:b/>
                <w:sz w:val="22"/>
                <w:szCs w:val="22"/>
                <w:lang w:val="sr-Latn-ME"/>
              </w:rPr>
              <w:t>u</w:t>
            </w:r>
            <w:r w:rsidRPr="007A69F2">
              <w:rPr>
                <w:b/>
                <w:sz w:val="22"/>
                <w:szCs w:val="22"/>
                <w:lang w:val="sr-Latn-ME"/>
              </w:rPr>
              <w:t xml:space="preserve"> MMD tokom 12 </w:t>
            </w:r>
            <w:r w:rsidR="00260573" w:rsidRPr="007A69F2">
              <w:rPr>
                <w:b/>
                <w:sz w:val="22"/>
                <w:szCs w:val="22"/>
                <w:lang w:val="sr-Latn-ME"/>
              </w:rPr>
              <w:t>ned</w:t>
            </w:r>
            <w:r w:rsidR="00657712" w:rsidRPr="007A69F2">
              <w:rPr>
                <w:b/>
                <w:sz w:val="22"/>
                <w:szCs w:val="22"/>
                <w:lang w:val="sr-Latn-ME"/>
              </w:rPr>
              <w:t>j</w:t>
            </w:r>
            <w:r w:rsidR="00260573" w:rsidRPr="007A69F2">
              <w:rPr>
                <w:b/>
                <w:sz w:val="22"/>
                <w:szCs w:val="22"/>
                <w:lang w:val="sr-Latn-ME"/>
              </w:rPr>
              <w:t>elja</w:t>
            </w:r>
          </w:p>
        </w:tc>
      </w:tr>
      <w:tr w:rsidR="00BD6090" w:rsidRPr="007A69F2" w14:paraId="6FD0D1BC" w14:textId="77777777" w:rsidTr="009A5DA9">
        <w:tc>
          <w:tcPr>
            <w:tcW w:w="5665" w:type="dxa"/>
          </w:tcPr>
          <w:p w14:paraId="32F1672B" w14:textId="01C6FB00" w:rsidR="00DA17AE" w:rsidRPr="007A69F2" w:rsidRDefault="00D04C51" w:rsidP="00E4549D">
            <w:pPr>
              <w:spacing w:line="240" w:lineRule="auto"/>
              <w:jc w:val="both"/>
              <w:rPr>
                <w:i/>
                <w:sz w:val="22"/>
                <w:szCs w:val="22"/>
                <w:lang w:val="sr-Latn-ME"/>
              </w:rPr>
            </w:pPr>
            <w:r w:rsidRPr="007A69F2">
              <w:rPr>
                <w:sz w:val="22"/>
                <w:szCs w:val="22"/>
                <w:lang w:val="sr-Latn-ME"/>
              </w:rPr>
              <w:t xml:space="preserve">% </w:t>
            </w:r>
            <w:r w:rsidR="009A5DA9" w:rsidRPr="007A69F2">
              <w:rPr>
                <w:sz w:val="22"/>
                <w:szCs w:val="22"/>
                <w:lang w:val="sr-Latn-ME"/>
              </w:rPr>
              <w:t>ispitanika s odgovorom</w:t>
            </w:r>
          </w:p>
        </w:tc>
        <w:tc>
          <w:tcPr>
            <w:tcW w:w="1985" w:type="dxa"/>
          </w:tcPr>
          <w:p w14:paraId="720FB928" w14:textId="77777777" w:rsidR="00DA17AE" w:rsidRPr="007A69F2" w:rsidRDefault="00D04C51" w:rsidP="00E4549D">
            <w:pPr>
              <w:spacing w:line="240" w:lineRule="auto"/>
              <w:jc w:val="both"/>
              <w:rPr>
                <w:sz w:val="22"/>
                <w:szCs w:val="22"/>
                <w:lang w:val="sr-Latn-ME"/>
              </w:rPr>
            </w:pPr>
            <w:r w:rsidRPr="007A69F2">
              <w:rPr>
                <w:sz w:val="22"/>
                <w:szCs w:val="22"/>
                <w:lang w:val="sr-Latn-ME"/>
              </w:rPr>
              <w:t>40</w:t>
            </w:r>
          </w:p>
        </w:tc>
        <w:tc>
          <w:tcPr>
            <w:tcW w:w="1366" w:type="dxa"/>
          </w:tcPr>
          <w:p w14:paraId="603F19E2" w14:textId="77777777" w:rsidR="00DA17AE" w:rsidRPr="007A69F2" w:rsidRDefault="00D04C51" w:rsidP="00E4549D">
            <w:pPr>
              <w:spacing w:line="240" w:lineRule="auto"/>
              <w:jc w:val="both"/>
              <w:rPr>
                <w:sz w:val="22"/>
                <w:szCs w:val="22"/>
                <w:lang w:val="sr-Latn-ME"/>
              </w:rPr>
            </w:pPr>
            <w:r w:rsidRPr="007A69F2">
              <w:rPr>
                <w:sz w:val="22"/>
                <w:szCs w:val="22"/>
                <w:lang w:val="sr-Latn-ME"/>
              </w:rPr>
              <w:t>27</w:t>
            </w:r>
          </w:p>
        </w:tc>
      </w:tr>
      <w:tr w:rsidR="00BD6090" w:rsidRPr="007A69F2" w14:paraId="1FA34200" w14:textId="77777777" w:rsidTr="009A5DA9">
        <w:tc>
          <w:tcPr>
            <w:tcW w:w="5665" w:type="dxa"/>
          </w:tcPr>
          <w:p w14:paraId="390B02F2" w14:textId="7569A4C4" w:rsidR="00DA17AE" w:rsidRPr="007A69F2" w:rsidRDefault="00D04C51" w:rsidP="00E4549D">
            <w:pPr>
              <w:spacing w:line="240" w:lineRule="auto"/>
              <w:jc w:val="both"/>
              <w:rPr>
                <w:i/>
                <w:sz w:val="22"/>
                <w:szCs w:val="22"/>
                <w:lang w:val="sr-Latn-ME"/>
              </w:rPr>
            </w:pPr>
            <w:r w:rsidRPr="007A69F2">
              <w:rPr>
                <w:sz w:val="22"/>
                <w:szCs w:val="22"/>
                <w:lang w:val="sr-Latn-ME"/>
              </w:rPr>
              <w:t>O</w:t>
            </w:r>
            <w:r w:rsidR="008F3F19" w:rsidRPr="007A69F2">
              <w:rPr>
                <w:sz w:val="22"/>
                <w:szCs w:val="22"/>
                <w:lang w:val="sr-Latn-ME"/>
              </w:rPr>
              <w:t>dnos</w:t>
            </w:r>
            <w:r w:rsidRPr="007A69F2">
              <w:rPr>
                <w:sz w:val="22"/>
                <w:szCs w:val="22"/>
                <w:lang w:val="sr-Latn-ME"/>
              </w:rPr>
              <w:t xml:space="preserve"> izgleda (95% CI)</w:t>
            </w:r>
          </w:p>
        </w:tc>
        <w:tc>
          <w:tcPr>
            <w:tcW w:w="1985" w:type="dxa"/>
          </w:tcPr>
          <w:p w14:paraId="767CDC3F" w14:textId="77777777" w:rsidR="00DA17AE" w:rsidRPr="007A69F2" w:rsidRDefault="00D04C51" w:rsidP="00E4549D">
            <w:pPr>
              <w:spacing w:line="240" w:lineRule="auto"/>
              <w:jc w:val="both"/>
              <w:rPr>
                <w:sz w:val="22"/>
                <w:szCs w:val="22"/>
                <w:lang w:val="sr-Latn-ME"/>
              </w:rPr>
            </w:pPr>
            <w:r w:rsidRPr="007A69F2">
              <w:rPr>
                <w:sz w:val="22"/>
                <w:szCs w:val="22"/>
                <w:lang w:val="sr-Latn-ME"/>
              </w:rPr>
              <w:t>1,90 (1,29; 2,79)</w:t>
            </w:r>
          </w:p>
        </w:tc>
        <w:tc>
          <w:tcPr>
            <w:tcW w:w="1366" w:type="dxa"/>
          </w:tcPr>
          <w:p w14:paraId="2F1A5107" w14:textId="77777777" w:rsidR="00DA17AE" w:rsidRPr="007A69F2" w:rsidRDefault="00DA17AE" w:rsidP="00E4549D">
            <w:pPr>
              <w:spacing w:line="240" w:lineRule="auto"/>
              <w:jc w:val="both"/>
              <w:rPr>
                <w:sz w:val="22"/>
                <w:szCs w:val="22"/>
                <w:lang w:val="sr-Latn-ME"/>
              </w:rPr>
            </w:pPr>
          </w:p>
        </w:tc>
      </w:tr>
      <w:tr w:rsidR="00BD6090" w:rsidRPr="007A69F2" w14:paraId="76B4A218" w14:textId="77777777" w:rsidTr="009A5DA9">
        <w:tc>
          <w:tcPr>
            <w:tcW w:w="5665" w:type="dxa"/>
          </w:tcPr>
          <w:p w14:paraId="5527C647" w14:textId="77777777" w:rsidR="00DA17AE" w:rsidRPr="007A69F2" w:rsidRDefault="00D04C51" w:rsidP="00E4549D">
            <w:pPr>
              <w:spacing w:line="240" w:lineRule="auto"/>
              <w:jc w:val="both"/>
              <w:rPr>
                <w:i/>
                <w:sz w:val="22"/>
                <w:szCs w:val="22"/>
                <w:lang w:val="sr-Latn-ME"/>
              </w:rPr>
            </w:pPr>
            <w:r w:rsidRPr="007A69F2">
              <w:rPr>
                <w:i/>
                <w:sz w:val="22"/>
                <w:szCs w:val="22"/>
                <w:lang w:val="sr-Latn-ME"/>
              </w:rPr>
              <w:t>p</w:t>
            </w:r>
            <w:r w:rsidRPr="007A69F2">
              <w:rPr>
                <w:sz w:val="22"/>
                <w:szCs w:val="22"/>
                <w:lang w:val="sr-Latn-ME"/>
              </w:rPr>
              <w:t>-vrijednost</w:t>
            </w:r>
          </w:p>
        </w:tc>
        <w:tc>
          <w:tcPr>
            <w:tcW w:w="1985" w:type="dxa"/>
          </w:tcPr>
          <w:p w14:paraId="71EE682F" w14:textId="77777777" w:rsidR="00DA17AE" w:rsidRPr="007A69F2" w:rsidRDefault="00D04C51" w:rsidP="00E4549D">
            <w:pPr>
              <w:spacing w:line="240" w:lineRule="auto"/>
              <w:jc w:val="both"/>
              <w:rPr>
                <w:sz w:val="22"/>
                <w:szCs w:val="22"/>
                <w:lang w:val="sr-Latn-ME"/>
              </w:rPr>
            </w:pPr>
            <w:r w:rsidRPr="007A69F2">
              <w:rPr>
                <w:sz w:val="22"/>
                <w:szCs w:val="22"/>
                <w:lang w:val="sr-Latn-ME"/>
              </w:rPr>
              <w:t>0,002</w:t>
            </w:r>
          </w:p>
        </w:tc>
        <w:tc>
          <w:tcPr>
            <w:tcW w:w="1366" w:type="dxa"/>
          </w:tcPr>
          <w:p w14:paraId="621FBD78" w14:textId="77777777" w:rsidR="00DA17AE" w:rsidRPr="007A69F2" w:rsidRDefault="00DA17AE" w:rsidP="00E4549D">
            <w:pPr>
              <w:spacing w:line="240" w:lineRule="auto"/>
              <w:jc w:val="both"/>
              <w:rPr>
                <w:sz w:val="22"/>
                <w:szCs w:val="22"/>
                <w:lang w:val="sr-Latn-ME"/>
              </w:rPr>
            </w:pPr>
          </w:p>
        </w:tc>
      </w:tr>
      <w:bookmarkEnd w:id="17"/>
    </w:tbl>
    <w:p w14:paraId="0ABB7C71" w14:textId="77777777" w:rsidR="00DA17AE" w:rsidRPr="007A69F2" w:rsidRDefault="00DA17AE" w:rsidP="00E4549D">
      <w:pPr>
        <w:spacing w:line="240" w:lineRule="auto"/>
        <w:jc w:val="both"/>
        <w:rPr>
          <w:szCs w:val="22"/>
          <w:lang w:val="sr-Latn-ME"/>
        </w:rPr>
      </w:pPr>
    </w:p>
    <w:p w14:paraId="55A1A921" w14:textId="4260C1D4" w:rsidR="00DA17AE" w:rsidRPr="007A69F2" w:rsidRDefault="00432F2D" w:rsidP="00E4549D">
      <w:pPr>
        <w:spacing w:line="240" w:lineRule="auto"/>
        <w:jc w:val="both"/>
        <w:rPr>
          <w:szCs w:val="22"/>
          <w:lang w:val="sr-Latn-ME"/>
        </w:rPr>
      </w:pPr>
      <w:r w:rsidRPr="007A69F2">
        <w:rPr>
          <w:szCs w:val="22"/>
          <w:lang w:val="sr-Latn-ME"/>
        </w:rPr>
        <w:t xml:space="preserve">Slika 2 prikazuje srednju vrijednost promjene MMD-a u odnosu na početak u ispitivanju PROGRESS. Kod </w:t>
      </w:r>
      <w:r w:rsidR="00260573" w:rsidRPr="007A69F2">
        <w:rPr>
          <w:szCs w:val="22"/>
          <w:lang w:val="sr-Latn-ME"/>
        </w:rPr>
        <w:t>pacijenata</w:t>
      </w:r>
      <w:r w:rsidRPr="007A69F2">
        <w:rPr>
          <w:szCs w:val="22"/>
          <w:lang w:val="sr-Latn-ME"/>
        </w:rPr>
        <w:t xml:space="preserve"> liječenih sa lijekom AQUIPTA u dozi od 60 mg jednom dnevno, srednja vrijednost smanjenja MMD-a tokom perioda liječenja od 12 </w:t>
      </w:r>
      <w:r w:rsidR="00260573" w:rsidRPr="007A69F2">
        <w:rPr>
          <w:szCs w:val="22"/>
          <w:lang w:val="sr-Latn-ME"/>
        </w:rPr>
        <w:t>ned</w:t>
      </w:r>
      <w:r w:rsidR="00657712" w:rsidRPr="007A69F2">
        <w:rPr>
          <w:szCs w:val="22"/>
          <w:lang w:val="sr-Latn-ME"/>
        </w:rPr>
        <w:t>j</w:t>
      </w:r>
      <w:r w:rsidR="00260573" w:rsidRPr="007A69F2">
        <w:rPr>
          <w:szCs w:val="22"/>
          <w:lang w:val="sr-Latn-ME"/>
        </w:rPr>
        <w:t>elja</w:t>
      </w:r>
      <w:r w:rsidRPr="007A69F2">
        <w:rPr>
          <w:szCs w:val="22"/>
          <w:lang w:val="sr-Latn-ME"/>
        </w:rPr>
        <w:t xml:space="preserve"> u odnosu na početak ispitivanja bila je veća nego kod </w:t>
      </w:r>
      <w:r w:rsidR="00260573" w:rsidRPr="007A69F2">
        <w:rPr>
          <w:szCs w:val="22"/>
          <w:lang w:val="sr-Latn-ME"/>
        </w:rPr>
        <w:t>pacijenata</w:t>
      </w:r>
      <w:r w:rsidRPr="007A69F2">
        <w:rPr>
          <w:szCs w:val="22"/>
          <w:lang w:val="sr-Latn-ME"/>
        </w:rPr>
        <w:t xml:space="preserve"> koji su primali </w:t>
      </w:r>
      <w:proofErr w:type="spellStart"/>
      <w:r w:rsidRPr="007A69F2">
        <w:rPr>
          <w:szCs w:val="22"/>
          <w:lang w:val="sr-Latn-ME"/>
        </w:rPr>
        <w:t>placebo</w:t>
      </w:r>
      <w:proofErr w:type="spellEnd"/>
      <w:r w:rsidRPr="007A69F2">
        <w:rPr>
          <w:szCs w:val="22"/>
          <w:lang w:val="sr-Latn-ME"/>
        </w:rPr>
        <w:t>.</w:t>
      </w:r>
    </w:p>
    <w:p w14:paraId="35E24C07" w14:textId="77777777" w:rsidR="00DA17AE" w:rsidRPr="007A69F2" w:rsidRDefault="00DA17AE" w:rsidP="00E4549D">
      <w:pPr>
        <w:spacing w:line="240" w:lineRule="auto"/>
        <w:jc w:val="both"/>
        <w:rPr>
          <w:szCs w:val="22"/>
          <w:highlight w:val="yellow"/>
          <w:lang w:val="sr-Latn-ME"/>
        </w:rPr>
      </w:pPr>
    </w:p>
    <w:p w14:paraId="458B77BE" w14:textId="13FB01CE" w:rsidR="00DA17AE" w:rsidRPr="007A69F2" w:rsidRDefault="00D04C51" w:rsidP="00E4549D">
      <w:pPr>
        <w:keepNext/>
        <w:spacing w:line="240" w:lineRule="auto"/>
        <w:jc w:val="both"/>
        <w:rPr>
          <w:b/>
          <w:szCs w:val="22"/>
          <w:lang w:val="sr-Latn-ME"/>
        </w:rPr>
      </w:pPr>
      <w:r w:rsidRPr="007A69F2">
        <w:rPr>
          <w:b/>
          <w:szCs w:val="22"/>
          <w:lang w:val="sr-Latn-ME"/>
        </w:rPr>
        <w:lastRenderedPageBreak/>
        <w:t xml:space="preserve">Slika 2: </w:t>
      </w:r>
      <w:r w:rsidR="00432F2D" w:rsidRPr="007A69F2">
        <w:rPr>
          <w:b/>
          <w:szCs w:val="22"/>
          <w:lang w:val="sr-Latn-ME"/>
        </w:rPr>
        <w:t>Promjena broja dana s migrenom mjesečno u odnosu na početak u ispitivanju</w:t>
      </w:r>
      <w:r w:rsidRPr="007A69F2">
        <w:rPr>
          <w:b/>
          <w:szCs w:val="22"/>
          <w:lang w:val="sr-Latn-ME"/>
        </w:rPr>
        <w:t xml:space="preserve"> PROGRESS</w:t>
      </w:r>
    </w:p>
    <w:tbl>
      <w:tblPr>
        <w:tblStyle w:val="TableGrid"/>
        <w:tblW w:w="9432"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0"/>
        <w:gridCol w:w="1062"/>
        <w:gridCol w:w="90"/>
        <w:gridCol w:w="720"/>
        <w:gridCol w:w="1260"/>
        <w:gridCol w:w="810"/>
        <w:gridCol w:w="192"/>
        <w:gridCol w:w="1842"/>
        <w:gridCol w:w="1386"/>
        <w:gridCol w:w="450"/>
        <w:gridCol w:w="990"/>
      </w:tblGrid>
      <w:tr w:rsidR="00BD6090" w:rsidRPr="007A69F2" w14:paraId="6A34DAB8" w14:textId="77777777" w:rsidTr="00900D00">
        <w:trPr>
          <w:cantSplit/>
          <w:trHeight w:val="4320"/>
        </w:trPr>
        <w:tc>
          <w:tcPr>
            <w:tcW w:w="630" w:type="dxa"/>
            <w:textDirection w:val="btLr"/>
            <w:vAlign w:val="bottom"/>
          </w:tcPr>
          <w:p w14:paraId="127D8DA4" w14:textId="08AE156B" w:rsidR="00DA17AE" w:rsidRPr="007A69F2" w:rsidRDefault="00432F2D" w:rsidP="00E4549D">
            <w:pPr>
              <w:keepNext/>
              <w:spacing w:line="240" w:lineRule="auto"/>
              <w:ind w:left="113" w:right="113"/>
              <w:jc w:val="both"/>
              <w:rPr>
                <w:bCs/>
                <w:sz w:val="22"/>
                <w:szCs w:val="22"/>
                <w:lang w:val="sr-Latn-ME"/>
              </w:rPr>
            </w:pPr>
            <w:r w:rsidRPr="007A69F2">
              <w:rPr>
                <w:sz w:val="22"/>
                <w:szCs w:val="22"/>
                <w:lang w:val="sr-Latn-ME"/>
              </w:rPr>
              <w:t>Promjena broja dana s migrenom mjesečno u odnosu na početak u ispitivanja*</w:t>
            </w:r>
          </w:p>
        </w:tc>
        <w:tc>
          <w:tcPr>
            <w:tcW w:w="8802" w:type="dxa"/>
            <w:gridSpan w:val="10"/>
          </w:tcPr>
          <w:p w14:paraId="75AF8958" w14:textId="77777777" w:rsidR="00DA17AE" w:rsidRPr="007A69F2" w:rsidRDefault="00D04C51" w:rsidP="00E4549D">
            <w:pPr>
              <w:keepNext/>
              <w:spacing w:line="240" w:lineRule="auto"/>
              <w:jc w:val="both"/>
              <w:rPr>
                <w:b/>
                <w:bCs/>
                <w:sz w:val="22"/>
                <w:szCs w:val="22"/>
                <w:lang w:val="sr-Latn-ME"/>
              </w:rPr>
            </w:pPr>
            <w:r w:rsidRPr="007A69F2">
              <w:rPr>
                <w:sz w:val="22"/>
                <w:szCs w:val="22"/>
                <w:lang w:val="sr-Latn-ME"/>
              </w:rPr>
              <w:drawing>
                <wp:anchor distT="0" distB="0" distL="114300" distR="114300" simplePos="0" relativeHeight="251660288" behindDoc="0" locked="0" layoutInCell="1" allowOverlap="1" wp14:anchorId="6B44AB67" wp14:editId="44708AA6">
                  <wp:simplePos x="0" y="0"/>
                  <wp:positionH relativeFrom="column">
                    <wp:posOffset>8890</wp:posOffset>
                  </wp:positionH>
                  <wp:positionV relativeFrom="paragraph">
                    <wp:posOffset>17780</wp:posOffset>
                  </wp:positionV>
                  <wp:extent cx="4754245" cy="2965450"/>
                  <wp:effectExtent l="0" t="0" r="8255" b="635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9" cstate="screen">
                            <a:extLst>
                              <a:ext uri="{28A0092B-C50C-407E-A947-70E740481C1C}">
                                <a14:useLocalDpi xmlns:a14="http://schemas.microsoft.com/office/drawing/2010/main" val="0"/>
                              </a:ext>
                            </a:extLst>
                          </a:blip>
                          <a:stretch>
                            <a:fillRect/>
                          </a:stretch>
                        </pic:blipFill>
                        <pic:spPr bwMode="auto">
                          <a:xfrm>
                            <a:off x="0" y="0"/>
                            <a:ext cx="4754245" cy="2965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A69F2">
              <w:rPr>
                <w:b/>
                <w:sz w:val="22"/>
                <w:szCs w:val="22"/>
                <w:lang w:val="sr-Latn-ME"/>
              </w:rPr>
              <w:t>h</w:t>
            </w:r>
            <w:r w:rsidRPr="007A69F2">
              <w:rPr>
                <w:sz w:val="22"/>
                <w:szCs w:val="22"/>
                <w:lang w:val="sr-Latn-ME"/>
              </w:rPr>
              <w:t xml:space="preserve"> </w:t>
            </w:r>
          </w:p>
        </w:tc>
      </w:tr>
      <w:tr w:rsidR="00BD6090" w:rsidRPr="007A69F2" w14:paraId="7F7CEC77" w14:textId="77777777" w:rsidTr="006074EE">
        <w:tc>
          <w:tcPr>
            <w:tcW w:w="630" w:type="dxa"/>
          </w:tcPr>
          <w:p w14:paraId="08B7B876" w14:textId="77777777" w:rsidR="00DA17AE" w:rsidRPr="007A69F2" w:rsidRDefault="00DA17AE" w:rsidP="00E4549D">
            <w:pPr>
              <w:keepNext/>
              <w:spacing w:line="240" w:lineRule="auto"/>
              <w:jc w:val="both"/>
              <w:rPr>
                <w:b/>
                <w:sz w:val="22"/>
                <w:szCs w:val="22"/>
                <w:lang w:val="sr-Latn-ME"/>
              </w:rPr>
            </w:pPr>
          </w:p>
        </w:tc>
        <w:tc>
          <w:tcPr>
            <w:tcW w:w="1152" w:type="dxa"/>
            <w:gridSpan w:val="2"/>
          </w:tcPr>
          <w:p w14:paraId="2868D320" w14:textId="77777777" w:rsidR="002422C6" w:rsidRPr="007A69F2" w:rsidRDefault="002422C6" w:rsidP="00E4549D">
            <w:pPr>
              <w:keepNext/>
              <w:spacing w:line="240" w:lineRule="auto"/>
              <w:jc w:val="both"/>
              <w:rPr>
                <w:sz w:val="22"/>
                <w:szCs w:val="22"/>
                <w:lang w:val="sr-Latn-ME"/>
              </w:rPr>
            </w:pPr>
            <w:r w:rsidRPr="007A69F2">
              <w:rPr>
                <w:sz w:val="22"/>
                <w:szCs w:val="22"/>
                <w:lang w:val="sr-Latn-ME"/>
              </w:rPr>
              <w:t xml:space="preserve">    </w:t>
            </w:r>
            <w:r w:rsidR="00D04C51" w:rsidRPr="007A69F2">
              <w:rPr>
                <w:sz w:val="22"/>
                <w:szCs w:val="22"/>
                <w:lang w:val="sr-Latn-ME"/>
              </w:rPr>
              <w:t xml:space="preserve">Početak </w:t>
            </w:r>
            <w:r w:rsidRPr="007A69F2">
              <w:rPr>
                <w:sz w:val="22"/>
                <w:szCs w:val="22"/>
                <w:lang w:val="sr-Latn-ME"/>
              </w:rPr>
              <w:t xml:space="preserve">       </w:t>
            </w:r>
          </w:p>
          <w:p w14:paraId="0B2C44C3" w14:textId="2F154394" w:rsidR="00DA17AE" w:rsidRPr="007A69F2" w:rsidRDefault="002422C6" w:rsidP="00E4549D">
            <w:pPr>
              <w:keepNext/>
              <w:spacing w:line="240" w:lineRule="auto"/>
              <w:jc w:val="both"/>
              <w:rPr>
                <w:sz w:val="22"/>
                <w:szCs w:val="22"/>
                <w:lang w:val="sr-Latn-ME"/>
              </w:rPr>
            </w:pPr>
            <w:r w:rsidRPr="007A69F2">
              <w:rPr>
                <w:sz w:val="22"/>
                <w:szCs w:val="22"/>
                <w:lang w:val="sr-Latn-ME"/>
              </w:rPr>
              <w:t xml:space="preserve">   </w:t>
            </w:r>
            <w:r w:rsidR="00D04C51" w:rsidRPr="007A69F2">
              <w:rPr>
                <w:sz w:val="22"/>
                <w:szCs w:val="22"/>
                <w:lang w:val="sr-Latn-ME"/>
              </w:rPr>
              <w:t>liječenja</w:t>
            </w:r>
          </w:p>
        </w:tc>
        <w:tc>
          <w:tcPr>
            <w:tcW w:w="2982" w:type="dxa"/>
            <w:gridSpan w:val="4"/>
          </w:tcPr>
          <w:p w14:paraId="3C56A1AA" w14:textId="56C2BFCC" w:rsidR="00DA17AE" w:rsidRPr="007A69F2" w:rsidRDefault="00D04C51" w:rsidP="00E4549D">
            <w:pPr>
              <w:keepNext/>
              <w:spacing w:line="240" w:lineRule="auto"/>
              <w:jc w:val="both"/>
              <w:rPr>
                <w:sz w:val="22"/>
                <w:szCs w:val="22"/>
                <w:lang w:val="sr-Latn-ME"/>
              </w:rPr>
            </w:pPr>
            <w:r w:rsidRPr="007A69F2">
              <w:rPr>
                <w:sz w:val="22"/>
                <w:szCs w:val="22"/>
                <w:lang w:val="sr-Latn-ME"/>
              </w:rPr>
              <w:t xml:space="preserve"> </w:t>
            </w:r>
            <w:r w:rsidR="002422C6" w:rsidRPr="007A69F2">
              <w:rPr>
                <w:sz w:val="22"/>
                <w:szCs w:val="22"/>
                <w:lang w:val="sr-Latn-ME"/>
              </w:rPr>
              <w:t xml:space="preserve">                </w:t>
            </w:r>
            <w:r w:rsidRPr="007A69F2">
              <w:rPr>
                <w:sz w:val="22"/>
                <w:szCs w:val="22"/>
                <w:lang w:val="sr-Latn-ME"/>
              </w:rPr>
              <w:t>1.</w:t>
            </w:r>
            <w:r w:rsidR="00432F2D" w:rsidRPr="007A69F2">
              <w:rPr>
                <w:sz w:val="22"/>
                <w:szCs w:val="22"/>
                <w:lang w:val="sr-Latn-ME"/>
              </w:rPr>
              <w:t>-</w:t>
            </w:r>
            <w:r w:rsidRPr="007A69F2">
              <w:rPr>
                <w:sz w:val="22"/>
                <w:szCs w:val="22"/>
                <w:lang w:val="sr-Latn-ME"/>
              </w:rPr>
              <w:t>4. </w:t>
            </w:r>
            <w:r w:rsidR="002422C6" w:rsidRPr="007A69F2">
              <w:rPr>
                <w:sz w:val="22"/>
                <w:szCs w:val="22"/>
                <w:lang w:val="sr-Latn-ME"/>
              </w:rPr>
              <w:t>nedjelje</w:t>
            </w:r>
          </w:p>
        </w:tc>
        <w:tc>
          <w:tcPr>
            <w:tcW w:w="1842" w:type="dxa"/>
          </w:tcPr>
          <w:p w14:paraId="6284D2C5" w14:textId="67E22749" w:rsidR="00DA17AE" w:rsidRPr="007A69F2" w:rsidRDefault="00D04C51" w:rsidP="00E4549D">
            <w:pPr>
              <w:keepNext/>
              <w:spacing w:line="240" w:lineRule="auto"/>
              <w:jc w:val="both"/>
              <w:rPr>
                <w:sz w:val="22"/>
                <w:szCs w:val="22"/>
                <w:lang w:val="sr-Latn-ME"/>
              </w:rPr>
            </w:pPr>
            <w:r w:rsidRPr="007A69F2">
              <w:rPr>
                <w:sz w:val="22"/>
                <w:szCs w:val="22"/>
                <w:lang w:val="sr-Latn-ME"/>
              </w:rPr>
              <w:t>5.</w:t>
            </w:r>
            <w:r w:rsidR="002422C6" w:rsidRPr="007A69F2">
              <w:rPr>
                <w:sz w:val="22"/>
                <w:szCs w:val="22"/>
                <w:lang w:val="sr-Latn-ME"/>
              </w:rPr>
              <w:t xml:space="preserve">- </w:t>
            </w:r>
            <w:r w:rsidRPr="007A69F2">
              <w:rPr>
                <w:sz w:val="22"/>
                <w:szCs w:val="22"/>
                <w:lang w:val="sr-Latn-ME"/>
              </w:rPr>
              <w:t>8. </w:t>
            </w:r>
            <w:r w:rsidR="002422C6" w:rsidRPr="007A69F2">
              <w:rPr>
                <w:sz w:val="22"/>
                <w:szCs w:val="22"/>
                <w:lang w:val="sr-Latn-ME"/>
              </w:rPr>
              <w:t>nedjelje</w:t>
            </w:r>
          </w:p>
        </w:tc>
        <w:tc>
          <w:tcPr>
            <w:tcW w:w="1836" w:type="dxa"/>
            <w:gridSpan w:val="2"/>
          </w:tcPr>
          <w:p w14:paraId="1C96AB82" w14:textId="6A0A088A" w:rsidR="00DA17AE" w:rsidRPr="007A69F2" w:rsidRDefault="00D04C51" w:rsidP="00E4549D">
            <w:pPr>
              <w:keepNext/>
              <w:spacing w:line="240" w:lineRule="auto"/>
              <w:jc w:val="both"/>
              <w:rPr>
                <w:sz w:val="22"/>
                <w:szCs w:val="22"/>
                <w:lang w:val="sr-Latn-ME"/>
              </w:rPr>
            </w:pPr>
            <w:r w:rsidRPr="007A69F2">
              <w:rPr>
                <w:sz w:val="22"/>
                <w:szCs w:val="22"/>
                <w:lang w:val="sr-Latn-ME"/>
              </w:rPr>
              <w:t xml:space="preserve">9. </w:t>
            </w:r>
            <w:r w:rsidR="00432F2D" w:rsidRPr="007A69F2">
              <w:rPr>
                <w:sz w:val="22"/>
                <w:szCs w:val="22"/>
                <w:lang w:val="sr-Latn-ME"/>
              </w:rPr>
              <w:t>-</w:t>
            </w:r>
            <w:r w:rsidRPr="007A69F2">
              <w:rPr>
                <w:sz w:val="22"/>
                <w:szCs w:val="22"/>
                <w:lang w:val="sr-Latn-ME"/>
              </w:rPr>
              <w:t>12. </w:t>
            </w:r>
            <w:r w:rsidR="002422C6" w:rsidRPr="007A69F2">
              <w:rPr>
                <w:sz w:val="22"/>
                <w:szCs w:val="22"/>
                <w:lang w:val="sr-Latn-ME"/>
              </w:rPr>
              <w:t>nedjelje</w:t>
            </w:r>
          </w:p>
        </w:tc>
        <w:tc>
          <w:tcPr>
            <w:tcW w:w="990" w:type="dxa"/>
          </w:tcPr>
          <w:p w14:paraId="5B3E48D5" w14:textId="77777777" w:rsidR="00DA17AE" w:rsidRPr="007A69F2" w:rsidRDefault="00DA17AE" w:rsidP="00E4549D">
            <w:pPr>
              <w:keepNext/>
              <w:spacing w:line="240" w:lineRule="auto"/>
              <w:jc w:val="both"/>
              <w:rPr>
                <w:b/>
                <w:sz w:val="22"/>
                <w:szCs w:val="22"/>
                <w:lang w:val="sr-Latn-ME"/>
              </w:rPr>
            </w:pPr>
          </w:p>
        </w:tc>
      </w:tr>
      <w:tr w:rsidR="00BD6090" w:rsidRPr="007A69F2" w14:paraId="79FABB3A" w14:textId="77777777" w:rsidTr="0073231E">
        <w:trPr>
          <w:trHeight w:val="378"/>
        </w:trPr>
        <w:tc>
          <w:tcPr>
            <w:tcW w:w="1692" w:type="dxa"/>
            <w:gridSpan w:val="2"/>
          </w:tcPr>
          <w:p w14:paraId="7688904E" w14:textId="77777777" w:rsidR="00DA17AE" w:rsidRPr="007A69F2" w:rsidRDefault="00DA17AE" w:rsidP="00E4549D">
            <w:pPr>
              <w:keepNext/>
              <w:spacing w:line="240" w:lineRule="auto"/>
              <w:jc w:val="both"/>
              <w:rPr>
                <w:b/>
                <w:sz w:val="22"/>
                <w:szCs w:val="22"/>
                <w:lang w:val="sr-Latn-ME"/>
              </w:rPr>
            </w:pPr>
          </w:p>
        </w:tc>
        <w:tc>
          <w:tcPr>
            <w:tcW w:w="810" w:type="dxa"/>
            <w:gridSpan w:val="2"/>
          </w:tcPr>
          <w:p w14:paraId="701502EF" w14:textId="52E257BB" w:rsidR="00DA17AE" w:rsidRPr="007A69F2" w:rsidRDefault="002422C6" w:rsidP="00E4549D">
            <w:pPr>
              <w:keepNext/>
              <w:spacing w:line="240" w:lineRule="auto"/>
              <w:jc w:val="both"/>
              <w:rPr>
                <w:b/>
                <w:sz w:val="22"/>
                <w:szCs w:val="22"/>
                <w:lang w:val="sr-Latn-ME"/>
              </w:rPr>
            </w:pPr>
            <w:r w:rsidRPr="007A69F2">
              <w:rPr>
                <w:sz w:val="22"/>
                <w:szCs w:val="22"/>
                <w:lang w:val="sr-Latn-ME"/>
              </w:rPr>
              <w:drawing>
                <wp:anchor distT="0" distB="0" distL="114300" distR="114300" simplePos="0" relativeHeight="251659264" behindDoc="0" locked="0" layoutInCell="1" allowOverlap="1" wp14:anchorId="2C83E270" wp14:editId="4B895F4E">
                  <wp:simplePos x="0" y="0"/>
                  <wp:positionH relativeFrom="column">
                    <wp:posOffset>20955</wp:posOffset>
                  </wp:positionH>
                  <wp:positionV relativeFrom="paragraph">
                    <wp:posOffset>59690</wp:posOffset>
                  </wp:positionV>
                  <wp:extent cx="377190" cy="75565"/>
                  <wp:effectExtent l="0" t="0" r="3810" b="635"/>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20"/>
                          <a:stretch>
                            <a:fillRect/>
                          </a:stretch>
                        </pic:blipFill>
                        <pic:spPr>
                          <a:xfrm>
                            <a:off x="0" y="0"/>
                            <a:ext cx="377190" cy="75565"/>
                          </a:xfrm>
                          <a:prstGeom prst="rect">
                            <a:avLst/>
                          </a:prstGeom>
                        </pic:spPr>
                      </pic:pic>
                    </a:graphicData>
                  </a:graphic>
                </wp:anchor>
              </w:drawing>
            </w:r>
          </w:p>
        </w:tc>
        <w:tc>
          <w:tcPr>
            <w:tcW w:w="1260" w:type="dxa"/>
          </w:tcPr>
          <w:p w14:paraId="711E7BBD" w14:textId="27CAA297" w:rsidR="00DA17AE" w:rsidRPr="007A69F2" w:rsidRDefault="00D04C51" w:rsidP="00E4549D">
            <w:pPr>
              <w:keepNext/>
              <w:spacing w:line="240" w:lineRule="auto"/>
              <w:jc w:val="both"/>
              <w:rPr>
                <w:bCs/>
                <w:sz w:val="22"/>
                <w:szCs w:val="22"/>
                <w:lang w:val="sr-Latn-ME"/>
              </w:rPr>
            </w:pPr>
            <w:proofErr w:type="spellStart"/>
            <w:r w:rsidRPr="007A69F2">
              <w:rPr>
                <w:sz w:val="22"/>
                <w:szCs w:val="22"/>
                <w:lang w:val="sr-Latn-ME"/>
              </w:rPr>
              <w:t>Placebo</w:t>
            </w:r>
            <w:proofErr w:type="spellEnd"/>
          </w:p>
        </w:tc>
        <w:tc>
          <w:tcPr>
            <w:tcW w:w="810" w:type="dxa"/>
          </w:tcPr>
          <w:p w14:paraId="397DF7AC" w14:textId="77777777" w:rsidR="00DA17AE" w:rsidRPr="007A69F2" w:rsidRDefault="00D04C51" w:rsidP="00E4549D">
            <w:pPr>
              <w:keepNext/>
              <w:spacing w:line="240" w:lineRule="auto"/>
              <w:jc w:val="both"/>
              <w:rPr>
                <w:b/>
                <w:sz w:val="22"/>
                <w:szCs w:val="22"/>
                <w:lang w:val="sr-Latn-ME"/>
              </w:rPr>
            </w:pPr>
            <w:r w:rsidRPr="007A69F2">
              <w:rPr>
                <w:sz w:val="22"/>
                <w:szCs w:val="22"/>
                <w:lang w:val="sr-Latn-ME"/>
              </w:rPr>
              <w:drawing>
                <wp:anchor distT="0" distB="0" distL="114300" distR="114300" simplePos="0" relativeHeight="251658240" behindDoc="0" locked="0" layoutInCell="1" allowOverlap="1" wp14:anchorId="4A9975BD" wp14:editId="73CC419D">
                  <wp:simplePos x="0" y="0"/>
                  <wp:positionH relativeFrom="column">
                    <wp:posOffset>36195</wp:posOffset>
                  </wp:positionH>
                  <wp:positionV relativeFrom="paragraph">
                    <wp:posOffset>53340</wp:posOffset>
                  </wp:positionV>
                  <wp:extent cx="377190" cy="71120"/>
                  <wp:effectExtent l="0" t="0" r="3810" b="508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21"/>
                          <a:stretch>
                            <a:fillRect/>
                          </a:stretch>
                        </pic:blipFill>
                        <pic:spPr>
                          <a:xfrm>
                            <a:off x="0" y="0"/>
                            <a:ext cx="377190" cy="71120"/>
                          </a:xfrm>
                          <a:prstGeom prst="rect">
                            <a:avLst/>
                          </a:prstGeom>
                        </pic:spPr>
                      </pic:pic>
                    </a:graphicData>
                  </a:graphic>
                </wp:anchor>
              </w:drawing>
            </w:r>
          </w:p>
        </w:tc>
        <w:tc>
          <w:tcPr>
            <w:tcW w:w="3420" w:type="dxa"/>
            <w:gridSpan w:val="3"/>
          </w:tcPr>
          <w:p w14:paraId="30935E9F" w14:textId="77777777" w:rsidR="00DA17AE" w:rsidRPr="007A69F2" w:rsidRDefault="00D04C51" w:rsidP="00E4549D">
            <w:pPr>
              <w:keepNext/>
              <w:spacing w:line="240" w:lineRule="auto"/>
              <w:jc w:val="both"/>
              <w:rPr>
                <w:bCs/>
                <w:sz w:val="22"/>
                <w:szCs w:val="22"/>
                <w:lang w:val="sr-Latn-ME"/>
              </w:rPr>
            </w:pPr>
            <w:r w:rsidRPr="007A69F2">
              <w:rPr>
                <w:sz w:val="22"/>
                <w:szCs w:val="22"/>
                <w:lang w:val="sr-Latn-ME"/>
              </w:rPr>
              <w:t>AQUIPTA 60 mg jednom dnevno</w:t>
            </w:r>
          </w:p>
        </w:tc>
        <w:tc>
          <w:tcPr>
            <w:tcW w:w="1440" w:type="dxa"/>
            <w:gridSpan w:val="2"/>
          </w:tcPr>
          <w:p w14:paraId="20A1CB23" w14:textId="77777777" w:rsidR="00DA17AE" w:rsidRPr="007A69F2" w:rsidRDefault="00DA17AE" w:rsidP="00E4549D">
            <w:pPr>
              <w:keepNext/>
              <w:spacing w:line="240" w:lineRule="auto"/>
              <w:jc w:val="both"/>
              <w:rPr>
                <w:b/>
                <w:sz w:val="22"/>
                <w:szCs w:val="22"/>
                <w:lang w:val="sr-Latn-ME"/>
              </w:rPr>
            </w:pPr>
          </w:p>
        </w:tc>
      </w:tr>
    </w:tbl>
    <w:p w14:paraId="0A18FB48" w14:textId="1DF67AFD" w:rsidR="00432F2D" w:rsidRPr="007A69F2" w:rsidRDefault="00432F2D" w:rsidP="00E4549D">
      <w:pPr>
        <w:keepNext/>
        <w:spacing w:line="240" w:lineRule="auto"/>
        <w:jc w:val="both"/>
        <w:rPr>
          <w:i/>
          <w:iCs/>
          <w:szCs w:val="22"/>
          <w:lang w:val="sr-Latn-ME"/>
        </w:rPr>
      </w:pPr>
      <w:r w:rsidRPr="007A69F2">
        <w:rPr>
          <w:i/>
          <w:iCs/>
          <w:szCs w:val="22"/>
          <w:lang w:val="sr-Latn-ME"/>
        </w:rPr>
        <w:t>* (srednja vrijednost dobivena metodom najmanjih kvadrata ± standardna greška)</w:t>
      </w:r>
    </w:p>
    <w:p w14:paraId="11E546B3" w14:textId="77777777" w:rsidR="00050623" w:rsidRPr="007A69F2" w:rsidRDefault="00050623" w:rsidP="00E4549D">
      <w:pPr>
        <w:spacing w:line="240" w:lineRule="auto"/>
        <w:ind w:right="1873"/>
        <w:jc w:val="both"/>
        <w:rPr>
          <w:szCs w:val="22"/>
          <w:lang w:val="sr-Latn-ME"/>
        </w:rPr>
      </w:pPr>
    </w:p>
    <w:p w14:paraId="23D5F4BB" w14:textId="77777777" w:rsidR="0032633B" w:rsidRPr="007A69F2" w:rsidRDefault="00D04C51" w:rsidP="00E4549D">
      <w:pPr>
        <w:spacing w:line="240" w:lineRule="auto"/>
        <w:ind w:right="73"/>
        <w:jc w:val="both"/>
        <w:rPr>
          <w:szCs w:val="22"/>
          <w:u w:val="single"/>
          <w:lang w:val="sr-Latn-ME"/>
        </w:rPr>
      </w:pPr>
      <w:r w:rsidRPr="007A69F2">
        <w:rPr>
          <w:szCs w:val="22"/>
          <w:u w:val="single"/>
          <w:lang w:val="sr-Latn-ME"/>
        </w:rPr>
        <w:t>Pedijatrijska populacija</w:t>
      </w:r>
    </w:p>
    <w:p w14:paraId="2A6700D5" w14:textId="2166D59B" w:rsidR="00493D93" w:rsidRPr="007A69F2" w:rsidRDefault="00D04C51" w:rsidP="00E4549D">
      <w:pPr>
        <w:spacing w:line="240" w:lineRule="auto"/>
        <w:ind w:right="73"/>
        <w:jc w:val="both"/>
        <w:rPr>
          <w:szCs w:val="22"/>
          <w:lang w:val="sr-Latn-ME"/>
        </w:rPr>
      </w:pPr>
      <w:r w:rsidRPr="007A69F2">
        <w:rPr>
          <w:szCs w:val="22"/>
          <w:lang w:val="sr-Latn-ME"/>
        </w:rPr>
        <w:t xml:space="preserve">Evropska agencija za </w:t>
      </w:r>
      <w:r w:rsidR="008007BD" w:rsidRPr="007A69F2">
        <w:rPr>
          <w:szCs w:val="22"/>
          <w:lang w:val="sr-Latn-ME"/>
        </w:rPr>
        <w:t>ljekov</w:t>
      </w:r>
      <w:r w:rsidRPr="007A69F2">
        <w:rPr>
          <w:szCs w:val="22"/>
          <w:lang w:val="sr-Latn-ME"/>
        </w:rPr>
        <w:t xml:space="preserve">e </w:t>
      </w:r>
      <w:r w:rsidR="00E25363" w:rsidRPr="007A69F2">
        <w:rPr>
          <w:szCs w:val="22"/>
          <w:lang w:val="sr-Latn-ME"/>
        </w:rPr>
        <w:t>odložile</w:t>
      </w:r>
      <w:r w:rsidRPr="007A69F2">
        <w:rPr>
          <w:szCs w:val="22"/>
          <w:lang w:val="sr-Latn-ME"/>
        </w:rPr>
        <w:t xml:space="preserve"> je obavezu </w:t>
      </w:r>
      <w:r w:rsidR="009A5DA9" w:rsidRPr="007A69F2">
        <w:rPr>
          <w:szCs w:val="22"/>
          <w:lang w:val="sr-Latn-ME"/>
        </w:rPr>
        <w:t>podnošenja</w:t>
      </w:r>
      <w:r w:rsidRPr="007A69F2">
        <w:rPr>
          <w:szCs w:val="22"/>
          <w:lang w:val="sr-Latn-ME"/>
        </w:rPr>
        <w:t xml:space="preserve"> rezultata </w:t>
      </w:r>
      <w:r w:rsidR="009A5DA9" w:rsidRPr="007A69F2">
        <w:rPr>
          <w:szCs w:val="22"/>
          <w:lang w:val="sr-Latn-ME"/>
        </w:rPr>
        <w:t>ispitivanja</w:t>
      </w:r>
      <w:r w:rsidRPr="007A69F2">
        <w:rPr>
          <w:szCs w:val="22"/>
          <w:lang w:val="sr-Latn-ME"/>
        </w:rPr>
        <w:t xml:space="preserve"> lijeka AQUIPTA u jednoj ili više podgrupa pedijatrijske populacije u profilaks</w:t>
      </w:r>
      <w:r w:rsidR="009A5DA9" w:rsidRPr="007A69F2">
        <w:rPr>
          <w:szCs w:val="22"/>
          <w:lang w:val="sr-Latn-ME"/>
        </w:rPr>
        <w:t>i</w:t>
      </w:r>
      <w:r w:rsidRPr="007A69F2">
        <w:rPr>
          <w:szCs w:val="22"/>
          <w:lang w:val="sr-Latn-ME"/>
        </w:rPr>
        <w:t xml:space="preserve"> migrensk</w:t>
      </w:r>
      <w:r w:rsidR="009A5DA9" w:rsidRPr="007A69F2">
        <w:rPr>
          <w:szCs w:val="22"/>
          <w:lang w:val="sr-Latn-ME"/>
        </w:rPr>
        <w:t>ih</w:t>
      </w:r>
      <w:r w:rsidRPr="007A69F2">
        <w:rPr>
          <w:szCs w:val="22"/>
          <w:lang w:val="sr-Latn-ME"/>
        </w:rPr>
        <w:t xml:space="preserve"> glavobolj</w:t>
      </w:r>
      <w:r w:rsidR="009A5DA9" w:rsidRPr="007A69F2">
        <w:rPr>
          <w:szCs w:val="22"/>
          <w:lang w:val="sr-Latn-ME"/>
        </w:rPr>
        <w:t>a</w:t>
      </w:r>
      <w:r w:rsidRPr="007A69F2">
        <w:rPr>
          <w:szCs w:val="22"/>
          <w:lang w:val="sr-Latn-ME"/>
        </w:rPr>
        <w:t xml:space="preserve"> (vidjeti dio 4.2 za informacije o pedijatrijskoj primjeni).</w:t>
      </w:r>
    </w:p>
    <w:p w14:paraId="4C97BABA" w14:textId="77777777" w:rsidR="00DA17AE" w:rsidRPr="007A69F2" w:rsidRDefault="00DA17AE" w:rsidP="00E4549D">
      <w:pPr>
        <w:spacing w:line="240" w:lineRule="auto"/>
        <w:jc w:val="both"/>
        <w:rPr>
          <w:szCs w:val="22"/>
          <w:lang w:val="sr-Latn-ME"/>
        </w:rPr>
      </w:pPr>
    </w:p>
    <w:p w14:paraId="73E3591E" w14:textId="77777777" w:rsidR="00DA17AE" w:rsidRPr="007A69F2" w:rsidRDefault="00D04C51" w:rsidP="00E4549D">
      <w:pPr>
        <w:keepNext/>
        <w:spacing w:line="240" w:lineRule="auto"/>
        <w:jc w:val="both"/>
        <w:outlineLvl w:val="0"/>
        <w:rPr>
          <w:szCs w:val="22"/>
          <w:lang w:val="sr-Latn-ME"/>
        </w:rPr>
      </w:pPr>
      <w:bookmarkStart w:id="18" w:name="_Hlk119938766"/>
      <w:r w:rsidRPr="007A69F2">
        <w:rPr>
          <w:b/>
          <w:szCs w:val="22"/>
          <w:lang w:val="sr-Latn-ME"/>
        </w:rPr>
        <w:t>5.2</w:t>
      </w:r>
      <w:r w:rsidRPr="007A69F2">
        <w:rPr>
          <w:b/>
          <w:szCs w:val="22"/>
          <w:lang w:val="sr-Latn-ME"/>
        </w:rPr>
        <w:tab/>
      </w:r>
      <w:proofErr w:type="spellStart"/>
      <w:r w:rsidRPr="007A69F2">
        <w:rPr>
          <w:b/>
          <w:szCs w:val="22"/>
          <w:lang w:val="sr-Latn-ME"/>
        </w:rPr>
        <w:t>Farmakokinetička</w:t>
      </w:r>
      <w:proofErr w:type="spellEnd"/>
      <w:r w:rsidRPr="007A69F2">
        <w:rPr>
          <w:b/>
          <w:szCs w:val="22"/>
          <w:lang w:val="sr-Latn-ME"/>
        </w:rPr>
        <w:t xml:space="preserve"> svojstva</w:t>
      </w:r>
    </w:p>
    <w:p w14:paraId="73DED526" w14:textId="77777777" w:rsidR="00DA17AE" w:rsidRPr="007A69F2" w:rsidRDefault="00DA17AE" w:rsidP="00E4549D">
      <w:pPr>
        <w:spacing w:line="240" w:lineRule="auto"/>
        <w:jc w:val="both"/>
        <w:rPr>
          <w:szCs w:val="22"/>
          <w:lang w:val="sr-Latn-ME"/>
        </w:rPr>
      </w:pPr>
    </w:p>
    <w:p w14:paraId="440BEABA" w14:textId="77777777" w:rsidR="00E25363" w:rsidRPr="007A69F2" w:rsidRDefault="00E25363" w:rsidP="00405FD8">
      <w:pPr>
        <w:keepNext/>
        <w:spacing w:line="240" w:lineRule="auto"/>
        <w:contextualSpacing/>
        <w:jc w:val="both"/>
        <w:outlineLvl w:val="0"/>
        <w:rPr>
          <w:iCs/>
          <w:szCs w:val="22"/>
          <w:u w:val="single"/>
          <w:lang w:val="sr-Latn-ME"/>
        </w:rPr>
      </w:pPr>
      <w:bookmarkStart w:id="19" w:name="_Hlk119424184"/>
      <w:bookmarkStart w:id="20" w:name="_Hlk120004678"/>
      <w:r w:rsidRPr="007A69F2">
        <w:rPr>
          <w:iCs/>
          <w:szCs w:val="22"/>
          <w:u w:val="single"/>
          <w:lang w:val="sr-Latn-ME"/>
        </w:rPr>
        <w:t>Resorpcija</w:t>
      </w:r>
    </w:p>
    <w:p w14:paraId="551F5CB5" w14:textId="1E46CFA2" w:rsidR="00DA17AE" w:rsidRPr="007A69F2" w:rsidRDefault="00332419" w:rsidP="00405FD8">
      <w:pPr>
        <w:spacing w:line="240" w:lineRule="auto"/>
        <w:jc w:val="both"/>
        <w:rPr>
          <w:szCs w:val="22"/>
          <w:lang w:val="sr-Latn-ME"/>
        </w:rPr>
      </w:pPr>
      <w:r w:rsidRPr="007A69F2">
        <w:rPr>
          <w:szCs w:val="22"/>
          <w:lang w:val="sr-Latn-ME"/>
        </w:rPr>
        <w:t xml:space="preserve">Nakon oralne primjene, lijek </w:t>
      </w:r>
      <w:proofErr w:type="spellStart"/>
      <w:r w:rsidRPr="007A69F2">
        <w:rPr>
          <w:szCs w:val="22"/>
          <w:lang w:val="sr-Latn-ME"/>
        </w:rPr>
        <w:t>atogepant</w:t>
      </w:r>
      <w:proofErr w:type="spellEnd"/>
      <w:r w:rsidRPr="007A69F2">
        <w:rPr>
          <w:szCs w:val="22"/>
          <w:lang w:val="sr-Latn-ME"/>
        </w:rPr>
        <w:t xml:space="preserve"> se </w:t>
      </w:r>
      <w:r w:rsidR="00E25363" w:rsidRPr="007A69F2">
        <w:rPr>
          <w:szCs w:val="22"/>
          <w:lang w:val="sr-Latn-ME"/>
        </w:rPr>
        <w:t>resorbuje</w:t>
      </w:r>
      <w:r w:rsidRPr="007A69F2">
        <w:rPr>
          <w:szCs w:val="22"/>
          <w:lang w:val="sr-Latn-ME"/>
        </w:rPr>
        <w:t xml:space="preserve"> postižući vršne koncentracije u plazmi za približno 1 do 2 sata. Nakon doziranja jednom dnevno, lijek </w:t>
      </w:r>
      <w:proofErr w:type="spellStart"/>
      <w:r w:rsidRPr="007A69F2">
        <w:rPr>
          <w:szCs w:val="22"/>
          <w:lang w:val="sr-Latn-ME"/>
        </w:rPr>
        <w:t>atogepant</w:t>
      </w:r>
      <w:proofErr w:type="spellEnd"/>
      <w:r w:rsidRPr="007A69F2">
        <w:rPr>
          <w:szCs w:val="22"/>
          <w:lang w:val="sr-Latn-ME"/>
        </w:rPr>
        <w:t xml:space="preserve"> u dozama do 170 mg (približno 3 puta više od najviše preporučene doze) pokazuje </w:t>
      </w:r>
      <w:proofErr w:type="spellStart"/>
      <w:r w:rsidRPr="007A69F2">
        <w:rPr>
          <w:szCs w:val="22"/>
          <w:lang w:val="sr-Latn-ME"/>
        </w:rPr>
        <w:t>farmakokinetiku</w:t>
      </w:r>
      <w:proofErr w:type="spellEnd"/>
      <w:r w:rsidRPr="007A69F2">
        <w:rPr>
          <w:szCs w:val="22"/>
          <w:lang w:val="sr-Latn-ME"/>
        </w:rPr>
        <w:t xml:space="preserve"> proporcionalnu dozi, bez akumulacije.</w:t>
      </w:r>
    </w:p>
    <w:bookmarkEnd w:id="19"/>
    <w:bookmarkEnd w:id="20"/>
    <w:p w14:paraId="2F346F2F" w14:textId="77777777" w:rsidR="00C77467" w:rsidRPr="007A69F2" w:rsidRDefault="00C77467" w:rsidP="00E4549D">
      <w:pPr>
        <w:spacing w:line="240" w:lineRule="auto"/>
        <w:jc w:val="both"/>
        <w:rPr>
          <w:szCs w:val="22"/>
          <w:lang w:val="sr-Latn-ME"/>
        </w:rPr>
      </w:pPr>
    </w:p>
    <w:p w14:paraId="099A3957" w14:textId="5D60D1D3" w:rsidR="00DA17AE" w:rsidRPr="007A69F2" w:rsidRDefault="00D04C51" w:rsidP="00E4549D">
      <w:pPr>
        <w:spacing w:line="240" w:lineRule="auto"/>
        <w:jc w:val="both"/>
        <w:rPr>
          <w:i/>
          <w:szCs w:val="22"/>
          <w:u w:val="single"/>
          <w:lang w:val="sr-Latn-ME"/>
        </w:rPr>
      </w:pPr>
      <w:r w:rsidRPr="007A69F2">
        <w:rPr>
          <w:i/>
          <w:szCs w:val="22"/>
          <w:u w:val="single"/>
          <w:lang w:val="sr-Latn-ME"/>
        </w:rPr>
        <w:t>Uticaj hrane</w:t>
      </w:r>
    </w:p>
    <w:p w14:paraId="34021186" w14:textId="5CB95FA7" w:rsidR="00DA17AE" w:rsidRPr="007A69F2" w:rsidRDefault="00D04C51" w:rsidP="00E4549D">
      <w:pPr>
        <w:spacing w:line="240" w:lineRule="auto"/>
        <w:jc w:val="both"/>
        <w:rPr>
          <w:szCs w:val="22"/>
          <w:lang w:val="sr-Latn-ME"/>
        </w:rPr>
      </w:pPr>
      <w:r w:rsidRPr="007A69F2">
        <w:rPr>
          <w:szCs w:val="22"/>
          <w:lang w:val="sr-Latn-ME"/>
        </w:rPr>
        <w:t>Kada se</w:t>
      </w:r>
      <w:r w:rsidR="00332419" w:rsidRPr="007A69F2">
        <w:rPr>
          <w:szCs w:val="22"/>
          <w:lang w:val="sr-Latn-ME"/>
        </w:rPr>
        <w:t xml:space="preserve"> lijek</w:t>
      </w:r>
      <w:r w:rsidRPr="007A69F2">
        <w:rPr>
          <w:szCs w:val="22"/>
          <w:lang w:val="sr-Latn-ME"/>
        </w:rPr>
        <w:t xml:space="preserve"> </w:t>
      </w:r>
      <w:proofErr w:type="spellStart"/>
      <w:r w:rsidRPr="007A69F2">
        <w:rPr>
          <w:szCs w:val="22"/>
          <w:lang w:val="sr-Latn-ME"/>
        </w:rPr>
        <w:t>atogepant</w:t>
      </w:r>
      <w:proofErr w:type="spellEnd"/>
      <w:r w:rsidR="00332419" w:rsidRPr="007A69F2">
        <w:rPr>
          <w:szCs w:val="22"/>
          <w:lang w:val="sr-Latn-ME"/>
        </w:rPr>
        <w:t xml:space="preserve"> primjenjivao uz obrok s</w:t>
      </w:r>
      <w:r w:rsidR="00E25363" w:rsidRPr="007A69F2">
        <w:rPr>
          <w:szCs w:val="22"/>
          <w:lang w:val="sr-Latn-ME"/>
        </w:rPr>
        <w:t>a</w:t>
      </w:r>
      <w:r w:rsidR="00332419" w:rsidRPr="007A69F2">
        <w:rPr>
          <w:szCs w:val="22"/>
          <w:lang w:val="sr-Latn-ME"/>
        </w:rPr>
        <w:t xml:space="preserve"> visokim </w:t>
      </w:r>
      <w:proofErr w:type="spellStart"/>
      <w:r w:rsidR="00332419" w:rsidRPr="007A69F2">
        <w:rPr>
          <w:szCs w:val="22"/>
          <w:lang w:val="sr-Latn-ME"/>
        </w:rPr>
        <w:t>udjelom</w:t>
      </w:r>
      <w:proofErr w:type="spellEnd"/>
      <w:r w:rsidR="00332419" w:rsidRPr="007A69F2">
        <w:rPr>
          <w:szCs w:val="22"/>
          <w:lang w:val="sr-Latn-ME"/>
        </w:rPr>
        <w:t xml:space="preserve"> masti</w:t>
      </w:r>
      <w:r w:rsidRPr="007A69F2">
        <w:rPr>
          <w:szCs w:val="22"/>
          <w:lang w:val="sr-Latn-ME"/>
        </w:rPr>
        <w:t xml:space="preserve">, vrijednosti AUC i </w:t>
      </w:r>
      <w:proofErr w:type="spellStart"/>
      <w:r w:rsidRPr="007A69F2">
        <w:rPr>
          <w:szCs w:val="22"/>
          <w:lang w:val="sr-Latn-ME"/>
        </w:rPr>
        <w:t>C</w:t>
      </w:r>
      <w:r w:rsidRPr="007A69F2">
        <w:rPr>
          <w:szCs w:val="22"/>
          <w:vertAlign w:val="subscript"/>
          <w:lang w:val="sr-Latn-ME"/>
        </w:rPr>
        <w:t>max</w:t>
      </w:r>
      <w:proofErr w:type="spellEnd"/>
      <w:r w:rsidRPr="007A69F2">
        <w:rPr>
          <w:szCs w:val="22"/>
          <w:lang w:val="sr-Latn-ME"/>
        </w:rPr>
        <w:t xml:space="preserve"> su bile smanjene za otprilike 18% odnosno 22% </w:t>
      </w:r>
      <w:bookmarkStart w:id="21" w:name="_9kR3WTu423459xwogiigw"/>
      <w:r w:rsidRPr="007A69F2">
        <w:rPr>
          <w:szCs w:val="22"/>
          <w:lang w:val="sr-Latn-ME"/>
        </w:rPr>
        <w:t>bez uticaja</w:t>
      </w:r>
      <w:bookmarkEnd w:id="21"/>
      <w:r w:rsidRPr="007A69F2">
        <w:rPr>
          <w:szCs w:val="22"/>
          <w:lang w:val="sr-Latn-ME"/>
        </w:rPr>
        <w:t xml:space="preserve"> na </w:t>
      </w:r>
      <w:proofErr w:type="spellStart"/>
      <w:r w:rsidRPr="007A69F2">
        <w:rPr>
          <w:szCs w:val="22"/>
          <w:lang w:val="sr-Latn-ME"/>
        </w:rPr>
        <w:t>medijan</w:t>
      </w:r>
      <w:r w:rsidR="00E25363" w:rsidRPr="007A69F2">
        <w:rPr>
          <w:szCs w:val="22"/>
          <w:lang w:val="sr-Latn-ME"/>
        </w:rPr>
        <w:t>u</w:t>
      </w:r>
      <w:proofErr w:type="spellEnd"/>
      <w:r w:rsidRPr="007A69F2">
        <w:rPr>
          <w:szCs w:val="22"/>
          <w:lang w:val="sr-Latn-ME"/>
        </w:rPr>
        <w:t xml:space="preserve"> </w:t>
      </w:r>
      <w:proofErr w:type="spellStart"/>
      <w:r w:rsidRPr="007A69F2">
        <w:rPr>
          <w:szCs w:val="22"/>
          <w:lang w:val="sr-Latn-ME"/>
        </w:rPr>
        <w:t>vremena</w:t>
      </w:r>
      <w:proofErr w:type="spellEnd"/>
      <w:r w:rsidRPr="007A69F2">
        <w:rPr>
          <w:szCs w:val="22"/>
          <w:lang w:val="sr-Latn-ME"/>
        </w:rPr>
        <w:t xml:space="preserve"> do</w:t>
      </w:r>
      <w:r w:rsidR="00332419" w:rsidRPr="007A69F2">
        <w:rPr>
          <w:szCs w:val="22"/>
          <w:lang w:val="sr-Latn-ME"/>
        </w:rPr>
        <w:t xml:space="preserve"> postizanja</w:t>
      </w:r>
      <w:r w:rsidRPr="007A69F2">
        <w:rPr>
          <w:szCs w:val="22"/>
          <w:lang w:val="sr-Latn-ME"/>
        </w:rPr>
        <w:t xml:space="preserve"> maksimalne koncentracije</w:t>
      </w:r>
      <w:r w:rsidR="00332419" w:rsidRPr="007A69F2">
        <w:rPr>
          <w:szCs w:val="22"/>
          <w:lang w:val="sr-Latn-ME"/>
        </w:rPr>
        <w:t xml:space="preserve"> lijeka</w:t>
      </w:r>
      <w:r w:rsidRPr="007A69F2">
        <w:rPr>
          <w:szCs w:val="22"/>
          <w:lang w:val="sr-Latn-ME"/>
        </w:rPr>
        <w:t xml:space="preserve"> </w:t>
      </w:r>
      <w:proofErr w:type="spellStart"/>
      <w:r w:rsidRPr="007A69F2">
        <w:rPr>
          <w:szCs w:val="22"/>
          <w:lang w:val="sr-Latn-ME"/>
        </w:rPr>
        <w:t>atogepant</w:t>
      </w:r>
      <w:proofErr w:type="spellEnd"/>
      <w:r w:rsidRPr="007A69F2">
        <w:rPr>
          <w:szCs w:val="22"/>
          <w:lang w:val="sr-Latn-ME"/>
        </w:rPr>
        <w:t xml:space="preserve"> u plazmi. </w:t>
      </w:r>
      <w:r w:rsidR="00332419" w:rsidRPr="007A69F2">
        <w:rPr>
          <w:szCs w:val="22"/>
          <w:lang w:val="sr-Latn-ME"/>
        </w:rPr>
        <w:t xml:space="preserve">U kliničkim ispitivanjima efikasnosti lijek </w:t>
      </w:r>
      <w:proofErr w:type="spellStart"/>
      <w:r w:rsidR="00332419" w:rsidRPr="007A69F2">
        <w:rPr>
          <w:szCs w:val="22"/>
          <w:lang w:val="sr-Latn-ME"/>
        </w:rPr>
        <w:t>atogepant</w:t>
      </w:r>
      <w:proofErr w:type="spellEnd"/>
      <w:r w:rsidR="00332419" w:rsidRPr="007A69F2">
        <w:rPr>
          <w:szCs w:val="22"/>
          <w:lang w:val="sr-Latn-ME"/>
        </w:rPr>
        <w:t xml:space="preserve"> se primjenjivao </w:t>
      </w:r>
      <w:r w:rsidR="00E25363" w:rsidRPr="007A69F2">
        <w:rPr>
          <w:szCs w:val="22"/>
          <w:lang w:val="sr-Latn-ME"/>
        </w:rPr>
        <w:t>nezavisno</w:t>
      </w:r>
      <w:r w:rsidR="00332419" w:rsidRPr="007A69F2">
        <w:rPr>
          <w:szCs w:val="22"/>
          <w:lang w:val="sr-Latn-ME"/>
        </w:rPr>
        <w:t xml:space="preserve"> o hrani. </w:t>
      </w:r>
    </w:p>
    <w:p w14:paraId="4E671706" w14:textId="77777777" w:rsidR="00DA17AE" w:rsidRPr="007A69F2" w:rsidRDefault="00DA17AE" w:rsidP="00E4549D">
      <w:pPr>
        <w:spacing w:line="240" w:lineRule="auto"/>
        <w:jc w:val="both"/>
        <w:rPr>
          <w:szCs w:val="22"/>
          <w:lang w:val="sr-Latn-ME"/>
        </w:rPr>
      </w:pPr>
    </w:p>
    <w:p w14:paraId="63EB16BF" w14:textId="77777777" w:rsidR="00DA17AE" w:rsidRPr="007A69F2" w:rsidRDefault="00D04C51" w:rsidP="00E4549D">
      <w:pPr>
        <w:spacing w:line="240" w:lineRule="auto"/>
        <w:jc w:val="both"/>
        <w:rPr>
          <w:szCs w:val="22"/>
          <w:u w:val="single"/>
          <w:lang w:val="sr-Latn-ME"/>
        </w:rPr>
      </w:pPr>
      <w:r w:rsidRPr="007A69F2">
        <w:rPr>
          <w:szCs w:val="22"/>
          <w:u w:val="single"/>
          <w:lang w:val="sr-Latn-ME"/>
        </w:rPr>
        <w:t>Distribucija</w:t>
      </w:r>
    </w:p>
    <w:p w14:paraId="106CE109" w14:textId="588EF86B" w:rsidR="00DA17AE" w:rsidRPr="007A69F2" w:rsidRDefault="00D04C51" w:rsidP="00405FD8">
      <w:pPr>
        <w:spacing w:line="240" w:lineRule="auto"/>
        <w:jc w:val="both"/>
        <w:rPr>
          <w:szCs w:val="22"/>
          <w:lang w:val="sr-Latn-ME"/>
        </w:rPr>
      </w:pPr>
      <w:r w:rsidRPr="007A69F2">
        <w:rPr>
          <w:szCs w:val="22"/>
          <w:lang w:val="sr-Latn-ME"/>
        </w:rPr>
        <w:t>Vezivanje</w:t>
      </w:r>
      <w:r w:rsidR="00332419" w:rsidRPr="007A69F2">
        <w:rPr>
          <w:szCs w:val="22"/>
          <w:lang w:val="sr-Latn-ME"/>
        </w:rPr>
        <w:t xml:space="preserve"> lijeka</w:t>
      </w:r>
      <w:r w:rsidRPr="007A69F2">
        <w:rPr>
          <w:szCs w:val="22"/>
          <w:lang w:val="sr-Latn-ME"/>
        </w:rPr>
        <w:t xml:space="preserve"> </w:t>
      </w:r>
      <w:proofErr w:type="spellStart"/>
      <w:r w:rsidRPr="007A69F2">
        <w:rPr>
          <w:szCs w:val="22"/>
          <w:lang w:val="sr-Latn-ME"/>
        </w:rPr>
        <w:t>atogepant</w:t>
      </w:r>
      <w:proofErr w:type="spellEnd"/>
      <w:r w:rsidRPr="007A69F2">
        <w:rPr>
          <w:szCs w:val="22"/>
          <w:lang w:val="sr-Latn-ME"/>
        </w:rPr>
        <w:t xml:space="preserve"> </w:t>
      </w:r>
      <w:r w:rsidR="00E25363" w:rsidRPr="007A69F2">
        <w:rPr>
          <w:szCs w:val="22"/>
          <w:lang w:val="sr-Latn-ME"/>
        </w:rPr>
        <w:t>za</w:t>
      </w:r>
      <w:r w:rsidRPr="007A69F2">
        <w:rPr>
          <w:szCs w:val="22"/>
          <w:lang w:val="sr-Latn-ME"/>
        </w:rPr>
        <w:t xml:space="preserve"> proteine u plazmi nije zavisilo od koncentracije u rasponu od 0,1 do 10 </w:t>
      </w:r>
      <w:proofErr w:type="spellStart"/>
      <w:r w:rsidRPr="007A69F2">
        <w:rPr>
          <w:szCs w:val="22"/>
          <w:lang w:val="sr-Latn-ME"/>
        </w:rPr>
        <w:t>μM</w:t>
      </w:r>
      <w:proofErr w:type="spellEnd"/>
      <w:r w:rsidRPr="007A69F2">
        <w:rPr>
          <w:szCs w:val="22"/>
          <w:lang w:val="sr-Latn-ME"/>
        </w:rPr>
        <w:t xml:space="preserve">; </w:t>
      </w:r>
      <w:r w:rsidR="00332419" w:rsidRPr="007A69F2">
        <w:rPr>
          <w:szCs w:val="22"/>
          <w:lang w:val="sr-Latn-ME"/>
        </w:rPr>
        <w:t xml:space="preserve">nevezana frakcija lijeka </w:t>
      </w:r>
      <w:proofErr w:type="spellStart"/>
      <w:r w:rsidR="00332419" w:rsidRPr="007A69F2">
        <w:rPr>
          <w:szCs w:val="22"/>
          <w:lang w:val="sr-Latn-ME"/>
        </w:rPr>
        <w:t>atogepanta</w:t>
      </w:r>
      <w:proofErr w:type="spellEnd"/>
      <w:r w:rsidR="00332419" w:rsidRPr="007A69F2">
        <w:rPr>
          <w:szCs w:val="22"/>
          <w:lang w:val="sr-Latn-ME"/>
        </w:rPr>
        <w:t xml:space="preserve"> u ljudskoj plazmi</w:t>
      </w:r>
      <w:r w:rsidRPr="007A69F2">
        <w:rPr>
          <w:szCs w:val="22"/>
          <w:lang w:val="sr-Latn-ME"/>
        </w:rPr>
        <w:t xml:space="preserve"> bio je približno 4,7%. Srednji</w:t>
      </w:r>
      <w:r w:rsidR="00332419" w:rsidRPr="007A69F2">
        <w:rPr>
          <w:szCs w:val="22"/>
          <w:lang w:val="sr-Latn-ME"/>
        </w:rPr>
        <w:t xml:space="preserve"> vrijednost prividnog </w:t>
      </w:r>
      <w:r w:rsidRPr="007A69F2">
        <w:rPr>
          <w:szCs w:val="22"/>
          <w:lang w:val="sr-Latn-ME"/>
        </w:rPr>
        <w:t>volumen</w:t>
      </w:r>
      <w:r w:rsidR="00332419" w:rsidRPr="007A69F2">
        <w:rPr>
          <w:szCs w:val="22"/>
          <w:lang w:val="sr-Latn-ME"/>
        </w:rPr>
        <w:t>a</w:t>
      </w:r>
      <w:r w:rsidRPr="007A69F2">
        <w:rPr>
          <w:szCs w:val="22"/>
          <w:lang w:val="sr-Latn-ME"/>
        </w:rPr>
        <w:t xml:space="preserve"> distribucije</w:t>
      </w:r>
      <w:r w:rsidR="00332419" w:rsidRPr="007A69F2">
        <w:rPr>
          <w:szCs w:val="22"/>
          <w:lang w:val="sr-Latn-ME"/>
        </w:rPr>
        <w:t xml:space="preserve"> lijeka</w:t>
      </w:r>
      <w:r w:rsidRPr="007A69F2">
        <w:rPr>
          <w:szCs w:val="22"/>
          <w:lang w:val="sr-Latn-ME"/>
        </w:rPr>
        <w:t xml:space="preserve"> </w:t>
      </w:r>
      <w:proofErr w:type="spellStart"/>
      <w:r w:rsidRPr="007A69F2">
        <w:rPr>
          <w:szCs w:val="22"/>
          <w:lang w:val="sr-Latn-ME"/>
        </w:rPr>
        <w:t>atogepant</w:t>
      </w:r>
      <w:proofErr w:type="spellEnd"/>
      <w:r w:rsidRPr="007A69F2">
        <w:rPr>
          <w:szCs w:val="22"/>
          <w:lang w:val="sr-Latn-ME"/>
        </w:rPr>
        <w:t xml:space="preserve"> (</w:t>
      </w:r>
      <w:proofErr w:type="spellStart"/>
      <w:r w:rsidRPr="007A69F2">
        <w:rPr>
          <w:szCs w:val="22"/>
          <w:lang w:val="sr-Latn-ME"/>
        </w:rPr>
        <w:t>V</w:t>
      </w:r>
      <w:r w:rsidRPr="007A69F2">
        <w:rPr>
          <w:szCs w:val="22"/>
          <w:vertAlign w:val="subscript"/>
          <w:lang w:val="sr-Latn-ME"/>
        </w:rPr>
        <w:t>z</w:t>
      </w:r>
      <w:proofErr w:type="spellEnd"/>
      <w:r w:rsidRPr="007A69F2">
        <w:rPr>
          <w:szCs w:val="22"/>
          <w:lang w:val="sr-Latn-ME"/>
        </w:rPr>
        <w:t>/F)</w:t>
      </w:r>
      <w:r w:rsidR="00332419" w:rsidRPr="007A69F2">
        <w:rPr>
          <w:szCs w:val="22"/>
          <w:lang w:val="sr-Latn-ME"/>
        </w:rPr>
        <w:t xml:space="preserve"> je</w:t>
      </w:r>
      <w:r w:rsidRPr="007A69F2">
        <w:rPr>
          <w:szCs w:val="22"/>
          <w:lang w:val="sr-Latn-ME"/>
        </w:rPr>
        <w:t xml:space="preserve"> nakon oralne primjene </w:t>
      </w:r>
      <w:r w:rsidR="00332419" w:rsidRPr="007A69F2">
        <w:rPr>
          <w:szCs w:val="22"/>
          <w:lang w:val="sr-Latn-ME"/>
        </w:rPr>
        <w:t>iznosila</w:t>
      </w:r>
      <w:r w:rsidRPr="007A69F2">
        <w:rPr>
          <w:szCs w:val="22"/>
          <w:lang w:val="sr-Latn-ME"/>
        </w:rPr>
        <w:t xml:space="preserve"> </w:t>
      </w:r>
      <w:r w:rsidR="00E25363" w:rsidRPr="007A69F2">
        <w:rPr>
          <w:szCs w:val="22"/>
          <w:lang w:val="sr-Latn-ME"/>
        </w:rPr>
        <w:t xml:space="preserve">je  </w:t>
      </w:r>
      <w:r w:rsidRPr="007A69F2">
        <w:rPr>
          <w:szCs w:val="22"/>
          <w:lang w:val="sr-Latn-ME"/>
        </w:rPr>
        <w:t>približno 292</w:t>
      </w:r>
      <w:r w:rsidR="004171CB" w:rsidRPr="007A69F2">
        <w:rPr>
          <w:szCs w:val="22"/>
          <w:lang w:val="sr-Latn-ME"/>
        </w:rPr>
        <w:t xml:space="preserve"> </w:t>
      </w:r>
      <w:r w:rsidRPr="007A69F2">
        <w:rPr>
          <w:szCs w:val="22"/>
          <w:lang w:val="sr-Latn-ME"/>
        </w:rPr>
        <w:t>l.</w:t>
      </w:r>
    </w:p>
    <w:p w14:paraId="3C01CF24" w14:textId="77777777" w:rsidR="00DA17AE" w:rsidRPr="007A69F2" w:rsidRDefault="00DA17AE" w:rsidP="00E4549D">
      <w:pPr>
        <w:spacing w:line="240" w:lineRule="auto"/>
        <w:jc w:val="both"/>
        <w:rPr>
          <w:szCs w:val="22"/>
          <w:lang w:val="sr-Latn-ME"/>
        </w:rPr>
      </w:pPr>
    </w:p>
    <w:p w14:paraId="097CBEF8" w14:textId="671C3EC4" w:rsidR="0032633B" w:rsidRPr="007A69F2" w:rsidRDefault="00E25363" w:rsidP="00E4549D">
      <w:pPr>
        <w:spacing w:line="240" w:lineRule="auto"/>
        <w:jc w:val="both"/>
        <w:rPr>
          <w:szCs w:val="22"/>
          <w:u w:val="single"/>
          <w:lang w:val="sr-Latn-ME"/>
        </w:rPr>
      </w:pPr>
      <w:bookmarkStart w:id="22" w:name="_Hlk121154914"/>
      <w:r w:rsidRPr="007A69F2">
        <w:rPr>
          <w:szCs w:val="22"/>
          <w:u w:val="single"/>
          <w:lang w:val="sr-Latn-ME"/>
        </w:rPr>
        <w:t>Metabolizam</w:t>
      </w:r>
    </w:p>
    <w:p w14:paraId="11B6F2EF" w14:textId="0FC877C0" w:rsidR="00DA17AE" w:rsidRPr="007A69F2" w:rsidRDefault="00D04C51" w:rsidP="00405FD8">
      <w:pPr>
        <w:spacing w:line="240" w:lineRule="auto"/>
        <w:jc w:val="both"/>
        <w:rPr>
          <w:szCs w:val="22"/>
          <w:lang w:val="sr-Latn-ME"/>
        </w:rPr>
      </w:pPr>
      <w:proofErr w:type="spellStart"/>
      <w:r w:rsidRPr="007A69F2">
        <w:rPr>
          <w:szCs w:val="22"/>
          <w:lang w:val="sr-Latn-ME"/>
        </w:rPr>
        <w:lastRenderedPageBreak/>
        <w:t>Atogepant</w:t>
      </w:r>
      <w:proofErr w:type="spellEnd"/>
      <w:r w:rsidRPr="007A69F2">
        <w:rPr>
          <w:szCs w:val="22"/>
          <w:lang w:val="sr-Latn-ME"/>
        </w:rPr>
        <w:t xml:space="preserve"> se elimin</w:t>
      </w:r>
      <w:r w:rsidR="00332419" w:rsidRPr="007A69F2">
        <w:rPr>
          <w:szCs w:val="22"/>
          <w:lang w:val="sr-Latn-ME"/>
        </w:rPr>
        <w:t>iše</w:t>
      </w:r>
      <w:r w:rsidRPr="007A69F2">
        <w:rPr>
          <w:szCs w:val="22"/>
          <w:lang w:val="sr-Latn-ME"/>
        </w:rPr>
        <w:t xml:space="preserve"> uglavnom metabolizmom, prvenstveno putem enzima CYP3A4.</w:t>
      </w:r>
      <w:r w:rsidR="00332419" w:rsidRPr="007A69F2">
        <w:rPr>
          <w:szCs w:val="22"/>
          <w:lang w:val="sr-Latn-ME"/>
        </w:rPr>
        <w:t xml:space="preserve">   Najzastupljenije komponente koje su cirkuli</w:t>
      </w:r>
      <w:r w:rsidR="00E25363" w:rsidRPr="007A69F2">
        <w:rPr>
          <w:szCs w:val="22"/>
          <w:lang w:val="sr-Latn-ME"/>
        </w:rPr>
        <w:t>s</w:t>
      </w:r>
      <w:r w:rsidR="00332419" w:rsidRPr="007A69F2">
        <w:rPr>
          <w:szCs w:val="22"/>
          <w:lang w:val="sr-Latn-ME"/>
        </w:rPr>
        <w:t>ale u ljudskoj plazmi su bile aktivna supstanca (</w:t>
      </w:r>
      <w:proofErr w:type="spellStart"/>
      <w:r w:rsidR="00332419" w:rsidRPr="007A69F2">
        <w:rPr>
          <w:szCs w:val="22"/>
          <w:lang w:val="sr-Latn-ME"/>
        </w:rPr>
        <w:t>atogepant</w:t>
      </w:r>
      <w:proofErr w:type="spellEnd"/>
      <w:r w:rsidR="00332419" w:rsidRPr="007A69F2">
        <w:rPr>
          <w:szCs w:val="22"/>
          <w:lang w:val="sr-Latn-ME"/>
        </w:rPr>
        <w:t xml:space="preserve">) i </w:t>
      </w:r>
      <w:proofErr w:type="spellStart"/>
      <w:r w:rsidR="00332419" w:rsidRPr="007A69F2">
        <w:rPr>
          <w:szCs w:val="22"/>
          <w:lang w:val="sr-Latn-ME"/>
        </w:rPr>
        <w:t>metabolit</w:t>
      </w:r>
      <w:proofErr w:type="spellEnd"/>
      <w:r w:rsidR="00332419" w:rsidRPr="007A69F2">
        <w:rPr>
          <w:szCs w:val="22"/>
          <w:lang w:val="sr-Latn-ME"/>
        </w:rPr>
        <w:t xml:space="preserve"> </w:t>
      </w:r>
      <w:proofErr w:type="spellStart"/>
      <w:r w:rsidR="00332419" w:rsidRPr="007A69F2">
        <w:rPr>
          <w:szCs w:val="22"/>
          <w:lang w:val="sr-Latn-ME"/>
        </w:rPr>
        <w:t>konjugata</w:t>
      </w:r>
      <w:proofErr w:type="spellEnd"/>
      <w:r w:rsidR="00332419" w:rsidRPr="007A69F2">
        <w:rPr>
          <w:szCs w:val="22"/>
          <w:lang w:val="sr-Latn-ME"/>
        </w:rPr>
        <w:t xml:space="preserve"> </w:t>
      </w:r>
      <w:proofErr w:type="spellStart"/>
      <w:r w:rsidR="00332419" w:rsidRPr="007A69F2">
        <w:rPr>
          <w:szCs w:val="22"/>
          <w:lang w:val="sr-Latn-ME"/>
        </w:rPr>
        <w:t>glukuronida</w:t>
      </w:r>
      <w:proofErr w:type="spellEnd"/>
      <w:r w:rsidR="00332419" w:rsidRPr="007A69F2">
        <w:rPr>
          <w:szCs w:val="22"/>
          <w:lang w:val="sr-Latn-ME"/>
        </w:rPr>
        <w:t xml:space="preserve"> (M23). </w:t>
      </w:r>
    </w:p>
    <w:p w14:paraId="32926F33" w14:textId="77777777" w:rsidR="00B84E49" w:rsidRPr="007A69F2" w:rsidRDefault="00B84E49" w:rsidP="00E4549D">
      <w:pPr>
        <w:spacing w:line="240" w:lineRule="auto"/>
        <w:jc w:val="both"/>
        <w:rPr>
          <w:szCs w:val="22"/>
          <w:lang w:val="sr-Latn-ME"/>
        </w:rPr>
      </w:pPr>
    </w:p>
    <w:p w14:paraId="36C0D018" w14:textId="5F8696DF" w:rsidR="006D0A2E" w:rsidRPr="007A69F2" w:rsidRDefault="00D04C51" w:rsidP="00E4549D">
      <w:pPr>
        <w:pStyle w:val="BodytextAgency"/>
        <w:spacing w:after="0" w:line="240" w:lineRule="auto"/>
        <w:jc w:val="both"/>
        <w:rPr>
          <w:rFonts w:ascii="Times New Roman" w:hAnsi="Times New Roman" w:cs="Times New Roman"/>
          <w:i/>
          <w:sz w:val="22"/>
          <w:szCs w:val="22"/>
          <w:u w:val="single"/>
          <w:lang w:val="sr-Latn-ME"/>
        </w:rPr>
      </w:pPr>
      <w:r w:rsidRPr="007A69F2">
        <w:rPr>
          <w:rFonts w:ascii="Times New Roman" w:hAnsi="Times New Roman" w:cs="Times New Roman"/>
          <w:i/>
          <w:sz w:val="22"/>
          <w:szCs w:val="22"/>
          <w:u w:val="single"/>
          <w:lang w:val="sr-Latn-ME"/>
        </w:rPr>
        <w:t>Induktori CYP3A4</w:t>
      </w:r>
    </w:p>
    <w:p w14:paraId="0B0527C5" w14:textId="46ACF39B" w:rsidR="00576D64" w:rsidRPr="007A69F2" w:rsidRDefault="00576D64" w:rsidP="00E4549D">
      <w:pPr>
        <w:tabs>
          <w:tab w:val="clear" w:pos="567"/>
        </w:tabs>
        <w:autoSpaceDE w:val="0"/>
        <w:autoSpaceDN w:val="0"/>
        <w:adjustRightInd w:val="0"/>
        <w:spacing w:line="240" w:lineRule="auto"/>
        <w:jc w:val="both"/>
        <w:rPr>
          <w:rFonts w:eastAsiaTheme="minorHAnsi"/>
          <w:color w:val="000000"/>
          <w:szCs w:val="22"/>
          <w:lang w:val="sr-Latn-ME"/>
        </w:rPr>
      </w:pPr>
      <w:r w:rsidRPr="007A69F2">
        <w:rPr>
          <w:rFonts w:eastAsiaTheme="minorHAnsi"/>
          <w:color w:val="000000"/>
          <w:szCs w:val="22"/>
          <w:lang w:val="sr-Latn-ME"/>
        </w:rPr>
        <w:t xml:space="preserve">Istovremena primjena lijeka </w:t>
      </w:r>
      <w:proofErr w:type="spellStart"/>
      <w:r w:rsidRPr="007A69F2">
        <w:rPr>
          <w:rFonts w:eastAsiaTheme="minorHAnsi"/>
          <w:color w:val="000000"/>
          <w:szCs w:val="22"/>
          <w:lang w:val="sr-Latn-ME"/>
        </w:rPr>
        <w:t>atogepant</w:t>
      </w:r>
      <w:proofErr w:type="spellEnd"/>
      <w:r w:rsidRPr="007A69F2">
        <w:rPr>
          <w:rFonts w:eastAsiaTheme="minorHAnsi"/>
          <w:color w:val="000000"/>
          <w:szCs w:val="22"/>
          <w:lang w:val="sr-Latn-ME"/>
        </w:rPr>
        <w:t xml:space="preserve"> sa snažnim induktorom CYP3A4 </w:t>
      </w:r>
      <w:proofErr w:type="spellStart"/>
      <w:r w:rsidRPr="007A69F2">
        <w:rPr>
          <w:rFonts w:eastAsiaTheme="minorHAnsi"/>
          <w:color w:val="000000"/>
          <w:szCs w:val="22"/>
          <w:lang w:val="sr-Latn-ME"/>
        </w:rPr>
        <w:t>rifampicinom</w:t>
      </w:r>
      <w:proofErr w:type="spellEnd"/>
      <w:r w:rsidRPr="007A69F2">
        <w:rPr>
          <w:rFonts w:eastAsiaTheme="minorHAnsi"/>
          <w:color w:val="000000"/>
          <w:szCs w:val="22"/>
          <w:lang w:val="sr-Latn-ME"/>
        </w:rPr>
        <w:t xml:space="preserve"> koji je bio u stanju dinamičke ravnoteže, rezultirala je značajnim smanjenjem izloženosti lijeku </w:t>
      </w:r>
      <w:proofErr w:type="spellStart"/>
      <w:r w:rsidRPr="007A69F2">
        <w:rPr>
          <w:rFonts w:eastAsiaTheme="minorHAnsi"/>
          <w:color w:val="000000"/>
          <w:szCs w:val="22"/>
          <w:lang w:val="sr-Latn-ME"/>
        </w:rPr>
        <w:t>atogepant</w:t>
      </w:r>
      <w:proofErr w:type="spellEnd"/>
      <w:r w:rsidRPr="007A69F2">
        <w:rPr>
          <w:rFonts w:eastAsiaTheme="minorHAnsi"/>
          <w:color w:val="000000"/>
          <w:szCs w:val="22"/>
          <w:lang w:val="sr-Latn-ME"/>
        </w:rPr>
        <w:t xml:space="preserve"> (</w:t>
      </w:r>
      <w:proofErr w:type="spellStart"/>
      <w:r w:rsidRPr="007A69F2">
        <w:rPr>
          <w:rFonts w:eastAsiaTheme="minorHAnsi"/>
          <w:color w:val="000000"/>
          <w:szCs w:val="22"/>
          <w:lang w:val="sr-Latn-ME"/>
        </w:rPr>
        <w:t>C</w:t>
      </w:r>
      <w:r w:rsidRPr="007A69F2">
        <w:rPr>
          <w:rFonts w:eastAsiaTheme="minorHAnsi"/>
          <w:color w:val="000000"/>
          <w:szCs w:val="22"/>
          <w:vertAlign w:val="subscript"/>
          <w:lang w:val="sr-Latn-ME"/>
        </w:rPr>
        <w:t>max</w:t>
      </w:r>
      <w:proofErr w:type="spellEnd"/>
      <w:r w:rsidRPr="007A69F2">
        <w:rPr>
          <w:rFonts w:eastAsiaTheme="minorHAnsi"/>
          <w:color w:val="000000"/>
          <w:szCs w:val="22"/>
          <w:lang w:val="sr-Latn-ME"/>
        </w:rPr>
        <w:t xml:space="preserve"> za 30% i AUC a za 60%) kod zdravih ispitanika. </w:t>
      </w:r>
    </w:p>
    <w:p w14:paraId="4D548718" w14:textId="77777777" w:rsidR="00576D64" w:rsidRPr="007A69F2" w:rsidRDefault="00576D64" w:rsidP="00E4549D">
      <w:pPr>
        <w:tabs>
          <w:tab w:val="clear" w:pos="567"/>
        </w:tabs>
        <w:autoSpaceDE w:val="0"/>
        <w:autoSpaceDN w:val="0"/>
        <w:adjustRightInd w:val="0"/>
        <w:spacing w:line="240" w:lineRule="auto"/>
        <w:jc w:val="both"/>
        <w:rPr>
          <w:rFonts w:eastAsiaTheme="minorHAnsi"/>
          <w:color w:val="000000"/>
          <w:szCs w:val="22"/>
          <w:lang w:val="sr-Latn-ME"/>
        </w:rPr>
      </w:pPr>
    </w:p>
    <w:p w14:paraId="5FD364CA" w14:textId="2194672E" w:rsidR="00576D64" w:rsidRPr="007A69F2" w:rsidRDefault="00576D64" w:rsidP="00E4549D">
      <w:pPr>
        <w:tabs>
          <w:tab w:val="clear" w:pos="567"/>
        </w:tabs>
        <w:autoSpaceDE w:val="0"/>
        <w:autoSpaceDN w:val="0"/>
        <w:adjustRightInd w:val="0"/>
        <w:spacing w:line="240" w:lineRule="auto"/>
        <w:jc w:val="both"/>
        <w:rPr>
          <w:rFonts w:eastAsiaTheme="minorHAnsi"/>
          <w:color w:val="000000"/>
          <w:szCs w:val="22"/>
          <w:lang w:val="sr-Latn-ME"/>
        </w:rPr>
      </w:pPr>
      <w:r w:rsidRPr="007A69F2">
        <w:rPr>
          <w:rFonts w:eastAsiaTheme="minorHAnsi"/>
          <w:color w:val="000000"/>
          <w:szCs w:val="22"/>
          <w:lang w:val="sr-Latn-ME"/>
        </w:rPr>
        <w:t xml:space="preserve">Istovremena primjena lijeka </w:t>
      </w:r>
      <w:proofErr w:type="spellStart"/>
      <w:r w:rsidRPr="007A69F2">
        <w:rPr>
          <w:rFonts w:eastAsiaTheme="minorHAnsi"/>
          <w:color w:val="000000"/>
          <w:szCs w:val="22"/>
          <w:lang w:val="sr-Latn-ME"/>
        </w:rPr>
        <w:t>atogepant</w:t>
      </w:r>
      <w:proofErr w:type="spellEnd"/>
      <w:r w:rsidRPr="007A69F2">
        <w:rPr>
          <w:rFonts w:eastAsiaTheme="minorHAnsi"/>
          <w:color w:val="000000"/>
          <w:szCs w:val="22"/>
          <w:lang w:val="sr-Latn-ME"/>
        </w:rPr>
        <w:t xml:space="preserve"> sa slabim induktorom CYP3A4 </w:t>
      </w:r>
      <w:proofErr w:type="spellStart"/>
      <w:r w:rsidRPr="007A69F2">
        <w:rPr>
          <w:rFonts w:eastAsiaTheme="minorHAnsi"/>
          <w:color w:val="000000"/>
          <w:szCs w:val="22"/>
          <w:lang w:val="sr-Latn-ME"/>
        </w:rPr>
        <w:t>topiramatom</w:t>
      </w:r>
      <w:proofErr w:type="spellEnd"/>
      <w:r w:rsidRPr="007A69F2">
        <w:rPr>
          <w:rFonts w:eastAsiaTheme="minorHAnsi"/>
          <w:color w:val="000000"/>
          <w:szCs w:val="22"/>
          <w:lang w:val="sr-Latn-ME"/>
        </w:rPr>
        <w:t xml:space="preserve">, koji je bio u stanju dinamičke ravnoteže, rezultirala je smanjenjem izloženosti lijeku </w:t>
      </w:r>
      <w:proofErr w:type="spellStart"/>
      <w:r w:rsidRPr="007A69F2">
        <w:rPr>
          <w:rFonts w:eastAsiaTheme="minorHAnsi"/>
          <w:color w:val="000000"/>
          <w:szCs w:val="22"/>
          <w:lang w:val="sr-Latn-ME"/>
        </w:rPr>
        <w:t>atogepant</w:t>
      </w:r>
      <w:proofErr w:type="spellEnd"/>
      <w:r w:rsidRPr="007A69F2">
        <w:rPr>
          <w:rFonts w:eastAsiaTheme="minorHAnsi"/>
          <w:color w:val="000000"/>
          <w:szCs w:val="22"/>
          <w:lang w:val="sr-Latn-ME"/>
        </w:rPr>
        <w:t xml:space="preserve"> (</w:t>
      </w:r>
      <w:proofErr w:type="spellStart"/>
      <w:r w:rsidRPr="007A69F2">
        <w:rPr>
          <w:rFonts w:eastAsiaTheme="minorHAnsi"/>
          <w:color w:val="000000"/>
          <w:szCs w:val="22"/>
          <w:lang w:val="sr-Latn-ME"/>
        </w:rPr>
        <w:t>C</w:t>
      </w:r>
      <w:r w:rsidRPr="007A69F2">
        <w:rPr>
          <w:rFonts w:eastAsiaTheme="minorHAnsi"/>
          <w:color w:val="000000"/>
          <w:szCs w:val="22"/>
          <w:vertAlign w:val="subscript"/>
          <w:lang w:val="sr-Latn-ME"/>
        </w:rPr>
        <w:t>max</w:t>
      </w:r>
      <w:proofErr w:type="spellEnd"/>
      <w:r w:rsidRPr="007A69F2">
        <w:rPr>
          <w:rFonts w:eastAsiaTheme="minorHAnsi"/>
          <w:color w:val="000000"/>
          <w:szCs w:val="22"/>
          <w:lang w:val="sr-Latn-ME"/>
        </w:rPr>
        <w:t xml:space="preserve"> za 24% i AUC a za 25%). </w:t>
      </w:r>
    </w:p>
    <w:p w14:paraId="227A0148" w14:textId="77777777" w:rsidR="00576D64" w:rsidRPr="007A69F2" w:rsidRDefault="00576D64" w:rsidP="00E4549D">
      <w:pPr>
        <w:pStyle w:val="BodytextAgency"/>
        <w:spacing w:after="0" w:line="240" w:lineRule="auto"/>
        <w:jc w:val="both"/>
        <w:rPr>
          <w:rFonts w:ascii="Times New Roman" w:eastAsiaTheme="minorHAnsi" w:hAnsi="Times New Roman" w:cs="Times New Roman"/>
          <w:i/>
          <w:iCs/>
          <w:color w:val="000000"/>
          <w:sz w:val="22"/>
          <w:szCs w:val="22"/>
          <w:lang w:val="sr-Latn-ME" w:eastAsia="en-US"/>
        </w:rPr>
      </w:pPr>
    </w:p>
    <w:p w14:paraId="09BA4E72" w14:textId="42F82833" w:rsidR="00576D64" w:rsidRPr="007A69F2" w:rsidRDefault="00576D64" w:rsidP="00E4549D">
      <w:pPr>
        <w:pStyle w:val="BodytextAgency"/>
        <w:spacing w:after="0" w:line="240" w:lineRule="auto"/>
        <w:jc w:val="both"/>
        <w:rPr>
          <w:rFonts w:ascii="Times New Roman" w:eastAsiaTheme="minorHAnsi" w:hAnsi="Times New Roman" w:cs="Times New Roman"/>
          <w:color w:val="000000"/>
          <w:sz w:val="22"/>
          <w:szCs w:val="22"/>
          <w:lang w:val="sr-Latn-ME" w:eastAsia="en-US"/>
        </w:rPr>
      </w:pPr>
      <w:r w:rsidRPr="007A69F2">
        <w:rPr>
          <w:rFonts w:ascii="Times New Roman" w:eastAsiaTheme="minorHAnsi" w:hAnsi="Times New Roman" w:cs="Times New Roman"/>
          <w:i/>
          <w:iCs/>
          <w:color w:val="000000"/>
          <w:sz w:val="22"/>
          <w:szCs w:val="22"/>
          <w:lang w:val="sr-Latn-ME" w:eastAsia="en-US"/>
        </w:rPr>
        <w:t xml:space="preserve">In </w:t>
      </w:r>
      <w:proofErr w:type="spellStart"/>
      <w:r w:rsidRPr="007A69F2">
        <w:rPr>
          <w:rFonts w:ascii="Times New Roman" w:eastAsiaTheme="minorHAnsi" w:hAnsi="Times New Roman" w:cs="Times New Roman"/>
          <w:i/>
          <w:iCs/>
          <w:color w:val="000000"/>
          <w:sz w:val="22"/>
          <w:szCs w:val="22"/>
          <w:lang w:val="sr-Latn-ME" w:eastAsia="en-US"/>
        </w:rPr>
        <w:t>vitro</w:t>
      </w:r>
      <w:proofErr w:type="spellEnd"/>
      <w:r w:rsidRPr="007A69F2">
        <w:rPr>
          <w:rFonts w:ascii="Times New Roman" w:eastAsiaTheme="minorHAnsi" w:hAnsi="Times New Roman" w:cs="Times New Roman"/>
          <w:color w:val="000000"/>
          <w:sz w:val="22"/>
          <w:szCs w:val="22"/>
          <w:lang w:val="sr-Latn-ME" w:eastAsia="en-US"/>
        </w:rPr>
        <w:t>,</w:t>
      </w:r>
      <w:r w:rsidR="00E25363" w:rsidRPr="007A69F2">
        <w:rPr>
          <w:rFonts w:ascii="Times New Roman" w:eastAsiaTheme="minorHAnsi" w:hAnsi="Times New Roman" w:cs="Times New Roman"/>
          <w:color w:val="000000"/>
          <w:sz w:val="22"/>
          <w:szCs w:val="22"/>
          <w:lang w:val="sr-Latn-ME" w:eastAsia="en-US"/>
        </w:rPr>
        <w:t xml:space="preserve"> </w:t>
      </w:r>
      <w:r w:rsidRPr="007A69F2">
        <w:rPr>
          <w:rFonts w:ascii="Times New Roman" w:eastAsiaTheme="minorHAnsi" w:hAnsi="Times New Roman" w:cs="Times New Roman"/>
          <w:color w:val="000000"/>
          <w:sz w:val="22"/>
          <w:szCs w:val="22"/>
          <w:lang w:val="sr-Latn-ME" w:eastAsia="en-US"/>
        </w:rPr>
        <w:t xml:space="preserve">lijek  </w:t>
      </w:r>
      <w:proofErr w:type="spellStart"/>
      <w:r w:rsidRPr="007A69F2">
        <w:rPr>
          <w:rFonts w:ascii="Times New Roman" w:eastAsiaTheme="minorHAnsi" w:hAnsi="Times New Roman" w:cs="Times New Roman"/>
          <w:color w:val="000000"/>
          <w:sz w:val="22"/>
          <w:szCs w:val="22"/>
          <w:lang w:val="sr-Latn-ME" w:eastAsia="en-US"/>
        </w:rPr>
        <w:t>atogepant</w:t>
      </w:r>
      <w:proofErr w:type="spellEnd"/>
      <w:r w:rsidRPr="007A69F2">
        <w:rPr>
          <w:rFonts w:ascii="Times New Roman" w:eastAsiaTheme="minorHAnsi" w:hAnsi="Times New Roman" w:cs="Times New Roman"/>
          <w:color w:val="000000"/>
          <w:sz w:val="22"/>
          <w:szCs w:val="22"/>
          <w:lang w:val="sr-Latn-ME" w:eastAsia="en-US"/>
        </w:rPr>
        <w:t xml:space="preserve"> nije </w:t>
      </w:r>
      <w:proofErr w:type="spellStart"/>
      <w:r w:rsidRPr="007A69F2">
        <w:rPr>
          <w:rFonts w:ascii="Times New Roman" w:eastAsiaTheme="minorHAnsi" w:hAnsi="Times New Roman" w:cs="Times New Roman"/>
          <w:color w:val="000000"/>
          <w:sz w:val="22"/>
          <w:szCs w:val="22"/>
          <w:lang w:val="sr-Latn-ME" w:eastAsia="en-US"/>
        </w:rPr>
        <w:t>inhibitor</w:t>
      </w:r>
      <w:proofErr w:type="spellEnd"/>
      <w:r w:rsidRPr="007A69F2">
        <w:rPr>
          <w:rFonts w:ascii="Times New Roman" w:eastAsiaTheme="minorHAnsi" w:hAnsi="Times New Roman" w:cs="Times New Roman"/>
          <w:color w:val="000000"/>
          <w:sz w:val="22"/>
          <w:szCs w:val="22"/>
          <w:lang w:val="sr-Latn-ME" w:eastAsia="en-US"/>
        </w:rPr>
        <w:t xml:space="preserve"> CYP3A4, 1A2, 2B6, 2C8, 2C9, 2C19, 2D6, MAO-A ili UGT1A1 </w:t>
      </w:r>
      <w:r w:rsidR="00E25363" w:rsidRPr="007A69F2">
        <w:rPr>
          <w:rFonts w:ascii="Times New Roman" w:eastAsiaTheme="minorHAnsi" w:hAnsi="Times New Roman" w:cs="Times New Roman"/>
          <w:color w:val="000000"/>
          <w:sz w:val="22"/>
          <w:szCs w:val="22"/>
          <w:lang w:val="sr-Latn-ME" w:eastAsia="en-US"/>
        </w:rPr>
        <w:t>u</w:t>
      </w:r>
      <w:r w:rsidRPr="007A69F2">
        <w:rPr>
          <w:rFonts w:ascii="Times New Roman" w:eastAsiaTheme="minorHAnsi" w:hAnsi="Times New Roman" w:cs="Times New Roman"/>
          <w:color w:val="000000"/>
          <w:sz w:val="22"/>
          <w:szCs w:val="22"/>
          <w:lang w:val="sr-Latn-ME" w:eastAsia="en-US"/>
        </w:rPr>
        <w:t xml:space="preserve"> klinički relevantnim koncentracijama. Lijek </w:t>
      </w:r>
      <w:proofErr w:type="spellStart"/>
      <w:r w:rsidRPr="007A69F2">
        <w:rPr>
          <w:rFonts w:ascii="Times New Roman" w:eastAsiaTheme="minorHAnsi" w:hAnsi="Times New Roman" w:cs="Times New Roman"/>
          <w:color w:val="000000"/>
          <w:sz w:val="22"/>
          <w:szCs w:val="22"/>
          <w:lang w:val="sr-Latn-ME" w:eastAsia="en-US"/>
        </w:rPr>
        <w:t>atogepant</w:t>
      </w:r>
      <w:proofErr w:type="spellEnd"/>
      <w:r w:rsidRPr="007A69F2">
        <w:rPr>
          <w:rFonts w:ascii="Times New Roman" w:eastAsiaTheme="minorHAnsi" w:hAnsi="Times New Roman" w:cs="Times New Roman"/>
          <w:color w:val="000000"/>
          <w:sz w:val="22"/>
          <w:szCs w:val="22"/>
          <w:lang w:val="sr-Latn-ME" w:eastAsia="en-US"/>
        </w:rPr>
        <w:t xml:space="preserve"> nije induktor CYP1A2, CYP2B6 ili CYP3A4 u klinički relevantnim koncentracijama. </w:t>
      </w:r>
    </w:p>
    <w:p w14:paraId="303917CD" w14:textId="77777777" w:rsidR="00A25AE3" w:rsidRPr="007A69F2" w:rsidRDefault="00A25AE3" w:rsidP="00E4549D">
      <w:pPr>
        <w:spacing w:line="240" w:lineRule="auto"/>
        <w:jc w:val="both"/>
        <w:rPr>
          <w:szCs w:val="22"/>
          <w:lang w:val="sr-Latn-ME"/>
        </w:rPr>
      </w:pPr>
    </w:p>
    <w:p w14:paraId="1952E06D" w14:textId="77777777" w:rsidR="00B36E0D" w:rsidRPr="007A69F2" w:rsidRDefault="00D04C51" w:rsidP="00E4549D">
      <w:pPr>
        <w:spacing w:line="240" w:lineRule="auto"/>
        <w:jc w:val="both"/>
        <w:rPr>
          <w:szCs w:val="22"/>
          <w:u w:val="single"/>
          <w:lang w:val="sr-Latn-ME"/>
        </w:rPr>
      </w:pPr>
      <w:bookmarkStart w:id="23" w:name="_Hlk120868625"/>
      <w:bookmarkEnd w:id="22"/>
      <w:r w:rsidRPr="007A69F2">
        <w:rPr>
          <w:szCs w:val="22"/>
          <w:u w:val="single"/>
          <w:lang w:val="sr-Latn-ME"/>
        </w:rPr>
        <w:t>Eliminacija</w:t>
      </w:r>
    </w:p>
    <w:p w14:paraId="523119BC" w14:textId="452AFC67" w:rsidR="00576D64" w:rsidRPr="007A69F2" w:rsidRDefault="00576D64" w:rsidP="00405FD8">
      <w:pPr>
        <w:spacing w:line="240" w:lineRule="auto"/>
        <w:jc w:val="both"/>
        <w:rPr>
          <w:szCs w:val="22"/>
          <w:lang w:val="sr-Latn-ME"/>
        </w:rPr>
      </w:pPr>
      <w:proofErr w:type="spellStart"/>
      <w:r w:rsidRPr="007A69F2">
        <w:rPr>
          <w:szCs w:val="22"/>
          <w:lang w:val="sr-Latn-ME"/>
        </w:rPr>
        <w:t>Poluživot</w:t>
      </w:r>
      <w:proofErr w:type="spellEnd"/>
      <w:r w:rsidRPr="007A69F2">
        <w:rPr>
          <w:szCs w:val="22"/>
          <w:lang w:val="sr-Latn-ME"/>
        </w:rPr>
        <w:t xml:space="preserve"> eliminacije lijeka </w:t>
      </w:r>
      <w:proofErr w:type="spellStart"/>
      <w:r w:rsidRPr="007A69F2">
        <w:rPr>
          <w:szCs w:val="22"/>
          <w:lang w:val="sr-Latn-ME"/>
        </w:rPr>
        <w:t>atogepant</w:t>
      </w:r>
      <w:proofErr w:type="spellEnd"/>
      <w:r w:rsidRPr="007A69F2">
        <w:rPr>
          <w:szCs w:val="22"/>
          <w:lang w:val="sr-Latn-ME"/>
        </w:rPr>
        <w:t xml:space="preserve"> iznosi približno 11 sati. Srednja vrijednost prividnog oralnog </w:t>
      </w:r>
      <w:proofErr w:type="spellStart"/>
      <w:r w:rsidRPr="007A69F2">
        <w:rPr>
          <w:szCs w:val="22"/>
          <w:lang w:val="sr-Latn-ME"/>
        </w:rPr>
        <w:t>klirensa</w:t>
      </w:r>
      <w:proofErr w:type="spellEnd"/>
      <w:r w:rsidRPr="007A69F2">
        <w:rPr>
          <w:szCs w:val="22"/>
          <w:lang w:val="sr-Latn-ME"/>
        </w:rPr>
        <w:t xml:space="preserve"> (CL/F) lijeka </w:t>
      </w:r>
      <w:proofErr w:type="spellStart"/>
      <w:r w:rsidRPr="007A69F2">
        <w:rPr>
          <w:szCs w:val="22"/>
          <w:lang w:val="sr-Latn-ME"/>
        </w:rPr>
        <w:t>atogepant</w:t>
      </w:r>
      <w:proofErr w:type="spellEnd"/>
      <w:r w:rsidRPr="007A69F2">
        <w:rPr>
          <w:szCs w:val="22"/>
          <w:lang w:val="sr-Latn-ME"/>
        </w:rPr>
        <w:t xml:space="preserve"> iznosi približno 19 l/h. Nakon jednokratne oralne doze od 50 mg </w:t>
      </w:r>
      <w:r w:rsidRPr="007A69F2">
        <w:rPr>
          <w:szCs w:val="22"/>
          <w:vertAlign w:val="superscript"/>
          <w:lang w:val="sr-Latn-ME"/>
        </w:rPr>
        <w:t>14</w:t>
      </w:r>
      <w:r w:rsidRPr="007A69F2">
        <w:rPr>
          <w:szCs w:val="22"/>
          <w:lang w:val="sr-Latn-ME"/>
        </w:rPr>
        <w:t>C</w:t>
      </w:r>
      <w:r w:rsidRPr="007A69F2">
        <w:rPr>
          <w:szCs w:val="22"/>
          <w:lang w:val="sr-Latn-ME"/>
        </w:rPr>
        <w:noBreakHyphen/>
        <w:t xml:space="preserve">atogepanta za zdravim muškim ispitanicima, 42% odnosno 5% doze pronađeno je kao </w:t>
      </w:r>
      <w:proofErr w:type="spellStart"/>
      <w:r w:rsidRPr="007A69F2">
        <w:rPr>
          <w:szCs w:val="22"/>
          <w:lang w:val="sr-Latn-ME"/>
        </w:rPr>
        <w:t>nepromijenjeni</w:t>
      </w:r>
      <w:proofErr w:type="spellEnd"/>
      <w:r w:rsidRPr="007A69F2">
        <w:rPr>
          <w:szCs w:val="22"/>
          <w:lang w:val="sr-Latn-ME"/>
        </w:rPr>
        <w:t xml:space="preserve"> </w:t>
      </w:r>
      <w:proofErr w:type="spellStart"/>
      <w:r w:rsidRPr="007A69F2">
        <w:rPr>
          <w:szCs w:val="22"/>
          <w:lang w:val="sr-Latn-ME"/>
        </w:rPr>
        <w:t>atogepant</w:t>
      </w:r>
      <w:proofErr w:type="spellEnd"/>
      <w:r w:rsidRPr="007A69F2">
        <w:rPr>
          <w:szCs w:val="22"/>
          <w:lang w:val="sr-Latn-ME"/>
        </w:rPr>
        <w:t xml:space="preserve"> u </w:t>
      </w:r>
      <w:proofErr w:type="spellStart"/>
      <w:r w:rsidRPr="007A69F2">
        <w:rPr>
          <w:szCs w:val="22"/>
          <w:lang w:val="sr-Latn-ME"/>
        </w:rPr>
        <w:t>fecesu</w:t>
      </w:r>
      <w:proofErr w:type="spellEnd"/>
      <w:r w:rsidRPr="007A69F2">
        <w:rPr>
          <w:szCs w:val="22"/>
          <w:lang w:val="sr-Latn-ME"/>
        </w:rPr>
        <w:t xml:space="preserve"> i urinu.</w:t>
      </w:r>
    </w:p>
    <w:p w14:paraId="3FDC7B4A" w14:textId="77777777" w:rsidR="00B36E0D" w:rsidRPr="007A69F2" w:rsidRDefault="00B36E0D" w:rsidP="00E4549D">
      <w:pPr>
        <w:spacing w:line="240" w:lineRule="auto"/>
        <w:jc w:val="both"/>
        <w:rPr>
          <w:szCs w:val="22"/>
          <w:lang w:val="sr-Latn-ME"/>
        </w:rPr>
      </w:pPr>
    </w:p>
    <w:p w14:paraId="0872898C" w14:textId="77777777" w:rsidR="00B36E0D" w:rsidRPr="007A69F2" w:rsidRDefault="00D04C51" w:rsidP="00E4549D">
      <w:pPr>
        <w:spacing w:line="240" w:lineRule="auto"/>
        <w:jc w:val="both"/>
        <w:rPr>
          <w:i/>
          <w:szCs w:val="22"/>
          <w:u w:val="single"/>
          <w:lang w:val="sr-Latn-ME"/>
        </w:rPr>
      </w:pPr>
      <w:r w:rsidRPr="007A69F2">
        <w:rPr>
          <w:i/>
          <w:szCs w:val="22"/>
          <w:u w:val="single"/>
          <w:lang w:val="sr-Latn-ME"/>
        </w:rPr>
        <w:t>Transporteri</w:t>
      </w:r>
    </w:p>
    <w:p w14:paraId="447A2FA9" w14:textId="49BD4ABA" w:rsidR="00B0223A" w:rsidRPr="007A69F2" w:rsidRDefault="00B0223A" w:rsidP="00E4549D">
      <w:pPr>
        <w:spacing w:line="240" w:lineRule="auto"/>
        <w:jc w:val="both"/>
        <w:rPr>
          <w:szCs w:val="22"/>
          <w:lang w:val="sr-Latn-ME"/>
        </w:rPr>
      </w:pPr>
      <w:proofErr w:type="spellStart"/>
      <w:r w:rsidRPr="007A69F2">
        <w:rPr>
          <w:szCs w:val="22"/>
          <w:lang w:val="sr-Latn-ME"/>
        </w:rPr>
        <w:t>Atogepant</w:t>
      </w:r>
      <w:proofErr w:type="spellEnd"/>
      <w:r w:rsidRPr="007A69F2">
        <w:rPr>
          <w:szCs w:val="22"/>
          <w:lang w:val="sr-Latn-ME"/>
        </w:rPr>
        <w:t xml:space="preserve"> je supstrat P-</w:t>
      </w:r>
      <w:proofErr w:type="spellStart"/>
      <w:r w:rsidRPr="007A69F2">
        <w:rPr>
          <w:szCs w:val="22"/>
          <w:lang w:val="sr-Latn-ME"/>
        </w:rPr>
        <w:t>gp</w:t>
      </w:r>
      <w:proofErr w:type="spellEnd"/>
      <w:r w:rsidRPr="007A69F2">
        <w:rPr>
          <w:szCs w:val="22"/>
          <w:lang w:val="sr-Latn-ME"/>
        </w:rPr>
        <w:t>-a, BCRP-a, OATP1B1, OATP1B3 i OAT1. Na osnovu kliničkih ispitivanja interakcija s</w:t>
      </w:r>
      <w:r w:rsidR="00E25363" w:rsidRPr="007A69F2">
        <w:rPr>
          <w:szCs w:val="22"/>
          <w:lang w:val="sr-Latn-ME"/>
        </w:rPr>
        <w:t>a</w:t>
      </w:r>
      <w:r w:rsidRPr="007A69F2">
        <w:rPr>
          <w:szCs w:val="22"/>
          <w:lang w:val="sr-Latn-ME"/>
        </w:rPr>
        <w:t xml:space="preserve"> jakim </w:t>
      </w:r>
      <w:proofErr w:type="spellStart"/>
      <w:r w:rsidRPr="007A69F2">
        <w:rPr>
          <w:szCs w:val="22"/>
          <w:lang w:val="sr-Latn-ME"/>
        </w:rPr>
        <w:t>inhibitorom</w:t>
      </w:r>
      <w:proofErr w:type="spellEnd"/>
      <w:r w:rsidRPr="007A69F2">
        <w:rPr>
          <w:szCs w:val="22"/>
          <w:lang w:val="sr-Latn-ME"/>
        </w:rPr>
        <w:t xml:space="preserve"> OATP, pri istovremenoj primjeni s</w:t>
      </w:r>
      <w:r w:rsidR="00E25363" w:rsidRPr="007A69F2">
        <w:rPr>
          <w:szCs w:val="22"/>
          <w:lang w:val="sr-Latn-ME"/>
        </w:rPr>
        <w:t>a</w:t>
      </w:r>
      <w:r w:rsidRPr="007A69F2">
        <w:rPr>
          <w:szCs w:val="22"/>
          <w:lang w:val="sr-Latn-ME"/>
        </w:rPr>
        <w:t xml:space="preserve"> jakim </w:t>
      </w:r>
      <w:proofErr w:type="spellStart"/>
      <w:r w:rsidRPr="007A69F2">
        <w:rPr>
          <w:szCs w:val="22"/>
          <w:lang w:val="sr-Latn-ME"/>
        </w:rPr>
        <w:t>inhibitorima</w:t>
      </w:r>
      <w:proofErr w:type="spellEnd"/>
      <w:r w:rsidRPr="007A69F2">
        <w:rPr>
          <w:szCs w:val="22"/>
          <w:lang w:val="sr-Latn-ME"/>
        </w:rPr>
        <w:t xml:space="preserve"> OATP se preporučuje prilagođavanje doze. </w:t>
      </w:r>
      <w:proofErr w:type="spellStart"/>
      <w:r w:rsidRPr="007A69F2">
        <w:rPr>
          <w:szCs w:val="22"/>
          <w:lang w:val="sr-Latn-ME"/>
        </w:rPr>
        <w:t>Atogepant</w:t>
      </w:r>
      <w:proofErr w:type="spellEnd"/>
      <w:r w:rsidRPr="007A69F2">
        <w:rPr>
          <w:szCs w:val="22"/>
          <w:lang w:val="sr-Latn-ME"/>
        </w:rPr>
        <w:t xml:space="preserve"> nije supstrat za OAT3, OCT2 ili MATE1.</w:t>
      </w:r>
    </w:p>
    <w:p w14:paraId="7DE8994F" w14:textId="77777777" w:rsidR="00295336" w:rsidRPr="007A69F2" w:rsidRDefault="00295336" w:rsidP="00E4549D">
      <w:pPr>
        <w:spacing w:line="240" w:lineRule="auto"/>
        <w:jc w:val="both"/>
        <w:rPr>
          <w:szCs w:val="22"/>
          <w:lang w:val="sr-Latn-ME"/>
        </w:rPr>
      </w:pPr>
    </w:p>
    <w:p w14:paraId="2E2E4399" w14:textId="0B49DE59" w:rsidR="00B0223A" w:rsidRPr="007A69F2" w:rsidRDefault="00B0223A" w:rsidP="00E4549D">
      <w:pPr>
        <w:spacing w:line="240" w:lineRule="auto"/>
        <w:jc w:val="both"/>
        <w:rPr>
          <w:szCs w:val="22"/>
          <w:u w:val="single"/>
          <w:lang w:val="sr-Latn-ME"/>
        </w:rPr>
      </w:pPr>
      <w:proofErr w:type="spellStart"/>
      <w:r w:rsidRPr="007A69F2">
        <w:rPr>
          <w:szCs w:val="22"/>
          <w:lang w:val="sr-Latn-ME"/>
        </w:rPr>
        <w:t>Atogepant</w:t>
      </w:r>
      <w:proofErr w:type="spellEnd"/>
      <w:r w:rsidRPr="007A69F2">
        <w:rPr>
          <w:szCs w:val="22"/>
          <w:lang w:val="sr-Latn-ME"/>
        </w:rPr>
        <w:t xml:space="preserve"> nije </w:t>
      </w:r>
      <w:proofErr w:type="spellStart"/>
      <w:r w:rsidRPr="007A69F2">
        <w:rPr>
          <w:szCs w:val="22"/>
          <w:lang w:val="sr-Latn-ME"/>
        </w:rPr>
        <w:t>inhibitor</w:t>
      </w:r>
      <w:proofErr w:type="spellEnd"/>
      <w:r w:rsidRPr="007A69F2">
        <w:rPr>
          <w:szCs w:val="22"/>
          <w:lang w:val="sr-Latn-ME"/>
        </w:rPr>
        <w:t xml:space="preserve"> P-</w:t>
      </w:r>
      <w:proofErr w:type="spellStart"/>
      <w:r w:rsidRPr="007A69F2">
        <w:rPr>
          <w:szCs w:val="22"/>
          <w:lang w:val="sr-Latn-ME"/>
        </w:rPr>
        <w:t>gp</w:t>
      </w:r>
      <w:proofErr w:type="spellEnd"/>
      <w:r w:rsidRPr="007A69F2">
        <w:rPr>
          <w:szCs w:val="22"/>
          <w:lang w:val="sr-Latn-ME"/>
        </w:rPr>
        <w:t xml:space="preserve">-a, BCRP-a, OAT1, OAT3, NTCP, BSEP, MRP3 ili MRP4 u klinički relevantnim koncentracijama. </w:t>
      </w:r>
      <w:proofErr w:type="spellStart"/>
      <w:r w:rsidRPr="007A69F2">
        <w:rPr>
          <w:szCs w:val="22"/>
          <w:lang w:val="sr-Latn-ME"/>
        </w:rPr>
        <w:t>Atogepant</w:t>
      </w:r>
      <w:proofErr w:type="spellEnd"/>
      <w:r w:rsidRPr="007A69F2">
        <w:rPr>
          <w:szCs w:val="22"/>
          <w:lang w:val="sr-Latn-ME"/>
        </w:rPr>
        <w:t xml:space="preserve"> je slab </w:t>
      </w:r>
      <w:proofErr w:type="spellStart"/>
      <w:r w:rsidRPr="007A69F2">
        <w:rPr>
          <w:szCs w:val="22"/>
          <w:lang w:val="sr-Latn-ME"/>
        </w:rPr>
        <w:t>inhibitor</w:t>
      </w:r>
      <w:proofErr w:type="spellEnd"/>
      <w:r w:rsidRPr="007A69F2">
        <w:rPr>
          <w:szCs w:val="22"/>
          <w:lang w:val="sr-Latn-ME"/>
        </w:rPr>
        <w:t xml:space="preserve"> za OATP1B1, OATP1B3, OCT1 i MATE1, ali se klinički značajne interakcije ne očekuju.</w:t>
      </w:r>
    </w:p>
    <w:p w14:paraId="2C2555C8" w14:textId="77777777" w:rsidR="00B0223A" w:rsidRPr="007A69F2" w:rsidRDefault="00B0223A" w:rsidP="00E4549D">
      <w:pPr>
        <w:spacing w:line="240" w:lineRule="auto"/>
        <w:jc w:val="both"/>
        <w:rPr>
          <w:szCs w:val="22"/>
          <w:u w:val="single"/>
          <w:lang w:val="sr-Latn-ME"/>
        </w:rPr>
      </w:pPr>
    </w:p>
    <w:p w14:paraId="37E9C398" w14:textId="3FE415CE" w:rsidR="00DA17AE" w:rsidRPr="007A69F2" w:rsidRDefault="00D04C51" w:rsidP="00E4549D">
      <w:pPr>
        <w:spacing w:line="240" w:lineRule="auto"/>
        <w:jc w:val="both"/>
        <w:rPr>
          <w:szCs w:val="22"/>
          <w:u w:val="single"/>
          <w:lang w:val="sr-Latn-ME"/>
        </w:rPr>
      </w:pPr>
      <w:r w:rsidRPr="007A69F2">
        <w:rPr>
          <w:szCs w:val="22"/>
          <w:u w:val="single"/>
          <w:lang w:val="sr-Latn-ME"/>
        </w:rPr>
        <w:t>Posebne populacije</w:t>
      </w:r>
    </w:p>
    <w:bookmarkEnd w:id="23"/>
    <w:p w14:paraId="1E016D58" w14:textId="77777777" w:rsidR="00DA17AE" w:rsidRPr="007A69F2" w:rsidRDefault="00DA17AE" w:rsidP="00E4549D">
      <w:pPr>
        <w:keepNext/>
        <w:spacing w:line="240" w:lineRule="auto"/>
        <w:jc w:val="both"/>
        <w:rPr>
          <w:szCs w:val="22"/>
          <w:lang w:val="sr-Latn-ME"/>
        </w:rPr>
      </w:pPr>
    </w:p>
    <w:p w14:paraId="37CC9B9E" w14:textId="77777777" w:rsidR="00DA17AE" w:rsidRPr="007A69F2" w:rsidRDefault="00D04C51" w:rsidP="00E4549D">
      <w:pPr>
        <w:spacing w:line="240" w:lineRule="auto"/>
        <w:jc w:val="both"/>
        <w:rPr>
          <w:i/>
          <w:szCs w:val="22"/>
          <w:u w:val="single"/>
          <w:lang w:val="sr-Latn-ME"/>
        </w:rPr>
      </w:pPr>
      <w:r w:rsidRPr="007A69F2">
        <w:rPr>
          <w:i/>
          <w:szCs w:val="22"/>
          <w:u w:val="single"/>
          <w:lang w:val="sr-Latn-ME"/>
        </w:rPr>
        <w:t>Oštećenje funkcije bubrega</w:t>
      </w:r>
    </w:p>
    <w:p w14:paraId="75222C63" w14:textId="293D6889" w:rsidR="00B0223A" w:rsidRPr="007A69F2" w:rsidRDefault="00B0223A" w:rsidP="00405FD8">
      <w:pPr>
        <w:spacing w:line="240" w:lineRule="auto"/>
        <w:jc w:val="both"/>
        <w:rPr>
          <w:szCs w:val="22"/>
          <w:lang w:val="sr-Latn-ME"/>
        </w:rPr>
      </w:pPr>
      <w:proofErr w:type="spellStart"/>
      <w:r w:rsidRPr="007A69F2">
        <w:rPr>
          <w:szCs w:val="22"/>
          <w:lang w:val="sr-Latn-ME"/>
        </w:rPr>
        <w:t>Renalni</w:t>
      </w:r>
      <w:proofErr w:type="spellEnd"/>
      <w:r w:rsidRPr="007A69F2">
        <w:rPr>
          <w:szCs w:val="22"/>
          <w:lang w:val="sr-Latn-ME"/>
        </w:rPr>
        <w:t xml:space="preserve"> put eliminacije ima manju ulogu u </w:t>
      </w:r>
      <w:proofErr w:type="spellStart"/>
      <w:r w:rsidRPr="007A69F2">
        <w:rPr>
          <w:szCs w:val="22"/>
          <w:lang w:val="sr-Latn-ME"/>
        </w:rPr>
        <w:t>klirensu</w:t>
      </w:r>
      <w:proofErr w:type="spellEnd"/>
      <w:r w:rsidRPr="007A69F2">
        <w:rPr>
          <w:szCs w:val="22"/>
          <w:lang w:val="sr-Latn-ME"/>
        </w:rPr>
        <w:t xml:space="preserve"> lijeka </w:t>
      </w:r>
      <w:proofErr w:type="spellStart"/>
      <w:r w:rsidRPr="007A69F2">
        <w:rPr>
          <w:szCs w:val="22"/>
          <w:lang w:val="sr-Latn-ME"/>
        </w:rPr>
        <w:t>atogepant</w:t>
      </w:r>
      <w:proofErr w:type="spellEnd"/>
      <w:r w:rsidRPr="007A69F2">
        <w:rPr>
          <w:szCs w:val="22"/>
          <w:lang w:val="sr-Latn-ME"/>
        </w:rPr>
        <w:t xml:space="preserve">. Na osnovu analize </w:t>
      </w:r>
      <w:proofErr w:type="spellStart"/>
      <w:r w:rsidRPr="007A69F2">
        <w:rPr>
          <w:szCs w:val="22"/>
          <w:lang w:val="sr-Latn-ME"/>
        </w:rPr>
        <w:t>populacijske</w:t>
      </w:r>
      <w:proofErr w:type="spellEnd"/>
      <w:r w:rsidRPr="007A69F2">
        <w:rPr>
          <w:szCs w:val="22"/>
          <w:lang w:val="sr-Latn-ME"/>
        </w:rPr>
        <w:t xml:space="preserve"> </w:t>
      </w:r>
      <w:proofErr w:type="spellStart"/>
      <w:r w:rsidRPr="007A69F2">
        <w:rPr>
          <w:szCs w:val="22"/>
          <w:lang w:val="sr-Latn-ME"/>
        </w:rPr>
        <w:t>farmakokinetike</w:t>
      </w:r>
      <w:proofErr w:type="spellEnd"/>
      <w:r w:rsidRPr="007A69F2">
        <w:rPr>
          <w:szCs w:val="22"/>
          <w:lang w:val="sr-Latn-ME"/>
        </w:rPr>
        <w:t xml:space="preserve">, nema značajne razlike u </w:t>
      </w:r>
      <w:proofErr w:type="spellStart"/>
      <w:r w:rsidRPr="007A69F2">
        <w:rPr>
          <w:szCs w:val="22"/>
          <w:lang w:val="sr-Latn-ME"/>
        </w:rPr>
        <w:t>farmakokinetici</w:t>
      </w:r>
      <w:proofErr w:type="spellEnd"/>
      <w:r w:rsidRPr="007A69F2">
        <w:rPr>
          <w:szCs w:val="22"/>
          <w:lang w:val="sr-Latn-ME"/>
        </w:rPr>
        <w:t xml:space="preserve"> lijeka </w:t>
      </w:r>
      <w:proofErr w:type="spellStart"/>
      <w:r w:rsidRPr="007A69F2">
        <w:rPr>
          <w:szCs w:val="22"/>
          <w:lang w:val="sr-Latn-ME"/>
        </w:rPr>
        <w:t>atogepant</w:t>
      </w:r>
      <w:proofErr w:type="spellEnd"/>
      <w:r w:rsidRPr="007A69F2">
        <w:rPr>
          <w:szCs w:val="22"/>
          <w:lang w:val="sr-Latn-ME"/>
        </w:rPr>
        <w:t xml:space="preserve"> kod </w:t>
      </w:r>
      <w:r w:rsidR="00260573" w:rsidRPr="007A69F2">
        <w:rPr>
          <w:szCs w:val="22"/>
          <w:lang w:val="sr-Latn-ME"/>
        </w:rPr>
        <w:t>pacijenata</w:t>
      </w:r>
      <w:r w:rsidRPr="007A69F2">
        <w:rPr>
          <w:szCs w:val="22"/>
          <w:lang w:val="sr-Latn-ME"/>
        </w:rPr>
        <w:t xml:space="preserve"> s</w:t>
      </w:r>
      <w:r w:rsidR="00E25363" w:rsidRPr="007A69F2">
        <w:rPr>
          <w:szCs w:val="22"/>
          <w:lang w:val="sr-Latn-ME"/>
        </w:rPr>
        <w:t>a</w:t>
      </w:r>
      <w:r w:rsidRPr="007A69F2">
        <w:rPr>
          <w:szCs w:val="22"/>
          <w:lang w:val="sr-Latn-ME"/>
        </w:rPr>
        <w:t xml:space="preserve"> blagim ili umjerenim oštećenjem bubrežne funkcije (</w:t>
      </w:r>
      <w:proofErr w:type="spellStart"/>
      <w:r w:rsidRPr="007A69F2">
        <w:rPr>
          <w:szCs w:val="22"/>
          <w:lang w:val="sr-Latn-ME"/>
        </w:rPr>
        <w:t>CLcr</w:t>
      </w:r>
      <w:proofErr w:type="spellEnd"/>
      <w:r w:rsidRPr="007A69F2">
        <w:rPr>
          <w:szCs w:val="22"/>
          <w:lang w:val="sr-Latn-ME"/>
        </w:rPr>
        <w:t xml:space="preserve"> 30 - 89 ml/min) u odnosu na one s</w:t>
      </w:r>
      <w:r w:rsidR="00E25363" w:rsidRPr="007A69F2">
        <w:rPr>
          <w:szCs w:val="22"/>
          <w:lang w:val="sr-Latn-ME"/>
        </w:rPr>
        <w:t>a</w:t>
      </w:r>
      <w:r w:rsidRPr="007A69F2">
        <w:rPr>
          <w:szCs w:val="22"/>
          <w:lang w:val="sr-Latn-ME"/>
        </w:rPr>
        <w:t xml:space="preserve"> normalnom bubrežnom funkcijom (</w:t>
      </w:r>
      <w:proofErr w:type="spellStart"/>
      <w:r w:rsidRPr="007A69F2">
        <w:rPr>
          <w:szCs w:val="22"/>
          <w:lang w:val="sr-Latn-ME"/>
        </w:rPr>
        <w:t>CLcr</w:t>
      </w:r>
      <w:proofErr w:type="spellEnd"/>
      <w:r w:rsidRPr="007A69F2">
        <w:rPr>
          <w:szCs w:val="22"/>
          <w:lang w:val="sr-Latn-ME"/>
        </w:rPr>
        <w:t xml:space="preserve"> </w:t>
      </w:r>
      <w:r w:rsidRPr="007A69F2">
        <w:rPr>
          <w:szCs w:val="22"/>
          <w:lang w:val="sr-Latn-ME"/>
        </w:rPr>
        <w:sym w:font="Symbol" w:char="F0B3"/>
      </w:r>
      <w:r w:rsidRPr="007A69F2">
        <w:rPr>
          <w:szCs w:val="22"/>
          <w:lang w:val="sr-Latn-ME"/>
        </w:rPr>
        <w:t xml:space="preserve"> 90 ml/min). Budući da kod </w:t>
      </w:r>
      <w:r w:rsidR="00260573" w:rsidRPr="007A69F2">
        <w:rPr>
          <w:szCs w:val="22"/>
          <w:lang w:val="sr-Latn-ME"/>
        </w:rPr>
        <w:t>pacijenata</w:t>
      </w:r>
      <w:r w:rsidRPr="007A69F2">
        <w:rPr>
          <w:szCs w:val="22"/>
          <w:lang w:val="sr-Latn-ME"/>
        </w:rPr>
        <w:t xml:space="preserve"> s</w:t>
      </w:r>
      <w:r w:rsidR="00E25363" w:rsidRPr="007A69F2">
        <w:rPr>
          <w:szCs w:val="22"/>
          <w:lang w:val="sr-Latn-ME"/>
        </w:rPr>
        <w:t>a</w:t>
      </w:r>
      <w:r w:rsidRPr="007A69F2">
        <w:rPr>
          <w:szCs w:val="22"/>
          <w:lang w:val="sr-Latn-ME"/>
        </w:rPr>
        <w:t xml:space="preserve"> teškim oštećenjem funkcije bubrega ili završnim stadij</w:t>
      </w:r>
      <w:r w:rsidR="00E25363" w:rsidRPr="007A69F2">
        <w:rPr>
          <w:szCs w:val="22"/>
          <w:lang w:val="sr-Latn-ME"/>
        </w:rPr>
        <w:t>umom</w:t>
      </w:r>
      <w:r w:rsidRPr="007A69F2">
        <w:rPr>
          <w:szCs w:val="22"/>
          <w:lang w:val="sr-Latn-ME"/>
        </w:rPr>
        <w:t xml:space="preserve"> bubrežne bolesti (ESRD; </w:t>
      </w:r>
      <w:proofErr w:type="spellStart"/>
      <w:r w:rsidRPr="007A69F2">
        <w:rPr>
          <w:szCs w:val="22"/>
          <w:lang w:val="sr-Latn-ME"/>
        </w:rPr>
        <w:t>CLcr</w:t>
      </w:r>
      <w:proofErr w:type="spellEnd"/>
      <w:r w:rsidRPr="007A69F2">
        <w:rPr>
          <w:szCs w:val="22"/>
          <w:lang w:val="sr-Latn-ME"/>
        </w:rPr>
        <w:t xml:space="preserve"> &lt; 30 ml/min) nisu </w:t>
      </w:r>
      <w:r w:rsidR="00E25363" w:rsidRPr="007A69F2">
        <w:rPr>
          <w:szCs w:val="22"/>
          <w:lang w:val="sr-Latn-ME"/>
        </w:rPr>
        <w:t>s</w:t>
      </w:r>
      <w:r w:rsidRPr="007A69F2">
        <w:rPr>
          <w:szCs w:val="22"/>
          <w:lang w:val="sr-Latn-ME"/>
        </w:rPr>
        <w:t xml:space="preserve">provedena ispitivanja, kod tih </w:t>
      </w:r>
      <w:r w:rsidR="00260573" w:rsidRPr="007A69F2">
        <w:rPr>
          <w:szCs w:val="22"/>
          <w:lang w:val="sr-Latn-ME"/>
        </w:rPr>
        <w:t>pacijenata</w:t>
      </w:r>
      <w:r w:rsidRPr="007A69F2">
        <w:rPr>
          <w:szCs w:val="22"/>
          <w:lang w:val="sr-Latn-ME"/>
        </w:rPr>
        <w:t xml:space="preserve"> se preporučuje primjena lijeka </w:t>
      </w:r>
      <w:proofErr w:type="spellStart"/>
      <w:r w:rsidRPr="007A69F2">
        <w:rPr>
          <w:szCs w:val="22"/>
          <w:lang w:val="sr-Latn-ME"/>
        </w:rPr>
        <w:t>atogepant</w:t>
      </w:r>
      <w:proofErr w:type="spellEnd"/>
      <w:r w:rsidRPr="007A69F2">
        <w:rPr>
          <w:szCs w:val="22"/>
          <w:lang w:val="sr-Latn-ME"/>
        </w:rPr>
        <w:t xml:space="preserve"> u dozi od 10 mg.</w:t>
      </w:r>
    </w:p>
    <w:p w14:paraId="745D0E2D" w14:textId="77777777" w:rsidR="00DA17AE" w:rsidRPr="007A69F2" w:rsidRDefault="00DA17AE" w:rsidP="00E4549D">
      <w:pPr>
        <w:spacing w:line="240" w:lineRule="auto"/>
        <w:jc w:val="both"/>
        <w:rPr>
          <w:szCs w:val="22"/>
          <w:lang w:val="sr-Latn-ME"/>
        </w:rPr>
      </w:pPr>
    </w:p>
    <w:p w14:paraId="30F5BF46" w14:textId="77777777" w:rsidR="00DA17AE" w:rsidRPr="007A69F2" w:rsidRDefault="00D04C51" w:rsidP="00E4549D">
      <w:pPr>
        <w:spacing w:line="240" w:lineRule="auto"/>
        <w:jc w:val="both"/>
        <w:rPr>
          <w:i/>
          <w:szCs w:val="22"/>
          <w:u w:val="single"/>
          <w:lang w:val="sr-Latn-ME"/>
        </w:rPr>
      </w:pPr>
      <w:r w:rsidRPr="007A69F2">
        <w:rPr>
          <w:i/>
          <w:szCs w:val="22"/>
          <w:u w:val="single"/>
          <w:lang w:val="sr-Latn-ME"/>
        </w:rPr>
        <w:t>Oštećenje funkcije jetre</w:t>
      </w:r>
    </w:p>
    <w:p w14:paraId="5FDED7B3" w14:textId="282333C9" w:rsidR="008402FF" w:rsidRPr="007A69F2" w:rsidRDefault="00B0223A" w:rsidP="00E4549D">
      <w:pPr>
        <w:spacing w:line="240" w:lineRule="auto"/>
        <w:jc w:val="both"/>
        <w:rPr>
          <w:szCs w:val="22"/>
          <w:lang w:val="sr-Latn-ME"/>
        </w:rPr>
      </w:pPr>
      <w:r w:rsidRPr="007A69F2">
        <w:rPr>
          <w:szCs w:val="22"/>
          <w:lang w:val="sr-Latn-ME"/>
        </w:rPr>
        <w:t xml:space="preserve">Kod </w:t>
      </w:r>
      <w:r w:rsidR="00260573" w:rsidRPr="007A69F2">
        <w:rPr>
          <w:szCs w:val="22"/>
          <w:lang w:val="sr-Latn-ME"/>
        </w:rPr>
        <w:t>pacijenata</w:t>
      </w:r>
      <w:r w:rsidRPr="007A69F2">
        <w:rPr>
          <w:szCs w:val="22"/>
          <w:lang w:val="sr-Latn-ME"/>
        </w:rPr>
        <w:t xml:space="preserve"> s blagim (</w:t>
      </w:r>
      <w:proofErr w:type="spellStart"/>
      <w:r w:rsidRPr="007A69F2">
        <w:rPr>
          <w:szCs w:val="22"/>
          <w:lang w:val="sr-Latn-ME"/>
        </w:rPr>
        <w:t>Child-Pugh</w:t>
      </w:r>
      <w:proofErr w:type="spellEnd"/>
      <w:r w:rsidRPr="007A69F2">
        <w:rPr>
          <w:szCs w:val="22"/>
          <w:lang w:val="sr-Latn-ME"/>
        </w:rPr>
        <w:t xml:space="preserve"> stadij</w:t>
      </w:r>
      <w:r w:rsidR="00295336" w:rsidRPr="007A69F2">
        <w:rPr>
          <w:szCs w:val="22"/>
          <w:lang w:val="sr-Latn-ME"/>
        </w:rPr>
        <w:t>um</w:t>
      </w:r>
      <w:r w:rsidRPr="007A69F2">
        <w:rPr>
          <w:szCs w:val="22"/>
          <w:lang w:val="sr-Latn-ME"/>
        </w:rPr>
        <w:t xml:space="preserve"> A), umjerenim (</w:t>
      </w:r>
      <w:proofErr w:type="spellStart"/>
      <w:r w:rsidRPr="007A69F2">
        <w:rPr>
          <w:szCs w:val="22"/>
          <w:lang w:val="sr-Latn-ME"/>
        </w:rPr>
        <w:t>Child-Pugh</w:t>
      </w:r>
      <w:proofErr w:type="spellEnd"/>
      <w:r w:rsidRPr="007A69F2">
        <w:rPr>
          <w:szCs w:val="22"/>
          <w:lang w:val="sr-Latn-ME"/>
        </w:rPr>
        <w:t xml:space="preserve"> stadij</w:t>
      </w:r>
      <w:r w:rsidR="00295336" w:rsidRPr="007A69F2">
        <w:rPr>
          <w:szCs w:val="22"/>
          <w:lang w:val="sr-Latn-ME"/>
        </w:rPr>
        <w:t>um</w:t>
      </w:r>
      <w:r w:rsidRPr="007A69F2">
        <w:rPr>
          <w:szCs w:val="22"/>
          <w:lang w:val="sr-Latn-ME"/>
        </w:rPr>
        <w:t xml:space="preserve"> B) ili teškim oštećenjem funkcije jetre (</w:t>
      </w:r>
      <w:proofErr w:type="spellStart"/>
      <w:r w:rsidRPr="007A69F2">
        <w:rPr>
          <w:szCs w:val="22"/>
          <w:lang w:val="sr-Latn-ME"/>
        </w:rPr>
        <w:t>Child-Pugh</w:t>
      </w:r>
      <w:proofErr w:type="spellEnd"/>
      <w:r w:rsidRPr="007A69F2">
        <w:rPr>
          <w:szCs w:val="22"/>
          <w:lang w:val="sr-Latn-ME"/>
        </w:rPr>
        <w:t xml:space="preserve"> stadij</w:t>
      </w:r>
      <w:r w:rsidR="00295336" w:rsidRPr="007A69F2">
        <w:rPr>
          <w:szCs w:val="22"/>
          <w:lang w:val="sr-Latn-ME"/>
        </w:rPr>
        <w:t>um</w:t>
      </w:r>
      <w:r w:rsidRPr="007A69F2">
        <w:rPr>
          <w:szCs w:val="22"/>
          <w:lang w:val="sr-Latn-ME"/>
        </w:rPr>
        <w:t xml:space="preserve"> C), ukupna izloženost lijeku </w:t>
      </w:r>
      <w:proofErr w:type="spellStart"/>
      <w:r w:rsidRPr="007A69F2">
        <w:rPr>
          <w:szCs w:val="22"/>
          <w:lang w:val="sr-Latn-ME"/>
        </w:rPr>
        <w:t>atogepant</w:t>
      </w:r>
      <w:proofErr w:type="spellEnd"/>
      <w:r w:rsidRPr="007A69F2">
        <w:rPr>
          <w:szCs w:val="22"/>
          <w:lang w:val="sr-Latn-ME"/>
        </w:rPr>
        <w:t xml:space="preserve"> povećala se za 24%, 15% odnosno 38%. Međutim, izloženost nevezanom </w:t>
      </w:r>
      <w:proofErr w:type="spellStart"/>
      <w:r w:rsidRPr="007A69F2">
        <w:rPr>
          <w:szCs w:val="22"/>
          <w:lang w:val="sr-Latn-ME"/>
        </w:rPr>
        <w:t>atogepantu</w:t>
      </w:r>
      <w:proofErr w:type="spellEnd"/>
      <w:r w:rsidRPr="007A69F2">
        <w:rPr>
          <w:szCs w:val="22"/>
          <w:lang w:val="sr-Latn-ME"/>
        </w:rPr>
        <w:t xml:space="preserve"> bila je približno 3 puta veća kod </w:t>
      </w:r>
      <w:r w:rsidR="00260573" w:rsidRPr="007A69F2">
        <w:rPr>
          <w:szCs w:val="22"/>
          <w:lang w:val="sr-Latn-ME"/>
        </w:rPr>
        <w:t>pacijenata</w:t>
      </w:r>
      <w:r w:rsidRPr="007A69F2">
        <w:rPr>
          <w:szCs w:val="22"/>
          <w:lang w:val="sr-Latn-ME"/>
        </w:rPr>
        <w:t xml:space="preserve"> s</w:t>
      </w:r>
      <w:r w:rsidR="00E25363" w:rsidRPr="007A69F2">
        <w:rPr>
          <w:szCs w:val="22"/>
          <w:lang w:val="sr-Latn-ME"/>
        </w:rPr>
        <w:t>a</w:t>
      </w:r>
      <w:r w:rsidRPr="007A69F2">
        <w:rPr>
          <w:szCs w:val="22"/>
          <w:lang w:val="sr-Latn-ME"/>
        </w:rPr>
        <w:t xml:space="preserve"> teškim oštećenjem funkcije jetre. Primjenu lijeka AQUIPTA treba izbjegavati kod </w:t>
      </w:r>
      <w:r w:rsidR="00260573" w:rsidRPr="007A69F2">
        <w:rPr>
          <w:szCs w:val="22"/>
          <w:lang w:val="sr-Latn-ME"/>
        </w:rPr>
        <w:t>pacijenata</w:t>
      </w:r>
      <w:r w:rsidRPr="007A69F2">
        <w:rPr>
          <w:szCs w:val="22"/>
          <w:lang w:val="sr-Latn-ME"/>
        </w:rPr>
        <w:t xml:space="preserve"> s</w:t>
      </w:r>
      <w:r w:rsidR="00E25363" w:rsidRPr="007A69F2">
        <w:rPr>
          <w:szCs w:val="22"/>
          <w:lang w:val="sr-Latn-ME"/>
        </w:rPr>
        <w:t>a</w:t>
      </w:r>
      <w:r w:rsidRPr="007A69F2">
        <w:rPr>
          <w:szCs w:val="22"/>
          <w:lang w:val="sr-Latn-ME"/>
        </w:rPr>
        <w:t xml:space="preserve"> teškim oštećenjem funkcije jetre.</w:t>
      </w:r>
    </w:p>
    <w:p w14:paraId="6ADCFAA8" w14:textId="77777777" w:rsidR="00DA17AE" w:rsidRPr="007A69F2" w:rsidRDefault="00DA17AE" w:rsidP="00E4549D">
      <w:pPr>
        <w:spacing w:line="240" w:lineRule="auto"/>
        <w:jc w:val="both"/>
        <w:rPr>
          <w:szCs w:val="22"/>
          <w:lang w:val="sr-Latn-ME"/>
        </w:rPr>
      </w:pPr>
    </w:p>
    <w:p w14:paraId="3A88F438" w14:textId="77777777" w:rsidR="00DA17AE" w:rsidRPr="007A69F2" w:rsidRDefault="00D04C51" w:rsidP="00E4549D">
      <w:pPr>
        <w:keepNext/>
        <w:keepLines/>
        <w:spacing w:line="240" w:lineRule="auto"/>
        <w:jc w:val="both"/>
        <w:rPr>
          <w:i/>
          <w:szCs w:val="22"/>
          <w:u w:val="single"/>
          <w:lang w:val="sr-Latn-ME"/>
        </w:rPr>
      </w:pPr>
      <w:r w:rsidRPr="007A69F2">
        <w:rPr>
          <w:i/>
          <w:szCs w:val="22"/>
          <w:u w:val="single"/>
          <w:lang w:val="sr-Latn-ME"/>
        </w:rPr>
        <w:t>Druge posebne populacije</w:t>
      </w:r>
    </w:p>
    <w:p w14:paraId="6329FC02" w14:textId="6CAB875F" w:rsidR="00B0223A" w:rsidRPr="007A69F2" w:rsidRDefault="00D04C51" w:rsidP="00E4549D">
      <w:pPr>
        <w:keepNext/>
        <w:keepLines/>
        <w:spacing w:line="240" w:lineRule="auto"/>
        <w:jc w:val="both"/>
        <w:rPr>
          <w:szCs w:val="22"/>
          <w:lang w:val="sr-Latn-ME"/>
        </w:rPr>
      </w:pPr>
      <w:r w:rsidRPr="007A69F2">
        <w:rPr>
          <w:szCs w:val="22"/>
          <w:lang w:val="sr-Latn-ME"/>
        </w:rPr>
        <w:t xml:space="preserve">Na osnovu </w:t>
      </w:r>
      <w:proofErr w:type="spellStart"/>
      <w:r w:rsidRPr="007A69F2">
        <w:rPr>
          <w:szCs w:val="22"/>
          <w:lang w:val="sr-Latn-ME"/>
        </w:rPr>
        <w:t>populacijske</w:t>
      </w:r>
      <w:proofErr w:type="spellEnd"/>
      <w:r w:rsidRPr="007A69F2">
        <w:rPr>
          <w:szCs w:val="22"/>
          <w:lang w:val="sr-Latn-ME"/>
        </w:rPr>
        <w:t xml:space="preserve"> </w:t>
      </w:r>
      <w:proofErr w:type="spellStart"/>
      <w:r w:rsidRPr="007A69F2">
        <w:rPr>
          <w:szCs w:val="22"/>
          <w:lang w:val="sr-Latn-ME"/>
        </w:rPr>
        <w:t>farmakokinetičke</w:t>
      </w:r>
      <w:proofErr w:type="spellEnd"/>
      <w:r w:rsidRPr="007A69F2">
        <w:rPr>
          <w:szCs w:val="22"/>
          <w:lang w:val="sr-Latn-ME"/>
        </w:rPr>
        <w:t xml:space="preserve"> analize, pol, rasa i tjelesna težina nisu značajan</w:t>
      </w:r>
      <w:r w:rsidR="00BA71B3" w:rsidRPr="007A69F2">
        <w:rPr>
          <w:szCs w:val="22"/>
          <w:lang w:val="sr-Latn-ME"/>
        </w:rPr>
        <w:t>o uticali</w:t>
      </w:r>
      <w:r w:rsidRPr="007A69F2">
        <w:rPr>
          <w:szCs w:val="22"/>
          <w:lang w:val="sr-Latn-ME"/>
        </w:rPr>
        <w:t xml:space="preserve"> na </w:t>
      </w:r>
      <w:proofErr w:type="spellStart"/>
      <w:r w:rsidRPr="007A69F2">
        <w:rPr>
          <w:szCs w:val="22"/>
          <w:lang w:val="sr-Latn-ME"/>
        </w:rPr>
        <w:t>farmakokinetiku</w:t>
      </w:r>
      <w:proofErr w:type="spellEnd"/>
      <w:r w:rsidRPr="007A69F2">
        <w:rPr>
          <w:szCs w:val="22"/>
          <w:lang w:val="sr-Latn-ME"/>
        </w:rPr>
        <w:t xml:space="preserve"> (</w:t>
      </w:r>
      <w:proofErr w:type="spellStart"/>
      <w:r w:rsidRPr="007A69F2">
        <w:rPr>
          <w:szCs w:val="22"/>
          <w:lang w:val="sr-Latn-ME"/>
        </w:rPr>
        <w:t>C</w:t>
      </w:r>
      <w:r w:rsidRPr="007A69F2">
        <w:rPr>
          <w:szCs w:val="22"/>
          <w:vertAlign w:val="subscript"/>
          <w:lang w:val="sr-Latn-ME"/>
        </w:rPr>
        <w:t>max</w:t>
      </w:r>
      <w:proofErr w:type="spellEnd"/>
      <w:r w:rsidRPr="007A69F2">
        <w:rPr>
          <w:szCs w:val="22"/>
          <w:lang w:val="sr-Latn-ME"/>
        </w:rPr>
        <w:t xml:space="preserve"> i AUC)</w:t>
      </w:r>
      <w:r w:rsidR="00BA71B3" w:rsidRPr="007A69F2">
        <w:rPr>
          <w:szCs w:val="22"/>
          <w:lang w:val="sr-Latn-ME"/>
        </w:rPr>
        <w:t xml:space="preserve"> lijeka</w:t>
      </w:r>
      <w:r w:rsidRPr="007A69F2">
        <w:rPr>
          <w:szCs w:val="22"/>
          <w:lang w:val="sr-Latn-ME"/>
        </w:rPr>
        <w:t xml:space="preserve"> </w:t>
      </w:r>
      <w:proofErr w:type="spellStart"/>
      <w:r w:rsidRPr="007A69F2">
        <w:rPr>
          <w:szCs w:val="22"/>
          <w:lang w:val="sr-Latn-ME"/>
        </w:rPr>
        <w:t>atogepant</w:t>
      </w:r>
      <w:proofErr w:type="spellEnd"/>
      <w:r w:rsidRPr="007A69F2">
        <w:rPr>
          <w:szCs w:val="22"/>
          <w:lang w:val="sr-Latn-ME"/>
        </w:rPr>
        <w:t xml:space="preserve">. </w:t>
      </w:r>
      <w:r w:rsidR="00BA71B3" w:rsidRPr="007A69F2">
        <w:rPr>
          <w:szCs w:val="22"/>
          <w:lang w:val="sr-Latn-ME"/>
        </w:rPr>
        <w:t>Zbog toga</w:t>
      </w:r>
      <w:r w:rsidRPr="007A69F2">
        <w:rPr>
          <w:szCs w:val="22"/>
          <w:lang w:val="sr-Latn-ME"/>
        </w:rPr>
        <w:t xml:space="preserve"> nisu opravdana prilagođavanja doze na osnovu ovih faktora.</w:t>
      </w:r>
      <w:r w:rsidR="00B0223A" w:rsidRPr="007A69F2">
        <w:rPr>
          <w:szCs w:val="22"/>
          <w:lang w:val="sr-Latn-ME"/>
        </w:rPr>
        <w:t xml:space="preserve"> </w:t>
      </w:r>
    </w:p>
    <w:bookmarkEnd w:id="18"/>
    <w:p w14:paraId="4BE309F7" w14:textId="77777777" w:rsidR="00DA17AE" w:rsidRPr="007A69F2" w:rsidRDefault="00DA17AE" w:rsidP="00E4549D">
      <w:pPr>
        <w:spacing w:line="240" w:lineRule="auto"/>
        <w:jc w:val="both"/>
        <w:rPr>
          <w:szCs w:val="22"/>
          <w:lang w:val="sr-Latn-ME"/>
        </w:rPr>
      </w:pPr>
    </w:p>
    <w:p w14:paraId="60022770" w14:textId="77777777" w:rsidR="00DA17AE" w:rsidRPr="007A69F2" w:rsidRDefault="00D04C51" w:rsidP="00E4549D">
      <w:pPr>
        <w:keepNext/>
        <w:spacing w:line="240" w:lineRule="auto"/>
        <w:jc w:val="both"/>
        <w:outlineLvl w:val="0"/>
        <w:rPr>
          <w:szCs w:val="22"/>
          <w:lang w:val="sr-Latn-ME"/>
        </w:rPr>
      </w:pPr>
      <w:r w:rsidRPr="007A69F2">
        <w:rPr>
          <w:b/>
          <w:szCs w:val="22"/>
          <w:lang w:val="sr-Latn-ME"/>
        </w:rPr>
        <w:lastRenderedPageBreak/>
        <w:t>5.3</w:t>
      </w:r>
      <w:r w:rsidRPr="007A69F2">
        <w:rPr>
          <w:b/>
          <w:szCs w:val="22"/>
          <w:lang w:val="sr-Latn-ME"/>
        </w:rPr>
        <w:tab/>
      </w:r>
      <w:proofErr w:type="spellStart"/>
      <w:r w:rsidRPr="007A69F2">
        <w:rPr>
          <w:b/>
          <w:szCs w:val="22"/>
          <w:lang w:val="sr-Latn-ME"/>
        </w:rPr>
        <w:t>Pretklinički</w:t>
      </w:r>
      <w:proofErr w:type="spellEnd"/>
      <w:r w:rsidRPr="007A69F2">
        <w:rPr>
          <w:b/>
          <w:szCs w:val="22"/>
          <w:lang w:val="sr-Latn-ME"/>
        </w:rPr>
        <w:t xml:space="preserve"> podaci o sigurnosti lijeka</w:t>
      </w:r>
    </w:p>
    <w:p w14:paraId="096F8CAC" w14:textId="77777777" w:rsidR="00A30B21" w:rsidRPr="007A69F2" w:rsidRDefault="00A30B21" w:rsidP="00405FD8">
      <w:pPr>
        <w:keepNext/>
        <w:spacing w:line="240" w:lineRule="auto"/>
        <w:jc w:val="both"/>
        <w:rPr>
          <w:szCs w:val="22"/>
          <w:lang w:val="sr-Latn-ME"/>
        </w:rPr>
      </w:pPr>
    </w:p>
    <w:p w14:paraId="598BD1BB" w14:textId="026DB1A7" w:rsidR="00A30B21" w:rsidRPr="007A69F2" w:rsidRDefault="00A30B21" w:rsidP="00405FD8">
      <w:pPr>
        <w:keepNext/>
        <w:spacing w:line="240" w:lineRule="auto"/>
        <w:jc w:val="both"/>
        <w:rPr>
          <w:szCs w:val="22"/>
          <w:lang w:val="sr-Latn-ME"/>
        </w:rPr>
      </w:pPr>
      <w:r w:rsidRPr="007A69F2">
        <w:rPr>
          <w:szCs w:val="22"/>
          <w:lang w:val="sr-Latn-ME"/>
        </w:rPr>
        <w:t xml:space="preserve">Bez obzira na izražene razlike u afinitetu lijeka </w:t>
      </w:r>
      <w:proofErr w:type="spellStart"/>
      <w:r w:rsidRPr="007A69F2">
        <w:rPr>
          <w:szCs w:val="22"/>
          <w:lang w:val="sr-Latn-ME"/>
        </w:rPr>
        <w:t>atogepant</w:t>
      </w:r>
      <w:proofErr w:type="spellEnd"/>
      <w:r w:rsidRPr="007A69F2">
        <w:rPr>
          <w:szCs w:val="22"/>
          <w:lang w:val="sr-Latn-ME"/>
        </w:rPr>
        <w:t xml:space="preserve"> za CGRP-receptore među vrstama, </w:t>
      </w:r>
      <w:proofErr w:type="spellStart"/>
      <w:r w:rsidRPr="007A69F2">
        <w:rPr>
          <w:szCs w:val="22"/>
          <w:lang w:val="sr-Latn-ME"/>
        </w:rPr>
        <w:t>neklinički</w:t>
      </w:r>
      <w:proofErr w:type="spellEnd"/>
      <w:r w:rsidRPr="007A69F2">
        <w:rPr>
          <w:szCs w:val="22"/>
          <w:lang w:val="sr-Latn-ME"/>
        </w:rPr>
        <w:t xml:space="preserve"> podaci ne ukazuju na poseban rizik primjene lijeka </w:t>
      </w:r>
      <w:proofErr w:type="spellStart"/>
      <w:r w:rsidRPr="007A69F2">
        <w:rPr>
          <w:szCs w:val="22"/>
          <w:lang w:val="sr-Latn-ME"/>
        </w:rPr>
        <w:t>atogepant</w:t>
      </w:r>
      <w:proofErr w:type="spellEnd"/>
      <w:r w:rsidRPr="007A69F2">
        <w:rPr>
          <w:szCs w:val="22"/>
          <w:lang w:val="sr-Latn-ME"/>
        </w:rPr>
        <w:t xml:space="preserve"> kod </w:t>
      </w:r>
      <w:proofErr w:type="spellStart"/>
      <w:r w:rsidRPr="007A69F2">
        <w:rPr>
          <w:szCs w:val="22"/>
          <w:lang w:val="sr-Latn-ME"/>
        </w:rPr>
        <w:t>ljudi</w:t>
      </w:r>
      <w:proofErr w:type="spellEnd"/>
      <w:r w:rsidRPr="007A69F2">
        <w:rPr>
          <w:szCs w:val="22"/>
          <w:lang w:val="sr-Latn-ME"/>
        </w:rPr>
        <w:t xml:space="preserve"> na osnovu konvencionalnih ispitivanja sigurnosne farmakologije, toksičnosti ponovljenih doza, </w:t>
      </w:r>
      <w:proofErr w:type="spellStart"/>
      <w:r w:rsidRPr="007A69F2">
        <w:rPr>
          <w:szCs w:val="22"/>
          <w:lang w:val="sr-Latn-ME"/>
        </w:rPr>
        <w:t>genotoksičnosti</w:t>
      </w:r>
      <w:proofErr w:type="spellEnd"/>
      <w:r w:rsidRPr="007A69F2">
        <w:rPr>
          <w:szCs w:val="22"/>
          <w:lang w:val="sr-Latn-ME"/>
        </w:rPr>
        <w:t xml:space="preserve">, </w:t>
      </w:r>
      <w:proofErr w:type="spellStart"/>
      <w:r w:rsidRPr="007A69F2">
        <w:rPr>
          <w:szCs w:val="22"/>
          <w:lang w:val="sr-Latn-ME"/>
        </w:rPr>
        <w:t>fototoksičnosti</w:t>
      </w:r>
      <w:proofErr w:type="spellEnd"/>
      <w:r w:rsidRPr="007A69F2">
        <w:rPr>
          <w:szCs w:val="22"/>
          <w:lang w:val="sr-Latn-ME"/>
        </w:rPr>
        <w:t xml:space="preserve"> i kancerogenog potencijala.</w:t>
      </w:r>
    </w:p>
    <w:p w14:paraId="057D591E" w14:textId="77777777" w:rsidR="00A30B21" w:rsidRPr="007A69F2" w:rsidRDefault="00A30B21" w:rsidP="00405FD8">
      <w:pPr>
        <w:keepNext/>
        <w:spacing w:line="240" w:lineRule="auto"/>
        <w:jc w:val="both"/>
        <w:rPr>
          <w:szCs w:val="22"/>
          <w:lang w:val="sr-Latn-ME"/>
        </w:rPr>
      </w:pPr>
    </w:p>
    <w:p w14:paraId="63F9D157" w14:textId="45450FD6" w:rsidR="00A30B21" w:rsidRPr="007A69F2" w:rsidRDefault="00A30B21" w:rsidP="00405FD8">
      <w:pPr>
        <w:keepNext/>
        <w:spacing w:line="240" w:lineRule="auto"/>
        <w:jc w:val="both"/>
        <w:rPr>
          <w:szCs w:val="22"/>
          <w:u w:val="single"/>
          <w:lang w:val="sr-Latn-ME"/>
        </w:rPr>
      </w:pPr>
      <w:r w:rsidRPr="007A69F2">
        <w:rPr>
          <w:szCs w:val="22"/>
          <w:u w:val="single"/>
          <w:lang w:val="sr-Latn-ME"/>
        </w:rPr>
        <w:t>Smanjenje plodnosti</w:t>
      </w:r>
    </w:p>
    <w:p w14:paraId="01E0F1B7" w14:textId="419D6F7D" w:rsidR="00A30B21" w:rsidRPr="007A69F2" w:rsidRDefault="00A30B21" w:rsidP="00405FD8">
      <w:pPr>
        <w:keepNext/>
        <w:spacing w:line="240" w:lineRule="auto"/>
        <w:jc w:val="both"/>
        <w:rPr>
          <w:szCs w:val="22"/>
          <w:lang w:val="sr-Latn-ME"/>
        </w:rPr>
      </w:pPr>
      <w:r w:rsidRPr="007A69F2">
        <w:rPr>
          <w:szCs w:val="22"/>
          <w:lang w:val="sr-Latn-ME"/>
        </w:rPr>
        <w:t xml:space="preserve">Oralna primjena lijeka </w:t>
      </w:r>
      <w:proofErr w:type="spellStart"/>
      <w:r w:rsidRPr="007A69F2">
        <w:rPr>
          <w:szCs w:val="22"/>
          <w:lang w:val="sr-Latn-ME"/>
        </w:rPr>
        <w:t>atogepant</w:t>
      </w:r>
      <w:proofErr w:type="spellEnd"/>
      <w:r w:rsidRPr="007A69F2">
        <w:rPr>
          <w:szCs w:val="22"/>
          <w:lang w:val="sr-Latn-ME"/>
        </w:rPr>
        <w:t xml:space="preserve"> mužjacima i ženkama </w:t>
      </w:r>
      <w:r w:rsidR="00E25363" w:rsidRPr="007A69F2">
        <w:rPr>
          <w:szCs w:val="22"/>
          <w:lang w:val="sr-Latn-ME"/>
        </w:rPr>
        <w:t>pacova</w:t>
      </w:r>
      <w:r w:rsidRPr="007A69F2">
        <w:rPr>
          <w:szCs w:val="22"/>
          <w:lang w:val="sr-Latn-ME"/>
        </w:rPr>
        <w:t xml:space="preserve"> prije i za vrijeme parenja, uz nastavak primjene ženkama do 7. dana </w:t>
      </w:r>
      <w:proofErr w:type="spellStart"/>
      <w:r w:rsidRPr="007A69F2">
        <w:rPr>
          <w:szCs w:val="22"/>
          <w:lang w:val="sr-Latn-ME"/>
        </w:rPr>
        <w:t>gestacije</w:t>
      </w:r>
      <w:proofErr w:type="spellEnd"/>
      <w:r w:rsidRPr="007A69F2">
        <w:rPr>
          <w:szCs w:val="22"/>
          <w:lang w:val="sr-Latn-ME"/>
        </w:rPr>
        <w:t xml:space="preserve">, nije imala štetne efekte na plodnost ili reproduktivnu sposobnost. Izloženost u plazmi (AUC) bila je približno 15 puta veća od one kod </w:t>
      </w:r>
      <w:proofErr w:type="spellStart"/>
      <w:r w:rsidRPr="007A69F2">
        <w:rPr>
          <w:szCs w:val="22"/>
          <w:lang w:val="sr-Latn-ME"/>
        </w:rPr>
        <w:t>ljudi</w:t>
      </w:r>
      <w:proofErr w:type="spellEnd"/>
      <w:r w:rsidRPr="007A69F2">
        <w:rPr>
          <w:szCs w:val="22"/>
          <w:lang w:val="sr-Latn-ME"/>
        </w:rPr>
        <w:t xml:space="preserve"> pri najvećoj preporučenoj dozi za čovjeka </w:t>
      </w:r>
      <w:r w:rsidRPr="007A69F2">
        <w:rPr>
          <w:i/>
          <w:iCs/>
          <w:szCs w:val="22"/>
          <w:lang w:val="sr-Latn-ME"/>
        </w:rPr>
        <w:t>(</w:t>
      </w:r>
      <w:r w:rsidRPr="007A69F2">
        <w:rPr>
          <w:szCs w:val="22"/>
          <w:lang w:val="sr-Latn-ME"/>
        </w:rPr>
        <w:t>engl.</w:t>
      </w:r>
      <w:r w:rsidRPr="007A69F2">
        <w:rPr>
          <w:i/>
          <w:iCs/>
          <w:szCs w:val="22"/>
          <w:lang w:val="sr-Latn-ME"/>
        </w:rPr>
        <w:t xml:space="preserve"> </w:t>
      </w:r>
      <w:proofErr w:type="spellStart"/>
      <w:r w:rsidRPr="007A69F2">
        <w:rPr>
          <w:i/>
          <w:iCs/>
          <w:szCs w:val="22"/>
          <w:lang w:val="sr-Latn-ME"/>
        </w:rPr>
        <w:t>Maximum</w:t>
      </w:r>
      <w:proofErr w:type="spellEnd"/>
      <w:r w:rsidRPr="007A69F2">
        <w:rPr>
          <w:i/>
          <w:iCs/>
          <w:szCs w:val="22"/>
          <w:lang w:val="sr-Latn-ME"/>
        </w:rPr>
        <w:t xml:space="preserve"> </w:t>
      </w:r>
      <w:proofErr w:type="spellStart"/>
      <w:r w:rsidRPr="007A69F2">
        <w:rPr>
          <w:i/>
          <w:iCs/>
          <w:szCs w:val="22"/>
          <w:lang w:val="sr-Latn-ME"/>
        </w:rPr>
        <w:t>Recommended</w:t>
      </w:r>
      <w:proofErr w:type="spellEnd"/>
      <w:r w:rsidRPr="007A69F2">
        <w:rPr>
          <w:i/>
          <w:iCs/>
          <w:szCs w:val="22"/>
          <w:lang w:val="sr-Latn-ME"/>
        </w:rPr>
        <w:t xml:space="preserve"> Human </w:t>
      </w:r>
      <w:proofErr w:type="spellStart"/>
      <w:r w:rsidRPr="007A69F2">
        <w:rPr>
          <w:i/>
          <w:iCs/>
          <w:szCs w:val="22"/>
          <w:lang w:val="sr-Latn-ME"/>
        </w:rPr>
        <w:t>Dose</w:t>
      </w:r>
      <w:proofErr w:type="spellEnd"/>
      <w:r w:rsidRPr="007A69F2">
        <w:rPr>
          <w:i/>
          <w:iCs/>
          <w:szCs w:val="22"/>
          <w:lang w:val="sr-Latn-ME"/>
        </w:rPr>
        <w:t>, MRHD).</w:t>
      </w:r>
    </w:p>
    <w:p w14:paraId="65136739" w14:textId="77777777" w:rsidR="00A30B21" w:rsidRPr="007A69F2" w:rsidRDefault="00A30B21" w:rsidP="00405FD8">
      <w:pPr>
        <w:keepNext/>
        <w:spacing w:line="240" w:lineRule="auto"/>
        <w:jc w:val="both"/>
        <w:rPr>
          <w:szCs w:val="22"/>
          <w:lang w:val="sr-Latn-ME"/>
        </w:rPr>
      </w:pPr>
    </w:p>
    <w:p w14:paraId="2DA5BDAB" w14:textId="77777777" w:rsidR="00A30B21" w:rsidRPr="007A69F2" w:rsidRDefault="00A30B21" w:rsidP="00405FD8">
      <w:pPr>
        <w:keepNext/>
        <w:spacing w:line="240" w:lineRule="auto"/>
        <w:jc w:val="both"/>
        <w:rPr>
          <w:szCs w:val="22"/>
          <w:u w:val="single"/>
          <w:lang w:val="sr-Latn-ME"/>
        </w:rPr>
      </w:pPr>
      <w:r w:rsidRPr="007A69F2">
        <w:rPr>
          <w:szCs w:val="22"/>
          <w:u w:val="single"/>
          <w:lang w:val="sr-Latn-ME"/>
        </w:rPr>
        <w:t>Reproduktivna i razvojna toksikologija</w:t>
      </w:r>
    </w:p>
    <w:p w14:paraId="4A6A07D7" w14:textId="53357F87" w:rsidR="00A30B21" w:rsidRPr="007A69F2" w:rsidRDefault="00A30B21" w:rsidP="00405FD8">
      <w:pPr>
        <w:keepNext/>
        <w:spacing w:line="240" w:lineRule="auto"/>
        <w:jc w:val="both"/>
        <w:rPr>
          <w:szCs w:val="22"/>
          <w:lang w:val="sr-Latn-ME"/>
        </w:rPr>
      </w:pPr>
      <w:r w:rsidRPr="007A69F2">
        <w:rPr>
          <w:szCs w:val="22"/>
          <w:lang w:val="sr-Latn-ME"/>
        </w:rPr>
        <w:t xml:space="preserve">Oralna primjena lijeka </w:t>
      </w:r>
      <w:proofErr w:type="spellStart"/>
      <w:r w:rsidRPr="007A69F2">
        <w:rPr>
          <w:szCs w:val="22"/>
          <w:lang w:val="sr-Latn-ME"/>
        </w:rPr>
        <w:t>atogepant</w:t>
      </w:r>
      <w:proofErr w:type="spellEnd"/>
      <w:r w:rsidRPr="007A69F2">
        <w:rPr>
          <w:szCs w:val="22"/>
          <w:lang w:val="sr-Latn-ME"/>
        </w:rPr>
        <w:t xml:space="preserve"> kod skotnih ženki </w:t>
      </w:r>
      <w:r w:rsidR="00E25363" w:rsidRPr="007A69F2">
        <w:rPr>
          <w:szCs w:val="22"/>
          <w:lang w:val="sr-Latn-ME"/>
        </w:rPr>
        <w:t>pacova</w:t>
      </w:r>
      <w:r w:rsidRPr="007A69F2">
        <w:rPr>
          <w:szCs w:val="22"/>
          <w:lang w:val="sr-Latn-ME"/>
        </w:rPr>
        <w:t xml:space="preserve"> i </w:t>
      </w:r>
      <w:r w:rsidR="00961A19" w:rsidRPr="007A69F2">
        <w:rPr>
          <w:szCs w:val="22"/>
          <w:lang w:val="sr-Latn-ME"/>
        </w:rPr>
        <w:t>zečeva</w:t>
      </w:r>
      <w:r w:rsidRPr="007A69F2">
        <w:rPr>
          <w:szCs w:val="22"/>
          <w:lang w:val="sr-Latn-ME"/>
        </w:rPr>
        <w:t xml:space="preserve"> tokom perioda </w:t>
      </w:r>
      <w:proofErr w:type="spellStart"/>
      <w:r w:rsidRPr="007A69F2">
        <w:rPr>
          <w:szCs w:val="22"/>
          <w:lang w:val="sr-Latn-ME"/>
        </w:rPr>
        <w:t>organogeneze</w:t>
      </w:r>
      <w:proofErr w:type="spellEnd"/>
      <w:r w:rsidRPr="007A69F2">
        <w:rPr>
          <w:szCs w:val="22"/>
          <w:lang w:val="sr-Latn-ME"/>
        </w:rPr>
        <w:t xml:space="preserve"> rezultirala je smanjenom </w:t>
      </w:r>
      <w:proofErr w:type="spellStart"/>
      <w:r w:rsidRPr="007A69F2">
        <w:rPr>
          <w:szCs w:val="22"/>
          <w:lang w:val="sr-Latn-ME"/>
        </w:rPr>
        <w:t>fetalnom</w:t>
      </w:r>
      <w:proofErr w:type="spellEnd"/>
      <w:r w:rsidRPr="007A69F2">
        <w:rPr>
          <w:szCs w:val="22"/>
          <w:lang w:val="sr-Latn-ME"/>
        </w:rPr>
        <w:t xml:space="preserve"> težinom kod </w:t>
      </w:r>
      <w:r w:rsidR="00961A19" w:rsidRPr="007A69F2">
        <w:rPr>
          <w:szCs w:val="22"/>
          <w:lang w:val="sr-Latn-ME"/>
        </w:rPr>
        <w:t>pacova</w:t>
      </w:r>
      <w:r w:rsidRPr="007A69F2">
        <w:rPr>
          <w:szCs w:val="22"/>
          <w:lang w:val="sr-Latn-ME"/>
        </w:rPr>
        <w:t xml:space="preserve"> i povećanom </w:t>
      </w:r>
      <w:proofErr w:type="spellStart"/>
      <w:r w:rsidRPr="007A69F2">
        <w:rPr>
          <w:szCs w:val="22"/>
          <w:lang w:val="sr-Latn-ME"/>
        </w:rPr>
        <w:t>incidencom</w:t>
      </w:r>
      <w:proofErr w:type="spellEnd"/>
      <w:r w:rsidRPr="007A69F2">
        <w:rPr>
          <w:szCs w:val="22"/>
          <w:lang w:val="sr-Latn-ME"/>
        </w:rPr>
        <w:t xml:space="preserve"> </w:t>
      </w:r>
      <w:proofErr w:type="spellStart"/>
      <w:r w:rsidRPr="007A69F2">
        <w:rPr>
          <w:szCs w:val="22"/>
          <w:lang w:val="sr-Latn-ME"/>
        </w:rPr>
        <w:t>fetalnih</w:t>
      </w:r>
      <w:proofErr w:type="spellEnd"/>
      <w:r w:rsidRPr="007A69F2">
        <w:rPr>
          <w:szCs w:val="22"/>
          <w:lang w:val="sr-Latn-ME"/>
        </w:rPr>
        <w:t xml:space="preserve"> visceralnih i skeletnih varijacija pri dozama povezanim s minimalnom toksičnosti kod majki. Pri dozi bez štetnih efekata na </w:t>
      </w:r>
      <w:proofErr w:type="spellStart"/>
      <w:r w:rsidRPr="007A69F2">
        <w:rPr>
          <w:szCs w:val="22"/>
          <w:lang w:val="sr-Latn-ME"/>
        </w:rPr>
        <w:t>embriofetalni</w:t>
      </w:r>
      <w:proofErr w:type="spellEnd"/>
      <w:r w:rsidRPr="007A69F2">
        <w:rPr>
          <w:szCs w:val="22"/>
          <w:lang w:val="sr-Latn-ME"/>
        </w:rPr>
        <w:t xml:space="preserve"> razvoj, izloženost u plazmi (AUC) bila je kod </w:t>
      </w:r>
      <w:r w:rsidR="00961A19" w:rsidRPr="007A69F2">
        <w:rPr>
          <w:szCs w:val="22"/>
          <w:lang w:val="sr-Latn-ME"/>
        </w:rPr>
        <w:t>pacova</w:t>
      </w:r>
      <w:r w:rsidRPr="007A69F2">
        <w:rPr>
          <w:szCs w:val="22"/>
          <w:lang w:val="sr-Latn-ME"/>
        </w:rPr>
        <w:t xml:space="preserve"> približno 4 puta, a kod </w:t>
      </w:r>
      <w:r w:rsidR="00961A19" w:rsidRPr="007A69F2">
        <w:rPr>
          <w:szCs w:val="22"/>
          <w:lang w:val="sr-Latn-ME"/>
        </w:rPr>
        <w:t>zečeva</w:t>
      </w:r>
      <w:r w:rsidRPr="007A69F2">
        <w:rPr>
          <w:szCs w:val="22"/>
          <w:lang w:val="sr-Latn-ME"/>
        </w:rPr>
        <w:t xml:space="preserve"> 3 puta veća od one kod </w:t>
      </w:r>
      <w:proofErr w:type="spellStart"/>
      <w:r w:rsidRPr="007A69F2">
        <w:rPr>
          <w:szCs w:val="22"/>
          <w:lang w:val="sr-Latn-ME"/>
        </w:rPr>
        <w:t>ljudi</w:t>
      </w:r>
      <w:proofErr w:type="spellEnd"/>
      <w:r w:rsidRPr="007A69F2">
        <w:rPr>
          <w:szCs w:val="22"/>
          <w:lang w:val="sr-Latn-ME"/>
        </w:rPr>
        <w:t xml:space="preserve"> pri MRHD-u od 60 mg</w:t>
      </w:r>
      <w:r w:rsidR="00867B7B" w:rsidRPr="007A69F2">
        <w:rPr>
          <w:szCs w:val="22"/>
          <w:lang w:val="sr-Latn-ME"/>
        </w:rPr>
        <w:t xml:space="preserve"> </w:t>
      </w:r>
      <w:proofErr w:type="spellStart"/>
      <w:r w:rsidR="00867B7B" w:rsidRPr="007A69F2">
        <w:rPr>
          <w:szCs w:val="22"/>
          <w:lang w:val="sr-Latn-ME"/>
        </w:rPr>
        <w:t>na</w:t>
      </w:r>
      <w:r w:rsidRPr="007A69F2">
        <w:rPr>
          <w:szCs w:val="22"/>
          <w:lang w:val="sr-Latn-ME"/>
        </w:rPr>
        <w:t>dan</w:t>
      </w:r>
      <w:proofErr w:type="spellEnd"/>
      <w:r w:rsidRPr="007A69F2">
        <w:rPr>
          <w:szCs w:val="22"/>
          <w:lang w:val="sr-Latn-ME"/>
        </w:rPr>
        <w:t>.</w:t>
      </w:r>
    </w:p>
    <w:p w14:paraId="2C32673F" w14:textId="77777777" w:rsidR="00A30B21" w:rsidRPr="007A69F2" w:rsidRDefault="00A30B21" w:rsidP="00405FD8">
      <w:pPr>
        <w:keepNext/>
        <w:spacing w:line="240" w:lineRule="auto"/>
        <w:jc w:val="both"/>
        <w:rPr>
          <w:szCs w:val="22"/>
          <w:lang w:val="sr-Latn-ME"/>
        </w:rPr>
      </w:pPr>
    </w:p>
    <w:p w14:paraId="6582AAFE" w14:textId="41E79651" w:rsidR="00A30B21" w:rsidRPr="007A69F2" w:rsidRDefault="00A30B21" w:rsidP="00405FD8">
      <w:pPr>
        <w:keepNext/>
        <w:spacing w:line="240" w:lineRule="auto"/>
        <w:jc w:val="both"/>
        <w:rPr>
          <w:szCs w:val="22"/>
          <w:lang w:val="sr-Latn-ME"/>
        </w:rPr>
      </w:pPr>
      <w:r w:rsidRPr="007A69F2">
        <w:rPr>
          <w:szCs w:val="22"/>
          <w:lang w:val="sr-Latn-ME"/>
        </w:rPr>
        <w:t xml:space="preserve">Oralna primjena lijeka </w:t>
      </w:r>
      <w:proofErr w:type="spellStart"/>
      <w:r w:rsidRPr="007A69F2">
        <w:rPr>
          <w:szCs w:val="22"/>
          <w:lang w:val="sr-Latn-ME"/>
        </w:rPr>
        <w:t>atogepant</w:t>
      </w:r>
      <w:proofErr w:type="spellEnd"/>
      <w:r w:rsidRPr="007A69F2">
        <w:rPr>
          <w:szCs w:val="22"/>
          <w:lang w:val="sr-Latn-ME"/>
        </w:rPr>
        <w:t xml:space="preserve"> kod ženki </w:t>
      </w:r>
      <w:r w:rsidR="00961A19" w:rsidRPr="007A69F2">
        <w:rPr>
          <w:szCs w:val="22"/>
          <w:lang w:val="sr-Latn-ME"/>
        </w:rPr>
        <w:t>pacova</w:t>
      </w:r>
      <w:r w:rsidRPr="007A69F2">
        <w:rPr>
          <w:szCs w:val="22"/>
          <w:lang w:val="sr-Latn-ME"/>
        </w:rPr>
        <w:t xml:space="preserve"> tokom </w:t>
      </w:r>
      <w:proofErr w:type="spellStart"/>
      <w:r w:rsidRPr="007A69F2">
        <w:rPr>
          <w:szCs w:val="22"/>
          <w:lang w:val="sr-Latn-ME"/>
        </w:rPr>
        <w:t>gestacije</w:t>
      </w:r>
      <w:proofErr w:type="spellEnd"/>
      <w:r w:rsidRPr="007A69F2">
        <w:rPr>
          <w:szCs w:val="22"/>
          <w:lang w:val="sr-Latn-ME"/>
        </w:rPr>
        <w:t xml:space="preserve"> i </w:t>
      </w:r>
      <w:proofErr w:type="spellStart"/>
      <w:r w:rsidRPr="007A69F2">
        <w:rPr>
          <w:szCs w:val="22"/>
          <w:lang w:val="sr-Latn-ME"/>
        </w:rPr>
        <w:t>laktacije</w:t>
      </w:r>
      <w:proofErr w:type="spellEnd"/>
      <w:r w:rsidRPr="007A69F2">
        <w:rPr>
          <w:szCs w:val="22"/>
          <w:lang w:val="sr-Latn-ME"/>
        </w:rPr>
        <w:t xml:space="preserve"> rezultirala je značajnim smanjenjem težine mladunčadi koje nije bilo štetno, a zadržalo se i u odrasloj dobi. Izloženost u plazmi (AUC) pri dozi bez efekta za prenatalni i </w:t>
      </w:r>
      <w:proofErr w:type="spellStart"/>
      <w:r w:rsidRPr="007A69F2">
        <w:rPr>
          <w:szCs w:val="22"/>
          <w:lang w:val="sr-Latn-ME"/>
        </w:rPr>
        <w:t>postnatalni</w:t>
      </w:r>
      <w:proofErr w:type="spellEnd"/>
      <w:r w:rsidRPr="007A69F2">
        <w:rPr>
          <w:szCs w:val="22"/>
          <w:lang w:val="sr-Latn-ME"/>
        </w:rPr>
        <w:t xml:space="preserve"> razvoj bila je približno 5 puta veća od one kod </w:t>
      </w:r>
      <w:proofErr w:type="spellStart"/>
      <w:r w:rsidRPr="007A69F2">
        <w:rPr>
          <w:szCs w:val="22"/>
          <w:lang w:val="sr-Latn-ME"/>
        </w:rPr>
        <w:t>ljudi</w:t>
      </w:r>
      <w:proofErr w:type="spellEnd"/>
      <w:r w:rsidRPr="007A69F2">
        <w:rPr>
          <w:szCs w:val="22"/>
          <w:lang w:val="sr-Latn-ME"/>
        </w:rPr>
        <w:t xml:space="preserve"> pri MRHD-u. Kod ženki </w:t>
      </w:r>
      <w:r w:rsidR="00961A19" w:rsidRPr="007A69F2">
        <w:rPr>
          <w:szCs w:val="22"/>
          <w:lang w:val="sr-Latn-ME"/>
        </w:rPr>
        <w:t>pacova</w:t>
      </w:r>
      <w:r w:rsidRPr="007A69F2">
        <w:rPr>
          <w:szCs w:val="22"/>
          <w:lang w:val="sr-Latn-ME"/>
        </w:rPr>
        <w:t xml:space="preserve"> u </w:t>
      </w:r>
      <w:proofErr w:type="spellStart"/>
      <w:r w:rsidRPr="007A69F2">
        <w:rPr>
          <w:szCs w:val="22"/>
          <w:lang w:val="sr-Latn-ME"/>
        </w:rPr>
        <w:t>laktaciji</w:t>
      </w:r>
      <w:proofErr w:type="spellEnd"/>
      <w:r w:rsidRPr="007A69F2">
        <w:rPr>
          <w:szCs w:val="22"/>
          <w:lang w:val="sr-Latn-ME"/>
        </w:rPr>
        <w:t xml:space="preserve">, oralna primjena lijeka </w:t>
      </w:r>
      <w:proofErr w:type="spellStart"/>
      <w:r w:rsidRPr="007A69F2">
        <w:rPr>
          <w:szCs w:val="22"/>
          <w:lang w:val="sr-Latn-ME"/>
        </w:rPr>
        <w:t>atogepant</w:t>
      </w:r>
      <w:proofErr w:type="spellEnd"/>
      <w:r w:rsidRPr="007A69F2">
        <w:rPr>
          <w:szCs w:val="22"/>
          <w:lang w:val="sr-Latn-ME"/>
        </w:rPr>
        <w:t xml:space="preserve"> rezultirala je nivoima lijeka </w:t>
      </w:r>
      <w:proofErr w:type="spellStart"/>
      <w:r w:rsidRPr="007A69F2">
        <w:rPr>
          <w:szCs w:val="22"/>
          <w:lang w:val="sr-Latn-ME"/>
        </w:rPr>
        <w:t>atogepant</w:t>
      </w:r>
      <w:proofErr w:type="spellEnd"/>
      <w:r w:rsidRPr="007A69F2">
        <w:rPr>
          <w:szCs w:val="22"/>
          <w:lang w:val="sr-Latn-ME"/>
        </w:rPr>
        <w:t xml:space="preserve"> u mlijeku približno 2 puta višim od onih u plazmi.</w:t>
      </w:r>
    </w:p>
    <w:p w14:paraId="504F775B" w14:textId="77777777" w:rsidR="00DA17AE" w:rsidRPr="007A69F2" w:rsidRDefault="00DA17AE" w:rsidP="009F56DF">
      <w:pPr>
        <w:spacing w:line="240" w:lineRule="auto"/>
        <w:jc w:val="both"/>
        <w:rPr>
          <w:szCs w:val="22"/>
          <w:lang w:val="sr-Latn-ME"/>
        </w:rPr>
      </w:pPr>
    </w:p>
    <w:p w14:paraId="13A2C444" w14:textId="77777777" w:rsidR="00C27426" w:rsidRPr="007A69F2" w:rsidRDefault="00C27426" w:rsidP="009F56DF">
      <w:pPr>
        <w:spacing w:line="240" w:lineRule="auto"/>
        <w:jc w:val="both"/>
        <w:rPr>
          <w:szCs w:val="22"/>
          <w:lang w:val="sr-Latn-ME"/>
        </w:rPr>
      </w:pPr>
    </w:p>
    <w:p w14:paraId="66500EE3" w14:textId="77777777" w:rsidR="00556C22" w:rsidRPr="007A69F2" w:rsidRDefault="00D04C51" w:rsidP="009F56DF">
      <w:pPr>
        <w:suppressAutoHyphens/>
        <w:spacing w:line="240" w:lineRule="auto"/>
        <w:ind w:left="567" w:hanging="567"/>
        <w:jc w:val="both"/>
        <w:rPr>
          <w:b/>
          <w:szCs w:val="22"/>
          <w:lang w:val="sr-Latn-ME"/>
        </w:rPr>
      </w:pPr>
      <w:r w:rsidRPr="007A69F2">
        <w:rPr>
          <w:b/>
          <w:szCs w:val="22"/>
          <w:lang w:val="sr-Latn-ME"/>
        </w:rPr>
        <w:t>6.</w:t>
      </w:r>
      <w:r w:rsidRPr="007A69F2">
        <w:rPr>
          <w:b/>
          <w:szCs w:val="22"/>
          <w:lang w:val="sr-Latn-ME"/>
        </w:rPr>
        <w:tab/>
        <w:t>FARMACEUTSKI PODACI</w:t>
      </w:r>
    </w:p>
    <w:p w14:paraId="2857FE6C" w14:textId="77777777" w:rsidR="00DA17AE" w:rsidRPr="007A69F2" w:rsidRDefault="00DA17AE" w:rsidP="009F56DF">
      <w:pPr>
        <w:spacing w:line="240" w:lineRule="auto"/>
        <w:jc w:val="both"/>
        <w:outlineLvl w:val="1"/>
        <w:rPr>
          <w:b/>
          <w:szCs w:val="22"/>
          <w:lang w:val="sr-Latn-ME"/>
        </w:rPr>
      </w:pPr>
    </w:p>
    <w:p w14:paraId="52C8348C" w14:textId="7B492467" w:rsidR="00DA17AE" w:rsidRPr="007A69F2" w:rsidRDefault="00D04C51" w:rsidP="009F56DF">
      <w:pPr>
        <w:spacing w:line="240" w:lineRule="auto"/>
        <w:jc w:val="both"/>
        <w:outlineLvl w:val="0"/>
        <w:rPr>
          <w:szCs w:val="22"/>
          <w:lang w:val="sr-Latn-ME"/>
        </w:rPr>
      </w:pPr>
      <w:r w:rsidRPr="007A69F2">
        <w:rPr>
          <w:b/>
          <w:szCs w:val="22"/>
          <w:lang w:val="sr-Latn-ME"/>
        </w:rPr>
        <w:t>6.1</w:t>
      </w:r>
      <w:r w:rsidRPr="007A69F2">
        <w:rPr>
          <w:b/>
          <w:szCs w:val="22"/>
          <w:lang w:val="sr-Latn-ME"/>
        </w:rPr>
        <w:tab/>
      </w:r>
      <w:r w:rsidR="00961A19" w:rsidRPr="007A69F2">
        <w:rPr>
          <w:b/>
          <w:szCs w:val="22"/>
          <w:lang w:val="sr-Latn-ME"/>
        </w:rPr>
        <w:t>Lista pomoćnih supstanci (</w:t>
      </w:r>
      <w:proofErr w:type="spellStart"/>
      <w:r w:rsidR="00961A19" w:rsidRPr="007A69F2">
        <w:rPr>
          <w:b/>
          <w:szCs w:val="22"/>
          <w:lang w:val="sr-Latn-ME"/>
        </w:rPr>
        <w:t>ekscipijenasa</w:t>
      </w:r>
      <w:proofErr w:type="spellEnd"/>
      <w:r w:rsidR="00961A19" w:rsidRPr="007A69F2">
        <w:rPr>
          <w:b/>
          <w:szCs w:val="22"/>
          <w:lang w:val="sr-Latn-ME"/>
        </w:rPr>
        <w:t>)</w:t>
      </w:r>
    </w:p>
    <w:p w14:paraId="6594CB5B" w14:textId="77777777" w:rsidR="00DA17AE" w:rsidRPr="007A69F2" w:rsidRDefault="00DA17AE" w:rsidP="009F56DF">
      <w:pPr>
        <w:spacing w:line="240" w:lineRule="auto"/>
        <w:jc w:val="both"/>
        <w:rPr>
          <w:szCs w:val="22"/>
          <w:lang w:val="sr-Latn-ME"/>
        </w:rPr>
      </w:pPr>
    </w:p>
    <w:p w14:paraId="48BA2C3C" w14:textId="279FDBAD" w:rsidR="009A5DA9" w:rsidRPr="007A69F2" w:rsidRDefault="009A5DA9" w:rsidP="009F56DF">
      <w:pPr>
        <w:spacing w:line="240" w:lineRule="auto"/>
        <w:jc w:val="both"/>
        <w:rPr>
          <w:szCs w:val="22"/>
          <w:lang w:val="sr-Latn-ME"/>
        </w:rPr>
      </w:pPr>
      <w:proofErr w:type="spellStart"/>
      <w:r w:rsidRPr="007A69F2">
        <w:rPr>
          <w:szCs w:val="22"/>
          <w:lang w:val="sr-Latn-ME"/>
        </w:rPr>
        <w:t>polivinilpirolidon</w:t>
      </w:r>
      <w:proofErr w:type="spellEnd"/>
      <w:r w:rsidRPr="007A69F2">
        <w:rPr>
          <w:szCs w:val="22"/>
          <w:lang w:val="sr-Latn-ME"/>
        </w:rPr>
        <w:t>/</w:t>
      </w:r>
      <w:proofErr w:type="spellStart"/>
      <w:r w:rsidRPr="007A69F2">
        <w:rPr>
          <w:szCs w:val="22"/>
          <w:lang w:val="sr-Latn-ME"/>
        </w:rPr>
        <w:t>vinil</w:t>
      </w:r>
      <w:proofErr w:type="spellEnd"/>
      <w:r w:rsidR="00295336" w:rsidRPr="007A69F2">
        <w:rPr>
          <w:szCs w:val="22"/>
          <w:lang w:val="sr-Latn-ME"/>
        </w:rPr>
        <w:t xml:space="preserve"> </w:t>
      </w:r>
      <w:r w:rsidRPr="007A69F2">
        <w:rPr>
          <w:szCs w:val="22"/>
          <w:lang w:val="sr-Latn-ME"/>
        </w:rPr>
        <w:t xml:space="preserve">acetat </w:t>
      </w:r>
      <w:proofErr w:type="spellStart"/>
      <w:r w:rsidRPr="007A69F2">
        <w:rPr>
          <w:szCs w:val="22"/>
          <w:lang w:val="sr-Latn-ME"/>
        </w:rPr>
        <w:t>kopolimer</w:t>
      </w:r>
      <w:proofErr w:type="spellEnd"/>
    </w:p>
    <w:p w14:paraId="293FCA32" w14:textId="236CF75A" w:rsidR="009A5DA9" w:rsidRPr="007A69F2" w:rsidRDefault="009A5DA9" w:rsidP="009F56DF">
      <w:pPr>
        <w:spacing w:line="240" w:lineRule="auto"/>
        <w:jc w:val="both"/>
        <w:rPr>
          <w:szCs w:val="22"/>
          <w:lang w:val="sr-Latn-ME"/>
        </w:rPr>
      </w:pPr>
      <w:r w:rsidRPr="007A69F2">
        <w:rPr>
          <w:szCs w:val="22"/>
          <w:lang w:val="sr-Latn-ME"/>
        </w:rPr>
        <w:t xml:space="preserve">vitamin E </w:t>
      </w:r>
      <w:proofErr w:type="spellStart"/>
      <w:r w:rsidRPr="007A69F2">
        <w:rPr>
          <w:szCs w:val="22"/>
          <w:lang w:val="sr-Latn-ME"/>
        </w:rPr>
        <w:t>polietilen</w:t>
      </w:r>
      <w:proofErr w:type="spellEnd"/>
      <w:r w:rsidR="00295336" w:rsidRPr="007A69F2">
        <w:rPr>
          <w:szCs w:val="22"/>
          <w:lang w:val="sr-Latn-ME"/>
        </w:rPr>
        <w:t xml:space="preserve"> </w:t>
      </w:r>
      <w:proofErr w:type="spellStart"/>
      <w:r w:rsidRPr="007A69F2">
        <w:rPr>
          <w:szCs w:val="22"/>
          <w:lang w:val="sr-Latn-ME"/>
        </w:rPr>
        <w:t>glikol</w:t>
      </w:r>
      <w:proofErr w:type="spellEnd"/>
      <w:r w:rsidRPr="007A69F2">
        <w:rPr>
          <w:szCs w:val="22"/>
          <w:lang w:val="sr-Latn-ME"/>
        </w:rPr>
        <w:t xml:space="preserve"> </w:t>
      </w:r>
      <w:proofErr w:type="spellStart"/>
      <w:r w:rsidRPr="007A69F2">
        <w:rPr>
          <w:szCs w:val="22"/>
          <w:lang w:val="sr-Latn-ME"/>
        </w:rPr>
        <w:t>sukcinat</w:t>
      </w:r>
      <w:proofErr w:type="spellEnd"/>
    </w:p>
    <w:p w14:paraId="0F3CB62F" w14:textId="77777777" w:rsidR="009A5DA9" w:rsidRPr="007A69F2" w:rsidRDefault="009A5DA9" w:rsidP="009F56DF">
      <w:pPr>
        <w:spacing w:line="240" w:lineRule="auto"/>
        <w:jc w:val="both"/>
        <w:rPr>
          <w:szCs w:val="22"/>
          <w:lang w:val="sr-Latn-ME"/>
        </w:rPr>
      </w:pPr>
      <w:proofErr w:type="spellStart"/>
      <w:r w:rsidRPr="007A69F2">
        <w:rPr>
          <w:szCs w:val="22"/>
          <w:lang w:val="sr-Latn-ME"/>
        </w:rPr>
        <w:t>manitol</w:t>
      </w:r>
      <w:proofErr w:type="spellEnd"/>
    </w:p>
    <w:p w14:paraId="2725F0A2" w14:textId="5ED629CD" w:rsidR="009A5DA9" w:rsidRPr="007A69F2" w:rsidRDefault="009A5DA9" w:rsidP="009F56DF">
      <w:pPr>
        <w:spacing w:line="240" w:lineRule="auto"/>
        <w:jc w:val="both"/>
        <w:rPr>
          <w:szCs w:val="22"/>
          <w:lang w:val="sr-Latn-ME"/>
        </w:rPr>
      </w:pPr>
      <w:r w:rsidRPr="007A69F2">
        <w:rPr>
          <w:szCs w:val="22"/>
          <w:lang w:val="sr-Latn-ME"/>
        </w:rPr>
        <w:t xml:space="preserve">celuloza, </w:t>
      </w:r>
      <w:proofErr w:type="spellStart"/>
      <w:r w:rsidRPr="007A69F2">
        <w:rPr>
          <w:szCs w:val="22"/>
          <w:lang w:val="sr-Latn-ME"/>
        </w:rPr>
        <w:t>mikrokristal</w:t>
      </w:r>
      <w:r w:rsidR="00961A19" w:rsidRPr="007A69F2">
        <w:rPr>
          <w:szCs w:val="22"/>
          <w:lang w:val="sr-Latn-ME"/>
        </w:rPr>
        <w:t>na</w:t>
      </w:r>
      <w:proofErr w:type="spellEnd"/>
    </w:p>
    <w:p w14:paraId="758D3C3B" w14:textId="1D850CE6" w:rsidR="009A5DA9" w:rsidRPr="007A69F2" w:rsidRDefault="009A5DA9" w:rsidP="009F56DF">
      <w:pPr>
        <w:spacing w:line="240" w:lineRule="auto"/>
        <w:jc w:val="both"/>
        <w:rPr>
          <w:szCs w:val="22"/>
          <w:lang w:val="sr-Latn-ME"/>
        </w:rPr>
      </w:pPr>
      <w:r w:rsidRPr="007A69F2">
        <w:rPr>
          <w:szCs w:val="22"/>
          <w:lang w:val="sr-Latn-ME"/>
        </w:rPr>
        <w:t>natrij</w:t>
      </w:r>
      <w:r w:rsidR="00961A19" w:rsidRPr="007A69F2">
        <w:rPr>
          <w:szCs w:val="22"/>
          <w:lang w:val="sr-Latn-ME"/>
        </w:rPr>
        <w:t>um</w:t>
      </w:r>
      <w:r w:rsidRPr="007A69F2">
        <w:rPr>
          <w:szCs w:val="22"/>
          <w:lang w:val="sr-Latn-ME"/>
        </w:rPr>
        <w:t xml:space="preserve"> hlorid</w:t>
      </w:r>
    </w:p>
    <w:p w14:paraId="464CAB47" w14:textId="23A3ABC8" w:rsidR="009A5DA9" w:rsidRPr="007A69F2" w:rsidRDefault="00295336" w:rsidP="009F56DF">
      <w:pPr>
        <w:spacing w:line="240" w:lineRule="auto"/>
        <w:jc w:val="both"/>
        <w:rPr>
          <w:szCs w:val="22"/>
          <w:lang w:val="sr-Latn-ME"/>
        </w:rPr>
      </w:pPr>
      <w:proofErr w:type="spellStart"/>
      <w:r w:rsidRPr="007A69F2">
        <w:rPr>
          <w:szCs w:val="22"/>
          <w:lang w:val="sr-Latn-ME"/>
        </w:rPr>
        <w:t>kros</w:t>
      </w:r>
      <w:r w:rsidR="009A5DA9" w:rsidRPr="007A69F2">
        <w:rPr>
          <w:szCs w:val="22"/>
          <w:lang w:val="sr-Latn-ME"/>
        </w:rPr>
        <w:t>karmeloza</w:t>
      </w:r>
      <w:proofErr w:type="spellEnd"/>
      <w:r w:rsidRPr="007A69F2">
        <w:rPr>
          <w:szCs w:val="22"/>
          <w:lang w:val="sr-Latn-ME"/>
        </w:rPr>
        <w:t xml:space="preserve"> </w:t>
      </w:r>
      <w:r w:rsidR="009A5DA9" w:rsidRPr="007A69F2">
        <w:rPr>
          <w:szCs w:val="22"/>
          <w:lang w:val="sr-Latn-ME"/>
        </w:rPr>
        <w:t>natrij</w:t>
      </w:r>
      <w:r w:rsidR="00961A19" w:rsidRPr="007A69F2">
        <w:rPr>
          <w:szCs w:val="22"/>
          <w:lang w:val="sr-Latn-ME"/>
        </w:rPr>
        <w:t>um</w:t>
      </w:r>
    </w:p>
    <w:p w14:paraId="0653A8C6" w14:textId="68D37234" w:rsidR="009A5DA9" w:rsidRPr="007A69F2" w:rsidRDefault="009A5DA9" w:rsidP="009F56DF">
      <w:pPr>
        <w:spacing w:line="240" w:lineRule="auto"/>
        <w:jc w:val="both"/>
        <w:rPr>
          <w:szCs w:val="22"/>
          <w:lang w:val="sr-Latn-ME"/>
        </w:rPr>
      </w:pPr>
      <w:r w:rsidRPr="007A69F2">
        <w:rPr>
          <w:szCs w:val="22"/>
          <w:lang w:val="sr-Latn-ME"/>
        </w:rPr>
        <w:t>silicij</w:t>
      </w:r>
      <w:r w:rsidR="00961A19" w:rsidRPr="007A69F2">
        <w:rPr>
          <w:szCs w:val="22"/>
          <w:lang w:val="sr-Latn-ME"/>
        </w:rPr>
        <w:t>um</w:t>
      </w:r>
      <w:r w:rsidRPr="007A69F2">
        <w:rPr>
          <w:szCs w:val="22"/>
          <w:lang w:val="sr-Latn-ME"/>
        </w:rPr>
        <w:t xml:space="preserve"> dioksid, koloidni</w:t>
      </w:r>
    </w:p>
    <w:p w14:paraId="0B899BED" w14:textId="12F4D978" w:rsidR="009A5DA9" w:rsidRPr="007A69F2" w:rsidRDefault="009A5DA9" w:rsidP="009F56DF">
      <w:pPr>
        <w:spacing w:line="240" w:lineRule="auto"/>
        <w:jc w:val="both"/>
        <w:rPr>
          <w:szCs w:val="22"/>
          <w:lang w:val="sr-Latn-ME"/>
        </w:rPr>
      </w:pPr>
      <w:r w:rsidRPr="007A69F2">
        <w:rPr>
          <w:szCs w:val="22"/>
          <w:lang w:val="sr-Latn-ME"/>
        </w:rPr>
        <w:t>natrij</w:t>
      </w:r>
      <w:r w:rsidR="00961A19" w:rsidRPr="007A69F2">
        <w:rPr>
          <w:szCs w:val="22"/>
          <w:lang w:val="sr-Latn-ME"/>
        </w:rPr>
        <w:t>um</w:t>
      </w:r>
      <w:r w:rsidRPr="007A69F2">
        <w:rPr>
          <w:szCs w:val="22"/>
          <w:lang w:val="sr-Latn-ME"/>
        </w:rPr>
        <w:t xml:space="preserve"> </w:t>
      </w:r>
      <w:proofErr w:type="spellStart"/>
      <w:r w:rsidRPr="007A69F2">
        <w:rPr>
          <w:szCs w:val="22"/>
          <w:lang w:val="sr-Latn-ME"/>
        </w:rPr>
        <w:t>stearil</w:t>
      </w:r>
      <w:proofErr w:type="spellEnd"/>
      <w:r w:rsidR="00295336" w:rsidRPr="007A69F2">
        <w:rPr>
          <w:szCs w:val="22"/>
          <w:lang w:val="sr-Latn-ME"/>
        </w:rPr>
        <w:t xml:space="preserve"> </w:t>
      </w:r>
      <w:proofErr w:type="spellStart"/>
      <w:r w:rsidRPr="007A69F2">
        <w:rPr>
          <w:szCs w:val="22"/>
          <w:lang w:val="sr-Latn-ME"/>
        </w:rPr>
        <w:t>fumarat</w:t>
      </w:r>
      <w:proofErr w:type="spellEnd"/>
      <w:r w:rsidRPr="007A69F2">
        <w:rPr>
          <w:szCs w:val="22"/>
          <w:lang w:val="sr-Latn-ME"/>
        </w:rPr>
        <w:t xml:space="preserve"> </w:t>
      </w:r>
    </w:p>
    <w:p w14:paraId="0F87F15D" w14:textId="77777777" w:rsidR="00DA17AE" w:rsidRPr="007A69F2" w:rsidRDefault="00DA17AE" w:rsidP="009F56DF">
      <w:pPr>
        <w:spacing w:line="240" w:lineRule="auto"/>
        <w:jc w:val="both"/>
        <w:rPr>
          <w:szCs w:val="22"/>
          <w:lang w:val="sr-Latn-ME"/>
        </w:rPr>
      </w:pPr>
    </w:p>
    <w:p w14:paraId="6D4347F0" w14:textId="77777777" w:rsidR="00DA17AE" w:rsidRPr="007A69F2" w:rsidRDefault="00D04C51" w:rsidP="009F56DF">
      <w:pPr>
        <w:keepNext/>
        <w:spacing w:line="240" w:lineRule="auto"/>
        <w:jc w:val="both"/>
        <w:outlineLvl w:val="0"/>
        <w:rPr>
          <w:szCs w:val="22"/>
          <w:lang w:val="sr-Latn-ME"/>
        </w:rPr>
      </w:pPr>
      <w:r w:rsidRPr="007A69F2">
        <w:rPr>
          <w:b/>
          <w:szCs w:val="22"/>
          <w:lang w:val="sr-Latn-ME"/>
        </w:rPr>
        <w:t>6.2</w:t>
      </w:r>
      <w:r w:rsidRPr="007A69F2">
        <w:rPr>
          <w:b/>
          <w:szCs w:val="22"/>
          <w:lang w:val="sr-Latn-ME"/>
        </w:rPr>
        <w:tab/>
        <w:t>Inkompatibilnosti</w:t>
      </w:r>
    </w:p>
    <w:p w14:paraId="492BA325" w14:textId="77777777" w:rsidR="00DA17AE" w:rsidRPr="007A69F2" w:rsidRDefault="00DA17AE" w:rsidP="009F56DF">
      <w:pPr>
        <w:spacing w:line="240" w:lineRule="auto"/>
        <w:jc w:val="both"/>
        <w:rPr>
          <w:szCs w:val="22"/>
          <w:lang w:val="sr-Latn-ME"/>
        </w:rPr>
      </w:pPr>
    </w:p>
    <w:p w14:paraId="2A1E9E15" w14:textId="030615B8" w:rsidR="00DA17AE" w:rsidRPr="007A69F2" w:rsidRDefault="00D04C51" w:rsidP="009F56DF">
      <w:pPr>
        <w:spacing w:line="240" w:lineRule="auto"/>
        <w:jc w:val="both"/>
        <w:rPr>
          <w:szCs w:val="22"/>
          <w:lang w:val="sr-Latn-ME"/>
        </w:rPr>
      </w:pPr>
      <w:r w:rsidRPr="007A69F2">
        <w:rPr>
          <w:szCs w:val="22"/>
          <w:lang w:val="sr-Latn-ME"/>
        </w:rPr>
        <w:t>Nije primjen</w:t>
      </w:r>
      <w:r w:rsidR="00295336" w:rsidRPr="007A69F2">
        <w:rPr>
          <w:szCs w:val="22"/>
          <w:lang w:val="sr-Latn-ME"/>
        </w:rPr>
        <w:t>l</w:t>
      </w:r>
      <w:r w:rsidRPr="007A69F2">
        <w:rPr>
          <w:szCs w:val="22"/>
          <w:lang w:val="sr-Latn-ME"/>
        </w:rPr>
        <w:t>jivo.</w:t>
      </w:r>
    </w:p>
    <w:p w14:paraId="73A344B9" w14:textId="77777777" w:rsidR="00DA17AE" w:rsidRPr="007A69F2" w:rsidRDefault="00DA17AE" w:rsidP="009F56DF">
      <w:pPr>
        <w:spacing w:line="240" w:lineRule="auto"/>
        <w:jc w:val="both"/>
        <w:rPr>
          <w:szCs w:val="22"/>
          <w:lang w:val="sr-Latn-ME"/>
        </w:rPr>
      </w:pPr>
    </w:p>
    <w:p w14:paraId="599056C8" w14:textId="12A63949" w:rsidR="00DA17AE" w:rsidRPr="007A69F2" w:rsidRDefault="00D04C51" w:rsidP="009F56DF">
      <w:pPr>
        <w:spacing w:line="240" w:lineRule="auto"/>
        <w:jc w:val="both"/>
        <w:outlineLvl w:val="0"/>
        <w:rPr>
          <w:szCs w:val="22"/>
          <w:lang w:val="sr-Latn-ME"/>
        </w:rPr>
      </w:pPr>
      <w:r w:rsidRPr="007A69F2">
        <w:rPr>
          <w:b/>
          <w:szCs w:val="22"/>
          <w:lang w:val="sr-Latn-ME"/>
        </w:rPr>
        <w:t>6.3</w:t>
      </w:r>
      <w:r w:rsidRPr="007A69F2">
        <w:rPr>
          <w:b/>
          <w:szCs w:val="22"/>
          <w:lang w:val="sr-Latn-ME"/>
        </w:rPr>
        <w:tab/>
        <w:t xml:space="preserve">Rok </w:t>
      </w:r>
      <w:r w:rsidR="00072D43" w:rsidRPr="007A69F2">
        <w:rPr>
          <w:b/>
          <w:szCs w:val="22"/>
          <w:lang w:val="sr-Latn-ME"/>
        </w:rPr>
        <w:t>trajanja</w:t>
      </w:r>
    </w:p>
    <w:p w14:paraId="115E0DF3" w14:textId="77777777" w:rsidR="00DA17AE" w:rsidRPr="007A69F2" w:rsidRDefault="00DA17AE" w:rsidP="009F56DF">
      <w:pPr>
        <w:spacing w:line="240" w:lineRule="auto"/>
        <w:jc w:val="both"/>
        <w:rPr>
          <w:szCs w:val="22"/>
          <w:lang w:val="sr-Latn-ME"/>
        </w:rPr>
      </w:pPr>
    </w:p>
    <w:p w14:paraId="6049EE34" w14:textId="714F0A2D" w:rsidR="00DA17AE" w:rsidRPr="007A69F2" w:rsidRDefault="00D04C51" w:rsidP="009F56DF">
      <w:pPr>
        <w:spacing w:line="240" w:lineRule="auto"/>
        <w:jc w:val="both"/>
        <w:rPr>
          <w:szCs w:val="22"/>
          <w:lang w:val="sr-Latn-ME"/>
        </w:rPr>
      </w:pPr>
      <w:r w:rsidRPr="007A69F2">
        <w:rPr>
          <w:szCs w:val="22"/>
          <w:lang w:val="sr-Latn-ME"/>
        </w:rPr>
        <w:t>3 godine</w:t>
      </w:r>
      <w:r w:rsidR="00295336" w:rsidRPr="007A69F2">
        <w:rPr>
          <w:szCs w:val="22"/>
          <w:lang w:val="sr-Latn-ME"/>
        </w:rPr>
        <w:t>.</w:t>
      </w:r>
    </w:p>
    <w:p w14:paraId="0F44334F" w14:textId="77777777" w:rsidR="00DA17AE" w:rsidRPr="007A69F2" w:rsidRDefault="00DA17AE" w:rsidP="009F56DF">
      <w:pPr>
        <w:spacing w:line="240" w:lineRule="auto"/>
        <w:jc w:val="both"/>
        <w:rPr>
          <w:szCs w:val="22"/>
          <w:lang w:val="sr-Latn-ME"/>
        </w:rPr>
      </w:pPr>
    </w:p>
    <w:p w14:paraId="46711F30" w14:textId="4CE9A227" w:rsidR="00DA17AE" w:rsidRPr="007A69F2" w:rsidRDefault="00D04C51" w:rsidP="009F56DF">
      <w:pPr>
        <w:keepNext/>
        <w:keepLines/>
        <w:spacing w:line="240" w:lineRule="auto"/>
        <w:jc w:val="both"/>
        <w:outlineLvl w:val="0"/>
        <w:rPr>
          <w:szCs w:val="22"/>
          <w:lang w:val="sr-Latn-ME"/>
        </w:rPr>
      </w:pPr>
      <w:r w:rsidRPr="007A69F2">
        <w:rPr>
          <w:b/>
          <w:szCs w:val="22"/>
          <w:lang w:val="sr-Latn-ME"/>
        </w:rPr>
        <w:t>6.4</w:t>
      </w:r>
      <w:r w:rsidRPr="007A69F2">
        <w:rPr>
          <w:b/>
          <w:szCs w:val="22"/>
          <w:lang w:val="sr-Latn-ME"/>
        </w:rPr>
        <w:tab/>
      </w:r>
      <w:r w:rsidR="00961A19" w:rsidRPr="007A69F2">
        <w:rPr>
          <w:b/>
          <w:szCs w:val="22"/>
          <w:lang w:val="sr-Latn-ME"/>
        </w:rPr>
        <w:t>Posebne mjere upozorenja pri čuvanju lijeka</w:t>
      </w:r>
    </w:p>
    <w:p w14:paraId="7CC644D5" w14:textId="77777777" w:rsidR="00DA17AE" w:rsidRPr="007A69F2" w:rsidRDefault="00DA17AE" w:rsidP="009F56DF">
      <w:pPr>
        <w:keepNext/>
        <w:keepLines/>
        <w:spacing w:line="240" w:lineRule="auto"/>
        <w:jc w:val="both"/>
        <w:rPr>
          <w:szCs w:val="22"/>
          <w:lang w:val="sr-Latn-ME"/>
        </w:rPr>
      </w:pPr>
    </w:p>
    <w:p w14:paraId="5D4B9BC2" w14:textId="39ACB354" w:rsidR="00DA17AE" w:rsidRPr="007A69F2" w:rsidRDefault="009A5DA9" w:rsidP="009F56DF">
      <w:pPr>
        <w:keepNext/>
        <w:keepLines/>
        <w:spacing w:line="240" w:lineRule="auto"/>
        <w:jc w:val="both"/>
        <w:rPr>
          <w:szCs w:val="22"/>
          <w:lang w:val="sr-Latn-ME"/>
        </w:rPr>
      </w:pPr>
      <w:r w:rsidRPr="007A69F2">
        <w:rPr>
          <w:szCs w:val="22"/>
          <w:lang w:val="sr-Latn-ME"/>
        </w:rPr>
        <w:t>L</w:t>
      </w:r>
      <w:r w:rsidR="00D04C51" w:rsidRPr="007A69F2">
        <w:rPr>
          <w:szCs w:val="22"/>
          <w:lang w:val="sr-Latn-ME"/>
        </w:rPr>
        <w:t xml:space="preserve">ijek </w:t>
      </w:r>
      <w:r w:rsidR="00295336" w:rsidRPr="007A69F2">
        <w:rPr>
          <w:szCs w:val="22"/>
          <w:lang w:val="sr-Latn-ME"/>
        </w:rPr>
        <w:t>ne zahtijeva posebne uslove čuvanja</w:t>
      </w:r>
      <w:r w:rsidRPr="007A69F2">
        <w:rPr>
          <w:szCs w:val="22"/>
          <w:lang w:val="sr-Latn-ME"/>
        </w:rPr>
        <w:t>.</w:t>
      </w:r>
    </w:p>
    <w:p w14:paraId="38A34F66" w14:textId="77777777" w:rsidR="00DA17AE" w:rsidRPr="007A69F2" w:rsidRDefault="00DA17AE" w:rsidP="009F56DF">
      <w:pPr>
        <w:spacing w:line="240" w:lineRule="auto"/>
        <w:jc w:val="both"/>
        <w:rPr>
          <w:szCs w:val="22"/>
          <w:lang w:val="sr-Latn-ME"/>
        </w:rPr>
      </w:pPr>
    </w:p>
    <w:p w14:paraId="0F160E25" w14:textId="62CA0159" w:rsidR="00961A19" w:rsidRPr="007A69F2" w:rsidRDefault="00D04C51" w:rsidP="00966380">
      <w:pPr>
        <w:spacing w:line="240" w:lineRule="auto"/>
        <w:jc w:val="both"/>
        <w:rPr>
          <w:b/>
          <w:szCs w:val="22"/>
          <w:lang w:val="sr-Latn-ME"/>
        </w:rPr>
      </w:pPr>
      <w:r w:rsidRPr="007A69F2">
        <w:rPr>
          <w:b/>
          <w:szCs w:val="22"/>
          <w:lang w:val="sr-Latn-ME"/>
        </w:rPr>
        <w:t>6.5</w:t>
      </w:r>
      <w:r w:rsidRPr="007A69F2">
        <w:rPr>
          <w:b/>
          <w:szCs w:val="22"/>
          <w:lang w:val="sr-Latn-ME"/>
        </w:rPr>
        <w:tab/>
      </w:r>
      <w:r w:rsidR="00961A19" w:rsidRPr="007A69F2">
        <w:rPr>
          <w:b/>
          <w:szCs w:val="22"/>
          <w:lang w:val="sr-Latn-ME"/>
        </w:rPr>
        <w:t>Vrsta i sadržaj pakovanja</w:t>
      </w:r>
    </w:p>
    <w:p w14:paraId="647D3A6C" w14:textId="77777777" w:rsidR="00D74825" w:rsidRPr="007A69F2" w:rsidRDefault="00D74825" w:rsidP="00025DD9">
      <w:pPr>
        <w:keepNext/>
        <w:spacing w:line="240" w:lineRule="auto"/>
        <w:jc w:val="both"/>
        <w:rPr>
          <w:szCs w:val="22"/>
          <w:lang w:val="sr-Latn-ME"/>
        </w:rPr>
      </w:pPr>
    </w:p>
    <w:p w14:paraId="094307C1" w14:textId="7D55ED4A" w:rsidR="0040398D" w:rsidRPr="007A69F2" w:rsidRDefault="00295336" w:rsidP="00025DD9">
      <w:pPr>
        <w:keepNext/>
        <w:spacing w:line="240" w:lineRule="auto"/>
        <w:jc w:val="both"/>
        <w:rPr>
          <w:szCs w:val="22"/>
          <w:lang w:val="sr-Latn-ME"/>
        </w:rPr>
      </w:pPr>
      <w:r w:rsidRPr="007A69F2">
        <w:rPr>
          <w:szCs w:val="22"/>
          <w:lang w:val="sr-Latn-ME"/>
        </w:rPr>
        <w:t xml:space="preserve">Unutrašnje pakovanje lijeka je </w:t>
      </w:r>
      <w:r w:rsidR="0040398D" w:rsidRPr="007A69F2">
        <w:rPr>
          <w:szCs w:val="22"/>
          <w:lang w:val="sr-Latn-ME"/>
        </w:rPr>
        <w:t>Al</w:t>
      </w:r>
      <w:r w:rsidRPr="007A69F2">
        <w:rPr>
          <w:szCs w:val="22"/>
          <w:lang w:val="sr-Latn-ME"/>
        </w:rPr>
        <w:t>//</w:t>
      </w:r>
      <w:r w:rsidR="0040398D" w:rsidRPr="007A69F2">
        <w:rPr>
          <w:szCs w:val="22"/>
          <w:lang w:val="sr-Latn-ME"/>
        </w:rPr>
        <w:t xml:space="preserve">PVC/PE/PCTFE </w:t>
      </w:r>
      <w:proofErr w:type="spellStart"/>
      <w:r w:rsidR="0040398D" w:rsidRPr="007A69F2">
        <w:rPr>
          <w:szCs w:val="22"/>
          <w:lang w:val="sr-Latn-ME"/>
        </w:rPr>
        <w:t>blister</w:t>
      </w:r>
      <w:proofErr w:type="spellEnd"/>
      <w:r w:rsidRPr="007A69F2">
        <w:rPr>
          <w:szCs w:val="22"/>
          <w:lang w:val="sr-Latn-ME"/>
        </w:rPr>
        <w:t xml:space="preserve"> djeljiv na pojedinačne doze koji sadrži</w:t>
      </w:r>
      <w:r w:rsidR="0040398D" w:rsidRPr="007A69F2">
        <w:rPr>
          <w:szCs w:val="22"/>
          <w:lang w:val="sr-Latn-ME"/>
        </w:rPr>
        <w:t xml:space="preserve"> 7 tableta.</w:t>
      </w:r>
    </w:p>
    <w:p w14:paraId="100A3F0F" w14:textId="77777777" w:rsidR="002F0D8F" w:rsidRPr="007A69F2" w:rsidRDefault="002F0D8F" w:rsidP="00025DD9">
      <w:pPr>
        <w:keepNext/>
        <w:spacing w:line="240" w:lineRule="auto"/>
        <w:jc w:val="both"/>
        <w:rPr>
          <w:szCs w:val="22"/>
          <w:lang w:val="sr-Latn-ME"/>
        </w:rPr>
      </w:pPr>
    </w:p>
    <w:p w14:paraId="6B8D2019" w14:textId="44249632" w:rsidR="0040398D" w:rsidRPr="007A69F2" w:rsidRDefault="002F0D8F" w:rsidP="00025DD9">
      <w:pPr>
        <w:keepNext/>
        <w:spacing w:line="240" w:lineRule="auto"/>
        <w:jc w:val="both"/>
        <w:rPr>
          <w:szCs w:val="22"/>
          <w:lang w:val="sr-Latn-ME"/>
        </w:rPr>
      </w:pPr>
      <w:r w:rsidRPr="007A69F2">
        <w:rPr>
          <w:szCs w:val="22"/>
          <w:lang w:val="sr-Latn-ME"/>
        </w:rPr>
        <w:t>Spoljašnje p</w:t>
      </w:r>
      <w:r w:rsidR="0040398D" w:rsidRPr="007A69F2">
        <w:rPr>
          <w:szCs w:val="22"/>
          <w:lang w:val="sr-Latn-ME"/>
        </w:rPr>
        <w:t>akovanj</w:t>
      </w:r>
      <w:r w:rsidRPr="007A69F2">
        <w:rPr>
          <w:szCs w:val="22"/>
          <w:lang w:val="sr-Latn-ME"/>
        </w:rPr>
        <w:t xml:space="preserve">e lijeka je </w:t>
      </w:r>
      <w:proofErr w:type="spellStart"/>
      <w:r w:rsidRPr="007A69F2">
        <w:rPr>
          <w:szCs w:val="22"/>
          <w:lang w:val="sr-Latn-ME"/>
        </w:rPr>
        <w:t>složiva</w:t>
      </w:r>
      <w:proofErr w:type="spellEnd"/>
      <w:r w:rsidRPr="007A69F2">
        <w:rPr>
          <w:szCs w:val="22"/>
          <w:lang w:val="sr-Latn-ME"/>
        </w:rPr>
        <w:t xml:space="preserve"> kartonska kutija koja</w:t>
      </w:r>
      <w:r w:rsidR="0040398D" w:rsidRPr="007A69F2">
        <w:rPr>
          <w:szCs w:val="22"/>
          <w:lang w:val="sr-Latn-ME"/>
        </w:rPr>
        <w:t xml:space="preserve"> sadrž</w:t>
      </w:r>
      <w:r w:rsidRPr="007A69F2">
        <w:rPr>
          <w:szCs w:val="22"/>
          <w:lang w:val="sr-Latn-ME"/>
        </w:rPr>
        <w:t>i</w:t>
      </w:r>
      <w:r w:rsidR="0040398D" w:rsidRPr="007A69F2">
        <w:rPr>
          <w:szCs w:val="22"/>
          <w:lang w:val="sr-Latn-ME"/>
        </w:rPr>
        <w:t xml:space="preserve"> </w:t>
      </w:r>
      <w:r w:rsidRPr="007A69F2">
        <w:rPr>
          <w:szCs w:val="22"/>
          <w:lang w:val="sr-Latn-ME"/>
        </w:rPr>
        <w:t xml:space="preserve">4 ili 14 </w:t>
      </w:r>
      <w:proofErr w:type="spellStart"/>
      <w:r w:rsidRPr="007A69F2">
        <w:rPr>
          <w:szCs w:val="22"/>
          <w:lang w:val="sr-Latn-ME"/>
        </w:rPr>
        <w:t>blistera</w:t>
      </w:r>
      <w:proofErr w:type="spellEnd"/>
      <w:r w:rsidRPr="007A69F2">
        <w:rPr>
          <w:szCs w:val="22"/>
          <w:lang w:val="sr-Latn-ME"/>
        </w:rPr>
        <w:t xml:space="preserve"> (ukupno </w:t>
      </w:r>
      <w:r w:rsidR="0040398D" w:rsidRPr="007A69F2">
        <w:rPr>
          <w:szCs w:val="22"/>
          <w:lang w:val="sr-Latn-ME"/>
        </w:rPr>
        <w:t>28 ili 98 tableta</w:t>
      </w:r>
      <w:r w:rsidRPr="007A69F2">
        <w:rPr>
          <w:szCs w:val="22"/>
          <w:lang w:val="sr-Latn-ME"/>
        </w:rPr>
        <w:t>) i Uputstvo za lijek</w:t>
      </w:r>
      <w:r w:rsidR="0040398D" w:rsidRPr="007A69F2">
        <w:rPr>
          <w:szCs w:val="22"/>
          <w:lang w:val="sr-Latn-ME"/>
        </w:rPr>
        <w:t>.</w:t>
      </w:r>
    </w:p>
    <w:p w14:paraId="6E1F4DE2" w14:textId="77777777" w:rsidR="0040398D" w:rsidRPr="007A69F2" w:rsidRDefault="0040398D" w:rsidP="00025DD9">
      <w:pPr>
        <w:keepNext/>
        <w:spacing w:line="240" w:lineRule="auto"/>
        <w:jc w:val="both"/>
        <w:rPr>
          <w:szCs w:val="22"/>
          <w:u w:val="single"/>
          <w:lang w:val="sr-Latn-ME"/>
        </w:rPr>
      </w:pPr>
    </w:p>
    <w:p w14:paraId="63A798BE" w14:textId="5E5BB283" w:rsidR="00DA17AE" w:rsidRPr="007A69F2" w:rsidRDefault="00D04C51" w:rsidP="00A86ADC">
      <w:pPr>
        <w:keepNext/>
        <w:spacing w:line="240" w:lineRule="auto"/>
        <w:jc w:val="both"/>
        <w:outlineLvl w:val="0"/>
        <w:rPr>
          <w:szCs w:val="22"/>
          <w:lang w:val="sr-Latn-ME"/>
        </w:rPr>
      </w:pPr>
      <w:r w:rsidRPr="007A69F2">
        <w:rPr>
          <w:b/>
          <w:szCs w:val="22"/>
          <w:lang w:val="sr-Latn-ME"/>
        </w:rPr>
        <w:t>6.6</w:t>
      </w:r>
      <w:r w:rsidRPr="007A69F2">
        <w:rPr>
          <w:b/>
          <w:szCs w:val="22"/>
          <w:lang w:val="sr-Latn-ME"/>
        </w:rPr>
        <w:tab/>
      </w:r>
      <w:r w:rsidR="00961A19" w:rsidRPr="007A69F2">
        <w:rPr>
          <w:b/>
          <w:bCs/>
          <w:szCs w:val="22"/>
          <w:lang w:val="sr-Latn-ME"/>
        </w:rPr>
        <w:t>Posebne mjere opreza pri odlaganju materijala koji treba odbaciti nakon primjene lijeka (i druga uputstva za rukovanje lijekom)</w:t>
      </w:r>
    </w:p>
    <w:p w14:paraId="2F9BA5EA" w14:textId="77777777" w:rsidR="00DA17AE" w:rsidRPr="007A69F2" w:rsidRDefault="00DA17AE" w:rsidP="00A86ADC">
      <w:pPr>
        <w:keepNext/>
        <w:spacing w:line="240" w:lineRule="auto"/>
        <w:jc w:val="both"/>
        <w:rPr>
          <w:szCs w:val="22"/>
          <w:lang w:val="sr-Latn-ME"/>
        </w:rPr>
      </w:pPr>
    </w:p>
    <w:p w14:paraId="5EB5807F" w14:textId="41250995" w:rsidR="00961A19" w:rsidRPr="007A69F2" w:rsidRDefault="002F0D8F" w:rsidP="00405FD8">
      <w:pPr>
        <w:spacing w:line="240" w:lineRule="auto"/>
        <w:contextualSpacing/>
        <w:jc w:val="both"/>
        <w:rPr>
          <w:szCs w:val="22"/>
          <w:lang w:val="sr-Latn-ME"/>
        </w:rPr>
      </w:pPr>
      <w:r w:rsidRPr="007A69F2">
        <w:rPr>
          <w:szCs w:val="22"/>
          <w:lang w:val="sr-Latn-ME"/>
        </w:rPr>
        <w:t>Svu n</w:t>
      </w:r>
      <w:r w:rsidR="00961A19" w:rsidRPr="007A69F2">
        <w:rPr>
          <w:szCs w:val="22"/>
          <w:lang w:val="sr-Latn-ME"/>
        </w:rPr>
        <w:t>eiskoriš</w:t>
      </w:r>
      <w:r w:rsidRPr="007A69F2">
        <w:rPr>
          <w:szCs w:val="22"/>
          <w:lang w:val="sr-Latn-ME"/>
        </w:rPr>
        <w:t>će</w:t>
      </w:r>
      <w:r w:rsidR="00961A19" w:rsidRPr="007A69F2">
        <w:rPr>
          <w:szCs w:val="22"/>
          <w:lang w:val="sr-Latn-ME"/>
        </w:rPr>
        <w:t>n</w:t>
      </w:r>
      <w:r w:rsidRPr="007A69F2">
        <w:rPr>
          <w:szCs w:val="22"/>
          <w:lang w:val="sr-Latn-ME"/>
        </w:rPr>
        <w:t>u količinu</w:t>
      </w:r>
      <w:r w:rsidR="00961A19" w:rsidRPr="007A69F2">
        <w:rPr>
          <w:szCs w:val="22"/>
          <w:lang w:val="sr-Latn-ME"/>
        </w:rPr>
        <w:t xml:space="preserve"> lijek</w:t>
      </w:r>
      <w:r w:rsidRPr="007A69F2">
        <w:rPr>
          <w:szCs w:val="22"/>
          <w:lang w:val="sr-Latn-ME"/>
        </w:rPr>
        <w:t>a</w:t>
      </w:r>
      <w:r w:rsidR="00961A19" w:rsidRPr="007A69F2">
        <w:rPr>
          <w:szCs w:val="22"/>
          <w:lang w:val="sr-Latn-ME"/>
        </w:rPr>
        <w:t xml:space="preserve"> ili otpadn</w:t>
      </w:r>
      <w:r w:rsidRPr="007A69F2">
        <w:rPr>
          <w:szCs w:val="22"/>
          <w:lang w:val="sr-Latn-ME"/>
        </w:rPr>
        <w:t>og</w:t>
      </w:r>
      <w:r w:rsidR="00961A19" w:rsidRPr="007A69F2">
        <w:rPr>
          <w:szCs w:val="22"/>
          <w:lang w:val="sr-Latn-ME"/>
        </w:rPr>
        <w:t xml:space="preserve"> materijal</w:t>
      </w:r>
      <w:r w:rsidRPr="007A69F2">
        <w:rPr>
          <w:szCs w:val="22"/>
          <w:lang w:val="sr-Latn-ME"/>
        </w:rPr>
        <w:t>a nakon njegove upotrebe</w:t>
      </w:r>
      <w:r w:rsidR="00961A19" w:rsidRPr="007A69F2">
        <w:rPr>
          <w:szCs w:val="22"/>
          <w:lang w:val="sr-Latn-ME"/>
        </w:rPr>
        <w:t xml:space="preserve"> treba </w:t>
      </w:r>
      <w:r w:rsidRPr="007A69F2">
        <w:rPr>
          <w:szCs w:val="22"/>
          <w:lang w:val="sr-Latn-ME"/>
        </w:rPr>
        <w:t xml:space="preserve">ukloniti </w:t>
      </w:r>
      <w:r w:rsidR="00961A19" w:rsidRPr="007A69F2">
        <w:rPr>
          <w:szCs w:val="22"/>
          <w:lang w:val="sr-Latn-ME"/>
        </w:rPr>
        <w:t xml:space="preserve">u skladu sa </w:t>
      </w:r>
      <w:r w:rsidRPr="007A69F2">
        <w:rPr>
          <w:szCs w:val="22"/>
          <w:lang w:val="sr-Latn-ME"/>
        </w:rPr>
        <w:t xml:space="preserve">važećim </w:t>
      </w:r>
      <w:r w:rsidR="00961A19" w:rsidRPr="007A69F2">
        <w:rPr>
          <w:szCs w:val="22"/>
          <w:lang w:val="sr-Latn-ME"/>
        </w:rPr>
        <w:t>propisima.</w:t>
      </w:r>
    </w:p>
    <w:p w14:paraId="740F6053" w14:textId="77777777" w:rsidR="00961A19" w:rsidRPr="007A69F2" w:rsidRDefault="00961A19" w:rsidP="00405FD8">
      <w:pPr>
        <w:spacing w:line="240" w:lineRule="auto"/>
        <w:contextualSpacing/>
        <w:jc w:val="both"/>
        <w:rPr>
          <w:szCs w:val="22"/>
          <w:lang w:val="sr-Latn-ME"/>
        </w:rPr>
      </w:pPr>
    </w:p>
    <w:p w14:paraId="22F64BAE" w14:textId="77777777" w:rsidR="00072D43" w:rsidRPr="007A69F2" w:rsidRDefault="00072D43" w:rsidP="00A86ADC">
      <w:pPr>
        <w:spacing w:line="240" w:lineRule="auto"/>
        <w:jc w:val="both"/>
        <w:rPr>
          <w:szCs w:val="22"/>
          <w:lang w:val="sr-Latn-ME"/>
        </w:rPr>
      </w:pPr>
    </w:p>
    <w:p w14:paraId="10241A79" w14:textId="749DE82A" w:rsidR="00072D43" w:rsidRPr="007A69F2" w:rsidRDefault="00D04C51" w:rsidP="00A86ADC">
      <w:pPr>
        <w:spacing w:line="240" w:lineRule="auto"/>
        <w:jc w:val="both"/>
        <w:rPr>
          <w:b/>
          <w:bCs/>
          <w:szCs w:val="22"/>
          <w:lang w:val="sr-Latn-ME"/>
        </w:rPr>
      </w:pPr>
      <w:r w:rsidRPr="007A69F2">
        <w:rPr>
          <w:b/>
          <w:szCs w:val="22"/>
          <w:lang w:val="sr-Latn-ME"/>
        </w:rPr>
        <w:t>7.</w:t>
      </w:r>
      <w:r w:rsidRPr="007A69F2">
        <w:rPr>
          <w:b/>
          <w:szCs w:val="22"/>
          <w:lang w:val="sr-Latn-ME"/>
        </w:rPr>
        <w:tab/>
      </w:r>
      <w:r w:rsidR="00961A19" w:rsidRPr="007A69F2">
        <w:rPr>
          <w:b/>
          <w:bCs/>
          <w:szCs w:val="22"/>
          <w:lang w:val="sr-Latn-ME"/>
        </w:rPr>
        <w:t>NOSILAC DOZVOLE</w:t>
      </w:r>
    </w:p>
    <w:p w14:paraId="68E076C3" w14:textId="77777777" w:rsidR="009072C1" w:rsidRPr="007A69F2" w:rsidRDefault="009072C1" w:rsidP="009072C1">
      <w:pPr>
        <w:spacing w:line="240" w:lineRule="auto"/>
        <w:jc w:val="both"/>
        <w:rPr>
          <w:b/>
          <w:szCs w:val="22"/>
          <w:lang w:val="sr-Latn-ME"/>
        </w:rPr>
      </w:pPr>
    </w:p>
    <w:p w14:paraId="29A82AE9" w14:textId="08BC79F2" w:rsidR="00961A19" w:rsidRPr="007A69F2" w:rsidRDefault="00961A19" w:rsidP="00405FD8">
      <w:pPr>
        <w:tabs>
          <w:tab w:val="left" w:pos="540"/>
        </w:tabs>
        <w:spacing w:line="240" w:lineRule="auto"/>
        <w:jc w:val="both"/>
        <w:rPr>
          <w:bCs/>
          <w:szCs w:val="22"/>
          <w:lang w:val="sr-Latn-ME"/>
        </w:rPr>
      </w:pPr>
      <w:r w:rsidRPr="007A69F2">
        <w:rPr>
          <w:bCs/>
          <w:szCs w:val="22"/>
          <w:lang w:val="sr-Latn-ME"/>
        </w:rPr>
        <w:t xml:space="preserve">Glosarij </w:t>
      </w:r>
      <w:proofErr w:type="spellStart"/>
      <w:r w:rsidRPr="007A69F2">
        <w:rPr>
          <w:bCs/>
          <w:szCs w:val="22"/>
          <w:lang w:val="sr-Latn-ME"/>
        </w:rPr>
        <w:t>d.o.o</w:t>
      </w:r>
      <w:proofErr w:type="spellEnd"/>
      <w:r w:rsidRPr="007A69F2">
        <w:rPr>
          <w:bCs/>
          <w:szCs w:val="22"/>
          <w:lang w:val="sr-Latn-ME"/>
        </w:rPr>
        <w:t>.</w:t>
      </w:r>
      <w:r w:rsidR="009072C1" w:rsidRPr="007A69F2">
        <w:rPr>
          <w:bCs/>
          <w:szCs w:val="22"/>
          <w:lang w:val="sr-Latn-ME"/>
        </w:rPr>
        <w:t>,</w:t>
      </w:r>
      <w:r w:rsidRPr="007A69F2">
        <w:rPr>
          <w:bCs/>
          <w:szCs w:val="22"/>
          <w:lang w:val="sr-Latn-ME"/>
        </w:rPr>
        <w:t xml:space="preserve"> </w:t>
      </w:r>
    </w:p>
    <w:p w14:paraId="445D5790" w14:textId="24A6B6E5" w:rsidR="00961A19" w:rsidRPr="007A69F2" w:rsidRDefault="00961A19" w:rsidP="00405FD8">
      <w:pPr>
        <w:tabs>
          <w:tab w:val="left" w:pos="540"/>
        </w:tabs>
        <w:spacing w:line="240" w:lineRule="auto"/>
        <w:jc w:val="both"/>
        <w:rPr>
          <w:bCs/>
          <w:szCs w:val="22"/>
          <w:lang w:val="sr-Latn-ME"/>
        </w:rPr>
      </w:pPr>
      <w:proofErr w:type="spellStart"/>
      <w:r w:rsidRPr="007A69F2">
        <w:rPr>
          <w:bCs/>
          <w:szCs w:val="22"/>
          <w:lang w:val="sr-Latn-ME"/>
        </w:rPr>
        <w:t>Vojislavljevića</w:t>
      </w:r>
      <w:proofErr w:type="spellEnd"/>
      <w:r w:rsidRPr="007A69F2">
        <w:rPr>
          <w:bCs/>
          <w:szCs w:val="22"/>
          <w:lang w:val="sr-Latn-ME"/>
        </w:rPr>
        <w:t xml:space="preserve"> 76,</w:t>
      </w:r>
      <w:r w:rsidR="009072C1" w:rsidRPr="007A69F2">
        <w:rPr>
          <w:bCs/>
          <w:szCs w:val="22"/>
          <w:lang w:val="sr-Latn-ME"/>
        </w:rPr>
        <w:t xml:space="preserve"> </w:t>
      </w:r>
      <w:r w:rsidR="004D4C9B" w:rsidRPr="007A69F2">
        <w:rPr>
          <w:bCs/>
          <w:szCs w:val="22"/>
          <w:lang w:val="sr-Latn-ME"/>
        </w:rPr>
        <w:t xml:space="preserve">81 000 </w:t>
      </w:r>
      <w:r w:rsidRPr="007A69F2">
        <w:rPr>
          <w:bCs/>
          <w:szCs w:val="22"/>
          <w:lang w:val="sr-Latn-ME"/>
        </w:rPr>
        <w:t>Podgorica, Crna Gora</w:t>
      </w:r>
    </w:p>
    <w:p w14:paraId="06ADA7C6" w14:textId="77777777" w:rsidR="00072D43" w:rsidRPr="007A69F2" w:rsidRDefault="00072D43" w:rsidP="00A86ADC">
      <w:pPr>
        <w:spacing w:line="240" w:lineRule="auto"/>
        <w:jc w:val="both"/>
        <w:rPr>
          <w:szCs w:val="22"/>
          <w:lang w:val="sr-Latn-ME"/>
        </w:rPr>
      </w:pPr>
    </w:p>
    <w:p w14:paraId="35430A9D" w14:textId="77777777" w:rsidR="00DA17AE" w:rsidRPr="007A69F2" w:rsidRDefault="00DA17AE" w:rsidP="00A86ADC">
      <w:pPr>
        <w:spacing w:line="240" w:lineRule="auto"/>
        <w:jc w:val="both"/>
        <w:rPr>
          <w:szCs w:val="22"/>
          <w:lang w:val="sr-Latn-ME"/>
        </w:rPr>
      </w:pPr>
    </w:p>
    <w:p w14:paraId="67FAE7D3" w14:textId="1B3188E6" w:rsidR="008647E9" w:rsidRPr="007A69F2" w:rsidRDefault="00D04C51" w:rsidP="00A86ADC">
      <w:pPr>
        <w:spacing w:line="240" w:lineRule="auto"/>
        <w:ind w:left="567" w:hanging="567"/>
        <w:jc w:val="both"/>
        <w:rPr>
          <w:b/>
          <w:szCs w:val="22"/>
          <w:lang w:val="sr-Latn-ME"/>
        </w:rPr>
      </w:pPr>
      <w:r w:rsidRPr="007A69F2">
        <w:rPr>
          <w:b/>
          <w:szCs w:val="22"/>
          <w:lang w:val="sr-Latn-ME"/>
        </w:rPr>
        <w:t>8.</w:t>
      </w:r>
      <w:r w:rsidRPr="007A69F2">
        <w:rPr>
          <w:b/>
          <w:szCs w:val="22"/>
          <w:lang w:val="sr-Latn-ME"/>
        </w:rPr>
        <w:tab/>
      </w:r>
      <w:r w:rsidR="00961A19" w:rsidRPr="007A69F2">
        <w:rPr>
          <w:b/>
          <w:bCs/>
          <w:szCs w:val="22"/>
          <w:lang w:val="sr-Latn-ME"/>
        </w:rPr>
        <w:t>BROJ DOZVOLE ZA STAVLJANJE LIJEKA U PROMET</w:t>
      </w:r>
    </w:p>
    <w:p w14:paraId="1F9C6BBC" w14:textId="211E3223" w:rsidR="00DA17AE" w:rsidRPr="007A69F2" w:rsidRDefault="00DA17AE" w:rsidP="006A6551">
      <w:pPr>
        <w:spacing w:line="240" w:lineRule="auto"/>
        <w:jc w:val="both"/>
        <w:rPr>
          <w:szCs w:val="22"/>
          <w:lang w:val="sr-Latn-ME"/>
        </w:rPr>
      </w:pPr>
    </w:p>
    <w:p w14:paraId="1E76342C" w14:textId="7E376D0F" w:rsidR="006A6551" w:rsidRPr="007A69F2" w:rsidRDefault="006A6551" w:rsidP="00A86ADC">
      <w:pPr>
        <w:spacing w:line="240" w:lineRule="auto"/>
        <w:jc w:val="both"/>
        <w:rPr>
          <w:szCs w:val="22"/>
          <w:lang w:val="sr-Latn-ME"/>
        </w:rPr>
      </w:pPr>
      <w:proofErr w:type="spellStart"/>
      <w:r w:rsidRPr="007A69F2">
        <w:rPr>
          <w:szCs w:val="22"/>
          <w:lang w:val="sr-Latn-ME"/>
        </w:rPr>
        <w:t>Aquipta</w:t>
      </w:r>
      <w:proofErr w:type="spellEnd"/>
      <w:r w:rsidRPr="007A69F2">
        <w:rPr>
          <w:szCs w:val="22"/>
          <w:lang w:val="sr-Latn-ME"/>
        </w:rPr>
        <w:t xml:space="preserve">, tableta, 10 mg, </w:t>
      </w:r>
      <w:proofErr w:type="spellStart"/>
      <w:r w:rsidRPr="007A69F2">
        <w:rPr>
          <w:szCs w:val="22"/>
          <w:lang w:val="sr-Latn-ME"/>
        </w:rPr>
        <w:t>blister</w:t>
      </w:r>
      <w:proofErr w:type="spellEnd"/>
      <w:r w:rsidRPr="007A69F2">
        <w:rPr>
          <w:szCs w:val="22"/>
          <w:lang w:val="sr-Latn-ME"/>
        </w:rPr>
        <w:t xml:space="preserve"> djeljiv na pojedinačne doze, 28 (4x7) tableta</w:t>
      </w:r>
      <w:r w:rsidR="004D4C9B" w:rsidRPr="007A69F2">
        <w:rPr>
          <w:szCs w:val="22"/>
          <w:lang w:val="sr-Latn-ME"/>
        </w:rPr>
        <w:t>:</w:t>
      </w:r>
      <w:r w:rsidR="00614FF8" w:rsidRPr="007A69F2">
        <w:rPr>
          <w:szCs w:val="22"/>
          <w:lang w:val="sr-Latn-ME"/>
        </w:rPr>
        <w:t xml:space="preserve"> 2030/25/2751 – 7721</w:t>
      </w:r>
    </w:p>
    <w:p w14:paraId="5A8A6CDD" w14:textId="779E9999" w:rsidR="00DA17AE" w:rsidRPr="007A69F2" w:rsidRDefault="009072C1" w:rsidP="00A86ADC">
      <w:pPr>
        <w:spacing w:line="240" w:lineRule="auto"/>
        <w:jc w:val="both"/>
        <w:rPr>
          <w:szCs w:val="22"/>
          <w:lang w:val="sr-Latn-ME"/>
        </w:rPr>
      </w:pPr>
      <w:proofErr w:type="spellStart"/>
      <w:r w:rsidRPr="007A69F2">
        <w:rPr>
          <w:szCs w:val="22"/>
          <w:lang w:val="sr-Latn-ME"/>
        </w:rPr>
        <w:t>Aquipta</w:t>
      </w:r>
      <w:proofErr w:type="spellEnd"/>
      <w:r w:rsidRPr="007A69F2">
        <w:rPr>
          <w:szCs w:val="22"/>
          <w:lang w:val="sr-Latn-ME"/>
        </w:rPr>
        <w:t>, tableta, 10</w:t>
      </w:r>
      <w:r w:rsidR="006A6551" w:rsidRPr="007A69F2">
        <w:rPr>
          <w:szCs w:val="22"/>
          <w:lang w:val="sr-Latn-ME"/>
        </w:rPr>
        <w:t xml:space="preserve"> </w:t>
      </w:r>
      <w:r w:rsidRPr="007A69F2">
        <w:rPr>
          <w:szCs w:val="22"/>
          <w:lang w:val="sr-Latn-ME"/>
        </w:rPr>
        <w:t xml:space="preserve">mg, </w:t>
      </w:r>
      <w:proofErr w:type="spellStart"/>
      <w:r w:rsidRPr="007A69F2">
        <w:rPr>
          <w:szCs w:val="22"/>
          <w:lang w:val="sr-Latn-ME"/>
        </w:rPr>
        <w:t>blister</w:t>
      </w:r>
      <w:proofErr w:type="spellEnd"/>
      <w:r w:rsidR="006A6551" w:rsidRPr="007A69F2">
        <w:rPr>
          <w:szCs w:val="22"/>
          <w:lang w:val="sr-Latn-ME"/>
        </w:rPr>
        <w:t xml:space="preserve"> djeljiv na pojedinačne doze</w:t>
      </w:r>
      <w:r w:rsidRPr="007A69F2">
        <w:rPr>
          <w:szCs w:val="22"/>
          <w:lang w:val="sr-Latn-ME"/>
        </w:rPr>
        <w:t>, 98 (14x7) tableta</w:t>
      </w:r>
      <w:r w:rsidR="006A6551" w:rsidRPr="007A69F2">
        <w:rPr>
          <w:szCs w:val="22"/>
          <w:lang w:val="sr-Latn-ME"/>
        </w:rPr>
        <w:t>:</w:t>
      </w:r>
      <w:r w:rsidR="00B44144" w:rsidRPr="007A69F2">
        <w:rPr>
          <w:szCs w:val="22"/>
          <w:lang w:val="sr-Latn-ME"/>
        </w:rPr>
        <w:t xml:space="preserve"> </w:t>
      </w:r>
      <w:r w:rsidR="00B44144" w:rsidRPr="007A69F2">
        <w:rPr>
          <w:szCs w:val="22"/>
          <w:lang w:val="sr-Latn-ME"/>
        </w:rPr>
        <w:t xml:space="preserve">2030/25/2753 – 7720 </w:t>
      </w:r>
    </w:p>
    <w:p w14:paraId="1E61B6D7" w14:textId="37EA8178" w:rsidR="006A6551" w:rsidRPr="007A69F2" w:rsidRDefault="006A6551" w:rsidP="006A6551">
      <w:pPr>
        <w:spacing w:line="240" w:lineRule="auto"/>
        <w:jc w:val="both"/>
        <w:rPr>
          <w:szCs w:val="22"/>
          <w:lang w:val="sr-Latn-ME"/>
        </w:rPr>
      </w:pPr>
      <w:proofErr w:type="spellStart"/>
      <w:r w:rsidRPr="007A69F2">
        <w:rPr>
          <w:szCs w:val="22"/>
          <w:lang w:val="sr-Latn-ME"/>
        </w:rPr>
        <w:t>Aquipta</w:t>
      </w:r>
      <w:proofErr w:type="spellEnd"/>
      <w:r w:rsidRPr="007A69F2">
        <w:rPr>
          <w:szCs w:val="22"/>
          <w:lang w:val="sr-Latn-ME"/>
        </w:rPr>
        <w:t xml:space="preserve">, tableta, 60 mg, </w:t>
      </w:r>
      <w:proofErr w:type="spellStart"/>
      <w:r w:rsidRPr="007A69F2">
        <w:rPr>
          <w:szCs w:val="22"/>
          <w:lang w:val="sr-Latn-ME"/>
        </w:rPr>
        <w:t>blister</w:t>
      </w:r>
      <w:proofErr w:type="spellEnd"/>
      <w:r w:rsidRPr="007A69F2">
        <w:rPr>
          <w:szCs w:val="22"/>
          <w:lang w:val="sr-Latn-ME"/>
        </w:rPr>
        <w:t xml:space="preserve"> djeljiv na pojedinačne doze, 28 (4x7) tableta:</w:t>
      </w:r>
      <w:r w:rsidR="00B44144" w:rsidRPr="007A69F2">
        <w:rPr>
          <w:szCs w:val="22"/>
          <w:lang w:val="sr-Latn-ME"/>
        </w:rPr>
        <w:t xml:space="preserve"> </w:t>
      </w:r>
      <w:r w:rsidR="00B44144" w:rsidRPr="007A69F2">
        <w:rPr>
          <w:szCs w:val="22"/>
          <w:lang w:val="sr-Latn-ME"/>
        </w:rPr>
        <w:t xml:space="preserve">2030/25/2754 – 7722 </w:t>
      </w:r>
    </w:p>
    <w:p w14:paraId="2A24DF9E" w14:textId="6E7EE560" w:rsidR="00DA17AE" w:rsidRPr="007A69F2" w:rsidRDefault="006A6551" w:rsidP="00A86ADC">
      <w:pPr>
        <w:spacing w:line="240" w:lineRule="auto"/>
        <w:jc w:val="both"/>
        <w:rPr>
          <w:szCs w:val="22"/>
          <w:lang w:val="sr-Latn-ME"/>
        </w:rPr>
      </w:pPr>
      <w:proofErr w:type="spellStart"/>
      <w:r w:rsidRPr="007A69F2">
        <w:rPr>
          <w:szCs w:val="22"/>
          <w:lang w:val="sr-Latn-ME"/>
        </w:rPr>
        <w:t>Aquipta</w:t>
      </w:r>
      <w:proofErr w:type="spellEnd"/>
      <w:r w:rsidRPr="007A69F2">
        <w:rPr>
          <w:szCs w:val="22"/>
          <w:lang w:val="sr-Latn-ME"/>
        </w:rPr>
        <w:t xml:space="preserve">, tableta, 60 mg, </w:t>
      </w:r>
      <w:proofErr w:type="spellStart"/>
      <w:r w:rsidRPr="007A69F2">
        <w:rPr>
          <w:szCs w:val="22"/>
          <w:lang w:val="sr-Latn-ME"/>
        </w:rPr>
        <w:t>blister</w:t>
      </w:r>
      <w:proofErr w:type="spellEnd"/>
      <w:r w:rsidRPr="007A69F2">
        <w:rPr>
          <w:szCs w:val="22"/>
          <w:lang w:val="sr-Latn-ME"/>
        </w:rPr>
        <w:t xml:space="preserve"> djeljiv na pojedinačne doze, 98 (14x7) tableta:</w:t>
      </w:r>
      <w:r w:rsidR="007A69F2" w:rsidRPr="007A69F2">
        <w:rPr>
          <w:szCs w:val="22"/>
          <w:lang w:val="sr-Latn-ME"/>
        </w:rPr>
        <w:t xml:space="preserve"> </w:t>
      </w:r>
      <w:r w:rsidR="007A69F2" w:rsidRPr="007A69F2">
        <w:rPr>
          <w:szCs w:val="22"/>
          <w:lang w:val="sr-Latn-ME"/>
        </w:rPr>
        <w:t xml:space="preserve">2030/25/2755 – 7723 </w:t>
      </w:r>
    </w:p>
    <w:p w14:paraId="6BC1BAA5" w14:textId="1A8AB120" w:rsidR="006A6551" w:rsidRPr="007A69F2" w:rsidRDefault="006A6551" w:rsidP="006A6551">
      <w:pPr>
        <w:spacing w:line="240" w:lineRule="auto"/>
        <w:jc w:val="both"/>
        <w:rPr>
          <w:szCs w:val="22"/>
          <w:lang w:val="sr-Latn-ME"/>
        </w:rPr>
      </w:pPr>
    </w:p>
    <w:p w14:paraId="55B9C8E1" w14:textId="77777777" w:rsidR="006A6551" w:rsidRPr="007A69F2" w:rsidRDefault="006A6551" w:rsidP="006A6551">
      <w:pPr>
        <w:spacing w:line="240" w:lineRule="auto"/>
        <w:jc w:val="both"/>
        <w:rPr>
          <w:szCs w:val="22"/>
          <w:lang w:val="sr-Latn-ME"/>
        </w:rPr>
      </w:pPr>
      <w:bookmarkStart w:id="24" w:name="_GoBack"/>
      <w:bookmarkEnd w:id="24"/>
    </w:p>
    <w:p w14:paraId="59C7C705" w14:textId="77777777" w:rsidR="00961A19" w:rsidRPr="007A69F2" w:rsidRDefault="00072D43" w:rsidP="00405FD8">
      <w:pPr>
        <w:tabs>
          <w:tab w:val="clear" w:pos="567"/>
          <w:tab w:val="left" w:pos="540"/>
          <w:tab w:val="left" w:pos="569"/>
        </w:tabs>
        <w:spacing w:line="240" w:lineRule="auto"/>
        <w:jc w:val="both"/>
        <w:rPr>
          <w:b/>
          <w:bCs/>
          <w:szCs w:val="22"/>
          <w:lang w:val="sr-Latn-ME"/>
        </w:rPr>
      </w:pPr>
      <w:r w:rsidRPr="007A69F2">
        <w:rPr>
          <w:b/>
          <w:szCs w:val="22"/>
          <w:lang w:val="sr-Latn-ME"/>
        </w:rPr>
        <w:t>9</w:t>
      </w:r>
      <w:r w:rsidR="00D04C51" w:rsidRPr="007A69F2">
        <w:rPr>
          <w:b/>
          <w:szCs w:val="22"/>
          <w:lang w:val="sr-Latn-ME"/>
        </w:rPr>
        <w:t>.</w:t>
      </w:r>
      <w:r w:rsidR="00D04C51" w:rsidRPr="007A69F2">
        <w:rPr>
          <w:b/>
          <w:szCs w:val="22"/>
          <w:lang w:val="sr-Latn-ME"/>
        </w:rPr>
        <w:tab/>
      </w:r>
      <w:r w:rsidR="00961A19" w:rsidRPr="007A69F2">
        <w:rPr>
          <w:b/>
          <w:bCs/>
          <w:szCs w:val="22"/>
          <w:lang w:val="sr-Latn-ME"/>
        </w:rPr>
        <w:t>DATUM PRVE DOZVOLE/OBNOVE DOZVOLE ZA STAVLJANJE LIJEKA U PROMET</w:t>
      </w:r>
    </w:p>
    <w:p w14:paraId="63A37A93" w14:textId="7CAE4563" w:rsidR="00E507A7" w:rsidRPr="007A69F2" w:rsidRDefault="00E507A7" w:rsidP="006A6551">
      <w:pPr>
        <w:keepNext/>
        <w:spacing w:line="240" w:lineRule="auto"/>
        <w:ind w:left="567" w:hanging="567"/>
        <w:jc w:val="both"/>
        <w:rPr>
          <w:b/>
          <w:szCs w:val="22"/>
          <w:lang w:val="sr-Latn-ME"/>
        </w:rPr>
      </w:pPr>
    </w:p>
    <w:p w14:paraId="70E02C5A" w14:textId="77777777" w:rsidR="00614FF8" w:rsidRPr="007A69F2" w:rsidRDefault="00614FF8" w:rsidP="00614FF8">
      <w:pPr>
        <w:spacing w:line="240" w:lineRule="auto"/>
        <w:jc w:val="both"/>
        <w:rPr>
          <w:szCs w:val="22"/>
          <w:lang w:val="sr-Latn-ME"/>
        </w:rPr>
      </w:pPr>
      <w:r w:rsidRPr="007A69F2">
        <w:rPr>
          <w:szCs w:val="22"/>
          <w:lang w:val="sr-Latn-ME"/>
        </w:rPr>
        <w:t>29.07.2025. godine</w:t>
      </w:r>
    </w:p>
    <w:p w14:paraId="44A8F421" w14:textId="6ED2C2A0" w:rsidR="006A6551" w:rsidRPr="007A69F2" w:rsidRDefault="006A6551" w:rsidP="006A6551">
      <w:pPr>
        <w:keepNext/>
        <w:spacing w:line="240" w:lineRule="auto"/>
        <w:ind w:left="567" w:hanging="567"/>
        <w:jc w:val="both"/>
        <w:rPr>
          <w:b/>
          <w:szCs w:val="22"/>
          <w:lang w:val="sr-Latn-ME"/>
        </w:rPr>
      </w:pPr>
    </w:p>
    <w:p w14:paraId="2681662B" w14:textId="77777777" w:rsidR="006A6551" w:rsidRPr="007A69F2" w:rsidRDefault="006A6551" w:rsidP="00A86ADC">
      <w:pPr>
        <w:keepNext/>
        <w:spacing w:line="240" w:lineRule="auto"/>
        <w:ind w:left="567" w:hanging="567"/>
        <w:jc w:val="both"/>
        <w:rPr>
          <w:b/>
          <w:szCs w:val="22"/>
          <w:lang w:val="sr-Latn-ME"/>
        </w:rPr>
      </w:pPr>
    </w:p>
    <w:p w14:paraId="336E17D4" w14:textId="77777777" w:rsidR="00961A19" w:rsidRPr="007A69F2" w:rsidRDefault="00961A19" w:rsidP="00405FD8">
      <w:pPr>
        <w:tabs>
          <w:tab w:val="clear" w:pos="567"/>
          <w:tab w:val="left" w:pos="540"/>
          <w:tab w:val="left" w:pos="569"/>
        </w:tabs>
        <w:spacing w:line="240" w:lineRule="auto"/>
        <w:ind w:left="540" w:hanging="540"/>
        <w:jc w:val="both"/>
        <w:rPr>
          <w:b/>
          <w:bCs/>
          <w:szCs w:val="22"/>
          <w:lang w:val="sr-Latn-ME"/>
        </w:rPr>
      </w:pPr>
      <w:r w:rsidRPr="007A69F2">
        <w:rPr>
          <w:b/>
          <w:bCs/>
          <w:szCs w:val="22"/>
          <w:lang w:val="sr-Latn-ME"/>
        </w:rPr>
        <w:t xml:space="preserve">10. </w:t>
      </w:r>
      <w:r w:rsidRPr="007A69F2">
        <w:rPr>
          <w:b/>
          <w:bCs/>
          <w:szCs w:val="22"/>
          <w:lang w:val="sr-Latn-ME"/>
        </w:rPr>
        <w:tab/>
        <w:t xml:space="preserve">DATUM REVIZIJE TEKSTA </w:t>
      </w:r>
    </w:p>
    <w:p w14:paraId="2194F104" w14:textId="77777777" w:rsidR="00961A19" w:rsidRPr="007A69F2" w:rsidRDefault="00961A19" w:rsidP="00405FD8">
      <w:pPr>
        <w:tabs>
          <w:tab w:val="clear" w:pos="567"/>
          <w:tab w:val="left" w:pos="540"/>
          <w:tab w:val="left" w:pos="569"/>
        </w:tabs>
        <w:spacing w:line="240" w:lineRule="auto"/>
        <w:ind w:left="540" w:hanging="540"/>
        <w:jc w:val="both"/>
        <w:rPr>
          <w:szCs w:val="22"/>
          <w:lang w:val="sr-Latn-ME"/>
        </w:rPr>
      </w:pPr>
    </w:p>
    <w:p w14:paraId="0D7743BB" w14:textId="638C4CC2" w:rsidR="00961A19" w:rsidRPr="007A69F2" w:rsidRDefault="00614FF8" w:rsidP="00A86ADC">
      <w:pPr>
        <w:keepNext/>
        <w:spacing w:line="240" w:lineRule="auto"/>
        <w:ind w:left="567" w:hanging="567"/>
        <w:jc w:val="both"/>
        <w:rPr>
          <w:szCs w:val="22"/>
          <w:lang w:val="sr-Latn-ME"/>
        </w:rPr>
      </w:pPr>
      <w:r w:rsidRPr="007A69F2">
        <w:rPr>
          <w:szCs w:val="22"/>
          <w:lang w:val="sr-Latn-ME"/>
        </w:rPr>
        <w:t>Jul, 2025. godine</w:t>
      </w:r>
    </w:p>
    <w:p w14:paraId="11A252DD" w14:textId="77777777" w:rsidR="00DA17AE" w:rsidRPr="007A69F2" w:rsidRDefault="00DA17AE" w:rsidP="00A86ADC">
      <w:pPr>
        <w:keepNext/>
        <w:spacing w:line="240" w:lineRule="auto"/>
        <w:jc w:val="both"/>
        <w:rPr>
          <w:szCs w:val="22"/>
          <w:lang w:val="sr-Latn-ME"/>
        </w:rPr>
      </w:pPr>
    </w:p>
    <w:bookmarkEnd w:id="0"/>
    <w:p w14:paraId="1B51AC9F" w14:textId="3C82975E" w:rsidR="00DA17AE" w:rsidRPr="007A69F2" w:rsidRDefault="00DA17AE" w:rsidP="00A86ADC">
      <w:pPr>
        <w:keepNext/>
        <w:spacing w:line="240" w:lineRule="auto"/>
        <w:jc w:val="both"/>
        <w:rPr>
          <w:szCs w:val="22"/>
          <w:lang w:val="sr-Latn-ME"/>
        </w:rPr>
      </w:pPr>
    </w:p>
    <w:sectPr w:rsidR="00DA17AE" w:rsidRPr="007A69F2" w:rsidSect="002F0D8F">
      <w:footerReference w:type="default" r:id="rId22"/>
      <w:pgSz w:w="11907" w:h="16839" w:code="9"/>
      <w:pgMar w:top="1440" w:right="1440" w:bottom="1440" w:left="1440"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A1B3F4" w14:textId="77777777" w:rsidR="00131873" w:rsidRDefault="00131873">
      <w:pPr>
        <w:spacing w:line="240" w:lineRule="auto"/>
      </w:pPr>
      <w:r>
        <w:separator/>
      </w:r>
    </w:p>
  </w:endnote>
  <w:endnote w:type="continuationSeparator" w:id="0">
    <w:p w14:paraId="7AFBB32D" w14:textId="77777777" w:rsidR="00131873" w:rsidRDefault="001318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notTrueType/>
    <w:pitch w:val="default"/>
    <w:sig w:usb0="0000FFFF" w:usb1="0CF80000" w:usb2="31A70000" w:usb3="04000004" w:csb0="2AB7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957401397"/>
      <w:docPartObj>
        <w:docPartGallery w:val="Page Numbers (Bottom of Page)"/>
        <w:docPartUnique/>
      </w:docPartObj>
    </w:sdtPr>
    <w:sdtEndPr>
      <w:rPr>
        <w:noProof/>
      </w:rPr>
    </w:sdtEndPr>
    <w:sdtContent>
      <w:p w14:paraId="5F60ADEA" w14:textId="50ABCF71" w:rsidR="00313D65" w:rsidRDefault="00313D65">
        <w:pPr>
          <w:pStyle w:val="Footer"/>
          <w:jc w:val="center"/>
        </w:pPr>
        <w:r w:rsidRPr="00DD3999">
          <w:rPr>
            <w:rFonts w:ascii="Times New Roman" w:hAnsi="Times New Roman"/>
            <w:noProof w:val="0"/>
            <w:sz w:val="22"/>
            <w:szCs w:val="22"/>
          </w:rPr>
          <w:fldChar w:fldCharType="begin"/>
        </w:r>
        <w:r w:rsidRPr="00DD3999">
          <w:rPr>
            <w:rFonts w:ascii="Times New Roman" w:hAnsi="Times New Roman"/>
            <w:sz w:val="22"/>
            <w:szCs w:val="22"/>
          </w:rPr>
          <w:instrText xml:space="preserve"> PAGE   \* MERGEFORMAT </w:instrText>
        </w:r>
        <w:r w:rsidRPr="00DD3999">
          <w:rPr>
            <w:rFonts w:ascii="Times New Roman" w:hAnsi="Times New Roman"/>
            <w:noProof w:val="0"/>
            <w:sz w:val="22"/>
            <w:szCs w:val="22"/>
          </w:rPr>
          <w:fldChar w:fldCharType="separate"/>
        </w:r>
        <w:r w:rsidR="007A69F2">
          <w:rPr>
            <w:rFonts w:ascii="Times New Roman" w:hAnsi="Times New Roman"/>
            <w:sz w:val="22"/>
            <w:szCs w:val="22"/>
          </w:rPr>
          <w:t>13</w:t>
        </w:r>
        <w:r w:rsidRPr="00DD3999">
          <w:rPr>
            <w:rFonts w:ascii="Times New Roman" w:hAnsi="Times New Roman"/>
            <w:sz w:val="22"/>
            <w:szCs w:val="22"/>
          </w:rPr>
          <w:fldChar w:fldCharType="end"/>
        </w:r>
        <w:r w:rsidRPr="00DD3999">
          <w:rPr>
            <w:rFonts w:ascii="Times New Roman" w:hAnsi="Times New Roman"/>
            <w:sz w:val="22"/>
            <w:szCs w:val="22"/>
          </w:rPr>
          <w:t xml:space="preserve"> / 1</w:t>
        </w:r>
        <w:r w:rsidR="006A6551">
          <w:rPr>
            <w:rFonts w:ascii="Times New Roman" w:hAnsi="Times New Roman"/>
            <w:sz w:val="22"/>
            <w:szCs w:val="22"/>
          </w:rPr>
          <w:t>3</w:t>
        </w:r>
      </w:p>
    </w:sdtContent>
  </w:sdt>
  <w:p w14:paraId="1DA367E9" w14:textId="24D6CC19" w:rsidR="00405FD8" w:rsidRPr="00DA17AE" w:rsidRDefault="00405FD8" w:rsidP="003625F9">
    <w:pPr>
      <w:pStyle w:val="Footer"/>
      <w:tabs>
        <w:tab w:val="center" w:pos="4410"/>
        <w:tab w:val="right" w:pos="8910"/>
      </w:tabs>
      <w:ind w:right="96"/>
      <w:jc w:val="right"/>
      <w:rPr>
        <w:rFonts w:cs="Arial"/>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DF114C" w14:textId="77777777" w:rsidR="00131873" w:rsidRDefault="00131873">
      <w:pPr>
        <w:spacing w:line="240" w:lineRule="auto"/>
      </w:pPr>
      <w:r>
        <w:separator/>
      </w:r>
    </w:p>
  </w:footnote>
  <w:footnote w:type="continuationSeparator" w:id="0">
    <w:p w14:paraId="21AEC658" w14:textId="77777777" w:rsidR="00131873" w:rsidRDefault="0013187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070874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CDE06E4"/>
    <w:multiLevelType w:val="multilevel"/>
    <w:tmpl w:val="C3E81D1E"/>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97166A0"/>
    <w:multiLevelType w:val="hybridMultilevel"/>
    <w:tmpl w:val="A3A80AA2"/>
    <w:lvl w:ilvl="0" w:tplc="141A000B">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15:restartNumberingAfterBreak="0">
    <w:nsid w:val="791D270F"/>
    <w:multiLevelType w:val="multilevel"/>
    <w:tmpl w:val="956487B4"/>
    <w:styleLink w:val="Style1"/>
    <w:lvl w:ilvl="0">
      <w:start w:val="1"/>
      <w:numFmt w:val="decimal"/>
      <w:lvlText w:val="%1"/>
      <w:lvlJc w:val="left"/>
      <w:pPr>
        <w:ind w:left="432" w:hanging="432"/>
      </w:pPr>
      <w:rPr>
        <w:rFonts w:ascii="Times New Roman Bold" w:hAnsi="Times New Roman Bold"/>
        <w:b/>
        <w:bCs w:val="0"/>
        <w:i w:val="0"/>
        <w:iCs w:val="0"/>
        <w:caps/>
        <w:smallCaps w:val="0"/>
        <w:strike w:val="0"/>
        <w:dstrike w:val="0"/>
        <w:noProof w:val="0"/>
        <w:vanish w:val="0"/>
        <w:color w:val="000000"/>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6" w:hanging="576"/>
      </w:pPr>
      <w:rPr>
        <w:rFonts w:ascii="Times New Roman Bold" w:hAnsi="Times New Roman Bold"/>
        <w:b/>
        <w:i w:val="0"/>
        <w:caps w:val="0"/>
        <w:smallCaps w:val="0"/>
        <w:strike w:val="0"/>
        <w:dstrike w:val="0"/>
        <w:vanish w:val="0"/>
        <w:sz w:val="22"/>
        <w:vertAlign w:val="baseline"/>
      </w:rPr>
    </w:lvl>
    <w:lvl w:ilvl="2">
      <w:start w:val="1"/>
      <w:numFmt w:val="decimal"/>
      <w:lvlText w:val="%1.%2.%3"/>
      <w:lvlJc w:val="left"/>
      <w:pPr>
        <w:ind w:left="720" w:hanging="720"/>
      </w:pPr>
      <w:rPr>
        <w:rFonts w:ascii="Times New Roman" w:hAnsi="Times New Roman"/>
        <w:b w:val="0"/>
        <w:bCs w:val="0"/>
        <w:i w:val="0"/>
        <w:iCs w:val="0"/>
        <w:caps w:val="0"/>
        <w:smallCaps w:val="0"/>
        <w:strike w:val="0"/>
        <w:dstrike w:val="0"/>
        <w:noProof w:val="0"/>
        <w:vanish w:val="0"/>
        <w:color w:val="000000"/>
        <w:spacing w:val="0"/>
        <w:kern w:val="0"/>
        <w:position w:val="0"/>
        <w:sz w:val="22"/>
        <w:u w:val="singl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ascii="Times New Roman" w:hAnsi="Times New Roman"/>
        <w:b w:val="0"/>
        <w:i/>
        <w:caps w:val="0"/>
        <w:smallCaps w:val="0"/>
        <w:strike w:val="0"/>
        <w:dstrike w:val="0"/>
        <w:vanish w:val="0"/>
        <w:sz w:val="22"/>
        <w:vertAlign w:val="baseline"/>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7FDE46ED"/>
    <w:multiLevelType w:val="multilevel"/>
    <w:tmpl w:val="F662AF7C"/>
    <w:lvl w:ilvl="0">
      <w:start w:val="1"/>
      <w:numFmt w:val="decimal"/>
      <w:lvlText w:val="%1"/>
      <w:lvlJc w:val="left"/>
      <w:pPr>
        <w:ind w:left="432" w:hanging="432"/>
      </w:pPr>
      <w:rPr>
        <w:b w:val="0"/>
        <w:bCs w:val="0"/>
        <w:i w:val="0"/>
        <w:iCs w:val="0"/>
        <w:caps w:val="0"/>
        <w:smallCaps w:val="0"/>
        <w:strike w:val="0"/>
        <w:dstrike w:val="0"/>
        <w:noProof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ind w:left="576" w:hanging="576"/>
      </w:pPr>
    </w:lvl>
    <w:lvl w:ilvl="2">
      <w:start w:val="1"/>
      <w:numFmt w:val="decimal"/>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b/>
        <w:i/>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4"/>
  </w:num>
  <w:num w:numId="3">
    <w:abstractNumId w:val="3"/>
  </w:num>
  <w:num w:numId="4">
    <w:abstractNumId w:val="0"/>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3A9"/>
    <w:rsid w:val="00000097"/>
    <w:rsid w:val="00000246"/>
    <w:rsid w:val="00000798"/>
    <w:rsid w:val="00002897"/>
    <w:rsid w:val="00002E1B"/>
    <w:rsid w:val="0000346E"/>
    <w:rsid w:val="000041A1"/>
    <w:rsid w:val="00006A10"/>
    <w:rsid w:val="000076CD"/>
    <w:rsid w:val="00012A72"/>
    <w:rsid w:val="00012EA8"/>
    <w:rsid w:val="00012FA0"/>
    <w:rsid w:val="000131B8"/>
    <w:rsid w:val="00013431"/>
    <w:rsid w:val="00013CAE"/>
    <w:rsid w:val="000150C8"/>
    <w:rsid w:val="00015E3E"/>
    <w:rsid w:val="0001632E"/>
    <w:rsid w:val="000165D4"/>
    <w:rsid w:val="00016BE0"/>
    <w:rsid w:val="000202F1"/>
    <w:rsid w:val="000208C8"/>
    <w:rsid w:val="00020A05"/>
    <w:rsid w:val="000210A0"/>
    <w:rsid w:val="0002216F"/>
    <w:rsid w:val="00022B10"/>
    <w:rsid w:val="00022BF0"/>
    <w:rsid w:val="00022CA9"/>
    <w:rsid w:val="00022CE1"/>
    <w:rsid w:val="00023621"/>
    <w:rsid w:val="0002408A"/>
    <w:rsid w:val="00024307"/>
    <w:rsid w:val="000257A5"/>
    <w:rsid w:val="00025BA1"/>
    <w:rsid w:val="00025DD9"/>
    <w:rsid w:val="000261B8"/>
    <w:rsid w:val="00026668"/>
    <w:rsid w:val="00026B0B"/>
    <w:rsid w:val="00026CE8"/>
    <w:rsid w:val="000270EC"/>
    <w:rsid w:val="00030409"/>
    <w:rsid w:val="000311EB"/>
    <w:rsid w:val="00031386"/>
    <w:rsid w:val="000316C6"/>
    <w:rsid w:val="00031D2D"/>
    <w:rsid w:val="00032436"/>
    <w:rsid w:val="000331BC"/>
    <w:rsid w:val="00033654"/>
    <w:rsid w:val="00034846"/>
    <w:rsid w:val="00034FC6"/>
    <w:rsid w:val="0003503F"/>
    <w:rsid w:val="00036147"/>
    <w:rsid w:val="000367F4"/>
    <w:rsid w:val="0003691D"/>
    <w:rsid w:val="00040A44"/>
    <w:rsid w:val="00040CEC"/>
    <w:rsid w:val="0004101C"/>
    <w:rsid w:val="00041568"/>
    <w:rsid w:val="00041951"/>
    <w:rsid w:val="00041CC7"/>
    <w:rsid w:val="000431BD"/>
    <w:rsid w:val="00043739"/>
    <w:rsid w:val="00043787"/>
    <w:rsid w:val="0004499B"/>
    <w:rsid w:val="00044D10"/>
    <w:rsid w:val="00044EFF"/>
    <w:rsid w:val="00045305"/>
    <w:rsid w:val="00045FB2"/>
    <w:rsid w:val="0004668A"/>
    <w:rsid w:val="000476F5"/>
    <w:rsid w:val="00047875"/>
    <w:rsid w:val="00050623"/>
    <w:rsid w:val="000506D0"/>
    <w:rsid w:val="000507E8"/>
    <w:rsid w:val="000508A7"/>
    <w:rsid w:val="0005132F"/>
    <w:rsid w:val="0005133D"/>
    <w:rsid w:val="00052561"/>
    <w:rsid w:val="000528E8"/>
    <w:rsid w:val="00053521"/>
    <w:rsid w:val="00054B6B"/>
    <w:rsid w:val="00054C96"/>
    <w:rsid w:val="00054FEE"/>
    <w:rsid w:val="00055034"/>
    <w:rsid w:val="0005553A"/>
    <w:rsid w:val="00055836"/>
    <w:rsid w:val="00056668"/>
    <w:rsid w:val="00057630"/>
    <w:rsid w:val="00057A20"/>
    <w:rsid w:val="00057AF6"/>
    <w:rsid w:val="00057C4C"/>
    <w:rsid w:val="00057D3C"/>
    <w:rsid w:val="00057F12"/>
    <w:rsid w:val="00060A4C"/>
    <w:rsid w:val="000611B0"/>
    <w:rsid w:val="00061EA4"/>
    <w:rsid w:val="000623A6"/>
    <w:rsid w:val="00063E30"/>
    <w:rsid w:val="00064654"/>
    <w:rsid w:val="00065E5E"/>
    <w:rsid w:val="00066146"/>
    <w:rsid w:val="00066283"/>
    <w:rsid w:val="0006646D"/>
    <w:rsid w:val="000665D4"/>
    <w:rsid w:val="000671D9"/>
    <w:rsid w:val="00067387"/>
    <w:rsid w:val="000673D2"/>
    <w:rsid w:val="000673FA"/>
    <w:rsid w:val="000674E1"/>
    <w:rsid w:val="00067DBE"/>
    <w:rsid w:val="000703C4"/>
    <w:rsid w:val="00070BF3"/>
    <w:rsid w:val="0007152F"/>
    <w:rsid w:val="000715AF"/>
    <w:rsid w:val="00071708"/>
    <w:rsid w:val="00071772"/>
    <w:rsid w:val="00071E5A"/>
    <w:rsid w:val="00072D43"/>
    <w:rsid w:val="000733F4"/>
    <w:rsid w:val="00073ED3"/>
    <w:rsid w:val="00074500"/>
    <w:rsid w:val="00074DF5"/>
    <w:rsid w:val="00075B10"/>
    <w:rsid w:val="0007617B"/>
    <w:rsid w:val="00076605"/>
    <w:rsid w:val="000769C4"/>
    <w:rsid w:val="00076FA6"/>
    <w:rsid w:val="00077037"/>
    <w:rsid w:val="00077174"/>
    <w:rsid w:val="000805EF"/>
    <w:rsid w:val="000808BB"/>
    <w:rsid w:val="00080D51"/>
    <w:rsid w:val="00081281"/>
    <w:rsid w:val="000813BF"/>
    <w:rsid w:val="000815B9"/>
    <w:rsid w:val="00082235"/>
    <w:rsid w:val="00082C9E"/>
    <w:rsid w:val="000847CB"/>
    <w:rsid w:val="0008514C"/>
    <w:rsid w:val="000854AB"/>
    <w:rsid w:val="0008662D"/>
    <w:rsid w:val="00086FCD"/>
    <w:rsid w:val="00087F1F"/>
    <w:rsid w:val="000905A7"/>
    <w:rsid w:val="00090E80"/>
    <w:rsid w:val="0009193B"/>
    <w:rsid w:val="0009223A"/>
    <w:rsid w:val="00092498"/>
    <w:rsid w:val="000934BE"/>
    <w:rsid w:val="00093950"/>
    <w:rsid w:val="00093C13"/>
    <w:rsid w:val="00094A24"/>
    <w:rsid w:val="00094D8F"/>
    <w:rsid w:val="00094EDB"/>
    <w:rsid w:val="00095327"/>
    <w:rsid w:val="00095B21"/>
    <w:rsid w:val="00097567"/>
    <w:rsid w:val="000A02FD"/>
    <w:rsid w:val="000A09AC"/>
    <w:rsid w:val="000A0C48"/>
    <w:rsid w:val="000A22F8"/>
    <w:rsid w:val="000A2361"/>
    <w:rsid w:val="000A2757"/>
    <w:rsid w:val="000A347E"/>
    <w:rsid w:val="000A4544"/>
    <w:rsid w:val="000A53D2"/>
    <w:rsid w:val="000A5CD0"/>
    <w:rsid w:val="000A5CEB"/>
    <w:rsid w:val="000A6F11"/>
    <w:rsid w:val="000B000B"/>
    <w:rsid w:val="000B05CF"/>
    <w:rsid w:val="000B10C0"/>
    <w:rsid w:val="000B10D9"/>
    <w:rsid w:val="000B1CF7"/>
    <w:rsid w:val="000B20BA"/>
    <w:rsid w:val="000B2B4B"/>
    <w:rsid w:val="000B2F5C"/>
    <w:rsid w:val="000B3AAB"/>
    <w:rsid w:val="000B3DD6"/>
    <w:rsid w:val="000B3EE9"/>
    <w:rsid w:val="000B5341"/>
    <w:rsid w:val="000B54EC"/>
    <w:rsid w:val="000B6245"/>
    <w:rsid w:val="000B62AB"/>
    <w:rsid w:val="000B63B5"/>
    <w:rsid w:val="000B64A4"/>
    <w:rsid w:val="000B7DD4"/>
    <w:rsid w:val="000C017C"/>
    <w:rsid w:val="000C02C0"/>
    <w:rsid w:val="000C0372"/>
    <w:rsid w:val="000C14F9"/>
    <w:rsid w:val="000C14FB"/>
    <w:rsid w:val="000C22EC"/>
    <w:rsid w:val="000C2340"/>
    <w:rsid w:val="000C27F1"/>
    <w:rsid w:val="000C2C94"/>
    <w:rsid w:val="000C3D62"/>
    <w:rsid w:val="000C4367"/>
    <w:rsid w:val="000C438B"/>
    <w:rsid w:val="000C4597"/>
    <w:rsid w:val="000C4B31"/>
    <w:rsid w:val="000C4DA1"/>
    <w:rsid w:val="000C4F49"/>
    <w:rsid w:val="000C5862"/>
    <w:rsid w:val="000C61B3"/>
    <w:rsid w:val="000C6DDB"/>
    <w:rsid w:val="000C74BF"/>
    <w:rsid w:val="000C7F65"/>
    <w:rsid w:val="000D0496"/>
    <w:rsid w:val="000D0625"/>
    <w:rsid w:val="000D1D37"/>
    <w:rsid w:val="000D2883"/>
    <w:rsid w:val="000D321D"/>
    <w:rsid w:val="000D3B38"/>
    <w:rsid w:val="000D3B81"/>
    <w:rsid w:val="000D44DD"/>
    <w:rsid w:val="000D484F"/>
    <w:rsid w:val="000D56E3"/>
    <w:rsid w:val="000D5AA8"/>
    <w:rsid w:val="000D5BD1"/>
    <w:rsid w:val="000D6A5F"/>
    <w:rsid w:val="000D6B1E"/>
    <w:rsid w:val="000D6B43"/>
    <w:rsid w:val="000D6E6F"/>
    <w:rsid w:val="000D7094"/>
    <w:rsid w:val="000D7286"/>
    <w:rsid w:val="000D79A9"/>
    <w:rsid w:val="000D7A3A"/>
    <w:rsid w:val="000E06D7"/>
    <w:rsid w:val="000E0823"/>
    <w:rsid w:val="000E1C13"/>
    <w:rsid w:val="000E27B2"/>
    <w:rsid w:val="000E2B0F"/>
    <w:rsid w:val="000E2D9E"/>
    <w:rsid w:val="000E323B"/>
    <w:rsid w:val="000E34FD"/>
    <w:rsid w:val="000E3D90"/>
    <w:rsid w:val="000E43AA"/>
    <w:rsid w:val="000E6633"/>
    <w:rsid w:val="000E687B"/>
    <w:rsid w:val="000E7796"/>
    <w:rsid w:val="000E7927"/>
    <w:rsid w:val="000E7FCD"/>
    <w:rsid w:val="000F0A54"/>
    <w:rsid w:val="000F10AA"/>
    <w:rsid w:val="000F139D"/>
    <w:rsid w:val="000F1785"/>
    <w:rsid w:val="000F1F5B"/>
    <w:rsid w:val="000F2DC9"/>
    <w:rsid w:val="000F3263"/>
    <w:rsid w:val="000F34E6"/>
    <w:rsid w:val="000F4B2B"/>
    <w:rsid w:val="000F4CE0"/>
    <w:rsid w:val="000F5522"/>
    <w:rsid w:val="000F6957"/>
    <w:rsid w:val="000F6B76"/>
    <w:rsid w:val="000F6DC5"/>
    <w:rsid w:val="000F729F"/>
    <w:rsid w:val="000F73E5"/>
    <w:rsid w:val="000F74E7"/>
    <w:rsid w:val="0010047D"/>
    <w:rsid w:val="00100755"/>
    <w:rsid w:val="00100877"/>
    <w:rsid w:val="00100AB2"/>
    <w:rsid w:val="001017B2"/>
    <w:rsid w:val="0010239E"/>
    <w:rsid w:val="00102CDA"/>
    <w:rsid w:val="00103116"/>
    <w:rsid w:val="00103703"/>
    <w:rsid w:val="001047FB"/>
    <w:rsid w:val="00104E4F"/>
    <w:rsid w:val="00104E68"/>
    <w:rsid w:val="0010667B"/>
    <w:rsid w:val="0011011B"/>
    <w:rsid w:val="001105EB"/>
    <w:rsid w:val="001110E8"/>
    <w:rsid w:val="00112016"/>
    <w:rsid w:val="0011206B"/>
    <w:rsid w:val="00113737"/>
    <w:rsid w:val="00113AA9"/>
    <w:rsid w:val="00113DF7"/>
    <w:rsid w:val="00113F3C"/>
    <w:rsid w:val="00114375"/>
    <w:rsid w:val="001144B1"/>
    <w:rsid w:val="00114B60"/>
    <w:rsid w:val="00114E22"/>
    <w:rsid w:val="00115099"/>
    <w:rsid w:val="0011514A"/>
    <w:rsid w:val="001157DF"/>
    <w:rsid w:val="0011586C"/>
    <w:rsid w:val="00115C95"/>
    <w:rsid w:val="00115E6A"/>
    <w:rsid w:val="00115ED0"/>
    <w:rsid w:val="001162BF"/>
    <w:rsid w:val="001163B2"/>
    <w:rsid w:val="00116575"/>
    <w:rsid w:val="00116AFF"/>
    <w:rsid w:val="001171E1"/>
    <w:rsid w:val="00117462"/>
    <w:rsid w:val="0012011F"/>
    <w:rsid w:val="0012059A"/>
    <w:rsid w:val="0012110A"/>
    <w:rsid w:val="001212EE"/>
    <w:rsid w:val="001220F6"/>
    <w:rsid w:val="0012398F"/>
    <w:rsid w:val="00124BEA"/>
    <w:rsid w:val="00125344"/>
    <w:rsid w:val="00125DF7"/>
    <w:rsid w:val="00126786"/>
    <w:rsid w:val="00127115"/>
    <w:rsid w:val="001274E1"/>
    <w:rsid w:val="00127782"/>
    <w:rsid w:val="0013067C"/>
    <w:rsid w:val="00130D78"/>
    <w:rsid w:val="00130FAA"/>
    <w:rsid w:val="00131838"/>
    <w:rsid w:val="00131873"/>
    <w:rsid w:val="00131CFD"/>
    <w:rsid w:val="00131E22"/>
    <w:rsid w:val="001320DD"/>
    <w:rsid w:val="00132A15"/>
    <w:rsid w:val="001334E7"/>
    <w:rsid w:val="001344E0"/>
    <w:rsid w:val="00134F23"/>
    <w:rsid w:val="001357B8"/>
    <w:rsid w:val="001359D0"/>
    <w:rsid w:val="00136210"/>
    <w:rsid w:val="001375D4"/>
    <w:rsid w:val="00137E58"/>
    <w:rsid w:val="0014011E"/>
    <w:rsid w:val="00141614"/>
    <w:rsid w:val="00141680"/>
    <w:rsid w:val="001419EA"/>
    <w:rsid w:val="0014210B"/>
    <w:rsid w:val="001426A6"/>
    <w:rsid w:val="00142CD2"/>
    <w:rsid w:val="00143589"/>
    <w:rsid w:val="00144E47"/>
    <w:rsid w:val="00145FFA"/>
    <w:rsid w:val="0015097C"/>
    <w:rsid w:val="00150B81"/>
    <w:rsid w:val="0015215F"/>
    <w:rsid w:val="00152349"/>
    <w:rsid w:val="001534AD"/>
    <w:rsid w:val="001538B5"/>
    <w:rsid w:val="00153CE0"/>
    <w:rsid w:val="00153E16"/>
    <w:rsid w:val="001541EC"/>
    <w:rsid w:val="00154384"/>
    <w:rsid w:val="00154C18"/>
    <w:rsid w:val="0015516C"/>
    <w:rsid w:val="001552D4"/>
    <w:rsid w:val="001570A2"/>
    <w:rsid w:val="00157520"/>
    <w:rsid w:val="001601C1"/>
    <w:rsid w:val="00160A24"/>
    <w:rsid w:val="00161A75"/>
    <w:rsid w:val="00161ED6"/>
    <w:rsid w:val="0016281F"/>
    <w:rsid w:val="00164BB7"/>
    <w:rsid w:val="00165471"/>
    <w:rsid w:val="00165A1C"/>
    <w:rsid w:val="00166454"/>
    <w:rsid w:val="00167AB0"/>
    <w:rsid w:val="0017063D"/>
    <w:rsid w:val="00171904"/>
    <w:rsid w:val="00173304"/>
    <w:rsid w:val="00173E3E"/>
    <w:rsid w:val="00174106"/>
    <w:rsid w:val="00174B7D"/>
    <w:rsid w:val="00174EDB"/>
    <w:rsid w:val="00175BF5"/>
    <w:rsid w:val="00175CC9"/>
    <w:rsid w:val="001761EB"/>
    <w:rsid w:val="00176388"/>
    <w:rsid w:val="00176C61"/>
    <w:rsid w:val="00177698"/>
    <w:rsid w:val="00177B7D"/>
    <w:rsid w:val="00180775"/>
    <w:rsid w:val="0018222C"/>
    <w:rsid w:val="0018268B"/>
    <w:rsid w:val="001826DE"/>
    <w:rsid w:val="00182AE0"/>
    <w:rsid w:val="0018309A"/>
    <w:rsid w:val="001831F0"/>
    <w:rsid w:val="0018372E"/>
    <w:rsid w:val="001838B2"/>
    <w:rsid w:val="00183D90"/>
    <w:rsid w:val="00186D32"/>
    <w:rsid w:val="00187561"/>
    <w:rsid w:val="001908F6"/>
    <w:rsid w:val="001912A3"/>
    <w:rsid w:val="00192060"/>
    <w:rsid w:val="0019218F"/>
    <w:rsid w:val="0019298A"/>
    <w:rsid w:val="00192CEA"/>
    <w:rsid w:val="001936B4"/>
    <w:rsid w:val="00193E24"/>
    <w:rsid w:val="00194C54"/>
    <w:rsid w:val="00195163"/>
    <w:rsid w:val="00195281"/>
    <w:rsid w:val="00195415"/>
    <w:rsid w:val="0019542A"/>
    <w:rsid w:val="00195DC3"/>
    <w:rsid w:val="0019663B"/>
    <w:rsid w:val="00197ABE"/>
    <w:rsid w:val="001A015D"/>
    <w:rsid w:val="001A04DC"/>
    <w:rsid w:val="001A06C1"/>
    <w:rsid w:val="001A0D4F"/>
    <w:rsid w:val="001A1082"/>
    <w:rsid w:val="001A1C70"/>
    <w:rsid w:val="001A253D"/>
    <w:rsid w:val="001A3470"/>
    <w:rsid w:val="001A415D"/>
    <w:rsid w:val="001A43A4"/>
    <w:rsid w:val="001A535D"/>
    <w:rsid w:val="001A60A1"/>
    <w:rsid w:val="001A7C03"/>
    <w:rsid w:val="001A7C21"/>
    <w:rsid w:val="001B016A"/>
    <w:rsid w:val="001B0713"/>
    <w:rsid w:val="001B0B9D"/>
    <w:rsid w:val="001B0E48"/>
    <w:rsid w:val="001B1E06"/>
    <w:rsid w:val="001B2C36"/>
    <w:rsid w:val="001B3935"/>
    <w:rsid w:val="001B4179"/>
    <w:rsid w:val="001B45E9"/>
    <w:rsid w:val="001B47BF"/>
    <w:rsid w:val="001B55DE"/>
    <w:rsid w:val="001B5D98"/>
    <w:rsid w:val="001B5FC7"/>
    <w:rsid w:val="001B6AB4"/>
    <w:rsid w:val="001B6F55"/>
    <w:rsid w:val="001C0075"/>
    <w:rsid w:val="001C07D8"/>
    <w:rsid w:val="001C38B8"/>
    <w:rsid w:val="001C4392"/>
    <w:rsid w:val="001C456B"/>
    <w:rsid w:val="001C4664"/>
    <w:rsid w:val="001C4872"/>
    <w:rsid w:val="001C5F1A"/>
    <w:rsid w:val="001C602C"/>
    <w:rsid w:val="001C6712"/>
    <w:rsid w:val="001C6A14"/>
    <w:rsid w:val="001C6D9C"/>
    <w:rsid w:val="001C79C4"/>
    <w:rsid w:val="001C7C4D"/>
    <w:rsid w:val="001C7E17"/>
    <w:rsid w:val="001D0FB3"/>
    <w:rsid w:val="001D1238"/>
    <w:rsid w:val="001D1310"/>
    <w:rsid w:val="001D1BA7"/>
    <w:rsid w:val="001D1ED7"/>
    <w:rsid w:val="001D223E"/>
    <w:rsid w:val="001D269B"/>
    <w:rsid w:val="001D26A0"/>
    <w:rsid w:val="001D2A9F"/>
    <w:rsid w:val="001D30D1"/>
    <w:rsid w:val="001D3271"/>
    <w:rsid w:val="001D3695"/>
    <w:rsid w:val="001D3EB5"/>
    <w:rsid w:val="001D435F"/>
    <w:rsid w:val="001D4721"/>
    <w:rsid w:val="001D4AF4"/>
    <w:rsid w:val="001D5975"/>
    <w:rsid w:val="001D59D7"/>
    <w:rsid w:val="001D5CB2"/>
    <w:rsid w:val="001D6444"/>
    <w:rsid w:val="001D6EEE"/>
    <w:rsid w:val="001D72C1"/>
    <w:rsid w:val="001D784E"/>
    <w:rsid w:val="001E066F"/>
    <w:rsid w:val="001E08FD"/>
    <w:rsid w:val="001E0EBD"/>
    <w:rsid w:val="001E1001"/>
    <w:rsid w:val="001E230A"/>
    <w:rsid w:val="001E397F"/>
    <w:rsid w:val="001E3EA6"/>
    <w:rsid w:val="001E3FAD"/>
    <w:rsid w:val="001E4392"/>
    <w:rsid w:val="001E4A42"/>
    <w:rsid w:val="001E62A7"/>
    <w:rsid w:val="001E6453"/>
    <w:rsid w:val="001F0402"/>
    <w:rsid w:val="001F05C1"/>
    <w:rsid w:val="001F0F54"/>
    <w:rsid w:val="001F118D"/>
    <w:rsid w:val="001F158E"/>
    <w:rsid w:val="001F1685"/>
    <w:rsid w:val="001F1851"/>
    <w:rsid w:val="001F2BB8"/>
    <w:rsid w:val="001F351E"/>
    <w:rsid w:val="001F397C"/>
    <w:rsid w:val="001F4CE6"/>
    <w:rsid w:val="001F500F"/>
    <w:rsid w:val="001F5380"/>
    <w:rsid w:val="001F5384"/>
    <w:rsid w:val="001F60C3"/>
    <w:rsid w:val="001F7568"/>
    <w:rsid w:val="00200284"/>
    <w:rsid w:val="00200A0C"/>
    <w:rsid w:val="00200E69"/>
    <w:rsid w:val="00200EAA"/>
    <w:rsid w:val="00200FC1"/>
    <w:rsid w:val="002010CE"/>
    <w:rsid w:val="002017B4"/>
    <w:rsid w:val="00202077"/>
    <w:rsid w:val="0020230F"/>
    <w:rsid w:val="002025A4"/>
    <w:rsid w:val="002026AB"/>
    <w:rsid w:val="00202F97"/>
    <w:rsid w:val="002031CD"/>
    <w:rsid w:val="002035E0"/>
    <w:rsid w:val="0020365E"/>
    <w:rsid w:val="00204B82"/>
    <w:rsid w:val="002053BF"/>
    <w:rsid w:val="00206B0B"/>
    <w:rsid w:val="0020785E"/>
    <w:rsid w:val="002105AC"/>
    <w:rsid w:val="0021067B"/>
    <w:rsid w:val="002109FF"/>
    <w:rsid w:val="00211749"/>
    <w:rsid w:val="00211A03"/>
    <w:rsid w:val="002120A1"/>
    <w:rsid w:val="00212840"/>
    <w:rsid w:val="00212A58"/>
    <w:rsid w:val="00212E49"/>
    <w:rsid w:val="002130A1"/>
    <w:rsid w:val="00213933"/>
    <w:rsid w:val="00213E75"/>
    <w:rsid w:val="00213F76"/>
    <w:rsid w:val="00214C02"/>
    <w:rsid w:val="002156E9"/>
    <w:rsid w:val="0021576C"/>
    <w:rsid w:val="0021580A"/>
    <w:rsid w:val="00216AF7"/>
    <w:rsid w:val="00216CC0"/>
    <w:rsid w:val="00217A15"/>
    <w:rsid w:val="0022057B"/>
    <w:rsid w:val="0022148D"/>
    <w:rsid w:val="0022193A"/>
    <w:rsid w:val="002219C4"/>
    <w:rsid w:val="0022295B"/>
    <w:rsid w:val="002233BB"/>
    <w:rsid w:val="00223CFB"/>
    <w:rsid w:val="00224097"/>
    <w:rsid w:val="00224262"/>
    <w:rsid w:val="002243EB"/>
    <w:rsid w:val="002254A6"/>
    <w:rsid w:val="002266C7"/>
    <w:rsid w:val="00226C33"/>
    <w:rsid w:val="00227134"/>
    <w:rsid w:val="0022730C"/>
    <w:rsid w:val="00227F59"/>
    <w:rsid w:val="0023100C"/>
    <w:rsid w:val="00231151"/>
    <w:rsid w:val="00231D08"/>
    <w:rsid w:val="00231D6B"/>
    <w:rsid w:val="00232271"/>
    <w:rsid w:val="00232835"/>
    <w:rsid w:val="00232BA9"/>
    <w:rsid w:val="002335FF"/>
    <w:rsid w:val="002350DE"/>
    <w:rsid w:val="0023584B"/>
    <w:rsid w:val="002361D9"/>
    <w:rsid w:val="00236DD6"/>
    <w:rsid w:val="00236FF7"/>
    <w:rsid w:val="00237615"/>
    <w:rsid w:val="002400BD"/>
    <w:rsid w:val="00240FE3"/>
    <w:rsid w:val="00241A2E"/>
    <w:rsid w:val="00241BB1"/>
    <w:rsid w:val="00241C39"/>
    <w:rsid w:val="00241FC9"/>
    <w:rsid w:val="002422C6"/>
    <w:rsid w:val="00242D79"/>
    <w:rsid w:val="002438CF"/>
    <w:rsid w:val="002443DD"/>
    <w:rsid w:val="00244A05"/>
    <w:rsid w:val="00244F2B"/>
    <w:rsid w:val="002455FB"/>
    <w:rsid w:val="0024596F"/>
    <w:rsid w:val="00246068"/>
    <w:rsid w:val="00246831"/>
    <w:rsid w:val="00246ADB"/>
    <w:rsid w:val="0024765A"/>
    <w:rsid w:val="00247F4D"/>
    <w:rsid w:val="002508B4"/>
    <w:rsid w:val="00250967"/>
    <w:rsid w:val="0025097F"/>
    <w:rsid w:val="0025222D"/>
    <w:rsid w:val="002526C0"/>
    <w:rsid w:val="0025291B"/>
    <w:rsid w:val="00254395"/>
    <w:rsid w:val="0025460F"/>
    <w:rsid w:val="002551BC"/>
    <w:rsid w:val="00256708"/>
    <w:rsid w:val="00256719"/>
    <w:rsid w:val="00260573"/>
    <w:rsid w:val="00260D3B"/>
    <w:rsid w:val="00260E49"/>
    <w:rsid w:val="00261200"/>
    <w:rsid w:val="00262C59"/>
    <w:rsid w:val="002633CA"/>
    <w:rsid w:val="0026374F"/>
    <w:rsid w:val="00263AA3"/>
    <w:rsid w:val="00264843"/>
    <w:rsid w:val="00264EC3"/>
    <w:rsid w:val="002651F3"/>
    <w:rsid w:val="00265EBD"/>
    <w:rsid w:val="00266583"/>
    <w:rsid w:val="002673B7"/>
    <w:rsid w:val="002673CC"/>
    <w:rsid w:val="00270F40"/>
    <w:rsid w:val="00270FEA"/>
    <w:rsid w:val="00271273"/>
    <w:rsid w:val="00271378"/>
    <w:rsid w:val="00271D65"/>
    <w:rsid w:val="00271EB8"/>
    <w:rsid w:val="00272229"/>
    <w:rsid w:val="00272517"/>
    <w:rsid w:val="002727BF"/>
    <w:rsid w:val="00274202"/>
    <w:rsid w:val="00274247"/>
    <w:rsid w:val="00275515"/>
    <w:rsid w:val="002755B3"/>
    <w:rsid w:val="00276491"/>
    <w:rsid w:val="002766E3"/>
    <w:rsid w:val="002766FC"/>
    <w:rsid w:val="002769F6"/>
    <w:rsid w:val="00276C7E"/>
    <w:rsid w:val="002772BE"/>
    <w:rsid w:val="002774CF"/>
    <w:rsid w:val="002801C9"/>
    <w:rsid w:val="002808A9"/>
    <w:rsid w:val="00280C90"/>
    <w:rsid w:val="00281BB1"/>
    <w:rsid w:val="00282DD0"/>
    <w:rsid w:val="00282FEA"/>
    <w:rsid w:val="00283A2D"/>
    <w:rsid w:val="002853D9"/>
    <w:rsid w:val="00285530"/>
    <w:rsid w:val="00285C78"/>
    <w:rsid w:val="00285E76"/>
    <w:rsid w:val="00287139"/>
    <w:rsid w:val="00290284"/>
    <w:rsid w:val="002904E9"/>
    <w:rsid w:val="0029095B"/>
    <w:rsid w:val="0029242A"/>
    <w:rsid w:val="0029294A"/>
    <w:rsid w:val="00292CD5"/>
    <w:rsid w:val="002934AA"/>
    <w:rsid w:val="00293868"/>
    <w:rsid w:val="00293CBB"/>
    <w:rsid w:val="00294174"/>
    <w:rsid w:val="002944F8"/>
    <w:rsid w:val="00295336"/>
    <w:rsid w:val="002954C9"/>
    <w:rsid w:val="00296A28"/>
    <w:rsid w:val="0029742F"/>
    <w:rsid w:val="00297A40"/>
    <w:rsid w:val="002A0ECD"/>
    <w:rsid w:val="002A1246"/>
    <w:rsid w:val="002A12C0"/>
    <w:rsid w:val="002A19CB"/>
    <w:rsid w:val="002A1CC5"/>
    <w:rsid w:val="002A1D00"/>
    <w:rsid w:val="002A1EC9"/>
    <w:rsid w:val="002A1F77"/>
    <w:rsid w:val="002A2F10"/>
    <w:rsid w:val="002A318E"/>
    <w:rsid w:val="002A372F"/>
    <w:rsid w:val="002A3F38"/>
    <w:rsid w:val="002A5BB7"/>
    <w:rsid w:val="002A6960"/>
    <w:rsid w:val="002A6E5D"/>
    <w:rsid w:val="002A7983"/>
    <w:rsid w:val="002B01C2"/>
    <w:rsid w:val="002B10E5"/>
    <w:rsid w:val="002B24C7"/>
    <w:rsid w:val="002B2C5E"/>
    <w:rsid w:val="002B3519"/>
    <w:rsid w:val="002B3E3A"/>
    <w:rsid w:val="002B49A8"/>
    <w:rsid w:val="002B5E6F"/>
    <w:rsid w:val="002B6225"/>
    <w:rsid w:val="002B6A60"/>
    <w:rsid w:val="002B6D88"/>
    <w:rsid w:val="002B6DAA"/>
    <w:rsid w:val="002B6FF5"/>
    <w:rsid w:val="002B7218"/>
    <w:rsid w:val="002B78E0"/>
    <w:rsid w:val="002B7D63"/>
    <w:rsid w:val="002C01F2"/>
    <w:rsid w:val="002C0226"/>
    <w:rsid w:val="002C0B33"/>
    <w:rsid w:val="002C144E"/>
    <w:rsid w:val="002C184C"/>
    <w:rsid w:val="002C1F46"/>
    <w:rsid w:val="002C22C8"/>
    <w:rsid w:val="002C32E2"/>
    <w:rsid w:val="002C39AF"/>
    <w:rsid w:val="002C3C79"/>
    <w:rsid w:val="002C40AC"/>
    <w:rsid w:val="002C4C9C"/>
    <w:rsid w:val="002C4EC6"/>
    <w:rsid w:val="002C58AF"/>
    <w:rsid w:val="002C59B0"/>
    <w:rsid w:val="002C60DB"/>
    <w:rsid w:val="002C6294"/>
    <w:rsid w:val="002C6472"/>
    <w:rsid w:val="002C68F8"/>
    <w:rsid w:val="002C75C5"/>
    <w:rsid w:val="002C78EB"/>
    <w:rsid w:val="002D0240"/>
    <w:rsid w:val="002D031D"/>
    <w:rsid w:val="002D0FD9"/>
    <w:rsid w:val="002D194E"/>
    <w:rsid w:val="002D2EEB"/>
    <w:rsid w:val="002D3271"/>
    <w:rsid w:val="002D352C"/>
    <w:rsid w:val="002D410A"/>
    <w:rsid w:val="002D4859"/>
    <w:rsid w:val="002D50B0"/>
    <w:rsid w:val="002D5A62"/>
    <w:rsid w:val="002D6BF5"/>
    <w:rsid w:val="002D751E"/>
    <w:rsid w:val="002D794F"/>
    <w:rsid w:val="002D7DFF"/>
    <w:rsid w:val="002D7E8D"/>
    <w:rsid w:val="002E0884"/>
    <w:rsid w:val="002E2500"/>
    <w:rsid w:val="002E281D"/>
    <w:rsid w:val="002E34AF"/>
    <w:rsid w:val="002E3633"/>
    <w:rsid w:val="002E3CE3"/>
    <w:rsid w:val="002E4D61"/>
    <w:rsid w:val="002E4F09"/>
    <w:rsid w:val="002E699A"/>
    <w:rsid w:val="002E6CC8"/>
    <w:rsid w:val="002E6F84"/>
    <w:rsid w:val="002F04D7"/>
    <w:rsid w:val="002F053D"/>
    <w:rsid w:val="002F0718"/>
    <w:rsid w:val="002F0724"/>
    <w:rsid w:val="002F0D8F"/>
    <w:rsid w:val="002F1399"/>
    <w:rsid w:val="002F1880"/>
    <w:rsid w:val="002F2309"/>
    <w:rsid w:val="002F36D3"/>
    <w:rsid w:val="002F4AEA"/>
    <w:rsid w:val="002F4BE9"/>
    <w:rsid w:val="002F5863"/>
    <w:rsid w:val="002F6806"/>
    <w:rsid w:val="002F6C79"/>
    <w:rsid w:val="002F788A"/>
    <w:rsid w:val="002F7D6A"/>
    <w:rsid w:val="00300D9C"/>
    <w:rsid w:val="00300E0C"/>
    <w:rsid w:val="00300F2E"/>
    <w:rsid w:val="00301C79"/>
    <w:rsid w:val="00301E8D"/>
    <w:rsid w:val="00302360"/>
    <w:rsid w:val="003032CC"/>
    <w:rsid w:val="00303364"/>
    <w:rsid w:val="003037AB"/>
    <w:rsid w:val="00303DB8"/>
    <w:rsid w:val="0030435A"/>
    <w:rsid w:val="0030437C"/>
    <w:rsid w:val="00304C5C"/>
    <w:rsid w:val="00304D6E"/>
    <w:rsid w:val="00304D96"/>
    <w:rsid w:val="003051D4"/>
    <w:rsid w:val="00306008"/>
    <w:rsid w:val="003067CA"/>
    <w:rsid w:val="003069D4"/>
    <w:rsid w:val="00306B69"/>
    <w:rsid w:val="003073C4"/>
    <w:rsid w:val="0030774E"/>
    <w:rsid w:val="00307BAB"/>
    <w:rsid w:val="00311245"/>
    <w:rsid w:val="00311D90"/>
    <w:rsid w:val="0031244D"/>
    <w:rsid w:val="00312E59"/>
    <w:rsid w:val="0031308E"/>
    <w:rsid w:val="00313D65"/>
    <w:rsid w:val="00313EF3"/>
    <w:rsid w:val="00314AD2"/>
    <w:rsid w:val="00314CC1"/>
    <w:rsid w:val="003169F3"/>
    <w:rsid w:val="00316F6C"/>
    <w:rsid w:val="003171CF"/>
    <w:rsid w:val="003176F0"/>
    <w:rsid w:val="003177F2"/>
    <w:rsid w:val="00317E31"/>
    <w:rsid w:val="00317FB9"/>
    <w:rsid w:val="00320393"/>
    <w:rsid w:val="00321063"/>
    <w:rsid w:val="00321549"/>
    <w:rsid w:val="003218A2"/>
    <w:rsid w:val="003223AE"/>
    <w:rsid w:val="00322A79"/>
    <w:rsid w:val="00322C4C"/>
    <w:rsid w:val="00323A82"/>
    <w:rsid w:val="00323BCF"/>
    <w:rsid w:val="00324281"/>
    <w:rsid w:val="00324C96"/>
    <w:rsid w:val="0032567D"/>
    <w:rsid w:val="0032569D"/>
    <w:rsid w:val="00325C34"/>
    <w:rsid w:val="00325EC9"/>
    <w:rsid w:val="0032633B"/>
    <w:rsid w:val="003268B9"/>
    <w:rsid w:val="00326E49"/>
    <w:rsid w:val="0032742D"/>
    <w:rsid w:val="00327444"/>
    <w:rsid w:val="00327CA2"/>
    <w:rsid w:val="00330E5E"/>
    <w:rsid w:val="00331270"/>
    <w:rsid w:val="0033154B"/>
    <w:rsid w:val="003316F8"/>
    <w:rsid w:val="00331B13"/>
    <w:rsid w:val="00332419"/>
    <w:rsid w:val="00333E58"/>
    <w:rsid w:val="003344E2"/>
    <w:rsid w:val="00334E50"/>
    <w:rsid w:val="003351E6"/>
    <w:rsid w:val="0033521C"/>
    <w:rsid w:val="00335881"/>
    <w:rsid w:val="00335926"/>
    <w:rsid w:val="00335E68"/>
    <w:rsid w:val="00336576"/>
    <w:rsid w:val="00336D67"/>
    <w:rsid w:val="00337720"/>
    <w:rsid w:val="00337FF3"/>
    <w:rsid w:val="00340C0E"/>
    <w:rsid w:val="003415D1"/>
    <w:rsid w:val="00343B47"/>
    <w:rsid w:val="00344F82"/>
    <w:rsid w:val="00345686"/>
    <w:rsid w:val="00345800"/>
    <w:rsid w:val="0034651E"/>
    <w:rsid w:val="0034798E"/>
    <w:rsid w:val="003502D5"/>
    <w:rsid w:val="00350D22"/>
    <w:rsid w:val="00354182"/>
    <w:rsid w:val="00356018"/>
    <w:rsid w:val="00357E77"/>
    <w:rsid w:val="00357ED1"/>
    <w:rsid w:val="00360449"/>
    <w:rsid w:val="0036151D"/>
    <w:rsid w:val="00361E55"/>
    <w:rsid w:val="00361FF7"/>
    <w:rsid w:val="003622D8"/>
    <w:rsid w:val="003623D4"/>
    <w:rsid w:val="003625F9"/>
    <w:rsid w:val="003628BB"/>
    <w:rsid w:val="00362BD1"/>
    <w:rsid w:val="00363553"/>
    <w:rsid w:val="00363C65"/>
    <w:rsid w:val="00363DB4"/>
    <w:rsid w:val="003641D7"/>
    <w:rsid w:val="0036434A"/>
    <w:rsid w:val="003647A4"/>
    <w:rsid w:val="00366175"/>
    <w:rsid w:val="00366854"/>
    <w:rsid w:val="00366D22"/>
    <w:rsid w:val="003705CC"/>
    <w:rsid w:val="0037062C"/>
    <w:rsid w:val="00370F76"/>
    <w:rsid w:val="00371D00"/>
    <w:rsid w:val="00374093"/>
    <w:rsid w:val="003748C5"/>
    <w:rsid w:val="00374AB8"/>
    <w:rsid w:val="00374EEA"/>
    <w:rsid w:val="003751EB"/>
    <w:rsid w:val="00375834"/>
    <w:rsid w:val="00375A18"/>
    <w:rsid w:val="00375FC3"/>
    <w:rsid w:val="00376A70"/>
    <w:rsid w:val="00376C3B"/>
    <w:rsid w:val="0038092A"/>
    <w:rsid w:val="003815C4"/>
    <w:rsid w:val="0038190B"/>
    <w:rsid w:val="00381E3F"/>
    <w:rsid w:val="003826A3"/>
    <w:rsid w:val="003828BF"/>
    <w:rsid w:val="00382A28"/>
    <w:rsid w:val="00383A56"/>
    <w:rsid w:val="00384476"/>
    <w:rsid w:val="0038499F"/>
    <w:rsid w:val="00384A9A"/>
    <w:rsid w:val="00384C9E"/>
    <w:rsid w:val="00385E9E"/>
    <w:rsid w:val="003861B0"/>
    <w:rsid w:val="003868B3"/>
    <w:rsid w:val="0039097E"/>
    <w:rsid w:val="00391386"/>
    <w:rsid w:val="0039149A"/>
    <w:rsid w:val="003914B9"/>
    <w:rsid w:val="00391A33"/>
    <w:rsid w:val="003924C7"/>
    <w:rsid w:val="003931EE"/>
    <w:rsid w:val="00393E11"/>
    <w:rsid w:val="003954E7"/>
    <w:rsid w:val="003961E3"/>
    <w:rsid w:val="00397756"/>
    <w:rsid w:val="003977BA"/>
    <w:rsid w:val="0039796E"/>
    <w:rsid w:val="003A0023"/>
    <w:rsid w:val="003A0430"/>
    <w:rsid w:val="003A0894"/>
    <w:rsid w:val="003A148C"/>
    <w:rsid w:val="003A198E"/>
    <w:rsid w:val="003A1A22"/>
    <w:rsid w:val="003A1B01"/>
    <w:rsid w:val="003A21E1"/>
    <w:rsid w:val="003A2419"/>
    <w:rsid w:val="003A2791"/>
    <w:rsid w:val="003A34FB"/>
    <w:rsid w:val="003A36EA"/>
    <w:rsid w:val="003A36EB"/>
    <w:rsid w:val="003A41AA"/>
    <w:rsid w:val="003A4A4F"/>
    <w:rsid w:val="003A5130"/>
    <w:rsid w:val="003A5BDE"/>
    <w:rsid w:val="003A6090"/>
    <w:rsid w:val="003A61FE"/>
    <w:rsid w:val="003A6B75"/>
    <w:rsid w:val="003A79AF"/>
    <w:rsid w:val="003A7D32"/>
    <w:rsid w:val="003A7EB3"/>
    <w:rsid w:val="003B00CE"/>
    <w:rsid w:val="003B0997"/>
    <w:rsid w:val="003B09D7"/>
    <w:rsid w:val="003B19F0"/>
    <w:rsid w:val="003B1DA9"/>
    <w:rsid w:val="003B26F2"/>
    <w:rsid w:val="003B2A29"/>
    <w:rsid w:val="003B2D45"/>
    <w:rsid w:val="003B3335"/>
    <w:rsid w:val="003B3369"/>
    <w:rsid w:val="003B3F34"/>
    <w:rsid w:val="003B46E8"/>
    <w:rsid w:val="003B4978"/>
    <w:rsid w:val="003B530F"/>
    <w:rsid w:val="003B5373"/>
    <w:rsid w:val="003B5923"/>
    <w:rsid w:val="003B6412"/>
    <w:rsid w:val="003B695B"/>
    <w:rsid w:val="003B6A06"/>
    <w:rsid w:val="003B7213"/>
    <w:rsid w:val="003B730A"/>
    <w:rsid w:val="003B763F"/>
    <w:rsid w:val="003B7F1B"/>
    <w:rsid w:val="003C04DC"/>
    <w:rsid w:val="003C0A44"/>
    <w:rsid w:val="003C0F83"/>
    <w:rsid w:val="003C2944"/>
    <w:rsid w:val="003C38B1"/>
    <w:rsid w:val="003C3A8C"/>
    <w:rsid w:val="003C3FF1"/>
    <w:rsid w:val="003C5676"/>
    <w:rsid w:val="003C5F61"/>
    <w:rsid w:val="003C650A"/>
    <w:rsid w:val="003C70C0"/>
    <w:rsid w:val="003C7306"/>
    <w:rsid w:val="003C7C88"/>
    <w:rsid w:val="003C7E75"/>
    <w:rsid w:val="003D034A"/>
    <w:rsid w:val="003D0A29"/>
    <w:rsid w:val="003D0FE0"/>
    <w:rsid w:val="003D1369"/>
    <w:rsid w:val="003D14C4"/>
    <w:rsid w:val="003D160E"/>
    <w:rsid w:val="003D171D"/>
    <w:rsid w:val="003D1842"/>
    <w:rsid w:val="003D1BE6"/>
    <w:rsid w:val="003D1CDD"/>
    <w:rsid w:val="003D1F1E"/>
    <w:rsid w:val="003D21E3"/>
    <w:rsid w:val="003D2273"/>
    <w:rsid w:val="003D25CE"/>
    <w:rsid w:val="003D308E"/>
    <w:rsid w:val="003D3609"/>
    <w:rsid w:val="003D3BBC"/>
    <w:rsid w:val="003D417F"/>
    <w:rsid w:val="003D4C47"/>
    <w:rsid w:val="003D5CE3"/>
    <w:rsid w:val="003D5FBC"/>
    <w:rsid w:val="003D6054"/>
    <w:rsid w:val="003D6447"/>
    <w:rsid w:val="003D6CDC"/>
    <w:rsid w:val="003D7ABD"/>
    <w:rsid w:val="003D7AF8"/>
    <w:rsid w:val="003D7E53"/>
    <w:rsid w:val="003E002A"/>
    <w:rsid w:val="003E09B9"/>
    <w:rsid w:val="003E0DF1"/>
    <w:rsid w:val="003E1210"/>
    <w:rsid w:val="003E1514"/>
    <w:rsid w:val="003E28F4"/>
    <w:rsid w:val="003E2DF6"/>
    <w:rsid w:val="003E35D8"/>
    <w:rsid w:val="003E3F95"/>
    <w:rsid w:val="003E44E1"/>
    <w:rsid w:val="003E46A2"/>
    <w:rsid w:val="003E4782"/>
    <w:rsid w:val="003E577A"/>
    <w:rsid w:val="003E62FF"/>
    <w:rsid w:val="003E6BF9"/>
    <w:rsid w:val="003E7708"/>
    <w:rsid w:val="003F019A"/>
    <w:rsid w:val="003F0311"/>
    <w:rsid w:val="003F0658"/>
    <w:rsid w:val="003F06EB"/>
    <w:rsid w:val="003F0BB2"/>
    <w:rsid w:val="003F100B"/>
    <w:rsid w:val="003F1AC4"/>
    <w:rsid w:val="003F208A"/>
    <w:rsid w:val="003F22D2"/>
    <w:rsid w:val="003F3267"/>
    <w:rsid w:val="003F3324"/>
    <w:rsid w:val="003F3AF0"/>
    <w:rsid w:val="003F4AD8"/>
    <w:rsid w:val="003F6018"/>
    <w:rsid w:val="003F62A3"/>
    <w:rsid w:val="003F6554"/>
    <w:rsid w:val="003F6B5F"/>
    <w:rsid w:val="003F6C02"/>
    <w:rsid w:val="003F6D4A"/>
    <w:rsid w:val="003F734C"/>
    <w:rsid w:val="003F742B"/>
    <w:rsid w:val="003F7849"/>
    <w:rsid w:val="003F78FA"/>
    <w:rsid w:val="003F7CE5"/>
    <w:rsid w:val="00400867"/>
    <w:rsid w:val="00400B3B"/>
    <w:rsid w:val="004011A8"/>
    <w:rsid w:val="004011D6"/>
    <w:rsid w:val="00401690"/>
    <w:rsid w:val="00401C60"/>
    <w:rsid w:val="0040228C"/>
    <w:rsid w:val="00402952"/>
    <w:rsid w:val="00402D2A"/>
    <w:rsid w:val="00402EAD"/>
    <w:rsid w:val="0040386F"/>
    <w:rsid w:val="0040398D"/>
    <w:rsid w:val="00403BC0"/>
    <w:rsid w:val="004042CB"/>
    <w:rsid w:val="00405052"/>
    <w:rsid w:val="00405E25"/>
    <w:rsid w:val="00405FD8"/>
    <w:rsid w:val="00406433"/>
    <w:rsid w:val="0040652F"/>
    <w:rsid w:val="00406FAC"/>
    <w:rsid w:val="00407198"/>
    <w:rsid w:val="004102AF"/>
    <w:rsid w:val="0041107C"/>
    <w:rsid w:val="00411FBD"/>
    <w:rsid w:val="004127DD"/>
    <w:rsid w:val="00412D6F"/>
    <w:rsid w:val="00413623"/>
    <w:rsid w:val="00413780"/>
    <w:rsid w:val="004137A7"/>
    <w:rsid w:val="00413E7E"/>
    <w:rsid w:val="00414331"/>
    <w:rsid w:val="00414DF3"/>
    <w:rsid w:val="00415F65"/>
    <w:rsid w:val="004160D6"/>
    <w:rsid w:val="00416B6F"/>
    <w:rsid w:val="00416BC3"/>
    <w:rsid w:val="00416CDC"/>
    <w:rsid w:val="00417108"/>
    <w:rsid w:val="004171CB"/>
    <w:rsid w:val="0042002F"/>
    <w:rsid w:val="00420CA3"/>
    <w:rsid w:val="00421153"/>
    <w:rsid w:val="004214B6"/>
    <w:rsid w:val="00422BFE"/>
    <w:rsid w:val="0042378D"/>
    <w:rsid w:val="00423862"/>
    <w:rsid w:val="0042409F"/>
    <w:rsid w:val="00424CF9"/>
    <w:rsid w:val="004255E3"/>
    <w:rsid w:val="004259FF"/>
    <w:rsid w:val="00426C1B"/>
    <w:rsid w:val="0042702B"/>
    <w:rsid w:val="00427D33"/>
    <w:rsid w:val="00430370"/>
    <w:rsid w:val="00430CEE"/>
    <w:rsid w:val="00430D23"/>
    <w:rsid w:val="00430F08"/>
    <w:rsid w:val="00430F74"/>
    <w:rsid w:val="00430FB4"/>
    <w:rsid w:val="0043103E"/>
    <w:rsid w:val="0043132B"/>
    <w:rsid w:val="004319B5"/>
    <w:rsid w:val="00431FD4"/>
    <w:rsid w:val="00432F2D"/>
    <w:rsid w:val="004330DB"/>
    <w:rsid w:val="004334DE"/>
    <w:rsid w:val="00434BC2"/>
    <w:rsid w:val="00435234"/>
    <w:rsid w:val="004353CE"/>
    <w:rsid w:val="00435500"/>
    <w:rsid w:val="00436CDB"/>
    <w:rsid w:val="00437CE1"/>
    <w:rsid w:val="00437F01"/>
    <w:rsid w:val="00441A1B"/>
    <w:rsid w:val="00441D41"/>
    <w:rsid w:val="004427D7"/>
    <w:rsid w:val="004436F7"/>
    <w:rsid w:val="0044373D"/>
    <w:rsid w:val="00443FA9"/>
    <w:rsid w:val="004443FF"/>
    <w:rsid w:val="004447EC"/>
    <w:rsid w:val="00444F04"/>
    <w:rsid w:val="004457E7"/>
    <w:rsid w:val="00445917"/>
    <w:rsid w:val="00445F2B"/>
    <w:rsid w:val="00446B3F"/>
    <w:rsid w:val="00446CF4"/>
    <w:rsid w:val="00446E60"/>
    <w:rsid w:val="00447007"/>
    <w:rsid w:val="0044733D"/>
    <w:rsid w:val="00447E28"/>
    <w:rsid w:val="004507F9"/>
    <w:rsid w:val="004507FE"/>
    <w:rsid w:val="00450837"/>
    <w:rsid w:val="00450910"/>
    <w:rsid w:val="004526D9"/>
    <w:rsid w:val="00452704"/>
    <w:rsid w:val="004527DB"/>
    <w:rsid w:val="00452F30"/>
    <w:rsid w:val="00452F71"/>
    <w:rsid w:val="00453099"/>
    <w:rsid w:val="00453263"/>
    <w:rsid w:val="004535DE"/>
    <w:rsid w:val="0045449D"/>
    <w:rsid w:val="00454E1D"/>
    <w:rsid w:val="0045570F"/>
    <w:rsid w:val="00455D22"/>
    <w:rsid w:val="00456255"/>
    <w:rsid w:val="00457C6B"/>
    <w:rsid w:val="00461899"/>
    <w:rsid w:val="00461F70"/>
    <w:rsid w:val="0046246E"/>
    <w:rsid w:val="00463700"/>
    <w:rsid w:val="00465242"/>
    <w:rsid w:val="0046693B"/>
    <w:rsid w:val="0046739A"/>
    <w:rsid w:val="004674A5"/>
    <w:rsid w:val="00467641"/>
    <w:rsid w:val="0046783C"/>
    <w:rsid w:val="004701C4"/>
    <w:rsid w:val="004701CF"/>
    <w:rsid w:val="004702C9"/>
    <w:rsid w:val="004711E5"/>
    <w:rsid w:val="0047193D"/>
    <w:rsid w:val="00471E04"/>
    <w:rsid w:val="0047247E"/>
    <w:rsid w:val="00472EBE"/>
    <w:rsid w:val="00473099"/>
    <w:rsid w:val="0047394F"/>
    <w:rsid w:val="00474B31"/>
    <w:rsid w:val="004751AA"/>
    <w:rsid w:val="004751FB"/>
    <w:rsid w:val="00475689"/>
    <w:rsid w:val="0047726E"/>
    <w:rsid w:val="00477534"/>
    <w:rsid w:val="00482985"/>
    <w:rsid w:val="0048350B"/>
    <w:rsid w:val="0048385A"/>
    <w:rsid w:val="00484F16"/>
    <w:rsid w:val="0048619C"/>
    <w:rsid w:val="00487896"/>
    <w:rsid w:val="00487B45"/>
    <w:rsid w:val="00490189"/>
    <w:rsid w:val="00490787"/>
    <w:rsid w:val="004907B2"/>
    <w:rsid w:val="00490A1B"/>
    <w:rsid w:val="00490ABE"/>
    <w:rsid w:val="00491C7B"/>
    <w:rsid w:val="00491CE3"/>
    <w:rsid w:val="004931D5"/>
    <w:rsid w:val="0049365E"/>
    <w:rsid w:val="00493D93"/>
    <w:rsid w:val="0049430F"/>
    <w:rsid w:val="004948EE"/>
    <w:rsid w:val="00495A61"/>
    <w:rsid w:val="004968D4"/>
    <w:rsid w:val="00496906"/>
    <w:rsid w:val="00496E29"/>
    <w:rsid w:val="00497863"/>
    <w:rsid w:val="004A0893"/>
    <w:rsid w:val="004A0C3D"/>
    <w:rsid w:val="004A100D"/>
    <w:rsid w:val="004A1CFF"/>
    <w:rsid w:val="004A21CB"/>
    <w:rsid w:val="004A27BA"/>
    <w:rsid w:val="004A2A02"/>
    <w:rsid w:val="004A2B72"/>
    <w:rsid w:val="004A30F9"/>
    <w:rsid w:val="004A33C6"/>
    <w:rsid w:val="004A3B1F"/>
    <w:rsid w:val="004A3EB0"/>
    <w:rsid w:val="004A4942"/>
    <w:rsid w:val="004A4975"/>
    <w:rsid w:val="004A49C1"/>
    <w:rsid w:val="004A54DE"/>
    <w:rsid w:val="004A65B7"/>
    <w:rsid w:val="004A7833"/>
    <w:rsid w:val="004A7A3D"/>
    <w:rsid w:val="004B04DC"/>
    <w:rsid w:val="004B0EB0"/>
    <w:rsid w:val="004B1163"/>
    <w:rsid w:val="004B126A"/>
    <w:rsid w:val="004B1A42"/>
    <w:rsid w:val="004B1B2F"/>
    <w:rsid w:val="004B1BAF"/>
    <w:rsid w:val="004B28DC"/>
    <w:rsid w:val="004B29C5"/>
    <w:rsid w:val="004B30FD"/>
    <w:rsid w:val="004B3FAE"/>
    <w:rsid w:val="004B43A7"/>
    <w:rsid w:val="004B4731"/>
    <w:rsid w:val="004B500D"/>
    <w:rsid w:val="004B57DF"/>
    <w:rsid w:val="004B59C2"/>
    <w:rsid w:val="004B5A8F"/>
    <w:rsid w:val="004B6EED"/>
    <w:rsid w:val="004B79FA"/>
    <w:rsid w:val="004C1AE8"/>
    <w:rsid w:val="004C219D"/>
    <w:rsid w:val="004C2B29"/>
    <w:rsid w:val="004C2CC3"/>
    <w:rsid w:val="004C3476"/>
    <w:rsid w:val="004C3737"/>
    <w:rsid w:val="004C3C9C"/>
    <w:rsid w:val="004C4626"/>
    <w:rsid w:val="004C4ACF"/>
    <w:rsid w:val="004C4E90"/>
    <w:rsid w:val="004C5B9B"/>
    <w:rsid w:val="004C5E4A"/>
    <w:rsid w:val="004C6386"/>
    <w:rsid w:val="004C6747"/>
    <w:rsid w:val="004C6D95"/>
    <w:rsid w:val="004C7039"/>
    <w:rsid w:val="004C733F"/>
    <w:rsid w:val="004C74BC"/>
    <w:rsid w:val="004C7B14"/>
    <w:rsid w:val="004C7CAA"/>
    <w:rsid w:val="004D0EC8"/>
    <w:rsid w:val="004D14FE"/>
    <w:rsid w:val="004D3349"/>
    <w:rsid w:val="004D3D11"/>
    <w:rsid w:val="004D4B3B"/>
    <w:rsid w:val="004D4C9B"/>
    <w:rsid w:val="004D4D61"/>
    <w:rsid w:val="004D4FBA"/>
    <w:rsid w:val="004D5198"/>
    <w:rsid w:val="004D56A9"/>
    <w:rsid w:val="004D5845"/>
    <w:rsid w:val="004D5AA6"/>
    <w:rsid w:val="004D68AE"/>
    <w:rsid w:val="004D6BEB"/>
    <w:rsid w:val="004D6D0F"/>
    <w:rsid w:val="004D7321"/>
    <w:rsid w:val="004D73C5"/>
    <w:rsid w:val="004D7F35"/>
    <w:rsid w:val="004E06CB"/>
    <w:rsid w:val="004E1C7F"/>
    <w:rsid w:val="004E234F"/>
    <w:rsid w:val="004E34AA"/>
    <w:rsid w:val="004E373C"/>
    <w:rsid w:val="004E38B6"/>
    <w:rsid w:val="004E416D"/>
    <w:rsid w:val="004E43F4"/>
    <w:rsid w:val="004E4DA8"/>
    <w:rsid w:val="004E4EEE"/>
    <w:rsid w:val="004E6626"/>
    <w:rsid w:val="004E69DC"/>
    <w:rsid w:val="004E7745"/>
    <w:rsid w:val="004E7921"/>
    <w:rsid w:val="004E7943"/>
    <w:rsid w:val="004F0CD2"/>
    <w:rsid w:val="004F145F"/>
    <w:rsid w:val="004F17D0"/>
    <w:rsid w:val="004F1C5C"/>
    <w:rsid w:val="004F1F1A"/>
    <w:rsid w:val="004F21EA"/>
    <w:rsid w:val="004F29E2"/>
    <w:rsid w:val="004F2B31"/>
    <w:rsid w:val="004F3487"/>
    <w:rsid w:val="004F3DA5"/>
    <w:rsid w:val="004F434A"/>
    <w:rsid w:val="004F5264"/>
    <w:rsid w:val="004F569A"/>
    <w:rsid w:val="004F591B"/>
    <w:rsid w:val="004F61EA"/>
    <w:rsid w:val="004F78A2"/>
    <w:rsid w:val="004F7B2F"/>
    <w:rsid w:val="00500016"/>
    <w:rsid w:val="00500B97"/>
    <w:rsid w:val="005014B0"/>
    <w:rsid w:val="0050178B"/>
    <w:rsid w:val="005029CB"/>
    <w:rsid w:val="005029F6"/>
    <w:rsid w:val="0050354D"/>
    <w:rsid w:val="00504721"/>
    <w:rsid w:val="00506DA4"/>
    <w:rsid w:val="0050754B"/>
    <w:rsid w:val="005077C4"/>
    <w:rsid w:val="005103F0"/>
    <w:rsid w:val="00510519"/>
    <w:rsid w:val="00511660"/>
    <w:rsid w:val="00511B36"/>
    <w:rsid w:val="00511D4B"/>
    <w:rsid w:val="00512974"/>
    <w:rsid w:val="0051405C"/>
    <w:rsid w:val="005149C4"/>
    <w:rsid w:val="00514ADA"/>
    <w:rsid w:val="00515587"/>
    <w:rsid w:val="00515689"/>
    <w:rsid w:val="00515A41"/>
    <w:rsid w:val="00515A7B"/>
    <w:rsid w:val="0051611A"/>
    <w:rsid w:val="0051672B"/>
    <w:rsid w:val="005205B9"/>
    <w:rsid w:val="00520AFE"/>
    <w:rsid w:val="00520DDB"/>
    <w:rsid w:val="00521174"/>
    <w:rsid w:val="005223F7"/>
    <w:rsid w:val="005225A9"/>
    <w:rsid w:val="005228C3"/>
    <w:rsid w:val="00523B22"/>
    <w:rsid w:val="005252AE"/>
    <w:rsid w:val="005254C8"/>
    <w:rsid w:val="005256D3"/>
    <w:rsid w:val="00526FDB"/>
    <w:rsid w:val="005302E0"/>
    <w:rsid w:val="00530AC0"/>
    <w:rsid w:val="00530EA6"/>
    <w:rsid w:val="00531861"/>
    <w:rsid w:val="0053196A"/>
    <w:rsid w:val="00531B88"/>
    <w:rsid w:val="00533CDE"/>
    <w:rsid w:val="0053417C"/>
    <w:rsid w:val="0053454D"/>
    <w:rsid w:val="0053562A"/>
    <w:rsid w:val="00535B7C"/>
    <w:rsid w:val="0053680D"/>
    <w:rsid w:val="00537EBA"/>
    <w:rsid w:val="00540221"/>
    <w:rsid w:val="005402DA"/>
    <w:rsid w:val="00541110"/>
    <w:rsid w:val="00541636"/>
    <w:rsid w:val="00541664"/>
    <w:rsid w:val="00542BE2"/>
    <w:rsid w:val="005432B9"/>
    <w:rsid w:val="00543859"/>
    <w:rsid w:val="0054395F"/>
    <w:rsid w:val="00543EC2"/>
    <w:rsid w:val="005445C6"/>
    <w:rsid w:val="00544A1B"/>
    <w:rsid w:val="00546087"/>
    <w:rsid w:val="00546303"/>
    <w:rsid w:val="0054694C"/>
    <w:rsid w:val="00546D5B"/>
    <w:rsid w:val="00547B44"/>
    <w:rsid w:val="00550899"/>
    <w:rsid w:val="005515FA"/>
    <w:rsid w:val="00552943"/>
    <w:rsid w:val="005540A8"/>
    <w:rsid w:val="00554ED6"/>
    <w:rsid w:val="00555088"/>
    <w:rsid w:val="00555164"/>
    <w:rsid w:val="00555468"/>
    <w:rsid w:val="00555E03"/>
    <w:rsid w:val="00555F42"/>
    <w:rsid w:val="00556B9F"/>
    <w:rsid w:val="00556C22"/>
    <w:rsid w:val="0055704F"/>
    <w:rsid w:val="005572A6"/>
    <w:rsid w:val="005576C3"/>
    <w:rsid w:val="005576DC"/>
    <w:rsid w:val="00557711"/>
    <w:rsid w:val="00557D85"/>
    <w:rsid w:val="005600B0"/>
    <w:rsid w:val="00561753"/>
    <w:rsid w:val="0056175D"/>
    <w:rsid w:val="00562499"/>
    <w:rsid w:val="00563179"/>
    <w:rsid w:val="005639C6"/>
    <w:rsid w:val="00564863"/>
    <w:rsid w:val="00564B91"/>
    <w:rsid w:val="00564F9B"/>
    <w:rsid w:val="00565176"/>
    <w:rsid w:val="005652EE"/>
    <w:rsid w:val="00567577"/>
    <w:rsid w:val="0056799C"/>
    <w:rsid w:val="0057042B"/>
    <w:rsid w:val="00570AE5"/>
    <w:rsid w:val="00570FBD"/>
    <w:rsid w:val="00571507"/>
    <w:rsid w:val="00571773"/>
    <w:rsid w:val="00571E2A"/>
    <w:rsid w:val="00573590"/>
    <w:rsid w:val="00574BB4"/>
    <w:rsid w:val="00575058"/>
    <w:rsid w:val="00575CF0"/>
    <w:rsid w:val="00575E54"/>
    <w:rsid w:val="0057634F"/>
    <w:rsid w:val="005767D7"/>
    <w:rsid w:val="00576A54"/>
    <w:rsid w:val="00576D64"/>
    <w:rsid w:val="00577D6A"/>
    <w:rsid w:val="0058074D"/>
    <w:rsid w:val="00580AF0"/>
    <w:rsid w:val="00580CFE"/>
    <w:rsid w:val="00581091"/>
    <w:rsid w:val="005811DA"/>
    <w:rsid w:val="0058159F"/>
    <w:rsid w:val="00582000"/>
    <w:rsid w:val="005828A5"/>
    <w:rsid w:val="005828C6"/>
    <w:rsid w:val="005828F1"/>
    <w:rsid w:val="00582BEE"/>
    <w:rsid w:val="00582D67"/>
    <w:rsid w:val="0058444A"/>
    <w:rsid w:val="00584D5B"/>
    <w:rsid w:val="00585842"/>
    <w:rsid w:val="005859D2"/>
    <w:rsid w:val="00585D2B"/>
    <w:rsid w:val="005860CB"/>
    <w:rsid w:val="005863FB"/>
    <w:rsid w:val="0058653A"/>
    <w:rsid w:val="00586D78"/>
    <w:rsid w:val="00587B4C"/>
    <w:rsid w:val="00587CFF"/>
    <w:rsid w:val="0059003C"/>
    <w:rsid w:val="00590070"/>
    <w:rsid w:val="00590C48"/>
    <w:rsid w:val="005911E2"/>
    <w:rsid w:val="005920E8"/>
    <w:rsid w:val="005924FC"/>
    <w:rsid w:val="0059253A"/>
    <w:rsid w:val="00592691"/>
    <w:rsid w:val="0059275F"/>
    <w:rsid w:val="00592B63"/>
    <w:rsid w:val="005949A0"/>
    <w:rsid w:val="005950A6"/>
    <w:rsid w:val="0059640F"/>
    <w:rsid w:val="005964B6"/>
    <w:rsid w:val="00597084"/>
    <w:rsid w:val="005A005F"/>
    <w:rsid w:val="005A050F"/>
    <w:rsid w:val="005A05B9"/>
    <w:rsid w:val="005A0F9A"/>
    <w:rsid w:val="005A1347"/>
    <w:rsid w:val="005A1DB3"/>
    <w:rsid w:val="005A2702"/>
    <w:rsid w:val="005A2938"/>
    <w:rsid w:val="005A2FBE"/>
    <w:rsid w:val="005A327E"/>
    <w:rsid w:val="005A3933"/>
    <w:rsid w:val="005A406F"/>
    <w:rsid w:val="005A468E"/>
    <w:rsid w:val="005A492C"/>
    <w:rsid w:val="005A4CAC"/>
    <w:rsid w:val="005A5039"/>
    <w:rsid w:val="005A5BBF"/>
    <w:rsid w:val="005A5D22"/>
    <w:rsid w:val="005A664B"/>
    <w:rsid w:val="005A6D9D"/>
    <w:rsid w:val="005A6E7A"/>
    <w:rsid w:val="005A7564"/>
    <w:rsid w:val="005A7D04"/>
    <w:rsid w:val="005A7F03"/>
    <w:rsid w:val="005B082B"/>
    <w:rsid w:val="005B0FB8"/>
    <w:rsid w:val="005B13F6"/>
    <w:rsid w:val="005B1744"/>
    <w:rsid w:val="005B2A3B"/>
    <w:rsid w:val="005B2B92"/>
    <w:rsid w:val="005B2C0D"/>
    <w:rsid w:val="005B2FD6"/>
    <w:rsid w:val="005B391F"/>
    <w:rsid w:val="005B3EBF"/>
    <w:rsid w:val="005B42CD"/>
    <w:rsid w:val="005B594C"/>
    <w:rsid w:val="005B6159"/>
    <w:rsid w:val="005B66A2"/>
    <w:rsid w:val="005B6ABC"/>
    <w:rsid w:val="005B7547"/>
    <w:rsid w:val="005C04D2"/>
    <w:rsid w:val="005C0639"/>
    <w:rsid w:val="005C06C5"/>
    <w:rsid w:val="005C06CE"/>
    <w:rsid w:val="005C0A3A"/>
    <w:rsid w:val="005C0C39"/>
    <w:rsid w:val="005C26C0"/>
    <w:rsid w:val="005C28C4"/>
    <w:rsid w:val="005C3135"/>
    <w:rsid w:val="005C4FD7"/>
    <w:rsid w:val="005C580A"/>
    <w:rsid w:val="005C5D2E"/>
    <w:rsid w:val="005C5FE7"/>
    <w:rsid w:val="005C6A0B"/>
    <w:rsid w:val="005C6C0B"/>
    <w:rsid w:val="005C7284"/>
    <w:rsid w:val="005C7431"/>
    <w:rsid w:val="005C79A5"/>
    <w:rsid w:val="005C7E90"/>
    <w:rsid w:val="005D16F1"/>
    <w:rsid w:val="005D3240"/>
    <w:rsid w:val="005D4591"/>
    <w:rsid w:val="005D48D7"/>
    <w:rsid w:val="005D4BFD"/>
    <w:rsid w:val="005D4E54"/>
    <w:rsid w:val="005D6FC2"/>
    <w:rsid w:val="005E0216"/>
    <w:rsid w:val="005E0F46"/>
    <w:rsid w:val="005E140F"/>
    <w:rsid w:val="005E147A"/>
    <w:rsid w:val="005E1D3D"/>
    <w:rsid w:val="005E2346"/>
    <w:rsid w:val="005E2A51"/>
    <w:rsid w:val="005E2C05"/>
    <w:rsid w:val="005E2FCF"/>
    <w:rsid w:val="005E31E5"/>
    <w:rsid w:val="005E37FA"/>
    <w:rsid w:val="005E3F96"/>
    <w:rsid w:val="005E41F7"/>
    <w:rsid w:val="005E43BF"/>
    <w:rsid w:val="005E50A2"/>
    <w:rsid w:val="005E63C3"/>
    <w:rsid w:val="005E64FD"/>
    <w:rsid w:val="005E6885"/>
    <w:rsid w:val="005E6D67"/>
    <w:rsid w:val="005E6E1A"/>
    <w:rsid w:val="005E7089"/>
    <w:rsid w:val="005E7300"/>
    <w:rsid w:val="005E76D8"/>
    <w:rsid w:val="005E7F80"/>
    <w:rsid w:val="005F014B"/>
    <w:rsid w:val="005F081F"/>
    <w:rsid w:val="005F0BB1"/>
    <w:rsid w:val="005F11F3"/>
    <w:rsid w:val="005F12C0"/>
    <w:rsid w:val="005F277E"/>
    <w:rsid w:val="005F33DC"/>
    <w:rsid w:val="005F35BD"/>
    <w:rsid w:val="005F3967"/>
    <w:rsid w:val="005F40B0"/>
    <w:rsid w:val="005F40FD"/>
    <w:rsid w:val="005F4872"/>
    <w:rsid w:val="005F5491"/>
    <w:rsid w:val="005F5D28"/>
    <w:rsid w:val="005F65FE"/>
    <w:rsid w:val="005F66A0"/>
    <w:rsid w:val="005F6905"/>
    <w:rsid w:val="00602572"/>
    <w:rsid w:val="0060263B"/>
    <w:rsid w:val="00602A33"/>
    <w:rsid w:val="00603171"/>
    <w:rsid w:val="006039D8"/>
    <w:rsid w:val="00603EAF"/>
    <w:rsid w:val="00605634"/>
    <w:rsid w:val="0060563D"/>
    <w:rsid w:val="00606F0F"/>
    <w:rsid w:val="00607228"/>
    <w:rsid w:val="00607476"/>
    <w:rsid w:val="006074EE"/>
    <w:rsid w:val="00607D94"/>
    <w:rsid w:val="0061077C"/>
    <w:rsid w:val="00610968"/>
    <w:rsid w:val="006110E4"/>
    <w:rsid w:val="0061110B"/>
    <w:rsid w:val="00611875"/>
    <w:rsid w:val="006118C4"/>
    <w:rsid w:val="00611A4E"/>
    <w:rsid w:val="0061233F"/>
    <w:rsid w:val="00612C59"/>
    <w:rsid w:val="00613415"/>
    <w:rsid w:val="00613909"/>
    <w:rsid w:val="00613A8C"/>
    <w:rsid w:val="00614934"/>
    <w:rsid w:val="00614F50"/>
    <w:rsid w:val="00614FF8"/>
    <w:rsid w:val="00615AAA"/>
    <w:rsid w:val="00615BA7"/>
    <w:rsid w:val="006160D1"/>
    <w:rsid w:val="006166A8"/>
    <w:rsid w:val="0061685B"/>
    <w:rsid w:val="0061688E"/>
    <w:rsid w:val="006175D5"/>
    <w:rsid w:val="00620173"/>
    <w:rsid w:val="00621318"/>
    <w:rsid w:val="00621A2F"/>
    <w:rsid w:val="00622CB0"/>
    <w:rsid w:val="00623DB5"/>
    <w:rsid w:val="00624747"/>
    <w:rsid w:val="00624B73"/>
    <w:rsid w:val="006251A5"/>
    <w:rsid w:val="006253E7"/>
    <w:rsid w:val="00625603"/>
    <w:rsid w:val="00625F26"/>
    <w:rsid w:val="006262A4"/>
    <w:rsid w:val="006263B0"/>
    <w:rsid w:val="006275E3"/>
    <w:rsid w:val="006279E5"/>
    <w:rsid w:val="0063018A"/>
    <w:rsid w:val="0063088C"/>
    <w:rsid w:val="006319F2"/>
    <w:rsid w:val="006328E1"/>
    <w:rsid w:val="0063306C"/>
    <w:rsid w:val="0063332A"/>
    <w:rsid w:val="00633BE4"/>
    <w:rsid w:val="00634227"/>
    <w:rsid w:val="00634377"/>
    <w:rsid w:val="006344A5"/>
    <w:rsid w:val="0063492E"/>
    <w:rsid w:val="006357C0"/>
    <w:rsid w:val="00636674"/>
    <w:rsid w:val="00640BFF"/>
    <w:rsid w:val="00640C0A"/>
    <w:rsid w:val="0064149F"/>
    <w:rsid w:val="006416D4"/>
    <w:rsid w:val="00641DC4"/>
    <w:rsid w:val="00642886"/>
    <w:rsid w:val="00642DE9"/>
    <w:rsid w:val="00643953"/>
    <w:rsid w:val="006440E3"/>
    <w:rsid w:val="00644688"/>
    <w:rsid w:val="00645150"/>
    <w:rsid w:val="00645379"/>
    <w:rsid w:val="00645741"/>
    <w:rsid w:val="006457FF"/>
    <w:rsid w:val="00646328"/>
    <w:rsid w:val="00646E7F"/>
    <w:rsid w:val="00647208"/>
    <w:rsid w:val="006476D8"/>
    <w:rsid w:val="00647B4D"/>
    <w:rsid w:val="006505A6"/>
    <w:rsid w:val="00650CB8"/>
    <w:rsid w:val="00651204"/>
    <w:rsid w:val="00651C31"/>
    <w:rsid w:val="00651F38"/>
    <w:rsid w:val="0065268E"/>
    <w:rsid w:val="006526D6"/>
    <w:rsid w:val="00654660"/>
    <w:rsid w:val="00654CD9"/>
    <w:rsid w:val="00654DD4"/>
    <w:rsid w:val="00655410"/>
    <w:rsid w:val="00655A15"/>
    <w:rsid w:val="00655D23"/>
    <w:rsid w:val="00655F63"/>
    <w:rsid w:val="00656504"/>
    <w:rsid w:val="0065671B"/>
    <w:rsid w:val="00656BD0"/>
    <w:rsid w:val="00657712"/>
    <w:rsid w:val="00657B86"/>
    <w:rsid w:val="006605B6"/>
    <w:rsid w:val="0066080F"/>
    <w:rsid w:val="00661B4D"/>
    <w:rsid w:val="00661B97"/>
    <w:rsid w:val="00661F1D"/>
    <w:rsid w:val="00661F26"/>
    <w:rsid w:val="00662AE3"/>
    <w:rsid w:val="00662D46"/>
    <w:rsid w:val="00662EF6"/>
    <w:rsid w:val="0066407A"/>
    <w:rsid w:val="0066428D"/>
    <w:rsid w:val="00664A57"/>
    <w:rsid w:val="006655C1"/>
    <w:rsid w:val="006656F5"/>
    <w:rsid w:val="00665B1E"/>
    <w:rsid w:val="00665B9E"/>
    <w:rsid w:val="0066608E"/>
    <w:rsid w:val="006661E6"/>
    <w:rsid w:val="006665DE"/>
    <w:rsid w:val="00666A3B"/>
    <w:rsid w:val="00666B67"/>
    <w:rsid w:val="006671B1"/>
    <w:rsid w:val="006672AE"/>
    <w:rsid w:val="00667CF6"/>
    <w:rsid w:val="00671C65"/>
    <w:rsid w:val="00672168"/>
    <w:rsid w:val="0067284F"/>
    <w:rsid w:val="00672D17"/>
    <w:rsid w:val="00672DB8"/>
    <w:rsid w:val="00672F6C"/>
    <w:rsid w:val="0067314C"/>
    <w:rsid w:val="00673458"/>
    <w:rsid w:val="0067438F"/>
    <w:rsid w:val="00674437"/>
    <w:rsid w:val="0067483D"/>
    <w:rsid w:val="00674A4A"/>
    <w:rsid w:val="00675573"/>
    <w:rsid w:val="006755E3"/>
    <w:rsid w:val="006764BD"/>
    <w:rsid w:val="006777DD"/>
    <w:rsid w:val="00677C94"/>
    <w:rsid w:val="006808E8"/>
    <w:rsid w:val="006816CE"/>
    <w:rsid w:val="00681DD5"/>
    <w:rsid w:val="0068203F"/>
    <w:rsid w:val="006824E1"/>
    <w:rsid w:val="00682937"/>
    <w:rsid w:val="00682F30"/>
    <w:rsid w:val="0068318D"/>
    <w:rsid w:val="00683DFD"/>
    <w:rsid w:val="00684933"/>
    <w:rsid w:val="006859FA"/>
    <w:rsid w:val="0068627C"/>
    <w:rsid w:val="00686864"/>
    <w:rsid w:val="00686A71"/>
    <w:rsid w:val="00686D55"/>
    <w:rsid w:val="00687C59"/>
    <w:rsid w:val="00690206"/>
    <w:rsid w:val="00690820"/>
    <w:rsid w:val="00690C17"/>
    <w:rsid w:val="00691801"/>
    <w:rsid w:val="00691F6C"/>
    <w:rsid w:val="006925E7"/>
    <w:rsid w:val="00692E94"/>
    <w:rsid w:val="0069305E"/>
    <w:rsid w:val="00693463"/>
    <w:rsid w:val="0069370E"/>
    <w:rsid w:val="006943F4"/>
    <w:rsid w:val="006947E7"/>
    <w:rsid w:val="006951ED"/>
    <w:rsid w:val="0069540D"/>
    <w:rsid w:val="00697433"/>
    <w:rsid w:val="00697C20"/>
    <w:rsid w:val="006A0B1D"/>
    <w:rsid w:val="006A285A"/>
    <w:rsid w:val="006A2A4E"/>
    <w:rsid w:val="006A2ECF"/>
    <w:rsid w:val="006A30E5"/>
    <w:rsid w:val="006A34C2"/>
    <w:rsid w:val="006A4156"/>
    <w:rsid w:val="006A452A"/>
    <w:rsid w:val="006A45BB"/>
    <w:rsid w:val="006A48B4"/>
    <w:rsid w:val="006A4DC1"/>
    <w:rsid w:val="006A6551"/>
    <w:rsid w:val="006A673F"/>
    <w:rsid w:val="006A6F9C"/>
    <w:rsid w:val="006A6FDC"/>
    <w:rsid w:val="006A7595"/>
    <w:rsid w:val="006A777E"/>
    <w:rsid w:val="006A7DD4"/>
    <w:rsid w:val="006B1E90"/>
    <w:rsid w:val="006B2349"/>
    <w:rsid w:val="006B27E1"/>
    <w:rsid w:val="006B2817"/>
    <w:rsid w:val="006B2CE3"/>
    <w:rsid w:val="006B3958"/>
    <w:rsid w:val="006B3AEE"/>
    <w:rsid w:val="006B3E75"/>
    <w:rsid w:val="006B4287"/>
    <w:rsid w:val="006B462E"/>
    <w:rsid w:val="006B4AE5"/>
    <w:rsid w:val="006B4C26"/>
    <w:rsid w:val="006B5FFC"/>
    <w:rsid w:val="006B686E"/>
    <w:rsid w:val="006B68E7"/>
    <w:rsid w:val="006B69E1"/>
    <w:rsid w:val="006B6CA8"/>
    <w:rsid w:val="006B6CBA"/>
    <w:rsid w:val="006B6E72"/>
    <w:rsid w:val="006B7DCE"/>
    <w:rsid w:val="006C0512"/>
    <w:rsid w:val="006C0946"/>
    <w:rsid w:val="006C10E1"/>
    <w:rsid w:val="006C1778"/>
    <w:rsid w:val="006C1E83"/>
    <w:rsid w:val="006C42B0"/>
    <w:rsid w:val="006C4305"/>
    <w:rsid w:val="006C459F"/>
    <w:rsid w:val="006C4E0D"/>
    <w:rsid w:val="006C5900"/>
    <w:rsid w:val="006C652F"/>
    <w:rsid w:val="006C6732"/>
    <w:rsid w:val="006C684A"/>
    <w:rsid w:val="006C68F4"/>
    <w:rsid w:val="006C6D10"/>
    <w:rsid w:val="006C7F3F"/>
    <w:rsid w:val="006D0A2E"/>
    <w:rsid w:val="006D2BAB"/>
    <w:rsid w:val="006D2C3D"/>
    <w:rsid w:val="006D3414"/>
    <w:rsid w:val="006D3971"/>
    <w:rsid w:val="006D3C7B"/>
    <w:rsid w:val="006D4B9F"/>
    <w:rsid w:val="006D4F87"/>
    <w:rsid w:val="006D4FB1"/>
    <w:rsid w:val="006D5827"/>
    <w:rsid w:val="006D5A87"/>
    <w:rsid w:val="006D5DB3"/>
    <w:rsid w:val="006D5DFF"/>
    <w:rsid w:val="006D63FA"/>
    <w:rsid w:val="006E1149"/>
    <w:rsid w:val="006E16EE"/>
    <w:rsid w:val="006E24B0"/>
    <w:rsid w:val="006E29FE"/>
    <w:rsid w:val="006E3127"/>
    <w:rsid w:val="006E3511"/>
    <w:rsid w:val="006E45A5"/>
    <w:rsid w:val="006E4E23"/>
    <w:rsid w:val="006E5548"/>
    <w:rsid w:val="006E5673"/>
    <w:rsid w:val="006E56C4"/>
    <w:rsid w:val="006E571B"/>
    <w:rsid w:val="006E5B86"/>
    <w:rsid w:val="006E64B6"/>
    <w:rsid w:val="006E65DD"/>
    <w:rsid w:val="006E68CB"/>
    <w:rsid w:val="006E7C2A"/>
    <w:rsid w:val="006F2CB0"/>
    <w:rsid w:val="006F312F"/>
    <w:rsid w:val="006F3335"/>
    <w:rsid w:val="006F33A6"/>
    <w:rsid w:val="006F3C1D"/>
    <w:rsid w:val="006F3C77"/>
    <w:rsid w:val="006F3EC5"/>
    <w:rsid w:val="006F5916"/>
    <w:rsid w:val="006F643A"/>
    <w:rsid w:val="006F656A"/>
    <w:rsid w:val="006F696C"/>
    <w:rsid w:val="006F6B81"/>
    <w:rsid w:val="006F7816"/>
    <w:rsid w:val="006F79E0"/>
    <w:rsid w:val="006F7B00"/>
    <w:rsid w:val="006F7FC4"/>
    <w:rsid w:val="00700811"/>
    <w:rsid w:val="00701C9C"/>
    <w:rsid w:val="00701CA4"/>
    <w:rsid w:val="00702571"/>
    <w:rsid w:val="007027EA"/>
    <w:rsid w:val="00702CB1"/>
    <w:rsid w:val="007036ED"/>
    <w:rsid w:val="00703B1F"/>
    <w:rsid w:val="00703DB5"/>
    <w:rsid w:val="00703E38"/>
    <w:rsid w:val="0070441F"/>
    <w:rsid w:val="00705957"/>
    <w:rsid w:val="0070633B"/>
    <w:rsid w:val="00706A4C"/>
    <w:rsid w:val="00706C56"/>
    <w:rsid w:val="00706F65"/>
    <w:rsid w:val="007071C0"/>
    <w:rsid w:val="00707789"/>
    <w:rsid w:val="007103D0"/>
    <w:rsid w:val="00710497"/>
    <w:rsid w:val="00710D08"/>
    <w:rsid w:val="00710DE8"/>
    <w:rsid w:val="00711688"/>
    <w:rsid w:val="007118EA"/>
    <w:rsid w:val="007125F0"/>
    <w:rsid w:val="0071332A"/>
    <w:rsid w:val="00713AA4"/>
    <w:rsid w:val="0071425B"/>
    <w:rsid w:val="007147BD"/>
    <w:rsid w:val="00715DB5"/>
    <w:rsid w:val="007163FE"/>
    <w:rsid w:val="007177B2"/>
    <w:rsid w:val="00717F47"/>
    <w:rsid w:val="0072004D"/>
    <w:rsid w:val="00720354"/>
    <w:rsid w:val="00720C9C"/>
    <w:rsid w:val="007215AB"/>
    <w:rsid w:val="00721CFB"/>
    <w:rsid w:val="00721D01"/>
    <w:rsid w:val="00722029"/>
    <w:rsid w:val="00722186"/>
    <w:rsid w:val="00722F73"/>
    <w:rsid w:val="0072389B"/>
    <w:rsid w:val="00724211"/>
    <w:rsid w:val="00724464"/>
    <w:rsid w:val="00724582"/>
    <w:rsid w:val="0072554F"/>
    <w:rsid w:val="007259CC"/>
    <w:rsid w:val="007260A0"/>
    <w:rsid w:val="0072626B"/>
    <w:rsid w:val="00727C5E"/>
    <w:rsid w:val="007303E5"/>
    <w:rsid w:val="0073107E"/>
    <w:rsid w:val="0073108E"/>
    <w:rsid w:val="00731EA7"/>
    <w:rsid w:val="0073231E"/>
    <w:rsid w:val="00732EBF"/>
    <w:rsid w:val="00733446"/>
    <w:rsid w:val="00733D15"/>
    <w:rsid w:val="00735068"/>
    <w:rsid w:val="00735105"/>
    <w:rsid w:val="00735FD4"/>
    <w:rsid w:val="007361AD"/>
    <w:rsid w:val="00736237"/>
    <w:rsid w:val="007364EF"/>
    <w:rsid w:val="007367AF"/>
    <w:rsid w:val="00736A1E"/>
    <w:rsid w:val="00737C27"/>
    <w:rsid w:val="00737E8A"/>
    <w:rsid w:val="0074062C"/>
    <w:rsid w:val="0074082A"/>
    <w:rsid w:val="00740977"/>
    <w:rsid w:val="00741091"/>
    <w:rsid w:val="007413B5"/>
    <w:rsid w:val="00741D77"/>
    <w:rsid w:val="007420D9"/>
    <w:rsid w:val="0074251B"/>
    <w:rsid w:val="007427FD"/>
    <w:rsid w:val="007433B9"/>
    <w:rsid w:val="00744287"/>
    <w:rsid w:val="0074473F"/>
    <w:rsid w:val="00745A3A"/>
    <w:rsid w:val="00745A48"/>
    <w:rsid w:val="007462D8"/>
    <w:rsid w:val="00746EEF"/>
    <w:rsid w:val="007475A9"/>
    <w:rsid w:val="00747711"/>
    <w:rsid w:val="00747C99"/>
    <w:rsid w:val="00750BCA"/>
    <w:rsid w:val="00751911"/>
    <w:rsid w:val="00751BFC"/>
    <w:rsid w:val="007520F7"/>
    <w:rsid w:val="00752CB0"/>
    <w:rsid w:val="00753594"/>
    <w:rsid w:val="00753768"/>
    <w:rsid w:val="00753C0B"/>
    <w:rsid w:val="00753C85"/>
    <w:rsid w:val="00754459"/>
    <w:rsid w:val="007548A8"/>
    <w:rsid w:val="007554A0"/>
    <w:rsid w:val="0075591F"/>
    <w:rsid w:val="007566ED"/>
    <w:rsid w:val="007579C6"/>
    <w:rsid w:val="00757C8C"/>
    <w:rsid w:val="00757E6A"/>
    <w:rsid w:val="0076085E"/>
    <w:rsid w:val="00760AA4"/>
    <w:rsid w:val="00760D3F"/>
    <w:rsid w:val="00762DC9"/>
    <w:rsid w:val="007635C5"/>
    <w:rsid w:val="00763787"/>
    <w:rsid w:val="00763A5A"/>
    <w:rsid w:val="0076464C"/>
    <w:rsid w:val="0076487E"/>
    <w:rsid w:val="00764E8E"/>
    <w:rsid w:val="00767FDB"/>
    <w:rsid w:val="00770174"/>
    <w:rsid w:val="00770515"/>
    <w:rsid w:val="0077058F"/>
    <w:rsid w:val="00770B32"/>
    <w:rsid w:val="00771605"/>
    <w:rsid w:val="0077483F"/>
    <w:rsid w:val="00775525"/>
    <w:rsid w:val="007756F1"/>
    <w:rsid w:val="00775C6B"/>
    <w:rsid w:val="00775D2C"/>
    <w:rsid w:val="00776C46"/>
    <w:rsid w:val="00777039"/>
    <w:rsid w:val="00777262"/>
    <w:rsid w:val="0077751F"/>
    <w:rsid w:val="00777966"/>
    <w:rsid w:val="00780EBF"/>
    <w:rsid w:val="00781384"/>
    <w:rsid w:val="0078143D"/>
    <w:rsid w:val="00781486"/>
    <w:rsid w:val="007821B0"/>
    <w:rsid w:val="00782B5B"/>
    <w:rsid w:val="00782B91"/>
    <w:rsid w:val="00783B08"/>
    <w:rsid w:val="00783D31"/>
    <w:rsid w:val="00784087"/>
    <w:rsid w:val="007847E9"/>
    <w:rsid w:val="00785832"/>
    <w:rsid w:val="00785A23"/>
    <w:rsid w:val="00785D11"/>
    <w:rsid w:val="007864E0"/>
    <w:rsid w:val="007865C2"/>
    <w:rsid w:val="0078675C"/>
    <w:rsid w:val="0078681D"/>
    <w:rsid w:val="00790200"/>
    <w:rsid w:val="00790679"/>
    <w:rsid w:val="00791D6C"/>
    <w:rsid w:val="007921A2"/>
    <w:rsid w:val="007923E9"/>
    <w:rsid w:val="00792575"/>
    <w:rsid w:val="00792796"/>
    <w:rsid w:val="007928D8"/>
    <w:rsid w:val="007928FD"/>
    <w:rsid w:val="00793C9D"/>
    <w:rsid w:val="00793F68"/>
    <w:rsid w:val="0079465E"/>
    <w:rsid w:val="007947FB"/>
    <w:rsid w:val="00794A35"/>
    <w:rsid w:val="00794ABE"/>
    <w:rsid w:val="00794B4B"/>
    <w:rsid w:val="00794BD4"/>
    <w:rsid w:val="00794D9E"/>
    <w:rsid w:val="00794DBB"/>
    <w:rsid w:val="00795686"/>
    <w:rsid w:val="00796B3A"/>
    <w:rsid w:val="007974DA"/>
    <w:rsid w:val="00797ED8"/>
    <w:rsid w:val="007A0064"/>
    <w:rsid w:val="007A0742"/>
    <w:rsid w:val="007A0917"/>
    <w:rsid w:val="007A0BF6"/>
    <w:rsid w:val="007A0C64"/>
    <w:rsid w:val="007A1585"/>
    <w:rsid w:val="007A1661"/>
    <w:rsid w:val="007A18A3"/>
    <w:rsid w:val="007A2A85"/>
    <w:rsid w:val="007A2C5D"/>
    <w:rsid w:val="007A2D31"/>
    <w:rsid w:val="007A36DF"/>
    <w:rsid w:val="007A4182"/>
    <w:rsid w:val="007A5876"/>
    <w:rsid w:val="007A595A"/>
    <w:rsid w:val="007A5D09"/>
    <w:rsid w:val="007A6159"/>
    <w:rsid w:val="007A69F2"/>
    <w:rsid w:val="007A6C3E"/>
    <w:rsid w:val="007B05FC"/>
    <w:rsid w:val="007B0E11"/>
    <w:rsid w:val="007B114A"/>
    <w:rsid w:val="007B12DD"/>
    <w:rsid w:val="007B14AC"/>
    <w:rsid w:val="007B1C9F"/>
    <w:rsid w:val="007B1E91"/>
    <w:rsid w:val="007B2E62"/>
    <w:rsid w:val="007B354A"/>
    <w:rsid w:val="007B357F"/>
    <w:rsid w:val="007B3953"/>
    <w:rsid w:val="007B3EE0"/>
    <w:rsid w:val="007B45B3"/>
    <w:rsid w:val="007B5FFF"/>
    <w:rsid w:val="007B632F"/>
    <w:rsid w:val="007B6A2A"/>
    <w:rsid w:val="007B6F48"/>
    <w:rsid w:val="007B709D"/>
    <w:rsid w:val="007B7983"/>
    <w:rsid w:val="007B7A4C"/>
    <w:rsid w:val="007B7AEE"/>
    <w:rsid w:val="007C009D"/>
    <w:rsid w:val="007C0D20"/>
    <w:rsid w:val="007C1461"/>
    <w:rsid w:val="007C1E39"/>
    <w:rsid w:val="007C1FFD"/>
    <w:rsid w:val="007C2DF0"/>
    <w:rsid w:val="007C3DA6"/>
    <w:rsid w:val="007C413C"/>
    <w:rsid w:val="007C47A7"/>
    <w:rsid w:val="007C4AF6"/>
    <w:rsid w:val="007C505D"/>
    <w:rsid w:val="007C54F1"/>
    <w:rsid w:val="007C5E9F"/>
    <w:rsid w:val="007C7252"/>
    <w:rsid w:val="007D0A26"/>
    <w:rsid w:val="007D0A58"/>
    <w:rsid w:val="007D1579"/>
    <w:rsid w:val="007D178E"/>
    <w:rsid w:val="007D209E"/>
    <w:rsid w:val="007D2379"/>
    <w:rsid w:val="007D257E"/>
    <w:rsid w:val="007D302E"/>
    <w:rsid w:val="007D37CC"/>
    <w:rsid w:val="007D3BA2"/>
    <w:rsid w:val="007D4024"/>
    <w:rsid w:val="007D4125"/>
    <w:rsid w:val="007D4371"/>
    <w:rsid w:val="007D46C9"/>
    <w:rsid w:val="007D49EC"/>
    <w:rsid w:val="007D4BE1"/>
    <w:rsid w:val="007D60AD"/>
    <w:rsid w:val="007D62A8"/>
    <w:rsid w:val="007E0468"/>
    <w:rsid w:val="007E06AE"/>
    <w:rsid w:val="007E19FB"/>
    <w:rsid w:val="007E1FE6"/>
    <w:rsid w:val="007E22F5"/>
    <w:rsid w:val="007E2ADF"/>
    <w:rsid w:val="007E43EB"/>
    <w:rsid w:val="007E4571"/>
    <w:rsid w:val="007E4FA8"/>
    <w:rsid w:val="007E6806"/>
    <w:rsid w:val="007E6D04"/>
    <w:rsid w:val="007E6E84"/>
    <w:rsid w:val="007E7AED"/>
    <w:rsid w:val="007F1A2A"/>
    <w:rsid w:val="007F1CD2"/>
    <w:rsid w:val="007F23A9"/>
    <w:rsid w:val="007F2D19"/>
    <w:rsid w:val="007F2DEE"/>
    <w:rsid w:val="007F42B1"/>
    <w:rsid w:val="007F4716"/>
    <w:rsid w:val="007F4969"/>
    <w:rsid w:val="007F51EB"/>
    <w:rsid w:val="007F5A71"/>
    <w:rsid w:val="007F6225"/>
    <w:rsid w:val="007F697C"/>
    <w:rsid w:val="007F6F09"/>
    <w:rsid w:val="007F7630"/>
    <w:rsid w:val="008007BD"/>
    <w:rsid w:val="00800CCF"/>
    <w:rsid w:val="00800DB0"/>
    <w:rsid w:val="0080111A"/>
    <w:rsid w:val="0080249A"/>
    <w:rsid w:val="008025CA"/>
    <w:rsid w:val="00802669"/>
    <w:rsid w:val="008027FE"/>
    <w:rsid w:val="0080415F"/>
    <w:rsid w:val="00804FAF"/>
    <w:rsid w:val="00805701"/>
    <w:rsid w:val="00805FEC"/>
    <w:rsid w:val="00806272"/>
    <w:rsid w:val="00806417"/>
    <w:rsid w:val="008067CF"/>
    <w:rsid w:val="008076B9"/>
    <w:rsid w:val="00807873"/>
    <w:rsid w:val="008078E6"/>
    <w:rsid w:val="00807A05"/>
    <w:rsid w:val="00807F91"/>
    <w:rsid w:val="008115B9"/>
    <w:rsid w:val="008118B5"/>
    <w:rsid w:val="00812047"/>
    <w:rsid w:val="008121D8"/>
    <w:rsid w:val="00813772"/>
    <w:rsid w:val="0081417C"/>
    <w:rsid w:val="008141BB"/>
    <w:rsid w:val="008144E9"/>
    <w:rsid w:val="00814AA1"/>
    <w:rsid w:val="00815627"/>
    <w:rsid w:val="00816885"/>
    <w:rsid w:val="00816B4D"/>
    <w:rsid w:val="00816D1D"/>
    <w:rsid w:val="008176F7"/>
    <w:rsid w:val="00817D5D"/>
    <w:rsid w:val="00820666"/>
    <w:rsid w:val="008214FC"/>
    <w:rsid w:val="008217BF"/>
    <w:rsid w:val="00821FCE"/>
    <w:rsid w:val="00822381"/>
    <w:rsid w:val="008226C1"/>
    <w:rsid w:val="008240B6"/>
    <w:rsid w:val="00824122"/>
    <w:rsid w:val="00824582"/>
    <w:rsid w:val="00824B00"/>
    <w:rsid w:val="00825557"/>
    <w:rsid w:val="008257DB"/>
    <w:rsid w:val="00825B40"/>
    <w:rsid w:val="0082651A"/>
    <w:rsid w:val="00826881"/>
    <w:rsid w:val="00827FE7"/>
    <w:rsid w:val="0083030C"/>
    <w:rsid w:val="0083092E"/>
    <w:rsid w:val="00830A73"/>
    <w:rsid w:val="00830A7D"/>
    <w:rsid w:val="00831487"/>
    <w:rsid w:val="008318F6"/>
    <w:rsid w:val="008319C5"/>
    <w:rsid w:val="00831ECD"/>
    <w:rsid w:val="00832052"/>
    <w:rsid w:val="00832892"/>
    <w:rsid w:val="00833121"/>
    <w:rsid w:val="008343C0"/>
    <w:rsid w:val="00834F77"/>
    <w:rsid w:val="0083577A"/>
    <w:rsid w:val="008367CC"/>
    <w:rsid w:val="00836BA7"/>
    <w:rsid w:val="00836CF4"/>
    <w:rsid w:val="00837551"/>
    <w:rsid w:val="008402FF"/>
    <w:rsid w:val="00841D0D"/>
    <w:rsid w:val="00841EEC"/>
    <w:rsid w:val="008431DF"/>
    <w:rsid w:val="008434D5"/>
    <w:rsid w:val="008434FF"/>
    <w:rsid w:val="0084406B"/>
    <w:rsid w:val="008441E3"/>
    <w:rsid w:val="008442C6"/>
    <w:rsid w:val="00844544"/>
    <w:rsid w:val="008446B0"/>
    <w:rsid w:val="00844E17"/>
    <w:rsid w:val="00845500"/>
    <w:rsid w:val="00845D9C"/>
    <w:rsid w:val="00846292"/>
    <w:rsid w:val="00846A5C"/>
    <w:rsid w:val="00846BB7"/>
    <w:rsid w:val="00850CA2"/>
    <w:rsid w:val="008514DF"/>
    <w:rsid w:val="0085274F"/>
    <w:rsid w:val="00852A98"/>
    <w:rsid w:val="008533C8"/>
    <w:rsid w:val="00853998"/>
    <w:rsid w:val="00853CD9"/>
    <w:rsid w:val="0085425C"/>
    <w:rsid w:val="0085444A"/>
    <w:rsid w:val="008561E4"/>
    <w:rsid w:val="008573F1"/>
    <w:rsid w:val="00861096"/>
    <w:rsid w:val="00861E5C"/>
    <w:rsid w:val="00862073"/>
    <w:rsid w:val="00862BD3"/>
    <w:rsid w:val="00862E6C"/>
    <w:rsid w:val="0086376D"/>
    <w:rsid w:val="0086391D"/>
    <w:rsid w:val="00864298"/>
    <w:rsid w:val="008647E9"/>
    <w:rsid w:val="00864B71"/>
    <w:rsid w:val="00865092"/>
    <w:rsid w:val="00865240"/>
    <w:rsid w:val="00866127"/>
    <w:rsid w:val="00866303"/>
    <w:rsid w:val="00866AC4"/>
    <w:rsid w:val="008670C1"/>
    <w:rsid w:val="00867B7B"/>
    <w:rsid w:val="008706BF"/>
    <w:rsid w:val="00870AA2"/>
    <w:rsid w:val="008718C3"/>
    <w:rsid w:val="0087206C"/>
    <w:rsid w:val="008720E9"/>
    <w:rsid w:val="0087287B"/>
    <w:rsid w:val="0087314A"/>
    <w:rsid w:val="0087345A"/>
    <w:rsid w:val="00873A9F"/>
    <w:rsid w:val="00874A9A"/>
    <w:rsid w:val="00874DDB"/>
    <w:rsid w:val="00875E7E"/>
    <w:rsid w:val="00876B8B"/>
    <w:rsid w:val="008800A2"/>
    <w:rsid w:val="00880213"/>
    <w:rsid w:val="00880FBB"/>
    <w:rsid w:val="008812BC"/>
    <w:rsid w:val="008828E6"/>
    <w:rsid w:val="008837F5"/>
    <w:rsid w:val="00883CE8"/>
    <w:rsid w:val="00883EBE"/>
    <w:rsid w:val="008846B9"/>
    <w:rsid w:val="008846E8"/>
    <w:rsid w:val="00884AAF"/>
    <w:rsid w:val="00884CFA"/>
    <w:rsid w:val="008850B5"/>
    <w:rsid w:val="0088590D"/>
    <w:rsid w:val="008859A1"/>
    <w:rsid w:val="0088615F"/>
    <w:rsid w:val="00886B40"/>
    <w:rsid w:val="0089070B"/>
    <w:rsid w:val="0089091B"/>
    <w:rsid w:val="0089150A"/>
    <w:rsid w:val="00891F02"/>
    <w:rsid w:val="008920FE"/>
    <w:rsid w:val="008938C1"/>
    <w:rsid w:val="00893E38"/>
    <w:rsid w:val="00895892"/>
    <w:rsid w:val="00895D5E"/>
    <w:rsid w:val="00896885"/>
    <w:rsid w:val="00896950"/>
    <w:rsid w:val="00896D79"/>
    <w:rsid w:val="008971C4"/>
    <w:rsid w:val="008A027A"/>
    <w:rsid w:val="008A15F3"/>
    <w:rsid w:val="008A1806"/>
    <w:rsid w:val="008A224C"/>
    <w:rsid w:val="008A3708"/>
    <w:rsid w:val="008A3C77"/>
    <w:rsid w:val="008A40F7"/>
    <w:rsid w:val="008A4490"/>
    <w:rsid w:val="008A4F7F"/>
    <w:rsid w:val="008A5561"/>
    <w:rsid w:val="008A711A"/>
    <w:rsid w:val="008A7E87"/>
    <w:rsid w:val="008B0018"/>
    <w:rsid w:val="008B103B"/>
    <w:rsid w:val="008B10BD"/>
    <w:rsid w:val="008B1694"/>
    <w:rsid w:val="008B1FBB"/>
    <w:rsid w:val="008B2125"/>
    <w:rsid w:val="008B22A6"/>
    <w:rsid w:val="008B2DFC"/>
    <w:rsid w:val="008B2E23"/>
    <w:rsid w:val="008B4F38"/>
    <w:rsid w:val="008B5007"/>
    <w:rsid w:val="008B5519"/>
    <w:rsid w:val="008B5C03"/>
    <w:rsid w:val="008B5C61"/>
    <w:rsid w:val="008B61A8"/>
    <w:rsid w:val="008C1108"/>
    <w:rsid w:val="008C154D"/>
    <w:rsid w:val="008C1B4B"/>
    <w:rsid w:val="008C1C5B"/>
    <w:rsid w:val="008C2956"/>
    <w:rsid w:val="008C37F4"/>
    <w:rsid w:val="008C655D"/>
    <w:rsid w:val="008C6A9C"/>
    <w:rsid w:val="008C738A"/>
    <w:rsid w:val="008C7541"/>
    <w:rsid w:val="008D01CE"/>
    <w:rsid w:val="008D01D6"/>
    <w:rsid w:val="008D07FD"/>
    <w:rsid w:val="008D12AA"/>
    <w:rsid w:val="008D14E1"/>
    <w:rsid w:val="008D1A99"/>
    <w:rsid w:val="008D1B6B"/>
    <w:rsid w:val="008D3190"/>
    <w:rsid w:val="008D3F53"/>
    <w:rsid w:val="008D500F"/>
    <w:rsid w:val="008D54B1"/>
    <w:rsid w:val="008D5DCC"/>
    <w:rsid w:val="008D693A"/>
    <w:rsid w:val="008D7702"/>
    <w:rsid w:val="008E0755"/>
    <w:rsid w:val="008E09AA"/>
    <w:rsid w:val="008E1DFA"/>
    <w:rsid w:val="008E36D3"/>
    <w:rsid w:val="008E3750"/>
    <w:rsid w:val="008E3868"/>
    <w:rsid w:val="008E3DE8"/>
    <w:rsid w:val="008E4443"/>
    <w:rsid w:val="008E4FC0"/>
    <w:rsid w:val="008E5417"/>
    <w:rsid w:val="008E56C4"/>
    <w:rsid w:val="008E5B16"/>
    <w:rsid w:val="008E5FA0"/>
    <w:rsid w:val="008E6340"/>
    <w:rsid w:val="008F30ED"/>
    <w:rsid w:val="008F314C"/>
    <w:rsid w:val="008F353B"/>
    <w:rsid w:val="008F39AE"/>
    <w:rsid w:val="008F3D05"/>
    <w:rsid w:val="008F3F19"/>
    <w:rsid w:val="008F441E"/>
    <w:rsid w:val="008F4C5D"/>
    <w:rsid w:val="008F4CDE"/>
    <w:rsid w:val="008F4DAE"/>
    <w:rsid w:val="008F4EE5"/>
    <w:rsid w:val="008F5401"/>
    <w:rsid w:val="008F5B74"/>
    <w:rsid w:val="008F617F"/>
    <w:rsid w:val="008F66FA"/>
    <w:rsid w:val="008F693A"/>
    <w:rsid w:val="008F718E"/>
    <w:rsid w:val="008F7838"/>
    <w:rsid w:val="00900C86"/>
    <w:rsid w:val="00900D00"/>
    <w:rsid w:val="0090140D"/>
    <w:rsid w:val="009027A8"/>
    <w:rsid w:val="00902C9B"/>
    <w:rsid w:val="009041C1"/>
    <w:rsid w:val="00905A77"/>
    <w:rsid w:val="00905FDA"/>
    <w:rsid w:val="0090641C"/>
    <w:rsid w:val="00906747"/>
    <w:rsid w:val="009072C1"/>
    <w:rsid w:val="00907940"/>
    <w:rsid w:val="00907EB2"/>
    <w:rsid w:val="00907FE0"/>
    <w:rsid w:val="00910051"/>
    <w:rsid w:val="00910B25"/>
    <w:rsid w:val="00911220"/>
    <w:rsid w:val="009118EC"/>
    <w:rsid w:val="009123E6"/>
    <w:rsid w:val="00912412"/>
    <w:rsid w:val="00913D6A"/>
    <w:rsid w:val="009147E0"/>
    <w:rsid w:val="0091492C"/>
    <w:rsid w:val="009151E5"/>
    <w:rsid w:val="00916A09"/>
    <w:rsid w:val="00916F4C"/>
    <w:rsid w:val="00917280"/>
    <w:rsid w:val="00917701"/>
    <w:rsid w:val="00917717"/>
    <w:rsid w:val="00917805"/>
    <w:rsid w:val="00920016"/>
    <w:rsid w:val="0092076D"/>
    <w:rsid w:val="00920798"/>
    <w:rsid w:val="00920D08"/>
    <w:rsid w:val="00921182"/>
    <w:rsid w:val="00921699"/>
    <w:rsid w:val="00921F91"/>
    <w:rsid w:val="00922890"/>
    <w:rsid w:val="009230C6"/>
    <w:rsid w:val="00924516"/>
    <w:rsid w:val="00924D55"/>
    <w:rsid w:val="00925D2C"/>
    <w:rsid w:val="00926A9F"/>
    <w:rsid w:val="00926D2F"/>
    <w:rsid w:val="00926E76"/>
    <w:rsid w:val="00927FFE"/>
    <w:rsid w:val="00930ED1"/>
    <w:rsid w:val="00931937"/>
    <w:rsid w:val="00931C9E"/>
    <w:rsid w:val="009329EE"/>
    <w:rsid w:val="00932EA9"/>
    <w:rsid w:val="00932FE7"/>
    <w:rsid w:val="00933779"/>
    <w:rsid w:val="00934554"/>
    <w:rsid w:val="009348A9"/>
    <w:rsid w:val="00934D3A"/>
    <w:rsid w:val="00934F0B"/>
    <w:rsid w:val="009353E3"/>
    <w:rsid w:val="00935A1C"/>
    <w:rsid w:val="00935B7B"/>
    <w:rsid w:val="00935E09"/>
    <w:rsid w:val="00935F9A"/>
    <w:rsid w:val="0093682A"/>
    <w:rsid w:val="00937312"/>
    <w:rsid w:val="0093741A"/>
    <w:rsid w:val="00937A09"/>
    <w:rsid w:val="00937B28"/>
    <w:rsid w:val="00937D44"/>
    <w:rsid w:val="00940B3B"/>
    <w:rsid w:val="009419CA"/>
    <w:rsid w:val="0094261F"/>
    <w:rsid w:val="0094269A"/>
    <w:rsid w:val="00942CFA"/>
    <w:rsid w:val="009437F3"/>
    <w:rsid w:val="00945158"/>
    <w:rsid w:val="00945C7A"/>
    <w:rsid w:val="00946FA7"/>
    <w:rsid w:val="009472F5"/>
    <w:rsid w:val="00947680"/>
    <w:rsid w:val="00947FA1"/>
    <w:rsid w:val="00950351"/>
    <w:rsid w:val="00950422"/>
    <w:rsid w:val="00951551"/>
    <w:rsid w:val="00951DF3"/>
    <w:rsid w:val="00952025"/>
    <w:rsid w:val="00952427"/>
    <w:rsid w:val="009529B6"/>
    <w:rsid w:val="00952F72"/>
    <w:rsid w:val="0095348A"/>
    <w:rsid w:val="00954105"/>
    <w:rsid w:val="00954119"/>
    <w:rsid w:val="00955101"/>
    <w:rsid w:val="00955293"/>
    <w:rsid w:val="00955D25"/>
    <w:rsid w:val="00955E0F"/>
    <w:rsid w:val="0095647A"/>
    <w:rsid w:val="009568ED"/>
    <w:rsid w:val="0095724C"/>
    <w:rsid w:val="009575E4"/>
    <w:rsid w:val="00960907"/>
    <w:rsid w:val="00960CDD"/>
    <w:rsid w:val="0096143F"/>
    <w:rsid w:val="00961589"/>
    <w:rsid w:val="00961A19"/>
    <w:rsid w:val="0096262B"/>
    <w:rsid w:val="00962AA2"/>
    <w:rsid w:val="00962F07"/>
    <w:rsid w:val="00963AAE"/>
    <w:rsid w:val="00965E92"/>
    <w:rsid w:val="00966061"/>
    <w:rsid w:val="0096626F"/>
    <w:rsid w:val="00966380"/>
    <w:rsid w:val="00966910"/>
    <w:rsid w:val="00966946"/>
    <w:rsid w:val="00966C74"/>
    <w:rsid w:val="009674C3"/>
    <w:rsid w:val="00971B91"/>
    <w:rsid w:val="00971C20"/>
    <w:rsid w:val="00973062"/>
    <w:rsid w:val="00974766"/>
    <w:rsid w:val="009747BE"/>
    <w:rsid w:val="00974B88"/>
    <w:rsid w:val="009760B2"/>
    <w:rsid w:val="00976196"/>
    <w:rsid w:val="009762EE"/>
    <w:rsid w:val="00976443"/>
    <w:rsid w:val="00976810"/>
    <w:rsid w:val="009803C6"/>
    <w:rsid w:val="009806D5"/>
    <w:rsid w:val="00981047"/>
    <w:rsid w:val="0098188B"/>
    <w:rsid w:val="00981EA7"/>
    <w:rsid w:val="009820EA"/>
    <w:rsid w:val="0098225F"/>
    <w:rsid w:val="00982632"/>
    <w:rsid w:val="00983018"/>
    <w:rsid w:val="00983480"/>
    <w:rsid w:val="009839B5"/>
    <w:rsid w:val="00984734"/>
    <w:rsid w:val="00984C8B"/>
    <w:rsid w:val="00984D5B"/>
    <w:rsid w:val="00985AC5"/>
    <w:rsid w:val="00985C8E"/>
    <w:rsid w:val="009864F0"/>
    <w:rsid w:val="00986865"/>
    <w:rsid w:val="00987763"/>
    <w:rsid w:val="00987CEF"/>
    <w:rsid w:val="009900D9"/>
    <w:rsid w:val="00990A95"/>
    <w:rsid w:val="00990A9C"/>
    <w:rsid w:val="0099107B"/>
    <w:rsid w:val="00992058"/>
    <w:rsid w:val="0099325A"/>
    <w:rsid w:val="0099363B"/>
    <w:rsid w:val="00993A31"/>
    <w:rsid w:val="00994286"/>
    <w:rsid w:val="009945AD"/>
    <w:rsid w:val="00994AA0"/>
    <w:rsid w:val="009970CC"/>
    <w:rsid w:val="00997157"/>
    <w:rsid w:val="00997F62"/>
    <w:rsid w:val="009A068A"/>
    <w:rsid w:val="009A2406"/>
    <w:rsid w:val="009A3EB3"/>
    <w:rsid w:val="009A4E2E"/>
    <w:rsid w:val="009A53AB"/>
    <w:rsid w:val="009A591A"/>
    <w:rsid w:val="009A5A4A"/>
    <w:rsid w:val="009A5DA9"/>
    <w:rsid w:val="009A7EF7"/>
    <w:rsid w:val="009A7FD0"/>
    <w:rsid w:val="009B02F3"/>
    <w:rsid w:val="009B0E92"/>
    <w:rsid w:val="009B1E0D"/>
    <w:rsid w:val="009B4C3F"/>
    <w:rsid w:val="009B531F"/>
    <w:rsid w:val="009B536B"/>
    <w:rsid w:val="009B5628"/>
    <w:rsid w:val="009B56BA"/>
    <w:rsid w:val="009B57D6"/>
    <w:rsid w:val="009B5DE0"/>
    <w:rsid w:val="009B6852"/>
    <w:rsid w:val="009B692E"/>
    <w:rsid w:val="009B73D3"/>
    <w:rsid w:val="009B7B95"/>
    <w:rsid w:val="009C030E"/>
    <w:rsid w:val="009C05DB"/>
    <w:rsid w:val="009C06EE"/>
    <w:rsid w:val="009C0720"/>
    <w:rsid w:val="009C1123"/>
    <w:rsid w:val="009C2870"/>
    <w:rsid w:val="009C2E8B"/>
    <w:rsid w:val="009C2EB6"/>
    <w:rsid w:val="009C3031"/>
    <w:rsid w:val="009C320D"/>
    <w:rsid w:val="009C34BA"/>
    <w:rsid w:val="009C358C"/>
    <w:rsid w:val="009C3910"/>
    <w:rsid w:val="009C4249"/>
    <w:rsid w:val="009C4A8D"/>
    <w:rsid w:val="009C59ED"/>
    <w:rsid w:val="009C60DA"/>
    <w:rsid w:val="009C6CF4"/>
    <w:rsid w:val="009C7671"/>
    <w:rsid w:val="009C7ABC"/>
    <w:rsid w:val="009D1292"/>
    <w:rsid w:val="009D192F"/>
    <w:rsid w:val="009D1DD2"/>
    <w:rsid w:val="009D1FEC"/>
    <w:rsid w:val="009D2B43"/>
    <w:rsid w:val="009D4018"/>
    <w:rsid w:val="009D4F28"/>
    <w:rsid w:val="009D4F43"/>
    <w:rsid w:val="009D528F"/>
    <w:rsid w:val="009D5762"/>
    <w:rsid w:val="009D59E3"/>
    <w:rsid w:val="009D61AA"/>
    <w:rsid w:val="009D7319"/>
    <w:rsid w:val="009D7A40"/>
    <w:rsid w:val="009D7C9B"/>
    <w:rsid w:val="009D7EFD"/>
    <w:rsid w:val="009E04E2"/>
    <w:rsid w:val="009E0588"/>
    <w:rsid w:val="009E08A6"/>
    <w:rsid w:val="009E0ADE"/>
    <w:rsid w:val="009E0E63"/>
    <w:rsid w:val="009E0F80"/>
    <w:rsid w:val="009E102C"/>
    <w:rsid w:val="009E1A76"/>
    <w:rsid w:val="009E1B97"/>
    <w:rsid w:val="009E25A1"/>
    <w:rsid w:val="009E2C20"/>
    <w:rsid w:val="009E2D2E"/>
    <w:rsid w:val="009E3F29"/>
    <w:rsid w:val="009E48B2"/>
    <w:rsid w:val="009E50F1"/>
    <w:rsid w:val="009E5673"/>
    <w:rsid w:val="009E74FB"/>
    <w:rsid w:val="009E7CB9"/>
    <w:rsid w:val="009E7EA1"/>
    <w:rsid w:val="009F0264"/>
    <w:rsid w:val="009F08A0"/>
    <w:rsid w:val="009F0A18"/>
    <w:rsid w:val="009F1943"/>
    <w:rsid w:val="009F1BD5"/>
    <w:rsid w:val="009F2399"/>
    <w:rsid w:val="009F38E5"/>
    <w:rsid w:val="009F3F2B"/>
    <w:rsid w:val="009F4341"/>
    <w:rsid w:val="009F4947"/>
    <w:rsid w:val="009F4F0B"/>
    <w:rsid w:val="009F532B"/>
    <w:rsid w:val="009F56DF"/>
    <w:rsid w:val="009F5AC3"/>
    <w:rsid w:val="009F5F9E"/>
    <w:rsid w:val="009F702D"/>
    <w:rsid w:val="009F7173"/>
    <w:rsid w:val="00A003CD"/>
    <w:rsid w:val="00A007AC"/>
    <w:rsid w:val="00A020C0"/>
    <w:rsid w:val="00A02C78"/>
    <w:rsid w:val="00A02D6D"/>
    <w:rsid w:val="00A02EE5"/>
    <w:rsid w:val="00A044FA"/>
    <w:rsid w:val="00A048B1"/>
    <w:rsid w:val="00A05612"/>
    <w:rsid w:val="00A056AA"/>
    <w:rsid w:val="00A062FA"/>
    <w:rsid w:val="00A066D5"/>
    <w:rsid w:val="00A076D1"/>
    <w:rsid w:val="00A077D9"/>
    <w:rsid w:val="00A07EB0"/>
    <w:rsid w:val="00A11020"/>
    <w:rsid w:val="00A11DE9"/>
    <w:rsid w:val="00A11FA2"/>
    <w:rsid w:val="00A1246C"/>
    <w:rsid w:val="00A12609"/>
    <w:rsid w:val="00A12FEB"/>
    <w:rsid w:val="00A139AD"/>
    <w:rsid w:val="00A139E0"/>
    <w:rsid w:val="00A153A8"/>
    <w:rsid w:val="00A168C7"/>
    <w:rsid w:val="00A17001"/>
    <w:rsid w:val="00A17677"/>
    <w:rsid w:val="00A20174"/>
    <w:rsid w:val="00A202DC"/>
    <w:rsid w:val="00A20A79"/>
    <w:rsid w:val="00A21470"/>
    <w:rsid w:val="00A2194A"/>
    <w:rsid w:val="00A21973"/>
    <w:rsid w:val="00A21981"/>
    <w:rsid w:val="00A21FD2"/>
    <w:rsid w:val="00A2243A"/>
    <w:rsid w:val="00A228B2"/>
    <w:rsid w:val="00A24488"/>
    <w:rsid w:val="00A24651"/>
    <w:rsid w:val="00A259C5"/>
    <w:rsid w:val="00A25AE3"/>
    <w:rsid w:val="00A275E3"/>
    <w:rsid w:val="00A278D6"/>
    <w:rsid w:val="00A27EA5"/>
    <w:rsid w:val="00A306BB"/>
    <w:rsid w:val="00A30B21"/>
    <w:rsid w:val="00A30F86"/>
    <w:rsid w:val="00A314F7"/>
    <w:rsid w:val="00A3187E"/>
    <w:rsid w:val="00A32688"/>
    <w:rsid w:val="00A33B25"/>
    <w:rsid w:val="00A33E12"/>
    <w:rsid w:val="00A33FA4"/>
    <w:rsid w:val="00A340BF"/>
    <w:rsid w:val="00A348CE"/>
    <w:rsid w:val="00A34E41"/>
    <w:rsid w:val="00A354AE"/>
    <w:rsid w:val="00A35D68"/>
    <w:rsid w:val="00A35FDF"/>
    <w:rsid w:val="00A360D5"/>
    <w:rsid w:val="00A37878"/>
    <w:rsid w:val="00A37A51"/>
    <w:rsid w:val="00A37C1B"/>
    <w:rsid w:val="00A40B4D"/>
    <w:rsid w:val="00A42824"/>
    <w:rsid w:val="00A428FF"/>
    <w:rsid w:val="00A42F8B"/>
    <w:rsid w:val="00A4340E"/>
    <w:rsid w:val="00A43D0D"/>
    <w:rsid w:val="00A446CA"/>
    <w:rsid w:val="00A4560F"/>
    <w:rsid w:val="00A456E4"/>
    <w:rsid w:val="00A46FD4"/>
    <w:rsid w:val="00A474F1"/>
    <w:rsid w:val="00A47884"/>
    <w:rsid w:val="00A479D3"/>
    <w:rsid w:val="00A501FD"/>
    <w:rsid w:val="00A50619"/>
    <w:rsid w:val="00A50EAD"/>
    <w:rsid w:val="00A514CC"/>
    <w:rsid w:val="00A51587"/>
    <w:rsid w:val="00A5173F"/>
    <w:rsid w:val="00A51A5C"/>
    <w:rsid w:val="00A51C0B"/>
    <w:rsid w:val="00A51F17"/>
    <w:rsid w:val="00A522B7"/>
    <w:rsid w:val="00A523E8"/>
    <w:rsid w:val="00A52543"/>
    <w:rsid w:val="00A52644"/>
    <w:rsid w:val="00A529F8"/>
    <w:rsid w:val="00A52B1A"/>
    <w:rsid w:val="00A52D8E"/>
    <w:rsid w:val="00A532E5"/>
    <w:rsid w:val="00A54441"/>
    <w:rsid w:val="00A54EAC"/>
    <w:rsid w:val="00A5564C"/>
    <w:rsid w:val="00A55F39"/>
    <w:rsid w:val="00A57249"/>
    <w:rsid w:val="00A57A2B"/>
    <w:rsid w:val="00A57C4C"/>
    <w:rsid w:val="00A5AD1A"/>
    <w:rsid w:val="00A612C3"/>
    <w:rsid w:val="00A6142F"/>
    <w:rsid w:val="00A61BF0"/>
    <w:rsid w:val="00A620FB"/>
    <w:rsid w:val="00A627DF"/>
    <w:rsid w:val="00A64101"/>
    <w:rsid w:val="00A64266"/>
    <w:rsid w:val="00A65810"/>
    <w:rsid w:val="00A6733B"/>
    <w:rsid w:val="00A67466"/>
    <w:rsid w:val="00A6749E"/>
    <w:rsid w:val="00A70160"/>
    <w:rsid w:val="00A7026D"/>
    <w:rsid w:val="00A70EA9"/>
    <w:rsid w:val="00A7135B"/>
    <w:rsid w:val="00A7152F"/>
    <w:rsid w:val="00A71708"/>
    <w:rsid w:val="00A72384"/>
    <w:rsid w:val="00A72674"/>
    <w:rsid w:val="00A72D78"/>
    <w:rsid w:val="00A73EB6"/>
    <w:rsid w:val="00A7406A"/>
    <w:rsid w:val="00A74707"/>
    <w:rsid w:val="00A76100"/>
    <w:rsid w:val="00A769BF"/>
    <w:rsid w:val="00A77759"/>
    <w:rsid w:val="00A77B29"/>
    <w:rsid w:val="00A77D29"/>
    <w:rsid w:val="00A81907"/>
    <w:rsid w:val="00A821EB"/>
    <w:rsid w:val="00A82337"/>
    <w:rsid w:val="00A82845"/>
    <w:rsid w:val="00A8320C"/>
    <w:rsid w:val="00A8352A"/>
    <w:rsid w:val="00A83843"/>
    <w:rsid w:val="00A8395C"/>
    <w:rsid w:val="00A842EB"/>
    <w:rsid w:val="00A84539"/>
    <w:rsid w:val="00A84BDE"/>
    <w:rsid w:val="00A84EC7"/>
    <w:rsid w:val="00A85DDE"/>
    <w:rsid w:val="00A86099"/>
    <w:rsid w:val="00A864B1"/>
    <w:rsid w:val="00A86ADC"/>
    <w:rsid w:val="00A86D0C"/>
    <w:rsid w:val="00A87D15"/>
    <w:rsid w:val="00A90156"/>
    <w:rsid w:val="00A90E0B"/>
    <w:rsid w:val="00A91BCC"/>
    <w:rsid w:val="00A91EC9"/>
    <w:rsid w:val="00A91F84"/>
    <w:rsid w:val="00A929E9"/>
    <w:rsid w:val="00A93728"/>
    <w:rsid w:val="00A9568B"/>
    <w:rsid w:val="00A956D3"/>
    <w:rsid w:val="00A9595F"/>
    <w:rsid w:val="00A96E0F"/>
    <w:rsid w:val="00A97F38"/>
    <w:rsid w:val="00AA005B"/>
    <w:rsid w:val="00AA1BCC"/>
    <w:rsid w:val="00AA1F5A"/>
    <w:rsid w:val="00AA398B"/>
    <w:rsid w:val="00AA3F24"/>
    <w:rsid w:val="00AA4F4C"/>
    <w:rsid w:val="00AA4FF4"/>
    <w:rsid w:val="00AA57D0"/>
    <w:rsid w:val="00AA688C"/>
    <w:rsid w:val="00AA6C6F"/>
    <w:rsid w:val="00AA6F5A"/>
    <w:rsid w:val="00AA77BD"/>
    <w:rsid w:val="00AA7928"/>
    <w:rsid w:val="00AA7C03"/>
    <w:rsid w:val="00AB0E1B"/>
    <w:rsid w:val="00AB1E6A"/>
    <w:rsid w:val="00AB1ECE"/>
    <w:rsid w:val="00AB2347"/>
    <w:rsid w:val="00AB2B4F"/>
    <w:rsid w:val="00AB340D"/>
    <w:rsid w:val="00AB37D0"/>
    <w:rsid w:val="00AB3D94"/>
    <w:rsid w:val="00AB3E3A"/>
    <w:rsid w:val="00AB4153"/>
    <w:rsid w:val="00AB4214"/>
    <w:rsid w:val="00AB4916"/>
    <w:rsid w:val="00AB4E40"/>
    <w:rsid w:val="00AB5821"/>
    <w:rsid w:val="00AB5CEF"/>
    <w:rsid w:val="00AB61C7"/>
    <w:rsid w:val="00AB62E9"/>
    <w:rsid w:val="00AB6325"/>
    <w:rsid w:val="00AB6604"/>
    <w:rsid w:val="00AB7BA1"/>
    <w:rsid w:val="00AB7F27"/>
    <w:rsid w:val="00AC145D"/>
    <w:rsid w:val="00AC19CA"/>
    <w:rsid w:val="00AC28B0"/>
    <w:rsid w:val="00AC341D"/>
    <w:rsid w:val="00AC36F7"/>
    <w:rsid w:val="00AC478F"/>
    <w:rsid w:val="00AC4F93"/>
    <w:rsid w:val="00AC61D2"/>
    <w:rsid w:val="00AC7C2B"/>
    <w:rsid w:val="00AD0025"/>
    <w:rsid w:val="00AD0519"/>
    <w:rsid w:val="00AD1198"/>
    <w:rsid w:val="00AD22B0"/>
    <w:rsid w:val="00AD2CCC"/>
    <w:rsid w:val="00AD38E2"/>
    <w:rsid w:val="00AD3EF2"/>
    <w:rsid w:val="00AD3F71"/>
    <w:rsid w:val="00AD4B57"/>
    <w:rsid w:val="00AD534C"/>
    <w:rsid w:val="00AD55B3"/>
    <w:rsid w:val="00AD604A"/>
    <w:rsid w:val="00AD609D"/>
    <w:rsid w:val="00AD622A"/>
    <w:rsid w:val="00AD66BC"/>
    <w:rsid w:val="00AD6EDF"/>
    <w:rsid w:val="00AD75F1"/>
    <w:rsid w:val="00AE0636"/>
    <w:rsid w:val="00AE152C"/>
    <w:rsid w:val="00AE1729"/>
    <w:rsid w:val="00AE1A5D"/>
    <w:rsid w:val="00AE2621"/>
    <w:rsid w:val="00AE2A65"/>
    <w:rsid w:val="00AE2DF6"/>
    <w:rsid w:val="00AE2FB0"/>
    <w:rsid w:val="00AE3161"/>
    <w:rsid w:val="00AE319A"/>
    <w:rsid w:val="00AE32F4"/>
    <w:rsid w:val="00AE3385"/>
    <w:rsid w:val="00AE360A"/>
    <w:rsid w:val="00AE399B"/>
    <w:rsid w:val="00AE46D4"/>
    <w:rsid w:val="00AE4BB4"/>
    <w:rsid w:val="00AE4FAB"/>
    <w:rsid w:val="00AE5405"/>
    <w:rsid w:val="00AE548D"/>
    <w:rsid w:val="00AE5DEF"/>
    <w:rsid w:val="00AE685F"/>
    <w:rsid w:val="00AE6AEA"/>
    <w:rsid w:val="00AE786C"/>
    <w:rsid w:val="00AE7E6C"/>
    <w:rsid w:val="00AF0847"/>
    <w:rsid w:val="00AF1073"/>
    <w:rsid w:val="00AF2054"/>
    <w:rsid w:val="00AF2350"/>
    <w:rsid w:val="00AF2784"/>
    <w:rsid w:val="00AF2D80"/>
    <w:rsid w:val="00AF338C"/>
    <w:rsid w:val="00AF33F1"/>
    <w:rsid w:val="00AF4067"/>
    <w:rsid w:val="00AF43ED"/>
    <w:rsid w:val="00AF445D"/>
    <w:rsid w:val="00AF45FE"/>
    <w:rsid w:val="00AF497F"/>
    <w:rsid w:val="00AF4A0B"/>
    <w:rsid w:val="00AF5C36"/>
    <w:rsid w:val="00AF6836"/>
    <w:rsid w:val="00AF720C"/>
    <w:rsid w:val="00AF7632"/>
    <w:rsid w:val="00AF79F7"/>
    <w:rsid w:val="00AF7E08"/>
    <w:rsid w:val="00B002F1"/>
    <w:rsid w:val="00B01CAB"/>
    <w:rsid w:val="00B01F80"/>
    <w:rsid w:val="00B0223A"/>
    <w:rsid w:val="00B024FF"/>
    <w:rsid w:val="00B025A6"/>
    <w:rsid w:val="00B026DB"/>
    <w:rsid w:val="00B04131"/>
    <w:rsid w:val="00B042FA"/>
    <w:rsid w:val="00B055DD"/>
    <w:rsid w:val="00B05AF9"/>
    <w:rsid w:val="00B0624C"/>
    <w:rsid w:val="00B0698E"/>
    <w:rsid w:val="00B075F4"/>
    <w:rsid w:val="00B07635"/>
    <w:rsid w:val="00B07BBA"/>
    <w:rsid w:val="00B07F65"/>
    <w:rsid w:val="00B10DEC"/>
    <w:rsid w:val="00B111A7"/>
    <w:rsid w:val="00B11365"/>
    <w:rsid w:val="00B120B6"/>
    <w:rsid w:val="00B1210F"/>
    <w:rsid w:val="00B1231C"/>
    <w:rsid w:val="00B123DC"/>
    <w:rsid w:val="00B128FE"/>
    <w:rsid w:val="00B12C8B"/>
    <w:rsid w:val="00B12EDE"/>
    <w:rsid w:val="00B13266"/>
    <w:rsid w:val="00B13483"/>
    <w:rsid w:val="00B13872"/>
    <w:rsid w:val="00B13DEA"/>
    <w:rsid w:val="00B1455F"/>
    <w:rsid w:val="00B14A15"/>
    <w:rsid w:val="00B15281"/>
    <w:rsid w:val="00B15BAB"/>
    <w:rsid w:val="00B15E48"/>
    <w:rsid w:val="00B16127"/>
    <w:rsid w:val="00B1634B"/>
    <w:rsid w:val="00B165F0"/>
    <w:rsid w:val="00B16B62"/>
    <w:rsid w:val="00B17E6A"/>
    <w:rsid w:val="00B17F91"/>
    <w:rsid w:val="00B205F0"/>
    <w:rsid w:val="00B21D4C"/>
    <w:rsid w:val="00B21EE3"/>
    <w:rsid w:val="00B22242"/>
    <w:rsid w:val="00B22286"/>
    <w:rsid w:val="00B2238B"/>
    <w:rsid w:val="00B22AFD"/>
    <w:rsid w:val="00B22FAA"/>
    <w:rsid w:val="00B232E3"/>
    <w:rsid w:val="00B244E7"/>
    <w:rsid w:val="00B247E2"/>
    <w:rsid w:val="00B2480F"/>
    <w:rsid w:val="00B24910"/>
    <w:rsid w:val="00B24D4C"/>
    <w:rsid w:val="00B2566F"/>
    <w:rsid w:val="00B26E12"/>
    <w:rsid w:val="00B27406"/>
    <w:rsid w:val="00B30094"/>
    <w:rsid w:val="00B30A1A"/>
    <w:rsid w:val="00B30A5D"/>
    <w:rsid w:val="00B31377"/>
    <w:rsid w:val="00B316D9"/>
    <w:rsid w:val="00B31D5B"/>
    <w:rsid w:val="00B31E92"/>
    <w:rsid w:val="00B325FA"/>
    <w:rsid w:val="00B336B2"/>
    <w:rsid w:val="00B3381D"/>
    <w:rsid w:val="00B33B48"/>
    <w:rsid w:val="00B33E69"/>
    <w:rsid w:val="00B3416F"/>
    <w:rsid w:val="00B3417B"/>
    <w:rsid w:val="00B34EAB"/>
    <w:rsid w:val="00B356CB"/>
    <w:rsid w:val="00B35883"/>
    <w:rsid w:val="00B36133"/>
    <w:rsid w:val="00B36E0D"/>
    <w:rsid w:val="00B40F36"/>
    <w:rsid w:val="00B41C9A"/>
    <w:rsid w:val="00B4202D"/>
    <w:rsid w:val="00B427C8"/>
    <w:rsid w:val="00B42C84"/>
    <w:rsid w:val="00B42C94"/>
    <w:rsid w:val="00B434C3"/>
    <w:rsid w:val="00B43939"/>
    <w:rsid w:val="00B44144"/>
    <w:rsid w:val="00B4496A"/>
    <w:rsid w:val="00B4550A"/>
    <w:rsid w:val="00B45A62"/>
    <w:rsid w:val="00B46314"/>
    <w:rsid w:val="00B466D2"/>
    <w:rsid w:val="00B468E6"/>
    <w:rsid w:val="00B472B2"/>
    <w:rsid w:val="00B47EA7"/>
    <w:rsid w:val="00B50BA4"/>
    <w:rsid w:val="00B50C1E"/>
    <w:rsid w:val="00B523F0"/>
    <w:rsid w:val="00B545EE"/>
    <w:rsid w:val="00B54E58"/>
    <w:rsid w:val="00B552A7"/>
    <w:rsid w:val="00B558B9"/>
    <w:rsid w:val="00B55D7F"/>
    <w:rsid w:val="00B55FCA"/>
    <w:rsid w:val="00B56CB2"/>
    <w:rsid w:val="00B57079"/>
    <w:rsid w:val="00B60C2C"/>
    <w:rsid w:val="00B6131B"/>
    <w:rsid w:val="00B618FA"/>
    <w:rsid w:val="00B61A92"/>
    <w:rsid w:val="00B622D6"/>
    <w:rsid w:val="00B629D1"/>
    <w:rsid w:val="00B63CBC"/>
    <w:rsid w:val="00B6402B"/>
    <w:rsid w:val="00B64596"/>
    <w:rsid w:val="00B64829"/>
    <w:rsid w:val="00B648D2"/>
    <w:rsid w:val="00B64F58"/>
    <w:rsid w:val="00B653F2"/>
    <w:rsid w:val="00B6588F"/>
    <w:rsid w:val="00B659CF"/>
    <w:rsid w:val="00B65A8F"/>
    <w:rsid w:val="00B65FFB"/>
    <w:rsid w:val="00B660F0"/>
    <w:rsid w:val="00B66C1D"/>
    <w:rsid w:val="00B66CD2"/>
    <w:rsid w:val="00B702DD"/>
    <w:rsid w:val="00B70831"/>
    <w:rsid w:val="00B717FB"/>
    <w:rsid w:val="00B722CB"/>
    <w:rsid w:val="00B72FA5"/>
    <w:rsid w:val="00B7339A"/>
    <w:rsid w:val="00B734A0"/>
    <w:rsid w:val="00B73676"/>
    <w:rsid w:val="00B7371E"/>
    <w:rsid w:val="00B73AE8"/>
    <w:rsid w:val="00B74154"/>
    <w:rsid w:val="00B741A6"/>
    <w:rsid w:val="00B74543"/>
    <w:rsid w:val="00B746CB"/>
    <w:rsid w:val="00B748FE"/>
    <w:rsid w:val="00B75290"/>
    <w:rsid w:val="00B757FB"/>
    <w:rsid w:val="00B76058"/>
    <w:rsid w:val="00B76188"/>
    <w:rsid w:val="00B761DF"/>
    <w:rsid w:val="00B7674C"/>
    <w:rsid w:val="00B76F65"/>
    <w:rsid w:val="00B777BD"/>
    <w:rsid w:val="00B80199"/>
    <w:rsid w:val="00B804D8"/>
    <w:rsid w:val="00B8071C"/>
    <w:rsid w:val="00B814C1"/>
    <w:rsid w:val="00B814FD"/>
    <w:rsid w:val="00B8179D"/>
    <w:rsid w:val="00B820DA"/>
    <w:rsid w:val="00B82DEE"/>
    <w:rsid w:val="00B83C97"/>
    <w:rsid w:val="00B84D19"/>
    <w:rsid w:val="00B84E41"/>
    <w:rsid w:val="00B84E49"/>
    <w:rsid w:val="00B85A1F"/>
    <w:rsid w:val="00B85F5C"/>
    <w:rsid w:val="00B86868"/>
    <w:rsid w:val="00B873C1"/>
    <w:rsid w:val="00B90F22"/>
    <w:rsid w:val="00B9184F"/>
    <w:rsid w:val="00B91E48"/>
    <w:rsid w:val="00B91F71"/>
    <w:rsid w:val="00B923C2"/>
    <w:rsid w:val="00B9244A"/>
    <w:rsid w:val="00B931AC"/>
    <w:rsid w:val="00B93294"/>
    <w:rsid w:val="00B935A2"/>
    <w:rsid w:val="00B93698"/>
    <w:rsid w:val="00B93E76"/>
    <w:rsid w:val="00B93E95"/>
    <w:rsid w:val="00B95C07"/>
    <w:rsid w:val="00B9645F"/>
    <w:rsid w:val="00B96A49"/>
    <w:rsid w:val="00B96BF3"/>
    <w:rsid w:val="00B96FE0"/>
    <w:rsid w:val="00BA03FD"/>
    <w:rsid w:val="00BA0AE4"/>
    <w:rsid w:val="00BA0B4C"/>
    <w:rsid w:val="00BA0EA9"/>
    <w:rsid w:val="00BA15C3"/>
    <w:rsid w:val="00BA1BEC"/>
    <w:rsid w:val="00BA1DB4"/>
    <w:rsid w:val="00BA1F05"/>
    <w:rsid w:val="00BA3907"/>
    <w:rsid w:val="00BA3DEA"/>
    <w:rsid w:val="00BA529E"/>
    <w:rsid w:val="00BA694C"/>
    <w:rsid w:val="00BA6BA6"/>
    <w:rsid w:val="00BA6D98"/>
    <w:rsid w:val="00BA71B3"/>
    <w:rsid w:val="00BA7890"/>
    <w:rsid w:val="00BA7C08"/>
    <w:rsid w:val="00BB197D"/>
    <w:rsid w:val="00BB1E3C"/>
    <w:rsid w:val="00BB27A3"/>
    <w:rsid w:val="00BB2CA9"/>
    <w:rsid w:val="00BB3F9A"/>
    <w:rsid w:val="00BB42D4"/>
    <w:rsid w:val="00BB4CFA"/>
    <w:rsid w:val="00BB56B2"/>
    <w:rsid w:val="00BB6468"/>
    <w:rsid w:val="00BB6B37"/>
    <w:rsid w:val="00BB77D4"/>
    <w:rsid w:val="00BB79C4"/>
    <w:rsid w:val="00BB7BBC"/>
    <w:rsid w:val="00BC0550"/>
    <w:rsid w:val="00BC0E53"/>
    <w:rsid w:val="00BC0FCD"/>
    <w:rsid w:val="00BC2E9B"/>
    <w:rsid w:val="00BC3213"/>
    <w:rsid w:val="00BC42EA"/>
    <w:rsid w:val="00BC467D"/>
    <w:rsid w:val="00BC48B8"/>
    <w:rsid w:val="00BC5A50"/>
    <w:rsid w:val="00BC6501"/>
    <w:rsid w:val="00BC74EB"/>
    <w:rsid w:val="00BD0633"/>
    <w:rsid w:val="00BD070C"/>
    <w:rsid w:val="00BD0733"/>
    <w:rsid w:val="00BD0846"/>
    <w:rsid w:val="00BD16EC"/>
    <w:rsid w:val="00BD21C3"/>
    <w:rsid w:val="00BD252D"/>
    <w:rsid w:val="00BD277E"/>
    <w:rsid w:val="00BD32B8"/>
    <w:rsid w:val="00BD3A46"/>
    <w:rsid w:val="00BD49C1"/>
    <w:rsid w:val="00BD5AFD"/>
    <w:rsid w:val="00BD5D25"/>
    <w:rsid w:val="00BD6090"/>
    <w:rsid w:val="00BD614E"/>
    <w:rsid w:val="00BD63DB"/>
    <w:rsid w:val="00BD6FF3"/>
    <w:rsid w:val="00BD722D"/>
    <w:rsid w:val="00BD7307"/>
    <w:rsid w:val="00BE27A9"/>
    <w:rsid w:val="00BE3A4C"/>
    <w:rsid w:val="00BE4247"/>
    <w:rsid w:val="00BE4836"/>
    <w:rsid w:val="00BE4969"/>
    <w:rsid w:val="00BE581C"/>
    <w:rsid w:val="00BE58A8"/>
    <w:rsid w:val="00BE5B07"/>
    <w:rsid w:val="00BE5EC7"/>
    <w:rsid w:val="00BE6162"/>
    <w:rsid w:val="00BF0E79"/>
    <w:rsid w:val="00BF15B0"/>
    <w:rsid w:val="00BF15BC"/>
    <w:rsid w:val="00BF1AAA"/>
    <w:rsid w:val="00BF2075"/>
    <w:rsid w:val="00BF2192"/>
    <w:rsid w:val="00BF2A36"/>
    <w:rsid w:val="00BF30F7"/>
    <w:rsid w:val="00BF3916"/>
    <w:rsid w:val="00BF3EE7"/>
    <w:rsid w:val="00BF445F"/>
    <w:rsid w:val="00BF494A"/>
    <w:rsid w:val="00BF521A"/>
    <w:rsid w:val="00BF5466"/>
    <w:rsid w:val="00BF62EE"/>
    <w:rsid w:val="00BF6905"/>
    <w:rsid w:val="00BF6CB8"/>
    <w:rsid w:val="00BF7AF2"/>
    <w:rsid w:val="00C01555"/>
    <w:rsid w:val="00C01787"/>
    <w:rsid w:val="00C01AF4"/>
    <w:rsid w:val="00C02BE4"/>
    <w:rsid w:val="00C02D21"/>
    <w:rsid w:val="00C032F6"/>
    <w:rsid w:val="00C03349"/>
    <w:rsid w:val="00C03E3D"/>
    <w:rsid w:val="00C04E6C"/>
    <w:rsid w:val="00C05262"/>
    <w:rsid w:val="00C05BBC"/>
    <w:rsid w:val="00C05EA4"/>
    <w:rsid w:val="00C07C3F"/>
    <w:rsid w:val="00C100BA"/>
    <w:rsid w:val="00C10378"/>
    <w:rsid w:val="00C105BD"/>
    <w:rsid w:val="00C1076D"/>
    <w:rsid w:val="00C108F6"/>
    <w:rsid w:val="00C10F32"/>
    <w:rsid w:val="00C12461"/>
    <w:rsid w:val="00C1252C"/>
    <w:rsid w:val="00C12534"/>
    <w:rsid w:val="00C134D0"/>
    <w:rsid w:val="00C13EEB"/>
    <w:rsid w:val="00C14547"/>
    <w:rsid w:val="00C157DA"/>
    <w:rsid w:val="00C164C0"/>
    <w:rsid w:val="00C16550"/>
    <w:rsid w:val="00C17D94"/>
    <w:rsid w:val="00C2025F"/>
    <w:rsid w:val="00C206D8"/>
    <w:rsid w:val="00C20A53"/>
    <w:rsid w:val="00C21B96"/>
    <w:rsid w:val="00C21D4C"/>
    <w:rsid w:val="00C22982"/>
    <w:rsid w:val="00C23B81"/>
    <w:rsid w:val="00C23D10"/>
    <w:rsid w:val="00C25481"/>
    <w:rsid w:val="00C25F31"/>
    <w:rsid w:val="00C25F7F"/>
    <w:rsid w:val="00C26643"/>
    <w:rsid w:val="00C26DBF"/>
    <w:rsid w:val="00C26FB5"/>
    <w:rsid w:val="00C27426"/>
    <w:rsid w:val="00C27C47"/>
    <w:rsid w:val="00C27CBC"/>
    <w:rsid w:val="00C304C5"/>
    <w:rsid w:val="00C30936"/>
    <w:rsid w:val="00C31306"/>
    <w:rsid w:val="00C3376B"/>
    <w:rsid w:val="00C35637"/>
    <w:rsid w:val="00C3602E"/>
    <w:rsid w:val="00C36769"/>
    <w:rsid w:val="00C36A88"/>
    <w:rsid w:val="00C36E5E"/>
    <w:rsid w:val="00C36F13"/>
    <w:rsid w:val="00C372B1"/>
    <w:rsid w:val="00C376AE"/>
    <w:rsid w:val="00C414AF"/>
    <w:rsid w:val="00C4187C"/>
    <w:rsid w:val="00C41920"/>
    <w:rsid w:val="00C4215F"/>
    <w:rsid w:val="00C42BE6"/>
    <w:rsid w:val="00C43506"/>
    <w:rsid w:val="00C43842"/>
    <w:rsid w:val="00C454F5"/>
    <w:rsid w:val="00C45950"/>
    <w:rsid w:val="00C45F7F"/>
    <w:rsid w:val="00C46247"/>
    <w:rsid w:val="00C4646D"/>
    <w:rsid w:val="00C50DF2"/>
    <w:rsid w:val="00C5136C"/>
    <w:rsid w:val="00C51A2B"/>
    <w:rsid w:val="00C52123"/>
    <w:rsid w:val="00C52488"/>
    <w:rsid w:val="00C5255C"/>
    <w:rsid w:val="00C528B2"/>
    <w:rsid w:val="00C52AB3"/>
    <w:rsid w:val="00C52B97"/>
    <w:rsid w:val="00C52C6A"/>
    <w:rsid w:val="00C52D7D"/>
    <w:rsid w:val="00C5340C"/>
    <w:rsid w:val="00C53810"/>
    <w:rsid w:val="00C548D8"/>
    <w:rsid w:val="00C54E70"/>
    <w:rsid w:val="00C55600"/>
    <w:rsid w:val="00C565D2"/>
    <w:rsid w:val="00C56B2B"/>
    <w:rsid w:val="00C56C9D"/>
    <w:rsid w:val="00C57697"/>
    <w:rsid w:val="00C606C8"/>
    <w:rsid w:val="00C6072A"/>
    <w:rsid w:val="00C60938"/>
    <w:rsid w:val="00C60A6D"/>
    <w:rsid w:val="00C60AA2"/>
    <w:rsid w:val="00C60D76"/>
    <w:rsid w:val="00C6161C"/>
    <w:rsid w:val="00C61956"/>
    <w:rsid w:val="00C61C6F"/>
    <w:rsid w:val="00C62E91"/>
    <w:rsid w:val="00C630FA"/>
    <w:rsid w:val="00C634D3"/>
    <w:rsid w:val="00C637D9"/>
    <w:rsid w:val="00C63DB6"/>
    <w:rsid w:val="00C64BFE"/>
    <w:rsid w:val="00C651C0"/>
    <w:rsid w:val="00C66A0C"/>
    <w:rsid w:val="00C66F38"/>
    <w:rsid w:val="00C66F74"/>
    <w:rsid w:val="00C67DC4"/>
    <w:rsid w:val="00C67F35"/>
    <w:rsid w:val="00C701F9"/>
    <w:rsid w:val="00C70732"/>
    <w:rsid w:val="00C71086"/>
    <w:rsid w:val="00C71571"/>
    <w:rsid w:val="00C71C46"/>
    <w:rsid w:val="00C71D09"/>
    <w:rsid w:val="00C72515"/>
    <w:rsid w:val="00C72C65"/>
    <w:rsid w:val="00C73834"/>
    <w:rsid w:val="00C73BA6"/>
    <w:rsid w:val="00C73CFB"/>
    <w:rsid w:val="00C74F1F"/>
    <w:rsid w:val="00C75219"/>
    <w:rsid w:val="00C7549D"/>
    <w:rsid w:val="00C76357"/>
    <w:rsid w:val="00C7673D"/>
    <w:rsid w:val="00C76B4C"/>
    <w:rsid w:val="00C77257"/>
    <w:rsid w:val="00C77467"/>
    <w:rsid w:val="00C77840"/>
    <w:rsid w:val="00C77AB4"/>
    <w:rsid w:val="00C80274"/>
    <w:rsid w:val="00C806EF"/>
    <w:rsid w:val="00C80928"/>
    <w:rsid w:val="00C8130E"/>
    <w:rsid w:val="00C81721"/>
    <w:rsid w:val="00C81CFE"/>
    <w:rsid w:val="00C83A6B"/>
    <w:rsid w:val="00C846F0"/>
    <w:rsid w:val="00C84C60"/>
    <w:rsid w:val="00C84CC4"/>
    <w:rsid w:val="00C86291"/>
    <w:rsid w:val="00C866CA"/>
    <w:rsid w:val="00C90140"/>
    <w:rsid w:val="00C901E7"/>
    <w:rsid w:val="00C9057D"/>
    <w:rsid w:val="00C90608"/>
    <w:rsid w:val="00C91079"/>
    <w:rsid w:val="00C911DD"/>
    <w:rsid w:val="00C915F0"/>
    <w:rsid w:val="00C916DD"/>
    <w:rsid w:val="00C91F37"/>
    <w:rsid w:val="00C92230"/>
    <w:rsid w:val="00C93009"/>
    <w:rsid w:val="00C93069"/>
    <w:rsid w:val="00C933CA"/>
    <w:rsid w:val="00C9375E"/>
    <w:rsid w:val="00C93931"/>
    <w:rsid w:val="00C94409"/>
    <w:rsid w:val="00C949B5"/>
    <w:rsid w:val="00C9562E"/>
    <w:rsid w:val="00C95656"/>
    <w:rsid w:val="00C95724"/>
    <w:rsid w:val="00C95824"/>
    <w:rsid w:val="00C96199"/>
    <w:rsid w:val="00C96CC7"/>
    <w:rsid w:val="00C97A06"/>
    <w:rsid w:val="00C97B88"/>
    <w:rsid w:val="00CA0089"/>
    <w:rsid w:val="00CA0C5D"/>
    <w:rsid w:val="00CA0E4D"/>
    <w:rsid w:val="00CA0FD3"/>
    <w:rsid w:val="00CA140D"/>
    <w:rsid w:val="00CA42EA"/>
    <w:rsid w:val="00CA5647"/>
    <w:rsid w:val="00CA5861"/>
    <w:rsid w:val="00CA58B6"/>
    <w:rsid w:val="00CA5E03"/>
    <w:rsid w:val="00CA70DF"/>
    <w:rsid w:val="00CA716D"/>
    <w:rsid w:val="00CA7C8A"/>
    <w:rsid w:val="00CB0DC2"/>
    <w:rsid w:val="00CB270C"/>
    <w:rsid w:val="00CB2E02"/>
    <w:rsid w:val="00CB3AE2"/>
    <w:rsid w:val="00CB3E12"/>
    <w:rsid w:val="00CB4380"/>
    <w:rsid w:val="00CB4E02"/>
    <w:rsid w:val="00CB4FA4"/>
    <w:rsid w:val="00CB5062"/>
    <w:rsid w:val="00CB5571"/>
    <w:rsid w:val="00CB6A20"/>
    <w:rsid w:val="00CB71B6"/>
    <w:rsid w:val="00CB7316"/>
    <w:rsid w:val="00CB7CC4"/>
    <w:rsid w:val="00CC0209"/>
    <w:rsid w:val="00CC02B7"/>
    <w:rsid w:val="00CC287A"/>
    <w:rsid w:val="00CC3803"/>
    <w:rsid w:val="00CC3BDF"/>
    <w:rsid w:val="00CC4554"/>
    <w:rsid w:val="00CC4B75"/>
    <w:rsid w:val="00CC4F9E"/>
    <w:rsid w:val="00CC5279"/>
    <w:rsid w:val="00CC5BF4"/>
    <w:rsid w:val="00CC5F93"/>
    <w:rsid w:val="00CC6CAB"/>
    <w:rsid w:val="00CC7B2F"/>
    <w:rsid w:val="00CC7D4B"/>
    <w:rsid w:val="00CC7FCF"/>
    <w:rsid w:val="00CD16E4"/>
    <w:rsid w:val="00CD24CB"/>
    <w:rsid w:val="00CD253E"/>
    <w:rsid w:val="00CD2A58"/>
    <w:rsid w:val="00CD36F3"/>
    <w:rsid w:val="00CD3729"/>
    <w:rsid w:val="00CD3BAC"/>
    <w:rsid w:val="00CD3CA4"/>
    <w:rsid w:val="00CD4747"/>
    <w:rsid w:val="00CD4A7F"/>
    <w:rsid w:val="00CD5117"/>
    <w:rsid w:val="00CD5164"/>
    <w:rsid w:val="00CD5F1B"/>
    <w:rsid w:val="00CD6C8D"/>
    <w:rsid w:val="00CD6E06"/>
    <w:rsid w:val="00CD73A9"/>
    <w:rsid w:val="00CD7FF5"/>
    <w:rsid w:val="00CE0568"/>
    <w:rsid w:val="00CE0969"/>
    <w:rsid w:val="00CE0AE0"/>
    <w:rsid w:val="00CE0C8A"/>
    <w:rsid w:val="00CE147F"/>
    <w:rsid w:val="00CE231D"/>
    <w:rsid w:val="00CE2CCA"/>
    <w:rsid w:val="00CE3969"/>
    <w:rsid w:val="00CE3F63"/>
    <w:rsid w:val="00CE44A2"/>
    <w:rsid w:val="00CE471F"/>
    <w:rsid w:val="00CE4CF4"/>
    <w:rsid w:val="00CE4E99"/>
    <w:rsid w:val="00CE7383"/>
    <w:rsid w:val="00CF0537"/>
    <w:rsid w:val="00CF1853"/>
    <w:rsid w:val="00CF1B0A"/>
    <w:rsid w:val="00CF29EF"/>
    <w:rsid w:val="00CF2B7B"/>
    <w:rsid w:val="00CF3366"/>
    <w:rsid w:val="00CF350E"/>
    <w:rsid w:val="00CF3A25"/>
    <w:rsid w:val="00CF3E7C"/>
    <w:rsid w:val="00CF3FEF"/>
    <w:rsid w:val="00CF4369"/>
    <w:rsid w:val="00CF4989"/>
    <w:rsid w:val="00CF5102"/>
    <w:rsid w:val="00CF5B81"/>
    <w:rsid w:val="00CF5BBC"/>
    <w:rsid w:val="00CF5D1A"/>
    <w:rsid w:val="00CF5D4E"/>
    <w:rsid w:val="00CF6F05"/>
    <w:rsid w:val="00CF702E"/>
    <w:rsid w:val="00CF7932"/>
    <w:rsid w:val="00CF7958"/>
    <w:rsid w:val="00CF7AD1"/>
    <w:rsid w:val="00D0004D"/>
    <w:rsid w:val="00D00752"/>
    <w:rsid w:val="00D00CD8"/>
    <w:rsid w:val="00D017CC"/>
    <w:rsid w:val="00D01BEE"/>
    <w:rsid w:val="00D01E08"/>
    <w:rsid w:val="00D02223"/>
    <w:rsid w:val="00D024D1"/>
    <w:rsid w:val="00D02613"/>
    <w:rsid w:val="00D03184"/>
    <w:rsid w:val="00D031A3"/>
    <w:rsid w:val="00D04A71"/>
    <w:rsid w:val="00D04C51"/>
    <w:rsid w:val="00D0531E"/>
    <w:rsid w:val="00D05A34"/>
    <w:rsid w:val="00D05BD8"/>
    <w:rsid w:val="00D06409"/>
    <w:rsid w:val="00D066F8"/>
    <w:rsid w:val="00D06958"/>
    <w:rsid w:val="00D06B06"/>
    <w:rsid w:val="00D07718"/>
    <w:rsid w:val="00D100F9"/>
    <w:rsid w:val="00D10774"/>
    <w:rsid w:val="00D117D5"/>
    <w:rsid w:val="00D11DBD"/>
    <w:rsid w:val="00D12C26"/>
    <w:rsid w:val="00D14098"/>
    <w:rsid w:val="00D14B22"/>
    <w:rsid w:val="00D15D30"/>
    <w:rsid w:val="00D2031E"/>
    <w:rsid w:val="00D20BBF"/>
    <w:rsid w:val="00D21431"/>
    <w:rsid w:val="00D222C5"/>
    <w:rsid w:val="00D2247E"/>
    <w:rsid w:val="00D2310C"/>
    <w:rsid w:val="00D23C8C"/>
    <w:rsid w:val="00D23EA8"/>
    <w:rsid w:val="00D245EB"/>
    <w:rsid w:val="00D2466A"/>
    <w:rsid w:val="00D2472A"/>
    <w:rsid w:val="00D252BD"/>
    <w:rsid w:val="00D2546B"/>
    <w:rsid w:val="00D25E8A"/>
    <w:rsid w:val="00D27376"/>
    <w:rsid w:val="00D279FD"/>
    <w:rsid w:val="00D30763"/>
    <w:rsid w:val="00D31119"/>
    <w:rsid w:val="00D314A3"/>
    <w:rsid w:val="00D3182E"/>
    <w:rsid w:val="00D318BF"/>
    <w:rsid w:val="00D31D04"/>
    <w:rsid w:val="00D326D0"/>
    <w:rsid w:val="00D33BC4"/>
    <w:rsid w:val="00D346BB"/>
    <w:rsid w:val="00D35438"/>
    <w:rsid w:val="00D35479"/>
    <w:rsid w:val="00D35CBF"/>
    <w:rsid w:val="00D35D3F"/>
    <w:rsid w:val="00D365D9"/>
    <w:rsid w:val="00D36AF5"/>
    <w:rsid w:val="00D3744B"/>
    <w:rsid w:val="00D379B9"/>
    <w:rsid w:val="00D4054C"/>
    <w:rsid w:val="00D408E0"/>
    <w:rsid w:val="00D41CB8"/>
    <w:rsid w:val="00D4232E"/>
    <w:rsid w:val="00D42A01"/>
    <w:rsid w:val="00D42B6E"/>
    <w:rsid w:val="00D43888"/>
    <w:rsid w:val="00D43BDF"/>
    <w:rsid w:val="00D4412D"/>
    <w:rsid w:val="00D45C6A"/>
    <w:rsid w:val="00D464F3"/>
    <w:rsid w:val="00D46560"/>
    <w:rsid w:val="00D46B76"/>
    <w:rsid w:val="00D47750"/>
    <w:rsid w:val="00D47959"/>
    <w:rsid w:val="00D47FFB"/>
    <w:rsid w:val="00D50A8C"/>
    <w:rsid w:val="00D50F35"/>
    <w:rsid w:val="00D51C66"/>
    <w:rsid w:val="00D51D83"/>
    <w:rsid w:val="00D524B9"/>
    <w:rsid w:val="00D535BD"/>
    <w:rsid w:val="00D5489B"/>
    <w:rsid w:val="00D555A6"/>
    <w:rsid w:val="00D55B58"/>
    <w:rsid w:val="00D55C21"/>
    <w:rsid w:val="00D569BF"/>
    <w:rsid w:val="00D60341"/>
    <w:rsid w:val="00D60343"/>
    <w:rsid w:val="00D61E1E"/>
    <w:rsid w:val="00D624B5"/>
    <w:rsid w:val="00D6261F"/>
    <w:rsid w:val="00D6359E"/>
    <w:rsid w:val="00D63D18"/>
    <w:rsid w:val="00D66D06"/>
    <w:rsid w:val="00D679A1"/>
    <w:rsid w:val="00D67D99"/>
    <w:rsid w:val="00D67DF5"/>
    <w:rsid w:val="00D67EDB"/>
    <w:rsid w:val="00D703CE"/>
    <w:rsid w:val="00D70450"/>
    <w:rsid w:val="00D70855"/>
    <w:rsid w:val="00D7220B"/>
    <w:rsid w:val="00D72288"/>
    <w:rsid w:val="00D72554"/>
    <w:rsid w:val="00D72826"/>
    <w:rsid w:val="00D728BF"/>
    <w:rsid w:val="00D72CE9"/>
    <w:rsid w:val="00D72DEF"/>
    <w:rsid w:val="00D7322D"/>
    <w:rsid w:val="00D7324F"/>
    <w:rsid w:val="00D738B0"/>
    <w:rsid w:val="00D73DC2"/>
    <w:rsid w:val="00D73E8C"/>
    <w:rsid w:val="00D74825"/>
    <w:rsid w:val="00D74F0D"/>
    <w:rsid w:val="00D75D6E"/>
    <w:rsid w:val="00D76D7F"/>
    <w:rsid w:val="00D770E2"/>
    <w:rsid w:val="00D775C7"/>
    <w:rsid w:val="00D77C6D"/>
    <w:rsid w:val="00D8002E"/>
    <w:rsid w:val="00D801BC"/>
    <w:rsid w:val="00D802CA"/>
    <w:rsid w:val="00D80A23"/>
    <w:rsid w:val="00D80E4D"/>
    <w:rsid w:val="00D8282F"/>
    <w:rsid w:val="00D841A7"/>
    <w:rsid w:val="00D844F3"/>
    <w:rsid w:val="00D85010"/>
    <w:rsid w:val="00D85679"/>
    <w:rsid w:val="00D86C7A"/>
    <w:rsid w:val="00D86EA6"/>
    <w:rsid w:val="00D8735D"/>
    <w:rsid w:val="00D8743E"/>
    <w:rsid w:val="00D91297"/>
    <w:rsid w:val="00D9164E"/>
    <w:rsid w:val="00D938FC"/>
    <w:rsid w:val="00D93ED2"/>
    <w:rsid w:val="00D941D0"/>
    <w:rsid w:val="00D94378"/>
    <w:rsid w:val="00D945B9"/>
    <w:rsid w:val="00D96688"/>
    <w:rsid w:val="00D969A4"/>
    <w:rsid w:val="00D96B31"/>
    <w:rsid w:val="00D9738E"/>
    <w:rsid w:val="00D97D9C"/>
    <w:rsid w:val="00DA02B2"/>
    <w:rsid w:val="00DA0646"/>
    <w:rsid w:val="00DA0879"/>
    <w:rsid w:val="00DA0EFF"/>
    <w:rsid w:val="00DA118A"/>
    <w:rsid w:val="00DA17AE"/>
    <w:rsid w:val="00DA1D24"/>
    <w:rsid w:val="00DA21D4"/>
    <w:rsid w:val="00DA26D4"/>
    <w:rsid w:val="00DA27C4"/>
    <w:rsid w:val="00DA36BB"/>
    <w:rsid w:val="00DA3FFC"/>
    <w:rsid w:val="00DA4259"/>
    <w:rsid w:val="00DA4778"/>
    <w:rsid w:val="00DA4A42"/>
    <w:rsid w:val="00DA4AF1"/>
    <w:rsid w:val="00DA4B7F"/>
    <w:rsid w:val="00DA50CB"/>
    <w:rsid w:val="00DA561F"/>
    <w:rsid w:val="00DA602D"/>
    <w:rsid w:val="00DA6539"/>
    <w:rsid w:val="00DA6F22"/>
    <w:rsid w:val="00DA76CA"/>
    <w:rsid w:val="00DA79BA"/>
    <w:rsid w:val="00DB001A"/>
    <w:rsid w:val="00DB0191"/>
    <w:rsid w:val="00DB06D2"/>
    <w:rsid w:val="00DB0A5A"/>
    <w:rsid w:val="00DB0A62"/>
    <w:rsid w:val="00DB0AD9"/>
    <w:rsid w:val="00DB0CD6"/>
    <w:rsid w:val="00DB1780"/>
    <w:rsid w:val="00DB1DC7"/>
    <w:rsid w:val="00DB249F"/>
    <w:rsid w:val="00DB28E5"/>
    <w:rsid w:val="00DB296C"/>
    <w:rsid w:val="00DB2C25"/>
    <w:rsid w:val="00DB324F"/>
    <w:rsid w:val="00DB3773"/>
    <w:rsid w:val="00DB5718"/>
    <w:rsid w:val="00DB682A"/>
    <w:rsid w:val="00DB72DB"/>
    <w:rsid w:val="00DB77C5"/>
    <w:rsid w:val="00DB784A"/>
    <w:rsid w:val="00DC06CD"/>
    <w:rsid w:val="00DC075D"/>
    <w:rsid w:val="00DC097F"/>
    <w:rsid w:val="00DC1A89"/>
    <w:rsid w:val="00DC2703"/>
    <w:rsid w:val="00DC3541"/>
    <w:rsid w:val="00DC37CD"/>
    <w:rsid w:val="00DC42F6"/>
    <w:rsid w:val="00DC44F5"/>
    <w:rsid w:val="00DC478A"/>
    <w:rsid w:val="00DC4C29"/>
    <w:rsid w:val="00DC54F8"/>
    <w:rsid w:val="00DC5BC9"/>
    <w:rsid w:val="00DC6168"/>
    <w:rsid w:val="00DC62F4"/>
    <w:rsid w:val="00DC7539"/>
    <w:rsid w:val="00DC77DA"/>
    <w:rsid w:val="00DD0748"/>
    <w:rsid w:val="00DD07A1"/>
    <w:rsid w:val="00DD0A6C"/>
    <w:rsid w:val="00DD1138"/>
    <w:rsid w:val="00DD2701"/>
    <w:rsid w:val="00DD2F1C"/>
    <w:rsid w:val="00DD3999"/>
    <w:rsid w:val="00DD3B6C"/>
    <w:rsid w:val="00DD4C20"/>
    <w:rsid w:val="00DD51B2"/>
    <w:rsid w:val="00DD5D96"/>
    <w:rsid w:val="00DD5F51"/>
    <w:rsid w:val="00DD67CD"/>
    <w:rsid w:val="00DD758C"/>
    <w:rsid w:val="00DD7ECC"/>
    <w:rsid w:val="00DE14A6"/>
    <w:rsid w:val="00DE16EB"/>
    <w:rsid w:val="00DE1E5F"/>
    <w:rsid w:val="00DE223C"/>
    <w:rsid w:val="00DE28AE"/>
    <w:rsid w:val="00DE334C"/>
    <w:rsid w:val="00DE36CA"/>
    <w:rsid w:val="00DE38F0"/>
    <w:rsid w:val="00DE3E7A"/>
    <w:rsid w:val="00DE3FB3"/>
    <w:rsid w:val="00DE4B0E"/>
    <w:rsid w:val="00DE4BE9"/>
    <w:rsid w:val="00DE551E"/>
    <w:rsid w:val="00DE6E01"/>
    <w:rsid w:val="00DE6F4C"/>
    <w:rsid w:val="00DE7B2E"/>
    <w:rsid w:val="00DF0E9B"/>
    <w:rsid w:val="00DF1C90"/>
    <w:rsid w:val="00DF1D7A"/>
    <w:rsid w:val="00DF2291"/>
    <w:rsid w:val="00DF253A"/>
    <w:rsid w:val="00DF2966"/>
    <w:rsid w:val="00DF2F54"/>
    <w:rsid w:val="00DF3075"/>
    <w:rsid w:val="00DF468D"/>
    <w:rsid w:val="00DF5240"/>
    <w:rsid w:val="00DF555A"/>
    <w:rsid w:val="00DF677F"/>
    <w:rsid w:val="00DF7A10"/>
    <w:rsid w:val="00DF7BEE"/>
    <w:rsid w:val="00DF7CB3"/>
    <w:rsid w:val="00E017C6"/>
    <w:rsid w:val="00E019E8"/>
    <w:rsid w:val="00E01C38"/>
    <w:rsid w:val="00E01D09"/>
    <w:rsid w:val="00E01E0A"/>
    <w:rsid w:val="00E02241"/>
    <w:rsid w:val="00E0271D"/>
    <w:rsid w:val="00E02FFD"/>
    <w:rsid w:val="00E04411"/>
    <w:rsid w:val="00E050C8"/>
    <w:rsid w:val="00E05BE2"/>
    <w:rsid w:val="00E060C3"/>
    <w:rsid w:val="00E0632C"/>
    <w:rsid w:val="00E06356"/>
    <w:rsid w:val="00E068FA"/>
    <w:rsid w:val="00E06D27"/>
    <w:rsid w:val="00E0707B"/>
    <w:rsid w:val="00E07142"/>
    <w:rsid w:val="00E07DC8"/>
    <w:rsid w:val="00E11264"/>
    <w:rsid w:val="00E11433"/>
    <w:rsid w:val="00E11458"/>
    <w:rsid w:val="00E11DD7"/>
    <w:rsid w:val="00E11FE0"/>
    <w:rsid w:val="00E120CF"/>
    <w:rsid w:val="00E13587"/>
    <w:rsid w:val="00E13E2E"/>
    <w:rsid w:val="00E13EB3"/>
    <w:rsid w:val="00E14F74"/>
    <w:rsid w:val="00E15791"/>
    <w:rsid w:val="00E15DA7"/>
    <w:rsid w:val="00E15E5D"/>
    <w:rsid w:val="00E16298"/>
    <w:rsid w:val="00E163BA"/>
    <w:rsid w:val="00E16411"/>
    <w:rsid w:val="00E20E3F"/>
    <w:rsid w:val="00E21218"/>
    <w:rsid w:val="00E21402"/>
    <w:rsid w:val="00E21DAF"/>
    <w:rsid w:val="00E21F56"/>
    <w:rsid w:val="00E21F95"/>
    <w:rsid w:val="00E22FFA"/>
    <w:rsid w:val="00E2307F"/>
    <w:rsid w:val="00E2379E"/>
    <w:rsid w:val="00E23E3D"/>
    <w:rsid w:val="00E24A91"/>
    <w:rsid w:val="00E24E0C"/>
    <w:rsid w:val="00E25363"/>
    <w:rsid w:val="00E253B6"/>
    <w:rsid w:val="00E257C2"/>
    <w:rsid w:val="00E25ADB"/>
    <w:rsid w:val="00E26D8F"/>
    <w:rsid w:val="00E26DCD"/>
    <w:rsid w:val="00E271C7"/>
    <w:rsid w:val="00E30B77"/>
    <w:rsid w:val="00E312A4"/>
    <w:rsid w:val="00E31E43"/>
    <w:rsid w:val="00E31F87"/>
    <w:rsid w:val="00E335F7"/>
    <w:rsid w:val="00E34146"/>
    <w:rsid w:val="00E34F25"/>
    <w:rsid w:val="00E35B5F"/>
    <w:rsid w:val="00E36AAD"/>
    <w:rsid w:val="00E4233F"/>
    <w:rsid w:val="00E432E1"/>
    <w:rsid w:val="00E4397C"/>
    <w:rsid w:val="00E44FA7"/>
    <w:rsid w:val="00E4549D"/>
    <w:rsid w:val="00E463ED"/>
    <w:rsid w:val="00E468FB"/>
    <w:rsid w:val="00E47B1D"/>
    <w:rsid w:val="00E47B2A"/>
    <w:rsid w:val="00E507A7"/>
    <w:rsid w:val="00E5113A"/>
    <w:rsid w:val="00E51577"/>
    <w:rsid w:val="00E521DE"/>
    <w:rsid w:val="00E52638"/>
    <w:rsid w:val="00E52894"/>
    <w:rsid w:val="00E52B22"/>
    <w:rsid w:val="00E56809"/>
    <w:rsid w:val="00E56BA3"/>
    <w:rsid w:val="00E57B85"/>
    <w:rsid w:val="00E57E41"/>
    <w:rsid w:val="00E57EB8"/>
    <w:rsid w:val="00E62A0A"/>
    <w:rsid w:val="00E630F6"/>
    <w:rsid w:val="00E636CD"/>
    <w:rsid w:val="00E63F45"/>
    <w:rsid w:val="00E63F83"/>
    <w:rsid w:val="00E65386"/>
    <w:rsid w:val="00E65A5E"/>
    <w:rsid w:val="00E65DC2"/>
    <w:rsid w:val="00E66413"/>
    <w:rsid w:val="00E667C2"/>
    <w:rsid w:val="00E66EC2"/>
    <w:rsid w:val="00E67382"/>
    <w:rsid w:val="00E677EF"/>
    <w:rsid w:val="00E67D37"/>
    <w:rsid w:val="00E720CC"/>
    <w:rsid w:val="00E720D9"/>
    <w:rsid w:val="00E72AF8"/>
    <w:rsid w:val="00E72C46"/>
    <w:rsid w:val="00E73724"/>
    <w:rsid w:val="00E73B6A"/>
    <w:rsid w:val="00E73C70"/>
    <w:rsid w:val="00E7413A"/>
    <w:rsid w:val="00E74587"/>
    <w:rsid w:val="00E74A59"/>
    <w:rsid w:val="00E75019"/>
    <w:rsid w:val="00E7519E"/>
    <w:rsid w:val="00E753F0"/>
    <w:rsid w:val="00E76409"/>
    <w:rsid w:val="00E777D9"/>
    <w:rsid w:val="00E8151B"/>
    <w:rsid w:val="00E823C1"/>
    <w:rsid w:val="00E8327E"/>
    <w:rsid w:val="00E832BE"/>
    <w:rsid w:val="00E83930"/>
    <w:rsid w:val="00E83E5A"/>
    <w:rsid w:val="00E84ADC"/>
    <w:rsid w:val="00E855BC"/>
    <w:rsid w:val="00E85A6A"/>
    <w:rsid w:val="00E86C67"/>
    <w:rsid w:val="00E900D4"/>
    <w:rsid w:val="00E90536"/>
    <w:rsid w:val="00E90F8E"/>
    <w:rsid w:val="00E91C94"/>
    <w:rsid w:val="00E924D3"/>
    <w:rsid w:val="00E93F8C"/>
    <w:rsid w:val="00E9559E"/>
    <w:rsid w:val="00E95AD9"/>
    <w:rsid w:val="00E95DB7"/>
    <w:rsid w:val="00E969D2"/>
    <w:rsid w:val="00E97D6E"/>
    <w:rsid w:val="00E97DBB"/>
    <w:rsid w:val="00E97E71"/>
    <w:rsid w:val="00EA0D88"/>
    <w:rsid w:val="00EA1807"/>
    <w:rsid w:val="00EA18CE"/>
    <w:rsid w:val="00EA2841"/>
    <w:rsid w:val="00EA285C"/>
    <w:rsid w:val="00EA29B6"/>
    <w:rsid w:val="00EA34F7"/>
    <w:rsid w:val="00EA3565"/>
    <w:rsid w:val="00EA35C5"/>
    <w:rsid w:val="00EA3906"/>
    <w:rsid w:val="00EA4129"/>
    <w:rsid w:val="00EA427D"/>
    <w:rsid w:val="00EA4846"/>
    <w:rsid w:val="00EA4942"/>
    <w:rsid w:val="00EA552E"/>
    <w:rsid w:val="00EA579A"/>
    <w:rsid w:val="00EA62CB"/>
    <w:rsid w:val="00EA6715"/>
    <w:rsid w:val="00EA6C8F"/>
    <w:rsid w:val="00EB013F"/>
    <w:rsid w:val="00EB01D6"/>
    <w:rsid w:val="00EB10CF"/>
    <w:rsid w:val="00EB2926"/>
    <w:rsid w:val="00EB2DF7"/>
    <w:rsid w:val="00EB2F25"/>
    <w:rsid w:val="00EB30CD"/>
    <w:rsid w:val="00EB3868"/>
    <w:rsid w:val="00EB4455"/>
    <w:rsid w:val="00EB4682"/>
    <w:rsid w:val="00EB49B3"/>
    <w:rsid w:val="00EB4CCF"/>
    <w:rsid w:val="00EB51B0"/>
    <w:rsid w:val="00EB6F98"/>
    <w:rsid w:val="00EB752D"/>
    <w:rsid w:val="00EC1FB0"/>
    <w:rsid w:val="00EC27A1"/>
    <w:rsid w:val="00EC4ED5"/>
    <w:rsid w:val="00EC543E"/>
    <w:rsid w:val="00EC6518"/>
    <w:rsid w:val="00EC661C"/>
    <w:rsid w:val="00EC6DDE"/>
    <w:rsid w:val="00EC779D"/>
    <w:rsid w:val="00EC795A"/>
    <w:rsid w:val="00ED113F"/>
    <w:rsid w:val="00ED2A31"/>
    <w:rsid w:val="00ED57A9"/>
    <w:rsid w:val="00ED5C89"/>
    <w:rsid w:val="00ED5FAF"/>
    <w:rsid w:val="00ED6B4E"/>
    <w:rsid w:val="00ED6E93"/>
    <w:rsid w:val="00EE0ADA"/>
    <w:rsid w:val="00EE1441"/>
    <w:rsid w:val="00EE17D3"/>
    <w:rsid w:val="00EE253F"/>
    <w:rsid w:val="00EE260E"/>
    <w:rsid w:val="00EE2A7B"/>
    <w:rsid w:val="00EE2E33"/>
    <w:rsid w:val="00EE36AC"/>
    <w:rsid w:val="00EE4111"/>
    <w:rsid w:val="00EE4423"/>
    <w:rsid w:val="00EE480E"/>
    <w:rsid w:val="00EE522F"/>
    <w:rsid w:val="00EE57C9"/>
    <w:rsid w:val="00EE613D"/>
    <w:rsid w:val="00EE6FC7"/>
    <w:rsid w:val="00EE7FC6"/>
    <w:rsid w:val="00EF052D"/>
    <w:rsid w:val="00EF0CFF"/>
    <w:rsid w:val="00EF10AC"/>
    <w:rsid w:val="00EF127E"/>
    <w:rsid w:val="00EF12EF"/>
    <w:rsid w:val="00EF1868"/>
    <w:rsid w:val="00EF1CA6"/>
    <w:rsid w:val="00EF2601"/>
    <w:rsid w:val="00EF2C72"/>
    <w:rsid w:val="00EF3042"/>
    <w:rsid w:val="00EF3572"/>
    <w:rsid w:val="00EF41FA"/>
    <w:rsid w:val="00EF55B5"/>
    <w:rsid w:val="00EF56D1"/>
    <w:rsid w:val="00EF5CFA"/>
    <w:rsid w:val="00EF6A24"/>
    <w:rsid w:val="00EF6CBB"/>
    <w:rsid w:val="00EF723E"/>
    <w:rsid w:val="00EF78D0"/>
    <w:rsid w:val="00F01240"/>
    <w:rsid w:val="00F017A7"/>
    <w:rsid w:val="00F018CE"/>
    <w:rsid w:val="00F02897"/>
    <w:rsid w:val="00F02920"/>
    <w:rsid w:val="00F02B8C"/>
    <w:rsid w:val="00F02E68"/>
    <w:rsid w:val="00F037A2"/>
    <w:rsid w:val="00F04CDE"/>
    <w:rsid w:val="00F0501B"/>
    <w:rsid w:val="00F05B8A"/>
    <w:rsid w:val="00F075BD"/>
    <w:rsid w:val="00F07CEF"/>
    <w:rsid w:val="00F07DDA"/>
    <w:rsid w:val="00F106AF"/>
    <w:rsid w:val="00F10A58"/>
    <w:rsid w:val="00F10D4F"/>
    <w:rsid w:val="00F10EDA"/>
    <w:rsid w:val="00F11450"/>
    <w:rsid w:val="00F1155D"/>
    <w:rsid w:val="00F11AA6"/>
    <w:rsid w:val="00F12268"/>
    <w:rsid w:val="00F124FC"/>
    <w:rsid w:val="00F12595"/>
    <w:rsid w:val="00F12E47"/>
    <w:rsid w:val="00F12E92"/>
    <w:rsid w:val="00F13C92"/>
    <w:rsid w:val="00F146D0"/>
    <w:rsid w:val="00F15688"/>
    <w:rsid w:val="00F1602E"/>
    <w:rsid w:val="00F17273"/>
    <w:rsid w:val="00F172BC"/>
    <w:rsid w:val="00F17775"/>
    <w:rsid w:val="00F17977"/>
    <w:rsid w:val="00F204A3"/>
    <w:rsid w:val="00F218A7"/>
    <w:rsid w:val="00F22822"/>
    <w:rsid w:val="00F22867"/>
    <w:rsid w:val="00F229DD"/>
    <w:rsid w:val="00F22A2B"/>
    <w:rsid w:val="00F22D9E"/>
    <w:rsid w:val="00F22E31"/>
    <w:rsid w:val="00F23519"/>
    <w:rsid w:val="00F24830"/>
    <w:rsid w:val="00F24870"/>
    <w:rsid w:val="00F24A61"/>
    <w:rsid w:val="00F253F0"/>
    <w:rsid w:val="00F25984"/>
    <w:rsid w:val="00F25CC8"/>
    <w:rsid w:val="00F2658B"/>
    <w:rsid w:val="00F26630"/>
    <w:rsid w:val="00F26E4C"/>
    <w:rsid w:val="00F270DC"/>
    <w:rsid w:val="00F301A8"/>
    <w:rsid w:val="00F30707"/>
    <w:rsid w:val="00F33038"/>
    <w:rsid w:val="00F336A8"/>
    <w:rsid w:val="00F343AE"/>
    <w:rsid w:val="00F343DE"/>
    <w:rsid w:val="00F35CA5"/>
    <w:rsid w:val="00F3607D"/>
    <w:rsid w:val="00F36344"/>
    <w:rsid w:val="00F36F82"/>
    <w:rsid w:val="00F3706E"/>
    <w:rsid w:val="00F37526"/>
    <w:rsid w:val="00F37619"/>
    <w:rsid w:val="00F37881"/>
    <w:rsid w:val="00F37DBE"/>
    <w:rsid w:val="00F40992"/>
    <w:rsid w:val="00F40D52"/>
    <w:rsid w:val="00F411D4"/>
    <w:rsid w:val="00F4134B"/>
    <w:rsid w:val="00F42498"/>
    <w:rsid w:val="00F46372"/>
    <w:rsid w:val="00F5056C"/>
    <w:rsid w:val="00F50E91"/>
    <w:rsid w:val="00F51A53"/>
    <w:rsid w:val="00F51B15"/>
    <w:rsid w:val="00F51B27"/>
    <w:rsid w:val="00F52779"/>
    <w:rsid w:val="00F52B8B"/>
    <w:rsid w:val="00F532A0"/>
    <w:rsid w:val="00F537EB"/>
    <w:rsid w:val="00F53F26"/>
    <w:rsid w:val="00F54208"/>
    <w:rsid w:val="00F54209"/>
    <w:rsid w:val="00F54E7D"/>
    <w:rsid w:val="00F54F4E"/>
    <w:rsid w:val="00F564C7"/>
    <w:rsid w:val="00F5715F"/>
    <w:rsid w:val="00F57335"/>
    <w:rsid w:val="00F576B5"/>
    <w:rsid w:val="00F57EB6"/>
    <w:rsid w:val="00F57FAA"/>
    <w:rsid w:val="00F57FF4"/>
    <w:rsid w:val="00F601C3"/>
    <w:rsid w:val="00F606AD"/>
    <w:rsid w:val="00F60FFB"/>
    <w:rsid w:val="00F617DA"/>
    <w:rsid w:val="00F61F83"/>
    <w:rsid w:val="00F620CC"/>
    <w:rsid w:val="00F624E7"/>
    <w:rsid w:val="00F6283C"/>
    <w:rsid w:val="00F62B78"/>
    <w:rsid w:val="00F638D1"/>
    <w:rsid w:val="00F6421E"/>
    <w:rsid w:val="00F64DEA"/>
    <w:rsid w:val="00F65141"/>
    <w:rsid w:val="00F655DF"/>
    <w:rsid w:val="00F65A1F"/>
    <w:rsid w:val="00F66B72"/>
    <w:rsid w:val="00F67555"/>
    <w:rsid w:val="00F675BC"/>
    <w:rsid w:val="00F6760C"/>
    <w:rsid w:val="00F7020A"/>
    <w:rsid w:val="00F70696"/>
    <w:rsid w:val="00F70B43"/>
    <w:rsid w:val="00F70E9B"/>
    <w:rsid w:val="00F70EBF"/>
    <w:rsid w:val="00F7107B"/>
    <w:rsid w:val="00F712F3"/>
    <w:rsid w:val="00F71307"/>
    <w:rsid w:val="00F717C7"/>
    <w:rsid w:val="00F721A7"/>
    <w:rsid w:val="00F723D9"/>
    <w:rsid w:val="00F73BB9"/>
    <w:rsid w:val="00F74896"/>
    <w:rsid w:val="00F75BB7"/>
    <w:rsid w:val="00F75BFF"/>
    <w:rsid w:val="00F7632F"/>
    <w:rsid w:val="00F76391"/>
    <w:rsid w:val="00F7739C"/>
    <w:rsid w:val="00F77DA6"/>
    <w:rsid w:val="00F804DB"/>
    <w:rsid w:val="00F80832"/>
    <w:rsid w:val="00F80AF6"/>
    <w:rsid w:val="00F80EEF"/>
    <w:rsid w:val="00F817D6"/>
    <w:rsid w:val="00F826B6"/>
    <w:rsid w:val="00F82BBC"/>
    <w:rsid w:val="00F83176"/>
    <w:rsid w:val="00F83E33"/>
    <w:rsid w:val="00F844B7"/>
    <w:rsid w:val="00F845E7"/>
    <w:rsid w:val="00F849E9"/>
    <w:rsid w:val="00F85230"/>
    <w:rsid w:val="00F858A2"/>
    <w:rsid w:val="00F85A61"/>
    <w:rsid w:val="00F86DFF"/>
    <w:rsid w:val="00F87433"/>
    <w:rsid w:val="00F87D17"/>
    <w:rsid w:val="00F87D29"/>
    <w:rsid w:val="00F90AD1"/>
    <w:rsid w:val="00F90D40"/>
    <w:rsid w:val="00F9136B"/>
    <w:rsid w:val="00F92F09"/>
    <w:rsid w:val="00F933F1"/>
    <w:rsid w:val="00F93A38"/>
    <w:rsid w:val="00F95B7B"/>
    <w:rsid w:val="00F95E4C"/>
    <w:rsid w:val="00F95E5C"/>
    <w:rsid w:val="00F960DB"/>
    <w:rsid w:val="00F969D1"/>
    <w:rsid w:val="00FA00DA"/>
    <w:rsid w:val="00FA0BE5"/>
    <w:rsid w:val="00FA10F0"/>
    <w:rsid w:val="00FA1259"/>
    <w:rsid w:val="00FA14F0"/>
    <w:rsid w:val="00FA1714"/>
    <w:rsid w:val="00FA17C9"/>
    <w:rsid w:val="00FA1995"/>
    <w:rsid w:val="00FA1AD6"/>
    <w:rsid w:val="00FA2453"/>
    <w:rsid w:val="00FA28EF"/>
    <w:rsid w:val="00FA298A"/>
    <w:rsid w:val="00FA2C9A"/>
    <w:rsid w:val="00FA4342"/>
    <w:rsid w:val="00FA4462"/>
    <w:rsid w:val="00FA47D3"/>
    <w:rsid w:val="00FA4D93"/>
    <w:rsid w:val="00FA5344"/>
    <w:rsid w:val="00FA65D2"/>
    <w:rsid w:val="00FA7667"/>
    <w:rsid w:val="00FA792E"/>
    <w:rsid w:val="00FB0006"/>
    <w:rsid w:val="00FB1103"/>
    <w:rsid w:val="00FB11AE"/>
    <w:rsid w:val="00FB16EC"/>
    <w:rsid w:val="00FB1C09"/>
    <w:rsid w:val="00FB23DE"/>
    <w:rsid w:val="00FB3651"/>
    <w:rsid w:val="00FB39D4"/>
    <w:rsid w:val="00FB42B7"/>
    <w:rsid w:val="00FB464C"/>
    <w:rsid w:val="00FB4E27"/>
    <w:rsid w:val="00FB587A"/>
    <w:rsid w:val="00FB58F8"/>
    <w:rsid w:val="00FB5BDD"/>
    <w:rsid w:val="00FB608D"/>
    <w:rsid w:val="00FB6437"/>
    <w:rsid w:val="00FB74D8"/>
    <w:rsid w:val="00FB7501"/>
    <w:rsid w:val="00FB7A36"/>
    <w:rsid w:val="00FB7A59"/>
    <w:rsid w:val="00FB7D6F"/>
    <w:rsid w:val="00FB7DA1"/>
    <w:rsid w:val="00FC14D6"/>
    <w:rsid w:val="00FC182E"/>
    <w:rsid w:val="00FC2482"/>
    <w:rsid w:val="00FC268C"/>
    <w:rsid w:val="00FC372B"/>
    <w:rsid w:val="00FC3B24"/>
    <w:rsid w:val="00FC3C8E"/>
    <w:rsid w:val="00FC4037"/>
    <w:rsid w:val="00FC49BF"/>
    <w:rsid w:val="00FC4B4C"/>
    <w:rsid w:val="00FC5221"/>
    <w:rsid w:val="00FC5A37"/>
    <w:rsid w:val="00FC5AEB"/>
    <w:rsid w:val="00FC5AF8"/>
    <w:rsid w:val="00FC6CC9"/>
    <w:rsid w:val="00FC75D4"/>
    <w:rsid w:val="00FC76F5"/>
    <w:rsid w:val="00FC7EBC"/>
    <w:rsid w:val="00FD1366"/>
    <w:rsid w:val="00FD170E"/>
    <w:rsid w:val="00FD1861"/>
    <w:rsid w:val="00FD1A07"/>
    <w:rsid w:val="00FD268F"/>
    <w:rsid w:val="00FD3577"/>
    <w:rsid w:val="00FD3A1C"/>
    <w:rsid w:val="00FD3C34"/>
    <w:rsid w:val="00FD4C6C"/>
    <w:rsid w:val="00FD4D76"/>
    <w:rsid w:val="00FD52F6"/>
    <w:rsid w:val="00FD5AE7"/>
    <w:rsid w:val="00FD5ECC"/>
    <w:rsid w:val="00FD6400"/>
    <w:rsid w:val="00FD6E4A"/>
    <w:rsid w:val="00FD7207"/>
    <w:rsid w:val="00FD7CF5"/>
    <w:rsid w:val="00FE0E97"/>
    <w:rsid w:val="00FE117E"/>
    <w:rsid w:val="00FE432E"/>
    <w:rsid w:val="00FE4634"/>
    <w:rsid w:val="00FE4A21"/>
    <w:rsid w:val="00FE55DA"/>
    <w:rsid w:val="00FE5DA2"/>
    <w:rsid w:val="00FE623C"/>
    <w:rsid w:val="00FE6722"/>
    <w:rsid w:val="00FE6D08"/>
    <w:rsid w:val="00FE765C"/>
    <w:rsid w:val="00FF026E"/>
    <w:rsid w:val="00FF03BC"/>
    <w:rsid w:val="00FF0AAC"/>
    <w:rsid w:val="00FF13BA"/>
    <w:rsid w:val="00FF13E2"/>
    <w:rsid w:val="00FF2F4A"/>
    <w:rsid w:val="00FF2FB1"/>
    <w:rsid w:val="00FF47B9"/>
    <w:rsid w:val="00FF4919"/>
    <w:rsid w:val="00FF4D11"/>
    <w:rsid w:val="00FF4E8E"/>
    <w:rsid w:val="00FF5991"/>
    <w:rsid w:val="00FF5F55"/>
    <w:rsid w:val="0306A3AF"/>
    <w:rsid w:val="03220BEE"/>
    <w:rsid w:val="05911D05"/>
    <w:rsid w:val="06255990"/>
    <w:rsid w:val="0691E8F2"/>
    <w:rsid w:val="06FF92E9"/>
    <w:rsid w:val="078DD46E"/>
    <w:rsid w:val="080EFAEB"/>
    <w:rsid w:val="081EB1C5"/>
    <w:rsid w:val="0974E709"/>
    <w:rsid w:val="0A7A5D08"/>
    <w:rsid w:val="0B245AB9"/>
    <w:rsid w:val="0BA239E2"/>
    <w:rsid w:val="0BA2D064"/>
    <w:rsid w:val="0D3D0E24"/>
    <w:rsid w:val="0DB0635B"/>
    <w:rsid w:val="0EB54449"/>
    <w:rsid w:val="0ED15AA5"/>
    <w:rsid w:val="1017C622"/>
    <w:rsid w:val="107B9F52"/>
    <w:rsid w:val="1186C3FF"/>
    <w:rsid w:val="11BD46DD"/>
    <w:rsid w:val="120926B1"/>
    <w:rsid w:val="1385AB1A"/>
    <w:rsid w:val="14D3EA86"/>
    <w:rsid w:val="159C7443"/>
    <w:rsid w:val="161DF542"/>
    <w:rsid w:val="165E39BA"/>
    <w:rsid w:val="181870DA"/>
    <w:rsid w:val="189E6835"/>
    <w:rsid w:val="1AAC3CA5"/>
    <w:rsid w:val="1CACFF9D"/>
    <w:rsid w:val="1CE00E8D"/>
    <w:rsid w:val="1D4486CD"/>
    <w:rsid w:val="1D897DBC"/>
    <w:rsid w:val="1EB9B2A0"/>
    <w:rsid w:val="1F9E7E8B"/>
    <w:rsid w:val="20B1308A"/>
    <w:rsid w:val="216EF723"/>
    <w:rsid w:val="228DF6D1"/>
    <w:rsid w:val="22C8D16A"/>
    <w:rsid w:val="2301D51F"/>
    <w:rsid w:val="231A01F7"/>
    <w:rsid w:val="2328AB83"/>
    <w:rsid w:val="2391EA9B"/>
    <w:rsid w:val="28DC3A2C"/>
    <w:rsid w:val="2912EDED"/>
    <w:rsid w:val="297F0460"/>
    <w:rsid w:val="2B333DF0"/>
    <w:rsid w:val="2BCB3DBB"/>
    <w:rsid w:val="2C023D8E"/>
    <w:rsid w:val="2C352F5D"/>
    <w:rsid w:val="2CF3D976"/>
    <w:rsid w:val="2D8486EE"/>
    <w:rsid w:val="2DED9BFA"/>
    <w:rsid w:val="2EA10445"/>
    <w:rsid w:val="2F3946D8"/>
    <w:rsid w:val="3113721A"/>
    <w:rsid w:val="3195EA7E"/>
    <w:rsid w:val="324ADA84"/>
    <w:rsid w:val="3513B89B"/>
    <w:rsid w:val="3596E7E3"/>
    <w:rsid w:val="367A319C"/>
    <w:rsid w:val="36DF4905"/>
    <w:rsid w:val="39238C76"/>
    <w:rsid w:val="39A37777"/>
    <w:rsid w:val="3ACBEA10"/>
    <w:rsid w:val="3B9B29F4"/>
    <w:rsid w:val="3C999862"/>
    <w:rsid w:val="3CA7B5E8"/>
    <w:rsid w:val="3CD31F2A"/>
    <w:rsid w:val="3D3E7EA2"/>
    <w:rsid w:val="3D911B5E"/>
    <w:rsid w:val="3EDAE67B"/>
    <w:rsid w:val="3F2F84D7"/>
    <w:rsid w:val="40771B83"/>
    <w:rsid w:val="40A41905"/>
    <w:rsid w:val="4127DFF2"/>
    <w:rsid w:val="44725032"/>
    <w:rsid w:val="44DE8C82"/>
    <w:rsid w:val="4507DFCC"/>
    <w:rsid w:val="451B547B"/>
    <w:rsid w:val="476A5C2F"/>
    <w:rsid w:val="481DBC4A"/>
    <w:rsid w:val="49BB2DB3"/>
    <w:rsid w:val="4AFA5EC7"/>
    <w:rsid w:val="4BD1A926"/>
    <w:rsid w:val="4CDD6DE0"/>
    <w:rsid w:val="4EC2DDD3"/>
    <w:rsid w:val="4FBEC022"/>
    <w:rsid w:val="50224503"/>
    <w:rsid w:val="507D3366"/>
    <w:rsid w:val="51269936"/>
    <w:rsid w:val="515077EE"/>
    <w:rsid w:val="516AFF98"/>
    <w:rsid w:val="52222225"/>
    <w:rsid w:val="524071D0"/>
    <w:rsid w:val="53C9118C"/>
    <w:rsid w:val="54923145"/>
    <w:rsid w:val="54B8FAA3"/>
    <w:rsid w:val="54CCAAF8"/>
    <w:rsid w:val="54E3790C"/>
    <w:rsid w:val="559AB5E2"/>
    <w:rsid w:val="569BB44F"/>
    <w:rsid w:val="578E275D"/>
    <w:rsid w:val="57F4D276"/>
    <w:rsid w:val="58160A26"/>
    <w:rsid w:val="592DF4D9"/>
    <w:rsid w:val="59809ACA"/>
    <w:rsid w:val="5992B0D0"/>
    <w:rsid w:val="59991C15"/>
    <w:rsid w:val="5B7CE3A2"/>
    <w:rsid w:val="5BEBB49F"/>
    <w:rsid w:val="5C440104"/>
    <w:rsid w:val="5E8E75AE"/>
    <w:rsid w:val="5F8E8EEB"/>
    <w:rsid w:val="606E114A"/>
    <w:rsid w:val="60756B0B"/>
    <w:rsid w:val="60FD9DF8"/>
    <w:rsid w:val="61CE6BD9"/>
    <w:rsid w:val="6656CBA5"/>
    <w:rsid w:val="6851E2E4"/>
    <w:rsid w:val="68B49C8A"/>
    <w:rsid w:val="68E7C0BA"/>
    <w:rsid w:val="69DEC07F"/>
    <w:rsid w:val="6A0F3AC2"/>
    <w:rsid w:val="6B033393"/>
    <w:rsid w:val="6CA7DDFF"/>
    <w:rsid w:val="6D505FAE"/>
    <w:rsid w:val="6DACC260"/>
    <w:rsid w:val="6E4B9221"/>
    <w:rsid w:val="70E1BE56"/>
    <w:rsid w:val="71076557"/>
    <w:rsid w:val="71B07B9A"/>
    <w:rsid w:val="7259EAC9"/>
    <w:rsid w:val="7269CDD4"/>
    <w:rsid w:val="72E4679A"/>
    <w:rsid w:val="73CF496D"/>
    <w:rsid w:val="73E389B6"/>
    <w:rsid w:val="74A5557B"/>
    <w:rsid w:val="761E0701"/>
    <w:rsid w:val="764F6757"/>
    <w:rsid w:val="77080647"/>
    <w:rsid w:val="775A269D"/>
    <w:rsid w:val="778D4B3D"/>
    <w:rsid w:val="78DDFD5F"/>
    <w:rsid w:val="7978F470"/>
    <w:rsid w:val="79B200A7"/>
    <w:rsid w:val="79F270C5"/>
    <w:rsid w:val="7A4C38F8"/>
    <w:rsid w:val="7B71A2EF"/>
    <w:rsid w:val="7DA91D82"/>
    <w:rsid w:val="7DE7ED53"/>
    <w:rsid w:val="7E9F02D2"/>
    <w:rsid w:val="7F49C0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07A6F1"/>
  <w15:chartTrackingRefBased/>
  <w15:docId w15:val="{281070E1-BF8D-4EB0-8575-220F9699C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D64"/>
    <w:pPr>
      <w:tabs>
        <w:tab w:val="left" w:pos="567"/>
      </w:tabs>
      <w:spacing w:after="0" w:line="260" w:lineRule="exact"/>
    </w:pPr>
    <w:rPr>
      <w:rFonts w:ascii="Times New Roman" w:eastAsia="Times New Roman" w:hAnsi="Times New Roman" w:cs="Times New Roman"/>
      <w:szCs w:val="20"/>
    </w:rPr>
  </w:style>
  <w:style w:type="paragraph" w:styleId="Heading1">
    <w:name w:val="heading 1"/>
    <w:basedOn w:val="ListParagraph"/>
    <w:next w:val="Normal"/>
    <w:link w:val="Heading1Char"/>
    <w:uiPriority w:val="9"/>
    <w:qFormat/>
    <w:rsid w:val="00154C18"/>
    <w:pPr>
      <w:numPr>
        <w:numId w:val="1"/>
      </w:numPr>
      <w:outlineLvl w:val="0"/>
    </w:pPr>
    <w:rPr>
      <w:b/>
      <w:bCs/>
    </w:rPr>
  </w:style>
  <w:style w:type="paragraph" w:styleId="Heading2">
    <w:name w:val="heading 2"/>
    <w:basedOn w:val="ListParagraph"/>
    <w:next w:val="Normal"/>
    <w:link w:val="Heading2Char"/>
    <w:uiPriority w:val="9"/>
    <w:unhideWhenUsed/>
    <w:qFormat/>
    <w:rsid w:val="00982632"/>
    <w:pPr>
      <w:numPr>
        <w:ilvl w:val="1"/>
        <w:numId w:val="2"/>
      </w:numPr>
      <w:outlineLvl w:val="1"/>
    </w:pPr>
    <w:rPr>
      <w:b/>
      <w:bCs/>
    </w:rPr>
  </w:style>
  <w:style w:type="paragraph" w:styleId="Heading3">
    <w:name w:val="heading 3"/>
    <w:basedOn w:val="Normal"/>
    <w:next w:val="Normal"/>
    <w:link w:val="Heading3Char"/>
    <w:uiPriority w:val="9"/>
    <w:unhideWhenUsed/>
    <w:qFormat/>
    <w:rsid w:val="00154C18"/>
    <w:pPr>
      <w:outlineLvl w:val="2"/>
    </w:pPr>
    <w:rPr>
      <w:u w:val="single"/>
    </w:rPr>
  </w:style>
  <w:style w:type="paragraph" w:styleId="Heading4">
    <w:name w:val="heading 4"/>
    <w:basedOn w:val="Normal"/>
    <w:next w:val="Normal"/>
    <w:link w:val="Heading4Char"/>
    <w:uiPriority w:val="9"/>
    <w:unhideWhenUsed/>
    <w:qFormat/>
    <w:rsid w:val="00154C18"/>
    <w:pPr>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73A9"/>
    <w:pPr>
      <w:ind w:left="720"/>
      <w:contextualSpacing/>
    </w:pPr>
  </w:style>
  <w:style w:type="character" w:customStyle="1" w:styleId="Heading1Char">
    <w:name w:val="Heading 1 Char"/>
    <w:basedOn w:val="DefaultParagraphFont"/>
    <w:link w:val="Heading1"/>
    <w:uiPriority w:val="9"/>
    <w:rsid w:val="00154C18"/>
    <w:rPr>
      <w:rFonts w:ascii="Times New Roman" w:eastAsia="Times New Roman" w:hAnsi="Times New Roman" w:cs="Times New Roman"/>
      <w:b/>
      <w:bCs/>
      <w:szCs w:val="20"/>
    </w:rPr>
  </w:style>
  <w:style w:type="character" w:customStyle="1" w:styleId="Heading2Char">
    <w:name w:val="Heading 2 Char"/>
    <w:basedOn w:val="DefaultParagraphFont"/>
    <w:link w:val="Heading2"/>
    <w:uiPriority w:val="9"/>
    <w:rsid w:val="00982632"/>
    <w:rPr>
      <w:rFonts w:ascii="Times New Roman" w:eastAsia="Times New Roman" w:hAnsi="Times New Roman" w:cs="Times New Roman"/>
      <w:b/>
      <w:bCs/>
      <w:szCs w:val="20"/>
    </w:rPr>
  </w:style>
  <w:style w:type="character" w:customStyle="1" w:styleId="Heading3Char">
    <w:name w:val="Heading 3 Char"/>
    <w:basedOn w:val="DefaultParagraphFont"/>
    <w:link w:val="Heading3"/>
    <w:uiPriority w:val="9"/>
    <w:rsid w:val="00154C18"/>
    <w:rPr>
      <w:rFonts w:ascii="Times New Roman" w:eastAsia="Times New Roman" w:hAnsi="Times New Roman" w:cs="Times New Roman"/>
      <w:szCs w:val="20"/>
      <w:u w:val="single"/>
      <w:lang w:val="bs-Latn-BA"/>
    </w:rPr>
  </w:style>
  <w:style w:type="character" w:customStyle="1" w:styleId="Heading4Char">
    <w:name w:val="Heading 4 Char"/>
    <w:basedOn w:val="DefaultParagraphFont"/>
    <w:link w:val="Heading4"/>
    <w:uiPriority w:val="9"/>
    <w:rsid w:val="00154C18"/>
    <w:rPr>
      <w:rFonts w:ascii="Times New Roman" w:eastAsia="Times New Roman" w:hAnsi="Times New Roman" w:cs="Times New Roman"/>
      <w:i/>
      <w:iCs/>
      <w:szCs w:val="20"/>
      <w:lang w:val="bs-Latn-BA"/>
    </w:rPr>
  </w:style>
  <w:style w:type="numbering" w:customStyle="1" w:styleId="Style1">
    <w:name w:val="Style1"/>
    <w:uiPriority w:val="99"/>
    <w:rsid w:val="00154C18"/>
    <w:pPr>
      <w:numPr>
        <w:numId w:val="3"/>
      </w:numPr>
    </w:pPr>
  </w:style>
  <w:style w:type="paragraph" w:styleId="CommentText">
    <w:name w:val="annotation text"/>
    <w:aliases w:val=" Car17, Car17 Car, Char Char Char,Annotationtext,Car17,Char,Char Char Char,Char Char1,Comment Text Char Char,Comment Text Char Char Char Char,Comment Text Char Char1,Comment Text Char1,Comment Text Char1 Char,Comment Text Char1 Char Char"/>
    <w:basedOn w:val="Normal"/>
    <w:link w:val="CommentTextChar"/>
    <w:qFormat/>
    <w:rsid w:val="00735105"/>
    <w:rPr>
      <w:sz w:val="20"/>
    </w:rPr>
  </w:style>
  <w:style w:type="character" w:customStyle="1" w:styleId="CommentTextChar">
    <w:name w:val="Comment Text Char"/>
    <w:aliases w:val=" Car17 Char, Car17 Car Char, Char Char Char Char,Annotationtext Char,Car17 Char,Char Char,Char Char Char Char,Char Char1 Char,Comment Text Char Char Char,Comment Text Char Char Char Char Char,Comment Text Char Char1 Char"/>
    <w:link w:val="CommentText"/>
    <w:qFormat/>
    <w:rsid w:val="00735105"/>
    <w:rPr>
      <w:rFonts w:ascii="Times New Roman" w:eastAsia="Times New Roman" w:hAnsi="Times New Roman" w:cs="Times New Roman"/>
      <w:sz w:val="20"/>
      <w:szCs w:val="20"/>
      <w:lang w:val="bs-Latn-BA"/>
    </w:rPr>
  </w:style>
  <w:style w:type="character" w:styleId="CommentReference">
    <w:name w:val="annotation reference"/>
    <w:aliases w:val="Annotationmark"/>
    <w:rsid w:val="00735105"/>
    <w:rPr>
      <w:sz w:val="16"/>
      <w:szCs w:val="16"/>
    </w:rPr>
  </w:style>
  <w:style w:type="paragraph" w:styleId="CommentSubject">
    <w:name w:val="annotation subject"/>
    <w:basedOn w:val="CommentText"/>
    <w:next w:val="CommentText"/>
    <w:link w:val="CommentSubjectChar"/>
    <w:semiHidden/>
    <w:rsid w:val="00735105"/>
    <w:rPr>
      <w:b/>
      <w:bCs/>
    </w:rPr>
  </w:style>
  <w:style w:type="character" w:customStyle="1" w:styleId="CommentSubjectChar">
    <w:name w:val="Comment Subject Char"/>
    <w:link w:val="CommentSubject"/>
    <w:semiHidden/>
    <w:rsid w:val="00735105"/>
    <w:rPr>
      <w:rFonts w:ascii="Times New Roman" w:eastAsia="Times New Roman" w:hAnsi="Times New Roman" w:cs="Times New Roman"/>
      <w:b/>
      <w:bCs/>
      <w:sz w:val="20"/>
      <w:szCs w:val="20"/>
      <w:lang w:val="bs-Latn-BA"/>
    </w:rPr>
  </w:style>
  <w:style w:type="character" w:styleId="Hyperlink">
    <w:name w:val="Hyperlink"/>
    <w:rsid w:val="00735105"/>
    <w:rPr>
      <w:color w:val="0000FF"/>
      <w:u w:val="single"/>
    </w:rPr>
  </w:style>
  <w:style w:type="table" w:styleId="TableGrid">
    <w:name w:val="Table Grid"/>
    <w:basedOn w:val="TableNormal"/>
    <w:uiPriority w:val="39"/>
    <w:rsid w:val="003F78FA"/>
    <w:pPr>
      <w:spacing w:after="0" w:line="240" w:lineRule="auto"/>
    </w:pPr>
    <w:rPr>
      <w:rFonts w:ascii="Times New Roman" w:eastAsia="SimSu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35105"/>
    <w:pPr>
      <w:tabs>
        <w:tab w:val="center" w:pos="4153"/>
        <w:tab w:val="right" w:pos="8306"/>
      </w:tabs>
    </w:pPr>
    <w:rPr>
      <w:rFonts w:ascii="Arial" w:hAnsi="Arial"/>
      <w:sz w:val="20"/>
    </w:rPr>
  </w:style>
  <w:style w:type="character" w:customStyle="1" w:styleId="HeaderChar">
    <w:name w:val="Header Char"/>
    <w:basedOn w:val="DefaultParagraphFont"/>
    <w:link w:val="Header"/>
    <w:rsid w:val="006665DE"/>
    <w:rPr>
      <w:rFonts w:ascii="Arial" w:eastAsia="Times New Roman" w:hAnsi="Arial" w:cs="Times New Roman"/>
      <w:sz w:val="20"/>
      <w:szCs w:val="20"/>
      <w:lang w:val="bs-Latn-BA"/>
    </w:rPr>
  </w:style>
  <w:style w:type="paragraph" w:styleId="Footer">
    <w:name w:val="footer"/>
    <w:basedOn w:val="Normal"/>
    <w:link w:val="FooterChar"/>
    <w:uiPriority w:val="99"/>
    <w:rsid w:val="00735105"/>
    <w:pPr>
      <w:tabs>
        <w:tab w:val="center" w:pos="4536"/>
        <w:tab w:val="right" w:pos="8306"/>
      </w:tabs>
    </w:pPr>
    <w:rPr>
      <w:rFonts w:ascii="Arial" w:hAnsi="Arial"/>
      <w:noProof/>
      <w:sz w:val="16"/>
    </w:rPr>
  </w:style>
  <w:style w:type="character" w:customStyle="1" w:styleId="FooterChar">
    <w:name w:val="Footer Char"/>
    <w:basedOn w:val="DefaultParagraphFont"/>
    <w:link w:val="Footer"/>
    <w:uiPriority w:val="99"/>
    <w:rsid w:val="006665DE"/>
    <w:rPr>
      <w:rFonts w:ascii="Arial" w:eastAsia="Times New Roman" w:hAnsi="Arial" w:cs="Times New Roman"/>
      <w:noProof/>
      <w:sz w:val="16"/>
      <w:szCs w:val="20"/>
      <w:lang w:val="bs-Latn-BA"/>
    </w:rPr>
  </w:style>
  <w:style w:type="character" w:styleId="PageNumber">
    <w:name w:val="page number"/>
    <w:basedOn w:val="DefaultParagraphFont"/>
    <w:rsid w:val="00735105"/>
  </w:style>
  <w:style w:type="paragraph" w:styleId="BodyText">
    <w:name w:val="Body Text"/>
    <w:basedOn w:val="Normal"/>
    <w:link w:val="BodyTextChar"/>
    <w:rsid w:val="00735105"/>
    <w:pPr>
      <w:tabs>
        <w:tab w:val="clear" w:pos="567"/>
      </w:tabs>
      <w:spacing w:line="240" w:lineRule="auto"/>
    </w:pPr>
    <w:rPr>
      <w:i/>
      <w:color w:val="008000"/>
    </w:rPr>
  </w:style>
  <w:style w:type="character" w:customStyle="1" w:styleId="BodyTextChar">
    <w:name w:val="Body Text Char"/>
    <w:basedOn w:val="DefaultParagraphFont"/>
    <w:link w:val="BodyText"/>
    <w:rsid w:val="00B31377"/>
    <w:rPr>
      <w:rFonts w:ascii="Times New Roman" w:eastAsia="Times New Roman" w:hAnsi="Times New Roman" w:cs="Times New Roman"/>
      <w:i/>
      <w:color w:val="008000"/>
      <w:szCs w:val="20"/>
      <w:lang w:val="bs-Latn-BA"/>
    </w:rPr>
  </w:style>
  <w:style w:type="paragraph" w:styleId="EndnoteText">
    <w:name w:val="endnote text"/>
    <w:basedOn w:val="Normal"/>
    <w:next w:val="Normal"/>
    <w:link w:val="EndnoteTextChar"/>
    <w:semiHidden/>
    <w:rsid w:val="00B31377"/>
  </w:style>
  <w:style w:type="character" w:customStyle="1" w:styleId="EndnoteTextChar">
    <w:name w:val="Endnote Text Char"/>
    <w:basedOn w:val="DefaultParagraphFont"/>
    <w:link w:val="EndnoteText"/>
    <w:semiHidden/>
    <w:rsid w:val="00B31377"/>
    <w:rPr>
      <w:rFonts w:ascii="Times New Roman" w:eastAsia="Times New Roman" w:hAnsi="Times New Roman" w:cs="Times New Roman"/>
      <w:szCs w:val="20"/>
      <w:lang w:val="bs-Latn-BA"/>
    </w:rPr>
  </w:style>
  <w:style w:type="paragraph" w:customStyle="1" w:styleId="DefaultText">
    <w:name w:val="Default Text"/>
    <w:basedOn w:val="Normal"/>
    <w:rsid w:val="00B31377"/>
    <w:pPr>
      <w:overflowPunct w:val="0"/>
      <w:autoSpaceDE w:val="0"/>
      <w:autoSpaceDN w:val="0"/>
      <w:adjustRightInd w:val="0"/>
      <w:spacing w:after="120"/>
      <w:textAlignment w:val="baseline"/>
    </w:pPr>
    <w:rPr>
      <w:rFonts w:ascii="Arial" w:hAnsi="Arial" w:cs="Arial"/>
      <w:iCs/>
    </w:rPr>
  </w:style>
  <w:style w:type="paragraph" w:customStyle="1" w:styleId="Lvl1Text">
    <w:name w:val="Lvl 1:Text"/>
    <w:rsid w:val="00B31377"/>
    <w:pPr>
      <w:tabs>
        <w:tab w:val="left" w:pos="0"/>
        <w:tab w:val="left" w:pos="360"/>
      </w:tabs>
      <w:overflowPunct w:val="0"/>
      <w:autoSpaceDE w:val="0"/>
      <w:autoSpaceDN w:val="0"/>
      <w:adjustRightInd w:val="0"/>
      <w:spacing w:before="187" w:after="173" w:line="360" w:lineRule="exact"/>
      <w:textAlignment w:val="baseline"/>
    </w:pPr>
    <w:rPr>
      <w:rFonts w:ascii="Times New Roman" w:eastAsia="Times New Roman" w:hAnsi="Times New Roman" w:cs="Times New Roman"/>
      <w:sz w:val="24"/>
      <w:szCs w:val="20"/>
    </w:rPr>
  </w:style>
  <w:style w:type="paragraph" w:customStyle="1" w:styleId="Default">
    <w:name w:val="Default"/>
    <w:rsid w:val="00B3137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itle">
    <w:name w:val="Title"/>
    <w:basedOn w:val="Normal"/>
    <w:link w:val="TitleChar"/>
    <w:qFormat/>
    <w:rsid w:val="00B31377"/>
    <w:pPr>
      <w:jc w:val="center"/>
      <w:outlineLvl w:val="0"/>
    </w:pPr>
    <w:rPr>
      <w:b/>
      <w:noProof/>
      <w:szCs w:val="24"/>
      <w:lang w:eastAsia="es-ES"/>
    </w:rPr>
  </w:style>
  <w:style w:type="character" w:customStyle="1" w:styleId="TitleChar">
    <w:name w:val="Title Char"/>
    <w:basedOn w:val="DefaultParagraphFont"/>
    <w:link w:val="Title"/>
    <w:rsid w:val="00B31377"/>
    <w:rPr>
      <w:rFonts w:ascii="Times New Roman" w:eastAsia="Times New Roman" w:hAnsi="Times New Roman" w:cs="Times New Roman"/>
      <w:b/>
      <w:noProof/>
      <w:szCs w:val="24"/>
      <w:lang w:val="bs-Latn-BA" w:eastAsia="es-ES"/>
    </w:rPr>
  </w:style>
  <w:style w:type="paragraph" w:customStyle="1" w:styleId="BMCENTRED">
    <w:name w:val="BM CENTRED"/>
    <w:basedOn w:val="Normal"/>
    <w:qFormat/>
    <w:rsid w:val="00735105"/>
    <w:pPr>
      <w:spacing w:line="240" w:lineRule="auto"/>
      <w:jc w:val="center"/>
      <w:outlineLvl w:val="0"/>
    </w:pPr>
    <w:rPr>
      <w:b/>
    </w:rPr>
  </w:style>
  <w:style w:type="character" w:customStyle="1" w:styleId="UnresolvedMention1">
    <w:name w:val="Unresolved Mention1"/>
    <w:basedOn w:val="DefaultParagraphFont"/>
    <w:uiPriority w:val="99"/>
    <w:unhideWhenUsed/>
    <w:rsid w:val="00C66A0C"/>
    <w:rPr>
      <w:color w:val="605E5C"/>
      <w:shd w:val="clear" w:color="auto" w:fill="E1DFDD"/>
    </w:rPr>
  </w:style>
  <w:style w:type="paragraph" w:styleId="Revision">
    <w:name w:val="Revision"/>
    <w:hidden/>
    <w:uiPriority w:val="99"/>
    <w:semiHidden/>
    <w:rsid w:val="00735105"/>
    <w:pPr>
      <w:spacing w:after="0" w:line="240" w:lineRule="auto"/>
    </w:pPr>
    <w:rPr>
      <w:rFonts w:ascii="Times New Roman" w:eastAsia="Times New Roman" w:hAnsi="Times New Roman" w:cs="Times New Roman"/>
      <w:szCs w:val="20"/>
    </w:rPr>
  </w:style>
  <w:style w:type="paragraph" w:customStyle="1" w:styleId="paragraph">
    <w:name w:val="paragraph"/>
    <w:basedOn w:val="Normal"/>
    <w:rsid w:val="00705957"/>
    <w:pPr>
      <w:spacing w:before="100" w:beforeAutospacing="1" w:after="100" w:afterAutospacing="1"/>
    </w:pPr>
    <w:rPr>
      <w:sz w:val="24"/>
      <w:szCs w:val="24"/>
      <w:lang w:eastAsia="en-GB"/>
    </w:rPr>
  </w:style>
  <w:style w:type="character" w:customStyle="1" w:styleId="normaltextrun">
    <w:name w:val="normaltextrun"/>
    <w:basedOn w:val="DefaultParagraphFont"/>
    <w:rsid w:val="00705957"/>
  </w:style>
  <w:style w:type="character" w:customStyle="1" w:styleId="eop">
    <w:name w:val="eop"/>
    <w:basedOn w:val="DefaultParagraphFont"/>
    <w:rsid w:val="00705957"/>
  </w:style>
  <w:style w:type="character" w:styleId="FollowedHyperlink">
    <w:name w:val="FollowedHyperlink"/>
    <w:basedOn w:val="DefaultParagraphFont"/>
    <w:uiPriority w:val="99"/>
    <w:semiHidden/>
    <w:unhideWhenUsed/>
    <w:rsid w:val="00A11FA2"/>
    <w:rPr>
      <w:color w:val="954F72" w:themeColor="followedHyperlink"/>
      <w:u w:val="single"/>
    </w:rPr>
  </w:style>
  <w:style w:type="paragraph" w:styleId="ListBullet">
    <w:name w:val="List Bullet"/>
    <w:basedOn w:val="Normal"/>
    <w:rsid w:val="00666B67"/>
    <w:pPr>
      <w:numPr>
        <w:numId w:val="4"/>
      </w:numPr>
      <w:contextualSpacing/>
    </w:pPr>
  </w:style>
  <w:style w:type="character" w:customStyle="1" w:styleId="Mention1">
    <w:name w:val="Mention1"/>
    <w:basedOn w:val="DefaultParagraphFont"/>
    <w:uiPriority w:val="99"/>
    <w:unhideWhenUsed/>
    <w:rsid w:val="00794A35"/>
    <w:rPr>
      <w:color w:val="2B579A"/>
      <w:shd w:val="clear" w:color="auto" w:fill="E1DFDD"/>
    </w:rPr>
  </w:style>
  <w:style w:type="paragraph" w:customStyle="1" w:styleId="pstyle159">
    <w:name w:val="p_style159"/>
    <w:basedOn w:val="Normal"/>
    <w:rsid w:val="00A501FD"/>
    <w:pPr>
      <w:spacing w:before="100" w:beforeAutospacing="1" w:after="100" w:afterAutospacing="1"/>
    </w:pPr>
    <w:rPr>
      <w:sz w:val="24"/>
      <w:szCs w:val="24"/>
      <w:lang w:eastAsia="en-GB"/>
    </w:rPr>
  </w:style>
  <w:style w:type="character" w:customStyle="1" w:styleId="style10">
    <w:name w:val="style1"/>
    <w:basedOn w:val="DefaultParagraphFont"/>
    <w:rsid w:val="00724464"/>
  </w:style>
  <w:style w:type="paragraph" w:customStyle="1" w:styleId="pstyle160">
    <w:name w:val="p_style160"/>
    <w:basedOn w:val="Normal"/>
    <w:rsid w:val="00A501FD"/>
    <w:pPr>
      <w:spacing w:before="100" w:beforeAutospacing="1" w:after="100" w:afterAutospacing="1"/>
    </w:pPr>
    <w:rPr>
      <w:sz w:val="24"/>
      <w:szCs w:val="24"/>
      <w:lang w:eastAsia="en-GB"/>
    </w:rPr>
  </w:style>
  <w:style w:type="paragraph" w:customStyle="1" w:styleId="pstyle14">
    <w:name w:val="p_style14"/>
    <w:basedOn w:val="Normal"/>
    <w:rsid w:val="00A501FD"/>
    <w:pPr>
      <w:spacing w:before="100" w:beforeAutospacing="1" w:after="100" w:afterAutospacing="1"/>
    </w:pPr>
    <w:rPr>
      <w:sz w:val="24"/>
      <w:szCs w:val="24"/>
      <w:lang w:eastAsia="en-GB"/>
    </w:rPr>
  </w:style>
  <w:style w:type="paragraph" w:customStyle="1" w:styleId="BulletText1">
    <w:name w:val="Bullet Text 1"/>
    <w:basedOn w:val="Normal"/>
    <w:rsid w:val="00071708"/>
    <w:pPr>
      <w:tabs>
        <w:tab w:val="num" w:pos="173"/>
      </w:tabs>
      <w:ind w:left="173" w:hanging="173"/>
    </w:pPr>
    <w:rPr>
      <w:color w:val="000000"/>
    </w:rPr>
  </w:style>
  <w:style w:type="paragraph" w:styleId="BalloonText">
    <w:name w:val="Balloon Text"/>
    <w:basedOn w:val="Normal"/>
    <w:link w:val="BalloonTextChar"/>
    <w:semiHidden/>
    <w:rsid w:val="00735105"/>
    <w:rPr>
      <w:rFonts w:ascii="Tahoma" w:hAnsi="Tahoma" w:cs="Tahoma"/>
      <w:sz w:val="16"/>
      <w:szCs w:val="16"/>
    </w:rPr>
  </w:style>
  <w:style w:type="character" w:customStyle="1" w:styleId="BalloonTextChar">
    <w:name w:val="Balloon Text Char"/>
    <w:basedOn w:val="DefaultParagraphFont"/>
    <w:link w:val="BalloonText"/>
    <w:semiHidden/>
    <w:rsid w:val="004C7B14"/>
    <w:rPr>
      <w:rFonts w:ascii="Tahoma" w:eastAsia="Times New Roman" w:hAnsi="Tahoma" w:cs="Tahoma"/>
      <w:sz w:val="16"/>
      <w:szCs w:val="16"/>
      <w:lang w:val="bs-Latn-BA"/>
    </w:rPr>
  </w:style>
  <w:style w:type="paragraph" w:customStyle="1" w:styleId="MemoHeaderStyle">
    <w:name w:val="MemoHeaderStyle"/>
    <w:basedOn w:val="Normal"/>
    <w:next w:val="Normal"/>
    <w:semiHidden/>
    <w:rsid w:val="00735105"/>
    <w:pPr>
      <w:spacing w:line="120" w:lineRule="atLeast"/>
      <w:ind w:left="1418"/>
      <w:jc w:val="both"/>
    </w:pPr>
    <w:rPr>
      <w:rFonts w:ascii="Arial" w:hAnsi="Arial"/>
      <w:b/>
      <w:smallCaps/>
    </w:rPr>
  </w:style>
  <w:style w:type="paragraph" w:customStyle="1" w:styleId="EMEAEnBodyText">
    <w:name w:val="EMEA En Body Text"/>
    <w:basedOn w:val="Normal"/>
    <w:semiHidden/>
    <w:rsid w:val="00735105"/>
    <w:pPr>
      <w:tabs>
        <w:tab w:val="clear" w:pos="567"/>
      </w:tabs>
      <w:spacing w:before="120" w:after="120" w:line="240" w:lineRule="auto"/>
      <w:jc w:val="both"/>
    </w:pPr>
  </w:style>
  <w:style w:type="paragraph" w:customStyle="1" w:styleId="BodytextAgency">
    <w:name w:val="Body text (Agency)"/>
    <w:basedOn w:val="Normal"/>
    <w:link w:val="BodytextAgencyChar"/>
    <w:qFormat/>
    <w:rsid w:val="00735105"/>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735105"/>
    <w:rPr>
      <w:rFonts w:ascii="Verdana" w:eastAsia="Verdana" w:hAnsi="Verdana" w:cs="Verdana"/>
      <w:sz w:val="18"/>
      <w:szCs w:val="18"/>
      <w:lang w:val="bs-Latn-BA" w:eastAsia="en-GB"/>
    </w:rPr>
  </w:style>
  <w:style w:type="paragraph" w:customStyle="1" w:styleId="DraftingNotesAgency">
    <w:name w:val="Drafting Notes (Agency)"/>
    <w:basedOn w:val="Normal"/>
    <w:next w:val="BodytextAgency"/>
    <w:link w:val="DraftingNotesAgencyChar"/>
    <w:semiHidden/>
    <w:rsid w:val="00735105"/>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semiHidden/>
    <w:rsid w:val="00735105"/>
    <w:rPr>
      <w:rFonts w:ascii="Courier New" w:eastAsia="Verdana" w:hAnsi="Courier New" w:cs="Times New Roman"/>
      <w:i/>
      <w:color w:val="339966"/>
      <w:szCs w:val="18"/>
      <w:lang w:val="bs-Latn-BA" w:eastAsia="en-GB"/>
    </w:rPr>
  </w:style>
  <w:style w:type="paragraph" w:customStyle="1" w:styleId="NormalAgency">
    <w:name w:val="Normal (Agency)"/>
    <w:link w:val="NormalAgencyChar"/>
    <w:semiHidden/>
    <w:rsid w:val="00735105"/>
    <w:pPr>
      <w:spacing w:after="0" w:line="240" w:lineRule="auto"/>
    </w:pPr>
    <w:rPr>
      <w:rFonts w:ascii="Verdana" w:eastAsia="Verdana" w:hAnsi="Verdana" w:cs="Verdana"/>
      <w:sz w:val="18"/>
      <w:szCs w:val="18"/>
      <w:lang w:eastAsia="en-GB"/>
    </w:rPr>
  </w:style>
  <w:style w:type="table" w:customStyle="1" w:styleId="TablegridAgencyblack">
    <w:name w:val="Table grid (Agency) black"/>
    <w:basedOn w:val="TableNormal"/>
    <w:semiHidden/>
    <w:rsid w:val="00735105"/>
    <w:pPr>
      <w:spacing w:after="0" w:line="240" w:lineRule="auto"/>
    </w:pPr>
    <w:rPr>
      <w:rFonts w:ascii="Verdana" w:eastAsia="SimSun" w:hAnsi="Verdana" w:cs="Times New Roman"/>
      <w:sz w:val="18"/>
      <w:szCs w:val="20"/>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735105"/>
    <w:pPr>
      <w:keepNext/>
    </w:pPr>
    <w:rPr>
      <w:rFonts w:eastAsia="Times New Roman"/>
      <w:b/>
    </w:rPr>
  </w:style>
  <w:style w:type="paragraph" w:customStyle="1" w:styleId="TabletextrowsAgency">
    <w:name w:val="Table text rows (Agency)"/>
    <w:basedOn w:val="Normal"/>
    <w:semiHidden/>
    <w:rsid w:val="00735105"/>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semiHidden/>
    <w:rsid w:val="00735105"/>
    <w:rPr>
      <w:rFonts w:ascii="Verdana" w:eastAsia="Verdana" w:hAnsi="Verdana" w:cs="Verdana"/>
      <w:sz w:val="18"/>
      <w:szCs w:val="18"/>
      <w:lang w:val="bs-Latn-BA" w:eastAsia="en-GB"/>
    </w:rPr>
  </w:style>
  <w:style w:type="paragraph" w:customStyle="1" w:styleId="BMLeftAligned">
    <w:name w:val="BM Left Aligned"/>
    <w:basedOn w:val="Normal"/>
    <w:qFormat/>
    <w:rsid w:val="00735105"/>
    <w:pPr>
      <w:spacing w:line="240" w:lineRule="auto"/>
      <w:ind w:left="567" w:hanging="567"/>
    </w:pPr>
    <w:rPr>
      <w:b/>
      <w:noProof/>
      <w:szCs w:val="22"/>
    </w:rPr>
  </w:style>
  <w:style w:type="character" w:customStyle="1" w:styleId="Mention2">
    <w:name w:val="Mention2"/>
    <w:basedOn w:val="DefaultParagraphFont"/>
    <w:uiPriority w:val="99"/>
    <w:rsid w:val="00CB3AE2"/>
    <w:rPr>
      <w:color w:val="2B579A"/>
      <w:shd w:val="clear" w:color="auto" w:fill="E1DFDD"/>
    </w:rPr>
  </w:style>
  <w:style w:type="character" w:customStyle="1" w:styleId="UnresolvedMention2">
    <w:name w:val="Unresolved Mention2"/>
    <w:basedOn w:val="DefaultParagraphFont"/>
    <w:uiPriority w:val="99"/>
    <w:rsid w:val="001E3EA6"/>
    <w:rPr>
      <w:color w:val="605E5C"/>
      <w:shd w:val="clear" w:color="auto" w:fill="E1DFDD"/>
    </w:rPr>
  </w:style>
  <w:style w:type="character" w:customStyle="1" w:styleId="Mention3">
    <w:name w:val="Mention3"/>
    <w:basedOn w:val="DefaultParagraphFont"/>
    <w:uiPriority w:val="99"/>
    <w:rsid w:val="001E3EA6"/>
    <w:rPr>
      <w:color w:val="2B579A"/>
      <w:shd w:val="clear" w:color="auto" w:fill="E1DFDD"/>
    </w:rPr>
  </w:style>
  <w:style w:type="character" w:customStyle="1" w:styleId="Mention4">
    <w:name w:val="Mention4"/>
    <w:basedOn w:val="DefaultParagraphFont"/>
    <w:uiPriority w:val="99"/>
    <w:rsid w:val="00DC6168"/>
    <w:rPr>
      <w:color w:val="2B579A"/>
      <w:shd w:val="clear" w:color="auto" w:fill="E1DFDD"/>
    </w:rPr>
  </w:style>
  <w:style w:type="character" w:customStyle="1" w:styleId="UnresolvedMention3">
    <w:name w:val="Unresolved Mention3"/>
    <w:basedOn w:val="DefaultParagraphFont"/>
    <w:uiPriority w:val="99"/>
    <w:rsid w:val="00B13483"/>
    <w:rPr>
      <w:color w:val="605E5C"/>
      <w:shd w:val="clear" w:color="auto" w:fill="E1DFDD"/>
    </w:rPr>
  </w:style>
  <w:style w:type="character" w:customStyle="1" w:styleId="Mention5">
    <w:name w:val="Mention5"/>
    <w:basedOn w:val="DefaultParagraphFont"/>
    <w:uiPriority w:val="99"/>
    <w:rsid w:val="00C05262"/>
    <w:rPr>
      <w:color w:val="2B579A"/>
      <w:shd w:val="clear" w:color="auto" w:fill="E1DFDD"/>
    </w:rPr>
  </w:style>
  <w:style w:type="character" w:customStyle="1" w:styleId="Nierozpoznanawzmianka1">
    <w:name w:val="Nierozpoznana wzmianka1"/>
    <w:basedOn w:val="DefaultParagraphFont"/>
    <w:uiPriority w:val="99"/>
    <w:rsid w:val="00CC7FCF"/>
    <w:rPr>
      <w:color w:val="605E5C"/>
      <w:shd w:val="clear" w:color="auto" w:fill="E1DFDD"/>
    </w:rPr>
  </w:style>
  <w:style w:type="character" w:customStyle="1" w:styleId="Mention6">
    <w:name w:val="Mention6"/>
    <w:basedOn w:val="DefaultParagraphFont"/>
    <w:uiPriority w:val="99"/>
    <w:rsid w:val="00F76391"/>
    <w:rPr>
      <w:color w:val="2B579A"/>
      <w:shd w:val="clear" w:color="auto" w:fill="E1DFDD"/>
    </w:rPr>
  </w:style>
  <w:style w:type="character" w:customStyle="1" w:styleId="Mention7">
    <w:name w:val="Mention7"/>
    <w:basedOn w:val="DefaultParagraphFont"/>
    <w:uiPriority w:val="99"/>
    <w:rsid w:val="00A20174"/>
    <w:rPr>
      <w:color w:val="2B579A"/>
      <w:shd w:val="clear" w:color="auto" w:fill="E1DFDD"/>
    </w:rPr>
  </w:style>
  <w:style w:type="character" w:customStyle="1" w:styleId="Mention8">
    <w:name w:val="Mention8"/>
    <w:basedOn w:val="DefaultParagraphFont"/>
    <w:uiPriority w:val="99"/>
    <w:rsid w:val="00EF5CFA"/>
    <w:rPr>
      <w:color w:val="2B579A"/>
      <w:shd w:val="clear" w:color="auto" w:fill="E1DFDD"/>
    </w:rPr>
  </w:style>
  <w:style w:type="character" w:customStyle="1" w:styleId="Mention9">
    <w:name w:val="Mention9"/>
    <w:basedOn w:val="DefaultParagraphFont"/>
    <w:uiPriority w:val="99"/>
    <w:unhideWhenUsed/>
    <w:rsid w:val="00F53F26"/>
    <w:rPr>
      <w:color w:val="2B579A"/>
      <w:shd w:val="clear" w:color="auto" w:fill="E1DFDD"/>
    </w:rPr>
  </w:style>
  <w:style w:type="character" w:customStyle="1" w:styleId="Mention10">
    <w:name w:val="Mention10"/>
    <w:basedOn w:val="DefaultParagraphFont"/>
    <w:uiPriority w:val="99"/>
    <w:rsid w:val="0077058F"/>
    <w:rPr>
      <w:color w:val="2B579A"/>
      <w:shd w:val="clear" w:color="auto" w:fill="E1DFDD"/>
    </w:rPr>
  </w:style>
  <w:style w:type="character" w:customStyle="1" w:styleId="UnresolvedMention4">
    <w:name w:val="Unresolved Mention4"/>
    <w:basedOn w:val="DefaultParagraphFont"/>
    <w:uiPriority w:val="99"/>
    <w:rsid w:val="00A37C1B"/>
    <w:rPr>
      <w:color w:val="605E5C"/>
      <w:shd w:val="clear" w:color="auto" w:fill="E1DFDD"/>
    </w:rPr>
  </w:style>
  <w:style w:type="character" w:customStyle="1" w:styleId="cf01">
    <w:name w:val="cf01"/>
    <w:basedOn w:val="DefaultParagraphFont"/>
    <w:rsid w:val="00A37C1B"/>
    <w:rPr>
      <w:rFonts w:ascii="Segoe UI" w:hAnsi="Segoe UI" w:cs="Segoe UI" w:hint="default"/>
      <w:sz w:val="18"/>
      <w:szCs w:val="18"/>
    </w:rPr>
  </w:style>
  <w:style w:type="paragraph" w:styleId="NoSpacing">
    <w:name w:val="No Spacing"/>
    <w:uiPriority w:val="1"/>
    <w:qFormat/>
    <w:rsid w:val="008115B9"/>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12238">
      <w:bodyDiv w:val="1"/>
      <w:marLeft w:val="0"/>
      <w:marRight w:val="0"/>
      <w:marTop w:val="0"/>
      <w:marBottom w:val="0"/>
      <w:divBdr>
        <w:top w:val="none" w:sz="0" w:space="0" w:color="auto"/>
        <w:left w:val="none" w:sz="0" w:space="0" w:color="auto"/>
        <w:bottom w:val="none" w:sz="0" w:space="0" w:color="auto"/>
        <w:right w:val="none" w:sz="0" w:space="0" w:color="auto"/>
      </w:divBdr>
    </w:div>
    <w:div w:id="235824390">
      <w:bodyDiv w:val="1"/>
      <w:marLeft w:val="0"/>
      <w:marRight w:val="0"/>
      <w:marTop w:val="0"/>
      <w:marBottom w:val="0"/>
      <w:divBdr>
        <w:top w:val="none" w:sz="0" w:space="0" w:color="auto"/>
        <w:left w:val="none" w:sz="0" w:space="0" w:color="auto"/>
        <w:bottom w:val="none" w:sz="0" w:space="0" w:color="auto"/>
        <w:right w:val="none" w:sz="0" w:space="0" w:color="auto"/>
      </w:divBdr>
    </w:div>
    <w:div w:id="436408986">
      <w:bodyDiv w:val="1"/>
      <w:marLeft w:val="0"/>
      <w:marRight w:val="0"/>
      <w:marTop w:val="0"/>
      <w:marBottom w:val="0"/>
      <w:divBdr>
        <w:top w:val="none" w:sz="0" w:space="0" w:color="auto"/>
        <w:left w:val="none" w:sz="0" w:space="0" w:color="auto"/>
        <w:bottom w:val="none" w:sz="0" w:space="0" w:color="auto"/>
        <w:right w:val="none" w:sz="0" w:space="0" w:color="auto"/>
      </w:divBdr>
    </w:div>
    <w:div w:id="476649847">
      <w:bodyDiv w:val="1"/>
      <w:marLeft w:val="0"/>
      <w:marRight w:val="0"/>
      <w:marTop w:val="0"/>
      <w:marBottom w:val="0"/>
      <w:divBdr>
        <w:top w:val="none" w:sz="0" w:space="0" w:color="auto"/>
        <w:left w:val="none" w:sz="0" w:space="0" w:color="auto"/>
        <w:bottom w:val="none" w:sz="0" w:space="0" w:color="auto"/>
        <w:right w:val="none" w:sz="0" w:space="0" w:color="auto"/>
      </w:divBdr>
    </w:div>
    <w:div w:id="1427799256">
      <w:bodyDiv w:val="1"/>
      <w:marLeft w:val="0"/>
      <w:marRight w:val="0"/>
      <w:marTop w:val="0"/>
      <w:marBottom w:val="0"/>
      <w:divBdr>
        <w:top w:val="none" w:sz="0" w:space="0" w:color="auto"/>
        <w:left w:val="none" w:sz="0" w:space="0" w:color="auto"/>
        <w:bottom w:val="none" w:sz="0" w:space="0" w:color="auto"/>
        <w:right w:val="none" w:sz="0" w:space="0" w:color="auto"/>
      </w:divBdr>
    </w:div>
    <w:div w:id="189827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ezeljenadejstva@cinmed.me"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tyles" Target="styles.xml"/><Relationship Id="rId12" Type="http://schemas.openxmlformats.org/officeDocument/2006/relationships/hyperlink" Target="http://www.cinmed.me"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giflow-eforms.who-umc.org/me/meadr"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D91A7A4436D240B462319AB3DECA58" ma:contentTypeVersion="6" ma:contentTypeDescription="Create a new document." ma:contentTypeScope="" ma:versionID="63cf193e3476c0942e71e2e0bf904526">
  <xsd:schema xmlns:xsd="http://www.w3.org/2001/XMLSchema" xmlns:xs="http://www.w3.org/2001/XMLSchema" xmlns:p="http://schemas.microsoft.com/office/2006/metadata/properties" xmlns:ns2="488f4350-a587-402c-ba5e-a7f7bbf9ed50" xmlns:ns3="620859c0-c179-4ef9-b8b4-a6042ef90078" targetNamespace="http://schemas.microsoft.com/office/2006/metadata/properties" ma:root="true" ma:fieldsID="832822d5aafb1c52e9469912033d2b1b" ns2:_="" ns3:_="">
    <xsd:import namespace="488f4350-a587-402c-ba5e-a7f7bbf9ed50"/>
    <xsd:import namespace="620859c0-c179-4ef9-b8b4-a6042ef900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8f4350-a587-402c-ba5e-a7f7bbf9ed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0859c0-c179-4ef9-b8b4-a6042ef9007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20859c0-c179-4ef9-b8b4-a6042ef90078">
      <UserInfo>
        <DisplayName>Wright, Nicole</DisplayName>
        <AccountId>9883</AccountId>
        <AccountType/>
      </UserInfo>
    </SharedWithUsers>
  </documentManagement>
</p:properties>
</file>

<file path=customXml/item3.xml>��< ? x m l   v e r s i o n = " 1 . 0 "   e n c o d i n g = " u t f - 1 6 " ? > < S i m c y p D a t a   x m l n s = " h t t p : / / w w w . s i m c y p . c o m / " >  
     < C h a r t s / >  
     < R e s u l t s T a b l e s / >  
     < I n p u t T a b l e s / >  
 < / S i m c y p D a t a > 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28B9E-5076-4BBD-9883-BF4519D06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8f4350-a587-402c-ba5e-a7f7bbf9ed50"/>
    <ds:schemaRef ds:uri="620859c0-c179-4ef9-b8b4-a6042ef90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7AE542-CBD0-4BBB-A3FC-F209DEF736D9}">
  <ds:schemaRefs>
    <ds:schemaRef ds:uri="http://schemas.microsoft.com/office/2006/metadata/properties"/>
    <ds:schemaRef ds:uri="http://schemas.microsoft.com/office/infopath/2007/PartnerControls"/>
    <ds:schemaRef ds:uri="620859c0-c179-4ef9-b8b4-a6042ef90078"/>
  </ds:schemaRefs>
</ds:datastoreItem>
</file>

<file path=customXml/itemProps3.xml><?xml version="1.0" encoding="utf-8"?>
<ds:datastoreItem xmlns:ds="http://schemas.openxmlformats.org/officeDocument/2006/customXml" ds:itemID="{1C05B70B-0080-46F6-837D-FB63D178B2DB}">
  <ds:schemaRefs>
    <ds:schemaRef ds:uri="http://www.simcyp.com/"/>
  </ds:schemaRefs>
</ds:datastoreItem>
</file>

<file path=customXml/itemProps4.xml><?xml version="1.0" encoding="utf-8"?>
<ds:datastoreItem xmlns:ds="http://schemas.openxmlformats.org/officeDocument/2006/customXml" ds:itemID="{77865F6F-F654-4CA2-8E12-2E08FED9B273}">
  <ds:schemaRefs>
    <ds:schemaRef ds:uri="http://schemas.microsoft.com/sharepoint/v3/contenttype/forms"/>
  </ds:schemaRefs>
</ds:datastoreItem>
</file>

<file path=customXml/itemProps5.xml><?xml version="1.0" encoding="utf-8"?>
<ds:datastoreItem xmlns:ds="http://schemas.openxmlformats.org/officeDocument/2006/customXml" ds:itemID="{CBC2048A-4EE1-46D9-BE0A-B8ADA9A52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13</Pages>
  <Words>4513</Words>
  <Characters>25729</Characters>
  <Application>Microsoft Office Word</Application>
  <DocSecurity>0</DocSecurity>
  <Lines>214</Lines>
  <Paragraphs>60</Paragraphs>
  <ScaleCrop>false</ScaleCrop>
  <HeadingPairs>
    <vt:vector size="6" baseType="variant">
      <vt:variant>
        <vt:lpstr>Title</vt:lpstr>
      </vt:variant>
      <vt:variant>
        <vt:i4>1</vt:i4>
      </vt:variant>
      <vt:variant>
        <vt:lpstr>Titel</vt:lpstr>
      </vt:variant>
      <vt:variant>
        <vt:i4>1</vt:i4>
      </vt:variant>
      <vt:variant>
        <vt:lpstr>Tytuł</vt:lpstr>
      </vt:variant>
      <vt:variant>
        <vt:i4>1</vt:i4>
      </vt:variant>
    </vt:vector>
  </HeadingPairs>
  <TitlesOfParts>
    <vt:vector size="3" baseType="lpstr">
      <vt:lpstr>AQUIPTA-5871 - D195 Rapp JAR - EN PI</vt:lpstr>
      <vt:lpstr>AQUIPTA, INN-Atogepant</vt:lpstr>
      <vt:lpstr>EN Yojali - D10 Lab review</vt:lpstr>
    </vt:vector>
  </TitlesOfParts>
  <Company>AbbVie</Company>
  <LinksUpToDate>false</LinksUpToDate>
  <CharactersWithSpaces>30182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AQUIPTA-5871 - D195 Rapp JAR - EN PI</dc:title>
  <dc:subject>EPAR</dc:subject>
  <dc:creator>CHMP</dc:creator>
  <cp:keywords>AQUIPTA, INN-Atogepant</cp:keywords>
  <cp:lastModifiedBy>Ninoslava Lalatović</cp:lastModifiedBy>
  <cp:revision>102</cp:revision>
  <cp:lastPrinted>2023-03-02T02:52:00Z</cp:lastPrinted>
  <dcterms:created xsi:type="dcterms:W3CDTF">2025-07-17T10:21:00Z</dcterms:created>
  <dcterms:modified xsi:type="dcterms:W3CDTF">2025-07-29T13:15:00Z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0x0101007BD91A7A4436D240B462319AB3DECA58</vt:lpwstr>
  </property>
  <property fmtid="{D5CDD505-2E9C-101B-9397-08002B2CF9AE}" pid="3" name="DM_Author">
    <vt:lpwstr/>
  </property>
  <property fmtid="{D5CDD505-2E9C-101B-9397-08002B2CF9AE}" pid="4" name="DM_Category">
    <vt:lpwstr>Assessment Report</vt:lpwstr>
  </property>
  <property fmtid="{D5CDD505-2E9C-101B-9397-08002B2CF9AE}" pid="5" name="DM_Creation_Date">
    <vt:lpwstr>07/06/2023 11:54:48</vt:lpwstr>
  </property>
  <property fmtid="{D5CDD505-2E9C-101B-9397-08002B2CF9AE}" pid="6" name="DM_Creator_Name">
    <vt:lpwstr>Diogo Anu</vt:lpwstr>
  </property>
  <property fmtid="{D5CDD505-2E9C-101B-9397-08002B2CF9AE}" pid="7" name="DM_DocRefId">
    <vt:lpwstr>EMA/CHMP/PRAC/261366/2023</vt:lpwstr>
  </property>
  <property fmtid="{D5CDD505-2E9C-101B-9397-08002B2CF9AE}" pid="8" name="DM_emea_doc_ref_id">
    <vt:lpwstr>EMA/CHMP/PRAC/261366/2023</vt:lpwstr>
  </property>
  <property fmtid="{D5CDD505-2E9C-101B-9397-08002B2CF9AE}" pid="9" name="DM_Keywords">
    <vt:lpwstr/>
  </property>
  <property fmtid="{D5CDD505-2E9C-101B-9397-08002B2CF9AE}" pid="10" name="DM_Language">
    <vt:lpwstr/>
  </property>
  <property fmtid="{D5CDD505-2E9C-101B-9397-08002B2CF9AE}" pid="11" name="DM_Modifer_Name">
    <vt:lpwstr>Diogo Anu</vt:lpwstr>
  </property>
  <property fmtid="{D5CDD505-2E9C-101B-9397-08002B2CF9AE}" pid="12" name="DM_Modified_Date">
    <vt:lpwstr>07/06/2023 11:54:48</vt:lpwstr>
  </property>
  <property fmtid="{D5CDD505-2E9C-101B-9397-08002B2CF9AE}" pid="13" name="DM_Modifier_Name">
    <vt:lpwstr>Diogo Anu</vt:lpwstr>
  </property>
  <property fmtid="{D5CDD505-2E9C-101B-9397-08002B2CF9AE}" pid="14" name="DM_Modify_Date">
    <vt:lpwstr>07/06/2023 11:54:48</vt:lpwstr>
  </property>
  <property fmtid="{D5CDD505-2E9C-101B-9397-08002B2CF9AE}" pid="15" name="DM_Name">
    <vt:lpwstr>AQUIPTA-5871 - D195 Rapp JAR - EN PI</vt:lpwstr>
  </property>
  <property fmtid="{D5CDD505-2E9C-101B-9397-08002B2CF9AE}" pid="16" name="DM_Path">
    <vt:lpwstr>/01. Evaluation of Medicines/H-C/A-C/AQUIPTA - 005871/03 Evaluation/Day 121- 210/04. D195 Rapp JAR (07.06.2023)</vt:lpwstr>
  </property>
  <property fmtid="{D5CDD505-2E9C-101B-9397-08002B2CF9AE}" pid="17" name="DM_Status">
    <vt:lpwstr/>
  </property>
  <property fmtid="{D5CDD505-2E9C-101B-9397-08002B2CF9AE}" pid="18" name="DM_Subject">
    <vt:lpwstr/>
  </property>
  <property fmtid="{D5CDD505-2E9C-101B-9397-08002B2CF9AE}" pid="19" name="DM_Title">
    <vt:lpwstr/>
  </property>
  <property fmtid="{D5CDD505-2E9C-101B-9397-08002B2CF9AE}" pid="20" name="DM_Type">
    <vt:lpwstr>emea_document</vt:lpwstr>
  </property>
  <property fmtid="{D5CDD505-2E9C-101B-9397-08002B2CF9AE}" pid="21" name="DM_Version">
    <vt:lpwstr>1.0,CURRENT</vt:lpwstr>
  </property>
  <property fmtid="{D5CDD505-2E9C-101B-9397-08002B2CF9AE}" pid="22" name="MSIP_Label_503f6870-8cd0-455e-9544-ac69fe858a10_ActionId">
    <vt:lpwstr>369e8243-917e-4d7a-a25c-b68779f4d7eb</vt:lpwstr>
  </property>
  <property fmtid="{D5CDD505-2E9C-101B-9397-08002B2CF9AE}" pid="23" name="MSIP_Label_503f6870-8cd0-455e-9544-ac69fe858a10_ContentBits">
    <vt:lpwstr>2</vt:lpwstr>
  </property>
  <property fmtid="{D5CDD505-2E9C-101B-9397-08002B2CF9AE}" pid="24" name="MSIP_Label_503f6870-8cd0-455e-9544-ac69fe858a10_Enabled">
    <vt:lpwstr>true</vt:lpwstr>
  </property>
  <property fmtid="{D5CDD505-2E9C-101B-9397-08002B2CF9AE}" pid="25" name="MSIP_Label_503f6870-8cd0-455e-9544-ac69fe858a10_Method">
    <vt:lpwstr>Privileged</vt:lpwstr>
  </property>
  <property fmtid="{D5CDD505-2E9C-101B-9397-08002B2CF9AE}" pid="26" name="MSIP_Label_503f6870-8cd0-455e-9544-ac69fe858a10_Name">
    <vt:lpwstr>503f6870-8cd0-455e-9544-ac69fe858a10</vt:lpwstr>
  </property>
  <property fmtid="{D5CDD505-2E9C-101B-9397-08002B2CF9AE}" pid="27" name="MSIP_Label_503f6870-8cd0-455e-9544-ac69fe858a10_SetDate">
    <vt:lpwstr>2023-06-14T14:59:38Z</vt:lpwstr>
  </property>
  <property fmtid="{D5CDD505-2E9C-101B-9397-08002B2CF9AE}" pid="28" name="MSIP_Label_503f6870-8cd0-455e-9544-ac69fe858a10_SiteId">
    <vt:lpwstr>bc9dc15c-61bc-4f03-b60b-e5b6d8922839</vt:lpwstr>
  </property>
</Properties>
</file>