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45F6" w14:textId="77777777" w:rsidR="00F91C7B" w:rsidRPr="00A613D6" w:rsidRDefault="00F91C7B" w:rsidP="008706C5">
      <w:pPr>
        <w:jc w:val="both"/>
        <w:rPr>
          <w:b/>
          <w:bCs/>
          <w:i/>
          <w:iCs/>
          <w:sz w:val="22"/>
          <w:szCs w:val="22"/>
          <w:u w:val="single"/>
          <w:lang w:val="sr-Latn-ME"/>
        </w:rPr>
      </w:pPr>
    </w:p>
    <w:p w14:paraId="4C9645F7" w14:textId="77777777" w:rsidR="002510A5" w:rsidRPr="00A613D6" w:rsidRDefault="002510A5">
      <w:pPr>
        <w:jc w:val="center"/>
        <w:rPr>
          <w:b/>
          <w:bCs/>
          <w:iCs/>
          <w:sz w:val="22"/>
          <w:szCs w:val="22"/>
          <w:u w:val="single"/>
          <w:lang w:val="sr-Latn-ME"/>
        </w:rPr>
      </w:pPr>
      <w:r w:rsidRPr="00A613D6">
        <w:rPr>
          <w:b/>
          <w:bCs/>
          <w:iCs/>
          <w:sz w:val="22"/>
          <w:szCs w:val="22"/>
          <w:u w:val="single"/>
          <w:lang w:val="sr-Latn-ME"/>
        </w:rPr>
        <w:t>SAŽETAK KARAKTERISTIKA LIJEKA</w:t>
      </w:r>
    </w:p>
    <w:p w14:paraId="4C9645F9" w14:textId="77777777" w:rsidR="003C17AB" w:rsidRPr="00A613D6" w:rsidRDefault="003C17AB" w:rsidP="008706C5">
      <w:pPr>
        <w:jc w:val="both"/>
        <w:rPr>
          <w:sz w:val="22"/>
          <w:szCs w:val="22"/>
          <w:lang w:val="sr-Latn-ME"/>
        </w:rPr>
      </w:pPr>
    </w:p>
    <w:p w14:paraId="4C9645FB" w14:textId="25356D6A" w:rsidR="003C17AB" w:rsidRPr="00A613D6" w:rsidRDefault="003C17AB" w:rsidP="008706C5">
      <w:pPr>
        <w:tabs>
          <w:tab w:val="left" w:pos="540"/>
          <w:tab w:val="left" w:pos="569"/>
        </w:tabs>
        <w:jc w:val="both"/>
        <w:rPr>
          <w:noProof/>
          <w:sz w:val="22"/>
          <w:szCs w:val="22"/>
          <w:lang w:val="sr-Latn-ME"/>
        </w:rPr>
      </w:pPr>
    </w:p>
    <w:p w14:paraId="4C9645FC" w14:textId="77777777" w:rsidR="00C37FD7" w:rsidRPr="00A613D6" w:rsidRDefault="00C37FD7" w:rsidP="008706C5">
      <w:pPr>
        <w:tabs>
          <w:tab w:val="left" w:pos="540"/>
          <w:tab w:val="left" w:pos="569"/>
        </w:tabs>
        <w:jc w:val="both"/>
        <w:rPr>
          <w:bCs/>
          <w:sz w:val="22"/>
          <w:szCs w:val="22"/>
          <w:lang w:val="sr-Latn-ME"/>
        </w:rPr>
      </w:pPr>
    </w:p>
    <w:p w14:paraId="4C9645FD" w14:textId="77777777" w:rsidR="00411B4B" w:rsidRPr="00A613D6" w:rsidRDefault="00411B4B" w:rsidP="008706C5">
      <w:pPr>
        <w:tabs>
          <w:tab w:val="left" w:pos="540"/>
          <w:tab w:val="left" w:pos="569"/>
        </w:tabs>
        <w:jc w:val="both"/>
        <w:rPr>
          <w:b/>
          <w:bCs/>
          <w:sz w:val="22"/>
          <w:szCs w:val="22"/>
          <w:lang w:val="sr-Latn-ME"/>
        </w:rPr>
      </w:pPr>
      <w:r w:rsidRPr="00A613D6">
        <w:rPr>
          <w:b/>
          <w:bCs/>
          <w:sz w:val="22"/>
          <w:szCs w:val="22"/>
          <w:lang w:val="sr-Latn-ME"/>
        </w:rPr>
        <w:t>1.</w:t>
      </w:r>
      <w:r w:rsidR="00F5167F" w:rsidRPr="00A613D6">
        <w:rPr>
          <w:b/>
          <w:bCs/>
          <w:sz w:val="22"/>
          <w:szCs w:val="22"/>
          <w:lang w:val="sr-Latn-ME"/>
        </w:rPr>
        <w:tab/>
      </w:r>
      <w:r w:rsidR="002846DB" w:rsidRPr="00A613D6">
        <w:rPr>
          <w:b/>
          <w:bCs/>
          <w:sz w:val="22"/>
          <w:szCs w:val="22"/>
          <w:lang w:val="sr-Latn-ME"/>
        </w:rPr>
        <w:t xml:space="preserve">NAZIV </w:t>
      </w:r>
      <w:r w:rsidRPr="00A613D6">
        <w:rPr>
          <w:b/>
          <w:bCs/>
          <w:sz w:val="22"/>
          <w:szCs w:val="22"/>
          <w:lang w:val="sr-Latn-ME"/>
        </w:rPr>
        <w:t>LIJEKA</w:t>
      </w:r>
    </w:p>
    <w:p w14:paraId="4C9645FE" w14:textId="77777777" w:rsidR="00EC2532" w:rsidRPr="00A613D6" w:rsidRDefault="00EC2532" w:rsidP="008706C5">
      <w:pPr>
        <w:jc w:val="both"/>
        <w:rPr>
          <w:sz w:val="22"/>
          <w:szCs w:val="22"/>
          <w:lang w:val="sr-Latn-ME"/>
        </w:rPr>
      </w:pPr>
    </w:p>
    <w:p w14:paraId="65835EEC" w14:textId="19036A82" w:rsidR="00DF160C" w:rsidRPr="00A613D6" w:rsidRDefault="00DF160C" w:rsidP="008706C5">
      <w:pPr>
        <w:jc w:val="both"/>
        <w:rPr>
          <w:sz w:val="22"/>
          <w:szCs w:val="22"/>
          <w:lang w:val="sr-Latn-ME"/>
        </w:rPr>
      </w:pPr>
      <w:r w:rsidRPr="00A613D6">
        <w:rPr>
          <w:sz w:val="22"/>
          <w:szCs w:val="22"/>
          <w:lang w:val="sr-Latn-ME"/>
        </w:rPr>
        <w:t>Diclopram, 75 mg</w:t>
      </w:r>
      <w:r w:rsidR="00CD5A67" w:rsidRPr="00A613D6">
        <w:rPr>
          <w:sz w:val="22"/>
          <w:szCs w:val="22"/>
          <w:lang w:val="sr-Latn-ME"/>
        </w:rPr>
        <w:t xml:space="preserve"> </w:t>
      </w:r>
      <w:r w:rsidRPr="00A613D6">
        <w:rPr>
          <w:sz w:val="22"/>
          <w:szCs w:val="22"/>
          <w:lang w:val="sr-Latn-ME"/>
        </w:rPr>
        <w:t>+</w:t>
      </w:r>
      <w:r w:rsidR="00CD5A67" w:rsidRPr="00A613D6">
        <w:rPr>
          <w:sz w:val="22"/>
          <w:szCs w:val="22"/>
          <w:lang w:val="sr-Latn-ME"/>
        </w:rPr>
        <w:t xml:space="preserve"> </w:t>
      </w:r>
      <w:r w:rsidRPr="00A613D6">
        <w:rPr>
          <w:sz w:val="22"/>
          <w:szCs w:val="22"/>
          <w:lang w:val="sr-Latn-ME"/>
        </w:rPr>
        <w:t>20 mg, kapsul</w:t>
      </w:r>
      <w:r w:rsidR="00B7765D" w:rsidRPr="00A613D6">
        <w:rPr>
          <w:sz w:val="22"/>
          <w:szCs w:val="22"/>
          <w:lang w:val="sr-Latn-ME"/>
        </w:rPr>
        <w:t>a</w:t>
      </w:r>
      <w:r w:rsidRPr="00A613D6">
        <w:rPr>
          <w:sz w:val="22"/>
          <w:szCs w:val="22"/>
          <w:lang w:val="sr-Latn-ME"/>
        </w:rPr>
        <w:t xml:space="preserve"> sa modifikovanim oslobađanjem, tvrd</w:t>
      </w:r>
      <w:r w:rsidR="00B7765D" w:rsidRPr="00A613D6">
        <w:rPr>
          <w:sz w:val="22"/>
          <w:szCs w:val="22"/>
          <w:lang w:val="sr-Latn-ME"/>
        </w:rPr>
        <w:t>a</w:t>
      </w:r>
    </w:p>
    <w:p w14:paraId="771C3968" w14:textId="77777777" w:rsidR="00DF160C" w:rsidRPr="00A613D6" w:rsidRDefault="00DF160C" w:rsidP="008706C5">
      <w:pPr>
        <w:jc w:val="both"/>
        <w:rPr>
          <w:sz w:val="22"/>
          <w:szCs w:val="22"/>
          <w:lang w:val="sr-Latn-ME"/>
        </w:rPr>
      </w:pPr>
    </w:p>
    <w:p w14:paraId="4C964601" w14:textId="6A6C867C" w:rsidR="006D20A5" w:rsidRPr="00A613D6" w:rsidRDefault="006D20A5" w:rsidP="008706C5">
      <w:pPr>
        <w:jc w:val="both"/>
        <w:rPr>
          <w:sz w:val="22"/>
          <w:szCs w:val="22"/>
          <w:lang w:val="sr-Latn-ME"/>
        </w:rPr>
      </w:pPr>
      <w:r w:rsidRPr="00A613D6">
        <w:rPr>
          <w:sz w:val="22"/>
          <w:szCs w:val="22"/>
          <w:lang w:val="sr-Latn-ME"/>
        </w:rPr>
        <w:t>INN:</w:t>
      </w:r>
      <w:r w:rsidR="00D53212" w:rsidRPr="00A613D6">
        <w:rPr>
          <w:lang w:val="sr-Latn-ME"/>
        </w:rPr>
        <w:t xml:space="preserve"> </w:t>
      </w:r>
      <w:r w:rsidR="00D53212" w:rsidRPr="00A613D6">
        <w:rPr>
          <w:sz w:val="22"/>
          <w:szCs w:val="22"/>
          <w:lang w:val="sr-Latn-ME"/>
        </w:rPr>
        <w:t>diklofenak, omeprazol</w:t>
      </w:r>
    </w:p>
    <w:p w14:paraId="4C964602" w14:textId="77777777" w:rsidR="006D20A5" w:rsidRPr="00A613D6" w:rsidRDefault="006D20A5" w:rsidP="008706C5">
      <w:pPr>
        <w:jc w:val="both"/>
        <w:rPr>
          <w:bCs/>
          <w:sz w:val="22"/>
          <w:szCs w:val="22"/>
          <w:lang w:val="sr-Latn-ME"/>
        </w:rPr>
      </w:pPr>
    </w:p>
    <w:p w14:paraId="4C964603" w14:textId="77777777" w:rsidR="00530BD7" w:rsidRPr="00A613D6" w:rsidRDefault="00530BD7" w:rsidP="008706C5">
      <w:pPr>
        <w:jc w:val="both"/>
        <w:rPr>
          <w:bCs/>
          <w:sz w:val="22"/>
          <w:szCs w:val="22"/>
          <w:lang w:val="sr-Latn-ME"/>
        </w:rPr>
      </w:pPr>
    </w:p>
    <w:p w14:paraId="4C964604" w14:textId="77777777" w:rsidR="00411B4B" w:rsidRPr="00A613D6" w:rsidRDefault="00411B4B" w:rsidP="008706C5">
      <w:pPr>
        <w:tabs>
          <w:tab w:val="left" w:pos="540"/>
          <w:tab w:val="left" w:pos="569"/>
        </w:tabs>
        <w:jc w:val="both"/>
        <w:rPr>
          <w:b/>
          <w:bCs/>
          <w:sz w:val="22"/>
          <w:szCs w:val="22"/>
          <w:lang w:val="sr-Latn-ME"/>
        </w:rPr>
      </w:pPr>
      <w:r w:rsidRPr="00A613D6">
        <w:rPr>
          <w:b/>
          <w:bCs/>
          <w:sz w:val="22"/>
          <w:szCs w:val="22"/>
          <w:lang w:val="sr-Latn-ME"/>
        </w:rPr>
        <w:t xml:space="preserve">2. </w:t>
      </w:r>
      <w:r w:rsidR="00F5167F" w:rsidRPr="00A613D6">
        <w:rPr>
          <w:b/>
          <w:bCs/>
          <w:sz w:val="22"/>
          <w:szCs w:val="22"/>
          <w:lang w:val="sr-Latn-ME"/>
        </w:rPr>
        <w:tab/>
      </w:r>
      <w:r w:rsidRPr="00A613D6">
        <w:rPr>
          <w:b/>
          <w:bCs/>
          <w:sz w:val="22"/>
          <w:szCs w:val="22"/>
          <w:lang w:val="sr-Latn-ME"/>
        </w:rPr>
        <w:t>KVALITATIVNI I KVANTITATIVNI SASTAV</w:t>
      </w:r>
    </w:p>
    <w:p w14:paraId="4C964605" w14:textId="77777777" w:rsidR="005A0B2E" w:rsidRPr="00A613D6" w:rsidRDefault="005A0B2E" w:rsidP="008706C5">
      <w:pPr>
        <w:jc w:val="both"/>
        <w:rPr>
          <w:sz w:val="22"/>
          <w:szCs w:val="22"/>
          <w:lang w:val="sr-Latn-ME"/>
        </w:rPr>
      </w:pPr>
    </w:p>
    <w:p w14:paraId="24E2D371" w14:textId="77777777" w:rsidR="00715ACE" w:rsidRPr="00A613D6" w:rsidRDefault="00715ACE" w:rsidP="008706C5">
      <w:pPr>
        <w:jc w:val="both"/>
        <w:rPr>
          <w:sz w:val="22"/>
          <w:szCs w:val="22"/>
          <w:lang w:val="sr-Latn-ME"/>
        </w:rPr>
      </w:pPr>
      <w:r w:rsidRPr="00A613D6">
        <w:rPr>
          <w:sz w:val="22"/>
          <w:szCs w:val="22"/>
          <w:lang w:val="sr-Latn-ME"/>
        </w:rPr>
        <w:t>Jedna kapsula sa modifikovanim oslobađanjem, tvrda sadrži:</w:t>
      </w:r>
    </w:p>
    <w:p w14:paraId="2CD66481" w14:textId="77777777" w:rsidR="00715ACE" w:rsidRPr="00A613D6" w:rsidRDefault="00715ACE" w:rsidP="008706C5">
      <w:pPr>
        <w:jc w:val="both"/>
        <w:rPr>
          <w:sz w:val="22"/>
          <w:szCs w:val="22"/>
          <w:lang w:val="sr-Latn-ME"/>
        </w:rPr>
      </w:pPr>
    </w:p>
    <w:p w14:paraId="37DA6329" w14:textId="426D58C9" w:rsidR="00715ACE" w:rsidRPr="00A613D6" w:rsidRDefault="00715ACE" w:rsidP="008706C5">
      <w:pPr>
        <w:jc w:val="both"/>
        <w:rPr>
          <w:sz w:val="22"/>
          <w:szCs w:val="22"/>
          <w:lang w:val="sr-Latn-ME"/>
        </w:rPr>
      </w:pPr>
      <w:r w:rsidRPr="00A613D6">
        <w:rPr>
          <w:sz w:val="22"/>
          <w:szCs w:val="22"/>
          <w:lang w:val="sr-Latn-ME"/>
        </w:rPr>
        <w:t>diklofenak</w:t>
      </w:r>
      <w:r w:rsidR="005E66BA" w:rsidRPr="00A613D6">
        <w:rPr>
          <w:sz w:val="22"/>
          <w:szCs w:val="22"/>
          <w:lang w:val="sr-Latn-ME"/>
        </w:rPr>
        <w:t xml:space="preserve"> </w:t>
      </w:r>
      <w:r w:rsidRPr="00A613D6">
        <w:rPr>
          <w:sz w:val="22"/>
          <w:szCs w:val="22"/>
          <w:lang w:val="sr-Latn-ME"/>
        </w:rPr>
        <w:t xml:space="preserve">natrijum 75 mg </w:t>
      </w:r>
    </w:p>
    <w:p w14:paraId="501ADB82" w14:textId="6291AEEE" w:rsidR="00715ACE" w:rsidRPr="00A613D6" w:rsidRDefault="00715ACE" w:rsidP="008706C5">
      <w:pPr>
        <w:jc w:val="both"/>
        <w:rPr>
          <w:sz w:val="22"/>
          <w:szCs w:val="22"/>
          <w:lang w:val="sr-Latn-ME"/>
        </w:rPr>
      </w:pPr>
      <w:r w:rsidRPr="00A613D6">
        <w:rPr>
          <w:sz w:val="22"/>
          <w:szCs w:val="22"/>
          <w:lang w:val="sr-Latn-ME"/>
        </w:rPr>
        <w:t>(</w:t>
      </w:r>
      <w:r w:rsidRPr="00A613D6">
        <w:rPr>
          <w:i/>
          <w:sz w:val="22"/>
          <w:szCs w:val="22"/>
          <w:lang w:val="sr-Latn-ME"/>
        </w:rPr>
        <w:t>25 mg diklofenak</w:t>
      </w:r>
      <w:r w:rsidR="005E66BA" w:rsidRPr="00A613D6">
        <w:rPr>
          <w:i/>
          <w:sz w:val="22"/>
          <w:szCs w:val="22"/>
          <w:lang w:val="sr-Latn-ME"/>
        </w:rPr>
        <w:t xml:space="preserve"> </w:t>
      </w:r>
      <w:r w:rsidRPr="00A613D6">
        <w:rPr>
          <w:i/>
          <w:sz w:val="22"/>
          <w:szCs w:val="22"/>
          <w:lang w:val="sr-Latn-ME"/>
        </w:rPr>
        <w:t>natrijuma u obliku gastrorezistentnih peleta i 50 mg diklofenak</w:t>
      </w:r>
      <w:r w:rsidR="005E66BA" w:rsidRPr="00A613D6">
        <w:rPr>
          <w:i/>
          <w:sz w:val="22"/>
          <w:szCs w:val="22"/>
          <w:lang w:val="sr-Latn-ME"/>
        </w:rPr>
        <w:t xml:space="preserve"> </w:t>
      </w:r>
      <w:r w:rsidRPr="00A613D6">
        <w:rPr>
          <w:i/>
          <w:sz w:val="22"/>
          <w:szCs w:val="22"/>
          <w:lang w:val="sr-Latn-ME"/>
        </w:rPr>
        <w:t>natrijuma u obliku peleta sa produženim oslobađanjem</w:t>
      </w:r>
      <w:r w:rsidRPr="00A613D6">
        <w:rPr>
          <w:sz w:val="22"/>
          <w:szCs w:val="22"/>
          <w:lang w:val="sr-Latn-ME"/>
        </w:rPr>
        <w:t>)</w:t>
      </w:r>
    </w:p>
    <w:p w14:paraId="3163EC3C" w14:textId="77777777" w:rsidR="00715ACE" w:rsidRPr="00A613D6" w:rsidRDefault="00715ACE" w:rsidP="008706C5">
      <w:pPr>
        <w:jc w:val="both"/>
        <w:rPr>
          <w:sz w:val="22"/>
          <w:szCs w:val="22"/>
          <w:lang w:val="sr-Latn-ME"/>
        </w:rPr>
      </w:pPr>
    </w:p>
    <w:p w14:paraId="616A83C0" w14:textId="77777777" w:rsidR="00715ACE" w:rsidRPr="00A613D6" w:rsidRDefault="00715ACE" w:rsidP="008706C5">
      <w:pPr>
        <w:jc w:val="both"/>
        <w:rPr>
          <w:sz w:val="22"/>
          <w:szCs w:val="22"/>
          <w:lang w:val="sr-Latn-ME"/>
        </w:rPr>
      </w:pPr>
      <w:r w:rsidRPr="00A613D6">
        <w:rPr>
          <w:sz w:val="22"/>
          <w:szCs w:val="22"/>
          <w:lang w:val="sr-Latn-ME"/>
        </w:rPr>
        <w:t xml:space="preserve">omeprazol 20 mg </w:t>
      </w:r>
    </w:p>
    <w:p w14:paraId="4E4D414E" w14:textId="77777777" w:rsidR="00715ACE" w:rsidRPr="00A613D6" w:rsidRDefault="00715ACE" w:rsidP="008706C5">
      <w:pPr>
        <w:jc w:val="both"/>
        <w:rPr>
          <w:sz w:val="22"/>
          <w:szCs w:val="22"/>
          <w:lang w:val="sr-Latn-ME"/>
        </w:rPr>
      </w:pPr>
      <w:r w:rsidRPr="00A613D6">
        <w:rPr>
          <w:sz w:val="22"/>
          <w:szCs w:val="22"/>
          <w:lang w:val="sr-Latn-ME"/>
        </w:rPr>
        <w:t>(</w:t>
      </w:r>
      <w:r w:rsidRPr="00A613D6">
        <w:rPr>
          <w:i/>
          <w:sz w:val="22"/>
          <w:szCs w:val="22"/>
          <w:lang w:val="sr-Latn-ME"/>
        </w:rPr>
        <w:t>u obliku gastrorezistentnih peleta</w:t>
      </w:r>
      <w:r w:rsidRPr="00A613D6">
        <w:rPr>
          <w:sz w:val="22"/>
          <w:szCs w:val="22"/>
          <w:lang w:val="sr-Latn-ME"/>
        </w:rPr>
        <w:t>).</w:t>
      </w:r>
    </w:p>
    <w:p w14:paraId="32C2BC44" w14:textId="77777777" w:rsidR="00715ACE" w:rsidRPr="00A613D6" w:rsidRDefault="00715ACE" w:rsidP="008706C5">
      <w:pPr>
        <w:jc w:val="both"/>
        <w:rPr>
          <w:sz w:val="22"/>
          <w:szCs w:val="22"/>
          <w:lang w:val="sr-Latn-ME"/>
        </w:rPr>
      </w:pPr>
    </w:p>
    <w:p w14:paraId="4BA002D3" w14:textId="6F2E0D06" w:rsidR="00361FD3" w:rsidRPr="008706C5" w:rsidRDefault="00361FD3">
      <w:pPr>
        <w:jc w:val="both"/>
        <w:rPr>
          <w:sz w:val="22"/>
          <w:szCs w:val="22"/>
          <w:lang w:val="sr-Latn-ME" w:eastAsia="pl-PL"/>
        </w:rPr>
      </w:pPr>
      <w:r w:rsidRPr="008706C5">
        <w:rPr>
          <w:iCs/>
          <w:sz w:val="22"/>
          <w:szCs w:val="22"/>
          <w:lang w:val="sr-Latn-ME"/>
        </w:rPr>
        <w:t xml:space="preserve">Jedna kapsula sa modifikovanim oslobađanjem, tvrda sadrži </w:t>
      </w:r>
      <w:r w:rsidRPr="008706C5">
        <w:rPr>
          <w:sz w:val="22"/>
          <w:szCs w:val="22"/>
          <w:lang w:val="sr-Latn-ME" w:eastAsia="de-DE"/>
        </w:rPr>
        <w:t>1,0 mg propilenglikola</w:t>
      </w:r>
      <w:r w:rsidR="00745285">
        <w:rPr>
          <w:sz w:val="22"/>
          <w:szCs w:val="22"/>
          <w:lang w:val="sr-Latn-ME" w:eastAsia="pl-PL"/>
        </w:rPr>
        <w:t>.</w:t>
      </w:r>
    </w:p>
    <w:p w14:paraId="7B5C95E0" w14:textId="77777777" w:rsidR="00361FD3" w:rsidRPr="00A613D6" w:rsidRDefault="00361FD3" w:rsidP="008706C5">
      <w:pPr>
        <w:jc w:val="both"/>
        <w:rPr>
          <w:sz w:val="22"/>
          <w:szCs w:val="22"/>
          <w:lang w:val="sr-Latn-ME"/>
        </w:rPr>
      </w:pPr>
    </w:p>
    <w:p w14:paraId="4C964606" w14:textId="320CDE8E" w:rsidR="0003793F" w:rsidRPr="00A613D6" w:rsidRDefault="0003793F" w:rsidP="008706C5">
      <w:pPr>
        <w:jc w:val="both"/>
        <w:rPr>
          <w:sz w:val="22"/>
          <w:szCs w:val="22"/>
          <w:lang w:val="sr-Latn-ME"/>
        </w:rPr>
      </w:pPr>
      <w:r w:rsidRPr="00A613D6">
        <w:rPr>
          <w:sz w:val="22"/>
          <w:szCs w:val="22"/>
          <w:lang w:val="sr-Latn-ME"/>
        </w:rPr>
        <w:t>Za spisak svih ekscipijenasa, pogledati dio 6.1.</w:t>
      </w:r>
    </w:p>
    <w:p w14:paraId="4C964607" w14:textId="77777777" w:rsidR="0003793F" w:rsidRPr="00A613D6" w:rsidRDefault="0003793F" w:rsidP="008706C5">
      <w:pPr>
        <w:jc w:val="both"/>
        <w:rPr>
          <w:sz w:val="22"/>
          <w:szCs w:val="22"/>
          <w:lang w:val="sr-Latn-ME"/>
        </w:rPr>
      </w:pPr>
    </w:p>
    <w:p w14:paraId="4C964608" w14:textId="77777777" w:rsidR="00C37FD7" w:rsidRPr="00A613D6" w:rsidRDefault="00C37FD7" w:rsidP="008706C5">
      <w:pPr>
        <w:jc w:val="both"/>
        <w:rPr>
          <w:sz w:val="22"/>
          <w:szCs w:val="22"/>
          <w:lang w:val="sr-Latn-ME"/>
        </w:rPr>
      </w:pPr>
    </w:p>
    <w:p w14:paraId="4C964609" w14:textId="77777777" w:rsidR="00411B4B" w:rsidRPr="00A613D6" w:rsidRDefault="00411B4B" w:rsidP="008706C5">
      <w:pPr>
        <w:tabs>
          <w:tab w:val="left" w:pos="540"/>
          <w:tab w:val="left" w:pos="569"/>
        </w:tabs>
        <w:jc w:val="both"/>
        <w:rPr>
          <w:b/>
          <w:bCs/>
          <w:sz w:val="22"/>
          <w:szCs w:val="22"/>
          <w:lang w:val="sr-Latn-ME"/>
        </w:rPr>
      </w:pPr>
      <w:r w:rsidRPr="00A613D6">
        <w:rPr>
          <w:b/>
          <w:bCs/>
          <w:sz w:val="22"/>
          <w:szCs w:val="22"/>
          <w:lang w:val="sr-Latn-ME"/>
        </w:rPr>
        <w:t xml:space="preserve">3. </w:t>
      </w:r>
      <w:r w:rsidR="00F5167F" w:rsidRPr="00A613D6">
        <w:rPr>
          <w:b/>
          <w:bCs/>
          <w:sz w:val="22"/>
          <w:szCs w:val="22"/>
          <w:lang w:val="sr-Latn-ME"/>
        </w:rPr>
        <w:tab/>
      </w:r>
      <w:r w:rsidRPr="00A613D6">
        <w:rPr>
          <w:b/>
          <w:bCs/>
          <w:sz w:val="22"/>
          <w:szCs w:val="22"/>
          <w:lang w:val="sr-Latn-ME"/>
        </w:rPr>
        <w:t>FARMACEUTSKI OBLIK</w:t>
      </w:r>
      <w:r w:rsidR="009F2D23" w:rsidRPr="00A613D6">
        <w:rPr>
          <w:b/>
          <w:bCs/>
          <w:sz w:val="22"/>
          <w:szCs w:val="22"/>
          <w:lang w:val="sr-Latn-ME"/>
        </w:rPr>
        <w:t xml:space="preserve"> </w:t>
      </w:r>
    </w:p>
    <w:p w14:paraId="4C96460A" w14:textId="77777777" w:rsidR="00411B4B" w:rsidRPr="00A613D6" w:rsidRDefault="00411B4B" w:rsidP="008706C5">
      <w:pPr>
        <w:jc w:val="both"/>
        <w:rPr>
          <w:bCs/>
          <w:sz w:val="22"/>
          <w:szCs w:val="22"/>
          <w:lang w:val="sr-Latn-ME"/>
        </w:rPr>
      </w:pPr>
    </w:p>
    <w:p w14:paraId="78018795" w14:textId="77777777" w:rsidR="00FA5235" w:rsidRPr="00A613D6" w:rsidRDefault="00FA5235" w:rsidP="008706C5">
      <w:pPr>
        <w:contextualSpacing/>
        <w:jc w:val="both"/>
        <w:rPr>
          <w:sz w:val="22"/>
          <w:szCs w:val="22"/>
          <w:lang w:val="sr-Latn-ME"/>
        </w:rPr>
      </w:pPr>
      <w:r w:rsidRPr="00A613D6">
        <w:rPr>
          <w:sz w:val="22"/>
          <w:szCs w:val="22"/>
          <w:lang w:val="sr-Latn-ME"/>
        </w:rPr>
        <w:t>Kapsula sa modifikovanim oslobađanjem, tvrda.</w:t>
      </w:r>
    </w:p>
    <w:p w14:paraId="6DBB4986" w14:textId="7DF243F7" w:rsidR="00FA5235" w:rsidRPr="00A613D6" w:rsidRDefault="00FA5235" w:rsidP="008706C5">
      <w:pPr>
        <w:contextualSpacing/>
        <w:jc w:val="both"/>
        <w:rPr>
          <w:sz w:val="22"/>
          <w:szCs w:val="22"/>
          <w:lang w:val="sr-Latn-ME"/>
        </w:rPr>
      </w:pPr>
      <w:r w:rsidRPr="00A613D6">
        <w:rPr>
          <w:sz w:val="22"/>
          <w:szCs w:val="22"/>
          <w:lang w:val="sr-Latn-ME"/>
        </w:rPr>
        <w:t>Dvod</w:t>
      </w:r>
      <w:r w:rsidR="00FC4AD1" w:rsidRPr="00A613D6">
        <w:rPr>
          <w:sz w:val="22"/>
          <w:szCs w:val="22"/>
          <w:lang w:val="sr-Latn-ME"/>
        </w:rPr>
        <w:t>i</w:t>
      </w:r>
      <w:r w:rsidRPr="00A613D6">
        <w:rPr>
          <w:sz w:val="22"/>
          <w:szCs w:val="22"/>
          <w:lang w:val="sr-Latn-ME"/>
        </w:rPr>
        <w:t xml:space="preserve">jelne, tvrde, neprovidne, želatinske kapsule veličine 1, kapa kapsule je ružičaste boje i tijelo kapsule žute boje. </w:t>
      </w:r>
    </w:p>
    <w:p w14:paraId="4500972F" w14:textId="77777777" w:rsidR="00FA5235" w:rsidRPr="00A613D6" w:rsidRDefault="00FA5235" w:rsidP="008706C5">
      <w:pPr>
        <w:contextualSpacing/>
        <w:jc w:val="both"/>
        <w:rPr>
          <w:sz w:val="22"/>
          <w:szCs w:val="22"/>
          <w:lang w:val="sr-Latn-ME"/>
        </w:rPr>
      </w:pPr>
      <w:r w:rsidRPr="00A613D6">
        <w:rPr>
          <w:sz w:val="22"/>
          <w:szCs w:val="22"/>
          <w:lang w:val="sr-Latn-ME"/>
        </w:rPr>
        <w:t>Kapsule su punjene peletama bijele do svjetložute boje.</w:t>
      </w:r>
    </w:p>
    <w:p w14:paraId="4C96460B" w14:textId="10D3AEC4" w:rsidR="00EC2532" w:rsidRPr="00A613D6" w:rsidRDefault="00EC2532" w:rsidP="008706C5">
      <w:pPr>
        <w:jc w:val="both"/>
        <w:rPr>
          <w:bCs/>
          <w:sz w:val="22"/>
          <w:szCs w:val="22"/>
          <w:lang w:val="sr-Latn-ME"/>
        </w:rPr>
      </w:pPr>
    </w:p>
    <w:p w14:paraId="23E44502" w14:textId="77777777" w:rsidR="00FA5235" w:rsidRPr="00A613D6" w:rsidRDefault="00FA5235" w:rsidP="008706C5">
      <w:pPr>
        <w:jc w:val="both"/>
        <w:rPr>
          <w:bCs/>
          <w:sz w:val="22"/>
          <w:szCs w:val="22"/>
          <w:lang w:val="sr-Latn-ME"/>
        </w:rPr>
      </w:pPr>
    </w:p>
    <w:p w14:paraId="4C96460C" w14:textId="77777777" w:rsidR="00411B4B" w:rsidRPr="00A613D6" w:rsidRDefault="00411B4B">
      <w:pPr>
        <w:tabs>
          <w:tab w:val="left" w:pos="540"/>
          <w:tab w:val="left" w:pos="569"/>
        </w:tabs>
        <w:jc w:val="both"/>
        <w:rPr>
          <w:b/>
          <w:bCs/>
          <w:sz w:val="22"/>
          <w:szCs w:val="22"/>
          <w:lang w:val="sr-Latn-ME"/>
        </w:rPr>
      </w:pPr>
      <w:r w:rsidRPr="00A613D6">
        <w:rPr>
          <w:b/>
          <w:bCs/>
          <w:sz w:val="22"/>
          <w:szCs w:val="22"/>
          <w:lang w:val="sr-Latn-ME"/>
        </w:rPr>
        <w:t xml:space="preserve">4. </w:t>
      </w:r>
      <w:r w:rsidR="00480FB1" w:rsidRPr="00A613D6">
        <w:rPr>
          <w:b/>
          <w:bCs/>
          <w:sz w:val="22"/>
          <w:szCs w:val="22"/>
          <w:lang w:val="sr-Latn-ME"/>
        </w:rPr>
        <w:tab/>
      </w:r>
      <w:r w:rsidRPr="00A613D6">
        <w:rPr>
          <w:b/>
          <w:bCs/>
          <w:sz w:val="22"/>
          <w:szCs w:val="22"/>
          <w:lang w:val="sr-Latn-ME"/>
        </w:rPr>
        <w:t>KLINIČKI PODACI</w:t>
      </w:r>
    </w:p>
    <w:p w14:paraId="4C96460D" w14:textId="77777777" w:rsidR="00CD6F02" w:rsidRPr="00A613D6" w:rsidRDefault="00CD6F02">
      <w:pPr>
        <w:tabs>
          <w:tab w:val="left" w:pos="540"/>
          <w:tab w:val="left" w:pos="569"/>
        </w:tabs>
        <w:jc w:val="both"/>
        <w:rPr>
          <w:bCs/>
          <w:sz w:val="22"/>
          <w:szCs w:val="22"/>
          <w:lang w:val="sr-Latn-ME"/>
        </w:rPr>
      </w:pPr>
    </w:p>
    <w:p w14:paraId="4C96460E" w14:textId="77777777" w:rsidR="00411B4B" w:rsidRPr="00A613D6" w:rsidRDefault="00411B4B">
      <w:pPr>
        <w:tabs>
          <w:tab w:val="left" w:pos="540"/>
          <w:tab w:val="left" w:pos="569"/>
        </w:tabs>
        <w:jc w:val="both"/>
        <w:rPr>
          <w:b/>
          <w:bCs/>
          <w:sz w:val="22"/>
          <w:szCs w:val="22"/>
          <w:lang w:val="sr-Latn-ME"/>
        </w:rPr>
      </w:pPr>
      <w:r w:rsidRPr="00A613D6">
        <w:rPr>
          <w:b/>
          <w:bCs/>
          <w:sz w:val="22"/>
          <w:szCs w:val="22"/>
          <w:lang w:val="sr-Latn-ME"/>
        </w:rPr>
        <w:t xml:space="preserve">4.1. </w:t>
      </w:r>
      <w:r w:rsidR="00480FB1" w:rsidRPr="00A613D6">
        <w:rPr>
          <w:b/>
          <w:bCs/>
          <w:sz w:val="22"/>
          <w:szCs w:val="22"/>
          <w:lang w:val="sr-Latn-ME"/>
        </w:rPr>
        <w:tab/>
      </w:r>
      <w:r w:rsidRPr="00A613D6">
        <w:rPr>
          <w:b/>
          <w:bCs/>
          <w:sz w:val="22"/>
          <w:szCs w:val="22"/>
          <w:lang w:val="sr-Latn-ME"/>
        </w:rPr>
        <w:t>Terapijske indikacije</w:t>
      </w:r>
    </w:p>
    <w:p w14:paraId="4C96460F" w14:textId="185162B0" w:rsidR="00411B4B" w:rsidRPr="00A613D6" w:rsidRDefault="00411B4B">
      <w:pPr>
        <w:tabs>
          <w:tab w:val="left" w:pos="540"/>
          <w:tab w:val="left" w:pos="569"/>
        </w:tabs>
        <w:jc w:val="both"/>
        <w:rPr>
          <w:bCs/>
          <w:sz w:val="22"/>
          <w:szCs w:val="22"/>
          <w:lang w:val="sr-Latn-ME"/>
        </w:rPr>
      </w:pPr>
    </w:p>
    <w:p w14:paraId="11A27EB3" w14:textId="77777777" w:rsidR="002E6F71" w:rsidRPr="00A613D6" w:rsidRDefault="002E6F71">
      <w:pPr>
        <w:contextualSpacing/>
        <w:jc w:val="both"/>
        <w:rPr>
          <w:sz w:val="22"/>
          <w:szCs w:val="22"/>
          <w:lang w:val="sr-Latn-ME"/>
        </w:rPr>
      </w:pPr>
      <w:r w:rsidRPr="00A613D6">
        <w:rPr>
          <w:sz w:val="22"/>
          <w:szCs w:val="22"/>
          <w:lang w:val="sr-Latn-ME"/>
        </w:rPr>
        <w:t xml:space="preserve">Lijek Diclopram je indikovan za simptomatsku terapiju reumatoidnog artritisa, osteoartritisa i ankilozirajućeg spondilitisa kod pacijenata kod kojih postoji rizik od pojave gastričnih i/ili duodenalnih ulkusa, povezanih sa primjenom nesteroidnih antiinflamatornih ljekova (NSAIL). </w:t>
      </w:r>
    </w:p>
    <w:p w14:paraId="0543B5CF" w14:textId="77777777" w:rsidR="002E6F71" w:rsidRPr="00A613D6" w:rsidRDefault="002E6F71">
      <w:pPr>
        <w:tabs>
          <w:tab w:val="left" w:pos="540"/>
          <w:tab w:val="left" w:pos="569"/>
        </w:tabs>
        <w:jc w:val="both"/>
        <w:rPr>
          <w:bCs/>
          <w:sz w:val="22"/>
          <w:szCs w:val="22"/>
          <w:lang w:val="sr-Latn-ME"/>
        </w:rPr>
      </w:pPr>
    </w:p>
    <w:p w14:paraId="4C964610" w14:textId="77777777" w:rsidR="00411B4B" w:rsidRPr="00A613D6" w:rsidRDefault="00411B4B">
      <w:pPr>
        <w:tabs>
          <w:tab w:val="left" w:pos="540"/>
          <w:tab w:val="left" w:pos="569"/>
        </w:tabs>
        <w:jc w:val="both"/>
        <w:rPr>
          <w:b/>
          <w:bCs/>
          <w:sz w:val="22"/>
          <w:szCs w:val="22"/>
          <w:lang w:val="sr-Latn-ME"/>
        </w:rPr>
      </w:pPr>
      <w:r w:rsidRPr="00A613D6">
        <w:rPr>
          <w:b/>
          <w:bCs/>
          <w:sz w:val="22"/>
          <w:szCs w:val="22"/>
          <w:lang w:val="sr-Latn-ME"/>
        </w:rPr>
        <w:t xml:space="preserve">4.2. </w:t>
      </w:r>
      <w:r w:rsidR="00480FB1" w:rsidRPr="00A613D6">
        <w:rPr>
          <w:b/>
          <w:bCs/>
          <w:sz w:val="22"/>
          <w:szCs w:val="22"/>
          <w:lang w:val="sr-Latn-ME"/>
        </w:rPr>
        <w:tab/>
      </w:r>
      <w:r w:rsidRPr="00A613D6">
        <w:rPr>
          <w:b/>
          <w:bCs/>
          <w:sz w:val="22"/>
          <w:szCs w:val="22"/>
          <w:lang w:val="sr-Latn-ME"/>
        </w:rPr>
        <w:t>Doziranje i način primjene</w:t>
      </w:r>
    </w:p>
    <w:p w14:paraId="4C964611" w14:textId="77777777" w:rsidR="0072020E" w:rsidRPr="00A613D6" w:rsidRDefault="0072020E">
      <w:pPr>
        <w:tabs>
          <w:tab w:val="left" w:pos="540"/>
          <w:tab w:val="left" w:pos="569"/>
        </w:tabs>
        <w:jc w:val="both"/>
        <w:rPr>
          <w:bCs/>
          <w:sz w:val="22"/>
          <w:szCs w:val="22"/>
          <w:lang w:val="sr-Latn-ME"/>
        </w:rPr>
      </w:pPr>
    </w:p>
    <w:p w14:paraId="4C964612" w14:textId="2DA62CB6" w:rsidR="00452E9D" w:rsidRPr="00A613D6" w:rsidRDefault="00452E9D">
      <w:pPr>
        <w:tabs>
          <w:tab w:val="left" w:pos="540"/>
          <w:tab w:val="left" w:pos="569"/>
        </w:tabs>
        <w:jc w:val="both"/>
        <w:rPr>
          <w:bCs/>
          <w:sz w:val="22"/>
          <w:szCs w:val="22"/>
          <w:u w:val="single"/>
          <w:lang w:val="sr-Latn-ME"/>
        </w:rPr>
      </w:pPr>
      <w:r w:rsidRPr="00A613D6">
        <w:rPr>
          <w:bCs/>
          <w:sz w:val="22"/>
          <w:szCs w:val="22"/>
          <w:u w:val="single"/>
          <w:lang w:val="sr-Latn-ME"/>
        </w:rPr>
        <w:t>Doziranje</w:t>
      </w:r>
    </w:p>
    <w:p w14:paraId="5B0E0793" w14:textId="77777777" w:rsidR="001A00B4" w:rsidRPr="00A613D6" w:rsidRDefault="001A00B4">
      <w:pPr>
        <w:tabs>
          <w:tab w:val="left" w:pos="540"/>
          <w:tab w:val="left" w:pos="569"/>
        </w:tabs>
        <w:jc w:val="both"/>
        <w:rPr>
          <w:bCs/>
          <w:sz w:val="22"/>
          <w:szCs w:val="22"/>
          <w:u w:val="single"/>
          <w:lang w:val="sr-Latn-ME"/>
        </w:rPr>
      </w:pPr>
    </w:p>
    <w:p w14:paraId="4B657B49" w14:textId="77777777" w:rsidR="001A00B4" w:rsidRPr="00A613D6" w:rsidRDefault="001A00B4">
      <w:pPr>
        <w:jc w:val="both"/>
        <w:rPr>
          <w:sz w:val="22"/>
          <w:szCs w:val="22"/>
          <w:u w:val="single"/>
          <w:lang w:val="sr-Latn-ME"/>
        </w:rPr>
      </w:pPr>
      <w:r w:rsidRPr="00A613D6">
        <w:rPr>
          <w:sz w:val="22"/>
          <w:szCs w:val="22"/>
          <w:u w:val="single"/>
          <w:lang w:val="sr-Latn-ME"/>
        </w:rPr>
        <w:t>Doziranje kod odraslih</w:t>
      </w:r>
    </w:p>
    <w:p w14:paraId="0F3781FB" w14:textId="77777777" w:rsidR="001A00B4" w:rsidRPr="00A613D6" w:rsidRDefault="001A00B4">
      <w:pPr>
        <w:jc w:val="both"/>
        <w:rPr>
          <w:sz w:val="22"/>
          <w:szCs w:val="22"/>
          <w:lang w:val="sr-Latn-ME"/>
        </w:rPr>
      </w:pPr>
      <w:r w:rsidRPr="00A613D6">
        <w:rPr>
          <w:sz w:val="22"/>
          <w:szCs w:val="22"/>
          <w:lang w:val="sr-Latn-ME"/>
        </w:rPr>
        <w:t>Jedna kapsula dnevno.</w:t>
      </w:r>
    </w:p>
    <w:p w14:paraId="5F822138" w14:textId="77777777" w:rsidR="001A00B4" w:rsidRPr="00A613D6" w:rsidRDefault="001A00B4">
      <w:pPr>
        <w:jc w:val="both"/>
        <w:rPr>
          <w:sz w:val="22"/>
          <w:szCs w:val="22"/>
          <w:lang w:val="sr-Latn-ME"/>
        </w:rPr>
      </w:pPr>
    </w:p>
    <w:p w14:paraId="1E415389" w14:textId="77777777" w:rsidR="001A00B4" w:rsidRPr="00A613D6" w:rsidRDefault="001A00B4">
      <w:pPr>
        <w:jc w:val="both"/>
        <w:rPr>
          <w:sz w:val="22"/>
          <w:szCs w:val="22"/>
          <w:lang w:val="sr-Latn-ME"/>
        </w:rPr>
      </w:pPr>
      <w:r w:rsidRPr="00A613D6">
        <w:rPr>
          <w:sz w:val="22"/>
          <w:szCs w:val="22"/>
          <w:lang w:val="sr-Latn-ME"/>
        </w:rPr>
        <w:t>Ukoliko nije moguće kontrolisati simptome primjenom jedne kapsule dnevno, potrebno je zamijeniti terapiju drugim lijekom ili ljekovima. Ne smije se uzimati više od jedne kapsule dnevno, jer bi to dovelo do predoziranja omeprazolom.</w:t>
      </w:r>
    </w:p>
    <w:p w14:paraId="4B2E81B7" w14:textId="77777777" w:rsidR="001A00B4" w:rsidRPr="00A613D6" w:rsidRDefault="001A00B4">
      <w:pPr>
        <w:jc w:val="both"/>
        <w:rPr>
          <w:sz w:val="22"/>
          <w:szCs w:val="22"/>
          <w:lang w:val="sr-Latn-ME"/>
        </w:rPr>
      </w:pPr>
    </w:p>
    <w:p w14:paraId="5233263E" w14:textId="030401D9" w:rsidR="001A00B4" w:rsidRPr="00A613D6" w:rsidRDefault="00AC0B59">
      <w:pPr>
        <w:jc w:val="both"/>
        <w:rPr>
          <w:sz w:val="22"/>
          <w:szCs w:val="22"/>
          <w:lang w:val="sr-Latn-ME"/>
        </w:rPr>
      </w:pPr>
      <w:r w:rsidRPr="00A613D6">
        <w:rPr>
          <w:sz w:val="22"/>
          <w:szCs w:val="22"/>
          <w:lang w:val="sr-Latn-ME"/>
        </w:rPr>
        <w:t>N</w:t>
      </w:r>
      <w:r w:rsidR="001A00B4" w:rsidRPr="00A613D6">
        <w:rPr>
          <w:sz w:val="22"/>
          <w:szCs w:val="22"/>
          <w:lang w:val="sr-Latn-ME"/>
        </w:rPr>
        <w:t>eželjen</w:t>
      </w:r>
      <w:r w:rsidR="008D1201" w:rsidRPr="00A613D6">
        <w:rPr>
          <w:sz w:val="22"/>
          <w:szCs w:val="22"/>
          <w:lang w:val="sr-Latn-ME"/>
        </w:rPr>
        <w:t>a</w:t>
      </w:r>
      <w:r w:rsidR="001A00B4" w:rsidRPr="00A613D6">
        <w:rPr>
          <w:sz w:val="22"/>
          <w:szCs w:val="22"/>
          <w:lang w:val="sr-Latn-ME"/>
        </w:rPr>
        <w:t xml:space="preserve"> </w:t>
      </w:r>
      <w:r w:rsidR="008D1201" w:rsidRPr="00A613D6">
        <w:rPr>
          <w:sz w:val="22"/>
          <w:szCs w:val="22"/>
          <w:lang w:val="sr-Latn-ME"/>
        </w:rPr>
        <w:t>dejstva</w:t>
      </w:r>
      <w:r w:rsidR="001A00B4" w:rsidRPr="00A613D6">
        <w:rPr>
          <w:sz w:val="22"/>
          <w:szCs w:val="22"/>
          <w:lang w:val="sr-Latn-ME"/>
        </w:rPr>
        <w:t xml:space="preserve"> se mo</w:t>
      </w:r>
      <w:r w:rsidR="009831FD" w:rsidRPr="00A613D6">
        <w:rPr>
          <w:sz w:val="22"/>
          <w:szCs w:val="22"/>
          <w:lang w:val="sr-Latn-ME"/>
        </w:rPr>
        <w:t>gu</w:t>
      </w:r>
      <w:r w:rsidR="001A00B4" w:rsidRPr="00A613D6">
        <w:rPr>
          <w:sz w:val="22"/>
          <w:szCs w:val="22"/>
          <w:lang w:val="sr-Latn-ME"/>
        </w:rPr>
        <w:t xml:space="preserve"> svesti na minimum korišćenjem u </w:t>
      </w:r>
      <w:r w:rsidR="00210B22" w:rsidRPr="00A613D6">
        <w:rPr>
          <w:sz w:val="22"/>
          <w:szCs w:val="22"/>
          <w:lang w:val="sr-Latn-ME"/>
        </w:rPr>
        <w:t>naj</w:t>
      </w:r>
      <w:r w:rsidR="001A00B4" w:rsidRPr="00A613D6">
        <w:rPr>
          <w:sz w:val="22"/>
          <w:szCs w:val="22"/>
          <w:lang w:val="sr-Latn-ME"/>
        </w:rPr>
        <w:t xml:space="preserve">kraćem vremenskom periodu </w:t>
      </w:r>
      <w:r w:rsidR="008D1201" w:rsidRPr="00A613D6">
        <w:rPr>
          <w:sz w:val="22"/>
          <w:szCs w:val="22"/>
          <w:lang w:val="sr-Latn-ME"/>
        </w:rPr>
        <w:t xml:space="preserve">potrebnom za kontrolu simptoma </w:t>
      </w:r>
      <w:r w:rsidR="001A00B4" w:rsidRPr="00A613D6">
        <w:rPr>
          <w:sz w:val="22"/>
          <w:szCs w:val="22"/>
          <w:lang w:val="sr-Latn-ME"/>
        </w:rPr>
        <w:t>(vid</w:t>
      </w:r>
      <w:r w:rsidR="004043B7" w:rsidRPr="00A613D6">
        <w:rPr>
          <w:sz w:val="22"/>
          <w:szCs w:val="22"/>
          <w:lang w:val="sr-Latn-ME"/>
        </w:rPr>
        <w:t>j</w:t>
      </w:r>
      <w:r w:rsidR="001A00B4" w:rsidRPr="00A613D6">
        <w:rPr>
          <w:sz w:val="22"/>
          <w:szCs w:val="22"/>
          <w:lang w:val="sr-Latn-ME"/>
        </w:rPr>
        <w:t xml:space="preserve">eti </w:t>
      </w:r>
      <w:r w:rsidR="00E42840" w:rsidRPr="00A613D6">
        <w:rPr>
          <w:sz w:val="22"/>
          <w:szCs w:val="22"/>
          <w:lang w:val="sr-Latn-ME"/>
        </w:rPr>
        <w:t xml:space="preserve">dio </w:t>
      </w:r>
      <w:r w:rsidR="001A00B4" w:rsidRPr="00A613D6">
        <w:rPr>
          <w:sz w:val="22"/>
          <w:szCs w:val="22"/>
          <w:lang w:val="sr-Latn-ME"/>
        </w:rPr>
        <w:t>4.4).</w:t>
      </w:r>
    </w:p>
    <w:p w14:paraId="0F4EED6C" w14:textId="77777777" w:rsidR="001A00B4" w:rsidRPr="00A613D6" w:rsidRDefault="001A00B4">
      <w:pPr>
        <w:jc w:val="both"/>
        <w:rPr>
          <w:sz w:val="22"/>
          <w:szCs w:val="22"/>
          <w:lang w:val="sr-Latn-ME"/>
        </w:rPr>
      </w:pPr>
    </w:p>
    <w:p w14:paraId="61F6F3FE" w14:textId="77777777" w:rsidR="001A00B4" w:rsidRPr="00A613D6" w:rsidRDefault="001A00B4">
      <w:pPr>
        <w:jc w:val="both"/>
        <w:rPr>
          <w:sz w:val="22"/>
          <w:szCs w:val="22"/>
          <w:lang w:val="sr-Latn-ME"/>
        </w:rPr>
      </w:pPr>
      <w:r w:rsidRPr="00A613D6">
        <w:rPr>
          <w:sz w:val="22"/>
          <w:szCs w:val="22"/>
          <w:lang w:val="sr-Latn-ME"/>
        </w:rPr>
        <w:t>Terapiju treba nastaviti do postizanja pojedinačnih ciljeva u terapiji, procjenjivati u redovnim intervalima i obustaviti ukoliko nema koristi od terapije.</w:t>
      </w:r>
    </w:p>
    <w:p w14:paraId="4C964613" w14:textId="77777777" w:rsidR="00452E9D" w:rsidRPr="00A613D6" w:rsidRDefault="00452E9D">
      <w:pPr>
        <w:tabs>
          <w:tab w:val="left" w:pos="540"/>
          <w:tab w:val="left" w:pos="569"/>
        </w:tabs>
        <w:jc w:val="both"/>
        <w:rPr>
          <w:bCs/>
          <w:sz w:val="22"/>
          <w:szCs w:val="22"/>
          <w:u w:val="single"/>
          <w:lang w:val="sr-Latn-ME"/>
        </w:rPr>
      </w:pPr>
    </w:p>
    <w:p w14:paraId="4C964614" w14:textId="77777777" w:rsidR="00452E9D" w:rsidRPr="00A613D6" w:rsidRDefault="00452E9D">
      <w:pPr>
        <w:tabs>
          <w:tab w:val="left" w:pos="540"/>
          <w:tab w:val="left" w:pos="569"/>
        </w:tabs>
        <w:jc w:val="both"/>
        <w:rPr>
          <w:bCs/>
          <w:sz w:val="22"/>
          <w:szCs w:val="22"/>
          <w:u w:val="single"/>
          <w:lang w:val="sr-Latn-ME"/>
        </w:rPr>
      </w:pPr>
      <w:r w:rsidRPr="00A613D6">
        <w:rPr>
          <w:bCs/>
          <w:sz w:val="22"/>
          <w:szCs w:val="22"/>
          <w:u w:val="single"/>
          <w:lang w:val="sr-Latn-ME"/>
        </w:rPr>
        <w:t>Način primjene</w:t>
      </w:r>
    </w:p>
    <w:p w14:paraId="4C964615" w14:textId="1672D387" w:rsidR="00452E9D" w:rsidRPr="00A613D6" w:rsidRDefault="00452E9D">
      <w:pPr>
        <w:tabs>
          <w:tab w:val="left" w:pos="540"/>
          <w:tab w:val="left" w:pos="569"/>
        </w:tabs>
        <w:jc w:val="both"/>
        <w:rPr>
          <w:bCs/>
          <w:sz w:val="22"/>
          <w:szCs w:val="22"/>
          <w:lang w:val="sr-Latn-ME"/>
        </w:rPr>
      </w:pPr>
    </w:p>
    <w:p w14:paraId="2ED80447" w14:textId="77777777" w:rsidR="0067482C" w:rsidRPr="00A613D6" w:rsidRDefault="0067482C">
      <w:pPr>
        <w:jc w:val="both"/>
        <w:rPr>
          <w:sz w:val="22"/>
          <w:szCs w:val="22"/>
          <w:lang w:val="sr-Latn-ME"/>
        </w:rPr>
      </w:pPr>
      <w:r w:rsidRPr="00A613D6">
        <w:rPr>
          <w:sz w:val="22"/>
          <w:szCs w:val="22"/>
          <w:lang w:val="sr-Latn-ME"/>
        </w:rPr>
        <w:t>Za oralnu primjenu.</w:t>
      </w:r>
    </w:p>
    <w:p w14:paraId="3028F707" w14:textId="77777777" w:rsidR="0067482C" w:rsidRPr="00A613D6" w:rsidRDefault="0067482C">
      <w:pPr>
        <w:jc w:val="both"/>
        <w:rPr>
          <w:sz w:val="22"/>
          <w:szCs w:val="22"/>
          <w:lang w:val="sr-Latn-ME"/>
        </w:rPr>
      </w:pPr>
      <w:r w:rsidRPr="00A613D6">
        <w:rPr>
          <w:sz w:val="22"/>
          <w:szCs w:val="22"/>
          <w:lang w:val="sr-Latn-ME"/>
        </w:rPr>
        <w:t xml:space="preserve">Progutati cijelu kapsulu sa dosta tečnosti, poželjno u vrijeme obroka. </w:t>
      </w:r>
    </w:p>
    <w:p w14:paraId="2E999C37" w14:textId="77777777" w:rsidR="0067482C" w:rsidRPr="00A613D6" w:rsidRDefault="0067482C">
      <w:pPr>
        <w:jc w:val="both"/>
        <w:rPr>
          <w:sz w:val="22"/>
          <w:szCs w:val="22"/>
          <w:lang w:val="sr-Latn-ME"/>
        </w:rPr>
      </w:pPr>
    </w:p>
    <w:p w14:paraId="560AA732" w14:textId="77777777" w:rsidR="0067482C" w:rsidRPr="00A613D6" w:rsidRDefault="0067482C">
      <w:pPr>
        <w:jc w:val="both"/>
        <w:rPr>
          <w:sz w:val="22"/>
          <w:szCs w:val="22"/>
          <w:u w:val="single"/>
          <w:lang w:val="sr-Latn-ME"/>
        </w:rPr>
      </w:pPr>
      <w:r w:rsidRPr="00A613D6">
        <w:rPr>
          <w:sz w:val="22"/>
          <w:szCs w:val="22"/>
          <w:u w:val="single"/>
          <w:lang w:val="sr-Latn-ME"/>
        </w:rPr>
        <w:t>Posebne populacije</w:t>
      </w:r>
    </w:p>
    <w:p w14:paraId="71BD125C" w14:textId="77777777" w:rsidR="0067482C" w:rsidRPr="00A613D6" w:rsidRDefault="0067482C">
      <w:pPr>
        <w:jc w:val="both"/>
        <w:rPr>
          <w:sz w:val="22"/>
          <w:szCs w:val="22"/>
          <w:u w:val="single"/>
          <w:lang w:val="sr-Latn-ME"/>
        </w:rPr>
      </w:pPr>
    </w:p>
    <w:p w14:paraId="7D765485" w14:textId="7D52B103" w:rsidR="0067482C" w:rsidRPr="00A613D6" w:rsidRDefault="0067482C">
      <w:pPr>
        <w:pStyle w:val="Header"/>
        <w:tabs>
          <w:tab w:val="left" w:pos="284"/>
        </w:tabs>
        <w:jc w:val="both"/>
        <w:rPr>
          <w:i/>
          <w:sz w:val="22"/>
          <w:szCs w:val="22"/>
          <w:lang w:val="sr-Latn-ME"/>
        </w:rPr>
      </w:pPr>
      <w:r w:rsidRPr="00A613D6">
        <w:rPr>
          <w:i/>
          <w:sz w:val="22"/>
          <w:szCs w:val="22"/>
          <w:lang w:val="sr-Latn-ME"/>
        </w:rPr>
        <w:t xml:space="preserve">Pacijenti sa </w:t>
      </w:r>
      <w:r w:rsidR="004767AD" w:rsidRPr="00A613D6">
        <w:rPr>
          <w:i/>
          <w:sz w:val="22"/>
          <w:szCs w:val="22"/>
          <w:lang w:val="sr-Latn-ME"/>
        </w:rPr>
        <w:t xml:space="preserve">oštećenom </w:t>
      </w:r>
      <w:r w:rsidRPr="00A613D6">
        <w:rPr>
          <w:i/>
          <w:sz w:val="22"/>
          <w:szCs w:val="22"/>
          <w:lang w:val="sr-Latn-ME"/>
        </w:rPr>
        <w:t>funkcijom bubrega</w:t>
      </w:r>
    </w:p>
    <w:p w14:paraId="3F957152" w14:textId="77777777" w:rsidR="0067482C" w:rsidRPr="00A613D6" w:rsidRDefault="0067482C">
      <w:pPr>
        <w:pStyle w:val="Header"/>
        <w:tabs>
          <w:tab w:val="left" w:pos="284"/>
        </w:tabs>
        <w:jc w:val="both"/>
        <w:rPr>
          <w:i/>
          <w:sz w:val="22"/>
          <w:szCs w:val="22"/>
          <w:lang w:val="sr-Latn-ME"/>
        </w:rPr>
      </w:pPr>
    </w:p>
    <w:p w14:paraId="63292C21" w14:textId="685DC6F5" w:rsidR="0067482C" w:rsidRPr="00A613D6" w:rsidRDefault="0067482C">
      <w:pPr>
        <w:jc w:val="both"/>
        <w:rPr>
          <w:sz w:val="22"/>
          <w:szCs w:val="22"/>
          <w:lang w:val="sr-Latn-ME"/>
        </w:rPr>
      </w:pPr>
      <w:r w:rsidRPr="00A613D6">
        <w:rPr>
          <w:sz w:val="22"/>
          <w:szCs w:val="22"/>
          <w:lang w:val="sr-Latn-ME"/>
        </w:rPr>
        <w:t xml:space="preserve">Diklofenak se djelimično izlučuje putem bubrega, tako da je rizik od pojave toksičnih reakcija veći kod pacijenata sa </w:t>
      </w:r>
      <w:r w:rsidR="004767AD" w:rsidRPr="00A613D6">
        <w:rPr>
          <w:sz w:val="22"/>
          <w:szCs w:val="22"/>
          <w:lang w:val="sr-Latn-ME"/>
        </w:rPr>
        <w:t xml:space="preserve">oštećenom </w:t>
      </w:r>
      <w:r w:rsidRPr="00A613D6">
        <w:rPr>
          <w:sz w:val="22"/>
          <w:szCs w:val="22"/>
          <w:lang w:val="sr-Latn-ME"/>
        </w:rPr>
        <w:t>funkcijom bubrega. Potreban je oprez i redovno praćenje funkcije bubrega prilikom primjene lijeka Diclopram kod pacijenata sa blagim do umjerenim oštećenjem funkcije bubrega.</w:t>
      </w:r>
    </w:p>
    <w:p w14:paraId="3D8EE9EC" w14:textId="77777777" w:rsidR="0067482C" w:rsidRPr="00A613D6" w:rsidRDefault="0067482C">
      <w:pPr>
        <w:jc w:val="both"/>
        <w:rPr>
          <w:sz w:val="22"/>
          <w:szCs w:val="22"/>
          <w:lang w:val="sr-Latn-ME"/>
        </w:rPr>
      </w:pPr>
    </w:p>
    <w:p w14:paraId="2EB0C6D8" w14:textId="70A6A368" w:rsidR="0067482C" w:rsidRPr="00A613D6" w:rsidRDefault="0067482C">
      <w:pPr>
        <w:pStyle w:val="Header"/>
        <w:tabs>
          <w:tab w:val="left" w:pos="284"/>
        </w:tabs>
        <w:jc w:val="both"/>
        <w:rPr>
          <w:sz w:val="22"/>
          <w:szCs w:val="22"/>
          <w:lang w:val="sr-Latn-ME"/>
        </w:rPr>
      </w:pPr>
      <w:r w:rsidRPr="00A613D6">
        <w:rPr>
          <w:sz w:val="22"/>
          <w:szCs w:val="22"/>
          <w:lang w:val="sr-Latn-ME"/>
        </w:rPr>
        <w:t>Lijek Diclopram je kontraindikovan kod pacijenata sa teškim oštećenjem funkcije bubrega (vid</w:t>
      </w:r>
      <w:r w:rsidR="00493431" w:rsidRPr="00A613D6">
        <w:rPr>
          <w:sz w:val="22"/>
          <w:szCs w:val="22"/>
          <w:lang w:val="sr-Latn-ME"/>
        </w:rPr>
        <w:t>j</w:t>
      </w:r>
      <w:r w:rsidRPr="00A613D6">
        <w:rPr>
          <w:sz w:val="22"/>
          <w:szCs w:val="22"/>
          <w:lang w:val="sr-Latn-ME"/>
        </w:rPr>
        <w:t xml:space="preserve">eti </w:t>
      </w:r>
      <w:r w:rsidR="00E42840" w:rsidRPr="00A613D6">
        <w:rPr>
          <w:sz w:val="22"/>
          <w:szCs w:val="22"/>
          <w:lang w:val="sr-Latn-ME"/>
        </w:rPr>
        <w:t xml:space="preserve">djelove </w:t>
      </w:r>
      <w:r w:rsidRPr="00A613D6">
        <w:rPr>
          <w:sz w:val="22"/>
          <w:szCs w:val="22"/>
          <w:lang w:val="sr-Latn-ME"/>
        </w:rPr>
        <w:t>4.3 i 4.4).</w:t>
      </w:r>
    </w:p>
    <w:p w14:paraId="4EC92A94" w14:textId="77777777" w:rsidR="0067482C" w:rsidRPr="00A613D6" w:rsidRDefault="0067482C">
      <w:pPr>
        <w:pStyle w:val="Header"/>
        <w:tabs>
          <w:tab w:val="left" w:pos="284"/>
        </w:tabs>
        <w:jc w:val="both"/>
        <w:rPr>
          <w:sz w:val="22"/>
          <w:szCs w:val="22"/>
          <w:lang w:val="sr-Latn-ME"/>
        </w:rPr>
      </w:pPr>
    </w:p>
    <w:p w14:paraId="16734F01" w14:textId="43D7B708" w:rsidR="0067482C" w:rsidRPr="00A613D6" w:rsidRDefault="0067482C">
      <w:pPr>
        <w:pStyle w:val="Header"/>
        <w:tabs>
          <w:tab w:val="left" w:pos="284"/>
        </w:tabs>
        <w:jc w:val="both"/>
        <w:rPr>
          <w:i/>
          <w:sz w:val="22"/>
          <w:szCs w:val="22"/>
          <w:lang w:val="sr-Latn-ME"/>
        </w:rPr>
      </w:pPr>
      <w:r w:rsidRPr="00A613D6">
        <w:rPr>
          <w:i/>
          <w:sz w:val="22"/>
          <w:szCs w:val="22"/>
          <w:lang w:val="sr-Latn-ME"/>
        </w:rPr>
        <w:t xml:space="preserve">Pacijenti sa </w:t>
      </w:r>
      <w:r w:rsidR="004767AD" w:rsidRPr="00A613D6">
        <w:rPr>
          <w:i/>
          <w:sz w:val="22"/>
          <w:szCs w:val="22"/>
          <w:lang w:val="sr-Latn-ME"/>
        </w:rPr>
        <w:t xml:space="preserve">oštećenom </w:t>
      </w:r>
      <w:r w:rsidRPr="00A613D6">
        <w:rPr>
          <w:i/>
          <w:sz w:val="22"/>
          <w:szCs w:val="22"/>
          <w:lang w:val="sr-Latn-ME"/>
        </w:rPr>
        <w:t>funkcijom jetre</w:t>
      </w:r>
    </w:p>
    <w:p w14:paraId="60AA87AB" w14:textId="77777777" w:rsidR="0067482C" w:rsidRPr="00A613D6" w:rsidRDefault="0067482C">
      <w:pPr>
        <w:pStyle w:val="Header"/>
        <w:tabs>
          <w:tab w:val="left" w:pos="284"/>
        </w:tabs>
        <w:jc w:val="both"/>
        <w:rPr>
          <w:i/>
          <w:sz w:val="22"/>
          <w:szCs w:val="22"/>
          <w:lang w:val="sr-Latn-ME"/>
        </w:rPr>
      </w:pPr>
    </w:p>
    <w:p w14:paraId="09238EB4" w14:textId="77777777" w:rsidR="0067482C" w:rsidRPr="00A613D6" w:rsidRDefault="0067482C">
      <w:pPr>
        <w:jc w:val="both"/>
        <w:rPr>
          <w:sz w:val="22"/>
          <w:szCs w:val="22"/>
          <w:lang w:val="sr-Latn-ME"/>
        </w:rPr>
      </w:pPr>
      <w:r w:rsidRPr="00A613D6">
        <w:rPr>
          <w:sz w:val="22"/>
          <w:szCs w:val="22"/>
          <w:lang w:val="sr-Latn-ME"/>
        </w:rPr>
        <w:t>Potreban je oprez i redovno praćenje funkcije jetre prilikom primjene lijeka Diclopram kod pacijenata sa blagim do umjerenim oštećenjem funkcije jetre.</w:t>
      </w:r>
    </w:p>
    <w:p w14:paraId="3426523A" w14:textId="77777777" w:rsidR="0067482C" w:rsidRPr="00A613D6" w:rsidRDefault="0067482C">
      <w:pPr>
        <w:jc w:val="both"/>
        <w:rPr>
          <w:sz w:val="22"/>
          <w:szCs w:val="22"/>
          <w:lang w:val="sr-Latn-ME"/>
        </w:rPr>
      </w:pPr>
    </w:p>
    <w:p w14:paraId="3D2D55CF" w14:textId="45957743" w:rsidR="0067482C" w:rsidRPr="00A613D6" w:rsidRDefault="0067482C">
      <w:pPr>
        <w:pStyle w:val="Header"/>
        <w:tabs>
          <w:tab w:val="left" w:pos="284"/>
        </w:tabs>
        <w:jc w:val="both"/>
        <w:rPr>
          <w:sz w:val="22"/>
          <w:szCs w:val="22"/>
          <w:lang w:val="sr-Latn-ME"/>
        </w:rPr>
      </w:pPr>
      <w:r w:rsidRPr="00A613D6">
        <w:rPr>
          <w:sz w:val="22"/>
          <w:szCs w:val="22"/>
          <w:lang w:val="sr-Latn-ME"/>
        </w:rPr>
        <w:t>Lijek Diclopram je kontraindikovan kod pacijenata sa teškim oštećenjem funkcije jetre (vid</w:t>
      </w:r>
      <w:r w:rsidR="00493431" w:rsidRPr="00A613D6">
        <w:rPr>
          <w:sz w:val="22"/>
          <w:szCs w:val="22"/>
          <w:lang w:val="sr-Latn-ME"/>
        </w:rPr>
        <w:t>j</w:t>
      </w:r>
      <w:r w:rsidRPr="00A613D6">
        <w:rPr>
          <w:sz w:val="22"/>
          <w:szCs w:val="22"/>
          <w:lang w:val="sr-Latn-ME"/>
        </w:rPr>
        <w:t xml:space="preserve">eti </w:t>
      </w:r>
      <w:r w:rsidR="00E42840" w:rsidRPr="00A613D6">
        <w:rPr>
          <w:sz w:val="22"/>
          <w:szCs w:val="22"/>
          <w:lang w:val="sr-Latn-ME"/>
        </w:rPr>
        <w:t xml:space="preserve">djelove </w:t>
      </w:r>
      <w:r w:rsidRPr="00A613D6">
        <w:rPr>
          <w:sz w:val="22"/>
          <w:szCs w:val="22"/>
          <w:lang w:val="sr-Latn-ME"/>
        </w:rPr>
        <w:t>4.3 i 4.4).</w:t>
      </w:r>
    </w:p>
    <w:p w14:paraId="0F41BEC5" w14:textId="77777777" w:rsidR="0067482C" w:rsidRPr="00A613D6" w:rsidRDefault="0067482C">
      <w:pPr>
        <w:pStyle w:val="Header"/>
        <w:tabs>
          <w:tab w:val="left" w:pos="284"/>
        </w:tabs>
        <w:jc w:val="both"/>
        <w:rPr>
          <w:b/>
          <w:i/>
          <w:sz w:val="22"/>
          <w:szCs w:val="22"/>
          <w:lang w:val="sr-Latn-ME"/>
        </w:rPr>
      </w:pPr>
    </w:p>
    <w:p w14:paraId="68403380" w14:textId="0C249D41" w:rsidR="0067482C" w:rsidRPr="00A613D6" w:rsidRDefault="0067482C">
      <w:pPr>
        <w:jc w:val="both"/>
        <w:rPr>
          <w:i/>
          <w:sz w:val="22"/>
          <w:szCs w:val="22"/>
          <w:lang w:val="sr-Latn-ME"/>
        </w:rPr>
      </w:pPr>
      <w:r w:rsidRPr="00A613D6">
        <w:rPr>
          <w:i/>
          <w:sz w:val="22"/>
          <w:szCs w:val="22"/>
          <w:lang w:val="sr-Latn-ME"/>
        </w:rPr>
        <w:t>Starij</w:t>
      </w:r>
      <w:r w:rsidR="00DE5F5E" w:rsidRPr="00A613D6">
        <w:rPr>
          <w:i/>
          <w:sz w:val="22"/>
          <w:szCs w:val="22"/>
          <w:lang w:val="sr-Latn-ME"/>
        </w:rPr>
        <w:t>i</w:t>
      </w:r>
      <w:r w:rsidRPr="00A613D6">
        <w:rPr>
          <w:i/>
          <w:sz w:val="22"/>
          <w:szCs w:val="22"/>
          <w:lang w:val="sr-Latn-ME"/>
        </w:rPr>
        <w:t xml:space="preserve"> </w:t>
      </w:r>
      <w:r w:rsidR="00DE5F5E" w:rsidRPr="00A613D6">
        <w:rPr>
          <w:i/>
          <w:sz w:val="22"/>
          <w:szCs w:val="22"/>
          <w:lang w:val="sr-Latn-ME"/>
        </w:rPr>
        <w:t>pacijenti</w:t>
      </w:r>
      <w:r w:rsidRPr="00A613D6">
        <w:rPr>
          <w:b/>
          <w:i/>
          <w:sz w:val="22"/>
          <w:szCs w:val="22"/>
          <w:lang w:val="sr-Latn-ME"/>
        </w:rPr>
        <w:t xml:space="preserve"> </w:t>
      </w:r>
      <w:r w:rsidRPr="00A613D6">
        <w:rPr>
          <w:i/>
          <w:sz w:val="22"/>
          <w:szCs w:val="22"/>
          <w:lang w:val="sr-Latn-ME"/>
        </w:rPr>
        <w:t>(&gt;65 godina)</w:t>
      </w:r>
    </w:p>
    <w:p w14:paraId="0204AE97" w14:textId="77777777" w:rsidR="0067482C" w:rsidRPr="00A613D6" w:rsidRDefault="0067482C">
      <w:pPr>
        <w:jc w:val="both"/>
        <w:rPr>
          <w:b/>
          <w:i/>
          <w:sz w:val="22"/>
          <w:szCs w:val="22"/>
          <w:lang w:val="sr-Latn-ME"/>
        </w:rPr>
      </w:pPr>
    </w:p>
    <w:p w14:paraId="08AA785A" w14:textId="120D1883" w:rsidR="0067482C" w:rsidRPr="00A613D6" w:rsidRDefault="0067482C">
      <w:pPr>
        <w:pStyle w:val="Header"/>
        <w:tabs>
          <w:tab w:val="left" w:pos="284"/>
        </w:tabs>
        <w:jc w:val="both"/>
        <w:rPr>
          <w:sz w:val="22"/>
          <w:szCs w:val="22"/>
          <w:lang w:val="sr-Latn-ME"/>
        </w:rPr>
      </w:pPr>
      <w:r w:rsidRPr="00A613D6">
        <w:rPr>
          <w:sz w:val="22"/>
          <w:szCs w:val="22"/>
          <w:lang w:val="sr-Latn-ME"/>
        </w:rPr>
        <w:t>Kod starijih osoba postoji povećan rizik od pojave ozbiljnih posl</w:t>
      </w:r>
      <w:r w:rsidR="00DC1DD3" w:rsidRPr="00A613D6">
        <w:rPr>
          <w:sz w:val="22"/>
          <w:szCs w:val="22"/>
          <w:lang w:val="sr-Latn-ME"/>
        </w:rPr>
        <w:t>j</w:t>
      </w:r>
      <w:r w:rsidRPr="00A613D6">
        <w:rPr>
          <w:sz w:val="22"/>
          <w:szCs w:val="22"/>
          <w:lang w:val="sr-Latn-ME"/>
        </w:rPr>
        <w:t>edica neželjenih reakcija. Ukoliko je neophodna primjena NSAIL, treba prim</w:t>
      </w:r>
      <w:r w:rsidR="00F70047" w:rsidRPr="00A613D6">
        <w:rPr>
          <w:sz w:val="22"/>
          <w:szCs w:val="22"/>
          <w:lang w:val="sr-Latn-ME"/>
        </w:rPr>
        <w:t>i</w:t>
      </w:r>
      <w:r w:rsidRPr="00A613D6">
        <w:rPr>
          <w:sz w:val="22"/>
          <w:szCs w:val="22"/>
          <w:lang w:val="sr-Latn-ME"/>
        </w:rPr>
        <w:t>jeniti najnižu efektivnu dozu u što kraćem vremenskom periodu. Tokom primjene NSAIL</w:t>
      </w:r>
      <w:r w:rsidR="00E42840" w:rsidRPr="00A613D6">
        <w:rPr>
          <w:sz w:val="22"/>
          <w:szCs w:val="22"/>
          <w:lang w:val="sr-Latn-ME"/>
        </w:rPr>
        <w:t>,</w:t>
      </w:r>
      <w:r w:rsidRPr="00A613D6">
        <w:rPr>
          <w:sz w:val="22"/>
          <w:szCs w:val="22"/>
          <w:lang w:val="sr-Latn-ME"/>
        </w:rPr>
        <w:t xml:space="preserve"> neophodno je pratiti pacijente zbog moguće pojave gastrointestinalnog krvarenja (vid</w:t>
      </w:r>
      <w:r w:rsidR="00493431" w:rsidRPr="00A613D6">
        <w:rPr>
          <w:sz w:val="22"/>
          <w:szCs w:val="22"/>
          <w:lang w:val="sr-Latn-ME"/>
        </w:rPr>
        <w:t>j</w:t>
      </w:r>
      <w:r w:rsidRPr="00A613D6">
        <w:rPr>
          <w:sz w:val="22"/>
          <w:szCs w:val="22"/>
          <w:lang w:val="sr-Latn-ME"/>
        </w:rPr>
        <w:t xml:space="preserve">eti </w:t>
      </w:r>
      <w:r w:rsidR="00E42840" w:rsidRPr="00A613D6">
        <w:rPr>
          <w:sz w:val="22"/>
          <w:szCs w:val="22"/>
          <w:lang w:val="sr-Latn-ME"/>
        </w:rPr>
        <w:t xml:space="preserve">djelove </w:t>
      </w:r>
      <w:r w:rsidRPr="00A613D6">
        <w:rPr>
          <w:sz w:val="22"/>
          <w:szCs w:val="22"/>
          <w:lang w:val="sr-Latn-ME"/>
        </w:rPr>
        <w:t>4.4 i 5.2).</w:t>
      </w:r>
    </w:p>
    <w:p w14:paraId="0ED7CF98" w14:textId="77777777" w:rsidR="0067482C" w:rsidRPr="00A613D6" w:rsidRDefault="0067482C">
      <w:pPr>
        <w:jc w:val="both"/>
        <w:rPr>
          <w:b/>
          <w:i/>
          <w:sz w:val="22"/>
          <w:szCs w:val="22"/>
          <w:lang w:val="sr-Latn-ME"/>
        </w:rPr>
      </w:pPr>
    </w:p>
    <w:p w14:paraId="0843BBDA" w14:textId="77777777" w:rsidR="0067482C" w:rsidRPr="00A613D6" w:rsidRDefault="0067482C">
      <w:pPr>
        <w:jc w:val="both"/>
        <w:rPr>
          <w:i/>
          <w:sz w:val="22"/>
          <w:szCs w:val="22"/>
          <w:lang w:val="sr-Latn-ME"/>
        </w:rPr>
      </w:pPr>
      <w:r w:rsidRPr="00A613D6">
        <w:rPr>
          <w:i/>
          <w:sz w:val="22"/>
          <w:szCs w:val="22"/>
          <w:lang w:val="sr-Latn-ME"/>
        </w:rPr>
        <w:t>Pedijatrijska populacija (≤ 18 godina)</w:t>
      </w:r>
    </w:p>
    <w:p w14:paraId="298A42EC" w14:textId="77777777" w:rsidR="0067482C" w:rsidRPr="00A613D6" w:rsidRDefault="0067482C">
      <w:pPr>
        <w:jc w:val="both"/>
        <w:rPr>
          <w:i/>
          <w:sz w:val="22"/>
          <w:szCs w:val="22"/>
          <w:lang w:val="sr-Latn-ME"/>
        </w:rPr>
      </w:pPr>
    </w:p>
    <w:p w14:paraId="383613B7" w14:textId="1B7224E5" w:rsidR="0067482C" w:rsidRPr="00A613D6" w:rsidRDefault="0067482C">
      <w:pPr>
        <w:jc w:val="both"/>
        <w:rPr>
          <w:sz w:val="22"/>
          <w:szCs w:val="22"/>
          <w:lang w:val="sr-Latn-ME"/>
        </w:rPr>
      </w:pPr>
      <w:r w:rsidRPr="00A613D6">
        <w:rPr>
          <w:sz w:val="22"/>
          <w:szCs w:val="22"/>
          <w:lang w:val="sr-Latn-ME"/>
        </w:rPr>
        <w:t xml:space="preserve">Ne preporučuje se primjena lijeka Diclopram kod djece, usljed nedostatka podataka o bezbjednosti i efikasnosti. </w:t>
      </w:r>
    </w:p>
    <w:p w14:paraId="4E29A627" w14:textId="77777777" w:rsidR="0067482C" w:rsidRPr="00A613D6" w:rsidRDefault="0067482C">
      <w:pPr>
        <w:tabs>
          <w:tab w:val="left" w:pos="540"/>
          <w:tab w:val="left" w:pos="569"/>
        </w:tabs>
        <w:jc w:val="both"/>
        <w:rPr>
          <w:bCs/>
          <w:sz w:val="22"/>
          <w:szCs w:val="22"/>
          <w:lang w:val="sr-Latn-ME"/>
        </w:rPr>
      </w:pPr>
    </w:p>
    <w:p w14:paraId="4C964616" w14:textId="77777777" w:rsidR="00411B4B" w:rsidRPr="00A613D6" w:rsidRDefault="00411B4B">
      <w:pPr>
        <w:tabs>
          <w:tab w:val="left" w:pos="540"/>
          <w:tab w:val="left" w:pos="569"/>
        </w:tabs>
        <w:jc w:val="both"/>
        <w:rPr>
          <w:b/>
          <w:bCs/>
          <w:sz w:val="22"/>
          <w:szCs w:val="22"/>
          <w:lang w:val="sr-Latn-ME"/>
        </w:rPr>
      </w:pPr>
      <w:r w:rsidRPr="00A613D6">
        <w:rPr>
          <w:b/>
          <w:bCs/>
          <w:sz w:val="22"/>
          <w:szCs w:val="22"/>
          <w:lang w:val="sr-Latn-ME"/>
        </w:rPr>
        <w:t xml:space="preserve">4.3. </w:t>
      </w:r>
      <w:r w:rsidR="00480FB1" w:rsidRPr="00A613D6">
        <w:rPr>
          <w:b/>
          <w:bCs/>
          <w:sz w:val="22"/>
          <w:szCs w:val="22"/>
          <w:lang w:val="sr-Latn-ME"/>
        </w:rPr>
        <w:tab/>
      </w:r>
      <w:r w:rsidRPr="00A613D6">
        <w:rPr>
          <w:b/>
          <w:bCs/>
          <w:sz w:val="22"/>
          <w:szCs w:val="22"/>
          <w:lang w:val="sr-Latn-ME"/>
        </w:rPr>
        <w:t>Kontraindikacije</w:t>
      </w:r>
    </w:p>
    <w:p w14:paraId="4C964617" w14:textId="762B562C" w:rsidR="0072020E" w:rsidRPr="00A613D6" w:rsidRDefault="0072020E">
      <w:pPr>
        <w:tabs>
          <w:tab w:val="left" w:pos="540"/>
          <w:tab w:val="left" w:pos="569"/>
        </w:tabs>
        <w:jc w:val="both"/>
        <w:rPr>
          <w:bCs/>
          <w:sz w:val="22"/>
          <w:szCs w:val="22"/>
          <w:lang w:val="sr-Latn-ME"/>
        </w:rPr>
      </w:pPr>
    </w:p>
    <w:p w14:paraId="498349FA" w14:textId="04FE2DBA"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 xml:space="preserve">preosjetljivost na aktivne supstance, supstituisane benzimidazole ili </w:t>
      </w:r>
      <w:r w:rsidR="00F3505C" w:rsidRPr="00A613D6">
        <w:rPr>
          <w:rFonts w:ascii="Times New Roman" w:hAnsi="Times New Roman" w:cs="Times New Roman"/>
          <w:lang w:val="sr-Latn-ME"/>
        </w:rPr>
        <w:t xml:space="preserve">na </w:t>
      </w:r>
      <w:r w:rsidRPr="00A613D6">
        <w:rPr>
          <w:rFonts w:ascii="Times New Roman" w:hAnsi="Times New Roman" w:cs="Times New Roman"/>
          <w:lang w:val="sr-Latn-ME"/>
        </w:rPr>
        <w:t xml:space="preserve">bilo koju od pomoćnih supstanci lijeka navedenih u </w:t>
      </w:r>
      <w:r w:rsidR="00F3505C" w:rsidRPr="00A613D6">
        <w:rPr>
          <w:rFonts w:ascii="Times New Roman" w:hAnsi="Times New Roman" w:cs="Times New Roman"/>
          <w:lang w:val="sr-Latn-ME"/>
        </w:rPr>
        <w:t xml:space="preserve">dijelu </w:t>
      </w:r>
      <w:r w:rsidRPr="00A613D6">
        <w:rPr>
          <w:rFonts w:ascii="Times New Roman" w:hAnsi="Times New Roman" w:cs="Times New Roman"/>
          <w:lang w:val="sr-Latn-ME"/>
        </w:rPr>
        <w:t>6.1</w:t>
      </w:r>
      <w:r w:rsidR="00F3505C" w:rsidRPr="00A613D6">
        <w:rPr>
          <w:rFonts w:ascii="Times New Roman" w:hAnsi="Times New Roman" w:cs="Times New Roman"/>
          <w:lang w:val="sr-Latn-ME"/>
        </w:rPr>
        <w:t>;</w:t>
      </w:r>
    </w:p>
    <w:p w14:paraId="4CB9E7F1" w14:textId="015A0191"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 xml:space="preserve">poznate reakcije preosjetljivosti (npr. astma, urtikarija, angioedem ili rinitis), </w:t>
      </w:r>
      <w:r w:rsidR="00F3505C" w:rsidRPr="00A613D6">
        <w:rPr>
          <w:rFonts w:ascii="Times New Roman" w:hAnsi="Times New Roman" w:cs="Times New Roman"/>
          <w:lang w:val="sr-Latn-ME"/>
        </w:rPr>
        <w:t xml:space="preserve">koje </w:t>
      </w:r>
      <w:r w:rsidRPr="00A613D6">
        <w:rPr>
          <w:rFonts w:ascii="Times New Roman" w:hAnsi="Times New Roman" w:cs="Times New Roman"/>
          <w:lang w:val="sr-Latn-ME"/>
        </w:rPr>
        <w:t xml:space="preserve">su </w:t>
      </w:r>
      <w:r w:rsidR="00F3505C" w:rsidRPr="00A613D6">
        <w:rPr>
          <w:rFonts w:ascii="Times New Roman" w:hAnsi="Times New Roman" w:cs="Times New Roman"/>
          <w:lang w:val="sr-Latn-ME"/>
        </w:rPr>
        <w:t xml:space="preserve">bile povezane </w:t>
      </w:r>
      <w:r w:rsidRPr="00A613D6">
        <w:rPr>
          <w:rFonts w:ascii="Times New Roman" w:hAnsi="Times New Roman" w:cs="Times New Roman"/>
          <w:lang w:val="sr-Latn-ME"/>
        </w:rPr>
        <w:t>sa primjenom ibuprofena, aspirina ili drugih NSAIL</w:t>
      </w:r>
      <w:r w:rsidR="00F3505C" w:rsidRPr="00A613D6">
        <w:rPr>
          <w:rFonts w:ascii="Times New Roman" w:hAnsi="Times New Roman" w:cs="Times New Roman"/>
          <w:lang w:val="sr-Latn-ME"/>
        </w:rPr>
        <w:t>;</w:t>
      </w:r>
    </w:p>
    <w:p w14:paraId="1303E684" w14:textId="291FA5FE"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teška insuficijencija jetre, bubrega i srca (vid</w:t>
      </w:r>
      <w:r w:rsidR="00BE1122" w:rsidRPr="00A613D6">
        <w:rPr>
          <w:rFonts w:ascii="Times New Roman" w:hAnsi="Times New Roman" w:cs="Times New Roman"/>
          <w:lang w:val="sr-Latn-ME"/>
        </w:rPr>
        <w:t>j</w:t>
      </w:r>
      <w:r w:rsidRPr="00A613D6">
        <w:rPr>
          <w:rFonts w:ascii="Times New Roman" w:hAnsi="Times New Roman" w:cs="Times New Roman"/>
          <w:lang w:val="sr-Latn-ME"/>
        </w:rPr>
        <w:t xml:space="preserve">eti </w:t>
      </w:r>
      <w:r w:rsidR="00F3505C" w:rsidRPr="00A613D6">
        <w:rPr>
          <w:rFonts w:ascii="Times New Roman" w:hAnsi="Times New Roman" w:cs="Times New Roman"/>
          <w:lang w:val="sr-Latn-ME"/>
        </w:rPr>
        <w:t xml:space="preserve">dio </w:t>
      </w:r>
      <w:r w:rsidRPr="00A613D6">
        <w:rPr>
          <w:rFonts w:ascii="Times New Roman" w:hAnsi="Times New Roman" w:cs="Times New Roman"/>
          <w:lang w:val="sr-Latn-ME"/>
        </w:rPr>
        <w:t>4.4)</w:t>
      </w:r>
      <w:r w:rsidR="00F3505C" w:rsidRPr="00A613D6">
        <w:rPr>
          <w:rFonts w:ascii="Times New Roman" w:hAnsi="Times New Roman" w:cs="Times New Roman"/>
          <w:lang w:val="sr-Latn-ME"/>
        </w:rPr>
        <w:t>;</w:t>
      </w:r>
    </w:p>
    <w:p w14:paraId="17AF00E4" w14:textId="4919C7D3"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 xml:space="preserve">posljednji trimestar trudnoće (vidjeti </w:t>
      </w:r>
      <w:r w:rsidR="00F3505C" w:rsidRPr="00A613D6">
        <w:rPr>
          <w:rFonts w:ascii="Times New Roman" w:hAnsi="Times New Roman" w:cs="Times New Roman"/>
          <w:lang w:val="sr-Latn-ME"/>
        </w:rPr>
        <w:t xml:space="preserve">dio </w:t>
      </w:r>
      <w:r w:rsidRPr="00A613D6">
        <w:rPr>
          <w:rFonts w:ascii="Times New Roman" w:hAnsi="Times New Roman" w:cs="Times New Roman"/>
          <w:lang w:val="sr-Latn-ME"/>
        </w:rPr>
        <w:t>4.6)</w:t>
      </w:r>
      <w:r w:rsidR="00F3505C" w:rsidRPr="00A613D6">
        <w:rPr>
          <w:rFonts w:ascii="Times New Roman" w:hAnsi="Times New Roman" w:cs="Times New Roman"/>
          <w:lang w:val="sr-Latn-ME"/>
        </w:rPr>
        <w:t>;</w:t>
      </w:r>
    </w:p>
    <w:p w14:paraId="2FC1E161" w14:textId="5D7587ED"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aktivan ili rekurentni peptički ulkus/hemoragija u anamnezi (dvije ili više dokazanih epizoda ulceracije ili krvarenja)</w:t>
      </w:r>
      <w:r w:rsidR="00F3505C" w:rsidRPr="00A613D6">
        <w:rPr>
          <w:rFonts w:ascii="Times New Roman" w:hAnsi="Times New Roman" w:cs="Times New Roman"/>
          <w:lang w:val="sr-Latn-ME"/>
        </w:rPr>
        <w:t>;</w:t>
      </w:r>
    </w:p>
    <w:p w14:paraId="3BF002B5" w14:textId="3F818115"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pozitivni anamnestički podaci o ranijem gastrointestinalnom krvarenju ili perforaciji, koji su bili povezani sa primjenom NSAIL</w:t>
      </w:r>
      <w:r w:rsidR="00F3505C" w:rsidRPr="00A613D6">
        <w:rPr>
          <w:rFonts w:ascii="Times New Roman" w:hAnsi="Times New Roman" w:cs="Times New Roman"/>
          <w:lang w:val="sr-Latn-ME"/>
        </w:rPr>
        <w:t>;</w:t>
      </w:r>
    </w:p>
    <w:p w14:paraId="01A4A3A3" w14:textId="6A9BC729" w:rsidR="00C20586" w:rsidRPr="00A613D6" w:rsidRDefault="00C20586">
      <w:pPr>
        <w:pStyle w:val="ListParagraph"/>
        <w:numPr>
          <w:ilvl w:val="0"/>
          <w:numId w:val="12"/>
        </w:numPr>
        <w:ind w:left="357" w:hanging="357"/>
        <w:jc w:val="both"/>
        <w:rPr>
          <w:rFonts w:ascii="Times New Roman" w:hAnsi="Times New Roman" w:cs="Times New Roman"/>
          <w:lang w:val="sr-Latn-ME"/>
        </w:rPr>
      </w:pPr>
      <w:r w:rsidRPr="00A613D6">
        <w:rPr>
          <w:rFonts w:ascii="Times New Roman" w:hAnsi="Times New Roman" w:cs="Times New Roman"/>
          <w:lang w:val="sr-Latn-ME"/>
        </w:rPr>
        <w:t xml:space="preserve">omeprazol </w:t>
      </w:r>
      <w:r w:rsidR="00F3505C" w:rsidRPr="00A613D6">
        <w:rPr>
          <w:rFonts w:ascii="Times New Roman" w:hAnsi="Times New Roman" w:cs="Times New Roman"/>
          <w:lang w:val="sr-Latn-ME"/>
        </w:rPr>
        <w:t xml:space="preserve">se, </w:t>
      </w:r>
      <w:r w:rsidRPr="00A613D6">
        <w:rPr>
          <w:rFonts w:ascii="Times New Roman" w:hAnsi="Times New Roman" w:cs="Times New Roman"/>
          <w:lang w:val="sr-Latn-ME"/>
        </w:rPr>
        <w:t>kao i druge inhibitore protonske pumpe (PPI)</w:t>
      </w:r>
      <w:r w:rsidR="00F3505C" w:rsidRPr="00A613D6">
        <w:rPr>
          <w:rFonts w:ascii="Times New Roman" w:hAnsi="Times New Roman" w:cs="Times New Roman"/>
          <w:lang w:val="sr-Latn-ME"/>
        </w:rPr>
        <w:t>,</w:t>
      </w:r>
      <w:r w:rsidRPr="00A613D6">
        <w:rPr>
          <w:rFonts w:ascii="Times New Roman" w:hAnsi="Times New Roman" w:cs="Times New Roman"/>
          <w:lang w:val="sr-Latn-ME"/>
        </w:rPr>
        <w:t xml:space="preserve"> ne </w:t>
      </w:r>
      <w:r w:rsidR="00F3505C" w:rsidRPr="00A613D6">
        <w:rPr>
          <w:rFonts w:ascii="Times New Roman" w:hAnsi="Times New Roman" w:cs="Times New Roman"/>
          <w:lang w:val="sr-Latn-ME"/>
        </w:rPr>
        <w:t xml:space="preserve">smije </w:t>
      </w:r>
      <w:r w:rsidRPr="00A613D6">
        <w:rPr>
          <w:rFonts w:ascii="Times New Roman" w:hAnsi="Times New Roman" w:cs="Times New Roman"/>
          <w:lang w:val="sr-Latn-ME"/>
        </w:rPr>
        <w:t>primjenjivati istovremeno sa nelfinavirom (vid</w:t>
      </w:r>
      <w:r w:rsidR="00BE1122" w:rsidRPr="00A613D6">
        <w:rPr>
          <w:rFonts w:ascii="Times New Roman" w:hAnsi="Times New Roman" w:cs="Times New Roman"/>
          <w:lang w:val="sr-Latn-ME"/>
        </w:rPr>
        <w:t>j</w:t>
      </w:r>
      <w:r w:rsidRPr="00A613D6">
        <w:rPr>
          <w:rFonts w:ascii="Times New Roman" w:hAnsi="Times New Roman" w:cs="Times New Roman"/>
          <w:lang w:val="sr-Latn-ME"/>
        </w:rPr>
        <w:t xml:space="preserve">eti </w:t>
      </w:r>
      <w:r w:rsidR="00F3505C" w:rsidRPr="00A613D6">
        <w:rPr>
          <w:rFonts w:ascii="Times New Roman" w:hAnsi="Times New Roman" w:cs="Times New Roman"/>
          <w:lang w:val="sr-Latn-ME"/>
        </w:rPr>
        <w:t xml:space="preserve">dio </w:t>
      </w:r>
      <w:r w:rsidRPr="00A613D6">
        <w:rPr>
          <w:rFonts w:ascii="Times New Roman" w:hAnsi="Times New Roman" w:cs="Times New Roman"/>
          <w:lang w:val="sr-Latn-ME"/>
        </w:rPr>
        <w:t>4.5)</w:t>
      </w:r>
      <w:r w:rsidR="00F3505C" w:rsidRPr="00A613D6">
        <w:rPr>
          <w:rFonts w:ascii="Times New Roman" w:hAnsi="Times New Roman" w:cs="Times New Roman"/>
          <w:lang w:val="sr-Latn-ME"/>
        </w:rPr>
        <w:t>;</w:t>
      </w:r>
    </w:p>
    <w:p w14:paraId="24265B70" w14:textId="212A7FD5" w:rsidR="00C20586" w:rsidRPr="00A613D6" w:rsidRDefault="00C20586">
      <w:pPr>
        <w:pStyle w:val="ListParagraph"/>
        <w:numPr>
          <w:ilvl w:val="0"/>
          <w:numId w:val="12"/>
        </w:numPr>
        <w:spacing w:after="0"/>
        <w:ind w:left="357" w:hanging="357"/>
        <w:jc w:val="both"/>
        <w:rPr>
          <w:rFonts w:ascii="Times New Roman" w:hAnsi="Times New Roman" w:cs="Times New Roman"/>
          <w:lang w:val="sr-Latn-ME"/>
        </w:rPr>
      </w:pPr>
      <w:r w:rsidRPr="00A613D6">
        <w:rPr>
          <w:rFonts w:ascii="Times New Roman" w:hAnsi="Times New Roman" w:cs="Times New Roman"/>
          <w:lang w:val="sr-Latn-ME"/>
        </w:rPr>
        <w:lastRenderedPageBreak/>
        <w:t>potvrđena kongestivna srčana insuficijencija (NYHA II-IV), ishemijska bolest srca, bolest perifernih arterija i/ili cerebrovaskularna bolest.</w:t>
      </w:r>
    </w:p>
    <w:p w14:paraId="7676CEAA" w14:textId="77777777" w:rsidR="00957061" w:rsidRPr="00A613D6" w:rsidRDefault="00957061">
      <w:pPr>
        <w:pStyle w:val="ListParagraph"/>
        <w:spacing w:after="0"/>
        <w:ind w:left="357"/>
        <w:jc w:val="both"/>
        <w:rPr>
          <w:rFonts w:ascii="Times New Roman" w:hAnsi="Times New Roman" w:cs="Times New Roman"/>
          <w:lang w:val="sr-Latn-ME"/>
        </w:rPr>
      </w:pPr>
    </w:p>
    <w:p w14:paraId="4C964618" w14:textId="77777777" w:rsidR="00411B4B" w:rsidRPr="00A613D6" w:rsidRDefault="00411B4B">
      <w:pPr>
        <w:tabs>
          <w:tab w:val="left" w:pos="540"/>
          <w:tab w:val="left" w:pos="569"/>
        </w:tabs>
        <w:jc w:val="both"/>
        <w:rPr>
          <w:b/>
          <w:bCs/>
          <w:sz w:val="22"/>
          <w:szCs w:val="22"/>
          <w:lang w:val="sr-Latn-ME"/>
        </w:rPr>
      </w:pPr>
      <w:r w:rsidRPr="00A613D6">
        <w:rPr>
          <w:b/>
          <w:bCs/>
          <w:sz w:val="22"/>
          <w:szCs w:val="22"/>
          <w:lang w:val="sr-Latn-ME"/>
        </w:rPr>
        <w:t xml:space="preserve">4.4. </w:t>
      </w:r>
      <w:r w:rsidR="00480FB1" w:rsidRPr="00A613D6">
        <w:rPr>
          <w:b/>
          <w:bCs/>
          <w:sz w:val="22"/>
          <w:szCs w:val="22"/>
          <w:lang w:val="sr-Latn-ME"/>
        </w:rPr>
        <w:tab/>
      </w:r>
      <w:r w:rsidRPr="00A613D6">
        <w:rPr>
          <w:b/>
          <w:bCs/>
          <w:sz w:val="22"/>
          <w:szCs w:val="22"/>
          <w:lang w:val="sr-Latn-ME"/>
        </w:rPr>
        <w:t>Posebna upozorenja i mjere opreza pri upotrebi lijeka</w:t>
      </w:r>
    </w:p>
    <w:p w14:paraId="4C964619" w14:textId="77777777" w:rsidR="0072020E" w:rsidRPr="00A613D6" w:rsidRDefault="0072020E">
      <w:pPr>
        <w:tabs>
          <w:tab w:val="left" w:pos="540"/>
          <w:tab w:val="left" w:pos="569"/>
        </w:tabs>
        <w:jc w:val="both"/>
        <w:rPr>
          <w:bCs/>
          <w:sz w:val="22"/>
          <w:szCs w:val="22"/>
          <w:lang w:val="sr-Latn-ME"/>
        </w:rPr>
      </w:pPr>
    </w:p>
    <w:p w14:paraId="68CE5550" w14:textId="77777777" w:rsidR="00FD3F2D" w:rsidRPr="00A613D6" w:rsidRDefault="00FD3F2D">
      <w:pPr>
        <w:jc w:val="both"/>
        <w:rPr>
          <w:sz w:val="22"/>
          <w:szCs w:val="22"/>
          <w:u w:val="single"/>
          <w:lang w:val="sr-Latn-ME"/>
        </w:rPr>
      </w:pPr>
      <w:r w:rsidRPr="00A613D6">
        <w:rPr>
          <w:sz w:val="22"/>
          <w:szCs w:val="22"/>
          <w:u w:val="single"/>
          <w:lang w:val="sr-Latn-ME"/>
        </w:rPr>
        <w:t>Diklofenak (NSAIL)</w:t>
      </w:r>
    </w:p>
    <w:p w14:paraId="4EABD7AC" w14:textId="77777777" w:rsidR="00FD3F2D" w:rsidRPr="00A613D6" w:rsidRDefault="00FD3F2D">
      <w:pPr>
        <w:jc w:val="both"/>
        <w:rPr>
          <w:sz w:val="22"/>
          <w:szCs w:val="22"/>
          <w:u w:val="single"/>
          <w:lang w:val="sr-Latn-ME"/>
        </w:rPr>
      </w:pPr>
    </w:p>
    <w:p w14:paraId="317DB3C2" w14:textId="77777777" w:rsidR="00FD3F2D" w:rsidRPr="00A613D6" w:rsidRDefault="00FD3F2D">
      <w:pPr>
        <w:jc w:val="both"/>
        <w:rPr>
          <w:i/>
          <w:sz w:val="22"/>
          <w:szCs w:val="22"/>
          <w:lang w:val="sr-Latn-ME"/>
        </w:rPr>
      </w:pPr>
      <w:r w:rsidRPr="00A613D6">
        <w:rPr>
          <w:i/>
          <w:sz w:val="22"/>
          <w:szCs w:val="22"/>
          <w:lang w:val="sr-Latn-ME"/>
        </w:rPr>
        <w:t>Kod svih pacijenata:</w:t>
      </w:r>
    </w:p>
    <w:p w14:paraId="3E65DDE3" w14:textId="0CE2C4FE" w:rsidR="00FD3F2D" w:rsidRPr="00A613D6" w:rsidRDefault="001253AA">
      <w:pPr>
        <w:jc w:val="both"/>
        <w:rPr>
          <w:sz w:val="22"/>
          <w:szCs w:val="22"/>
          <w:lang w:val="sr-Latn-ME"/>
        </w:rPr>
      </w:pPr>
      <w:r w:rsidRPr="00A613D6">
        <w:rPr>
          <w:sz w:val="22"/>
          <w:szCs w:val="22"/>
          <w:lang w:val="sr-Latn-ME"/>
        </w:rPr>
        <w:t xml:space="preserve">Neželjena dejstva se mogu svesti na minimum korišćenjem </w:t>
      </w:r>
      <w:r w:rsidR="00BA5E5B" w:rsidRPr="00A613D6">
        <w:rPr>
          <w:sz w:val="22"/>
          <w:szCs w:val="22"/>
          <w:lang w:val="sr-Latn-ME"/>
        </w:rPr>
        <w:t xml:space="preserve">najmanje efektivne doze </w:t>
      </w:r>
      <w:r w:rsidRPr="00A613D6">
        <w:rPr>
          <w:sz w:val="22"/>
          <w:szCs w:val="22"/>
          <w:lang w:val="sr-Latn-ME"/>
        </w:rPr>
        <w:t xml:space="preserve">u </w:t>
      </w:r>
      <w:r w:rsidR="00210B22" w:rsidRPr="00A613D6">
        <w:rPr>
          <w:sz w:val="22"/>
          <w:szCs w:val="22"/>
          <w:lang w:val="sr-Latn-ME"/>
        </w:rPr>
        <w:t>naj</w:t>
      </w:r>
      <w:r w:rsidRPr="00A613D6">
        <w:rPr>
          <w:sz w:val="22"/>
          <w:szCs w:val="22"/>
          <w:lang w:val="sr-Latn-ME"/>
        </w:rPr>
        <w:t>kraćem vremenskom periodu potrebnom za kontrolu simptoma</w:t>
      </w:r>
      <w:r w:rsidR="00FD3F2D" w:rsidRPr="00A613D6">
        <w:rPr>
          <w:sz w:val="22"/>
          <w:szCs w:val="22"/>
          <w:lang w:val="sr-Latn-ME"/>
        </w:rPr>
        <w:t xml:space="preserve"> (vidjeti </w:t>
      </w:r>
      <w:r w:rsidR="00BA5E5B" w:rsidRPr="00A613D6">
        <w:rPr>
          <w:sz w:val="22"/>
          <w:szCs w:val="22"/>
          <w:lang w:val="sr-Latn-ME"/>
        </w:rPr>
        <w:t xml:space="preserve">dio </w:t>
      </w:r>
      <w:r w:rsidR="00FD3F2D" w:rsidRPr="00A613D6">
        <w:rPr>
          <w:sz w:val="22"/>
          <w:szCs w:val="22"/>
          <w:lang w:val="sr-Latn-ME"/>
        </w:rPr>
        <w:t>4.2 i gastointestinalne i kardiovaskularne rizike opisane ispod).</w:t>
      </w:r>
    </w:p>
    <w:p w14:paraId="64FE2115" w14:textId="77777777" w:rsidR="00FD3F2D" w:rsidRPr="00A613D6" w:rsidRDefault="00FD3F2D">
      <w:pPr>
        <w:jc w:val="both"/>
        <w:rPr>
          <w:sz w:val="22"/>
          <w:szCs w:val="22"/>
          <w:lang w:val="sr-Latn-ME"/>
        </w:rPr>
      </w:pPr>
    </w:p>
    <w:p w14:paraId="25D29D75" w14:textId="77777777" w:rsidR="0001256D" w:rsidRPr="00A613D6" w:rsidRDefault="00FD3F2D">
      <w:pPr>
        <w:jc w:val="both"/>
        <w:rPr>
          <w:sz w:val="22"/>
          <w:szCs w:val="22"/>
          <w:lang w:val="sr-Latn-ME"/>
        </w:rPr>
      </w:pPr>
      <w:r w:rsidRPr="00A613D6">
        <w:rPr>
          <w:sz w:val="22"/>
          <w:szCs w:val="22"/>
          <w:lang w:val="sr-Latn-ME"/>
        </w:rPr>
        <w:t xml:space="preserve">Kao i sa drugim nesteroidnim antiinflamatornim ljekovima, rijetko se mogu javiti alergijske reakcije, uključujući anafilaktičke/anafilaktoidne reakcije, i bez prethodnog izlaganja ovom lijeku. </w:t>
      </w:r>
    </w:p>
    <w:p w14:paraId="497791D7" w14:textId="4F6C4F75" w:rsidR="0001256D" w:rsidRPr="00A613D6" w:rsidRDefault="008C5E82">
      <w:pPr>
        <w:jc w:val="both"/>
        <w:rPr>
          <w:bCs/>
          <w:sz w:val="22"/>
          <w:szCs w:val="22"/>
          <w:lang w:val="sr-Latn-ME"/>
        </w:rPr>
      </w:pPr>
      <w:r w:rsidRPr="00A613D6">
        <w:rPr>
          <w:bCs/>
          <w:sz w:val="22"/>
          <w:szCs w:val="22"/>
          <w:lang w:val="sr-Latn-ME"/>
        </w:rPr>
        <w:t xml:space="preserve">Reakcije preosjetljivosti takođe mogu napredovati u </w:t>
      </w:r>
      <w:r w:rsidRPr="00A613D6">
        <w:rPr>
          <w:bCs/>
          <w:i/>
          <w:iCs/>
          <w:sz w:val="22"/>
          <w:szCs w:val="22"/>
          <w:lang w:val="sr-Latn-ME"/>
        </w:rPr>
        <w:t>Kounis</w:t>
      </w:r>
      <w:r w:rsidR="006725CE" w:rsidRPr="00A613D6">
        <w:rPr>
          <w:bCs/>
          <w:sz w:val="22"/>
          <w:szCs w:val="22"/>
          <w:lang w:val="sr-Latn-ME"/>
        </w:rPr>
        <w:t>-</w:t>
      </w:r>
      <w:r w:rsidRPr="00A613D6">
        <w:rPr>
          <w:bCs/>
          <w:sz w:val="22"/>
          <w:szCs w:val="22"/>
          <w:lang w:val="sr-Latn-ME"/>
        </w:rPr>
        <w:t>ov sindrom, ozbiljnu alergijsku reakciju koja može dovesti do infarkta miokarda. Simptomi takvih reakcija mogu uključivati bol u grudima koji se javlja u vezi sa alergijskom reakcijom na diklofenak.</w:t>
      </w:r>
    </w:p>
    <w:p w14:paraId="044817BF" w14:textId="593DA991" w:rsidR="00FD3F2D" w:rsidRPr="00A613D6" w:rsidRDefault="00FD3F2D">
      <w:pPr>
        <w:jc w:val="both"/>
        <w:rPr>
          <w:sz w:val="22"/>
          <w:szCs w:val="22"/>
          <w:lang w:val="sr-Latn-ME"/>
        </w:rPr>
      </w:pPr>
      <w:r w:rsidRPr="00A613D6">
        <w:rPr>
          <w:sz w:val="22"/>
          <w:szCs w:val="22"/>
          <w:lang w:val="sr-Latn-ME"/>
        </w:rPr>
        <w:t>Usljed farmakodinamskih svojstava, lijek Diclopram može da prikrije znake i simptome infektivnih bolesti.</w:t>
      </w:r>
    </w:p>
    <w:p w14:paraId="5CC3AA31" w14:textId="77777777" w:rsidR="00FD3F2D" w:rsidRPr="00A613D6" w:rsidRDefault="00FD3F2D">
      <w:pPr>
        <w:jc w:val="both"/>
        <w:rPr>
          <w:sz w:val="22"/>
          <w:szCs w:val="22"/>
          <w:lang w:val="sr-Latn-ME"/>
        </w:rPr>
      </w:pPr>
    </w:p>
    <w:p w14:paraId="5964EF4B" w14:textId="1B5D4687" w:rsidR="00FD3F2D" w:rsidRPr="00A613D6" w:rsidRDefault="00FD3F2D">
      <w:pPr>
        <w:jc w:val="both"/>
        <w:rPr>
          <w:sz w:val="22"/>
          <w:szCs w:val="22"/>
          <w:lang w:val="sr-Latn-ME"/>
        </w:rPr>
      </w:pPr>
      <w:r w:rsidRPr="00A613D6">
        <w:rPr>
          <w:sz w:val="22"/>
          <w:szCs w:val="22"/>
          <w:lang w:val="sr-Latn-ME"/>
        </w:rPr>
        <w:t xml:space="preserve">Treba izbjegavati istovremenu upotrebu lijeka Diclopram sa drugim ljekovima iz grupe NSAIL, uključujući selektivne inhibitore ciklooksigenaze-2, jer ne postoje dokazi o sinergizmu njihovog dejstva, a pri tome postoji potencijalna opasnost od pojave dodatnih neželjenih </w:t>
      </w:r>
      <w:r w:rsidR="006725CE" w:rsidRPr="00A613D6">
        <w:rPr>
          <w:sz w:val="22"/>
          <w:szCs w:val="22"/>
          <w:lang w:val="sr-Latn-ME"/>
        </w:rPr>
        <w:t>dejstava</w:t>
      </w:r>
      <w:r w:rsidRPr="00A613D6">
        <w:rPr>
          <w:sz w:val="22"/>
          <w:szCs w:val="22"/>
          <w:lang w:val="sr-Latn-ME"/>
        </w:rPr>
        <w:t xml:space="preserve"> (vid</w:t>
      </w:r>
      <w:r w:rsidR="00DA4684" w:rsidRPr="00A613D6">
        <w:rPr>
          <w:sz w:val="22"/>
          <w:szCs w:val="22"/>
          <w:lang w:val="sr-Latn-ME"/>
        </w:rPr>
        <w:t>j</w:t>
      </w:r>
      <w:r w:rsidRPr="00A613D6">
        <w:rPr>
          <w:sz w:val="22"/>
          <w:szCs w:val="22"/>
          <w:lang w:val="sr-Latn-ME"/>
        </w:rPr>
        <w:t xml:space="preserve">eti </w:t>
      </w:r>
      <w:r w:rsidR="00BA5E5B" w:rsidRPr="00A613D6">
        <w:rPr>
          <w:sz w:val="22"/>
          <w:szCs w:val="22"/>
          <w:lang w:val="sr-Latn-ME"/>
        </w:rPr>
        <w:t xml:space="preserve">dio </w:t>
      </w:r>
      <w:r w:rsidRPr="00A613D6">
        <w:rPr>
          <w:sz w:val="22"/>
          <w:szCs w:val="22"/>
          <w:lang w:val="sr-Latn-ME"/>
        </w:rPr>
        <w:t>4.5).</w:t>
      </w:r>
    </w:p>
    <w:p w14:paraId="103CF3C1" w14:textId="77777777" w:rsidR="00FD3F2D" w:rsidRPr="00A613D6" w:rsidRDefault="00FD3F2D">
      <w:pPr>
        <w:jc w:val="both"/>
        <w:rPr>
          <w:sz w:val="22"/>
          <w:szCs w:val="22"/>
          <w:lang w:val="sr-Latn-ME"/>
        </w:rPr>
      </w:pPr>
    </w:p>
    <w:p w14:paraId="0D5FEEFC" w14:textId="09389DA5" w:rsidR="00FD3F2D" w:rsidRPr="00A613D6" w:rsidRDefault="00FD3F2D">
      <w:pPr>
        <w:jc w:val="both"/>
        <w:rPr>
          <w:i/>
          <w:sz w:val="22"/>
          <w:szCs w:val="22"/>
          <w:lang w:val="sr-Latn-ME"/>
        </w:rPr>
      </w:pPr>
      <w:r w:rsidRPr="00A613D6">
        <w:rPr>
          <w:i/>
          <w:sz w:val="22"/>
          <w:szCs w:val="22"/>
          <w:lang w:val="sr-Latn-ME"/>
        </w:rPr>
        <w:t>Stariji</w:t>
      </w:r>
      <w:r w:rsidR="00DE5F5E" w:rsidRPr="00A613D6">
        <w:rPr>
          <w:i/>
          <w:sz w:val="22"/>
          <w:szCs w:val="22"/>
          <w:lang w:val="sr-Latn-ME"/>
        </w:rPr>
        <w:t xml:space="preserve"> pacijenti</w:t>
      </w:r>
      <w:r w:rsidRPr="00A613D6">
        <w:rPr>
          <w:i/>
          <w:sz w:val="22"/>
          <w:szCs w:val="22"/>
          <w:lang w:val="sr-Latn-ME"/>
        </w:rPr>
        <w:t>:</w:t>
      </w:r>
    </w:p>
    <w:p w14:paraId="345FF20B" w14:textId="7698D7B6" w:rsidR="00FD3F2D" w:rsidRPr="00A613D6" w:rsidRDefault="00FD3F2D">
      <w:pPr>
        <w:jc w:val="both"/>
        <w:rPr>
          <w:sz w:val="22"/>
          <w:szCs w:val="22"/>
          <w:lang w:val="sr-Latn-ME"/>
        </w:rPr>
      </w:pPr>
      <w:r w:rsidRPr="00A613D6">
        <w:rPr>
          <w:sz w:val="22"/>
          <w:szCs w:val="22"/>
          <w:lang w:val="sr-Latn-ME"/>
        </w:rPr>
        <w:t>Na osnovu medicinskih podataka</w:t>
      </w:r>
      <w:r w:rsidR="00BA5E5B" w:rsidRPr="00A613D6">
        <w:rPr>
          <w:sz w:val="22"/>
          <w:szCs w:val="22"/>
          <w:lang w:val="sr-Latn-ME"/>
        </w:rPr>
        <w:t>,</w:t>
      </w:r>
      <w:r w:rsidRPr="00A613D6">
        <w:rPr>
          <w:sz w:val="22"/>
          <w:szCs w:val="22"/>
          <w:lang w:val="sr-Latn-ME"/>
        </w:rPr>
        <w:t xml:space="preserve"> savjetuje se oprez kod starije populacije. Kod starijih </w:t>
      </w:r>
      <w:r w:rsidR="008A75BC" w:rsidRPr="00A613D6">
        <w:rPr>
          <w:sz w:val="22"/>
          <w:szCs w:val="22"/>
          <w:lang w:val="sr-Latn-ME"/>
        </w:rPr>
        <w:t>pacijenata</w:t>
      </w:r>
      <w:r w:rsidRPr="00A613D6">
        <w:rPr>
          <w:sz w:val="22"/>
          <w:szCs w:val="22"/>
          <w:lang w:val="sr-Latn-ME"/>
        </w:rPr>
        <w:t xml:space="preserve"> </w:t>
      </w:r>
      <w:r w:rsidR="00BA5E5B" w:rsidRPr="00A613D6">
        <w:rPr>
          <w:sz w:val="22"/>
          <w:szCs w:val="22"/>
          <w:lang w:val="sr-Latn-ME"/>
        </w:rPr>
        <w:t xml:space="preserve">je </w:t>
      </w:r>
      <w:r w:rsidRPr="00A613D6">
        <w:rPr>
          <w:sz w:val="22"/>
          <w:szCs w:val="22"/>
          <w:lang w:val="sr-Latn-ME"/>
        </w:rPr>
        <w:t>povećana učestalost neželjenih reakcija povezanih sa primjenom NSAIL, posebno gastrointestinalno krvarenje i perforacija</w:t>
      </w:r>
      <w:r w:rsidR="00BA5E5B" w:rsidRPr="00A613D6">
        <w:rPr>
          <w:sz w:val="22"/>
          <w:szCs w:val="22"/>
          <w:lang w:val="sr-Latn-ME"/>
        </w:rPr>
        <w:t>,</w:t>
      </w:r>
      <w:r w:rsidRPr="00A613D6">
        <w:rPr>
          <w:sz w:val="22"/>
          <w:szCs w:val="22"/>
          <w:lang w:val="sr-Latn-ME"/>
        </w:rPr>
        <w:t xml:space="preserve"> koji mogu biti fatalni (vid</w:t>
      </w:r>
      <w:r w:rsidR="00DA4684" w:rsidRPr="00A613D6">
        <w:rPr>
          <w:sz w:val="22"/>
          <w:szCs w:val="22"/>
          <w:lang w:val="sr-Latn-ME"/>
        </w:rPr>
        <w:t>j</w:t>
      </w:r>
      <w:r w:rsidRPr="00A613D6">
        <w:rPr>
          <w:sz w:val="22"/>
          <w:szCs w:val="22"/>
          <w:lang w:val="sr-Latn-ME"/>
        </w:rPr>
        <w:t xml:space="preserve">eti </w:t>
      </w:r>
      <w:r w:rsidR="00BA5E5B" w:rsidRPr="00A613D6">
        <w:rPr>
          <w:sz w:val="22"/>
          <w:szCs w:val="22"/>
          <w:lang w:val="sr-Latn-ME"/>
        </w:rPr>
        <w:t xml:space="preserve">dio </w:t>
      </w:r>
      <w:r w:rsidRPr="00A613D6">
        <w:rPr>
          <w:sz w:val="22"/>
          <w:szCs w:val="22"/>
          <w:lang w:val="sr-Latn-ME"/>
        </w:rPr>
        <w:t>4.2). Preporučuje se primjena najniže efektivne doze kod iscrpljenih starijih pacijenata ili onih sa malom tjelesnom masom.</w:t>
      </w:r>
    </w:p>
    <w:p w14:paraId="5FD5682F" w14:textId="77777777" w:rsidR="00FD3F2D" w:rsidRPr="00A613D6" w:rsidRDefault="00FD3F2D">
      <w:pPr>
        <w:jc w:val="both"/>
        <w:rPr>
          <w:sz w:val="22"/>
          <w:szCs w:val="22"/>
          <w:lang w:val="sr-Latn-ME"/>
        </w:rPr>
      </w:pPr>
    </w:p>
    <w:p w14:paraId="190ACB43" w14:textId="77777777" w:rsidR="00FD3F2D" w:rsidRPr="00A613D6" w:rsidRDefault="00FD3F2D">
      <w:pPr>
        <w:jc w:val="both"/>
        <w:rPr>
          <w:i/>
          <w:sz w:val="22"/>
          <w:szCs w:val="22"/>
          <w:lang w:val="sr-Latn-ME"/>
        </w:rPr>
      </w:pPr>
      <w:r w:rsidRPr="00A613D6">
        <w:rPr>
          <w:i/>
          <w:sz w:val="22"/>
          <w:szCs w:val="22"/>
          <w:lang w:val="sr-Latn-ME"/>
        </w:rPr>
        <w:t>Respiratorni poremećaji:</w:t>
      </w:r>
    </w:p>
    <w:p w14:paraId="4E248A4D" w14:textId="4468FBFB" w:rsidR="00FD3F2D" w:rsidRPr="00A613D6" w:rsidRDefault="00FD3F2D">
      <w:pPr>
        <w:jc w:val="both"/>
        <w:rPr>
          <w:sz w:val="22"/>
          <w:szCs w:val="22"/>
          <w:lang w:val="sr-Latn-ME"/>
        </w:rPr>
      </w:pPr>
      <w:r w:rsidRPr="00A613D6">
        <w:rPr>
          <w:sz w:val="22"/>
          <w:szCs w:val="22"/>
          <w:lang w:val="sr-Latn-ME"/>
        </w:rPr>
        <w:t>Kod pacijenata sa astmom, sezonskim alergijskim rinitisom, oticanjem sluznice nosa (npr. nazalni polipi), hroničnom opstruktivnom bolešću pluća ili hroničnim infekcijama respiratornog trakta (naročito ukoliko su povezane sa simptomima sličnim alergijskom rinitisu), učestalije su reakcije na NSAIL</w:t>
      </w:r>
      <w:r w:rsidR="00BA5E5B" w:rsidRPr="00A613D6">
        <w:rPr>
          <w:sz w:val="22"/>
          <w:szCs w:val="22"/>
          <w:lang w:val="sr-Latn-ME"/>
        </w:rPr>
        <w:t>,</w:t>
      </w:r>
      <w:r w:rsidRPr="00A613D6">
        <w:rPr>
          <w:sz w:val="22"/>
          <w:szCs w:val="22"/>
          <w:lang w:val="sr-Latn-ME"/>
        </w:rPr>
        <w:t xml:space="preserve"> poput egzacerbacije astme (tzv. astma intolerancije na analgetike), </w:t>
      </w:r>
      <w:r w:rsidRPr="00A613D6">
        <w:rPr>
          <w:i/>
          <w:iCs/>
          <w:sz w:val="22"/>
          <w:szCs w:val="22"/>
          <w:lang w:val="sr-Latn-ME"/>
        </w:rPr>
        <w:t>Quincke</w:t>
      </w:r>
      <w:r w:rsidRPr="00A613D6">
        <w:rPr>
          <w:sz w:val="22"/>
          <w:szCs w:val="22"/>
          <w:lang w:val="sr-Latn-ME"/>
        </w:rPr>
        <w:t>-ov edem ili urtikarija. Stoga se kod ovih pacijenata preporučuje naročit oprez (spremnost na urgentno reagovanje). Ovo se odnosi i na pacijente koji su alergični na druge supstance i koji su ranije imali kožne reakcije, svrab ili urtikariju.</w:t>
      </w:r>
    </w:p>
    <w:p w14:paraId="6ADA9851" w14:textId="77777777" w:rsidR="00FD3F2D" w:rsidRPr="00A613D6" w:rsidRDefault="00FD3F2D">
      <w:pPr>
        <w:jc w:val="both"/>
        <w:rPr>
          <w:sz w:val="22"/>
          <w:szCs w:val="22"/>
          <w:lang w:val="sr-Latn-ME"/>
        </w:rPr>
      </w:pPr>
    </w:p>
    <w:p w14:paraId="5F124E4A" w14:textId="1C337036" w:rsidR="00FD3F2D" w:rsidRPr="00A613D6" w:rsidRDefault="004767AD">
      <w:pPr>
        <w:jc w:val="both"/>
        <w:rPr>
          <w:i/>
          <w:sz w:val="22"/>
          <w:szCs w:val="22"/>
          <w:lang w:val="sr-Latn-ME"/>
        </w:rPr>
      </w:pPr>
      <w:r w:rsidRPr="00A613D6">
        <w:rPr>
          <w:i/>
          <w:sz w:val="22"/>
          <w:szCs w:val="22"/>
          <w:lang w:val="sr-Latn-ME"/>
        </w:rPr>
        <w:t xml:space="preserve">Oštećena </w:t>
      </w:r>
      <w:r w:rsidR="008C5F93" w:rsidRPr="00A613D6">
        <w:rPr>
          <w:i/>
          <w:sz w:val="22"/>
          <w:szCs w:val="22"/>
          <w:lang w:val="sr-Latn-ME"/>
        </w:rPr>
        <w:t xml:space="preserve">funkcija </w:t>
      </w:r>
      <w:r w:rsidR="00FD3F2D" w:rsidRPr="00A613D6">
        <w:rPr>
          <w:i/>
          <w:sz w:val="22"/>
          <w:szCs w:val="22"/>
          <w:lang w:val="sr-Latn-ME"/>
        </w:rPr>
        <w:t>src</w:t>
      </w:r>
      <w:r w:rsidR="008C5F93" w:rsidRPr="00A613D6">
        <w:rPr>
          <w:i/>
          <w:sz w:val="22"/>
          <w:szCs w:val="22"/>
          <w:lang w:val="sr-Latn-ME"/>
        </w:rPr>
        <w:t>a</w:t>
      </w:r>
      <w:r w:rsidR="00FD3F2D" w:rsidRPr="00A613D6">
        <w:rPr>
          <w:i/>
          <w:sz w:val="22"/>
          <w:szCs w:val="22"/>
          <w:lang w:val="sr-Latn-ME"/>
        </w:rPr>
        <w:t>, bubreg</w:t>
      </w:r>
      <w:r w:rsidR="008C5F93" w:rsidRPr="00A613D6">
        <w:rPr>
          <w:i/>
          <w:sz w:val="22"/>
          <w:szCs w:val="22"/>
          <w:lang w:val="sr-Latn-ME"/>
        </w:rPr>
        <w:t>a</w:t>
      </w:r>
      <w:r w:rsidR="00FD3F2D" w:rsidRPr="00A613D6">
        <w:rPr>
          <w:i/>
          <w:sz w:val="22"/>
          <w:szCs w:val="22"/>
          <w:lang w:val="sr-Latn-ME"/>
        </w:rPr>
        <w:t xml:space="preserve"> i jetr</w:t>
      </w:r>
      <w:r w:rsidR="008C5F93" w:rsidRPr="00A613D6">
        <w:rPr>
          <w:i/>
          <w:sz w:val="22"/>
          <w:szCs w:val="22"/>
          <w:lang w:val="sr-Latn-ME"/>
        </w:rPr>
        <w:t>e</w:t>
      </w:r>
      <w:r w:rsidR="00FD3F2D" w:rsidRPr="00A613D6">
        <w:rPr>
          <w:i/>
          <w:sz w:val="22"/>
          <w:szCs w:val="22"/>
          <w:lang w:val="sr-Latn-ME"/>
        </w:rPr>
        <w:t>:</w:t>
      </w:r>
    </w:p>
    <w:p w14:paraId="5C525841" w14:textId="3FCB448E" w:rsidR="00FD3F2D" w:rsidRPr="00A613D6" w:rsidRDefault="00FD3F2D">
      <w:pPr>
        <w:jc w:val="both"/>
        <w:rPr>
          <w:sz w:val="22"/>
          <w:szCs w:val="22"/>
          <w:lang w:val="sr-Latn-ME"/>
        </w:rPr>
      </w:pPr>
      <w:r w:rsidRPr="00A613D6">
        <w:rPr>
          <w:sz w:val="22"/>
          <w:szCs w:val="22"/>
          <w:lang w:val="sr-Latn-ME"/>
        </w:rPr>
        <w:t>Pacijenti sa značajnim faktorima rizika za pojavu kardiovaskularnih događaja (npr. hipertenzija, hiperlipidemija, dijabetes melitus, pušenje) bi trebalo da primjenjuju diklofenak tek nakon pažljive proc</w:t>
      </w:r>
      <w:r w:rsidR="008D3CEB" w:rsidRPr="00A613D6">
        <w:rPr>
          <w:sz w:val="22"/>
          <w:szCs w:val="22"/>
          <w:lang w:val="sr-Latn-ME"/>
        </w:rPr>
        <w:t>j</w:t>
      </w:r>
      <w:r w:rsidRPr="00A613D6">
        <w:rPr>
          <w:sz w:val="22"/>
          <w:szCs w:val="22"/>
          <w:lang w:val="sr-Latn-ME"/>
        </w:rPr>
        <w:t xml:space="preserve">ene od strane ljekara. </w:t>
      </w:r>
    </w:p>
    <w:p w14:paraId="5E109A9D" w14:textId="77777777" w:rsidR="00FD3F2D" w:rsidRPr="00A613D6" w:rsidRDefault="00FD3F2D">
      <w:pPr>
        <w:jc w:val="both"/>
        <w:rPr>
          <w:sz w:val="22"/>
          <w:szCs w:val="22"/>
          <w:lang w:val="sr-Latn-ME"/>
        </w:rPr>
      </w:pPr>
    </w:p>
    <w:p w14:paraId="3E08738B" w14:textId="5A95BD68" w:rsidR="00FD3F2D" w:rsidRPr="00A613D6" w:rsidRDefault="00FD3F2D">
      <w:pPr>
        <w:jc w:val="both"/>
        <w:rPr>
          <w:sz w:val="22"/>
          <w:szCs w:val="22"/>
          <w:lang w:val="sr-Latn-ME"/>
        </w:rPr>
      </w:pPr>
      <w:r w:rsidRPr="00A613D6">
        <w:rPr>
          <w:sz w:val="22"/>
          <w:szCs w:val="22"/>
          <w:lang w:val="sr-Latn-ME"/>
        </w:rPr>
        <w:t xml:space="preserve">S obzirom </w:t>
      </w:r>
      <w:r w:rsidR="008C5F93" w:rsidRPr="00A613D6">
        <w:rPr>
          <w:sz w:val="22"/>
          <w:szCs w:val="22"/>
          <w:lang w:val="sr-Latn-ME"/>
        </w:rPr>
        <w:t xml:space="preserve">na to </w:t>
      </w:r>
      <w:r w:rsidRPr="00A613D6">
        <w:rPr>
          <w:sz w:val="22"/>
          <w:szCs w:val="22"/>
          <w:lang w:val="sr-Latn-ME"/>
        </w:rPr>
        <w:t>da rizik od pojave kardiovaskularnih događaja raste sa povećanjem doze i sa dužinom trajanja terapije, neophodno je da terapija traje što kraće uz primjenu najmanje efektivne dnevne doze. Potrebno je periodično proc</w:t>
      </w:r>
      <w:r w:rsidR="008D3CEB" w:rsidRPr="00A613D6">
        <w:rPr>
          <w:sz w:val="22"/>
          <w:szCs w:val="22"/>
          <w:lang w:val="sr-Latn-ME"/>
        </w:rPr>
        <w:t>i</w:t>
      </w:r>
      <w:r w:rsidRPr="00A613D6">
        <w:rPr>
          <w:sz w:val="22"/>
          <w:szCs w:val="22"/>
          <w:lang w:val="sr-Latn-ME"/>
        </w:rPr>
        <w:t>jeniti potrebu pacijenta za simptomatskom terapijom</w:t>
      </w:r>
      <w:r w:rsidR="00BA5E5B" w:rsidRPr="00A613D6">
        <w:rPr>
          <w:sz w:val="22"/>
          <w:szCs w:val="22"/>
          <w:lang w:val="sr-Latn-ME"/>
        </w:rPr>
        <w:t>,</w:t>
      </w:r>
      <w:r w:rsidRPr="00A613D6">
        <w:rPr>
          <w:sz w:val="22"/>
          <w:szCs w:val="22"/>
          <w:lang w:val="sr-Latn-ME"/>
        </w:rPr>
        <w:t xml:space="preserve"> kao i odgovor na nju.</w:t>
      </w:r>
    </w:p>
    <w:p w14:paraId="654574A9" w14:textId="77777777" w:rsidR="00FD3F2D" w:rsidRPr="00A613D6" w:rsidRDefault="00FD3F2D">
      <w:pPr>
        <w:jc w:val="both"/>
        <w:rPr>
          <w:sz w:val="22"/>
          <w:szCs w:val="22"/>
          <w:lang w:val="sr-Latn-ME"/>
        </w:rPr>
      </w:pPr>
    </w:p>
    <w:p w14:paraId="34995714" w14:textId="77777777" w:rsidR="00FD3F2D" w:rsidRPr="00A613D6" w:rsidRDefault="00FD3F2D">
      <w:pPr>
        <w:jc w:val="both"/>
        <w:rPr>
          <w:sz w:val="22"/>
          <w:szCs w:val="22"/>
          <w:lang w:val="sr-Latn-ME"/>
        </w:rPr>
      </w:pPr>
      <w:r w:rsidRPr="00A613D6">
        <w:rPr>
          <w:sz w:val="22"/>
          <w:szCs w:val="22"/>
          <w:lang w:val="sr-Latn-ME"/>
        </w:rPr>
        <w:t>Preporučuje se redovno praćenje pacijenata sa oštećenjem funkcije jetre, jer može doći do egzacerbacije osnovne bolesti.</w:t>
      </w:r>
    </w:p>
    <w:p w14:paraId="79AE7261" w14:textId="77777777" w:rsidR="00FD3F2D" w:rsidRPr="00A613D6" w:rsidRDefault="00FD3F2D">
      <w:pPr>
        <w:jc w:val="both"/>
        <w:rPr>
          <w:sz w:val="22"/>
          <w:szCs w:val="22"/>
          <w:lang w:val="sr-Latn-ME"/>
        </w:rPr>
      </w:pPr>
    </w:p>
    <w:p w14:paraId="6A5721A9" w14:textId="4D200379" w:rsidR="00FD3F2D" w:rsidRPr="00A613D6" w:rsidRDefault="00FD3F2D">
      <w:pPr>
        <w:jc w:val="both"/>
        <w:rPr>
          <w:sz w:val="22"/>
          <w:szCs w:val="22"/>
          <w:lang w:val="sr-Latn-ME"/>
        </w:rPr>
      </w:pPr>
      <w:r w:rsidRPr="00A613D6">
        <w:rPr>
          <w:sz w:val="22"/>
          <w:szCs w:val="22"/>
          <w:lang w:val="sr-Latn-ME"/>
        </w:rPr>
        <w:t>U toku primjene NSAIL</w:t>
      </w:r>
      <w:r w:rsidR="00BA5E5B" w:rsidRPr="00A613D6">
        <w:rPr>
          <w:sz w:val="22"/>
          <w:szCs w:val="22"/>
          <w:lang w:val="sr-Latn-ME"/>
        </w:rPr>
        <w:t>,</w:t>
      </w:r>
      <w:r w:rsidRPr="00A613D6">
        <w:rPr>
          <w:sz w:val="22"/>
          <w:szCs w:val="22"/>
          <w:lang w:val="sr-Latn-ME"/>
        </w:rPr>
        <w:t xml:space="preserve"> uključujući diklofenak, moguće je povećanje vrijednosti jednog ili više enzima jetre. U toku dugotrajne terapije diklofenakom</w:t>
      </w:r>
      <w:r w:rsidR="00BA5E5B" w:rsidRPr="00A613D6">
        <w:rPr>
          <w:sz w:val="22"/>
          <w:szCs w:val="22"/>
          <w:lang w:val="sr-Latn-ME"/>
        </w:rPr>
        <w:t>,</w:t>
      </w:r>
      <w:r w:rsidRPr="00A613D6">
        <w:rPr>
          <w:sz w:val="22"/>
          <w:szCs w:val="22"/>
          <w:lang w:val="sr-Latn-ME"/>
        </w:rPr>
        <w:t xml:space="preserve"> preporučuje se kontrola funkcije jetre kao mjera predostrožnosti. Ukoliko perzistiraju ili se pogoršaju poremećene vrijednosti testova funkcije jetre, ako se razviju klinički znaci i simptomi bolesti jetre ili ako se pojave neke druge manifestacije (eozinofilija, osip), treba prekinuti sa primjenom diklofenaka. U toku terapije diklofenakom</w:t>
      </w:r>
      <w:r w:rsidR="00BA5E5B" w:rsidRPr="00A613D6">
        <w:rPr>
          <w:sz w:val="22"/>
          <w:szCs w:val="22"/>
          <w:lang w:val="sr-Latn-ME"/>
        </w:rPr>
        <w:t>,</w:t>
      </w:r>
      <w:r w:rsidRPr="00A613D6">
        <w:rPr>
          <w:sz w:val="22"/>
          <w:szCs w:val="22"/>
          <w:lang w:val="sr-Latn-ME"/>
        </w:rPr>
        <w:t xml:space="preserve"> moguć je nastanak </w:t>
      </w:r>
      <w:r w:rsidRPr="00A613D6">
        <w:rPr>
          <w:sz w:val="22"/>
          <w:szCs w:val="22"/>
          <w:lang w:val="sr-Latn-ME"/>
        </w:rPr>
        <w:lastRenderedPageBreak/>
        <w:t>hepatitisa i to bez prodromalnih simptoma. Oprez je potreb</w:t>
      </w:r>
      <w:r w:rsidR="00DE5CF6" w:rsidRPr="00A613D6">
        <w:rPr>
          <w:sz w:val="22"/>
          <w:szCs w:val="22"/>
          <w:lang w:val="sr-Latn-ME"/>
        </w:rPr>
        <w:t>a</w:t>
      </w:r>
      <w:r w:rsidRPr="00A613D6">
        <w:rPr>
          <w:sz w:val="22"/>
          <w:szCs w:val="22"/>
          <w:lang w:val="sr-Latn-ME"/>
        </w:rPr>
        <w:t>n kod pacijenata sa hepatičkom porfirijom, jer je diklofenak potencijalni "okidač" za egzacerbaciju bolesti.</w:t>
      </w:r>
    </w:p>
    <w:p w14:paraId="53688CE0" w14:textId="77777777" w:rsidR="005F24FB" w:rsidRPr="00A613D6" w:rsidRDefault="005F24FB">
      <w:pPr>
        <w:jc w:val="both"/>
        <w:rPr>
          <w:sz w:val="22"/>
          <w:szCs w:val="22"/>
          <w:lang w:val="sr-Latn-ME"/>
        </w:rPr>
      </w:pPr>
    </w:p>
    <w:p w14:paraId="2BB34356" w14:textId="6637EC0E" w:rsidR="00FD3F2D" w:rsidRPr="00A613D6" w:rsidRDefault="00FD3F2D">
      <w:pPr>
        <w:jc w:val="both"/>
        <w:rPr>
          <w:sz w:val="22"/>
          <w:szCs w:val="22"/>
          <w:lang w:val="sr-Latn-ME"/>
        </w:rPr>
      </w:pPr>
      <w:r w:rsidRPr="00A613D6">
        <w:rPr>
          <w:sz w:val="22"/>
          <w:szCs w:val="22"/>
          <w:lang w:val="sr-Latn-ME"/>
        </w:rPr>
        <w:t>S obzirom na to da ljekovi iz grupe NSAIL, uključujući i diklofenak, mogu da dovedu do retencije tečnosti i edema, poseb</w:t>
      </w:r>
      <w:r w:rsidR="00FF465C" w:rsidRPr="00A613D6">
        <w:rPr>
          <w:sz w:val="22"/>
          <w:szCs w:val="22"/>
          <w:lang w:val="sr-Latn-ME"/>
        </w:rPr>
        <w:t>a</w:t>
      </w:r>
      <w:r w:rsidRPr="00A613D6">
        <w:rPr>
          <w:sz w:val="22"/>
          <w:szCs w:val="22"/>
          <w:lang w:val="sr-Latn-ME"/>
        </w:rPr>
        <w:t>n oprez je neophod</w:t>
      </w:r>
      <w:r w:rsidR="00FF465C" w:rsidRPr="00A613D6">
        <w:rPr>
          <w:sz w:val="22"/>
          <w:szCs w:val="22"/>
          <w:lang w:val="sr-Latn-ME"/>
        </w:rPr>
        <w:t>a</w:t>
      </w:r>
      <w:r w:rsidRPr="00A613D6">
        <w:rPr>
          <w:sz w:val="22"/>
          <w:szCs w:val="22"/>
          <w:lang w:val="sr-Latn-ME"/>
        </w:rPr>
        <w:t xml:space="preserve">n kod pacijenata sa oštećenom funkcijom srca ili bubrega, kod pacijenata sa hipertenzijom, kod starijih </w:t>
      </w:r>
      <w:r w:rsidR="00F812E4" w:rsidRPr="00A613D6">
        <w:rPr>
          <w:sz w:val="22"/>
          <w:szCs w:val="22"/>
          <w:lang w:val="sr-Latn-ME"/>
        </w:rPr>
        <w:t>pacijenata</w:t>
      </w:r>
      <w:r w:rsidRPr="00A613D6">
        <w:rPr>
          <w:sz w:val="22"/>
          <w:szCs w:val="22"/>
          <w:lang w:val="sr-Latn-ME"/>
        </w:rPr>
        <w:t xml:space="preserve">, kod pacijenata koji istovremeno dobijaju diuretike ili neke druge ljekove koji znatno utiču na funkciju bubrega, kod pacijenata </w:t>
      </w:r>
      <w:r w:rsidR="00DF1CDD" w:rsidRPr="00A613D6">
        <w:rPr>
          <w:sz w:val="22"/>
          <w:szCs w:val="22"/>
          <w:lang w:val="sr-Latn-ME"/>
        </w:rPr>
        <w:t xml:space="preserve">sa značajnim smanjenjem volumena ekstracelularne tečnosti iz bilo kog razloga, npr. </w:t>
      </w:r>
      <w:r w:rsidRPr="00A613D6">
        <w:rPr>
          <w:sz w:val="22"/>
          <w:szCs w:val="22"/>
          <w:lang w:val="sr-Latn-ME"/>
        </w:rPr>
        <w:t>prije ili u toku oporavka od većih hirurških zahvata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4.3). Kao posebna m</w:t>
      </w:r>
      <w:r w:rsidR="006A424F" w:rsidRPr="00A613D6">
        <w:rPr>
          <w:sz w:val="22"/>
          <w:szCs w:val="22"/>
          <w:lang w:val="sr-Latn-ME"/>
        </w:rPr>
        <w:t>j</w:t>
      </w:r>
      <w:r w:rsidRPr="00A613D6">
        <w:rPr>
          <w:sz w:val="22"/>
          <w:szCs w:val="22"/>
          <w:lang w:val="sr-Latn-ME"/>
        </w:rPr>
        <w:t>era predostrožnosti, u ovakvim slučajevima se preporučuje praćenje parametara funkcije bubrega. Prekidanje terapije diklofenakom je obično praćeno oporavkom funkcije bubrega.</w:t>
      </w:r>
    </w:p>
    <w:p w14:paraId="172B0626" w14:textId="77777777" w:rsidR="00FD3F2D" w:rsidRPr="00A613D6" w:rsidRDefault="00FD3F2D">
      <w:pPr>
        <w:jc w:val="both"/>
        <w:rPr>
          <w:sz w:val="22"/>
          <w:szCs w:val="22"/>
          <w:lang w:val="sr-Latn-ME"/>
        </w:rPr>
      </w:pPr>
    </w:p>
    <w:p w14:paraId="6897935A" w14:textId="57A7218C" w:rsidR="00FD3F2D" w:rsidRPr="00A613D6" w:rsidRDefault="00FD3F2D">
      <w:pPr>
        <w:jc w:val="both"/>
        <w:rPr>
          <w:sz w:val="22"/>
          <w:szCs w:val="22"/>
          <w:lang w:val="sr-Latn-ME"/>
        </w:rPr>
      </w:pPr>
      <w:r w:rsidRPr="00A613D6">
        <w:rPr>
          <w:sz w:val="22"/>
          <w:szCs w:val="22"/>
          <w:lang w:val="sr-Latn-ME"/>
        </w:rPr>
        <w:t xml:space="preserve">Primjena NSAIL može da izazove dozno zavisno smanjenje sinteze prostaglandina i </w:t>
      </w:r>
      <w:r w:rsidR="00C954AA" w:rsidRPr="00A613D6">
        <w:rPr>
          <w:sz w:val="22"/>
          <w:szCs w:val="22"/>
          <w:lang w:val="sr-Latn-ME"/>
        </w:rPr>
        <w:t xml:space="preserve">oštećenu </w:t>
      </w:r>
      <w:r w:rsidRPr="00A613D6">
        <w:rPr>
          <w:sz w:val="22"/>
          <w:szCs w:val="22"/>
          <w:lang w:val="sr-Latn-ME"/>
        </w:rPr>
        <w:t xml:space="preserve">funkciju bubrega. Pacijenti sa povećanim rizikom od ove reakcije su pacijenti sa oštećenom funkcijom bubrega, srca, jetre, pacijenti koji uzimaju diuretike i starije osobe. Kod ovih pacijenata </w:t>
      </w:r>
      <w:r w:rsidR="00DD34A5" w:rsidRPr="00A613D6">
        <w:rPr>
          <w:sz w:val="22"/>
          <w:szCs w:val="22"/>
          <w:lang w:val="sr-Latn-ME"/>
        </w:rPr>
        <w:t xml:space="preserve">je </w:t>
      </w:r>
      <w:r w:rsidRPr="00A613D6">
        <w:rPr>
          <w:sz w:val="22"/>
          <w:szCs w:val="22"/>
          <w:lang w:val="sr-Latn-ME"/>
        </w:rPr>
        <w:t>potrebno praćenje funkcije bubrega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4.3).</w:t>
      </w:r>
    </w:p>
    <w:p w14:paraId="19FCE2B4" w14:textId="77777777" w:rsidR="00FD3F2D" w:rsidRPr="00A613D6" w:rsidRDefault="00FD3F2D">
      <w:pPr>
        <w:jc w:val="both"/>
        <w:rPr>
          <w:sz w:val="22"/>
          <w:szCs w:val="22"/>
          <w:lang w:val="sr-Latn-ME"/>
        </w:rPr>
      </w:pPr>
    </w:p>
    <w:p w14:paraId="1591C24C" w14:textId="77777777" w:rsidR="00FD3F2D" w:rsidRPr="00A613D6" w:rsidRDefault="00FD3F2D">
      <w:pPr>
        <w:jc w:val="both"/>
        <w:rPr>
          <w:i/>
          <w:sz w:val="22"/>
          <w:szCs w:val="22"/>
          <w:lang w:val="sr-Latn-ME"/>
        </w:rPr>
      </w:pPr>
      <w:r w:rsidRPr="00A613D6">
        <w:rPr>
          <w:i/>
          <w:sz w:val="22"/>
          <w:szCs w:val="22"/>
          <w:lang w:val="sr-Latn-ME"/>
        </w:rPr>
        <w:t>Kardiovaskularni i cerebrovaskularni efekti:</w:t>
      </w:r>
    </w:p>
    <w:p w14:paraId="13D7AC36" w14:textId="77777777" w:rsidR="00FD3F2D" w:rsidRPr="00A613D6" w:rsidRDefault="00FD3F2D">
      <w:pPr>
        <w:jc w:val="both"/>
        <w:rPr>
          <w:sz w:val="22"/>
          <w:szCs w:val="22"/>
          <w:lang w:val="sr-Latn-ME"/>
        </w:rPr>
      </w:pPr>
      <w:r w:rsidRPr="00A613D6">
        <w:rPr>
          <w:sz w:val="22"/>
          <w:szCs w:val="22"/>
          <w:lang w:val="sr-Latn-ME"/>
        </w:rPr>
        <w:t>Neophodno je odgovarajuće praćenje i savjetovanje pacijenata sa hipertenzijom i/ili blagom do umjerenom kongestivnom srčanom insuficijencijom, zato što su zabilježeni slučajevi zadržavanja tečnosti i edema, povezani sa terapijom ljekovima iz grupe NSAIL.</w:t>
      </w:r>
    </w:p>
    <w:p w14:paraId="53F65BD9" w14:textId="77777777" w:rsidR="00FD3F2D" w:rsidRPr="00A613D6" w:rsidRDefault="00FD3F2D">
      <w:pPr>
        <w:jc w:val="both"/>
        <w:rPr>
          <w:sz w:val="22"/>
          <w:szCs w:val="22"/>
          <w:lang w:val="sr-Latn-ME"/>
        </w:rPr>
      </w:pPr>
    </w:p>
    <w:p w14:paraId="2D2E7192" w14:textId="61D7AFE5" w:rsidR="00FD3F2D" w:rsidRPr="00A613D6" w:rsidRDefault="00FD3F2D">
      <w:pPr>
        <w:jc w:val="both"/>
        <w:rPr>
          <w:sz w:val="22"/>
          <w:szCs w:val="22"/>
          <w:lang w:val="sr-Latn-ME"/>
        </w:rPr>
      </w:pPr>
      <w:r w:rsidRPr="00A613D6">
        <w:rPr>
          <w:sz w:val="22"/>
          <w:szCs w:val="22"/>
          <w:lang w:val="sr-Latn-ME"/>
        </w:rPr>
        <w:t>Klinička ispitivanja i epidemiološki podaci ukazuju na to da upotreba diklofenaka, naročito pri visokim dozama (150 mg dnevno) i kod dugotrajne terapije, može biti povezana sa malim povećanjem rizika od arterijskih trombotičkih događaja (na prim</w:t>
      </w:r>
      <w:r w:rsidR="00741436" w:rsidRPr="00A613D6">
        <w:rPr>
          <w:sz w:val="22"/>
          <w:szCs w:val="22"/>
          <w:lang w:val="sr-Latn-ME"/>
        </w:rPr>
        <w:t>j</w:t>
      </w:r>
      <w:r w:rsidRPr="00A613D6">
        <w:rPr>
          <w:sz w:val="22"/>
          <w:szCs w:val="22"/>
          <w:lang w:val="sr-Latn-ME"/>
        </w:rPr>
        <w:t>er infarkt miokarda ili moždani udar).</w:t>
      </w:r>
    </w:p>
    <w:p w14:paraId="69C7AA6E" w14:textId="77777777" w:rsidR="00FD3F2D" w:rsidRPr="00A613D6" w:rsidRDefault="00FD3F2D">
      <w:pPr>
        <w:jc w:val="both"/>
        <w:rPr>
          <w:sz w:val="22"/>
          <w:szCs w:val="22"/>
          <w:lang w:val="sr-Latn-ME"/>
        </w:rPr>
      </w:pPr>
    </w:p>
    <w:p w14:paraId="2BE2273D" w14:textId="77777777" w:rsidR="00FD3F2D" w:rsidRPr="00A613D6" w:rsidRDefault="00FD3F2D">
      <w:pPr>
        <w:jc w:val="both"/>
        <w:rPr>
          <w:sz w:val="22"/>
          <w:szCs w:val="22"/>
          <w:lang w:val="sr-Latn-ME"/>
        </w:rPr>
      </w:pPr>
      <w:r w:rsidRPr="00A613D6">
        <w:rPr>
          <w:sz w:val="22"/>
          <w:szCs w:val="22"/>
          <w:lang w:val="sr-Latn-ME"/>
        </w:rPr>
        <w:t>Pacijenti kod kojih hipertenzija nije pod kontrolom, oni sa kongestivnom srčanom insuficijencijom, ishemijskom bolešću srca, perifernim arterijskim oboljenjima i/ili cerebrovaskularnim oboljenjima, mogu da koriste ovaj lijek nakon pažljive procjene od strane ljekara. Sličnu procjenu treba obaviti prije započinjanja dugotrajnije primjene kod pacijenata sa faktorima rizika od pojave kardiovaskularnih događaja (npr. hipertenzija, hiperlipidemija, dijabetes melitus, pušenje).</w:t>
      </w:r>
    </w:p>
    <w:p w14:paraId="1E080A81" w14:textId="77777777" w:rsidR="00FD3F2D" w:rsidRPr="00A613D6" w:rsidRDefault="00FD3F2D">
      <w:pPr>
        <w:jc w:val="both"/>
        <w:rPr>
          <w:sz w:val="22"/>
          <w:szCs w:val="22"/>
          <w:lang w:val="sr-Latn-ME"/>
        </w:rPr>
      </w:pPr>
    </w:p>
    <w:p w14:paraId="3587CB4F" w14:textId="24B1891A" w:rsidR="00FD3F2D" w:rsidRPr="00A613D6" w:rsidRDefault="00FD3F2D">
      <w:pPr>
        <w:jc w:val="both"/>
        <w:rPr>
          <w:i/>
          <w:sz w:val="22"/>
          <w:szCs w:val="22"/>
          <w:lang w:val="sr-Latn-ME"/>
        </w:rPr>
      </w:pPr>
      <w:r w:rsidRPr="00A613D6">
        <w:rPr>
          <w:i/>
          <w:sz w:val="22"/>
          <w:szCs w:val="22"/>
          <w:lang w:val="sr-Latn-ME"/>
        </w:rPr>
        <w:t>Gastrointestinaln</w:t>
      </w:r>
      <w:r w:rsidR="00DF1CDD" w:rsidRPr="00A613D6">
        <w:rPr>
          <w:i/>
          <w:sz w:val="22"/>
          <w:szCs w:val="22"/>
          <w:lang w:val="sr-Latn-ME"/>
        </w:rPr>
        <w:t>i</w:t>
      </w:r>
      <w:r w:rsidRPr="00A613D6">
        <w:rPr>
          <w:i/>
          <w:sz w:val="22"/>
          <w:szCs w:val="22"/>
          <w:lang w:val="sr-Latn-ME"/>
        </w:rPr>
        <w:t xml:space="preserve"> </w:t>
      </w:r>
      <w:r w:rsidR="004D609C" w:rsidRPr="00A613D6">
        <w:rPr>
          <w:i/>
          <w:sz w:val="22"/>
          <w:szCs w:val="22"/>
          <w:lang w:val="sr-Latn-ME"/>
        </w:rPr>
        <w:t>efekti</w:t>
      </w:r>
      <w:r w:rsidRPr="00A613D6">
        <w:rPr>
          <w:i/>
          <w:sz w:val="22"/>
          <w:szCs w:val="22"/>
          <w:lang w:val="sr-Latn-ME"/>
        </w:rPr>
        <w:t>:</w:t>
      </w:r>
    </w:p>
    <w:p w14:paraId="358F6460" w14:textId="77777777" w:rsidR="00FD3F2D" w:rsidRPr="00A613D6" w:rsidRDefault="00FD3F2D">
      <w:pPr>
        <w:jc w:val="both"/>
        <w:rPr>
          <w:sz w:val="22"/>
          <w:szCs w:val="22"/>
          <w:lang w:val="sr-Latn-ME"/>
        </w:rPr>
      </w:pPr>
      <w:r w:rsidRPr="00A613D6">
        <w:rPr>
          <w:sz w:val="22"/>
          <w:szCs w:val="22"/>
          <w:lang w:val="sr-Latn-ME"/>
        </w:rPr>
        <w:t xml:space="preserve">Kod terapije svim ljekovima iz grupe NSAIL može doći do pojave gastrointestinalnog krvarenja, ulceracija ili perforacija koje mogu biti fatalne. Ova neželjena dejstva mogu da nastanu u bilo koje vrijeme sa ili bez upozoravajućih simptoma i kod pacijenata koji ranije nisu imali slične simptome. </w:t>
      </w:r>
    </w:p>
    <w:p w14:paraId="590A8613" w14:textId="77777777" w:rsidR="00FD3F2D" w:rsidRPr="00A613D6" w:rsidRDefault="00FD3F2D">
      <w:pPr>
        <w:jc w:val="both"/>
        <w:rPr>
          <w:sz w:val="22"/>
          <w:szCs w:val="22"/>
          <w:lang w:val="sr-Latn-ME"/>
        </w:rPr>
      </w:pPr>
    </w:p>
    <w:p w14:paraId="03C66085" w14:textId="50D00E14" w:rsidR="00FD3F2D" w:rsidRPr="00A613D6" w:rsidRDefault="00FD3F2D">
      <w:pPr>
        <w:jc w:val="both"/>
        <w:rPr>
          <w:sz w:val="22"/>
          <w:szCs w:val="22"/>
          <w:lang w:val="sr-Latn-ME"/>
        </w:rPr>
      </w:pPr>
      <w:r w:rsidRPr="00A613D6">
        <w:rPr>
          <w:sz w:val="22"/>
          <w:szCs w:val="22"/>
          <w:lang w:val="sr-Latn-ME"/>
        </w:rPr>
        <w:t>Rizik od gastrointestinalnog krvarenja, ulceracije i perforacije je veći sa povećanjem doze NSAIL, zatim kod pacijenata sa anamnezom ulkusa, naročito ukoliko je bila komplikovana hemoragijom ili perforacijom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 xml:space="preserve">4.3), i kod starijih osoba. Kod ovih pacijenata </w:t>
      </w:r>
      <w:r w:rsidR="00DD34A5" w:rsidRPr="00A613D6">
        <w:rPr>
          <w:sz w:val="22"/>
          <w:szCs w:val="22"/>
          <w:lang w:val="sr-Latn-ME"/>
        </w:rPr>
        <w:t xml:space="preserve">se </w:t>
      </w:r>
      <w:r w:rsidRPr="00A613D6">
        <w:rPr>
          <w:sz w:val="22"/>
          <w:szCs w:val="22"/>
          <w:lang w:val="sr-Latn-ME"/>
        </w:rPr>
        <w:t>terapija počinje i održava primjenom najmanje efektivne doze.</w:t>
      </w:r>
    </w:p>
    <w:p w14:paraId="6C718B15" w14:textId="77777777" w:rsidR="00FD3F2D" w:rsidRPr="00A613D6" w:rsidRDefault="00FD3F2D">
      <w:pPr>
        <w:jc w:val="both"/>
        <w:rPr>
          <w:sz w:val="22"/>
          <w:szCs w:val="22"/>
          <w:lang w:val="sr-Latn-ME"/>
        </w:rPr>
      </w:pPr>
    </w:p>
    <w:p w14:paraId="5AF18A61" w14:textId="77777777" w:rsidR="00FD3F2D" w:rsidRPr="00A613D6" w:rsidRDefault="00FD3F2D">
      <w:pPr>
        <w:jc w:val="both"/>
        <w:rPr>
          <w:sz w:val="22"/>
          <w:szCs w:val="22"/>
          <w:lang w:val="sr-Latn-ME"/>
        </w:rPr>
      </w:pPr>
      <w:r w:rsidRPr="00A613D6">
        <w:rPr>
          <w:sz w:val="22"/>
          <w:szCs w:val="22"/>
          <w:lang w:val="sr-Latn-ME"/>
        </w:rPr>
        <w:t>Pacijenti sa istorijom gastrointestinalne toksičnosti, posebno ako su stariji, treba da prijave bilo koji neuobičajeni abdominalni simptom (naročito gastrointestinalno krvarenje), posebno u početnim fazama terapije.</w:t>
      </w:r>
    </w:p>
    <w:p w14:paraId="7F569ED9" w14:textId="77777777" w:rsidR="00FD3F2D" w:rsidRPr="00A613D6" w:rsidRDefault="00FD3F2D">
      <w:pPr>
        <w:jc w:val="both"/>
        <w:rPr>
          <w:sz w:val="22"/>
          <w:szCs w:val="22"/>
          <w:lang w:val="sr-Latn-ME"/>
        </w:rPr>
      </w:pPr>
    </w:p>
    <w:p w14:paraId="3918F573" w14:textId="24F4152B" w:rsidR="00FD3F2D" w:rsidRPr="00A613D6" w:rsidRDefault="00FD3F2D">
      <w:pPr>
        <w:jc w:val="both"/>
        <w:rPr>
          <w:sz w:val="22"/>
          <w:szCs w:val="22"/>
          <w:lang w:val="sr-Latn-ME"/>
        </w:rPr>
      </w:pPr>
      <w:r w:rsidRPr="00A613D6">
        <w:rPr>
          <w:sz w:val="22"/>
          <w:szCs w:val="22"/>
          <w:lang w:val="sr-Latn-ME"/>
        </w:rPr>
        <w:t>Savjetuje se oprez u liječenju pacijenata koji istovremeno primaju ljekove koji mogu da povećaju rizik od ulceracije ili krvarenja, kao što su kortikosteroidi za oralnu primjenu, antikoagulansi kao što je varfarin, selektivni inhibitori ponovnog preuzimanja serotonina (SSRI) ili antitrombocitni agensi kao što je aspirin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4.5).</w:t>
      </w:r>
    </w:p>
    <w:p w14:paraId="0D8D181E" w14:textId="77777777" w:rsidR="00FD3F2D" w:rsidRPr="00A613D6" w:rsidRDefault="00FD3F2D">
      <w:pPr>
        <w:jc w:val="both"/>
        <w:rPr>
          <w:sz w:val="22"/>
          <w:szCs w:val="22"/>
          <w:lang w:val="sr-Latn-ME"/>
        </w:rPr>
      </w:pPr>
    </w:p>
    <w:p w14:paraId="78E2FA7B" w14:textId="77777777" w:rsidR="00FD3F2D" w:rsidRPr="00A613D6" w:rsidRDefault="00FD3F2D">
      <w:pPr>
        <w:jc w:val="both"/>
        <w:rPr>
          <w:sz w:val="22"/>
          <w:szCs w:val="22"/>
          <w:lang w:val="sr-Latn-ME"/>
        </w:rPr>
      </w:pPr>
      <w:r w:rsidRPr="00A613D6">
        <w:rPr>
          <w:sz w:val="22"/>
          <w:szCs w:val="22"/>
          <w:lang w:val="sr-Latn-ME"/>
        </w:rPr>
        <w:t>Ukoliko se pri primjeni lijeka Diclopram javi gastrointestinalno krvarenje ili ulceracija, dalja primjena lijeka se obustavlja.</w:t>
      </w:r>
    </w:p>
    <w:p w14:paraId="36B03ABE" w14:textId="77777777" w:rsidR="00FD3F2D" w:rsidRPr="00A613D6" w:rsidRDefault="00FD3F2D">
      <w:pPr>
        <w:jc w:val="both"/>
        <w:rPr>
          <w:sz w:val="22"/>
          <w:szCs w:val="22"/>
          <w:lang w:val="sr-Latn-ME"/>
        </w:rPr>
      </w:pPr>
    </w:p>
    <w:p w14:paraId="21CA60D2" w14:textId="5B8487EF" w:rsidR="00FD3F2D" w:rsidRPr="00A613D6" w:rsidRDefault="00FD3F2D">
      <w:pPr>
        <w:jc w:val="both"/>
        <w:rPr>
          <w:sz w:val="22"/>
          <w:szCs w:val="22"/>
          <w:lang w:val="sr-Latn-ME"/>
        </w:rPr>
      </w:pPr>
      <w:r w:rsidRPr="00A613D6">
        <w:rPr>
          <w:sz w:val="22"/>
          <w:szCs w:val="22"/>
          <w:lang w:val="sr-Latn-ME"/>
        </w:rPr>
        <w:t>Potreban je oprez pri primjeni NSAIL kod pacijenata sa anamnezom gastrointestinalnih bolesti (ulcerozni kolitis, Kronova bolest), jer može da dođe do egzacerbacije bolesti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4.8).</w:t>
      </w:r>
    </w:p>
    <w:p w14:paraId="3F9D8A1D" w14:textId="77777777" w:rsidR="00215ED1" w:rsidRPr="00A613D6" w:rsidRDefault="00215ED1">
      <w:pPr>
        <w:jc w:val="both"/>
        <w:rPr>
          <w:sz w:val="22"/>
          <w:szCs w:val="22"/>
          <w:lang w:val="sr-Latn-ME"/>
        </w:rPr>
      </w:pPr>
    </w:p>
    <w:p w14:paraId="6BF10AF0" w14:textId="3BA0E9F2" w:rsidR="00FD3F2D" w:rsidRPr="00A613D6" w:rsidRDefault="00A679F3">
      <w:pPr>
        <w:jc w:val="both"/>
        <w:rPr>
          <w:bCs/>
          <w:sz w:val="22"/>
          <w:szCs w:val="22"/>
          <w:lang w:val="sr-Latn-ME"/>
        </w:rPr>
      </w:pPr>
      <w:r w:rsidRPr="00A613D6">
        <w:rPr>
          <w:bCs/>
          <w:sz w:val="22"/>
          <w:szCs w:val="22"/>
          <w:lang w:val="sr-Latn-ME"/>
        </w:rPr>
        <w:lastRenderedPageBreak/>
        <w:t xml:space="preserve">NSAIL, uključujući diklofenak, mogu biti povezani sa povećanim rizikom od </w:t>
      </w:r>
      <w:r w:rsidR="00215ED1" w:rsidRPr="00A613D6">
        <w:rPr>
          <w:bCs/>
          <w:sz w:val="22"/>
          <w:szCs w:val="22"/>
          <w:lang w:val="sr-Latn-ME"/>
        </w:rPr>
        <w:t xml:space="preserve">gastrointestinalnog </w:t>
      </w:r>
      <w:r w:rsidRPr="00A613D6">
        <w:rPr>
          <w:bCs/>
          <w:sz w:val="22"/>
          <w:szCs w:val="22"/>
          <w:lang w:val="sr-Latn-ME"/>
        </w:rPr>
        <w:t xml:space="preserve">curenja </w:t>
      </w:r>
      <w:r w:rsidR="00215ED1" w:rsidRPr="00A613D6">
        <w:rPr>
          <w:bCs/>
          <w:sz w:val="22"/>
          <w:szCs w:val="22"/>
          <w:lang w:val="sr-Latn-ME"/>
        </w:rPr>
        <w:t xml:space="preserve">iz </w:t>
      </w:r>
      <w:r w:rsidRPr="00A613D6">
        <w:rPr>
          <w:bCs/>
          <w:sz w:val="22"/>
          <w:szCs w:val="22"/>
          <w:lang w:val="sr-Latn-ME"/>
        </w:rPr>
        <w:t>anastomoze. Preporučuje se pažljiv medicinski nadzor i oprez kada se diklofenak koristi nakon gastrointestinalnih operacija.</w:t>
      </w:r>
    </w:p>
    <w:p w14:paraId="37AFAF17" w14:textId="77777777" w:rsidR="00A679F3" w:rsidRPr="00A613D6" w:rsidRDefault="00A679F3">
      <w:pPr>
        <w:jc w:val="both"/>
        <w:rPr>
          <w:sz w:val="22"/>
          <w:szCs w:val="22"/>
          <w:lang w:val="sr-Latn-ME"/>
        </w:rPr>
      </w:pPr>
    </w:p>
    <w:p w14:paraId="193D914D" w14:textId="77777777" w:rsidR="00FD3F2D" w:rsidRPr="00A613D6" w:rsidRDefault="00FD3F2D">
      <w:pPr>
        <w:jc w:val="both"/>
        <w:rPr>
          <w:i/>
          <w:sz w:val="22"/>
          <w:szCs w:val="22"/>
          <w:lang w:val="sr-Latn-ME"/>
        </w:rPr>
      </w:pPr>
      <w:r w:rsidRPr="00A613D6">
        <w:rPr>
          <w:i/>
          <w:sz w:val="22"/>
          <w:szCs w:val="22"/>
          <w:lang w:val="sr-Latn-ME"/>
        </w:rPr>
        <w:t>Sistemski lupus eritematozus (SLE) i mješoviti poremećaji vezivnog tkiva:</w:t>
      </w:r>
    </w:p>
    <w:p w14:paraId="69FBF10A" w14:textId="35D9F26D" w:rsidR="00FD3F2D" w:rsidRPr="00A613D6" w:rsidRDefault="00FD3F2D">
      <w:pPr>
        <w:jc w:val="both"/>
        <w:rPr>
          <w:sz w:val="22"/>
          <w:szCs w:val="22"/>
          <w:lang w:val="sr-Latn-ME"/>
        </w:rPr>
      </w:pPr>
      <w:r w:rsidRPr="00A613D6">
        <w:rPr>
          <w:sz w:val="22"/>
          <w:szCs w:val="22"/>
          <w:lang w:val="sr-Latn-ME"/>
        </w:rPr>
        <w:t>Kod pacijenata sa SLE i mješovitim poremećajima vezivnog tkiva može biti povećan rizik od aseptičnog meningitisa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4.8).</w:t>
      </w:r>
    </w:p>
    <w:p w14:paraId="015B0413" w14:textId="77777777" w:rsidR="00FD3F2D" w:rsidRPr="00A613D6" w:rsidRDefault="00FD3F2D">
      <w:pPr>
        <w:jc w:val="both"/>
        <w:rPr>
          <w:sz w:val="22"/>
          <w:szCs w:val="22"/>
          <w:lang w:val="sr-Latn-ME"/>
        </w:rPr>
      </w:pPr>
    </w:p>
    <w:p w14:paraId="1BB7EE8C" w14:textId="15B79FD0" w:rsidR="00FD3F2D" w:rsidRPr="00A613D6" w:rsidRDefault="00FD3F2D">
      <w:pPr>
        <w:jc w:val="both"/>
        <w:rPr>
          <w:i/>
          <w:sz w:val="22"/>
          <w:szCs w:val="22"/>
          <w:lang w:val="sr-Latn-ME"/>
        </w:rPr>
      </w:pPr>
      <w:r w:rsidRPr="00A613D6">
        <w:rPr>
          <w:i/>
          <w:sz w:val="22"/>
          <w:szCs w:val="22"/>
          <w:lang w:val="sr-Latn-ME"/>
        </w:rPr>
        <w:t>D</w:t>
      </w:r>
      <w:r w:rsidR="00547474" w:rsidRPr="00A613D6">
        <w:rPr>
          <w:i/>
          <w:sz w:val="22"/>
          <w:szCs w:val="22"/>
          <w:lang w:val="sr-Latn-ME"/>
        </w:rPr>
        <w:t>ermatološki efekti</w:t>
      </w:r>
      <w:r w:rsidRPr="00A613D6">
        <w:rPr>
          <w:i/>
          <w:sz w:val="22"/>
          <w:szCs w:val="22"/>
          <w:lang w:val="sr-Latn-ME"/>
        </w:rPr>
        <w:t>:</w:t>
      </w:r>
    </w:p>
    <w:p w14:paraId="7A4739B0" w14:textId="0536201C" w:rsidR="00FD3F2D" w:rsidRPr="00A613D6" w:rsidRDefault="00FD3F2D">
      <w:pPr>
        <w:jc w:val="both"/>
        <w:rPr>
          <w:sz w:val="22"/>
          <w:szCs w:val="22"/>
          <w:lang w:val="sr-Latn-ME"/>
        </w:rPr>
      </w:pPr>
      <w:r w:rsidRPr="00A613D6">
        <w:rPr>
          <w:sz w:val="22"/>
          <w:szCs w:val="22"/>
          <w:lang w:val="sr-Latn-ME"/>
        </w:rPr>
        <w:t xml:space="preserve">Veoma rijetko su zabilježene ozbiljne reakcije na koži, od kojih su neke bile i fatalne, povezane sa upotrebom ljekova iz grupe NSAIL, kao što su eksfolijativni dermatitis, </w:t>
      </w:r>
      <w:r w:rsidRPr="00A613D6">
        <w:rPr>
          <w:i/>
          <w:iCs/>
          <w:sz w:val="22"/>
          <w:szCs w:val="22"/>
          <w:lang w:val="sr-Latn-ME"/>
        </w:rPr>
        <w:t>Stivens-Johnson</w:t>
      </w:r>
      <w:r w:rsidR="00F37F64" w:rsidRPr="00A613D6">
        <w:rPr>
          <w:sz w:val="22"/>
          <w:szCs w:val="22"/>
          <w:lang w:val="sr-Latn-ME"/>
        </w:rPr>
        <w:t>-</w:t>
      </w:r>
      <w:r w:rsidRPr="00A613D6">
        <w:rPr>
          <w:sz w:val="22"/>
          <w:szCs w:val="22"/>
          <w:lang w:val="sr-Latn-ME"/>
        </w:rPr>
        <w:t>ov sindrom i toksična epidermalna nekroliza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4.8). Uočeno je da kod pacijenata postoji veći rizik od ovih reakcija u ranijem toku terapije. U većini slučajeva</w:t>
      </w:r>
      <w:r w:rsidR="00DD34A5" w:rsidRPr="00A613D6">
        <w:rPr>
          <w:sz w:val="22"/>
          <w:szCs w:val="22"/>
          <w:lang w:val="sr-Latn-ME"/>
        </w:rPr>
        <w:t>,</w:t>
      </w:r>
      <w:r w:rsidRPr="00A613D6">
        <w:rPr>
          <w:sz w:val="22"/>
          <w:szCs w:val="22"/>
          <w:lang w:val="sr-Latn-ME"/>
        </w:rPr>
        <w:t xml:space="preserve"> ove reakcije su se javile u toku prvog mjeseca terapije. Terapiju lijekom Diclopram treba prekinuti čim se pojave prvi znaci osipa na koži, mukoznih lezija ili bilo koji drugi znaci preosjetljivosti.</w:t>
      </w:r>
    </w:p>
    <w:p w14:paraId="197D0F8F" w14:textId="77777777" w:rsidR="00FD3F2D" w:rsidRPr="00A613D6" w:rsidRDefault="00FD3F2D">
      <w:pPr>
        <w:jc w:val="both"/>
        <w:rPr>
          <w:sz w:val="22"/>
          <w:szCs w:val="22"/>
          <w:lang w:val="sr-Latn-ME"/>
        </w:rPr>
      </w:pPr>
    </w:p>
    <w:p w14:paraId="6DCAB17F" w14:textId="77777777" w:rsidR="00FD3F2D" w:rsidRPr="00A613D6" w:rsidRDefault="00FD3F2D">
      <w:pPr>
        <w:jc w:val="both"/>
        <w:rPr>
          <w:i/>
          <w:sz w:val="22"/>
          <w:szCs w:val="22"/>
          <w:lang w:val="sr-Latn-ME"/>
        </w:rPr>
      </w:pPr>
      <w:r w:rsidRPr="00A613D6">
        <w:rPr>
          <w:i/>
          <w:sz w:val="22"/>
          <w:szCs w:val="22"/>
          <w:lang w:val="sr-Latn-ME"/>
        </w:rPr>
        <w:t>Plodnost kod žena:</w:t>
      </w:r>
    </w:p>
    <w:p w14:paraId="14083918" w14:textId="77777777" w:rsidR="00FD3F2D" w:rsidRPr="00A613D6" w:rsidRDefault="00FD3F2D">
      <w:pPr>
        <w:jc w:val="both"/>
        <w:rPr>
          <w:sz w:val="22"/>
          <w:szCs w:val="22"/>
          <w:lang w:val="sr-Latn-ME"/>
        </w:rPr>
      </w:pPr>
      <w:r w:rsidRPr="00A613D6">
        <w:rPr>
          <w:sz w:val="22"/>
          <w:szCs w:val="22"/>
          <w:lang w:val="sr-Latn-ME"/>
        </w:rPr>
        <w:t xml:space="preserve">Upotreba lijeka Diclopram može da umanji plodnost kod žena i ne preporučuje se njegova primjena kod žena koje pokušavaju da zatrudne. </w:t>
      </w:r>
    </w:p>
    <w:p w14:paraId="1A830D30" w14:textId="087A83DA" w:rsidR="00FD3F2D" w:rsidRPr="00A613D6" w:rsidRDefault="00FD3F2D">
      <w:pPr>
        <w:jc w:val="both"/>
        <w:rPr>
          <w:sz w:val="22"/>
          <w:szCs w:val="22"/>
          <w:lang w:val="sr-Latn-ME"/>
        </w:rPr>
      </w:pPr>
      <w:r w:rsidRPr="00A613D6">
        <w:rPr>
          <w:sz w:val="22"/>
          <w:szCs w:val="22"/>
          <w:lang w:val="sr-Latn-ME"/>
        </w:rPr>
        <w:t>Kod žena koje imaju poteškoća sa začećem ili ispituju uzrok neplodnosti, treba razmotriti obustavu primjene lijeka Diclopram.</w:t>
      </w:r>
    </w:p>
    <w:p w14:paraId="309D9825" w14:textId="77777777" w:rsidR="00FD3F2D" w:rsidRPr="00A613D6" w:rsidRDefault="00FD3F2D">
      <w:pPr>
        <w:jc w:val="both"/>
        <w:rPr>
          <w:sz w:val="22"/>
          <w:szCs w:val="22"/>
          <w:lang w:val="sr-Latn-ME"/>
        </w:rPr>
      </w:pPr>
    </w:p>
    <w:p w14:paraId="28E295A4" w14:textId="77777777" w:rsidR="00FD3F2D" w:rsidRPr="00A613D6" w:rsidRDefault="00FD3F2D">
      <w:pPr>
        <w:jc w:val="both"/>
        <w:rPr>
          <w:i/>
          <w:sz w:val="22"/>
          <w:szCs w:val="22"/>
          <w:lang w:val="sr-Latn-ME"/>
        </w:rPr>
      </w:pPr>
      <w:r w:rsidRPr="00A613D6">
        <w:rPr>
          <w:i/>
          <w:sz w:val="22"/>
          <w:szCs w:val="22"/>
          <w:lang w:val="sr-Latn-ME"/>
        </w:rPr>
        <w:t>Hematološki efekti:</w:t>
      </w:r>
    </w:p>
    <w:p w14:paraId="17937206" w14:textId="77777777" w:rsidR="00FD3F2D" w:rsidRPr="00A613D6" w:rsidRDefault="00FD3F2D">
      <w:pPr>
        <w:jc w:val="both"/>
        <w:rPr>
          <w:sz w:val="22"/>
          <w:szCs w:val="22"/>
          <w:lang w:val="sr-Latn-ME"/>
        </w:rPr>
      </w:pPr>
      <w:r w:rsidRPr="00A613D6">
        <w:rPr>
          <w:sz w:val="22"/>
          <w:szCs w:val="22"/>
          <w:lang w:val="sr-Latn-ME"/>
        </w:rPr>
        <w:t>Lijek Diclopram, kao što je slučaj i kod drugih NSAIL, može reverzibilno da inhibira agregaciju trombocita.</w:t>
      </w:r>
    </w:p>
    <w:p w14:paraId="0E8A0190" w14:textId="77777777" w:rsidR="00FD3F2D" w:rsidRPr="00A613D6" w:rsidRDefault="00FD3F2D">
      <w:pPr>
        <w:jc w:val="both"/>
        <w:rPr>
          <w:sz w:val="22"/>
          <w:szCs w:val="22"/>
          <w:lang w:val="sr-Latn-ME"/>
        </w:rPr>
      </w:pPr>
    </w:p>
    <w:p w14:paraId="5F6A9953" w14:textId="77777777" w:rsidR="00FD3F2D" w:rsidRPr="00A613D6" w:rsidRDefault="00FD3F2D">
      <w:pPr>
        <w:jc w:val="both"/>
        <w:rPr>
          <w:sz w:val="22"/>
          <w:szCs w:val="22"/>
          <w:u w:val="single"/>
          <w:lang w:val="sr-Latn-ME"/>
        </w:rPr>
      </w:pPr>
      <w:r w:rsidRPr="00A613D6">
        <w:rPr>
          <w:sz w:val="22"/>
          <w:szCs w:val="22"/>
          <w:u w:val="single"/>
          <w:lang w:val="sr-Latn-ME"/>
        </w:rPr>
        <w:t>Omeprazol</w:t>
      </w:r>
    </w:p>
    <w:p w14:paraId="1788DED8" w14:textId="77777777" w:rsidR="00FD3F2D" w:rsidRPr="00A613D6" w:rsidRDefault="00FD3F2D">
      <w:pPr>
        <w:pStyle w:val="Header"/>
        <w:jc w:val="both"/>
        <w:rPr>
          <w:sz w:val="22"/>
          <w:szCs w:val="22"/>
          <w:lang w:val="sr-Latn-ME"/>
        </w:rPr>
      </w:pPr>
      <w:r w:rsidRPr="00A613D6">
        <w:rPr>
          <w:sz w:val="22"/>
          <w:szCs w:val="22"/>
          <w:lang w:val="sr-Latn-ME"/>
        </w:rPr>
        <w:t>U slučaju postojanja alarmantnih simptoma (npr. značajan nenamjeran gubitak tjelesne mase, rekurentno povraćanje, disfagija, hematemeza ili melena) i kada se sumnja ili je potvrđeno postojanje ulkusa želuca, potrebno je isključiti mogućnost maligniteta, jer omeprazol može prikriti simptome i otežati dijagnozu.</w:t>
      </w:r>
    </w:p>
    <w:p w14:paraId="78D9C833" w14:textId="77777777" w:rsidR="00FD3F2D" w:rsidRPr="00A613D6" w:rsidRDefault="00FD3F2D">
      <w:pPr>
        <w:pStyle w:val="Header"/>
        <w:jc w:val="both"/>
        <w:rPr>
          <w:sz w:val="22"/>
          <w:szCs w:val="22"/>
          <w:lang w:val="sr-Latn-ME"/>
        </w:rPr>
      </w:pPr>
    </w:p>
    <w:p w14:paraId="55E25485" w14:textId="59A602FA" w:rsidR="00FD3F2D" w:rsidRPr="00A613D6" w:rsidRDefault="00FD3F2D">
      <w:pPr>
        <w:pStyle w:val="Header"/>
        <w:jc w:val="both"/>
        <w:rPr>
          <w:sz w:val="22"/>
          <w:szCs w:val="22"/>
          <w:lang w:val="sr-Latn-ME"/>
        </w:rPr>
      </w:pPr>
      <w:r w:rsidRPr="00A613D6">
        <w:rPr>
          <w:sz w:val="22"/>
          <w:szCs w:val="22"/>
          <w:lang w:val="sr-Latn-ME"/>
        </w:rPr>
        <w:t>Istovremena primjena atazanavira sa inhibitorima protonske pumpe nije preporučljiva (vid</w:t>
      </w:r>
      <w:r w:rsidR="00547474" w:rsidRPr="00A613D6">
        <w:rPr>
          <w:sz w:val="22"/>
          <w:szCs w:val="22"/>
          <w:lang w:val="sr-Latn-ME"/>
        </w:rPr>
        <w:t>jet</w:t>
      </w:r>
      <w:r w:rsidRPr="00A613D6">
        <w:rPr>
          <w:sz w:val="22"/>
          <w:szCs w:val="22"/>
          <w:lang w:val="sr-Latn-ME"/>
        </w:rPr>
        <w:t xml:space="preserve">i </w:t>
      </w:r>
      <w:r w:rsidR="00DD34A5" w:rsidRPr="00A613D6">
        <w:rPr>
          <w:sz w:val="22"/>
          <w:szCs w:val="22"/>
          <w:lang w:val="sr-Latn-ME"/>
        </w:rPr>
        <w:t xml:space="preserve">dio </w:t>
      </w:r>
      <w:r w:rsidRPr="00A613D6">
        <w:rPr>
          <w:sz w:val="22"/>
          <w:szCs w:val="22"/>
          <w:lang w:val="sr-Latn-ME"/>
        </w:rPr>
        <w:t xml:space="preserve">4.5). Ukoliko se ipak istovremena primjena ovih ljekova smatra neophodnom, potrebno je kliničko praćenje (npr. virusni titar), sa povećanjem doze atazanavira do 400 mg sa 100 mg ritonavira; omeprazol ne bi trebalo da bude dat u dozi većoj od 20 mg. </w:t>
      </w:r>
    </w:p>
    <w:p w14:paraId="66D1663A" w14:textId="77777777" w:rsidR="00FD3F2D" w:rsidRPr="00A613D6" w:rsidRDefault="00FD3F2D">
      <w:pPr>
        <w:pStyle w:val="Header"/>
        <w:tabs>
          <w:tab w:val="left" w:pos="284"/>
        </w:tabs>
        <w:jc w:val="both"/>
        <w:rPr>
          <w:sz w:val="22"/>
          <w:szCs w:val="22"/>
          <w:lang w:val="sr-Latn-ME"/>
        </w:rPr>
      </w:pPr>
    </w:p>
    <w:p w14:paraId="0A4BBF34" w14:textId="642D51EE" w:rsidR="00FD3F2D" w:rsidRPr="00A613D6" w:rsidRDefault="00FD3F2D">
      <w:pPr>
        <w:pStyle w:val="Header"/>
        <w:jc w:val="both"/>
        <w:rPr>
          <w:sz w:val="22"/>
          <w:szCs w:val="22"/>
          <w:lang w:val="sr-Latn-ME"/>
        </w:rPr>
      </w:pPr>
      <w:r w:rsidRPr="00A613D6">
        <w:rPr>
          <w:sz w:val="22"/>
          <w:szCs w:val="22"/>
          <w:lang w:val="sr-Latn-ME"/>
        </w:rPr>
        <w:t xml:space="preserve">Omeprazol, kao i svi ljekovi koji smanjuju sekreciju želudačne kiseline, može da smanji </w:t>
      </w:r>
      <w:r w:rsidR="00DD34A5" w:rsidRPr="00A613D6">
        <w:rPr>
          <w:sz w:val="22"/>
          <w:szCs w:val="22"/>
          <w:lang w:val="sr-Latn-ME"/>
        </w:rPr>
        <w:t xml:space="preserve">resorpciju </w:t>
      </w:r>
      <w:r w:rsidRPr="00A613D6">
        <w:rPr>
          <w:sz w:val="22"/>
          <w:szCs w:val="22"/>
          <w:lang w:val="sr-Latn-ME"/>
        </w:rPr>
        <w:t>vitamina B</w:t>
      </w:r>
      <w:r w:rsidRPr="00A613D6">
        <w:rPr>
          <w:sz w:val="22"/>
          <w:szCs w:val="22"/>
          <w:vertAlign w:val="subscript"/>
          <w:lang w:val="sr-Latn-ME"/>
        </w:rPr>
        <w:t>12</w:t>
      </w:r>
      <w:r w:rsidRPr="00A613D6">
        <w:rPr>
          <w:sz w:val="22"/>
          <w:szCs w:val="22"/>
          <w:lang w:val="sr-Latn-ME"/>
        </w:rPr>
        <w:t xml:space="preserve"> (cijanokobalamina) zbog hipo- ili ahlorhidrije. Na ovo posebno </w:t>
      </w:r>
      <w:r w:rsidR="00DD34A5" w:rsidRPr="00A613D6">
        <w:rPr>
          <w:sz w:val="22"/>
          <w:szCs w:val="22"/>
          <w:lang w:val="sr-Latn-ME"/>
        </w:rPr>
        <w:t xml:space="preserve">treba </w:t>
      </w:r>
      <w:r w:rsidRPr="00A613D6">
        <w:rPr>
          <w:sz w:val="22"/>
          <w:szCs w:val="22"/>
          <w:lang w:val="sr-Latn-ME"/>
        </w:rPr>
        <w:t>obratiti pažnju kod pacijenata sa smanjenim rezervama vitamina B</w:t>
      </w:r>
      <w:r w:rsidRPr="00A613D6">
        <w:rPr>
          <w:sz w:val="22"/>
          <w:szCs w:val="22"/>
          <w:vertAlign w:val="subscript"/>
          <w:lang w:val="sr-Latn-ME"/>
        </w:rPr>
        <w:t>12</w:t>
      </w:r>
      <w:r w:rsidRPr="00A613D6">
        <w:rPr>
          <w:sz w:val="22"/>
          <w:szCs w:val="22"/>
          <w:lang w:val="sr-Latn-ME"/>
        </w:rPr>
        <w:t xml:space="preserve"> i kod onih na dugotrajnoj terapiji koji imaju povećani rizik od smanjene </w:t>
      </w:r>
      <w:r w:rsidR="00DD34A5" w:rsidRPr="00A613D6">
        <w:rPr>
          <w:sz w:val="22"/>
          <w:szCs w:val="22"/>
          <w:lang w:val="sr-Latn-ME"/>
        </w:rPr>
        <w:t xml:space="preserve">resorpcije </w:t>
      </w:r>
      <w:r w:rsidRPr="00A613D6">
        <w:rPr>
          <w:sz w:val="22"/>
          <w:szCs w:val="22"/>
          <w:lang w:val="sr-Latn-ME"/>
        </w:rPr>
        <w:t>vitamina B</w:t>
      </w:r>
      <w:r w:rsidRPr="00A613D6">
        <w:rPr>
          <w:sz w:val="22"/>
          <w:szCs w:val="22"/>
          <w:vertAlign w:val="subscript"/>
          <w:lang w:val="sr-Latn-ME"/>
        </w:rPr>
        <w:t>12</w:t>
      </w:r>
      <w:r w:rsidRPr="00A613D6">
        <w:rPr>
          <w:sz w:val="22"/>
          <w:szCs w:val="22"/>
          <w:lang w:val="sr-Latn-ME"/>
        </w:rPr>
        <w:t>.</w:t>
      </w:r>
    </w:p>
    <w:p w14:paraId="16F2D23C" w14:textId="77777777" w:rsidR="00FD3F2D" w:rsidRPr="00A613D6" w:rsidRDefault="00FD3F2D">
      <w:pPr>
        <w:pStyle w:val="Header"/>
        <w:jc w:val="both"/>
        <w:rPr>
          <w:sz w:val="22"/>
          <w:szCs w:val="22"/>
          <w:lang w:val="sr-Latn-ME"/>
        </w:rPr>
      </w:pPr>
    </w:p>
    <w:p w14:paraId="7C77FEF1" w14:textId="6BDD56AC" w:rsidR="00FD3F2D" w:rsidRPr="00A613D6" w:rsidRDefault="00FD3F2D">
      <w:pPr>
        <w:pStyle w:val="Header"/>
        <w:jc w:val="both"/>
        <w:rPr>
          <w:sz w:val="22"/>
          <w:szCs w:val="22"/>
          <w:lang w:val="sr-Latn-ME"/>
        </w:rPr>
      </w:pPr>
      <w:r w:rsidRPr="00A613D6">
        <w:rPr>
          <w:sz w:val="22"/>
          <w:szCs w:val="22"/>
          <w:lang w:val="sr-Latn-ME"/>
        </w:rPr>
        <w:t>Omeprazol je inhibitor enzima CYP2C19. Pri započinjanju ili prestanku terapije omeprazolom treba uzeti u obzir mogućnosti interakcije sa ljekovima koji se metabolišu posredstvom CYP2C19. Prim</w:t>
      </w:r>
      <w:r w:rsidR="00DD34A5" w:rsidRPr="00A613D6">
        <w:rPr>
          <w:sz w:val="22"/>
          <w:szCs w:val="22"/>
          <w:lang w:val="sr-Latn-ME"/>
        </w:rPr>
        <w:t>i</w:t>
      </w:r>
      <w:r w:rsidRPr="00A613D6">
        <w:rPr>
          <w:sz w:val="22"/>
          <w:szCs w:val="22"/>
          <w:lang w:val="sr-Latn-ME"/>
        </w:rPr>
        <w:t>jećena je interakcija prilikom istovremene primjene klopidogrela i omeprazola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 xml:space="preserve">4.5). Klinički značaj ove interakcije nije utvrđen, ali iz predostrožnosti istovremenu primjenu ova dva lijeka treba izbjegavati. </w:t>
      </w:r>
    </w:p>
    <w:p w14:paraId="227C57C4" w14:textId="77777777" w:rsidR="00FD3F2D" w:rsidRPr="00A613D6" w:rsidRDefault="00FD3F2D">
      <w:pPr>
        <w:pStyle w:val="Header"/>
        <w:tabs>
          <w:tab w:val="left" w:pos="284"/>
        </w:tabs>
        <w:jc w:val="both"/>
        <w:rPr>
          <w:sz w:val="22"/>
          <w:szCs w:val="22"/>
          <w:lang w:val="sr-Latn-ME"/>
        </w:rPr>
      </w:pPr>
    </w:p>
    <w:p w14:paraId="173FC98E" w14:textId="77777777" w:rsidR="00FD3F2D" w:rsidRPr="00A613D6" w:rsidRDefault="00FD3F2D">
      <w:pPr>
        <w:pStyle w:val="Header"/>
        <w:jc w:val="both"/>
        <w:rPr>
          <w:sz w:val="22"/>
          <w:szCs w:val="22"/>
          <w:lang w:val="sr-Latn-ME"/>
        </w:rPr>
      </w:pPr>
      <w:r w:rsidRPr="00A613D6">
        <w:rPr>
          <w:sz w:val="22"/>
          <w:szCs w:val="22"/>
          <w:lang w:val="sr-Latn-ME"/>
        </w:rPr>
        <w:t>Kod pacijenata liječenih inhibitorima protonske pumpe, kao što je omeprazol, u periodu od najmanje tri mjeseca ili, u većini slučajeva, od godinu dana, može se javiti težak oblik hipomagnezijemije. Mogu se javiti ozbiljni znaci hipomagnezijemije, kao što su umor, grčevi, delirijum, konvulzije, vrtoglavica i ventrikularne aritmije. Ovi znaci u početku mogu biti neprimjetni i mogu se lako previdjeti. Kod većine pacijenata kod kojih se javi, hipomagnezijemija se koriguje nadoknadom magnezijuma i prestankom terapije inhibitorima protonske pumpe. Kod pacijenata kod kojih se pretpostavlja da će biti na dužoj terapiji inhibitorima protonske pumpe ili koji istovremeno uzimaju digoksin ili ljekove koji mogu dovesti do hipomagnezijemije (npr. diuretici), zdravstveni stručnjaci treba da razmotre mjerenje nivoa magnezijuma, prije započinjanja terapije i periodično u toku same terapije.</w:t>
      </w:r>
    </w:p>
    <w:p w14:paraId="05240DC7" w14:textId="77777777" w:rsidR="00FD3F2D" w:rsidRPr="00A613D6" w:rsidRDefault="00FD3F2D">
      <w:pPr>
        <w:pStyle w:val="Header"/>
        <w:jc w:val="both"/>
        <w:rPr>
          <w:sz w:val="22"/>
          <w:szCs w:val="22"/>
          <w:lang w:val="sr-Latn-ME"/>
        </w:rPr>
      </w:pPr>
    </w:p>
    <w:p w14:paraId="53313FD1" w14:textId="6B8439B8" w:rsidR="00FD3F2D" w:rsidRPr="00A613D6" w:rsidRDefault="00FD3F2D">
      <w:pPr>
        <w:pStyle w:val="Header"/>
        <w:jc w:val="both"/>
        <w:rPr>
          <w:sz w:val="22"/>
          <w:szCs w:val="22"/>
          <w:lang w:val="sr-Latn-ME"/>
        </w:rPr>
      </w:pPr>
      <w:r w:rsidRPr="00A613D6">
        <w:rPr>
          <w:sz w:val="22"/>
          <w:szCs w:val="22"/>
          <w:lang w:val="sr-Latn-ME"/>
        </w:rPr>
        <w:lastRenderedPageBreak/>
        <w:t xml:space="preserve">Inhibitori protonske pumpe, posebno ukoliko se koriste u visokim dozama ili tokom dužeg vremenskog perioda (duže od jedne godine), mogu blago povećati rizik od preloma kuka, ručnog zgloba i kičme, naročito kod starijih </w:t>
      </w:r>
      <w:r w:rsidR="00547474" w:rsidRPr="00A613D6">
        <w:rPr>
          <w:sz w:val="22"/>
          <w:szCs w:val="22"/>
          <w:lang w:val="sr-Latn-ME"/>
        </w:rPr>
        <w:t>pacijenata</w:t>
      </w:r>
      <w:r w:rsidRPr="00A613D6">
        <w:rPr>
          <w:sz w:val="22"/>
          <w:szCs w:val="22"/>
          <w:lang w:val="sr-Latn-ME"/>
        </w:rPr>
        <w:t xml:space="preserve"> ili u prisustvu drugih poznatih faktora rizika. Opservacione studije sugerišu da je ukupni rizik od preloma povećan za 10 – 40 %. Rizik može biti povećan i zbog drugih faktora. Pacijenti sa povećanim rizikom od osteoporoze treba da imaju posebnu njegu, u skladu sa kliničkim vodičima</w:t>
      </w:r>
      <w:r w:rsidR="00DD34A5" w:rsidRPr="00A613D6">
        <w:rPr>
          <w:sz w:val="22"/>
          <w:szCs w:val="22"/>
          <w:lang w:val="sr-Latn-ME"/>
        </w:rPr>
        <w:t>,</w:t>
      </w:r>
      <w:r w:rsidRPr="00A613D6">
        <w:rPr>
          <w:sz w:val="22"/>
          <w:szCs w:val="22"/>
          <w:lang w:val="sr-Latn-ME"/>
        </w:rPr>
        <w:t xml:space="preserve"> i adekvatni unos vitamina D i kalcijuma.</w:t>
      </w:r>
    </w:p>
    <w:p w14:paraId="236A1B6E" w14:textId="4E2EE6F7" w:rsidR="00FD3F2D" w:rsidRPr="00A613D6" w:rsidRDefault="00FD3F2D" w:rsidP="008706C5">
      <w:pPr>
        <w:tabs>
          <w:tab w:val="center" w:pos="4535"/>
          <w:tab w:val="right" w:pos="9071"/>
        </w:tabs>
        <w:jc w:val="both"/>
        <w:rPr>
          <w:sz w:val="22"/>
          <w:szCs w:val="22"/>
          <w:lang w:val="sr-Latn-ME"/>
        </w:rPr>
      </w:pPr>
    </w:p>
    <w:p w14:paraId="5AC4DE05" w14:textId="77777777" w:rsidR="008C7DCC" w:rsidRPr="008706C5" w:rsidRDefault="008C7DCC" w:rsidP="008706C5">
      <w:pPr>
        <w:tabs>
          <w:tab w:val="center" w:pos="4535"/>
          <w:tab w:val="right" w:pos="9071"/>
        </w:tabs>
        <w:jc w:val="both"/>
        <w:rPr>
          <w:rFonts w:eastAsia="Calibri" w:cs="Arial"/>
          <w:i/>
          <w:iCs/>
          <w:sz w:val="22"/>
          <w:szCs w:val="22"/>
          <w:lang w:val="sr-Latn-ME"/>
        </w:rPr>
      </w:pPr>
      <w:r w:rsidRPr="008706C5">
        <w:rPr>
          <w:rFonts w:eastAsia="Calibri" w:cs="Arial"/>
          <w:i/>
          <w:iCs/>
          <w:sz w:val="22"/>
          <w:szCs w:val="22"/>
          <w:lang w:val="sr-Latn-ME"/>
        </w:rPr>
        <w:t>Oštećenje bubrega</w:t>
      </w:r>
    </w:p>
    <w:p w14:paraId="13C2A03B" w14:textId="4903ADA4" w:rsidR="008C7DCC" w:rsidRPr="008706C5" w:rsidRDefault="008C7DCC">
      <w:pPr>
        <w:tabs>
          <w:tab w:val="center" w:pos="4535"/>
          <w:tab w:val="right" w:pos="9071"/>
        </w:tabs>
        <w:jc w:val="both"/>
        <w:rPr>
          <w:rFonts w:eastAsia="Calibri" w:cs="Arial"/>
          <w:sz w:val="22"/>
          <w:szCs w:val="22"/>
          <w:lang w:val="sr-Latn-ME"/>
        </w:rPr>
      </w:pPr>
      <w:r w:rsidRPr="008706C5">
        <w:rPr>
          <w:rFonts w:eastAsia="Calibri" w:cs="Arial"/>
          <w:sz w:val="22"/>
          <w:szCs w:val="22"/>
          <w:lang w:val="sr-Latn-ME"/>
        </w:rPr>
        <w:t>Akutni tubulointersticij</w:t>
      </w:r>
      <w:r w:rsidR="00040321" w:rsidRPr="008706C5">
        <w:rPr>
          <w:rFonts w:eastAsia="Calibri" w:cs="Arial"/>
          <w:sz w:val="22"/>
          <w:szCs w:val="22"/>
          <w:lang w:val="sr-Latn-ME"/>
        </w:rPr>
        <w:t>alni</w:t>
      </w:r>
      <w:r w:rsidRPr="008706C5">
        <w:rPr>
          <w:rFonts w:eastAsia="Calibri" w:cs="Arial"/>
          <w:sz w:val="22"/>
          <w:szCs w:val="22"/>
          <w:lang w:val="sr-Latn-ME"/>
        </w:rPr>
        <w:t xml:space="preserve"> nefritis (TIN) je prim</w:t>
      </w:r>
      <w:r w:rsidR="00554573" w:rsidRPr="008706C5">
        <w:rPr>
          <w:rFonts w:eastAsia="Calibri" w:cs="Arial"/>
          <w:sz w:val="22"/>
          <w:szCs w:val="22"/>
          <w:lang w:val="sr-Latn-ME"/>
        </w:rPr>
        <w:t>ij</w:t>
      </w:r>
      <w:r w:rsidRPr="008706C5">
        <w:rPr>
          <w:rFonts w:eastAsia="Calibri" w:cs="Arial"/>
          <w:sz w:val="22"/>
          <w:szCs w:val="22"/>
          <w:lang w:val="sr-Latn-ME"/>
        </w:rPr>
        <w:t>ećen kod pacijenata koji uzimaju omeprazol i može se javiti u bilo kom trenutku tokom terapije omeprazolom (vid</w:t>
      </w:r>
      <w:r w:rsidR="00554573" w:rsidRPr="008706C5">
        <w:rPr>
          <w:rFonts w:eastAsia="Calibri" w:cs="Arial"/>
          <w:sz w:val="22"/>
          <w:szCs w:val="22"/>
          <w:lang w:val="sr-Latn-ME"/>
        </w:rPr>
        <w:t>j</w:t>
      </w:r>
      <w:r w:rsidRPr="008706C5">
        <w:rPr>
          <w:rFonts w:eastAsia="Calibri" w:cs="Arial"/>
          <w:sz w:val="22"/>
          <w:szCs w:val="22"/>
          <w:lang w:val="sr-Latn-ME"/>
        </w:rPr>
        <w:t xml:space="preserve">eti </w:t>
      </w:r>
      <w:r w:rsidR="00554573" w:rsidRPr="008706C5">
        <w:rPr>
          <w:rFonts w:eastAsia="Calibri" w:cs="Arial"/>
          <w:sz w:val="22"/>
          <w:szCs w:val="22"/>
          <w:lang w:val="sr-Latn-ME"/>
        </w:rPr>
        <w:t>dio</w:t>
      </w:r>
      <w:r w:rsidRPr="008706C5">
        <w:rPr>
          <w:rFonts w:eastAsia="Calibri" w:cs="Arial"/>
          <w:sz w:val="22"/>
          <w:szCs w:val="22"/>
          <w:lang w:val="sr-Latn-ME"/>
        </w:rPr>
        <w:t xml:space="preserve"> 4.8). Akutni tubulointersticij</w:t>
      </w:r>
      <w:r w:rsidR="00040321" w:rsidRPr="008706C5">
        <w:rPr>
          <w:rFonts w:eastAsia="Calibri" w:cs="Arial"/>
          <w:sz w:val="22"/>
          <w:szCs w:val="22"/>
          <w:lang w:val="sr-Latn-ME"/>
        </w:rPr>
        <w:t>alni</w:t>
      </w:r>
      <w:r w:rsidRPr="008706C5">
        <w:rPr>
          <w:rFonts w:eastAsia="Calibri" w:cs="Arial"/>
          <w:sz w:val="22"/>
          <w:szCs w:val="22"/>
          <w:lang w:val="sr-Latn-ME"/>
        </w:rPr>
        <w:t xml:space="preserve"> nefritis može napredovati do bubrežne insuficijencije. </w:t>
      </w:r>
    </w:p>
    <w:p w14:paraId="3E0C7A08" w14:textId="77777777" w:rsidR="008C7DCC" w:rsidRPr="008706C5" w:rsidRDefault="008C7DCC" w:rsidP="008706C5">
      <w:pPr>
        <w:tabs>
          <w:tab w:val="center" w:pos="4535"/>
          <w:tab w:val="right" w:pos="9071"/>
        </w:tabs>
        <w:jc w:val="both"/>
        <w:rPr>
          <w:rFonts w:eastAsia="Calibri" w:cs="Arial"/>
          <w:sz w:val="22"/>
          <w:szCs w:val="22"/>
          <w:lang w:val="sr-Latn-ME"/>
        </w:rPr>
      </w:pPr>
    </w:p>
    <w:p w14:paraId="43963AB5" w14:textId="4C335CFE" w:rsidR="008C7DCC" w:rsidRPr="008706C5" w:rsidRDefault="008C7DCC" w:rsidP="008706C5">
      <w:pPr>
        <w:tabs>
          <w:tab w:val="center" w:pos="4535"/>
          <w:tab w:val="right" w:pos="9071"/>
        </w:tabs>
        <w:jc w:val="both"/>
        <w:rPr>
          <w:rFonts w:eastAsia="Calibri" w:cs="Arial"/>
          <w:sz w:val="22"/>
          <w:szCs w:val="22"/>
          <w:lang w:val="sr-Latn-ME"/>
        </w:rPr>
      </w:pPr>
      <w:r w:rsidRPr="008706C5">
        <w:rPr>
          <w:rFonts w:eastAsia="Calibri" w:cs="Arial"/>
          <w:sz w:val="22"/>
          <w:szCs w:val="22"/>
          <w:lang w:val="sr-Latn-ME"/>
        </w:rPr>
        <w:t>Omeprazol treba prekinuti u slučaju sumnje na TIN i odmah započeti odgovarajuću terapiju.</w:t>
      </w:r>
    </w:p>
    <w:p w14:paraId="198E28E0" w14:textId="77777777" w:rsidR="002028FF" w:rsidRPr="008706C5" w:rsidRDefault="002028FF" w:rsidP="008706C5">
      <w:pPr>
        <w:tabs>
          <w:tab w:val="center" w:pos="4535"/>
          <w:tab w:val="right" w:pos="9071"/>
        </w:tabs>
        <w:jc w:val="both"/>
        <w:rPr>
          <w:rFonts w:eastAsia="Calibri" w:cs="Arial"/>
          <w:sz w:val="22"/>
          <w:szCs w:val="22"/>
          <w:lang w:val="sr-Latn-ME"/>
        </w:rPr>
      </w:pPr>
    </w:p>
    <w:p w14:paraId="38AB1105" w14:textId="77777777" w:rsidR="00FD3F2D" w:rsidRPr="00A613D6" w:rsidRDefault="00FD3F2D">
      <w:pPr>
        <w:pStyle w:val="Header"/>
        <w:jc w:val="both"/>
        <w:rPr>
          <w:i/>
          <w:sz w:val="22"/>
          <w:szCs w:val="22"/>
          <w:lang w:val="sr-Latn-ME"/>
        </w:rPr>
      </w:pPr>
      <w:r w:rsidRPr="00A613D6">
        <w:rPr>
          <w:i/>
          <w:sz w:val="22"/>
          <w:szCs w:val="22"/>
          <w:lang w:val="sr-Latn-ME"/>
        </w:rPr>
        <w:t>Subakutni sistemski lupus eritematozus (SCLE)</w:t>
      </w:r>
    </w:p>
    <w:p w14:paraId="15B8C04A" w14:textId="76AFDF93" w:rsidR="00FD3F2D" w:rsidRPr="00A613D6" w:rsidRDefault="00FD3F2D">
      <w:pPr>
        <w:autoSpaceDE w:val="0"/>
        <w:autoSpaceDN w:val="0"/>
        <w:adjustRightInd w:val="0"/>
        <w:jc w:val="both"/>
        <w:rPr>
          <w:sz w:val="22"/>
          <w:szCs w:val="22"/>
          <w:lang w:val="sr-Latn-ME"/>
        </w:rPr>
      </w:pPr>
      <w:r w:rsidRPr="00A613D6">
        <w:rPr>
          <w:sz w:val="22"/>
          <w:szCs w:val="22"/>
          <w:lang w:val="sr-Latn-ME"/>
        </w:rPr>
        <w:t xml:space="preserve">Inhibitori protonske pumpe su povezani sa veoma rijetkim slučajevima SCLE. Ukoliko se pojave lezije, posebno na djelovima kože izloženim </w:t>
      </w:r>
      <w:r w:rsidR="006D0E17" w:rsidRPr="00A613D6">
        <w:rPr>
          <w:sz w:val="22"/>
          <w:szCs w:val="22"/>
          <w:lang w:val="sr-Latn-ME"/>
        </w:rPr>
        <w:t>s</w:t>
      </w:r>
      <w:r w:rsidRPr="00A613D6">
        <w:rPr>
          <w:sz w:val="22"/>
          <w:szCs w:val="22"/>
          <w:lang w:val="sr-Latn-ME"/>
        </w:rPr>
        <w:t>uncu, i ukoliko su praćene artralgijom, pacijent treba odmah da potraži medicinsku pomoć, a zdravstveni stručnjak treba da razmotri prekid terapije lijekom Diclopram.</w:t>
      </w:r>
    </w:p>
    <w:p w14:paraId="6BB597B2" w14:textId="0EE31E85" w:rsidR="00FD3F2D" w:rsidRPr="00A613D6" w:rsidRDefault="00FD3F2D">
      <w:pPr>
        <w:pStyle w:val="Header"/>
        <w:jc w:val="both"/>
        <w:rPr>
          <w:sz w:val="22"/>
          <w:szCs w:val="22"/>
          <w:lang w:val="sr-Latn-ME"/>
        </w:rPr>
      </w:pPr>
      <w:r w:rsidRPr="00A613D6">
        <w:rPr>
          <w:sz w:val="22"/>
          <w:szCs w:val="22"/>
          <w:lang w:val="sr-Latn-ME"/>
        </w:rPr>
        <w:t>Pojava SCLE nakon primjene inhibitora protonske pumpe može da poveća rizik od pojave SCLE sa drugim inhibitorima protonske pumpe.</w:t>
      </w:r>
    </w:p>
    <w:p w14:paraId="3A16841F" w14:textId="77777777" w:rsidR="00BA063A" w:rsidRPr="00A613D6" w:rsidRDefault="00BA063A">
      <w:pPr>
        <w:pStyle w:val="Header"/>
        <w:jc w:val="both"/>
        <w:rPr>
          <w:sz w:val="22"/>
          <w:szCs w:val="22"/>
          <w:lang w:val="sr-Latn-ME"/>
        </w:rPr>
      </w:pPr>
    </w:p>
    <w:p w14:paraId="30896613" w14:textId="056D3679" w:rsidR="00FD3F2D" w:rsidRPr="00A613D6" w:rsidRDefault="00FD3F2D">
      <w:pPr>
        <w:pStyle w:val="Header"/>
        <w:tabs>
          <w:tab w:val="left" w:pos="284"/>
        </w:tabs>
        <w:jc w:val="both"/>
        <w:rPr>
          <w:sz w:val="22"/>
          <w:szCs w:val="22"/>
          <w:lang w:val="sr-Latn-ME"/>
        </w:rPr>
      </w:pPr>
      <w:r w:rsidRPr="00A613D6">
        <w:rPr>
          <w:sz w:val="22"/>
          <w:szCs w:val="22"/>
          <w:lang w:val="sr-Latn-ME"/>
        </w:rPr>
        <w:t xml:space="preserve">Terapija inhibitorima protonske pumpe može da dovede do blagog povećanja rizika od gastrointestinalnih infekcija bakterijama kao što su </w:t>
      </w:r>
      <w:r w:rsidRPr="00A613D6">
        <w:rPr>
          <w:i/>
          <w:sz w:val="22"/>
          <w:szCs w:val="22"/>
          <w:lang w:val="sr-Latn-ME"/>
        </w:rPr>
        <w:t>Salmonella</w:t>
      </w:r>
      <w:r w:rsidRPr="00A613D6">
        <w:rPr>
          <w:sz w:val="22"/>
          <w:szCs w:val="22"/>
          <w:lang w:val="sr-Latn-ME"/>
        </w:rPr>
        <w:t xml:space="preserve"> i </w:t>
      </w:r>
      <w:r w:rsidRPr="00A613D6">
        <w:rPr>
          <w:i/>
          <w:sz w:val="22"/>
          <w:szCs w:val="22"/>
          <w:lang w:val="sr-Latn-ME"/>
        </w:rPr>
        <w:t>Campylobacter</w:t>
      </w:r>
      <w:r w:rsidRPr="00A613D6">
        <w:rPr>
          <w:sz w:val="22"/>
          <w:szCs w:val="22"/>
          <w:lang w:val="sr-Latn-ME"/>
        </w:rPr>
        <w:t xml:space="preserve">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5.1).</w:t>
      </w:r>
    </w:p>
    <w:p w14:paraId="221DBBA6" w14:textId="77777777" w:rsidR="00FD3F2D" w:rsidRPr="00A613D6" w:rsidRDefault="00FD3F2D">
      <w:pPr>
        <w:pStyle w:val="Header"/>
        <w:jc w:val="both"/>
        <w:rPr>
          <w:i/>
          <w:sz w:val="22"/>
          <w:szCs w:val="22"/>
          <w:lang w:val="sr-Latn-ME"/>
        </w:rPr>
      </w:pPr>
    </w:p>
    <w:p w14:paraId="69B4937D" w14:textId="77777777" w:rsidR="00FD3F2D" w:rsidRPr="00A613D6" w:rsidRDefault="00FD3F2D">
      <w:pPr>
        <w:pStyle w:val="Header"/>
        <w:jc w:val="both"/>
        <w:rPr>
          <w:sz w:val="22"/>
          <w:szCs w:val="22"/>
          <w:lang w:val="sr-Latn-ME"/>
        </w:rPr>
      </w:pPr>
      <w:r w:rsidRPr="00A613D6">
        <w:rPr>
          <w:sz w:val="22"/>
          <w:szCs w:val="22"/>
          <w:lang w:val="sr-Latn-ME"/>
        </w:rPr>
        <w:t>Kao kod svake dugotrajne terapije, posebno ukoliko se lijek primjenjuje duže od jedne godine, pacijente treba redovno nadgledati.</w:t>
      </w:r>
    </w:p>
    <w:p w14:paraId="100D6CB3" w14:textId="2A7E3085" w:rsidR="00974D50" w:rsidRPr="00A613D6" w:rsidRDefault="00FD3F2D">
      <w:pPr>
        <w:pStyle w:val="Header"/>
        <w:jc w:val="both"/>
        <w:rPr>
          <w:sz w:val="22"/>
          <w:szCs w:val="22"/>
          <w:lang w:val="sr-Latn-ME"/>
        </w:rPr>
      </w:pPr>
      <w:r w:rsidRPr="00A613D6">
        <w:rPr>
          <w:sz w:val="22"/>
          <w:szCs w:val="22"/>
          <w:lang w:val="sr-Latn-ME"/>
        </w:rPr>
        <w:t xml:space="preserve"> </w:t>
      </w:r>
    </w:p>
    <w:p w14:paraId="23AB2186" w14:textId="77777777" w:rsidR="00FD3F2D" w:rsidRPr="00A613D6" w:rsidRDefault="00FD3F2D">
      <w:pPr>
        <w:pStyle w:val="Header"/>
        <w:jc w:val="both"/>
        <w:rPr>
          <w:i/>
          <w:sz w:val="22"/>
          <w:szCs w:val="22"/>
          <w:lang w:val="sr-Latn-ME"/>
        </w:rPr>
      </w:pPr>
      <w:r w:rsidRPr="00A613D6">
        <w:rPr>
          <w:i/>
          <w:sz w:val="22"/>
          <w:szCs w:val="22"/>
          <w:lang w:val="sr-Latn-ME"/>
        </w:rPr>
        <w:t>Uticaj na laboratorijske testove</w:t>
      </w:r>
    </w:p>
    <w:p w14:paraId="7731E6B8" w14:textId="52286328" w:rsidR="00FD3F2D" w:rsidRPr="00A613D6" w:rsidRDefault="00FD3F2D">
      <w:pPr>
        <w:pStyle w:val="Header"/>
        <w:jc w:val="both"/>
        <w:rPr>
          <w:sz w:val="22"/>
          <w:szCs w:val="22"/>
          <w:lang w:val="sr-Latn-ME"/>
        </w:rPr>
      </w:pPr>
      <w:r w:rsidRPr="00A613D6">
        <w:rPr>
          <w:sz w:val="22"/>
          <w:szCs w:val="22"/>
          <w:lang w:val="sr-Latn-ME"/>
        </w:rPr>
        <w:t>Povećani nivoi hromogranina A (CgA) ometaju dijagnozu neuroendokrinih tumora. Da bi se izb</w:t>
      </w:r>
      <w:r w:rsidR="00DD34A5" w:rsidRPr="00A613D6">
        <w:rPr>
          <w:sz w:val="22"/>
          <w:szCs w:val="22"/>
          <w:lang w:val="sr-Latn-ME"/>
        </w:rPr>
        <w:t>j</w:t>
      </w:r>
      <w:r w:rsidRPr="00A613D6">
        <w:rPr>
          <w:sz w:val="22"/>
          <w:szCs w:val="22"/>
          <w:lang w:val="sr-Latn-ME"/>
        </w:rPr>
        <w:t xml:space="preserve">egao uticaj omeprazola, terapiju omeprazolom treba privremeno obustaviti </w:t>
      </w:r>
      <w:r w:rsidR="00071EF1" w:rsidRPr="00A613D6">
        <w:rPr>
          <w:sz w:val="22"/>
          <w:szCs w:val="22"/>
          <w:lang w:val="sr-Latn-ME"/>
        </w:rPr>
        <w:t xml:space="preserve">najmanje </w:t>
      </w:r>
      <w:r w:rsidRPr="00A613D6">
        <w:rPr>
          <w:sz w:val="22"/>
          <w:szCs w:val="22"/>
          <w:lang w:val="sr-Latn-ME"/>
        </w:rPr>
        <w:t>pet dana prije merenja nivoa CgA (vid</w:t>
      </w:r>
      <w:r w:rsidR="00DA4684" w:rsidRPr="00A613D6">
        <w:rPr>
          <w:sz w:val="22"/>
          <w:szCs w:val="22"/>
          <w:lang w:val="sr-Latn-ME"/>
        </w:rPr>
        <w:t>j</w:t>
      </w:r>
      <w:r w:rsidRPr="00A613D6">
        <w:rPr>
          <w:sz w:val="22"/>
          <w:szCs w:val="22"/>
          <w:lang w:val="sr-Latn-ME"/>
        </w:rPr>
        <w:t xml:space="preserve">eti </w:t>
      </w:r>
      <w:r w:rsidR="00DD34A5" w:rsidRPr="00A613D6">
        <w:rPr>
          <w:sz w:val="22"/>
          <w:szCs w:val="22"/>
          <w:lang w:val="sr-Latn-ME"/>
        </w:rPr>
        <w:t xml:space="preserve">dio </w:t>
      </w:r>
      <w:r w:rsidRPr="00A613D6">
        <w:rPr>
          <w:sz w:val="22"/>
          <w:szCs w:val="22"/>
          <w:lang w:val="sr-Latn-ME"/>
        </w:rPr>
        <w:t>5.1). Ukoliko se nivoi CgA i gastrina ne vrate u referentni opseg nakon početnog mjerenja, mjerenje treba ponoviti 14 dana nakon prekida terapije inhibitorom protonske pumpe.</w:t>
      </w:r>
    </w:p>
    <w:p w14:paraId="4C96461B" w14:textId="77777777" w:rsidR="00057E35" w:rsidRPr="00A613D6" w:rsidRDefault="00057E35">
      <w:pPr>
        <w:tabs>
          <w:tab w:val="left" w:pos="540"/>
          <w:tab w:val="left" w:pos="569"/>
        </w:tabs>
        <w:jc w:val="both"/>
        <w:rPr>
          <w:bCs/>
          <w:sz w:val="22"/>
          <w:szCs w:val="22"/>
          <w:lang w:val="sr-Latn-ME"/>
        </w:rPr>
      </w:pPr>
    </w:p>
    <w:p w14:paraId="66877647" w14:textId="6A59521C" w:rsidR="00970D0D" w:rsidRPr="008706C5" w:rsidRDefault="00361FD3" w:rsidP="008706C5">
      <w:pPr>
        <w:kinsoku w:val="0"/>
        <w:overflowPunct w:val="0"/>
        <w:spacing w:before="116" w:line="254" w:lineRule="exact"/>
        <w:jc w:val="both"/>
        <w:textAlignment w:val="baseline"/>
        <w:rPr>
          <w:i/>
          <w:sz w:val="22"/>
          <w:szCs w:val="22"/>
          <w:lang w:val="sr-Latn-ME" w:eastAsia="de-DE"/>
        </w:rPr>
      </w:pPr>
      <w:r w:rsidRPr="008706C5">
        <w:rPr>
          <w:i/>
          <w:sz w:val="22"/>
          <w:szCs w:val="22"/>
          <w:lang w:val="sr-Latn-ME"/>
        </w:rPr>
        <w:t>Pomoćne supstance sa potvrđenim dejstvom</w:t>
      </w:r>
    </w:p>
    <w:p w14:paraId="75D1806B" w14:textId="26A9748E" w:rsidR="00970D0D" w:rsidRPr="008706C5" w:rsidRDefault="00361FD3" w:rsidP="008706C5">
      <w:pPr>
        <w:jc w:val="both"/>
        <w:rPr>
          <w:sz w:val="22"/>
          <w:szCs w:val="22"/>
          <w:lang w:val="sr-Latn-ME" w:eastAsia="pl-PL"/>
        </w:rPr>
      </w:pPr>
      <w:r w:rsidRPr="008706C5">
        <w:rPr>
          <w:iCs/>
          <w:sz w:val="22"/>
          <w:szCs w:val="22"/>
          <w:lang w:val="sr-Latn-ME"/>
        </w:rPr>
        <w:t xml:space="preserve">Lijek Diclopram sadrži </w:t>
      </w:r>
      <w:r w:rsidR="00970D0D" w:rsidRPr="008706C5">
        <w:rPr>
          <w:sz w:val="22"/>
          <w:szCs w:val="22"/>
          <w:lang w:val="sr-Latn-ME" w:eastAsia="de-DE"/>
        </w:rPr>
        <w:t>1</w:t>
      </w:r>
      <w:r w:rsidRPr="008706C5">
        <w:rPr>
          <w:sz w:val="22"/>
          <w:szCs w:val="22"/>
          <w:lang w:val="sr-Latn-ME" w:eastAsia="de-DE"/>
        </w:rPr>
        <w:t>,</w:t>
      </w:r>
      <w:r w:rsidR="00970D0D" w:rsidRPr="008706C5">
        <w:rPr>
          <w:sz w:val="22"/>
          <w:szCs w:val="22"/>
          <w:lang w:val="sr-Latn-ME" w:eastAsia="de-DE"/>
        </w:rPr>
        <w:t xml:space="preserve">0 mg </w:t>
      </w:r>
      <w:r w:rsidRPr="008706C5">
        <w:rPr>
          <w:sz w:val="22"/>
          <w:szCs w:val="22"/>
          <w:lang w:val="sr-Latn-ME" w:eastAsia="de-DE"/>
        </w:rPr>
        <w:t>propilenglikola po kapsuli</w:t>
      </w:r>
      <w:r w:rsidR="00970D0D" w:rsidRPr="008706C5">
        <w:rPr>
          <w:sz w:val="22"/>
          <w:szCs w:val="22"/>
          <w:lang w:val="sr-Latn-ME" w:eastAsia="pl-PL"/>
        </w:rPr>
        <w:t>.</w:t>
      </w:r>
    </w:p>
    <w:p w14:paraId="01388807" w14:textId="16E832B6" w:rsidR="00970D0D" w:rsidRPr="008706C5" w:rsidRDefault="00361FD3">
      <w:pPr>
        <w:autoSpaceDE w:val="0"/>
        <w:autoSpaceDN w:val="0"/>
        <w:adjustRightInd w:val="0"/>
        <w:jc w:val="both"/>
        <w:rPr>
          <w:sz w:val="22"/>
          <w:szCs w:val="22"/>
          <w:lang w:val="sr-Latn-ME" w:eastAsia="de-DE"/>
        </w:rPr>
      </w:pPr>
      <w:r w:rsidRPr="008706C5">
        <w:rPr>
          <w:sz w:val="22"/>
          <w:szCs w:val="22"/>
          <w:lang w:val="sr-Latn-ME" w:eastAsia="pl-PL"/>
        </w:rPr>
        <w:t>Lijek Diclopram sadrži manje od 1</w:t>
      </w:r>
      <w:r w:rsidR="00C865D2" w:rsidRPr="008706C5">
        <w:rPr>
          <w:sz w:val="22"/>
          <w:szCs w:val="22"/>
          <w:lang w:val="sr-Latn-ME" w:eastAsia="pl-PL"/>
        </w:rPr>
        <w:t xml:space="preserve"> </w:t>
      </w:r>
      <w:r w:rsidRPr="008706C5">
        <w:rPr>
          <w:sz w:val="22"/>
          <w:szCs w:val="22"/>
          <w:lang w:val="sr-Latn-ME" w:eastAsia="pl-PL"/>
        </w:rPr>
        <w:t>mmol natrijuma</w:t>
      </w:r>
      <w:r w:rsidR="00970D0D" w:rsidRPr="008706C5">
        <w:rPr>
          <w:sz w:val="22"/>
          <w:szCs w:val="22"/>
          <w:lang w:val="sr-Latn-ME" w:eastAsia="pl-PL"/>
        </w:rPr>
        <w:t xml:space="preserve"> (23 mg) </w:t>
      </w:r>
      <w:r w:rsidRPr="008706C5">
        <w:rPr>
          <w:sz w:val="22"/>
          <w:szCs w:val="22"/>
          <w:lang w:val="sr-Latn-ME" w:eastAsia="pl-PL"/>
        </w:rPr>
        <w:t>po kapsuli</w:t>
      </w:r>
      <w:r w:rsidR="00970D0D" w:rsidRPr="008706C5">
        <w:rPr>
          <w:sz w:val="22"/>
          <w:szCs w:val="22"/>
          <w:lang w:val="sr-Latn-ME" w:eastAsia="pl-PL"/>
        </w:rPr>
        <w:t xml:space="preserve">, </w:t>
      </w:r>
      <w:r w:rsidRPr="008706C5">
        <w:rPr>
          <w:sz w:val="22"/>
          <w:szCs w:val="22"/>
          <w:lang w:val="sr-Latn-ME" w:eastAsia="pl-PL"/>
        </w:rPr>
        <w:t>odnosno suštinski je “bez natrijuma”.</w:t>
      </w:r>
    </w:p>
    <w:p w14:paraId="122EBDDA" w14:textId="77777777" w:rsidR="00970D0D" w:rsidRPr="00A613D6" w:rsidRDefault="00970D0D">
      <w:pPr>
        <w:tabs>
          <w:tab w:val="left" w:pos="540"/>
          <w:tab w:val="left" w:pos="569"/>
        </w:tabs>
        <w:jc w:val="both"/>
        <w:rPr>
          <w:bCs/>
          <w:sz w:val="22"/>
          <w:szCs w:val="22"/>
          <w:lang w:val="sr-Latn-ME"/>
        </w:rPr>
      </w:pPr>
    </w:p>
    <w:p w14:paraId="4C96461C" w14:textId="77777777" w:rsidR="00411B4B" w:rsidRPr="00A613D6" w:rsidRDefault="00411B4B">
      <w:pPr>
        <w:tabs>
          <w:tab w:val="left" w:pos="540"/>
          <w:tab w:val="left" w:pos="569"/>
        </w:tabs>
        <w:jc w:val="both"/>
        <w:rPr>
          <w:b/>
          <w:bCs/>
          <w:sz w:val="22"/>
          <w:szCs w:val="22"/>
          <w:lang w:val="sr-Latn-ME"/>
        </w:rPr>
      </w:pPr>
      <w:r w:rsidRPr="00A613D6">
        <w:rPr>
          <w:b/>
          <w:bCs/>
          <w:sz w:val="22"/>
          <w:szCs w:val="22"/>
          <w:lang w:val="sr-Latn-ME"/>
        </w:rPr>
        <w:t>4.5.</w:t>
      </w:r>
      <w:r w:rsidR="000D60CC" w:rsidRPr="00A613D6">
        <w:rPr>
          <w:b/>
          <w:bCs/>
          <w:sz w:val="22"/>
          <w:szCs w:val="22"/>
          <w:lang w:val="sr-Latn-ME"/>
        </w:rPr>
        <w:tab/>
      </w:r>
      <w:r w:rsidRPr="00A613D6">
        <w:rPr>
          <w:b/>
          <w:bCs/>
          <w:sz w:val="22"/>
          <w:szCs w:val="22"/>
          <w:lang w:val="sr-Latn-ME"/>
        </w:rPr>
        <w:t>Interakcije sa drugim ljekovima i druge vrste interakcija</w:t>
      </w:r>
    </w:p>
    <w:p w14:paraId="4C96461D" w14:textId="6CF7E901" w:rsidR="0072020E" w:rsidRPr="00A613D6" w:rsidRDefault="0072020E">
      <w:pPr>
        <w:tabs>
          <w:tab w:val="left" w:pos="540"/>
          <w:tab w:val="left" w:pos="569"/>
        </w:tabs>
        <w:jc w:val="both"/>
        <w:rPr>
          <w:bCs/>
          <w:sz w:val="22"/>
          <w:szCs w:val="22"/>
          <w:lang w:val="sr-Latn-ME"/>
        </w:rPr>
      </w:pPr>
    </w:p>
    <w:p w14:paraId="4E2A1794" w14:textId="1C30DCD4" w:rsidR="00D2274D" w:rsidRPr="00A613D6" w:rsidRDefault="00D2274D">
      <w:pPr>
        <w:jc w:val="both"/>
        <w:rPr>
          <w:sz w:val="22"/>
          <w:szCs w:val="22"/>
          <w:u w:val="single"/>
          <w:lang w:val="sr-Latn-ME"/>
        </w:rPr>
      </w:pPr>
      <w:r w:rsidRPr="00A613D6">
        <w:rPr>
          <w:sz w:val="22"/>
          <w:szCs w:val="22"/>
          <w:u w:val="single"/>
          <w:lang w:val="sr-Latn-ME"/>
        </w:rPr>
        <w:t>Diklofenak (NSAIL)</w:t>
      </w:r>
    </w:p>
    <w:p w14:paraId="19947700" w14:textId="77777777" w:rsidR="00693F72" w:rsidRPr="00A613D6" w:rsidRDefault="00693F72">
      <w:pPr>
        <w:jc w:val="both"/>
        <w:rPr>
          <w:sz w:val="22"/>
          <w:szCs w:val="22"/>
          <w:u w:val="single"/>
          <w:lang w:val="sr-Latn-ME"/>
        </w:rPr>
      </w:pPr>
    </w:p>
    <w:p w14:paraId="3FD76CF2" w14:textId="3E93730A" w:rsidR="00D2274D" w:rsidRPr="00A613D6" w:rsidRDefault="00D2274D">
      <w:pPr>
        <w:jc w:val="both"/>
        <w:rPr>
          <w:sz w:val="22"/>
          <w:szCs w:val="22"/>
          <w:lang w:val="sr-Latn-ME"/>
        </w:rPr>
      </w:pPr>
      <w:r w:rsidRPr="00A613D6">
        <w:rPr>
          <w:i/>
          <w:sz w:val="22"/>
          <w:szCs w:val="22"/>
          <w:lang w:val="sr-Latn-ME"/>
        </w:rPr>
        <w:t>Drugi analgetici</w:t>
      </w:r>
      <w:r w:rsidR="00304ABA" w:rsidRPr="00A613D6">
        <w:rPr>
          <w:i/>
          <w:sz w:val="22"/>
          <w:szCs w:val="22"/>
          <w:lang w:val="sr-Latn-ME"/>
        </w:rPr>
        <w:t>,</w:t>
      </w:r>
      <w:r w:rsidRPr="00A613D6">
        <w:rPr>
          <w:i/>
          <w:sz w:val="22"/>
          <w:szCs w:val="22"/>
          <w:lang w:val="sr-Latn-ME"/>
        </w:rPr>
        <w:t xml:space="preserve"> uključujući selektivne inhibitore ciklooksigenaze-2:</w:t>
      </w:r>
      <w:r w:rsidRPr="00A613D6">
        <w:rPr>
          <w:sz w:val="22"/>
          <w:szCs w:val="22"/>
          <w:lang w:val="sr-Latn-ME"/>
        </w:rPr>
        <w:t xml:space="preserve"> Potrebno je izb</w:t>
      </w:r>
      <w:r w:rsidR="00C728AB" w:rsidRPr="00A613D6">
        <w:rPr>
          <w:sz w:val="22"/>
          <w:szCs w:val="22"/>
          <w:lang w:val="sr-Latn-ME"/>
        </w:rPr>
        <w:t>j</w:t>
      </w:r>
      <w:r w:rsidRPr="00A613D6">
        <w:rPr>
          <w:sz w:val="22"/>
          <w:szCs w:val="22"/>
          <w:lang w:val="sr-Latn-ME"/>
        </w:rPr>
        <w:t>egavati istovremenu upotrebu dva ili više ljekova iz grupe NSAIL (uključujući aspirin) usljed povećanog rizika od neželjenih reakcija (vid</w:t>
      </w:r>
      <w:r w:rsidR="00DA4684" w:rsidRPr="00A613D6">
        <w:rPr>
          <w:sz w:val="22"/>
          <w:szCs w:val="22"/>
          <w:lang w:val="sr-Latn-ME"/>
        </w:rPr>
        <w:t>j</w:t>
      </w:r>
      <w:r w:rsidRPr="00A613D6">
        <w:rPr>
          <w:sz w:val="22"/>
          <w:szCs w:val="22"/>
          <w:lang w:val="sr-Latn-ME"/>
        </w:rPr>
        <w:t xml:space="preserve">eti </w:t>
      </w:r>
      <w:r w:rsidR="00304ABA" w:rsidRPr="00A613D6">
        <w:rPr>
          <w:sz w:val="22"/>
          <w:szCs w:val="22"/>
          <w:lang w:val="sr-Latn-ME"/>
        </w:rPr>
        <w:t xml:space="preserve">dio </w:t>
      </w:r>
      <w:r w:rsidRPr="00A613D6">
        <w:rPr>
          <w:sz w:val="22"/>
          <w:szCs w:val="22"/>
          <w:lang w:val="sr-Latn-ME"/>
        </w:rPr>
        <w:t>4.4).</w:t>
      </w:r>
    </w:p>
    <w:p w14:paraId="467B5422" w14:textId="77777777" w:rsidR="00D2274D" w:rsidRPr="00A613D6" w:rsidRDefault="00D2274D">
      <w:pPr>
        <w:jc w:val="both"/>
        <w:rPr>
          <w:sz w:val="22"/>
          <w:szCs w:val="22"/>
          <w:lang w:val="sr-Latn-ME"/>
        </w:rPr>
      </w:pPr>
    </w:p>
    <w:p w14:paraId="04577C7D" w14:textId="77777777" w:rsidR="00D2274D" w:rsidRPr="00A613D6" w:rsidRDefault="00D2274D">
      <w:pPr>
        <w:jc w:val="both"/>
        <w:rPr>
          <w:sz w:val="22"/>
          <w:szCs w:val="22"/>
          <w:lang w:val="sr-Latn-ME"/>
        </w:rPr>
      </w:pPr>
      <w:r w:rsidRPr="00A613D6">
        <w:rPr>
          <w:i/>
          <w:sz w:val="22"/>
          <w:szCs w:val="22"/>
          <w:lang w:val="sr-Latn-ME"/>
        </w:rPr>
        <w:t>Diuretici i antihipertenzivni ljekovi:</w:t>
      </w:r>
      <w:r w:rsidRPr="00A613D6">
        <w:rPr>
          <w:sz w:val="22"/>
          <w:szCs w:val="22"/>
          <w:lang w:val="sr-Latn-ME"/>
        </w:rPr>
        <w:t xml:space="preserve"> Može se uočiti smanjeno dejstvo diuretika i antihipertenziva. </w:t>
      </w:r>
    </w:p>
    <w:p w14:paraId="2B4F7C9C" w14:textId="77777777" w:rsidR="00D2274D" w:rsidRPr="00A613D6" w:rsidRDefault="00D2274D">
      <w:pPr>
        <w:jc w:val="both"/>
        <w:rPr>
          <w:sz w:val="22"/>
          <w:szCs w:val="22"/>
          <w:lang w:val="sr-Latn-ME"/>
        </w:rPr>
      </w:pPr>
    </w:p>
    <w:p w14:paraId="236C452A" w14:textId="194FF767" w:rsidR="00D2274D" w:rsidRPr="00A613D6" w:rsidRDefault="00D2274D">
      <w:pPr>
        <w:jc w:val="both"/>
        <w:rPr>
          <w:sz w:val="22"/>
          <w:szCs w:val="22"/>
          <w:lang w:val="sr-Latn-ME"/>
        </w:rPr>
      </w:pPr>
      <w:r w:rsidRPr="00A613D6">
        <w:rPr>
          <w:sz w:val="22"/>
          <w:szCs w:val="22"/>
          <w:lang w:val="sr-Latn-ME"/>
        </w:rPr>
        <w:t>Ovu kombinaciju treba primjenjivati sa oprezom, posebno kod starijih pacijenata koji zaht</w:t>
      </w:r>
      <w:r w:rsidR="00C728AB" w:rsidRPr="00A613D6">
        <w:rPr>
          <w:sz w:val="22"/>
          <w:szCs w:val="22"/>
          <w:lang w:val="sr-Latn-ME"/>
        </w:rPr>
        <w:t>i</w:t>
      </w:r>
      <w:r w:rsidRPr="00A613D6">
        <w:rPr>
          <w:sz w:val="22"/>
          <w:szCs w:val="22"/>
          <w:lang w:val="sr-Latn-ME"/>
        </w:rPr>
        <w:t>jevaju i periodičnu kontrolu krvnog pritiska. Pažnju treba usm</w:t>
      </w:r>
      <w:r w:rsidR="002A3F3F" w:rsidRPr="00A613D6">
        <w:rPr>
          <w:sz w:val="22"/>
          <w:szCs w:val="22"/>
          <w:lang w:val="sr-Latn-ME"/>
        </w:rPr>
        <w:t>j</w:t>
      </w:r>
      <w:r w:rsidRPr="00A613D6">
        <w:rPr>
          <w:sz w:val="22"/>
          <w:szCs w:val="22"/>
          <w:lang w:val="sr-Latn-ME"/>
        </w:rPr>
        <w:t>eriti na hidriranost pacijenata i na njihovu bubrežnu funkciju, naročito kod istovremene primjene sa diureticima i ACE inhibitorima</w:t>
      </w:r>
      <w:r w:rsidR="00304ABA" w:rsidRPr="00A613D6">
        <w:rPr>
          <w:sz w:val="22"/>
          <w:szCs w:val="22"/>
          <w:lang w:val="sr-Latn-ME"/>
        </w:rPr>
        <w:t>,</w:t>
      </w:r>
      <w:r w:rsidRPr="00A613D6">
        <w:rPr>
          <w:sz w:val="22"/>
          <w:szCs w:val="22"/>
          <w:lang w:val="sr-Latn-ME"/>
        </w:rPr>
        <w:t xml:space="preserve"> zbog povećanog rizika od nefrotoksičnosti.</w:t>
      </w:r>
    </w:p>
    <w:p w14:paraId="0BA62398" w14:textId="77777777" w:rsidR="00D2274D" w:rsidRPr="00A613D6" w:rsidRDefault="00D2274D">
      <w:pPr>
        <w:jc w:val="both"/>
        <w:rPr>
          <w:sz w:val="22"/>
          <w:szCs w:val="22"/>
          <w:lang w:val="sr-Latn-ME"/>
        </w:rPr>
      </w:pPr>
    </w:p>
    <w:p w14:paraId="7FB02EB2" w14:textId="2B57F186" w:rsidR="00D2274D" w:rsidRPr="00A613D6" w:rsidRDefault="00D2274D">
      <w:pPr>
        <w:jc w:val="both"/>
        <w:rPr>
          <w:sz w:val="22"/>
          <w:szCs w:val="22"/>
          <w:lang w:val="sr-Latn-ME"/>
        </w:rPr>
      </w:pPr>
      <w:r w:rsidRPr="00A613D6">
        <w:rPr>
          <w:sz w:val="22"/>
          <w:szCs w:val="22"/>
          <w:lang w:val="sr-Latn-ME"/>
        </w:rPr>
        <w:t xml:space="preserve">Diuretici mogu da povećaju rizik od nefrotoksičnosti NSAIL. Istovremena primjena sa diureticima koji štede kalijum može biti povezana sa povećanim nivoima kalijuma u serumu, tako da je potrebno praćenje nivoa kalijuma u serumu. </w:t>
      </w:r>
    </w:p>
    <w:p w14:paraId="67D97380" w14:textId="77777777" w:rsidR="00693F72" w:rsidRPr="00A613D6" w:rsidRDefault="00693F72">
      <w:pPr>
        <w:jc w:val="both"/>
        <w:rPr>
          <w:sz w:val="22"/>
          <w:szCs w:val="22"/>
          <w:lang w:val="sr-Latn-ME"/>
        </w:rPr>
      </w:pPr>
    </w:p>
    <w:p w14:paraId="24FC5083" w14:textId="39B10DD1" w:rsidR="00D2274D" w:rsidRPr="00A613D6" w:rsidRDefault="00D2274D">
      <w:pPr>
        <w:jc w:val="both"/>
        <w:rPr>
          <w:sz w:val="22"/>
          <w:szCs w:val="22"/>
          <w:lang w:val="sr-Latn-ME"/>
        </w:rPr>
      </w:pPr>
      <w:r w:rsidRPr="00A613D6">
        <w:rPr>
          <w:i/>
          <w:sz w:val="22"/>
          <w:szCs w:val="22"/>
          <w:lang w:val="sr-Latn-ME"/>
        </w:rPr>
        <w:t>Digoksin:</w:t>
      </w:r>
      <w:r w:rsidRPr="00A613D6">
        <w:rPr>
          <w:sz w:val="22"/>
          <w:szCs w:val="22"/>
          <w:lang w:val="sr-Latn-ME"/>
        </w:rPr>
        <w:t xml:space="preserve"> Može doći do porasta koncentracije digoksina u plazmi</w:t>
      </w:r>
      <w:r w:rsidR="00304ABA" w:rsidRPr="00A613D6">
        <w:rPr>
          <w:sz w:val="22"/>
          <w:szCs w:val="22"/>
          <w:lang w:val="sr-Latn-ME"/>
        </w:rPr>
        <w:t xml:space="preserve">; </w:t>
      </w:r>
      <w:r w:rsidRPr="00A613D6">
        <w:rPr>
          <w:sz w:val="22"/>
          <w:szCs w:val="22"/>
          <w:lang w:val="sr-Latn-ME"/>
        </w:rPr>
        <w:t>zbog toga se preporučuje redovno praćenje koncentracija digoksina u serumu.</w:t>
      </w:r>
    </w:p>
    <w:p w14:paraId="7EA97027" w14:textId="77777777" w:rsidR="00D2274D" w:rsidRPr="00A613D6" w:rsidRDefault="00D2274D">
      <w:pPr>
        <w:jc w:val="both"/>
        <w:rPr>
          <w:sz w:val="22"/>
          <w:szCs w:val="22"/>
          <w:lang w:val="sr-Latn-ME"/>
        </w:rPr>
      </w:pPr>
    </w:p>
    <w:p w14:paraId="45407BB5" w14:textId="77777777" w:rsidR="00D2274D" w:rsidRPr="00A613D6" w:rsidRDefault="00D2274D">
      <w:pPr>
        <w:jc w:val="both"/>
        <w:rPr>
          <w:sz w:val="22"/>
          <w:szCs w:val="22"/>
          <w:lang w:val="sr-Latn-ME"/>
        </w:rPr>
      </w:pPr>
      <w:r w:rsidRPr="00A613D6">
        <w:rPr>
          <w:i/>
          <w:sz w:val="22"/>
          <w:szCs w:val="22"/>
          <w:lang w:val="sr-Latn-ME"/>
        </w:rPr>
        <w:t>Kardiotonični  glikozidi:</w:t>
      </w:r>
      <w:r w:rsidRPr="00A613D6">
        <w:rPr>
          <w:sz w:val="22"/>
          <w:szCs w:val="22"/>
          <w:lang w:val="sr-Latn-ME"/>
        </w:rPr>
        <w:t xml:space="preserve"> Istovremena primjena srčanih glikozida i NSAIL kod pacijenta može da dovede do pogoršanja srčane insuficijencije, redukcije brzine glomerularne filtracije (engl. </w:t>
      </w:r>
      <w:r w:rsidRPr="00A613D6">
        <w:rPr>
          <w:i/>
          <w:sz w:val="22"/>
          <w:szCs w:val="22"/>
          <w:lang w:val="sr-Latn-ME"/>
        </w:rPr>
        <w:t>glomerular filtratioin rate,</w:t>
      </w:r>
      <w:r w:rsidRPr="00A613D6">
        <w:rPr>
          <w:sz w:val="22"/>
          <w:szCs w:val="22"/>
          <w:lang w:val="sr-Latn-ME"/>
        </w:rPr>
        <w:t xml:space="preserve"> GFR) i povećanja nivoa glikozida u plazmi.</w:t>
      </w:r>
    </w:p>
    <w:p w14:paraId="55D6AC30" w14:textId="77777777" w:rsidR="00D2274D" w:rsidRPr="00A613D6" w:rsidRDefault="00D2274D">
      <w:pPr>
        <w:jc w:val="both"/>
        <w:rPr>
          <w:sz w:val="22"/>
          <w:szCs w:val="22"/>
          <w:lang w:val="sr-Latn-ME"/>
        </w:rPr>
      </w:pPr>
    </w:p>
    <w:p w14:paraId="27989AAF" w14:textId="77777777" w:rsidR="00D2274D" w:rsidRPr="00A613D6" w:rsidRDefault="00D2274D">
      <w:pPr>
        <w:jc w:val="both"/>
        <w:rPr>
          <w:sz w:val="22"/>
          <w:szCs w:val="22"/>
          <w:lang w:val="sr-Latn-ME"/>
        </w:rPr>
      </w:pPr>
      <w:r w:rsidRPr="00A613D6">
        <w:rPr>
          <w:i/>
          <w:sz w:val="22"/>
          <w:szCs w:val="22"/>
          <w:lang w:val="sr-Latn-ME"/>
        </w:rPr>
        <w:t>Litijum:</w:t>
      </w:r>
      <w:r w:rsidRPr="00A613D6">
        <w:rPr>
          <w:sz w:val="22"/>
          <w:szCs w:val="22"/>
          <w:lang w:val="sr-Latn-ME"/>
        </w:rPr>
        <w:t xml:space="preserve"> Može doći do smanjene eliminacije litijuma, tako da se preporučuje redovno praćenje koncentracija litijuma u serumu.</w:t>
      </w:r>
    </w:p>
    <w:p w14:paraId="2472FEF9" w14:textId="77777777" w:rsidR="00D2274D" w:rsidRPr="00A613D6" w:rsidRDefault="00D2274D">
      <w:pPr>
        <w:jc w:val="both"/>
        <w:rPr>
          <w:sz w:val="22"/>
          <w:szCs w:val="22"/>
          <w:lang w:val="sr-Latn-ME"/>
        </w:rPr>
      </w:pPr>
    </w:p>
    <w:p w14:paraId="6AAC504D" w14:textId="77777777" w:rsidR="00D2274D" w:rsidRPr="00A613D6" w:rsidRDefault="00D2274D">
      <w:pPr>
        <w:jc w:val="both"/>
        <w:rPr>
          <w:sz w:val="22"/>
          <w:szCs w:val="22"/>
          <w:lang w:val="sr-Latn-ME"/>
        </w:rPr>
      </w:pPr>
      <w:r w:rsidRPr="00A613D6">
        <w:rPr>
          <w:i/>
          <w:sz w:val="22"/>
          <w:szCs w:val="22"/>
          <w:lang w:val="sr-Latn-ME"/>
        </w:rPr>
        <w:t>Metotreksat:</w:t>
      </w:r>
      <w:r w:rsidRPr="00A613D6">
        <w:rPr>
          <w:sz w:val="22"/>
          <w:szCs w:val="22"/>
          <w:lang w:val="sr-Latn-ME"/>
        </w:rPr>
        <w:t xml:space="preserve"> Potreban je oprez kada se NSAIL i metotreksat primjenjuju u vremenskom razmaku od 24 sata.</w:t>
      </w:r>
    </w:p>
    <w:p w14:paraId="6F917C80" w14:textId="77777777" w:rsidR="00D2274D" w:rsidRPr="00A613D6" w:rsidRDefault="00D2274D">
      <w:pPr>
        <w:jc w:val="both"/>
        <w:rPr>
          <w:sz w:val="22"/>
          <w:szCs w:val="22"/>
          <w:lang w:val="sr-Latn-ME"/>
        </w:rPr>
      </w:pPr>
    </w:p>
    <w:p w14:paraId="3B62353C" w14:textId="77777777" w:rsidR="00D2274D" w:rsidRPr="00A613D6" w:rsidRDefault="00D2274D">
      <w:pPr>
        <w:jc w:val="both"/>
        <w:rPr>
          <w:sz w:val="22"/>
          <w:szCs w:val="22"/>
          <w:lang w:val="sr-Latn-ME"/>
        </w:rPr>
      </w:pPr>
      <w:r w:rsidRPr="00A613D6">
        <w:rPr>
          <w:sz w:val="22"/>
          <w:szCs w:val="22"/>
          <w:lang w:val="sr-Latn-ME"/>
        </w:rPr>
        <w:t xml:space="preserve">Diklofenak može da inhibira tubularni bubrežni klirens metotreksata i na taj način poveća njegovu koncentraciju, što može dovesti do toksičnog dejstva. </w:t>
      </w:r>
    </w:p>
    <w:p w14:paraId="41A106A7" w14:textId="77777777" w:rsidR="00D2274D" w:rsidRPr="00A613D6" w:rsidRDefault="00D2274D">
      <w:pPr>
        <w:jc w:val="both"/>
        <w:rPr>
          <w:sz w:val="22"/>
          <w:szCs w:val="22"/>
          <w:lang w:val="sr-Latn-ME"/>
        </w:rPr>
      </w:pPr>
    </w:p>
    <w:p w14:paraId="598915EC" w14:textId="77777777" w:rsidR="00D2274D" w:rsidRPr="00A613D6" w:rsidRDefault="00D2274D">
      <w:pPr>
        <w:jc w:val="both"/>
        <w:rPr>
          <w:sz w:val="22"/>
          <w:szCs w:val="22"/>
          <w:lang w:val="sr-Latn-ME"/>
        </w:rPr>
      </w:pPr>
      <w:r w:rsidRPr="00A613D6">
        <w:rPr>
          <w:i/>
          <w:sz w:val="22"/>
          <w:szCs w:val="22"/>
          <w:lang w:val="sr-Latn-ME"/>
        </w:rPr>
        <w:t>Ciklosporin:</w:t>
      </w:r>
      <w:r w:rsidRPr="00A613D6">
        <w:rPr>
          <w:sz w:val="22"/>
          <w:szCs w:val="22"/>
          <w:lang w:val="sr-Latn-ME"/>
        </w:rPr>
        <w:t xml:space="preserve"> Povećan je rizik od nefrotoksičnosti, tako da je potrebno primjenjivati diklofenak u nižim dozama u odnosu na doze koje primaju pacijenti koji nisu na terapiji ciklosporinom.</w:t>
      </w:r>
    </w:p>
    <w:p w14:paraId="7B1AF618" w14:textId="77777777" w:rsidR="00D2274D" w:rsidRPr="00A613D6" w:rsidRDefault="00D2274D">
      <w:pPr>
        <w:jc w:val="both"/>
        <w:rPr>
          <w:sz w:val="22"/>
          <w:szCs w:val="22"/>
          <w:lang w:val="sr-Latn-ME"/>
        </w:rPr>
      </w:pPr>
    </w:p>
    <w:p w14:paraId="545FDE1E" w14:textId="77777777" w:rsidR="00D2274D" w:rsidRPr="00A613D6" w:rsidRDefault="00D2274D">
      <w:pPr>
        <w:jc w:val="both"/>
        <w:rPr>
          <w:sz w:val="22"/>
          <w:szCs w:val="22"/>
          <w:lang w:val="sr-Latn-ME"/>
        </w:rPr>
      </w:pPr>
      <w:r w:rsidRPr="00A613D6">
        <w:rPr>
          <w:i/>
          <w:sz w:val="22"/>
          <w:szCs w:val="22"/>
          <w:lang w:val="sr-Latn-ME"/>
        </w:rPr>
        <w:t>Mifepriston:</w:t>
      </w:r>
      <w:r w:rsidRPr="00A613D6">
        <w:rPr>
          <w:sz w:val="22"/>
          <w:szCs w:val="22"/>
          <w:lang w:val="sr-Latn-ME"/>
        </w:rPr>
        <w:t xml:space="preserve"> NSAIL ne treba da se koriste 8-12 dana nakon primjene mifepristona, jer mogu da smanje njegovo dejstvo.</w:t>
      </w:r>
    </w:p>
    <w:p w14:paraId="7CD91836" w14:textId="77777777" w:rsidR="00D2274D" w:rsidRPr="00A613D6" w:rsidRDefault="00D2274D">
      <w:pPr>
        <w:jc w:val="both"/>
        <w:rPr>
          <w:sz w:val="22"/>
          <w:szCs w:val="22"/>
          <w:lang w:val="sr-Latn-ME"/>
        </w:rPr>
      </w:pPr>
    </w:p>
    <w:p w14:paraId="2F82BE5D" w14:textId="1282637A" w:rsidR="00D2274D" w:rsidRPr="00A613D6" w:rsidRDefault="00D2274D">
      <w:pPr>
        <w:jc w:val="both"/>
        <w:rPr>
          <w:sz w:val="22"/>
          <w:szCs w:val="22"/>
          <w:lang w:val="sr-Latn-ME"/>
        </w:rPr>
      </w:pPr>
      <w:r w:rsidRPr="00A613D6">
        <w:rPr>
          <w:i/>
          <w:sz w:val="22"/>
          <w:szCs w:val="22"/>
          <w:lang w:val="sr-Latn-ME"/>
        </w:rPr>
        <w:t>Kortikosteroidi:</w:t>
      </w:r>
      <w:r w:rsidRPr="00A613D6">
        <w:rPr>
          <w:sz w:val="22"/>
          <w:szCs w:val="22"/>
          <w:lang w:val="sr-Latn-ME"/>
        </w:rPr>
        <w:t xml:space="preserve"> Povećan je rizik od gastrointestinalnih ulceracija i krvarenja (vid</w:t>
      </w:r>
      <w:r w:rsidR="00DA4684" w:rsidRPr="00A613D6">
        <w:rPr>
          <w:sz w:val="22"/>
          <w:szCs w:val="22"/>
          <w:lang w:val="sr-Latn-ME"/>
        </w:rPr>
        <w:t>j</w:t>
      </w:r>
      <w:r w:rsidRPr="00A613D6">
        <w:rPr>
          <w:sz w:val="22"/>
          <w:szCs w:val="22"/>
          <w:lang w:val="sr-Latn-ME"/>
        </w:rPr>
        <w:t xml:space="preserve">eti </w:t>
      </w:r>
      <w:r w:rsidR="00A44AAD" w:rsidRPr="00A613D6">
        <w:rPr>
          <w:sz w:val="22"/>
          <w:szCs w:val="22"/>
          <w:lang w:val="sr-Latn-ME"/>
        </w:rPr>
        <w:t xml:space="preserve">dio </w:t>
      </w:r>
      <w:r w:rsidRPr="00A613D6">
        <w:rPr>
          <w:sz w:val="22"/>
          <w:szCs w:val="22"/>
          <w:lang w:val="sr-Latn-ME"/>
        </w:rPr>
        <w:t>4.4).</w:t>
      </w:r>
    </w:p>
    <w:p w14:paraId="45CDBB3E" w14:textId="77777777" w:rsidR="00D2274D" w:rsidRPr="00A613D6" w:rsidRDefault="00D2274D">
      <w:pPr>
        <w:jc w:val="both"/>
        <w:rPr>
          <w:sz w:val="22"/>
          <w:szCs w:val="22"/>
          <w:lang w:val="sr-Latn-ME"/>
        </w:rPr>
      </w:pPr>
    </w:p>
    <w:p w14:paraId="009521FA" w14:textId="4C2F9D9A" w:rsidR="00D2274D" w:rsidRPr="00A613D6" w:rsidRDefault="00D2274D">
      <w:pPr>
        <w:jc w:val="both"/>
        <w:rPr>
          <w:sz w:val="22"/>
          <w:szCs w:val="22"/>
          <w:lang w:val="sr-Latn-ME"/>
        </w:rPr>
      </w:pPr>
      <w:r w:rsidRPr="00A613D6">
        <w:rPr>
          <w:i/>
          <w:sz w:val="22"/>
          <w:szCs w:val="22"/>
          <w:lang w:val="sr-Latn-ME"/>
        </w:rPr>
        <w:t>Antikoagulansi i antitrombocitni ljekovi:</w:t>
      </w:r>
      <w:r w:rsidRPr="00A613D6">
        <w:rPr>
          <w:sz w:val="22"/>
          <w:szCs w:val="22"/>
          <w:lang w:val="sr-Latn-ME"/>
        </w:rPr>
        <w:t xml:space="preserve"> Preporučuje se oprez</w:t>
      </w:r>
      <w:r w:rsidR="00A44AAD" w:rsidRPr="00A613D6">
        <w:rPr>
          <w:sz w:val="22"/>
          <w:szCs w:val="22"/>
          <w:lang w:val="sr-Latn-ME"/>
        </w:rPr>
        <w:t>,</w:t>
      </w:r>
      <w:r w:rsidRPr="00A613D6">
        <w:rPr>
          <w:sz w:val="22"/>
          <w:szCs w:val="22"/>
          <w:lang w:val="sr-Latn-ME"/>
        </w:rPr>
        <w:t xml:space="preserve"> pošto istovremena terapija može povećati rizik od krvarenja (vid</w:t>
      </w:r>
      <w:r w:rsidR="00DA4684" w:rsidRPr="00A613D6">
        <w:rPr>
          <w:sz w:val="22"/>
          <w:szCs w:val="22"/>
          <w:lang w:val="sr-Latn-ME"/>
        </w:rPr>
        <w:t>j</w:t>
      </w:r>
      <w:r w:rsidRPr="00A613D6">
        <w:rPr>
          <w:sz w:val="22"/>
          <w:szCs w:val="22"/>
          <w:lang w:val="sr-Latn-ME"/>
        </w:rPr>
        <w:t xml:space="preserve">eti </w:t>
      </w:r>
      <w:r w:rsidR="00A44AAD" w:rsidRPr="00A613D6">
        <w:rPr>
          <w:sz w:val="22"/>
          <w:szCs w:val="22"/>
          <w:lang w:val="sr-Latn-ME"/>
        </w:rPr>
        <w:t xml:space="preserve">dio </w:t>
      </w:r>
      <w:r w:rsidRPr="00A613D6">
        <w:rPr>
          <w:sz w:val="22"/>
          <w:szCs w:val="22"/>
          <w:lang w:val="sr-Latn-ME"/>
        </w:rPr>
        <w:t>4.4). Iako klinička ispitivanja ne ukazuju na to da diklofenak utiče na antikoagulantni efekat, prijavljeni su slučajevi kod kojih je istovremena primjena dikofenaka i antikoagulantnih ljekova povećala rizik od krvarenja. Neophodno je pažljivo praćenje ovih pacijenata.</w:t>
      </w:r>
    </w:p>
    <w:p w14:paraId="74452F3C" w14:textId="77777777" w:rsidR="00D2274D" w:rsidRPr="00A613D6" w:rsidRDefault="00D2274D">
      <w:pPr>
        <w:jc w:val="both"/>
        <w:rPr>
          <w:sz w:val="22"/>
          <w:szCs w:val="22"/>
          <w:lang w:val="sr-Latn-ME"/>
        </w:rPr>
      </w:pPr>
    </w:p>
    <w:p w14:paraId="1D321294" w14:textId="77777777" w:rsidR="00D2274D" w:rsidRPr="00A613D6" w:rsidRDefault="00D2274D">
      <w:pPr>
        <w:jc w:val="both"/>
        <w:rPr>
          <w:sz w:val="22"/>
          <w:szCs w:val="22"/>
          <w:lang w:val="sr-Latn-ME"/>
        </w:rPr>
      </w:pPr>
      <w:r w:rsidRPr="00A613D6">
        <w:rPr>
          <w:i/>
          <w:sz w:val="22"/>
          <w:szCs w:val="22"/>
          <w:lang w:val="sr-Latn-ME"/>
        </w:rPr>
        <w:t>Hinolonski antibiotici:</w:t>
      </w:r>
      <w:r w:rsidRPr="00A613D6">
        <w:rPr>
          <w:sz w:val="22"/>
          <w:szCs w:val="22"/>
          <w:lang w:val="sr-Latn-ME"/>
        </w:rPr>
        <w:t xml:space="preserve"> Podaci na životinjama ukazuju da NSAIL mogu da povećaju rizik od pojave konvulzija povezanih sa primjenom hinolonskih antibiotika. Kod pacijenata koji primaju NSAIL i hinolone povećan je rizik od pojave konvulzija. </w:t>
      </w:r>
    </w:p>
    <w:p w14:paraId="24FF677F" w14:textId="77777777" w:rsidR="00D2274D" w:rsidRPr="00A613D6" w:rsidRDefault="00D2274D">
      <w:pPr>
        <w:jc w:val="both"/>
        <w:rPr>
          <w:sz w:val="22"/>
          <w:szCs w:val="22"/>
          <w:lang w:val="sr-Latn-ME"/>
        </w:rPr>
      </w:pPr>
      <w:r w:rsidRPr="00A613D6">
        <w:rPr>
          <w:sz w:val="22"/>
          <w:szCs w:val="22"/>
          <w:lang w:val="sr-Latn-ME"/>
        </w:rPr>
        <w:t xml:space="preserve"> </w:t>
      </w:r>
    </w:p>
    <w:p w14:paraId="753241A9" w14:textId="550C2561" w:rsidR="00D2274D" w:rsidRPr="00A613D6" w:rsidRDefault="00D2274D">
      <w:pPr>
        <w:jc w:val="both"/>
        <w:rPr>
          <w:sz w:val="22"/>
          <w:szCs w:val="22"/>
          <w:lang w:val="sr-Latn-ME"/>
        </w:rPr>
      </w:pPr>
      <w:r w:rsidRPr="00A613D6">
        <w:rPr>
          <w:i/>
          <w:sz w:val="22"/>
          <w:szCs w:val="22"/>
          <w:lang w:val="sr-Latn-ME"/>
        </w:rPr>
        <w:t xml:space="preserve">Selektivni inhibitori ponovnog preuzimanja serotonina (SSRI): </w:t>
      </w:r>
      <w:r w:rsidRPr="00A613D6">
        <w:rPr>
          <w:sz w:val="22"/>
          <w:szCs w:val="22"/>
          <w:lang w:val="sr-Latn-ME"/>
        </w:rPr>
        <w:t>Povećan je rizik od gastrointestinalnog krvarenja (vid</w:t>
      </w:r>
      <w:r w:rsidR="00DA4684" w:rsidRPr="00A613D6">
        <w:rPr>
          <w:sz w:val="22"/>
          <w:szCs w:val="22"/>
          <w:lang w:val="sr-Latn-ME"/>
        </w:rPr>
        <w:t>j</w:t>
      </w:r>
      <w:r w:rsidRPr="00A613D6">
        <w:rPr>
          <w:sz w:val="22"/>
          <w:szCs w:val="22"/>
          <w:lang w:val="sr-Latn-ME"/>
        </w:rPr>
        <w:t xml:space="preserve">eti </w:t>
      </w:r>
      <w:r w:rsidR="00A44AAD" w:rsidRPr="00A613D6">
        <w:rPr>
          <w:sz w:val="22"/>
          <w:szCs w:val="22"/>
          <w:lang w:val="sr-Latn-ME"/>
        </w:rPr>
        <w:t xml:space="preserve">dio </w:t>
      </w:r>
      <w:r w:rsidRPr="00A613D6">
        <w:rPr>
          <w:sz w:val="22"/>
          <w:szCs w:val="22"/>
          <w:lang w:val="sr-Latn-ME"/>
        </w:rPr>
        <w:t>4.4).</w:t>
      </w:r>
    </w:p>
    <w:p w14:paraId="240DD806" w14:textId="77777777" w:rsidR="00D2274D" w:rsidRPr="00A613D6" w:rsidRDefault="00D2274D">
      <w:pPr>
        <w:jc w:val="both"/>
        <w:rPr>
          <w:sz w:val="22"/>
          <w:szCs w:val="22"/>
          <w:lang w:val="sr-Latn-ME"/>
        </w:rPr>
      </w:pPr>
    </w:p>
    <w:p w14:paraId="422519BF" w14:textId="77777777" w:rsidR="00D2274D" w:rsidRPr="00A613D6" w:rsidRDefault="00D2274D">
      <w:pPr>
        <w:jc w:val="both"/>
        <w:rPr>
          <w:sz w:val="22"/>
          <w:szCs w:val="22"/>
          <w:lang w:val="sr-Latn-ME"/>
        </w:rPr>
      </w:pPr>
      <w:r w:rsidRPr="00A613D6">
        <w:rPr>
          <w:i/>
          <w:sz w:val="22"/>
          <w:szCs w:val="22"/>
          <w:lang w:val="sr-Latn-ME"/>
        </w:rPr>
        <w:t>Takrolimus:</w:t>
      </w:r>
      <w:r w:rsidRPr="00A613D6">
        <w:rPr>
          <w:sz w:val="22"/>
          <w:szCs w:val="22"/>
          <w:lang w:val="sr-Latn-ME"/>
        </w:rPr>
        <w:t xml:space="preserve"> Moguć je porast rizika od nefrotoksičnosti kod istovremene primjene NSAIL sa takrolimusom. </w:t>
      </w:r>
    </w:p>
    <w:p w14:paraId="24599DBD" w14:textId="77777777" w:rsidR="00D2274D" w:rsidRPr="00A613D6" w:rsidRDefault="00D2274D">
      <w:pPr>
        <w:jc w:val="both"/>
        <w:rPr>
          <w:sz w:val="22"/>
          <w:szCs w:val="22"/>
          <w:lang w:val="sr-Latn-ME"/>
        </w:rPr>
      </w:pPr>
    </w:p>
    <w:p w14:paraId="1D051DF9" w14:textId="0531C979" w:rsidR="00D2274D" w:rsidRPr="00A613D6" w:rsidRDefault="00D2274D">
      <w:pPr>
        <w:jc w:val="both"/>
        <w:rPr>
          <w:sz w:val="22"/>
          <w:szCs w:val="22"/>
          <w:lang w:val="sr-Latn-ME"/>
        </w:rPr>
      </w:pPr>
      <w:r w:rsidRPr="00A613D6">
        <w:rPr>
          <w:i/>
          <w:sz w:val="22"/>
          <w:szCs w:val="22"/>
          <w:lang w:val="sr-Latn-ME"/>
        </w:rPr>
        <w:t xml:space="preserve">Zidovudin: </w:t>
      </w:r>
      <w:r w:rsidRPr="00A613D6">
        <w:rPr>
          <w:sz w:val="22"/>
          <w:szCs w:val="22"/>
          <w:lang w:val="sr-Latn-ME"/>
        </w:rPr>
        <w:t>Povećan je rizik od hematološke toksičnosti kada se NSAIL primjenjuju sa zidovudinom. Postoji dokaz za povećan rizik od hemartroza i hematoma kod HIV (+) hemofil</w:t>
      </w:r>
      <w:r w:rsidR="006953D7" w:rsidRPr="00A613D6">
        <w:rPr>
          <w:sz w:val="22"/>
          <w:szCs w:val="22"/>
          <w:lang w:val="sr-Latn-ME"/>
        </w:rPr>
        <w:t>ičar</w:t>
      </w:r>
      <w:r w:rsidRPr="00A613D6">
        <w:rPr>
          <w:sz w:val="22"/>
          <w:szCs w:val="22"/>
          <w:lang w:val="sr-Latn-ME"/>
        </w:rPr>
        <w:t>a koji istovremeno primaju zidovudin i ibuprofen.</w:t>
      </w:r>
    </w:p>
    <w:p w14:paraId="685BA9C7" w14:textId="77777777" w:rsidR="00D2274D" w:rsidRPr="00A613D6" w:rsidRDefault="00D2274D">
      <w:pPr>
        <w:jc w:val="both"/>
        <w:rPr>
          <w:sz w:val="22"/>
          <w:szCs w:val="22"/>
          <w:lang w:val="sr-Latn-ME"/>
        </w:rPr>
      </w:pPr>
    </w:p>
    <w:p w14:paraId="1F8D2CB5" w14:textId="77777777" w:rsidR="00D2274D" w:rsidRPr="00A613D6" w:rsidRDefault="00D2274D">
      <w:pPr>
        <w:jc w:val="both"/>
        <w:rPr>
          <w:sz w:val="22"/>
          <w:szCs w:val="22"/>
          <w:lang w:val="sr-Latn-ME"/>
        </w:rPr>
      </w:pPr>
      <w:r w:rsidRPr="00A613D6">
        <w:rPr>
          <w:i/>
          <w:sz w:val="22"/>
          <w:szCs w:val="22"/>
          <w:lang w:val="sr-Latn-ME"/>
        </w:rPr>
        <w:t>Fenitoin:</w:t>
      </w:r>
      <w:r w:rsidRPr="00A613D6">
        <w:rPr>
          <w:sz w:val="22"/>
          <w:szCs w:val="22"/>
          <w:lang w:val="sr-Latn-ME"/>
        </w:rPr>
        <w:t xml:space="preserve"> Preporučuje se praćenje koncentracija fenitoina u plazmi, zbog očekivanog povećanja nivoa fenitoina.</w:t>
      </w:r>
    </w:p>
    <w:p w14:paraId="05F8E76F" w14:textId="77777777" w:rsidR="00D2274D" w:rsidRPr="00A613D6" w:rsidRDefault="00D2274D">
      <w:pPr>
        <w:jc w:val="both"/>
        <w:rPr>
          <w:sz w:val="22"/>
          <w:szCs w:val="22"/>
          <w:lang w:val="sr-Latn-ME"/>
        </w:rPr>
      </w:pPr>
    </w:p>
    <w:p w14:paraId="38D35255" w14:textId="77777777" w:rsidR="00D2274D" w:rsidRPr="00A613D6" w:rsidRDefault="00D2274D">
      <w:pPr>
        <w:jc w:val="both"/>
        <w:rPr>
          <w:sz w:val="22"/>
          <w:szCs w:val="22"/>
          <w:lang w:val="sr-Latn-ME"/>
        </w:rPr>
      </w:pPr>
      <w:r w:rsidRPr="00A613D6">
        <w:rPr>
          <w:i/>
          <w:sz w:val="22"/>
          <w:szCs w:val="22"/>
          <w:lang w:val="sr-Latn-ME"/>
        </w:rPr>
        <w:t>Holestipol i holestiramin:</w:t>
      </w:r>
      <w:r w:rsidRPr="00A613D6">
        <w:rPr>
          <w:sz w:val="22"/>
          <w:szCs w:val="22"/>
          <w:lang w:val="sr-Latn-ME"/>
        </w:rPr>
        <w:t xml:space="preserve"> Ovi ljekovi mogu da indukuju odlaganje ili smanjenje resorpcije diklofenaka, te se preporučuje primjena diklofenaka najmanje 1 sat prije ili 4-6 sati nakon primjene holestipola/holestiramina.</w:t>
      </w:r>
    </w:p>
    <w:p w14:paraId="1E0A6BE2" w14:textId="77777777" w:rsidR="00D2274D" w:rsidRPr="00A613D6" w:rsidRDefault="00D2274D">
      <w:pPr>
        <w:jc w:val="both"/>
        <w:rPr>
          <w:sz w:val="22"/>
          <w:szCs w:val="22"/>
          <w:lang w:val="sr-Latn-ME"/>
        </w:rPr>
      </w:pPr>
    </w:p>
    <w:p w14:paraId="10D99140" w14:textId="620AE0F3" w:rsidR="00D2274D" w:rsidRPr="00A613D6" w:rsidRDefault="00D2274D">
      <w:pPr>
        <w:jc w:val="both"/>
        <w:rPr>
          <w:i/>
          <w:sz w:val="22"/>
          <w:szCs w:val="22"/>
          <w:lang w:val="sr-Latn-ME"/>
        </w:rPr>
      </w:pPr>
      <w:r w:rsidRPr="00A613D6">
        <w:rPr>
          <w:i/>
          <w:sz w:val="22"/>
          <w:szCs w:val="22"/>
          <w:lang w:val="sr-Latn-ME"/>
        </w:rPr>
        <w:t>Snažni inhibitori CYP2C9:</w:t>
      </w:r>
      <w:r w:rsidRPr="00A613D6">
        <w:rPr>
          <w:sz w:val="22"/>
          <w:szCs w:val="22"/>
          <w:lang w:val="sr-Latn-ME"/>
        </w:rPr>
        <w:t xml:space="preserve"> Preporučuje se oprez u slučaju kada se istovremeno propisuju diklofenak i snažni inhibitori CYP2C9 (kao što su sulfinpirazon i vorikonazol), što može dovesti do značajnog porasta koncentracije u plazmi i raspoloživosti diklofenaka usljed inhibicije metabolizma diklofenaka.</w:t>
      </w:r>
      <w:r w:rsidRPr="00A613D6">
        <w:rPr>
          <w:i/>
          <w:sz w:val="22"/>
          <w:szCs w:val="22"/>
          <w:lang w:val="sr-Latn-ME"/>
        </w:rPr>
        <w:t xml:space="preserve"> </w:t>
      </w:r>
    </w:p>
    <w:p w14:paraId="05A5F70E" w14:textId="77777777" w:rsidR="00D2274D" w:rsidRPr="00A613D6" w:rsidRDefault="00D2274D">
      <w:pPr>
        <w:jc w:val="both"/>
        <w:rPr>
          <w:i/>
          <w:sz w:val="22"/>
          <w:szCs w:val="22"/>
          <w:lang w:val="sr-Latn-ME"/>
        </w:rPr>
      </w:pPr>
    </w:p>
    <w:p w14:paraId="4B038D68" w14:textId="5F0CB4C3" w:rsidR="00D2274D" w:rsidRPr="00A613D6" w:rsidRDefault="00D2274D">
      <w:pPr>
        <w:jc w:val="both"/>
        <w:rPr>
          <w:sz w:val="22"/>
          <w:szCs w:val="22"/>
          <w:lang w:val="sr-Latn-ME"/>
        </w:rPr>
      </w:pPr>
      <w:r w:rsidRPr="00A613D6">
        <w:rPr>
          <w:i/>
          <w:sz w:val="22"/>
          <w:szCs w:val="22"/>
          <w:lang w:val="sr-Latn-ME"/>
        </w:rPr>
        <w:t>Antidijabetici:</w:t>
      </w:r>
      <w:r w:rsidRPr="00A613D6">
        <w:rPr>
          <w:sz w:val="22"/>
          <w:szCs w:val="22"/>
          <w:lang w:val="sr-Latn-ME"/>
        </w:rPr>
        <w:t xml:space="preserve"> Kliničke studije su pokazale da diklofenak može da se primjenjuje istovremeno sa oralnim antidijabeticima bez uticaja na njihovo kliničko dejstvo. Međutim, prijavljeni su izolovani </w:t>
      </w:r>
      <w:r w:rsidRPr="00A613D6">
        <w:rPr>
          <w:sz w:val="22"/>
          <w:szCs w:val="22"/>
          <w:lang w:val="sr-Latn-ME"/>
        </w:rPr>
        <w:lastRenderedPageBreak/>
        <w:t>slučajevi pojave hiperglikemije i hipoglikemije kod istovremene primjene oralnih antidijabetika i diklofenaka, kada je bilo neophodno korigovati dozu oralnih antidijabetika. Preporučuje se praćenje nivoa glukoze u krvi kao m</w:t>
      </w:r>
      <w:r w:rsidR="002A3F3F" w:rsidRPr="00A613D6">
        <w:rPr>
          <w:sz w:val="22"/>
          <w:szCs w:val="22"/>
          <w:lang w:val="sr-Latn-ME"/>
        </w:rPr>
        <w:t>j</w:t>
      </w:r>
      <w:r w:rsidRPr="00A613D6">
        <w:rPr>
          <w:sz w:val="22"/>
          <w:szCs w:val="22"/>
          <w:lang w:val="sr-Latn-ME"/>
        </w:rPr>
        <w:t>era predostrožnosti kod istovremene primjene ovih ljekova.</w:t>
      </w:r>
    </w:p>
    <w:p w14:paraId="6254A6E5" w14:textId="77777777" w:rsidR="00D2274D" w:rsidRPr="00A613D6" w:rsidRDefault="00D2274D">
      <w:pPr>
        <w:jc w:val="both"/>
        <w:rPr>
          <w:sz w:val="22"/>
          <w:szCs w:val="22"/>
          <w:lang w:val="sr-Latn-ME"/>
        </w:rPr>
      </w:pPr>
    </w:p>
    <w:p w14:paraId="64939068" w14:textId="6FA60780" w:rsidR="00D2274D" w:rsidRPr="00A613D6" w:rsidRDefault="00D2274D">
      <w:pPr>
        <w:jc w:val="both"/>
        <w:rPr>
          <w:sz w:val="22"/>
          <w:szCs w:val="22"/>
          <w:u w:val="single"/>
          <w:lang w:val="sr-Latn-ME"/>
        </w:rPr>
      </w:pPr>
      <w:r w:rsidRPr="00A613D6">
        <w:rPr>
          <w:sz w:val="22"/>
          <w:szCs w:val="22"/>
          <w:u w:val="single"/>
          <w:lang w:val="sr-Latn-ME"/>
        </w:rPr>
        <w:t>Omeprazol</w:t>
      </w:r>
    </w:p>
    <w:p w14:paraId="4F7AA4CC" w14:textId="77777777" w:rsidR="00693F72" w:rsidRPr="00A613D6" w:rsidRDefault="00693F72">
      <w:pPr>
        <w:jc w:val="both"/>
        <w:rPr>
          <w:sz w:val="22"/>
          <w:szCs w:val="22"/>
          <w:u w:val="single"/>
          <w:lang w:val="sr-Latn-ME"/>
        </w:rPr>
      </w:pPr>
    </w:p>
    <w:p w14:paraId="0C17D13B" w14:textId="4D49DDDA" w:rsidR="00D2274D" w:rsidRPr="00A613D6" w:rsidRDefault="00D2274D">
      <w:pPr>
        <w:pStyle w:val="Header"/>
        <w:jc w:val="both"/>
        <w:rPr>
          <w:sz w:val="22"/>
          <w:szCs w:val="22"/>
          <w:u w:val="single"/>
          <w:lang w:val="sr-Latn-ME"/>
        </w:rPr>
      </w:pPr>
      <w:r w:rsidRPr="00A613D6">
        <w:rPr>
          <w:sz w:val="22"/>
          <w:szCs w:val="22"/>
          <w:u w:val="single"/>
          <w:lang w:val="sr-Latn-ME"/>
        </w:rPr>
        <w:t>Uticaj omeprazola na farmakokinetiku drugih aktivnih supstanci</w:t>
      </w:r>
    </w:p>
    <w:p w14:paraId="25D0CD70" w14:textId="77777777" w:rsidR="00A7200A" w:rsidRPr="00A613D6" w:rsidRDefault="00A7200A">
      <w:pPr>
        <w:pStyle w:val="Header"/>
        <w:jc w:val="both"/>
        <w:rPr>
          <w:sz w:val="22"/>
          <w:szCs w:val="22"/>
          <w:u w:val="single"/>
          <w:lang w:val="sr-Latn-ME"/>
        </w:rPr>
      </w:pPr>
    </w:p>
    <w:p w14:paraId="08C28A0C" w14:textId="1C76DFDB" w:rsidR="00D2274D" w:rsidRPr="00A613D6" w:rsidRDefault="00D2274D">
      <w:pPr>
        <w:pStyle w:val="Header"/>
        <w:jc w:val="both"/>
        <w:rPr>
          <w:i/>
          <w:sz w:val="22"/>
          <w:szCs w:val="22"/>
          <w:u w:val="single"/>
          <w:lang w:val="sr-Latn-ME"/>
        </w:rPr>
      </w:pPr>
      <w:r w:rsidRPr="00A613D6">
        <w:rPr>
          <w:i/>
          <w:sz w:val="22"/>
          <w:szCs w:val="22"/>
          <w:u w:val="single"/>
          <w:lang w:val="sr-Latn-ME"/>
        </w:rPr>
        <w:t>Aktivne supstance čija resorpcija zavisi od pH vr</w:t>
      </w:r>
      <w:r w:rsidR="004D7AFD" w:rsidRPr="00A613D6">
        <w:rPr>
          <w:i/>
          <w:sz w:val="22"/>
          <w:szCs w:val="22"/>
          <w:u w:val="single"/>
          <w:lang w:val="sr-Latn-ME"/>
        </w:rPr>
        <w:t>ij</w:t>
      </w:r>
      <w:r w:rsidRPr="00A613D6">
        <w:rPr>
          <w:i/>
          <w:sz w:val="22"/>
          <w:szCs w:val="22"/>
          <w:u w:val="single"/>
          <w:lang w:val="sr-Latn-ME"/>
        </w:rPr>
        <w:t>ednosti</w:t>
      </w:r>
    </w:p>
    <w:p w14:paraId="2A369805" w14:textId="77777777" w:rsidR="00D2274D" w:rsidRPr="00A613D6" w:rsidRDefault="00D2274D">
      <w:pPr>
        <w:pStyle w:val="Header"/>
        <w:jc w:val="both"/>
        <w:rPr>
          <w:sz w:val="22"/>
          <w:szCs w:val="22"/>
          <w:lang w:val="sr-Latn-ME"/>
        </w:rPr>
      </w:pPr>
      <w:r w:rsidRPr="00A613D6">
        <w:rPr>
          <w:sz w:val="22"/>
          <w:szCs w:val="22"/>
          <w:lang w:val="sr-Latn-ME"/>
        </w:rPr>
        <w:t>Smanjena želudačna kiselost tokom terapije omeprazolom može povećati ili smanjiti resorpciju aktivnih supstanci čija resorpcija zavisi od vrijednosti pH u želucu.</w:t>
      </w:r>
    </w:p>
    <w:p w14:paraId="0E42502D" w14:textId="77777777" w:rsidR="00A371FC" w:rsidRPr="00A613D6" w:rsidRDefault="00A371FC">
      <w:pPr>
        <w:pStyle w:val="Header"/>
        <w:jc w:val="both"/>
        <w:rPr>
          <w:i/>
          <w:iCs/>
          <w:sz w:val="22"/>
          <w:szCs w:val="22"/>
          <w:lang w:val="sr-Latn-ME"/>
        </w:rPr>
      </w:pPr>
    </w:p>
    <w:p w14:paraId="4ED66C38" w14:textId="6AA670CD" w:rsidR="00D2274D" w:rsidRPr="00A613D6" w:rsidRDefault="00D2274D">
      <w:pPr>
        <w:pStyle w:val="Header"/>
        <w:jc w:val="both"/>
        <w:rPr>
          <w:i/>
          <w:iCs/>
          <w:sz w:val="22"/>
          <w:szCs w:val="22"/>
          <w:lang w:val="sr-Latn-ME"/>
        </w:rPr>
      </w:pPr>
      <w:r w:rsidRPr="00A613D6">
        <w:rPr>
          <w:i/>
          <w:iCs/>
          <w:sz w:val="22"/>
          <w:szCs w:val="22"/>
          <w:lang w:val="sr-Latn-ME"/>
        </w:rPr>
        <w:t>Nelfinavir, atazanavir</w:t>
      </w:r>
    </w:p>
    <w:p w14:paraId="13028A38" w14:textId="77777777" w:rsidR="00D2274D" w:rsidRPr="00A613D6" w:rsidRDefault="00D2274D">
      <w:pPr>
        <w:pStyle w:val="Header"/>
        <w:jc w:val="both"/>
        <w:rPr>
          <w:iCs/>
          <w:sz w:val="22"/>
          <w:szCs w:val="22"/>
          <w:lang w:val="sr-Latn-ME"/>
        </w:rPr>
      </w:pPr>
      <w:r w:rsidRPr="00A613D6">
        <w:rPr>
          <w:iCs/>
          <w:sz w:val="22"/>
          <w:szCs w:val="22"/>
          <w:lang w:val="sr-Latn-ME"/>
        </w:rPr>
        <w:t>Prilikom istovremene primjene nelfinavira i atazanavira sa omeprazolom dolazi do smanjene koncentracije nelfinavira i atazanavira u plazmi.</w:t>
      </w:r>
    </w:p>
    <w:p w14:paraId="637D5312" w14:textId="77777777" w:rsidR="00D2274D" w:rsidRPr="00A613D6" w:rsidRDefault="00D2274D">
      <w:pPr>
        <w:pStyle w:val="Header"/>
        <w:jc w:val="both"/>
        <w:rPr>
          <w:iCs/>
          <w:sz w:val="22"/>
          <w:szCs w:val="22"/>
          <w:lang w:val="sr-Latn-ME"/>
        </w:rPr>
      </w:pPr>
    </w:p>
    <w:p w14:paraId="59E8B360" w14:textId="17767969" w:rsidR="00D2274D" w:rsidRPr="00A613D6" w:rsidRDefault="00D2274D">
      <w:pPr>
        <w:pStyle w:val="Header"/>
        <w:jc w:val="both"/>
        <w:rPr>
          <w:iCs/>
          <w:sz w:val="22"/>
          <w:szCs w:val="22"/>
          <w:lang w:val="sr-Latn-ME"/>
        </w:rPr>
      </w:pPr>
      <w:r w:rsidRPr="00A613D6">
        <w:rPr>
          <w:iCs/>
          <w:sz w:val="22"/>
          <w:szCs w:val="22"/>
          <w:lang w:val="sr-Latn-ME"/>
        </w:rPr>
        <w:t>Istovremena primjena omeprazola i nelfinavira je kontraindikovana (vid</w:t>
      </w:r>
      <w:r w:rsidR="00DA4684" w:rsidRPr="00A613D6">
        <w:rPr>
          <w:iCs/>
          <w:sz w:val="22"/>
          <w:szCs w:val="22"/>
          <w:lang w:val="sr-Latn-ME"/>
        </w:rPr>
        <w:t>j</w:t>
      </w:r>
      <w:r w:rsidRPr="00A613D6">
        <w:rPr>
          <w:iCs/>
          <w:sz w:val="22"/>
          <w:szCs w:val="22"/>
          <w:lang w:val="sr-Latn-ME"/>
        </w:rPr>
        <w:t xml:space="preserve">eti </w:t>
      </w:r>
      <w:r w:rsidR="003D643A" w:rsidRPr="00A613D6">
        <w:rPr>
          <w:iCs/>
          <w:sz w:val="22"/>
          <w:szCs w:val="22"/>
          <w:lang w:val="sr-Latn-ME"/>
        </w:rPr>
        <w:t xml:space="preserve">dio </w:t>
      </w:r>
      <w:r w:rsidRPr="00A613D6">
        <w:rPr>
          <w:iCs/>
          <w:sz w:val="22"/>
          <w:szCs w:val="22"/>
          <w:lang w:val="sr-Latn-ME"/>
        </w:rPr>
        <w:t>4.3). Istovremena primjena omeprazola (40 mg jednom dnevno) smanjuje raspoloživost nelfinavira za 40 %, a njegovog glavnog metabolita M8 za 75 – 90 %. Interakcija može ići preko inhibicije CYP2C19.</w:t>
      </w:r>
    </w:p>
    <w:p w14:paraId="4F3661E9" w14:textId="77777777" w:rsidR="00D2274D" w:rsidRPr="00A613D6" w:rsidRDefault="00D2274D">
      <w:pPr>
        <w:pStyle w:val="Header"/>
        <w:tabs>
          <w:tab w:val="left" w:pos="284"/>
        </w:tabs>
        <w:jc w:val="both"/>
        <w:rPr>
          <w:sz w:val="22"/>
          <w:szCs w:val="22"/>
          <w:lang w:val="sr-Latn-ME"/>
        </w:rPr>
      </w:pPr>
    </w:p>
    <w:p w14:paraId="74570108" w14:textId="5B074E7F" w:rsidR="00D2274D" w:rsidRPr="00A613D6" w:rsidRDefault="00D2274D">
      <w:pPr>
        <w:pStyle w:val="Header"/>
        <w:jc w:val="both"/>
        <w:rPr>
          <w:sz w:val="22"/>
          <w:szCs w:val="22"/>
          <w:lang w:val="sr-Latn-ME"/>
        </w:rPr>
      </w:pPr>
      <w:r w:rsidRPr="00A613D6">
        <w:rPr>
          <w:sz w:val="22"/>
          <w:szCs w:val="22"/>
          <w:lang w:val="sr-Latn-ME"/>
        </w:rPr>
        <w:t>Istovremena primjena omeprazola sa atazanavirom nije preporučljiva (vid</w:t>
      </w:r>
      <w:r w:rsidR="00DA4684" w:rsidRPr="00A613D6">
        <w:rPr>
          <w:sz w:val="22"/>
          <w:szCs w:val="22"/>
          <w:lang w:val="sr-Latn-ME"/>
        </w:rPr>
        <w:t>j</w:t>
      </w:r>
      <w:r w:rsidRPr="00A613D6">
        <w:rPr>
          <w:sz w:val="22"/>
          <w:szCs w:val="22"/>
          <w:lang w:val="sr-Latn-ME"/>
        </w:rPr>
        <w:t xml:space="preserve">eti </w:t>
      </w:r>
      <w:r w:rsidR="003D643A" w:rsidRPr="00A613D6">
        <w:rPr>
          <w:sz w:val="22"/>
          <w:szCs w:val="22"/>
          <w:lang w:val="sr-Latn-ME"/>
        </w:rPr>
        <w:t xml:space="preserve">dio </w:t>
      </w:r>
      <w:r w:rsidRPr="00A613D6">
        <w:rPr>
          <w:sz w:val="22"/>
          <w:szCs w:val="22"/>
          <w:lang w:val="sr-Latn-ME"/>
        </w:rPr>
        <w:t>4.4). Istovremena primjena omeprazola (40 mg jednom dnevno) i atazanavira 300 mg/ritonavira 100 mg kod zdravih dobrovoljaca dovodi</w:t>
      </w:r>
      <w:r w:rsidR="003D643A" w:rsidRPr="00A613D6">
        <w:rPr>
          <w:sz w:val="22"/>
          <w:szCs w:val="22"/>
          <w:lang w:val="sr-Latn-ME"/>
        </w:rPr>
        <w:t>lo je</w:t>
      </w:r>
      <w:r w:rsidRPr="00A613D6">
        <w:rPr>
          <w:sz w:val="22"/>
          <w:szCs w:val="22"/>
          <w:lang w:val="sr-Latn-ME"/>
        </w:rPr>
        <w:t xml:space="preserve"> do smanjenja raspoloživosti atazanavira za 75 %. Povećanje doze atazanavira na 400 mg n</w:t>
      </w:r>
      <w:r w:rsidR="003D643A" w:rsidRPr="00A613D6">
        <w:rPr>
          <w:sz w:val="22"/>
          <w:szCs w:val="22"/>
          <w:lang w:val="sr-Latn-ME"/>
        </w:rPr>
        <w:t>ij</w:t>
      </w:r>
      <w:r w:rsidRPr="00A613D6">
        <w:rPr>
          <w:sz w:val="22"/>
          <w:szCs w:val="22"/>
          <w:lang w:val="sr-Latn-ME"/>
        </w:rPr>
        <w:t xml:space="preserve">e </w:t>
      </w:r>
      <w:r w:rsidR="003D643A" w:rsidRPr="00A613D6">
        <w:rPr>
          <w:sz w:val="22"/>
          <w:szCs w:val="22"/>
          <w:lang w:val="sr-Latn-ME"/>
        </w:rPr>
        <w:t xml:space="preserve">kompenzovalo </w:t>
      </w:r>
      <w:r w:rsidRPr="00A613D6">
        <w:rPr>
          <w:sz w:val="22"/>
          <w:szCs w:val="22"/>
          <w:lang w:val="sr-Latn-ME"/>
        </w:rPr>
        <w:t>uticaj omeprazola na raspoloživost atazanavira. Istovremena primjena omeprazola (20 mg jednom dnevno) sa atazanavirom 400 mg/ritonavirom 100 mg kod zdravih dobrovoljaca rezultira</w:t>
      </w:r>
      <w:r w:rsidR="003D643A" w:rsidRPr="00A613D6">
        <w:rPr>
          <w:sz w:val="22"/>
          <w:szCs w:val="22"/>
          <w:lang w:val="sr-Latn-ME"/>
        </w:rPr>
        <w:t>lo je</w:t>
      </w:r>
      <w:r w:rsidRPr="00A613D6">
        <w:rPr>
          <w:sz w:val="22"/>
          <w:szCs w:val="22"/>
          <w:lang w:val="sr-Latn-ME"/>
        </w:rPr>
        <w:t xml:space="preserve"> u smanjenju raspoloživosti atazanavira za 30 % u poređenju sa atazanavirom 300 mg/ritonavirom 100 mg jednom dnevno.</w:t>
      </w:r>
    </w:p>
    <w:p w14:paraId="48CF847F" w14:textId="77777777" w:rsidR="00D2274D" w:rsidRPr="00A613D6" w:rsidRDefault="00D2274D">
      <w:pPr>
        <w:pStyle w:val="Header"/>
        <w:tabs>
          <w:tab w:val="left" w:pos="284"/>
        </w:tabs>
        <w:jc w:val="both"/>
        <w:rPr>
          <w:i/>
          <w:iCs/>
          <w:sz w:val="22"/>
          <w:szCs w:val="22"/>
          <w:lang w:val="sr-Latn-ME"/>
        </w:rPr>
      </w:pPr>
    </w:p>
    <w:p w14:paraId="5C1AC7E3" w14:textId="77777777" w:rsidR="00D2274D" w:rsidRPr="00A613D6" w:rsidRDefault="00D2274D">
      <w:pPr>
        <w:pStyle w:val="Header"/>
        <w:jc w:val="both"/>
        <w:rPr>
          <w:i/>
          <w:iCs/>
          <w:sz w:val="22"/>
          <w:szCs w:val="22"/>
          <w:lang w:val="sr-Latn-ME"/>
        </w:rPr>
      </w:pPr>
      <w:r w:rsidRPr="00A613D6">
        <w:rPr>
          <w:i/>
          <w:iCs/>
          <w:sz w:val="22"/>
          <w:szCs w:val="22"/>
          <w:lang w:val="sr-Latn-ME"/>
        </w:rPr>
        <w:t>Digoksin</w:t>
      </w:r>
    </w:p>
    <w:p w14:paraId="0A7341CF" w14:textId="1613EDE6" w:rsidR="00D2274D" w:rsidRPr="00A613D6" w:rsidRDefault="00D2274D">
      <w:pPr>
        <w:pStyle w:val="Header"/>
        <w:jc w:val="both"/>
        <w:rPr>
          <w:iCs/>
          <w:sz w:val="22"/>
          <w:szCs w:val="22"/>
          <w:lang w:val="sr-Latn-ME"/>
        </w:rPr>
      </w:pPr>
      <w:r w:rsidRPr="00A613D6">
        <w:rPr>
          <w:iCs/>
          <w:sz w:val="22"/>
          <w:szCs w:val="22"/>
          <w:lang w:val="sr-Latn-ME"/>
        </w:rPr>
        <w:t>Istovremena primjena sa omeprazolom (20 mg dnevno) kod zdravih dobrovoljaca dovodi</w:t>
      </w:r>
      <w:r w:rsidR="003D643A" w:rsidRPr="00A613D6">
        <w:rPr>
          <w:iCs/>
          <w:sz w:val="22"/>
          <w:szCs w:val="22"/>
          <w:lang w:val="sr-Latn-ME"/>
        </w:rPr>
        <w:t>l</w:t>
      </w:r>
      <w:r w:rsidR="00792656" w:rsidRPr="00A613D6">
        <w:rPr>
          <w:iCs/>
          <w:sz w:val="22"/>
          <w:szCs w:val="22"/>
          <w:lang w:val="sr-Latn-ME"/>
        </w:rPr>
        <w:t>a</w:t>
      </w:r>
      <w:r w:rsidR="003D643A" w:rsidRPr="00A613D6">
        <w:rPr>
          <w:iCs/>
          <w:sz w:val="22"/>
          <w:szCs w:val="22"/>
          <w:lang w:val="sr-Latn-ME"/>
        </w:rPr>
        <w:t xml:space="preserve"> je</w:t>
      </w:r>
      <w:r w:rsidRPr="00A613D6">
        <w:rPr>
          <w:iCs/>
          <w:sz w:val="22"/>
          <w:szCs w:val="22"/>
          <w:lang w:val="sr-Latn-ME"/>
        </w:rPr>
        <w:t xml:space="preserve"> do povećanja biološke raspoloživosti digoksina za 10 %. Toksičnost digoksina rijetko je prim</w:t>
      </w:r>
      <w:r w:rsidR="003D643A" w:rsidRPr="00A613D6">
        <w:rPr>
          <w:iCs/>
          <w:sz w:val="22"/>
          <w:szCs w:val="22"/>
          <w:lang w:val="sr-Latn-ME"/>
        </w:rPr>
        <w:t>i</w:t>
      </w:r>
      <w:r w:rsidRPr="00A613D6">
        <w:rPr>
          <w:iCs/>
          <w:sz w:val="22"/>
          <w:szCs w:val="22"/>
          <w:lang w:val="sr-Latn-ME"/>
        </w:rPr>
        <w:t>jećena. Ipak, oprez je potreban kod starijih osoba koje uzimaju veće doze omeprazola. Potrebno je terapijsko praćenje koncentracije digoksina.</w:t>
      </w:r>
    </w:p>
    <w:p w14:paraId="02B05CB9" w14:textId="77777777" w:rsidR="00D2274D" w:rsidRPr="00A613D6" w:rsidRDefault="00D2274D">
      <w:pPr>
        <w:pStyle w:val="Header"/>
        <w:jc w:val="both"/>
        <w:rPr>
          <w:iCs/>
          <w:sz w:val="22"/>
          <w:szCs w:val="22"/>
          <w:lang w:val="sr-Latn-ME"/>
        </w:rPr>
      </w:pPr>
    </w:p>
    <w:p w14:paraId="42E1D35D" w14:textId="77777777" w:rsidR="00D2274D" w:rsidRPr="00A613D6" w:rsidRDefault="00D2274D">
      <w:pPr>
        <w:pStyle w:val="Header"/>
        <w:jc w:val="both"/>
        <w:rPr>
          <w:i/>
          <w:iCs/>
          <w:sz w:val="22"/>
          <w:szCs w:val="22"/>
          <w:lang w:val="sr-Latn-ME"/>
        </w:rPr>
      </w:pPr>
      <w:r w:rsidRPr="00A613D6">
        <w:rPr>
          <w:i/>
          <w:iCs/>
          <w:sz w:val="22"/>
          <w:szCs w:val="22"/>
          <w:lang w:val="sr-Latn-ME"/>
        </w:rPr>
        <w:t>Klopidogrel</w:t>
      </w:r>
    </w:p>
    <w:p w14:paraId="6C766C6E" w14:textId="6EF5BC03" w:rsidR="00D2274D" w:rsidRPr="00A613D6" w:rsidRDefault="00D2274D">
      <w:pPr>
        <w:pStyle w:val="Header"/>
        <w:jc w:val="both"/>
        <w:rPr>
          <w:iCs/>
          <w:sz w:val="22"/>
          <w:szCs w:val="22"/>
          <w:lang w:val="sr-Latn-ME"/>
        </w:rPr>
      </w:pPr>
      <w:r w:rsidRPr="00A613D6">
        <w:rPr>
          <w:iCs/>
          <w:sz w:val="22"/>
          <w:szCs w:val="22"/>
          <w:lang w:val="sr-Latn-ME"/>
        </w:rPr>
        <w:t>U ukrštenoj kliničkoj studiji, klopidogrel (300 mg početna doza,</w:t>
      </w:r>
      <w:r w:rsidR="003D643A" w:rsidRPr="00A613D6">
        <w:rPr>
          <w:iCs/>
          <w:sz w:val="22"/>
          <w:szCs w:val="22"/>
          <w:lang w:val="sr-Latn-ME"/>
        </w:rPr>
        <w:t xml:space="preserve"> </w:t>
      </w:r>
      <w:r w:rsidRPr="00A613D6">
        <w:rPr>
          <w:iCs/>
          <w:sz w:val="22"/>
          <w:szCs w:val="22"/>
          <w:lang w:val="sr-Latn-ME"/>
        </w:rPr>
        <w:t>75 mg/dan doza održavanja) sam i sa omeprazolom (80 mg oralno dnevno istovremeno sa klopidogrelom) su primjenjivani 5 dana. Raspoloživost aktivnog metabolita klopidogrela je smanjena za 46 % (prvog dana) i 42 % (petog dana) pri istovremenoj primjeni sa omeprazolom. Pros</w:t>
      </w:r>
      <w:r w:rsidR="004D7AFD" w:rsidRPr="00A613D6">
        <w:rPr>
          <w:iCs/>
          <w:sz w:val="22"/>
          <w:szCs w:val="22"/>
          <w:lang w:val="sr-Latn-ME"/>
        </w:rPr>
        <w:t>j</w:t>
      </w:r>
      <w:r w:rsidRPr="00A613D6">
        <w:rPr>
          <w:iCs/>
          <w:sz w:val="22"/>
          <w:szCs w:val="22"/>
          <w:lang w:val="sr-Latn-ME"/>
        </w:rPr>
        <w:t>ečna inhibicija agregacije trombocita je smanjena za 47 % (24 sata) i 30 % (petog dana) pri istovremenoj primjeni klopidogrela i omeprazola. Druga studija ukazuje da primjena klopidogrela i omeprazola u različitim intervalima nije spriječila njihovu interakciju, vjerovatno izazvanu inhibitornim efektom omeprazola na CYP2C19. Rezultati opservacionih i kliničkih studija daju nekonzistentne podatke u vezi sa kliničkim implikacijama PK/PD interakcije omeprazola u pogledu značajnih kardiovaskularnih događaja. U cilju predostrožnosti</w:t>
      </w:r>
      <w:r w:rsidR="004759FB" w:rsidRPr="00A613D6">
        <w:rPr>
          <w:iCs/>
          <w:sz w:val="22"/>
          <w:szCs w:val="22"/>
          <w:lang w:val="sr-Latn-ME"/>
        </w:rPr>
        <w:t>,</w:t>
      </w:r>
      <w:r w:rsidRPr="00A613D6">
        <w:rPr>
          <w:iCs/>
          <w:sz w:val="22"/>
          <w:szCs w:val="22"/>
          <w:lang w:val="sr-Latn-ME"/>
        </w:rPr>
        <w:t xml:space="preserve"> ne preporučuje se istovremena primjena omeprazola i klopidogrela (vid</w:t>
      </w:r>
      <w:r w:rsidR="00DA4684" w:rsidRPr="00A613D6">
        <w:rPr>
          <w:iCs/>
          <w:sz w:val="22"/>
          <w:szCs w:val="22"/>
          <w:lang w:val="sr-Latn-ME"/>
        </w:rPr>
        <w:t>j</w:t>
      </w:r>
      <w:r w:rsidRPr="00A613D6">
        <w:rPr>
          <w:iCs/>
          <w:sz w:val="22"/>
          <w:szCs w:val="22"/>
          <w:lang w:val="sr-Latn-ME"/>
        </w:rPr>
        <w:t xml:space="preserve">eti </w:t>
      </w:r>
      <w:r w:rsidR="003D643A" w:rsidRPr="00A613D6">
        <w:rPr>
          <w:iCs/>
          <w:sz w:val="22"/>
          <w:szCs w:val="22"/>
          <w:lang w:val="sr-Latn-ME"/>
        </w:rPr>
        <w:t xml:space="preserve">dio </w:t>
      </w:r>
      <w:r w:rsidRPr="00A613D6">
        <w:rPr>
          <w:iCs/>
          <w:sz w:val="22"/>
          <w:szCs w:val="22"/>
          <w:lang w:val="sr-Latn-ME"/>
        </w:rPr>
        <w:t xml:space="preserve">4.4). </w:t>
      </w:r>
    </w:p>
    <w:p w14:paraId="162A9A0C" w14:textId="77777777" w:rsidR="00D2274D" w:rsidRPr="00A613D6" w:rsidRDefault="00D2274D">
      <w:pPr>
        <w:pStyle w:val="Header"/>
        <w:jc w:val="both"/>
        <w:rPr>
          <w:iCs/>
          <w:sz w:val="22"/>
          <w:szCs w:val="22"/>
          <w:lang w:val="sr-Latn-ME"/>
        </w:rPr>
      </w:pPr>
    </w:p>
    <w:p w14:paraId="7B6468FE" w14:textId="77777777" w:rsidR="00D2274D" w:rsidRPr="00A613D6" w:rsidRDefault="00D2274D">
      <w:pPr>
        <w:pStyle w:val="Header"/>
        <w:jc w:val="both"/>
        <w:rPr>
          <w:i/>
          <w:iCs/>
          <w:sz w:val="22"/>
          <w:szCs w:val="22"/>
          <w:lang w:val="sr-Latn-ME"/>
        </w:rPr>
      </w:pPr>
      <w:r w:rsidRPr="00A613D6">
        <w:rPr>
          <w:i/>
          <w:iCs/>
          <w:sz w:val="22"/>
          <w:szCs w:val="22"/>
          <w:lang w:val="sr-Latn-ME"/>
        </w:rPr>
        <w:t>Druge aktivne supstance</w:t>
      </w:r>
    </w:p>
    <w:p w14:paraId="561CBFAC" w14:textId="77777777" w:rsidR="00D2274D" w:rsidRPr="00A613D6" w:rsidRDefault="00D2274D">
      <w:pPr>
        <w:pStyle w:val="Header"/>
        <w:jc w:val="both"/>
        <w:rPr>
          <w:iCs/>
          <w:sz w:val="22"/>
          <w:szCs w:val="22"/>
          <w:lang w:val="sr-Latn-ME"/>
        </w:rPr>
      </w:pPr>
      <w:r w:rsidRPr="00A613D6">
        <w:rPr>
          <w:iCs/>
          <w:sz w:val="22"/>
          <w:szCs w:val="22"/>
          <w:lang w:val="sr-Latn-ME"/>
        </w:rPr>
        <w:t>Resorpcija posakonazola, erlotiniba, ketokonazola i itrakonazola se značajno smanjuje, tako da im može biti smanjena i klinička efikasnost. Treba izbjegavati istovremenu primjenu omeprazola sa posakonazolom i erlotinibom.</w:t>
      </w:r>
    </w:p>
    <w:p w14:paraId="27F21CCD" w14:textId="77777777" w:rsidR="00D2274D" w:rsidRPr="00A613D6" w:rsidRDefault="00D2274D">
      <w:pPr>
        <w:pStyle w:val="Header"/>
        <w:jc w:val="both"/>
        <w:rPr>
          <w:iCs/>
          <w:sz w:val="22"/>
          <w:szCs w:val="22"/>
          <w:lang w:val="sr-Latn-ME"/>
        </w:rPr>
      </w:pPr>
    </w:p>
    <w:p w14:paraId="0E47ACDB" w14:textId="77777777" w:rsidR="00D2274D" w:rsidRPr="00A613D6" w:rsidRDefault="00D2274D">
      <w:pPr>
        <w:pStyle w:val="Header"/>
        <w:jc w:val="both"/>
        <w:rPr>
          <w:i/>
          <w:iCs/>
          <w:sz w:val="22"/>
          <w:szCs w:val="22"/>
          <w:u w:val="single"/>
          <w:lang w:val="sr-Latn-ME"/>
        </w:rPr>
      </w:pPr>
      <w:r w:rsidRPr="00A613D6">
        <w:rPr>
          <w:i/>
          <w:iCs/>
          <w:sz w:val="22"/>
          <w:szCs w:val="22"/>
          <w:u w:val="single"/>
          <w:lang w:val="sr-Latn-ME"/>
        </w:rPr>
        <w:t>Aktivne supstance koje se metabolišu posredstvom CYP2C19</w:t>
      </w:r>
    </w:p>
    <w:p w14:paraId="6EBF12DD" w14:textId="704C6932" w:rsidR="00D2274D" w:rsidRPr="00A613D6" w:rsidRDefault="00D2274D">
      <w:pPr>
        <w:pStyle w:val="Header"/>
        <w:jc w:val="both"/>
        <w:rPr>
          <w:iCs/>
          <w:sz w:val="22"/>
          <w:szCs w:val="22"/>
          <w:lang w:val="sr-Latn-ME"/>
        </w:rPr>
      </w:pPr>
      <w:r w:rsidRPr="00A613D6">
        <w:rPr>
          <w:iCs/>
          <w:sz w:val="22"/>
          <w:szCs w:val="22"/>
          <w:lang w:val="sr-Latn-ME"/>
        </w:rPr>
        <w:t>Omeprazol je umjereni inhibitor CYP2C19, glavnog enzima preko kog se metaboliše. Stoga metabolizam druge aktivne supstance prim</w:t>
      </w:r>
      <w:r w:rsidR="003D643A" w:rsidRPr="00A613D6">
        <w:rPr>
          <w:iCs/>
          <w:sz w:val="22"/>
          <w:szCs w:val="22"/>
          <w:lang w:val="sr-Latn-ME"/>
        </w:rPr>
        <w:t>i</w:t>
      </w:r>
      <w:r w:rsidRPr="00A613D6">
        <w:rPr>
          <w:iCs/>
          <w:sz w:val="22"/>
          <w:szCs w:val="22"/>
          <w:lang w:val="sr-Latn-ME"/>
        </w:rPr>
        <w:t>jenjene istovremeno koja se takođe metaboliše posredstvom CYP2C19 može biti umanjen, a sistemska raspoloživost ove supstance povećana. Primjeri takvih ljekova su R-varfarin i drugi antagonisti vitamina K, cilostazol, diazepam i fenitoin.</w:t>
      </w:r>
    </w:p>
    <w:p w14:paraId="3343A92A" w14:textId="77777777" w:rsidR="00D2274D" w:rsidRPr="00A613D6" w:rsidRDefault="00D2274D">
      <w:pPr>
        <w:pStyle w:val="Header"/>
        <w:jc w:val="both"/>
        <w:rPr>
          <w:iCs/>
          <w:sz w:val="22"/>
          <w:szCs w:val="22"/>
          <w:lang w:val="sr-Latn-ME"/>
        </w:rPr>
      </w:pPr>
    </w:p>
    <w:p w14:paraId="45BD73EB" w14:textId="77777777" w:rsidR="00D2274D" w:rsidRPr="00A613D6" w:rsidRDefault="00D2274D">
      <w:pPr>
        <w:pStyle w:val="Header"/>
        <w:tabs>
          <w:tab w:val="left" w:pos="284"/>
        </w:tabs>
        <w:jc w:val="both"/>
        <w:rPr>
          <w:i/>
          <w:iCs/>
          <w:sz w:val="22"/>
          <w:szCs w:val="22"/>
          <w:lang w:val="sr-Latn-ME"/>
        </w:rPr>
      </w:pPr>
      <w:r w:rsidRPr="00A613D6">
        <w:rPr>
          <w:i/>
          <w:iCs/>
          <w:sz w:val="22"/>
          <w:szCs w:val="22"/>
          <w:lang w:val="sr-Latn-ME"/>
        </w:rPr>
        <w:lastRenderedPageBreak/>
        <w:t>Cilostazol</w:t>
      </w:r>
    </w:p>
    <w:p w14:paraId="1014D90A" w14:textId="77777777" w:rsidR="00D2274D" w:rsidRPr="00A613D6" w:rsidRDefault="00D2274D">
      <w:pPr>
        <w:pStyle w:val="Header"/>
        <w:jc w:val="both"/>
        <w:rPr>
          <w:iCs/>
          <w:sz w:val="22"/>
          <w:szCs w:val="22"/>
          <w:lang w:val="sr-Latn-ME"/>
        </w:rPr>
      </w:pPr>
      <w:r w:rsidRPr="00A613D6">
        <w:rPr>
          <w:iCs/>
          <w:sz w:val="22"/>
          <w:szCs w:val="22"/>
          <w:lang w:val="sr-Latn-ME"/>
        </w:rPr>
        <w:t>Omeprazol, dat u dozi od 40 mg zdravim dobrovoljcima u ukrštenoj studiji, uticao je na povećanje C</w:t>
      </w:r>
      <w:r w:rsidRPr="00A613D6">
        <w:rPr>
          <w:iCs/>
          <w:sz w:val="22"/>
          <w:szCs w:val="22"/>
          <w:vertAlign w:val="subscript"/>
          <w:lang w:val="sr-Latn-ME"/>
        </w:rPr>
        <w:t>max</w:t>
      </w:r>
      <w:r w:rsidRPr="00A613D6">
        <w:rPr>
          <w:iCs/>
          <w:sz w:val="22"/>
          <w:szCs w:val="22"/>
          <w:lang w:val="sr-Latn-ME"/>
        </w:rPr>
        <w:t xml:space="preserve"> i PIK cilostazola za 18 %, odnosno 26 %, a jednog njegovog aktivnog metabolita za 29 %, odnosno 69 %.</w:t>
      </w:r>
    </w:p>
    <w:p w14:paraId="0AD6FFDF" w14:textId="77777777" w:rsidR="00D2274D" w:rsidRPr="00A613D6" w:rsidRDefault="00D2274D">
      <w:pPr>
        <w:pStyle w:val="Header"/>
        <w:jc w:val="both"/>
        <w:rPr>
          <w:iCs/>
          <w:sz w:val="22"/>
          <w:szCs w:val="22"/>
          <w:lang w:val="sr-Latn-ME"/>
        </w:rPr>
      </w:pPr>
    </w:p>
    <w:p w14:paraId="7522BA11" w14:textId="77777777" w:rsidR="00D2274D" w:rsidRPr="00A613D6" w:rsidRDefault="00D2274D">
      <w:pPr>
        <w:pStyle w:val="Header"/>
        <w:jc w:val="both"/>
        <w:rPr>
          <w:i/>
          <w:iCs/>
          <w:sz w:val="22"/>
          <w:szCs w:val="22"/>
          <w:lang w:val="sr-Latn-ME"/>
        </w:rPr>
      </w:pPr>
      <w:r w:rsidRPr="00A613D6">
        <w:rPr>
          <w:i/>
          <w:iCs/>
          <w:sz w:val="22"/>
          <w:szCs w:val="22"/>
          <w:lang w:val="sr-Latn-ME"/>
        </w:rPr>
        <w:t>Fenitoin</w:t>
      </w:r>
    </w:p>
    <w:p w14:paraId="504916E2" w14:textId="53772020" w:rsidR="00D2274D" w:rsidRPr="00A613D6" w:rsidRDefault="00D2274D">
      <w:pPr>
        <w:pStyle w:val="Header"/>
        <w:jc w:val="both"/>
        <w:rPr>
          <w:iCs/>
          <w:sz w:val="22"/>
          <w:szCs w:val="22"/>
          <w:lang w:val="sr-Latn-ME"/>
        </w:rPr>
      </w:pPr>
      <w:r w:rsidRPr="00A613D6">
        <w:rPr>
          <w:iCs/>
          <w:sz w:val="22"/>
          <w:szCs w:val="22"/>
          <w:lang w:val="sr-Latn-ME"/>
        </w:rPr>
        <w:t>Praćenje koncentracije fenitoina u plazmi je preporučeno prve dvije ned</w:t>
      </w:r>
      <w:r w:rsidR="007D5613" w:rsidRPr="00A613D6">
        <w:rPr>
          <w:iCs/>
          <w:sz w:val="22"/>
          <w:szCs w:val="22"/>
          <w:lang w:val="sr-Latn-ME"/>
        </w:rPr>
        <w:t>j</w:t>
      </w:r>
      <w:r w:rsidRPr="00A613D6">
        <w:rPr>
          <w:iCs/>
          <w:sz w:val="22"/>
          <w:szCs w:val="22"/>
          <w:lang w:val="sr-Latn-ME"/>
        </w:rPr>
        <w:t xml:space="preserve">elje od početka terapije omeprazolom, i ukoliko je bilo prilagođavanja doze fenitoina, potrebno </w:t>
      </w:r>
      <w:r w:rsidR="003D643A" w:rsidRPr="00A613D6">
        <w:rPr>
          <w:iCs/>
          <w:sz w:val="22"/>
          <w:szCs w:val="22"/>
          <w:lang w:val="sr-Latn-ME"/>
        </w:rPr>
        <w:t xml:space="preserve">je </w:t>
      </w:r>
      <w:r w:rsidRPr="00A613D6">
        <w:rPr>
          <w:iCs/>
          <w:sz w:val="22"/>
          <w:szCs w:val="22"/>
          <w:lang w:val="sr-Latn-ME"/>
        </w:rPr>
        <w:t xml:space="preserve">praćenje </w:t>
      </w:r>
      <w:r w:rsidR="004759FB" w:rsidRPr="00A613D6">
        <w:rPr>
          <w:iCs/>
          <w:sz w:val="22"/>
          <w:szCs w:val="22"/>
          <w:lang w:val="sr-Latn-ME"/>
        </w:rPr>
        <w:t>i dalj</w:t>
      </w:r>
      <w:r w:rsidR="00554573" w:rsidRPr="00A613D6">
        <w:rPr>
          <w:iCs/>
          <w:sz w:val="22"/>
          <w:szCs w:val="22"/>
          <w:lang w:val="sr-Latn-ME"/>
        </w:rPr>
        <w:t>e</w:t>
      </w:r>
      <w:r w:rsidR="004759FB" w:rsidRPr="00A613D6">
        <w:rPr>
          <w:iCs/>
          <w:sz w:val="22"/>
          <w:szCs w:val="22"/>
          <w:lang w:val="sr-Latn-ME"/>
        </w:rPr>
        <w:t xml:space="preserve"> </w:t>
      </w:r>
      <w:r w:rsidRPr="00A613D6">
        <w:rPr>
          <w:iCs/>
          <w:sz w:val="22"/>
          <w:szCs w:val="22"/>
          <w:lang w:val="sr-Latn-ME"/>
        </w:rPr>
        <w:t>prilagođavanj</w:t>
      </w:r>
      <w:r w:rsidR="00554573" w:rsidRPr="00A613D6">
        <w:rPr>
          <w:iCs/>
          <w:sz w:val="22"/>
          <w:szCs w:val="22"/>
          <w:lang w:val="sr-Latn-ME"/>
        </w:rPr>
        <w:t>e</w:t>
      </w:r>
      <w:r w:rsidRPr="00A613D6">
        <w:rPr>
          <w:iCs/>
          <w:sz w:val="22"/>
          <w:szCs w:val="22"/>
          <w:lang w:val="sr-Latn-ME"/>
        </w:rPr>
        <w:t xml:space="preserve"> doze </w:t>
      </w:r>
      <w:r w:rsidR="00554573" w:rsidRPr="00A613D6">
        <w:rPr>
          <w:iCs/>
          <w:sz w:val="22"/>
          <w:szCs w:val="22"/>
          <w:lang w:val="sr-Latn-ME"/>
        </w:rPr>
        <w:t>nakon</w:t>
      </w:r>
      <w:r w:rsidRPr="00A613D6">
        <w:rPr>
          <w:iCs/>
          <w:sz w:val="22"/>
          <w:szCs w:val="22"/>
          <w:lang w:val="sr-Latn-ME"/>
        </w:rPr>
        <w:t xml:space="preserve"> završetka terapije omeprazolom.</w:t>
      </w:r>
    </w:p>
    <w:p w14:paraId="1EFFCDEC" w14:textId="77777777" w:rsidR="00D2274D" w:rsidRPr="00A613D6" w:rsidRDefault="00D2274D">
      <w:pPr>
        <w:pStyle w:val="Header"/>
        <w:jc w:val="both"/>
        <w:rPr>
          <w:iCs/>
          <w:sz w:val="22"/>
          <w:szCs w:val="22"/>
          <w:lang w:val="sr-Latn-ME"/>
        </w:rPr>
      </w:pPr>
    </w:p>
    <w:p w14:paraId="568B86D6" w14:textId="23BB2A49" w:rsidR="00D2274D" w:rsidRPr="00A613D6" w:rsidRDefault="00D2274D">
      <w:pPr>
        <w:pStyle w:val="Header"/>
        <w:jc w:val="both"/>
        <w:rPr>
          <w:sz w:val="22"/>
          <w:szCs w:val="22"/>
          <w:u w:val="single"/>
          <w:lang w:val="sr-Latn-ME"/>
        </w:rPr>
      </w:pPr>
      <w:r w:rsidRPr="00A613D6">
        <w:rPr>
          <w:sz w:val="22"/>
          <w:szCs w:val="22"/>
          <w:u w:val="single"/>
          <w:lang w:val="sr-Latn-ME"/>
        </w:rPr>
        <w:t>Nepoznat mehanizam</w:t>
      </w:r>
    </w:p>
    <w:p w14:paraId="41C0B11C" w14:textId="77777777" w:rsidR="00D2274D" w:rsidRPr="00A613D6" w:rsidRDefault="00D2274D">
      <w:pPr>
        <w:pStyle w:val="Header"/>
        <w:jc w:val="both"/>
        <w:rPr>
          <w:i/>
          <w:sz w:val="22"/>
          <w:szCs w:val="22"/>
          <w:lang w:val="sr-Latn-ME"/>
        </w:rPr>
      </w:pPr>
      <w:r w:rsidRPr="00A613D6">
        <w:rPr>
          <w:i/>
          <w:sz w:val="22"/>
          <w:szCs w:val="22"/>
          <w:lang w:val="sr-Latn-ME"/>
        </w:rPr>
        <w:t>Sakvinavir</w:t>
      </w:r>
    </w:p>
    <w:p w14:paraId="18575232" w14:textId="77777777" w:rsidR="00D2274D" w:rsidRPr="00A613D6" w:rsidRDefault="00D2274D">
      <w:pPr>
        <w:pStyle w:val="Header"/>
        <w:jc w:val="both"/>
        <w:rPr>
          <w:sz w:val="22"/>
          <w:szCs w:val="22"/>
          <w:lang w:val="sr-Latn-ME"/>
        </w:rPr>
      </w:pPr>
      <w:r w:rsidRPr="00A613D6">
        <w:rPr>
          <w:sz w:val="22"/>
          <w:szCs w:val="22"/>
          <w:lang w:val="sr-Latn-ME"/>
        </w:rPr>
        <w:t>Istovremena primjena omeprazola sa sakvinavirom/ritonavirom dovodi do povećanja nivoa sakvinavira u plazmi za 70 %, kod sakvinavira koji je imao dobru podnošljivost kod HIV-pozitivnih pacijenata.</w:t>
      </w:r>
    </w:p>
    <w:p w14:paraId="007C316E" w14:textId="54447B90" w:rsidR="0021428F" w:rsidRPr="00A613D6" w:rsidRDefault="0021428F">
      <w:pPr>
        <w:pStyle w:val="Header"/>
        <w:jc w:val="both"/>
        <w:rPr>
          <w:i/>
          <w:sz w:val="22"/>
          <w:szCs w:val="22"/>
          <w:lang w:val="sr-Latn-ME"/>
        </w:rPr>
      </w:pPr>
    </w:p>
    <w:p w14:paraId="3456032E" w14:textId="7072D5AD" w:rsidR="00D2274D" w:rsidRPr="00A613D6" w:rsidRDefault="00D2274D">
      <w:pPr>
        <w:pStyle w:val="Header"/>
        <w:jc w:val="both"/>
        <w:rPr>
          <w:i/>
          <w:sz w:val="22"/>
          <w:szCs w:val="22"/>
          <w:lang w:val="sr-Latn-ME"/>
        </w:rPr>
      </w:pPr>
      <w:r w:rsidRPr="00A613D6">
        <w:rPr>
          <w:i/>
          <w:sz w:val="22"/>
          <w:szCs w:val="22"/>
          <w:lang w:val="sr-Latn-ME"/>
        </w:rPr>
        <w:t>Takrolimus</w:t>
      </w:r>
    </w:p>
    <w:p w14:paraId="3327A092" w14:textId="78E76F13" w:rsidR="00D2274D" w:rsidRPr="00A613D6" w:rsidRDefault="00D2274D">
      <w:pPr>
        <w:pStyle w:val="Header"/>
        <w:jc w:val="both"/>
        <w:rPr>
          <w:sz w:val="22"/>
          <w:szCs w:val="22"/>
          <w:lang w:val="sr-Latn-ME"/>
        </w:rPr>
      </w:pPr>
      <w:r w:rsidRPr="00A613D6">
        <w:rPr>
          <w:sz w:val="22"/>
          <w:szCs w:val="22"/>
          <w:lang w:val="sr-Latn-ME"/>
        </w:rPr>
        <w:t>Istovremena primjena omeprazola i takrolimusa dovodi do povećanja koncentracije takrolimusa u serumu.</w:t>
      </w:r>
      <w:r w:rsidR="00A7200A" w:rsidRPr="00A613D6">
        <w:rPr>
          <w:sz w:val="22"/>
          <w:szCs w:val="22"/>
          <w:lang w:val="sr-Latn-ME"/>
        </w:rPr>
        <w:t xml:space="preserve"> </w:t>
      </w:r>
      <w:r w:rsidRPr="00A613D6">
        <w:rPr>
          <w:sz w:val="22"/>
          <w:szCs w:val="22"/>
          <w:lang w:val="sr-Latn-ME"/>
        </w:rPr>
        <w:t xml:space="preserve">Potrebno je terapijsko praćenje koncentracije takrolimusa, kao i funkcije bubrega (klirensa kreatinina) i po potrebi prilagođavanje doze takrolimusa. </w:t>
      </w:r>
    </w:p>
    <w:p w14:paraId="1247C84D" w14:textId="77777777" w:rsidR="00D2274D" w:rsidRPr="00A613D6" w:rsidRDefault="00D2274D">
      <w:pPr>
        <w:pStyle w:val="Header"/>
        <w:tabs>
          <w:tab w:val="left" w:pos="284"/>
        </w:tabs>
        <w:jc w:val="both"/>
        <w:rPr>
          <w:i/>
          <w:iCs/>
          <w:sz w:val="22"/>
          <w:szCs w:val="22"/>
          <w:lang w:val="sr-Latn-ME"/>
        </w:rPr>
      </w:pPr>
    </w:p>
    <w:p w14:paraId="66DBDB7B" w14:textId="77777777" w:rsidR="00D2274D" w:rsidRPr="00A613D6" w:rsidRDefault="00D2274D">
      <w:pPr>
        <w:pStyle w:val="Header"/>
        <w:tabs>
          <w:tab w:val="left" w:pos="284"/>
        </w:tabs>
        <w:jc w:val="both"/>
        <w:rPr>
          <w:i/>
          <w:iCs/>
          <w:sz w:val="22"/>
          <w:szCs w:val="22"/>
          <w:lang w:val="sr-Latn-ME"/>
        </w:rPr>
      </w:pPr>
      <w:r w:rsidRPr="00A613D6">
        <w:rPr>
          <w:i/>
          <w:iCs/>
          <w:sz w:val="22"/>
          <w:szCs w:val="22"/>
          <w:lang w:val="sr-Latn-ME"/>
        </w:rPr>
        <w:t>Metotreksat</w:t>
      </w:r>
    </w:p>
    <w:p w14:paraId="1B7FEFA7" w14:textId="1266B883" w:rsidR="00D2274D" w:rsidRPr="00A613D6" w:rsidRDefault="00D2274D">
      <w:pPr>
        <w:pStyle w:val="Header"/>
        <w:tabs>
          <w:tab w:val="left" w:pos="284"/>
        </w:tabs>
        <w:jc w:val="both"/>
        <w:rPr>
          <w:iCs/>
          <w:sz w:val="22"/>
          <w:szCs w:val="22"/>
          <w:lang w:val="sr-Latn-ME"/>
        </w:rPr>
      </w:pPr>
      <w:r w:rsidRPr="00A613D6">
        <w:rPr>
          <w:iCs/>
          <w:sz w:val="22"/>
          <w:szCs w:val="22"/>
          <w:lang w:val="sr-Latn-ME"/>
        </w:rPr>
        <w:t>Kod nekih pacijenata je prijavljen porast nivoa metotreksata, kada se prim</w:t>
      </w:r>
      <w:r w:rsidR="004759FB" w:rsidRPr="00A613D6">
        <w:rPr>
          <w:iCs/>
          <w:sz w:val="22"/>
          <w:szCs w:val="22"/>
          <w:lang w:val="sr-Latn-ME"/>
        </w:rPr>
        <w:t>i</w:t>
      </w:r>
      <w:r w:rsidRPr="00A613D6">
        <w:rPr>
          <w:iCs/>
          <w:sz w:val="22"/>
          <w:szCs w:val="22"/>
          <w:lang w:val="sr-Latn-ME"/>
        </w:rPr>
        <w:t>jeni istovremeno sa inhibitorima protonske pumpe. Kada je potrebna primjena visokih doza metotreksata, treba razmotriti privremeni prekid primj</w:t>
      </w:r>
      <w:r w:rsidR="007D5613" w:rsidRPr="00A613D6">
        <w:rPr>
          <w:iCs/>
          <w:sz w:val="22"/>
          <w:szCs w:val="22"/>
          <w:lang w:val="sr-Latn-ME"/>
        </w:rPr>
        <w:t>e</w:t>
      </w:r>
      <w:r w:rsidRPr="00A613D6">
        <w:rPr>
          <w:iCs/>
          <w:sz w:val="22"/>
          <w:szCs w:val="22"/>
          <w:lang w:val="sr-Latn-ME"/>
        </w:rPr>
        <w:t>ne omeprazola.</w:t>
      </w:r>
    </w:p>
    <w:p w14:paraId="161997B6" w14:textId="77777777" w:rsidR="00D2274D" w:rsidRPr="00A613D6" w:rsidRDefault="00D2274D">
      <w:pPr>
        <w:pStyle w:val="Header"/>
        <w:tabs>
          <w:tab w:val="left" w:pos="284"/>
        </w:tabs>
        <w:jc w:val="both"/>
        <w:rPr>
          <w:sz w:val="22"/>
          <w:szCs w:val="22"/>
          <w:u w:val="single"/>
          <w:lang w:val="sr-Latn-ME"/>
        </w:rPr>
      </w:pPr>
    </w:p>
    <w:p w14:paraId="6EDDE3E0" w14:textId="5740C827" w:rsidR="00D2274D" w:rsidRPr="00A613D6" w:rsidRDefault="00D2274D">
      <w:pPr>
        <w:pStyle w:val="Header"/>
        <w:jc w:val="both"/>
        <w:rPr>
          <w:sz w:val="22"/>
          <w:szCs w:val="22"/>
          <w:u w:val="single"/>
          <w:lang w:val="sr-Latn-ME"/>
        </w:rPr>
      </w:pPr>
      <w:r w:rsidRPr="00A613D6">
        <w:rPr>
          <w:sz w:val="22"/>
          <w:szCs w:val="22"/>
          <w:u w:val="single"/>
          <w:lang w:val="sr-Latn-ME"/>
        </w:rPr>
        <w:t>Uticaj drugih aktivnih supstanci na farmakokinetiku omeprazola</w:t>
      </w:r>
    </w:p>
    <w:p w14:paraId="6B4B6817" w14:textId="77777777" w:rsidR="00A7200A" w:rsidRPr="00A613D6" w:rsidRDefault="00A7200A">
      <w:pPr>
        <w:pStyle w:val="Header"/>
        <w:jc w:val="both"/>
        <w:rPr>
          <w:sz w:val="22"/>
          <w:szCs w:val="22"/>
          <w:u w:val="single"/>
          <w:lang w:val="sr-Latn-ME"/>
        </w:rPr>
      </w:pPr>
    </w:p>
    <w:p w14:paraId="517C0282" w14:textId="77777777" w:rsidR="00D2274D" w:rsidRPr="00A613D6" w:rsidRDefault="00D2274D">
      <w:pPr>
        <w:pStyle w:val="Header"/>
        <w:jc w:val="both"/>
        <w:rPr>
          <w:i/>
          <w:sz w:val="22"/>
          <w:szCs w:val="22"/>
          <w:u w:val="single"/>
          <w:lang w:val="sr-Latn-ME"/>
        </w:rPr>
      </w:pPr>
      <w:r w:rsidRPr="00A613D6">
        <w:rPr>
          <w:i/>
          <w:sz w:val="22"/>
          <w:szCs w:val="22"/>
          <w:u w:val="single"/>
          <w:lang w:val="sr-Latn-ME"/>
        </w:rPr>
        <w:t>Inhibitori CYP2C19 i/ili CYP3A4</w:t>
      </w:r>
    </w:p>
    <w:p w14:paraId="1D791211" w14:textId="643AA524" w:rsidR="00D2274D" w:rsidRPr="00A613D6" w:rsidRDefault="00D2274D">
      <w:pPr>
        <w:pStyle w:val="Header"/>
        <w:jc w:val="both"/>
        <w:rPr>
          <w:sz w:val="22"/>
          <w:szCs w:val="22"/>
          <w:lang w:val="sr-Latn-ME"/>
        </w:rPr>
      </w:pPr>
      <w:r w:rsidRPr="00A613D6">
        <w:rPr>
          <w:sz w:val="22"/>
          <w:szCs w:val="22"/>
          <w:lang w:val="sr-Latn-ME"/>
        </w:rPr>
        <w:t xml:space="preserve">S obzirom na to da se omeprazol metaboliše posredstvom CYP2C19 i CYP3A4, aktivne supstance za koje se zna da inhibiraju pomenute enzime (kao što su klaritromicin i vorikonazol) mogu dovesti do povećanja koncentracija omeprazola u serumu, time što smanjuju stepen njegovog metabolizma. Istovremena primjena sa vorikonazolom dovodi do više nego dvostruko veće raspoloživosti omeprazola. Budući da je podnošljivost visokih doza omeprazola dobra, nije potrebno prilagođavanje doze. Ipak, podešavanje doza je potrebno razmotriti kod pacijenata sa </w:t>
      </w:r>
      <w:r w:rsidR="004759FB" w:rsidRPr="00A613D6">
        <w:rPr>
          <w:sz w:val="22"/>
          <w:szCs w:val="22"/>
          <w:lang w:val="sr-Latn-ME"/>
        </w:rPr>
        <w:t xml:space="preserve">teškim </w:t>
      </w:r>
      <w:r w:rsidRPr="00A613D6">
        <w:rPr>
          <w:sz w:val="22"/>
          <w:szCs w:val="22"/>
          <w:lang w:val="sr-Latn-ME"/>
        </w:rPr>
        <w:t>oštećenjem funkcije jetre, kao i onih na dugotrajnoj terapiji.</w:t>
      </w:r>
    </w:p>
    <w:p w14:paraId="48B6CBAD" w14:textId="77777777" w:rsidR="00D2274D" w:rsidRPr="00A613D6" w:rsidRDefault="00D2274D">
      <w:pPr>
        <w:pStyle w:val="Header"/>
        <w:tabs>
          <w:tab w:val="left" w:pos="284"/>
        </w:tabs>
        <w:jc w:val="both"/>
        <w:rPr>
          <w:sz w:val="22"/>
          <w:szCs w:val="22"/>
          <w:lang w:val="sr-Latn-ME"/>
        </w:rPr>
      </w:pPr>
    </w:p>
    <w:p w14:paraId="27B079DA" w14:textId="77777777" w:rsidR="00D2274D" w:rsidRPr="00A613D6" w:rsidRDefault="00D2274D">
      <w:pPr>
        <w:pStyle w:val="Header"/>
        <w:jc w:val="both"/>
        <w:rPr>
          <w:i/>
          <w:iCs/>
          <w:sz w:val="22"/>
          <w:szCs w:val="22"/>
          <w:u w:val="single"/>
          <w:lang w:val="sr-Latn-ME"/>
        </w:rPr>
      </w:pPr>
      <w:r w:rsidRPr="00A613D6">
        <w:rPr>
          <w:i/>
          <w:iCs/>
          <w:sz w:val="22"/>
          <w:szCs w:val="22"/>
          <w:u w:val="single"/>
          <w:lang w:val="sr-Latn-ME"/>
        </w:rPr>
        <w:t>Induktori CYP2C19 i/ili CYP3A4</w:t>
      </w:r>
    </w:p>
    <w:p w14:paraId="383F570B" w14:textId="77777777" w:rsidR="00D2274D" w:rsidRPr="00A613D6" w:rsidRDefault="00D2274D">
      <w:pPr>
        <w:pStyle w:val="Header"/>
        <w:jc w:val="both"/>
        <w:rPr>
          <w:iCs/>
          <w:sz w:val="22"/>
          <w:szCs w:val="22"/>
          <w:lang w:val="sr-Latn-ME"/>
        </w:rPr>
      </w:pPr>
      <w:r w:rsidRPr="00A613D6">
        <w:rPr>
          <w:iCs/>
          <w:sz w:val="22"/>
          <w:szCs w:val="22"/>
          <w:lang w:val="sr-Latn-ME"/>
        </w:rPr>
        <w:t>Aktivne supstance za koje se zna da indukuju CYP2C19 i/iliCYP3A4 (kao što su rifampicin i kantarion) mogu dovesti do smanjenja koncentracije omeprazola u serumu time što utiču na povećanje stepena metabolizma ovog lijeka.</w:t>
      </w:r>
    </w:p>
    <w:p w14:paraId="7DB2C485" w14:textId="77777777" w:rsidR="00D2274D" w:rsidRPr="00A613D6" w:rsidRDefault="00D2274D">
      <w:pPr>
        <w:tabs>
          <w:tab w:val="left" w:pos="540"/>
          <w:tab w:val="left" w:pos="569"/>
        </w:tabs>
        <w:jc w:val="both"/>
        <w:rPr>
          <w:bCs/>
          <w:sz w:val="22"/>
          <w:szCs w:val="22"/>
          <w:lang w:val="sr-Latn-ME"/>
        </w:rPr>
      </w:pPr>
    </w:p>
    <w:p w14:paraId="4C96461E" w14:textId="77777777" w:rsidR="0072020E" w:rsidRPr="00A613D6" w:rsidRDefault="0072020E">
      <w:pPr>
        <w:tabs>
          <w:tab w:val="left" w:pos="540"/>
          <w:tab w:val="left" w:pos="569"/>
        </w:tabs>
        <w:jc w:val="both"/>
        <w:rPr>
          <w:b/>
          <w:sz w:val="22"/>
          <w:szCs w:val="22"/>
          <w:lang w:val="sr-Latn-ME"/>
        </w:rPr>
      </w:pPr>
      <w:r w:rsidRPr="00A613D6">
        <w:rPr>
          <w:b/>
          <w:bCs/>
          <w:sz w:val="22"/>
          <w:szCs w:val="22"/>
          <w:lang w:val="sr-Latn-ME"/>
        </w:rPr>
        <w:t xml:space="preserve">4.6. </w:t>
      </w:r>
      <w:r w:rsidR="00480FB1" w:rsidRPr="00A613D6">
        <w:rPr>
          <w:b/>
          <w:bCs/>
          <w:sz w:val="22"/>
          <w:szCs w:val="22"/>
          <w:lang w:val="sr-Latn-ME"/>
        </w:rPr>
        <w:tab/>
      </w:r>
      <w:r w:rsidR="006D20A5" w:rsidRPr="00A613D6">
        <w:rPr>
          <w:b/>
          <w:sz w:val="22"/>
          <w:szCs w:val="22"/>
          <w:lang w:val="sr-Latn-ME"/>
        </w:rPr>
        <w:t>Plodnost, trudnoća i dojenje</w:t>
      </w:r>
    </w:p>
    <w:p w14:paraId="4C96461F" w14:textId="77777777" w:rsidR="002031B3" w:rsidRPr="00A613D6" w:rsidRDefault="002031B3">
      <w:pPr>
        <w:tabs>
          <w:tab w:val="left" w:pos="540"/>
          <w:tab w:val="left" w:pos="569"/>
        </w:tabs>
        <w:jc w:val="both"/>
        <w:rPr>
          <w:sz w:val="22"/>
          <w:szCs w:val="22"/>
          <w:u w:val="single"/>
          <w:lang w:val="sr-Latn-ME"/>
        </w:rPr>
      </w:pPr>
    </w:p>
    <w:p w14:paraId="5D1E0D99" w14:textId="77777777" w:rsidR="00FE2CB0" w:rsidRPr="00A613D6" w:rsidRDefault="00FE2CB0">
      <w:pPr>
        <w:jc w:val="both"/>
        <w:rPr>
          <w:i/>
          <w:iCs/>
          <w:sz w:val="22"/>
          <w:szCs w:val="22"/>
          <w:lang w:val="sr-Latn-ME"/>
        </w:rPr>
      </w:pPr>
      <w:r w:rsidRPr="00A613D6">
        <w:rPr>
          <w:i/>
          <w:iCs/>
          <w:sz w:val="22"/>
          <w:szCs w:val="22"/>
          <w:lang w:val="sr-Latn-ME"/>
        </w:rPr>
        <w:t>Diklofenak</w:t>
      </w:r>
    </w:p>
    <w:p w14:paraId="7D8568FA" w14:textId="77777777" w:rsidR="00051931" w:rsidRPr="00A613D6" w:rsidRDefault="00051931">
      <w:pPr>
        <w:tabs>
          <w:tab w:val="left" w:pos="540"/>
          <w:tab w:val="left" w:pos="569"/>
        </w:tabs>
        <w:jc w:val="both"/>
        <w:rPr>
          <w:sz w:val="22"/>
          <w:szCs w:val="22"/>
          <w:u w:val="single"/>
          <w:lang w:val="sr-Latn-ME"/>
        </w:rPr>
      </w:pPr>
    </w:p>
    <w:p w14:paraId="4C964622" w14:textId="64B7E2D1" w:rsidR="007A3ECB" w:rsidRPr="00A613D6" w:rsidRDefault="007A3ECB">
      <w:pPr>
        <w:tabs>
          <w:tab w:val="left" w:pos="540"/>
          <w:tab w:val="left" w:pos="569"/>
        </w:tabs>
        <w:jc w:val="both"/>
        <w:rPr>
          <w:sz w:val="22"/>
          <w:szCs w:val="22"/>
          <w:u w:val="single"/>
          <w:lang w:val="sr-Latn-ME"/>
        </w:rPr>
      </w:pPr>
      <w:r w:rsidRPr="00A613D6">
        <w:rPr>
          <w:sz w:val="22"/>
          <w:szCs w:val="22"/>
          <w:u w:val="single"/>
          <w:lang w:val="sr-Latn-ME"/>
        </w:rPr>
        <w:t>Trudnoća</w:t>
      </w:r>
    </w:p>
    <w:p w14:paraId="515699ED" w14:textId="0D4897C3" w:rsidR="002015A5" w:rsidRPr="00A613D6" w:rsidRDefault="002015A5">
      <w:pPr>
        <w:jc w:val="both"/>
        <w:rPr>
          <w:sz w:val="22"/>
          <w:szCs w:val="22"/>
          <w:lang w:val="sr-Latn-ME"/>
        </w:rPr>
      </w:pPr>
      <w:r w:rsidRPr="00A613D6">
        <w:rPr>
          <w:sz w:val="22"/>
          <w:szCs w:val="22"/>
          <w:lang w:val="sr-Latn-ME"/>
        </w:rPr>
        <w:t>Inhibicija sinteze prostaglandina može nepovoljno da utiče na trudnoću i/ili na embriofetalni razvoj. Rezultati epidemioloških studija ukazuju na povećan rizik od pobačaja, kao i od srčanih malformacija i gastroshize nakon upotrebe inhibitora sinteze prostaglandina u ranoj trudnoći. Apsolutni rizik od nastanka srčanih malformacija</w:t>
      </w:r>
      <w:r w:rsidR="001A6BBD" w:rsidRPr="00A613D6">
        <w:rPr>
          <w:sz w:val="22"/>
          <w:szCs w:val="22"/>
          <w:lang w:val="sr-Latn-ME"/>
        </w:rPr>
        <w:t>,</w:t>
      </w:r>
      <w:r w:rsidRPr="00A613D6">
        <w:rPr>
          <w:sz w:val="22"/>
          <w:szCs w:val="22"/>
          <w:lang w:val="sr-Latn-ME"/>
        </w:rPr>
        <w:t xml:space="preserve"> koji je inače manji od 1 %</w:t>
      </w:r>
      <w:r w:rsidR="001A6BBD" w:rsidRPr="00A613D6">
        <w:rPr>
          <w:sz w:val="22"/>
          <w:szCs w:val="22"/>
          <w:lang w:val="sr-Latn-ME"/>
        </w:rPr>
        <w:t>,</w:t>
      </w:r>
      <w:r w:rsidRPr="00A613D6">
        <w:rPr>
          <w:sz w:val="22"/>
          <w:szCs w:val="22"/>
          <w:lang w:val="sr-Latn-ME"/>
        </w:rPr>
        <w:t xml:space="preserve"> bio je povišen do 1,5 %. Rizik se povećava sa dozom i dužinom trajanja terapije. Primjena inhibitora sinteze prostaglandina kod eksperimentalnih životinja je rezultirala povećanim prije i postimplantacionim gubitkom i embriofetalnim letalitetom.</w:t>
      </w:r>
    </w:p>
    <w:p w14:paraId="025C09F2" w14:textId="77777777" w:rsidR="002015A5" w:rsidRPr="00A613D6" w:rsidRDefault="002015A5">
      <w:pPr>
        <w:jc w:val="both"/>
        <w:rPr>
          <w:sz w:val="22"/>
          <w:szCs w:val="22"/>
          <w:lang w:val="sr-Latn-ME"/>
        </w:rPr>
      </w:pPr>
    </w:p>
    <w:p w14:paraId="71BD948A" w14:textId="77777777" w:rsidR="006935A7" w:rsidRPr="00A613D6" w:rsidRDefault="002015A5">
      <w:pPr>
        <w:jc w:val="both"/>
        <w:rPr>
          <w:sz w:val="22"/>
          <w:szCs w:val="22"/>
          <w:lang w:val="sr-Latn-ME"/>
        </w:rPr>
      </w:pPr>
      <w:r w:rsidRPr="00A613D6">
        <w:rPr>
          <w:sz w:val="22"/>
          <w:szCs w:val="22"/>
          <w:lang w:val="sr-Latn-ME"/>
        </w:rPr>
        <w:t>Osim toga, povećana incidenca različitih malformacija</w:t>
      </w:r>
      <w:r w:rsidR="001A6BBD" w:rsidRPr="00A613D6">
        <w:rPr>
          <w:sz w:val="22"/>
          <w:szCs w:val="22"/>
          <w:lang w:val="sr-Latn-ME"/>
        </w:rPr>
        <w:t>,</w:t>
      </w:r>
      <w:r w:rsidRPr="00A613D6">
        <w:rPr>
          <w:sz w:val="22"/>
          <w:szCs w:val="22"/>
          <w:lang w:val="sr-Latn-ME"/>
        </w:rPr>
        <w:t xml:space="preserve"> uključujući kardiovaskularne, zabilježena je pri primjeni inhibitora sinteze prostaglandina kod eksperimentalnih životinja tokom organogeneze. </w:t>
      </w:r>
    </w:p>
    <w:p w14:paraId="10B67913" w14:textId="77777777" w:rsidR="006935A7" w:rsidRPr="00A613D6" w:rsidRDefault="006935A7">
      <w:pPr>
        <w:jc w:val="both"/>
        <w:rPr>
          <w:sz w:val="22"/>
          <w:szCs w:val="22"/>
          <w:lang w:val="sr-Latn-ME"/>
        </w:rPr>
      </w:pPr>
    </w:p>
    <w:p w14:paraId="6B808989" w14:textId="7C4C7696" w:rsidR="00E34FEF" w:rsidRPr="00A613D6" w:rsidRDefault="006935A7">
      <w:pPr>
        <w:jc w:val="both"/>
        <w:rPr>
          <w:sz w:val="22"/>
          <w:szCs w:val="22"/>
          <w:lang w:val="sr-Latn-ME"/>
        </w:rPr>
      </w:pPr>
      <w:r w:rsidRPr="008706C5">
        <w:rPr>
          <w:sz w:val="22"/>
          <w:szCs w:val="22"/>
          <w:lang w:val="sr-Latn-ME"/>
        </w:rPr>
        <w:lastRenderedPageBreak/>
        <w:t xml:space="preserve">Od 20. nedjelje trudnoće nadalje, primjena diklofenaka može uzrokovati oligohidramnion koji je posljedica bubrežne disfunkcije kod fetusa. To se može dogoditi ubrzo nakon početka terapije i obično je reverzibilno nakon prekida </w:t>
      </w:r>
      <w:r w:rsidR="00792656" w:rsidRPr="008706C5">
        <w:rPr>
          <w:sz w:val="22"/>
          <w:szCs w:val="22"/>
          <w:lang w:val="sr-Latn-ME"/>
        </w:rPr>
        <w:t>terapije</w:t>
      </w:r>
      <w:r w:rsidRPr="008706C5">
        <w:rPr>
          <w:sz w:val="22"/>
          <w:szCs w:val="22"/>
          <w:lang w:val="sr-Latn-ME"/>
        </w:rPr>
        <w:t xml:space="preserve">. </w:t>
      </w:r>
      <w:r w:rsidR="002015A5" w:rsidRPr="00A613D6">
        <w:rPr>
          <w:sz w:val="22"/>
          <w:szCs w:val="22"/>
          <w:lang w:val="sr-Latn-ME"/>
        </w:rPr>
        <w:t>U toku prvog i drugog trimestra trudnoće, diklofenak treba prim</w:t>
      </w:r>
      <w:r w:rsidR="00A7001B" w:rsidRPr="00A613D6">
        <w:rPr>
          <w:sz w:val="22"/>
          <w:szCs w:val="22"/>
          <w:lang w:val="sr-Latn-ME"/>
        </w:rPr>
        <w:t>i</w:t>
      </w:r>
      <w:r w:rsidR="002015A5" w:rsidRPr="00A613D6">
        <w:rPr>
          <w:sz w:val="22"/>
          <w:szCs w:val="22"/>
          <w:lang w:val="sr-Latn-ME"/>
        </w:rPr>
        <w:t>jeniti samo ukoliko je neophodno. Ukoliko se diklofenak primjenjuje kod žene koja pokušava da zatrudni ili u toku prvog i drugog trimestra trudnoće, trebalo bi upotr</w:t>
      </w:r>
      <w:r w:rsidR="001A6BBD" w:rsidRPr="00A613D6">
        <w:rPr>
          <w:sz w:val="22"/>
          <w:szCs w:val="22"/>
          <w:lang w:val="sr-Latn-ME"/>
        </w:rPr>
        <w:t>ij</w:t>
      </w:r>
      <w:r w:rsidR="002015A5" w:rsidRPr="00A613D6">
        <w:rPr>
          <w:sz w:val="22"/>
          <w:szCs w:val="22"/>
          <w:lang w:val="sr-Latn-ME"/>
        </w:rPr>
        <w:t>ebiti najnižu efektivnu dozu i trajanje terapije ograničiti na najkraći mogući period.</w:t>
      </w:r>
      <w:r w:rsidRPr="008706C5">
        <w:rPr>
          <w:sz w:val="22"/>
          <w:szCs w:val="22"/>
          <w:lang w:val="sr-Latn-ME"/>
        </w:rPr>
        <w:t xml:space="preserve"> </w:t>
      </w:r>
      <w:r w:rsidRPr="00A613D6">
        <w:rPr>
          <w:sz w:val="22"/>
          <w:szCs w:val="22"/>
          <w:lang w:val="sr-Latn-ME"/>
        </w:rPr>
        <w:t>Antenatalno praćenje radi otkrivanja moguće pojave oligohidramniona treba razmotriti nakon izloženosti diklofenaku tokom nekoliko dana od 20. gestacijske ned</w:t>
      </w:r>
      <w:r w:rsidR="00554573" w:rsidRPr="00A613D6">
        <w:rPr>
          <w:sz w:val="22"/>
          <w:szCs w:val="22"/>
          <w:lang w:val="sr-Latn-ME"/>
        </w:rPr>
        <w:t>j</w:t>
      </w:r>
      <w:r w:rsidRPr="00A613D6">
        <w:rPr>
          <w:sz w:val="22"/>
          <w:szCs w:val="22"/>
          <w:lang w:val="sr-Latn-ME"/>
        </w:rPr>
        <w:t>elje nadalje. Prim</w:t>
      </w:r>
      <w:r w:rsidR="00554573" w:rsidRPr="00A613D6">
        <w:rPr>
          <w:sz w:val="22"/>
          <w:szCs w:val="22"/>
          <w:lang w:val="sr-Latn-ME"/>
        </w:rPr>
        <w:t>j</w:t>
      </w:r>
      <w:r w:rsidRPr="00A613D6">
        <w:rPr>
          <w:sz w:val="22"/>
          <w:szCs w:val="22"/>
          <w:lang w:val="sr-Latn-ME"/>
        </w:rPr>
        <w:t>ena diklofenaka mora se prekinuti ako se utvrdi oligohidramnion.</w:t>
      </w:r>
      <w:r w:rsidR="00792656" w:rsidRPr="00A613D6">
        <w:rPr>
          <w:sz w:val="22"/>
          <w:szCs w:val="22"/>
          <w:lang w:val="sr-Latn-ME"/>
        </w:rPr>
        <w:t xml:space="preserve"> </w:t>
      </w:r>
    </w:p>
    <w:p w14:paraId="41E277BF" w14:textId="77777777" w:rsidR="002015A5" w:rsidRPr="00A613D6" w:rsidRDefault="002015A5">
      <w:pPr>
        <w:jc w:val="both"/>
        <w:rPr>
          <w:sz w:val="22"/>
          <w:szCs w:val="22"/>
          <w:lang w:val="sr-Latn-ME"/>
        </w:rPr>
      </w:pPr>
    </w:p>
    <w:p w14:paraId="2818BF8B" w14:textId="6235C1D5" w:rsidR="002015A5" w:rsidRPr="00A613D6" w:rsidRDefault="002015A5">
      <w:pPr>
        <w:jc w:val="both"/>
        <w:rPr>
          <w:sz w:val="22"/>
          <w:szCs w:val="22"/>
          <w:lang w:val="sr-Latn-ME"/>
        </w:rPr>
      </w:pPr>
      <w:r w:rsidRPr="00A613D6">
        <w:rPr>
          <w:sz w:val="22"/>
          <w:szCs w:val="22"/>
          <w:lang w:val="sr-Latn-ME"/>
        </w:rPr>
        <w:t xml:space="preserve">U toku trećeg trimestra trudnoće, svi inhibitori sinteze prostaglandina mogu </w:t>
      </w:r>
      <w:r w:rsidR="006935A7" w:rsidRPr="00A613D6">
        <w:rPr>
          <w:sz w:val="22"/>
          <w:szCs w:val="22"/>
          <w:lang w:val="sr-Latn-ME"/>
        </w:rPr>
        <w:t>izložiti plod</w:t>
      </w:r>
      <w:r w:rsidRPr="00A613D6">
        <w:rPr>
          <w:sz w:val="22"/>
          <w:szCs w:val="22"/>
          <w:lang w:val="sr-Latn-ME"/>
        </w:rPr>
        <w:t>:</w:t>
      </w:r>
    </w:p>
    <w:p w14:paraId="5878F336" w14:textId="2FAA22E8" w:rsidR="002015A5" w:rsidRPr="00A613D6" w:rsidRDefault="002015A5">
      <w:pPr>
        <w:pStyle w:val="ListParagraph"/>
        <w:numPr>
          <w:ilvl w:val="0"/>
          <w:numId w:val="13"/>
        </w:numPr>
        <w:spacing w:line="240" w:lineRule="auto"/>
        <w:jc w:val="both"/>
        <w:rPr>
          <w:rFonts w:ascii="Times New Roman" w:hAnsi="Times New Roman" w:cs="Times New Roman"/>
          <w:lang w:val="sr-Latn-ME"/>
        </w:rPr>
      </w:pPr>
      <w:r w:rsidRPr="00A613D6">
        <w:rPr>
          <w:rFonts w:ascii="Times New Roman" w:hAnsi="Times New Roman" w:cs="Times New Roman"/>
          <w:lang w:val="sr-Latn-ME"/>
        </w:rPr>
        <w:t>kardiopulmonaln</w:t>
      </w:r>
      <w:r w:rsidR="006935A7" w:rsidRPr="00A613D6">
        <w:rPr>
          <w:rFonts w:ascii="Times New Roman" w:hAnsi="Times New Roman" w:cs="Times New Roman"/>
          <w:lang w:val="sr-Latn-ME"/>
        </w:rPr>
        <w:t>oj</w:t>
      </w:r>
      <w:r w:rsidRPr="00A613D6">
        <w:rPr>
          <w:rFonts w:ascii="Times New Roman" w:hAnsi="Times New Roman" w:cs="Times New Roman"/>
          <w:lang w:val="sr-Latn-ME"/>
        </w:rPr>
        <w:t xml:space="preserve"> toksičnosti (prevremeno zatvaranje </w:t>
      </w:r>
      <w:r w:rsidRPr="00A613D6">
        <w:rPr>
          <w:rFonts w:ascii="Times New Roman" w:hAnsi="Times New Roman" w:cs="Times New Roman"/>
          <w:i/>
          <w:iCs/>
          <w:lang w:val="sr-Latn-ME"/>
        </w:rPr>
        <w:t>ductus arteriosus</w:t>
      </w:r>
      <w:r w:rsidRPr="00A613D6">
        <w:rPr>
          <w:rFonts w:ascii="Times New Roman" w:hAnsi="Times New Roman" w:cs="Times New Roman"/>
          <w:lang w:val="sr-Latn-ME"/>
        </w:rPr>
        <w:t>-a i plućna hipertenzija)</w:t>
      </w:r>
      <w:r w:rsidR="001A6BBD" w:rsidRPr="00A613D6">
        <w:rPr>
          <w:rFonts w:ascii="Times New Roman" w:hAnsi="Times New Roman" w:cs="Times New Roman"/>
          <w:lang w:val="sr-Latn-ME"/>
        </w:rPr>
        <w:t>,</w:t>
      </w:r>
    </w:p>
    <w:p w14:paraId="2EAD454B" w14:textId="44FD2C22" w:rsidR="00A371FC" w:rsidRPr="008706C5" w:rsidRDefault="002015A5" w:rsidP="008706C5">
      <w:pPr>
        <w:pStyle w:val="ListParagraph"/>
        <w:numPr>
          <w:ilvl w:val="0"/>
          <w:numId w:val="13"/>
        </w:numPr>
        <w:spacing w:line="240" w:lineRule="auto"/>
        <w:jc w:val="both"/>
        <w:rPr>
          <w:lang w:val="sr-Latn-ME"/>
        </w:rPr>
      </w:pPr>
      <w:r w:rsidRPr="00A613D6">
        <w:rPr>
          <w:lang w:val="sr-Latn-ME"/>
        </w:rPr>
        <w:t>bubrežn</w:t>
      </w:r>
      <w:r w:rsidR="006935A7" w:rsidRPr="00A613D6">
        <w:rPr>
          <w:lang w:val="sr-Latn-ME"/>
        </w:rPr>
        <w:t>oj</w:t>
      </w:r>
      <w:r w:rsidRPr="00A613D6">
        <w:rPr>
          <w:lang w:val="sr-Latn-ME"/>
        </w:rPr>
        <w:t xml:space="preserve"> disfunkcij</w:t>
      </w:r>
      <w:r w:rsidR="006935A7" w:rsidRPr="00A613D6">
        <w:rPr>
          <w:lang w:val="sr-Latn-ME"/>
        </w:rPr>
        <w:t>i (vidjeti prethodni d</w:t>
      </w:r>
      <w:r w:rsidR="00E34FEF" w:rsidRPr="00A613D6">
        <w:rPr>
          <w:lang w:val="sr-Latn-ME"/>
        </w:rPr>
        <w:t>i</w:t>
      </w:r>
      <w:r w:rsidR="006935A7" w:rsidRPr="00A613D6">
        <w:rPr>
          <w:lang w:val="sr-Latn-ME"/>
        </w:rPr>
        <w:t>o teksta)</w:t>
      </w:r>
      <w:r w:rsidRPr="00A613D6">
        <w:rPr>
          <w:lang w:val="sr-Latn-ME"/>
        </w:rPr>
        <w:t>.</w:t>
      </w:r>
    </w:p>
    <w:p w14:paraId="3D51E66F" w14:textId="7651E10D" w:rsidR="00B05EAA" w:rsidRPr="00A613D6" w:rsidRDefault="0066545B">
      <w:pPr>
        <w:jc w:val="both"/>
        <w:rPr>
          <w:sz w:val="22"/>
          <w:szCs w:val="22"/>
          <w:lang w:val="sr-Latn-ME"/>
        </w:rPr>
      </w:pPr>
      <w:r w:rsidRPr="00A613D6">
        <w:rPr>
          <w:sz w:val="22"/>
          <w:szCs w:val="22"/>
          <w:lang w:val="sr-Latn-ME"/>
        </w:rPr>
        <w:t xml:space="preserve">Kod majke i </w:t>
      </w:r>
      <w:r w:rsidR="004B5C39" w:rsidRPr="00A613D6">
        <w:rPr>
          <w:sz w:val="22"/>
          <w:szCs w:val="22"/>
          <w:lang w:val="sr-Latn-ME"/>
        </w:rPr>
        <w:t xml:space="preserve">novorođenčeta, na kraju trudnoće </w:t>
      </w:r>
      <w:r w:rsidR="006935A7" w:rsidRPr="00A613D6">
        <w:rPr>
          <w:sz w:val="22"/>
          <w:szCs w:val="22"/>
          <w:lang w:val="sr-Latn-ME"/>
        </w:rPr>
        <w:t>mogu dovesti do</w:t>
      </w:r>
      <w:r w:rsidR="004B5C39" w:rsidRPr="00A613D6">
        <w:rPr>
          <w:sz w:val="22"/>
          <w:szCs w:val="22"/>
          <w:lang w:val="sr-Latn-ME"/>
        </w:rPr>
        <w:t>:</w:t>
      </w:r>
    </w:p>
    <w:p w14:paraId="0A01FF27" w14:textId="48235BBC" w:rsidR="00B05EAA" w:rsidRPr="00A613D6" w:rsidRDefault="00F9120C">
      <w:pPr>
        <w:jc w:val="both"/>
        <w:rPr>
          <w:sz w:val="22"/>
          <w:szCs w:val="22"/>
          <w:lang w:val="sr-Latn-ME"/>
        </w:rPr>
      </w:pPr>
      <w:r w:rsidRPr="00A613D6">
        <w:rPr>
          <w:sz w:val="22"/>
          <w:szCs w:val="22"/>
          <w:lang w:val="sr-Latn-ME"/>
        </w:rPr>
        <w:t>-</w:t>
      </w:r>
      <w:r w:rsidR="00B05EAA" w:rsidRPr="00A613D6">
        <w:rPr>
          <w:sz w:val="22"/>
          <w:szCs w:val="22"/>
          <w:lang w:val="sr-Latn-ME"/>
        </w:rPr>
        <w:t xml:space="preserve"> </w:t>
      </w:r>
      <w:r w:rsidR="008C7DCC" w:rsidRPr="00A613D6">
        <w:rPr>
          <w:sz w:val="22"/>
          <w:szCs w:val="22"/>
          <w:lang w:val="sr-Latn-ME"/>
        </w:rPr>
        <w:t xml:space="preserve">mogućeg produženja vremena krvarenja, </w:t>
      </w:r>
      <w:r w:rsidR="00A0254C" w:rsidRPr="00A613D6">
        <w:rPr>
          <w:sz w:val="22"/>
          <w:szCs w:val="22"/>
          <w:lang w:val="sr-Latn-ME"/>
        </w:rPr>
        <w:t>anti-agregacijskog efekta koji se može javiti čak i nakon primjene veoma niskih doza;</w:t>
      </w:r>
    </w:p>
    <w:p w14:paraId="21475F5A" w14:textId="3FEE30E6" w:rsidR="002015A5" w:rsidRPr="00A613D6" w:rsidRDefault="00F9120C">
      <w:pPr>
        <w:jc w:val="both"/>
        <w:rPr>
          <w:sz w:val="22"/>
          <w:szCs w:val="22"/>
          <w:lang w:val="sr-Latn-ME"/>
        </w:rPr>
      </w:pPr>
      <w:r w:rsidRPr="00A613D6">
        <w:rPr>
          <w:sz w:val="22"/>
          <w:szCs w:val="22"/>
          <w:lang w:val="sr-Latn-ME"/>
        </w:rPr>
        <w:t>-</w:t>
      </w:r>
      <w:r w:rsidR="00B05EAA" w:rsidRPr="00A613D6">
        <w:rPr>
          <w:sz w:val="22"/>
          <w:szCs w:val="22"/>
          <w:lang w:val="sr-Latn-ME"/>
        </w:rPr>
        <w:t xml:space="preserve"> </w:t>
      </w:r>
      <w:r w:rsidR="004B5C39" w:rsidRPr="00A613D6">
        <w:rPr>
          <w:sz w:val="22"/>
          <w:szCs w:val="22"/>
          <w:lang w:val="sr-Latn-ME"/>
        </w:rPr>
        <w:t xml:space="preserve">inhibicije kontrakcije uterusa </w:t>
      </w:r>
      <w:r w:rsidRPr="00A613D6">
        <w:rPr>
          <w:sz w:val="22"/>
          <w:szCs w:val="22"/>
          <w:lang w:val="sr-Latn-ME"/>
        </w:rPr>
        <w:t>koja dovodi do odloženog ili pro</w:t>
      </w:r>
      <w:r w:rsidR="008B15FD" w:rsidRPr="00A613D6">
        <w:rPr>
          <w:sz w:val="22"/>
          <w:szCs w:val="22"/>
          <w:lang w:val="sr-Latn-ME"/>
        </w:rPr>
        <w:t>d</w:t>
      </w:r>
      <w:r w:rsidRPr="00A613D6">
        <w:rPr>
          <w:sz w:val="22"/>
          <w:szCs w:val="22"/>
          <w:lang w:val="sr-Latn-ME"/>
        </w:rPr>
        <w:t>uženog porođaja</w:t>
      </w:r>
      <w:r w:rsidR="002015A5" w:rsidRPr="00A613D6">
        <w:rPr>
          <w:sz w:val="22"/>
          <w:szCs w:val="22"/>
          <w:lang w:val="sr-Latn-ME"/>
        </w:rPr>
        <w:t>.</w:t>
      </w:r>
    </w:p>
    <w:p w14:paraId="4A21D0C4" w14:textId="77777777" w:rsidR="002015A5" w:rsidRPr="00A613D6" w:rsidRDefault="002015A5">
      <w:pPr>
        <w:jc w:val="both"/>
        <w:rPr>
          <w:sz w:val="22"/>
          <w:szCs w:val="22"/>
          <w:lang w:val="sr-Latn-ME"/>
        </w:rPr>
      </w:pPr>
    </w:p>
    <w:p w14:paraId="0E52DD93" w14:textId="2D2846D0" w:rsidR="002015A5" w:rsidRPr="00A613D6" w:rsidRDefault="002015A5">
      <w:pPr>
        <w:jc w:val="both"/>
        <w:rPr>
          <w:sz w:val="22"/>
          <w:szCs w:val="22"/>
          <w:lang w:val="sr-Latn-ME"/>
        </w:rPr>
      </w:pPr>
      <w:r w:rsidRPr="00A613D6">
        <w:rPr>
          <w:sz w:val="22"/>
          <w:szCs w:val="22"/>
          <w:lang w:val="sr-Latn-ME"/>
        </w:rPr>
        <w:t>Usljed toga</w:t>
      </w:r>
      <w:r w:rsidR="000727B0" w:rsidRPr="00A613D6">
        <w:rPr>
          <w:sz w:val="22"/>
          <w:szCs w:val="22"/>
          <w:lang w:val="sr-Latn-ME"/>
        </w:rPr>
        <w:t>,</w:t>
      </w:r>
      <w:r w:rsidRPr="00A613D6">
        <w:rPr>
          <w:sz w:val="22"/>
          <w:szCs w:val="22"/>
          <w:lang w:val="sr-Latn-ME"/>
        </w:rPr>
        <w:t xml:space="preserve"> lijek Diclopram je kontraindikovan u trećem trimestru trudnoće</w:t>
      </w:r>
      <w:r w:rsidR="006935A7" w:rsidRPr="00A613D6">
        <w:rPr>
          <w:sz w:val="22"/>
          <w:szCs w:val="22"/>
          <w:lang w:val="sr-Latn-ME"/>
        </w:rPr>
        <w:t xml:space="preserve"> (vidjeti </w:t>
      </w:r>
      <w:r w:rsidR="00E34FEF" w:rsidRPr="00A613D6">
        <w:rPr>
          <w:sz w:val="22"/>
          <w:szCs w:val="22"/>
          <w:lang w:val="sr-Latn-ME"/>
        </w:rPr>
        <w:t>djelove</w:t>
      </w:r>
      <w:r w:rsidR="006935A7" w:rsidRPr="00A613D6">
        <w:rPr>
          <w:sz w:val="22"/>
          <w:szCs w:val="22"/>
          <w:lang w:val="sr-Latn-ME"/>
        </w:rPr>
        <w:t xml:space="preserve"> 4.3 i 5.3)</w:t>
      </w:r>
      <w:r w:rsidRPr="00A613D6">
        <w:rPr>
          <w:sz w:val="22"/>
          <w:szCs w:val="22"/>
          <w:lang w:val="sr-Latn-ME"/>
        </w:rPr>
        <w:t>.</w:t>
      </w:r>
    </w:p>
    <w:p w14:paraId="1C0B193C" w14:textId="77777777" w:rsidR="002015A5" w:rsidRPr="00A613D6" w:rsidRDefault="002015A5">
      <w:pPr>
        <w:jc w:val="both"/>
        <w:rPr>
          <w:sz w:val="22"/>
          <w:szCs w:val="22"/>
          <w:lang w:val="sr-Latn-ME"/>
        </w:rPr>
      </w:pPr>
    </w:p>
    <w:p w14:paraId="4C964624" w14:textId="31EAE6F0" w:rsidR="0072020E" w:rsidRPr="00A613D6" w:rsidRDefault="007A3ECB">
      <w:pPr>
        <w:tabs>
          <w:tab w:val="left" w:pos="540"/>
          <w:tab w:val="left" w:pos="569"/>
        </w:tabs>
        <w:jc w:val="both"/>
        <w:rPr>
          <w:sz w:val="22"/>
          <w:szCs w:val="22"/>
          <w:u w:val="single"/>
          <w:lang w:val="sr-Latn-ME"/>
        </w:rPr>
      </w:pPr>
      <w:r w:rsidRPr="00A613D6">
        <w:rPr>
          <w:sz w:val="22"/>
          <w:szCs w:val="22"/>
          <w:u w:val="single"/>
          <w:lang w:val="sr-Latn-ME"/>
        </w:rPr>
        <w:t xml:space="preserve">Dojenje </w:t>
      </w:r>
    </w:p>
    <w:p w14:paraId="1BAA5A3C" w14:textId="7589692F" w:rsidR="00996028" w:rsidRPr="00A613D6" w:rsidRDefault="0066545B">
      <w:pPr>
        <w:tabs>
          <w:tab w:val="left" w:pos="540"/>
          <w:tab w:val="left" w:pos="569"/>
        </w:tabs>
        <w:jc w:val="both"/>
        <w:rPr>
          <w:sz w:val="22"/>
          <w:szCs w:val="22"/>
          <w:lang w:val="sr-Latn-ME"/>
        </w:rPr>
      </w:pPr>
      <w:r w:rsidRPr="00A613D6">
        <w:rPr>
          <w:sz w:val="22"/>
          <w:szCs w:val="22"/>
          <w:lang w:val="sr-Latn-ME"/>
        </w:rPr>
        <w:t>U ograničenim, do sada dostupnim studijama</w:t>
      </w:r>
      <w:r w:rsidR="000727B0" w:rsidRPr="00A613D6">
        <w:rPr>
          <w:sz w:val="22"/>
          <w:szCs w:val="22"/>
          <w:lang w:val="sr-Latn-ME"/>
        </w:rPr>
        <w:t>,</w:t>
      </w:r>
      <w:r w:rsidR="00913059" w:rsidRPr="00A613D6">
        <w:rPr>
          <w:sz w:val="22"/>
          <w:szCs w:val="22"/>
          <w:lang w:val="sr-Latn-ME"/>
        </w:rPr>
        <w:t xml:space="preserve"> uočeno je da se </w:t>
      </w:r>
      <w:r w:rsidRPr="00A613D6">
        <w:rPr>
          <w:sz w:val="22"/>
          <w:szCs w:val="22"/>
          <w:lang w:val="sr-Latn-ME"/>
        </w:rPr>
        <w:t>NSAIL mogu pojaviti u majčinom mlijeku u veoma niskim koncentracijama. NSAIL treba, ako je moguće, izbjegavati tokom dojenja.</w:t>
      </w:r>
    </w:p>
    <w:p w14:paraId="4E5FDB5E" w14:textId="77777777" w:rsidR="00996028" w:rsidRPr="00A613D6" w:rsidRDefault="00996028">
      <w:pPr>
        <w:tabs>
          <w:tab w:val="left" w:pos="540"/>
          <w:tab w:val="left" w:pos="569"/>
        </w:tabs>
        <w:jc w:val="both"/>
        <w:rPr>
          <w:b/>
          <w:bCs/>
          <w:sz w:val="22"/>
          <w:szCs w:val="22"/>
          <w:lang w:val="sr-Latn-ME"/>
        </w:rPr>
      </w:pPr>
    </w:p>
    <w:p w14:paraId="5332AC3E" w14:textId="77777777" w:rsidR="00996028" w:rsidRPr="00A613D6" w:rsidRDefault="00996028">
      <w:pPr>
        <w:jc w:val="both"/>
        <w:rPr>
          <w:sz w:val="22"/>
          <w:szCs w:val="22"/>
          <w:u w:val="single"/>
          <w:lang w:val="sr-Latn-ME"/>
        </w:rPr>
      </w:pPr>
      <w:r w:rsidRPr="00A613D6">
        <w:rPr>
          <w:sz w:val="22"/>
          <w:szCs w:val="22"/>
          <w:u w:val="single"/>
          <w:lang w:val="sr-Latn-ME"/>
        </w:rPr>
        <w:t>Plodnost</w:t>
      </w:r>
    </w:p>
    <w:p w14:paraId="30109863" w14:textId="1C76367B" w:rsidR="00051931" w:rsidRPr="00A613D6" w:rsidRDefault="00051931">
      <w:pPr>
        <w:jc w:val="both"/>
        <w:rPr>
          <w:sz w:val="22"/>
          <w:szCs w:val="22"/>
          <w:lang w:val="sr-Latn-ME"/>
        </w:rPr>
      </w:pPr>
      <w:r w:rsidRPr="00A613D6">
        <w:rPr>
          <w:sz w:val="22"/>
          <w:szCs w:val="22"/>
          <w:lang w:val="sr-Latn-ME"/>
        </w:rPr>
        <w:t>Vid</w:t>
      </w:r>
      <w:r w:rsidR="00DA4684" w:rsidRPr="00A613D6">
        <w:rPr>
          <w:sz w:val="22"/>
          <w:szCs w:val="22"/>
          <w:lang w:val="sr-Latn-ME"/>
        </w:rPr>
        <w:t>j</w:t>
      </w:r>
      <w:r w:rsidRPr="00A613D6">
        <w:rPr>
          <w:sz w:val="22"/>
          <w:szCs w:val="22"/>
          <w:lang w:val="sr-Latn-ME"/>
        </w:rPr>
        <w:t xml:space="preserve">eti </w:t>
      </w:r>
      <w:r w:rsidR="000727B0" w:rsidRPr="00A613D6">
        <w:rPr>
          <w:sz w:val="22"/>
          <w:szCs w:val="22"/>
          <w:lang w:val="sr-Latn-ME"/>
        </w:rPr>
        <w:t xml:space="preserve">dio </w:t>
      </w:r>
      <w:r w:rsidRPr="00A613D6">
        <w:rPr>
          <w:sz w:val="22"/>
          <w:szCs w:val="22"/>
          <w:lang w:val="sr-Latn-ME"/>
        </w:rPr>
        <w:t>4.4.</w:t>
      </w:r>
    </w:p>
    <w:p w14:paraId="4C964625" w14:textId="1CCE3F4F" w:rsidR="00227BDB" w:rsidRPr="00A613D6" w:rsidRDefault="00227BDB">
      <w:pPr>
        <w:tabs>
          <w:tab w:val="left" w:pos="540"/>
          <w:tab w:val="left" w:pos="569"/>
        </w:tabs>
        <w:ind w:left="540" w:hanging="540"/>
        <w:jc w:val="both"/>
        <w:rPr>
          <w:b/>
          <w:bCs/>
          <w:sz w:val="22"/>
          <w:szCs w:val="22"/>
          <w:lang w:val="sr-Latn-ME"/>
        </w:rPr>
      </w:pPr>
    </w:p>
    <w:p w14:paraId="7E7B6005" w14:textId="00DF0854" w:rsidR="003A690E" w:rsidRPr="00A613D6" w:rsidRDefault="003A690E">
      <w:pPr>
        <w:jc w:val="both"/>
        <w:rPr>
          <w:i/>
          <w:iCs/>
          <w:sz w:val="22"/>
          <w:szCs w:val="22"/>
          <w:lang w:val="sr-Latn-ME"/>
        </w:rPr>
      </w:pPr>
      <w:r w:rsidRPr="00A613D6">
        <w:rPr>
          <w:i/>
          <w:iCs/>
          <w:sz w:val="22"/>
          <w:szCs w:val="22"/>
          <w:lang w:val="sr-Latn-ME"/>
        </w:rPr>
        <w:t>Omeprazol</w:t>
      </w:r>
    </w:p>
    <w:p w14:paraId="074F1F0A" w14:textId="77777777" w:rsidR="00996028" w:rsidRPr="00A613D6" w:rsidRDefault="00996028">
      <w:pPr>
        <w:jc w:val="both"/>
        <w:rPr>
          <w:i/>
          <w:iCs/>
          <w:sz w:val="22"/>
          <w:szCs w:val="22"/>
          <w:lang w:val="sr-Latn-ME"/>
        </w:rPr>
      </w:pPr>
    </w:p>
    <w:p w14:paraId="5E1F9D8B" w14:textId="77777777" w:rsidR="003A690E" w:rsidRPr="00A613D6" w:rsidRDefault="003A690E">
      <w:pPr>
        <w:pStyle w:val="Header"/>
        <w:tabs>
          <w:tab w:val="left" w:pos="284"/>
        </w:tabs>
        <w:jc w:val="both"/>
        <w:rPr>
          <w:iCs/>
          <w:sz w:val="22"/>
          <w:szCs w:val="22"/>
          <w:u w:val="single"/>
          <w:lang w:val="sr-Latn-ME"/>
        </w:rPr>
      </w:pPr>
      <w:r w:rsidRPr="00A613D6">
        <w:rPr>
          <w:iCs/>
          <w:sz w:val="22"/>
          <w:szCs w:val="22"/>
          <w:u w:val="single"/>
          <w:lang w:val="sr-Latn-ME"/>
        </w:rPr>
        <w:t>Trudnoća</w:t>
      </w:r>
    </w:p>
    <w:p w14:paraId="7DEBD5E7" w14:textId="7164924B" w:rsidR="003A690E" w:rsidRPr="00A613D6" w:rsidRDefault="003A690E">
      <w:pPr>
        <w:pStyle w:val="Header"/>
        <w:tabs>
          <w:tab w:val="left" w:pos="284"/>
        </w:tabs>
        <w:jc w:val="both"/>
        <w:rPr>
          <w:sz w:val="22"/>
          <w:szCs w:val="22"/>
          <w:lang w:val="sr-Latn-ME"/>
        </w:rPr>
      </w:pPr>
      <w:r w:rsidRPr="00A613D6">
        <w:rPr>
          <w:sz w:val="22"/>
          <w:szCs w:val="22"/>
          <w:lang w:val="sr-Latn-ME"/>
        </w:rPr>
        <w:t xml:space="preserve">Rezultati tri </w:t>
      </w:r>
      <w:r w:rsidR="00592108" w:rsidRPr="00A613D6">
        <w:rPr>
          <w:sz w:val="22"/>
          <w:szCs w:val="22"/>
          <w:lang w:val="sr-Latn-ME"/>
        </w:rPr>
        <w:t xml:space="preserve">prospektivne </w:t>
      </w:r>
      <w:r w:rsidRPr="00A613D6">
        <w:rPr>
          <w:sz w:val="22"/>
          <w:szCs w:val="22"/>
          <w:lang w:val="sr-Latn-ME"/>
        </w:rPr>
        <w:t xml:space="preserve">epidemiološke studije (više od 1000 razmatranih slučajeva) nisu ukazali na </w:t>
      </w:r>
      <w:r w:rsidR="00592108" w:rsidRPr="00A613D6">
        <w:rPr>
          <w:sz w:val="22"/>
          <w:szCs w:val="22"/>
          <w:lang w:val="sr-Latn-ME"/>
        </w:rPr>
        <w:t xml:space="preserve">neželjena dejstva </w:t>
      </w:r>
      <w:r w:rsidRPr="00A613D6">
        <w:rPr>
          <w:sz w:val="22"/>
          <w:szCs w:val="22"/>
          <w:lang w:val="sr-Latn-ME"/>
        </w:rPr>
        <w:t>omeprazola na trudnoću ili na zdravlje fetusa/novorođenčeta. Omeprazol se može koristiti tokom trudnoće.</w:t>
      </w:r>
    </w:p>
    <w:p w14:paraId="5B79FB26" w14:textId="77777777" w:rsidR="003A690E" w:rsidRPr="00A613D6" w:rsidRDefault="003A690E">
      <w:pPr>
        <w:pStyle w:val="Header"/>
        <w:tabs>
          <w:tab w:val="left" w:pos="284"/>
        </w:tabs>
        <w:jc w:val="both"/>
        <w:rPr>
          <w:sz w:val="22"/>
          <w:szCs w:val="22"/>
          <w:lang w:val="sr-Latn-ME"/>
        </w:rPr>
      </w:pPr>
    </w:p>
    <w:p w14:paraId="71A4C0EF" w14:textId="77777777" w:rsidR="003A690E" w:rsidRPr="00A613D6" w:rsidRDefault="003A690E">
      <w:pPr>
        <w:pStyle w:val="Header"/>
        <w:tabs>
          <w:tab w:val="left" w:pos="284"/>
        </w:tabs>
        <w:jc w:val="both"/>
        <w:rPr>
          <w:iCs/>
          <w:sz w:val="22"/>
          <w:szCs w:val="22"/>
          <w:u w:val="single"/>
          <w:lang w:val="sr-Latn-ME"/>
        </w:rPr>
      </w:pPr>
      <w:r w:rsidRPr="00A613D6">
        <w:rPr>
          <w:iCs/>
          <w:sz w:val="22"/>
          <w:szCs w:val="22"/>
          <w:u w:val="single"/>
          <w:lang w:val="sr-Latn-ME"/>
        </w:rPr>
        <w:t>Dojenje</w:t>
      </w:r>
    </w:p>
    <w:p w14:paraId="588A92C0" w14:textId="283567D8" w:rsidR="003A690E" w:rsidRPr="00A613D6" w:rsidRDefault="003A690E">
      <w:pPr>
        <w:pStyle w:val="Header"/>
        <w:tabs>
          <w:tab w:val="left" w:pos="284"/>
        </w:tabs>
        <w:jc w:val="both"/>
        <w:rPr>
          <w:sz w:val="22"/>
          <w:szCs w:val="22"/>
          <w:lang w:val="sr-Latn-ME"/>
        </w:rPr>
      </w:pPr>
      <w:r w:rsidRPr="00A613D6">
        <w:rPr>
          <w:sz w:val="22"/>
          <w:szCs w:val="22"/>
          <w:lang w:val="sr-Latn-ME"/>
        </w:rPr>
        <w:t>Omeprazol se izlučuje u majčino mlijeko, ali je mala vjerovatnoća da će primjena terapijskih doza uticati na dijete.</w:t>
      </w:r>
    </w:p>
    <w:p w14:paraId="1048BAB5" w14:textId="77777777" w:rsidR="00051931" w:rsidRPr="00A613D6" w:rsidRDefault="00051931">
      <w:pPr>
        <w:tabs>
          <w:tab w:val="left" w:pos="540"/>
          <w:tab w:val="left" w:pos="569"/>
        </w:tabs>
        <w:ind w:left="540" w:hanging="540"/>
        <w:jc w:val="both"/>
        <w:rPr>
          <w:b/>
          <w:bCs/>
          <w:sz w:val="22"/>
          <w:szCs w:val="22"/>
          <w:lang w:val="sr-Latn-ME"/>
        </w:rPr>
      </w:pPr>
    </w:p>
    <w:p w14:paraId="4C964626" w14:textId="77777777" w:rsidR="0072020E" w:rsidRPr="00A613D6" w:rsidRDefault="0072020E">
      <w:pPr>
        <w:tabs>
          <w:tab w:val="left" w:pos="540"/>
          <w:tab w:val="left" w:pos="569"/>
        </w:tabs>
        <w:ind w:left="540" w:hanging="540"/>
        <w:jc w:val="both"/>
        <w:rPr>
          <w:b/>
          <w:bCs/>
          <w:sz w:val="22"/>
          <w:szCs w:val="22"/>
          <w:lang w:val="sr-Latn-ME"/>
        </w:rPr>
      </w:pPr>
      <w:r w:rsidRPr="00A613D6">
        <w:rPr>
          <w:b/>
          <w:bCs/>
          <w:sz w:val="22"/>
          <w:szCs w:val="22"/>
          <w:lang w:val="sr-Latn-ME"/>
        </w:rPr>
        <w:t xml:space="preserve">4.7. </w:t>
      </w:r>
      <w:r w:rsidR="00480FB1" w:rsidRPr="00A613D6">
        <w:rPr>
          <w:b/>
          <w:bCs/>
          <w:sz w:val="22"/>
          <w:szCs w:val="22"/>
          <w:lang w:val="sr-Latn-ME"/>
        </w:rPr>
        <w:tab/>
      </w:r>
      <w:r w:rsidRPr="00A613D6">
        <w:rPr>
          <w:b/>
          <w:bCs/>
          <w:sz w:val="22"/>
          <w:szCs w:val="22"/>
          <w:lang w:val="sr-Latn-ME"/>
        </w:rPr>
        <w:t xml:space="preserve">Uticaj na </w:t>
      </w:r>
      <w:r w:rsidR="002031B3" w:rsidRPr="00A613D6">
        <w:rPr>
          <w:b/>
          <w:bCs/>
          <w:sz w:val="22"/>
          <w:szCs w:val="22"/>
          <w:lang w:val="sr-Latn-ME"/>
        </w:rPr>
        <w:t xml:space="preserve">sposobnost </w:t>
      </w:r>
      <w:r w:rsidR="00F34554" w:rsidRPr="00A613D6">
        <w:rPr>
          <w:b/>
          <w:bCs/>
          <w:sz w:val="22"/>
          <w:szCs w:val="22"/>
          <w:lang w:val="sr-Latn-ME"/>
        </w:rPr>
        <w:t>upravljanja vozili</w:t>
      </w:r>
      <w:r w:rsidRPr="00A613D6">
        <w:rPr>
          <w:b/>
          <w:bCs/>
          <w:sz w:val="22"/>
          <w:szCs w:val="22"/>
          <w:lang w:val="sr-Latn-ME"/>
        </w:rPr>
        <w:t>m</w:t>
      </w:r>
      <w:r w:rsidR="00F34554" w:rsidRPr="00A613D6">
        <w:rPr>
          <w:b/>
          <w:bCs/>
          <w:sz w:val="22"/>
          <w:szCs w:val="22"/>
          <w:lang w:val="sr-Latn-ME"/>
        </w:rPr>
        <w:t>a</w:t>
      </w:r>
      <w:r w:rsidRPr="00A613D6">
        <w:rPr>
          <w:b/>
          <w:bCs/>
          <w:sz w:val="22"/>
          <w:szCs w:val="22"/>
          <w:lang w:val="sr-Latn-ME"/>
        </w:rPr>
        <w:t xml:space="preserve"> i </w:t>
      </w:r>
      <w:r w:rsidR="000D3449" w:rsidRPr="00A613D6">
        <w:rPr>
          <w:b/>
          <w:bCs/>
          <w:sz w:val="22"/>
          <w:szCs w:val="22"/>
          <w:lang w:val="sr-Latn-ME"/>
        </w:rPr>
        <w:t xml:space="preserve">rukovanje </w:t>
      </w:r>
      <w:r w:rsidRPr="00A613D6">
        <w:rPr>
          <w:b/>
          <w:bCs/>
          <w:sz w:val="22"/>
          <w:szCs w:val="22"/>
          <w:lang w:val="sr-Latn-ME"/>
        </w:rPr>
        <w:t>mašinama</w:t>
      </w:r>
    </w:p>
    <w:p w14:paraId="4C964627" w14:textId="6575E31B" w:rsidR="0072020E" w:rsidRPr="00A613D6" w:rsidRDefault="0072020E">
      <w:pPr>
        <w:tabs>
          <w:tab w:val="left" w:pos="540"/>
          <w:tab w:val="left" w:pos="569"/>
        </w:tabs>
        <w:jc w:val="both"/>
        <w:rPr>
          <w:b/>
          <w:bCs/>
          <w:sz w:val="22"/>
          <w:szCs w:val="22"/>
          <w:lang w:val="sr-Latn-ME"/>
        </w:rPr>
      </w:pPr>
    </w:p>
    <w:p w14:paraId="04F0D580" w14:textId="3463B7EE" w:rsidR="003353BC" w:rsidRPr="00A613D6" w:rsidRDefault="003353BC">
      <w:pPr>
        <w:jc w:val="both"/>
        <w:rPr>
          <w:sz w:val="22"/>
          <w:szCs w:val="22"/>
          <w:lang w:val="sr-Latn-ME"/>
        </w:rPr>
      </w:pPr>
      <w:r w:rsidRPr="00A613D6">
        <w:rPr>
          <w:sz w:val="22"/>
          <w:szCs w:val="22"/>
          <w:lang w:val="sr-Latn-ME"/>
        </w:rPr>
        <w:t>Nakon primjene NSAIL moguća je pojava neželjenih dejstava kao što su vrtoglavica, nesv</w:t>
      </w:r>
      <w:r w:rsidR="008B15FD" w:rsidRPr="00A613D6">
        <w:rPr>
          <w:sz w:val="22"/>
          <w:szCs w:val="22"/>
          <w:lang w:val="sr-Latn-ME"/>
        </w:rPr>
        <w:t>j</w:t>
      </w:r>
      <w:r w:rsidRPr="00A613D6">
        <w:rPr>
          <w:sz w:val="22"/>
          <w:szCs w:val="22"/>
          <w:lang w:val="sr-Latn-ME"/>
        </w:rPr>
        <w:t>estica, zamor, smetnje vida, glavobolja, pospanost i/ili druga neželjena dejstva na centralni nervni sistem. Nakon primjene omeprazola mogu da se jave nesvjestica i poremećaji vida (vid</w:t>
      </w:r>
      <w:r w:rsidR="00DA4684" w:rsidRPr="00A613D6">
        <w:rPr>
          <w:sz w:val="22"/>
          <w:szCs w:val="22"/>
          <w:lang w:val="sr-Latn-ME"/>
        </w:rPr>
        <w:t>j</w:t>
      </w:r>
      <w:r w:rsidRPr="00A613D6">
        <w:rPr>
          <w:sz w:val="22"/>
          <w:szCs w:val="22"/>
          <w:lang w:val="sr-Latn-ME"/>
        </w:rPr>
        <w:t xml:space="preserve">eti </w:t>
      </w:r>
      <w:r w:rsidR="00B13062" w:rsidRPr="00A613D6">
        <w:rPr>
          <w:sz w:val="22"/>
          <w:szCs w:val="22"/>
          <w:lang w:val="sr-Latn-ME"/>
        </w:rPr>
        <w:t xml:space="preserve">dio </w:t>
      </w:r>
      <w:r w:rsidRPr="00A613D6">
        <w:rPr>
          <w:sz w:val="22"/>
          <w:szCs w:val="22"/>
          <w:lang w:val="sr-Latn-ME"/>
        </w:rPr>
        <w:t>4.8). Ukoliko se ove reakcije ispolje kod pacijenata, oni ne treba da upravljaju vozilima ili da rukuju mašinama.</w:t>
      </w:r>
    </w:p>
    <w:p w14:paraId="76967419" w14:textId="77777777" w:rsidR="003353BC" w:rsidRPr="00A613D6" w:rsidRDefault="003353BC">
      <w:pPr>
        <w:tabs>
          <w:tab w:val="left" w:pos="540"/>
          <w:tab w:val="left" w:pos="569"/>
        </w:tabs>
        <w:jc w:val="both"/>
        <w:rPr>
          <w:b/>
          <w:bCs/>
          <w:sz w:val="22"/>
          <w:szCs w:val="22"/>
          <w:lang w:val="sr-Latn-ME"/>
        </w:rPr>
      </w:pPr>
    </w:p>
    <w:p w14:paraId="4C964628"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4.8. </w:t>
      </w:r>
      <w:r w:rsidR="00480FB1" w:rsidRPr="00A613D6">
        <w:rPr>
          <w:b/>
          <w:bCs/>
          <w:sz w:val="22"/>
          <w:szCs w:val="22"/>
          <w:lang w:val="sr-Latn-ME"/>
        </w:rPr>
        <w:tab/>
      </w:r>
      <w:r w:rsidRPr="00A613D6">
        <w:rPr>
          <w:b/>
          <w:bCs/>
          <w:sz w:val="22"/>
          <w:szCs w:val="22"/>
          <w:lang w:val="sr-Latn-ME"/>
        </w:rPr>
        <w:t>Neželjena dejstva</w:t>
      </w:r>
    </w:p>
    <w:p w14:paraId="602B223F" w14:textId="65B8932B" w:rsidR="00957061" w:rsidRPr="00A613D6" w:rsidRDefault="00957061" w:rsidP="008706C5">
      <w:pPr>
        <w:spacing w:line="276" w:lineRule="auto"/>
        <w:jc w:val="both"/>
        <w:rPr>
          <w:rFonts w:eastAsia="Calibri"/>
          <w:sz w:val="22"/>
          <w:szCs w:val="22"/>
          <w:u w:val="single"/>
          <w:lang w:val="sr-Latn-ME"/>
        </w:rPr>
      </w:pPr>
    </w:p>
    <w:p w14:paraId="21DCBAB1" w14:textId="01713BE7" w:rsidR="00957061" w:rsidRPr="00A613D6" w:rsidRDefault="00957061" w:rsidP="008706C5">
      <w:pPr>
        <w:contextualSpacing/>
        <w:jc w:val="both"/>
        <w:rPr>
          <w:sz w:val="22"/>
          <w:szCs w:val="22"/>
          <w:lang w:val="sr-Latn-ME"/>
        </w:rPr>
      </w:pPr>
      <w:r w:rsidRPr="00A613D6">
        <w:rPr>
          <w:sz w:val="22"/>
          <w:szCs w:val="22"/>
          <w:u w:val="single"/>
          <w:lang w:val="sr-Latn-ME"/>
        </w:rPr>
        <w:t>Diklofenak</w:t>
      </w:r>
      <w:r w:rsidRPr="00A613D6">
        <w:rPr>
          <w:sz w:val="22"/>
          <w:szCs w:val="22"/>
          <w:lang w:val="sr-Latn-ME"/>
        </w:rPr>
        <w:t xml:space="preserve"> </w:t>
      </w:r>
    </w:p>
    <w:p w14:paraId="7013B29B" w14:textId="77777777" w:rsidR="00BC659D" w:rsidRPr="00A613D6" w:rsidRDefault="00BC659D" w:rsidP="008706C5">
      <w:pPr>
        <w:contextualSpacing/>
        <w:jc w:val="both"/>
        <w:rPr>
          <w:sz w:val="22"/>
          <w:szCs w:val="22"/>
          <w:lang w:val="sr-Latn-ME"/>
        </w:rPr>
      </w:pPr>
    </w:p>
    <w:p w14:paraId="2BF2D512" w14:textId="77777777" w:rsidR="00957061" w:rsidRPr="00A613D6" w:rsidRDefault="00957061">
      <w:pPr>
        <w:contextualSpacing/>
        <w:jc w:val="both"/>
        <w:rPr>
          <w:sz w:val="22"/>
          <w:szCs w:val="22"/>
          <w:lang w:val="sr-Latn-ME"/>
        </w:rPr>
      </w:pPr>
      <w:r w:rsidRPr="00A613D6">
        <w:rPr>
          <w:sz w:val="22"/>
          <w:szCs w:val="22"/>
          <w:lang w:val="sr-Latn-ME"/>
        </w:rPr>
        <w:t>Ukoliko se jave ozbiljne neželjene reakcije, treba prekinuti sa primjenom lijeka Diclopram.</w:t>
      </w:r>
    </w:p>
    <w:p w14:paraId="1DE4D2EE" w14:textId="77777777" w:rsidR="00957061" w:rsidRPr="00A613D6" w:rsidRDefault="00957061">
      <w:pPr>
        <w:contextualSpacing/>
        <w:jc w:val="both"/>
        <w:rPr>
          <w:sz w:val="22"/>
          <w:szCs w:val="22"/>
          <w:lang w:val="sr-Latn-ME"/>
        </w:rPr>
      </w:pPr>
      <w:r w:rsidRPr="00A613D6">
        <w:rPr>
          <w:sz w:val="22"/>
          <w:szCs w:val="22"/>
          <w:lang w:val="sr-Latn-ME"/>
        </w:rPr>
        <w:t>Najučestaliji neželjeni događaji su gastrointestinalnog tipa.</w:t>
      </w:r>
    </w:p>
    <w:p w14:paraId="6E7CC18F" w14:textId="6A7C3BF9" w:rsidR="00957061" w:rsidRPr="00A613D6" w:rsidRDefault="00957061">
      <w:pPr>
        <w:contextualSpacing/>
        <w:jc w:val="both"/>
        <w:rPr>
          <w:sz w:val="22"/>
          <w:szCs w:val="22"/>
          <w:lang w:val="sr-Latn-ME"/>
        </w:rPr>
      </w:pPr>
      <w:r w:rsidRPr="00A613D6">
        <w:rPr>
          <w:sz w:val="22"/>
          <w:szCs w:val="22"/>
          <w:lang w:val="sr-Latn-ME"/>
        </w:rPr>
        <w:t>Neželjen</w:t>
      </w:r>
      <w:r w:rsidR="00FC6DC9" w:rsidRPr="00A613D6">
        <w:rPr>
          <w:sz w:val="22"/>
          <w:szCs w:val="22"/>
          <w:lang w:val="sr-Latn-ME"/>
        </w:rPr>
        <w:t>e</w:t>
      </w:r>
      <w:r w:rsidRPr="00A613D6">
        <w:rPr>
          <w:sz w:val="22"/>
          <w:szCs w:val="22"/>
          <w:lang w:val="sr-Latn-ME"/>
        </w:rPr>
        <w:t xml:space="preserve"> </w:t>
      </w:r>
      <w:r w:rsidR="00FC6DC9" w:rsidRPr="00A613D6">
        <w:rPr>
          <w:sz w:val="22"/>
          <w:szCs w:val="22"/>
          <w:lang w:val="sr-Latn-ME"/>
        </w:rPr>
        <w:t>reakcije</w:t>
      </w:r>
      <w:r w:rsidRPr="00A613D6">
        <w:rPr>
          <w:sz w:val="22"/>
          <w:szCs w:val="22"/>
          <w:lang w:val="sr-Latn-ME"/>
        </w:rPr>
        <w:t xml:space="preserve"> diklofenaka zab</w:t>
      </w:r>
      <w:r w:rsidR="000010F5" w:rsidRPr="00A613D6">
        <w:rPr>
          <w:sz w:val="22"/>
          <w:szCs w:val="22"/>
          <w:lang w:val="sr-Latn-ME"/>
        </w:rPr>
        <w:t>ilje</w:t>
      </w:r>
      <w:r w:rsidRPr="00A613D6">
        <w:rPr>
          <w:sz w:val="22"/>
          <w:szCs w:val="22"/>
          <w:lang w:val="sr-Latn-ME"/>
        </w:rPr>
        <w:t>žena u kliničkim ispitivanja i epidemiološki podaci predstavljeni su u donjoj tabeli.</w:t>
      </w:r>
    </w:p>
    <w:p w14:paraId="431A87A1" w14:textId="438A8E06" w:rsidR="00957061" w:rsidRPr="00A613D6" w:rsidRDefault="00957061">
      <w:pPr>
        <w:contextualSpacing/>
        <w:jc w:val="both"/>
        <w:rPr>
          <w:sz w:val="22"/>
          <w:szCs w:val="22"/>
          <w:lang w:val="sr-Latn-ME"/>
        </w:rPr>
      </w:pPr>
      <w:r w:rsidRPr="00A613D6">
        <w:rPr>
          <w:sz w:val="22"/>
          <w:szCs w:val="22"/>
          <w:lang w:val="sr-Latn-ME"/>
        </w:rPr>
        <w:t xml:space="preserve">Za klasifikaciju učestalosti neželjenih reakcija korišćena je sledeća terminologija: </w:t>
      </w:r>
    </w:p>
    <w:p w14:paraId="6BD20EEA" w14:textId="7A88BC00" w:rsidR="00957061" w:rsidRPr="00A613D6" w:rsidRDefault="00957061" w:rsidP="008706C5">
      <w:pPr>
        <w:contextualSpacing/>
        <w:jc w:val="both"/>
        <w:rPr>
          <w:sz w:val="22"/>
          <w:szCs w:val="22"/>
          <w:lang w:val="sr-Latn-ME"/>
        </w:rPr>
      </w:pPr>
      <w:r w:rsidRPr="00A613D6">
        <w:rPr>
          <w:sz w:val="22"/>
          <w:szCs w:val="22"/>
          <w:lang w:val="sr-Latn-ME"/>
        </w:rPr>
        <w:t>-</w:t>
      </w:r>
      <w:r w:rsidRPr="00A613D6">
        <w:rPr>
          <w:sz w:val="22"/>
          <w:szCs w:val="22"/>
          <w:lang w:val="sr-Latn-ME"/>
        </w:rPr>
        <w:tab/>
        <w:t>veoma često (≥ 1/10</w:t>
      </w:r>
      <w:r w:rsidR="000010F5" w:rsidRPr="00A613D6">
        <w:rPr>
          <w:sz w:val="22"/>
          <w:szCs w:val="22"/>
          <w:lang w:val="sr-Latn-ME"/>
        </w:rPr>
        <w:t>)</w:t>
      </w:r>
      <w:r w:rsidRPr="00A613D6">
        <w:rPr>
          <w:sz w:val="22"/>
          <w:szCs w:val="22"/>
          <w:lang w:val="sr-Latn-ME"/>
        </w:rPr>
        <w:t>,</w:t>
      </w:r>
    </w:p>
    <w:p w14:paraId="749328A2" w14:textId="604397CF" w:rsidR="00957061" w:rsidRPr="00A613D6" w:rsidRDefault="00957061" w:rsidP="008706C5">
      <w:pPr>
        <w:contextualSpacing/>
        <w:jc w:val="both"/>
        <w:rPr>
          <w:sz w:val="22"/>
          <w:szCs w:val="22"/>
          <w:lang w:val="sr-Latn-ME"/>
        </w:rPr>
      </w:pPr>
      <w:r w:rsidRPr="00A613D6">
        <w:rPr>
          <w:sz w:val="22"/>
          <w:szCs w:val="22"/>
          <w:lang w:val="sr-Latn-ME"/>
        </w:rPr>
        <w:t>-</w:t>
      </w:r>
      <w:r w:rsidRPr="00A613D6">
        <w:rPr>
          <w:sz w:val="22"/>
          <w:szCs w:val="22"/>
          <w:lang w:val="sr-Latn-ME"/>
        </w:rPr>
        <w:tab/>
        <w:t>često (≥ 1/100 do &lt; 1/10),</w:t>
      </w:r>
    </w:p>
    <w:p w14:paraId="4C8AB1FB" w14:textId="1C23D889" w:rsidR="00957061" w:rsidRPr="00A613D6" w:rsidRDefault="00957061" w:rsidP="008706C5">
      <w:pPr>
        <w:contextualSpacing/>
        <w:jc w:val="both"/>
        <w:rPr>
          <w:sz w:val="22"/>
          <w:szCs w:val="22"/>
          <w:lang w:val="sr-Latn-ME"/>
        </w:rPr>
      </w:pPr>
      <w:r w:rsidRPr="00A613D6">
        <w:rPr>
          <w:sz w:val="22"/>
          <w:szCs w:val="22"/>
          <w:lang w:val="sr-Latn-ME"/>
        </w:rPr>
        <w:lastRenderedPageBreak/>
        <w:t>-</w:t>
      </w:r>
      <w:r w:rsidRPr="00A613D6">
        <w:rPr>
          <w:sz w:val="22"/>
          <w:szCs w:val="22"/>
          <w:lang w:val="sr-Latn-ME"/>
        </w:rPr>
        <w:tab/>
        <w:t>povremeno (≥ 1/1000 do &lt; 1/100),</w:t>
      </w:r>
    </w:p>
    <w:p w14:paraId="7FDAD002" w14:textId="2636CEAC" w:rsidR="00957061" w:rsidRPr="00A613D6" w:rsidRDefault="00957061" w:rsidP="008706C5">
      <w:pPr>
        <w:contextualSpacing/>
        <w:jc w:val="both"/>
        <w:rPr>
          <w:sz w:val="22"/>
          <w:szCs w:val="22"/>
          <w:lang w:val="sr-Latn-ME"/>
        </w:rPr>
      </w:pPr>
      <w:r w:rsidRPr="00A613D6">
        <w:rPr>
          <w:sz w:val="22"/>
          <w:szCs w:val="22"/>
          <w:lang w:val="sr-Latn-ME"/>
        </w:rPr>
        <w:t>-</w:t>
      </w:r>
      <w:r w:rsidRPr="00A613D6">
        <w:rPr>
          <w:sz w:val="22"/>
          <w:szCs w:val="22"/>
          <w:lang w:val="sr-Latn-ME"/>
        </w:rPr>
        <w:tab/>
        <w:t>rijetko (≥ 1/10000 do &lt; 1/1000),</w:t>
      </w:r>
    </w:p>
    <w:p w14:paraId="086AD72A" w14:textId="1FA35A3A" w:rsidR="00957061" w:rsidRPr="00A613D6" w:rsidRDefault="00957061" w:rsidP="008706C5">
      <w:pPr>
        <w:contextualSpacing/>
        <w:jc w:val="both"/>
        <w:rPr>
          <w:sz w:val="22"/>
          <w:szCs w:val="22"/>
          <w:lang w:val="sr-Latn-ME"/>
        </w:rPr>
      </w:pPr>
      <w:r w:rsidRPr="00A613D6">
        <w:rPr>
          <w:sz w:val="22"/>
          <w:szCs w:val="22"/>
          <w:lang w:val="sr-Latn-ME"/>
        </w:rPr>
        <w:t>-</w:t>
      </w:r>
      <w:r w:rsidRPr="00A613D6">
        <w:rPr>
          <w:sz w:val="22"/>
          <w:szCs w:val="22"/>
          <w:lang w:val="sr-Latn-ME"/>
        </w:rPr>
        <w:tab/>
        <w:t>veoma rijetko (&lt; 1/10000),</w:t>
      </w:r>
    </w:p>
    <w:p w14:paraId="05CD123F" w14:textId="3894FF0F" w:rsidR="00957061" w:rsidRPr="00A613D6" w:rsidRDefault="00957061" w:rsidP="008706C5">
      <w:pPr>
        <w:contextualSpacing/>
        <w:jc w:val="both"/>
        <w:rPr>
          <w:sz w:val="22"/>
          <w:szCs w:val="22"/>
          <w:lang w:val="sr-Latn-ME"/>
        </w:rPr>
      </w:pPr>
      <w:r w:rsidRPr="00A613D6">
        <w:rPr>
          <w:sz w:val="22"/>
          <w:szCs w:val="22"/>
          <w:lang w:val="sr-Latn-ME"/>
        </w:rPr>
        <w:t>-</w:t>
      </w:r>
      <w:r w:rsidRPr="00A613D6">
        <w:rPr>
          <w:sz w:val="22"/>
          <w:szCs w:val="22"/>
          <w:lang w:val="sr-Latn-ME"/>
        </w:rPr>
        <w:tab/>
        <w:t>nepoznato (</w:t>
      </w:r>
      <w:r w:rsidR="00B571EC">
        <w:rPr>
          <w:sz w:val="22"/>
          <w:szCs w:val="22"/>
          <w:lang w:val="sr-Latn-ME"/>
        </w:rPr>
        <w:t xml:space="preserve">učestalost se </w:t>
      </w:r>
      <w:r w:rsidRPr="00A613D6">
        <w:rPr>
          <w:sz w:val="22"/>
          <w:szCs w:val="22"/>
          <w:lang w:val="sr-Latn-ME"/>
        </w:rPr>
        <w:t xml:space="preserve">ne može procijeniti na osnovu raspoloživih podataka). </w:t>
      </w:r>
    </w:p>
    <w:p w14:paraId="27419FE7" w14:textId="77777777" w:rsidR="00957061" w:rsidRPr="00A613D6" w:rsidRDefault="00957061" w:rsidP="008706C5">
      <w:pPr>
        <w:contextualSpacing/>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044"/>
        <w:gridCol w:w="2982"/>
      </w:tblGrid>
      <w:tr w:rsidR="00957061" w:rsidRPr="00A613D6" w14:paraId="4CF8B57B" w14:textId="77777777" w:rsidTr="00F63B6B">
        <w:tc>
          <w:tcPr>
            <w:tcW w:w="3049" w:type="dxa"/>
            <w:shd w:val="clear" w:color="auto" w:fill="auto"/>
          </w:tcPr>
          <w:p w14:paraId="1BA0306B"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Klasa sistema organa</w:t>
            </w:r>
          </w:p>
        </w:tc>
        <w:tc>
          <w:tcPr>
            <w:tcW w:w="3044" w:type="dxa"/>
            <w:shd w:val="clear" w:color="auto" w:fill="auto"/>
          </w:tcPr>
          <w:p w14:paraId="6B6E47FE"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 xml:space="preserve">Neželjena reakcija </w:t>
            </w:r>
          </w:p>
        </w:tc>
        <w:tc>
          <w:tcPr>
            <w:tcW w:w="2982" w:type="dxa"/>
            <w:shd w:val="clear" w:color="auto" w:fill="auto"/>
          </w:tcPr>
          <w:p w14:paraId="00CCD449"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Učestalost</w:t>
            </w:r>
          </w:p>
        </w:tc>
      </w:tr>
      <w:tr w:rsidR="00957061" w:rsidRPr="00A613D6" w14:paraId="7B7F864F" w14:textId="77777777" w:rsidTr="00F63B6B">
        <w:tc>
          <w:tcPr>
            <w:tcW w:w="3049" w:type="dxa"/>
            <w:shd w:val="clear" w:color="auto" w:fill="auto"/>
          </w:tcPr>
          <w:p w14:paraId="7C571C07"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krvi i limfnog sistema</w:t>
            </w:r>
          </w:p>
        </w:tc>
        <w:tc>
          <w:tcPr>
            <w:tcW w:w="3044" w:type="dxa"/>
            <w:shd w:val="clear" w:color="auto" w:fill="auto"/>
          </w:tcPr>
          <w:p w14:paraId="34DB36E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leukopenija, neutropenija, trombocitopenija, hemolitička anemija, aplastična anemija, agranulocitoza</w:t>
            </w:r>
          </w:p>
        </w:tc>
        <w:tc>
          <w:tcPr>
            <w:tcW w:w="2982" w:type="dxa"/>
            <w:shd w:val="clear" w:color="auto" w:fill="auto"/>
          </w:tcPr>
          <w:p w14:paraId="58D4EC71"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71DCB381" w14:textId="77777777" w:rsidTr="00F63B6B">
        <w:tc>
          <w:tcPr>
            <w:tcW w:w="3049" w:type="dxa"/>
            <w:vMerge w:val="restart"/>
            <w:shd w:val="clear" w:color="auto" w:fill="auto"/>
          </w:tcPr>
          <w:p w14:paraId="66508E0A" w14:textId="5FF63F88" w:rsidR="00957061" w:rsidRPr="00A613D6" w:rsidRDefault="00957061" w:rsidP="008706C5">
            <w:pPr>
              <w:jc w:val="both"/>
              <w:rPr>
                <w:rFonts w:eastAsia="Calibri"/>
                <w:b/>
                <w:sz w:val="22"/>
                <w:szCs w:val="22"/>
                <w:lang w:val="sr-Latn-ME"/>
              </w:rPr>
            </w:pPr>
            <w:r w:rsidRPr="00A613D6">
              <w:rPr>
                <w:rFonts w:eastAsia="Calibri"/>
                <w:b/>
                <w:sz w:val="22"/>
                <w:szCs w:val="22"/>
                <w:lang w:val="sr-Latn-ME"/>
              </w:rPr>
              <w:t>Poremećaji imunog sistema</w:t>
            </w:r>
          </w:p>
          <w:p w14:paraId="3B6613E3" w14:textId="77777777" w:rsidR="00957061" w:rsidRPr="00A613D6" w:rsidRDefault="00957061" w:rsidP="008706C5">
            <w:pPr>
              <w:contextualSpacing/>
              <w:jc w:val="both"/>
              <w:rPr>
                <w:rFonts w:eastAsia="Calibri"/>
                <w:sz w:val="22"/>
                <w:szCs w:val="22"/>
                <w:lang w:val="sr-Latn-ME"/>
              </w:rPr>
            </w:pPr>
          </w:p>
        </w:tc>
        <w:tc>
          <w:tcPr>
            <w:tcW w:w="3044" w:type="dxa"/>
            <w:shd w:val="clear" w:color="auto" w:fill="auto"/>
          </w:tcPr>
          <w:p w14:paraId="5615C7C7"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nespecifične reakcije preosjetljivosti, anafilaktoidne reakcije (uključujući hipotenziju i šok) i anafilaksa; reakcije respiratornog trakta uključujući astmu, pogoršanje astme, bronhospazam ili dispneju</w:t>
            </w:r>
          </w:p>
        </w:tc>
        <w:tc>
          <w:tcPr>
            <w:tcW w:w="2982" w:type="dxa"/>
            <w:shd w:val="clear" w:color="auto" w:fill="auto"/>
          </w:tcPr>
          <w:p w14:paraId="1C9DEEB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39BBDBDA" w14:textId="77777777" w:rsidTr="00F63B6B">
        <w:tc>
          <w:tcPr>
            <w:tcW w:w="3049" w:type="dxa"/>
            <w:vMerge/>
            <w:shd w:val="clear" w:color="auto" w:fill="auto"/>
          </w:tcPr>
          <w:p w14:paraId="3ADF5CD1" w14:textId="77777777" w:rsidR="00957061" w:rsidRPr="00A613D6" w:rsidRDefault="00957061" w:rsidP="008706C5">
            <w:pPr>
              <w:contextualSpacing/>
              <w:jc w:val="both"/>
              <w:rPr>
                <w:rFonts w:eastAsia="Calibri"/>
                <w:sz w:val="22"/>
                <w:szCs w:val="22"/>
                <w:lang w:val="sr-Latn-ME"/>
              </w:rPr>
            </w:pPr>
          </w:p>
        </w:tc>
        <w:tc>
          <w:tcPr>
            <w:tcW w:w="3044" w:type="dxa"/>
            <w:shd w:val="clear" w:color="auto" w:fill="auto"/>
          </w:tcPr>
          <w:p w14:paraId="25F888A2"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angioedem, angioneurotski edem (uključujući edem lica)</w:t>
            </w:r>
          </w:p>
        </w:tc>
        <w:tc>
          <w:tcPr>
            <w:tcW w:w="2982" w:type="dxa"/>
            <w:shd w:val="clear" w:color="auto" w:fill="auto"/>
          </w:tcPr>
          <w:p w14:paraId="4A9E660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46E05B0E" w14:textId="77777777" w:rsidTr="00F63B6B">
        <w:tc>
          <w:tcPr>
            <w:tcW w:w="3049" w:type="dxa"/>
            <w:shd w:val="clear" w:color="auto" w:fill="auto"/>
          </w:tcPr>
          <w:p w14:paraId="76EE0977"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Psihijatrijski poremećaji</w:t>
            </w:r>
          </w:p>
        </w:tc>
        <w:tc>
          <w:tcPr>
            <w:tcW w:w="3044" w:type="dxa"/>
            <w:shd w:val="clear" w:color="auto" w:fill="auto"/>
          </w:tcPr>
          <w:p w14:paraId="24EE212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 xml:space="preserve">depresija, dezorijentisanost, nesanica, iritabilnost, psihotične reakcije, noćne more </w:t>
            </w:r>
          </w:p>
        </w:tc>
        <w:tc>
          <w:tcPr>
            <w:tcW w:w="2982" w:type="dxa"/>
            <w:shd w:val="clear" w:color="auto" w:fill="auto"/>
          </w:tcPr>
          <w:p w14:paraId="5E7B9A6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79EA9DE4" w14:textId="77777777" w:rsidTr="00F63B6B">
        <w:tc>
          <w:tcPr>
            <w:tcW w:w="3049" w:type="dxa"/>
            <w:shd w:val="clear" w:color="auto" w:fill="auto"/>
          </w:tcPr>
          <w:p w14:paraId="281213E9"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nervnog sistema</w:t>
            </w:r>
          </w:p>
        </w:tc>
        <w:tc>
          <w:tcPr>
            <w:tcW w:w="3044" w:type="dxa"/>
            <w:shd w:val="clear" w:color="auto" w:fill="auto"/>
          </w:tcPr>
          <w:p w14:paraId="589293BB"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glavobolja, vrtoglavica</w:t>
            </w:r>
          </w:p>
        </w:tc>
        <w:tc>
          <w:tcPr>
            <w:tcW w:w="2982" w:type="dxa"/>
            <w:shd w:val="clear" w:color="auto" w:fill="auto"/>
          </w:tcPr>
          <w:p w14:paraId="0A3A4EB8"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često</w:t>
            </w:r>
          </w:p>
        </w:tc>
      </w:tr>
      <w:tr w:rsidR="00957061" w:rsidRPr="00A613D6" w14:paraId="6A7B0048" w14:textId="77777777" w:rsidTr="00F63B6B">
        <w:tc>
          <w:tcPr>
            <w:tcW w:w="3049" w:type="dxa"/>
            <w:vMerge w:val="restart"/>
            <w:shd w:val="clear" w:color="auto" w:fill="auto"/>
          </w:tcPr>
          <w:p w14:paraId="38B824BF" w14:textId="77777777" w:rsidR="00957061" w:rsidRPr="00A613D6" w:rsidRDefault="00957061" w:rsidP="008706C5">
            <w:pPr>
              <w:contextualSpacing/>
              <w:jc w:val="both"/>
              <w:rPr>
                <w:rFonts w:eastAsia="Calibri"/>
                <w:sz w:val="22"/>
                <w:szCs w:val="22"/>
                <w:lang w:val="sr-Latn-ME"/>
              </w:rPr>
            </w:pPr>
          </w:p>
        </w:tc>
        <w:tc>
          <w:tcPr>
            <w:tcW w:w="3044" w:type="dxa"/>
            <w:shd w:val="clear" w:color="auto" w:fill="auto"/>
          </w:tcPr>
          <w:p w14:paraId="0B66830A"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pospanost</w:t>
            </w:r>
          </w:p>
        </w:tc>
        <w:tc>
          <w:tcPr>
            <w:tcW w:w="2982" w:type="dxa"/>
            <w:shd w:val="clear" w:color="auto" w:fill="auto"/>
          </w:tcPr>
          <w:p w14:paraId="76BDCD54"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52FE2E1B" w14:textId="77777777" w:rsidTr="00F63B6B">
        <w:tc>
          <w:tcPr>
            <w:tcW w:w="3049" w:type="dxa"/>
            <w:vMerge/>
            <w:shd w:val="clear" w:color="auto" w:fill="auto"/>
          </w:tcPr>
          <w:p w14:paraId="0BC6B23C" w14:textId="77777777" w:rsidR="00957061" w:rsidRPr="00A613D6" w:rsidRDefault="00957061" w:rsidP="008706C5">
            <w:pPr>
              <w:contextualSpacing/>
              <w:jc w:val="both"/>
              <w:rPr>
                <w:rFonts w:eastAsia="Calibri"/>
                <w:sz w:val="22"/>
                <w:szCs w:val="22"/>
                <w:lang w:val="sr-Latn-ME"/>
              </w:rPr>
            </w:pPr>
          </w:p>
        </w:tc>
        <w:tc>
          <w:tcPr>
            <w:tcW w:w="3044" w:type="dxa"/>
            <w:shd w:val="clear" w:color="auto" w:fill="auto"/>
          </w:tcPr>
          <w:p w14:paraId="60B066BC" w14:textId="0B15A4F1"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poremećaj pamćenja, parestezija, aseptični meningitis (posebno kod pacijenata sa autoimunim oboljenjima, kao što su lupus eritematozus, mješoviti poremećaji vezivnog tkiva), sa simptomima kao što je ukočen vrat, glavobolja, mučnina, povraćanje, groznica ili dezorijentisanost; konfuz</w:t>
            </w:r>
            <w:r w:rsidR="008B55E7" w:rsidRPr="00A613D6">
              <w:rPr>
                <w:rFonts w:eastAsia="Calibri"/>
                <w:sz w:val="22"/>
                <w:szCs w:val="22"/>
                <w:lang w:val="sr-Latn-ME"/>
              </w:rPr>
              <w:t>ija</w:t>
            </w:r>
            <w:r w:rsidRPr="00A613D6">
              <w:rPr>
                <w:rFonts w:eastAsia="Calibri"/>
                <w:sz w:val="22"/>
                <w:szCs w:val="22"/>
                <w:lang w:val="sr-Latn-ME"/>
              </w:rPr>
              <w:t xml:space="preserve">, halucinacije, malaksalost, zamor i pospanost, poremećaji čula ukusa, tremor,  konvulzije, anksioznost, </w:t>
            </w:r>
            <w:r w:rsidR="004227A9" w:rsidRPr="00A613D6">
              <w:rPr>
                <w:rFonts w:eastAsia="Calibri"/>
                <w:sz w:val="22"/>
                <w:szCs w:val="22"/>
                <w:lang w:val="sr-Latn-ME"/>
              </w:rPr>
              <w:t xml:space="preserve">cerebrovaskularni akcident </w:t>
            </w:r>
          </w:p>
        </w:tc>
        <w:tc>
          <w:tcPr>
            <w:tcW w:w="2982" w:type="dxa"/>
            <w:shd w:val="clear" w:color="auto" w:fill="auto"/>
          </w:tcPr>
          <w:p w14:paraId="6A622A5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29F9A9B7" w14:textId="77777777" w:rsidTr="00F63B6B">
        <w:tc>
          <w:tcPr>
            <w:tcW w:w="3049" w:type="dxa"/>
            <w:shd w:val="clear" w:color="auto" w:fill="auto"/>
          </w:tcPr>
          <w:p w14:paraId="7C3BA2FD"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oka</w:t>
            </w:r>
          </w:p>
        </w:tc>
        <w:tc>
          <w:tcPr>
            <w:tcW w:w="3044" w:type="dxa"/>
            <w:shd w:val="clear" w:color="auto" w:fill="auto"/>
          </w:tcPr>
          <w:p w14:paraId="16E8B44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poremećaji vida (zamućen vid), diplopija, optički neuritis</w:t>
            </w:r>
          </w:p>
        </w:tc>
        <w:tc>
          <w:tcPr>
            <w:tcW w:w="2982" w:type="dxa"/>
            <w:shd w:val="clear" w:color="auto" w:fill="auto"/>
          </w:tcPr>
          <w:p w14:paraId="7859D97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1B74FEE5" w14:textId="77777777" w:rsidTr="00F63B6B">
        <w:tc>
          <w:tcPr>
            <w:tcW w:w="3049" w:type="dxa"/>
            <w:vMerge w:val="restart"/>
            <w:shd w:val="clear" w:color="auto" w:fill="auto"/>
          </w:tcPr>
          <w:p w14:paraId="69F09D88"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uha i labirinta</w:t>
            </w:r>
          </w:p>
        </w:tc>
        <w:tc>
          <w:tcPr>
            <w:tcW w:w="3044" w:type="dxa"/>
            <w:shd w:val="clear" w:color="auto" w:fill="auto"/>
          </w:tcPr>
          <w:p w14:paraId="4ED85242" w14:textId="58656447" w:rsidR="00957061" w:rsidRPr="00A613D6" w:rsidRDefault="00FD0F76" w:rsidP="008706C5">
            <w:pPr>
              <w:contextualSpacing/>
              <w:jc w:val="both"/>
              <w:rPr>
                <w:rFonts w:eastAsia="Calibri"/>
                <w:sz w:val="22"/>
                <w:szCs w:val="22"/>
                <w:lang w:val="sr-Latn-ME"/>
              </w:rPr>
            </w:pPr>
            <w:r w:rsidRPr="00A613D6">
              <w:rPr>
                <w:rFonts w:eastAsia="Calibri"/>
                <w:sz w:val="22"/>
                <w:szCs w:val="22"/>
                <w:lang w:val="sr-Latn-ME"/>
              </w:rPr>
              <w:t>vertigo</w:t>
            </w:r>
          </w:p>
        </w:tc>
        <w:tc>
          <w:tcPr>
            <w:tcW w:w="2982" w:type="dxa"/>
            <w:shd w:val="clear" w:color="auto" w:fill="auto"/>
          </w:tcPr>
          <w:p w14:paraId="5BD87E6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često</w:t>
            </w:r>
          </w:p>
        </w:tc>
      </w:tr>
      <w:tr w:rsidR="00957061" w:rsidRPr="00A613D6" w14:paraId="274DFF06" w14:textId="77777777" w:rsidTr="00F63B6B">
        <w:tc>
          <w:tcPr>
            <w:tcW w:w="3049" w:type="dxa"/>
            <w:vMerge/>
            <w:shd w:val="clear" w:color="auto" w:fill="auto"/>
          </w:tcPr>
          <w:p w14:paraId="72635EBF" w14:textId="77777777" w:rsidR="00957061" w:rsidRPr="00A613D6" w:rsidRDefault="00957061" w:rsidP="008706C5">
            <w:pPr>
              <w:contextualSpacing/>
              <w:jc w:val="both"/>
              <w:rPr>
                <w:rFonts w:eastAsia="Calibri"/>
                <w:sz w:val="22"/>
                <w:szCs w:val="22"/>
                <w:lang w:val="sr-Latn-ME"/>
              </w:rPr>
            </w:pPr>
          </w:p>
        </w:tc>
        <w:tc>
          <w:tcPr>
            <w:tcW w:w="3044" w:type="dxa"/>
            <w:shd w:val="clear" w:color="auto" w:fill="auto"/>
          </w:tcPr>
          <w:p w14:paraId="6936B122"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 xml:space="preserve">oštećen sluh, tinitus </w:t>
            </w:r>
          </w:p>
        </w:tc>
        <w:tc>
          <w:tcPr>
            <w:tcW w:w="2982" w:type="dxa"/>
            <w:shd w:val="clear" w:color="auto" w:fill="auto"/>
          </w:tcPr>
          <w:p w14:paraId="723646FB"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F63B6B" w:rsidRPr="00A613D6" w14:paraId="4473FFC9" w14:textId="77777777" w:rsidTr="00F63B6B">
        <w:tc>
          <w:tcPr>
            <w:tcW w:w="3049" w:type="dxa"/>
            <w:vMerge w:val="restart"/>
            <w:shd w:val="clear" w:color="auto" w:fill="auto"/>
          </w:tcPr>
          <w:p w14:paraId="763D5C1F" w14:textId="77777777" w:rsidR="00F63B6B" w:rsidRPr="00A613D6" w:rsidRDefault="00F63B6B" w:rsidP="008706C5">
            <w:pPr>
              <w:contextualSpacing/>
              <w:jc w:val="both"/>
              <w:rPr>
                <w:rFonts w:eastAsia="Calibri"/>
                <w:sz w:val="22"/>
                <w:szCs w:val="22"/>
                <w:lang w:val="sr-Latn-ME"/>
              </w:rPr>
            </w:pPr>
            <w:r w:rsidRPr="00A613D6">
              <w:rPr>
                <w:rFonts w:eastAsia="Calibri"/>
                <w:b/>
                <w:sz w:val="22"/>
                <w:szCs w:val="22"/>
                <w:lang w:val="sr-Latn-ME"/>
              </w:rPr>
              <w:t>Kardiološki poremećaji</w:t>
            </w:r>
          </w:p>
        </w:tc>
        <w:tc>
          <w:tcPr>
            <w:tcW w:w="3044" w:type="dxa"/>
            <w:shd w:val="clear" w:color="auto" w:fill="auto"/>
          </w:tcPr>
          <w:p w14:paraId="2B041463" w14:textId="4683B914" w:rsidR="00F63B6B" w:rsidRPr="00A613D6" w:rsidRDefault="00F63B6B" w:rsidP="008706C5">
            <w:pPr>
              <w:contextualSpacing/>
              <w:jc w:val="both"/>
              <w:rPr>
                <w:rFonts w:eastAsia="Calibri"/>
                <w:sz w:val="22"/>
                <w:szCs w:val="22"/>
                <w:lang w:val="sr-Latn-ME"/>
              </w:rPr>
            </w:pPr>
            <w:r w:rsidRPr="00A613D6">
              <w:rPr>
                <w:rFonts w:eastAsia="Calibri"/>
                <w:sz w:val="22"/>
                <w:szCs w:val="22"/>
                <w:lang w:val="sr-Latn-ME"/>
              </w:rPr>
              <w:t>edem</w:t>
            </w:r>
          </w:p>
        </w:tc>
        <w:tc>
          <w:tcPr>
            <w:tcW w:w="2982" w:type="dxa"/>
            <w:shd w:val="clear" w:color="auto" w:fill="auto"/>
          </w:tcPr>
          <w:p w14:paraId="568EEF02" w14:textId="77777777" w:rsidR="00F63B6B" w:rsidRPr="00A613D6" w:rsidRDefault="00F63B6B" w:rsidP="008706C5">
            <w:pPr>
              <w:contextualSpacing/>
              <w:jc w:val="both"/>
              <w:rPr>
                <w:rFonts w:eastAsia="Calibri"/>
                <w:sz w:val="22"/>
                <w:szCs w:val="22"/>
                <w:lang w:val="sr-Latn-ME"/>
              </w:rPr>
            </w:pPr>
            <w:r w:rsidRPr="00A613D6">
              <w:rPr>
                <w:rFonts w:eastAsia="Calibri"/>
                <w:sz w:val="22"/>
                <w:szCs w:val="22"/>
                <w:lang w:val="sr-Latn-ME"/>
              </w:rPr>
              <w:t>rijetko</w:t>
            </w:r>
          </w:p>
        </w:tc>
      </w:tr>
      <w:tr w:rsidR="00F63B6B" w:rsidRPr="00A613D6" w14:paraId="653238C7" w14:textId="77777777" w:rsidTr="00F63B6B">
        <w:tc>
          <w:tcPr>
            <w:tcW w:w="3049" w:type="dxa"/>
            <w:vMerge/>
            <w:shd w:val="clear" w:color="auto" w:fill="auto"/>
          </w:tcPr>
          <w:p w14:paraId="3128969D" w14:textId="77777777" w:rsidR="00F63B6B" w:rsidRPr="00A613D6" w:rsidRDefault="00F63B6B" w:rsidP="008706C5">
            <w:pPr>
              <w:contextualSpacing/>
              <w:jc w:val="both"/>
              <w:rPr>
                <w:rFonts w:eastAsia="Calibri"/>
                <w:sz w:val="22"/>
                <w:szCs w:val="22"/>
                <w:lang w:val="sr-Latn-ME"/>
              </w:rPr>
            </w:pPr>
          </w:p>
        </w:tc>
        <w:tc>
          <w:tcPr>
            <w:tcW w:w="3044" w:type="dxa"/>
            <w:shd w:val="clear" w:color="auto" w:fill="auto"/>
          </w:tcPr>
          <w:p w14:paraId="7D26E1A5" w14:textId="77777777" w:rsidR="00F63B6B" w:rsidRPr="00A613D6" w:rsidRDefault="00F63B6B" w:rsidP="008706C5">
            <w:pPr>
              <w:contextualSpacing/>
              <w:jc w:val="both"/>
              <w:rPr>
                <w:rFonts w:eastAsia="Calibri"/>
                <w:sz w:val="22"/>
                <w:szCs w:val="22"/>
                <w:lang w:val="sr-Latn-ME"/>
              </w:rPr>
            </w:pPr>
            <w:r w:rsidRPr="00A613D6">
              <w:rPr>
                <w:rFonts w:eastAsia="Calibri"/>
                <w:sz w:val="22"/>
                <w:szCs w:val="22"/>
                <w:lang w:val="sr-Latn-ME"/>
              </w:rPr>
              <w:t>hipertenzija, vaskulitis, palpitacije, bol u grudima, srčana insuficijencija</w:t>
            </w:r>
          </w:p>
        </w:tc>
        <w:tc>
          <w:tcPr>
            <w:tcW w:w="2982" w:type="dxa"/>
            <w:shd w:val="clear" w:color="auto" w:fill="auto"/>
          </w:tcPr>
          <w:p w14:paraId="57AB6443" w14:textId="77777777" w:rsidR="00F63B6B" w:rsidRPr="00A613D6" w:rsidRDefault="00F63B6B" w:rsidP="008706C5">
            <w:pPr>
              <w:contextualSpacing/>
              <w:jc w:val="both"/>
              <w:rPr>
                <w:rFonts w:eastAsia="Calibri"/>
                <w:sz w:val="22"/>
                <w:szCs w:val="22"/>
                <w:lang w:val="sr-Latn-ME"/>
              </w:rPr>
            </w:pPr>
            <w:r w:rsidRPr="00A613D6">
              <w:rPr>
                <w:rFonts w:eastAsia="Calibri"/>
                <w:sz w:val="22"/>
                <w:szCs w:val="22"/>
                <w:lang w:val="sr-Latn-ME"/>
              </w:rPr>
              <w:t>veoma rijetko</w:t>
            </w:r>
          </w:p>
        </w:tc>
      </w:tr>
      <w:tr w:rsidR="00F63B6B" w:rsidRPr="00A613D6" w14:paraId="3505F4F3" w14:textId="77777777" w:rsidTr="00F63B6B">
        <w:tc>
          <w:tcPr>
            <w:tcW w:w="3049" w:type="dxa"/>
            <w:vMerge/>
            <w:shd w:val="clear" w:color="auto" w:fill="auto"/>
          </w:tcPr>
          <w:p w14:paraId="136503F6" w14:textId="77777777" w:rsidR="00F63B6B" w:rsidRPr="00A613D6" w:rsidRDefault="00F63B6B" w:rsidP="008706C5">
            <w:pPr>
              <w:contextualSpacing/>
              <w:jc w:val="both"/>
              <w:rPr>
                <w:rFonts w:eastAsia="Calibri"/>
                <w:sz w:val="22"/>
                <w:szCs w:val="22"/>
                <w:lang w:val="sr-Latn-ME"/>
              </w:rPr>
            </w:pPr>
          </w:p>
        </w:tc>
        <w:tc>
          <w:tcPr>
            <w:tcW w:w="3044" w:type="dxa"/>
            <w:shd w:val="clear" w:color="auto" w:fill="auto"/>
          </w:tcPr>
          <w:p w14:paraId="2555C0DF" w14:textId="788D6340" w:rsidR="00F63B6B" w:rsidRPr="00A613D6" w:rsidRDefault="00F63B6B" w:rsidP="008706C5">
            <w:pPr>
              <w:contextualSpacing/>
              <w:jc w:val="both"/>
              <w:rPr>
                <w:rFonts w:eastAsia="Calibri"/>
                <w:sz w:val="22"/>
                <w:szCs w:val="22"/>
                <w:lang w:val="sr-Latn-ME"/>
              </w:rPr>
            </w:pPr>
            <w:r w:rsidRPr="00A613D6">
              <w:rPr>
                <w:rFonts w:eastAsia="Calibri"/>
                <w:i/>
                <w:iCs/>
                <w:sz w:val="22"/>
                <w:szCs w:val="22"/>
                <w:lang w:val="sr-Latn-ME"/>
              </w:rPr>
              <w:t>Kounis</w:t>
            </w:r>
            <w:r w:rsidRPr="00A613D6">
              <w:rPr>
                <w:rFonts w:eastAsia="Calibri"/>
                <w:sz w:val="22"/>
                <w:szCs w:val="22"/>
                <w:lang w:val="sr-Latn-ME"/>
              </w:rPr>
              <w:t>-ov sindrom</w:t>
            </w:r>
          </w:p>
        </w:tc>
        <w:tc>
          <w:tcPr>
            <w:tcW w:w="2982" w:type="dxa"/>
            <w:shd w:val="clear" w:color="auto" w:fill="auto"/>
          </w:tcPr>
          <w:p w14:paraId="65D4EFF2" w14:textId="44C4D082" w:rsidR="00F63B6B" w:rsidRPr="00A613D6" w:rsidRDefault="00F63B6B" w:rsidP="008706C5">
            <w:pPr>
              <w:contextualSpacing/>
              <w:jc w:val="both"/>
              <w:rPr>
                <w:rFonts w:eastAsia="Calibri"/>
                <w:sz w:val="22"/>
                <w:szCs w:val="22"/>
                <w:lang w:val="sr-Latn-ME"/>
              </w:rPr>
            </w:pPr>
            <w:r w:rsidRPr="00A613D6">
              <w:rPr>
                <w:rFonts w:eastAsia="Calibri"/>
                <w:sz w:val="22"/>
                <w:szCs w:val="22"/>
                <w:lang w:val="sr-Latn-ME"/>
              </w:rPr>
              <w:t>nepoznat</w:t>
            </w:r>
            <w:r w:rsidR="008B55E7" w:rsidRPr="00A613D6">
              <w:rPr>
                <w:rFonts w:eastAsia="Calibri"/>
                <w:sz w:val="22"/>
                <w:szCs w:val="22"/>
                <w:lang w:val="sr-Latn-ME"/>
              </w:rPr>
              <w:t>o</w:t>
            </w:r>
          </w:p>
        </w:tc>
      </w:tr>
      <w:tr w:rsidR="00957061" w:rsidRPr="00A613D6" w14:paraId="14B56935" w14:textId="77777777" w:rsidTr="00F63B6B">
        <w:tc>
          <w:tcPr>
            <w:tcW w:w="3049" w:type="dxa"/>
            <w:shd w:val="clear" w:color="auto" w:fill="auto"/>
          </w:tcPr>
          <w:p w14:paraId="52B90D59"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Vaskularni poremećaji</w:t>
            </w:r>
          </w:p>
        </w:tc>
        <w:tc>
          <w:tcPr>
            <w:tcW w:w="3044" w:type="dxa"/>
            <w:shd w:val="clear" w:color="auto" w:fill="auto"/>
          </w:tcPr>
          <w:p w14:paraId="2041EE1E" w14:textId="5C3C1792"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malo povećan rizik od arterijskih trombotičkih događaja (na prim</w:t>
            </w:r>
            <w:r w:rsidR="008B15FD" w:rsidRPr="00A613D6">
              <w:rPr>
                <w:rFonts w:eastAsia="Calibri"/>
                <w:sz w:val="22"/>
                <w:szCs w:val="22"/>
                <w:lang w:val="sr-Latn-ME"/>
              </w:rPr>
              <w:t>j</w:t>
            </w:r>
            <w:r w:rsidRPr="00A613D6">
              <w:rPr>
                <w:rFonts w:eastAsia="Calibri"/>
                <w:sz w:val="22"/>
                <w:szCs w:val="22"/>
                <w:lang w:val="sr-Latn-ME"/>
              </w:rPr>
              <w:t>er infarkt miokarda ili moždani udar)</w:t>
            </w:r>
          </w:p>
        </w:tc>
        <w:tc>
          <w:tcPr>
            <w:tcW w:w="2982" w:type="dxa"/>
            <w:shd w:val="clear" w:color="auto" w:fill="auto"/>
          </w:tcPr>
          <w:p w14:paraId="1C58C62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4EEC17BC" w14:textId="77777777" w:rsidTr="00F63B6B">
        <w:tc>
          <w:tcPr>
            <w:tcW w:w="3049" w:type="dxa"/>
            <w:vMerge w:val="restart"/>
            <w:shd w:val="clear" w:color="auto" w:fill="auto"/>
          </w:tcPr>
          <w:p w14:paraId="0E91D6D8"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Respiratorni, torakalni i medijastinalni poremećaji</w:t>
            </w:r>
          </w:p>
        </w:tc>
        <w:tc>
          <w:tcPr>
            <w:tcW w:w="3044" w:type="dxa"/>
            <w:shd w:val="clear" w:color="auto" w:fill="auto"/>
          </w:tcPr>
          <w:p w14:paraId="0BEBE5FA"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astma (uključujući dispneju)</w:t>
            </w:r>
          </w:p>
        </w:tc>
        <w:tc>
          <w:tcPr>
            <w:tcW w:w="2982" w:type="dxa"/>
            <w:shd w:val="clear" w:color="auto" w:fill="auto"/>
          </w:tcPr>
          <w:p w14:paraId="73E2629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2CA9F47F" w14:textId="77777777" w:rsidTr="00F63B6B">
        <w:tc>
          <w:tcPr>
            <w:tcW w:w="3049" w:type="dxa"/>
            <w:vMerge/>
            <w:shd w:val="clear" w:color="auto" w:fill="auto"/>
          </w:tcPr>
          <w:p w14:paraId="52577704" w14:textId="77777777" w:rsidR="00957061" w:rsidRPr="00A613D6" w:rsidRDefault="00957061" w:rsidP="008706C5">
            <w:pPr>
              <w:contextualSpacing/>
              <w:jc w:val="both"/>
              <w:rPr>
                <w:rFonts w:eastAsia="Calibri"/>
                <w:b/>
                <w:sz w:val="22"/>
                <w:szCs w:val="22"/>
                <w:lang w:val="sr-Latn-ME"/>
              </w:rPr>
            </w:pPr>
          </w:p>
        </w:tc>
        <w:tc>
          <w:tcPr>
            <w:tcW w:w="3044" w:type="dxa"/>
            <w:shd w:val="clear" w:color="auto" w:fill="auto"/>
          </w:tcPr>
          <w:p w14:paraId="007DA7A1"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pneumonitis</w:t>
            </w:r>
          </w:p>
        </w:tc>
        <w:tc>
          <w:tcPr>
            <w:tcW w:w="2982" w:type="dxa"/>
            <w:shd w:val="clear" w:color="auto" w:fill="auto"/>
          </w:tcPr>
          <w:p w14:paraId="6F94706D"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706F4" w:rsidRPr="00A613D6" w14:paraId="585E6F0C" w14:textId="77777777" w:rsidTr="00F63B6B">
        <w:tc>
          <w:tcPr>
            <w:tcW w:w="3049" w:type="dxa"/>
            <w:vMerge w:val="restart"/>
            <w:shd w:val="clear" w:color="auto" w:fill="auto"/>
          </w:tcPr>
          <w:p w14:paraId="0F156490" w14:textId="77777777" w:rsidR="009706F4" w:rsidRPr="00A613D6" w:rsidRDefault="009706F4" w:rsidP="008706C5">
            <w:pPr>
              <w:contextualSpacing/>
              <w:jc w:val="both"/>
              <w:rPr>
                <w:rFonts w:eastAsia="Calibri"/>
                <w:b/>
                <w:sz w:val="22"/>
                <w:szCs w:val="22"/>
                <w:lang w:val="sr-Latn-ME"/>
              </w:rPr>
            </w:pPr>
            <w:r w:rsidRPr="00A613D6">
              <w:rPr>
                <w:rFonts w:eastAsia="Calibri"/>
                <w:b/>
                <w:sz w:val="22"/>
                <w:szCs w:val="22"/>
                <w:lang w:val="sr-Latn-ME"/>
              </w:rPr>
              <w:lastRenderedPageBreak/>
              <w:t>Gastrointestinalni poremećaji</w:t>
            </w:r>
          </w:p>
        </w:tc>
        <w:tc>
          <w:tcPr>
            <w:tcW w:w="3044" w:type="dxa"/>
            <w:shd w:val="clear" w:color="auto" w:fill="auto"/>
          </w:tcPr>
          <w:p w14:paraId="42BF932C" w14:textId="77777777"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mučnina, povraćanje, dijareja, dispepsija, abdominalni bol, nadimanje, anoreksija</w:t>
            </w:r>
          </w:p>
        </w:tc>
        <w:tc>
          <w:tcPr>
            <w:tcW w:w="2982" w:type="dxa"/>
            <w:shd w:val="clear" w:color="auto" w:fill="auto"/>
          </w:tcPr>
          <w:p w14:paraId="4A7DD4ED" w14:textId="77777777"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često</w:t>
            </w:r>
          </w:p>
        </w:tc>
      </w:tr>
      <w:tr w:rsidR="009706F4" w:rsidRPr="00A613D6" w14:paraId="7CBD0D35" w14:textId="77777777" w:rsidTr="00F63B6B">
        <w:tc>
          <w:tcPr>
            <w:tcW w:w="3049" w:type="dxa"/>
            <w:vMerge/>
            <w:shd w:val="clear" w:color="auto" w:fill="auto"/>
          </w:tcPr>
          <w:p w14:paraId="39D70F3A" w14:textId="77777777" w:rsidR="009706F4" w:rsidRPr="00A613D6" w:rsidRDefault="009706F4" w:rsidP="008706C5">
            <w:pPr>
              <w:contextualSpacing/>
              <w:jc w:val="both"/>
              <w:rPr>
                <w:rFonts w:eastAsia="Calibri"/>
                <w:b/>
                <w:sz w:val="22"/>
                <w:szCs w:val="22"/>
                <w:lang w:val="sr-Latn-ME"/>
              </w:rPr>
            </w:pPr>
          </w:p>
        </w:tc>
        <w:tc>
          <w:tcPr>
            <w:tcW w:w="3044" w:type="dxa"/>
            <w:shd w:val="clear" w:color="auto" w:fill="auto"/>
          </w:tcPr>
          <w:p w14:paraId="0A70052E" w14:textId="77777777"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gastritis, hematemeza, krvava dijareja, melena, gastrointestinalni ulkusi (sa ili bez krvarenja ili perforacije), peptički uklusi, perforacija ili gastrointestinalno krvarenje, ponekad fatalni, posebno kod starijih osoba</w:t>
            </w:r>
          </w:p>
        </w:tc>
        <w:tc>
          <w:tcPr>
            <w:tcW w:w="2982" w:type="dxa"/>
            <w:shd w:val="clear" w:color="auto" w:fill="auto"/>
          </w:tcPr>
          <w:p w14:paraId="068378C7" w14:textId="77777777"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rijetko</w:t>
            </w:r>
          </w:p>
        </w:tc>
      </w:tr>
      <w:tr w:rsidR="009706F4" w:rsidRPr="00A613D6" w14:paraId="56433CBE" w14:textId="77777777" w:rsidTr="00F63B6B">
        <w:tc>
          <w:tcPr>
            <w:tcW w:w="3049" w:type="dxa"/>
            <w:vMerge/>
            <w:shd w:val="clear" w:color="auto" w:fill="auto"/>
          </w:tcPr>
          <w:p w14:paraId="7BB09CD1" w14:textId="77777777" w:rsidR="009706F4" w:rsidRPr="00A613D6" w:rsidRDefault="009706F4" w:rsidP="008706C5">
            <w:pPr>
              <w:contextualSpacing/>
              <w:jc w:val="both"/>
              <w:rPr>
                <w:rFonts w:eastAsia="Calibri"/>
                <w:b/>
                <w:sz w:val="22"/>
                <w:szCs w:val="22"/>
                <w:lang w:val="sr-Latn-ME"/>
              </w:rPr>
            </w:pPr>
          </w:p>
        </w:tc>
        <w:tc>
          <w:tcPr>
            <w:tcW w:w="3044" w:type="dxa"/>
            <w:shd w:val="clear" w:color="auto" w:fill="auto"/>
          </w:tcPr>
          <w:p w14:paraId="417CF3CA" w14:textId="77777777"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pogoršanje kolitisa i Kronove bolesti, opstipacija, ulcerozni stomatitis, glositis, ezofagealne lezije, formiranje struktura sličnih dijafragmi u crijevima, pankreatitis</w:t>
            </w:r>
          </w:p>
        </w:tc>
        <w:tc>
          <w:tcPr>
            <w:tcW w:w="2982" w:type="dxa"/>
            <w:shd w:val="clear" w:color="auto" w:fill="auto"/>
          </w:tcPr>
          <w:p w14:paraId="71A15B94" w14:textId="77777777"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veoma rijetko</w:t>
            </w:r>
          </w:p>
        </w:tc>
      </w:tr>
      <w:tr w:rsidR="009706F4" w:rsidRPr="00A613D6" w14:paraId="68D72C2C" w14:textId="77777777" w:rsidTr="00F63B6B">
        <w:tc>
          <w:tcPr>
            <w:tcW w:w="3049" w:type="dxa"/>
            <w:vMerge/>
            <w:shd w:val="clear" w:color="auto" w:fill="auto"/>
          </w:tcPr>
          <w:p w14:paraId="34478A68" w14:textId="77777777" w:rsidR="009706F4" w:rsidRPr="00A613D6" w:rsidRDefault="009706F4" w:rsidP="008706C5">
            <w:pPr>
              <w:contextualSpacing/>
              <w:jc w:val="both"/>
              <w:rPr>
                <w:rFonts w:eastAsia="Calibri"/>
                <w:b/>
                <w:sz w:val="22"/>
                <w:szCs w:val="22"/>
                <w:lang w:val="sr-Latn-ME"/>
              </w:rPr>
            </w:pPr>
          </w:p>
        </w:tc>
        <w:tc>
          <w:tcPr>
            <w:tcW w:w="3044" w:type="dxa"/>
            <w:shd w:val="clear" w:color="auto" w:fill="auto"/>
          </w:tcPr>
          <w:p w14:paraId="37957F7D" w14:textId="55FAD696" w:rsidR="009706F4" w:rsidRPr="00A613D6" w:rsidRDefault="009706F4" w:rsidP="008706C5">
            <w:pPr>
              <w:contextualSpacing/>
              <w:jc w:val="both"/>
              <w:rPr>
                <w:rFonts w:eastAsia="Calibri"/>
                <w:sz w:val="22"/>
                <w:szCs w:val="22"/>
                <w:lang w:val="sr-Latn-ME"/>
              </w:rPr>
            </w:pPr>
            <w:r w:rsidRPr="00A613D6">
              <w:rPr>
                <w:rFonts w:eastAsia="Calibri"/>
                <w:sz w:val="22"/>
                <w:szCs w:val="22"/>
                <w:lang w:val="sr-Latn-ME"/>
              </w:rPr>
              <w:t>ishemijski kolitis</w:t>
            </w:r>
          </w:p>
        </w:tc>
        <w:tc>
          <w:tcPr>
            <w:tcW w:w="2982" w:type="dxa"/>
            <w:shd w:val="clear" w:color="auto" w:fill="auto"/>
          </w:tcPr>
          <w:p w14:paraId="0B25B77C" w14:textId="20D930BA" w:rsidR="0021428F" w:rsidRPr="00A613D6" w:rsidRDefault="00016349" w:rsidP="008706C5">
            <w:pPr>
              <w:contextualSpacing/>
              <w:jc w:val="both"/>
              <w:rPr>
                <w:rFonts w:eastAsia="Calibri"/>
                <w:sz w:val="22"/>
                <w:szCs w:val="22"/>
                <w:lang w:val="sr-Latn-ME"/>
              </w:rPr>
            </w:pPr>
            <w:r w:rsidRPr="00A613D6">
              <w:rPr>
                <w:rFonts w:eastAsia="Calibri"/>
                <w:sz w:val="22"/>
                <w:szCs w:val="22"/>
                <w:lang w:val="sr-Latn-ME"/>
              </w:rPr>
              <w:t>n</w:t>
            </w:r>
            <w:r w:rsidR="009706F4" w:rsidRPr="00A613D6">
              <w:rPr>
                <w:rFonts w:eastAsia="Calibri"/>
                <w:sz w:val="22"/>
                <w:szCs w:val="22"/>
                <w:lang w:val="sr-Latn-ME"/>
              </w:rPr>
              <w:t>epoznat</w:t>
            </w:r>
            <w:r w:rsidR="008B55E7" w:rsidRPr="00A613D6">
              <w:rPr>
                <w:rFonts w:eastAsia="Calibri"/>
                <w:sz w:val="22"/>
                <w:szCs w:val="22"/>
                <w:lang w:val="sr-Latn-ME"/>
              </w:rPr>
              <w:t>o</w:t>
            </w:r>
          </w:p>
          <w:p w14:paraId="7746C4C7" w14:textId="77777777" w:rsidR="0021428F" w:rsidRPr="00A613D6" w:rsidRDefault="0021428F" w:rsidP="008706C5">
            <w:pPr>
              <w:contextualSpacing/>
              <w:jc w:val="both"/>
              <w:rPr>
                <w:rFonts w:eastAsia="Calibri"/>
                <w:sz w:val="22"/>
                <w:szCs w:val="22"/>
                <w:lang w:val="sr-Latn-ME"/>
              </w:rPr>
            </w:pPr>
          </w:p>
          <w:p w14:paraId="67A45D12" w14:textId="77777777" w:rsidR="0021428F" w:rsidRPr="00A613D6" w:rsidRDefault="0021428F" w:rsidP="008706C5">
            <w:pPr>
              <w:contextualSpacing/>
              <w:jc w:val="both"/>
              <w:rPr>
                <w:rFonts w:eastAsia="Calibri"/>
                <w:sz w:val="22"/>
                <w:szCs w:val="22"/>
                <w:lang w:val="sr-Latn-ME"/>
              </w:rPr>
            </w:pPr>
          </w:p>
          <w:p w14:paraId="7D48B1BA" w14:textId="4D7FE776" w:rsidR="009706F4" w:rsidRPr="00A613D6" w:rsidRDefault="009706F4" w:rsidP="008706C5">
            <w:pPr>
              <w:contextualSpacing/>
              <w:jc w:val="both"/>
              <w:rPr>
                <w:rFonts w:eastAsia="Calibri"/>
                <w:sz w:val="22"/>
                <w:szCs w:val="22"/>
                <w:lang w:val="sr-Latn-ME"/>
              </w:rPr>
            </w:pPr>
          </w:p>
        </w:tc>
      </w:tr>
      <w:tr w:rsidR="00957061" w:rsidRPr="00A613D6" w14:paraId="61E416CD" w14:textId="77777777" w:rsidTr="00F63B6B">
        <w:tc>
          <w:tcPr>
            <w:tcW w:w="3049" w:type="dxa"/>
            <w:vMerge w:val="restart"/>
            <w:shd w:val="clear" w:color="auto" w:fill="auto"/>
          </w:tcPr>
          <w:p w14:paraId="6C7E2827"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Hepatobilijarni poremećaji</w:t>
            </w:r>
          </w:p>
        </w:tc>
        <w:tc>
          <w:tcPr>
            <w:tcW w:w="3044" w:type="dxa"/>
            <w:shd w:val="clear" w:color="auto" w:fill="auto"/>
          </w:tcPr>
          <w:p w14:paraId="3ED745EC" w14:textId="71FCEC55"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porast vr</w:t>
            </w:r>
            <w:r w:rsidR="008B55E7" w:rsidRPr="00A613D6">
              <w:rPr>
                <w:rFonts w:eastAsia="Calibri"/>
                <w:sz w:val="22"/>
                <w:szCs w:val="22"/>
                <w:lang w:val="sr-Latn-ME"/>
              </w:rPr>
              <w:t>ij</w:t>
            </w:r>
            <w:r w:rsidRPr="00A613D6">
              <w:rPr>
                <w:rFonts w:eastAsia="Calibri"/>
                <w:sz w:val="22"/>
                <w:szCs w:val="22"/>
                <w:lang w:val="sr-Latn-ME"/>
              </w:rPr>
              <w:t>ednosti transaminaza</w:t>
            </w:r>
          </w:p>
        </w:tc>
        <w:tc>
          <w:tcPr>
            <w:tcW w:w="2982" w:type="dxa"/>
            <w:shd w:val="clear" w:color="auto" w:fill="auto"/>
          </w:tcPr>
          <w:p w14:paraId="63A23BFC"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često</w:t>
            </w:r>
          </w:p>
        </w:tc>
      </w:tr>
      <w:tr w:rsidR="00957061" w:rsidRPr="00A613D6" w14:paraId="6BB330CF" w14:textId="77777777" w:rsidTr="00F63B6B">
        <w:tc>
          <w:tcPr>
            <w:tcW w:w="3049" w:type="dxa"/>
            <w:vMerge/>
            <w:shd w:val="clear" w:color="auto" w:fill="auto"/>
          </w:tcPr>
          <w:p w14:paraId="064B91AA" w14:textId="77777777" w:rsidR="00957061" w:rsidRPr="00A613D6" w:rsidRDefault="00957061" w:rsidP="008706C5">
            <w:pPr>
              <w:contextualSpacing/>
              <w:jc w:val="both"/>
              <w:rPr>
                <w:rFonts w:eastAsia="Calibri"/>
                <w:b/>
                <w:sz w:val="22"/>
                <w:szCs w:val="22"/>
                <w:lang w:val="sr-Latn-ME"/>
              </w:rPr>
            </w:pPr>
          </w:p>
        </w:tc>
        <w:tc>
          <w:tcPr>
            <w:tcW w:w="3044" w:type="dxa"/>
            <w:shd w:val="clear" w:color="auto" w:fill="auto"/>
          </w:tcPr>
          <w:p w14:paraId="1C1FDC69" w14:textId="6EEC032C"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žutica, poremećaj funkcije jetre</w:t>
            </w:r>
            <w:r w:rsidR="000E3606" w:rsidRPr="00A613D6">
              <w:rPr>
                <w:rFonts w:eastAsia="Calibri"/>
                <w:sz w:val="22"/>
                <w:szCs w:val="22"/>
                <w:lang w:val="sr-Latn-ME"/>
              </w:rPr>
              <w:t>,</w:t>
            </w:r>
            <w:r w:rsidRPr="00A613D6">
              <w:rPr>
                <w:rFonts w:eastAsia="Calibri"/>
                <w:sz w:val="22"/>
                <w:szCs w:val="22"/>
                <w:lang w:val="sr-Latn-ME"/>
              </w:rPr>
              <w:t xml:space="preserve"> hepatitis (u pojedinim slučajevima fulminantni) </w:t>
            </w:r>
          </w:p>
        </w:tc>
        <w:tc>
          <w:tcPr>
            <w:tcW w:w="2982" w:type="dxa"/>
            <w:shd w:val="clear" w:color="auto" w:fill="auto"/>
          </w:tcPr>
          <w:p w14:paraId="0D575DB9"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5D0C4679" w14:textId="77777777" w:rsidTr="00F63B6B">
        <w:tc>
          <w:tcPr>
            <w:tcW w:w="3049" w:type="dxa"/>
            <w:vMerge/>
            <w:shd w:val="clear" w:color="auto" w:fill="auto"/>
          </w:tcPr>
          <w:p w14:paraId="546474A7" w14:textId="77777777" w:rsidR="00957061" w:rsidRPr="00A613D6" w:rsidRDefault="00957061" w:rsidP="008706C5">
            <w:pPr>
              <w:contextualSpacing/>
              <w:jc w:val="both"/>
              <w:rPr>
                <w:rFonts w:eastAsia="Calibri"/>
                <w:b/>
                <w:sz w:val="22"/>
                <w:szCs w:val="22"/>
                <w:lang w:val="sr-Latn-ME"/>
              </w:rPr>
            </w:pPr>
          </w:p>
        </w:tc>
        <w:tc>
          <w:tcPr>
            <w:tcW w:w="3044" w:type="dxa"/>
            <w:shd w:val="clear" w:color="auto" w:fill="auto"/>
          </w:tcPr>
          <w:p w14:paraId="2CDC0376"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nekroza jetre, insuficijencija jetre</w:t>
            </w:r>
          </w:p>
        </w:tc>
        <w:tc>
          <w:tcPr>
            <w:tcW w:w="2982" w:type="dxa"/>
            <w:shd w:val="clear" w:color="auto" w:fill="auto"/>
          </w:tcPr>
          <w:p w14:paraId="0F7D82B6"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056096C8" w14:textId="77777777" w:rsidTr="00F63B6B">
        <w:tc>
          <w:tcPr>
            <w:tcW w:w="3049" w:type="dxa"/>
            <w:vMerge w:val="restart"/>
            <w:shd w:val="clear" w:color="auto" w:fill="auto"/>
          </w:tcPr>
          <w:p w14:paraId="3AF87F4D" w14:textId="3DB7D90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Poremećaji</w:t>
            </w:r>
            <w:r w:rsidR="000E3606" w:rsidRPr="00A613D6">
              <w:rPr>
                <w:rFonts w:eastAsia="Calibri"/>
                <w:b/>
                <w:sz w:val="22"/>
                <w:szCs w:val="22"/>
                <w:lang w:val="sr-Latn-ME"/>
              </w:rPr>
              <w:t xml:space="preserve"> kože</w:t>
            </w:r>
            <w:r w:rsidRPr="00A613D6">
              <w:rPr>
                <w:rFonts w:eastAsia="Calibri"/>
                <w:b/>
                <w:sz w:val="22"/>
                <w:szCs w:val="22"/>
                <w:lang w:val="sr-Latn-ME"/>
              </w:rPr>
              <w:t xml:space="preserve"> i potkožnog tkiva</w:t>
            </w:r>
          </w:p>
        </w:tc>
        <w:tc>
          <w:tcPr>
            <w:tcW w:w="3044" w:type="dxa"/>
            <w:shd w:val="clear" w:color="auto" w:fill="auto"/>
          </w:tcPr>
          <w:p w14:paraId="6A3883AA"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osip</w:t>
            </w:r>
          </w:p>
        </w:tc>
        <w:tc>
          <w:tcPr>
            <w:tcW w:w="2982" w:type="dxa"/>
            <w:shd w:val="clear" w:color="auto" w:fill="auto"/>
          </w:tcPr>
          <w:p w14:paraId="151FF0AB"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često</w:t>
            </w:r>
          </w:p>
        </w:tc>
      </w:tr>
      <w:tr w:rsidR="00957061" w:rsidRPr="00A613D6" w14:paraId="1189AC13" w14:textId="77777777" w:rsidTr="00F63B6B">
        <w:tc>
          <w:tcPr>
            <w:tcW w:w="3049" w:type="dxa"/>
            <w:vMerge/>
            <w:shd w:val="clear" w:color="auto" w:fill="auto"/>
          </w:tcPr>
          <w:p w14:paraId="65853525" w14:textId="77777777" w:rsidR="00957061" w:rsidRPr="00A613D6" w:rsidRDefault="00957061" w:rsidP="008706C5">
            <w:pPr>
              <w:contextualSpacing/>
              <w:jc w:val="both"/>
              <w:rPr>
                <w:rFonts w:eastAsia="Calibri"/>
                <w:b/>
                <w:sz w:val="22"/>
                <w:szCs w:val="22"/>
                <w:lang w:val="sr-Latn-ME"/>
              </w:rPr>
            </w:pPr>
          </w:p>
        </w:tc>
        <w:tc>
          <w:tcPr>
            <w:tcW w:w="3044" w:type="dxa"/>
            <w:shd w:val="clear" w:color="auto" w:fill="auto"/>
          </w:tcPr>
          <w:p w14:paraId="4254B903"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urtikarija</w:t>
            </w:r>
          </w:p>
        </w:tc>
        <w:tc>
          <w:tcPr>
            <w:tcW w:w="2982" w:type="dxa"/>
            <w:shd w:val="clear" w:color="auto" w:fill="auto"/>
          </w:tcPr>
          <w:p w14:paraId="474A897F"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62DD6BE4" w14:textId="77777777" w:rsidTr="00F63B6B">
        <w:tc>
          <w:tcPr>
            <w:tcW w:w="3049" w:type="dxa"/>
            <w:vMerge/>
            <w:shd w:val="clear" w:color="auto" w:fill="auto"/>
          </w:tcPr>
          <w:p w14:paraId="699B0DB2" w14:textId="77777777" w:rsidR="00957061" w:rsidRPr="00A613D6" w:rsidRDefault="00957061" w:rsidP="008706C5">
            <w:pPr>
              <w:contextualSpacing/>
              <w:jc w:val="both"/>
              <w:rPr>
                <w:rFonts w:eastAsia="Calibri"/>
                <w:b/>
                <w:sz w:val="22"/>
                <w:szCs w:val="22"/>
                <w:lang w:val="sr-Latn-ME"/>
              </w:rPr>
            </w:pPr>
          </w:p>
        </w:tc>
        <w:tc>
          <w:tcPr>
            <w:tcW w:w="3044" w:type="dxa"/>
            <w:shd w:val="clear" w:color="auto" w:fill="auto"/>
          </w:tcPr>
          <w:p w14:paraId="7C6959BA"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 xml:space="preserve">reakcije fotosenzitivnosti, erupcije kože, bulozne erupcije, ekcem, multiformni eritem, </w:t>
            </w:r>
            <w:r w:rsidRPr="00A613D6">
              <w:rPr>
                <w:rFonts w:eastAsia="Calibri"/>
                <w:i/>
                <w:sz w:val="22"/>
                <w:szCs w:val="22"/>
                <w:lang w:val="sr-Latn-ME"/>
              </w:rPr>
              <w:t>Stivens-Johnsonov</w:t>
            </w:r>
            <w:r w:rsidRPr="00A613D6">
              <w:rPr>
                <w:rFonts w:eastAsia="Calibri"/>
                <w:sz w:val="22"/>
                <w:szCs w:val="22"/>
                <w:lang w:val="sr-Latn-ME"/>
              </w:rPr>
              <w:t xml:space="preserve"> sindrom, toksična epidermalna nekroliza (eng: </w:t>
            </w:r>
            <w:r w:rsidRPr="00A613D6">
              <w:rPr>
                <w:rFonts w:eastAsia="Calibri"/>
                <w:i/>
                <w:sz w:val="22"/>
                <w:szCs w:val="22"/>
                <w:lang w:val="sr-Latn-ME"/>
              </w:rPr>
              <w:t>Lyell's syndrome</w:t>
            </w:r>
            <w:r w:rsidRPr="00A613D6">
              <w:rPr>
                <w:rFonts w:eastAsia="Calibri"/>
                <w:sz w:val="22"/>
                <w:szCs w:val="22"/>
                <w:lang w:val="sr-Latn-ME"/>
              </w:rPr>
              <w:t>), opadanje kose, eksfolijativni dermatitis, purpura, alergijska purpura, pruritus</w:t>
            </w:r>
          </w:p>
        </w:tc>
        <w:tc>
          <w:tcPr>
            <w:tcW w:w="2982" w:type="dxa"/>
            <w:shd w:val="clear" w:color="auto" w:fill="auto"/>
          </w:tcPr>
          <w:p w14:paraId="70A41C45"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6963121B" w14:textId="77777777" w:rsidTr="00F63B6B">
        <w:tc>
          <w:tcPr>
            <w:tcW w:w="3049" w:type="dxa"/>
            <w:shd w:val="clear" w:color="auto" w:fill="auto"/>
          </w:tcPr>
          <w:p w14:paraId="6380E829"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Poremećaji bubrega i urinarnog sistema</w:t>
            </w:r>
          </w:p>
        </w:tc>
        <w:tc>
          <w:tcPr>
            <w:tcW w:w="3044" w:type="dxa"/>
            <w:shd w:val="clear" w:color="auto" w:fill="auto"/>
          </w:tcPr>
          <w:p w14:paraId="63576108"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 xml:space="preserve">nefrotoksičnost u različitim oblicima, uključujući intersticijalni nefritis, proteinuriju, bubrežnu papilarnu nekrozu, nefrotski sindrom, akutnu bubrežnu insuficijenciju, poremećaj urina (hematurija) </w:t>
            </w:r>
          </w:p>
        </w:tc>
        <w:tc>
          <w:tcPr>
            <w:tcW w:w="2982" w:type="dxa"/>
            <w:shd w:val="clear" w:color="auto" w:fill="auto"/>
          </w:tcPr>
          <w:p w14:paraId="2A325E94"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bl>
    <w:p w14:paraId="18BA7472" w14:textId="77777777" w:rsidR="00957061" w:rsidRPr="00A613D6" w:rsidRDefault="00957061" w:rsidP="008706C5">
      <w:pPr>
        <w:contextualSpacing/>
        <w:jc w:val="both"/>
        <w:rPr>
          <w:sz w:val="22"/>
          <w:szCs w:val="22"/>
          <w:lang w:val="sr-Latn-ME"/>
        </w:rPr>
      </w:pPr>
    </w:p>
    <w:p w14:paraId="4411FCB3" w14:textId="71A31462" w:rsidR="00957061" w:rsidRPr="00A613D6" w:rsidRDefault="00957061">
      <w:pPr>
        <w:jc w:val="both"/>
        <w:rPr>
          <w:sz w:val="22"/>
          <w:szCs w:val="22"/>
          <w:lang w:val="sr-Latn-ME"/>
        </w:rPr>
      </w:pPr>
      <w:r w:rsidRPr="00A613D6">
        <w:rPr>
          <w:sz w:val="22"/>
          <w:szCs w:val="22"/>
          <w:lang w:val="sr-Latn-ME"/>
        </w:rPr>
        <w:t>Podaci iz kliničkih ispitivanja i epidemiološki podaci ukazuju na povećan rizik od pojave arterijskih trombotičkih događaja (infarkt miokarda ili moždani udar) u vezi sa primjenom diklofenaka, posebno u visokim dozama (150 mg dnevno) u dužem vremenskom periodu (vid</w:t>
      </w:r>
      <w:r w:rsidR="00DA4684" w:rsidRPr="00A613D6">
        <w:rPr>
          <w:sz w:val="22"/>
          <w:szCs w:val="22"/>
          <w:lang w:val="sr-Latn-ME"/>
        </w:rPr>
        <w:t>j</w:t>
      </w:r>
      <w:r w:rsidRPr="00A613D6">
        <w:rPr>
          <w:sz w:val="22"/>
          <w:szCs w:val="22"/>
          <w:lang w:val="sr-Latn-ME"/>
        </w:rPr>
        <w:t xml:space="preserve">eti </w:t>
      </w:r>
      <w:r w:rsidR="00E05E07" w:rsidRPr="00A613D6">
        <w:rPr>
          <w:sz w:val="22"/>
          <w:szCs w:val="22"/>
          <w:lang w:val="sr-Latn-ME"/>
        </w:rPr>
        <w:t xml:space="preserve">djelove </w:t>
      </w:r>
      <w:r w:rsidRPr="00A613D6">
        <w:rPr>
          <w:sz w:val="22"/>
          <w:szCs w:val="22"/>
          <w:lang w:val="sr-Latn-ME"/>
        </w:rPr>
        <w:t>4.3. i 4.4).</w:t>
      </w:r>
    </w:p>
    <w:p w14:paraId="01183D37" w14:textId="77777777" w:rsidR="00957061" w:rsidRPr="00A613D6" w:rsidRDefault="00957061" w:rsidP="008706C5">
      <w:pPr>
        <w:jc w:val="both"/>
        <w:rPr>
          <w:sz w:val="22"/>
          <w:szCs w:val="22"/>
          <w:lang w:val="sr-Latn-ME"/>
        </w:rPr>
      </w:pPr>
    </w:p>
    <w:p w14:paraId="19F126D2" w14:textId="3EB7CC29" w:rsidR="00957061" w:rsidRPr="00A613D6" w:rsidRDefault="00957061" w:rsidP="008706C5">
      <w:pPr>
        <w:jc w:val="both"/>
        <w:rPr>
          <w:sz w:val="22"/>
          <w:szCs w:val="22"/>
          <w:u w:val="single"/>
          <w:lang w:val="sr-Latn-ME"/>
        </w:rPr>
      </w:pPr>
      <w:r w:rsidRPr="00A613D6">
        <w:rPr>
          <w:sz w:val="22"/>
          <w:szCs w:val="22"/>
          <w:u w:val="single"/>
          <w:lang w:val="sr-Latn-ME"/>
        </w:rPr>
        <w:t>Omeprazol</w:t>
      </w:r>
    </w:p>
    <w:p w14:paraId="2C201CD5" w14:textId="77777777" w:rsidR="00BC659D" w:rsidRPr="00A613D6" w:rsidRDefault="00BC659D" w:rsidP="008706C5">
      <w:pPr>
        <w:jc w:val="both"/>
        <w:rPr>
          <w:sz w:val="22"/>
          <w:szCs w:val="22"/>
          <w:u w:val="single"/>
          <w:lang w:val="sr-Latn-ME"/>
        </w:rPr>
      </w:pPr>
    </w:p>
    <w:p w14:paraId="536B16D6" w14:textId="073D3CED" w:rsidR="00957061" w:rsidRPr="00A613D6" w:rsidRDefault="00957061">
      <w:pPr>
        <w:pStyle w:val="Header"/>
        <w:tabs>
          <w:tab w:val="left" w:pos="284"/>
        </w:tabs>
        <w:jc w:val="both"/>
        <w:rPr>
          <w:sz w:val="22"/>
          <w:szCs w:val="22"/>
          <w:lang w:val="sr-Latn-ME"/>
        </w:rPr>
      </w:pPr>
      <w:r w:rsidRPr="00A613D6">
        <w:rPr>
          <w:sz w:val="22"/>
          <w:szCs w:val="22"/>
          <w:lang w:val="sr-Latn-ME"/>
        </w:rPr>
        <w:t>Najčešće neželjene reakcije (1 – 10 % pacijenata) su glavobolja, bol u abdomenu, opstipacija, dijareja, nadutost i mučnina/povraćanje.</w:t>
      </w:r>
    </w:p>
    <w:p w14:paraId="701E0017" w14:textId="77777777" w:rsidR="00F63F4A" w:rsidRPr="00A613D6" w:rsidRDefault="00F63F4A">
      <w:pPr>
        <w:pStyle w:val="Header"/>
        <w:tabs>
          <w:tab w:val="left" w:pos="284"/>
        </w:tabs>
        <w:jc w:val="both"/>
        <w:rPr>
          <w:sz w:val="22"/>
          <w:szCs w:val="22"/>
          <w:lang w:val="sr-Latn-ME"/>
        </w:rPr>
      </w:pPr>
    </w:p>
    <w:p w14:paraId="4E57FF33" w14:textId="7ECC7E2F" w:rsidR="00957061" w:rsidRPr="00A613D6" w:rsidRDefault="00957061">
      <w:pPr>
        <w:pStyle w:val="Header"/>
        <w:jc w:val="both"/>
        <w:rPr>
          <w:sz w:val="22"/>
          <w:szCs w:val="22"/>
          <w:lang w:val="sr-Latn-ME"/>
        </w:rPr>
      </w:pPr>
      <w:r w:rsidRPr="00A613D6">
        <w:rPr>
          <w:sz w:val="22"/>
          <w:szCs w:val="22"/>
          <w:lang w:val="sr-Latn-ME"/>
        </w:rPr>
        <w:lastRenderedPageBreak/>
        <w:t>U kliničkim studijama i tokom postmarketinškog praćenja identifikovane su sl</w:t>
      </w:r>
      <w:r w:rsidR="004E7762" w:rsidRPr="00A613D6">
        <w:rPr>
          <w:sz w:val="22"/>
          <w:szCs w:val="22"/>
          <w:lang w:val="sr-Latn-ME"/>
        </w:rPr>
        <w:t>j</w:t>
      </w:r>
      <w:r w:rsidRPr="00A613D6">
        <w:rPr>
          <w:sz w:val="22"/>
          <w:szCs w:val="22"/>
          <w:lang w:val="sr-Latn-ME"/>
        </w:rPr>
        <w:t xml:space="preserve">edeće neželjene reakcije ili se sumnjalo na njih. Nijedna nije bila dozno zavisna. Neželjene reakcije navedene </w:t>
      </w:r>
      <w:r w:rsidR="003D4A41" w:rsidRPr="00A613D6">
        <w:rPr>
          <w:sz w:val="22"/>
          <w:szCs w:val="22"/>
          <w:lang w:val="sr-Latn-ME"/>
        </w:rPr>
        <w:t xml:space="preserve">u nastavku </w:t>
      </w:r>
      <w:r w:rsidRPr="00A613D6">
        <w:rPr>
          <w:sz w:val="22"/>
          <w:szCs w:val="22"/>
          <w:lang w:val="sr-Latn-ME"/>
        </w:rPr>
        <w:t>su klasifikovane prema učestalosti i</w:t>
      </w:r>
      <w:r w:rsidR="003D4A41" w:rsidRPr="00A613D6">
        <w:rPr>
          <w:sz w:val="22"/>
          <w:szCs w:val="22"/>
          <w:lang w:val="sr-Latn-ME"/>
        </w:rPr>
        <w:t xml:space="preserve"> prema MedDRA</w:t>
      </w:r>
      <w:r w:rsidRPr="00A613D6">
        <w:rPr>
          <w:sz w:val="22"/>
          <w:szCs w:val="22"/>
          <w:lang w:val="sr-Latn-ME"/>
        </w:rPr>
        <w:t xml:space="preserve"> klasi</w:t>
      </w:r>
      <w:r w:rsidR="003D4A41" w:rsidRPr="00A613D6">
        <w:rPr>
          <w:sz w:val="22"/>
          <w:szCs w:val="22"/>
          <w:lang w:val="sr-Latn-ME"/>
        </w:rPr>
        <w:t>fikaciji</w:t>
      </w:r>
      <w:r w:rsidRPr="00A613D6">
        <w:rPr>
          <w:sz w:val="22"/>
          <w:szCs w:val="22"/>
          <w:lang w:val="sr-Latn-ME"/>
        </w:rPr>
        <w:t xml:space="preserve"> sistema organa. Neželjene reakcije se po učestalosti klasifikuju na s</w:t>
      </w:r>
      <w:r w:rsidR="003D4A41" w:rsidRPr="00A613D6">
        <w:rPr>
          <w:sz w:val="22"/>
          <w:szCs w:val="22"/>
          <w:lang w:val="sr-Latn-ME"/>
        </w:rPr>
        <w:t>lj</w:t>
      </w:r>
      <w:r w:rsidRPr="00A613D6">
        <w:rPr>
          <w:sz w:val="22"/>
          <w:szCs w:val="22"/>
          <w:lang w:val="sr-Latn-ME"/>
        </w:rPr>
        <w:t>edeći način: veoma čest</w:t>
      </w:r>
      <w:r w:rsidR="00070007" w:rsidRPr="00A613D6">
        <w:rPr>
          <w:sz w:val="22"/>
          <w:szCs w:val="22"/>
          <w:lang w:val="sr-Latn-ME"/>
        </w:rPr>
        <w:t>o</w:t>
      </w:r>
      <w:r w:rsidRPr="00A613D6">
        <w:rPr>
          <w:sz w:val="22"/>
          <w:szCs w:val="22"/>
          <w:lang w:val="sr-Latn-ME"/>
        </w:rPr>
        <w:t xml:space="preserve"> (≥ 1/10), čest</w:t>
      </w:r>
      <w:r w:rsidR="00070007" w:rsidRPr="00A613D6">
        <w:rPr>
          <w:sz w:val="22"/>
          <w:szCs w:val="22"/>
          <w:lang w:val="sr-Latn-ME"/>
        </w:rPr>
        <w:t>o</w:t>
      </w:r>
      <w:r w:rsidRPr="00A613D6">
        <w:rPr>
          <w:sz w:val="22"/>
          <w:szCs w:val="22"/>
          <w:lang w:val="sr-Latn-ME"/>
        </w:rPr>
        <w:t xml:space="preserve"> (≥ 1/100, &lt;1/10); povremen</w:t>
      </w:r>
      <w:r w:rsidR="00070007" w:rsidRPr="00A613D6">
        <w:rPr>
          <w:sz w:val="22"/>
          <w:szCs w:val="22"/>
          <w:lang w:val="sr-Latn-ME"/>
        </w:rPr>
        <w:t>o</w:t>
      </w:r>
      <w:r w:rsidRPr="00A613D6">
        <w:rPr>
          <w:sz w:val="22"/>
          <w:szCs w:val="22"/>
          <w:lang w:val="sr-Latn-ME"/>
        </w:rPr>
        <w:t xml:space="preserve"> (≥ 1/1000, &lt; 1/100); r</w:t>
      </w:r>
      <w:r w:rsidR="00BD6111" w:rsidRPr="00A613D6">
        <w:rPr>
          <w:sz w:val="22"/>
          <w:szCs w:val="22"/>
          <w:lang w:val="sr-Latn-ME"/>
        </w:rPr>
        <w:t>ij</w:t>
      </w:r>
      <w:r w:rsidRPr="00A613D6">
        <w:rPr>
          <w:sz w:val="22"/>
          <w:szCs w:val="22"/>
          <w:lang w:val="sr-Latn-ME"/>
        </w:rPr>
        <w:t>etk</w:t>
      </w:r>
      <w:r w:rsidR="00070007" w:rsidRPr="00A613D6">
        <w:rPr>
          <w:sz w:val="22"/>
          <w:szCs w:val="22"/>
          <w:lang w:val="sr-Latn-ME"/>
        </w:rPr>
        <w:t xml:space="preserve">o </w:t>
      </w:r>
      <w:r w:rsidRPr="00A613D6">
        <w:rPr>
          <w:sz w:val="22"/>
          <w:szCs w:val="22"/>
          <w:lang w:val="sr-Latn-ME"/>
        </w:rPr>
        <w:t>(≥ 1/10000, &lt; 1/1000), veoma rijetk</w:t>
      </w:r>
      <w:r w:rsidR="00070007" w:rsidRPr="00A613D6">
        <w:rPr>
          <w:sz w:val="22"/>
          <w:szCs w:val="22"/>
          <w:lang w:val="sr-Latn-ME"/>
        </w:rPr>
        <w:t>o</w:t>
      </w:r>
      <w:r w:rsidRPr="00A613D6">
        <w:rPr>
          <w:sz w:val="22"/>
          <w:szCs w:val="22"/>
          <w:lang w:val="sr-Latn-ME"/>
        </w:rPr>
        <w:t xml:space="preserve"> (&lt; 1/10000) i nepoznat</w:t>
      </w:r>
      <w:r w:rsidR="00070007" w:rsidRPr="00A613D6">
        <w:rPr>
          <w:sz w:val="22"/>
          <w:szCs w:val="22"/>
          <w:lang w:val="sr-Latn-ME"/>
        </w:rPr>
        <w:t>o</w:t>
      </w:r>
      <w:r w:rsidRPr="00A613D6">
        <w:rPr>
          <w:sz w:val="22"/>
          <w:szCs w:val="22"/>
          <w:lang w:val="sr-Latn-ME"/>
        </w:rPr>
        <w:t xml:space="preserve"> (učestalost se ne može proc</w:t>
      </w:r>
      <w:r w:rsidR="00BD6111" w:rsidRPr="00A613D6">
        <w:rPr>
          <w:sz w:val="22"/>
          <w:szCs w:val="22"/>
          <w:lang w:val="sr-Latn-ME"/>
        </w:rPr>
        <w:t>ij</w:t>
      </w:r>
      <w:r w:rsidRPr="00A613D6">
        <w:rPr>
          <w:sz w:val="22"/>
          <w:szCs w:val="22"/>
          <w:lang w:val="sr-Latn-ME"/>
        </w:rPr>
        <w:t xml:space="preserve">eniti na osnovu raspoloživih podataka). </w:t>
      </w:r>
    </w:p>
    <w:p w14:paraId="20E61574" w14:textId="77777777" w:rsidR="00957061" w:rsidRPr="00A613D6" w:rsidRDefault="00957061" w:rsidP="008706C5">
      <w:pPr>
        <w:pStyle w:val="Heade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061"/>
        <w:gridCol w:w="2969"/>
      </w:tblGrid>
      <w:tr w:rsidR="00957061" w:rsidRPr="00A613D6" w14:paraId="207C9AC6" w14:textId="77777777" w:rsidTr="009A00AA">
        <w:tc>
          <w:tcPr>
            <w:tcW w:w="3181" w:type="dxa"/>
            <w:shd w:val="clear" w:color="auto" w:fill="auto"/>
          </w:tcPr>
          <w:p w14:paraId="35D1D962"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Klasa sistema organa</w:t>
            </w:r>
          </w:p>
        </w:tc>
        <w:tc>
          <w:tcPr>
            <w:tcW w:w="3182" w:type="dxa"/>
            <w:shd w:val="clear" w:color="auto" w:fill="auto"/>
          </w:tcPr>
          <w:p w14:paraId="4E8D6110"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Neželjena reakcija</w:t>
            </w:r>
          </w:p>
        </w:tc>
        <w:tc>
          <w:tcPr>
            <w:tcW w:w="3182" w:type="dxa"/>
            <w:shd w:val="clear" w:color="auto" w:fill="auto"/>
          </w:tcPr>
          <w:p w14:paraId="20D18233"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Učestalost</w:t>
            </w:r>
          </w:p>
        </w:tc>
      </w:tr>
      <w:tr w:rsidR="00957061" w:rsidRPr="00A613D6" w14:paraId="24E856B0" w14:textId="77777777" w:rsidTr="009A00AA">
        <w:tc>
          <w:tcPr>
            <w:tcW w:w="3181" w:type="dxa"/>
            <w:vMerge w:val="restart"/>
            <w:shd w:val="clear" w:color="auto" w:fill="auto"/>
          </w:tcPr>
          <w:p w14:paraId="674A52E7"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krvi i limfnog sistema</w:t>
            </w:r>
          </w:p>
        </w:tc>
        <w:tc>
          <w:tcPr>
            <w:tcW w:w="3182" w:type="dxa"/>
            <w:shd w:val="clear" w:color="auto" w:fill="auto"/>
          </w:tcPr>
          <w:p w14:paraId="295B51DE"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leukopenija, trombocitopenija</w:t>
            </w:r>
          </w:p>
        </w:tc>
        <w:tc>
          <w:tcPr>
            <w:tcW w:w="3182" w:type="dxa"/>
            <w:shd w:val="clear" w:color="auto" w:fill="auto"/>
          </w:tcPr>
          <w:p w14:paraId="2F608558"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7B6183DB" w14:textId="77777777" w:rsidTr="009A00AA">
        <w:tc>
          <w:tcPr>
            <w:tcW w:w="3181" w:type="dxa"/>
            <w:vMerge/>
            <w:shd w:val="clear" w:color="auto" w:fill="auto"/>
          </w:tcPr>
          <w:p w14:paraId="00526FFD" w14:textId="77777777" w:rsidR="00957061" w:rsidRPr="00A613D6" w:rsidRDefault="00957061" w:rsidP="008706C5">
            <w:pPr>
              <w:contextualSpacing/>
              <w:jc w:val="both"/>
              <w:rPr>
                <w:rFonts w:eastAsia="Calibri"/>
                <w:b/>
                <w:i/>
                <w:sz w:val="22"/>
                <w:szCs w:val="22"/>
                <w:lang w:val="sr-Latn-ME"/>
              </w:rPr>
            </w:pPr>
          </w:p>
        </w:tc>
        <w:tc>
          <w:tcPr>
            <w:tcW w:w="3182" w:type="dxa"/>
            <w:shd w:val="clear" w:color="auto" w:fill="auto"/>
          </w:tcPr>
          <w:p w14:paraId="759EEC69"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agranulocitoza, pancitopenija</w:t>
            </w:r>
          </w:p>
        </w:tc>
        <w:tc>
          <w:tcPr>
            <w:tcW w:w="3182" w:type="dxa"/>
            <w:shd w:val="clear" w:color="auto" w:fill="auto"/>
          </w:tcPr>
          <w:p w14:paraId="6CE07E7D"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2D6F3E32" w14:textId="77777777" w:rsidTr="009A00AA">
        <w:tc>
          <w:tcPr>
            <w:tcW w:w="3181" w:type="dxa"/>
            <w:shd w:val="clear" w:color="auto" w:fill="auto"/>
          </w:tcPr>
          <w:p w14:paraId="670C71E6" w14:textId="6C1005B5" w:rsidR="00957061" w:rsidRPr="00A613D6" w:rsidRDefault="00957061" w:rsidP="008706C5">
            <w:pPr>
              <w:jc w:val="both"/>
              <w:rPr>
                <w:rFonts w:eastAsia="Calibri"/>
                <w:b/>
                <w:sz w:val="22"/>
                <w:szCs w:val="22"/>
                <w:lang w:val="sr-Latn-ME"/>
              </w:rPr>
            </w:pPr>
            <w:r w:rsidRPr="00A613D6">
              <w:rPr>
                <w:rFonts w:eastAsia="Calibri"/>
                <w:b/>
                <w:sz w:val="22"/>
                <w:szCs w:val="22"/>
                <w:lang w:val="sr-Latn-ME"/>
              </w:rPr>
              <w:t>Poremećaji imunog sistema</w:t>
            </w:r>
          </w:p>
          <w:p w14:paraId="637A82CF" w14:textId="77777777" w:rsidR="00957061" w:rsidRPr="00A613D6" w:rsidRDefault="00957061" w:rsidP="008706C5">
            <w:pPr>
              <w:contextualSpacing/>
              <w:jc w:val="both"/>
              <w:rPr>
                <w:rFonts w:eastAsia="Calibri"/>
                <w:sz w:val="22"/>
                <w:szCs w:val="22"/>
                <w:lang w:val="sr-Latn-ME"/>
              </w:rPr>
            </w:pPr>
          </w:p>
        </w:tc>
        <w:tc>
          <w:tcPr>
            <w:tcW w:w="3182" w:type="dxa"/>
            <w:shd w:val="clear" w:color="auto" w:fill="auto"/>
          </w:tcPr>
          <w:p w14:paraId="6DF91B82"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reakcije preosjetljivosti npr. groznica, angioedem, anafilaktička reakcija/šok</w:t>
            </w:r>
          </w:p>
        </w:tc>
        <w:tc>
          <w:tcPr>
            <w:tcW w:w="3182" w:type="dxa"/>
            <w:shd w:val="clear" w:color="auto" w:fill="auto"/>
          </w:tcPr>
          <w:p w14:paraId="08A1420A"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2BFE36B1" w14:textId="77777777" w:rsidTr="009A00AA">
        <w:tc>
          <w:tcPr>
            <w:tcW w:w="3181" w:type="dxa"/>
            <w:vMerge w:val="restart"/>
            <w:shd w:val="clear" w:color="auto" w:fill="auto"/>
          </w:tcPr>
          <w:p w14:paraId="1FB1BF5C" w14:textId="77777777" w:rsidR="00957061" w:rsidRPr="00A613D6" w:rsidRDefault="00957061" w:rsidP="008706C5">
            <w:pPr>
              <w:jc w:val="both"/>
              <w:rPr>
                <w:rFonts w:eastAsia="Calibri"/>
                <w:b/>
                <w:sz w:val="22"/>
                <w:szCs w:val="22"/>
                <w:lang w:val="sr-Latn-ME"/>
              </w:rPr>
            </w:pPr>
            <w:r w:rsidRPr="00A613D6">
              <w:rPr>
                <w:rFonts w:eastAsia="Calibri"/>
                <w:b/>
                <w:bCs/>
                <w:color w:val="000000"/>
                <w:sz w:val="22"/>
                <w:szCs w:val="22"/>
                <w:lang w:val="sr-Latn-ME"/>
              </w:rPr>
              <w:t>Poremećaji metabolizma i ishrane</w:t>
            </w:r>
          </w:p>
        </w:tc>
        <w:tc>
          <w:tcPr>
            <w:tcW w:w="3182" w:type="dxa"/>
            <w:shd w:val="clear" w:color="auto" w:fill="auto"/>
          </w:tcPr>
          <w:p w14:paraId="0106F2EF"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hiponatrijemija</w:t>
            </w:r>
          </w:p>
        </w:tc>
        <w:tc>
          <w:tcPr>
            <w:tcW w:w="3182" w:type="dxa"/>
            <w:shd w:val="clear" w:color="auto" w:fill="auto"/>
          </w:tcPr>
          <w:p w14:paraId="02A26B62"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104E17B3" w14:textId="77777777" w:rsidTr="009A00AA">
        <w:tc>
          <w:tcPr>
            <w:tcW w:w="3181" w:type="dxa"/>
            <w:vMerge/>
            <w:shd w:val="clear" w:color="auto" w:fill="auto"/>
          </w:tcPr>
          <w:p w14:paraId="5284EA18" w14:textId="77777777" w:rsidR="00957061" w:rsidRPr="00A613D6" w:rsidRDefault="00957061" w:rsidP="008706C5">
            <w:pPr>
              <w:jc w:val="both"/>
              <w:rPr>
                <w:rFonts w:eastAsia="Calibri"/>
                <w:b/>
                <w:bCs/>
                <w:i/>
                <w:color w:val="000000"/>
                <w:sz w:val="22"/>
                <w:szCs w:val="22"/>
                <w:lang w:val="sr-Latn-ME"/>
              </w:rPr>
            </w:pPr>
          </w:p>
        </w:tc>
        <w:tc>
          <w:tcPr>
            <w:tcW w:w="3182" w:type="dxa"/>
            <w:shd w:val="clear" w:color="auto" w:fill="auto"/>
          </w:tcPr>
          <w:p w14:paraId="50157857"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hipomagnezijemija, teži oblik hipomagnezijemije može da dovede do  hipokalcemije</w:t>
            </w:r>
          </w:p>
        </w:tc>
        <w:tc>
          <w:tcPr>
            <w:tcW w:w="3182" w:type="dxa"/>
            <w:shd w:val="clear" w:color="auto" w:fill="auto"/>
          </w:tcPr>
          <w:p w14:paraId="62B68D0D" w14:textId="3DB7EA23"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nepoznat</w:t>
            </w:r>
            <w:r w:rsidR="00FD0F76" w:rsidRPr="00A613D6">
              <w:rPr>
                <w:rFonts w:eastAsia="Calibri"/>
                <w:sz w:val="22"/>
                <w:szCs w:val="22"/>
                <w:lang w:val="sr-Latn-ME"/>
              </w:rPr>
              <w:t>o</w:t>
            </w:r>
          </w:p>
        </w:tc>
      </w:tr>
      <w:tr w:rsidR="00957061" w:rsidRPr="00A613D6" w14:paraId="124F60B6" w14:textId="77777777" w:rsidTr="009A00AA">
        <w:tc>
          <w:tcPr>
            <w:tcW w:w="3181" w:type="dxa"/>
            <w:vMerge w:val="restart"/>
            <w:shd w:val="clear" w:color="auto" w:fill="auto"/>
          </w:tcPr>
          <w:p w14:paraId="1EEFD7B1"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Psihijatrijski poremećaji</w:t>
            </w:r>
          </w:p>
        </w:tc>
        <w:tc>
          <w:tcPr>
            <w:tcW w:w="3182" w:type="dxa"/>
            <w:shd w:val="clear" w:color="auto" w:fill="auto"/>
          </w:tcPr>
          <w:p w14:paraId="72325479"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nesanica</w:t>
            </w:r>
          </w:p>
        </w:tc>
        <w:tc>
          <w:tcPr>
            <w:tcW w:w="3182" w:type="dxa"/>
            <w:shd w:val="clear" w:color="auto" w:fill="auto"/>
          </w:tcPr>
          <w:p w14:paraId="0FDFA87C"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77F0ADCC" w14:textId="77777777" w:rsidTr="009A00AA">
        <w:tc>
          <w:tcPr>
            <w:tcW w:w="3181" w:type="dxa"/>
            <w:vMerge/>
            <w:shd w:val="clear" w:color="auto" w:fill="auto"/>
          </w:tcPr>
          <w:p w14:paraId="0A3DDA6C" w14:textId="77777777" w:rsidR="00957061" w:rsidRPr="00A613D6" w:rsidRDefault="00957061" w:rsidP="008706C5">
            <w:pPr>
              <w:contextualSpacing/>
              <w:jc w:val="both"/>
              <w:rPr>
                <w:rFonts w:eastAsia="Calibri"/>
                <w:b/>
                <w:i/>
                <w:sz w:val="22"/>
                <w:szCs w:val="22"/>
                <w:lang w:val="sr-Latn-ME"/>
              </w:rPr>
            </w:pPr>
          </w:p>
        </w:tc>
        <w:tc>
          <w:tcPr>
            <w:tcW w:w="3182" w:type="dxa"/>
            <w:shd w:val="clear" w:color="auto" w:fill="auto"/>
          </w:tcPr>
          <w:p w14:paraId="01F10C79"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uznemirenost, zbunjenost, depresija</w:t>
            </w:r>
          </w:p>
        </w:tc>
        <w:tc>
          <w:tcPr>
            <w:tcW w:w="3182" w:type="dxa"/>
            <w:shd w:val="clear" w:color="auto" w:fill="auto"/>
          </w:tcPr>
          <w:p w14:paraId="17782A05"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079FF52C" w14:textId="77777777" w:rsidTr="009A00AA">
        <w:tc>
          <w:tcPr>
            <w:tcW w:w="3181" w:type="dxa"/>
            <w:vMerge/>
            <w:shd w:val="clear" w:color="auto" w:fill="auto"/>
          </w:tcPr>
          <w:p w14:paraId="674873DA" w14:textId="77777777" w:rsidR="00957061" w:rsidRPr="00A613D6" w:rsidRDefault="00957061" w:rsidP="008706C5">
            <w:pPr>
              <w:contextualSpacing/>
              <w:jc w:val="both"/>
              <w:rPr>
                <w:rFonts w:eastAsia="Calibri"/>
                <w:b/>
                <w:i/>
                <w:sz w:val="22"/>
                <w:szCs w:val="22"/>
                <w:lang w:val="sr-Latn-ME"/>
              </w:rPr>
            </w:pPr>
          </w:p>
        </w:tc>
        <w:tc>
          <w:tcPr>
            <w:tcW w:w="3182" w:type="dxa"/>
            <w:shd w:val="clear" w:color="auto" w:fill="auto"/>
          </w:tcPr>
          <w:p w14:paraId="61915F10"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agresivnost, halucinacije</w:t>
            </w:r>
          </w:p>
        </w:tc>
        <w:tc>
          <w:tcPr>
            <w:tcW w:w="3182" w:type="dxa"/>
            <w:shd w:val="clear" w:color="auto" w:fill="auto"/>
          </w:tcPr>
          <w:p w14:paraId="37BFC0AD"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p w14:paraId="20F8E618" w14:textId="528AF402" w:rsidR="0021428F" w:rsidRPr="00A613D6" w:rsidRDefault="0021428F" w:rsidP="008706C5">
            <w:pPr>
              <w:contextualSpacing/>
              <w:jc w:val="both"/>
              <w:rPr>
                <w:rFonts w:eastAsia="Calibri"/>
                <w:sz w:val="22"/>
                <w:szCs w:val="22"/>
                <w:lang w:val="sr-Latn-ME"/>
              </w:rPr>
            </w:pPr>
          </w:p>
        </w:tc>
      </w:tr>
      <w:tr w:rsidR="00957061" w:rsidRPr="00A613D6" w14:paraId="0C0E6C5C" w14:textId="77777777" w:rsidTr="009A00AA">
        <w:tc>
          <w:tcPr>
            <w:tcW w:w="3181" w:type="dxa"/>
            <w:shd w:val="clear" w:color="auto" w:fill="auto"/>
          </w:tcPr>
          <w:p w14:paraId="1E8D5348"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nervnog sistema</w:t>
            </w:r>
          </w:p>
        </w:tc>
        <w:tc>
          <w:tcPr>
            <w:tcW w:w="3182" w:type="dxa"/>
            <w:shd w:val="clear" w:color="auto" w:fill="auto"/>
          </w:tcPr>
          <w:p w14:paraId="2EC0B0C6"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glavobolja</w:t>
            </w:r>
          </w:p>
        </w:tc>
        <w:tc>
          <w:tcPr>
            <w:tcW w:w="3182" w:type="dxa"/>
            <w:shd w:val="clear" w:color="auto" w:fill="auto"/>
          </w:tcPr>
          <w:p w14:paraId="314A5793"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često</w:t>
            </w:r>
          </w:p>
        </w:tc>
      </w:tr>
      <w:tr w:rsidR="00957061" w:rsidRPr="00A613D6" w14:paraId="45B25517" w14:textId="77777777" w:rsidTr="009A00AA">
        <w:tc>
          <w:tcPr>
            <w:tcW w:w="3181" w:type="dxa"/>
            <w:vMerge w:val="restart"/>
            <w:shd w:val="clear" w:color="auto" w:fill="auto"/>
          </w:tcPr>
          <w:p w14:paraId="205FC39D" w14:textId="77777777" w:rsidR="00957061" w:rsidRPr="00A613D6" w:rsidRDefault="00957061" w:rsidP="008706C5">
            <w:pPr>
              <w:contextualSpacing/>
              <w:jc w:val="both"/>
              <w:rPr>
                <w:rFonts w:eastAsia="Calibri"/>
                <w:sz w:val="22"/>
                <w:szCs w:val="22"/>
                <w:lang w:val="sr-Latn-ME"/>
              </w:rPr>
            </w:pPr>
          </w:p>
        </w:tc>
        <w:tc>
          <w:tcPr>
            <w:tcW w:w="3182" w:type="dxa"/>
            <w:shd w:val="clear" w:color="auto" w:fill="auto"/>
          </w:tcPr>
          <w:p w14:paraId="14E02EBC"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vrtoglavica, parestezija, pospanost</w:t>
            </w:r>
          </w:p>
        </w:tc>
        <w:tc>
          <w:tcPr>
            <w:tcW w:w="3182" w:type="dxa"/>
            <w:shd w:val="clear" w:color="auto" w:fill="auto"/>
          </w:tcPr>
          <w:p w14:paraId="776DADD2"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45E73A7B" w14:textId="77777777" w:rsidTr="009A00AA">
        <w:tc>
          <w:tcPr>
            <w:tcW w:w="3181" w:type="dxa"/>
            <w:vMerge/>
            <w:shd w:val="clear" w:color="auto" w:fill="auto"/>
          </w:tcPr>
          <w:p w14:paraId="65771A50" w14:textId="77777777" w:rsidR="00957061" w:rsidRPr="00A613D6" w:rsidRDefault="00957061" w:rsidP="008706C5">
            <w:pPr>
              <w:contextualSpacing/>
              <w:jc w:val="both"/>
              <w:rPr>
                <w:rFonts w:eastAsia="Calibri"/>
                <w:sz w:val="22"/>
                <w:szCs w:val="22"/>
                <w:lang w:val="sr-Latn-ME"/>
              </w:rPr>
            </w:pPr>
          </w:p>
        </w:tc>
        <w:tc>
          <w:tcPr>
            <w:tcW w:w="3182" w:type="dxa"/>
            <w:shd w:val="clear" w:color="auto" w:fill="auto"/>
          </w:tcPr>
          <w:p w14:paraId="2539496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poremećaj čula ukusa</w:t>
            </w:r>
          </w:p>
        </w:tc>
        <w:tc>
          <w:tcPr>
            <w:tcW w:w="3182" w:type="dxa"/>
            <w:shd w:val="clear" w:color="auto" w:fill="auto"/>
          </w:tcPr>
          <w:p w14:paraId="21C2B6B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2B3B17F6" w14:textId="77777777" w:rsidTr="009A00AA">
        <w:tc>
          <w:tcPr>
            <w:tcW w:w="3181" w:type="dxa"/>
            <w:shd w:val="clear" w:color="auto" w:fill="auto"/>
          </w:tcPr>
          <w:p w14:paraId="52BB5188"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oka</w:t>
            </w:r>
          </w:p>
        </w:tc>
        <w:tc>
          <w:tcPr>
            <w:tcW w:w="3182" w:type="dxa"/>
            <w:shd w:val="clear" w:color="auto" w:fill="auto"/>
          </w:tcPr>
          <w:p w14:paraId="7733A7DE"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zamućen vid</w:t>
            </w:r>
          </w:p>
        </w:tc>
        <w:tc>
          <w:tcPr>
            <w:tcW w:w="3182" w:type="dxa"/>
            <w:shd w:val="clear" w:color="auto" w:fill="auto"/>
          </w:tcPr>
          <w:p w14:paraId="13BBEB35"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0485BD00" w14:textId="77777777" w:rsidTr="009A00AA">
        <w:tc>
          <w:tcPr>
            <w:tcW w:w="3181" w:type="dxa"/>
            <w:shd w:val="clear" w:color="auto" w:fill="auto"/>
          </w:tcPr>
          <w:p w14:paraId="15130BB1" w14:textId="77777777" w:rsidR="00957061" w:rsidRPr="00A613D6" w:rsidRDefault="00957061" w:rsidP="008706C5">
            <w:pPr>
              <w:contextualSpacing/>
              <w:jc w:val="both"/>
              <w:rPr>
                <w:rFonts w:eastAsia="Calibri"/>
                <w:sz w:val="22"/>
                <w:szCs w:val="22"/>
                <w:lang w:val="sr-Latn-ME"/>
              </w:rPr>
            </w:pPr>
            <w:r w:rsidRPr="00A613D6">
              <w:rPr>
                <w:rFonts w:eastAsia="Calibri"/>
                <w:b/>
                <w:sz w:val="22"/>
                <w:szCs w:val="22"/>
                <w:lang w:val="sr-Latn-ME"/>
              </w:rPr>
              <w:t>Poremećaji  uha i labirinta</w:t>
            </w:r>
          </w:p>
        </w:tc>
        <w:tc>
          <w:tcPr>
            <w:tcW w:w="3182" w:type="dxa"/>
            <w:shd w:val="clear" w:color="auto" w:fill="auto"/>
          </w:tcPr>
          <w:p w14:paraId="16B4382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vertigo</w:t>
            </w:r>
          </w:p>
        </w:tc>
        <w:tc>
          <w:tcPr>
            <w:tcW w:w="3182" w:type="dxa"/>
            <w:shd w:val="clear" w:color="auto" w:fill="auto"/>
          </w:tcPr>
          <w:p w14:paraId="1ADBFD01"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0C4B4272" w14:textId="77777777" w:rsidTr="009A00AA">
        <w:tc>
          <w:tcPr>
            <w:tcW w:w="3181" w:type="dxa"/>
            <w:shd w:val="clear" w:color="auto" w:fill="auto"/>
          </w:tcPr>
          <w:p w14:paraId="19B04DDE"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Respiratorni, torakalni i medijastinalni poremećaji</w:t>
            </w:r>
          </w:p>
        </w:tc>
        <w:tc>
          <w:tcPr>
            <w:tcW w:w="3182" w:type="dxa"/>
            <w:shd w:val="clear" w:color="auto" w:fill="auto"/>
          </w:tcPr>
          <w:p w14:paraId="1BA7FF37"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bronhospazam</w:t>
            </w:r>
          </w:p>
        </w:tc>
        <w:tc>
          <w:tcPr>
            <w:tcW w:w="3182" w:type="dxa"/>
            <w:shd w:val="clear" w:color="auto" w:fill="auto"/>
          </w:tcPr>
          <w:p w14:paraId="16F691FD"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7C00B168" w14:textId="77777777" w:rsidTr="009A00AA">
        <w:tc>
          <w:tcPr>
            <w:tcW w:w="3181" w:type="dxa"/>
            <w:vMerge w:val="restart"/>
            <w:shd w:val="clear" w:color="auto" w:fill="auto"/>
          </w:tcPr>
          <w:p w14:paraId="3E40D758"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Gastrointestinalni poremećaji</w:t>
            </w:r>
          </w:p>
        </w:tc>
        <w:tc>
          <w:tcPr>
            <w:tcW w:w="3182" w:type="dxa"/>
            <w:shd w:val="clear" w:color="auto" w:fill="auto"/>
          </w:tcPr>
          <w:p w14:paraId="58923331"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 xml:space="preserve">bol u abdomenu, opstipacija, dijareja, nadutost, </w:t>
            </w:r>
            <w:r w:rsidRPr="00A613D6">
              <w:rPr>
                <w:rFonts w:eastAsia="Calibri"/>
                <w:sz w:val="22"/>
                <w:szCs w:val="22"/>
                <w:lang w:val="sr-Latn-ME"/>
              </w:rPr>
              <w:t>mučnina/povraćanje, polipi želuca (benigni)</w:t>
            </w:r>
          </w:p>
        </w:tc>
        <w:tc>
          <w:tcPr>
            <w:tcW w:w="3182" w:type="dxa"/>
            <w:shd w:val="clear" w:color="auto" w:fill="auto"/>
          </w:tcPr>
          <w:p w14:paraId="7BC2D20A"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često</w:t>
            </w:r>
          </w:p>
        </w:tc>
      </w:tr>
      <w:tr w:rsidR="00957061" w:rsidRPr="00A613D6" w14:paraId="64AEA835" w14:textId="77777777" w:rsidTr="009A00AA">
        <w:tc>
          <w:tcPr>
            <w:tcW w:w="3181" w:type="dxa"/>
            <w:vMerge/>
            <w:shd w:val="clear" w:color="auto" w:fill="auto"/>
          </w:tcPr>
          <w:p w14:paraId="41A2D2A6"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1E780B7D"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suvoća usta, stomatitis, gastrointestinalna kandidijaza</w:t>
            </w:r>
          </w:p>
        </w:tc>
        <w:tc>
          <w:tcPr>
            <w:tcW w:w="3182" w:type="dxa"/>
            <w:shd w:val="clear" w:color="auto" w:fill="auto"/>
          </w:tcPr>
          <w:p w14:paraId="7E5D8470"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6D605F32" w14:textId="77777777" w:rsidTr="009A00AA">
        <w:tc>
          <w:tcPr>
            <w:tcW w:w="3181" w:type="dxa"/>
            <w:vMerge/>
            <w:shd w:val="clear" w:color="auto" w:fill="auto"/>
          </w:tcPr>
          <w:p w14:paraId="1B77EC45"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62AFE5EF"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mikroskopski kolitis</w:t>
            </w:r>
          </w:p>
        </w:tc>
        <w:tc>
          <w:tcPr>
            <w:tcW w:w="3182" w:type="dxa"/>
            <w:shd w:val="clear" w:color="auto" w:fill="auto"/>
          </w:tcPr>
          <w:p w14:paraId="1114FDFC" w14:textId="539E2472"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nepoznat</w:t>
            </w:r>
            <w:r w:rsidR="00FD0F76" w:rsidRPr="00A613D6">
              <w:rPr>
                <w:rFonts w:eastAsia="Calibri"/>
                <w:sz w:val="22"/>
                <w:szCs w:val="22"/>
                <w:lang w:val="sr-Latn-ME"/>
              </w:rPr>
              <w:t>o</w:t>
            </w:r>
          </w:p>
        </w:tc>
      </w:tr>
      <w:tr w:rsidR="00957061" w:rsidRPr="00A613D6" w14:paraId="6BC2466D" w14:textId="77777777" w:rsidTr="009A00AA">
        <w:tc>
          <w:tcPr>
            <w:tcW w:w="3181" w:type="dxa"/>
            <w:vMerge w:val="restart"/>
            <w:shd w:val="clear" w:color="auto" w:fill="auto"/>
          </w:tcPr>
          <w:p w14:paraId="2530F947"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Hepatobilijarni poremećaji</w:t>
            </w:r>
          </w:p>
        </w:tc>
        <w:tc>
          <w:tcPr>
            <w:tcW w:w="3182" w:type="dxa"/>
            <w:shd w:val="clear" w:color="auto" w:fill="auto"/>
          </w:tcPr>
          <w:p w14:paraId="62D7D2DC"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povišen nivo enzima jetre</w:t>
            </w:r>
          </w:p>
        </w:tc>
        <w:tc>
          <w:tcPr>
            <w:tcW w:w="3182" w:type="dxa"/>
            <w:shd w:val="clear" w:color="auto" w:fill="auto"/>
          </w:tcPr>
          <w:p w14:paraId="0CC1395C"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13D91894" w14:textId="77777777" w:rsidTr="009A00AA">
        <w:tc>
          <w:tcPr>
            <w:tcW w:w="3181" w:type="dxa"/>
            <w:vMerge/>
            <w:shd w:val="clear" w:color="auto" w:fill="auto"/>
          </w:tcPr>
          <w:p w14:paraId="1714B2CB"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101BDE81"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hepatitis bez žutice ili praćen žuticom</w:t>
            </w:r>
          </w:p>
        </w:tc>
        <w:tc>
          <w:tcPr>
            <w:tcW w:w="3182" w:type="dxa"/>
            <w:shd w:val="clear" w:color="auto" w:fill="auto"/>
          </w:tcPr>
          <w:p w14:paraId="1833BCA7"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53AA2AD4" w14:textId="77777777" w:rsidTr="009A00AA">
        <w:tc>
          <w:tcPr>
            <w:tcW w:w="3181" w:type="dxa"/>
            <w:vMerge/>
            <w:shd w:val="clear" w:color="auto" w:fill="auto"/>
          </w:tcPr>
          <w:p w14:paraId="0A90AB4D"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6B087207"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insuficijencija jetre, encefalopatija kod već postojeće bolesti jetre</w:t>
            </w:r>
          </w:p>
        </w:tc>
        <w:tc>
          <w:tcPr>
            <w:tcW w:w="3182" w:type="dxa"/>
            <w:shd w:val="clear" w:color="auto" w:fill="auto"/>
          </w:tcPr>
          <w:p w14:paraId="3E0B5434"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1B1A5AB3" w14:textId="77777777" w:rsidTr="009A00AA">
        <w:tc>
          <w:tcPr>
            <w:tcW w:w="3181" w:type="dxa"/>
            <w:vMerge w:val="restart"/>
            <w:shd w:val="clear" w:color="auto" w:fill="auto"/>
          </w:tcPr>
          <w:p w14:paraId="4239DBFC"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Poremećaji kože i potkožnog tkiva</w:t>
            </w:r>
          </w:p>
        </w:tc>
        <w:tc>
          <w:tcPr>
            <w:tcW w:w="3182" w:type="dxa"/>
            <w:shd w:val="clear" w:color="auto" w:fill="auto"/>
          </w:tcPr>
          <w:p w14:paraId="40B92BA3"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dermatitis, pruritus, osip, urtikarija</w:t>
            </w:r>
          </w:p>
        </w:tc>
        <w:tc>
          <w:tcPr>
            <w:tcW w:w="3182" w:type="dxa"/>
            <w:shd w:val="clear" w:color="auto" w:fill="auto"/>
          </w:tcPr>
          <w:p w14:paraId="1ACBE4EF"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16984C5F" w14:textId="77777777" w:rsidTr="009A00AA">
        <w:tc>
          <w:tcPr>
            <w:tcW w:w="3181" w:type="dxa"/>
            <w:vMerge/>
            <w:shd w:val="clear" w:color="auto" w:fill="auto"/>
          </w:tcPr>
          <w:p w14:paraId="5D164F81"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3BF4F6D5"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alopecija, fotosenzitivnost</w:t>
            </w:r>
          </w:p>
        </w:tc>
        <w:tc>
          <w:tcPr>
            <w:tcW w:w="3182" w:type="dxa"/>
            <w:shd w:val="clear" w:color="auto" w:fill="auto"/>
          </w:tcPr>
          <w:p w14:paraId="3FAE2398"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4581DE40" w14:textId="77777777" w:rsidTr="009A00AA">
        <w:tc>
          <w:tcPr>
            <w:tcW w:w="3181" w:type="dxa"/>
            <w:vMerge/>
            <w:shd w:val="clear" w:color="auto" w:fill="auto"/>
          </w:tcPr>
          <w:p w14:paraId="6BB69D4B"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57BD3CB5" w14:textId="77777777" w:rsidR="00957061" w:rsidRPr="00A613D6" w:rsidRDefault="00957061" w:rsidP="008706C5">
            <w:pPr>
              <w:contextualSpacing/>
              <w:jc w:val="both"/>
              <w:rPr>
                <w:rFonts w:eastAsia="Calibri"/>
                <w:sz w:val="22"/>
                <w:szCs w:val="22"/>
                <w:lang w:val="sr-Latn-ME"/>
              </w:rPr>
            </w:pPr>
            <w:r w:rsidRPr="00A613D6">
              <w:rPr>
                <w:rFonts w:eastAsia="Calibri"/>
                <w:color w:val="000000"/>
                <w:sz w:val="22"/>
                <w:szCs w:val="22"/>
                <w:lang w:val="sr-Latn-ME"/>
              </w:rPr>
              <w:t xml:space="preserve">multiformni eritem, </w:t>
            </w:r>
            <w:r w:rsidRPr="00A613D6">
              <w:rPr>
                <w:rFonts w:eastAsia="Calibri"/>
                <w:i/>
                <w:color w:val="000000"/>
                <w:sz w:val="22"/>
                <w:szCs w:val="22"/>
                <w:lang w:val="sr-Latn-ME"/>
              </w:rPr>
              <w:t xml:space="preserve">Stevens-Johnsonov </w:t>
            </w:r>
            <w:r w:rsidRPr="00A613D6">
              <w:rPr>
                <w:rFonts w:eastAsia="Calibri"/>
                <w:color w:val="000000"/>
                <w:sz w:val="22"/>
                <w:szCs w:val="22"/>
                <w:lang w:val="sr-Latn-ME"/>
              </w:rPr>
              <w:t>sindrom, toksična epidermalna nekroliza (TEN)</w:t>
            </w:r>
          </w:p>
        </w:tc>
        <w:tc>
          <w:tcPr>
            <w:tcW w:w="3182" w:type="dxa"/>
            <w:shd w:val="clear" w:color="auto" w:fill="auto"/>
          </w:tcPr>
          <w:p w14:paraId="11CECC57"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0C28084E" w14:textId="77777777" w:rsidTr="009A00AA">
        <w:tc>
          <w:tcPr>
            <w:tcW w:w="3181" w:type="dxa"/>
            <w:vMerge/>
            <w:shd w:val="clear" w:color="auto" w:fill="auto"/>
          </w:tcPr>
          <w:p w14:paraId="22382361" w14:textId="77777777" w:rsidR="00957061" w:rsidRPr="00A613D6" w:rsidRDefault="00957061" w:rsidP="008706C5">
            <w:pPr>
              <w:contextualSpacing/>
              <w:jc w:val="both"/>
              <w:rPr>
                <w:rFonts w:eastAsia="Calibri"/>
                <w:b/>
                <w:sz w:val="22"/>
                <w:szCs w:val="22"/>
                <w:lang w:val="sr-Latn-ME"/>
              </w:rPr>
            </w:pPr>
          </w:p>
        </w:tc>
        <w:tc>
          <w:tcPr>
            <w:tcW w:w="3182" w:type="dxa"/>
            <w:shd w:val="clear" w:color="auto" w:fill="auto"/>
          </w:tcPr>
          <w:p w14:paraId="5EB209D1" w14:textId="3B660B3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subakutni kutani lupus eritematozus (vid</w:t>
            </w:r>
            <w:r w:rsidR="00DA4684" w:rsidRPr="00A613D6">
              <w:rPr>
                <w:rFonts w:eastAsia="Calibri"/>
                <w:color w:val="000000"/>
                <w:sz w:val="22"/>
                <w:szCs w:val="22"/>
                <w:lang w:val="sr-Latn-ME"/>
              </w:rPr>
              <w:t>j</w:t>
            </w:r>
            <w:r w:rsidRPr="00A613D6">
              <w:rPr>
                <w:rFonts w:eastAsia="Calibri"/>
                <w:color w:val="000000"/>
                <w:sz w:val="22"/>
                <w:szCs w:val="22"/>
                <w:lang w:val="sr-Latn-ME"/>
              </w:rPr>
              <w:t xml:space="preserve">eti </w:t>
            </w:r>
            <w:r w:rsidR="00FD0F76" w:rsidRPr="00A613D6">
              <w:rPr>
                <w:rFonts w:eastAsia="Calibri"/>
                <w:color w:val="000000"/>
                <w:sz w:val="22"/>
                <w:szCs w:val="22"/>
                <w:lang w:val="sr-Latn-ME"/>
              </w:rPr>
              <w:t xml:space="preserve">dio </w:t>
            </w:r>
            <w:r w:rsidRPr="00A613D6">
              <w:rPr>
                <w:rFonts w:eastAsia="Calibri"/>
                <w:color w:val="000000"/>
                <w:sz w:val="22"/>
                <w:szCs w:val="22"/>
                <w:lang w:val="sr-Latn-ME"/>
              </w:rPr>
              <w:t>4.4)</w:t>
            </w:r>
          </w:p>
        </w:tc>
        <w:tc>
          <w:tcPr>
            <w:tcW w:w="3182" w:type="dxa"/>
            <w:shd w:val="clear" w:color="auto" w:fill="auto"/>
          </w:tcPr>
          <w:p w14:paraId="6F2F7F00" w14:textId="54C90B34"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nepoznat</w:t>
            </w:r>
            <w:r w:rsidR="00FD0F76" w:rsidRPr="00A613D6">
              <w:rPr>
                <w:rFonts w:eastAsia="Calibri"/>
                <w:sz w:val="22"/>
                <w:szCs w:val="22"/>
                <w:lang w:val="sr-Latn-ME"/>
              </w:rPr>
              <w:t>o</w:t>
            </w:r>
          </w:p>
        </w:tc>
      </w:tr>
      <w:tr w:rsidR="00957061" w:rsidRPr="00A613D6" w14:paraId="483AB26C" w14:textId="77777777" w:rsidTr="009A00AA">
        <w:tc>
          <w:tcPr>
            <w:tcW w:w="3181" w:type="dxa"/>
            <w:shd w:val="clear" w:color="auto" w:fill="auto"/>
          </w:tcPr>
          <w:p w14:paraId="76D361FD" w14:textId="77777777" w:rsidR="00957061" w:rsidRPr="00A613D6" w:rsidRDefault="00957061" w:rsidP="008706C5">
            <w:pPr>
              <w:contextualSpacing/>
              <w:jc w:val="both"/>
              <w:rPr>
                <w:rFonts w:eastAsia="Calibri"/>
                <w:b/>
                <w:sz w:val="22"/>
                <w:szCs w:val="22"/>
                <w:lang w:val="sr-Latn-ME"/>
              </w:rPr>
            </w:pPr>
            <w:r w:rsidRPr="00A613D6">
              <w:rPr>
                <w:rFonts w:eastAsia="Calibri"/>
                <w:b/>
                <w:sz w:val="22"/>
                <w:szCs w:val="22"/>
                <w:lang w:val="sr-Latn-ME"/>
              </w:rPr>
              <w:t>Poremećaji bubrega i urinarnog sistema</w:t>
            </w:r>
          </w:p>
        </w:tc>
        <w:tc>
          <w:tcPr>
            <w:tcW w:w="3182" w:type="dxa"/>
            <w:shd w:val="clear" w:color="auto" w:fill="auto"/>
          </w:tcPr>
          <w:p w14:paraId="266315F5" w14:textId="7A3A2B12" w:rsidR="00957061" w:rsidRPr="00A613D6" w:rsidRDefault="00974D50" w:rsidP="008706C5">
            <w:pPr>
              <w:contextualSpacing/>
              <w:jc w:val="both"/>
              <w:rPr>
                <w:rFonts w:eastAsia="Calibri"/>
                <w:sz w:val="22"/>
                <w:szCs w:val="22"/>
                <w:lang w:val="sr-Latn-ME"/>
              </w:rPr>
            </w:pPr>
            <w:r w:rsidRPr="00A613D6">
              <w:rPr>
                <w:rFonts w:eastAsia="Calibri"/>
                <w:color w:val="000000"/>
                <w:sz w:val="22"/>
                <w:szCs w:val="22"/>
                <w:lang w:val="sr-Latn-ME"/>
              </w:rPr>
              <w:t>Tubulo</w:t>
            </w:r>
            <w:r w:rsidR="00957061" w:rsidRPr="00A613D6">
              <w:rPr>
                <w:rFonts w:eastAsia="Calibri"/>
                <w:color w:val="000000"/>
                <w:sz w:val="22"/>
                <w:szCs w:val="22"/>
                <w:lang w:val="sr-Latn-ME"/>
              </w:rPr>
              <w:t>intersticijalni nefritis</w:t>
            </w:r>
            <w:r w:rsidRPr="00A613D6">
              <w:rPr>
                <w:rFonts w:eastAsia="Calibri"/>
                <w:color w:val="000000"/>
                <w:sz w:val="22"/>
                <w:szCs w:val="22"/>
                <w:lang w:val="sr-Latn-ME"/>
              </w:rPr>
              <w:t xml:space="preserve"> (sa mogućom progresijom do bubrežne insuficijencije)</w:t>
            </w:r>
          </w:p>
        </w:tc>
        <w:tc>
          <w:tcPr>
            <w:tcW w:w="3182" w:type="dxa"/>
            <w:shd w:val="clear" w:color="auto" w:fill="auto"/>
          </w:tcPr>
          <w:p w14:paraId="424E12F9"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60970C85" w14:textId="77777777" w:rsidTr="009A00AA">
        <w:tc>
          <w:tcPr>
            <w:tcW w:w="3181" w:type="dxa"/>
            <w:vMerge w:val="restart"/>
            <w:shd w:val="clear" w:color="auto" w:fill="auto"/>
          </w:tcPr>
          <w:p w14:paraId="0EDBBC85" w14:textId="77777777" w:rsidR="00957061" w:rsidRPr="00A613D6" w:rsidRDefault="00957061" w:rsidP="008706C5">
            <w:pPr>
              <w:contextualSpacing/>
              <w:jc w:val="both"/>
              <w:rPr>
                <w:rFonts w:eastAsia="Calibri"/>
                <w:b/>
                <w:sz w:val="22"/>
                <w:szCs w:val="22"/>
                <w:lang w:val="sr-Latn-ME"/>
              </w:rPr>
            </w:pPr>
            <w:r w:rsidRPr="00A613D6">
              <w:rPr>
                <w:rFonts w:eastAsia="Calibri"/>
                <w:b/>
                <w:bCs/>
                <w:color w:val="000000"/>
                <w:sz w:val="22"/>
                <w:szCs w:val="22"/>
                <w:lang w:val="sr-Latn-ME"/>
              </w:rPr>
              <w:t>Poremećaji mišićno-skeletnog i vezivnog tkiva</w:t>
            </w:r>
          </w:p>
        </w:tc>
        <w:tc>
          <w:tcPr>
            <w:tcW w:w="3182" w:type="dxa"/>
            <w:shd w:val="clear" w:color="auto" w:fill="auto"/>
          </w:tcPr>
          <w:p w14:paraId="1EDBE148"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prelomi kuka, ručnog zgloba ili kičme</w:t>
            </w:r>
          </w:p>
        </w:tc>
        <w:tc>
          <w:tcPr>
            <w:tcW w:w="3182" w:type="dxa"/>
            <w:shd w:val="clear" w:color="auto" w:fill="auto"/>
          </w:tcPr>
          <w:p w14:paraId="745E4C03"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6B0877AE" w14:textId="77777777" w:rsidTr="009A00AA">
        <w:tc>
          <w:tcPr>
            <w:tcW w:w="3181" w:type="dxa"/>
            <w:vMerge/>
            <w:shd w:val="clear" w:color="auto" w:fill="auto"/>
          </w:tcPr>
          <w:p w14:paraId="1DC826DB" w14:textId="77777777" w:rsidR="00957061" w:rsidRPr="00A613D6" w:rsidRDefault="00957061" w:rsidP="008706C5">
            <w:pPr>
              <w:contextualSpacing/>
              <w:jc w:val="both"/>
              <w:rPr>
                <w:rFonts w:eastAsia="Calibri"/>
                <w:b/>
                <w:i/>
                <w:sz w:val="22"/>
                <w:szCs w:val="22"/>
                <w:lang w:val="sr-Latn-ME"/>
              </w:rPr>
            </w:pPr>
          </w:p>
        </w:tc>
        <w:tc>
          <w:tcPr>
            <w:tcW w:w="3182" w:type="dxa"/>
            <w:shd w:val="clear" w:color="auto" w:fill="auto"/>
          </w:tcPr>
          <w:p w14:paraId="22875F8D"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artralgija, mijalgija</w:t>
            </w:r>
          </w:p>
        </w:tc>
        <w:tc>
          <w:tcPr>
            <w:tcW w:w="3182" w:type="dxa"/>
            <w:shd w:val="clear" w:color="auto" w:fill="auto"/>
          </w:tcPr>
          <w:p w14:paraId="3E695C58"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r w:rsidR="00957061" w:rsidRPr="00A613D6" w14:paraId="06FE37D0" w14:textId="77777777" w:rsidTr="009A00AA">
        <w:tc>
          <w:tcPr>
            <w:tcW w:w="3181" w:type="dxa"/>
            <w:vMerge/>
            <w:shd w:val="clear" w:color="auto" w:fill="auto"/>
          </w:tcPr>
          <w:p w14:paraId="3EE434A3" w14:textId="77777777" w:rsidR="00957061" w:rsidRPr="00A613D6" w:rsidRDefault="00957061" w:rsidP="008706C5">
            <w:pPr>
              <w:contextualSpacing/>
              <w:jc w:val="both"/>
              <w:rPr>
                <w:rFonts w:eastAsia="Calibri"/>
                <w:b/>
                <w:i/>
                <w:sz w:val="22"/>
                <w:szCs w:val="22"/>
                <w:lang w:val="sr-Latn-ME"/>
              </w:rPr>
            </w:pPr>
          </w:p>
        </w:tc>
        <w:tc>
          <w:tcPr>
            <w:tcW w:w="3182" w:type="dxa"/>
            <w:shd w:val="clear" w:color="auto" w:fill="auto"/>
          </w:tcPr>
          <w:p w14:paraId="53C436BE"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mišićna slabost</w:t>
            </w:r>
          </w:p>
        </w:tc>
        <w:tc>
          <w:tcPr>
            <w:tcW w:w="3182" w:type="dxa"/>
            <w:shd w:val="clear" w:color="auto" w:fill="auto"/>
          </w:tcPr>
          <w:p w14:paraId="2974F596"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43E1B4B5" w14:textId="77777777" w:rsidTr="009A00AA">
        <w:tc>
          <w:tcPr>
            <w:tcW w:w="3181" w:type="dxa"/>
            <w:shd w:val="clear" w:color="auto" w:fill="auto"/>
          </w:tcPr>
          <w:p w14:paraId="61AFE281" w14:textId="77777777" w:rsidR="00957061" w:rsidRPr="00A613D6" w:rsidRDefault="00957061" w:rsidP="008706C5">
            <w:pPr>
              <w:contextualSpacing/>
              <w:jc w:val="both"/>
              <w:rPr>
                <w:rFonts w:eastAsia="Calibri"/>
                <w:b/>
                <w:sz w:val="22"/>
                <w:szCs w:val="22"/>
                <w:lang w:val="sr-Latn-ME"/>
              </w:rPr>
            </w:pPr>
            <w:r w:rsidRPr="00A613D6">
              <w:rPr>
                <w:rFonts w:eastAsia="Calibri"/>
                <w:b/>
                <w:bCs/>
                <w:color w:val="000000"/>
                <w:sz w:val="22"/>
                <w:szCs w:val="22"/>
                <w:lang w:val="sr-Latn-ME"/>
              </w:rPr>
              <w:t>Poremećaji reproduktivnog sistema i dojki</w:t>
            </w:r>
          </w:p>
        </w:tc>
        <w:tc>
          <w:tcPr>
            <w:tcW w:w="3182" w:type="dxa"/>
            <w:shd w:val="clear" w:color="auto" w:fill="auto"/>
          </w:tcPr>
          <w:p w14:paraId="339154B1"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ginekomastija</w:t>
            </w:r>
          </w:p>
        </w:tc>
        <w:tc>
          <w:tcPr>
            <w:tcW w:w="3182" w:type="dxa"/>
            <w:shd w:val="clear" w:color="auto" w:fill="auto"/>
          </w:tcPr>
          <w:p w14:paraId="696ADE5E"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veoma rijetko</w:t>
            </w:r>
          </w:p>
        </w:tc>
      </w:tr>
      <w:tr w:rsidR="00957061" w:rsidRPr="00A613D6" w14:paraId="62917A89" w14:textId="77777777" w:rsidTr="009A00AA">
        <w:tc>
          <w:tcPr>
            <w:tcW w:w="3181" w:type="dxa"/>
            <w:vMerge w:val="restart"/>
            <w:shd w:val="clear" w:color="auto" w:fill="auto"/>
          </w:tcPr>
          <w:p w14:paraId="44DE678F" w14:textId="1E84FBFF" w:rsidR="00957061" w:rsidRPr="00A613D6" w:rsidRDefault="00957061" w:rsidP="008706C5">
            <w:pPr>
              <w:contextualSpacing/>
              <w:jc w:val="both"/>
              <w:rPr>
                <w:rFonts w:eastAsia="Calibri"/>
                <w:b/>
                <w:sz w:val="22"/>
                <w:szCs w:val="22"/>
                <w:lang w:val="sr-Latn-ME"/>
              </w:rPr>
            </w:pPr>
            <w:r w:rsidRPr="00A613D6">
              <w:rPr>
                <w:rFonts w:eastAsia="Calibri"/>
                <w:b/>
                <w:bCs/>
                <w:color w:val="000000"/>
                <w:sz w:val="22"/>
                <w:szCs w:val="22"/>
                <w:lang w:val="sr-Latn-ME"/>
              </w:rPr>
              <w:t>Opšti poremećaji i reakcije na m</w:t>
            </w:r>
            <w:r w:rsidR="00BD6111" w:rsidRPr="00A613D6">
              <w:rPr>
                <w:rFonts w:eastAsia="Calibri"/>
                <w:b/>
                <w:bCs/>
                <w:color w:val="000000"/>
                <w:sz w:val="22"/>
                <w:szCs w:val="22"/>
                <w:lang w:val="sr-Latn-ME"/>
              </w:rPr>
              <w:t>j</w:t>
            </w:r>
            <w:r w:rsidRPr="00A613D6">
              <w:rPr>
                <w:rFonts w:eastAsia="Calibri"/>
                <w:b/>
                <w:bCs/>
                <w:color w:val="000000"/>
                <w:sz w:val="22"/>
                <w:szCs w:val="22"/>
                <w:lang w:val="sr-Latn-ME"/>
              </w:rPr>
              <w:t>estu primjene</w:t>
            </w:r>
          </w:p>
        </w:tc>
        <w:tc>
          <w:tcPr>
            <w:tcW w:w="3182" w:type="dxa"/>
            <w:shd w:val="clear" w:color="auto" w:fill="auto"/>
          </w:tcPr>
          <w:p w14:paraId="2337B0B1"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malaksalost, periferni edem</w:t>
            </w:r>
          </w:p>
        </w:tc>
        <w:tc>
          <w:tcPr>
            <w:tcW w:w="3182" w:type="dxa"/>
            <w:shd w:val="clear" w:color="auto" w:fill="auto"/>
          </w:tcPr>
          <w:p w14:paraId="2A8244AD"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povremeno</w:t>
            </w:r>
          </w:p>
        </w:tc>
      </w:tr>
      <w:tr w:rsidR="00957061" w:rsidRPr="00A613D6" w14:paraId="4234B0A7" w14:textId="77777777" w:rsidTr="009A00AA">
        <w:tc>
          <w:tcPr>
            <w:tcW w:w="3181" w:type="dxa"/>
            <w:vMerge/>
            <w:shd w:val="clear" w:color="auto" w:fill="auto"/>
          </w:tcPr>
          <w:p w14:paraId="0216C3DF" w14:textId="77777777" w:rsidR="00957061" w:rsidRPr="00A613D6" w:rsidRDefault="00957061" w:rsidP="008706C5">
            <w:pPr>
              <w:contextualSpacing/>
              <w:jc w:val="both"/>
              <w:rPr>
                <w:rFonts w:eastAsia="Calibri"/>
                <w:b/>
                <w:i/>
                <w:sz w:val="22"/>
                <w:szCs w:val="22"/>
                <w:lang w:val="sr-Latn-ME"/>
              </w:rPr>
            </w:pPr>
          </w:p>
        </w:tc>
        <w:tc>
          <w:tcPr>
            <w:tcW w:w="3182" w:type="dxa"/>
            <w:shd w:val="clear" w:color="auto" w:fill="auto"/>
          </w:tcPr>
          <w:p w14:paraId="3E64FD48" w14:textId="77777777" w:rsidR="00957061" w:rsidRPr="00A613D6" w:rsidRDefault="00957061" w:rsidP="008706C5">
            <w:pPr>
              <w:contextualSpacing/>
              <w:jc w:val="both"/>
              <w:rPr>
                <w:rFonts w:eastAsia="Calibri"/>
                <w:color w:val="000000"/>
                <w:sz w:val="22"/>
                <w:szCs w:val="22"/>
                <w:lang w:val="sr-Latn-ME"/>
              </w:rPr>
            </w:pPr>
            <w:r w:rsidRPr="00A613D6">
              <w:rPr>
                <w:rFonts w:eastAsia="Calibri"/>
                <w:color w:val="000000"/>
                <w:sz w:val="22"/>
                <w:szCs w:val="22"/>
                <w:lang w:val="sr-Latn-ME"/>
              </w:rPr>
              <w:t>pojačano znojenje</w:t>
            </w:r>
          </w:p>
        </w:tc>
        <w:tc>
          <w:tcPr>
            <w:tcW w:w="3182" w:type="dxa"/>
            <w:shd w:val="clear" w:color="auto" w:fill="auto"/>
          </w:tcPr>
          <w:p w14:paraId="435580A2" w14:textId="77777777" w:rsidR="00957061" w:rsidRPr="00A613D6" w:rsidRDefault="00957061" w:rsidP="008706C5">
            <w:pPr>
              <w:contextualSpacing/>
              <w:jc w:val="both"/>
              <w:rPr>
                <w:rFonts w:eastAsia="Calibri"/>
                <w:sz w:val="22"/>
                <w:szCs w:val="22"/>
                <w:lang w:val="sr-Latn-ME"/>
              </w:rPr>
            </w:pPr>
            <w:r w:rsidRPr="00A613D6">
              <w:rPr>
                <w:rFonts w:eastAsia="Calibri"/>
                <w:sz w:val="22"/>
                <w:szCs w:val="22"/>
                <w:lang w:val="sr-Latn-ME"/>
              </w:rPr>
              <w:t>rijetko</w:t>
            </w:r>
          </w:p>
        </w:tc>
      </w:tr>
    </w:tbl>
    <w:p w14:paraId="7D83C2B6" w14:textId="77777777" w:rsidR="00957061" w:rsidRPr="00A613D6" w:rsidRDefault="00957061" w:rsidP="008706C5">
      <w:pPr>
        <w:spacing w:line="276" w:lineRule="auto"/>
        <w:jc w:val="both"/>
        <w:rPr>
          <w:rFonts w:eastAsia="Calibri"/>
          <w:sz w:val="22"/>
          <w:szCs w:val="22"/>
          <w:u w:val="single"/>
          <w:lang w:val="sr-Latn-ME"/>
        </w:rPr>
      </w:pPr>
    </w:p>
    <w:p w14:paraId="2C72A18F" w14:textId="77777777" w:rsidR="00D2073F" w:rsidRPr="008706C5" w:rsidRDefault="00D2073F" w:rsidP="008706C5">
      <w:pPr>
        <w:spacing w:after="200" w:line="276" w:lineRule="auto"/>
        <w:jc w:val="both"/>
        <w:rPr>
          <w:rFonts w:eastAsia="Calibri"/>
          <w:sz w:val="22"/>
          <w:szCs w:val="22"/>
          <w:u w:val="single"/>
          <w:lang w:val="sr-Latn-ME"/>
        </w:rPr>
      </w:pPr>
      <w:r w:rsidRPr="008706C5">
        <w:rPr>
          <w:rFonts w:eastAsia="Calibri"/>
          <w:sz w:val="22"/>
          <w:szCs w:val="22"/>
          <w:u w:val="single"/>
          <w:lang w:val="sr-Latn-ME"/>
        </w:rPr>
        <w:t>Prijavljivanje sumnji na neželjena dejstva</w:t>
      </w:r>
    </w:p>
    <w:p w14:paraId="44ACBAF9" w14:textId="77777777" w:rsidR="00D2073F" w:rsidRPr="008706C5" w:rsidRDefault="00D2073F">
      <w:pPr>
        <w:spacing w:after="200"/>
        <w:jc w:val="both"/>
        <w:rPr>
          <w:rFonts w:eastAsia="Calibri"/>
          <w:sz w:val="22"/>
          <w:szCs w:val="22"/>
          <w:lang w:val="sr-Latn-ME"/>
        </w:rPr>
      </w:pPr>
      <w:r w:rsidRPr="008706C5">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18DBBFF" w14:textId="77777777" w:rsidR="00D2073F" w:rsidRPr="008706C5" w:rsidRDefault="00D2073F">
      <w:pPr>
        <w:pStyle w:val="NoSpacing"/>
        <w:jc w:val="both"/>
        <w:rPr>
          <w:rFonts w:eastAsia="Calibri"/>
          <w:sz w:val="22"/>
          <w:szCs w:val="22"/>
          <w:lang w:val="sr-Latn-ME"/>
        </w:rPr>
      </w:pPr>
      <w:r w:rsidRPr="008706C5">
        <w:rPr>
          <w:rFonts w:eastAsia="Calibri"/>
          <w:sz w:val="22"/>
          <w:szCs w:val="22"/>
          <w:lang w:val="sr-Latn-ME"/>
        </w:rPr>
        <w:t xml:space="preserve">Institut za ljekove i medicinska sredstva </w:t>
      </w:r>
    </w:p>
    <w:p w14:paraId="257201CD" w14:textId="77777777" w:rsidR="00D2073F" w:rsidRPr="008706C5" w:rsidRDefault="00D2073F">
      <w:pPr>
        <w:pStyle w:val="NoSpacing"/>
        <w:jc w:val="both"/>
        <w:rPr>
          <w:rFonts w:eastAsia="Calibri"/>
          <w:sz w:val="22"/>
          <w:szCs w:val="22"/>
          <w:lang w:val="sr-Latn-ME"/>
        </w:rPr>
      </w:pPr>
      <w:r w:rsidRPr="008706C5">
        <w:rPr>
          <w:rFonts w:eastAsia="Calibri"/>
          <w:sz w:val="22"/>
          <w:szCs w:val="22"/>
          <w:lang w:val="sr-Latn-ME"/>
        </w:rPr>
        <w:t>Odjeljenje za farmakovigilancu</w:t>
      </w:r>
    </w:p>
    <w:p w14:paraId="21BBD8FC" w14:textId="77777777" w:rsidR="00D2073F" w:rsidRPr="008706C5" w:rsidRDefault="00D2073F">
      <w:pPr>
        <w:pStyle w:val="NoSpacing"/>
        <w:jc w:val="both"/>
        <w:rPr>
          <w:rFonts w:eastAsia="Calibri"/>
          <w:sz w:val="22"/>
          <w:szCs w:val="22"/>
          <w:lang w:val="sr-Latn-ME"/>
        </w:rPr>
      </w:pPr>
      <w:r w:rsidRPr="008706C5">
        <w:rPr>
          <w:rFonts w:eastAsia="Calibri"/>
          <w:sz w:val="22"/>
          <w:szCs w:val="22"/>
          <w:lang w:val="sr-Latn-ME"/>
        </w:rPr>
        <w:t>Bulevar Ivana Crnojevića 64a, 81000 Podgorica</w:t>
      </w:r>
    </w:p>
    <w:p w14:paraId="3E800846" w14:textId="77777777" w:rsidR="00D2073F" w:rsidRPr="008706C5" w:rsidRDefault="00D2073F" w:rsidP="008706C5">
      <w:pPr>
        <w:pStyle w:val="NoSpacing"/>
        <w:jc w:val="both"/>
        <w:rPr>
          <w:rFonts w:eastAsia="Calibri"/>
          <w:sz w:val="22"/>
          <w:szCs w:val="22"/>
          <w:lang w:val="sr-Latn-ME"/>
        </w:rPr>
      </w:pPr>
    </w:p>
    <w:p w14:paraId="50CA3F45" w14:textId="77777777" w:rsidR="00D2073F" w:rsidRPr="008706C5" w:rsidRDefault="00D2073F">
      <w:pPr>
        <w:pStyle w:val="NoSpacing"/>
        <w:jc w:val="both"/>
        <w:rPr>
          <w:rFonts w:eastAsia="Calibri"/>
          <w:sz w:val="22"/>
          <w:szCs w:val="22"/>
          <w:lang w:val="sr-Latn-ME"/>
        </w:rPr>
      </w:pPr>
      <w:r w:rsidRPr="008706C5">
        <w:rPr>
          <w:rFonts w:eastAsia="Calibri"/>
          <w:sz w:val="22"/>
          <w:szCs w:val="22"/>
          <w:lang w:val="sr-Latn-ME"/>
        </w:rPr>
        <w:t>tel: +382 (0) 20 310 280</w:t>
      </w:r>
    </w:p>
    <w:p w14:paraId="79EA0BBC" w14:textId="77777777" w:rsidR="00D2073F" w:rsidRPr="008706C5" w:rsidRDefault="00D2073F">
      <w:pPr>
        <w:pStyle w:val="NoSpacing"/>
        <w:tabs>
          <w:tab w:val="left" w:pos="6720"/>
        </w:tabs>
        <w:jc w:val="both"/>
        <w:rPr>
          <w:rFonts w:eastAsia="Calibri"/>
          <w:sz w:val="22"/>
          <w:szCs w:val="22"/>
          <w:lang w:val="sr-Latn-ME"/>
        </w:rPr>
      </w:pPr>
      <w:r w:rsidRPr="008706C5">
        <w:rPr>
          <w:rFonts w:eastAsia="Calibri"/>
          <w:sz w:val="22"/>
          <w:szCs w:val="22"/>
          <w:lang w:val="sr-Latn-ME"/>
        </w:rPr>
        <w:t>fax: +382 (0) 20 310 581</w:t>
      </w:r>
      <w:r w:rsidRPr="008706C5">
        <w:rPr>
          <w:rFonts w:eastAsia="Calibri"/>
          <w:sz w:val="22"/>
          <w:szCs w:val="22"/>
          <w:lang w:val="sr-Latn-ME"/>
        </w:rPr>
        <w:tab/>
      </w:r>
    </w:p>
    <w:p w14:paraId="22D12B0D" w14:textId="77777777" w:rsidR="00D2073F" w:rsidRPr="008706C5" w:rsidRDefault="00F94A82">
      <w:pPr>
        <w:pStyle w:val="NoSpacing"/>
        <w:jc w:val="both"/>
        <w:rPr>
          <w:rFonts w:eastAsia="Calibri"/>
          <w:sz w:val="22"/>
          <w:szCs w:val="22"/>
          <w:lang w:val="sr-Latn-ME"/>
        </w:rPr>
      </w:pPr>
      <w:hyperlink r:id="rId8" w:history="1">
        <w:r w:rsidR="00D2073F" w:rsidRPr="008706C5">
          <w:rPr>
            <w:rStyle w:val="Hyperlink"/>
            <w:rFonts w:eastAsia="Calibri"/>
            <w:sz w:val="22"/>
            <w:szCs w:val="22"/>
            <w:lang w:val="sr-Latn-ME"/>
          </w:rPr>
          <w:t>www.cinmed.me</w:t>
        </w:r>
      </w:hyperlink>
    </w:p>
    <w:p w14:paraId="4D6D6006" w14:textId="77777777" w:rsidR="00D2073F" w:rsidRPr="008706C5" w:rsidRDefault="00F94A82">
      <w:pPr>
        <w:pStyle w:val="NoSpacing"/>
        <w:jc w:val="both"/>
        <w:rPr>
          <w:rFonts w:eastAsia="Calibri"/>
          <w:color w:val="0000FF"/>
          <w:sz w:val="22"/>
          <w:szCs w:val="22"/>
          <w:u w:val="single"/>
          <w:lang w:val="sr-Latn-ME"/>
        </w:rPr>
      </w:pPr>
      <w:hyperlink r:id="rId9" w:history="1">
        <w:r w:rsidR="00D2073F" w:rsidRPr="008706C5">
          <w:rPr>
            <w:rStyle w:val="Hyperlink"/>
            <w:rFonts w:eastAsia="Calibri"/>
            <w:sz w:val="22"/>
            <w:szCs w:val="22"/>
            <w:lang w:val="sr-Latn-ME"/>
          </w:rPr>
          <w:t>nezeljenadejstva@cinmed.me</w:t>
        </w:r>
      </w:hyperlink>
    </w:p>
    <w:p w14:paraId="780998E6" w14:textId="77777777" w:rsidR="00D2073F" w:rsidRPr="008706C5" w:rsidRDefault="00D2073F">
      <w:pPr>
        <w:pStyle w:val="NoSpacing"/>
        <w:jc w:val="both"/>
        <w:rPr>
          <w:rFonts w:eastAsia="Calibri"/>
          <w:sz w:val="22"/>
          <w:szCs w:val="22"/>
          <w:lang w:val="sr-Latn-ME"/>
        </w:rPr>
      </w:pPr>
      <w:r w:rsidRPr="008706C5">
        <w:rPr>
          <w:rFonts w:eastAsia="Calibri"/>
          <w:sz w:val="22"/>
          <w:szCs w:val="22"/>
          <w:lang w:val="sr-Latn-ME"/>
        </w:rPr>
        <w:t>putem IS zdravstvene zaštite</w:t>
      </w:r>
    </w:p>
    <w:p w14:paraId="233B9DC7" w14:textId="77777777" w:rsidR="00D2073F" w:rsidRPr="008706C5" w:rsidRDefault="00D2073F">
      <w:pPr>
        <w:pStyle w:val="NoSpacing"/>
        <w:jc w:val="both"/>
        <w:rPr>
          <w:rFonts w:eastAsia="Calibri"/>
          <w:sz w:val="22"/>
          <w:szCs w:val="22"/>
          <w:lang w:val="sr-Latn-ME"/>
        </w:rPr>
      </w:pPr>
      <w:r w:rsidRPr="008706C5">
        <w:rPr>
          <w:rFonts w:eastAsia="Calibri"/>
          <w:sz w:val="22"/>
          <w:szCs w:val="22"/>
          <w:lang w:val="sr-Latn-ME"/>
        </w:rPr>
        <w:t>QR kod za online prijavu sumnje na neželjeno dejstvo lijeka:</w:t>
      </w:r>
    </w:p>
    <w:p w14:paraId="41209643" w14:textId="77777777" w:rsidR="00D2073F" w:rsidRPr="008706C5" w:rsidRDefault="00D2073F">
      <w:pPr>
        <w:pStyle w:val="NoSpacing"/>
        <w:jc w:val="both"/>
        <w:rPr>
          <w:rFonts w:eastAsia="Calibri"/>
          <w:sz w:val="22"/>
          <w:szCs w:val="22"/>
          <w:lang w:val="sr-Latn-ME"/>
        </w:rPr>
      </w:pPr>
    </w:p>
    <w:p w14:paraId="1A31604F" w14:textId="0650D686" w:rsidR="00D2073F" w:rsidRPr="008706C5" w:rsidRDefault="003253FD" w:rsidP="008706C5">
      <w:pPr>
        <w:pStyle w:val="NoSpacing"/>
        <w:jc w:val="both"/>
        <w:rPr>
          <w:rFonts w:eastAsia="Calibri"/>
          <w:sz w:val="22"/>
          <w:szCs w:val="22"/>
          <w:lang w:val="sr-Latn-ME"/>
        </w:rPr>
      </w:pPr>
      <w:r w:rsidRPr="008706C5">
        <w:rPr>
          <w:noProof/>
        </w:rPr>
        <w:drawing>
          <wp:inline distT="0" distB="0" distL="0" distR="0" wp14:anchorId="6329072E" wp14:editId="4709B625">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C964634" w14:textId="77777777" w:rsidR="00836B35" w:rsidRPr="00A613D6" w:rsidRDefault="00836B35" w:rsidP="008706C5">
      <w:pPr>
        <w:tabs>
          <w:tab w:val="left" w:pos="540"/>
          <w:tab w:val="left" w:pos="569"/>
        </w:tabs>
        <w:jc w:val="both"/>
        <w:rPr>
          <w:b/>
          <w:bCs/>
          <w:sz w:val="22"/>
          <w:szCs w:val="22"/>
          <w:lang w:val="sr-Latn-ME"/>
        </w:rPr>
      </w:pPr>
    </w:p>
    <w:p w14:paraId="4C964635" w14:textId="77777777" w:rsidR="00CD6F02" w:rsidRPr="00A613D6" w:rsidRDefault="0072020E">
      <w:pPr>
        <w:tabs>
          <w:tab w:val="left" w:pos="540"/>
          <w:tab w:val="left" w:pos="569"/>
        </w:tabs>
        <w:jc w:val="both"/>
        <w:rPr>
          <w:b/>
          <w:bCs/>
          <w:sz w:val="22"/>
          <w:szCs w:val="22"/>
          <w:lang w:val="sr-Latn-ME"/>
        </w:rPr>
      </w:pPr>
      <w:r w:rsidRPr="00A613D6">
        <w:rPr>
          <w:b/>
          <w:bCs/>
          <w:sz w:val="22"/>
          <w:szCs w:val="22"/>
          <w:lang w:val="sr-Latn-ME"/>
        </w:rPr>
        <w:t xml:space="preserve">4.9. </w:t>
      </w:r>
      <w:r w:rsidR="00480FB1" w:rsidRPr="00A613D6">
        <w:rPr>
          <w:b/>
          <w:bCs/>
          <w:sz w:val="22"/>
          <w:szCs w:val="22"/>
          <w:lang w:val="sr-Latn-ME"/>
        </w:rPr>
        <w:tab/>
      </w:r>
      <w:r w:rsidRPr="00A613D6">
        <w:rPr>
          <w:b/>
          <w:bCs/>
          <w:sz w:val="22"/>
          <w:szCs w:val="22"/>
          <w:lang w:val="sr-Latn-ME"/>
        </w:rPr>
        <w:t>Predoziranje</w:t>
      </w:r>
      <w:r w:rsidR="002846DB" w:rsidRPr="00A613D6">
        <w:rPr>
          <w:b/>
          <w:bCs/>
          <w:sz w:val="22"/>
          <w:szCs w:val="22"/>
          <w:lang w:val="sr-Latn-ME"/>
        </w:rPr>
        <w:t xml:space="preserve"> </w:t>
      </w:r>
    </w:p>
    <w:p w14:paraId="4C964636" w14:textId="77777777" w:rsidR="00CD6F02" w:rsidRPr="00A613D6" w:rsidRDefault="00CD6F02">
      <w:pPr>
        <w:tabs>
          <w:tab w:val="left" w:pos="540"/>
          <w:tab w:val="left" w:pos="569"/>
        </w:tabs>
        <w:jc w:val="both"/>
        <w:rPr>
          <w:b/>
          <w:bCs/>
          <w:sz w:val="22"/>
          <w:szCs w:val="22"/>
          <w:lang w:val="sr-Latn-ME"/>
        </w:rPr>
      </w:pPr>
    </w:p>
    <w:p w14:paraId="0B648C33" w14:textId="77777777" w:rsidR="0024363E" w:rsidRPr="00A613D6" w:rsidRDefault="0024363E">
      <w:pPr>
        <w:jc w:val="both"/>
        <w:rPr>
          <w:sz w:val="22"/>
          <w:szCs w:val="22"/>
          <w:u w:val="single"/>
          <w:lang w:val="sr-Latn-ME"/>
        </w:rPr>
      </w:pPr>
      <w:r w:rsidRPr="00A613D6">
        <w:rPr>
          <w:sz w:val="22"/>
          <w:szCs w:val="22"/>
          <w:u w:val="single"/>
          <w:lang w:val="sr-Latn-ME"/>
        </w:rPr>
        <w:t>Diklofenak</w:t>
      </w:r>
    </w:p>
    <w:p w14:paraId="2B632D09" w14:textId="77777777" w:rsidR="0024363E" w:rsidRPr="00A613D6" w:rsidRDefault="0024363E">
      <w:pPr>
        <w:jc w:val="both"/>
        <w:rPr>
          <w:sz w:val="22"/>
          <w:szCs w:val="22"/>
          <w:u w:val="single"/>
          <w:lang w:val="sr-Latn-ME"/>
        </w:rPr>
      </w:pPr>
    </w:p>
    <w:p w14:paraId="16C38811" w14:textId="77777777" w:rsidR="0024363E" w:rsidRPr="00A613D6" w:rsidRDefault="0024363E">
      <w:pPr>
        <w:jc w:val="both"/>
        <w:rPr>
          <w:i/>
          <w:sz w:val="22"/>
          <w:szCs w:val="22"/>
          <w:lang w:val="sr-Latn-ME"/>
        </w:rPr>
      </w:pPr>
      <w:r w:rsidRPr="00A613D6">
        <w:rPr>
          <w:i/>
          <w:sz w:val="22"/>
          <w:szCs w:val="22"/>
          <w:lang w:val="sr-Latn-ME"/>
        </w:rPr>
        <w:t>Simptomi</w:t>
      </w:r>
    </w:p>
    <w:p w14:paraId="6647A6D3" w14:textId="77777777" w:rsidR="0024363E" w:rsidRPr="00A613D6" w:rsidRDefault="0024363E">
      <w:pPr>
        <w:jc w:val="both"/>
        <w:rPr>
          <w:sz w:val="22"/>
          <w:szCs w:val="22"/>
          <w:lang w:val="sr-Latn-ME"/>
        </w:rPr>
      </w:pPr>
      <w:r w:rsidRPr="00A613D6">
        <w:rPr>
          <w:sz w:val="22"/>
          <w:szCs w:val="22"/>
          <w:lang w:val="sr-Latn-ME"/>
        </w:rPr>
        <w:t>Može se javiti glavobolja, mučnina, povraćanje, bol u epigastrijumu, gastrointestinalno krvarenje, rijetko dijareja, dezorijentisanost, uznemirenost, koma, pospanost, vrtoglavica, tinitus, gubitak svijesti ili povremeno konvulzije. Kod značajnog trovanja, mogu nastati akutna bubrežna insuficijencija i oštećenje funkcije jetre.</w:t>
      </w:r>
    </w:p>
    <w:p w14:paraId="65D7E4C3" w14:textId="77777777" w:rsidR="0024363E" w:rsidRPr="00A613D6" w:rsidRDefault="0024363E">
      <w:pPr>
        <w:jc w:val="both"/>
        <w:rPr>
          <w:sz w:val="22"/>
          <w:szCs w:val="22"/>
          <w:lang w:val="sr-Latn-ME"/>
        </w:rPr>
      </w:pPr>
    </w:p>
    <w:p w14:paraId="266FED33" w14:textId="77777777" w:rsidR="0024363E" w:rsidRPr="00A613D6" w:rsidRDefault="0024363E">
      <w:pPr>
        <w:jc w:val="both"/>
        <w:rPr>
          <w:i/>
          <w:sz w:val="22"/>
          <w:szCs w:val="22"/>
          <w:lang w:val="sr-Latn-ME"/>
        </w:rPr>
      </w:pPr>
      <w:r w:rsidRPr="00A613D6">
        <w:rPr>
          <w:i/>
          <w:sz w:val="22"/>
          <w:szCs w:val="22"/>
          <w:lang w:val="sr-Latn-ME"/>
        </w:rPr>
        <w:t>Terapijske mjere</w:t>
      </w:r>
    </w:p>
    <w:p w14:paraId="2EEB87A2" w14:textId="30D6126E" w:rsidR="0024363E" w:rsidRPr="00A613D6" w:rsidRDefault="0024363E">
      <w:pPr>
        <w:jc w:val="both"/>
        <w:rPr>
          <w:sz w:val="22"/>
          <w:szCs w:val="22"/>
          <w:lang w:val="sr-Latn-ME"/>
        </w:rPr>
      </w:pPr>
      <w:r w:rsidRPr="00A613D6">
        <w:rPr>
          <w:sz w:val="22"/>
          <w:szCs w:val="22"/>
          <w:lang w:val="sr-Latn-ME"/>
        </w:rPr>
        <w:t>Tretman akutnog trovanja ljekovima iz grupe NSAIL sastoji se od suportivnih mjera i simptomatske terapije. U toku jednog sata od uzimanja potencijalno toksične doze treba razmotriti upotrebu aktivnog uglja. Alternativno, kod odraslih, nakon unošenja doza koje su potencijalno opasne po život potrebno je uraditi lavažu želuca</w:t>
      </w:r>
      <w:r w:rsidR="009031E7" w:rsidRPr="00A613D6">
        <w:rPr>
          <w:lang w:val="sr-Latn-ME"/>
        </w:rPr>
        <w:t xml:space="preserve"> </w:t>
      </w:r>
      <w:r w:rsidR="009031E7" w:rsidRPr="00A613D6">
        <w:rPr>
          <w:sz w:val="22"/>
          <w:szCs w:val="22"/>
          <w:lang w:val="sr-Latn-ME"/>
        </w:rPr>
        <w:t>u toku jednog sata od uzimanja</w:t>
      </w:r>
      <w:r w:rsidR="008C4131" w:rsidRPr="00A613D6">
        <w:rPr>
          <w:sz w:val="22"/>
          <w:szCs w:val="22"/>
          <w:lang w:val="sr-Latn-ME"/>
        </w:rPr>
        <w:t xml:space="preserve"> lijeka</w:t>
      </w:r>
      <w:r w:rsidRPr="00A613D6">
        <w:rPr>
          <w:sz w:val="22"/>
          <w:szCs w:val="22"/>
          <w:lang w:val="sr-Latn-ME"/>
        </w:rPr>
        <w:t xml:space="preserve">. </w:t>
      </w:r>
    </w:p>
    <w:p w14:paraId="1CBF1DFB" w14:textId="77777777" w:rsidR="0024363E" w:rsidRPr="00A613D6" w:rsidRDefault="0024363E">
      <w:pPr>
        <w:jc w:val="both"/>
        <w:rPr>
          <w:sz w:val="22"/>
          <w:szCs w:val="22"/>
          <w:lang w:val="sr-Latn-ME"/>
        </w:rPr>
      </w:pPr>
    </w:p>
    <w:p w14:paraId="6AEDEEA3" w14:textId="01A5F4A0" w:rsidR="0024363E" w:rsidRPr="00A613D6" w:rsidRDefault="0024363E">
      <w:pPr>
        <w:jc w:val="both"/>
        <w:rPr>
          <w:sz w:val="22"/>
          <w:szCs w:val="22"/>
          <w:lang w:val="sr-Latn-ME"/>
        </w:rPr>
      </w:pPr>
      <w:r w:rsidRPr="00A613D6">
        <w:rPr>
          <w:sz w:val="22"/>
          <w:szCs w:val="22"/>
          <w:lang w:val="sr-Latn-ME"/>
        </w:rPr>
        <w:t>Treba obezb</w:t>
      </w:r>
      <w:r w:rsidR="00C4104A" w:rsidRPr="00A613D6">
        <w:rPr>
          <w:sz w:val="22"/>
          <w:szCs w:val="22"/>
          <w:lang w:val="sr-Latn-ME"/>
        </w:rPr>
        <w:t>i</w:t>
      </w:r>
      <w:r w:rsidRPr="00A613D6">
        <w:rPr>
          <w:sz w:val="22"/>
          <w:szCs w:val="22"/>
          <w:lang w:val="sr-Latn-ME"/>
        </w:rPr>
        <w:t>jediti adekvatnu diurezu.</w:t>
      </w:r>
    </w:p>
    <w:p w14:paraId="44E8D5DB" w14:textId="77777777" w:rsidR="0024363E" w:rsidRPr="00A613D6" w:rsidRDefault="0024363E">
      <w:pPr>
        <w:jc w:val="both"/>
        <w:rPr>
          <w:sz w:val="22"/>
          <w:szCs w:val="22"/>
          <w:lang w:val="sr-Latn-ME"/>
        </w:rPr>
      </w:pPr>
    </w:p>
    <w:p w14:paraId="3361091A" w14:textId="77777777" w:rsidR="0024363E" w:rsidRPr="00A613D6" w:rsidRDefault="0024363E">
      <w:pPr>
        <w:jc w:val="both"/>
        <w:rPr>
          <w:sz w:val="22"/>
          <w:szCs w:val="22"/>
          <w:lang w:val="sr-Latn-ME"/>
        </w:rPr>
      </w:pPr>
      <w:r w:rsidRPr="00A613D6">
        <w:rPr>
          <w:sz w:val="22"/>
          <w:szCs w:val="22"/>
          <w:lang w:val="sr-Latn-ME"/>
        </w:rPr>
        <w:t>Potrebno je praćenje funkcije bubrega i jetre.</w:t>
      </w:r>
    </w:p>
    <w:p w14:paraId="2CA6FC6B" w14:textId="77777777" w:rsidR="0024363E" w:rsidRPr="00A613D6" w:rsidRDefault="0024363E">
      <w:pPr>
        <w:jc w:val="both"/>
        <w:rPr>
          <w:sz w:val="22"/>
          <w:szCs w:val="22"/>
          <w:lang w:val="sr-Latn-ME"/>
        </w:rPr>
      </w:pPr>
    </w:p>
    <w:p w14:paraId="1D2E63C6" w14:textId="77777777" w:rsidR="0024363E" w:rsidRPr="00A613D6" w:rsidRDefault="0024363E">
      <w:pPr>
        <w:jc w:val="both"/>
        <w:rPr>
          <w:sz w:val="22"/>
          <w:szCs w:val="22"/>
          <w:lang w:val="sr-Latn-ME"/>
        </w:rPr>
      </w:pPr>
      <w:r w:rsidRPr="00A613D6">
        <w:rPr>
          <w:sz w:val="22"/>
          <w:szCs w:val="22"/>
          <w:lang w:val="sr-Latn-ME"/>
        </w:rPr>
        <w:t>Pacijente je potrebno nadgledati najmanje tokom četiri sata od uzimanja potencijalno toksične doze.</w:t>
      </w:r>
    </w:p>
    <w:p w14:paraId="17B660AC" w14:textId="77777777" w:rsidR="0024363E" w:rsidRPr="00A613D6" w:rsidRDefault="0024363E">
      <w:pPr>
        <w:jc w:val="both"/>
        <w:rPr>
          <w:sz w:val="22"/>
          <w:szCs w:val="22"/>
          <w:lang w:val="sr-Latn-ME"/>
        </w:rPr>
      </w:pPr>
    </w:p>
    <w:p w14:paraId="4AA773BC" w14:textId="77777777" w:rsidR="0024363E" w:rsidRPr="00A613D6" w:rsidRDefault="0024363E">
      <w:pPr>
        <w:jc w:val="both"/>
        <w:rPr>
          <w:sz w:val="22"/>
          <w:szCs w:val="22"/>
          <w:lang w:val="sr-Latn-ME"/>
        </w:rPr>
      </w:pPr>
      <w:r w:rsidRPr="00A613D6">
        <w:rPr>
          <w:sz w:val="22"/>
          <w:szCs w:val="22"/>
          <w:lang w:val="sr-Latn-ME"/>
        </w:rPr>
        <w:t>Učestale ili produžene konvulzije treba tretirati intravenskim diazepamom.</w:t>
      </w:r>
    </w:p>
    <w:p w14:paraId="150FD78E" w14:textId="77777777" w:rsidR="0024363E" w:rsidRPr="00A613D6" w:rsidRDefault="0024363E">
      <w:pPr>
        <w:jc w:val="both"/>
        <w:rPr>
          <w:sz w:val="22"/>
          <w:szCs w:val="22"/>
          <w:lang w:val="sr-Latn-ME"/>
        </w:rPr>
      </w:pPr>
    </w:p>
    <w:p w14:paraId="1BCD176A" w14:textId="48A33B71" w:rsidR="0024363E" w:rsidRPr="00A613D6" w:rsidRDefault="0024363E">
      <w:pPr>
        <w:jc w:val="both"/>
        <w:rPr>
          <w:sz w:val="22"/>
          <w:szCs w:val="22"/>
          <w:lang w:val="sr-Latn-ME"/>
        </w:rPr>
      </w:pPr>
      <w:r w:rsidRPr="00A613D6">
        <w:rPr>
          <w:sz w:val="22"/>
          <w:szCs w:val="22"/>
          <w:lang w:val="sr-Latn-ME"/>
        </w:rPr>
        <w:lastRenderedPageBreak/>
        <w:t>U zavisnosti od kliničkog stanja pacijenta</w:t>
      </w:r>
      <w:r w:rsidR="00CD3CCB" w:rsidRPr="00A613D6">
        <w:rPr>
          <w:sz w:val="22"/>
          <w:szCs w:val="22"/>
          <w:lang w:val="sr-Latn-ME"/>
        </w:rPr>
        <w:t>,</w:t>
      </w:r>
      <w:r w:rsidRPr="00A613D6">
        <w:rPr>
          <w:sz w:val="22"/>
          <w:szCs w:val="22"/>
          <w:lang w:val="sr-Latn-ME"/>
        </w:rPr>
        <w:t xml:space="preserve"> mogu biti indikovane i druge mjere. Posebne mjere</w:t>
      </w:r>
      <w:r w:rsidR="00CD3CCB" w:rsidRPr="00A613D6">
        <w:rPr>
          <w:sz w:val="22"/>
          <w:szCs w:val="22"/>
          <w:lang w:val="sr-Latn-ME"/>
        </w:rPr>
        <w:t>,</w:t>
      </w:r>
      <w:r w:rsidRPr="00A613D6">
        <w:rPr>
          <w:sz w:val="22"/>
          <w:szCs w:val="22"/>
          <w:lang w:val="sr-Latn-ME"/>
        </w:rPr>
        <w:t xml:space="preserve"> kao što su forsirana diureza, dijaliza ili hemoperfuzija</w:t>
      </w:r>
      <w:r w:rsidR="00CD3CCB" w:rsidRPr="00A613D6">
        <w:rPr>
          <w:sz w:val="22"/>
          <w:szCs w:val="22"/>
          <w:lang w:val="sr-Latn-ME"/>
        </w:rPr>
        <w:t>,</w:t>
      </w:r>
      <w:r w:rsidRPr="00A613D6">
        <w:rPr>
          <w:sz w:val="22"/>
          <w:szCs w:val="22"/>
          <w:lang w:val="sr-Latn-ME"/>
        </w:rPr>
        <w:t xml:space="preserve"> v</w:t>
      </w:r>
      <w:r w:rsidR="00C05326" w:rsidRPr="00A613D6">
        <w:rPr>
          <w:sz w:val="22"/>
          <w:szCs w:val="22"/>
          <w:lang w:val="sr-Latn-ME"/>
        </w:rPr>
        <w:t>j</w:t>
      </w:r>
      <w:r w:rsidRPr="00A613D6">
        <w:rPr>
          <w:sz w:val="22"/>
          <w:szCs w:val="22"/>
          <w:lang w:val="sr-Latn-ME"/>
        </w:rPr>
        <w:t>erovatno ne omogućavaju eliminaciju NSAIL, zbog njihovog vezivanja za proteine plazme i brzog metabolizma.</w:t>
      </w:r>
    </w:p>
    <w:p w14:paraId="2607F329" w14:textId="77777777" w:rsidR="0024363E" w:rsidRPr="00A613D6" w:rsidRDefault="0024363E">
      <w:pPr>
        <w:jc w:val="both"/>
        <w:rPr>
          <w:sz w:val="22"/>
          <w:szCs w:val="22"/>
          <w:lang w:val="sr-Latn-ME"/>
        </w:rPr>
      </w:pPr>
    </w:p>
    <w:p w14:paraId="1A082179" w14:textId="0537D887" w:rsidR="0024363E" w:rsidRPr="00A613D6" w:rsidRDefault="0024363E">
      <w:pPr>
        <w:jc w:val="both"/>
        <w:rPr>
          <w:sz w:val="22"/>
          <w:szCs w:val="22"/>
          <w:lang w:val="sr-Latn-ME"/>
        </w:rPr>
      </w:pPr>
      <w:r w:rsidRPr="00A613D6">
        <w:rPr>
          <w:sz w:val="22"/>
          <w:szCs w:val="22"/>
          <w:lang w:val="sr-Latn-ME"/>
        </w:rPr>
        <w:t>Suportivne mjere i simptomatsko l</w:t>
      </w:r>
      <w:r w:rsidR="00C05326" w:rsidRPr="00A613D6">
        <w:rPr>
          <w:sz w:val="22"/>
          <w:szCs w:val="22"/>
          <w:lang w:val="sr-Latn-ME"/>
        </w:rPr>
        <w:t>ij</w:t>
      </w:r>
      <w:r w:rsidRPr="00A613D6">
        <w:rPr>
          <w:sz w:val="22"/>
          <w:szCs w:val="22"/>
          <w:lang w:val="sr-Latn-ME"/>
        </w:rPr>
        <w:t>ečenje treba prim</w:t>
      </w:r>
      <w:r w:rsidR="00C05326" w:rsidRPr="00A613D6">
        <w:rPr>
          <w:sz w:val="22"/>
          <w:szCs w:val="22"/>
          <w:lang w:val="sr-Latn-ME"/>
        </w:rPr>
        <w:t>i</w:t>
      </w:r>
      <w:r w:rsidRPr="00A613D6">
        <w:rPr>
          <w:sz w:val="22"/>
          <w:szCs w:val="22"/>
          <w:lang w:val="sr-Latn-ME"/>
        </w:rPr>
        <w:t>jeniti onda kada postoje komplikacije</w:t>
      </w:r>
      <w:r w:rsidR="00CD3CCB" w:rsidRPr="00A613D6">
        <w:rPr>
          <w:sz w:val="22"/>
          <w:szCs w:val="22"/>
          <w:lang w:val="sr-Latn-ME"/>
        </w:rPr>
        <w:t>,</w:t>
      </w:r>
      <w:r w:rsidRPr="00A613D6">
        <w:rPr>
          <w:sz w:val="22"/>
          <w:szCs w:val="22"/>
          <w:lang w:val="sr-Latn-ME"/>
        </w:rPr>
        <w:t xml:space="preserve"> kao što su hipotenzija, bubrežna insuficijencija, konvulzije, gastrointestinalni poremećaji i respiratorna depresija.</w:t>
      </w:r>
    </w:p>
    <w:p w14:paraId="44F8CD90" w14:textId="77777777" w:rsidR="0024363E" w:rsidRPr="00A613D6" w:rsidRDefault="0024363E">
      <w:pPr>
        <w:jc w:val="both"/>
        <w:rPr>
          <w:sz w:val="22"/>
          <w:szCs w:val="22"/>
          <w:lang w:val="sr-Latn-ME"/>
        </w:rPr>
      </w:pPr>
    </w:p>
    <w:p w14:paraId="17F2E668" w14:textId="30213D4E" w:rsidR="0024363E" w:rsidRPr="00A613D6" w:rsidRDefault="0024363E">
      <w:pPr>
        <w:jc w:val="both"/>
        <w:rPr>
          <w:sz w:val="22"/>
          <w:szCs w:val="22"/>
          <w:u w:val="single"/>
          <w:lang w:val="sr-Latn-ME"/>
        </w:rPr>
      </w:pPr>
      <w:r w:rsidRPr="00A613D6">
        <w:rPr>
          <w:sz w:val="22"/>
          <w:szCs w:val="22"/>
          <w:u w:val="single"/>
          <w:lang w:val="sr-Latn-ME"/>
        </w:rPr>
        <w:t>Omeprazol</w:t>
      </w:r>
    </w:p>
    <w:p w14:paraId="0639A83D" w14:textId="77777777" w:rsidR="009031E7" w:rsidRPr="00A613D6" w:rsidRDefault="009031E7">
      <w:pPr>
        <w:jc w:val="both"/>
        <w:rPr>
          <w:sz w:val="22"/>
          <w:szCs w:val="22"/>
          <w:u w:val="single"/>
          <w:lang w:val="sr-Latn-ME"/>
        </w:rPr>
      </w:pPr>
    </w:p>
    <w:p w14:paraId="5C7DD622" w14:textId="77777777" w:rsidR="0024363E" w:rsidRPr="00A613D6" w:rsidRDefault="0024363E">
      <w:pPr>
        <w:pStyle w:val="Header"/>
        <w:tabs>
          <w:tab w:val="left" w:pos="284"/>
        </w:tabs>
        <w:jc w:val="both"/>
        <w:rPr>
          <w:sz w:val="22"/>
          <w:szCs w:val="22"/>
          <w:lang w:val="sr-Latn-ME"/>
        </w:rPr>
      </w:pPr>
      <w:r w:rsidRPr="00A613D6">
        <w:rPr>
          <w:sz w:val="22"/>
          <w:szCs w:val="22"/>
          <w:lang w:val="sr-Latn-ME"/>
        </w:rPr>
        <w:t>Postoje ograničeni podaci o efektima predoziranja omeprazolom kod ljudi. U literaturi su opisane primjene doza do 560 mg, a postoje i pojedinačni slučajevi primjene i do 2400 mg omeprazola (120 puta veće od preporučene klinički efikasne doze). Prijavljeni su mučnina, povraćanje, vrtoglavica, bol u stomaku, dijareja i glavobolja. Apatija, depresija i konfuznost su opisane u pojedinačnim slučajevima.</w:t>
      </w:r>
    </w:p>
    <w:p w14:paraId="784A5C38" w14:textId="77777777" w:rsidR="00E639FB" w:rsidRPr="00A613D6" w:rsidRDefault="00E639FB">
      <w:pPr>
        <w:pStyle w:val="Header"/>
        <w:tabs>
          <w:tab w:val="left" w:pos="284"/>
        </w:tabs>
        <w:jc w:val="both"/>
        <w:rPr>
          <w:sz w:val="22"/>
          <w:szCs w:val="22"/>
          <w:lang w:val="sr-Latn-ME"/>
        </w:rPr>
      </w:pPr>
    </w:p>
    <w:p w14:paraId="628CB296" w14:textId="5C85F65F" w:rsidR="0024363E" w:rsidRPr="00A613D6" w:rsidRDefault="0024363E">
      <w:pPr>
        <w:pStyle w:val="Header"/>
        <w:tabs>
          <w:tab w:val="left" w:pos="284"/>
        </w:tabs>
        <w:jc w:val="both"/>
        <w:rPr>
          <w:sz w:val="22"/>
          <w:szCs w:val="22"/>
          <w:lang w:val="sr-Latn-ME"/>
        </w:rPr>
      </w:pPr>
      <w:r w:rsidRPr="00A613D6">
        <w:rPr>
          <w:sz w:val="22"/>
          <w:szCs w:val="22"/>
          <w:lang w:val="sr-Latn-ME"/>
        </w:rPr>
        <w:t>Simptomi predoziranja omeprazolom su uglavnom prolazni i nije prijavljeno da izazivaju ozbiljne posl</w:t>
      </w:r>
      <w:r w:rsidR="00152624" w:rsidRPr="00A613D6">
        <w:rPr>
          <w:sz w:val="22"/>
          <w:szCs w:val="22"/>
          <w:lang w:val="sr-Latn-ME"/>
        </w:rPr>
        <w:t>j</w:t>
      </w:r>
      <w:r w:rsidRPr="00A613D6">
        <w:rPr>
          <w:sz w:val="22"/>
          <w:szCs w:val="22"/>
          <w:lang w:val="sr-Latn-ME"/>
        </w:rPr>
        <w:t>edice. Sa povećanjem doza brzina eliminacije je ostala nepromijenjena (kinetika prvog reda). Ukoliko je neophodno, primjenjuje se simptomatska terapija.</w:t>
      </w:r>
    </w:p>
    <w:p w14:paraId="4C964637" w14:textId="2F328FED" w:rsidR="00227BDB" w:rsidRPr="00A613D6" w:rsidRDefault="00227BDB">
      <w:pPr>
        <w:tabs>
          <w:tab w:val="left" w:pos="540"/>
          <w:tab w:val="left" w:pos="569"/>
        </w:tabs>
        <w:jc w:val="both"/>
        <w:rPr>
          <w:b/>
          <w:bCs/>
          <w:sz w:val="22"/>
          <w:szCs w:val="22"/>
          <w:lang w:val="sr-Latn-ME"/>
        </w:rPr>
      </w:pPr>
    </w:p>
    <w:p w14:paraId="41C843AD" w14:textId="77777777" w:rsidR="0021428F" w:rsidRPr="00A613D6" w:rsidRDefault="0021428F">
      <w:pPr>
        <w:tabs>
          <w:tab w:val="left" w:pos="540"/>
          <w:tab w:val="left" w:pos="569"/>
        </w:tabs>
        <w:jc w:val="both"/>
        <w:rPr>
          <w:b/>
          <w:bCs/>
          <w:sz w:val="22"/>
          <w:szCs w:val="22"/>
          <w:lang w:val="sr-Latn-ME"/>
        </w:rPr>
      </w:pPr>
    </w:p>
    <w:p w14:paraId="4C964638" w14:textId="77777777" w:rsidR="0072020E" w:rsidRPr="00A613D6" w:rsidRDefault="0072020E">
      <w:pPr>
        <w:tabs>
          <w:tab w:val="left" w:pos="540"/>
          <w:tab w:val="left" w:pos="569"/>
        </w:tabs>
        <w:jc w:val="both"/>
        <w:rPr>
          <w:b/>
          <w:bCs/>
          <w:sz w:val="22"/>
          <w:szCs w:val="22"/>
          <w:lang w:val="sr-Latn-ME"/>
        </w:rPr>
      </w:pPr>
      <w:r w:rsidRPr="00A613D6">
        <w:rPr>
          <w:b/>
          <w:bCs/>
          <w:sz w:val="22"/>
          <w:szCs w:val="22"/>
          <w:lang w:val="sr-Latn-ME"/>
        </w:rPr>
        <w:t xml:space="preserve">5. </w:t>
      </w:r>
      <w:r w:rsidR="00480FB1" w:rsidRPr="00A613D6">
        <w:rPr>
          <w:b/>
          <w:bCs/>
          <w:sz w:val="22"/>
          <w:szCs w:val="22"/>
          <w:lang w:val="sr-Latn-ME"/>
        </w:rPr>
        <w:tab/>
      </w:r>
      <w:r w:rsidRPr="00A613D6">
        <w:rPr>
          <w:b/>
          <w:bCs/>
          <w:sz w:val="22"/>
          <w:szCs w:val="22"/>
          <w:lang w:val="sr-Latn-ME"/>
        </w:rPr>
        <w:t>FARMAKOLOŠK</w:t>
      </w:r>
      <w:r w:rsidR="000D425A" w:rsidRPr="00A613D6">
        <w:rPr>
          <w:b/>
          <w:bCs/>
          <w:sz w:val="22"/>
          <w:szCs w:val="22"/>
          <w:lang w:val="sr-Latn-ME"/>
        </w:rPr>
        <w:t>I</w:t>
      </w:r>
      <w:r w:rsidRPr="00A613D6">
        <w:rPr>
          <w:b/>
          <w:bCs/>
          <w:sz w:val="22"/>
          <w:szCs w:val="22"/>
          <w:lang w:val="sr-Latn-ME"/>
        </w:rPr>
        <w:t xml:space="preserve"> PODACI</w:t>
      </w:r>
    </w:p>
    <w:p w14:paraId="4C964639" w14:textId="77777777" w:rsidR="0072020E" w:rsidRPr="00A613D6" w:rsidRDefault="0072020E">
      <w:pPr>
        <w:tabs>
          <w:tab w:val="left" w:pos="540"/>
          <w:tab w:val="left" w:pos="569"/>
        </w:tabs>
        <w:jc w:val="both"/>
        <w:rPr>
          <w:b/>
          <w:bCs/>
          <w:sz w:val="22"/>
          <w:szCs w:val="22"/>
          <w:lang w:val="sr-Latn-ME"/>
        </w:rPr>
      </w:pPr>
    </w:p>
    <w:p w14:paraId="4C96463A" w14:textId="77777777" w:rsidR="0072020E" w:rsidRPr="00A613D6" w:rsidRDefault="0072020E">
      <w:pPr>
        <w:tabs>
          <w:tab w:val="left" w:pos="540"/>
          <w:tab w:val="left" w:pos="569"/>
        </w:tabs>
        <w:jc w:val="both"/>
        <w:rPr>
          <w:b/>
          <w:bCs/>
          <w:sz w:val="22"/>
          <w:szCs w:val="22"/>
          <w:lang w:val="sr-Latn-ME"/>
        </w:rPr>
      </w:pPr>
      <w:r w:rsidRPr="00A613D6">
        <w:rPr>
          <w:b/>
          <w:bCs/>
          <w:sz w:val="22"/>
          <w:szCs w:val="22"/>
          <w:lang w:val="sr-Latn-ME"/>
        </w:rPr>
        <w:t xml:space="preserve">5.1. </w:t>
      </w:r>
      <w:r w:rsidR="00480FB1" w:rsidRPr="00A613D6">
        <w:rPr>
          <w:b/>
          <w:bCs/>
          <w:sz w:val="22"/>
          <w:szCs w:val="22"/>
          <w:lang w:val="sr-Latn-ME"/>
        </w:rPr>
        <w:tab/>
      </w:r>
      <w:r w:rsidRPr="00A613D6">
        <w:rPr>
          <w:b/>
          <w:bCs/>
          <w:sz w:val="22"/>
          <w:szCs w:val="22"/>
          <w:lang w:val="sr-Latn-ME"/>
        </w:rPr>
        <w:t>Farmakodinamski podaci</w:t>
      </w:r>
      <w:r w:rsidR="003A7059" w:rsidRPr="00A613D6">
        <w:rPr>
          <w:b/>
          <w:bCs/>
          <w:sz w:val="22"/>
          <w:szCs w:val="22"/>
          <w:lang w:val="sr-Latn-ME"/>
        </w:rPr>
        <w:t xml:space="preserve"> </w:t>
      </w:r>
    </w:p>
    <w:p w14:paraId="4C96463B" w14:textId="77777777" w:rsidR="00F45F77" w:rsidRPr="00A613D6" w:rsidRDefault="00F45F77">
      <w:pPr>
        <w:tabs>
          <w:tab w:val="left" w:pos="540"/>
          <w:tab w:val="left" w:pos="569"/>
        </w:tabs>
        <w:jc w:val="both"/>
        <w:rPr>
          <w:b/>
          <w:bCs/>
          <w:sz w:val="22"/>
          <w:szCs w:val="22"/>
          <w:lang w:val="sr-Latn-ME"/>
        </w:rPr>
      </w:pPr>
    </w:p>
    <w:p w14:paraId="4C96463C" w14:textId="574B1465" w:rsidR="0072020E" w:rsidRPr="00A613D6" w:rsidRDefault="0072020E">
      <w:pPr>
        <w:tabs>
          <w:tab w:val="left" w:pos="540"/>
          <w:tab w:val="left" w:pos="569"/>
        </w:tabs>
        <w:jc w:val="both"/>
        <w:rPr>
          <w:bCs/>
          <w:sz w:val="22"/>
          <w:szCs w:val="22"/>
          <w:lang w:val="sr-Latn-ME"/>
        </w:rPr>
      </w:pPr>
      <w:r w:rsidRPr="00A613D6">
        <w:rPr>
          <w:bCs/>
          <w:sz w:val="22"/>
          <w:szCs w:val="22"/>
          <w:lang w:val="sr-Latn-ME"/>
        </w:rPr>
        <w:t>Farmakoterapijska grupa:</w:t>
      </w:r>
      <w:r w:rsidR="001807A4" w:rsidRPr="00A613D6">
        <w:rPr>
          <w:lang w:val="sr-Latn-ME"/>
        </w:rPr>
        <w:t xml:space="preserve"> </w:t>
      </w:r>
      <w:r w:rsidR="001807A4" w:rsidRPr="00A613D6">
        <w:rPr>
          <w:bCs/>
          <w:sz w:val="22"/>
          <w:szCs w:val="22"/>
          <w:lang w:val="sr-Latn-ME"/>
        </w:rPr>
        <w:t>Derivati sirćetne kiseline i srodne supstance</w:t>
      </w:r>
    </w:p>
    <w:p w14:paraId="4C96463D" w14:textId="77777777" w:rsidR="0072020E" w:rsidRPr="00A613D6" w:rsidRDefault="0072020E">
      <w:pPr>
        <w:tabs>
          <w:tab w:val="left" w:pos="540"/>
          <w:tab w:val="left" w:pos="569"/>
        </w:tabs>
        <w:jc w:val="both"/>
        <w:rPr>
          <w:bCs/>
          <w:sz w:val="22"/>
          <w:szCs w:val="22"/>
          <w:lang w:val="sr-Latn-ME"/>
        </w:rPr>
      </w:pPr>
    </w:p>
    <w:p w14:paraId="4C96463E" w14:textId="0535CC01" w:rsidR="0072020E" w:rsidRPr="00A613D6" w:rsidRDefault="0072020E">
      <w:pPr>
        <w:tabs>
          <w:tab w:val="left" w:pos="540"/>
          <w:tab w:val="left" w:pos="569"/>
        </w:tabs>
        <w:jc w:val="both"/>
        <w:rPr>
          <w:bCs/>
          <w:sz w:val="22"/>
          <w:szCs w:val="22"/>
          <w:lang w:val="sr-Latn-ME"/>
        </w:rPr>
      </w:pPr>
      <w:r w:rsidRPr="00A613D6">
        <w:rPr>
          <w:bCs/>
          <w:sz w:val="22"/>
          <w:szCs w:val="22"/>
          <w:lang w:val="sr-Latn-ME"/>
        </w:rPr>
        <w:t>ATC kod:</w:t>
      </w:r>
      <w:r w:rsidR="00FC429F" w:rsidRPr="00A613D6">
        <w:rPr>
          <w:lang w:val="sr-Latn-ME"/>
        </w:rPr>
        <w:t xml:space="preserve"> </w:t>
      </w:r>
      <w:r w:rsidR="00FC429F" w:rsidRPr="00A613D6">
        <w:rPr>
          <w:bCs/>
          <w:sz w:val="22"/>
          <w:szCs w:val="22"/>
          <w:lang w:val="sr-Latn-ME"/>
        </w:rPr>
        <w:t xml:space="preserve">M01AB55 </w:t>
      </w:r>
      <w:r w:rsidR="00014EA5" w:rsidRPr="00A613D6">
        <w:rPr>
          <w:bCs/>
          <w:sz w:val="22"/>
          <w:szCs w:val="22"/>
          <w:lang w:val="sr-Latn-ME"/>
        </w:rPr>
        <w:t>(diklofenak, kombinacije)</w:t>
      </w:r>
    </w:p>
    <w:p w14:paraId="6231F142" w14:textId="77777777" w:rsidR="00014EA5" w:rsidRPr="00A613D6" w:rsidRDefault="00014EA5">
      <w:pPr>
        <w:tabs>
          <w:tab w:val="left" w:pos="540"/>
          <w:tab w:val="left" w:pos="569"/>
        </w:tabs>
        <w:jc w:val="both"/>
        <w:rPr>
          <w:bCs/>
          <w:sz w:val="22"/>
          <w:szCs w:val="22"/>
          <w:lang w:val="sr-Latn-ME"/>
        </w:rPr>
      </w:pPr>
    </w:p>
    <w:p w14:paraId="1ABACCE1" w14:textId="6062AFF4" w:rsidR="004C4D40" w:rsidRPr="00A613D6" w:rsidRDefault="004C4D40">
      <w:pPr>
        <w:jc w:val="both"/>
        <w:rPr>
          <w:sz w:val="22"/>
          <w:szCs w:val="22"/>
          <w:u w:val="single"/>
          <w:lang w:val="sr-Latn-ME"/>
        </w:rPr>
      </w:pPr>
      <w:r w:rsidRPr="00A613D6">
        <w:rPr>
          <w:sz w:val="22"/>
          <w:szCs w:val="22"/>
          <w:u w:val="single"/>
          <w:lang w:val="sr-Latn-ME"/>
        </w:rPr>
        <w:t>Diklofenak</w:t>
      </w:r>
    </w:p>
    <w:p w14:paraId="0B529527" w14:textId="120F4F32" w:rsidR="004C4D40" w:rsidRPr="00A613D6" w:rsidRDefault="004C4D40">
      <w:pPr>
        <w:jc w:val="both"/>
        <w:rPr>
          <w:sz w:val="22"/>
          <w:szCs w:val="22"/>
          <w:lang w:val="sr-Latn-ME"/>
        </w:rPr>
      </w:pPr>
      <w:r w:rsidRPr="00A613D6">
        <w:rPr>
          <w:sz w:val="22"/>
          <w:szCs w:val="22"/>
          <w:lang w:val="sr-Latn-ME"/>
        </w:rPr>
        <w:t>Diklofenak je nesteroidni lijek sa značajnim analgetskim i antiinflamatornim svojstvima. Inhibira prostaglandin</w:t>
      </w:r>
      <w:r w:rsidR="000C6A5A" w:rsidRPr="00A613D6">
        <w:rPr>
          <w:sz w:val="22"/>
          <w:szCs w:val="22"/>
          <w:lang w:val="sr-Latn-ME"/>
        </w:rPr>
        <w:t xml:space="preserve"> </w:t>
      </w:r>
      <w:r w:rsidRPr="00A613D6">
        <w:rPr>
          <w:sz w:val="22"/>
          <w:szCs w:val="22"/>
          <w:lang w:val="sr-Latn-ME"/>
        </w:rPr>
        <w:t>sintetazu (ciklooksigenazu).</w:t>
      </w:r>
    </w:p>
    <w:p w14:paraId="7A30C298" w14:textId="77777777" w:rsidR="004C4D40" w:rsidRPr="00A613D6" w:rsidRDefault="004C4D40">
      <w:pPr>
        <w:jc w:val="both"/>
        <w:rPr>
          <w:sz w:val="22"/>
          <w:szCs w:val="22"/>
          <w:lang w:val="sr-Latn-ME"/>
        </w:rPr>
      </w:pPr>
    </w:p>
    <w:p w14:paraId="3BA641B9" w14:textId="77777777" w:rsidR="004C4D40" w:rsidRPr="00A613D6" w:rsidRDefault="004C4D40">
      <w:pPr>
        <w:jc w:val="both"/>
        <w:rPr>
          <w:sz w:val="22"/>
          <w:szCs w:val="22"/>
          <w:u w:val="single"/>
          <w:lang w:val="sr-Latn-ME"/>
        </w:rPr>
      </w:pPr>
      <w:r w:rsidRPr="00A613D6">
        <w:rPr>
          <w:sz w:val="22"/>
          <w:szCs w:val="22"/>
          <w:u w:val="single"/>
          <w:lang w:val="sr-Latn-ME"/>
        </w:rPr>
        <w:t>Omeprazol</w:t>
      </w:r>
    </w:p>
    <w:p w14:paraId="7CACBD9C" w14:textId="77777777" w:rsidR="00014EA5" w:rsidRPr="00A613D6" w:rsidRDefault="00014EA5">
      <w:pPr>
        <w:jc w:val="both"/>
        <w:rPr>
          <w:sz w:val="22"/>
          <w:szCs w:val="22"/>
          <w:u w:val="single"/>
          <w:lang w:val="sr-Latn-ME"/>
        </w:rPr>
      </w:pPr>
    </w:p>
    <w:p w14:paraId="74341D76" w14:textId="77777777" w:rsidR="004C4D40" w:rsidRPr="00A613D6" w:rsidRDefault="004C4D40">
      <w:pPr>
        <w:pStyle w:val="Header"/>
        <w:jc w:val="both"/>
        <w:rPr>
          <w:i/>
          <w:sz w:val="22"/>
          <w:szCs w:val="22"/>
          <w:lang w:val="sr-Latn-ME"/>
        </w:rPr>
      </w:pPr>
      <w:r w:rsidRPr="00A613D6">
        <w:rPr>
          <w:i/>
          <w:sz w:val="22"/>
          <w:szCs w:val="22"/>
          <w:lang w:val="sr-Latn-ME"/>
        </w:rPr>
        <w:t>Mehanizam dejstva</w:t>
      </w:r>
    </w:p>
    <w:p w14:paraId="0E5B2E1B" w14:textId="6D204D4C" w:rsidR="004C4D40" w:rsidRPr="00A613D6" w:rsidRDefault="004C4D40">
      <w:pPr>
        <w:pStyle w:val="Header"/>
        <w:jc w:val="both"/>
        <w:rPr>
          <w:sz w:val="22"/>
          <w:szCs w:val="22"/>
          <w:lang w:val="sr-Latn-ME"/>
        </w:rPr>
      </w:pPr>
      <w:r w:rsidRPr="00A613D6">
        <w:rPr>
          <w:sz w:val="22"/>
          <w:szCs w:val="22"/>
          <w:lang w:val="sr-Latn-ME"/>
        </w:rPr>
        <w:t>Omeprazol, racemska smješa dva enantiomera, smanjuje sekreciju želudačne kiseline uz pomoć visoko specifičnog mehanizma dejstva. Omeprazol je specifičan inhibitor protonske pumpe u parijetalnim ćelijama. Prim</w:t>
      </w:r>
      <w:r w:rsidR="000C6A5A" w:rsidRPr="00A613D6">
        <w:rPr>
          <w:sz w:val="22"/>
          <w:szCs w:val="22"/>
          <w:lang w:val="sr-Latn-ME"/>
        </w:rPr>
        <w:t>i</w:t>
      </w:r>
      <w:r w:rsidRPr="00A613D6">
        <w:rPr>
          <w:sz w:val="22"/>
          <w:szCs w:val="22"/>
          <w:lang w:val="sr-Latn-ME"/>
        </w:rPr>
        <w:t xml:space="preserve">jenjen jednom dnevno djeluje brzo i omogućava reverzibilnu inhibiciju izlučivanja želudačne kiseline. </w:t>
      </w:r>
    </w:p>
    <w:p w14:paraId="5B048D8F" w14:textId="77777777" w:rsidR="004C4D40" w:rsidRPr="00A613D6" w:rsidRDefault="004C4D40">
      <w:pPr>
        <w:pStyle w:val="Header"/>
        <w:jc w:val="both"/>
        <w:rPr>
          <w:sz w:val="22"/>
          <w:szCs w:val="22"/>
          <w:lang w:val="sr-Latn-ME"/>
        </w:rPr>
      </w:pPr>
    </w:p>
    <w:p w14:paraId="58B7994A" w14:textId="00636AF3" w:rsidR="004C4D40" w:rsidRPr="00A613D6" w:rsidRDefault="004C4D40">
      <w:pPr>
        <w:pStyle w:val="Header"/>
        <w:jc w:val="both"/>
        <w:rPr>
          <w:sz w:val="22"/>
          <w:szCs w:val="22"/>
          <w:lang w:val="sr-Latn-ME"/>
        </w:rPr>
      </w:pPr>
      <w:r w:rsidRPr="00A613D6">
        <w:rPr>
          <w:sz w:val="22"/>
          <w:szCs w:val="22"/>
          <w:lang w:val="sr-Latn-ME"/>
        </w:rPr>
        <w:t>Omeprazol je slaba baza koja se koncentriše i prelazi u aktivan oblik u kiseloj sredini intracelularnih kanalikula parijetalnih ćelija, gdje inhibira enzim H</w:t>
      </w:r>
      <w:r w:rsidRPr="00A613D6">
        <w:rPr>
          <w:sz w:val="22"/>
          <w:szCs w:val="22"/>
          <w:vertAlign w:val="superscript"/>
          <w:lang w:val="sr-Latn-ME"/>
        </w:rPr>
        <w:t>+</w:t>
      </w:r>
      <w:r w:rsidRPr="00A613D6">
        <w:rPr>
          <w:sz w:val="22"/>
          <w:szCs w:val="22"/>
          <w:lang w:val="sr-Latn-ME"/>
        </w:rPr>
        <w:t>/K</w:t>
      </w:r>
      <w:r w:rsidRPr="00A613D6">
        <w:rPr>
          <w:sz w:val="22"/>
          <w:szCs w:val="22"/>
          <w:vertAlign w:val="superscript"/>
          <w:lang w:val="sr-Latn-ME"/>
        </w:rPr>
        <w:t>+</w:t>
      </w:r>
      <w:r w:rsidRPr="00A613D6">
        <w:rPr>
          <w:sz w:val="22"/>
          <w:szCs w:val="22"/>
          <w:lang w:val="sr-Latn-ME"/>
        </w:rPr>
        <w:t xml:space="preserve"> - ATP-azu tj. protonsku pumpu. Uticaj omeprazola na završnu fazu stvaranja želudačne kiseline je dozno zavisan i omogućava usp</w:t>
      </w:r>
      <w:r w:rsidR="00881C6F" w:rsidRPr="00A613D6">
        <w:rPr>
          <w:sz w:val="22"/>
          <w:szCs w:val="22"/>
          <w:lang w:val="sr-Latn-ME"/>
        </w:rPr>
        <w:t>j</w:t>
      </w:r>
      <w:r w:rsidRPr="00A613D6">
        <w:rPr>
          <w:sz w:val="22"/>
          <w:szCs w:val="22"/>
          <w:lang w:val="sr-Latn-ME"/>
        </w:rPr>
        <w:t>ešnu inhibiciju i bazalne i stimulisane sekrecije želudačne kiseline, nezavisno od stimulusa.</w:t>
      </w:r>
    </w:p>
    <w:p w14:paraId="16808CC5" w14:textId="77777777" w:rsidR="004C4D40" w:rsidRPr="00A613D6" w:rsidRDefault="004C4D40">
      <w:pPr>
        <w:pStyle w:val="Header"/>
        <w:jc w:val="both"/>
        <w:rPr>
          <w:i/>
          <w:sz w:val="22"/>
          <w:szCs w:val="22"/>
          <w:lang w:val="sr-Latn-ME"/>
        </w:rPr>
      </w:pPr>
    </w:p>
    <w:p w14:paraId="5CA50FB9" w14:textId="77777777" w:rsidR="004C4D40" w:rsidRPr="00A613D6" w:rsidRDefault="004C4D40">
      <w:pPr>
        <w:pStyle w:val="Header"/>
        <w:jc w:val="both"/>
        <w:rPr>
          <w:i/>
          <w:sz w:val="22"/>
          <w:szCs w:val="22"/>
          <w:lang w:val="sr-Latn-ME"/>
        </w:rPr>
      </w:pPr>
      <w:r w:rsidRPr="00A613D6">
        <w:rPr>
          <w:i/>
          <w:sz w:val="22"/>
          <w:szCs w:val="22"/>
          <w:lang w:val="sr-Latn-ME"/>
        </w:rPr>
        <w:t>Farmakodinamski efekti</w:t>
      </w:r>
    </w:p>
    <w:p w14:paraId="435901DA" w14:textId="0C1380F1" w:rsidR="004C4D40" w:rsidRPr="00A613D6" w:rsidRDefault="004C4D40">
      <w:pPr>
        <w:pStyle w:val="Header"/>
        <w:jc w:val="both"/>
        <w:rPr>
          <w:sz w:val="22"/>
          <w:szCs w:val="22"/>
          <w:lang w:val="sr-Latn-ME"/>
        </w:rPr>
      </w:pPr>
      <w:r w:rsidRPr="00A613D6">
        <w:rPr>
          <w:sz w:val="22"/>
          <w:szCs w:val="22"/>
          <w:lang w:val="sr-Latn-ME"/>
        </w:rPr>
        <w:t>Svi prim</w:t>
      </w:r>
      <w:r w:rsidR="000C6A5A" w:rsidRPr="00A613D6">
        <w:rPr>
          <w:sz w:val="22"/>
          <w:szCs w:val="22"/>
          <w:lang w:val="sr-Latn-ME"/>
        </w:rPr>
        <w:t>i</w:t>
      </w:r>
      <w:r w:rsidRPr="00A613D6">
        <w:rPr>
          <w:sz w:val="22"/>
          <w:szCs w:val="22"/>
          <w:lang w:val="sr-Latn-ME"/>
        </w:rPr>
        <w:t>jećeni farmakodinamski efekti su posl</w:t>
      </w:r>
      <w:r w:rsidR="00881C6F" w:rsidRPr="00A613D6">
        <w:rPr>
          <w:sz w:val="22"/>
          <w:szCs w:val="22"/>
          <w:lang w:val="sr-Latn-ME"/>
        </w:rPr>
        <w:t>j</w:t>
      </w:r>
      <w:r w:rsidRPr="00A613D6">
        <w:rPr>
          <w:sz w:val="22"/>
          <w:szCs w:val="22"/>
          <w:lang w:val="sr-Latn-ME"/>
        </w:rPr>
        <w:t>edica uticaja omeprazola na lučenje želudačne kiseline.</w:t>
      </w:r>
    </w:p>
    <w:p w14:paraId="48A8D346" w14:textId="77777777" w:rsidR="004C4D40" w:rsidRPr="00A613D6" w:rsidRDefault="004C4D40">
      <w:pPr>
        <w:pStyle w:val="Header"/>
        <w:jc w:val="both"/>
        <w:rPr>
          <w:sz w:val="22"/>
          <w:szCs w:val="22"/>
          <w:lang w:val="sr-Latn-ME"/>
        </w:rPr>
      </w:pPr>
    </w:p>
    <w:p w14:paraId="0FBDFE6C" w14:textId="77777777" w:rsidR="004C4D40" w:rsidRPr="00A613D6" w:rsidRDefault="004C4D40">
      <w:pPr>
        <w:pStyle w:val="Header"/>
        <w:jc w:val="both"/>
        <w:rPr>
          <w:i/>
          <w:sz w:val="22"/>
          <w:szCs w:val="22"/>
          <w:lang w:val="sr-Latn-ME"/>
        </w:rPr>
      </w:pPr>
      <w:r w:rsidRPr="00A613D6">
        <w:rPr>
          <w:i/>
          <w:sz w:val="22"/>
          <w:szCs w:val="22"/>
          <w:lang w:val="sr-Latn-ME"/>
        </w:rPr>
        <w:t xml:space="preserve">Uticaj na lučenje želudačne kiseline </w:t>
      </w:r>
    </w:p>
    <w:p w14:paraId="06D62E7C" w14:textId="6A1800B6" w:rsidR="004C4D40" w:rsidRPr="00A613D6" w:rsidRDefault="004C4D40">
      <w:pPr>
        <w:pStyle w:val="Header"/>
        <w:tabs>
          <w:tab w:val="right" w:pos="9781"/>
        </w:tabs>
        <w:jc w:val="both"/>
        <w:rPr>
          <w:sz w:val="22"/>
          <w:szCs w:val="22"/>
          <w:lang w:val="sr-Latn-ME"/>
        </w:rPr>
      </w:pPr>
      <w:r w:rsidRPr="00A613D6">
        <w:rPr>
          <w:sz w:val="22"/>
          <w:szCs w:val="22"/>
          <w:lang w:val="sr-Latn-ME"/>
        </w:rPr>
        <w:t>Oralna primjena omeprazola jednom dnevno obezb</w:t>
      </w:r>
      <w:r w:rsidR="000D34AD" w:rsidRPr="00A613D6">
        <w:rPr>
          <w:sz w:val="22"/>
          <w:szCs w:val="22"/>
          <w:lang w:val="sr-Latn-ME"/>
        </w:rPr>
        <w:t>j</w:t>
      </w:r>
      <w:r w:rsidRPr="00A613D6">
        <w:rPr>
          <w:sz w:val="22"/>
          <w:szCs w:val="22"/>
          <w:lang w:val="sr-Latn-ME"/>
        </w:rPr>
        <w:t>eđuje brzu i efikasnu inhibiciju dnevne i noćne sekrecije želudačne kiseline sa maksimalnim efektom nakon 4 dana od početka terapije. Primjenom 20 mg omeprazola, kod pacijenata sa duodenalnim ulkusom se održava smanjenje 24-časovnog želudačnog aciditeta u prosjeku za 80 %, sa pros</w:t>
      </w:r>
      <w:r w:rsidR="000D34AD" w:rsidRPr="00A613D6">
        <w:rPr>
          <w:sz w:val="22"/>
          <w:szCs w:val="22"/>
          <w:lang w:val="sr-Latn-ME"/>
        </w:rPr>
        <w:t>j</w:t>
      </w:r>
      <w:r w:rsidRPr="00A613D6">
        <w:rPr>
          <w:sz w:val="22"/>
          <w:szCs w:val="22"/>
          <w:lang w:val="sr-Latn-ME"/>
        </w:rPr>
        <w:t>ečnim smanjenjem maksimuma koncentracije želudačne kiseline za 70 % nakon stimulacije pentagastrinom 24 časa posl</w:t>
      </w:r>
      <w:r w:rsidR="000C6A5A" w:rsidRPr="00A613D6">
        <w:rPr>
          <w:sz w:val="22"/>
          <w:szCs w:val="22"/>
          <w:lang w:val="sr-Latn-ME"/>
        </w:rPr>
        <w:t>ij</w:t>
      </w:r>
      <w:r w:rsidRPr="00A613D6">
        <w:rPr>
          <w:sz w:val="22"/>
          <w:szCs w:val="22"/>
          <w:lang w:val="sr-Latn-ME"/>
        </w:rPr>
        <w:t>e primjene doze omeprazola.</w:t>
      </w:r>
    </w:p>
    <w:p w14:paraId="61C1F5D4" w14:textId="77777777" w:rsidR="004C4D40" w:rsidRPr="00A613D6" w:rsidRDefault="004C4D40">
      <w:pPr>
        <w:pStyle w:val="Header"/>
        <w:jc w:val="both"/>
        <w:rPr>
          <w:sz w:val="22"/>
          <w:szCs w:val="22"/>
          <w:lang w:val="sr-Latn-ME"/>
        </w:rPr>
      </w:pPr>
    </w:p>
    <w:p w14:paraId="6900BB5A" w14:textId="5A18A5D6" w:rsidR="004C4D40" w:rsidRPr="00A613D6" w:rsidRDefault="004C4D40">
      <w:pPr>
        <w:pStyle w:val="Header"/>
        <w:jc w:val="both"/>
        <w:rPr>
          <w:sz w:val="22"/>
          <w:szCs w:val="22"/>
          <w:lang w:val="sr-Latn-ME"/>
        </w:rPr>
      </w:pPr>
      <w:r w:rsidRPr="00A613D6">
        <w:rPr>
          <w:sz w:val="22"/>
          <w:szCs w:val="22"/>
          <w:lang w:val="sr-Latn-ME"/>
        </w:rPr>
        <w:t>Oralna primjena 20 mg omeprazola kod pacijenata sa duodenalnim ulkusom održava gastrične vr</w:t>
      </w:r>
      <w:r w:rsidR="000C6A5A" w:rsidRPr="00A613D6">
        <w:rPr>
          <w:sz w:val="22"/>
          <w:szCs w:val="22"/>
          <w:lang w:val="sr-Latn-ME"/>
        </w:rPr>
        <w:t>ij</w:t>
      </w:r>
      <w:r w:rsidRPr="00A613D6">
        <w:rPr>
          <w:sz w:val="22"/>
          <w:szCs w:val="22"/>
          <w:lang w:val="sr-Latn-ME"/>
        </w:rPr>
        <w:t>ednosti pH ≥ 3 u trajanju od 17 sati, u toku perioda od 24 časa.</w:t>
      </w:r>
    </w:p>
    <w:p w14:paraId="5C2056C4" w14:textId="77777777" w:rsidR="004C4D40" w:rsidRPr="00A613D6" w:rsidRDefault="004C4D40">
      <w:pPr>
        <w:pStyle w:val="Header"/>
        <w:jc w:val="both"/>
        <w:rPr>
          <w:sz w:val="22"/>
          <w:szCs w:val="22"/>
          <w:lang w:val="sr-Latn-ME"/>
        </w:rPr>
      </w:pPr>
    </w:p>
    <w:p w14:paraId="5FAD8CB2" w14:textId="40FB4E09" w:rsidR="004C4D40" w:rsidRPr="00A613D6" w:rsidRDefault="004C4D40">
      <w:pPr>
        <w:pStyle w:val="Header"/>
        <w:jc w:val="both"/>
        <w:rPr>
          <w:sz w:val="22"/>
          <w:szCs w:val="22"/>
          <w:lang w:val="sr-Latn-ME"/>
        </w:rPr>
      </w:pPr>
      <w:r w:rsidRPr="00A613D6">
        <w:rPr>
          <w:sz w:val="22"/>
          <w:szCs w:val="22"/>
          <w:lang w:val="sr-Latn-ME"/>
        </w:rPr>
        <w:lastRenderedPageBreak/>
        <w:t>Kao posl</w:t>
      </w:r>
      <w:r w:rsidR="0005746B" w:rsidRPr="00A613D6">
        <w:rPr>
          <w:sz w:val="22"/>
          <w:szCs w:val="22"/>
          <w:lang w:val="sr-Latn-ME"/>
        </w:rPr>
        <w:t>j</w:t>
      </w:r>
      <w:r w:rsidRPr="00A613D6">
        <w:rPr>
          <w:sz w:val="22"/>
          <w:szCs w:val="22"/>
          <w:lang w:val="sr-Latn-ME"/>
        </w:rPr>
        <w:t>edica smanjene sekrecije želudačne kiseline i smanjenog aciditeta želuca, omeprazol u zavisnosti od doze smanjuje/normalizuje izloženost jednjaka želudačnoj kiselini kod pacijenata koji imaju gastroezofagealnu refluksnu bolest.</w:t>
      </w:r>
    </w:p>
    <w:p w14:paraId="1FFB6D4C" w14:textId="77777777" w:rsidR="004C4D40" w:rsidRPr="00A613D6" w:rsidRDefault="004C4D40">
      <w:pPr>
        <w:pStyle w:val="Header"/>
        <w:jc w:val="both"/>
        <w:rPr>
          <w:sz w:val="22"/>
          <w:szCs w:val="22"/>
          <w:lang w:val="sr-Latn-ME"/>
        </w:rPr>
      </w:pPr>
    </w:p>
    <w:p w14:paraId="0B9CADEA" w14:textId="03ED8404" w:rsidR="004C4D40" w:rsidRPr="00A613D6" w:rsidRDefault="004C4D40">
      <w:pPr>
        <w:pStyle w:val="Header"/>
        <w:jc w:val="both"/>
        <w:rPr>
          <w:sz w:val="22"/>
          <w:szCs w:val="22"/>
          <w:lang w:val="sr-Latn-ME"/>
        </w:rPr>
      </w:pPr>
      <w:r w:rsidRPr="00A613D6">
        <w:rPr>
          <w:sz w:val="22"/>
          <w:szCs w:val="22"/>
          <w:lang w:val="sr-Latn-ME"/>
        </w:rPr>
        <w:t>Inhibicija sekrecije želudačne kiseline je u korelaciji sa PIK-om (površina ispod krive koncentracija-vr</w:t>
      </w:r>
      <w:r w:rsidR="0005746B" w:rsidRPr="00A613D6">
        <w:rPr>
          <w:sz w:val="22"/>
          <w:szCs w:val="22"/>
          <w:lang w:val="sr-Latn-ME"/>
        </w:rPr>
        <w:t>ij</w:t>
      </w:r>
      <w:r w:rsidRPr="00A613D6">
        <w:rPr>
          <w:sz w:val="22"/>
          <w:szCs w:val="22"/>
          <w:lang w:val="sr-Latn-ME"/>
        </w:rPr>
        <w:t>eme) omeprazola, a ne sa stvarnom koncentracijom u plazmi u datom vremenu.</w:t>
      </w:r>
    </w:p>
    <w:p w14:paraId="14C8B16B" w14:textId="77777777" w:rsidR="004C4D40" w:rsidRPr="00A613D6" w:rsidRDefault="004C4D40">
      <w:pPr>
        <w:pStyle w:val="Header"/>
        <w:tabs>
          <w:tab w:val="left" w:pos="284"/>
        </w:tabs>
        <w:jc w:val="both"/>
        <w:rPr>
          <w:sz w:val="22"/>
          <w:szCs w:val="22"/>
          <w:lang w:val="sr-Latn-ME"/>
        </w:rPr>
      </w:pPr>
    </w:p>
    <w:p w14:paraId="724B0D51" w14:textId="3EFB1F82" w:rsidR="004C4D40" w:rsidRPr="00A613D6" w:rsidRDefault="004C4D40">
      <w:pPr>
        <w:pStyle w:val="Header"/>
        <w:tabs>
          <w:tab w:val="left" w:pos="284"/>
        </w:tabs>
        <w:jc w:val="both"/>
        <w:rPr>
          <w:sz w:val="22"/>
          <w:szCs w:val="22"/>
          <w:lang w:val="sr-Latn-ME"/>
        </w:rPr>
      </w:pPr>
      <w:r w:rsidRPr="00A613D6">
        <w:rPr>
          <w:sz w:val="22"/>
          <w:szCs w:val="22"/>
          <w:lang w:val="sr-Latn-ME"/>
        </w:rPr>
        <w:t>Nije prim</w:t>
      </w:r>
      <w:r w:rsidR="000C6A5A" w:rsidRPr="00A613D6">
        <w:rPr>
          <w:sz w:val="22"/>
          <w:szCs w:val="22"/>
          <w:lang w:val="sr-Latn-ME"/>
        </w:rPr>
        <w:t>i</w:t>
      </w:r>
      <w:r w:rsidRPr="00A613D6">
        <w:rPr>
          <w:sz w:val="22"/>
          <w:szCs w:val="22"/>
          <w:lang w:val="sr-Latn-ME"/>
        </w:rPr>
        <w:t>jećena tahifilaksija tokom primjene omeprazola.</w:t>
      </w:r>
    </w:p>
    <w:p w14:paraId="444AC626" w14:textId="77777777" w:rsidR="004C4D40" w:rsidRPr="00A613D6" w:rsidRDefault="004C4D40">
      <w:pPr>
        <w:pStyle w:val="Header"/>
        <w:tabs>
          <w:tab w:val="left" w:pos="284"/>
        </w:tabs>
        <w:jc w:val="both"/>
        <w:rPr>
          <w:sz w:val="22"/>
          <w:szCs w:val="22"/>
          <w:lang w:val="sr-Latn-ME"/>
        </w:rPr>
      </w:pPr>
    </w:p>
    <w:p w14:paraId="03A08509" w14:textId="77777777" w:rsidR="004C4D40" w:rsidRPr="00A613D6" w:rsidRDefault="004C4D40">
      <w:pPr>
        <w:pStyle w:val="Header"/>
        <w:tabs>
          <w:tab w:val="left" w:pos="284"/>
        </w:tabs>
        <w:jc w:val="both"/>
        <w:rPr>
          <w:i/>
          <w:iCs/>
          <w:sz w:val="22"/>
          <w:szCs w:val="22"/>
          <w:lang w:val="sr-Latn-ME"/>
        </w:rPr>
      </w:pPr>
      <w:r w:rsidRPr="00A613D6">
        <w:rPr>
          <w:i/>
          <w:iCs/>
          <w:sz w:val="22"/>
          <w:szCs w:val="22"/>
          <w:lang w:val="sr-Latn-ME"/>
        </w:rPr>
        <w:t>Ostali efekti smanjenog lučenja želudačne kiseline</w:t>
      </w:r>
    </w:p>
    <w:p w14:paraId="401C6CF5" w14:textId="57E2678E" w:rsidR="004C4D40" w:rsidRPr="00A613D6" w:rsidRDefault="004C4D40">
      <w:pPr>
        <w:pStyle w:val="Header"/>
        <w:jc w:val="both"/>
        <w:rPr>
          <w:sz w:val="22"/>
          <w:szCs w:val="22"/>
          <w:lang w:val="sr-Latn-ME"/>
        </w:rPr>
      </w:pPr>
      <w:r w:rsidRPr="00A613D6">
        <w:rPr>
          <w:sz w:val="22"/>
          <w:szCs w:val="22"/>
          <w:lang w:val="sr-Latn-ME"/>
        </w:rPr>
        <w:t>Tokom dugotrajnih terapija omeprazolom nešto učestalije su prim</w:t>
      </w:r>
      <w:r w:rsidR="000C6A5A" w:rsidRPr="00A613D6">
        <w:rPr>
          <w:sz w:val="22"/>
          <w:szCs w:val="22"/>
          <w:lang w:val="sr-Latn-ME"/>
        </w:rPr>
        <w:t>i</w:t>
      </w:r>
      <w:r w:rsidRPr="00A613D6">
        <w:rPr>
          <w:sz w:val="22"/>
          <w:szCs w:val="22"/>
          <w:lang w:val="sr-Latn-ME"/>
        </w:rPr>
        <w:t>jećeni slučajevi pojave cista želudačnih žl</w:t>
      </w:r>
      <w:r w:rsidR="009C693E" w:rsidRPr="00A613D6">
        <w:rPr>
          <w:sz w:val="22"/>
          <w:szCs w:val="22"/>
          <w:lang w:val="sr-Latn-ME"/>
        </w:rPr>
        <w:t>i</w:t>
      </w:r>
      <w:r w:rsidR="0005746B" w:rsidRPr="00A613D6">
        <w:rPr>
          <w:sz w:val="22"/>
          <w:szCs w:val="22"/>
          <w:lang w:val="sr-Latn-ME"/>
        </w:rPr>
        <w:t>j</w:t>
      </w:r>
      <w:r w:rsidRPr="00A613D6">
        <w:rPr>
          <w:sz w:val="22"/>
          <w:szCs w:val="22"/>
          <w:lang w:val="sr-Latn-ME"/>
        </w:rPr>
        <w:t>ezda. Ove promjene su fiziološka posl</w:t>
      </w:r>
      <w:r w:rsidR="0005746B" w:rsidRPr="00A613D6">
        <w:rPr>
          <w:sz w:val="22"/>
          <w:szCs w:val="22"/>
          <w:lang w:val="sr-Latn-ME"/>
        </w:rPr>
        <w:t>j</w:t>
      </w:r>
      <w:r w:rsidRPr="00A613D6">
        <w:rPr>
          <w:sz w:val="22"/>
          <w:szCs w:val="22"/>
          <w:lang w:val="sr-Latn-ME"/>
        </w:rPr>
        <w:t>edica izražene inhibicije lučenja želudačne kiseline, benigne su i reverzibilne.</w:t>
      </w:r>
    </w:p>
    <w:p w14:paraId="1D8CBFCF" w14:textId="77777777" w:rsidR="004C4D40" w:rsidRPr="00A613D6" w:rsidRDefault="004C4D40">
      <w:pPr>
        <w:pStyle w:val="Header"/>
        <w:jc w:val="both"/>
        <w:rPr>
          <w:sz w:val="22"/>
          <w:szCs w:val="22"/>
          <w:lang w:val="sr-Latn-ME"/>
        </w:rPr>
      </w:pPr>
    </w:p>
    <w:p w14:paraId="3BA722A5" w14:textId="705DDBCC" w:rsidR="004C4D40" w:rsidRPr="00A613D6" w:rsidRDefault="004C4D40">
      <w:pPr>
        <w:pStyle w:val="Header"/>
        <w:jc w:val="both"/>
        <w:rPr>
          <w:sz w:val="22"/>
          <w:szCs w:val="22"/>
          <w:lang w:val="sr-Latn-ME"/>
        </w:rPr>
      </w:pPr>
      <w:r w:rsidRPr="00A613D6">
        <w:rPr>
          <w:sz w:val="22"/>
          <w:szCs w:val="22"/>
          <w:lang w:val="sr-Latn-ME"/>
        </w:rPr>
        <w:t xml:space="preserve">Smanjenje aciditeta želuca iz bilo kog razloga, pa i usljed korišćenja inhibitora protonske pumpe, utiče na povećanje broja bakterija u želucu koje su inače prisutne u gastrointestinalnom traktu. Terapija ljekovima koji snižavaju želudačnu kiselost vodi blagom povećanju rizika od infekcija bakterijama kao što su </w:t>
      </w:r>
      <w:r w:rsidRPr="00A613D6">
        <w:rPr>
          <w:i/>
          <w:sz w:val="22"/>
          <w:szCs w:val="22"/>
          <w:lang w:val="sr-Latn-ME"/>
        </w:rPr>
        <w:t xml:space="preserve">Salmonella </w:t>
      </w:r>
      <w:r w:rsidRPr="00A613D6">
        <w:rPr>
          <w:sz w:val="22"/>
          <w:szCs w:val="22"/>
          <w:lang w:val="sr-Latn-ME"/>
        </w:rPr>
        <w:t>i</w:t>
      </w:r>
      <w:r w:rsidRPr="00A613D6">
        <w:rPr>
          <w:i/>
          <w:sz w:val="22"/>
          <w:szCs w:val="22"/>
          <w:lang w:val="sr-Latn-ME"/>
        </w:rPr>
        <w:t xml:space="preserve"> Campylobacter</w:t>
      </w:r>
      <w:r w:rsidRPr="00A613D6">
        <w:rPr>
          <w:sz w:val="22"/>
          <w:szCs w:val="22"/>
          <w:lang w:val="sr-Latn-ME"/>
        </w:rPr>
        <w:t>.</w:t>
      </w:r>
    </w:p>
    <w:p w14:paraId="15E8E17F" w14:textId="77777777" w:rsidR="004C4D40" w:rsidRPr="00A613D6" w:rsidRDefault="004C4D40">
      <w:pPr>
        <w:pStyle w:val="Header"/>
        <w:jc w:val="both"/>
        <w:rPr>
          <w:sz w:val="22"/>
          <w:szCs w:val="22"/>
          <w:lang w:val="sr-Latn-ME"/>
        </w:rPr>
      </w:pPr>
    </w:p>
    <w:p w14:paraId="221F788A" w14:textId="56BEBF4B" w:rsidR="004C4D40" w:rsidRPr="00A613D6" w:rsidRDefault="004C4D40">
      <w:pPr>
        <w:pStyle w:val="Header"/>
        <w:jc w:val="both"/>
        <w:rPr>
          <w:sz w:val="22"/>
          <w:szCs w:val="22"/>
          <w:lang w:val="sr-Latn-ME"/>
        </w:rPr>
      </w:pPr>
      <w:r w:rsidRPr="00A613D6">
        <w:rPr>
          <w:sz w:val="22"/>
          <w:szCs w:val="22"/>
          <w:lang w:val="sr-Latn-ME"/>
        </w:rPr>
        <w:t>Tokom terapije antisekretornim ljekovima, kao posl</w:t>
      </w:r>
      <w:r w:rsidR="00812E46" w:rsidRPr="00A613D6">
        <w:rPr>
          <w:sz w:val="22"/>
          <w:szCs w:val="22"/>
          <w:lang w:val="sr-Latn-ME"/>
        </w:rPr>
        <w:t>j</w:t>
      </w:r>
      <w:r w:rsidRPr="00A613D6">
        <w:rPr>
          <w:sz w:val="22"/>
          <w:szCs w:val="22"/>
          <w:lang w:val="sr-Latn-ME"/>
        </w:rPr>
        <w:t>edica smanjene sekrecije želudačne kiseline dolazi do porasta gastrina u serumu. Povišen nivo CgA može da utiče na ispitivanja neuroendokrinih tumora. Dostupni objavljeni dokazi ukazuju na to da treba prekinuti primjenu inhibitora protonske pumpe između 5 dana i 2 ned</w:t>
      </w:r>
      <w:r w:rsidR="00812E46" w:rsidRPr="00A613D6">
        <w:rPr>
          <w:sz w:val="22"/>
          <w:szCs w:val="22"/>
          <w:lang w:val="sr-Latn-ME"/>
        </w:rPr>
        <w:t>j</w:t>
      </w:r>
      <w:r w:rsidRPr="00A613D6">
        <w:rPr>
          <w:sz w:val="22"/>
          <w:szCs w:val="22"/>
          <w:lang w:val="sr-Latn-ME"/>
        </w:rPr>
        <w:t xml:space="preserve">elje prije mjerenja nivoa CgA. To treba da omogući da se nivo CgA, koji je mogao biti lažno povišen nakon primjene PPI, vrati u referentni opseg. </w:t>
      </w:r>
    </w:p>
    <w:p w14:paraId="2C6010D6" w14:textId="77777777" w:rsidR="004C4D40" w:rsidRPr="00A613D6" w:rsidRDefault="004C4D40">
      <w:pPr>
        <w:pStyle w:val="Header"/>
        <w:jc w:val="both"/>
        <w:rPr>
          <w:sz w:val="22"/>
          <w:szCs w:val="22"/>
          <w:lang w:val="sr-Latn-ME"/>
        </w:rPr>
      </w:pPr>
    </w:p>
    <w:p w14:paraId="7C72BF40" w14:textId="1EFF2312" w:rsidR="004C4D40" w:rsidRPr="00A613D6" w:rsidRDefault="004C4D40">
      <w:pPr>
        <w:autoSpaceDE w:val="0"/>
        <w:autoSpaceDN w:val="0"/>
        <w:adjustRightInd w:val="0"/>
        <w:jc w:val="both"/>
        <w:rPr>
          <w:rFonts w:eastAsia="TimesNewRoman"/>
          <w:sz w:val="22"/>
          <w:szCs w:val="22"/>
          <w:lang w:val="sr-Latn-ME"/>
        </w:rPr>
      </w:pPr>
      <w:r w:rsidRPr="00A613D6">
        <w:rPr>
          <w:rFonts w:eastAsia="TimesNewRoman"/>
          <w:sz w:val="22"/>
          <w:szCs w:val="22"/>
          <w:lang w:val="sr-Latn-ME"/>
        </w:rPr>
        <w:t>Povećan broj ECL ćelija, v</w:t>
      </w:r>
      <w:r w:rsidR="00180696" w:rsidRPr="00A613D6">
        <w:rPr>
          <w:rFonts w:eastAsia="TimesNewRoman"/>
          <w:sz w:val="22"/>
          <w:szCs w:val="22"/>
          <w:lang w:val="sr-Latn-ME"/>
        </w:rPr>
        <w:t>j</w:t>
      </w:r>
      <w:r w:rsidRPr="00A613D6">
        <w:rPr>
          <w:rFonts w:eastAsia="TimesNewRoman"/>
          <w:sz w:val="22"/>
          <w:szCs w:val="22"/>
          <w:lang w:val="sr-Latn-ME"/>
        </w:rPr>
        <w:t>erovatno povezan sa povećanom koncentracijom gastrina u serumu, je uočen kod nekih pacijenata (i djeca i odrasli) tokom dugotrajne primjene omeprazola. Ne smatra se da to ima neki klinički značaj.</w:t>
      </w:r>
    </w:p>
    <w:p w14:paraId="54EEF34B" w14:textId="77777777" w:rsidR="00E639FB" w:rsidRPr="00A613D6" w:rsidRDefault="00E639FB">
      <w:pPr>
        <w:autoSpaceDE w:val="0"/>
        <w:autoSpaceDN w:val="0"/>
        <w:adjustRightInd w:val="0"/>
        <w:jc w:val="both"/>
        <w:rPr>
          <w:rFonts w:eastAsia="TimesNewRoman"/>
          <w:sz w:val="22"/>
          <w:szCs w:val="22"/>
          <w:lang w:val="sr-Latn-ME"/>
        </w:rPr>
      </w:pPr>
    </w:p>
    <w:p w14:paraId="4C964640" w14:textId="5B369637" w:rsidR="0072020E" w:rsidRPr="00A613D6" w:rsidRDefault="0072020E">
      <w:pPr>
        <w:tabs>
          <w:tab w:val="left" w:pos="540"/>
          <w:tab w:val="left" w:pos="569"/>
        </w:tabs>
        <w:jc w:val="both"/>
        <w:rPr>
          <w:b/>
          <w:bCs/>
          <w:sz w:val="22"/>
          <w:szCs w:val="22"/>
          <w:lang w:val="sr-Latn-ME"/>
        </w:rPr>
      </w:pPr>
      <w:r w:rsidRPr="00A613D6">
        <w:rPr>
          <w:b/>
          <w:bCs/>
          <w:sz w:val="22"/>
          <w:szCs w:val="22"/>
          <w:lang w:val="sr-Latn-ME"/>
        </w:rPr>
        <w:t xml:space="preserve">5.2. </w:t>
      </w:r>
      <w:r w:rsidR="00480FB1" w:rsidRPr="00A613D6">
        <w:rPr>
          <w:b/>
          <w:bCs/>
          <w:sz w:val="22"/>
          <w:szCs w:val="22"/>
          <w:lang w:val="sr-Latn-ME"/>
        </w:rPr>
        <w:tab/>
      </w:r>
      <w:r w:rsidRPr="00A613D6">
        <w:rPr>
          <w:b/>
          <w:bCs/>
          <w:sz w:val="22"/>
          <w:szCs w:val="22"/>
          <w:lang w:val="sr-Latn-ME"/>
        </w:rPr>
        <w:t>Farmakokinetički podaci</w:t>
      </w:r>
      <w:r w:rsidR="003A7059" w:rsidRPr="00A613D6">
        <w:rPr>
          <w:b/>
          <w:bCs/>
          <w:sz w:val="22"/>
          <w:szCs w:val="22"/>
          <w:lang w:val="sr-Latn-ME"/>
        </w:rPr>
        <w:t xml:space="preserve"> </w:t>
      </w:r>
    </w:p>
    <w:p w14:paraId="4C964641" w14:textId="74090E3D" w:rsidR="0072020E" w:rsidRPr="00A613D6" w:rsidRDefault="0072020E">
      <w:pPr>
        <w:tabs>
          <w:tab w:val="left" w:pos="540"/>
          <w:tab w:val="left" w:pos="569"/>
        </w:tabs>
        <w:jc w:val="both"/>
        <w:rPr>
          <w:bCs/>
          <w:sz w:val="22"/>
          <w:szCs w:val="22"/>
          <w:lang w:val="sr-Latn-ME"/>
        </w:rPr>
      </w:pPr>
    </w:p>
    <w:p w14:paraId="786B6E0B" w14:textId="1CC80931" w:rsidR="004A3708" w:rsidRPr="00A613D6" w:rsidRDefault="004A3708">
      <w:pPr>
        <w:jc w:val="both"/>
        <w:rPr>
          <w:sz w:val="22"/>
          <w:szCs w:val="22"/>
          <w:u w:val="single"/>
          <w:lang w:val="sr-Latn-ME"/>
        </w:rPr>
      </w:pPr>
      <w:r w:rsidRPr="00A613D6">
        <w:rPr>
          <w:sz w:val="22"/>
          <w:szCs w:val="22"/>
          <w:u w:val="single"/>
          <w:lang w:val="sr-Latn-ME"/>
        </w:rPr>
        <w:t>Diklofenak</w:t>
      </w:r>
    </w:p>
    <w:p w14:paraId="41156063" w14:textId="77777777" w:rsidR="00873951" w:rsidRPr="00A613D6" w:rsidRDefault="00873951">
      <w:pPr>
        <w:jc w:val="both"/>
        <w:rPr>
          <w:sz w:val="22"/>
          <w:szCs w:val="22"/>
          <w:u w:val="single"/>
          <w:lang w:val="sr-Latn-ME"/>
        </w:rPr>
      </w:pPr>
    </w:p>
    <w:p w14:paraId="4C6991EF" w14:textId="09B0A226" w:rsidR="004A3708" w:rsidRPr="00A613D6" w:rsidRDefault="004A3708">
      <w:pPr>
        <w:jc w:val="both"/>
        <w:rPr>
          <w:sz w:val="22"/>
          <w:szCs w:val="22"/>
          <w:lang w:val="sr-Latn-ME"/>
        </w:rPr>
      </w:pPr>
      <w:r w:rsidRPr="00A613D6">
        <w:rPr>
          <w:sz w:val="22"/>
          <w:szCs w:val="22"/>
          <w:lang w:val="sr-Latn-ME"/>
        </w:rPr>
        <w:t>Nakon oralne primjene</w:t>
      </w:r>
      <w:r w:rsidR="00180696" w:rsidRPr="00A613D6">
        <w:rPr>
          <w:sz w:val="22"/>
          <w:szCs w:val="22"/>
          <w:lang w:val="sr-Latn-ME"/>
        </w:rPr>
        <w:t>,</w:t>
      </w:r>
      <w:r w:rsidRPr="00A613D6">
        <w:rPr>
          <w:sz w:val="22"/>
          <w:szCs w:val="22"/>
          <w:lang w:val="sr-Latn-ME"/>
        </w:rPr>
        <w:t xml:space="preserve"> diklofenak</w:t>
      </w:r>
      <w:r w:rsidR="00180696" w:rsidRPr="00A613D6">
        <w:rPr>
          <w:sz w:val="22"/>
          <w:szCs w:val="22"/>
          <w:lang w:val="sr-Latn-ME"/>
        </w:rPr>
        <w:t xml:space="preserve"> </w:t>
      </w:r>
      <w:r w:rsidRPr="00A613D6">
        <w:rPr>
          <w:sz w:val="22"/>
          <w:szCs w:val="22"/>
          <w:lang w:val="sr-Latn-ME"/>
        </w:rPr>
        <w:t>natrijum se brzo resorbuje i podl</w:t>
      </w:r>
      <w:r w:rsidR="0002062F" w:rsidRPr="00A613D6">
        <w:rPr>
          <w:sz w:val="22"/>
          <w:szCs w:val="22"/>
          <w:lang w:val="sr-Latn-ME"/>
        </w:rPr>
        <w:t>ij</w:t>
      </w:r>
      <w:r w:rsidRPr="00A613D6">
        <w:rPr>
          <w:sz w:val="22"/>
          <w:szCs w:val="22"/>
          <w:lang w:val="sr-Latn-ME"/>
        </w:rPr>
        <w:t>eže metabolizmu prvog prolaza. Terapijske koncentracije u plazmi se javljaju oko 30 minuta nakon primjene diklofenaka. Stepen vezivanja za proteine plazme iznosi 99,7 %, i terminalno poluvrijeme eliminacije iz plazme iznosi 1-2 sata.</w:t>
      </w:r>
    </w:p>
    <w:p w14:paraId="5275ECA3" w14:textId="7B7E303B" w:rsidR="004A3708" w:rsidRPr="00A613D6" w:rsidRDefault="004A3708">
      <w:pPr>
        <w:contextualSpacing/>
        <w:jc w:val="both"/>
        <w:rPr>
          <w:sz w:val="22"/>
          <w:szCs w:val="22"/>
          <w:lang w:val="sr-Latn-ME"/>
        </w:rPr>
      </w:pPr>
      <w:r w:rsidRPr="00A613D6">
        <w:rPr>
          <w:sz w:val="22"/>
          <w:szCs w:val="22"/>
          <w:lang w:val="sr-Latn-ME"/>
        </w:rPr>
        <w:t>Oko 60 % prim</w:t>
      </w:r>
      <w:r w:rsidR="0002062F" w:rsidRPr="00A613D6">
        <w:rPr>
          <w:sz w:val="22"/>
          <w:szCs w:val="22"/>
          <w:lang w:val="sr-Latn-ME"/>
        </w:rPr>
        <w:t>i</w:t>
      </w:r>
      <w:r w:rsidRPr="00A613D6">
        <w:rPr>
          <w:sz w:val="22"/>
          <w:szCs w:val="22"/>
          <w:lang w:val="sr-Latn-ME"/>
        </w:rPr>
        <w:t>jenjene doze izlučuje se urinom u obliku metabolita</w:t>
      </w:r>
      <w:r w:rsidR="0002062F" w:rsidRPr="00A613D6">
        <w:rPr>
          <w:sz w:val="22"/>
          <w:szCs w:val="22"/>
          <w:lang w:val="sr-Latn-ME"/>
        </w:rPr>
        <w:t>,</w:t>
      </w:r>
      <w:r w:rsidRPr="00A613D6">
        <w:rPr>
          <w:sz w:val="22"/>
          <w:szCs w:val="22"/>
          <w:lang w:val="sr-Latn-ME"/>
        </w:rPr>
        <w:t xml:space="preserve"> i manje od 1 % se izluči u nepromijenjenom obliku. Ostatak doze se eliminiše u obliku metabolita putem žuči.</w:t>
      </w:r>
    </w:p>
    <w:p w14:paraId="1104089A" w14:textId="77777777" w:rsidR="004A3708" w:rsidRPr="00A613D6" w:rsidRDefault="004A3708">
      <w:pPr>
        <w:jc w:val="both"/>
        <w:rPr>
          <w:sz w:val="22"/>
          <w:szCs w:val="22"/>
          <w:lang w:val="sr-Latn-ME"/>
        </w:rPr>
      </w:pPr>
    </w:p>
    <w:p w14:paraId="62CAB830" w14:textId="77777777" w:rsidR="004A3708" w:rsidRPr="00A613D6" w:rsidRDefault="004A3708">
      <w:pPr>
        <w:jc w:val="both"/>
        <w:rPr>
          <w:sz w:val="22"/>
          <w:szCs w:val="22"/>
          <w:lang w:val="sr-Latn-ME"/>
        </w:rPr>
      </w:pPr>
      <w:r w:rsidRPr="00A613D6">
        <w:rPr>
          <w:sz w:val="22"/>
          <w:szCs w:val="22"/>
          <w:lang w:val="sr-Latn-ME"/>
        </w:rPr>
        <w:t>Nakon brzog prolaska kroz želudac, gastrorezistentne pelete koje ulaze u sastav kapsule obezbjeđuju trenutnu raspoloživost diklofenaka u krvotoku. Pelete sa produženim oslobađanjem koje ulaze u sastav kapsule omogućavaju odloženo oslobađanje aktivne supstance, što znači da je dovoljno doziranje jednom dnevno.</w:t>
      </w:r>
    </w:p>
    <w:p w14:paraId="1608E4C7" w14:textId="77777777" w:rsidR="004A3708" w:rsidRPr="00A613D6" w:rsidRDefault="004A3708">
      <w:pPr>
        <w:jc w:val="both"/>
        <w:rPr>
          <w:sz w:val="22"/>
          <w:szCs w:val="22"/>
          <w:lang w:val="sr-Latn-ME"/>
        </w:rPr>
      </w:pPr>
    </w:p>
    <w:p w14:paraId="6E3D69E0" w14:textId="77777777" w:rsidR="004A3708" w:rsidRPr="00A613D6" w:rsidRDefault="004A3708">
      <w:pPr>
        <w:jc w:val="both"/>
        <w:rPr>
          <w:sz w:val="22"/>
          <w:szCs w:val="22"/>
          <w:u w:val="single"/>
          <w:lang w:val="sr-Latn-ME"/>
        </w:rPr>
      </w:pPr>
      <w:r w:rsidRPr="00A613D6">
        <w:rPr>
          <w:sz w:val="22"/>
          <w:szCs w:val="22"/>
          <w:u w:val="single"/>
          <w:lang w:val="sr-Latn-ME"/>
        </w:rPr>
        <w:t>Omeprazol</w:t>
      </w:r>
    </w:p>
    <w:p w14:paraId="4513B06F" w14:textId="77777777" w:rsidR="004A3708" w:rsidRPr="00A613D6" w:rsidRDefault="004A3708">
      <w:pPr>
        <w:spacing w:before="100" w:beforeAutospacing="1" w:after="75"/>
        <w:jc w:val="both"/>
        <w:rPr>
          <w:i/>
          <w:color w:val="000000"/>
          <w:sz w:val="22"/>
          <w:szCs w:val="22"/>
          <w:lang w:val="sr-Latn-ME"/>
        </w:rPr>
      </w:pPr>
      <w:r w:rsidRPr="00A613D6">
        <w:rPr>
          <w:i/>
          <w:color w:val="000000"/>
          <w:sz w:val="22"/>
          <w:szCs w:val="22"/>
          <w:lang w:val="sr-Latn-ME"/>
        </w:rPr>
        <w:t>Resorpcija</w:t>
      </w:r>
    </w:p>
    <w:p w14:paraId="1F64681F" w14:textId="2E1CCBA6" w:rsidR="004A3708" w:rsidRPr="00A613D6" w:rsidRDefault="004A3708">
      <w:pPr>
        <w:jc w:val="both"/>
        <w:rPr>
          <w:color w:val="000000"/>
          <w:sz w:val="22"/>
          <w:szCs w:val="22"/>
          <w:lang w:val="sr-Latn-ME"/>
        </w:rPr>
      </w:pPr>
      <w:r w:rsidRPr="00A613D6">
        <w:rPr>
          <w:color w:val="000000"/>
          <w:sz w:val="22"/>
          <w:szCs w:val="22"/>
          <w:lang w:val="sr-Latn-ME"/>
        </w:rPr>
        <w:t>Omeprazol i omeprazol</w:t>
      </w:r>
      <w:r w:rsidR="008D172C" w:rsidRPr="00A613D6">
        <w:rPr>
          <w:color w:val="000000"/>
          <w:sz w:val="22"/>
          <w:szCs w:val="22"/>
          <w:lang w:val="sr-Latn-ME"/>
        </w:rPr>
        <w:t xml:space="preserve"> </w:t>
      </w:r>
      <w:r w:rsidRPr="00A613D6">
        <w:rPr>
          <w:color w:val="000000"/>
          <w:sz w:val="22"/>
          <w:szCs w:val="22"/>
          <w:lang w:val="sr-Latn-ME"/>
        </w:rPr>
        <w:t xml:space="preserve">magnezijum su nestabilni u kiseloj sredini, pa se iz tog razloga </w:t>
      </w:r>
      <w:r w:rsidR="008D172C" w:rsidRPr="00A613D6">
        <w:rPr>
          <w:color w:val="000000"/>
          <w:sz w:val="22"/>
          <w:szCs w:val="22"/>
          <w:lang w:val="sr-Latn-ME"/>
        </w:rPr>
        <w:t xml:space="preserve">primjenjuju </w:t>
      </w:r>
      <w:r w:rsidRPr="00A613D6">
        <w:rPr>
          <w:color w:val="000000"/>
          <w:sz w:val="22"/>
          <w:szCs w:val="22"/>
          <w:lang w:val="sr-Latn-ME"/>
        </w:rPr>
        <w:t>oralno u vidu gastrorezistentnih granula</w:t>
      </w:r>
      <w:r w:rsidR="008D172C" w:rsidRPr="00A613D6">
        <w:rPr>
          <w:color w:val="000000"/>
          <w:sz w:val="22"/>
          <w:szCs w:val="22"/>
          <w:lang w:val="sr-Latn-ME"/>
        </w:rPr>
        <w:t xml:space="preserve"> u kapsulama ili tabletama</w:t>
      </w:r>
      <w:r w:rsidRPr="00A613D6">
        <w:rPr>
          <w:color w:val="000000"/>
          <w:sz w:val="22"/>
          <w:szCs w:val="22"/>
          <w:lang w:val="sr-Latn-ME"/>
        </w:rPr>
        <w:t xml:space="preserve">. Resorpcija omeprazola je brza, maksimalne koncentracije se </w:t>
      </w:r>
      <w:r w:rsidR="008D172C" w:rsidRPr="00A613D6">
        <w:rPr>
          <w:color w:val="000000"/>
          <w:sz w:val="22"/>
          <w:szCs w:val="22"/>
          <w:lang w:val="sr-Latn-ME"/>
        </w:rPr>
        <w:t xml:space="preserve">dostižu </w:t>
      </w:r>
      <w:r w:rsidRPr="00A613D6">
        <w:rPr>
          <w:color w:val="000000"/>
          <w:sz w:val="22"/>
          <w:szCs w:val="22"/>
          <w:lang w:val="sr-Latn-ME"/>
        </w:rPr>
        <w:t>za oko 1-2 sata nakon primjene doze. Resorpcija omeprazola se dešava u tankom cr</w:t>
      </w:r>
      <w:r w:rsidR="00FD5E90" w:rsidRPr="00A613D6">
        <w:rPr>
          <w:color w:val="000000"/>
          <w:sz w:val="22"/>
          <w:szCs w:val="22"/>
          <w:lang w:val="sr-Latn-ME"/>
        </w:rPr>
        <w:t>ij</w:t>
      </w:r>
      <w:r w:rsidRPr="00A613D6">
        <w:rPr>
          <w:color w:val="000000"/>
          <w:sz w:val="22"/>
          <w:szCs w:val="22"/>
          <w:lang w:val="sr-Latn-ME"/>
        </w:rPr>
        <w:t>evu i najčešće je potpuna u roku 3-6 sati. Uzimanje hrane nema uticaja na bioraspoloživost omeprazola. Sistemska bioraspoloživost kod pojedinačne oralne doze je približno 40 %. Posl</w:t>
      </w:r>
      <w:r w:rsidR="008D172C" w:rsidRPr="00A613D6">
        <w:rPr>
          <w:color w:val="000000"/>
          <w:sz w:val="22"/>
          <w:szCs w:val="22"/>
          <w:lang w:val="sr-Latn-ME"/>
        </w:rPr>
        <w:t>ij</w:t>
      </w:r>
      <w:r w:rsidRPr="00A613D6">
        <w:rPr>
          <w:color w:val="000000"/>
          <w:sz w:val="22"/>
          <w:szCs w:val="22"/>
          <w:lang w:val="sr-Latn-ME"/>
        </w:rPr>
        <w:t>e ponovljenog doziranja jednom dnevno, bioraspoloživost raste na približno 60 %.</w:t>
      </w:r>
    </w:p>
    <w:p w14:paraId="69FB1FE9" w14:textId="77777777" w:rsidR="004A3708" w:rsidRPr="00A613D6" w:rsidRDefault="004A3708">
      <w:pPr>
        <w:jc w:val="both"/>
        <w:rPr>
          <w:color w:val="000000"/>
          <w:sz w:val="22"/>
          <w:szCs w:val="22"/>
          <w:lang w:val="sr-Latn-ME"/>
        </w:rPr>
      </w:pPr>
    </w:p>
    <w:p w14:paraId="620425C1" w14:textId="77777777" w:rsidR="004A3708" w:rsidRPr="00A613D6" w:rsidRDefault="004A3708">
      <w:pPr>
        <w:jc w:val="both"/>
        <w:rPr>
          <w:i/>
          <w:color w:val="000000"/>
          <w:sz w:val="22"/>
          <w:szCs w:val="22"/>
          <w:lang w:val="sr-Latn-ME"/>
        </w:rPr>
      </w:pPr>
      <w:r w:rsidRPr="00A613D6">
        <w:rPr>
          <w:i/>
          <w:color w:val="000000"/>
          <w:sz w:val="22"/>
          <w:szCs w:val="22"/>
          <w:lang w:val="sr-Latn-ME"/>
        </w:rPr>
        <w:t>Distribucija</w:t>
      </w:r>
    </w:p>
    <w:p w14:paraId="54293D78" w14:textId="1FBFCC4E" w:rsidR="004A3708" w:rsidRPr="00A613D6" w:rsidRDefault="004A3708">
      <w:pPr>
        <w:jc w:val="both"/>
        <w:rPr>
          <w:color w:val="000000"/>
          <w:sz w:val="22"/>
          <w:szCs w:val="22"/>
          <w:lang w:val="sr-Latn-ME"/>
        </w:rPr>
      </w:pPr>
      <w:r w:rsidRPr="00A613D6">
        <w:rPr>
          <w:color w:val="000000"/>
          <w:sz w:val="22"/>
          <w:szCs w:val="22"/>
          <w:lang w:val="sr-Latn-ME"/>
        </w:rPr>
        <w:lastRenderedPageBreak/>
        <w:t xml:space="preserve">Prividni volumen distribucije kod zdravih dobrovoljaca je približno 0,3 </w:t>
      </w:r>
      <w:r w:rsidR="008D172C" w:rsidRPr="00A613D6">
        <w:rPr>
          <w:color w:val="000000"/>
          <w:sz w:val="22"/>
          <w:szCs w:val="22"/>
          <w:lang w:val="sr-Latn-ME"/>
        </w:rPr>
        <w:t>l</w:t>
      </w:r>
      <w:r w:rsidRPr="00A613D6">
        <w:rPr>
          <w:color w:val="000000"/>
          <w:sz w:val="22"/>
          <w:szCs w:val="22"/>
          <w:lang w:val="sr-Latn-ME"/>
        </w:rPr>
        <w:t>/kg t</w:t>
      </w:r>
      <w:r w:rsidR="00FD5E90" w:rsidRPr="00A613D6">
        <w:rPr>
          <w:color w:val="000000"/>
          <w:sz w:val="22"/>
          <w:szCs w:val="22"/>
          <w:lang w:val="sr-Latn-ME"/>
        </w:rPr>
        <w:t>j</w:t>
      </w:r>
      <w:r w:rsidRPr="00A613D6">
        <w:rPr>
          <w:color w:val="000000"/>
          <w:sz w:val="22"/>
          <w:szCs w:val="22"/>
          <w:lang w:val="sr-Latn-ME"/>
        </w:rPr>
        <w:t>elesne težine. Vezivanje omeprazola za proteine plazme iznosi 97 %.</w:t>
      </w:r>
    </w:p>
    <w:p w14:paraId="4D281510" w14:textId="77777777" w:rsidR="004A3708" w:rsidRPr="00A613D6" w:rsidRDefault="004A3708">
      <w:pPr>
        <w:jc w:val="both"/>
        <w:rPr>
          <w:color w:val="000000"/>
          <w:sz w:val="22"/>
          <w:szCs w:val="22"/>
          <w:lang w:val="sr-Latn-ME"/>
        </w:rPr>
      </w:pPr>
    </w:p>
    <w:p w14:paraId="15BCD2F1" w14:textId="77777777" w:rsidR="004A3708" w:rsidRPr="00A613D6" w:rsidRDefault="004A3708">
      <w:pPr>
        <w:jc w:val="both"/>
        <w:rPr>
          <w:i/>
          <w:color w:val="000000"/>
          <w:sz w:val="22"/>
          <w:szCs w:val="22"/>
          <w:lang w:val="sr-Latn-ME"/>
        </w:rPr>
      </w:pPr>
      <w:r w:rsidRPr="00A613D6">
        <w:rPr>
          <w:i/>
          <w:color w:val="000000"/>
          <w:sz w:val="22"/>
          <w:szCs w:val="22"/>
          <w:lang w:val="sr-Latn-ME"/>
        </w:rPr>
        <w:t>Metabolizam</w:t>
      </w:r>
    </w:p>
    <w:p w14:paraId="07F53003" w14:textId="4E1812C9" w:rsidR="004A3708" w:rsidRPr="00A613D6" w:rsidRDefault="004A3708">
      <w:pPr>
        <w:jc w:val="both"/>
        <w:rPr>
          <w:color w:val="000000"/>
          <w:sz w:val="22"/>
          <w:szCs w:val="22"/>
          <w:lang w:val="sr-Latn-ME"/>
        </w:rPr>
      </w:pPr>
      <w:r w:rsidRPr="00A613D6">
        <w:rPr>
          <w:color w:val="000000"/>
          <w:sz w:val="22"/>
          <w:szCs w:val="22"/>
          <w:lang w:val="sr-Latn-ME"/>
        </w:rPr>
        <w:t>Omeprazol se potpuno metaboliše preko citohroma P450 (CYP). Veći dio metabolizma zavisi od polimorfno izraženog CYP2C19, koji je odgovoran za nastanak hidroksiomeprazola, glavnog metabolita u plazmi. Preostali dio omeprazola se metaboliše preko CYP3A4, kada nastaje omeprazol sulfon. Kao posl</w:t>
      </w:r>
      <w:r w:rsidR="008D172C" w:rsidRPr="00A613D6">
        <w:rPr>
          <w:color w:val="000000"/>
          <w:sz w:val="22"/>
          <w:szCs w:val="22"/>
          <w:lang w:val="sr-Latn-ME"/>
        </w:rPr>
        <w:t>j</w:t>
      </w:r>
      <w:r w:rsidRPr="00A613D6">
        <w:rPr>
          <w:color w:val="000000"/>
          <w:sz w:val="22"/>
          <w:szCs w:val="22"/>
          <w:lang w:val="sr-Latn-ME"/>
        </w:rPr>
        <w:t xml:space="preserve">edica velikog afiniteta omeprazola za CYP2C19, postoji mogućnost za kompetitivnu inhibiciju i pojavu interakcija među ljekovima koji su supstrati CYP2C19 enzima. </w:t>
      </w:r>
      <w:r w:rsidR="008D172C" w:rsidRPr="00A613D6">
        <w:rPr>
          <w:color w:val="000000"/>
          <w:sz w:val="22"/>
          <w:szCs w:val="22"/>
          <w:lang w:val="sr-Latn-ME"/>
        </w:rPr>
        <w:t xml:space="preserve">Međutim, kao </w:t>
      </w:r>
      <w:r w:rsidRPr="00A613D6">
        <w:rPr>
          <w:color w:val="000000"/>
          <w:sz w:val="22"/>
          <w:szCs w:val="22"/>
          <w:lang w:val="sr-Latn-ME"/>
        </w:rPr>
        <w:t>posl</w:t>
      </w:r>
      <w:r w:rsidR="008D172C" w:rsidRPr="00A613D6">
        <w:rPr>
          <w:color w:val="000000"/>
          <w:sz w:val="22"/>
          <w:szCs w:val="22"/>
          <w:lang w:val="sr-Latn-ME"/>
        </w:rPr>
        <w:t>j</w:t>
      </w:r>
      <w:r w:rsidRPr="00A613D6">
        <w:rPr>
          <w:color w:val="000000"/>
          <w:sz w:val="22"/>
          <w:szCs w:val="22"/>
          <w:lang w:val="sr-Latn-ME"/>
        </w:rPr>
        <w:t xml:space="preserve">edica malog afiniteta prema CYP3A4, omeprazol ne inhibira metabolizam drugih CYP3A4 supstrata. </w:t>
      </w:r>
      <w:r w:rsidR="008D172C" w:rsidRPr="00A613D6">
        <w:rPr>
          <w:color w:val="000000"/>
          <w:sz w:val="22"/>
          <w:szCs w:val="22"/>
          <w:lang w:val="sr-Latn-ME"/>
        </w:rPr>
        <w:t xml:space="preserve">Pored toga, omeprazol </w:t>
      </w:r>
      <w:r w:rsidRPr="00A613D6">
        <w:rPr>
          <w:color w:val="000000"/>
          <w:sz w:val="22"/>
          <w:szCs w:val="22"/>
          <w:lang w:val="sr-Latn-ME"/>
        </w:rPr>
        <w:t>nema inhibitorni efekat na glavne CYP enzime.</w:t>
      </w:r>
      <w:r w:rsidRPr="00A613D6">
        <w:rPr>
          <w:sz w:val="22"/>
          <w:szCs w:val="22"/>
          <w:lang w:val="sr-Latn-ME"/>
        </w:rPr>
        <w:t xml:space="preserve"> </w:t>
      </w:r>
    </w:p>
    <w:p w14:paraId="643F8900" w14:textId="77777777" w:rsidR="004A3708" w:rsidRPr="00A613D6" w:rsidRDefault="004A3708">
      <w:pPr>
        <w:jc w:val="both"/>
        <w:rPr>
          <w:sz w:val="22"/>
          <w:szCs w:val="22"/>
          <w:lang w:val="sr-Latn-ME"/>
        </w:rPr>
      </w:pPr>
    </w:p>
    <w:p w14:paraId="7477C1C1" w14:textId="0271FD4A" w:rsidR="004A3708" w:rsidRPr="00A613D6" w:rsidRDefault="004A3708">
      <w:pPr>
        <w:jc w:val="both"/>
        <w:rPr>
          <w:color w:val="000000"/>
          <w:sz w:val="22"/>
          <w:szCs w:val="22"/>
          <w:lang w:val="sr-Latn-ME"/>
        </w:rPr>
      </w:pPr>
      <w:r w:rsidRPr="00A613D6">
        <w:rPr>
          <w:color w:val="000000"/>
          <w:sz w:val="22"/>
          <w:szCs w:val="22"/>
          <w:lang w:val="sr-Latn-ME"/>
        </w:rPr>
        <w:t>Oko 3 % populacije b</w:t>
      </w:r>
      <w:r w:rsidR="008D172C" w:rsidRPr="00A613D6">
        <w:rPr>
          <w:color w:val="000000"/>
          <w:sz w:val="22"/>
          <w:szCs w:val="22"/>
          <w:lang w:val="sr-Latn-ME"/>
        </w:rPr>
        <w:t>i</w:t>
      </w:r>
      <w:r w:rsidRPr="00A613D6">
        <w:rPr>
          <w:color w:val="000000"/>
          <w:sz w:val="22"/>
          <w:szCs w:val="22"/>
          <w:lang w:val="sr-Latn-ME"/>
        </w:rPr>
        <w:t>jelaca, kao i 15-20 % populacije azijskog por</w:t>
      </w:r>
      <w:r w:rsidR="008D172C" w:rsidRPr="00A613D6">
        <w:rPr>
          <w:color w:val="000000"/>
          <w:sz w:val="22"/>
          <w:szCs w:val="22"/>
          <w:lang w:val="sr-Latn-ME"/>
        </w:rPr>
        <w:t>ij</w:t>
      </w:r>
      <w:r w:rsidRPr="00A613D6">
        <w:rPr>
          <w:color w:val="000000"/>
          <w:sz w:val="22"/>
          <w:szCs w:val="22"/>
          <w:lang w:val="sr-Latn-ME"/>
        </w:rPr>
        <w:t xml:space="preserve">ekla nemaju funkcionalni CYP2C19 enzim i nazivaju se </w:t>
      </w:r>
      <w:bookmarkStart w:id="0" w:name="_Hlk174621397"/>
      <w:r w:rsidR="001D4636" w:rsidRPr="00A613D6">
        <w:rPr>
          <w:color w:val="000000"/>
          <w:sz w:val="22"/>
          <w:szCs w:val="22"/>
          <w:lang w:val="sr-Latn-ME"/>
        </w:rPr>
        <w:t>slabi metaboliz</w:t>
      </w:r>
      <w:bookmarkEnd w:id="0"/>
      <w:r w:rsidR="001D4636" w:rsidRPr="00A613D6">
        <w:rPr>
          <w:color w:val="000000"/>
          <w:sz w:val="22"/>
          <w:szCs w:val="22"/>
          <w:lang w:val="sr-Latn-ME"/>
        </w:rPr>
        <w:t>eri</w:t>
      </w:r>
      <w:r w:rsidRPr="00A613D6">
        <w:rPr>
          <w:color w:val="000000"/>
          <w:sz w:val="22"/>
          <w:szCs w:val="22"/>
          <w:lang w:val="sr-Latn-ME"/>
        </w:rPr>
        <w:t>. Kod njih se omeprazol metaboliše uglavnom preko CYP3A4. Posl</w:t>
      </w:r>
      <w:r w:rsidR="008D172C" w:rsidRPr="00A613D6">
        <w:rPr>
          <w:color w:val="000000"/>
          <w:sz w:val="22"/>
          <w:szCs w:val="22"/>
          <w:lang w:val="sr-Latn-ME"/>
        </w:rPr>
        <w:t>ij</w:t>
      </w:r>
      <w:r w:rsidRPr="00A613D6">
        <w:rPr>
          <w:color w:val="000000"/>
          <w:sz w:val="22"/>
          <w:szCs w:val="22"/>
          <w:lang w:val="sr-Latn-ME"/>
        </w:rPr>
        <w:t>e ponovljene primjene 20 mg omeprazola jednom dnevno, prosječna vrijednost PIK je bila 5 do 10 puta veća kod ovih pacijenata nego kod osoba koje imaju funkcionalni CYP2C19 enzim (</w:t>
      </w:r>
      <w:r w:rsidR="001D4636" w:rsidRPr="00A613D6">
        <w:rPr>
          <w:color w:val="000000"/>
          <w:sz w:val="22"/>
          <w:szCs w:val="22"/>
          <w:lang w:val="sr-Latn-ME"/>
        </w:rPr>
        <w:t>ekstenzivni metabolizeri</w:t>
      </w:r>
      <w:r w:rsidRPr="00A613D6">
        <w:rPr>
          <w:color w:val="000000"/>
          <w:sz w:val="22"/>
          <w:szCs w:val="22"/>
          <w:lang w:val="sr-Latn-ME"/>
        </w:rPr>
        <w:t>). Srednje vrijednosti maksimalnih koncentracija u plazmi kod ovih pacijenata su bile više 3-5 puta. Ovi nalazi nemaju uticaja na doziranje omeprazola.</w:t>
      </w:r>
    </w:p>
    <w:p w14:paraId="3150F383" w14:textId="77777777" w:rsidR="004A3708" w:rsidRPr="00A613D6" w:rsidRDefault="004A3708">
      <w:pPr>
        <w:jc w:val="both"/>
        <w:rPr>
          <w:i/>
          <w:color w:val="000000"/>
          <w:sz w:val="22"/>
          <w:szCs w:val="22"/>
          <w:lang w:val="sr-Latn-ME"/>
        </w:rPr>
      </w:pPr>
    </w:p>
    <w:p w14:paraId="099ABFBC" w14:textId="77777777" w:rsidR="004A3708" w:rsidRPr="00A613D6" w:rsidRDefault="004A3708">
      <w:pPr>
        <w:jc w:val="both"/>
        <w:rPr>
          <w:i/>
          <w:color w:val="000000"/>
          <w:sz w:val="22"/>
          <w:szCs w:val="22"/>
          <w:lang w:val="sr-Latn-ME"/>
        </w:rPr>
      </w:pPr>
      <w:r w:rsidRPr="00A613D6">
        <w:rPr>
          <w:i/>
          <w:color w:val="000000"/>
          <w:sz w:val="22"/>
          <w:szCs w:val="22"/>
          <w:lang w:val="sr-Latn-ME"/>
        </w:rPr>
        <w:t>Eliminacija</w:t>
      </w:r>
    </w:p>
    <w:p w14:paraId="10BA4C4B" w14:textId="77777777" w:rsidR="004A3708" w:rsidRPr="00A613D6" w:rsidRDefault="004A3708">
      <w:pPr>
        <w:jc w:val="both"/>
        <w:rPr>
          <w:color w:val="000000"/>
          <w:sz w:val="22"/>
          <w:szCs w:val="22"/>
          <w:lang w:val="sr-Latn-ME"/>
        </w:rPr>
      </w:pPr>
      <w:r w:rsidRPr="00A613D6">
        <w:rPr>
          <w:color w:val="000000"/>
          <w:sz w:val="22"/>
          <w:szCs w:val="22"/>
          <w:lang w:val="sr-Latn-ME"/>
        </w:rPr>
        <w:t>Poluvrijeme eliminacije omeprazola iz plazme iznosi manje od sat vremena, kako nakon pojedinačne doze, tako i nakon ponovljene primjene jednom dnevno. Omeprazol se potpuno eliminiše iz plazme u periodu između dvije doze, bez tendencije akumuliranja prilikom doziranja jednom dnevno. Skoro 80 % oralne doze omeprazola se izlučuje u vidu metabolita urinom, a ostatak fecesom, uglavnom putem bilijarne sekrecije.</w:t>
      </w:r>
    </w:p>
    <w:p w14:paraId="560D872D" w14:textId="77777777" w:rsidR="004A3708" w:rsidRPr="00A613D6" w:rsidRDefault="004A3708">
      <w:pPr>
        <w:jc w:val="both"/>
        <w:rPr>
          <w:color w:val="000000"/>
          <w:sz w:val="22"/>
          <w:szCs w:val="22"/>
          <w:lang w:val="sr-Latn-ME"/>
        </w:rPr>
      </w:pPr>
    </w:p>
    <w:p w14:paraId="6007B073" w14:textId="58A336D6" w:rsidR="004A3708" w:rsidRPr="00A613D6" w:rsidRDefault="004A3708">
      <w:pPr>
        <w:jc w:val="both"/>
        <w:rPr>
          <w:color w:val="000000"/>
          <w:sz w:val="22"/>
          <w:szCs w:val="22"/>
          <w:lang w:val="sr-Latn-ME"/>
        </w:rPr>
      </w:pPr>
      <w:r w:rsidRPr="00A613D6">
        <w:rPr>
          <w:color w:val="000000"/>
          <w:sz w:val="22"/>
          <w:szCs w:val="22"/>
          <w:lang w:val="sr-Latn-ME"/>
        </w:rPr>
        <w:t>PIK omeprazola se povećava kod ponovljene primjene. Porast je dozno-zavisan i dovodi do nelinearne  povezanosti prim</w:t>
      </w:r>
      <w:r w:rsidR="001D4636" w:rsidRPr="00A613D6">
        <w:rPr>
          <w:color w:val="000000"/>
          <w:sz w:val="22"/>
          <w:szCs w:val="22"/>
          <w:lang w:val="sr-Latn-ME"/>
        </w:rPr>
        <w:t>i</w:t>
      </w:r>
      <w:r w:rsidRPr="00A613D6">
        <w:rPr>
          <w:color w:val="000000"/>
          <w:sz w:val="22"/>
          <w:szCs w:val="22"/>
          <w:lang w:val="sr-Latn-ME"/>
        </w:rPr>
        <w:t>jenjene doze i površine ispod krive kod ponovljene primjene. Zavisnost dužine terapije i prim</w:t>
      </w:r>
      <w:r w:rsidR="001D4636" w:rsidRPr="00A613D6">
        <w:rPr>
          <w:color w:val="000000"/>
          <w:sz w:val="22"/>
          <w:szCs w:val="22"/>
          <w:lang w:val="sr-Latn-ME"/>
        </w:rPr>
        <w:t>i</w:t>
      </w:r>
      <w:r w:rsidRPr="00A613D6">
        <w:rPr>
          <w:color w:val="000000"/>
          <w:sz w:val="22"/>
          <w:szCs w:val="22"/>
          <w:lang w:val="sr-Latn-ME"/>
        </w:rPr>
        <w:t>jenjenih doza posl</w:t>
      </w:r>
      <w:r w:rsidR="001D4636" w:rsidRPr="00A613D6">
        <w:rPr>
          <w:color w:val="000000"/>
          <w:sz w:val="22"/>
          <w:szCs w:val="22"/>
          <w:lang w:val="sr-Latn-ME"/>
        </w:rPr>
        <w:t>j</w:t>
      </w:r>
      <w:r w:rsidRPr="00A613D6">
        <w:rPr>
          <w:color w:val="000000"/>
          <w:sz w:val="22"/>
          <w:szCs w:val="22"/>
          <w:lang w:val="sr-Latn-ME"/>
        </w:rPr>
        <w:t>edica je smanjenog metabolizma prvog prolaza i sistemskog klirensa usl</w:t>
      </w:r>
      <w:r w:rsidR="00FD5E90" w:rsidRPr="00A613D6">
        <w:rPr>
          <w:color w:val="000000"/>
          <w:sz w:val="22"/>
          <w:szCs w:val="22"/>
          <w:lang w:val="sr-Latn-ME"/>
        </w:rPr>
        <w:t>j</w:t>
      </w:r>
      <w:r w:rsidRPr="00A613D6">
        <w:rPr>
          <w:color w:val="000000"/>
          <w:sz w:val="22"/>
          <w:szCs w:val="22"/>
          <w:lang w:val="sr-Latn-ME"/>
        </w:rPr>
        <w:t xml:space="preserve">ed inhibicije CYP2C19 enzima omeprazolom i/ili njegovim metabolitima (npr. sulfonom). </w:t>
      </w:r>
    </w:p>
    <w:p w14:paraId="10F0EE1E" w14:textId="77777777" w:rsidR="00873951" w:rsidRPr="00A613D6" w:rsidRDefault="00873951">
      <w:pPr>
        <w:jc w:val="both"/>
        <w:rPr>
          <w:color w:val="000000"/>
          <w:sz w:val="22"/>
          <w:szCs w:val="22"/>
          <w:lang w:val="sr-Latn-ME"/>
        </w:rPr>
      </w:pPr>
    </w:p>
    <w:p w14:paraId="22090339" w14:textId="6C1F89A8" w:rsidR="004A3708" w:rsidRPr="00A613D6" w:rsidRDefault="004A3708">
      <w:pPr>
        <w:jc w:val="both"/>
        <w:rPr>
          <w:color w:val="000000"/>
          <w:sz w:val="22"/>
          <w:szCs w:val="22"/>
          <w:lang w:val="sr-Latn-ME"/>
        </w:rPr>
      </w:pPr>
      <w:r w:rsidRPr="00A613D6">
        <w:rPr>
          <w:color w:val="000000"/>
          <w:sz w:val="22"/>
          <w:szCs w:val="22"/>
          <w:lang w:val="sr-Latn-ME"/>
        </w:rPr>
        <w:t>Nije utvrđeno da metaboliti imaju uticaj na sekreciju želudačne kiseline.</w:t>
      </w:r>
    </w:p>
    <w:p w14:paraId="4ECD5435" w14:textId="77777777" w:rsidR="004A3708" w:rsidRPr="00A613D6" w:rsidRDefault="004A3708">
      <w:pPr>
        <w:spacing w:before="100" w:beforeAutospacing="1" w:after="75"/>
        <w:jc w:val="both"/>
        <w:rPr>
          <w:i/>
          <w:color w:val="000000"/>
          <w:sz w:val="22"/>
          <w:szCs w:val="22"/>
          <w:lang w:val="sr-Latn-ME"/>
        </w:rPr>
      </w:pPr>
      <w:r w:rsidRPr="00A613D6">
        <w:rPr>
          <w:i/>
          <w:color w:val="000000"/>
          <w:sz w:val="22"/>
          <w:szCs w:val="22"/>
          <w:lang w:val="sr-Latn-ME"/>
        </w:rPr>
        <w:t>Posebne populacije pacijenata</w:t>
      </w:r>
    </w:p>
    <w:p w14:paraId="36245F6E" w14:textId="087B93A0" w:rsidR="004A3708" w:rsidRPr="00A613D6" w:rsidRDefault="004A3708">
      <w:pPr>
        <w:pStyle w:val="NoSpacing"/>
        <w:jc w:val="both"/>
        <w:rPr>
          <w:i/>
          <w:sz w:val="22"/>
          <w:szCs w:val="22"/>
          <w:lang w:val="sr-Latn-ME"/>
        </w:rPr>
      </w:pPr>
      <w:r w:rsidRPr="00A613D6">
        <w:rPr>
          <w:i/>
          <w:sz w:val="22"/>
          <w:szCs w:val="22"/>
          <w:lang w:val="sr-Latn-ME"/>
        </w:rPr>
        <w:t xml:space="preserve">Pacijenti sa </w:t>
      </w:r>
      <w:r w:rsidR="00C954AA" w:rsidRPr="00A613D6">
        <w:rPr>
          <w:i/>
          <w:sz w:val="22"/>
          <w:szCs w:val="22"/>
          <w:lang w:val="sr-Latn-ME"/>
        </w:rPr>
        <w:t xml:space="preserve">oštećenom </w:t>
      </w:r>
      <w:r w:rsidRPr="00A613D6">
        <w:rPr>
          <w:i/>
          <w:sz w:val="22"/>
          <w:szCs w:val="22"/>
          <w:lang w:val="sr-Latn-ME"/>
        </w:rPr>
        <w:t>funkcijom jetre</w:t>
      </w:r>
    </w:p>
    <w:p w14:paraId="2C6DC133" w14:textId="07DB197A" w:rsidR="004A3708" w:rsidRPr="00A613D6" w:rsidRDefault="004A3708">
      <w:pPr>
        <w:pStyle w:val="NoSpacing"/>
        <w:jc w:val="both"/>
        <w:rPr>
          <w:sz w:val="22"/>
          <w:szCs w:val="22"/>
          <w:lang w:val="sr-Latn-ME"/>
        </w:rPr>
      </w:pPr>
      <w:r w:rsidRPr="00A613D6">
        <w:rPr>
          <w:sz w:val="22"/>
          <w:szCs w:val="22"/>
          <w:lang w:val="sr-Latn-ME"/>
        </w:rPr>
        <w:t xml:space="preserve">Metabolizam omeprazola kod pacijenata sa </w:t>
      </w:r>
      <w:r w:rsidR="00C954AA" w:rsidRPr="00A613D6">
        <w:rPr>
          <w:sz w:val="22"/>
          <w:szCs w:val="22"/>
          <w:lang w:val="sr-Latn-ME"/>
        </w:rPr>
        <w:t xml:space="preserve">oštećenom </w:t>
      </w:r>
      <w:r w:rsidRPr="00A613D6">
        <w:rPr>
          <w:sz w:val="22"/>
          <w:szCs w:val="22"/>
          <w:lang w:val="sr-Latn-ME"/>
        </w:rPr>
        <w:t>funkcijom jetre je umanjen, pa dovodi do porasta PIK. Omeprazol nije pokazao tendenciju akumulacije prilikom doziranja jednom dnevno.</w:t>
      </w:r>
    </w:p>
    <w:p w14:paraId="09998AE3" w14:textId="77777777" w:rsidR="004A3708" w:rsidRPr="00A613D6" w:rsidRDefault="004A3708">
      <w:pPr>
        <w:pStyle w:val="NoSpacing"/>
        <w:jc w:val="both"/>
        <w:rPr>
          <w:sz w:val="22"/>
          <w:szCs w:val="22"/>
          <w:lang w:val="sr-Latn-ME"/>
        </w:rPr>
      </w:pPr>
    </w:p>
    <w:p w14:paraId="6271D345" w14:textId="7B6D0135" w:rsidR="004A3708" w:rsidRPr="00A613D6" w:rsidRDefault="004A3708">
      <w:pPr>
        <w:pStyle w:val="NoSpacing"/>
        <w:jc w:val="both"/>
        <w:rPr>
          <w:i/>
          <w:sz w:val="22"/>
          <w:szCs w:val="22"/>
          <w:lang w:val="sr-Latn-ME"/>
        </w:rPr>
      </w:pPr>
      <w:r w:rsidRPr="00A613D6">
        <w:rPr>
          <w:i/>
          <w:sz w:val="22"/>
          <w:szCs w:val="22"/>
          <w:lang w:val="sr-Latn-ME"/>
        </w:rPr>
        <w:t xml:space="preserve">Pacijenti sa </w:t>
      </w:r>
      <w:r w:rsidR="00C954AA" w:rsidRPr="00A613D6">
        <w:rPr>
          <w:i/>
          <w:sz w:val="22"/>
          <w:szCs w:val="22"/>
          <w:lang w:val="sr-Latn-ME"/>
        </w:rPr>
        <w:t xml:space="preserve">oštećenom </w:t>
      </w:r>
      <w:r w:rsidRPr="00A613D6">
        <w:rPr>
          <w:i/>
          <w:sz w:val="22"/>
          <w:szCs w:val="22"/>
          <w:lang w:val="sr-Latn-ME"/>
        </w:rPr>
        <w:t>funkcijom bubrega</w:t>
      </w:r>
    </w:p>
    <w:p w14:paraId="43C2EFBC" w14:textId="77777777" w:rsidR="004A3708" w:rsidRPr="00A613D6" w:rsidRDefault="004A3708">
      <w:pPr>
        <w:pStyle w:val="NoSpacing"/>
        <w:jc w:val="both"/>
        <w:rPr>
          <w:sz w:val="22"/>
          <w:szCs w:val="22"/>
          <w:lang w:val="sr-Latn-ME"/>
        </w:rPr>
      </w:pPr>
      <w:r w:rsidRPr="00A613D6">
        <w:rPr>
          <w:sz w:val="22"/>
          <w:szCs w:val="22"/>
          <w:lang w:val="sr-Latn-ME"/>
        </w:rPr>
        <w:t xml:space="preserve">Farmakokinetika omeprazola, uključujući sistemsku bioraspoloživost i stepen eliminacije, nepromijenjeni su kod pacijenata sa smanjenom funkcijom bubrega. </w:t>
      </w:r>
    </w:p>
    <w:p w14:paraId="2873C7D4" w14:textId="77777777" w:rsidR="004A3708" w:rsidRPr="00A613D6" w:rsidRDefault="004A3708">
      <w:pPr>
        <w:pStyle w:val="NoSpacing"/>
        <w:jc w:val="both"/>
        <w:rPr>
          <w:sz w:val="22"/>
          <w:szCs w:val="22"/>
          <w:lang w:val="sr-Latn-ME"/>
        </w:rPr>
      </w:pPr>
    </w:p>
    <w:p w14:paraId="7CC5E342" w14:textId="77777777" w:rsidR="004A3708" w:rsidRPr="00A613D6" w:rsidRDefault="004A3708">
      <w:pPr>
        <w:pStyle w:val="NoSpacing"/>
        <w:jc w:val="both"/>
        <w:rPr>
          <w:i/>
          <w:sz w:val="22"/>
          <w:szCs w:val="22"/>
          <w:lang w:val="sr-Latn-ME"/>
        </w:rPr>
      </w:pPr>
      <w:r w:rsidRPr="00A613D6">
        <w:rPr>
          <w:i/>
          <w:sz w:val="22"/>
          <w:szCs w:val="22"/>
          <w:lang w:val="sr-Latn-ME"/>
        </w:rPr>
        <w:t xml:space="preserve">Stariji pacijenti </w:t>
      </w:r>
    </w:p>
    <w:p w14:paraId="4EAC539C" w14:textId="2EDB4FF0" w:rsidR="004A3708" w:rsidRPr="00A613D6" w:rsidRDefault="004A3708">
      <w:pPr>
        <w:pStyle w:val="NoSpacing"/>
        <w:jc w:val="both"/>
        <w:rPr>
          <w:sz w:val="22"/>
          <w:szCs w:val="22"/>
          <w:lang w:val="sr-Latn-ME"/>
        </w:rPr>
      </w:pPr>
      <w:r w:rsidRPr="00A613D6">
        <w:rPr>
          <w:sz w:val="22"/>
          <w:szCs w:val="22"/>
          <w:lang w:val="sr-Latn-ME"/>
        </w:rPr>
        <w:t>Stepen metabolizma je neznatno smanjen kod pacijenata starije</w:t>
      </w:r>
      <w:r w:rsidR="001D4636" w:rsidRPr="00A613D6">
        <w:rPr>
          <w:sz w:val="22"/>
          <w:szCs w:val="22"/>
          <w:lang w:val="sr-Latn-ME"/>
        </w:rPr>
        <w:t>g</w:t>
      </w:r>
      <w:r w:rsidRPr="00A613D6">
        <w:rPr>
          <w:sz w:val="22"/>
          <w:szCs w:val="22"/>
          <w:lang w:val="sr-Latn-ME"/>
        </w:rPr>
        <w:t xml:space="preserve"> </w:t>
      </w:r>
      <w:r w:rsidR="001D4636" w:rsidRPr="00A613D6">
        <w:rPr>
          <w:sz w:val="22"/>
          <w:szCs w:val="22"/>
          <w:lang w:val="sr-Latn-ME"/>
        </w:rPr>
        <w:t xml:space="preserve">životnog doba </w:t>
      </w:r>
      <w:r w:rsidRPr="00A613D6">
        <w:rPr>
          <w:sz w:val="22"/>
          <w:szCs w:val="22"/>
          <w:lang w:val="sr-Latn-ME"/>
        </w:rPr>
        <w:t>(75-79 godina starosti).</w:t>
      </w:r>
    </w:p>
    <w:p w14:paraId="1A743D96" w14:textId="77777777" w:rsidR="004A3708" w:rsidRPr="00A613D6" w:rsidRDefault="004A3708">
      <w:pPr>
        <w:tabs>
          <w:tab w:val="left" w:pos="540"/>
          <w:tab w:val="left" w:pos="569"/>
        </w:tabs>
        <w:jc w:val="both"/>
        <w:rPr>
          <w:bCs/>
          <w:sz w:val="22"/>
          <w:szCs w:val="22"/>
          <w:lang w:val="sr-Latn-ME"/>
        </w:rPr>
      </w:pPr>
    </w:p>
    <w:p w14:paraId="4C964642" w14:textId="77777777" w:rsidR="0072020E" w:rsidRPr="00A613D6" w:rsidRDefault="0072020E">
      <w:pPr>
        <w:tabs>
          <w:tab w:val="left" w:pos="540"/>
          <w:tab w:val="left" w:pos="569"/>
        </w:tabs>
        <w:jc w:val="both"/>
        <w:rPr>
          <w:b/>
          <w:bCs/>
          <w:sz w:val="22"/>
          <w:szCs w:val="22"/>
          <w:lang w:val="sr-Latn-ME"/>
        </w:rPr>
      </w:pPr>
      <w:r w:rsidRPr="00A613D6">
        <w:rPr>
          <w:b/>
          <w:bCs/>
          <w:sz w:val="22"/>
          <w:szCs w:val="22"/>
          <w:lang w:val="sr-Latn-ME"/>
        </w:rPr>
        <w:t xml:space="preserve">5.3. </w:t>
      </w:r>
      <w:r w:rsidR="00480FB1" w:rsidRPr="00A613D6">
        <w:rPr>
          <w:b/>
          <w:bCs/>
          <w:sz w:val="22"/>
          <w:szCs w:val="22"/>
          <w:lang w:val="sr-Latn-ME"/>
        </w:rPr>
        <w:tab/>
      </w:r>
      <w:r w:rsidRPr="00A613D6">
        <w:rPr>
          <w:b/>
          <w:bCs/>
          <w:sz w:val="22"/>
          <w:szCs w:val="22"/>
          <w:lang w:val="sr-Latn-ME"/>
        </w:rPr>
        <w:t xml:space="preserve">Pretklinički podaci o bezbjednosti </w:t>
      </w:r>
    </w:p>
    <w:p w14:paraId="4C964643" w14:textId="77777777" w:rsidR="00836B35" w:rsidRPr="00A613D6" w:rsidRDefault="00836B35">
      <w:pPr>
        <w:tabs>
          <w:tab w:val="left" w:pos="540"/>
          <w:tab w:val="left" w:pos="569"/>
        </w:tabs>
        <w:jc w:val="both"/>
        <w:rPr>
          <w:bCs/>
          <w:sz w:val="22"/>
          <w:szCs w:val="22"/>
          <w:lang w:val="sr-Latn-ME"/>
        </w:rPr>
      </w:pPr>
    </w:p>
    <w:p w14:paraId="57DC93F1" w14:textId="77777777" w:rsidR="00791B2D" w:rsidRPr="00A613D6" w:rsidRDefault="00791B2D">
      <w:pPr>
        <w:jc w:val="both"/>
        <w:rPr>
          <w:sz w:val="22"/>
          <w:szCs w:val="22"/>
          <w:u w:val="single"/>
          <w:lang w:val="sr-Latn-ME"/>
        </w:rPr>
      </w:pPr>
      <w:r w:rsidRPr="00A613D6">
        <w:rPr>
          <w:sz w:val="22"/>
          <w:szCs w:val="22"/>
          <w:u w:val="single"/>
          <w:lang w:val="sr-Latn-ME"/>
        </w:rPr>
        <w:t>Diklofenak</w:t>
      </w:r>
    </w:p>
    <w:p w14:paraId="442463A3" w14:textId="785A5AC0" w:rsidR="00791B2D" w:rsidRPr="00A613D6" w:rsidRDefault="00791B2D">
      <w:pPr>
        <w:jc w:val="both"/>
        <w:rPr>
          <w:sz w:val="22"/>
          <w:szCs w:val="22"/>
          <w:lang w:val="sr-Latn-ME"/>
        </w:rPr>
      </w:pPr>
      <w:r w:rsidRPr="00A613D6">
        <w:rPr>
          <w:sz w:val="22"/>
          <w:szCs w:val="22"/>
          <w:lang w:val="sr-Latn-ME"/>
        </w:rPr>
        <w:t>Nema pretkliničkih podataka značajnih za propisivanje ovog lijeka</w:t>
      </w:r>
      <w:r w:rsidR="00970EA6" w:rsidRPr="00A613D6">
        <w:rPr>
          <w:sz w:val="22"/>
          <w:szCs w:val="22"/>
          <w:lang w:val="sr-Latn-ME"/>
        </w:rPr>
        <w:t xml:space="preserve"> u odnosu na već navedene u drugim djelovima ovog teksta</w:t>
      </w:r>
      <w:r w:rsidRPr="00A613D6">
        <w:rPr>
          <w:sz w:val="22"/>
          <w:szCs w:val="22"/>
          <w:lang w:val="sr-Latn-ME"/>
        </w:rPr>
        <w:t>.</w:t>
      </w:r>
    </w:p>
    <w:p w14:paraId="430F2AF3" w14:textId="77777777" w:rsidR="00791B2D" w:rsidRPr="00A613D6" w:rsidRDefault="00791B2D">
      <w:pPr>
        <w:jc w:val="both"/>
        <w:rPr>
          <w:sz w:val="22"/>
          <w:szCs w:val="22"/>
          <w:lang w:val="sr-Latn-ME"/>
        </w:rPr>
      </w:pPr>
    </w:p>
    <w:p w14:paraId="37EF71BD" w14:textId="77777777" w:rsidR="00791B2D" w:rsidRPr="00A613D6" w:rsidRDefault="00791B2D">
      <w:pPr>
        <w:jc w:val="both"/>
        <w:rPr>
          <w:sz w:val="22"/>
          <w:szCs w:val="22"/>
          <w:u w:val="single"/>
          <w:lang w:val="sr-Latn-ME"/>
        </w:rPr>
      </w:pPr>
      <w:r w:rsidRPr="00A613D6">
        <w:rPr>
          <w:sz w:val="22"/>
          <w:szCs w:val="22"/>
          <w:u w:val="single"/>
          <w:lang w:val="sr-Latn-ME"/>
        </w:rPr>
        <w:t>Omeprazol</w:t>
      </w:r>
    </w:p>
    <w:p w14:paraId="77EB21BE" w14:textId="2E968527" w:rsidR="00791B2D" w:rsidRPr="00A613D6" w:rsidRDefault="00791B2D">
      <w:pPr>
        <w:pStyle w:val="Header"/>
        <w:jc w:val="both"/>
        <w:rPr>
          <w:sz w:val="22"/>
          <w:szCs w:val="22"/>
          <w:lang w:val="sr-Latn-ME"/>
        </w:rPr>
      </w:pPr>
      <w:r w:rsidRPr="00A613D6">
        <w:rPr>
          <w:sz w:val="22"/>
          <w:szCs w:val="22"/>
          <w:lang w:val="sr-Latn-ME"/>
        </w:rPr>
        <w:t>Gastrična hiperplazija enterohromafinih (ECL) ćelija i karcinoidni tumori prim</w:t>
      </w:r>
      <w:r w:rsidR="00C954AA" w:rsidRPr="00A613D6">
        <w:rPr>
          <w:sz w:val="22"/>
          <w:szCs w:val="22"/>
          <w:lang w:val="sr-Latn-ME"/>
        </w:rPr>
        <w:t>i</w:t>
      </w:r>
      <w:r w:rsidRPr="00A613D6">
        <w:rPr>
          <w:sz w:val="22"/>
          <w:szCs w:val="22"/>
          <w:lang w:val="sr-Latn-ME"/>
        </w:rPr>
        <w:t>jećeni su u doživotnim studijama na pacovima koji su primali omeprazol. Navedene promjene su rezultat stalne hipergastrinemije nastale kao posl</w:t>
      </w:r>
      <w:r w:rsidR="00C954AA" w:rsidRPr="00A613D6">
        <w:rPr>
          <w:sz w:val="22"/>
          <w:szCs w:val="22"/>
          <w:lang w:val="sr-Latn-ME"/>
        </w:rPr>
        <w:t>j</w:t>
      </w:r>
      <w:r w:rsidRPr="00A613D6">
        <w:rPr>
          <w:sz w:val="22"/>
          <w:szCs w:val="22"/>
          <w:lang w:val="sr-Latn-ME"/>
        </w:rPr>
        <w:t>edica inhibicije lučenja želudačne kiseline. Slične promjene su prim</w:t>
      </w:r>
      <w:r w:rsidR="00C954AA" w:rsidRPr="00A613D6">
        <w:rPr>
          <w:sz w:val="22"/>
          <w:szCs w:val="22"/>
          <w:lang w:val="sr-Latn-ME"/>
        </w:rPr>
        <w:t>i</w:t>
      </w:r>
      <w:r w:rsidRPr="00A613D6">
        <w:rPr>
          <w:sz w:val="22"/>
          <w:szCs w:val="22"/>
          <w:lang w:val="sr-Latn-ME"/>
        </w:rPr>
        <w:t>jećene i nakon terapije antagonistima H</w:t>
      </w:r>
      <w:r w:rsidRPr="00A613D6">
        <w:rPr>
          <w:sz w:val="22"/>
          <w:szCs w:val="22"/>
          <w:vertAlign w:val="subscript"/>
          <w:lang w:val="sr-Latn-ME"/>
        </w:rPr>
        <w:t>2</w:t>
      </w:r>
      <w:r w:rsidRPr="00A613D6">
        <w:rPr>
          <w:sz w:val="22"/>
          <w:szCs w:val="22"/>
          <w:lang w:val="sr-Latn-ME"/>
        </w:rPr>
        <w:t xml:space="preserve">-receptora, inhibitorima protonske pumpe i nakon </w:t>
      </w:r>
      <w:r w:rsidRPr="00A613D6">
        <w:rPr>
          <w:sz w:val="22"/>
          <w:szCs w:val="22"/>
          <w:lang w:val="sr-Latn-ME"/>
        </w:rPr>
        <w:lastRenderedPageBreak/>
        <w:t xml:space="preserve">parcijalne fundektomije. </w:t>
      </w:r>
      <w:r w:rsidR="00970EA6" w:rsidRPr="00A613D6">
        <w:rPr>
          <w:sz w:val="22"/>
          <w:szCs w:val="22"/>
          <w:lang w:val="sr-Latn-ME"/>
        </w:rPr>
        <w:t xml:space="preserve">Dakle, ove promjene </w:t>
      </w:r>
      <w:r w:rsidRPr="00A613D6">
        <w:rPr>
          <w:sz w:val="22"/>
          <w:szCs w:val="22"/>
          <w:lang w:val="sr-Latn-ME"/>
        </w:rPr>
        <w:t>nisu posl</w:t>
      </w:r>
      <w:r w:rsidR="00C954AA" w:rsidRPr="00A613D6">
        <w:rPr>
          <w:sz w:val="22"/>
          <w:szCs w:val="22"/>
          <w:lang w:val="sr-Latn-ME"/>
        </w:rPr>
        <w:t>j</w:t>
      </w:r>
      <w:r w:rsidRPr="00A613D6">
        <w:rPr>
          <w:sz w:val="22"/>
          <w:szCs w:val="22"/>
          <w:lang w:val="sr-Latn-ME"/>
        </w:rPr>
        <w:t>edica direktnog djelovanja bilo koje aktivne supstance posebno.</w:t>
      </w:r>
    </w:p>
    <w:p w14:paraId="4C964644" w14:textId="2E2F8B1B" w:rsidR="00396DFD" w:rsidRPr="00A613D6" w:rsidRDefault="00396DFD">
      <w:pPr>
        <w:tabs>
          <w:tab w:val="left" w:pos="540"/>
          <w:tab w:val="left" w:pos="569"/>
        </w:tabs>
        <w:jc w:val="both"/>
        <w:rPr>
          <w:b/>
          <w:bCs/>
          <w:sz w:val="22"/>
          <w:szCs w:val="22"/>
          <w:lang w:val="sr-Latn-ME"/>
        </w:rPr>
      </w:pPr>
    </w:p>
    <w:p w14:paraId="70F848EC" w14:textId="77777777" w:rsidR="0021428F" w:rsidRPr="00A613D6" w:rsidRDefault="0021428F">
      <w:pPr>
        <w:tabs>
          <w:tab w:val="left" w:pos="540"/>
          <w:tab w:val="left" w:pos="569"/>
        </w:tabs>
        <w:jc w:val="both"/>
        <w:rPr>
          <w:b/>
          <w:bCs/>
          <w:sz w:val="22"/>
          <w:szCs w:val="22"/>
          <w:lang w:val="sr-Latn-ME"/>
        </w:rPr>
      </w:pPr>
    </w:p>
    <w:p w14:paraId="4C964645"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6. </w:t>
      </w:r>
      <w:r w:rsidR="00480FB1" w:rsidRPr="00A613D6">
        <w:rPr>
          <w:b/>
          <w:bCs/>
          <w:sz w:val="22"/>
          <w:szCs w:val="22"/>
          <w:lang w:val="sr-Latn-ME"/>
        </w:rPr>
        <w:tab/>
      </w:r>
      <w:r w:rsidRPr="00A613D6">
        <w:rPr>
          <w:b/>
          <w:bCs/>
          <w:sz w:val="22"/>
          <w:szCs w:val="22"/>
          <w:lang w:val="sr-Latn-ME"/>
        </w:rPr>
        <w:t>FARMACEUTSKI PODACI</w:t>
      </w:r>
    </w:p>
    <w:p w14:paraId="4C964646" w14:textId="77777777" w:rsidR="00836B35" w:rsidRPr="00A613D6" w:rsidRDefault="00836B35" w:rsidP="008706C5">
      <w:pPr>
        <w:tabs>
          <w:tab w:val="left" w:pos="540"/>
          <w:tab w:val="left" w:pos="569"/>
        </w:tabs>
        <w:jc w:val="both"/>
        <w:rPr>
          <w:bCs/>
          <w:sz w:val="22"/>
          <w:szCs w:val="22"/>
          <w:lang w:val="sr-Latn-ME"/>
        </w:rPr>
      </w:pPr>
    </w:p>
    <w:p w14:paraId="4C964647"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6.1. </w:t>
      </w:r>
      <w:r w:rsidR="00480FB1" w:rsidRPr="00A613D6">
        <w:rPr>
          <w:b/>
          <w:bCs/>
          <w:sz w:val="22"/>
          <w:szCs w:val="22"/>
          <w:lang w:val="sr-Latn-ME"/>
        </w:rPr>
        <w:tab/>
      </w:r>
      <w:r w:rsidRPr="00A613D6">
        <w:rPr>
          <w:b/>
          <w:bCs/>
          <w:sz w:val="22"/>
          <w:szCs w:val="22"/>
          <w:lang w:val="sr-Latn-ME"/>
        </w:rPr>
        <w:t>Lista pomoćnih supstanci</w:t>
      </w:r>
      <w:r w:rsidR="002E0135" w:rsidRPr="00A613D6">
        <w:rPr>
          <w:b/>
          <w:bCs/>
          <w:sz w:val="22"/>
          <w:szCs w:val="22"/>
          <w:lang w:val="sr-Latn-ME"/>
        </w:rPr>
        <w:t xml:space="preserve"> (ekscipijenasa)</w:t>
      </w:r>
    </w:p>
    <w:p w14:paraId="0C01700E" w14:textId="77777777" w:rsidR="00AC616D" w:rsidRPr="00A613D6" w:rsidRDefault="00AC616D" w:rsidP="008706C5">
      <w:pPr>
        <w:jc w:val="both"/>
        <w:rPr>
          <w:sz w:val="22"/>
          <w:szCs w:val="22"/>
          <w:u w:val="single"/>
          <w:lang w:val="sr-Latn-ME"/>
        </w:rPr>
      </w:pPr>
    </w:p>
    <w:p w14:paraId="5AD1084F" w14:textId="2A7D373B" w:rsidR="00AC616D" w:rsidRPr="00A613D6" w:rsidRDefault="00AC616D" w:rsidP="008706C5">
      <w:pPr>
        <w:jc w:val="both"/>
        <w:rPr>
          <w:sz w:val="22"/>
          <w:szCs w:val="22"/>
          <w:u w:val="single"/>
          <w:lang w:val="sr-Latn-ME"/>
        </w:rPr>
      </w:pPr>
      <w:r w:rsidRPr="00A613D6">
        <w:rPr>
          <w:sz w:val="22"/>
          <w:szCs w:val="22"/>
          <w:u w:val="single"/>
          <w:lang w:val="sr-Latn-ME"/>
        </w:rPr>
        <w:t>Sastav peleta:</w:t>
      </w:r>
    </w:p>
    <w:p w14:paraId="20389F82" w14:textId="77777777" w:rsidR="00AC616D" w:rsidRPr="00A613D6" w:rsidRDefault="00AC616D" w:rsidP="008706C5">
      <w:pPr>
        <w:jc w:val="both"/>
        <w:rPr>
          <w:i/>
          <w:sz w:val="22"/>
          <w:szCs w:val="22"/>
          <w:lang w:val="sr-Latn-ME"/>
        </w:rPr>
      </w:pPr>
      <w:r w:rsidRPr="00A613D6">
        <w:rPr>
          <w:sz w:val="22"/>
          <w:szCs w:val="22"/>
          <w:lang w:val="sr-Latn-ME"/>
        </w:rPr>
        <w:t>celuloza, mikrokristalna</w:t>
      </w:r>
    </w:p>
    <w:p w14:paraId="374C0BC7" w14:textId="77777777" w:rsidR="00AC616D" w:rsidRPr="00A613D6" w:rsidRDefault="00AC616D" w:rsidP="008706C5">
      <w:pPr>
        <w:contextualSpacing/>
        <w:jc w:val="both"/>
        <w:rPr>
          <w:sz w:val="22"/>
          <w:szCs w:val="22"/>
          <w:lang w:val="sr-Latn-ME"/>
        </w:rPr>
      </w:pPr>
      <w:r w:rsidRPr="00A613D6">
        <w:rPr>
          <w:sz w:val="22"/>
          <w:szCs w:val="22"/>
          <w:lang w:val="sr-Latn-ME"/>
        </w:rPr>
        <w:t xml:space="preserve">povidon K25 </w:t>
      </w:r>
    </w:p>
    <w:p w14:paraId="7B6CAB0E" w14:textId="05AC906C" w:rsidR="00AC616D" w:rsidRPr="00A613D6" w:rsidRDefault="00AC616D" w:rsidP="008706C5">
      <w:pPr>
        <w:contextualSpacing/>
        <w:jc w:val="both"/>
        <w:rPr>
          <w:sz w:val="22"/>
          <w:szCs w:val="22"/>
          <w:lang w:val="sr-Latn-ME"/>
        </w:rPr>
      </w:pPr>
      <w:r w:rsidRPr="00A613D6">
        <w:rPr>
          <w:sz w:val="22"/>
          <w:szCs w:val="22"/>
          <w:lang w:val="sr-Latn-ME"/>
        </w:rPr>
        <w:t>silicijum</w:t>
      </w:r>
      <w:r w:rsidR="00E63B95" w:rsidRPr="00A613D6">
        <w:rPr>
          <w:sz w:val="22"/>
          <w:szCs w:val="22"/>
          <w:lang w:val="sr-Latn-ME"/>
        </w:rPr>
        <w:t xml:space="preserve"> </w:t>
      </w:r>
      <w:r w:rsidRPr="00A613D6">
        <w:rPr>
          <w:sz w:val="22"/>
          <w:szCs w:val="22"/>
          <w:lang w:val="sr-Latn-ME"/>
        </w:rPr>
        <w:t xml:space="preserve">dioksid, koloidni, bezvodni </w:t>
      </w:r>
    </w:p>
    <w:p w14:paraId="12EB2928" w14:textId="482D3170" w:rsidR="00AC616D" w:rsidRPr="00A613D6" w:rsidRDefault="00AC616D" w:rsidP="008706C5">
      <w:pPr>
        <w:contextualSpacing/>
        <w:jc w:val="both"/>
        <w:rPr>
          <w:sz w:val="22"/>
          <w:szCs w:val="22"/>
          <w:lang w:val="sr-Latn-ME"/>
        </w:rPr>
      </w:pPr>
      <w:r w:rsidRPr="00A613D6">
        <w:rPr>
          <w:sz w:val="22"/>
          <w:szCs w:val="22"/>
          <w:lang w:val="sr-Latn-ME"/>
        </w:rPr>
        <w:t>metakrilna kiselina</w:t>
      </w:r>
      <w:r w:rsidR="00E63B95" w:rsidRPr="00A613D6">
        <w:rPr>
          <w:sz w:val="22"/>
          <w:szCs w:val="22"/>
          <w:lang w:val="sr-Latn-ME"/>
        </w:rPr>
        <w:t xml:space="preserve"> </w:t>
      </w:r>
      <w:r w:rsidRPr="00A613D6">
        <w:rPr>
          <w:sz w:val="22"/>
          <w:szCs w:val="22"/>
          <w:lang w:val="sr-Latn-ME"/>
        </w:rPr>
        <w:t>-</w:t>
      </w:r>
      <w:r w:rsidR="00E63B95" w:rsidRPr="00A613D6">
        <w:rPr>
          <w:sz w:val="22"/>
          <w:szCs w:val="22"/>
          <w:lang w:val="sr-Latn-ME"/>
        </w:rPr>
        <w:t xml:space="preserve"> </w:t>
      </w:r>
      <w:r w:rsidRPr="00A613D6">
        <w:rPr>
          <w:sz w:val="22"/>
          <w:szCs w:val="22"/>
          <w:lang w:val="sr-Latn-ME"/>
        </w:rPr>
        <w:t>etilakrilat kopolimer (1:1), tip A, neutralisan sa (6 mol %) natrijum</w:t>
      </w:r>
      <w:r w:rsidR="00B05E96" w:rsidRPr="00A613D6">
        <w:rPr>
          <w:sz w:val="22"/>
          <w:szCs w:val="22"/>
          <w:lang w:val="sr-Latn-ME"/>
        </w:rPr>
        <w:t xml:space="preserve"> </w:t>
      </w:r>
      <w:r w:rsidRPr="00A613D6">
        <w:rPr>
          <w:sz w:val="22"/>
          <w:szCs w:val="22"/>
          <w:lang w:val="sr-Latn-ME"/>
        </w:rPr>
        <w:t>hidroksidom</w:t>
      </w:r>
    </w:p>
    <w:p w14:paraId="62969AC0" w14:textId="77777777" w:rsidR="00AC616D" w:rsidRPr="00A613D6" w:rsidRDefault="00AC616D" w:rsidP="008706C5">
      <w:pPr>
        <w:contextualSpacing/>
        <w:jc w:val="both"/>
        <w:rPr>
          <w:sz w:val="22"/>
          <w:szCs w:val="22"/>
          <w:lang w:val="sr-Latn-ME"/>
        </w:rPr>
      </w:pPr>
      <w:r w:rsidRPr="00A613D6">
        <w:rPr>
          <w:sz w:val="22"/>
          <w:szCs w:val="22"/>
          <w:lang w:val="sr-Latn-ME"/>
        </w:rPr>
        <w:t>propilenglikol</w:t>
      </w:r>
    </w:p>
    <w:p w14:paraId="46BBB2EF" w14:textId="5AD416FB" w:rsidR="00AC616D" w:rsidRPr="00A613D6" w:rsidRDefault="00AC616D" w:rsidP="008706C5">
      <w:pPr>
        <w:contextualSpacing/>
        <w:jc w:val="both"/>
        <w:rPr>
          <w:sz w:val="22"/>
          <w:szCs w:val="22"/>
          <w:lang w:val="sr-Latn-ME"/>
        </w:rPr>
      </w:pPr>
      <w:r w:rsidRPr="00A613D6">
        <w:rPr>
          <w:sz w:val="22"/>
          <w:szCs w:val="22"/>
          <w:lang w:val="sr-Latn-ME"/>
        </w:rPr>
        <w:t>amonijum</w:t>
      </w:r>
      <w:r w:rsidR="00A46030" w:rsidRPr="00A613D6">
        <w:rPr>
          <w:sz w:val="22"/>
          <w:szCs w:val="22"/>
          <w:lang w:val="sr-Latn-ME"/>
        </w:rPr>
        <w:t xml:space="preserve"> </w:t>
      </w:r>
      <w:r w:rsidRPr="00A613D6">
        <w:rPr>
          <w:sz w:val="22"/>
          <w:szCs w:val="22"/>
          <w:lang w:val="sr-Latn-ME"/>
        </w:rPr>
        <w:t>-</w:t>
      </w:r>
      <w:r w:rsidR="00A46030" w:rsidRPr="00A613D6">
        <w:rPr>
          <w:sz w:val="22"/>
          <w:szCs w:val="22"/>
          <w:lang w:val="sr-Latn-ME"/>
        </w:rPr>
        <w:t xml:space="preserve"> </w:t>
      </w:r>
      <w:r w:rsidRPr="00A613D6">
        <w:rPr>
          <w:sz w:val="22"/>
          <w:szCs w:val="22"/>
          <w:lang w:val="sr-Latn-ME"/>
        </w:rPr>
        <w:t>metakrilat kopolimer</w:t>
      </w:r>
      <w:r w:rsidR="00A46030" w:rsidRPr="00A613D6">
        <w:rPr>
          <w:sz w:val="22"/>
          <w:szCs w:val="22"/>
          <w:lang w:val="sr-Latn-ME"/>
        </w:rPr>
        <w:t>,</w:t>
      </w:r>
      <w:r w:rsidRPr="00A613D6">
        <w:rPr>
          <w:sz w:val="22"/>
          <w:szCs w:val="22"/>
          <w:lang w:val="sr-Latn-ME"/>
        </w:rPr>
        <w:t xml:space="preserve"> tip A </w:t>
      </w:r>
    </w:p>
    <w:p w14:paraId="29CC45FB" w14:textId="158278FF" w:rsidR="00AC616D" w:rsidRPr="00A613D6" w:rsidRDefault="00AC616D" w:rsidP="008706C5">
      <w:pPr>
        <w:contextualSpacing/>
        <w:jc w:val="both"/>
        <w:rPr>
          <w:sz w:val="22"/>
          <w:szCs w:val="22"/>
          <w:lang w:val="sr-Latn-ME"/>
        </w:rPr>
      </w:pPr>
      <w:r w:rsidRPr="00A613D6">
        <w:rPr>
          <w:sz w:val="22"/>
          <w:szCs w:val="22"/>
          <w:lang w:val="sr-Latn-ME"/>
        </w:rPr>
        <w:t>amonijum</w:t>
      </w:r>
      <w:r w:rsidR="00A46030" w:rsidRPr="00A613D6">
        <w:rPr>
          <w:sz w:val="22"/>
          <w:szCs w:val="22"/>
          <w:lang w:val="sr-Latn-ME"/>
        </w:rPr>
        <w:t xml:space="preserve"> </w:t>
      </w:r>
      <w:r w:rsidRPr="00A613D6">
        <w:rPr>
          <w:sz w:val="22"/>
          <w:szCs w:val="22"/>
          <w:lang w:val="sr-Latn-ME"/>
        </w:rPr>
        <w:t>-</w:t>
      </w:r>
      <w:r w:rsidR="00A46030" w:rsidRPr="00A613D6">
        <w:rPr>
          <w:sz w:val="22"/>
          <w:szCs w:val="22"/>
          <w:lang w:val="sr-Latn-ME"/>
        </w:rPr>
        <w:t xml:space="preserve"> </w:t>
      </w:r>
      <w:r w:rsidRPr="00A613D6">
        <w:rPr>
          <w:sz w:val="22"/>
          <w:szCs w:val="22"/>
          <w:lang w:val="sr-Latn-ME"/>
        </w:rPr>
        <w:t>metakrilat kopolimer</w:t>
      </w:r>
      <w:r w:rsidR="00A46030" w:rsidRPr="00A613D6">
        <w:rPr>
          <w:sz w:val="22"/>
          <w:szCs w:val="22"/>
          <w:lang w:val="sr-Latn-ME"/>
        </w:rPr>
        <w:t>,</w:t>
      </w:r>
      <w:r w:rsidRPr="00A613D6">
        <w:rPr>
          <w:sz w:val="22"/>
          <w:szCs w:val="22"/>
          <w:lang w:val="sr-Latn-ME"/>
        </w:rPr>
        <w:t xml:space="preserve"> tip B </w:t>
      </w:r>
    </w:p>
    <w:p w14:paraId="1CA568C8" w14:textId="496891FF" w:rsidR="00AC616D" w:rsidRPr="00A613D6" w:rsidRDefault="00AC616D" w:rsidP="008706C5">
      <w:pPr>
        <w:contextualSpacing/>
        <w:jc w:val="both"/>
        <w:rPr>
          <w:sz w:val="22"/>
          <w:szCs w:val="22"/>
          <w:lang w:val="sr-Latn-ME"/>
        </w:rPr>
      </w:pPr>
      <w:r w:rsidRPr="00A613D6">
        <w:rPr>
          <w:sz w:val="22"/>
          <w:szCs w:val="22"/>
          <w:lang w:val="sr-Latn-ME"/>
        </w:rPr>
        <w:t>manitol (E 421)</w:t>
      </w:r>
    </w:p>
    <w:p w14:paraId="10B175C9" w14:textId="08CE7AFC" w:rsidR="00AC616D" w:rsidRPr="00A613D6" w:rsidRDefault="00AC616D" w:rsidP="008706C5">
      <w:pPr>
        <w:contextualSpacing/>
        <w:jc w:val="both"/>
        <w:rPr>
          <w:sz w:val="22"/>
          <w:szCs w:val="22"/>
          <w:lang w:val="sr-Latn-ME"/>
        </w:rPr>
      </w:pPr>
      <w:r w:rsidRPr="00A613D6">
        <w:rPr>
          <w:sz w:val="22"/>
          <w:szCs w:val="22"/>
          <w:lang w:val="sr-Latn-ME"/>
        </w:rPr>
        <w:t>magnezijum</w:t>
      </w:r>
      <w:r w:rsidR="00A46030" w:rsidRPr="00A613D6">
        <w:rPr>
          <w:sz w:val="22"/>
          <w:szCs w:val="22"/>
          <w:lang w:val="sr-Latn-ME"/>
        </w:rPr>
        <w:t xml:space="preserve"> </w:t>
      </w:r>
      <w:r w:rsidRPr="00A613D6">
        <w:rPr>
          <w:sz w:val="22"/>
          <w:szCs w:val="22"/>
          <w:lang w:val="sr-Latn-ME"/>
        </w:rPr>
        <w:t>karbonat, teški</w:t>
      </w:r>
    </w:p>
    <w:p w14:paraId="03004B2F" w14:textId="77777777" w:rsidR="00AC616D" w:rsidRPr="00A613D6" w:rsidRDefault="00AC616D" w:rsidP="008706C5">
      <w:pPr>
        <w:contextualSpacing/>
        <w:jc w:val="both"/>
        <w:rPr>
          <w:sz w:val="22"/>
          <w:szCs w:val="22"/>
          <w:lang w:val="sr-Latn-ME"/>
        </w:rPr>
      </w:pPr>
      <w:r w:rsidRPr="00A613D6">
        <w:rPr>
          <w:sz w:val="22"/>
          <w:szCs w:val="22"/>
          <w:lang w:val="sr-Latn-ME"/>
        </w:rPr>
        <w:t>hidroksipropilceluloza (75-150 mPas/5 % rastvor)</w:t>
      </w:r>
    </w:p>
    <w:p w14:paraId="3D50EF2A" w14:textId="7450CFEA" w:rsidR="00AC616D" w:rsidRPr="00A613D6" w:rsidRDefault="00AC616D" w:rsidP="008706C5">
      <w:pPr>
        <w:contextualSpacing/>
        <w:jc w:val="both"/>
        <w:rPr>
          <w:sz w:val="22"/>
          <w:szCs w:val="22"/>
          <w:lang w:val="sr-Latn-ME"/>
        </w:rPr>
      </w:pPr>
      <w:r w:rsidRPr="00A613D6">
        <w:rPr>
          <w:sz w:val="22"/>
          <w:szCs w:val="22"/>
          <w:lang w:val="sr-Latn-ME"/>
        </w:rPr>
        <w:t>natrijum</w:t>
      </w:r>
      <w:r w:rsidR="00A46030" w:rsidRPr="00A613D6">
        <w:rPr>
          <w:sz w:val="22"/>
          <w:szCs w:val="22"/>
          <w:lang w:val="sr-Latn-ME"/>
        </w:rPr>
        <w:t xml:space="preserve"> </w:t>
      </w:r>
      <w:r w:rsidRPr="00A613D6">
        <w:rPr>
          <w:sz w:val="22"/>
          <w:szCs w:val="22"/>
          <w:lang w:val="sr-Latn-ME"/>
        </w:rPr>
        <w:t>laurilsulfat</w:t>
      </w:r>
    </w:p>
    <w:p w14:paraId="64F3F4BA" w14:textId="77777777" w:rsidR="00AC616D" w:rsidRPr="00A613D6" w:rsidRDefault="00AC616D" w:rsidP="008706C5">
      <w:pPr>
        <w:contextualSpacing/>
        <w:jc w:val="both"/>
        <w:rPr>
          <w:sz w:val="22"/>
          <w:szCs w:val="22"/>
          <w:lang w:val="sr-Latn-ME"/>
        </w:rPr>
      </w:pPr>
      <w:r w:rsidRPr="00A613D6">
        <w:rPr>
          <w:sz w:val="22"/>
          <w:szCs w:val="22"/>
          <w:lang w:val="sr-Latn-ME"/>
        </w:rPr>
        <w:t>hipromeloza (6mPas)</w:t>
      </w:r>
    </w:p>
    <w:p w14:paraId="7E006593" w14:textId="3FF7D927" w:rsidR="00AC616D" w:rsidRPr="00A613D6" w:rsidRDefault="00AC616D" w:rsidP="008706C5">
      <w:pPr>
        <w:contextualSpacing/>
        <w:jc w:val="both"/>
        <w:rPr>
          <w:sz w:val="22"/>
          <w:szCs w:val="22"/>
          <w:lang w:val="sr-Latn-ME"/>
        </w:rPr>
      </w:pPr>
      <w:r w:rsidRPr="00A613D6">
        <w:rPr>
          <w:sz w:val="22"/>
          <w:szCs w:val="22"/>
          <w:lang w:val="sr-Latn-ME"/>
        </w:rPr>
        <w:t>metakrilna kiselina</w:t>
      </w:r>
      <w:r w:rsidR="00A46030" w:rsidRPr="00A613D6">
        <w:rPr>
          <w:sz w:val="22"/>
          <w:szCs w:val="22"/>
          <w:lang w:val="sr-Latn-ME"/>
        </w:rPr>
        <w:t xml:space="preserve"> </w:t>
      </w:r>
      <w:r w:rsidRPr="00A613D6">
        <w:rPr>
          <w:sz w:val="22"/>
          <w:szCs w:val="22"/>
          <w:lang w:val="sr-Latn-ME"/>
        </w:rPr>
        <w:t>-</w:t>
      </w:r>
      <w:r w:rsidR="00A46030" w:rsidRPr="00A613D6">
        <w:rPr>
          <w:sz w:val="22"/>
          <w:szCs w:val="22"/>
          <w:lang w:val="sr-Latn-ME"/>
        </w:rPr>
        <w:t xml:space="preserve"> </w:t>
      </w:r>
      <w:r w:rsidRPr="00A613D6">
        <w:rPr>
          <w:sz w:val="22"/>
          <w:szCs w:val="22"/>
          <w:lang w:val="sr-Latn-ME"/>
        </w:rPr>
        <w:t xml:space="preserve">etilakrilat kopolimer (1:1), disperzija 30 % </w:t>
      </w:r>
    </w:p>
    <w:p w14:paraId="7045A8B8" w14:textId="77777777" w:rsidR="00AC616D" w:rsidRPr="00A613D6" w:rsidRDefault="00AC616D" w:rsidP="008706C5">
      <w:pPr>
        <w:contextualSpacing/>
        <w:jc w:val="both"/>
        <w:rPr>
          <w:sz w:val="22"/>
          <w:szCs w:val="22"/>
          <w:lang w:val="sr-Latn-ME"/>
        </w:rPr>
      </w:pPr>
      <w:r w:rsidRPr="00A613D6">
        <w:rPr>
          <w:sz w:val="22"/>
          <w:szCs w:val="22"/>
          <w:lang w:val="sr-Latn-ME"/>
        </w:rPr>
        <w:t>polisorbat 80</w:t>
      </w:r>
    </w:p>
    <w:p w14:paraId="3B667F79" w14:textId="77777777" w:rsidR="00AC616D" w:rsidRPr="00A613D6" w:rsidRDefault="00AC616D" w:rsidP="008706C5">
      <w:pPr>
        <w:contextualSpacing/>
        <w:jc w:val="both"/>
        <w:rPr>
          <w:sz w:val="22"/>
          <w:szCs w:val="22"/>
          <w:lang w:val="sr-Latn-ME"/>
        </w:rPr>
      </w:pPr>
      <w:r w:rsidRPr="00A613D6">
        <w:rPr>
          <w:sz w:val="22"/>
          <w:szCs w:val="22"/>
          <w:lang w:val="sr-Latn-ME"/>
        </w:rPr>
        <w:t>trietilcitrat</w:t>
      </w:r>
    </w:p>
    <w:p w14:paraId="66351CB2" w14:textId="77777777" w:rsidR="00AC616D" w:rsidRPr="00A613D6" w:rsidRDefault="00AC616D" w:rsidP="008706C5">
      <w:pPr>
        <w:contextualSpacing/>
        <w:jc w:val="both"/>
        <w:rPr>
          <w:sz w:val="22"/>
          <w:szCs w:val="22"/>
          <w:lang w:val="sr-Latn-ME"/>
        </w:rPr>
      </w:pPr>
      <w:r w:rsidRPr="00A613D6">
        <w:rPr>
          <w:sz w:val="22"/>
          <w:szCs w:val="22"/>
          <w:lang w:val="sr-Latn-ME"/>
        </w:rPr>
        <w:t>talk</w:t>
      </w:r>
    </w:p>
    <w:p w14:paraId="1E9ACD68" w14:textId="77777777" w:rsidR="00AC616D" w:rsidRPr="00A613D6" w:rsidRDefault="00AC616D" w:rsidP="008706C5">
      <w:pPr>
        <w:contextualSpacing/>
        <w:jc w:val="both"/>
        <w:rPr>
          <w:sz w:val="22"/>
          <w:szCs w:val="22"/>
          <w:lang w:val="sr-Latn-ME"/>
        </w:rPr>
      </w:pPr>
    </w:p>
    <w:p w14:paraId="33C6C21C" w14:textId="77777777" w:rsidR="00AC616D" w:rsidRPr="00A613D6" w:rsidRDefault="00AC616D" w:rsidP="008706C5">
      <w:pPr>
        <w:contextualSpacing/>
        <w:jc w:val="both"/>
        <w:rPr>
          <w:sz w:val="22"/>
          <w:szCs w:val="22"/>
          <w:u w:val="single"/>
          <w:lang w:val="sr-Latn-ME"/>
        </w:rPr>
      </w:pPr>
      <w:r w:rsidRPr="00A613D6">
        <w:rPr>
          <w:sz w:val="22"/>
          <w:szCs w:val="22"/>
          <w:u w:val="single"/>
          <w:lang w:val="sr-Latn-ME"/>
        </w:rPr>
        <w:t>Sastav omotača  :</w:t>
      </w:r>
    </w:p>
    <w:p w14:paraId="6B116FE8" w14:textId="4632DFD7" w:rsidR="00AC616D" w:rsidRPr="00A613D6" w:rsidRDefault="00AC616D" w:rsidP="008706C5">
      <w:pPr>
        <w:contextualSpacing/>
        <w:jc w:val="both"/>
        <w:rPr>
          <w:sz w:val="22"/>
          <w:szCs w:val="22"/>
          <w:lang w:val="sr-Latn-ME"/>
        </w:rPr>
      </w:pPr>
      <w:r w:rsidRPr="00A613D6">
        <w:rPr>
          <w:sz w:val="22"/>
          <w:szCs w:val="22"/>
          <w:lang w:val="sr-Latn-ME"/>
        </w:rPr>
        <w:t>t</w:t>
      </w:r>
      <w:r w:rsidR="00B7007B" w:rsidRPr="00A613D6">
        <w:rPr>
          <w:sz w:val="22"/>
          <w:szCs w:val="22"/>
          <w:lang w:val="sr-Latn-ME"/>
        </w:rPr>
        <w:t>ij</w:t>
      </w:r>
      <w:r w:rsidRPr="00A613D6">
        <w:rPr>
          <w:sz w:val="22"/>
          <w:szCs w:val="22"/>
          <w:lang w:val="sr-Latn-ME"/>
        </w:rPr>
        <w:t>elo: titan</w:t>
      </w:r>
      <w:r w:rsidR="00A46030" w:rsidRPr="00A613D6">
        <w:rPr>
          <w:sz w:val="22"/>
          <w:szCs w:val="22"/>
          <w:lang w:val="sr-Latn-ME"/>
        </w:rPr>
        <w:t xml:space="preserve"> </w:t>
      </w:r>
      <w:r w:rsidRPr="00A613D6">
        <w:rPr>
          <w:sz w:val="22"/>
          <w:szCs w:val="22"/>
          <w:lang w:val="sr-Latn-ME"/>
        </w:rPr>
        <w:t>dioksid (E171), gvožđe (III)</w:t>
      </w:r>
      <w:r w:rsidR="00A46030" w:rsidRPr="00A613D6">
        <w:rPr>
          <w:sz w:val="22"/>
          <w:szCs w:val="22"/>
          <w:lang w:val="sr-Latn-ME"/>
        </w:rPr>
        <w:t xml:space="preserve"> </w:t>
      </w:r>
      <w:r w:rsidRPr="00A613D6">
        <w:rPr>
          <w:sz w:val="22"/>
          <w:szCs w:val="22"/>
          <w:lang w:val="sr-Latn-ME"/>
        </w:rPr>
        <w:t>oksid, žuti (E172), želatin</w:t>
      </w:r>
    </w:p>
    <w:p w14:paraId="4C964648" w14:textId="5F7EF046" w:rsidR="0072020E" w:rsidRPr="00A613D6" w:rsidRDefault="00AC616D" w:rsidP="008706C5">
      <w:pPr>
        <w:contextualSpacing/>
        <w:jc w:val="both"/>
        <w:rPr>
          <w:bCs/>
          <w:sz w:val="22"/>
          <w:szCs w:val="22"/>
          <w:lang w:val="sr-Latn-ME"/>
        </w:rPr>
      </w:pPr>
      <w:r w:rsidRPr="00A613D6">
        <w:rPr>
          <w:sz w:val="22"/>
          <w:szCs w:val="22"/>
          <w:lang w:val="sr-Latn-ME"/>
        </w:rPr>
        <w:t>kapa: titan</w:t>
      </w:r>
      <w:r w:rsidR="00A46030" w:rsidRPr="00A613D6">
        <w:rPr>
          <w:sz w:val="22"/>
          <w:szCs w:val="22"/>
          <w:lang w:val="sr-Latn-ME"/>
        </w:rPr>
        <w:t xml:space="preserve"> </w:t>
      </w:r>
      <w:r w:rsidRPr="00A613D6">
        <w:rPr>
          <w:sz w:val="22"/>
          <w:szCs w:val="22"/>
          <w:lang w:val="sr-Latn-ME"/>
        </w:rPr>
        <w:t>dioksid (E171), gvožđe (III)</w:t>
      </w:r>
      <w:r w:rsidR="00A46030" w:rsidRPr="00A613D6">
        <w:rPr>
          <w:sz w:val="22"/>
          <w:szCs w:val="22"/>
          <w:lang w:val="sr-Latn-ME"/>
        </w:rPr>
        <w:t xml:space="preserve"> </w:t>
      </w:r>
      <w:r w:rsidRPr="00A613D6">
        <w:rPr>
          <w:sz w:val="22"/>
          <w:szCs w:val="22"/>
          <w:lang w:val="sr-Latn-ME"/>
        </w:rPr>
        <w:t>oksid, crveni (E172), želatin</w:t>
      </w:r>
    </w:p>
    <w:p w14:paraId="53898F12" w14:textId="77777777" w:rsidR="00016349" w:rsidRPr="00A613D6" w:rsidRDefault="00016349" w:rsidP="008706C5">
      <w:pPr>
        <w:tabs>
          <w:tab w:val="left" w:pos="540"/>
          <w:tab w:val="left" w:pos="569"/>
        </w:tabs>
        <w:jc w:val="both"/>
        <w:rPr>
          <w:b/>
          <w:bCs/>
          <w:sz w:val="22"/>
          <w:szCs w:val="22"/>
          <w:lang w:val="sr-Latn-ME"/>
        </w:rPr>
      </w:pPr>
    </w:p>
    <w:p w14:paraId="4C964649" w14:textId="4770F591"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6.2. </w:t>
      </w:r>
      <w:r w:rsidR="00480FB1" w:rsidRPr="00A613D6">
        <w:rPr>
          <w:b/>
          <w:bCs/>
          <w:sz w:val="22"/>
          <w:szCs w:val="22"/>
          <w:lang w:val="sr-Latn-ME"/>
        </w:rPr>
        <w:tab/>
      </w:r>
      <w:r w:rsidRPr="00A613D6">
        <w:rPr>
          <w:b/>
          <w:bCs/>
          <w:sz w:val="22"/>
          <w:szCs w:val="22"/>
          <w:lang w:val="sr-Latn-ME"/>
        </w:rPr>
        <w:t>Inkompatibilnost</w:t>
      </w:r>
      <w:r w:rsidR="002846DB" w:rsidRPr="00A613D6">
        <w:rPr>
          <w:b/>
          <w:bCs/>
          <w:sz w:val="22"/>
          <w:szCs w:val="22"/>
          <w:lang w:val="sr-Latn-ME"/>
        </w:rPr>
        <w:t>i</w:t>
      </w:r>
    </w:p>
    <w:p w14:paraId="5498489A" w14:textId="77777777" w:rsidR="006E5860" w:rsidRPr="00A613D6" w:rsidRDefault="006E5860" w:rsidP="008706C5">
      <w:pPr>
        <w:jc w:val="both"/>
        <w:rPr>
          <w:sz w:val="22"/>
          <w:szCs w:val="22"/>
          <w:lang w:val="sr-Latn-ME"/>
        </w:rPr>
      </w:pPr>
    </w:p>
    <w:p w14:paraId="1E560D6C" w14:textId="1333235C" w:rsidR="006E5860" w:rsidRPr="00A613D6" w:rsidRDefault="006E5860" w:rsidP="008706C5">
      <w:pPr>
        <w:jc w:val="both"/>
        <w:rPr>
          <w:sz w:val="22"/>
          <w:szCs w:val="22"/>
          <w:lang w:val="sr-Latn-ME"/>
        </w:rPr>
      </w:pPr>
      <w:r w:rsidRPr="00A613D6">
        <w:rPr>
          <w:sz w:val="22"/>
          <w:szCs w:val="22"/>
          <w:lang w:val="sr-Latn-ME"/>
        </w:rPr>
        <w:t>Nije p</w:t>
      </w:r>
      <w:r w:rsidR="00921DBC" w:rsidRPr="00A613D6">
        <w:rPr>
          <w:sz w:val="22"/>
          <w:szCs w:val="22"/>
          <w:lang w:val="sr-Latn-ME"/>
        </w:rPr>
        <w:t>rimjenjivo</w:t>
      </w:r>
      <w:r w:rsidRPr="00A613D6">
        <w:rPr>
          <w:sz w:val="22"/>
          <w:szCs w:val="22"/>
          <w:lang w:val="sr-Latn-ME"/>
        </w:rPr>
        <w:t>.</w:t>
      </w:r>
    </w:p>
    <w:p w14:paraId="664DB9D4" w14:textId="77777777" w:rsidR="006E5860" w:rsidRPr="00A613D6" w:rsidRDefault="006E5860" w:rsidP="008706C5">
      <w:pPr>
        <w:tabs>
          <w:tab w:val="left" w:pos="540"/>
          <w:tab w:val="left" w:pos="569"/>
        </w:tabs>
        <w:jc w:val="both"/>
        <w:rPr>
          <w:bCs/>
          <w:sz w:val="22"/>
          <w:szCs w:val="22"/>
          <w:lang w:val="sr-Latn-ME"/>
        </w:rPr>
      </w:pPr>
    </w:p>
    <w:p w14:paraId="4C96464B"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6.3.</w:t>
      </w:r>
      <w:r w:rsidR="00C05DF8" w:rsidRPr="00A613D6">
        <w:rPr>
          <w:b/>
          <w:bCs/>
          <w:sz w:val="22"/>
          <w:szCs w:val="22"/>
          <w:lang w:val="sr-Latn-ME"/>
        </w:rPr>
        <w:t xml:space="preserve"> </w:t>
      </w:r>
      <w:r w:rsidR="00480FB1" w:rsidRPr="00A613D6">
        <w:rPr>
          <w:b/>
          <w:bCs/>
          <w:sz w:val="22"/>
          <w:szCs w:val="22"/>
          <w:lang w:val="sr-Latn-ME"/>
        </w:rPr>
        <w:tab/>
      </w:r>
      <w:r w:rsidRPr="00A613D6">
        <w:rPr>
          <w:b/>
          <w:bCs/>
          <w:sz w:val="22"/>
          <w:szCs w:val="22"/>
          <w:lang w:val="sr-Latn-ME"/>
        </w:rPr>
        <w:t>Rok upotrebe</w:t>
      </w:r>
    </w:p>
    <w:p w14:paraId="4C96464C" w14:textId="78162753" w:rsidR="0072020E" w:rsidRPr="00A613D6" w:rsidRDefault="0072020E" w:rsidP="008706C5">
      <w:pPr>
        <w:tabs>
          <w:tab w:val="left" w:pos="540"/>
          <w:tab w:val="left" w:pos="569"/>
        </w:tabs>
        <w:jc w:val="both"/>
        <w:rPr>
          <w:bCs/>
          <w:sz w:val="22"/>
          <w:szCs w:val="22"/>
          <w:lang w:val="sr-Latn-ME"/>
        </w:rPr>
      </w:pPr>
    </w:p>
    <w:p w14:paraId="7710C4D6" w14:textId="70B412A8" w:rsidR="00571334" w:rsidRPr="00A613D6" w:rsidRDefault="00CF54B4" w:rsidP="008706C5">
      <w:pPr>
        <w:jc w:val="both"/>
        <w:rPr>
          <w:sz w:val="22"/>
          <w:szCs w:val="22"/>
          <w:lang w:val="sr-Latn-ME"/>
        </w:rPr>
      </w:pPr>
      <w:r w:rsidRPr="00A613D6">
        <w:rPr>
          <w:sz w:val="22"/>
          <w:szCs w:val="22"/>
          <w:lang w:val="sr-Latn-ME"/>
        </w:rPr>
        <w:t>4 godine</w:t>
      </w:r>
    </w:p>
    <w:p w14:paraId="04EF9AC2" w14:textId="77777777" w:rsidR="00571334" w:rsidRPr="00A613D6" w:rsidRDefault="00571334" w:rsidP="008706C5">
      <w:pPr>
        <w:tabs>
          <w:tab w:val="left" w:pos="540"/>
          <w:tab w:val="left" w:pos="569"/>
        </w:tabs>
        <w:jc w:val="both"/>
        <w:rPr>
          <w:bCs/>
          <w:sz w:val="22"/>
          <w:szCs w:val="22"/>
          <w:lang w:val="sr-Latn-ME"/>
        </w:rPr>
      </w:pPr>
    </w:p>
    <w:p w14:paraId="4C96464D"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6.4. </w:t>
      </w:r>
      <w:r w:rsidR="00480FB1" w:rsidRPr="00A613D6">
        <w:rPr>
          <w:b/>
          <w:bCs/>
          <w:sz w:val="22"/>
          <w:szCs w:val="22"/>
          <w:lang w:val="sr-Latn-ME"/>
        </w:rPr>
        <w:tab/>
      </w:r>
      <w:r w:rsidRPr="00A613D6">
        <w:rPr>
          <w:b/>
          <w:bCs/>
          <w:sz w:val="22"/>
          <w:szCs w:val="22"/>
          <w:lang w:val="sr-Latn-ME"/>
        </w:rPr>
        <w:t>Posebne mjere upozorenja pri čuvanju</w:t>
      </w:r>
      <w:r w:rsidR="00F8570A" w:rsidRPr="00A613D6">
        <w:rPr>
          <w:b/>
          <w:bCs/>
          <w:sz w:val="22"/>
          <w:szCs w:val="22"/>
          <w:lang w:val="sr-Latn-ME"/>
        </w:rPr>
        <w:t xml:space="preserve"> lijeka</w:t>
      </w:r>
    </w:p>
    <w:p w14:paraId="4C96464E" w14:textId="655A24D1" w:rsidR="00EC2532" w:rsidRPr="00A613D6" w:rsidRDefault="00EC2532" w:rsidP="008706C5">
      <w:pPr>
        <w:tabs>
          <w:tab w:val="left" w:pos="540"/>
          <w:tab w:val="left" w:pos="569"/>
        </w:tabs>
        <w:jc w:val="both"/>
        <w:rPr>
          <w:bCs/>
          <w:sz w:val="22"/>
          <w:szCs w:val="22"/>
          <w:lang w:val="sr-Latn-ME"/>
        </w:rPr>
      </w:pPr>
    </w:p>
    <w:p w14:paraId="08A98912" w14:textId="77777777" w:rsidR="00843982" w:rsidRPr="00A613D6" w:rsidRDefault="00843982" w:rsidP="008706C5">
      <w:pPr>
        <w:jc w:val="both"/>
        <w:rPr>
          <w:sz w:val="22"/>
          <w:szCs w:val="22"/>
          <w:lang w:val="sr-Latn-ME"/>
        </w:rPr>
      </w:pPr>
      <w:r w:rsidRPr="00A613D6">
        <w:rPr>
          <w:sz w:val="22"/>
          <w:szCs w:val="22"/>
          <w:lang w:val="sr-Latn-ME"/>
        </w:rPr>
        <w:t>Čuvati na temperaturi do 30°C.</w:t>
      </w:r>
    </w:p>
    <w:p w14:paraId="4E435891" w14:textId="77777777" w:rsidR="00843982" w:rsidRPr="00A613D6" w:rsidRDefault="00843982" w:rsidP="008706C5">
      <w:pPr>
        <w:tabs>
          <w:tab w:val="left" w:pos="540"/>
          <w:tab w:val="left" w:pos="569"/>
        </w:tabs>
        <w:jc w:val="both"/>
        <w:rPr>
          <w:bCs/>
          <w:sz w:val="22"/>
          <w:szCs w:val="22"/>
          <w:lang w:val="sr-Latn-ME"/>
        </w:rPr>
      </w:pPr>
    </w:p>
    <w:p w14:paraId="4C96464F"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6.5. </w:t>
      </w:r>
      <w:r w:rsidR="00480FB1" w:rsidRPr="00A613D6">
        <w:rPr>
          <w:b/>
          <w:bCs/>
          <w:sz w:val="22"/>
          <w:szCs w:val="22"/>
          <w:lang w:val="sr-Latn-ME"/>
        </w:rPr>
        <w:tab/>
      </w:r>
      <w:r w:rsidR="002846DB" w:rsidRPr="00A613D6">
        <w:rPr>
          <w:b/>
          <w:bCs/>
          <w:sz w:val="22"/>
          <w:szCs w:val="22"/>
          <w:lang w:val="sr-Latn-ME"/>
        </w:rPr>
        <w:t xml:space="preserve">Vrsta i sadržaj </w:t>
      </w:r>
      <w:r w:rsidR="00F8570A" w:rsidRPr="00A613D6">
        <w:rPr>
          <w:b/>
          <w:bCs/>
          <w:sz w:val="22"/>
          <w:szCs w:val="22"/>
          <w:lang w:val="sr-Latn-ME"/>
        </w:rPr>
        <w:t>pakovanja</w:t>
      </w:r>
      <w:r w:rsidR="00C06864" w:rsidRPr="00A613D6">
        <w:rPr>
          <w:b/>
          <w:bCs/>
          <w:sz w:val="22"/>
          <w:szCs w:val="22"/>
          <w:lang w:val="sr-Latn-ME"/>
        </w:rPr>
        <w:t xml:space="preserve"> </w:t>
      </w:r>
    </w:p>
    <w:p w14:paraId="4C964650" w14:textId="4D7E6E59" w:rsidR="0072020E" w:rsidRPr="00A613D6" w:rsidRDefault="0072020E" w:rsidP="008706C5">
      <w:pPr>
        <w:tabs>
          <w:tab w:val="left" w:pos="540"/>
          <w:tab w:val="left" w:pos="569"/>
        </w:tabs>
        <w:jc w:val="both"/>
        <w:rPr>
          <w:bCs/>
          <w:sz w:val="22"/>
          <w:szCs w:val="22"/>
          <w:lang w:val="sr-Latn-ME"/>
        </w:rPr>
      </w:pPr>
    </w:p>
    <w:p w14:paraId="065C1C36" w14:textId="1EED6E24" w:rsidR="00FE343A" w:rsidRPr="00A613D6" w:rsidRDefault="00FE343A">
      <w:pPr>
        <w:tabs>
          <w:tab w:val="left" w:pos="540"/>
          <w:tab w:val="left" w:pos="569"/>
        </w:tabs>
        <w:jc w:val="both"/>
        <w:rPr>
          <w:sz w:val="22"/>
          <w:szCs w:val="22"/>
          <w:lang w:val="sr-Latn-ME"/>
        </w:rPr>
      </w:pPr>
      <w:r w:rsidRPr="00A613D6">
        <w:rPr>
          <w:sz w:val="22"/>
          <w:szCs w:val="22"/>
          <w:lang w:val="sr-Latn-ME"/>
        </w:rPr>
        <w:t>Unutrašnje pakovanje je OPA/Al/PVC-aluminijumski blister sa 5 kapsula. Spoljašnje pakovanje je složiva kartonsk</w:t>
      </w:r>
      <w:r w:rsidR="00D512C9">
        <w:rPr>
          <w:sz w:val="22"/>
          <w:szCs w:val="22"/>
          <w:lang w:val="sr-Latn-ME"/>
        </w:rPr>
        <w:t xml:space="preserve">a kutija u kojoj se nalazi 2 </w:t>
      </w:r>
      <w:r w:rsidRPr="00A613D6">
        <w:rPr>
          <w:sz w:val="22"/>
          <w:szCs w:val="22"/>
          <w:lang w:val="sr-Latn-ME"/>
        </w:rPr>
        <w:t>ili 6 blistera sa po 5 kapsula i Uputstvo za lijek.</w:t>
      </w:r>
    </w:p>
    <w:p w14:paraId="649AF974" w14:textId="77777777" w:rsidR="00FE343A" w:rsidRPr="00A613D6" w:rsidRDefault="00FE343A">
      <w:pPr>
        <w:tabs>
          <w:tab w:val="left" w:pos="540"/>
          <w:tab w:val="left" w:pos="569"/>
        </w:tabs>
        <w:jc w:val="both"/>
        <w:rPr>
          <w:sz w:val="22"/>
          <w:szCs w:val="22"/>
          <w:lang w:val="sr-Latn-ME"/>
        </w:rPr>
      </w:pPr>
    </w:p>
    <w:p w14:paraId="4C964651" w14:textId="73B12AD8" w:rsidR="002846DB"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6.6. </w:t>
      </w:r>
      <w:r w:rsidR="00480FB1" w:rsidRPr="00A613D6">
        <w:rPr>
          <w:b/>
          <w:bCs/>
          <w:sz w:val="22"/>
          <w:szCs w:val="22"/>
          <w:lang w:val="sr-Latn-ME"/>
        </w:rPr>
        <w:tab/>
      </w:r>
      <w:r w:rsidRPr="00A613D6">
        <w:rPr>
          <w:b/>
          <w:bCs/>
          <w:color w:val="000000"/>
          <w:sz w:val="22"/>
          <w:szCs w:val="22"/>
          <w:lang w:val="sr-Latn-ME"/>
        </w:rPr>
        <w:t>Posebne mjere opreza pri odlaganju materijala koji treba odbaciti nakon primjene lijeka</w:t>
      </w:r>
      <w:r w:rsidRPr="00A613D6">
        <w:rPr>
          <w:b/>
          <w:bCs/>
          <w:sz w:val="22"/>
          <w:szCs w:val="22"/>
          <w:lang w:val="sr-Latn-ME"/>
        </w:rPr>
        <w:t xml:space="preserve"> </w:t>
      </w:r>
      <w:r w:rsidR="00310F03" w:rsidRPr="00A613D6">
        <w:rPr>
          <w:b/>
          <w:bCs/>
          <w:sz w:val="22"/>
          <w:szCs w:val="22"/>
          <w:lang w:val="sr-Latn-ME"/>
        </w:rPr>
        <w:t>(i druga uputs</w:t>
      </w:r>
      <w:r w:rsidR="00D13C90" w:rsidRPr="00A613D6">
        <w:rPr>
          <w:b/>
          <w:bCs/>
          <w:sz w:val="22"/>
          <w:szCs w:val="22"/>
          <w:lang w:val="sr-Latn-ME"/>
        </w:rPr>
        <w:t>t</w:t>
      </w:r>
      <w:r w:rsidR="00310F03" w:rsidRPr="00A613D6">
        <w:rPr>
          <w:b/>
          <w:bCs/>
          <w:sz w:val="22"/>
          <w:szCs w:val="22"/>
          <w:lang w:val="sr-Latn-ME"/>
        </w:rPr>
        <w:t xml:space="preserve">va za rukovanje lijekom) </w:t>
      </w:r>
    </w:p>
    <w:p w14:paraId="4C964652" w14:textId="77777777" w:rsidR="00B66A70" w:rsidRPr="00A613D6" w:rsidRDefault="00B66A70" w:rsidP="008706C5">
      <w:pPr>
        <w:tabs>
          <w:tab w:val="left" w:pos="540"/>
          <w:tab w:val="left" w:pos="569"/>
        </w:tabs>
        <w:jc w:val="both"/>
        <w:rPr>
          <w:b/>
          <w:bCs/>
          <w:sz w:val="22"/>
          <w:szCs w:val="22"/>
          <w:lang w:val="sr-Latn-ME"/>
        </w:rPr>
      </w:pPr>
    </w:p>
    <w:p w14:paraId="77616E2E" w14:textId="77777777" w:rsidR="00FB2CE1" w:rsidRPr="00A613D6" w:rsidRDefault="00FB2CE1" w:rsidP="008706C5">
      <w:pPr>
        <w:jc w:val="both"/>
        <w:rPr>
          <w:sz w:val="22"/>
          <w:szCs w:val="22"/>
          <w:lang w:val="sr-Latn-ME"/>
        </w:rPr>
      </w:pPr>
      <w:r w:rsidRPr="00A613D6">
        <w:rPr>
          <w:sz w:val="22"/>
          <w:szCs w:val="22"/>
          <w:lang w:val="sr-Latn-ME"/>
        </w:rPr>
        <w:t>Svu neiskorišćenu količinu lijeka ili otpadnog materijala nakon njegove upotrebe treba ukloniti, u skladu sa važećim propisima.</w:t>
      </w:r>
    </w:p>
    <w:p w14:paraId="4C964653" w14:textId="2AFBD53E" w:rsidR="0072020E" w:rsidRPr="00A613D6" w:rsidRDefault="0072020E" w:rsidP="008706C5">
      <w:pPr>
        <w:tabs>
          <w:tab w:val="left" w:pos="540"/>
          <w:tab w:val="left" w:pos="569"/>
        </w:tabs>
        <w:jc w:val="both"/>
        <w:rPr>
          <w:bCs/>
          <w:sz w:val="22"/>
          <w:szCs w:val="22"/>
          <w:lang w:val="sr-Latn-ME"/>
        </w:rPr>
      </w:pPr>
    </w:p>
    <w:p w14:paraId="1A306931" w14:textId="68E74C0D" w:rsidR="0021428F" w:rsidRDefault="0021428F" w:rsidP="008706C5">
      <w:pPr>
        <w:tabs>
          <w:tab w:val="left" w:pos="540"/>
          <w:tab w:val="left" w:pos="569"/>
        </w:tabs>
        <w:jc w:val="both"/>
        <w:rPr>
          <w:bCs/>
          <w:sz w:val="22"/>
          <w:szCs w:val="22"/>
          <w:lang w:val="sr-Latn-ME"/>
        </w:rPr>
      </w:pPr>
    </w:p>
    <w:p w14:paraId="0C5D8C88" w14:textId="5A75C20F" w:rsidR="00A613D6" w:rsidRDefault="00A613D6" w:rsidP="008706C5">
      <w:pPr>
        <w:tabs>
          <w:tab w:val="left" w:pos="540"/>
          <w:tab w:val="left" w:pos="569"/>
        </w:tabs>
        <w:jc w:val="both"/>
        <w:rPr>
          <w:bCs/>
          <w:sz w:val="22"/>
          <w:szCs w:val="22"/>
          <w:lang w:val="sr-Latn-ME"/>
        </w:rPr>
      </w:pPr>
    </w:p>
    <w:p w14:paraId="72A2AC89" w14:textId="70D8D1B0" w:rsidR="00A613D6" w:rsidRDefault="00A613D6" w:rsidP="008706C5">
      <w:pPr>
        <w:tabs>
          <w:tab w:val="left" w:pos="540"/>
          <w:tab w:val="left" w:pos="569"/>
        </w:tabs>
        <w:jc w:val="both"/>
        <w:rPr>
          <w:bCs/>
          <w:sz w:val="22"/>
          <w:szCs w:val="22"/>
          <w:lang w:val="sr-Latn-ME"/>
        </w:rPr>
      </w:pPr>
    </w:p>
    <w:p w14:paraId="48F14F9D" w14:textId="77777777" w:rsidR="00A613D6" w:rsidRPr="00A613D6" w:rsidRDefault="00A613D6" w:rsidP="008706C5">
      <w:pPr>
        <w:tabs>
          <w:tab w:val="left" w:pos="540"/>
          <w:tab w:val="left" w:pos="569"/>
        </w:tabs>
        <w:jc w:val="both"/>
        <w:rPr>
          <w:bCs/>
          <w:sz w:val="22"/>
          <w:szCs w:val="22"/>
          <w:lang w:val="sr-Latn-ME"/>
        </w:rPr>
      </w:pPr>
    </w:p>
    <w:p w14:paraId="4C964654" w14:textId="77777777" w:rsidR="00F8570A" w:rsidRPr="00A613D6" w:rsidRDefault="0072020E" w:rsidP="008706C5">
      <w:pPr>
        <w:tabs>
          <w:tab w:val="left" w:pos="540"/>
          <w:tab w:val="left" w:pos="569"/>
        </w:tabs>
        <w:jc w:val="both"/>
        <w:rPr>
          <w:b/>
          <w:bCs/>
          <w:sz w:val="22"/>
          <w:szCs w:val="22"/>
          <w:lang w:val="sr-Latn-ME"/>
        </w:rPr>
      </w:pPr>
      <w:r w:rsidRPr="00A613D6">
        <w:rPr>
          <w:b/>
          <w:bCs/>
          <w:sz w:val="22"/>
          <w:szCs w:val="22"/>
          <w:lang w:val="sr-Latn-ME"/>
        </w:rPr>
        <w:lastRenderedPageBreak/>
        <w:t xml:space="preserve">7. </w:t>
      </w:r>
      <w:r w:rsidR="00480FB1" w:rsidRPr="00A613D6">
        <w:rPr>
          <w:b/>
          <w:bCs/>
          <w:sz w:val="22"/>
          <w:szCs w:val="22"/>
          <w:lang w:val="sr-Latn-ME"/>
        </w:rPr>
        <w:tab/>
      </w:r>
      <w:r w:rsidRPr="00A613D6">
        <w:rPr>
          <w:b/>
          <w:bCs/>
          <w:sz w:val="22"/>
          <w:szCs w:val="22"/>
          <w:lang w:val="sr-Latn-ME"/>
        </w:rPr>
        <w:t>NOSILAC DOZVOLE</w:t>
      </w:r>
      <w:r w:rsidR="00483928" w:rsidRPr="00A613D6">
        <w:rPr>
          <w:b/>
          <w:bCs/>
          <w:sz w:val="22"/>
          <w:szCs w:val="22"/>
          <w:lang w:val="sr-Latn-ME"/>
        </w:rPr>
        <w:t xml:space="preserve"> </w:t>
      </w:r>
    </w:p>
    <w:p w14:paraId="4C964655" w14:textId="77777777" w:rsidR="00C61BE0" w:rsidRPr="00A613D6" w:rsidRDefault="00C61BE0" w:rsidP="008706C5">
      <w:pPr>
        <w:tabs>
          <w:tab w:val="left" w:pos="540"/>
          <w:tab w:val="left" w:pos="569"/>
        </w:tabs>
        <w:jc w:val="both"/>
        <w:rPr>
          <w:bCs/>
          <w:sz w:val="22"/>
          <w:szCs w:val="22"/>
          <w:lang w:val="sr-Latn-ME"/>
        </w:rPr>
      </w:pPr>
    </w:p>
    <w:p w14:paraId="708977BC" w14:textId="77777777" w:rsidR="005C7D2D" w:rsidRPr="00A613D6" w:rsidRDefault="005C7D2D">
      <w:pPr>
        <w:jc w:val="both"/>
        <w:rPr>
          <w:sz w:val="22"/>
          <w:szCs w:val="22"/>
          <w:highlight w:val="yellow"/>
          <w:lang w:val="sr-Latn-ME"/>
        </w:rPr>
      </w:pPr>
      <w:r w:rsidRPr="00A613D6">
        <w:rPr>
          <w:sz w:val="22"/>
          <w:szCs w:val="22"/>
          <w:lang w:val="sr-Latn-ME"/>
        </w:rPr>
        <w:t>PharmaSwiss - Montenegro, PharmaSwiss d.o.o. Beograd, dio stranog društva u Podgorici</w:t>
      </w:r>
    </w:p>
    <w:p w14:paraId="64C361A7" w14:textId="36ACEEFC" w:rsidR="005C7D2D" w:rsidRPr="00A613D6" w:rsidRDefault="005C7D2D">
      <w:pPr>
        <w:jc w:val="both"/>
        <w:rPr>
          <w:sz w:val="22"/>
          <w:szCs w:val="22"/>
          <w:lang w:val="sr-Latn-ME"/>
        </w:rPr>
      </w:pPr>
      <w:r w:rsidRPr="00A613D6">
        <w:rPr>
          <w:sz w:val="22"/>
          <w:szCs w:val="22"/>
          <w:lang w:val="sr-Latn-ME"/>
        </w:rPr>
        <w:t xml:space="preserve">Rimski trg </w:t>
      </w:r>
      <w:r w:rsidR="00122B8A" w:rsidRPr="00A613D6">
        <w:rPr>
          <w:sz w:val="22"/>
          <w:szCs w:val="22"/>
          <w:lang w:val="sr-Latn-ME"/>
        </w:rPr>
        <w:t xml:space="preserve">br. </w:t>
      </w:r>
      <w:r w:rsidRPr="00A613D6">
        <w:rPr>
          <w:sz w:val="22"/>
          <w:szCs w:val="22"/>
          <w:lang w:val="sr-Latn-ME"/>
        </w:rPr>
        <w:t>16, Podgorica, Crna Gora</w:t>
      </w:r>
    </w:p>
    <w:p w14:paraId="4C964656" w14:textId="4F91C942" w:rsidR="00C37FD7" w:rsidRPr="00A613D6" w:rsidRDefault="00C37FD7" w:rsidP="008706C5">
      <w:pPr>
        <w:tabs>
          <w:tab w:val="left" w:pos="540"/>
          <w:tab w:val="left" w:pos="569"/>
        </w:tabs>
        <w:jc w:val="both"/>
        <w:rPr>
          <w:bCs/>
          <w:sz w:val="22"/>
          <w:szCs w:val="22"/>
          <w:lang w:val="sr-Latn-ME"/>
        </w:rPr>
      </w:pPr>
    </w:p>
    <w:p w14:paraId="26E2C870" w14:textId="77777777" w:rsidR="0021428F" w:rsidRPr="00A613D6" w:rsidRDefault="0021428F" w:rsidP="008706C5">
      <w:pPr>
        <w:tabs>
          <w:tab w:val="left" w:pos="540"/>
          <w:tab w:val="left" w:pos="569"/>
        </w:tabs>
        <w:jc w:val="both"/>
        <w:rPr>
          <w:bCs/>
          <w:sz w:val="22"/>
          <w:szCs w:val="22"/>
          <w:lang w:val="sr-Latn-ME"/>
        </w:rPr>
      </w:pPr>
    </w:p>
    <w:p w14:paraId="4C964657"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8. </w:t>
      </w:r>
      <w:r w:rsidR="00480FB1" w:rsidRPr="00A613D6">
        <w:rPr>
          <w:b/>
          <w:bCs/>
          <w:sz w:val="22"/>
          <w:szCs w:val="22"/>
          <w:lang w:val="sr-Latn-ME"/>
        </w:rPr>
        <w:tab/>
      </w:r>
      <w:r w:rsidRPr="00A613D6">
        <w:rPr>
          <w:b/>
          <w:bCs/>
          <w:sz w:val="22"/>
          <w:szCs w:val="22"/>
          <w:lang w:val="sr-Latn-ME"/>
        </w:rPr>
        <w:t>BROJ DOZVOLE</w:t>
      </w:r>
      <w:r w:rsidR="008A6D43" w:rsidRPr="00A613D6">
        <w:rPr>
          <w:b/>
          <w:bCs/>
          <w:sz w:val="22"/>
          <w:szCs w:val="22"/>
          <w:lang w:val="sr-Latn-ME"/>
        </w:rPr>
        <w:t xml:space="preserve"> ZA STAVLJANJE LIJEKA U PROMET</w:t>
      </w:r>
    </w:p>
    <w:p w14:paraId="4C964658" w14:textId="77777777" w:rsidR="0072020E" w:rsidRPr="00A613D6" w:rsidRDefault="0072020E" w:rsidP="008706C5">
      <w:pPr>
        <w:tabs>
          <w:tab w:val="left" w:pos="540"/>
          <w:tab w:val="left" w:pos="569"/>
        </w:tabs>
        <w:jc w:val="both"/>
        <w:rPr>
          <w:bCs/>
          <w:sz w:val="22"/>
          <w:szCs w:val="22"/>
          <w:lang w:val="sr-Latn-ME"/>
        </w:rPr>
      </w:pPr>
    </w:p>
    <w:p w14:paraId="2FA913C9" w14:textId="170791A1" w:rsidR="00AA19C5" w:rsidRPr="00A613D6" w:rsidRDefault="002D08EE">
      <w:pPr>
        <w:jc w:val="both"/>
        <w:rPr>
          <w:sz w:val="22"/>
          <w:szCs w:val="22"/>
          <w:lang w:val="sr-Latn-ME"/>
        </w:rPr>
      </w:pPr>
      <w:r w:rsidRPr="00A613D6">
        <w:rPr>
          <w:sz w:val="22"/>
          <w:szCs w:val="22"/>
          <w:lang w:val="sr-Latn-ME"/>
        </w:rPr>
        <w:t>Diclopram, kapsul</w:t>
      </w:r>
      <w:r w:rsidR="00AA19C5" w:rsidRPr="00A613D6">
        <w:rPr>
          <w:sz w:val="22"/>
          <w:szCs w:val="22"/>
          <w:lang w:val="sr-Latn-ME"/>
        </w:rPr>
        <w:t>a</w:t>
      </w:r>
      <w:r w:rsidRPr="00A613D6">
        <w:rPr>
          <w:sz w:val="22"/>
          <w:szCs w:val="22"/>
          <w:lang w:val="sr-Latn-ME"/>
        </w:rPr>
        <w:t xml:space="preserve"> sa modifikovanim oslobađanjem, tvrd</w:t>
      </w:r>
      <w:r w:rsidR="00AA19C5" w:rsidRPr="00A613D6">
        <w:rPr>
          <w:sz w:val="22"/>
          <w:szCs w:val="22"/>
          <w:lang w:val="sr-Latn-ME"/>
        </w:rPr>
        <w:t>a</w:t>
      </w:r>
      <w:r w:rsidRPr="00A613D6">
        <w:rPr>
          <w:sz w:val="22"/>
          <w:szCs w:val="22"/>
          <w:lang w:val="sr-Latn-ME"/>
        </w:rPr>
        <w:t xml:space="preserve">, </w:t>
      </w:r>
      <w:r w:rsidR="00AA19C5" w:rsidRPr="00A613D6">
        <w:rPr>
          <w:sz w:val="22"/>
          <w:szCs w:val="22"/>
          <w:lang w:val="sr-Latn-ME"/>
        </w:rPr>
        <w:t xml:space="preserve">75 mg + 20 mg, blister, </w:t>
      </w:r>
    </w:p>
    <w:p w14:paraId="3FB6B23B" w14:textId="7C4C0FB2" w:rsidR="002D08EE" w:rsidRPr="00A613D6" w:rsidRDefault="00AA19C5">
      <w:pPr>
        <w:jc w:val="both"/>
        <w:rPr>
          <w:sz w:val="22"/>
          <w:szCs w:val="22"/>
          <w:lang w:val="sr-Latn-ME"/>
        </w:rPr>
      </w:pPr>
      <w:r w:rsidRPr="00A613D6">
        <w:rPr>
          <w:sz w:val="22"/>
          <w:szCs w:val="22"/>
          <w:lang w:val="sr-Latn-ME"/>
        </w:rPr>
        <w:t>10 (</w:t>
      </w:r>
      <w:r w:rsidR="002D08EE" w:rsidRPr="00A613D6">
        <w:rPr>
          <w:sz w:val="22"/>
          <w:szCs w:val="22"/>
          <w:lang w:val="sr-Latn-ME"/>
        </w:rPr>
        <w:t>2x5</w:t>
      </w:r>
      <w:r w:rsidRPr="00A613D6">
        <w:rPr>
          <w:sz w:val="22"/>
          <w:szCs w:val="22"/>
          <w:lang w:val="sr-Latn-ME"/>
        </w:rPr>
        <w:t>) kapsula, tvrdih</w:t>
      </w:r>
      <w:r w:rsidR="00E6383F" w:rsidRPr="00A613D6">
        <w:rPr>
          <w:sz w:val="22"/>
          <w:szCs w:val="22"/>
          <w:lang w:val="sr-Latn-ME"/>
        </w:rPr>
        <w:t>: 2030/22/666 - 837</w:t>
      </w:r>
      <w:r w:rsidR="002D08EE" w:rsidRPr="00A613D6">
        <w:rPr>
          <w:sz w:val="22"/>
          <w:szCs w:val="22"/>
          <w:lang w:val="sr-Latn-ME"/>
        </w:rPr>
        <w:t xml:space="preserve"> </w:t>
      </w:r>
    </w:p>
    <w:p w14:paraId="3AE04F21" w14:textId="4C324F40" w:rsidR="00AA19C5" w:rsidRPr="00A613D6" w:rsidRDefault="002D08EE">
      <w:pPr>
        <w:jc w:val="both"/>
        <w:rPr>
          <w:sz w:val="22"/>
          <w:szCs w:val="22"/>
          <w:lang w:val="sr-Latn-ME"/>
        </w:rPr>
      </w:pPr>
      <w:bookmarkStart w:id="1" w:name="_GoBack"/>
      <w:bookmarkEnd w:id="1"/>
      <w:r w:rsidRPr="00A613D6">
        <w:rPr>
          <w:sz w:val="22"/>
          <w:szCs w:val="22"/>
          <w:lang w:val="sr-Latn-ME"/>
        </w:rPr>
        <w:t>Diclopram, kapsul</w:t>
      </w:r>
      <w:r w:rsidR="00AA19C5" w:rsidRPr="00A613D6">
        <w:rPr>
          <w:sz w:val="22"/>
          <w:szCs w:val="22"/>
          <w:lang w:val="sr-Latn-ME"/>
        </w:rPr>
        <w:t>a</w:t>
      </w:r>
      <w:r w:rsidRPr="00A613D6">
        <w:rPr>
          <w:sz w:val="22"/>
          <w:szCs w:val="22"/>
          <w:lang w:val="sr-Latn-ME"/>
        </w:rPr>
        <w:t xml:space="preserve"> sa modifikovanim oslobađanjem, tvrd</w:t>
      </w:r>
      <w:r w:rsidR="00AA19C5" w:rsidRPr="00A613D6">
        <w:rPr>
          <w:sz w:val="22"/>
          <w:szCs w:val="22"/>
          <w:lang w:val="sr-Latn-ME"/>
        </w:rPr>
        <w:t>a</w:t>
      </w:r>
      <w:r w:rsidRPr="00A613D6">
        <w:rPr>
          <w:sz w:val="22"/>
          <w:szCs w:val="22"/>
          <w:lang w:val="sr-Latn-ME"/>
        </w:rPr>
        <w:t xml:space="preserve">, </w:t>
      </w:r>
      <w:r w:rsidR="00AA19C5" w:rsidRPr="00A613D6">
        <w:rPr>
          <w:sz w:val="22"/>
          <w:szCs w:val="22"/>
          <w:lang w:val="sr-Latn-ME"/>
        </w:rPr>
        <w:t xml:space="preserve">75 mg + 20 mg, blister, </w:t>
      </w:r>
    </w:p>
    <w:p w14:paraId="60C6D657" w14:textId="4772888A" w:rsidR="002D08EE" w:rsidRPr="00A613D6" w:rsidRDefault="00AA19C5">
      <w:pPr>
        <w:jc w:val="both"/>
        <w:rPr>
          <w:sz w:val="22"/>
          <w:szCs w:val="22"/>
          <w:lang w:val="sr-Latn-ME"/>
        </w:rPr>
      </w:pPr>
      <w:r w:rsidRPr="00A613D6">
        <w:rPr>
          <w:sz w:val="22"/>
          <w:szCs w:val="22"/>
          <w:lang w:val="sr-Latn-ME"/>
        </w:rPr>
        <w:t>30 (</w:t>
      </w:r>
      <w:r w:rsidR="002D08EE" w:rsidRPr="00A613D6">
        <w:rPr>
          <w:sz w:val="22"/>
          <w:szCs w:val="22"/>
          <w:lang w:val="sr-Latn-ME"/>
        </w:rPr>
        <w:t>6x5</w:t>
      </w:r>
      <w:r w:rsidRPr="00A613D6">
        <w:rPr>
          <w:sz w:val="22"/>
          <w:szCs w:val="22"/>
          <w:lang w:val="sr-Latn-ME"/>
        </w:rPr>
        <w:t>) kapsula, tvrdih</w:t>
      </w:r>
      <w:r w:rsidR="00AB6002" w:rsidRPr="00A613D6">
        <w:rPr>
          <w:sz w:val="22"/>
          <w:szCs w:val="22"/>
          <w:lang w:val="sr-Latn-ME"/>
        </w:rPr>
        <w:t>: 2030/22/679</w:t>
      </w:r>
      <w:r w:rsidR="00F379CE" w:rsidRPr="00A613D6">
        <w:rPr>
          <w:sz w:val="22"/>
          <w:szCs w:val="22"/>
          <w:lang w:val="sr-Latn-ME"/>
        </w:rPr>
        <w:t xml:space="preserve"> - 839</w:t>
      </w:r>
    </w:p>
    <w:p w14:paraId="4C964659" w14:textId="0B9A15E2" w:rsidR="00F45F77" w:rsidRPr="00A613D6" w:rsidRDefault="00F45F77" w:rsidP="008706C5">
      <w:pPr>
        <w:tabs>
          <w:tab w:val="left" w:pos="540"/>
          <w:tab w:val="left" w:pos="569"/>
        </w:tabs>
        <w:jc w:val="both"/>
        <w:rPr>
          <w:bCs/>
          <w:sz w:val="22"/>
          <w:szCs w:val="22"/>
          <w:lang w:val="sr-Latn-ME"/>
        </w:rPr>
      </w:pPr>
    </w:p>
    <w:p w14:paraId="314648E8" w14:textId="77777777" w:rsidR="0021428F" w:rsidRPr="00A613D6" w:rsidRDefault="0021428F" w:rsidP="008706C5">
      <w:pPr>
        <w:tabs>
          <w:tab w:val="left" w:pos="540"/>
          <w:tab w:val="left" w:pos="569"/>
        </w:tabs>
        <w:jc w:val="both"/>
        <w:rPr>
          <w:bCs/>
          <w:sz w:val="22"/>
          <w:szCs w:val="22"/>
          <w:lang w:val="sr-Latn-ME"/>
        </w:rPr>
      </w:pPr>
    </w:p>
    <w:p w14:paraId="4C96465A" w14:textId="77777777" w:rsidR="0072020E" w:rsidRPr="00A613D6" w:rsidRDefault="0072020E" w:rsidP="008706C5">
      <w:pPr>
        <w:tabs>
          <w:tab w:val="left" w:pos="540"/>
          <w:tab w:val="left" w:pos="569"/>
        </w:tabs>
        <w:jc w:val="both"/>
        <w:rPr>
          <w:b/>
          <w:bCs/>
          <w:sz w:val="22"/>
          <w:szCs w:val="22"/>
          <w:lang w:val="sr-Latn-ME"/>
        </w:rPr>
      </w:pPr>
      <w:r w:rsidRPr="00A613D6">
        <w:rPr>
          <w:b/>
          <w:bCs/>
          <w:sz w:val="22"/>
          <w:szCs w:val="22"/>
          <w:lang w:val="sr-Latn-ME"/>
        </w:rPr>
        <w:t xml:space="preserve">9. </w:t>
      </w:r>
      <w:r w:rsidR="00480FB1" w:rsidRPr="00A613D6">
        <w:rPr>
          <w:b/>
          <w:bCs/>
          <w:sz w:val="22"/>
          <w:szCs w:val="22"/>
          <w:lang w:val="sr-Latn-ME"/>
        </w:rPr>
        <w:tab/>
      </w:r>
      <w:r w:rsidRPr="00A613D6">
        <w:rPr>
          <w:b/>
          <w:bCs/>
          <w:sz w:val="22"/>
          <w:szCs w:val="22"/>
          <w:lang w:val="sr-Latn-ME"/>
        </w:rPr>
        <w:t xml:space="preserve">DATUM </w:t>
      </w:r>
      <w:r w:rsidR="00C05DF8" w:rsidRPr="00A613D6">
        <w:rPr>
          <w:b/>
          <w:bCs/>
          <w:sz w:val="22"/>
          <w:szCs w:val="22"/>
          <w:lang w:val="sr-Latn-ME"/>
        </w:rPr>
        <w:t xml:space="preserve">PRVE </w:t>
      </w:r>
      <w:r w:rsidR="008A6D43" w:rsidRPr="00A613D6">
        <w:rPr>
          <w:b/>
          <w:bCs/>
          <w:sz w:val="22"/>
          <w:szCs w:val="22"/>
          <w:lang w:val="sr-Latn-ME"/>
        </w:rPr>
        <w:t>DOZVOLE</w:t>
      </w:r>
      <w:r w:rsidR="00C05DF8" w:rsidRPr="00A613D6">
        <w:rPr>
          <w:b/>
          <w:bCs/>
          <w:sz w:val="22"/>
          <w:szCs w:val="22"/>
          <w:lang w:val="sr-Latn-ME"/>
        </w:rPr>
        <w:t>/OBNOVE DOZVOLE</w:t>
      </w:r>
      <w:r w:rsidR="008A6D43" w:rsidRPr="00A613D6">
        <w:rPr>
          <w:b/>
          <w:bCs/>
          <w:sz w:val="22"/>
          <w:szCs w:val="22"/>
          <w:lang w:val="sr-Latn-ME"/>
        </w:rPr>
        <w:t xml:space="preserve"> ZA STAVLJANJE LIJEKA U PROMET</w:t>
      </w:r>
    </w:p>
    <w:p w14:paraId="4C96465B" w14:textId="1AE30293" w:rsidR="0072020E" w:rsidRPr="00A613D6" w:rsidRDefault="0072020E" w:rsidP="008706C5">
      <w:pPr>
        <w:tabs>
          <w:tab w:val="left" w:pos="540"/>
          <w:tab w:val="left" w:pos="569"/>
        </w:tabs>
        <w:jc w:val="both"/>
        <w:rPr>
          <w:bCs/>
          <w:sz w:val="22"/>
          <w:szCs w:val="22"/>
          <w:lang w:val="sr-Latn-ME"/>
        </w:rPr>
      </w:pPr>
    </w:p>
    <w:p w14:paraId="6594CC1C" w14:textId="0160B3CA" w:rsidR="00C2557F" w:rsidRPr="00A613D6" w:rsidRDefault="00D2073F">
      <w:pPr>
        <w:jc w:val="both"/>
        <w:rPr>
          <w:sz w:val="22"/>
          <w:szCs w:val="22"/>
          <w:lang w:val="sr-Latn-ME"/>
        </w:rPr>
      </w:pPr>
      <w:r w:rsidRPr="00A613D6">
        <w:rPr>
          <w:sz w:val="22"/>
          <w:szCs w:val="22"/>
          <w:lang w:val="sr-Latn-ME"/>
        </w:rPr>
        <w:t>29.03.2022.</w:t>
      </w:r>
    </w:p>
    <w:p w14:paraId="4C96465C" w14:textId="4F7BE4EA" w:rsidR="00836B35" w:rsidRDefault="00836B35" w:rsidP="008706C5">
      <w:pPr>
        <w:tabs>
          <w:tab w:val="left" w:pos="540"/>
          <w:tab w:val="left" w:pos="569"/>
        </w:tabs>
        <w:jc w:val="both"/>
        <w:rPr>
          <w:bCs/>
          <w:sz w:val="22"/>
          <w:szCs w:val="22"/>
          <w:lang w:val="sr-Latn-ME"/>
        </w:rPr>
      </w:pPr>
    </w:p>
    <w:p w14:paraId="5F09D061" w14:textId="77777777" w:rsidR="00A613D6" w:rsidRPr="00A613D6" w:rsidRDefault="00A613D6" w:rsidP="008706C5">
      <w:pPr>
        <w:tabs>
          <w:tab w:val="left" w:pos="540"/>
          <w:tab w:val="left" w:pos="569"/>
        </w:tabs>
        <w:jc w:val="both"/>
        <w:rPr>
          <w:bCs/>
          <w:sz w:val="22"/>
          <w:szCs w:val="22"/>
          <w:lang w:val="sr-Latn-ME"/>
        </w:rPr>
      </w:pPr>
    </w:p>
    <w:p w14:paraId="4C96465D" w14:textId="77777777" w:rsidR="003F6A59" w:rsidRPr="00A613D6" w:rsidRDefault="0072020E" w:rsidP="008706C5">
      <w:pPr>
        <w:tabs>
          <w:tab w:val="left" w:pos="540"/>
          <w:tab w:val="left" w:pos="569"/>
        </w:tabs>
        <w:ind w:left="540" w:hanging="540"/>
        <w:jc w:val="both"/>
        <w:rPr>
          <w:bCs/>
          <w:sz w:val="22"/>
          <w:szCs w:val="22"/>
          <w:lang w:val="sr-Latn-ME"/>
        </w:rPr>
      </w:pPr>
      <w:r w:rsidRPr="00A613D6">
        <w:rPr>
          <w:b/>
          <w:bCs/>
          <w:sz w:val="22"/>
          <w:szCs w:val="22"/>
          <w:lang w:val="sr-Latn-ME"/>
        </w:rPr>
        <w:t xml:space="preserve">10. </w:t>
      </w:r>
      <w:r w:rsidR="00480FB1" w:rsidRPr="00A613D6">
        <w:rPr>
          <w:b/>
          <w:bCs/>
          <w:sz w:val="22"/>
          <w:szCs w:val="22"/>
          <w:lang w:val="sr-Latn-ME"/>
        </w:rPr>
        <w:tab/>
      </w:r>
      <w:r w:rsidR="002846DB" w:rsidRPr="00A613D6">
        <w:rPr>
          <w:b/>
          <w:bCs/>
          <w:sz w:val="22"/>
          <w:szCs w:val="22"/>
          <w:lang w:val="sr-Latn-ME"/>
        </w:rPr>
        <w:t>D</w:t>
      </w:r>
      <w:r w:rsidR="00EC2532" w:rsidRPr="00A613D6">
        <w:rPr>
          <w:b/>
          <w:bCs/>
          <w:sz w:val="22"/>
          <w:szCs w:val="22"/>
          <w:lang w:val="sr-Latn-ME"/>
        </w:rPr>
        <w:t xml:space="preserve">ATUM REVIZIJE TEKSTA </w:t>
      </w:r>
    </w:p>
    <w:p w14:paraId="4C96465E" w14:textId="77777777" w:rsidR="003F6A59" w:rsidRPr="00A613D6" w:rsidRDefault="003F6A59" w:rsidP="008706C5">
      <w:pPr>
        <w:tabs>
          <w:tab w:val="left" w:pos="540"/>
          <w:tab w:val="left" w:pos="569"/>
        </w:tabs>
        <w:jc w:val="both"/>
        <w:rPr>
          <w:bCs/>
          <w:sz w:val="22"/>
          <w:szCs w:val="22"/>
          <w:lang w:val="sr-Latn-ME"/>
        </w:rPr>
      </w:pPr>
    </w:p>
    <w:p w14:paraId="4C964666" w14:textId="192C1355" w:rsidR="003F6A59" w:rsidRPr="00A613D6" w:rsidRDefault="00A613D6" w:rsidP="008706C5">
      <w:pPr>
        <w:jc w:val="both"/>
        <w:rPr>
          <w:sz w:val="22"/>
          <w:szCs w:val="22"/>
          <w:lang w:val="sr-Latn-ME"/>
        </w:rPr>
      </w:pPr>
      <w:r>
        <w:rPr>
          <w:sz w:val="22"/>
          <w:szCs w:val="22"/>
          <w:lang w:val="sr-Latn-ME"/>
        </w:rPr>
        <w:t>Decembar, 2024. godine</w:t>
      </w:r>
    </w:p>
    <w:sectPr w:rsidR="003F6A59" w:rsidRPr="00A613D6" w:rsidSect="00D645ED">
      <w:footerReference w:type="default" r:id="rId12"/>
      <w:pgSz w:w="11909" w:h="16834"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D1F82" w14:textId="77777777" w:rsidR="00F94A82" w:rsidRDefault="00F94A82">
      <w:r>
        <w:separator/>
      </w:r>
    </w:p>
  </w:endnote>
  <w:endnote w:type="continuationSeparator" w:id="0">
    <w:p w14:paraId="7B07C2A2" w14:textId="77777777" w:rsidR="00F94A82" w:rsidRDefault="00F9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297220"/>
      <w:docPartObj>
        <w:docPartGallery w:val="Page Numbers (Bottom of Page)"/>
        <w:docPartUnique/>
      </w:docPartObj>
    </w:sdtPr>
    <w:sdtEndPr>
      <w:rPr>
        <w:sz w:val="20"/>
        <w:szCs w:val="20"/>
      </w:rPr>
    </w:sdtEndPr>
    <w:sdtContent>
      <w:p w14:paraId="2BACBC98" w14:textId="1A1ACAEA" w:rsidR="00C865D2" w:rsidRPr="00D645ED" w:rsidRDefault="00C865D2">
        <w:pPr>
          <w:pStyle w:val="Footer"/>
          <w:jc w:val="center"/>
          <w:rPr>
            <w:sz w:val="20"/>
            <w:szCs w:val="20"/>
          </w:rPr>
        </w:pPr>
        <w:r w:rsidRPr="00D645ED">
          <w:rPr>
            <w:sz w:val="20"/>
            <w:szCs w:val="20"/>
          </w:rPr>
          <w:fldChar w:fldCharType="begin"/>
        </w:r>
        <w:r w:rsidRPr="00D645ED">
          <w:rPr>
            <w:sz w:val="20"/>
            <w:szCs w:val="20"/>
          </w:rPr>
          <w:instrText>PAGE   \* MERGEFORMAT</w:instrText>
        </w:r>
        <w:r w:rsidRPr="00D645ED">
          <w:rPr>
            <w:sz w:val="20"/>
            <w:szCs w:val="20"/>
          </w:rPr>
          <w:fldChar w:fldCharType="separate"/>
        </w:r>
        <w:r w:rsidR="00D512C9" w:rsidRPr="00D512C9">
          <w:rPr>
            <w:noProof/>
            <w:sz w:val="20"/>
            <w:szCs w:val="20"/>
            <w:lang w:val="sr-Latn-RS"/>
          </w:rPr>
          <w:t>19</w:t>
        </w:r>
        <w:r w:rsidRPr="00D645ED">
          <w:rPr>
            <w:sz w:val="20"/>
            <w:szCs w:val="20"/>
          </w:rPr>
          <w:fldChar w:fldCharType="end"/>
        </w:r>
        <w:r w:rsidRPr="00D645ED">
          <w:rPr>
            <w:sz w:val="20"/>
            <w:szCs w:val="20"/>
          </w:rPr>
          <w:t xml:space="preserve"> / 18</w:t>
        </w:r>
      </w:p>
    </w:sdtContent>
  </w:sdt>
  <w:p w14:paraId="4C96466D" w14:textId="4F1BCE99" w:rsidR="00C865D2" w:rsidRPr="00D645ED" w:rsidRDefault="00C865D2" w:rsidP="00B23F6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15244" w14:textId="77777777" w:rsidR="00F94A82" w:rsidRDefault="00F94A82">
      <w:r>
        <w:separator/>
      </w:r>
    </w:p>
  </w:footnote>
  <w:footnote w:type="continuationSeparator" w:id="0">
    <w:p w14:paraId="0B7E0FAD" w14:textId="77777777" w:rsidR="00F94A82" w:rsidRDefault="00F9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C46103"/>
    <w:multiLevelType w:val="hybridMultilevel"/>
    <w:tmpl w:val="D1E4A3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0C062B5"/>
    <w:multiLevelType w:val="hybridMultilevel"/>
    <w:tmpl w:val="12CEB9A4"/>
    <w:lvl w:ilvl="0" w:tplc="4C220C38">
      <w:numFmt w:val="bullet"/>
      <w:lvlText w:val="-"/>
      <w:lvlJc w:val="left"/>
      <w:pPr>
        <w:ind w:left="1080" w:hanging="72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0F5"/>
    <w:rsid w:val="00002BAE"/>
    <w:rsid w:val="0001256D"/>
    <w:rsid w:val="00014EA5"/>
    <w:rsid w:val="00016349"/>
    <w:rsid w:val="000176CA"/>
    <w:rsid w:val="0002062F"/>
    <w:rsid w:val="00020F39"/>
    <w:rsid w:val="00036FA0"/>
    <w:rsid w:val="0003793F"/>
    <w:rsid w:val="00040321"/>
    <w:rsid w:val="000416C1"/>
    <w:rsid w:val="00051594"/>
    <w:rsid w:val="00051931"/>
    <w:rsid w:val="00052A5B"/>
    <w:rsid w:val="0005365E"/>
    <w:rsid w:val="0005746B"/>
    <w:rsid w:val="00057E35"/>
    <w:rsid w:val="00070007"/>
    <w:rsid w:val="00071EF1"/>
    <w:rsid w:val="000727B0"/>
    <w:rsid w:val="00076726"/>
    <w:rsid w:val="00080303"/>
    <w:rsid w:val="000A3F58"/>
    <w:rsid w:val="000B5A57"/>
    <w:rsid w:val="000C6A5A"/>
    <w:rsid w:val="000C7198"/>
    <w:rsid w:val="000D2343"/>
    <w:rsid w:val="000D3449"/>
    <w:rsid w:val="000D34AD"/>
    <w:rsid w:val="000D425A"/>
    <w:rsid w:val="000D4733"/>
    <w:rsid w:val="000D60CC"/>
    <w:rsid w:val="000D6E85"/>
    <w:rsid w:val="000E1C3D"/>
    <w:rsid w:val="000E2084"/>
    <w:rsid w:val="000E3606"/>
    <w:rsid w:val="000E6F55"/>
    <w:rsid w:val="000F77FA"/>
    <w:rsid w:val="00103D48"/>
    <w:rsid w:val="00107BF7"/>
    <w:rsid w:val="00122B8A"/>
    <w:rsid w:val="001253AA"/>
    <w:rsid w:val="00126F53"/>
    <w:rsid w:val="00136985"/>
    <w:rsid w:val="00142145"/>
    <w:rsid w:val="0014766D"/>
    <w:rsid w:val="00152624"/>
    <w:rsid w:val="001536CC"/>
    <w:rsid w:val="00180696"/>
    <w:rsid w:val="001807A4"/>
    <w:rsid w:val="001A00B4"/>
    <w:rsid w:val="001A3789"/>
    <w:rsid w:val="001A3FBA"/>
    <w:rsid w:val="001A5518"/>
    <w:rsid w:val="001A6BBD"/>
    <w:rsid w:val="001B1C6A"/>
    <w:rsid w:val="001C1263"/>
    <w:rsid w:val="001C1417"/>
    <w:rsid w:val="001D4636"/>
    <w:rsid w:val="001D6302"/>
    <w:rsid w:val="001E390B"/>
    <w:rsid w:val="001F42FB"/>
    <w:rsid w:val="001F719A"/>
    <w:rsid w:val="002015A5"/>
    <w:rsid w:val="002028FF"/>
    <w:rsid w:val="002031B3"/>
    <w:rsid w:val="00205B0F"/>
    <w:rsid w:val="00210B22"/>
    <w:rsid w:val="0021428F"/>
    <w:rsid w:val="00215931"/>
    <w:rsid w:val="00215ED1"/>
    <w:rsid w:val="00227BDB"/>
    <w:rsid w:val="00234CB1"/>
    <w:rsid w:val="002352F8"/>
    <w:rsid w:val="00236735"/>
    <w:rsid w:val="0024363E"/>
    <w:rsid w:val="0025029E"/>
    <w:rsid w:val="002510A5"/>
    <w:rsid w:val="00254A0A"/>
    <w:rsid w:val="002615F8"/>
    <w:rsid w:val="00266046"/>
    <w:rsid w:val="002846DB"/>
    <w:rsid w:val="00284CCD"/>
    <w:rsid w:val="00292AD6"/>
    <w:rsid w:val="002A3F3F"/>
    <w:rsid w:val="002A6851"/>
    <w:rsid w:val="002C48C7"/>
    <w:rsid w:val="002C6637"/>
    <w:rsid w:val="002C7FCD"/>
    <w:rsid w:val="002D08EE"/>
    <w:rsid w:val="002D09CB"/>
    <w:rsid w:val="002E0135"/>
    <w:rsid w:val="002E37A5"/>
    <w:rsid w:val="002E6F71"/>
    <w:rsid w:val="00304ABA"/>
    <w:rsid w:val="00310F03"/>
    <w:rsid w:val="003247D2"/>
    <w:rsid w:val="003253FD"/>
    <w:rsid w:val="00332328"/>
    <w:rsid w:val="00332D57"/>
    <w:rsid w:val="003353BC"/>
    <w:rsid w:val="003445C1"/>
    <w:rsid w:val="00355B61"/>
    <w:rsid w:val="00361FD3"/>
    <w:rsid w:val="00362686"/>
    <w:rsid w:val="00366203"/>
    <w:rsid w:val="00371510"/>
    <w:rsid w:val="00396B5F"/>
    <w:rsid w:val="00396DFD"/>
    <w:rsid w:val="003A690E"/>
    <w:rsid w:val="003A7059"/>
    <w:rsid w:val="003B6039"/>
    <w:rsid w:val="003B7A36"/>
    <w:rsid w:val="003C17AB"/>
    <w:rsid w:val="003C7823"/>
    <w:rsid w:val="003D4A41"/>
    <w:rsid w:val="003D643A"/>
    <w:rsid w:val="003E1DCC"/>
    <w:rsid w:val="003F6A59"/>
    <w:rsid w:val="004043B7"/>
    <w:rsid w:val="004065C8"/>
    <w:rsid w:val="00411B4B"/>
    <w:rsid w:val="004121F6"/>
    <w:rsid w:val="004124DA"/>
    <w:rsid w:val="00415BEE"/>
    <w:rsid w:val="004227A9"/>
    <w:rsid w:val="00427F85"/>
    <w:rsid w:val="00436F42"/>
    <w:rsid w:val="004378B4"/>
    <w:rsid w:val="00451314"/>
    <w:rsid w:val="00452E9D"/>
    <w:rsid w:val="004534C7"/>
    <w:rsid w:val="004671AA"/>
    <w:rsid w:val="004759FB"/>
    <w:rsid w:val="004767AD"/>
    <w:rsid w:val="004775FE"/>
    <w:rsid w:val="00480FB1"/>
    <w:rsid w:val="00483928"/>
    <w:rsid w:val="00493431"/>
    <w:rsid w:val="004A3708"/>
    <w:rsid w:val="004B5C39"/>
    <w:rsid w:val="004B6420"/>
    <w:rsid w:val="004C27C2"/>
    <w:rsid w:val="004C4D40"/>
    <w:rsid w:val="004D57D5"/>
    <w:rsid w:val="004D609C"/>
    <w:rsid w:val="004D6103"/>
    <w:rsid w:val="004D7AFD"/>
    <w:rsid w:val="004E3BCE"/>
    <w:rsid w:val="004E445F"/>
    <w:rsid w:val="004E7762"/>
    <w:rsid w:val="004F0E97"/>
    <w:rsid w:val="00501DD1"/>
    <w:rsid w:val="00515C21"/>
    <w:rsid w:val="00523239"/>
    <w:rsid w:val="00530BD7"/>
    <w:rsid w:val="00545CD2"/>
    <w:rsid w:val="00547474"/>
    <w:rsid w:val="005476F3"/>
    <w:rsid w:val="00554573"/>
    <w:rsid w:val="00571334"/>
    <w:rsid w:val="00572527"/>
    <w:rsid w:val="00573E40"/>
    <w:rsid w:val="00576348"/>
    <w:rsid w:val="00592108"/>
    <w:rsid w:val="005A0B2E"/>
    <w:rsid w:val="005A23D2"/>
    <w:rsid w:val="005A36CB"/>
    <w:rsid w:val="005B33D5"/>
    <w:rsid w:val="005B49B8"/>
    <w:rsid w:val="005C0741"/>
    <w:rsid w:val="005C5EF4"/>
    <w:rsid w:val="005C7D2D"/>
    <w:rsid w:val="005E2E0B"/>
    <w:rsid w:val="005E66BA"/>
    <w:rsid w:val="005E7A7D"/>
    <w:rsid w:val="005F24FB"/>
    <w:rsid w:val="00646BD1"/>
    <w:rsid w:val="006561C2"/>
    <w:rsid w:val="0066545B"/>
    <w:rsid w:val="00671CB3"/>
    <w:rsid w:val="006725CE"/>
    <w:rsid w:val="0067482C"/>
    <w:rsid w:val="00674BAF"/>
    <w:rsid w:val="00682200"/>
    <w:rsid w:val="00682EAF"/>
    <w:rsid w:val="006935A7"/>
    <w:rsid w:val="00693F72"/>
    <w:rsid w:val="006953D7"/>
    <w:rsid w:val="006A1497"/>
    <w:rsid w:val="006A424F"/>
    <w:rsid w:val="006B0BD1"/>
    <w:rsid w:val="006B6347"/>
    <w:rsid w:val="006D0E17"/>
    <w:rsid w:val="006D20A5"/>
    <w:rsid w:val="006D37BF"/>
    <w:rsid w:val="006E5860"/>
    <w:rsid w:val="00702E22"/>
    <w:rsid w:val="007113B2"/>
    <w:rsid w:val="00715ACE"/>
    <w:rsid w:val="0072020E"/>
    <w:rsid w:val="00727708"/>
    <w:rsid w:val="00741436"/>
    <w:rsid w:val="00745285"/>
    <w:rsid w:val="00786071"/>
    <w:rsid w:val="00791B2D"/>
    <w:rsid w:val="00792656"/>
    <w:rsid w:val="007A3ECB"/>
    <w:rsid w:val="007C1375"/>
    <w:rsid w:val="007D5613"/>
    <w:rsid w:val="007E2172"/>
    <w:rsid w:val="00812E46"/>
    <w:rsid w:val="00824AB9"/>
    <w:rsid w:val="00836B35"/>
    <w:rsid w:val="00843982"/>
    <w:rsid w:val="00843BDE"/>
    <w:rsid w:val="008706C5"/>
    <w:rsid w:val="00873951"/>
    <w:rsid w:val="00873E86"/>
    <w:rsid w:val="00881C6F"/>
    <w:rsid w:val="0089705C"/>
    <w:rsid w:val="008A6D43"/>
    <w:rsid w:val="008A75BC"/>
    <w:rsid w:val="008B15FD"/>
    <w:rsid w:val="008B491E"/>
    <w:rsid w:val="008B55E7"/>
    <w:rsid w:val="008C1A28"/>
    <w:rsid w:val="008C2E98"/>
    <w:rsid w:val="008C3D38"/>
    <w:rsid w:val="008C4131"/>
    <w:rsid w:val="008C5E82"/>
    <w:rsid w:val="008C5F93"/>
    <w:rsid w:val="008C7DCC"/>
    <w:rsid w:val="008D1201"/>
    <w:rsid w:val="008D172C"/>
    <w:rsid w:val="008D3CEB"/>
    <w:rsid w:val="008E49BD"/>
    <w:rsid w:val="008E53E9"/>
    <w:rsid w:val="008E5771"/>
    <w:rsid w:val="009031E7"/>
    <w:rsid w:val="00913059"/>
    <w:rsid w:val="00921DBC"/>
    <w:rsid w:val="0092646C"/>
    <w:rsid w:val="00931347"/>
    <w:rsid w:val="00940B9B"/>
    <w:rsid w:val="0095676E"/>
    <w:rsid w:val="00956983"/>
    <w:rsid w:val="00957061"/>
    <w:rsid w:val="00963CF0"/>
    <w:rsid w:val="00964BB1"/>
    <w:rsid w:val="009706F4"/>
    <w:rsid w:val="00970D0D"/>
    <w:rsid w:val="00970EA6"/>
    <w:rsid w:val="009737A9"/>
    <w:rsid w:val="00974D50"/>
    <w:rsid w:val="009775D9"/>
    <w:rsid w:val="009831FD"/>
    <w:rsid w:val="00983860"/>
    <w:rsid w:val="00996028"/>
    <w:rsid w:val="00997175"/>
    <w:rsid w:val="009A00AA"/>
    <w:rsid w:val="009A1847"/>
    <w:rsid w:val="009B062A"/>
    <w:rsid w:val="009C693E"/>
    <w:rsid w:val="009E7C6F"/>
    <w:rsid w:val="009F0B5D"/>
    <w:rsid w:val="009F1793"/>
    <w:rsid w:val="009F2D23"/>
    <w:rsid w:val="00A01D69"/>
    <w:rsid w:val="00A02335"/>
    <w:rsid w:val="00A0254C"/>
    <w:rsid w:val="00A20CAE"/>
    <w:rsid w:val="00A371FC"/>
    <w:rsid w:val="00A431EB"/>
    <w:rsid w:val="00A44AAD"/>
    <w:rsid w:val="00A46030"/>
    <w:rsid w:val="00A46C9A"/>
    <w:rsid w:val="00A613D6"/>
    <w:rsid w:val="00A619F3"/>
    <w:rsid w:val="00A62A73"/>
    <w:rsid w:val="00A679F3"/>
    <w:rsid w:val="00A7001B"/>
    <w:rsid w:val="00A7200A"/>
    <w:rsid w:val="00A87FF6"/>
    <w:rsid w:val="00AA0A3B"/>
    <w:rsid w:val="00AA19C5"/>
    <w:rsid w:val="00AA2763"/>
    <w:rsid w:val="00AA33B6"/>
    <w:rsid w:val="00AB50CA"/>
    <w:rsid w:val="00AB6002"/>
    <w:rsid w:val="00AB6D64"/>
    <w:rsid w:val="00AC0B59"/>
    <w:rsid w:val="00AC53CE"/>
    <w:rsid w:val="00AC616D"/>
    <w:rsid w:val="00AD2193"/>
    <w:rsid w:val="00AF2AC7"/>
    <w:rsid w:val="00AF74CE"/>
    <w:rsid w:val="00B05E96"/>
    <w:rsid w:val="00B05EAA"/>
    <w:rsid w:val="00B13062"/>
    <w:rsid w:val="00B208DB"/>
    <w:rsid w:val="00B23F69"/>
    <w:rsid w:val="00B571EC"/>
    <w:rsid w:val="00B60619"/>
    <w:rsid w:val="00B66A70"/>
    <w:rsid w:val="00B67366"/>
    <w:rsid w:val="00B7007B"/>
    <w:rsid w:val="00B74474"/>
    <w:rsid w:val="00B7765D"/>
    <w:rsid w:val="00B80EE1"/>
    <w:rsid w:val="00B84135"/>
    <w:rsid w:val="00BA063A"/>
    <w:rsid w:val="00BA5E5B"/>
    <w:rsid w:val="00BB4056"/>
    <w:rsid w:val="00BC659D"/>
    <w:rsid w:val="00BC75EC"/>
    <w:rsid w:val="00BD6111"/>
    <w:rsid w:val="00BE1122"/>
    <w:rsid w:val="00BF4695"/>
    <w:rsid w:val="00C04D34"/>
    <w:rsid w:val="00C05326"/>
    <w:rsid w:val="00C05DF8"/>
    <w:rsid w:val="00C06864"/>
    <w:rsid w:val="00C102F0"/>
    <w:rsid w:val="00C10F54"/>
    <w:rsid w:val="00C16468"/>
    <w:rsid w:val="00C20586"/>
    <w:rsid w:val="00C23D8D"/>
    <w:rsid w:val="00C2557F"/>
    <w:rsid w:val="00C37AA3"/>
    <w:rsid w:val="00C37FD7"/>
    <w:rsid w:val="00C4104A"/>
    <w:rsid w:val="00C43419"/>
    <w:rsid w:val="00C44CF3"/>
    <w:rsid w:val="00C61BE0"/>
    <w:rsid w:val="00C70B0E"/>
    <w:rsid w:val="00C728AB"/>
    <w:rsid w:val="00C773CA"/>
    <w:rsid w:val="00C83785"/>
    <w:rsid w:val="00C865D2"/>
    <w:rsid w:val="00C94C0D"/>
    <w:rsid w:val="00C954AA"/>
    <w:rsid w:val="00C95700"/>
    <w:rsid w:val="00CA1FEB"/>
    <w:rsid w:val="00CA2D53"/>
    <w:rsid w:val="00CB448F"/>
    <w:rsid w:val="00CD3CCB"/>
    <w:rsid w:val="00CD4F85"/>
    <w:rsid w:val="00CD5A67"/>
    <w:rsid w:val="00CD6F02"/>
    <w:rsid w:val="00CE246D"/>
    <w:rsid w:val="00CF07A0"/>
    <w:rsid w:val="00CF3E03"/>
    <w:rsid w:val="00CF4D6A"/>
    <w:rsid w:val="00CF54B4"/>
    <w:rsid w:val="00D0082A"/>
    <w:rsid w:val="00D13C90"/>
    <w:rsid w:val="00D2073F"/>
    <w:rsid w:val="00D21455"/>
    <w:rsid w:val="00D2274D"/>
    <w:rsid w:val="00D27A71"/>
    <w:rsid w:val="00D33E93"/>
    <w:rsid w:val="00D47634"/>
    <w:rsid w:val="00D512C9"/>
    <w:rsid w:val="00D53212"/>
    <w:rsid w:val="00D645ED"/>
    <w:rsid w:val="00D709B3"/>
    <w:rsid w:val="00D84D99"/>
    <w:rsid w:val="00DA2ED6"/>
    <w:rsid w:val="00DA4684"/>
    <w:rsid w:val="00DB76B8"/>
    <w:rsid w:val="00DC1DD3"/>
    <w:rsid w:val="00DC2EA1"/>
    <w:rsid w:val="00DC56A3"/>
    <w:rsid w:val="00DD34A5"/>
    <w:rsid w:val="00DD6AAF"/>
    <w:rsid w:val="00DE3F5C"/>
    <w:rsid w:val="00DE5CF6"/>
    <w:rsid w:val="00DE5F5E"/>
    <w:rsid w:val="00DF160C"/>
    <w:rsid w:val="00DF1CDD"/>
    <w:rsid w:val="00DF1D20"/>
    <w:rsid w:val="00E05E07"/>
    <w:rsid w:val="00E21324"/>
    <w:rsid w:val="00E246B9"/>
    <w:rsid w:val="00E31FEA"/>
    <w:rsid w:val="00E34FEF"/>
    <w:rsid w:val="00E42840"/>
    <w:rsid w:val="00E45169"/>
    <w:rsid w:val="00E47787"/>
    <w:rsid w:val="00E51C30"/>
    <w:rsid w:val="00E6383F"/>
    <w:rsid w:val="00E639FB"/>
    <w:rsid w:val="00E63B95"/>
    <w:rsid w:val="00E64180"/>
    <w:rsid w:val="00E74AEE"/>
    <w:rsid w:val="00E868E5"/>
    <w:rsid w:val="00E9237A"/>
    <w:rsid w:val="00E939FA"/>
    <w:rsid w:val="00EA5765"/>
    <w:rsid w:val="00EB5EBE"/>
    <w:rsid w:val="00EC2532"/>
    <w:rsid w:val="00EC70F6"/>
    <w:rsid w:val="00ED7812"/>
    <w:rsid w:val="00EE5188"/>
    <w:rsid w:val="00EF3B86"/>
    <w:rsid w:val="00F317E9"/>
    <w:rsid w:val="00F34554"/>
    <w:rsid w:val="00F3505C"/>
    <w:rsid w:val="00F379CE"/>
    <w:rsid w:val="00F37F64"/>
    <w:rsid w:val="00F45280"/>
    <w:rsid w:val="00F45F77"/>
    <w:rsid w:val="00F5167F"/>
    <w:rsid w:val="00F52258"/>
    <w:rsid w:val="00F63B6B"/>
    <w:rsid w:val="00F63F4A"/>
    <w:rsid w:val="00F70047"/>
    <w:rsid w:val="00F812E4"/>
    <w:rsid w:val="00F8570A"/>
    <w:rsid w:val="00F9120C"/>
    <w:rsid w:val="00F91C7B"/>
    <w:rsid w:val="00F94A82"/>
    <w:rsid w:val="00FA4042"/>
    <w:rsid w:val="00FA5235"/>
    <w:rsid w:val="00FB2CE1"/>
    <w:rsid w:val="00FC429F"/>
    <w:rsid w:val="00FC4AD1"/>
    <w:rsid w:val="00FC6DC9"/>
    <w:rsid w:val="00FD0F76"/>
    <w:rsid w:val="00FD3F2D"/>
    <w:rsid w:val="00FD5E90"/>
    <w:rsid w:val="00FE2CB0"/>
    <w:rsid w:val="00FE343A"/>
    <w:rsid w:val="00FF0E61"/>
    <w:rsid w:val="00FF465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645F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link w:val="Header"/>
    <w:rsid w:val="0067482C"/>
    <w:rPr>
      <w:sz w:val="24"/>
      <w:szCs w:val="24"/>
      <w:lang w:val="en-US" w:eastAsia="en-US"/>
    </w:rPr>
  </w:style>
  <w:style w:type="paragraph" w:styleId="ListParagraph">
    <w:name w:val="List Paragraph"/>
    <w:basedOn w:val="Normal"/>
    <w:uiPriority w:val="34"/>
    <w:qFormat/>
    <w:rsid w:val="00C20586"/>
    <w:pPr>
      <w:spacing w:after="200" w:line="276" w:lineRule="auto"/>
      <w:ind w:left="720"/>
      <w:contextualSpacing/>
    </w:pPr>
    <w:rPr>
      <w:rFonts w:ascii="Calibri" w:eastAsia="Calibri" w:hAnsi="Calibri" w:cs="Arial"/>
      <w:sz w:val="22"/>
      <w:szCs w:val="22"/>
    </w:rPr>
  </w:style>
  <w:style w:type="character" w:styleId="Hyperlink">
    <w:name w:val="Hyperlink"/>
    <w:basedOn w:val="DefaultParagraphFont"/>
    <w:rsid w:val="000010F5"/>
    <w:rPr>
      <w:color w:val="0563C1" w:themeColor="hyperlink"/>
      <w:u w:val="single"/>
    </w:rPr>
  </w:style>
  <w:style w:type="character" w:customStyle="1" w:styleId="FooterChar">
    <w:name w:val="Footer Char"/>
    <w:basedOn w:val="DefaultParagraphFont"/>
    <w:link w:val="Footer"/>
    <w:uiPriority w:val="99"/>
    <w:rsid w:val="00D645ED"/>
    <w:rPr>
      <w:sz w:val="24"/>
      <w:szCs w:val="24"/>
      <w:lang w:val="en-US" w:eastAsia="en-US"/>
    </w:rPr>
  </w:style>
  <w:style w:type="paragraph" w:styleId="Revision">
    <w:name w:val="Revision"/>
    <w:hidden/>
    <w:uiPriority w:val="99"/>
    <w:semiHidden/>
    <w:rsid w:val="006935A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9072">
      <w:bodyDiv w:val="1"/>
      <w:marLeft w:val="0"/>
      <w:marRight w:val="0"/>
      <w:marTop w:val="0"/>
      <w:marBottom w:val="0"/>
      <w:divBdr>
        <w:top w:val="none" w:sz="0" w:space="0" w:color="auto"/>
        <w:left w:val="none" w:sz="0" w:space="0" w:color="auto"/>
        <w:bottom w:val="none" w:sz="0" w:space="0" w:color="auto"/>
        <w:right w:val="none" w:sz="0" w:space="0" w:color="auto"/>
      </w:divBdr>
    </w:div>
    <w:div w:id="409735416">
      <w:bodyDiv w:val="1"/>
      <w:marLeft w:val="0"/>
      <w:marRight w:val="0"/>
      <w:marTop w:val="0"/>
      <w:marBottom w:val="0"/>
      <w:divBdr>
        <w:top w:val="none" w:sz="0" w:space="0" w:color="auto"/>
        <w:left w:val="none" w:sz="0" w:space="0" w:color="auto"/>
        <w:bottom w:val="none" w:sz="0" w:space="0" w:color="auto"/>
        <w:right w:val="none" w:sz="0" w:space="0" w:color="auto"/>
      </w:divBdr>
    </w:div>
    <w:div w:id="644623715">
      <w:bodyDiv w:val="1"/>
      <w:marLeft w:val="0"/>
      <w:marRight w:val="0"/>
      <w:marTop w:val="0"/>
      <w:marBottom w:val="0"/>
      <w:divBdr>
        <w:top w:val="none" w:sz="0" w:space="0" w:color="auto"/>
        <w:left w:val="none" w:sz="0" w:space="0" w:color="auto"/>
        <w:bottom w:val="none" w:sz="0" w:space="0" w:color="auto"/>
        <w:right w:val="none" w:sz="0" w:space="0" w:color="auto"/>
      </w:divBdr>
    </w:div>
    <w:div w:id="20189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BA80-E68E-46EE-BD6D-E57FDABC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7635</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51053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Dušanka Blečić</cp:lastModifiedBy>
  <cp:revision>3</cp:revision>
  <dcterms:created xsi:type="dcterms:W3CDTF">2024-12-16T13:04:00Z</dcterms:created>
  <dcterms:modified xsi:type="dcterms:W3CDTF">2025-07-30T10:28:00Z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