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26197" w14:textId="77777777" w:rsidR="002510A5" w:rsidRPr="00CC0378" w:rsidRDefault="002510A5" w:rsidP="00CC0378">
      <w:pPr>
        <w:jc w:val="center"/>
        <w:rPr>
          <w:b/>
          <w:bCs/>
          <w:iCs/>
          <w:sz w:val="22"/>
          <w:szCs w:val="22"/>
          <w:u w:val="single"/>
          <w:lang w:val="sr-Latn-ME"/>
        </w:rPr>
      </w:pPr>
      <w:r w:rsidRPr="00CC0378">
        <w:rPr>
          <w:b/>
          <w:bCs/>
          <w:iCs/>
          <w:sz w:val="22"/>
          <w:szCs w:val="22"/>
          <w:u w:val="single"/>
          <w:lang w:val="sr-Latn-ME"/>
        </w:rPr>
        <w:t>SAŽETAK KARAKTERISTIKA LIJEKA</w:t>
      </w:r>
    </w:p>
    <w:p w14:paraId="6725A0E2" w14:textId="575FAB02" w:rsidR="00C37FD7" w:rsidRPr="00CC0378" w:rsidRDefault="00C37FD7" w:rsidP="00CC0378">
      <w:pPr>
        <w:tabs>
          <w:tab w:val="left" w:pos="540"/>
          <w:tab w:val="left" w:pos="569"/>
        </w:tabs>
        <w:jc w:val="both"/>
        <w:rPr>
          <w:bCs/>
          <w:sz w:val="22"/>
          <w:szCs w:val="22"/>
          <w:lang w:val="sr-Latn-ME"/>
        </w:rPr>
      </w:pPr>
    </w:p>
    <w:p w14:paraId="0C305D79" w14:textId="77777777" w:rsidR="00F4545F" w:rsidRPr="00CC0378" w:rsidRDefault="00F4545F" w:rsidP="00CC0378">
      <w:pPr>
        <w:tabs>
          <w:tab w:val="left" w:pos="540"/>
          <w:tab w:val="left" w:pos="569"/>
        </w:tabs>
        <w:jc w:val="both"/>
        <w:rPr>
          <w:bCs/>
          <w:sz w:val="22"/>
          <w:szCs w:val="22"/>
          <w:lang w:val="sr-Latn-ME"/>
        </w:rPr>
      </w:pPr>
    </w:p>
    <w:p w14:paraId="2999EA3A" w14:textId="77777777" w:rsidR="00411B4B" w:rsidRPr="00CC0378" w:rsidRDefault="00411B4B" w:rsidP="00CC0378">
      <w:pPr>
        <w:tabs>
          <w:tab w:val="left" w:pos="540"/>
          <w:tab w:val="left" w:pos="569"/>
        </w:tabs>
        <w:jc w:val="both"/>
        <w:rPr>
          <w:b/>
          <w:bCs/>
          <w:sz w:val="22"/>
          <w:szCs w:val="22"/>
          <w:lang w:val="sr-Latn-ME"/>
        </w:rPr>
      </w:pPr>
      <w:r w:rsidRPr="00CC0378">
        <w:rPr>
          <w:b/>
          <w:bCs/>
          <w:sz w:val="22"/>
          <w:szCs w:val="22"/>
          <w:lang w:val="sr-Latn-ME"/>
        </w:rPr>
        <w:t>1.</w:t>
      </w:r>
      <w:r w:rsidR="00F5167F" w:rsidRPr="00CC0378">
        <w:rPr>
          <w:b/>
          <w:bCs/>
          <w:sz w:val="22"/>
          <w:szCs w:val="22"/>
          <w:lang w:val="sr-Latn-ME"/>
        </w:rPr>
        <w:tab/>
      </w:r>
      <w:r w:rsidR="002846DB" w:rsidRPr="00CC0378">
        <w:rPr>
          <w:b/>
          <w:bCs/>
          <w:sz w:val="22"/>
          <w:szCs w:val="22"/>
          <w:lang w:val="sr-Latn-ME"/>
        </w:rPr>
        <w:t xml:space="preserve">NAZIV </w:t>
      </w:r>
      <w:r w:rsidRPr="00CC0378">
        <w:rPr>
          <w:b/>
          <w:bCs/>
          <w:sz w:val="22"/>
          <w:szCs w:val="22"/>
          <w:lang w:val="sr-Latn-ME"/>
        </w:rPr>
        <w:t>LIJEKA</w:t>
      </w:r>
    </w:p>
    <w:p w14:paraId="10BB6AAC" w14:textId="77777777" w:rsidR="00EC2532" w:rsidRPr="00CC0378" w:rsidRDefault="00EC2532" w:rsidP="00CC0378">
      <w:pPr>
        <w:jc w:val="both"/>
        <w:rPr>
          <w:sz w:val="22"/>
          <w:szCs w:val="22"/>
          <w:lang w:val="sr-Latn-ME"/>
        </w:rPr>
      </w:pPr>
    </w:p>
    <w:p w14:paraId="57934F1D" w14:textId="337868D0" w:rsidR="00EA069C" w:rsidRPr="00CC0378" w:rsidRDefault="00EA069C" w:rsidP="00CC0378">
      <w:pPr>
        <w:pStyle w:val="Header"/>
        <w:tabs>
          <w:tab w:val="left" w:pos="284"/>
        </w:tabs>
        <w:jc w:val="both"/>
        <w:rPr>
          <w:bCs/>
          <w:sz w:val="22"/>
          <w:szCs w:val="22"/>
          <w:lang w:val="sr-Latn-ME"/>
        </w:rPr>
      </w:pPr>
      <w:r w:rsidRPr="00CC0378">
        <w:rPr>
          <w:sz w:val="22"/>
          <w:szCs w:val="22"/>
          <w:lang w:val="sr-Latn-ME"/>
        </w:rPr>
        <w:t>N</w:t>
      </w:r>
      <w:r w:rsidR="00583A68" w:rsidRPr="00CC0378">
        <w:rPr>
          <w:sz w:val="22"/>
          <w:szCs w:val="22"/>
          <w:lang w:val="sr-Latn-ME"/>
        </w:rPr>
        <w:t>exium</w:t>
      </w:r>
      <w:r w:rsidRPr="00CC0378">
        <w:rPr>
          <w:sz w:val="22"/>
          <w:szCs w:val="22"/>
          <w:lang w:val="sr-Latn-ME"/>
        </w:rPr>
        <w:t>,</w:t>
      </w:r>
      <w:r w:rsidR="00A35195" w:rsidRPr="00A35195">
        <w:rPr>
          <w:bCs/>
          <w:sz w:val="22"/>
          <w:szCs w:val="22"/>
          <w:lang w:val="sr-Latn-ME"/>
        </w:rPr>
        <w:t xml:space="preserve"> </w:t>
      </w:r>
      <w:r w:rsidR="00A35195" w:rsidRPr="00CC0378">
        <w:rPr>
          <w:bCs/>
          <w:sz w:val="22"/>
          <w:szCs w:val="22"/>
          <w:lang w:val="sr-Latn-ME"/>
        </w:rPr>
        <w:t>20 mg</w:t>
      </w:r>
      <w:r w:rsidR="00A35195">
        <w:rPr>
          <w:bCs/>
          <w:sz w:val="22"/>
          <w:szCs w:val="22"/>
          <w:lang w:val="sr-Latn-ME"/>
        </w:rPr>
        <w:t>,</w:t>
      </w:r>
      <w:r w:rsidRPr="00CC0378">
        <w:rPr>
          <w:sz w:val="22"/>
          <w:szCs w:val="22"/>
          <w:lang w:val="sr-Latn-ME"/>
        </w:rPr>
        <w:t xml:space="preserve"> </w:t>
      </w:r>
      <w:r w:rsidRPr="00CC0378">
        <w:rPr>
          <w:bCs/>
          <w:sz w:val="22"/>
          <w:szCs w:val="22"/>
          <w:lang w:val="sr-Latn-ME"/>
        </w:rPr>
        <w:t>gastrorezistentna tableta</w:t>
      </w:r>
    </w:p>
    <w:p w14:paraId="494EEF57" w14:textId="69A83466" w:rsidR="00EA069C" w:rsidRPr="00CC0378" w:rsidRDefault="00EA069C" w:rsidP="00CC0378">
      <w:pPr>
        <w:pStyle w:val="Header"/>
        <w:tabs>
          <w:tab w:val="left" w:pos="284"/>
        </w:tabs>
        <w:jc w:val="both"/>
        <w:rPr>
          <w:bCs/>
          <w:sz w:val="22"/>
          <w:szCs w:val="22"/>
          <w:lang w:val="sr-Latn-ME"/>
        </w:rPr>
      </w:pPr>
      <w:r w:rsidRPr="00CC0378">
        <w:rPr>
          <w:sz w:val="22"/>
          <w:szCs w:val="22"/>
          <w:lang w:val="sr-Latn-ME"/>
        </w:rPr>
        <w:t>N</w:t>
      </w:r>
      <w:r w:rsidR="00583A68" w:rsidRPr="00CC0378">
        <w:rPr>
          <w:sz w:val="22"/>
          <w:szCs w:val="22"/>
          <w:lang w:val="sr-Latn-ME"/>
        </w:rPr>
        <w:t>exium</w:t>
      </w:r>
      <w:r w:rsidRPr="00CC0378">
        <w:rPr>
          <w:sz w:val="22"/>
          <w:szCs w:val="22"/>
          <w:lang w:val="sr-Latn-ME"/>
        </w:rPr>
        <w:t xml:space="preserve">, </w:t>
      </w:r>
      <w:r w:rsidR="00A35195" w:rsidRPr="00CC0378">
        <w:rPr>
          <w:bCs/>
          <w:sz w:val="22"/>
          <w:szCs w:val="22"/>
          <w:lang w:val="sr-Latn-ME"/>
        </w:rPr>
        <w:t>40 mg</w:t>
      </w:r>
      <w:r w:rsidR="00A35195">
        <w:rPr>
          <w:bCs/>
          <w:sz w:val="22"/>
          <w:szCs w:val="22"/>
          <w:lang w:val="sr-Latn-ME"/>
        </w:rPr>
        <w:t>,</w:t>
      </w:r>
      <w:r w:rsidR="00A35195" w:rsidRPr="00CC0378">
        <w:rPr>
          <w:bCs/>
          <w:sz w:val="22"/>
          <w:szCs w:val="22"/>
          <w:lang w:val="sr-Latn-ME"/>
        </w:rPr>
        <w:t xml:space="preserve"> </w:t>
      </w:r>
      <w:r w:rsidRPr="00CC0378">
        <w:rPr>
          <w:bCs/>
          <w:sz w:val="22"/>
          <w:szCs w:val="22"/>
          <w:lang w:val="sr-Latn-ME"/>
        </w:rPr>
        <w:t xml:space="preserve">gastrorezistentna tableta </w:t>
      </w:r>
    </w:p>
    <w:p w14:paraId="43422CC8" w14:textId="77777777" w:rsidR="000D425A" w:rsidRPr="00CC0378" w:rsidRDefault="000D425A" w:rsidP="00CC0378">
      <w:pPr>
        <w:jc w:val="both"/>
        <w:rPr>
          <w:bCs/>
          <w:sz w:val="22"/>
          <w:szCs w:val="22"/>
          <w:lang w:val="sr-Latn-ME"/>
        </w:rPr>
      </w:pPr>
    </w:p>
    <w:p w14:paraId="5CBCD77D" w14:textId="2231622C" w:rsidR="006D20A5" w:rsidRPr="00CC0378" w:rsidRDefault="006D20A5" w:rsidP="00CC0378">
      <w:pPr>
        <w:jc w:val="both"/>
        <w:rPr>
          <w:sz w:val="22"/>
          <w:szCs w:val="22"/>
          <w:lang w:val="sr-Latn-ME"/>
        </w:rPr>
      </w:pPr>
      <w:r w:rsidRPr="00CC0378">
        <w:rPr>
          <w:sz w:val="22"/>
          <w:szCs w:val="22"/>
          <w:lang w:val="sr-Latn-ME"/>
        </w:rPr>
        <w:t>INN:</w:t>
      </w:r>
      <w:r w:rsidR="00EA069C" w:rsidRPr="00CC0378">
        <w:rPr>
          <w:sz w:val="22"/>
          <w:szCs w:val="22"/>
          <w:lang w:val="sr-Latn-ME"/>
        </w:rPr>
        <w:t xml:space="preserve"> esomeprazol</w:t>
      </w:r>
    </w:p>
    <w:p w14:paraId="53A3ABC1" w14:textId="77777777" w:rsidR="006D20A5" w:rsidRPr="00CC0378" w:rsidRDefault="006D20A5" w:rsidP="00CC0378">
      <w:pPr>
        <w:jc w:val="both"/>
        <w:rPr>
          <w:bCs/>
          <w:sz w:val="22"/>
          <w:szCs w:val="22"/>
          <w:lang w:val="sr-Latn-ME"/>
        </w:rPr>
      </w:pPr>
    </w:p>
    <w:p w14:paraId="4900E0AE" w14:textId="77777777" w:rsidR="00530BD7" w:rsidRPr="00CC0378" w:rsidRDefault="00530BD7" w:rsidP="00CC0378">
      <w:pPr>
        <w:jc w:val="both"/>
        <w:rPr>
          <w:bCs/>
          <w:sz w:val="22"/>
          <w:szCs w:val="22"/>
          <w:lang w:val="sr-Latn-ME"/>
        </w:rPr>
      </w:pPr>
    </w:p>
    <w:p w14:paraId="41B85DAF" w14:textId="77777777" w:rsidR="00411B4B" w:rsidRPr="00CC0378" w:rsidRDefault="00411B4B" w:rsidP="00CC0378">
      <w:pPr>
        <w:tabs>
          <w:tab w:val="left" w:pos="540"/>
          <w:tab w:val="left" w:pos="569"/>
        </w:tabs>
        <w:jc w:val="both"/>
        <w:rPr>
          <w:b/>
          <w:bCs/>
          <w:sz w:val="22"/>
          <w:szCs w:val="22"/>
          <w:lang w:val="sr-Latn-ME"/>
        </w:rPr>
      </w:pPr>
      <w:r w:rsidRPr="00CC0378">
        <w:rPr>
          <w:b/>
          <w:bCs/>
          <w:sz w:val="22"/>
          <w:szCs w:val="22"/>
          <w:lang w:val="sr-Latn-ME"/>
        </w:rPr>
        <w:t xml:space="preserve">2. </w:t>
      </w:r>
      <w:r w:rsidR="00F5167F" w:rsidRPr="00CC0378">
        <w:rPr>
          <w:b/>
          <w:bCs/>
          <w:sz w:val="22"/>
          <w:szCs w:val="22"/>
          <w:lang w:val="sr-Latn-ME"/>
        </w:rPr>
        <w:tab/>
      </w:r>
      <w:r w:rsidRPr="00CC0378">
        <w:rPr>
          <w:b/>
          <w:bCs/>
          <w:sz w:val="22"/>
          <w:szCs w:val="22"/>
          <w:lang w:val="sr-Latn-ME"/>
        </w:rPr>
        <w:t>KVALITATIVNI I KVANTITATIVNI SASTAV</w:t>
      </w:r>
    </w:p>
    <w:p w14:paraId="58EEE0AF" w14:textId="5B90035B" w:rsidR="005A0B2E" w:rsidRPr="00CC0378" w:rsidRDefault="005A0B2E" w:rsidP="00CC0378">
      <w:pPr>
        <w:jc w:val="both"/>
        <w:rPr>
          <w:sz w:val="22"/>
          <w:szCs w:val="22"/>
          <w:lang w:val="sr-Latn-ME"/>
        </w:rPr>
      </w:pPr>
    </w:p>
    <w:p w14:paraId="422B5AD4" w14:textId="0A5DB2D1" w:rsidR="00A35195" w:rsidRPr="009462F3" w:rsidRDefault="00EA069C" w:rsidP="00CC0378">
      <w:pPr>
        <w:pStyle w:val="Header"/>
        <w:tabs>
          <w:tab w:val="left" w:pos="284"/>
        </w:tabs>
        <w:jc w:val="both"/>
        <w:rPr>
          <w:sz w:val="22"/>
          <w:szCs w:val="22"/>
          <w:u w:val="single"/>
          <w:lang w:val="sr-Latn-ME"/>
        </w:rPr>
      </w:pPr>
      <w:r w:rsidRPr="009462F3">
        <w:rPr>
          <w:sz w:val="22"/>
          <w:szCs w:val="22"/>
          <w:u w:val="single"/>
          <w:lang w:val="sr-Latn-ME"/>
        </w:rPr>
        <w:t>N</w:t>
      </w:r>
      <w:r w:rsidR="00583A68" w:rsidRPr="00927C50">
        <w:rPr>
          <w:sz w:val="22"/>
          <w:szCs w:val="22"/>
          <w:u w:val="single"/>
          <w:lang w:val="sr-Latn-ME"/>
        </w:rPr>
        <w:t>exium</w:t>
      </w:r>
      <w:r w:rsidRPr="009462F3">
        <w:rPr>
          <w:bCs/>
          <w:sz w:val="22"/>
          <w:szCs w:val="22"/>
          <w:u w:val="single"/>
          <w:lang w:val="sr-Latn-ME"/>
        </w:rPr>
        <w:t xml:space="preserve">, 20 mg: </w:t>
      </w:r>
      <w:r w:rsidRPr="009462F3">
        <w:rPr>
          <w:strike/>
          <w:sz w:val="22"/>
          <w:szCs w:val="22"/>
          <w:u w:val="single"/>
          <w:lang w:val="sr-Latn-ME"/>
        </w:rPr>
        <w:fldChar w:fldCharType="begin"/>
      </w:r>
      <w:r w:rsidRPr="009462F3">
        <w:rPr>
          <w:strike/>
          <w:sz w:val="22"/>
          <w:szCs w:val="22"/>
          <w:u w:val="single"/>
          <w:lang w:val="sr-Latn-ME"/>
        </w:rPr>
        <w:instrText xml:space="preserve">  </w:instrText>
      </w:r>
      <w:r w:rsidRPr="009462F3">
        <w:rPr>
          <w:strike/>
          <w:sz w:val="22"/>
          <w:szCs w:val="22"/>
          <w:u w:val="single"/>
          <w:lang w:val="sr-Latn-ME"/>
        </w:rPr>
        <w:fldChar w:fldCharType="end"/>
      </w:r>
    </w:p>
    <w:p w14:paraId="4E90C2FA" w14:textId="028FCE41" w:rsidR="00EA069C" w:rsidRPr="00927C50" w:rsidRDefault="00C45149" w:rsidP="00CC0378">
      <w:pPr>
        <w:pStyle w:val="Header"/>
        <w:tabs>
          <w:tab w:val="left" w:pos="284"/>
        </w:tabs>
        <w:jc w:val="both"/>
        <w:rPr>
          <w:sz w:val="22"/>
          <w:szCs w:val="22"/>
          <w:lang w:val="sr-Latn-ME"/>
        </w:rPr>
      </w:pPr>
      <w:r>
        <w:rPr>
          <w:sz w:val="22"/>
          <w:szCs w:val="22"/>
          <w:lang w:val="sr-Latn-ME"/>
        </w:rPr>
        <w:t>Jedna</w:t>
      </w:r>
      <w:r w:rsidR="00EA069C" w:rsidRPr="00927C50">
        <w:rPr>
          <w:sz w:val="22"/>
          <w:szCs w:val="22"/>
          <w:lang w:val="sr-Latn-ME"/>
        </w:rPr>
        <w:t xml:space="preserve"> gastrorezistentna tableta sadrži </w:t>
      </w:r>
      <w:r w:rsidR="00EA069C" w:rsidRPr="00927C50">
        <w:rPr>
          <w:bCs/>
          <w:sz w:val="22"/>
          <w:szCs w:val="22"/>
          <w:lang w:val="sr-Latn-ME"/>
        </w:rPr>
        <w:t>22</w:t>
      </w:r>
      <w:r w:rsidR="00EA069C" w:rsidRPr="00927C50">
        <w:rPr>
          <w:sz w:val="22"/>
          <w:szCs w:val="22"/>
          <w:lang w:val="sr-Latn-ME"/>
        </w:rPr>
        <w:t>,3 mg esomeprazol</w:t>
      </w:r>
      <w:r w:rsidR="00441998" w:rsidRPr="00927C50">
        <w:rPr>
          <w:sz w:val="22"/>
          <w:szCs w:val="22"/>
          <w:lang w:val="sr-Latn-ME"/>
        </w:rPr>
        <w:t xml:space="preserve"> </w:t>
      </w:r>
      <w:r w:rsidR="00EA069C" w:rsidRPr="00927C50">
        <w:rPr>
          <w:sz w:val="22"/>
          <w:szCs w:val="22"/>
          <w:lang w:val="sr-Latn-ME"/>
        </w:rPr>
        <w:t>magnezijum trihidrata</w:t>
      </w:r>
      <w:r w:rsidR="00AC00D4" w:rsidRPr="00927C50">
        <w:rPr>
          <w:sz w:val="22"/>
          <w:szCs w:val="22"/>
          <w:lang w:val="sr-Latn-ME"/>
        </w:rPr>
        <w:t>,</w:t>
      </w:r>
      <w:r w:rsidR="00EA069C" w:rsidRPr="00927C50">
        <w:rPr>
          <w:sz w:val="22"/>
          <w:szCs w:val="22"/>
          <w:lang w:val="sr-Latn-ME"/>
        </w:rPr>
        <w:t xml:space="preserve"> </w:t>
      </w:r>
      <w:r w:rsidR="00927C50" w:rsidRPr="00927C50">
        <w:rPr>
          <w:sz w:val="22"/>
          <w:szCs w:val="22"/>
          <w:lang w:val="sr-Latn-ME"/>
        </w:rPr>
        <w:t xml:space="preserve">što je </w:t>
      </w:r>
      <w:r w:rsidR="00EA069C" w:rsidRPr="00927C50">
        <w:rPr>
          <w:sz w:val="22"/>
          <w:szCs w:val="22"/>
          <w:lang w:val="sr-Latn-ME"/>
        </w:rPr>
        <w:t>ekvivalentno 20 mg esomeprazola.</w:t>
      </w:r>
    </w:p>
    <w:p w14:paraId="7C6DE87E" w14:textId="77777777" w:rsidR="00A35195" w:rsidRPr="00927C50" w:rsidRDefault="00A35195" w:rsidP="00CC0378">
      <w:pPr>
        <w:pStyle w:val="Header"/>
        <w:tabs>
          <w:tab w:val="left" w:pos="284"/>
        </w:tabs>
        <w:jc w:val="both"/>
        <w:rPr>
          <w:sz w:val="22"/>
          <w:szCs w:val="22"/>
          <w:lang w:val="sr-Latn-ME"/>
        </w:rPr>
      </w:pPr>
    </w:p>
    <w:p w14:paraId="533DB4C5" w14:textId="270A93DC" w:rsidR="00A35195" w:rsidRPr="009462F3" w:rsidRDefault="00EA069C" w:rsidP="00CC0378">
      <w:pPr>
        <w:jc w:val="both"/>
        <w:rPr>
          <w:bCs/>
          <w:sz w:val="22"/>
          <w:szCs w:val="22"/>
          <w:u w:val="single"/>
          <w:lang w:val="sr-Latn-ME"/>
        </w:rPr>
      </w:pPr>
      <w:r w:rsidRPr="009462F3">
        <w:rPr>
          <w:bCs/>
          <w:sz w:val="22"/>
          <w:szCs w:val="22"/>
          <w:u w:val="single"/>
          <w:lang w:val="sr-Latn-ME"/>
        </w:rPr>
        <w:t>N</w:t>
      </w:r>
      <w:r w:rsidR="00583A68" w:rsidRPr="00927C50">
        <w:rPr>
          <w:bCs/>
          <w:sz w:val="22"/>
          <w:szCs w:val="22"/>
          <w:u w:val="single"/>
          <w:lang w:val="sr-Latn-ME"/>
        </w:rPr>
        <w:t>exium</w:t>
      </w:r>
      <w:r w:rsidRPr="009462F3">
        <w:rPr>
          <w:bCs/>
          <w:sz w:val="22"/>
          <w:szCs w:val="22"/>
          <w:u w:val="single"/>
          <w:lang w:val="sr-Latn-ME"/>
        </w:rPr>
        <w:t xml:space="preserve">, 40 mg:  </w:t>
      </w:r>
      <w:r w:rsidRPr="009462F3">
        <w:rPr>
          <w:bCs/>
          <w:sz w:val="22"/>
          <w:szCs w:val="22"/>
          <w:u w:val="single"/>
          <w:lang w:val="sr-Latn-ME"/>
        </w:rPr>
        <w:fldChar w:fldCharType="begin"/>
      </w:r>
      <w:r w:rsidRPr="009462F3">
        <w:rPr>
          <w:bCs/>
          <w:sz w:val="22"/>
          <w:szCs w:val="22"/>
          <w:u w:val="single"/>
          <w:lang w:val="sr-Latn-ME"/>
        </w:rPr>
        <w:instrText xml:space="preserve">  </w:instrText>
      </w:r>
      <w:r w:rsidRPr="009462F3">
        <w:rPr>
          <w:bCs/>
          <w:sz w:val="22"/>
          <w:szCs w:val="22"/>
          <w:u w:val="single"/>
          <w:lang w:val="sr-Latn-ME"/>
        </w:rPr>
        <w:fldChar w:fldCharType="end"/>
      </w:r>
    </w:p>
    <w:p w14:paraId="43ADAA5B" w14:textId="3075BFF3" w:rsidR="00EA069C" w:rsidRPr="00927C50" w:rsidRDefault="00C45149" w:rsidP="00CC0378">
      <w:pPr>
        <w:jc w:val="both"/>
        <w:rPr>
          <w:sz w:val="22"/>
          <w:szCs w:val="22"/>
          <w:lang w:val="sr-Latn-ME"/>
        </w:rPr>
      </w:pPr>
      <w:r>
        <w:rPr>
          <w:bCs/>
          <w:sz w:val="22"/>
          <w:szCs w:val="22"/>
          <w:lang w:val="sr-Latn-ME"/>
        </w:rPr>
        <w:t>Jedna</w:t>
      </w:r>
      <w:r w:rsidR="00EA069C" w:rsidRPr="00927C50">
        <w:rPr>
          <w:bCs/>
          <w:sz w:val="22"/>
          <w:szCs w:val="22"/>
          <w:lang w:val="sr-Latn-ME"/>
        </w:rPr>
        <w:t xml:space="preserve"> </w:t>
      </w:r>
      <w:r w:rsidR="00EA069C" w:rsidRPr="00927C50">
        <w:rPr>
          <w:sz w:val="22"/>
          <w:szCs w:val="22"/>
          <w:lang w:val="sr-Latn-ME"/>
        </w:rPr>
        <w:t>gastrorezistentna</w:t>
      </w:r>
      <w:r w:rsidR="00EA069C" w:rsidRPr="00927C50">
        <w:rPr>
          <w:bCs/>
          <w:sz w:val="22"/>
          <w:szCs w:val="22"/>
          <w:lang w:val="sr-Latn-ME"/>
        </w:rPr>
        <w:t xml:space="preserve"> tableta sadrži 44,5 mg </w:t>
      </w:r>
      <w:r w:rsidR="00EA069C" w:rsidRPr="00927C50">
        <w:rPr>
          <w:sz w:val="22"/>
          <w:szCs w:val="22"/>
          <w:lang w:val="sr-Latn-ME"/>
        </w:rPr>
        <w:t>esomeprazol</w:t>
      </w:r>
      <w:r w:rsidR="00441998" w:rsidRPr="00927C50">
        <w:rPr>
          <w:sz w:val="22"/>
          <w:szCs w:val="22"/>
          <w:lang w:val="sr-Latn-ME"/>
        </w:rPr>
        <w:t xml:space="preserve"> </w:t>
      </w:r>
      <w:r w:rsidR="00EA069C" w:rsidRPr="00927C50">
        <w:rPr>
          <w:sz w:val="22"/>
          <w:szCs w:val="22"/>
          <w:lang w:val="sr-Latn-ME"/>
        </w:rPr>
        <w:t>magnezijum trihidrata</w:t>
      </w:r>
      <w:r w:rsidR="00AC00D4" w:rsidRPr="00927C50">
        <w:rPr>
          <w:sz w:val="22"/>
          <w:szCs w:val="22"/>
          <w:lang w:val="sr-Latn-ME"/>
        </w:rPr>
        <w:t>,</w:t>
      </w:r>
      <w:r w:rsidR="00927C50" w:rsidRPr="00927C50">
        <w:rPr>
          <w:sz w:val="22"/>
          <w:szCs w:val="22"/>
          <w:lang w:val="sr-Latn-ME"/>
        </w:rPr>
        <w:t xml:space="preserve"> što je</w:t>
      </w:r>
      <w:r w:rsidR="00EA069C" w:rsidRPr="00927C50">
        <w:rPr>
          <w:bCs/>
          <w:sz w:val="22"/>
          <w:szCs w:val="22"/>
          <w:lang w:val="sr-Latn-ME"/>
        </w:rPr>
        <w:t xml:space="preserve"> ekvivalentno 40 mg esomeprazola.</w:t>
      </w:r>
    </w:p>
    <w:p w14:paraId="786D444A" w14:textId="77777777" w:rsidR="00EA069C" w:rsidRPr="00927C50" w:rsidRDefault="00EA069C" w:rsidP="00CC0378">
      <w:pPr>
        <w:jc w:val="both"/>
        <w:rPr>
          <w:sz w:val="22"/>
          <w:szCs w:val="22"/>
          <w:lang w:val="sr-Latn-ME"/>
        </w:rPr>
      </w:pPr>
    </w:p>
    <w:p w14:paraId="0E789D68" w14:textId="77777777" w:rsidR="00927C50" w:rsidRPr="00927C50" w:rsidRDefault="00EA069C" w:rsidP="00CC0378">
      <w:pPr>
        <w:jc w:val="both"/>
        <w:rPr>
          <w:sz w:val="22"/>
          <w:szCs w:val="22"/>
          <w:lang w:val="sr-Latn-ME"/>
        </w:rPr>
      </w:pPr>
      <w:r w:rsidRPr="00927C50">
        <w:rPr>
          <w:sz w:val="22"/>
          <w:szCs w:val="22"/>
          <w:lang w:val="sr-Latn-ME"/>
        </w:rPr>
        <w:t>Pomoćne</w:t>
      </w:r>
      <w:r w:rsidR="00AC00D4" w:rsidRPr="00927C50">
        <w:rPr>
          <w:sz w:val="22"/>
          <w:szCs w:val="22"/>
          <w:lang w:val="sr-Latn-ME"/>
        </w:rPr>
        <w:t xml:space="preserve"> supstance sa potvrđenim dejstvom</w:t>
      </w:r>
      <w:r w:rsidRPr="00927C50">
        <w:rPr>
          <w:sz w:val="22"/>
          <w:szCs w:val="22"/>
          <w:lang w:val="sr-Latn-ME"/>
        </w:rPr>
        <w:t>:</w:t>
      </w:r>
    </w:p>
    <w:p w14:paraId="60FCE0E3" w14:textId="305187A6" w:rsidR="00AC00D4" w:rsidRPr="00927C50" w:rsidRDefault="00AC00D4" w:rsidP="00CC0378">
      <w:pPr>
        <w:jc w:val="both"/>
        <w:rPr>
          <w:sz w:val="22"/>
          <w:szCs w:val="22"/>
          <w:lang w:val="sr-Latn-ME"/>
        </w:rPr>
      </w:pPr>
    </w:p>
    <w:p w14:paraId="6C35C14E" w14:textId="2FF88DBE" w:rsidR="00927C50" w:rsidRDefault="00927C50" w:rsidP="009462F3">
      <w:pPr>
        <w:pStyle w:val="Header"/>
        <w:tabs>
          <w:tab w:val="left" w:pos="284"/>
        </w:tabs>
        <w:jc w:val="both"/>
        <w:rPr>
          <w:bCs/>
          <w:sz w:val="22"/>
          <w:szCs w:val="22"/>
          <w:lang w:val="sr-Latn-ME"/>
        </w:rPr>
      </w:pPr>
      <w:r w:rsidRPr="00927C50">
        <w:rPr>
          <w:sz w:val="22"/>
          <w:szCs w:val="22"/>
          <w:u w:val="single"/>
          <w:lang w:val="sr-Latn-ME"/>
        </w:rPr>
        <w:t>N</w:t>
      </w:r>
      <w:r w:rsidR="00583A68" w:rsidRPr="00927C50">
        <w:rPr>
          <w:sz w:val="22"/>
          <w:szCs w:val="22"/>
          <w:u w:val="single"/>
          <w:lang w:val="sr-Latn-ME"/>
        </w:rPr>
        <w:t>exium</w:t>
      </w:r>
      <w:r w:rsidRPr="00927C50">
        <w:rPr>
          <w:bCs/>
          <w:sz w:val="22"/>
          <w:szCs w:val="22"/>
          <w:u w:val="single"/>
          <w:lang w:val="sr-Latn-ME"/>
        </w:rPr>
        <w:t>, 20 mg</w:t>
      </w:r>
      <w:r w:rsidRPr="009462F3">
        <w:rPr>
          <w:bCs/>
          <w:sz w:val="22"/>
          <w:szCs w:val="22"/>
          <w:lang w:val="sr-Latn-ME"/>
        </w:rPr>
        <w:t xml:space="preserve">: </w:t>
      </w:r>
    </w:p>
    <w:p w14:paraId="607ECE55" w14:textId="4EDB5A06" w:rsidR="00EA069C" w:rsidRPr="009462F3" w:rsidRDefault="00927C50" w:rsidP="009462F3">
      <w:pPr>
        <w:pStyle w:val="Header"/>
        <w:tabs>
          <w:tab w:val="left" w:pos="284"/>
        </w:tabs>
        <w:jc w:val="both"/>
        <w:rPr>
          <w:sz w:val="22"/>
          <w:szCs w:val="22"/>
          <w:lang w:val="sr-Latn-ME"/>
        </w:rPr>
      </w:pPr>
      <w:r w:rsidRPr="00F05991">
        <w:rPr>
          <w:strike/>
          <w:sz w:val="22"/>
          <w:szCs w:val="22"/>
          <w:u w:val="single"/>
          <w:lang w:val="sr-Latn-ME"/>
        </w:rPr>
        <w:fldChar w:fldCharType="begin"/>
      </w:r>
      <w:r w:rsidRPr="00927C50">
        <w:rPr>
          <w:strike/>
          <w:sz w:val="22"/>
          <w:szCs w:val="22"/>
          <w:u w:val="single"/>
          <w:lang w:val="sr-Latn-ME"/>
        </w:rPr>
        <w:instrText xml:space="preserve">  </w:instrText>
      </w:r>
      <w:r w:rsidRPr="00F05991">
        <w:rPr>
          <w:strike/>
          <w:sz w:val="22"/>
          <w:szCs w:val="22"/>
          <w:u w:val="single"/>
          <w:lang w:val="sr-Latn-ME"/>
        </w:rPr>
        <w:fldChar w:fldCharType="end"/>
      </w:r>
      <w:r w:rsidR="00EA069C" w:rsidRPr="009462F3">
        <w:rPr>
          <w:sz w:val="22"/>
          <w:szCs w:val="22"/>
          <w:lang w:val="sr-Latn-ME"/>
        </w:rPr>
        <w:t>Svaka gastrorezistentna tableta sadrži 28 mg saharoze.</w:t>
      </w:r>
    </w:p>
    <w:p w14:paraId="4D5408B5" w14:textId="77777777" w:rsidR="00927C50" w:rsidRPr="00927C50" w:rsidRDefault="00927C50" w:rsidP="00CC0378">
      <w:pPr>
        <w:jc w:val="both"/>
        <w:rPr>
          <w:bCs/>
          <w:sz w:val="22"/>
          <w:szCs w:val="22"/>
          <w:u w:val="single"/>
          <w:lang w:val="sr-Latn-ME"/>
        </w:rPr>
      </w:pPr>
    </w:p>
    <w:p w14:paraId="429806B9" w14:textId="0FCD1258" w:rsidR="00927C50" w:rsidRDefault="00927C50" w:rsidP="00CC0378">
      <w:pPr>
        <w:jc w:val="both"/>
        <w:rPr>
          <w:bCs/>
          <w:sz w:val="22"/>
          <w:szCs w:val="22"/>
          <w:lang w:val="sr-Latn-ME"/>
        </w:rPr>
      </w:pPr>
      <w:r w:rsidRPr="00927C50">
        <w:rPr>
          <w:bCs/>
          <w:sz w:val="22"/>
          <w:szCs w:val="22"/>
          <w:u w:val="single"/>
          <w:lang w:val="sr-Latn-ME"/>
        </w:rPr>
        <w:t>N</w:t>
      </w:r>
      <w:r w:rsidR="00583A68" w:rsidRPr="00927C50">
        <w:rPr>
          <w:bCs/>
          <w:sz w:val="22"/>
          <w:szCs w:val="22"/>
          <w:u w:val="single"/>
          <w:lang w:val="sr-Latn-ME"/>
        </w:rPr>
        <w:t>exium</w:t>
      </w:r>
      <w:r w:rsidRPr="00927C50">
        <w:rPr>
          <w:bCs/>
          <w:sz w:val="22"/>
          <w:szCs w:val="22"/>
          <w:u w:val="single"/>
          <w:lang w:val="sr-Latn-ME"/>
        </w:rPr>
        <w:t>, 40 mg</w:t>
      </w:r>
      <w:r w:rsidRPr="009462F3">
        <w:rPr>
          <w:bCs/>
          <w:sz w:val="22"/>
          <w:szCs w:val="22"/>
          <w:lang w:val="sr-Latn-ME"/>
        </w:rPr>
        <w:t>:</w:t>
      </w:r>
    </w:p>
    <w:p w14:paraId="12E1C5EB" w14:textId="7C4BEF12" w:rsidR="00EA069C" w:rsidRPr="00927C50" w:rsidRDefault="00927C50" w:rsidP="00CC0378">
      <w:pPr>
        <w:jc w:val="both"/>
        <w:rPr>
          <w:sz w:val="22"/>
          <w:szCs w:val="22"/>
          <w:lang w:val="sr-Latn-ME"/>
        </w:rPr>
      </w:pPr>
      <w:r w:rsidRPr="00F05991">
        <w:rPr>
          <w:bCs/>
          <w:sz w:val="22"/>
          <w:szCs w:val="22"/>
          <w:u w:val="single"/>
          <w:lang w:val="sr-Latn-ME"/>
        </w:rPr>
        <w:fldChar w:fldCharType="begin"/>
      </w:r>
      <w:r w:rsidRPr="00927C50">
        <w:rPr>
          <w:bCs/>
          <w:sz w:val="22"/>
          <w:szCs w:val="22"/>
          <w:u w:val="single"/>
          <w:lang w:val="sr-Latn-ME"/>
        </w:rPr>
        <w:instrText xml:space="preserve">  </w:instrText>
      </w:r>
      <w:r w:rsidRPr="00F05991">
        <w:rPr>
          <w:bCs/>
          <w:sz w:val="22"/>
          <w:szCs w:val="22"/>
          <w:u w:val="single"/>
          <w:lang w:val="sr-Latn-ME"/>
        </w:rPr>
        <w:fldChar w:fldCharType="end"/>
      </w:r>
      <w:r w:rsidR="00EA069C" w:rsidRPr="00927C50">
        <w:rPr>
          <w:sz w:val="22"/>
          <w:szCs w:val="22"/>
          <w:lang w:val="sr-Latn-ME"/>
        </w:rPr>
        <w:t>Svaka gastrorezistentna tableta sadrži 30 mg saharoze.</w:t>
      </w:r>
    </w:p>
    <w:p w14:paraId="3EDD9DF0" w14:textId="77777777" w:rsidR="00EA069C" w:rsidRPr="00927C50" w:rsidRDefault="00EA069C" w:rsidP="00CC0378">
      <w:pPr>
        <w:jc w:val="both"/>
        <w:rPr>
          <w:sz w:val="22"/>
          <w:szCs w:val="22"/>
          <w:lang w:val="sr-Latn-ME"/>
        </w:rPr>
      </w:pPr>
    </w:p>
    <w:p w14:paraId="5F2E78CE" w14:textId="77777777" w:rsidR="0003793F" w:rsidRPr="00927C50" w:rsidRDefault="0003793F" w:rsidP="00CC0378">
      <w:pPr>
        <w:jc w:val="both"/>
        <w:rPr>
          <w:sz w:val="22"/>
          <w:szCs w:val="22"/>
          <w:lang w:val="sr-Latn-ME"/>
        </w:rPr>
      </w:pPr>
      <w:r w:rsidRPr="00927C50">
        <w:rPr>
          <w:sz w:val="22"/>
          <w:szCs w:val="22"/>
          <w:lang w:val="sr-Latn-ME"/>
        </w:rPr>
        <w:t>Za spisak svih ekscipijenasa, pogledati dio 6.1.</w:t>
      </w:r>
    </w:p>
    <w:p w14:paraId="14DD71DF" w14:textId="77777777" w:rsidR="0003793F" w:rsidRPr="00CC0378" w:rsidRDefault="0003793F" w:rsidP="00CC0378">
      <w:pPr>
        <w:jc w:val="both"/>
        <w:rPr>
          <w:sz w:val="22"/>
          <w:szCs w:val="22"/>
          <w:lang w:val="sr-Latn-ME"/>
        </w:rPr>
      </w:pPr>
    </w:p>
    <w:p w14:paraId="0E66353B" w14:textId="77777777" w:rsidR="00C37FD7" w:rsidRPr="00CC0378" w:rsidRDefault="00C37FD7" w:rsidP="00CC0378">
      <w:pPr>
        <w:jc w:val="both"/>
        <w:rPr>
          <w:sz w:val="22"/>
          <w:szCs w:val="22"/>
          <w:lang w:val="sr-Latn-ME"/>
        </w:rPr>
      </w:pPr>
    </w:p>
    <w:p w14:paraId="0214DB46" w14:textId="77777777" w:rsidR="00411B4B" w:rsidRPr="00CC0378" w:rsidRDefault="00411B4B" w:rsidP="00CC0378">
      <w:pPr>
        <w:tabs>
          <w:tab w:val="left" w:pos="540"/>
          <w:tab w:val="left" w:pos="569"/>
        </w:tabs>
        <w:jc w:val="both"/>
        <w:rPr>
          <w:b/>
          <w:bCs/>
          <w:sz w:val="22"/>
          <w:szCs w:val="22"/>
          <w:lang w:val="sr-Latn-ME"/>
        </w:rPr>
      </w:pPr>
      <w:r w:rsidRPr="00CC0378">
        <w:rPr>
          <w:b/>
          <w:bCs/>
          <w:sz w:val="22"/>
          <w:szCs w:val="22"/>
          <w:lang w:val="sr-Latn-ME"/>
        </w:rPr>
        <w:t xml:space="preserve">3. </w:t>
      </w:r>
      <w:r w:rsidR="00F5167F" w:rsidRPr="00CC0378">
        <w:rPr>
          <w:b/>
          <w:bCs/>
          <w:sz w:val="22"/>
          <w:szCs w:val="22"/>
          <w:lang w:val="sr-Latn-ME"/>
        </w:rPr>
        <w:tab/>
      </w:r>
      <w:r w:rsidRPr="00CC0378">
        <w:rPr>
          <w:b/>
          <w:bCs/>
          <w:sz w:val="22"/>
          <w:szCs w:val="22"/>
          <w:lang w:val="sr-Latn-ME"/>
        </w:rPr>
        <w:t>FARMACEUTSKI OBLIK</w:t>
      </w:r>
      <w:r w:rsidR="009F2D23" w:rsidRPr="00CC0378">
        <w:rPr>
          <w:b/>
          <w:bCs/>
          <w:sz w:val="22"/>
          <w:szCs w:val="22"/>
          <w:lang w:val="sr-Latn-ME"/>
        </w:rPr>
        <w:t xml:space="preserve"> </w:t>
      </w:r>
    </w:p>
    <w:p w14:paraId="752CC0CD" w14:textId="77777777" w:rsidR="00411B4B" w:rsidRPr="00CC0378" w:rsidRDefault="00411B4B" w:rsidP="00CC0378">
      <w:pPr>
        <w:jc w:val="both"/>
        <w:rPr>
          <w:bCs/>
          <w:sz w:val="22"/>
          <w:szCs w:val="22"/>
          <w:lang w:val="sr-Latn-ME"/>
        </w:rPr>
      </w:pPr>
    </w:p>
    <w:p w14:paraId="524BA05A" w14:textId="3563C35A" w:rsidR="00EA069C" w:rsidRPr="009462F3" w:rsidRDefault="00EA069C" w:rsidP="00CC0378">
      <w:pPr>
        <w:jc w:val="both"/>
        <w:rPr>
          <w:sz w:val="22"/>
          <w:szCs w:val="22"/>
          <w:lang w:val="sr-Latn-ME"/>
        </w:rPr>
      </w:pPr>
      <w:r w:rsidRPr="009462F3">
        <w:rPr>
          <w:sz w:val="22"/>
          <w:szCs w:val="22"/>
          <w:lang w:val="sr-Latn-ME"/>
        </w:rPr>
        <w:t>Gastrorezistentna tableta</w:t>
      </w:r>
    </w:p>
    <w:p w14:paraId="4F4A2FB5" w14:textId="77777777" w:rsidR="00927C50" w:rsidRPr="00CC0378" w:rsidRDefault="00927C50" w:rsidP="00CC0378">
      <w:pPr>
        <w:jc w:val="both"/>
        <w:rPr>
          <w:sz w:val="22"/>
          <w:szCs w:val="22"/>
          <w:lang w:val="sr-Latn-ME"/>
        </w:rPr>
      </w:pPr>
    </w:p>
    <w:p w14:paraId="2FD98E9E" w14:textId="07E61E6A" w:rsidR="00927C50" w:rsidRDefault="00927C50" w:rsidP="00927C50">
      <w:pPr>
        <w:pStyle w:val="Header"/>
        <w:tabs>
          <w:tab w:val="left" w:pos="284"/>
        </w:tabs>
        <w:jc w:val="both"/>
        <w:rPr>
          <w:bCs/>
          <w:sz w:val="22"/>
          <w:szCs w:val="22"/>
          <w:lang w:val="sr-Latn-ME"/>
        </w:rPr>
      </w:pPr>
      <w:r w:rsidRPr="009B7812">
        <w:rPr>
          <w:sz w:val="22"/>
          <w:szCs w:val="22"/>
          <w:u w:val="single"/>
          <w:lang w:val="sr-Latn-ME"/>
        </w:rPr>
        <w:t>N</w:t>
      </w:r>
      <w:r w:rsidR="00583A68" w:rsidRPr="009B7812">
        <w:rPr>
          <w:sz w:val="22"/>
          <w:szCs w:val="22"/>
          <w:u w:val="single"/>
          <w:lang w:val="sr-Latn-ME"/>
        </w:rPr>
        <w:t>exium</w:t>
      </w:r>
      <w:r w:rsidRPr="009B7812">
        <w:rPr>
          <w:bCs/>
          <w:sz w:val="22"/>
          <w:szCs w:val="22"/>
          <w:u w:val="single"/>
          <w:lang w:val="sr-Latn-ME"/>
        </w:rPr>
        <w:t>, 20 mg</w:t>
      </w:r>
      <w:r w:rsidRPr="009B7812">
        <w:rPr>
          <w:bCs/>
          <w:sz w:val="22"/>
          <w:szCs w:val="22"/>
          <w:lang w:val="sr-Latn-ME"/>
        </w:rPr>
        <w:t xml:space="preserve">: </w:t>
      </w:r>
    </w:p>
    <w:p w14:paraId="3A537ACE" w14:textId="796E0B12" w:rsidR="00EA069C" w:rsidRPr="00CC0378" w:rsidRDefault="00EA069C" w:rsidP="00CC0378">
      <w:pPr>
        <w:jc w:val="both"/>
        <w:rPr>
          <w:sz w:val="22"/>
          <w:szCs w:val="22"/>
          <w:lang w:val="sr-Latn-ME"/>
        </w:rPr>
      </w:pPr>
      <w:r w:rsidRPr="00CC0378">
        <w:rPr>
          <w:sz w:val="22"/>
          <w:szCs w:val="22"/>
          <w:lang w:val="sr-Latn-ME"/>
        </w:rPr>
        <w:fldChar w:fldCharType="begin"/>
      </w:r>
      <w:r w:rsidRPr="00CC0378">
        <w:rPr>
          <w:sz w:val="22"/>
          <w:szCs w:val="22"/>
          <w:lang w:val="sr-Latn-ME"/>
        </w:rPr>
        <w:instrText xml:space="preserve">  </w:instrText>
      </w:r>
      <w:r w:rsidRPr="00CC0378">
        <w:rPr>
          <w:sz w:val="22"/>
          <w:szCs w:val="22"/>
          <w:lang w:val="sr-Latn-ME"/>
        </w:rPr>
        <w:fldChar w:fldCharType="end"/>
      </w:r>
      <w:r w:rsidR="00927C50">
        <w:rPr>
          <w:sz w:val="22"/>
          <w:szCs w:val="22"/>
          <w:lang w:val="sr-Latn-ME"/>
        </w:rPr>
        <w:t>S</w:t>
      </w:r>
      <w:r w:rsidRPr="00CC0378">
        <w:rPr>
          <w:sz w:val="22"/>
          <w:szCs w:val="22"/>
          <w:lang w:val="sr-Latn-ME"/>
        </w:rPr>
        <w:t>vijetloružičasta, duguljasta, bikonveksna film</w:t>
      </w:r>
      <w:r w:rsidR="00441998" w:rsidRPr="00CC0378">
        <w:rPr>
          <w:sz w:val="22"/>
          <w:szCs w:val="22"/>
          <w:lang w:val="sr-Latn-ME"/>
        </w:rPr>
        <w:t xml:space="preserve"> </w:t>
      </w:r>
      <w:r w:rsidRPr="00CC0378">
        <w:rPr>
          <w:sz w:val="22"/>
          <w:szCs w:val="22"/>
          <w:lang w:val="sr-Latn-ME"/>
        </w:rPr>
        <w:t>tableta na kojoj je utisnuto 20 mg sa jedne strane i A/EH sa druge strane.</w:t>
      </w:r>
    </w:p>
    <w:p w14:paraId="0BD0D088" w14:textId="77777777" w:rsidR="00927C50" w:rsidRDefault="00927C50" w:rsidP="009462F3">
      <w:pPr>
        <w:jc w:val="both"/>
        <w:rPr>
          <w:sz w:val="22"/>
          <w:szCs w:val="22"/>
          <w:lang w:val="sr-Latn-ME"/>
        </w:rPr>
      </w:pPr>
    </w:p>
    <w:p w14:paraId="6FC56FB8" w14:textId="0864814F" w:rsidR="00927C50" w:rsidRDefault="00927C50" w:rsidP="00927C50">
      <w:pPr>
        <w:pStyle w:val="Header"/>
        <w:tabs>
          <w:tab w:val="left" w:pos="284"/>
        </w:tabs>
        <w:jc w:val="both"/>
        <w:rPr>
          <w:bCs/>
          <w:sz w:val="22"/>
          <w:szCs w:val="22"/>
          <w:lang w:val="sr-Latn-ME"/>
        </w:rPr>
      </w:pPr>
      <w:r w:rsidRPr="009B7812">
        <w:rPr>
          <w:sz w:val="22"/>
          <w:szCs w:val="22"/>
          <w:u w:val="single"/>
          <w:lang w:val="sr-Latn-ME"/>
        </w:rPr>
        <w:t>N</w:t>
      </w:r>
      <w:r w:rsidR="00583A68" w:rsidRPr="009B7812">
        <w:rPr>
          <w:sz w:val="22"/>
          <w:szCs w:val="22"/>
          <w:u w:val="single"/>
          <w:lang w:val="sr-Latn-ME"/>
        </w:rPr>
        <w:t>exium</w:t>
      </w:r>
      <w:r>
        <w:rPr>
          <w:bCs/>
          <w:sz w:val="22"/>
          <w:szCs w:val="22"/>
          <w:u w:val="single"/>
          <w:lang w:val="sr-Latn-ME"/>
        </w:rPr>
        <w:t>, 4</w:t>
      </w:r>
      <w:r w:rsidRPr="009B7812">
        <w:rPr>
          <w:bCs/>
          <w:sz w:val="22"/>
          <w:szCs w:val="22"/>
          <w:u w:val="single"/>
          <w:lang w:val="sr-Latn-ME"/>
        </w:rPr>
        <w:t>0 mg</w:t>
      </w:r>
      <w:r w:rsidRPr="009B7812">
        <w:rPr>
          <w:bCs/>
          <w:sz w:val="22"/>
          <w:szCs w:val="22"/>
          <w:lang w:val="sr-Latn-ME"/>
        </w:rPr>
        <w:t xml:space="preserve">: </w:t>
      </w:r>
    </w:p>
    <w:p w14:paraId="2F9B1012" w14:textId="0EA099D8" w:rsidR="00EA069C" w:rsidRPr="00CC0378" w:rsidRDefault="00660338" w:rsidP="009462F3">
      <w:pPr>
        <w:jc w:val="both"/>
        <w:rPr>
          <w:sz w:val="22"/>
          <w:szCs w:val="22"/>
          <w:lang w:val="sr-Latn-ME"/>
        </w:rPr>
      </w:pPr>
      <w:r>
        <w:rPr>
          <w:sz w:val="22"/>
          <w:szCs w:val="22"/>
          <w:lang w:val="sr-Latn-ME"/>
        </w:rPr>
        <w:t>R</w:t>
      </w:r>
      <w:r w:rsidR="00EA069C" w:rsidRPr="00CC0378">
        <w:rPr>
          <w:sz w:val="22"/>
          <w:szCs w:val="22"/>
          <w:lang w:val="sr-Latn-ME"/>
        </w:rPr>
        <w:t>užičasta, duguljasta, bikonveksna film</w:t>
      </w:r>
      <w:r w:rsidR="00441998" w:rsidRPr="00CC0378">
        <w:rPr>
          <w:sz w:val="22"/>
          <w:szCs w:val="22"/>
          <w:lang w:val="sr-Latn-ME"/>
        </w:rPr>
        <w:t xml:space="preserve"> </w:t>
      </w:r>
      <w:r w:rsidR="00EA069C" w:rsidRPr="00CC0378">
        <w:rPr>
          <w:sz w:val="22"/>
          <w:szCs w:val="22"/>
          <w:lang w:val="sr-Latn-ME"/>
        </w:rPr>
        <w:t>tableta na kojoj je utisnuto 40 mg sa jedne strane i A/EI sa druge strane.</w:t>
      </w:r>
      <w:r w:rsidR="00EA069C" w:rsidRPr="00CC0378">
        <w:rPr>
          <w:sz w:val="22"/>
          <w:szCs w:val="22"/>
          <w:lang w:val="sr-Latn-ME"/>
        </w:rPr>
        <w:fldChar w:fldCharType="begin"/>
      </w:r>
      <w:r w:rsidR="00EA069C" w:rsidRPr="00CC0378">
        <w:rPr>
          <w:sz w:val="22"/>
          <w:szCs w:val="22"/>
          <w:lang w:val="sr-Latn-ME"/>
        </w:rPr>
        <w:instrText xml:space="preserve">  </w:instrText>
      </w:r>
      <w:r w:rsidR="00EA069C" w:rsidRPr="00CC0378">
        <w:rPr>
          <w:sz w:val="22"/>
          <w:szCs w:val="22"/>
          <w:lang w:val="sr-Latn-ME"/>
        </w:rPr>
        <w:fldChar w:fldCharType="end"/>
      </w:r>
    </w:p>
    <w:p w14:paraId="50ED7767" w14:textId="56D949F9" w:rsidR="00EC2532" w:rsidRPr="00CC0378" w:rsidRDefault="00EC2532" w:rsidP="00CC0378">
      <w:pPr>
        <w:jc w:val="both"/>
        <w:rPr>
          <w:bCs/>
          <w:sz w:val="22"/>
          <w:szCs w:val="22"/>
          <w:lang w:val="sr-Latn-ME"/>
        </w:rPr>
      </w:pPr>
    </w:p>
    <w:p w14:paraId="68F7C7B8" w14:textId="77777777" w:rsidR="00441998" w:rsidRPr="00CC0378" w:rsidRDefault="00441998" w:rsidP="00CC0378">
      <w:pPr>
        <w:jc w:val="both"/>
        <w:rPr>
          <w:bCs/>
          <w:sz w:val="22"/>
          <w:szCs w:val="22"/>
          <w:lang w:val="sr-Latn-ME"/>
        </w:rPr>
      </w:pPr>
    </w:p>
    <w:p w14:paraId="410A8FCC" w14:textId="77777777" w:rsidR="00411B4B" w:rsidRPr="00CC0378" w:rsidRDefault="00411B4B" w:rsidP="00CC0378">
      <w:pPr>
        <w:tabs>
          <w:tab w:val="left" w:pos="540"/>
          <w:tab w:val="left" w:pos="569"/>
        </w:tabs>
        <w:jc w:val="both"/>
        <w:rPr>
          <w:b/>
          <w:bCs/>
          <w:sz w:val="22"/>
          <w:szCs w:val="22"/>
          <w:lang w:val="sr-Latn-ME"/>
        </w:rPr>
      </w:pPr>
      <w:r w:rsidRPr="00CC0378">
        <w:rPr>
          <w:b/>
          <w:bCs/>
          <w:sz w:val="22"/>
          <w:szCs w:val="22"/>
          <w:lang w:val="sr-Latn-ME"/>
        </w:rPr>
        <w:t xml:space="preserve">4. </w:t>
      </w:r>
      <w:r w:rsidR="00480FB1" w:rsidRPr="00CC0378">
        <w:rPr>
          <w:b/>
          <w:bCs/>
          <w:sz w:val="22"/>
          <w:szCs w:val="22"/>
          <w:lang w:val="sr-Latn-ME"/>
        </w:rPr>
        <w:tab/>
      </w:r>
      <w:r w:rsidRPr="00CC0378">
        <w:rPr>
          <w:b/>
          <w:bCs/>
          <w:sz w:val="22"/>
          <w:szCs w:val="22"/>
          <w:lang w:val="sr-Latn-ME"/>
        </w:rPr>
        <w:t>KLINIČKI PODACI</w:t>
      </w:r>
    </w:p>
    <w:p w14:paraId="4D3B55BB" w14:textId="77777777" w:rsidR="00CD6F02" w:rsidRPr="00CC0378" w:rsidRDefault="00CD6F02" w:rsidP="00CC0378">
      <w:pPr>
        <w:tabs>
          <w:tab w:val="left" w:pos="540"/>
          <w:tab w:val="left" w:pos="569"/>
        </w:tabs>
        <w:jc w:val="both"/>
        <w:rPr>
          <w:bCs/>
          <w:sz w:val="22"/>
          <w:szCs w:val="22"/>
          <w:lang w:val="sr-Latn-ME"/>
        </w:rPr>
      </w:pPr>
    </w:p>
    <w:p w14:paraId="7854D1DA" w14:textId="77777777" w:rsidR="00411B4B" w:rsidRPr="00CC0378" w:rsidRDefault="00411B4B" w:rsidP="00CC0378">
      <w:pPr>
        <w:tabs>
          <w:tab w:val="left" w:pos="540"/>
          <w:tab w:val="left" w:pos="569"/>
        </w:tabs>
        <w:jc w:val="both"/>
        <w:rPr>
          <w:b/>
          <w:bCs/>
          <w:sz w:val="22"/>
          <w:szCs w:val="22"/>
          <w:lang w:val="sr-Latn-ME"/>
        </w:rPr>
      </w:pPr>
      <w:r w:rsidRPr="00CC0378">
        <w:rPr>
          <w:b/>
          <w:bCs/>
          <w:sz w:val="22"/>
          <w:szCs w:val="22"/>
          <w:lang w:val="sr-Latn-ME"/>
        </w:rPr>
        <w:t xml:space="preserve">4.1. </w:t>
      </w:r>
      <w:r w:rsidR="00480FB1" w:rsidRPr="00CC0378">
        <w:rPr>
          <w:b/>
          <w:bCs/>
          <w:sz w:val="22"/>
          <w:szCs w:val="22"/>
          <w:lang w:val="sr-Latn-ME"/>
        </w:rPr>
        <w:tab/>
      </w:r>
      <w:r w:rsidRPr="00CC0378">
        <w:rPr>
          <w:b/>
          <w:bCs/>
          <w:sz w:val="22"/>
          <w:szCs w:val="22"/>
          <w:lang w:val="sr-Latn-ME"/>
        </w:rPr>
        <w:t>Terapijske indikacije</w:t>
      </w:r>
    </w:p>
    <w:p w14:paraId="6903A01D" w14:textId="6E4F2DBF" w:rsidR="00411B4B" w:rsidRPr="00CC0378" w:rsidRDefault="00411B4B" w:rsidP="00CC0378">
      <w:pPr>
        <w:tabs>
          <w:tab w:val="left" w:pos="540"/>
          <w:tab w:val="left" w:pos="569"/>
        </w:tabs>
        <w:jc w:val="both"/>
        <w:rPr>
          <w:bCs/>
          <w:sz w:val="22"/>
          <w:szCs w:val="22"/>
          <w:lang w:val="sr-Latn-ME"/>
        </w:rPr>
      </w:pPr>
    </w:p>
    <w:p w14:paraId="129759C0" w14:textId="77777777" w:rsidR="00EA069C" w:rsidRPr="00CC0378" w:rsidRDefault="00EA069C" w:rsidP="00CC0378">
      <w:pPr>
        <w:jc w:val="both"/>
        <w:rPr>
          <w:sz w:val="22"/>
          <w:szCs w:val="22"/>
          <w:lang w:val="sr-Latn-ME"/>
        </w:rPr>
      </w:pPr>
      <w:r w:rsidRPr="00CC0378">
        <w:rPr>
          <w:sz w:val="22"/>
          <w:szCs w:val="22"/>
          <w:lang w:val="sr-Latn-ME"/>
        </w:rPr>
        <w:t>Nexium tablete su kod odraslih indikovane za:</w:t>
      </w:r>
    </w:p>
    <w:p w14:paraId="535AD6C4" w14:textId="77777777" w:rsidR="00EA069C" w:rsidRPr="00CC0378" w:rsidRDefault="00EA069C" w:rsidP="00CC0378">
      <w:pPr>
        <w:jc w:val="both"/>
        <w:rPr>
          <w:sz w:val="22"/>
          <w:szCs w:val="22"/>
          <w:lang w:val="sr-Latn-ME"/>
        </w:rPr>
      </w:pPr>
    </w:p>
    <w:p w14:paraId="5EEE09FF" w14:textId="77777777" w:rsidR="00EA069C" w:rsidRPr="00CC0378" w:rsidRDefault="00EA069C" w:rsidP="00CC0378">
      <w:pPr>
        <w:jc w:val="both"/>
        <w:rPr>
          <w:b/>
          <w:sz w:val="22"/>
          <w:szCs w:val="22"/>
          <w:lang w:val="sr-Latn-ME"/>
        </w:rPr>
      </w:pPr>
      <w:r w:rsidRPr="00CC0378">
        <w:rPr>
          <w:b/>
          <w:sz w:val="22"/>
          <w:szCs w:val="22"/>
          <w:lang w:val="sr-Latn-ME"/>
        </w:rPr>
        <w:t>Gastroezofagealnu refluksnu bolest (GERB)</w:t>
      </w:r>
    </w:p>
    <w:p w14:paraId="6D0271F2" w14:textId="77777777" w:rsidR="00EA069C" w:rsidRPr="00CC0378" w:rsidRDefault="00EA069C" w:rsidP="009462F3">
      <w:pPr>
        <w:pStyle w:val="ListParagraph"/>
        <w:numPr>
          <w:ilvl w:val="0"/>
          <w:numId w:val="20"/>
        </w:numPr>
        <w:tabs>
          <w:tab w:val="left" w:pos="1134"/>
        </w:tabs>
        <w:jc w:val="both"/>
        <w:rPr>
          <w:sz w:val="22"/>
          <w:szCs w:val="22"/>
          <w:lang w:val="sr-Latn-ME"/>
        </w:rPr>
      </w:pPr>
      <w:r w:rsidRPr="00CC0378">
        <w:rPr>
          <w:sz w:val="22"/>
          <w:szCs w:val="22"/>
          <w:lang w:val="sr-Latn-ME"/>
        </w:rPr>
        <w:t>Terapija erozivnog refluksnog ezofagitisa.</w:t>
      </w:r>
    </w:p>
    <w:p w14:paraId="11DA49DA" w14:textId="08C02CC7" w:rsidR="00EA069C" w:rsidRPr="00CC0378" w:rsidRDefault="00EA069C" w:rsidP="009462F3">
      <w:pPr>
        <w:pStyle w:val="ListParagraph"/>
        <w:numPr>
          <w:ilvl w:val="0"/>
          <w:numId w:val="20"/>
        </w:numPr>
        <w:tabs>
          <w:tab w:val="left" w:pos="1134"/>
        </w:tabs>
        <w:jc w:val="both"/>
        <w:rPr>
          <w:sz w:val="22"/>
          <w:szCs w:val="22"/>
          <w:lang w:val="sr-Latn-ME"/>
        </w:rPr>
      </w:pPr>
      <w:r w:rsidRPr="00CC0378">
        <w:rPr>
          <w:sz w:val="22"/>
          <w:szCs w:val="22"/>
          <w:lang w:val="sr-Latn-ME"/>
        </w:rPr>
        <w:t>Dugotrajan tretman pacijenata sa zal</w:t>
      </w:r>
      <w:r w:rsidR="00F05991">
        <w:rPr>
          <w:sz w:val="22"/>
          <w:szCs w:val="22"/>
          <w:lang w:val="sr-Latn-ME"/>
        </w:rPr>
        <w:t>ij</w:t>
      </w:r>
      <w:r w:rsidRPr="00CC0378">
        <w:rPr>
          <w:sz w:val="22"/>
          <w:szCs w:val="22"/>
          <w:lang w:val="sr-Latn-ME"/>
        </w:rPr>
        <w:t xml:space="preserve">ečenim ezofagitisom kako bi se spriječio relaps. </w:t>
      </w:r>
    </w:p>
    <w:p w14:paraId="7E4FEA43" w14:textId="77777777" w:rsidR="00EA069C" w:rsidRPr="00CC0378" w:rsidRDefault="00EA069C" w:rsidP="009462F3">
      <w:pPr>
        <w:pStyle w:val="ListParagraph"/>
        <w:numPr>
          <w:ilvl w:val="0"/>
          <w:numId w:val="20"/>
        </w:numPr>
        <w:tabs>
          <w:tab w:val="left" w:pos="1134"/>
        </w:tabs>
        <w:jc w:val="both"/>
        <w:rPr>
          <w:sz w:val="22"/>
          <w:szCs w:val="22"/>
          <w:lang w:val="sr-Latn-ME"/>
        </w:rPr>
      </w:pPr>
      <w:r w:rsidRPr="00CC0378">
        <w:rPr>
          <w:sz w:val="22"/>
          <w:szCs w:val="22"/>
          <w:lang w:val="sr-Latn-ME"/>
        </w:rPr>
        <w:t>Simptomatska terapija gastroezofagealne refluksne bolesti (GERB).</w:t>
      </w:r>
    </w:p>
    <w:p w14:paraId="5ADB03C6" w14:textId="77777777" w:rsidR="00EA069C" w:rsidRPr="00CC0378" w:rsidRDefault="00EA069C" w:rsidP="00CC0378">
      <w:pPr>
        <w:ind w:left="284" w:hanging="284"/>
        <w:jc w:val="both"/>
        <w:rPr>
          <w:sz w:val="22"/>
          <w:szCs w:val="22"/>
          <w:lang w:val="sr-Latn-ME"/>
        </w:rPr>
      </w:pPr>
    </w:p>
    <w:p w14:paraId="1F2CB174" w14:textId="77777777" w:rsidR="00EA069C" w:rsidRPr="00CC0378" w:rsidRDefault="00EA069C" w:rsidP="00CC0378">
      <w:pPr>
        <w:pStyle w:val="BodyText"/>
        <w:rPr>
          <w:b/>
          <w:szCs w:val="22"/>
          <w:lang w:val="sr-Latn-ME"/>
        </w:rPr>
      </w:pPr>
      <w:r w:rsidRPr="00CC0378">
        <w:rPr>
          <w:b/>
          <w:szCs w:val="22"/>
          <w:lang w:val="sr-Latn-ME"/>
        </w:rPr>
        <w:lastRenderedPageBreak/>
        <w:t xml:space="preserve">U kombinaciji sa odgovarajućim antibakterijskim terapijskim režimima za eradikaciju </w:t>
      </w:r>
      <w:r w:rsidRPr="00CC0378">
        <w:rPr>
          <w:b/>
          <w:i/>
          <w:szCs w:val="22"/>
          <w:lang w:val="sr-Latn-ME"/>
        </w:rPr>
        <w:t>Helicobacter pylori</w:t>
      </w:r>
      <w:r w:rsidRPr="00CC0378">
        <w:rPr>
          <w:b/>
          <w:szCs w:val="22"/>
          <w:lang w:val="sr-Latn-ME"/>
        </w:rPr>
        <w:t xml:space="preserve"> i</w:t>
      </w:r>
    </w:p>
    <w:p w14:paraId="10A05F8C" w14:textId="5F9836C5" w:rsidR="00EA069C" w:rsidRPr="009462F3" w:rsidRDefault="00EA069C" w:rsidP="009462F3">
      <w:pPr>
        <w:pStyle w:val="ListParagraph"/>
        <w:numPr>
          <w:ilvl w:val="0"/>
          <w:numId w:val="22"/>
        </w:numPr>
        <w:rPr>
          <w:sz w:val="22"/>
          <w:lang w:val="sr-Latn-ME"/>
        </w:rPr>
      </w:pPr>
      <w:r w:rsidRPr="009462F3">
        <w:rPr>
          <w:sz w:val="22"/>
          <w:lang w:val="sr-Latn-ME"/>
        </w:rPr>
        <w:t xml:space="preserve">Liječenje ulkusa na duodenumu koji je povezan sa </w:t>
      </w:r>
      <w:r w:rsidRPr="009462F3">
        <w:rPr>
          <w:i/>
          <w:sz w:val="22"/>
          <w:lang w:val="sr-Latn-ME"/>
        </w:rPr>
        <w:t>Helicobacter pylori</w:t>
      </w:r>
      <w:r w:rsidRPr="009462F3">
        <w:rPr>
          <w:sz w:val="22"/>
          <w:lang w:val="sr-Latn-ME"/>
        </w:rPr>
        <w:t xml:space="preserve">, i </w:t>
      </w:r>
    </w:p>
    <w:p w14:paraId="737E3E5F" w14:textId="4F377A5F" w:rsidR="00EA069C" w:rsidRPr="009462F3" w:rsidRDefault="00EA069C" w:rsidP="009462F3">
      <w:pPr>
        <w:pStyle w:val="ListParagraph"/>
        <w:numPr>
          <w:ilvl w:val="0"/>
          <w:numId w:val="22"/>
        </w:numPr>
        <w:rPr>
          <w:sz w:val="22"/>
          <w:lang w:val="sr-Latn-ME"/>
        </w:rPr>
      </w:pPr>
      <w:r w:rsidRPr="009462F3">
        <w:rPr>
          <w:sz w:val="22"/>
          <w:lang w:val="sr-Latn-ME"/>
        </w:rPr>
        <w:t xml:space="preserve">Prevenciju relapsa peptičkog ulkusa kod pacijenata sa ulkusima povezanim sa </w:t>
      </w:r>
      <w:r w:rsidRPr="009462F3">
        <w:rPr>
          <w:i/>
          <w:sz w:val="22"/>
          <w:lang w:val="sr-Latn-ME"/>
        </w:rPr>
        <w:t>Helicobacter pylori</w:t>
      </w:r>
      <w:r w:rsidRPr="009462F3">
        <w:rPr>
          <w:sz w:val="22"/>
          <w:lang w:val="sr-Latn-ME"/>
        </w:rPr>
        <w:t xml:space="preserve"> infekcijom.</w:t>
      </w:r>
    </w:p>
    <w:p w14:paraId="4D2BAB69" w14:textId="77777777" w:rsidR="00EA069C" w:rsidRPr="00CC0378" w:rsidRDefault="00EA069C" w:rsidP="00CC0378">
      <w:pPr>
        <w:jc w:val="both"/>
        <w:rPr>
          <w:sz w:val="22"/>
          <w:szCs w:val="22"/>
          <w:lang w:val="sr-Latn-ME"/>
        </w:rPr>
      </w:pPr>
    </w:p>
    <w:p w14:paraId="1F5BC060" w14:textId="20A57C7C" w:rsidR="00EA069C" w:rsidRPr="00CC0378" w:rsidRDefault="00EA069C" w:rsidP="00CC0378">
      <w:pPr>
        <w:jc w:val="both"/>
        <w:rPr>
          <w:b/>
          <w:sz w:val="22"/>
          <w:szCs w:val="22"/>
          <w:lang w:val="sr-Latn-ME"/>
        </w:rPr>
      </w:pPr>
      <w:r w:rsidRPr="00CC0378">
        <w:rPr>
          <w:b/>
          <w:sz w:val="22"/>
          <w:szCs w:val="22"/>
          <w:lang w:val="sr-Latn-ME"/>
        </w:rPr>
        <w:t>Pacijenti kojima je potrebna kontinuirana terapija NSAIL</w:t>
      </w:r>
    </w:p>
    <w:p w14:paraId="1F9FCA20" w14:textId="4A3CB3CF" w:rsidR="00F4545F" w:rsidRPr="00CC0378" w:rsidRDefault="00F4545F" w:rsidP="009462F3">
      <w:pPr>
        <w:pStyle w:val="ListParagraph"/>
        <w:numPr>
          <w:ilvl w:val="0"/>
          <w:numId w:val="23"/>
        </w:numPr>
        <w:tabs>
          <w:tab w:val="left" w:pos="2977"/>
        </w:tabs>
        <w:jc w:val="both"/>
        <w:rPr>
          <w:bCs/>
          <w:sz w:val="22"/>
          <w:szCs w:val="22"/>
          <w:lang w:val="sr-Latn-ME"/>
        </w:rPr>
      </w:pPr>
      <w:r w:rsidRPr="00CC0378">
        <w:rPr>
          <w:bCs/>
          <w:sz w:val="22"/>
          <w:szCs w:val="22"/>
          <w:lang w:val="sr-Latn-ME"/>
        </w:rPr>
        <w:t>Liječenje gastričnih ulkusa povezanih sa terapijom NSAIL.</w:t>
      </w:r>
    </w:p>
    <w:p w14:paraId="5019EF56" w14:textId="15CAE032" w:rsidR="00F4545F" w:rsidRPr="00CC0378" w:rsidRDefault="00F4545F" w:rsidP="009462F3">
      <w:pPr>
        <w:pStyle w:val="ListParagraph"/>
        <w:numPr>
          <w:ilvl w:val="0"/>
          <w:numId w:val="23"/>
        </w:numPr>
        <w:tabs>
          <w:tab w:val="left" w:pos="2977"/>
        </w:tabs>
        <w:jc w:val="both"/>
        <w:rPr>
          <w:bCs/>
          <w:sz w:val="22"/>
          <w:szCs w:val="22"/>
          <w:lang w:val="sr-Latn-ME"/>
        </w:rPr>
      </w:pPr>
      <w:r w:rsidRPr="00CC0378">
        <w:rPr>
          <w:bCs/>
          <w:sz w:val="22"/>
          <w:szCs w:val="22"/>
          <w:lang w:val="sr-Latn-ME"/>
        </w:rPr>
        <w:t>Prevencija gastričnih i duodenalnih ulkusa povezanih sa NSAIL, kod pacijenata sa rizikom.</w:t>
      </w:r>
    </w:p>
    <w:p w14:paraId="0DFF9B8C" w14:textId="77777777" w:rsidR="00F4545F" w:rsidRPr="00CC0378" w:rsidRDefault="00F4545F" w:rsidP="00CC0378">
      <w:pPr>
        <w:tabs>
          <w:tab w:val="left" w:pos="540"/>
          <w:tab w:val="left" w:pos="569"/>
        </w:tabs>
        <w:jc w:val="both"/>
        <w:rPr>
          <w:bCs/>
          <w:sz w:val="22"/>
          <w:szCs w:val="22"/>
          <w:lang w:val="sr-Latn-ME"/>
        </w:rPr>
      </w:pPr>
    </w:p>
    <w:p w14:paraId="21FF1384" w14:textId="423AA2AC" w:rsidR="00F4545F" w:rsidRPr="00CC0378" w:rsidRDefault="00F4545F" w:rsidP="00CC0378">
      <w:pPr>
        <w:tabs>
          <w:tab w:val="left" w:pos="540"/>
          <w:tab w:val="left" w:pos="569"/>
        </w:tabs>
        <w:jc w:val="both"/>
        <w:rPr>
          <w:b/>
          <w:bCs/>
          <w:sz w:val="22"/>
          <w:szCs w:val="22"/>
          <w:lang w:val="sr-Latn-ME"/>
        </w:rPr>
      </w:pPr>
      <w:r w:rsidRPr="00CC0378">
        <w:rPr>
          <w:b/>
          <w:bCs/>
          <w:sz w:val="22"/>
          <w:szCs w:val="22"/>
          <w:lang w:val="sr-Latn-ME"/>
        </w:rPr>
        <w:t xml:space="preserve">Produžena terapija nakon i.v. indukovane prevencije ponovnog </w:t>
      </w:r>
      <w:r w:rsidR="00F05991" w:rsidRPr="00CC0378">
        <w:rPr>
          <w:b/>
          <w:bCs/>
          <w:sz w:val="22"/>
          <w:szCs w:val="22"/>
          <w:lang w:val="sr-Latn-ME"/>
        </w:rPr>
        <w:t>krva</w:t>
      </w:r>
      <w:r w:rsidR="00F05991">
        <w:rPr>
          <w:b/>
          <w:bCs/>
          <w:sz w:val="22"/>
          <w:szCs w:val="22"/>
          <w:lang w:val="sr-Latn-ME"/>
        </w:rPr>
        <w:t>r</w:t>
      </w:r>
      <w:r w:rsidR="00F05991" w:rsidRPr="00CC0378">
        <w:rPr>
          <w:b/>
          <w:bCs/>
          <w:sz w:val="22"/>
          <w:szCs w:val="22"/>
          <w:lang w:val="sr-Latn-ME"/>
        </w:rPr>
        <w:t xml:space="preserve">enja </w:t>
      </w:r>
      <w:r w:rsidRPr="00CC0378">
        <w:rPr>
          <w:b/>
          <w:bCs/>
          <w:sz w:val="22"/>
          <w:szCs w:val="22"/>
          <w:lang w:val="sr-Latn-ME"/>
        </w:rPr>
        <w:t>peptičkih ulkusa.</w:t>
      </w:r>
    </w:p>
    <w:p w14:paraId="7AA66308" w14:textId="77777777" w:rsidR="00F4545F" w:rsidRPr="00CC0378" w:rsidRDefault="00F4545F" w:rsidP="00CC0378">
      <w:pPr>
        <w:tabs>
          <w:tab w:val="left" w:pos="540"/>
          <w:tab w:val="left" w:pos="569"/>
        </w:tabs>
        <w:jc w:val="both"/>
        <w:rPr>
          <w:b/>
          <w:bCs/>
          <w:sz w:val="22"/>
          <w:szCs w:val="22"/>
          <w:lang w:val="sr-Latn-ME"/>
        </w:rPr>
      </w:pPr>
    </w:p>
    <w:p w14:paraId="5C321A4C" w14:textId="2F223D26" w:rsidR="00F4545F" w:rsidRPr="00CC0378" w:rsidRDefault="00F4545F" w:rsidP="00CC0378">
      <w:pPr>
        <w:tabs>
          <w:tab w:val="left" w:pos="540"/>
          <w:tab w:val="left" w:pos="569"/>
        </w:tabs>
        <w:jc w:val="both"/>
        <w:rPr>
          <w:b/>
          <w:bCs/>
          <w:sz w:val="22"/>
          <w:szCs w:val="22"/>
          <w:lang w:val="sr-Latn-ME"/>
        </w:rPr>
      </w:pPr>
      <w:r w:rsidRPr="00CC0378">
        <w:rPr>
          <w:b/>
          <w:bCs/>
          <w:sz w:val="22"/>
          <w:szCs w:val="22"/>
          <w:lang w:val="sr-Latn-ME"/>
        </w:rPr>
        <w:t>Terapija Zollinger Ellison-ovog sindroma</w:t>
      </w:r>
    </w:p>
    <w:p w14:paraId="4F909CF7" w14:textId="77777777" w:rsidR="009A6840" w:rsidRPr="00CC0378" w:rsidRDefault="009A6840" w:rsidP="00CC0378">
      <w:pPr>
        <w:tabs>
          <w:tab w:val="left" w:pos="540"/>
          <w:tab w:val="left" w:pos="569"/>
        </w:tabs>
        <w:jc w:val="both"/>
        <w:rPr>
          <w:b/>
          <w:bCs/>
          <w:sz w:val="22"/>
          <w:szCs w:val="22"/>
          <w:lang w:val="sr-Latn-ME"/>
        </w:rPr>
      </w:pPr>
    </w:p>
    <w:p w14:paraId="0927C123" w14:textId="004D6F6B" w:rsidR="00F4545F" w:rsidRPr="00CC0378" w:rsidRDefault="00F4545F" w:rsidP="00CC0378">
      <w:pPr>
        <w:tabs>
          <w:tab w:val="left" w:pos="540"/>
          <w:tab w:val="left" w:pos="569"/>
        </w:tabs>
        <w:jc w:val="both"/>
        <w:rPr>
          <w:b/>
          <w:bCs/>
          <w:sz w:val="22"/>
          <w:szCs w:val="22"/>
          <w:u w:val="single"/>
          <w:lang w:val="sr-Latn-ME"/>
        </w:rPr>
      </w:pPr>
      <w:r w:rsidRPr="00CC0378">
        <w:rPr>
          <w:b/>
          <w:bCs/>
          <w:sz w:val="22"/>
          <w:szCs w:val="22"/>
          <w:u w:val="single"/>
          <w:lang w:val="sr-Latn-ME"/>
        </w:rPr>
        <w:t>Tablete Nexium su kod adolescenata starijih od 12 godina indikovane za:</w:t>
      </w:r>
    </w:p>
    <w:p w14:paraId="552901ED" w14:textId="77777777" w:rsidR="00F4545F" w:rsidRPr="00CC0378" w:rsidRDefault="00F4545F" w:rsidP="00CC0378">
      <w:pPr>
        <w:tabs>
          <w:tab w:val="left" w:pos="540"/>
          <w:tab w:val="left" w:pos="569"/>
        </w:tabs>
        <w:jc w:val="both"/>
        <w:rPr>
          <w:bCs/>
          <w:sz w:val="22"/>
          <w:szCs w:val="22"/>
          <w:lang w:val="sr-Latn-ME"/>
        </w:rPr>
      </w:pPr>
      <w:r w:rsidRPr="00CC0378">
        <w:rPr>
          <w:bCs/>
          <w:sz w:val="22"/>
          <w:szCs w:val="22"/>
          <w:lang w:val="sr-Latn-ME"/>
        </w:rPr>
        <w:t xml:space="preserve"> </w:t>
      </w:r>
    </w:p>
    <w:p w14:paraId="213BD35E" w14:textId="77777777" w:rsidR="00F4545F" w:rsidRPr="00CC0378" w:rsidRDefault="00F4545F" w:rsidP="00CC0378">
      <w:pPr>
        <w:tabs>
          <w:tab w:val="left" w:pos="540"/>
          <w:tab w:val="left" w:pos="569"/>
        </w:tabs>
        <w:jc w:val="both"/>
        <w:rPr>
          <w:b/>
          <w:bCs/>
          <w:sz w:val="22"/>
          <w:szCs w:val="22"/>
          <w:lang w:val="sr-Latn-ME"/>
        </w:rPr>
      </w:pPr>
      <w:r w:rsidRPr="00CC0378">
        <w:rPr>
          <w:b/>
          <w:bCs/>
          <w:sz w:val="22"/>
          <w:szCs w:val="22"/>
          <w:lang w:val="sr-Latn-ME"/>
        </w:rPr>
        <w:t>Gastroezofagealna refluksna bolest (GERB)</w:t>
      </w:r>
    </w:p>
    <w:p w14:paraId="0F2870B4" w14:textId="5E7F8AF5" w:rsidR="00F4545F" w:rsidRPr="00CC0378" w:rsidRDefault="00F4545F" w:rsidP="009462F3">
      <w:pPr>
        <w:pStyle w:val="ListParagraph"/>
        <w:numPr>
          <w:ilvl w:val="0"/>
          <w:numId w:val="24"/>
        </w:numPr>
        <w:tabs>
          <w:tab w:val="left" w:pos="1134"/>
        </w:tabs>
        <w:jc w:val="both"/>
        <w:rPr>
          <w:sz w:val="22"/>
          <w:szCs w:val="22"/>
          <w:lang w:val="sr-Latn-ME"/>
        </w:rPr>
      </w:pPr>
      <w:r w:rsidRPr="00CC0378">
        <w:rPr>
          <w:sz w:val="22"/>
          <w:szCs w:val="22"/>
          <w:lang w:val="sr-Latn-ME"/>
        </w:rPr>
        <w:t>Terapija erozivnog refluksnog ezofagitisa.</w:t>
      </w:r>
    </w:p>
    <w:p w14:paraId="1D785BAC" w14:textId="5E02B71D" w:rsidR="00F4545F" w:rsidRPr="00CC0378" w:rsidRDefault="00F4545F" w:rsidP="009462F3">
      <w:pPr>
        <w:pStyle w:val="ListParagraph"/>
        <w:numPr>
          <w:ilvl w:val="0"/>
          <w:numId w:val="24"/>
        </w:numPr>
        <w:tabs>
          <w:tab w:val="left" w:pos="1134"/>
        </w:tabs>
        <w:jc w:val="both"/>
        <w:rPr>
          <w:sz w:val="22"/>
          <w:szCs w:val="22"/>
          <w:lang w:val="sr-Latn-ME"/>
        </w:rPr>
      </w:pPr>
      <w:r w:rsidRPr="00CC0378">
        <w:rPr>
          <w:sz w:val="22"/>
          <w:szCs w:val="22"/>
          <w:lang w:val="sr-Latn-ME"/>
        </w:rPr>
        <w:t>Dugotrajan tretman pacijenata sa zaliječenim ezofagitisom kako bi se spriječio relaps.</w:t>
      </w:r>
    </w:p>
    <w:p w14:paraId="2D618464" w14:textId="2937B2C5" w:rsidR="00F4545F" w:rsidRPr="00CC0378" w:rsidRDefault="00F4545F" w:rsidP="009462F3">
      <w:pPr>
        <w:pStyle w:val="ListParagraph"/>
        <w:numPr>
          <w:ilvl w:val="0"/>
          <w:numId w:val="24"/>
        </w:numPr>
        <w:tabs>
          <w:tab w:val="left" w:pos="1134"/>
        </w:tabs>
        <w:jc w:val="both"/>
        <w:rPr>
          <w:sz w:val="22"/>
          <w:szCs w:val="22"/>
          <w:lang w:val="sr-Latn-ME"/>
        </w:rPr>
      </w:pPr>
      <w:r w:rsidRPr="00CC0378">
        <w:rPr>
          <w:sz w:val="22"/>
          <w:szCs w:val="22"/>
          <w:lang w:val="sr-Latn-ME"/>
        </w:rPr>
        <w:t>Simptomatska terapija gastroezofagealne refluksne bolesti (GERB).</w:t>
      </w:r>
    </w:p>
    <w:p w14:paraId="1E9F5FD9" w14:textId="77777777" w:rsidR="009A6840" w:rsidRPr="00CC0378" w:rsidRDefault="009A6840" w:rsidP="00CC0378">
      <w:pPr>
        <w:tabs>
          <w:tab w:val="left" w:pos="540"/>
          <w:tab w:val="left" w:pos="569"/>
        </w:tabs>
        <w:jc w:val="both"/>
        <w:rPr>
          <w:bCs/>
          <w:sz w:val="22"/>
          <w:szCs w:val="22"/>
          <w:lang w:val="sr-Latn-ME"/>
        </w:rPr>
      </w:pPr>
    </w:p>
    <w:p w14:paraId="3A2B4C15" w14:textId="282AEB44" w:rsidR="00EA069C" w:rsidRPr="00CC0378" w:rsidRDefault="00F4545F" w:rsidP="00CC0378">
      <w:pPr>
        <w:tabs>
          <w:tab w:val="left" w:pos="540"/>
          <w:tab w:val="left" w:pos="569"/>
        </w:tabs>
        <w:jc w:val="both"/>
        <w:rPr>
          <w:b/>
          <w:bCs/>
          <w:sz w:val="22"/>
          <w:szCs w:val="22"/>
          <w:lang w:val="sr-Latn-ME"/>
        </w:rPr>
      </w:pPr>
      <w:r w:rsidRPr="00CC0378">
        <w:rPr>
          <w:b/>
          <w:bCs/>
          <w:sz w:val="22"/>
          <w:szCs w:val="22"/>
          <w:lang w:val="sr-Latn-ME"/>
        </w:rPr>
        <w:t xml:space="preserve">U kombinaciji sa antibioticima u terapiji duodenalnog ulkusa izazvanog sa </w:t>
      </w:r>
      <w:r w:rsidRPr="009462F3">
        <w:rPr>
          <w:b/>
          <w:bCs/>
          <w:i/>
          <w:iCs/>
          <w:sz w:val="22"/>
          <w:szCs w:val="22"/>
          <w:lang w:val="sr-Latn-ME"/>
        </w:rPr>
        <w:t>Helicobacter pylori</w:t>
      </w:r>
      <w:r w:rsidR="009A6840" w:rsidRPr="00CC0378">
        <w:rPr>
          <w:b/>
          <w:bCs/>
          <w:sz w:val="22"/>
          <w:szCs w:val="22"/>
          <w:lang w:val="sr-Latn-ME"/>
        </w:rPr>
        <w:t>.</w:t>
      </w:r>
    </w:p>
    <w:p w14:paraId="44565E6F" w14:textId="77777777" w:rsidR="00F4545F" w:rsidRPr="00CC0378" w:rsidRDefault="00F4545F" w:rsidP="00CC0378">
      <w:pPr>
        <w:tabs>
          <w:tab w:val="left" w:pos="540"/>
          <w:tab w:val="left" w:pos="569"/>
        </w:tabs>
        <w:jc w:val="both"/>
        <w:rPr>
          <w:bCs/>
          <w:sz w:val="22"/>
          <w:szCs w:val="22"/>
          <w:lang w:val="sr-Latn-ME"/>
        </w:rPr>
      </w:pPr>
    </w:p>
    <w:p w14:paraId="4B22658E" w14:textId="77777777" w:rsidR="00411B4B" w:rsidRPr="00CC0378" w:rsidRDefault="00411B4B" w:rsidP="00CC0378">
      <w:pPr>
        <w:tabs>
          <w:tab w:val="left" w:pos="540"/>
          <w:tab w:val="left" w:pos="569"/>
        </w:tabs>
        <w:jc w:val="both"/>
        <w:rPr>
          <w:b/>
          <w:bCs/>
          <w:sz w:val="22"/>
          <w:szCs w:val="22"/>
          <w:lang w:val="sr-Latn-ME"/>
        </w:rPr>
      </w:pPr>
      <w:r w:rsidRPr="00CC0378">
        <w:rPr>
          <w:b/>
          <w:bCs/>
          <w:sz w:val="22"/>
          <w:szCs w:val="22"/>
          <w:lang w:val="sr-Latn-ME"/>
        </w:rPr>
        <w:t xml:space="preserve">4.2. </w:t>
      </w:r>
      <w:r w:rsidR="00480FB1" w:rsidRPr="00CC0378">
        <w:rPr>
          <w:b/>
          <w:bCs/>
          <w:sz w:val="22"/>
          <w:szCs w:val="22"/>
          <w:lang w:val="sr-Latn-ME"/>
        </w:rPr>
        <w:tab/>
      </w:r>
      <w:r w:rsidRPr="00CC0378">
        <w:rPr>
          <w:b/>
          <w:bCs/>
          <w:sz w:val="22"/>
          <w:szCs w:val="22"/>
          <w:lang w:val="sr-Latn-ME"/>
        </w:rPr>
        <w:t>Doziranje i način primjene</w:t>
      </w:r>
    </w:p>
    <w:p w14:paraId="019EDD72" w14:textId="77777777" w:rsidR="0072020E" w:rsidRPr="00CC0378" w:rsidRDefault="0072020E" w:rsidP="00CC0378">
      <w:pPr>
        <w:tabs>
          <w:tab w:val="left" w:pos="540"/>
          <w:tab w:val="left" w:pos="569"/>
        </w:tabs>
        <w:jc w:val="both"/>
        <w:rPr>
          <w:bCs/>
          <w:sz w:val="22"/>
          <w:szCs w:val="22"/>
          <w:lang w:val="sr-Latn-ME"/>
        </w:rPr>
      </w:pPr>
    </w:p>
    <w:p w14:paraId="46A1FE42" w14:textId="77777777" w:rsidR="00452E9D" w:rsidRPr="00CC0378" w:rsidRDefault="00452E9D" w:rsidP="00CC0378">
      <w:pPr>
        <w:tabs>
          <w:tab w:val="left" w:pos="540"/>
          <w:tab w:val="left" w:pos="569"/>
        </w:tabs>
        <w:jc w:val="both"/>
        <w:rPr>
          <w:bCs/>
          <w:sz w:val="22"/>
          <w:szCs w:val="22"/>
          <w:u w:val="single"/>
          <w:lang w:val="sr-Latn-ME"/>
        </w:rPr>
      </w:pPr>
      <w:r w:rsidRPr="00CC0378">
        <w:rPr>
          <w:bCs/>
          <w:sz w:val="22"/>
          <w:szCs w:val="22"/>
          <w:u w:val="single"/>
          <w:lang w:val="sr-Latn-ME"/>
        </w:rPr>
        <w:t>Doziranje</w:t>
      </w:r>
    </w:p>
    <w:p w14:paraId="4FA40B62" w14:textId="17D0D12B" w:rsidR="00452E9D" w:rsidRPr="00CC0378" w:rsidRDefault="00452E9D" w:rsidP="00CC0378">
      <w:pPr>
        <w:tabs>
          <w:tab w:val="left" w:pos="540"/>
          <w:tab w:val="left" w:pos="569"/>
        </w:tabs>
        <w:jc w:val="both"/>
        <w:rPr>
          <w:bCs/>
          <w:sz w:val="22"/>
          <w:szCs w:val="22"/>
          <w:u w:val="single"/>
          <w:lang w:val="sr-Latn-ME"/>
        </w:rPr>
      </w:pPr>
    </w:p>
    <w:p w14:paraId="40F5176B" w14:textId="454FB8A3" w:rsidR="00B777EB" w:rsidRPr="00CC0378" w:rsidRDefault="00B777EB" w:rsidP="00CC0378">
      <w:pPr>
        <w:tabs>
          <w:tab w:val="left" w:pos="540"/>
          <w:tab w:val="left" w:pos="569"/>
        </w:tabs>
        <w:jc w:val="both"/>
        <w:rPr>
          <w:bCs/>
          <w:i/>
          <w:iCs/>
          <w:sz w:val="22"/>
          <w:szCs w:val="22"/>
          <w:u w:val="single"/>
          <w:lang w:val="sr-Latn-ME"/>
        </w:rPr>
      </w:pPr>
      <w:r w:rsidRPr="00CC0378">
        <w:rPr>
          <w:bCs/>
          <w:i/>
          <w:iCs/>
          <w:sz w:val="22"/>
          <w:szCs w:val="22"/>
          <w:u w:val="single"/>
          <w:lang w:val="sr-Latn-ME"/>
        </w:rPr>
        <w:t>Odrasli:</w:t>
      </w:r>
    </w:p>
    <w:p w14:paraId="1E6B2187" w14:textId="0EF2097E" w:rsidR="00B777EB" w:rsidRPr="00CC0378" w:rsidRDefault="00B777EB" w:rsidP="00CC0378">
      <w:pPr>
        <w:tabs>
          <w:tab w:val="left" w:pos="540"/>
          <w:tab w:val="left" w:pos="569"/>
        </w:tabs>
        <w:jc w:val="both"/>
        <w:rPr>
          <w:bCs/>
          <w:sz w:val="22"/>
          <w:szCs w:val="22"/>
          <w:u w:val="single"/>
          <w:lang w:val="sr-Latn-ME"/>
        </w:rPr>
      </w:pPr>
    </w:p>
    <w:p w14:paraId="5A65CDAB" w14:textId="41CA6952" w:rsidR="00B777EB" w:rsidRPr="00CC0378" w:rsidRDefault="00B777EB" w:rsidP="00CC0378">
      <w:pPr>
        <w:pStyle w:val="BodyText"/>
        <w:rPr>
          <w:b/>
          <w:i/>
          <w:szCs w:val="22"/>
          <w:lang w:val="sr-Latn-ME"/>
        </w:rPr>
      </w:pPr>
      <w:r w:rsidRPr="00CC0378">
        <w:rPr>
          <w:b/>
          <w:i/>
          <w:szCs w:val="22"/>
          <w:lang w:val="sr-Latn-ME"/>
        </w:rPr>
        <w:t>Gastroezofagealna refluksna bolest (GERB)</w:t>
      </w:r>
    </w:p>
    <w:p w14:paraId="0D37537F" w14:textId="77777777" w:rsidR="00E269FB" w:rsidRPr="00CC0378" w:rsidRDefault="00E269FB" w:rsidP="00CC0378">
      <w:pPr>
        <w:pStyle w:val="BodyText"/>
        <w:rPr>
          <w:b/>
          <w:i/>
          <w:szCs w:val="22"/>
          <w:lang w:val="sr-Latn-ME"/>
        </w:rPr>
      </w:pPr>
    </w:p>
    <w:p w14:paraId="0E900EC3" w14:textId="77777777" w:rsidR="00B777EB" w:rsidRPr="00CC0378" w:rsidRDefault="00B777EB" w:rsidP="009462F3">
      <w:pPr>
        <w:tabs>
          <w:tab w:val="left" w:pos="284"/>
        </w:tabs>
        <w:jc w:val="both"/>
        <w:rPr>
          <w:sz w:val="22"/>
          <w:szCs w:val="22"/>
          <w:u w:val="single"/>
          <w:lang w:val="sr-Latn-ME"/>
        </w:rPr>
      </w:pPr>
      <w:r w:rsidRPr="00CC0378">
        <w:rPr>
          <w:sz w:val="22"/>
          <w:szCs w:val="22"/>
          <w:u w:val="single"/>
          <w:lang w:val="sr-Latn-ME"/>
        </w:rPr>
        <w:t>Terapija erozivnog refluksnog ezofagitisa</w:t>
      </w:r>
    </w:p>
    <w:p w14:paraId="4793090F" w14:textId="6E21AEAE" w:rsidR="00B777EB" w:rsidRPr="00CC0378" w:rsidRDefault="00B777EB" w:rsidP="009462F3">
      <w:pPr>
        <w:jc w:val="both"/>
        <w:rPr>
          <w:sz w:val="22"/>
          <w:szCs w:val="22"/>
          <w:lang w:val="sr-Latn-ME"/>
        </w:rPr>
      </w:pPr>
      <w:r w:rsidRPr="00CC0378">
        <w:rPr>
          <w:sz w:val="22"/>
          <w:szCs w:val="22"/>
          <w:lang w:val="sr-Latn-ME"/>
        </w:rPr>
        <w:t>40 mg jednom dnevno tokom 4 ned</w:t>
      </w:r>
      <w:r w:rsidR="009A6840" w:rsidRPr="00CC0378">
        <w:rPr>
          <w:sz w:val="22"/>
          <w:szCs w:val="22"/>
          <w:lang w:val="sr-Latn-ME"/>
        </w:rPr>
        <w:t>j</w:t>
      </w:r>
      <w:r w:rsidRPr="00CC0378">
        <w:rPr>
          <w:sz w:val="22"/>
          <w:szCs w:val="22"/>
          <w:lang w:val="sr-Latn-ME"/>
        </w:rPr>
        <w:t xml:space="preserve">elje. </w:t>
      </w:r>
    </w:p>
    <w:p w14:paraId="6ECF6375" w14:textId="0DA0A2A7" w:rsidR="00B777EB" w:rsidRPr="00CC0378" w:rsidRDefault="00B777EB" w:rsidP="009462F3">
      <w:pPr>
        <w:jc w:val="both"/>
        <w:rPr>
          <w:sz w:val="22"/>
          <w:szCs w:val="22"/>
          <w:lang w:val="sr-Latn-ME"/>
        </w:rPr>
      </w:pPr>
      <w:r w:rsidRPr="00CC0378">
        <w:rPr>
          <w:sz w:val="22"/>
          <w:szCs w:val="22"/>
          <w:lang w:val="sr-Latn-ME"/>
        </w:rPr>
        <w:t>Za pacijente kod kojih ezofagitis nije potpuno izliječen ili koji imaju perzistentne simptome preporučuju se još 4 ned</w:t>
      </w:r>
      <w:r w:rsidR="009A6840" w:rsidRPr="00CC0378">
        <w:rPr>
          <w:sz w:val="22"/>
          <w:szCs w:val="22"/>
          <w:lang w:val="sr-Latn-ME"/>
        </w:rPr>
        <w:t>j</w:t>
      </w:r>
      <w:r w:rsidRPr="00CC0378">
        <w:rPr>
          <w:sz w:val="22"/>
          <w:szCs w:val="22"/>
          <w:lang w:val="sr-Latn-ME"/>
        </w:rPr>
        <w:t>elje terapije.</w:t>
      </w:r>
    </w:p>
    <w:p w14:paraId="252765A2" w14:textId="77777777" w:rsidR="00B777EB" w:rsidRPr="00CC0378" w:rsidRDefault="00B777EB" w:rsidP="00CC0378">
      <w:pPr>
        <w:ind w:left="142"/>
        <w:jc w:val="both"/>
        <w:rPr>
          <w:sz w:val="22"/>
          <w:szCs w:val="22"/>
          <w:lang w:val="sr-Latn-ME"/>
        </w:rPr>
      </w:pPr>
    </w:p>
    <w:p w14:paraId="7372C181" w14:textId="77777777" w:rsidR="00B777EB" w:rsidRPr="00CC0378" w:rsidRDefault="00B777EB" w:rsidP="009462F3">
      <w:pPr>
        <w:tabs>
          <w:tab w:val="left" w:pos="284"/>
        </w:tabs>
        <w:jc w:val="both"/>
        <w:rPr>
          <w:sz w:val="22"/>
          <w:szCs w:val="22"/>
          <w:u w:val="single"/>
          <w:lang w:val="sr-Latn-ME"/>
        </w:rPr>
      </w:pPr>
      <w:r w:rsidRPr="00CC0378">
        <w:rPr>
          <w:sz w:val="22"/>
          <w:szCs w:val="22"/>
          <w:u w:val="single"/>
          <w:lang w:val="sr-Latn-ME"/>
        </w:rPr>
        <w:t xml:space="preserve">Dugotrajan tretman pacijenata sa zaliječenim ezofagitisom kako bi se spriječio relaps </w:t>
      </w:r>
    </w:p>
    <w:p w14:paraId="147660E9" w14:textId="77777777" w:rsidR="00B777EB" w:rsidRPr="00CC0378" w:rsidRDefault="00B777EB" w:rsidP="009462F3">
      <w:pPr>
        <w:jc w:val="both"/>
        <w:rPr>
          <w:sz w:val="22"/>
          <w:szCs w:val="22"/>
          <w:lang w:val="sr-Latn-ME"/>
        </w:rPr>
      </w:pPr>
      <w:r w:rsidRPr="00CC0378">
        <w:rPr>
          <w:sz w:val="22"/>
          <w:szCs w:val="22"/>
          <w:lang w:val="sr-Latn-ME"/>
        </w:rPr>
        <w:t>20 mg jednom dnevno.</w:t>
      </w:r>
    </w:p>
    <w:p w14:paraId="1C70859E" w14:textId="77777777" w:rsidR="00B777EB" w:rsidRPr="00CC0378" w:rsidRDefault="00B777EB" w:rsidP="00CC0378">
      <w:pPr>
        <w:ind w:left="142"/>
        <w:jc w:val="both"/>
        <w:rPr>
          <w:sz w:val="22"/>
          <w:szCs w:val="22"/>
          <w:lang w:val="sr-Latn-ME"/>
        </w:rPr>
      </w:pPr>
    </w:p>
    <w:p w14:paraId="23C2B001" w14:textId="77777777" w:rsidR="00B777EB" w:rsidRPr="00CC0378" w:rsidRDefault="00B777EB" w:rsidP="009462F3">
      <w:pPr>
        <w:tabs>
          <w:tab w:val="left" w:pos="284"/>
        </w:tabs>
        <w:jc w:val="both"/>
        <w:rPr>
          <w:sz w:val="22"/>
          <w:szCs w:val="22"/>
          <w:u w:val="single"/>
          <w:lang w:val="sr-Latn-ME"/>
        </w:rPr>
      </w:pPr>
      <w:r w:rsidRPr="00CC0378">
        <w:rPr>
          <w:sz w:val="22"/>
          <w:szCs w:val="22"/>
          <w:u w:val="single"/>
          <w:lang w:val="sr-Latn-ME"/>
        </w:rPr>
        <w:t>Simptomatska terapija gastroezofagealne refluksne bolesti (GERB)</w:t>
      </w:r>
    </w:p>
    <w:p w14:paraId="7EE6D347" w14:textId="10B37A3C" w:rsidR="00B777EB" w:rsidRPr="00CC0378" w:rsidRDefault="00B777EB" w:rsidP="009462F3">
      <w:pPr>
        <w:pStyle w:val="BodyTextIndent3"/>
        <w:spacing w:after="0"/>
        <w:ind w:left="0"/>
        <w:jc w:val="both"/>
        <w:rPr>
          <w:sz w:val="22"/>
          <w:szCs w:val="22"/>
          <w:lang w:val="sr-Latn-ME"/>
        </w:rPr>
      </w:pPr>
      <w:r w:rsidRPr="00CC0378">
        <w:rPr>
          <w:sz w:val="22"/>
          <w:szCs w:val="22"/>
          <w:lang w:val="sr-Latn-ME"/>
        </w:rPr>
        <w:t>20 mg jednom dnevno kod pacijenata koji nemaju ezofagitis. Ukoliko se ne postigne kontrola simptoma poslije 4 ned</w:t>
      </w:r>
      <w:r w:rsidR="00E269FB" w:rsidRPr="00CC0378">
        <w:rPr>
          <w:sz w:val="22"/>
          <w:szCs w:val="22"/>
          <w:lang w:val="sr-Latn-ME"/>
        </w:rPr>
        <w:t>j</w:t>
      </w:r>
      <w:r w:rsidRPr="00CC0378">
        <w:rPr>
          <w:sz w:val="22"/>
          <w:szCs w:val="22"/>
          <w:lang w:val="sr-Latn-ME"/>
        </w:rPr>
        <w:t>elje, treba izvršiti dodatne pretrage. Kada se simptomi povuku, dalja kontrola simptoma može se održavati  dozom od 20 mg  jednom dnevno. Kod odraslih se može koristiti i režim uzimanja lijeka po potrebi: 20 mg jednom dnevno kada se pojave simptomi. Kod pacijenata koji su na terapiji NSAIL i pod rizikom od razvoja gastričnog i duodenalnog ulkusa, ne preporučuje se dalja kontrola simptoma primjenom režima uzimanja lijeka po potrebi.</w:t>
      </w:r>
    </w:p>
    <w:p w14:paraId="78443E7B" w14:textId="77777777" w:rsidR="00B777EB" w:rsidRPr="00CC0378" w:rsidRDefault="00B777EB" w:rsidP="00CC0378">
      <w:pPr>
        <w:ind w:left="426"/>
        <w:jc w:val="both"/>
        <w:rPr>
          <w:strike/>
          <w:sz w:val="22"/>
          <w:szCs w:val="22"/>
          <w:lang w:val="sr-Latn-ME"/>
        </w:rPr>
      </w:pPr>
    </w:p>
    <w:p w14:paraId="29B25E92" w14:textId="77777777" w:rsidR="00B777EB" w:rsidRPr="00CC0378" w:rsidRDefault="00B777EB" w:rsidP="00CC0378">
      <w:pPr>
        <w:pStyle w:val="BodyText"/>
        <w:rPr>
          <w:b/>
          <w:szCs w:val="22"/>
          <w:lang w:val="sr-Latn-ME"/>
        </w:rPr>
      </w:pPr>
      <w:r w:rsidRPr="00CC0378">
        <w:rPr>
          <w:b/>
          <w:szCs w:val="22"/>
          <w:lang w:val="sr-Latn-ME"/>
        </w:rPr>
        <w:t xml:space="preserve">U kombinaciji sa odgovarajućim antibakterijskim terapijskim režimima za eradikaciju </w:t>
      </w:r>
      <w:r w:rsidRPr="00CC0378">
        <w:rPr>
          <w:b/>
          <w:i/>
          <w:szCs w:val="22"/>
          <w:lang w:val="sr-Latn-ME"/>
        </w:rPr>
        <w:t>Helicobacter pylori</w:t>
      </w:r>
      <w:r w:rsidRPr="00CC0378">
        <w:rPr>
          <w:b/>
          <w:szCs w:val="22"/>
          <w:lang w:val="sr-Latn-ME"/>
        </w:rPr>
        <w:t xml:space="preserve"> i</w:t>
      </w:r>
    </w:p>
    <w:p w14:paraId="3AE2BF9C" w14:textId="143DC3B6" w:rsidR="00B777EB" w:rsidRPr="00CC0378" w:rsidRDefault="00B777EB" w:rsidP="009462F3">
      <w:pPr>
        <w:pStyle w:val="ListParagraph"/>
        <w:numPr>
          <w:ilvl w:val="0"/>
          <w:numId w:val="25"/>
        </w:numPr>
        <w:jc w:val="both"/>
        <w:rPr>
          <w:sz w:val="22"/>
          <w:szCs w:val="22"/>
          <w:lang w:val="sr-Latn-ME"/>
        </w:rPr>
      </w:pPr>
      <w:r w:rsidRPr="00CC0378">
        <w:rPr>
          <w:sz w:val="22"/>
          <w:szCs w:val="22"/>
          <w:lang w:val="sr-Latn-ME"/>
        </w:rPr>
        <w:t xml:space="preserve">Liječenje ulkusa na duodenumu koji je izazvan sa Helicobacter pylori, i </w:t>
      </w:r>
    </w:p>
    <w:p w14:paraId="27DDA2D5" w14:textId="4744E75B" w:rsidR="00B777EB" w:rsidRPr="00CC0378" w:rsidRDefault="00B777EB" w:rsidP="009462F3">
      <w:pPr>
        <w:pStyle w:val="ListParagraph"/>
        <w:numPr>
          <w:ilvl w:val="0"/>
          <w:numId w:val="25"/>
        </w:numPr>
        <w:jc w:val="both"/>
        <w:rPr>
          <w:sz w:val="22"/>
          <w:szCs w:val="22"/>
          <w:lang w:val="sr-Latn-ME"/>
        </w:rPr>
      </w:pPr>
      <w:r w:rsidRPr="00CC0378">
        <w:rPr>
          <w:sz w:val="22"/>
          <w:szCs w:val="22"/>
          <w:lang w:val="sr-Latn-ME"/>
        </w:rPr>
        <w:t>Prevenciju relapsa peptičkog ulkusa kod pacijenata sa ulkusima izazvanim sa Helicobacter pylori</w:t>
      </w:r>
      <w:r w:rsidR="00E269FB" w:rsidRPr="00CC0378">
        <w:rPr>
          <w:sz w:val="22"/>
          <w:szCs w:val="22"/>
          <w:lang w:val="sr-Latn-ME"/>
        </w:rPr>
        <w:t>.</w:t>
      </w:r>
      <w:r w:rsidRPr="00CC0378">
        <w:rPr>
          <w:sz w:val="22"/>
          <w:szCs w:val="22"/>
          <w:lang w:val="sr-Latn-ME"/>
        </w:rPr>
        <w:t xml:space="preserve"> </w:t>
      </w:r>
    </w:p>
    <w:p w14:paraId="7CBC9313" w14:textId="77777777" w:rsidR="00B777EB" w:rsidRPr="00CC0378" w:rsidRDefault="00B777EB" w:rsidP="00CC0378">
      <w:pPr>
        <w:pStyle w:val="ListParagraph"/>
        <w:tabs>
          <w:tab w:val="left" w:pos="1134"/>
        </w:tabs>
        <w:ind w:left="709" w:hanging="283"/>
        <w:jc w:val="both"/>
        <w:rPr>
          <w:sz w:val="22"/>
          <w:szCs w:val="22"/>
          <w:lang w:val="sr-Latn-ME"/>
        </w:rPr>
      </w:pPr>
    </w:p>
    <w:p w14:paraId="69634DF7" w14:textId="77777777" w:rsidR="00B777EB" w:rsidRPr="00CC0378" w:rsidRDefault="00B777EB" w:rsidP="00CC0378">
      <w:pPr>
        <w:ind w:left="360" w:hanging="360"/>
        <w:jc w:val="both"/>
        <w:rPr>
          <w:sz w:val="22"/>
          <w:szCs w:val="22"/>
          <w:lang w:val="sr-Latn-ME"/>
        </w:rPr>
      </w:pPr>
      <w:r w:rsidRPr="00CC0378">
        <w:rPr>
          <w:sz w:val="22"/>
          <w:szCs w:val="22"/>
          <w:lang w:val="sr-Latn-ME"/>
        </w:rPr>
        <w:t>20 mg Nexiuma uz 1 g amoksicilina i 500 mg klaritromicina, sve dva puta na dan tokom 7 dana.</w:t>
      </w:r>
    </w:p>
    <w:p w14:paraId="71136749" w14:textId="41C1C418" w:rsidR="00660338" w:rsidRDefault="00660338" w:rsidP="00CC0378">
      <w:pPr>
        <w:jc w:val="both"/>
        <w:rPr>
          <w:sz w:val="22"/>
          <w:szCs w:val="22"/>
          <w:lang w:val="sr-Latn-ME"/>
        </w:rPr>
      </w:pPr>
    </w:p>
    <w:p w14:paraId="418CAC8D" w14:textId="578D33A2" w:rsidR="00E32873" w:rsidRDefault="00E32873" w:rsidP="00CC0378">
      <w:pPr>
        <w:jc w:val="both"/>
        <w:rPr>
          <w:sz w:val="22"/>
          <w:szCs w:val="22"/>
          <w:lang w:val="sr-Latn-ME"/>
        </w:rPr>
      </w:pPr>
    </w:p>
    <w:p w14:paraId="5F02B746" w14:textId="08C61FC2" w:rsidR="00E32873" w:rsidRDefault="00E32873" w:rsidP="00CC0378">
      <w:pPr>
        <w:jc w:val="both"/>
        <w:rPr>
          <w:sz w:val="22"/>
          <w:szCs w:val="22"/>
          <w:lang w:val="sr-Latn-ME"/>
        </w:rPr>
      </w:pPr>
    </w:p>
    <w:p w14:paraId="33BD1DEF" w14:textId="77777777" w:rsidR="00E32873" w:rsidRPr="00CC0378" w:rsidRDefault="00E32873" w:rsidP="00CC0378">
      <w:pPr>
        <w:jc w:val="both"/>
        <w:rPr>
          <w:sz w:val="22"/>
          <w:szCs w:val="22"/>
          <w:lang w:val="sr-Latn-ME"/>
        </w:rPr>
      </w:pPr>
    </w:p>
    <w:p w14:paraId="671D56D8" w14:textId="2307A965" w:rsidR="00B777EB" w:rsidRPr="00CC0378" w:rsidRDefault="00B777EB" w:rsidP="00CC0378">
      <w:pPr>
        <w:jc w:val="both"/>
        <w:rPr>
          <w:b/>
          <w:sz w:val="22"/>
          <w:szCs w:val="22"/>
          <w:lang w:val="sr-Latn-ME"/>
        </w:rPr>
      </w:pPr>
      <w:r w:rsidRPr="00CC0378">
        <w:rPr>
          <w:b/>
          <w:sz w:val="22"/>
          <w:szCs w:val="22"/>
          <w:lang w:val="sr-Latn-ME"/>
        </w:rPr>
        <w:lastRenderedPageBreak/>
        <w:t>Pacijenti kojima je potrebna kontinuirana terapija NSAIL</w:t>
      </w:r>
    </w:p>
    <w:p w14:paraId="6B9989A3" w14:textId="77777777" w:rsidR="00B777EB" w:rsidRPr="00CC0378" w:rsidRDefault="00B777EB" w:rsidP="00CC0378">
      <w:pPr>
        <w:jc w:val="both"/>
        <w:rPr>
          <w:b/>
          <w:sz w:val="22"/>
          <w:szCs w:val="22"/>
          <w:lang w:val="sr-Latn-ME"/>
        </w:rPr>
      </w:pPr>
    </w:p>
    <w:p w14:paraId="7C422500" w14:textId="77FA4940" w:rsidR="00B777EB" w:rsidRPr="00CC0378" w:rsidRDefault="00B777EB" w:rsidP="00CC0378">
      <w:pPr>
        <w:pStyle w:val="A-Heading3"/>
        <w:keepNext w:val="0"/>
        <w:tabs>
          <w:tab w:val="clear" w:pos="0"/>
          <w:tab w:val="left" w:pos="708"/>
        </w:tabs>
        <w:spacing w:after="0"/>
        <w:jc w:val="both"/>
        <w:rPr>
          <w:rFonts w:ascii="Times New Roman" w:hAnsi="Times New Roman"/>
          <w:sz w:val="22"/>
          <w:szCs w:val="22"/>
          <w:lang w:val="sr-Latn-ME"/>
        </w:rPr>
      </w:pPr>
      <w:r w:rsidRPr="00CC0378">
        <w:rPr>
          <w:rFonts w:ascii="Times New Roman" w:hAnsi="Times New Roman"/>
          <w:sz w:val="22"/>
          <w:szCs w:val="22"/>
          <w:lang w:val="sr-Latn-ME"/>
        </w:rPr>
        <w:t>Liječenje gastričnih ulkusa povezanih sa terapijom NSAIL: uobičajena doza je 20 mg jednom dnevno, trajanje terapije je 4-8 ned</w:t>
      </w:r>
      <w:r w:rsidR="00DA0AE7" w:rsidRPr="00CC0378">
        <w:rPr>
          <w:rFonts w:ascii="Times New Roman" w:hAnsi="Times New Roman"/>
          <w:sz w:val="22"/>
          <w:szCs w:val="22"/>
          <w:lang w:val="sr-Latn-ME"/>
        </w:rPr>
        <w:t>j</w:t>
      </w:r>
      <w:r w:rsidRPr="00CC0378">
        <w:rPr>
          <w:rFonts w:ascii="Times New Roman" w:hAnsi="Times New Roman"/>
          <w:sz w:val="22"/>
          <w:szCs w:val="22"/>
          <w:lang w:val="sr-Latn-ME"/>
        </w:rPr>
        <w:t>elja.</w:t>
      </w:r>
    </w:p>
    <w:p w14:paraId="10927BB2" w14:textId="77777777" w:rsidR="00B777EB" w:rsidRPr="00CC0378" w:rsidRDefault="00B777EB" w:rsidP="00CC0378">
      <w:pPr>
        <w:pStyle w:val="A-Heading3"/>
        <w:keepNext w:val="0"/>
        <w:tabs>
          <w:tab w:val="clear" w:pos="0"/>
          <w:tab w:val="left" w:pos="708"/>
        </w:tabs>
        <w:spacing w:after="0" w:line="240" w:lineRule="auto"/>
        <w:jc w:val="both"/>
        <w:rPr>
          <w:rFonts w:ascii="Times New Roman" w:hAnsi="Times New Roman"/>
          <w:sz w:val="22"/>
          <w:szCs w:val="22"/>
          <w:lang w:val="sr-Latn-ME"/>
        </w:rPr>
      </w:pPr>
    </w:p>
    <w:p w14:paraId="5EA01788" w14:textId="6EC0545A" w:rsidR="00B777EB" w:rsidRPr="00CC0378" w:rsidRDefault="00B777EB" w:rsidP="00CC0378">
      <w:pPr>
        <w:pStyle w:val="A-Heading3"/>
        <w:keepNext w:val="0"/>
        <w:tabs>
          <w:tab w:val="clear" w:pos="0"/>
          <w:tab w:val="left" w:pos="708"/>
        </w:tabs>
        <w:spacing w:after="0" w:line="240" w:lineRule="auto"/>
        <w:jc w:val="both"/>
        <w:rPr>
          <w:rFonts w:ascii="Times New Roman" w:hAnsi="Times New Roman"/>
          <w:sz w:val="22"/>
          <w:szCs w:val="22"/>
          <w:lang w:val="sr-Latn-ME"/>
        </w:rPr>
      </w:pPr>
      <w:r w:rsidRPr="00CC0378">
        <w:rPr>
          <w:rFonts w:ascii="Times New Roman" w:hAnsi="Times New Roman"/>
          <w:sz w:val="22"/>
          <w:szCs w:val="22"/>
          <w:lang w:val="sr-Latn-ME"/>
        </w:rPr>
        <w:t>Prevencija gastričnih i duodenalnih ulkusa povezanih sa uzimanjem NSAIL kod pacijenata sa rizikom: 20 mg jednom dnevno.</w:t>
      </w:r>
    </w:p>
    <w:p w14:paraId="3EB39B44" w14:textId="77777777" w:rsidR="00B777EB" w:rsidRPr="00CC0378" w:rsidRDefault="00B777EB" w:rsidP="00CC0378">
      <w:pPr>
        <w:jc w:val="both"/>
        <w:rPr>
          <w:b/>
          <w:sz w:val="22"/>
          <w:szCs w:val="22"/>
          <w:lang w:val="sr-Latn-ME"/>
        </w:rPr>
      </w:pPr>
    </w:p>
    <w:p w14:paraId="0B5857E6" w14:textId="77777777" w:rsidR="00B777EB" w:rsidRPr="00CC0378" w:rsidRDefault="00B777EB" w:rsidP="00CC0378">
      <w:pPr>
        <w:jc w:val="both"/>
        <w:rPr>
          <w:b/>
          <w:sz w:val="22"/>
          <w:szCs w:val="22"/>
          <w:lang w:val="sr-Latn-ME"/>
        </w:rPr>
      </w:pPr>
      <w:r w:rsidRPr="00CC0378">
        <w:rPr>
          <w:b/>
          <w:sz w:val="22"/>
          <w:szCs w:val="22"/>
          <w:lang w:val="sr-Latn-ME"/>
        </w:rPr>
        <w:t>Produžena terapija posle i.v. indukovane prevencije ponovnog krvavljenja peptičkih ulkusa</w:t>
      </w:r>
    </w:p>
    <w:p w14:paraId="5730BE03" w14:textId="1BE30D07" w:rsidR="00B777EB" w:rsidRPr="00CC0378" w:rsidRDefault="00B777EB" w:rsidP="00CC0378">
      <w:pPr>
        <w:jc w:val="both"/>
        <w:rPr>
          <w:sz w:val="22"/>
          <w:szCs w:val="22"/>
          <w:lang w:val="sr-Latn-ME"/>
        </w:rPr>
      </w:pPr>
      <w:r w:rsidRPr="00CC0378">
        <w:rPr>
          <w:sz w:val="22"/>
          <w:szCs w:val="22"/>
          <w:lang w:val="sr-Latn-ME"/>
        </w:rPr>
        <w:t>40 mg jednom dnevno tokom 4 ned</w:t>
      </w:r>
      <w:r w:rsidR="00DA0AE7" w:rsidRPr="00CC0378">
        <w:rPr>
          <w:sz w:val="22"/>
          <w:szCs w:val="22"/>
          <w:lang w:val="sr-Latn-ME"/>
        </w:rPr>
        <w:t>j</w:t>
      </w:r>
      <w:r w:rsidRPr="00CC0378">
        <w:rPr>
          <w:sz w:val="22"/>
          <w:szCs w:val="22"/>
          <w:lang w:val="sr-Latn-ME"/>
        </w:rPr>
        <w:t xml:space="preserve">elje nakon i.v. indukovane prevencije ponovnog krvarenja peptičkih ulkusa. </w:t>
      </w:r>
    </w:p>
    <w:p w14:paraId="72B38D6A" w14:textId="77777777" w:rsidR="00660338" w:rsidRDefault="00660338" w:rsidP="00CC0378">
      <w:pPr>
        <w:jc w:val="both"/>
        <w:rPr>
          <w:b/>
          <w:sz w:val="22"/>
          <w:szCs w:val="22"/>
          <w:lang w:val="sr-Latn-ME"/>
        </w:rPr>
      </w:pPr>
    </w:p>
    <w:p w14:paraId="1DDDAEDB" w14:textId="77777777" w:rsidR="00B777EB" w:rsidRPr="00CC0378" w:rsidRDefault="00B777EB" w:rsidP="00CC0378">
      <w:pPr>
        <w:jc w:val="both"/>
        <w:rPr>
          <w:b/>
          <w:sz w:val="22"/>
          <w:szCs w:val="22"/>
          <w:lang w:val="sr-Latn-ME"/>
        </w:rPr>
      </w:pPr>
      <w:r w:rsidRPr="00CC0378">
        <w:rPr>
          <w:b/>
          <w:sz w:val="22"/>
          <w:szCs w:val="22"/>
          <w:lang w:val="sr-Latn-ME"/>
        </w:rPr>
        <w:t>Terapija Zollinger Ellison-ovog sindroma</w:t>
      </w:r>
    </w:p>
    <w:p w14:paraId="5C89D40F" w14:textId="57D919FB" w:rsidR="00B777EB" w:rsidRPr="00CC0378" w:rsidRDefault="00B777EB" w:rsidP="00CC0378">
      <w:pPr>
        <w:jc w:val="both"/>
        <w:rPr>
          <w:sz w:val="22"/>
          <w:szCs w:val="22"/>
          <w:lang w:val="sr-Latn-ME"/>
        </w:rPr>
      </w:pPr>
      <w:r w:rsidRPr="00CC0378">
        <w:rPr>
          <w:bCs/>
          <w:sz w:val="22"/>
          <w:szCs w:val="22"/>
          <w:lang w:val="sr-Latn-ME"/>
        </w:rPr>
        <w:t xml:space="preserve">Preporučena početna doza je Nexium 40 mg dva puta na dan. Dozu potom treba individualno podesiti i terapiju nastaviti dokle god je indikovano. Na osnovu dostupnih kliničkih podataka, kod većine pacijenata kontrola se može uspostaviti sa dozama između 80 i 160 mg esomeprazola dnevno. Ako je dnevna doza veća od 80 mg dnevno, treba je podijeliti i uzimati dva puta na dan. </w:t>
      </w:r>
      <w:r w:rsidRPr="00CC0378">
        <w:rPr>
          <w:sz w:val="22"/>
          <w:szCs w:val="22"/>
          <w:lang w:val="sr-Latn-ME"/>
        </w:rPr>
        <w:t xml:space="preserve"> </w:t>
      </w:r>
    </w:p>
    <w:p w14:paraId="2E992EBF" w14:textId="77777777" w:rsidR="00B777EB" w:rsidRPr="00CC0378" w:rsidRDefault="00B777EB" w:rsidP="00CC0378">
      <w:pPr>
        <w:jc w:val="both"/>
        <w:rPr>
          <w:sz w:val="22"/>
          <w:szCs w:val="22"/>
          <w:lang w:val="sr-Latn-ME"/>
        </w:rPr>
      </w:pPr>
    </w:p>
    <w:p w14:paraId="45A3336C" w14:textId="77777777" w:rsidR="00B777EB" w:rsidRPr="00CC0378" w:rsidRDefault="00B777EB" w:rsidP="00CC0378">
      <w:pPr>
        <w:jc w:val="both"/>
        <w:rPr>
          <w:bCs/>
          <w:sz w:val="22"/>
          <w:szCs w:val="22"/>
          <w:u w:val="single"/>
          <w:lang w:val="sr-Latn-ME"/>
        </w:rPr>
      </w:pPr>
      <w:r w:rsidRPr="00CC0378">
        <w:rPr>
          <w:bCs/>
          <w:sz w:val="22"/>
          <w:szCs w:val="22"/>
          <w:u w:val="single"/>
          <w:lang w:val="sr-Latn-ME"/>
        </w:rPr>
        <w:t>Posebne populacije</w:t>
      </w:r>
    </w:p>
    <w:p w14:paraId="20F88E81" w14:textId="77777777" w:rsidR="00B777EB" w:rsidRPr="00CC0378" w:rsidRDefault="00B777EB" w:rsidP="00CC0378">
      <w:pPr>
        <w:jc w:val="both"/>
        <w:rPr>
          <w:bCs/>
          <w:sz w:val="22"/>
          <w:szCs w:val="22"/>
          <w:u w:val="single"/>
          <w:lang w:val="sr-Latn-ME"/>
        </w:rPr>
      </w:pPr>
    </w:p>
    <w:p w14:paraId="7A7F9D49" w14:textId="6370E6BF" w:rsidR="00B777EB" w:rsidRPr="00CC0378" w:rsidRDefault="00B777EB" w:rsidP="00CC0378">
      <w:pPr>
        <w:jc w:val="both"/>
        <w:rPr>
          <w:bCs/>
          <w:i/>
          <w:sz w:val="22"/>
          <w:szCs w:val="22"/>
          <w:lang w:val="sr-Latn-ME"/>
        </w:rPr>
      </w:pPr>
      <w:r w:rsidRPr="00CC0378">
        <w:rPr>
          <w:bCs/>
          <w:i/>
          <w:sz w:val="22"/>
          <w:szCs w:val="22"/>
          <w:lang w:val="sr-Latn-ME"/>
        </w:rPr>
        <w:t>Oštećenje funkcije bubrega</w:t>
      </w:r>
    </w:p>
    <w:p w14:paraId="0CC20317" w14:textId="66C70CA3" w:rsidR="00B777EB" w:rsidRPr="00CC0378" w:rsidRDefault="00B777EB" w:rsidP="00CC0378">
      <w:pPr>
        <w:jc w:val="both"/>
        <w:rPr>
          <w:sz w:val="22"/>
          <w:szCs w:val="22"/>
          <w:lang w:val="sr-Latn-ME"/>
        </w:rPr>
      </w:pPr>
      <w:r w:rsidRPr="00CC0378">
        <w:rPr>
          <w:sz w:val="22"/>
          <w:szCs w:val="22"/>
          <w:lang w:val="sr-Latn-ME"/>
        </w:rPr>
        <w:t xml:space="preserve">Kod pacijenata sa oštećenjem funkcije bubrega nije potrebno prilagođavanje doze. Zbog ograničenog iskustva kod pacijenata sa teškom bubrežnom insuficijencijom, ovu grupu </w:t>
      </w:r>
      <w:r w:rsidR="00DA0AE7" w:rsidRPr="00CC0378">
        <w:rPr>
          <w:sz w:val="22"/>
          <w:szCs w:val="22"/>
          <w:lang w:val="sr-Latn-ME"/>
        </w:rPr>
        <w:t xml:space="preserve">pacijenata </w:t>
      </w:r>
      <w:r w:rsidRPr="00CC0378">
        <w:rPr>
          <w:sz w:val="22"/>
          <w:szCs w:val="22"/>
          <w:lang w:val="sr-Latn-ME"/>
        </w:rPr>
        <w:t>treba l</w:t>
      </w:r>
      <w:r w:rsidR="00DA0AE7" w:rsidRPr="00CC0378">
        <w:rPr>
          <w:sz w:val="22"/>
          <w:szCs w:val="22"/>
          <w:lang w:val="sr-Latn-ME"/>
        </w:rPr>
        <w:t>ij</w:t>
      </w:r>
      <w:r w:rsidRPr="00CC0378">
        <w:rPr>
          <w:sz w:val="22"/>
          <w:szCs w:val="22"/>
          <w:lang w:val="sr-Latn-ME"/>
        </w:rPr>
        <w:t xml:space="preserve">ečiti uz oprez. (vidjeti </w:t>
      </w:r>
      <w:r w:rsidR="00E32873">
        <w:rPr>
          <w:sz w:val="22"/>
          <w:szCs w:val="22"/>
          <w:lang w:val="sr-Latn-ME"/>
        </w:rPr>
        <w:t>dio</w:t>
      </w:r>
      <w:r w:rsidRPr="00CC0378">
        <w:rPr>
          <w:sz w:val="22"/>
          <w:szCs w:val="22"/>
          <w:lang w:val="sr-Latn-ME"/>
        </w:rPr>
        <w:t xml:space="preserve"> 5.2).</w:t>
      </w:r>
    </w:p>
    <w:p w14:paraId="09FD4FB7" w14:textId="77777777" w:rsidR="00B777EB" w:rsidRPr="00CC0378" w:rsidRDefault="00B777EB" w:rsidP="00CC0378">
      <w:pPr>
        <w:jc w:val="both"/>
        <w:rPr>
          <w:bCs/>
          <w:sz w:val="22"/>
          <w:szCs w:val="22"/>
          <w:lang w:val="sr-Latn-ME"/>
        </w:rPr>
      </w:pPr>
    </w:p>
    <w:p w14:paraId="55E7E876" w14:textId="7D511682" w:rsidR="00B777EB" w:rsidRPr="00CC0378" w:rsidRDefault="00B777EB" w:rsidP="00CC0378">
      <w:pPr>
        <w:jc w:val="both"/>
        <w:rPr>
          <w:bCs/>
          <w:i/>
          <w:sz w:val="22"/>
          <w:szCs w:val="22"/>
          <w:lang w:val="sr-Latn-ME"/>
        </w:rPr>
      </w:pPr>
      <w:r w:rsidRPr="00CC0378">
        <w:rPr>
          <w:bCs/>
          <w:i/>
          <w:sz w:val="22"/>
          <w:szCs w:val="22"/>
          <w:lang w:val="sr-Latn-ME"/>
        </w:rPr>
        <w:t>Oštećenje funkcije jetre</w:t>
      </w:r>
    </w:p>
    <w:p w14:paraId="3CCDCD8F" w14:textId="7D3CC837" w:rsidR="00B777EB" w:rsidRPr="00CC0378" w:rsidRDefault="00B777EB" w:rsidP="00CC0378">
      <w:pPr>
        <w:jc w:val="both"/>
        <w:rPr>
          <w:sz w:val="22"/>
          <w:szCs w:val="22"/>
          <w:lang w:val="sr-Latn-ME"/>
        </w:rPr>
      </w:pPr>
      <w:r w:rsidRPr="00CC0378">
        <w:rPr>
          <w:sz w:val="22"/>
          <w:szCs w:val="22"/>
          <w:lang w:val="sr-Latn-ME"/>
        </w:rPr>
        <w:t>Kod pacijenata sa blagom do umjerenom insuficijencijom jetre nije potrebno prilagođavanje doze. Kod pacijenata sa teškom insuficijencijom jetre ne sm</w:t>
      </w:r>
      <w:r w:rsidR="00DA0AE7" w:rsidRPr="00CC0378">
        <w:rPr>
          <w:sz w:val="22"/>
          <w:szCs w:val="22"/>
          <w:lang w:val="sr-Latn-ME"/>
        </w:rPr>
        <w:t>ij</w:t>
      </w:r>
      <w:r w:rsidRPr="00CC0378">
        <w:rPr>
          <w:sz w:val="22"/>
          <w:szCs w:val="22"/>
          <w:lang w:val="sr-Latn-ME"/>
        </w:rPr>
        <w:t xml:space="preserve">e se prekoračiti doza od 20 mg. (vidjeti </w:t>
      </w:r>
      <w:r w:rsidR="00E32873">
        <w:rPr>
          <w:sz w:val="22"/>
          <w:szCs w:val="22"/>
          <w:lang w:val="sr-Latn-ME"/>
        </w:rPr>
        <w:t>dio</w:t>
      </w:r>
      <w:r w:rsidRPr="00CC0378">
        <w:rPr>
          <w:sz w:val="22"/>
          <w:szCs w:val="22"/>
          <w:lang w:val="sr-Latn-ME"/>
        </w:rPr>
        <w:t xml:space="preserve"> 5.2).</w:t>
      </w:r>
    </w:p>
    <w:p w14:paraId="3E53C6DC" w14:textId="77777777" w:rsidR="00B777EB" w:rsidRPr="00CC0378" w:rsidRDefault="00B777EB" w:rsidP="00CC0378">
      <w:pPr>
        <w:jc w:val="both"/>
        <w:rPr>
          <w:bCs/>
          <w:sz w:val="22"/>
          <w:szCs w:val="22"/>
          <w:lang w:val="sr-Latn-ME"/>
        </w:rPr>
      </w:pPr>
    </w:p>
    <w:p w14:paraId="2F00AC95" w14:textId="77777777" w:rsidR="00B777EB" w:rsidRPr="00CC0378" w:rsidRDefault="00B777EB" w:rsidP="00CC0378">
      <w:pPr>
        <w:jc w:val="both"/>
        <w:rPr>
          <w:bCs/>
          <w:i/>
          <w:sz w:val="22"/>
          <w:szCs w:val="22"/>
          <w:lang w:val="sr-Latn-ME"/>
        </w:rPr>
      </w:pPr>
      <w:r w:rsidRPr="00CC0378">
        <w:rPr>
          <w:bCs/>
          <w:i/>
          <w:sz w:val="22"/>
          <w:szCs w:val="22"/>
          <w:lang w:val="sr-Latn-ME"/>
        </w:rPr>
        <w:t>Starija populacija</w:t>
      </w:r>
    </w:p>
    <w:p w14:paraId="47E98E9E" w14:textId="77777777" w:rsidR="00B777EB" w:rsidRPr="00CC0378" w:rsidRDefault="00B777EB" w:rsidP="00CC0378">
      <w:pPr>
        <w:jc w:val="both"/>
        <w:rPr>
          <w:bCs/>
          <w:sz w:val="22"/>
          <w:szCs w:val="22"/>
          <w:lang w:val="sr-Latn-ME"/>
        </w:rPr>
      </w:pPr>
      <w:r w:rsidRPr="00CC0378">
        <w:rPr>
          <w:bCs/>
          <w:sz w:val="22"/>
          <w:szCs w:val="22"/>
          <w:lang w:val="sr-Latn-ME"/>
        </w:rPr>
        <w:t>Prilagođavanje doze nije potrebno kod starijih osoba.</w:t>
      </w:r>
    </w:p>
    <w:p w14:paraId="66112FF8" w14:textId="77777777" w:rsidR="00B777EB" w:rsidRPr="00CC0378" w:rsidRDefault="00B777EB" w:rsidP="00CC0378">
      <w:pPr>
        <w:jc w:val="both"/>
        <w:rPr>
          <w:sz w:val="22"/>
          <w:szCs w:val="22"/>
          <w:lang w:val="sr-Latn-ME"/>
        </w:rPr>
      </w:pPr>
    </w:p>
    <w:p w14:paraId="3C6A1E80" w14:textId="77777777" w:rsidR="00B777EB" w:rsidRPr="001939A4" w:rsidRDefault="00B777EB" w:rsidP="00CC0378">
      <w:pPr>
        <w:jc w:val="both"/>
        <w:rPr>
          <w:sz w:val="22"/>
          <w:szCs w:val="22"/>
          <w:lang w:val="sr-Latn-ME"/>
        </w:rPr>
      </w:pPr>
      <w:r w:rsidRPr="009462F3">
        <w:rPr>
          <w:bCs/>
          <w:i/>
          <w:sz w:val="22"/>
          <w:szCs w:val="22"/>
          <w:lang w:val="sr-Latn-ME"/>
        </w:rPr>
        <w:t>Pedijatrijska populacija</w:t>
      </w:r>
    </w:p>
    <w:p w14:paraId="4E20F36F" w14:textId="77777777" w:rsidR="00B777EB" w:rsidRPr="00CC0378" w:rsidRDefault="00B777EB" w:rsidP="00CC0378">
      <w:pPr>
        <w:jc w:val="both"/>
        <w:rPr>
          <w:sz w:val="22"/>
          <w:szCs w:val="22"/>
          <w:lang w:val="sr-Latn-ME"/>
        </w:rPr>
      </w:pPr>
    </w:p>
    <w:p w14:paraId="6127C87B" w14:textId="1FD9E19D" w:rsidR="00B777EB" w:rsidRPr="00CC0378" w:rsidRDefault="00B777EB" w:rsidP="00CC0378">
      <w:pPr>
        <w:jc w:val="both"/>
        <w:rPr>
          <w:i/>
          <w:sz w:val="22"/>
          <w:szCs w:val="22"/>
          <w:u w:val="single"/>
          <w:lang w:val="sr-Latn-ME"/>
        </w:rPr>
      </w:pPr>
      <w:r w:rsidRPr="00CC0378">
        <w:rPr>
          <w:i/>
          <w:sz w:val="22"/>
          <w:szCs w:val="22"/>
          <w:u w:val="single"/>
          <w:lang w:val="sr-Latn-ME"/>
        </w:rPr>
        <w:t>Djeca i adolescenti preko 12 godina starosti</w:t>
      </w:r>
    </w:p>
    <w:p w14:paraId="4E430ABF" w14:textId="77777777" w:rsidR="00B777EB" w:rsidRPr="00CC0378" w:rsidRDefault="00B777EB" w:rsidP="00CC0378">
      <w:pPr>
        <w:jc w:val="both"/>
        <w:rPr>
          <w:i/>
          <w:sz w:val="22"/>
          <w:szCs w:val="22"/>
          <w:u w:val="single"/>
          <w:lang w:val="sr-Latn-ME"/>
        </w:rPr>
      </w:pPr>
    </w:p>
    <w:p w14:paraId="7D002916" w14:textId="09574CC2" w:rsidR="00B777EB" w:rsidRPr="00CC0378" w:rsidRDefault="00B777EB" w:rsidP="00CC0378">
      <w:pPr>
        <w:pStyle w:val="BodyText"/>
        <w:rPr>
          <w:i/>
          <w:szCs w:val="22"/>
          <w:lang w:val="sr-Latn-ME"/>
        </w:rPr>
      </w:pPr>
      <w:r w:rsidRPr="00CC0378">
        <w:rPr>
          <w:i/>
          <w:szCs w:val="22"/>
          <w:lang w:val="sr-Latn-ME"/>
        </w:rPr>
        <w:t>Gastroezofagealna refluksna bolest (GERB)</w:t>
      </w:r>
    </w:p>
    <w:p w14:paraId="752868C5" w14:textId="77777777" w:rsidR="00DE341B" w:rsidRPr="00CC0378" w:rsidRDefault="00DE341B" w:rsidP="00CC0378">
      <w:pPr>
        <w:pStyle w:val="BodyText"/>
        <w:rPr>
          <w:i/>
          <w:szCs w:val="22"/>
          <w:lang w:val="sr-Latn-ME"/>
        </w:rPr>
      </w:pPr>
    </w:p>
    <w:p w14:paraId="0A3519D2" w14:textId="77777777" w:rsidR="00B777EB" w:rsidRPr="00CC0378" w:rsidRDefault="00B777EB" w:rsidP="00CC0378">
      <w:pPr>
        <w:tabs>
          <w:tab w:val="left" w:pos="360"/>
        </w:tabs>
        <w:ind w:left="360" w:hanging="360"/>
        <w:jc w:val="both"/>
        <w:rPr>
          <w:sz w:val="22"/>
          <w:szCs w:val="22"/>
          <w:u w:val="single"/>
          <w:lang w:val="sr-Latn-ME"/>
        </w:rPr>
      </w:pPr>
      <w:r w:rsidRPr="00CC0378">
        <w:rPr>
          <w:sz w:val="22"/>
          <w:szCs w:val="22"/>
          <w:u w:val="single"/>
          <w:lang w:val="sr-Latn-ME"/>
        </w:rPr>
        <w:t>Terapija erozivnog refluksnog ezofagitisa</w:t>
      </w:r>
    </w:p>
    <w:p w14:paraId="322C4543" w14:textId="1F07DDF5" w:rsidR="00B777EB" w:rsidRPr="00CC0378" w:rsidRDefault="00B777EB" w:rsidP="00CC0378">
      <w:pPr>
        <w:tabs>
          <w:tab w:val="left" w:pos="360"/>
        </w:tabs>
        <w:ind w:left="360" w:hanging="360"/>
        <w:jc w:val="both"/>
        <w:rPr>
          <w:sz w:val="22"/>
          <w:szCs w:val="22"/>
          <w:lang w:val="sr-Latn-ME"/>
        </w:rPr>
      </w:pPr>
      <w:r w:rsidRPr="00CC0378">
        <w:rPr>
          <w:sz w:val="22"/>
          <w:szCs w:val="22"/>
          <w:lang w:val="sr-Latn-ME"/>
        </w:rPr>
        <w:t>40 mg jednom dnevno tokom 4 ned</w:t>
      </w:r>
      <w:r w:rsidR="00DE341B" w:rsidRPr="00CC0378">
        <w:rPr>
          <w:sz w:val="22"/>
          <w:szCs w:val="22"/>
          <w:lang w:val="sr-Latn-ME"/>
        </w:rPr>
        <w:t>j</w:t>
      </w:r>
      <w:r w:rsidRPr="00CC0378">
        <w:rPr>
          <w:sz w:val="22"/>
          <w:szCs w:val="22"/>
          <w:lang w:val="sr-Latn-ME"/>
        </w:rPr>
        <w:t xml:space="preserve">elje. </w:t>
      </w:r>
    </w:p>
    <w:p w14:paraId="6769E91D" w14:textId="2689EABC" w:rsidR="00B777EB" w:rsidRPr="00CC0378" w:rsidRDefault="00B777EB" w:rsidP="00CC0378">
      <w:pPr>
        <w:jc w:val="both"/>
        <w:rPr>
          <w:sz w:val="22"/>
          <w:szCs w:val="22"/>
          <w:lang w:val="sr-Latn-ME"/>
        </w:rPr>
      </w:pPr>
      <w:r w:rsidRPr="00CC0378">
        <w:rPr>
          <w:sz w:val="22"/>
          <w:szCs w:val="22"/>
          <w:lang w:val="sr-Latn-ME"/>
        </w:rPr>
        <w:t>Za pacijente kod kojih ezofagitis nije potpuno izl</w:t>
      </w:r>
      <w:r w:rsidR="00DE341B" w:rsidRPr="00CC0378">
        <w:rPr>
          <w:sz w:val="22"/>
          <w:szCs w:val="22"/>
          <w:lang w:val="sr-Latn-ME"/>
        </w:rPr>
        <w:t>ij</w:t>
      </w:r>
      <w:r w:rsidRPr="00CC0378">
        <w:rPr>
          <w:sz w:val="22"/>
          <w:szCs w:val="22"/>
          <w:lang w:val="sr-Latn-ME"/>
        </w:rPr>
        <w:t>ečen ili koji imaju perzistentne simptome preporučuju se još 4 ned</w:t>
      </w:r>
      <w:r w:rsidR="00DE341B" w:rsidRPr="00CC0378">
        <w:rPr>
          <w:sz w:val="22"/>
          <w:szCs w:val="22"/>
          <w:lang w:val="sr-Latn-ME"/>
        </w:rPr>
        <w:t>j</w:t>
      </w:r>
      <w:r w:rsidRPr="00CC0378">
        <w:rPr>
          <w:sz w:val="22"/>
          <w:szCs w:val="22"/>
          <w:lang w:val="sr-Latn-ME"/>
        </w:rPr>
        <w:t>elje terapije.</w:t>
      </w:r>
    </w:p>
    <w:p w14:paraId="6520EC34" w14:textId="77777777" w:rsidR="00B777EB" w:rsidRPr="00CC0378" w:rsidRDefault="00B777EB" w:rsidP="00CC0378">
      <w:pPr>
        <w:tabs>
          <w:tab w:val="left" w:pos="360"/>
        </w:tabs>
        <w:ind w:hanging="360"/>
        <w:jc w:val="both"/>
        <w:rPr>
          <w:i/>
          <w:sz w:val="22"/>
          <w:szCs w:val="22"/>
          <w:u w:val="single"/>
          <w:lang w:val="sr-Latn-ME"/>
        </w:rPr>
      </w:pPr>
    </w:p>
    <w:p w14:paraId="415B8F4D" w14:textId="77777777" w:rsidR="00DE341B" w:rsidRPr="00CC0378" w:rsidRDefault="00B777EB" w:rsidP="00CC0378">
      <w:pPr>
        <w:tabs>
          <w:tab w:val="left" w:pos="360"/>
        </w:tabs>
        <w:jc w:val="both"/>
        <w:rPr>
          <w:sz w:val="22"/>
          <w:szCs w:val="22"/>
          <w:u w:val="single"/>
          <w:lang w:val="sr-Latn-ME"/>
        </w:rPr>
      </w:pPr>
      <w:r w:rsidRPr="00CC0378">
        <w:rPr>
          <w:sz w:val="22"/>
          <w:szCs w:val="22"/>
          <w:u w:val="single"/>
          <w:lang w:val="sr-Latn-ME"/>
        </w:rPr>
        <w:t>Dugotrajan tretman pacijenata sa zal</w:t>
      </w:r>
      <w:r w:rsidR="00DE341B" w:rsidRPr="00CC0378">
        <w:rPr>
          <w:sz w:val="22"/>
          <w:szCs w:val="22"/>
          <w:u w:val="single"/>
          <w:lang w:val="sr-Latn-ME"/>
        </w:rPr>
        <w:t>ij</w:t>
      </w:r>
      <w:r w:rsidRPr="00CC0378">
        <w:rPr>
          <w:sz w:val="22"/>
          <w:szCs w:val="22"/>
          <w:u w:val="single"/>
          <w:lang w:val="sr-Latn-ME"/>
        </w:rPr>
        <w:t>ečenim ezofagitisom kako bi se spr</w:t>
      </w:r>
      <w:r w:rsidR="00DE341B" w:rsidRPr="00CC0378">
        <w:rPr>
          <w:sz w:val="22"/>
          <w:szCs w:val="22"/>
          <w:u w:val="single"/>
          <w:lang w:val="sr-Latn-ME"/>
        </w:rPr>
        <w:t>ij</w:t>
      </w:r>
      <w:r w:rsidRPr="00CC0378">
        <w:rPr>
          <w:sz w:val="22"/>
          <w:szCs w:val="22"/>
          <w:u w:val="single"/>
          <w:lang w:val="sr-Latn-ME"/>
        </w:rPr>
        <w:t xml:space="preserve">ečio relaps </w:t>
      </w:r>
    </w:p>
    <w:p w14:paraId="36157EF0" w14:textId="5208C842" w:rsidR="00B777EB" w:rsidRPr="00CC0378" w:rsidRDefault="00B777EB" w:rsidP="00CC0378">
      <w:pPr>
        <w:tabs>
          <w:tab w:val="left" w:pos="360"/>
        </w:tabs>
        <w:jc w:val="both"/>
        <w:rPr>
          <w:sz w:val="22"/>
          <w:szCs w:val="22"/>
          <w:lang w:val="sr-Latn-ME"/>
        </w:rPr>
      </w:pPr>
      <w:r w:rsidRPr="00CC0378">
        <w:rPr>
          <w:sz w:val="22"/>
          <w:szCs w:val="22"/>
          <w:lang w:val="sr-Latn-ME"/>
        </w:rPr>
        <w:t>20 mg jednom dnevno.</w:t>
      </w:r>
    </w:p>
    <w:p w14:paraId="35F77DCB" w14:textId="664BD84A" w:rsidR="00DE341B" w:rsidRPr="00CC0378" w:rsidRDefault="00DE341B" w:rsidP="00CC0378">
      <w:pPr>
        <w:tabs>
          <w:tab w:val="left" w:pos="360"/>
        </w:tabs>
        <w:jc w:val="both"/>
        <w:rPr>
          <w:sz w:val="22"/>
          <w:szCs w:val="22"/>
          <w:lang w:val="sr-Latn-ME"/>
        </w:rPr>
      </w:pPr>
    </w:p>
    <w:p w14:paraId="4522059F" w14:textId="60CBA14D" w:rsidR="00DE341B" w:rsidRPr="00CC0378" w:rsidRDefault="00DE341B" w:rsidP="00CC0378">
      <w:pPr>
        <w:tabs>
          <w:tab w:val="left" w:pos="360"/>
        </w:tabs>
        <w:jc w:val="both"/>
        <w:rPr>
          <w:sz w:val="22"/>
          <w:szCs w:val="22"/>
          <w:lang w:val="sr-Latn-ME"/>
        </w:rPr>
      </w:pPr>
      <w:r w:rsidRPr="00CC0378">
        <w:rPr>
          <w:sz w:val="22"/>
          <w:szCs w:val="22"/>
          <w:u w:val="single"/>
          <w:lang w:val="sr-Latn-ME"/>
        </w:rPr>
        <w:t>Simptomatska terapija gastroezofagealne refluksne bolesti (GERB)</w:t>
      </w:r>
    </w:p>
    <w:p w14:paraId="3CD6EC68" w14:textId="142A2733" w:rsidR="00B777EB" w:rsidRPr="00CC0378" w:rsidRDefault="00DE341B" w:rsidP="00CC0378">
      <w:pPr>
        <w:jc w:val="both"/>
        <w:rPr>
          <w:sz w:val="22"/>
          <w:szCs w:val="22"/>
          <w:lang w:val="sr-Latn-ME"/>
        </w:rPr>
      </w:pPr>
      <w:r w:rsidRPr="00CC0378">
        <w:rPr>
          <w:sz w:val="22"/>
          <w:szCs w:val="22"/>
          <w:lang w:val="sr-Latn-ME"/>
        </w:rPr>
        <w:t xml:space="preserve">20 mg jednom dnevno kod pacijenata bez ezofagitisa. Ukoliko se </w:t>
      </w:r>
      <w:r w:rsidR="00C7694D" w:rsidRPr="00CC0378">
        <w:rPr>
          <w:sz w:val="22"/>
          <w:szCs w:val="22"/>
          <w:lang w:val="sr-Latn-ME"/>
        </w:rPr>
        <w:t>simptomi ne stave pod kontrolu nakon 4 nedjelje, pacijenta treba podvrgnuti dodatnom ispitivanju. Kada se simptomi povuku, dalja kontrola simptoma se može postići primjenom 20 mg jednom dnevno.</w:t>
      </w:r>
    </w:p>
    <w:p w14:paraId="302E7BA9" w14:textId="77777777" w:rsidR="00C7694D" w:rsidRPr="00CC0378" w:rsidRDefault="00C7694D" w:rsidP="00CC0378">
      <w:pPr>
        <w:jc w:val="both"/>
        <w:rPr>
          <w:sz w:val="22"/>
          <w:szCs w:val="22"/>
          <w:lang w:val="sr-Latn-ME"/>
        </w:rPr>
      </w:pPr>
    </w:p>
    <w:p w14:paraId="0700581A" w14:textId="77777777" w:rsidR="00B777EB" w:rsidRPr="00CC0378" w:rsidRDefault="00B777EB" w:rsidP="00CC0378">
      <w:pPr>
        <w:jc w:val="both"/>
        <w:rPr>
          <w:b/>
          <w:sz w:val="22"/>
          <w:szCs w:val="22"/>
          <w:lang w:val="sr-Latn-ME"/>
        </w:rPr>
      </w:pPr>
      <w:r w:rsidRPr="00CC0378">
        <w:rPr>
          <w:b/>
          <w:sz w:val="22"/>
          <w:szCs w:val="22"/>
          <w:lang w:val="sr-Latn-ME"/>
        </w:rPr>
        <w:t xml:space="preserve">Liječenje duodenalnog ulkusa izazvanog </w:t>
      </w:r>
      <w:r w:rsidRPr="009462F3">
        <w:rPr>
          <w:b/>
          <w:i/>
          <w:iCs/>
          <w:sz w:val="22"/>
          <w:szCs w:val="22"/>
          <w:lang w:val="sr-Latn-ME"/>
        </w:rPr>
        <w:t>Helicobacter pylori</w:t>
      </w:r>
      <w:r w:rsidRPr="00CC0378">
        <w:rPr>
          <w:b/>
          <w:sz w:val="22"/>
          <w:szCs w:val="22"/>
          <w:lang w:val="sr-Latn-ME"/>
        </w:rPr>
        <w:t xml:space="preserve"> infekcijom</w:t>
      </w:r>
    </w:p>
    <w:p w14:paraId="33409CD6" w14:textId="472B1509" w:rsidR="00B777EB" w:rsidRDefault="00B777EB" w:rsidP="00CC0378">
      <w:pPr>
        <w:jc w:val="both"/>
        <w:rPr>
          <w:sz w:val="22"/>
          <w:szCs w:val="22"/>
          <w:lang w:val="sr-Latn-ME"/>
        </w:rPr>
      </w:pPr>
      <w:r w:rsidRPr="00CC0378">
        <w:rPr>
          <w:sz w:val="22"/>
          <w:szCs w:val="22"/>
          <w:lang w:val="sr-Latn-ME"/>
        </w:rPr>
        <w:t>Prilikom odabira odgovarajuće kombinovane terapije, treba uzeti u obzir zvanične nacionalne, regionalne i lokalne smjernice koje se odnose na bakterijsku rezistenciju, trajanje terapije (uobičajeno 7 dana, ali nekada i do 14 dana) i adekvatnu primjenu antibiotika. Terapija treba da bude pod nadzorom ljekara specijaliste.</w:t>
      </w:r>
    </w:p>
    <w:p w14:paraId="5AD2DFB9" w14:textId="77777777" w:rsidR="00660338" w:rsidRPr="00CC0378" w:rsidRDefault="00660338" w:rsidP="00CC0378">
      <w:pPr>
        <w:jc w:val="both"/>
        <w:rPr>
          <w:sz w:val="22"/>
          <w:szCs w:val="22"/>
          <w:lang w:val="sr-Latn-ME"/>
        </w:rPr>
      </w:pPr>
    </w:p>
    <w:p w14:paraId="50CD8AD8" w14:textId="77777777" w:rsidR="00B777EB" w:rsidRPr="00CC0378" w:rsidRDefault="00B777EB" w:rsidP="00CC0378">
      <w:pPr>
        <w:jc w:val="both"/>
        <w:rPr>
          <w:strike/>
          <w:sz w:val="22"/>
          <w:szCs w:val="22"/>
          <w:lang w:val="sr-Latn-ME"/>
        </w:rPr>
      </w:pPr>
      <w:r w:rsidRPr="00CC0378">
        <w:rPr>
          <w:sz w:val="22"/>
          <w:szCs w:val="22"/>
          <w:lang w:val="sr-Latn-ME"/>
        </w:rPr>
        <w:lastRenderedPageBreak/>
        <w:t xml:space="preserve">Preporuke za doziranje esomeprazola: </w:t>
      </w:r>
    </w:p>
    <w:p w14:paraId="3B126B98" w14:textId="71B39DB1" w:rsidR="00B777EB" w:rsidRPr="00CC0378" w:rsidRDefault="00B777EB" w:rsidP="00CC0378">
      <w:pPr>
        <w:tabs>
          <w:tab w:val="left" w:pos="284"/>
        </w:tabs>
        <w:jc w:val="both"/>
        <w:rPr>
          <w:sz w:val="22"/>
          <w:szCs w:val="22"/>
          <w:u w:val="single"/>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4532"/>
      </w:tblGrid>
      <w:tr w:rsidR="00B777EB" w:rsidRPr="00CC0378" w14:paraId="6FE772B6" w14:textId="77777777" w:rsidTr="00C771FD">
        <w:tc>
          <w:tcPr>
            <w:tcW w:w="2500" w:type="pct"/>
            <w:tcBorders>
              <w:top w:val="single" w:sz="4" w:space="0" w:color="000000"/>
              <w:left w:val="single" w:sz="4" w:space="0" w:color="000000"/>
              <w:bottom w:val="single" w:sz="4" w:space="0" w:color="000000"/>
              <w:right w:val="single" w:sz="4" w:space="0" w:color="000000"/>
            </w:tcBorders>
            <w:hideMark/>
          </w:tcPr>
          <w:p w14:paraId="1FEDB3F5" w14:textId="77777777" w:rsidR="00B777EB" w:rsidRPr="00CC0378" w:rsidRDefault="00B777EB" w:rsidP="00CC0378">
            <w:pPr>
              <w:jc w:val="both"/>
              <w:rPr>
                <w:sz w:val="22"/>
                <w:szCs w:val="22"/>
                <w:lang w:val="sr-Latn-ME"/>
              </w:rPr>
            </w:pPr>
            <w:r w:rsidRPr="00CC0378">
              <w:rPr>
                <w:sz w:val="22"/>
                <w:szCs w:val="22"/>
                <w:lang w:val="sr-Latn-ME"/>
              </w:rPr>
              <w:t>Tjelesna masa</w:t>
            </w:r>
          </w:p>
        </w:tc>
        <w:tc>
          <w:tcPr>
            <w:tcW w:w="2500" w:type="pct"/>
            <w:tcBorders>
              <w:top w:val="single" w:sz="4" w:space="0" w:color="000000"/>
              <w:left w:val="single" w:sz="4" w:space="0" w:color="000000"/>
              <w:bottom w:val="single" w:sz="4" w:space="0" w:color="000000"/>
              <w:right w:val="single" w:sz="4" w:space="0" w:color="000000"/>
            </w:tcBorders>
            <w:hideMark/>
          </w:tcPr>
          <w:p w14:paraId="7D1D80E9" w14:textId="77777777" w:rsidR="00B777EB" w:rsidRPr="00CC0378" w:rsidRDefault="00B777EB" w:rsidP="00CC0378">
            <w:pPr>
              <w:jc w:val="both"/>
              <w:rPr>
                <w:sz w:val="22"/>
                <w:szCs w:val="22"/>
                <w:lang w:val="sr-Latn-ME"/>
              </w:rPr>
            </w:pPr>
            <w:r w:rsidRPr="00CC0378">
              <w:rPr>
                <w:sz w:val="22"/>
                <w:szCs w:val="22"/>
                <w:lang w:val="sr-Latn-ME"/>
              </w:rPr>
              <w:t>Doziranje</w:t>
            </w:r>
          </w:p>
        </w:tc>
      </w:tr>
      <w:tr w:rsidR="00B777EB" w:rsidRPr="000C02E1" w14:paraId="68569EFF" w14:textId="77777777" w:rsidTr="00C771FD">
        <w:tc>
          <w:tcPr>
            <w:tcW w:w="2500" w:type="pct"/>
            <w:tcBorders>
              <w:top w:val="single" w:sz="4" w:space="0" w:color="000000"/>
              <w:left w:val="single" w:sz="4" w:space="0" w:color="000000"/>
              <w:bottom w:val="single" w:sz="4" w:space="0" w:color="000000"/>
              <w:right w:val="single" w:sz="4" w:space="0" w:color="000000"/>
            </w:tcBorders>
            <w:hideMark/>
          </w:tcPr>
          <w:p w14:paraId="1D28AAED" w14:textId="77777777" w:rsidR="00B777EB" w:rsidRPr="00CC0378" w:rsidRDefault="00B777EB" w:rsidP="00CC0378">
            <w:pPr>
              <w:numPr>
                <w:ilvl w:val="0"/>
                <w:numId w:val="17"/>
              </w:numPr>
              <w:tabs>
                <w:tab w:val="left" w:pos="284"/>
              </w:tabs>
              <w:ind w:left="29" w:firstLine="0"/>
              <w:jc w:val="both"/>
              <w:rPr>
                <w:sz w:val="22"/>
                <w:szCs w:val="22"/>
                <w:lang w:val="sr-Latn-ME"/>
              </w:rPr>
            </w:pPr>
            <w:r w:rsidRPr="00CC0378">
              <w:rPr>
                <w:sz w:val="22"/>
                <w:szCs w:val="22"/>
                <w:lang w:val="sr-Latn-ME"/>
              </w:rPr>
              <w:t>– 40 kg</w:t>
            </w:r>
          </w:p>
        </w:tc>
        <w:tc>
          <w:tcPr>
            <w:tcW w:w="2500" w:type="pct"/>
            <w:tcBorders>
              <w:top w:val="single" w:sz="4" w:space="0" w:color="000000"/>
              <w:left w:val="single" w:sz="4" w:space="0" w:color="000000"/>
              <w:bottom w:val="single" w:sz="4" w:space="0" w:color="000000"/>
              <w:right w:val="single" w:sz="4" w:space="0" w:color="000000"/>
            </w:tcBorders>
            <w:hideMark/>
          </w:tcPr>
          <w:p w14:paraId="3C3214D9" w14:textId="6FA42D39" w:rsidR="00B777EB" w:rsidRPr="00CC0378" w:rsidRDefault="00B777EB" w:rsidP="00CC0378">
            <w:pPr>
              <w:jc w:val="both"/>
              <w:rPr>
                <w:sz w:val="22"/>
                <w:szCs w:val="22"/>
                <w:lang w:val="sr-Latn-ME"/>
              </w:rPr>
            </w:pPr>
            <w:r w:rsidRPr="00CC0378">
              <w:rPr>
                <w:sz w:val="22"/>
                <w:szCs w:val="22"/>
                <w:lang w:val="sr-Latn-ME"/>
              </w:rPr>
              <w:t>Kombinacija sa 2 antibiotika: Nexium 20 mg, amoksicilin 750 mg i klaritromicin 7.5 mg/kg tjelesne mase; svi ljekovi se primjenjuju u isto vrijeme, dva puta dnevno, tokom 1 ned</w:t>
            </w:r>
            <w:r w:rsidR="00561D2B" w:rsidRPr="00CC0378">
              <w:rPr>
                <w:sz w:val="22"/>
                <w:szCs w:val="22"/>
                <w:lang w:val="sr-Latn-ME"/>
              </w:rPr>
              <w:t>j</w:t>
            </w:r>
            <w:r w:rsidRPr="00CC0378">
              <w:rPr>
                <w:sz w:val="22"/>
                <w:szCs w:val="22"/>
                <w:lang w:val="sr-Latn-ME"/>
              </w:rPr>
              <w:t xml:space="preserve">elje. </w:t>
            </w:r>
          </w:p>
        </w:tc>
      </w:tr>
      <w:tr w:rsidR="00B777EB" w:rsidRPr="000C02E1" w14:paraId="111D6F07" w14:textId="77777777" w:rsidTr="00C771FD">
        <w:tc>
          <w:tcPr>
            <w:tcW w:w="2500" w:type="pct"/>
            <w:tcBorders>
              <w:top w:val="single" w:sz="4" w:space="0" w:color="000000"/>
              <w:left w:val="single" w:sz="4" w:space="0" w:color="000000"/>
              <w:bottom w:val="single" w:sz="4" w:space="0" w:color="000000"/>
              <w:right w:val="single" w:sz="4" w:space="0" w:color="000000"/>
            </w:tcBorders>
            <w:hideMark/>
          </w:tcPr>
          <w:p w14:paraId="5E1E987E" w14:textId="77777777" w:rsidR="00B777EB" w:rsidRPr="00CC0378" w:rsidRDefault="00B777EB" w:rsidP="00CC0378">
            <w:pPr>
              <w:jc w:val="both"/>
              <w:rPr>
                <w:sz w:val="22"/>
                <w:szCs w:val="22"/>
                <w:lang w:val="sr-Latn-ME"/>
              </w:rPr>
            </w:pPr>
            <w:r w:rsidRPr="00CC0378">
              <w:rPr>
                <w:sz w:val="22"/>
                <w:szCs w:val="22"/>
                <w:lang w:val="sr-Latn-ME"/>
              </w:rPr>
              <w:t>&gt; 40 kg</w:t>
            </w:r>
          </w:p>
        </w:tc>
        <w:tc>
          <w:tcPr>
            <w:tcW w:w="2500" w:type="pct"/>
            <w:tcBorders>
              <w:top w:val="single" w:sz="4" w:space="0" w:color="000000"/>
              <w:left w:val="single" w:sz="4" w:space="0" w:color="000000"/>
              <w:bottom w:val="single" w:sz="4" w:space="0" w:color="000000"/>
              <w:right w:val="single" w:sz="4" w:space="0" w:color="000000"/>
            </w:tcBorders>
            <w:hideMark/>
          </w:tcPr>
          <w:p w14:paraId="56CCFD47" w14:textId="4C1570FB" w:rsidR="00B777EB" w:rsidRPr="00CC0378" w:rsidRDefault="00B777EB" w:rsidP="00CC0378">
            <w:pPr>
              <w:jc w:val="both"/>
              <w:rPr>
                <w:sz w:val="22"/>
                <w:szCs w:val="22"/>
                <w:lang w:val="sr-Latn-ME"/>
              </w:rPr>
            </w:pPr>
            <w:r w:rsidRPr="00CC0378">
              <w:rPr>
                <w:sz w:val="22"/>
                <w:szCs w:val="22"/>
                <w:lang w:val="sr-Latn-ME"/>
              </w:rPr>
              <w:t>Kombinacija sa 2 antibiotika: Nexium 20 mg, amoksicilin 1 g i klaritromicin 500 mg; svi ljekovi se primjenjuju u isto vrijeme, dva puta dnevno, tokom 1 ned</w:t>
            </w:r>
            <w:r w:rsidR="00561D2B" w:rsidRPr="00CC0378">
              <w:rPr>
                <w:sz w:val="22"/>
                <w:szCs w:val="22"/>
                <w:lang w:val="sr-Latn-ME"/>
              </w:rPr>
              <w:t>j</w:t>
            </w:r>
            <w:r w:rsidRPr="00CC0378">
              <w:rPr>
                <w:sz w:val="22"/>
                <w:szCs w:val="22"/>
                <w:lang w:val="sr-Latn-ME"/>
              </w:rPr>
              <w:t>elje.</w:t>
            </w:r>
          </w:p>
        </w:tc>
      </w:tr>
    </w:tbl>
    <w:p w14:paraId="7662EB41" w14:textId="0B86D9CF" w:rsidR="00561D2B" w:rsidRPr="00CC0378" w:rsidRDefault="00561D2B" w:rsidP="00CC0378">
      <w:pPr>
        <w:tabs>
          <w:tab w:val="left" w:pos="540"/>
          <w:tab w:val="left" w:pos="569"/>
        </w:tabs>
        <w:jc w:val="both"/>
        <w:rPr>
          <w:bCs/>
          <w:sz w:val="22"/>
          <w:szCs w:val="22"/>
          <w:u w:val="single"/>
          <w:lang w:val="sr-Latn-ME"/>
        </w:rPr>
      </w:pPr>
    </w:p>
    <w:p w14:paraId="78F88EC3" w14:textId="77777777" w:rsidR="00B777EB" w:rsidRPr="00CC0378" w:rsidRDefault="00B777EB" w:rsidP="009462F3">
      <w:pPr>
        <w:jc w:val="both"/>
        <w:rPr>
          <w:b/>
          <w:bCs/>
          <w:i/>
          <w:sz w:val="22"/>
          <w:szCs w:val="22"/>
          <w:u w:val="single"/>
          <w:lang w:val="sr-Latn-ME"/>
        </w:rPr>
      </w:pPr>
      <w:r w:rsidRPr="00CC0378">
        <w:rPr>
          <w:b/>
          <w:bCs/>
          <w:i/>
          <w:sz w:val="22"/>
          <w:szCs w:val="22"/>
          <w:u w:val="single"/>
          <w:lang w:val="sr-Latn-ME"/>
        </w:rPr>
        <w:t>Djeca mlađa od 12 godina</w:t>
      </w:r>
    </w:p>
    <w:p w14:paraId="7289D329" w14:textId="77777777" w:rsidR="00B777EB" w:rsidRPr="00CC0378" w:rsidRDefault="00B777EB" w:rsidP="00CC0378">
      <w:pPr>
        <w:jc w:val="both"/>
        <w:rPr>
          <w:sz w:val="22"/>
          <w:szCs w:val="22"/>
          <w:lang w:val="sr-Latn-ME"/>
        </w:rPr>
      </w:pPr>
    </w:p>
    <w:p w14:paraId="2C76C3B5" w14:textId="047B72F8" w:rsidR="00B777EB" w:rsidRPr="00CC0378" w:rsidRDefault="001939A4" w:rsidP="00CC0378">
      <w:pPr>
        <w:jc w:val="both"/>
        <w:rPr>
          <w:sz w:val="22"/>
          <w:szCs w:val="22"/>
          <w:lang w:val="sr-Latn-ME"/>
        </w:rPr>
      </w:pPr>
      <w:r>
        <w:rPr>
          <w:sz w:val="22"/>
          <w:szCs w:val="22"/>
          <w:lang w:val="sr-Latn-ME"/>
        </w:rPr>
        <w:t xml:space="preserve">Lijek </w:t>
      </w:r>
      <w:r w:rsidR="00B777EB" w:rsidRPr="00CC0378">
        <w:rPr>
          <w:sz w:val="22"/>
          <w:szCs w:val="22"/>
          <w:lang w:val="sr-Latn-ME"/>
        </w:rPr>
        <w:t xml:space="preserve">Nexium </w:t>
      </w:r>
      <w:r>
        <w:rPr>
          <w:sz w:val="22"/>
          <w:szCs w:val="22"/>
          <w:lang w:val="sr-Latn-ME"/>
        </w:rPr>
        <w:t>u ovom farmaceutskom obliku nije pogodan za primjenu</w:t>
      </w:r>
      <w:r w:rsidRPr="00CC0378">
        <w:rPr>
          <w:sz w:val="22"/>
          <w:szCs w:val="22"/>
          <w:lang w:val="sr-Latn-ME"/>
        </w:rPr>
        <w:t xml:space="preserve"> </w:t>
      </w:r>
      <w:r w:rsidR="00B777EB" w:rsidRPr="00CC0378">
        <w:rPr>
          <w:sz w:val="22"/>
          <w:szCs w:val="22"/>
          <w:lang w:val="sr-Latn-ME"/>
        </w:rPr>
        <w:t>kod djece mlađe od 12 godina.</w:t>
      </w:r>
    </w:p>
    <w:p w14:paraId="633EBB50" w14:textId="77777777" w:rsidR="00B777EB" w:rsidRPr="00CC0378" w:rsidRDefault="00B777EB" w:rsidP="00CC0378">
      <w:pPr>
        <w:jc w:val="both"/>
        <w:rPr>
          <w:sz w:val="22"/>
          <w:szCs w:val="22"/>
          <w:lang w:val="sr-Latn-ME"/>
        </w:rPr>
      </w:pPr>
    </w:p>
    <w:p w14:paraId="78A4CD9E" w14:textId="77777777" w:rsidR="00B777EB" w:rsidRPr="00CC0378" w:rsidRDefault="00B777EB" w:rsidP="00CC0378">
      <w:pPr>
        <w:jc w:val="both"/>
        <w:rPr>
          <w:sz w:val="22"/>
          <w:szCs w:val="22"/>
          <w:u w:val="single"/>
          <w:lang w:val="sr-Latn-ME"/>
        </w:rPr>
      </w:pPr>
      <w:r w:rsidRPr="00CC0378">
        <w:rPr>
          <w:sz w:val="22"/>
          <w:szCs w:val="22"/>
          <w:u w:val="single"/>
          <w:lang w:val="sr-Latn-ME"/>
        </w:rPr>
        <w:t>Način primjene</w:t>
      </w:r>
    </w:p>
    <w:p w14:paraId="65711344" w14:textId="77777777" w:rsidR="00B777EB" w:rsidRPr="00CC0378" w:rsidRDefault="00B777EB" w:rsidP="00CC0378">
      <w:pPr>
        <w:jc w:val="both"/>
        <w:rPr>
          <w:sz w:val="22"/>
          <w:szCs w:val="22"/>
          <w:u w:val="single"/>
          <w:lang w:val="sr-Latn-ME"/>
        </w:rPr>
      </w:pPr>
    </w:p>
    <w:p w14:paraId="3DFD150F" w14:textId="77777777" w:rsidR="00B777EB" w:rsidRPr="00CC0378" w:rsidRDefault="00B777EB" w:rsidP="00CC0378">
      <w:pPr>
        <w:jc w:val="both"/>
        <w:rPr>
          <w:sz w:val="22"/>
          <w:szCs w:val="22"/>
          <w:lang w:val="sr-Latn-ME"/>
        </w:rPr>
      </w:pPr>
      <w:r w:rsidRPr="00CC0378">
        <w:rPr>
          <w:sz w:val="22"/>
          <w:szCs w:val="22"/>
          <w:lang w:val="sr-Latn-ME"/>
        </w:rPr>
        <w:t>Tablete treba progutati cijele sa tečnošću. Tablete se ne smiju žvakati, niti mrviti.</w:t>
      </w:r>
    </w:p>
    <w:p w14:paraId="311DB5DE" w14:textId="327E4501" w:rsidR="00B777EB" w:rsidRPr="00CC0378" w:rsidRDefault="00B777EB" w:rsidP="00CC0378">
      <w:pPr>
        <w:jc w:val="both"/>
        <w:rPr>
          <w:sz w:val="22"/>
          <w:szCs w:val="22"/>
          <w:lang w:val="sr-Latn-ME"/>
        </w:rPr>
      </w:pPr>
      <w:r w:rsidRPr="00CC0378">
        <w:rPr>
          <w:sz w:val="22"/>
          <w:szCs w:val="22"/>
          <w:lang w:val="sr-Latn-ME"/>
        </w:rPr>
        <w:t>Za pacijente koji imaju problema sa gutanjem, tablete treba dispergovati u pola čaše negazirane vode. Ne smije se koristiti niti jedna druga tečnost</w:t>
      </w:r>
      <w:r w:rsidR="00561D2B" w:rsidRPr="00CC0378">
        <w:rPr>
          <w:sz w:val="22"/>
          <w:szCs w:val="22"/>
          <w:lang w:val="sr-Latn-ME"/>
        </w:rPr>
        <w:t>,</w:t>
      </w:r>
      <w:r w:rsidRPr="00CC0378">
        <w:rPr>
          <w:sz w:val="22"/>
          <w:szCs w:val="22"/>
          <w:lang w:val="sr-Latn-ME"/>
        </w:rPr>
        <w:t xml:space="preserve"> jer može doći do rastvaranja gastrorezistentne obloge. M</w:t>
      </w:r>
      <w:r w:rsidR="00561D2B" w:rsidRPr="00CC0378">
        <w:rPr>
          <w:sz w:val="22"/>
          <w:szCs w:val="22"/>
          <w:lang w:val="sr-Latn-ME"/>
        </w:rPr>
        <w:t>i</w:t>
      </w:r>
      <w:r w:rsidRPr="00CC0378">
        <w:rPr>
          <w:sz w:val="22"/>
          <w:szCs w:val="22"/>
          <w:lang w:val="sr-Latn-ME"/>
        </w:rPr>
        <w:t>ješati sve dok se tablete ne dezintegrišu, a zatim popiti tečnost sa peletama odmah ili u roku od 30 minuta. Zatim isprati čašu sa još malo vode i popiti. Pelete se ne smiju žvakati, niti mrviti.</w:t>
      </w:r>
    </w:p>
    <w:p w14:paraId="5BD6E22F" w14:textId="0EF64FF7" w:rsidR="00B777EB" w:rsidRPr="00CC0378" w:rsidRDefault="00B777EB" w:rsidP="00CC0378">
      <w:pPr>
        <w:jc w:val="both"/>
        <w:rPr>
          <w:sz w:val="22"/>
          <w:szCs w:val="22"/>
          <w:lang w:val="sr-Latn-ME"/>
        </w:rPr>
      </w:pPr>
      <w:r w:rsidRPr="00CC0378">
        <w:rPr>
          <w:sz w:val="22"/>
          <w:szCs w:val="22"/>
          <w:lang w:val="sr-Latn-ME"/>
        </w:rPr>
        <w:t>Za pacijente koji ne mogu da gutaju, tablete se mogu dispergovati u negaziranoj vodi i prim</w:t>
      </w:r>
      <w:r w:rsidR="00561D2B" w:rsidRPr="00CC0378">
        <w:rPr>
          <w:sz w:val="22"/>
          <w:szCs w:val="22"/>
          <w:lang w:val="sr-Latn-ME"/>
        </w:rPr>
        <w:t>i</w:t>
      </w:r>
      <w:r w:rsidRPr="00CC0378">
        <w:rPr>
          <w:sz w:val="22"/>
          <w:szCs w:val="22"/>
          <w:lang w:val="sr-Latn-ME"/>
        </w:rPr>
        <w:t xml:space="preserve">jeniti kroz gastričnu sondu. Važno je pažljivo provjeriti adekvatnost odabranog šprica i sonde. Uputstvo za pripremu i primjenu vidjeti u </w:t>
      </w:r>
      <w:r w:rsidR="00E32873">
        <w:rPr>
          <w:sz w:val="22"/>
          <w:szCs w:val="22"/>
          <w:lang w:val="sr-Latn-ME"/>
        </w:rPr>
        <w:t>dijelu</w:t>
      </w:r>
      <w:r w:rsidRPr="00CC0378">
        <w:rPr>
          <w:sz w:val="22"/>
          <w:szCs w:val="22"/>
          <w:lang w:val="sr-Latn-ME"/>
        </w:rPr>
        <w:t xml:space="preserve"> 6.6.</w:t>
      </w:r>
    </w:p>
    <w:p w14:paraId="65DB6C24" w14:textId="77777777" w:rsidR="00452E9D" w:rsidRPr="00CC0378" w:rsidRDefault="00452E9D" w:rsidP="00CC0378">
      <w:pPr>
        <w:tabs>
          <w:tab w:val="left" w:pos="540"/>
          <w:tab w:val="left" w:pos="569"/>
        </w:tabs>
        <w:jc w:val="both"/>
        <w:rPr>
          <w:bCs/>
          <w:sz w:val="22"/>
          <w:szCs w:val="22"/>
          <w:lang w:val="sr-Latn-ME"/>
        </w:rPr>
      </w:pPr>
    </w:p>
    <w:p w14:paraId="2DD0846F" w14:textId="77777777" w:rsidR="00411B4B" w:rsidRPr="00CC0378" w:rsidRDefault="00411B4B" w:rsidP="00CC0378">
      <w:pPr>
        <w:tabs>
          <w:tab w:val="left" w:pos="540"/>
          <w:tab w:val="left" w:pos="569"/>
        </w:tabs>
        <w:jc w:val="both"/>
        <w:rPr>
          <w:b/>
          <w:bCs/>
          <w:sz w:val="22"/>
          <w:szCs w:val="22"/>
          <w:lang w:val="sr-Latn-ME"/>
        </w:rPr>
      </w:pPr>
      <w:r w:rsidRPr="00CC0378">
        <w:rPr>
          <w:b/>
          <w:bCs/>
          <w:sz w:val="22"/>
          <w:szCs w:val="22"/>
          <w:lang w:val="sr-Latn-ME"/>
        </w:rPr>
        <w:t xml:space="preserve">4.3. </w:t>
      </w:r>
      <w:r w:rsidR="00480FB1" w:rsidRPr="00CC0378">
        <w:rPr>
          <w:b/>
          <w:bCs/>
          <w:sz w:val="22"/>
          <w:szCs w:val="22"/>
          <w:lang w:val="sr-Latn-ME"/>
        </w:rPr>
        <w:tab/>
      </w:r>
      <w:r w:rsidRPr="00CC0378">
        <w:rPr>
          <w:b/>
          <w:bCs/>
          <w:sz w:val="22"/>
          <w:szCs w:val="22"/>
          <w:lang w:val="sr-Latn-ME"/>
        </w:rPr>
        <w:t>Kontraindikacije</w:t>
      </w:r>
    </w:p>
    <w:p w14:paraId="33756A9F" w14:textId="45D409CC" w:rsidR="0072020E" w:rsidRPr="00CC0378" w:rsidRDefault="0072020E" w:rsidP="00CC0378">
      <w:pPr>
        <w:tabs>
          <w:tab w:val="left" w:pos="540"/>
          <w:tab w:val="left" w:pos="569"/>
        </w:tabs>
        <w:jc w:val="both"/>
        <w:rPr>
          <w:bCs/>
          <w:sz w:val="22"/>
          <w:szCs w:val="22"/>
          <w:lang w:val="sr-Latn-ME"/>
        </w:rPr>
      </w:pPr>
    </w:p>
    <w:p w14:paraId="1DCD54DD" w14:textId="1A666F3B" w:rsidR="00B777EB" w:rsidRPr="00CC0378" w:rsidRDefault="00B777EB" w:rsidP="00CC0378">
      <w:pPr>
        <w:jc w:val="both"/>
        <w:rPr>
          <w:sz w:val="22"/>
          <w:szCs w:val="22"/>
          <w:lang w:val="sr-Latn-ME"/>
        </w:rPr>
      </w:pPr>
      <w:r w:rsidRPr="00CC0378">
        <w:rPr>
          <w:sz w:val="22"/>
          <w:szCs w:val="22"/>
          <w:lang w:val="sr-Latn-ME"/>
        </w:rPr>
        <w:t xml:space="preserve">Preosjetljivost na aktivnu supstancu, na supstituisane benzimidazole ili na </w:t>
      </w:r>
      <w:r w:rsidR="00561D2B" w:rsidRPr="00CC0378">
        <w:rPr>
          <w:sz w:val="22"/>
          <w:szCs w:val="22"/>
          <w:lang w:val="sr-Latn-ME"/>
        </w:rPr>
        <w:t>bilo</w:t>
      </w:r>
      <w:r w:rsidRPr="00CC0378">
        <w:rPr>
          <w:sz w:val="22"/>
          <w:szCs w:val="22"/>
          <w:lang w:val="sr-Latn-ME"/>
        </w:rPr>
        <w:t xml:space="preserve"> koju</w:t>
      </w:r>
      <w:r w:rsidR="005D7586" w:rsidRPr="00CC0378">
        <w:rPr>
          <w:sz w:val="22"/>
          <w:szCs w:val="22"/>
          <w:lang w:val="sr-Latn-ME"/>
        </w:rPr>
        <w:t xml:space="preserve"> </w:t>
      </w:r>
      <w:r w:rsidRPr="00CC0378">
        <w:rPr>
          <w:sz w:val="22"/>
          <w:szCs w:val="22"/>
          <w:lang w:val="sr-Latn-ME"/>
        </w:rPr>
        <w:t>drugu</w:t>
      </w:r>
      <w:r w:rsidR="005D7586" w:rsidRPr="00CC0378">
        <w:rPr>
          <w:sz w:val="22"/>
          <w:szCs w:val="22"/>
          <w:lang w:val="sr-Latn-ME"/>
        </w:rPr>
        <w:t xml:space="preserve"> </w:t>
      </w:r>
      <w:r w:rsidRPr="00CC0378">
        <w:rPr>
          <w:sz w:val="22"/>
          <w:szCs w:val="22"/>
          <w:lang w:val="sr-Latn-ME"/>
        </w:rPr>
        <w:t xml:space="preserve">pomoćnu supstacu </w:t>
      </w:r>
      <w:r w:rsidR="005D7586" w:rsidRPr="00CC0378">
        <w:rPr>
          <w:sz w:val="22"/>
          <w:szCs w:val="22"/>
          <w:lang w:val="sr-Latn-ME"/>
        </w:rPr>
        <w:t xml:space="preserve"> </w:t>
      </w:r>
      <w:r w:rsidRPr="00CC0378">
        <w:rPr>
          <w:sz w:val="22"/>
          <w:szCs w:val="22"/>
          <w:lang w:val="sr-Latn-ME"/>
        </w:rPr>
        <w:t xml:space="preserve">navedenu u </w:t>
      </w:r>
      <w:r w:rsidR="00E32873">
        <w:rPr>
          <w:sz w:val="22"/>
          <w:szCs w:val="22"/>
          <w:lang w:val="sr-Latn-ME"/>
        </w:rPr>
        <w:t>dijelu</w:t>
      </w:r>
      <w:r w:rsidRPr="00CC0378">
        <w:rPr>
          <w:sz w:val="22"/>
          <w:szCs w:val="22"/>
          <w:lang w:val="sr-Latn-ME"/>
        </w:rPr>
        <w:t xml:space="preserve"> 6.1.</w:t>
      </w:r>
    </w:p>
    <w:p w14:paraId="7288BF7B" w14:textId="66C5DC42" w:rsidR="00B777EB" w:rsidRPr="00CC0378" w:rsidRDefault="00B777EB" w:rsidP="00CC0378">
      <w:pPr>
        <w:tabs>
          <w:tab w:val="left" w:pos="540"/>
          <w:tab w:val="left" w:pos="569"/>
        </w:tabs>
        <w:jc w:val="both"/>
        <w:rPr>
          <w:sz w:val="22"/>
          <w:szCs w:val="22"/>
          <w:lang w:val="sr-Latn-ME"/>
        </w:rPr>
      </w:pPr>
      <w:r w:rsidRPr="00CC0378">
        <w:rPr>
          <w:sz w:val="22"/>
          <w:szCs w:val="22"/>
          <w:lang w:val="sr-Latn-ME"/>
        </w:rPr>
        <w:t xml:space="preserve">Esomeprazol ne treba koristiti istovremeno sa nelfinavirom (vidjeti </w:t>
      </w:r>
      <w:r w:rsidR="00E32873">
        <w:rPr>
          <w:sz w:val="22"/>
          <w:szCs w:val="22"/>
          <w:lang w:val="sr-Latn-ME"/>
        </w:rPr>
        <w:t>dio</w:t>
      </w:r>
      <w:r w:rsidRPr="00CC0378">
        <w:rPr>
          <w:sz w:val="22"/>
          <w:szCs w:val="22"/>
          <w:lang w:val="sr-Latn-ME"/>
        </w:rPr>
        <w:t xml:space="preserve"> 4.5).</w:t>
      </w:r>
    </w:p>
    <w:p w14:paraId="4B3451BC" w14:textId="77777777" w:rsidR="005D7586" w:rsidRPr="00CC0378" w:rsidRDefault="005D7586" w:rsidP="00CC0378">
      <w:pPr>
        <w:tabs>
          <w:tab w:val="left" w:pos="540"/>
          <w:tab w:val="left" w:pos="569"/>
        </w:tabs>
        <w:jc w:val="both"/>
        <w:rPr>
          <w:bCs/>
          <w:sz w:val="22"/>
          <w:szCs w:val="22"/>
          <w:lang w:val="sr-Latn-ME"/>
        </w:rPr>
      </w:pPr>
    </w:p>
    <w:p w14:paraId="3A881680" w14:textId="77777777" w:rsidR="00411B4B" w:rsidRPr="00CC0378" w:rsidRDefault="00411B4B" w:rsidP="00CC0378">
      <w:pPr>
        <w:tabs>
          <w:tab w:val="left" w:pos="540"/>
          <w:tab w:val="left" w:pos="569"/>
        </w:tabs>
        <w:jc w:val="both"/>
        <w:rPr>
          <w:b/>
          <w:bCs/>
          <w:sz w:val="22"/>
          <w:szCs w:val="22"/>
          <w:lang w:val="sr-Latn-ME"/>
        </w:rPr>
      </w:pPr>
      <w:r w:rsidRPr="00CC0378">
        <w:rPr>
          <w:b/>
          <w:bCs/>
          <w:sz w:val="22"/>
          <w:szCs w:val="22"/>
          <w:lang w:val="sr-Latn-ME"/>
        </w:rPr>
        <w:t xml:space="preserve">4.4. </w:t>
      </w:r>
      <w:r w:rsidR="00480FB1" w:rsidRPr="00CC0378">
        <w:rPr>
          <w:b/>
          <w:bCs/>
          <w:sz w:val="22"/>
          <w:szCs w:val="22"/>
          <w:lang w:val="sr-Latn-ME"/>
        </w:rPr>
        <w:tab/>
      </w:r>
      <w:r w:rsidRPr="00CC0378">
        <w:rPr>
          <w:b/>
          <w:bCs/>
          <w:sz w:val="22"/>
          <w:szCs w:val="22"/>
          <w:lang w:val="sr-Latn-ME"/>
        </w:rPr>
        <w:t>Posebna upozorenja i mjere opreza pri upotrebi lijeka</w:t>
      </w:r>
    </w:p>
    <w:p w14:paraId="11D403F2" w14:textId="313074C9" w:rsidR="0072020E" w:rsidRPr="00CC0378" w:rsidRDefault="0072020E" w:rsidP="00CC0378">
      <w:pPr>
        <w:tabs>
          <w:tab w:val="left" w:pos="540"/>
          <w:tab w:val="left" w:pos="569"/>
        </w:tabs>
        <w:jc w:val="both"/>
        <w:rPr>
          <w:bCs/>
          <w:sz w:val="22"/>
          <w:szCs w:val="22"/>
          <w:lang w:val="sr-Latn-ME"/>
        </w:rPr>
      </w:pPr>
    </w:p>
    <w:p w14:paraId="53E06355" w14:textId="13DFFCAE" w:rsidR="00B31A63" w:rsidRPr="00CC0378" w:rsidRDefault="00B31A63" w:rsidP="00CC0378">
      <w:pPr>
        <w:jc w:val="both"/>
        <w:rPr>
          <w:bCs/>
          <w:sz w:val="22"/>
          <w:szCs w:val="22"/>
          <w:lang w:val="sr-Latn-ME"/>
        </w:rPr>
      </w:pPr>
      <w:r w:rsidRPr="00CC0378">
        <w:rPr>
          <w:bCs/>
          <w:sz w:val="22"/>
          <w:szCs w:val="22"/>
          <w:lang w:val="sr-Latn-ME"/>
        </w:rPr>
        <w:t>U prisustvu ma kog alarm</w:t>
      </w:r>
      <w:r w:rsidR="007A06BA" w:rsidRPr="00CC0378">
        <w:rPr>
          <w:bCs/>
          <w:sz w:val="22"/>
          <w:szCs w:val="22"/>
          <w:lang w:val="sr-Latn-ME"/>
        </w:rPr>
        <w:t>a</w:t>
      </w:r>
      <w:r w:rsidRPr="00CC0378">
        <w:rPr>
          <w:bCs/>
          <w:sz w:val="22"/>
          <w:szCs w:val="22"/>
          <w:lang w:val="sr-Latn-ME"/>
        </w:rPr>
        <w:t>n</w:t>
      </w:r>
      <w:r w:rsidR="007A06BA" w:rsidRPr="00CC0378">
        <w:rPr>
          <w:bCs/>
          <w:sz w:val="22"/>
          <w:szCs w:val="22"/>
          <w:lang w:val="sr-Latn-ME"/>
        </w:rPr>
        <w:t>tn</w:t>
      </w:r>
      <w:r w:rsidRPr="00CC0378">
        <w:rPr>
          <w:bCs/>
          <w:sz w:val="22"/>
          <w:szCs w:val="22"/>
          <w:lang w:val="sr-Latn-ME"/>
        </w:rPr>
        <w:t>og simptoma (npr. značajni nenam</w:t>
      </w:r>
      <w:r w:rsidR="007A06BA" w:rsidRPr="00CC0378">
        <w:rPr>
          <w:bCs/>
          <w:sz w:val="22"/>
          <w:szCs w:val="22"/>
          <w:lang w:val="sr-Latn-ME"/>
        </w:rPr>
        <w:t>j</w:t>
      </w:r>
      <w:r w:rsidRPr="00CC0378">
        <w:rPr>
          <w:bCs/>
          <w:sz w:val="22"/>
          <w:szCs w:val="22"/>
          <w:lang w:val="sr-Latn-ME"/>
        </w:rPr>
        <w:t>erni gubitak tjelesne težine, često povraćanje, disfagija, hematemeza ili melena) i kada se sumnja na čir na želucu ili kada je on potvrđen, treba isključiti malignitet, jer terapija Nexiumom može da ublaži simptome i odloži dijagnozu.</w:t>
      </w:r>
    </w:p>
    <w:p w14:paraId="624F8B78" w14:textId="77777777" w:rsidR="00B31A63" w:rsidRPr="00CC0378" w:rsidRDefault="00B31A63" w:rsidP="00CC0378">
      <w:pPr>
        <w:jc w:val="both"/>
        <w:rPr>
          <w:bCs/>
          <w:sz w:val="22"/>
          <w:szCs w:val="22"/>
          <w:lang w:val="sr-Latn-ME"/>
        </w:rPr>
      </w:pPr>
    </w:p>
    <w:p w14:paraId="20A66166" w14:textId="77777777" w:rsidR="00B31A63" w:rsidRPr="00CC0378" w:rsidRDefault="00B31A63" w:rsidP="00CC0378">
      <w:pPr>
        <w:jc w:val="both"/>
        <w:rPr>
          <w:bCs/>
          <w:sz w:val="22"/>
          <w:szCs w:val="22"/>
          <w:u w:val="single"/>
          <w:lang w:val="sr-Latn-ME"/>
        </w:rPr>
      </w:pPr>
      <w:r w:rsidRPr="00CC0378">
        <w:rPr>
          <w:bCs/>
          <w:sz w:val="22"/>
          <w:szCs w:val="22"/>
          <w:u w:val="single"/>
          <w:lang w:val="sr-Latn-ME"/>
        </w:rPr>
        <w:t>Dugotrajna upotreba</w:t>
      </w:r>
    </w:p>
    <w:p w14:paraId="74295A1C" w14:textId="77777777" w:rsidR="00B31A63" w:rsidRPr="00CC0378" w:rsidRDefault="00B31A63" w:rsidP="00CC0378">
      <w:pPr>
        <w:jc w:val="both"/>
        <w:rPr>
          <w:bCs/>
          <w:sz w:val="22"/>
          <w:szCs w:val="22"/>
          <w:lang w:val="sr-Latn-ME"/>
        </w:rPr>
      </w:pPr>
      <w:r w:rsidRPr="00CC0378">
        <w:rPr>
          <w:bCs/>
          <w:sz w:val="22"/>
          <w:szCs w:val="22"/>
          <w:lang w:val="sr-Latn-ME"/>
        </w:rPr>
        <w:t>Pacijente na dugotrajnoj terapiji (posebno one koji se liječe duže od godine dana) treba redovno kontrolisati.</w:t>
      </w:r>
    </w:p>
    <w:p w14:paraId="7172CCD8" w14:textId="77777777" w:rsidR="00B31A63" w:rsidRPr="00CC0378" w:rsidRDefault="00B31A63" w:rsidP="00CC0378">
      <w:pPr>
        <w:jc w:val="both"/>
        <w:rPr>
          <w:bCs/>
          <w:sz w:val="22"/>
          <w:szCs w:val="22"/>
          <w:lang w:val="sr-Latn-ME"/>
        </w:rPr>
      </w:pPr>
    </w:p>
    <w:p w14:paraId="5C29713B" w14:textId="77777777" w:rsidR="00B31A63" w:rsidRPr="00CC0378" w:rsidRDefault="00B31A63" w:rsidP="00CC0378">
      <w:pPr>
        <w:jc w:val="both"/>
        <w:rPr>
          <w:bCs/>
          <w:sz w:val="22"/>
          <w:szCs w:val="22"/>
          <w:u w:val="single"/>
          <w:lang w:val="sr-Latn-ME"/>
        </w:rPr>
      </w:pPr>
      <w:r w:rsidRPr="00CC0378">
        <w:rPr>
          <w:bCs/>
          <w:sz w:val="22"/>
          <w:szCs w:val="22"/>
          <w:u w:val="single"/>
          <w:lang w:val="sr-Latn-ME"/>
        </w:rPr>
        <w:t>Terapija po potrebi</w:t>
      </w:r>
    </w:p>
    <w:p w14:paraId="3CE9BA87" w14:textId="3C8773FE" w:rsidR="00B31A63" w:rsidRPr="00CC0378" w:rsidRDefault="00B31A63" w:rsidP="00CC0378">
      <w:pPr>
        <w:jc w:val="both"/>
        <w:rPr>
          <w:bCs/>
          <w:sz w:val="22"/>
          <w:szCs w:val="22"/>
          <w:lang w:val="sr-Latn-ME"/>
        </w:rPr>
      </w:pPr>
      <w:r w:rsidRPr="00CC0378">
        <w:rPr>
          <w:bCs/>
          <w:sz w:val="22"/>
          <w:szCs w:val="22"/>
          <w:lang w:val="sr-Latn-ME"/>
        </w:rPr>
        <w:t>Pacijente koji uzimaju terapiju po potrebi treba uputiti da se obrate svom ljekaru ako se priroda njihovih simptoma prom</w:t>
      </w:r>
      <w:r w:rsidR="00DC276A">
        <w:rPr>
          <w:bCs/>
          <w:sz w:val="22"/>
          <w:szCs w:val="22"/>
          <w:lang w:val="sr-Latn-ME"/>
        </w:rPr>
        <w:t>i</w:t>
      </w:r>
      <w:r w:rsidRPr="00CC0378">
        <w:rPr>
          <w:bCs/>
          <w:sz w:val="22"/>
          <w:szCs w:val="22"/>
          <w:lang w:val="sr-Latn-ME"/>
        </w:rPr>
        <w:t xml:space="preserve">jeni. </w:t>
      </w:r>
    </w:p>
    <w:p w14:paraId="6DA59B91" w14:textId="77777777" w:rsidR="00B31A63" w:rsidRPr="00CC0378" w:rsidRDefault="00B31A63" w:rsidP="00CC0378">
      <w:pPr>
        <w:jc w:val="both"/>
        <w:rPr>
          <w:bCs/>
          <w:sz w:val="22"/>
          <w:szCs w:val="22"/>
          <w:lang w:val="sr-Latn-ME"/>
        </w:rPr>
      </w:pPr>
    </w:p>
    <w:p w14:paraId="054DF14E" w14:textId="77777777" w:rsidR="00B31A63" w:rsidRPr="00CC0378" w:rsidRDefault="00B31A63" w:rsidP="00CC0378">
      <w:pPr>
        <w:jc w:val="both"/>
        <w:rPr>
          <w:bCs/>
          <w:sz w:val="22"/>
          <w:szCs w:val="22"/>
          <w:u w:val="single"/>
          <w:lang w:val="sr-Latn-ME"/>
        </w:rPr>
      </w:pPr>
      <w:r w:rsidRPr="00CC0378">
        <w:rPr>
          <w:bCs/>
          <w:sz w:val="22"/>
          <w:szCs w:val="22"/>
          <w:u w:val="single"/>
          <w:lang w:val="sr-Latn-ME"/>
        </w:rPr>
        <w:t xml:space="preserve">Eradikacija bakterije </w:t>
      </w:r>
      <w:r w:rsidRPr="009462F3">
        <w:rPr>
          <w:bCs/>
          <w:i/>
          <w:iCs/>
          <w:sz w:val="22"/>
          <w:szCs w:val="22"/>
          <w:u w:val="single"/>
          <w:lang w:val="sr-Latn-ME"/>
        </w:rPr>
        <w:t>Helicobacter pylori</w:t>
      </w:r>
    </w:p>
    <w:p w14:paraId="1A2EF8E8" w14:textId="200F26FC" w:rsidR="00B31A63" w:rsidRPr="00CC0378" w:rsidRDefault="00B31A63" w:rsidP="00CC0378">
      <w:pPr>
        <w:jc w:val="both"/>
        <w:rPr>
          <w:bCs/>
          <w:sz w:val="22"/>
          <w:szCs w:val="22"/>
          <w:lang w:val="sr-Latn-ME"/>
        </w:rPr>
      </w:pPr>
      <w:r w:rsidRPr="00CC0378">
        <w:rPr>
          <w:bCs/>
          <w:sz w:val="22"/>
          <w:szCs w:val="22"/>
          <w:lang w:val="sr-Latn-ME"/>
        </w:rPr>
        <w:t>Kada se esomeprazol propisuje radi eradikacije Helicobacter pylori treba uzeti u obzir moguće interakcije sa ljekovima za sve d</w:t>
      </w:r>
      <w:r w:rsidR="00D26F73" w:rsidRPr="00CC0378">
        <w:rPr>
          <w:bCs/>
          <w:sz w:val="22"/>
          <w:szCs w:val="22"/>
          <w:lang w:val="sr-Latn-ME"/>
        </w:rPr>
        <w:t>j</w:t>
      </w:r>
      <w:r w:rsidRPr="00CC0378">
        <w:rPr>
          <w:bCs/>
          <w:sz w:val="22"/>
          <w:szCs w:val="22"/>
          <w:lang w:val="sr-Latn-ME"/>
        </w:rPr>
        <w:t>elove trokomponentne terapije. Klaritromicin je snažan inhibitor CYP3A4, pa stoga treba uzeti u obzir sve kontraindikacije i interakcije za klaritromicin kada se koristi trokomponentna terapija kod pacijenata koji uzimaju i druge ljekove koji se metabolizuju preko CYP3A4 kao što je cisaprid.</w:t>
      </w:r>
    </w:p>
    <w:p w14:paraId="170F9F45" w14:textId="3AC2CC3C" w:rsidR="00B31A63" w:rsidRDefault="00B31A63" w:rsidP="00CC0378">
      <w:pPr>
        <w:jc w:val="both"/>
        <w:rPr>
          <w:bCs/>
          <w:sz w:val="22"/>
          <w:szCs w:val="22"/>
          <w:lang w:val="sr-Latn-ME"/>
        </w:rPr>
      </w:pPr>
    </w:p>
    <w:p w14:paraId="4D5DDC61" w14:textId="77777777" w:rsidR="00B31A63" w:rsidRPr="00CC0378" w:rsidRDefault="00B31A63" w:rsidP="00CC0378">
      <w:pPr>
        <w:jc w:val="both"/>
        <w:rPr>
          <w:bCs/>
          <w:sz w:val="22"/>
          <w:szCs w:val="22"/>
          <w:u w:val="single"/>
          <w:lang w:val="sr-Latn-ME"/>
        </w:rPr>
      </w:pPr>
      <w:r w:rsidRPr="00CC0378">
        <w:rPr>
          <w:bCs/>
          <w:sz w:val="22"/>
          <w:szCs w:val="22"/>
          <w:u w:val="single"/>
          <w:lang w:val="sr-Latn-ME"/>
        </w:rPr>
        <w:t>Infekcije gastrointestinalnog trakta</w:t>
      </w:r>
    </w:p>
    <w:p w14:paraId="3165745D" w14:textId="4F9FC829" w:rsidR="00B31A63" w:rsidRPr="00CC0378" w:rsidRDefault="00B31A63" w:rsidP="00CC0378">
      <w:pPr>
        <w:jc w:val="both"/>
        <w:rPr>
          <w:bCs/>
          <w:sz w:val="22"/>
          <w:szCs w:val="22"/>
          <w:lang w:val="sr-Latn-ME"/>
        </w:rPr>
      </w:pPr>
      <w:r w:rsidRPr="00CC0378">
        <w:rPr>
          <w:bCs/>
          <w:sz w:val="22"/>
          <w:szCs w:val="22"/>
          <w:lang w:val="sr-Latn-ME"/>
        </w:rPr>
        <w:t>Terapija inhibitorima protonske pumpe može da dovede do neznatno povećanog rizika od gastrointestinalnih infekcija kao što su  Salmonella i Campylobacter (</w:t>
      </w:r>
      <w:r w:rsidR="00D26F73" w:rsidRPr="00CC0378">
        <w:rPr>
          <w:bCs/>
          <w:sz w:val="22"/>
          <w:szCs w:val="22"/>
          <w:lang w:val="sr-Latn-ME"/>
        </w:rPr>
        <w:t>v</w:t>
      </w:r>
      <w:r w:rsidRPr="00CC0378">
        <w:rPr>
          <w:bCs/>
          <w:sz w:val="22"/>
          <w:szCs w:val="22"/>
          <w:lang w:val="sr-Latn-ME"/>
        </w:rPr>
        <w:t xml:space="preserve">idjeti </w:t>
      </w:r>
      <w:r w:rsidR="00E32873">
        <w:rPr>
          <w:bCs/>
          <w:sz w:val="22"/>
          <w:szCs w:val="22"/>
          <w:lang w:val="sr-Latn-ME"/>
        </w:rPr>
        <w:t>dio</w:t>
      </w:r>
      <w:r w:rsidRPr="00CC0378">
        <w:rPr>
          <w:bCs/>
          <w:sz w:val="22"/>
          <w:szCs w:val="22"/>
          <w:lang w:val="sr-Latn-ME"/>
        </w:rPr>
        <w:t xml:space="preserve"> 5.1).</w:t>
      </w:r>
    </w:p>
    <w:p w14:paraId="1C2DDF77" w14:textId="77777777" w:rsidR="00B31A63" w:rsidRPr="00CC0378" w:rsidRDefault="00B31A63" w:rsidP="00CC0378">
      <w:pPr>
        <w:jc w:val="both"/>
        <w:rPr>
          <w:bCs/>
          <w:sz w:val="22"/>
          <w:szCs w:val="22"/>
          <w:lang w:val="sr-Latn-ME"/>
        </w:rPr>
      </w:pPr>
    </w:p>
    <w:p w14:paraId="26E29D3E" w14:textId="77777777" w:rsidR="00B31A63" w:rsidRPr="00CC0378" w:rsidRDefault="00B31A63" w:rsidP="00CC0378">
      <w:pPr>
        <w:jc w:val="both"/>
        <w:rPr>
          <w:bCs/>
          <w:sz w:val="22"/>
          <w:szCs w:val="22"/>
          <w:u w:val="single"/>
          <w:lang w:val="sr-Latn-ME"/>
        </w:rPr>
      </w:pPr>
      <w:r w:rsidRPr="00CC0378">
        <w:rPr>
          <w:bCs/>
          <w:sz w:val="22"/>
          <w:szCs w:val="22"/>
          <w:u w:val="single"/>
          <w:lang w:val="sr-Latn-ME"/>
        </w:rPr>
        <w:t>Resporpcija vitamina B12</w:t>
      </w:r>
    </w:p>
    <w:p w14:paraId="3040A967" w14:textId="252B8B39" w:rsidR="00B31A63" w:rsidRPr="00CC0378" w:rsidRDefault="00B31A63" w:rsidP="00CC0378">
      <w:pPr>
        <w:jc w:val="both"/>
        <w:rPr>
          <w:bCs/>
          <w:sz w:val="22"/>
          <w:szCs w:val="22"/>
          <w:lang w:val="sr-Latn-ME"/>
        </w:rPr>
      </w:pPr>
      <w:r w:rsidRPr="00CC0378">
        <w:rPr>
          <w:bCs/>
          <w:sz w:val="22"/>
          <w:szCs w:val="22"/>
          <w:lang w:val="sr-Latn-ME"/>
        </w:rPr>
        <w:t>Esomeprazol, kao i svi ljekovi koji smanjuju lučenje želudačne kiseline, može smanjiti apsorpciju vitamina B12 (cijanokobalamin) usl</w:t>
      </w:r>
      <w:r w:rsidR="00D26F73" w:rsidRPr="00CC0378">
        <w:rPr>
          <w:bCs/>
          <w:sz w:val="22"/>
          <w:szCs w:val="22"/>
          <w:lang w:val="sr-Latn-ME"/>
        </w:rPr>
        <w:t>j</w:t>
      </w:r>
      <w:r w:rsidRPr="00CC0378">
        <w:rPr>
          <w:bCs/>
          <w:sz w:val="22"/>
          <w:szCs w:val="22"/>
          <w:lang w:val="sr-Latn-ME"/>
        </w:rPr>
        <w:t>ed hipohlorhidrije ili ahlorhidrije. To treba uzeti u obzir kod pacijenata sa smanjenim depoima ili faktorima rizika za smanjenu apsorpciju vitamina B12 pri dugotrajnoj terapaiji.</w:t>
      </w:r>
    </w:p>
    <w:p w14:paraId="233CC287" w14:textId="77777777" w:rsidR="00660338" w:rsidRDefault="00660338" w:rsidP="00CC0378">
      <w:pPr>
        <w:jc w:val="both"/>
        <w:rPr>
          <w:bCs/>
          <w:sz w:val="22"/>
          <w:szCs w:val="22"/>
          <w:u w:val="single"/>
          <w:lang w:val="sr-Latn-ME"/>
        </w:rPr>
      </w:pPr>
    </w:p>
    <w:p w14:paraId="5DA30CD0" w14:textId="4422AEBF" w:rsidR="00B31A63" w:rsidRPr="00CC0378" w:rsidRDefault="00B31A63" w:rsidP="00CC0378">
      <w:pPr>
        <w:jc w:val="both"/>
        <w:rPr>
          <w:bCs/>
          <w:sz w:val="22"/>
          <w:szCs w:val="22"/>
          <w:u w:val="single"/>
          <w:lang w:val="sr-Latn-ME"/>
        </w:rPr>
      </w:pPr>
      <w:r w:rsidRPr="00CC0378">
        <w:rPr>
          <w:bCs/>
          <w:sz w:val="22"/>
          <w:szCs w:val="22"/>
          <w:u w:val="single"/>
          <w:lang w:val="sr-Latn-ME"/>
        </w:rPr>
        <w:t>Hipomagnezemija</w:t>
      </w:r>
    </w:p>
    <w:p w14:paraId="532F5FAD" w14:textId="77777777" w:rsidR="00B31A63" w:rsidRPr="00CC0378" w:rsidRDefault="00B31A63" w:rsidP="00CC0378">
      <w:pPr>
        <w:jc w:val="both"/>
        <w:rPr>
          <w:bCs/>
          <w:sz w:val="22"/>
          <w:szCs w:val="22"/>
          <w:lang w:val="sr-Latn-ME"/>
        </w:rPr>
      </w:pPr>
      <w:r w:rsidRPr="00CC0378">
        <w:rPr>
          <w:bCs/>
          <w:sz w:val="22"/>
          <w:szCs w:val="22"/>
          <w:lang w:val="sr-Latn-ME"/>
        </w:rPr>
        <w:t>Prijavljeni su slučajevi teške hipomagnezijemije kod pacijenata liječenih inhibitorima protonske pumpe,  kao što je esomeprazol, u trajanju od najmanje tri mjeseca, a u većini slučajeva do godinu dana. Mogu se javiti ozbiljni znaci hipomagnezijemije kao što su iscrpljenost, tetanija, delirijum, konvulzije, vrtoglavice i ventrikularna aritmija, ovi znaci u početku mogu biti prikriveni, te ih je lako previdjeti. Kod većine pacijenata hipomagnezijemija se popravlja nakon suplementacije magnezijumom i prekida terapije inhibitorima protonske pumpe.</w:t>
      </w:r>
    </w:p>
    <w:p w14:paraId="5B766110" w14:textId="77777777" w:rsidR="00B31A63" w:rsidRPr="00CC0378" w:rsidRDefault="00B31A63" w:rsidP="00CC0378">
      <w:pPr>
        <w:jc w:val="both"/>
        <w:rPr>
          <w:bCs/>
          <w:sz w:val="22"/>
          <w:szCs w:val="22"/>
          <w:lang w:val="sr-Latn-ME"/>
        </w:rPr>
      </w:pPr>
    </w:p>
    <w:p w14:paraId="67768E42" w14:textId="1288D04B" w:rsidR="00B31A63" w:rsidRPr="00CC0378" w:rsidRDefault="00B31A63" w:rsidP="00CC0378">
      <w:pPr>
        <w:jc w:val="both"/>
        <w:rPr>
          <w:bCs/>
          <w:sz w:val="22"/>
          <w:szCs w:val="22"/>
          <w:lang w:val="sr-Latn-ME"/>
        </w:rPr>
      </w:pPr>
      <w:r w:rsidRPr="00CC0378">
        <w:rPr>
          <w:bCs/>
          <w:sz w:val="22"/>
          <w:szCs w:val="22"/>
          <w:lang w:val="sr-Latn-ME"/>
        </w:rPr>
        <w:t>Kod pacijenata za koje se očekuje da će biti na produženoj terapiji inhibitorima protonske pumpe ili koji uzimaju inhibitore protonske pumpe sa digoksinom ili ljekovima koji izazivaju hipomagnezijemiju (npr. diuretici), ljekari bi trebalo da razmotre određivanje nivoa magnezijuma pr</w:t>
      </w:r>
      <w:r w:rsidR="00785739" w:rsidRPr="00CC0378">
        <w:rPr>
          <w:bCs/>
          <w:sz w:val="22"/>
          <w:szCs w:val="22"/>
          <w:lang w:val="sr-Latn-ME"/>
        </w:rPr>
        <w:t>ij</w:t>
      </w:r>
      <w:r w:rsidRPr="00CC0378">
        <w:rPr>
          <w:bCs/>
          <w:sz w:val="22"/>
          <w:szCs w:val="22"/>
          <w:lang w:val="sr-Latn-ME"/>
        </w:rPr>
        <w:t>e terapije inhibitorima protonske pumpe i periodično u toku terapije.</w:t>
      </w:r>
    </w:p>
    <w:p w14:paraId="4A3C65F3" w14:textId="77777777" w:rsidR="00B31A63" w:rsidRPr="00CC0378" w:rsidRDefault="00B31A63" w:rsidP="00CC0378">
      <w:pPr>
        <w:jc w:val="both"/>
        <w:rPr>
          <w:bCs/>
          <w:sz w:val="22"/>
          <w:szCs w:val="22"/>
          <w:lang w:val="sr-Latn-ME"/>
        </w:rPr>
      </w:pPr>
    </w:p>
    <w:p w14:paraId="0A1FEB4E" w14:textId="0575AA9F" w:rsidR="00B31A63" w:rsidRPr="00CC0378" w:rsidRDefault="00B31A63" w:rsidP="00CC0378">
      <w:pPr>
        <w:jc w:val="both"/>
        <w:rPr>
          <w:bCs/>
          <w:sz w:val="22"/>
          <w:szCs w:val="22"/>
          <w:u w:val="single"/>
          <w:lang w:val="sr-Latn-ME"/>
        </w:rPr>
      </w:pPr>
      <w:r w:rsidRPr="00CC0378">
        <w:rPr>
          <w:bCs/>
          <w:sz w:val="22"/>
          <w:szCs w:val="22"/>
          <w:u w:val="single"/>
          <w:lang w:val="sr-Latn-ME"/>
        </w:rPr>
        <w:t>Rizik od preloma</w:t>
      </w:r>
    </w:p>
    <w:p w14:paraId="0592C284" w14:textId="25AB84C5" w:rsidR="00B31A63" w:rsidRPr="00CC0378" w:rsidRDefault="00B31A63" w:rsidP="00CC0378">
      <w:pPr>
        <w:jc w:val="both"/>
        <w:rPr>
          <w:bCs/>
          <w:sz w:val="22"/>
          <w:szCs w:val="22"/>
          <w:lang w:val="sr-Latn-ME"/>
        </w:rPr>
      </w:pPr>
      <w:r w:rsidRPr="00CC0378">
        <w:rPr>
          <w:bCs/>
          <w:sz w:val="22"/>
          <w:szCs w:val="22"/>
          <w:lang w:val="sr-Latn-ME"/>
        </w:rPr>
        <w:t>Inhibitori protonske pumpe, posebno ako se koriste u visokim dozama i tokom dužeg perioda (&gt;1 godine), mogu u manjoj m</w:t>
      </w:r>
      <w:r w:rsidR="00785739" w:rsidRPr="00CC0378">
        <w:rPr>
          <w:bCs/>
          <w:sz w:val="22"/>
          <w:szCs w:val="22"/>
          <w:lang w:val="sr-Latn-ME"/>
        </w:rPr>
        <w:t>j</w:t>
      </w:r>
      <w:r w:rsidRPr="00CC0378">
        <w:rPr>
          <w:bCs/>
          <w:sz w:val="22"/>
          <w:szCs w:val="22"/>
          <w:lang w:val="sr-Latn-ME"/>
        </w:rPr>
        <w:t>eri povećati rizik od fraktura kuka, ručnog zgloba i kičme, posebno kod starijih pacijenata ili ako postoje drugi faktori rizika. U opservacion</w:t>
      </w:r>
      <w:r w:rsidR="00785739" w:rsidRPr="00CC0378">
        <w:rPr>
          <w:bCs/>
          <w:sz w:val="22"/>
          <w:szCs w:val="22"/>
          <w:lang w:val="sr-Latn-ME"/>
        </w:rPr>
        <w:t>i</w:t>
      </w:r>
      <w:r w:rsidRPr="00CC0378">
        <w:rPr>
          <w:bCs/>
          <w:sz w:val="22"/>
          <w:szCs w:val="22"/>
          <w:lang w:val="sr-Latn-ME"/>
        </w:rPr>
        <w:t>m studijama uočeno je da inhibitori protonske pumpe mogu povećati ukupni rizik od fraktura za 10-40%. Djelimično, ovo povećanje rizika može biti posl</w:t>
      </w:r>
      <w:r w:rsidR="00785739" w:rsidRPr="00CC0378">
        <w:rPr>
          <w:bCs/>
          <w:sz w:val="22"/>
          <w:szCs w:val="22"/>
          <w:lang w:val="sr-Latn-ME"/>
        </w:rPr>
        <w:t>j</w:t>
      </w:r>
      <w:r w:rsidRPr="00CC0378">
        <w:rPr>
          <w:bCs/>
          <w:sz w:val="22"/>
          <w:szCs w:val="22"/>
          <w:lang w:val="sr-Latn-ME"/>
        </w:rPr>
        <w:t>edica drugih faktora rizika. Pacijente sa rizikom od osteoporoze treba liječiti u skladu sa važećim sm</w:t>
      </w:r>
      <w:r w:rsidR="00785739" w:rsidRPr="00CC0378">
        <w:rPr>
          <w:bCs/>
          <w:sz w:val="22"/>
          <w:szCs w:val="22"/>
          <w:lang w:val="sr-Latn-ME"/>
        </w:rPr>
        <w:t>j</w:t>
      </w:r>
      <w:r w:rsidRPr="00CC0378">
        <w:rPr>
          <w:bCs/>
          <w:sz w:val="22"/>
          <w:szCs w:val="22"/>
          <w:lang w:val="sr-Latn-ME"/>
        </w:rPr>
        <w:t>ernicama uz adekvatnu suplementaciju vitamina D i kalcijuma.</w:t>
      </w:r>
    </w:p>
    <w:p w14:paraId="6A3CF7C0" w14:textId="77777777" w:rsidR="00B31A63" w:rsidRPr="00CC0378" w:rsidRDefault="00B31A63" w:rsidP="00CC0378">
      <w:pPr>
        <w:jc w:val="both"/>
        <w:rPr>
          <w:bCs/>
          <w:sz w:val="22"/>
          <w:szCs w:val="22"/>
          <w:lang w:val="sr-Latn-ME"/>
        </w:rPr>
      </w:pPr>
    </w:p>
    <w:p w14:paraId="3FF96AA0" w14:textId="27539796" w:rsidR="00B31A63" w:rsidRPr="00CC0378" w:rsidRDefault="00B31A63" w:rsidP="00CC0378">
      <w:pPr>
        <w:jc w:val="both"/>
        <w:rPr>
          <w:bCs/>
          <w:sz w:val="22"/>
          <w:szCs w:val="22"/>
          <w:u w:val="single"/>
          <w:lang w:val="sr-Latn-ME"/>
        </w:rPr>
      </w:pPr>
      <w:r w:rsidRPr="00CC0378">
        <w:rPr>
          <w:bCs/>
          <w:sz w:val="22"/>
          <w:szCs w:val="22"/>
          <w:u w:val="single"/>
          <w:lang w:val="sr-Latn-ME"/>
        </w:rPr>
        <w:t>Subakutni kutani lupus erythematosus</w:t>
      </w:r>
      <w:r w:rsidR="00785739" w:rsidRPr="00CC0378">
        <w:rPr>
          <w:bCs/>
          <w:sz w:val="22"/>
          <w:szCs w:val="22"/>
          <w:u w:val="single"/>
          <w:lang w:val="sr-Latn-ME"/>
        </w:rPr>
        <w:t xml:space="preserve"> (SCLE)</w:t>
      </w:r>
    </w:p>
    <w:p w14:paraId="6103AD08" w14:textId="63F4523B" w:rsidR="00B31A63" w:rsidRPr="00CC0378" w:rsidRDefault="00B31A63" w:rsidP="00CC0378">
      <w:pPr>
        <w:jc w:val="both"/>
        <w:rPr>
          <w:bCs/>
          <w:sz w:val="22"/>
          <w:szCs w:val="22"/>
          <w:lang w:val="sr-Latn-ME"/>
        </w:rPr>
      </w:pPr>
      <w:r w:rsidRPr="00CC0378">
        <w:rPr>
          <w:bCs/>
          <w:sz w:val="22"/>
          <w:szCs w:val="22"/>
          <w:lang w:val="sr-Latn-ME"/>
        </w:rPr>
        <w:t>Inhibitori protonske pumpe su povezani sa vrlo rijetkim slučajevima SCLE. Ako se pojave lezije, posebno na d</w:t>
      </w:r>
      <w:r w:rsidR="00785739" w:rsidRPr="00CC0378">
        <w:rPr>
          <w:bCs/>
          <w:sz w:val="22"/>
          <w:szCs w:val="22"/>
          <w:lang w:val="sr-Latn-ME"/>
        </w:rPr>
        <w:t>j</w:t>
      </w:r>
      <w:r w:rsidRPr="00CC0378">
        <w:rPr>
          <w:bCs/>
          <w:sz w:val="22"/>
          <w:szCs w:val="22"/>
          <w:lang w:val="sr-Latn-ME"/>
        </w:rPr>
        <w:t xml:space="preserve">elovima kože izloženim suncu i ako su udružene sa bolovima u zglobovima, pacijent treba odmah da zatraži medicinsku pomoć, a zdravstveni radnik treba da razmotri obustavljanje terapije lijekom Nexium. Pojava SCLE nakon prethodne terapije nekim inhibitorom protonske pumpe može povećati rizik od javljanja SCLE pri primjeni drugih inhibitora protonske pumpe. </w:t>
      </w:r>
    </w:p>
    <w:p w14:paraId="651203F0" w14:textId="77777777" w:rsidR="00B31A63" w:rsidRPr="00CC0378" w:rsidRDefault="00B31A63" w:rsidP="00CC0378">
      <w:pPr>
        <w:jc w:val="both"/>
        <w:rPr>
          <w:bCs/>
          <w:sz w:val="22"/>
          <w:szCs w:val="22"/>
          <w:lang w:val="sr-Latn-ME"/>
        </w:rPr>
      </w:pPr>
    </w:p>
    <w:p w14:paraId="7F2E0DF0" w14:textId="77777777" w:rsidR="00B31A63" w:rsidRPr="00CC0378" w:rsidRDefault="00B31A63" w:rsidP="00CC0378">
      <w:pPr>
        <w:jc w:val="both"/>
        <w:rPr>
          <w:bCs/>
          <w:sz w:val="22"/>
          <w:szCs w:val="22"/>
          <w:u w:val="single"/>
          <w:lang w:val="sr-Latn-ME"/>
        </w:rPr>
      </w:pPr>
      <w:r w:rsidRPr="00CC0378">
        <w:rPr>
          <w:bCs/>
          <w:sz w:val="22"/>
          <w:szCs w:val="22"/>
          <w:u w:val="single"/>
          <w:lang w:val="sr-Latn-ME"/>
        </w:rPr>
        <w:t>Istovremena primjena sa drugim ljekovima</w:t>
      </w:r>
    </w:p>
    <w:p w14:paraId="24D9A4C7" w14:textId="77E4B4B0" w:rsidR="00B31A63" w:rsidRPr="00CC0378" w:rsidRDefault="00B31A63" w:rsidP="00CC0378">
      <w:pPr>
        <w:jc w:val="both"/>
        <w:rPr>
          <w:bCs/>
          <w:sz w:val="22"/>
          <w:szCs w:val="22"/>
          <w:lang w:val="sr-Latn-ME"/>
        </w:rPr>
      </w:pPr>
      <w:r w:rsidRPr="00CC0378">
        <w:rPr>
          <w:bCs/>
          <w:sz w:val="22"/>
          <w:szCs w:val="22"/>
          <w:lang w:val="sr-Latn-ME"/>
        </w:rPr>
        <w:t>Istovremena primjena esomeprazola sa atazanavirom se ne preporučuje (vid</w:t>
      </w:r>
      <w:r w:rsidR="00785739" w:rsidRPr="00CC0378">
        <w:rPr>
          <w:bCs/>
          <w:sz w:val="22"/>
          <w:szCs w:val="22"/>
          <w:lang w:val="sr-Latn-ME"/>
        </w:rPr>
        <w:t>j</w:t>
      </w:r>
      <w:r w:rsidRPr="00CC0378">
        <w:rPr>
          <w:bCs/>
          <w:sz w:val="22"/>
          <w:szCs w:val="22"/>
          <w:lang w:val="sr-Latn-ME"/>
        </w:rPr>
        <w:t xml:space="preserve">eti </w:t>
      </w:r>
      <w:r w:rsidR="00E32873">
        <w:rPr>
          <w:bCs/>
          <w:sz w:val="22"/>
          <w:szCs w:val="22"/>
          <w:lang w:val="sr-Latn-ME"/>
        </w:rPr>
        <w:t>dio</w:t>
      </w:r>
      <w:r w:rsidRPr="00CC0378">
        <w:rPr>
          <w:bCs/>
          <w:sz w:val="22"/>
          <w:szCs w:val="22"/>
          <w:lang w:val="sr-Latn-ME"/>
        </w:rPr>
        <w:t xml:space="preserve"> 4.5). Ukoliko se proc</w:t>
      </w:r>
      <w:r w:rsidR="00785739" w:rsidRPr="00CC0378">
        <w:rPr>
          <w:bCs/>
          <w:sz w:val="22"/>
          <w:szCs w:val="22"/>
          <w:lang w:val="sr-Latn-ME"/>
        </w:rPr>
        <w:t>j</w:t>
      </w:r>
      <w:r w:rsidRPr="00CC0378">
        <w:rPr>
          <w:bCs/>
          <w:sz w:val="22"/>
          <w:szCs w:val="22"/>
          <w:lang w:val="sr-Latn-ME"/>
        </w:rPr>
        <w:t xml:space="preserve">eni da je kombinacija atazanavira sa inhibitorom protonske pumpe neophodna, neophodno je blisko kliničko praćenje u kombinaciji sa povećanjem doze atazanavira na 400 mg sa 100 mg ritonavira, a dozu esomeprazola ne bi trebalo povećavati na više od 20 mg.  </w:t>
      </w:r>
    </w:p>
    <w:p w14:paraId="4C93320C" w14:textId="77777777" w:rsidR="00B31A63" w:rsidRPr="00CC0378" w:rsidRDefault="00B31A63" w:rsidP="00CC0378">
      <w:pPr>
        <w:jc w:val="both"/>
        <w:rPr>
          <w:bCs/>
          <w:sz w:val="22"/>
          <w:szCs w:val="22"/>
          <w:lang w:val="sr-Latn-ME"/>
        </w:rPr>
      </w:pPr>
    </w:p>
    <w:p w14:paraId="45F3C256" w14:textId="1BF4B6CE" w:rsidR="00B31A63" w:rsidRPr="00CC0378" w:rsidRDefault="00B31A63" w:rsidP="00CC0378">
      <w:pPr>
        <w:jc w:val="both"/>
        <w:rPr>
          <w:bCs/>
          <w:sz w:val="22"/>
          <w:szCs w:val="22"/>
          <w:lang w:val="sr-Latn-ME"/>
        </w:rPr>
      </w:pPr>
      <w:r w:rsidRPr="00CC0378">
        <w:rPr>
          <w:bCs/>
          <w:sz w:val="22"/>
          <w:szCs w:val="22"/>
          <w:lang w:val="sr-Latn-ME"/>
        </w:rPr>
        <w:t>Esomeprazol je inhibitor izoenzima CYP2C19. Kada se započinje ili završava terapija esomeprazolom, treba uzeti u obzir potencijal za interakcije sa ljekovima koji se metabolišu putem CYP2C19. Prim</w:t>
      </w:r>
      <w:r w:rsidR="00785739" w:rsidRPr="00CC0378">
        <w:rPr>
          <w:bCs/>
          <w:sz w:val="22"/>
          <w:szCs w:val="22"/>
          <w:lang w:val="sr-Latn-ME"/>
        </w:rPr>
        <w:t>i</w:t>
      </w:r>
      <w:r w:rsidRPr="00CC0378">
        <w:rPr>
          <w:bCs/>
          <w:sz w:val="22"/>
          <w:szCs w:val="22"/>
          <w:lang w:val="sr-Latn-ME"/>
        </w:rPr>
        <w:t xml:space="preserve">jećeno je da postoji interakcija između klopidogrela i esomeprazola (vidjeti </w:t>
      </w:r>
      <w:r w:rsidR="00E32873">
        <w:rPr>
          <w:bCs/>
          <w:sz w:val="22"/>
          <w:szCs w:val="22"/>
          <w:lang w:val="sr-Latn-ME"/>
        </w:rPr>
        <w:t>dio</w:t>
      </w:r>
      <w:r w:rsidRPr="00CC0378">
        <w:rPr>
          <w:bCs/>
          <w:sz w:val="22"/>
          <w:szCs w:val="22"/>
          <w:lang w:val="sr-Latn-ME"/>
        </w:rPr>
        <w:t xml:space="preserve"> 4.5). Klinički značaj ove interakcije nije izv</w:t>
      </w:r>
      <w:r w:rsidR="00287560" w:rsidRPr="00CC0378">
        <w:rPr>
          <w:bCs/>
          <w:sz w:val="22"/>
          <w:szCs w:val="22"/>
          <w:lang w:val="sr-Latn-ME"/>
        </w:rPr>
        <w:t>j</w:t>
      </w:r>
      <w:r w:rsidRPr="00CC0378">
        <w:rPr>
          <w:bCs/>
          <w:sz w:val="22"/>
          <w:szCs w:val="22"/>
          <w:lang w:val="sr-Latn-ME"/>
        </w:rPr>
        <w:t>estan. Za svaki slučaj, ne treba savjetovati istovremenu primjenu esomeprazola i klopidogrela.</w:t>
      </w:r>
    </w:p>
    <w:p w14:paraId="33733E20" w14:textId="77777777" w:rsidR="00B31A63" w:rsidRPr="00CC0378" w:rsidRDefault="00B31A63" w:rsidP="00CC0378">
      <w:pPr>
        <w:jc w:val="both"/>
        <w:rPr>
          <w:bCs/>
          <w:sz w:val="22"/>
          <w:szCs w:val="22"/>
          <w:lang w:val="sr-Latn-ME"/>
        </w:rPr>
      </w:pPr>
    </w:p>
    <w:p w14:paraId="4A7B2F16" w14:textId="5BBA6079" w:rsidR="00B31A63" w:rsidRPr="00CC0378" w:rsidRDefault="00B31A63" w:rsidP="00CC0378">
      <w:pPr>
        <w:jc w:val="both"/>
        <w:rPr>
          <w:bCs/>
          <w:sz w:val="22"/>
          <w:szCs w:val="22"/>
          <w:lang w:val="sr-Latn-ME"/>
        </w:rPr>
      </w:pPr>
      <w:r w:rsidRPr="00CC0378">
        <w:rPr>
          <w:bCs/>
          <w:sz w:val="22"/>
          <w:szCs w:val="22"/>
          <w:lang w:val="sr-Latn-ME"/>
        </w:rPr>
        <w:t>Kada se esomeprazol propisuje kao terapija po potrebi, treba razmotriti implikacije interakcija s drugim ljekovima usl</w:t>
      </w:r>
      <w:r w:rsidR="00287560" w:rsidRPr="00CC0378">
        <w:rPr>
          <w:bCs/>
          <w:sz w:val="22"/>
          <w:szCs w:val="22"/>
          <w:lang w:val="sr-Latn-ME"/>
        </w:rPr>
        <w:t>j</w:t>
      </w:r>
      <w:r w:rsidRPr="00CC0378">
        <w:rPr>
          <w:bCs/>
          <w:sz w:val="22"/>
          <w:szCs w:val="22"/>
          <w:lang w:val="sr-Latn-ME"/>
        </w:rPr>
        <w:t>ed prom</w:t>
      </w:r>
      <w:r w:rsidR="00287560" w:rsidRPr="00CC0378">
        <w:rPr>
          <w:bCs/>
          <w:sz w:val="22"/>
          <w:szCs w:val="22"/>
          <w:lang w:val="sr-Latn-ME"/>
        </w:rPr>
        <w:t>j</w:t>
      </w:r>
      <w:r w:rsidRPr="00CC0378">
        <w:rPr>
          <w:bCs/>
          <w:sz w:val="22"/>
          <w:szCs w:val="22"/>
          <w:lang w:val="sr-Latn-ME"/>
        </w:rPr>
        <w:t xml:space="preserve">enljivih koncentracija esomeprazola u plazmi. Vidjeti </w:t>
      </w:r>
      <w:r w:rsidR="00E32873">
        <w:rPr>
          <w:bCs/>
          <w:sz w:val="22"/>
          <w:szCs w:val="22"/>
          <w:lang w:val="sr-Latn-ME"/>
        </w:rPr>
        <w:t>dio</w:t>
      </w:r>
      <w:r w:rsidRPr="00CC0378">
        <w:rPr>
          <w:bCs/>
          <w:sz w:val="22"/>
          <w:szCs w:val="22"/>
          <w:lang w:val="sr-Latn-ME"/>
        </w:rPr>
        <w:t xml:space="preserve"> 4.5.</w:t>
      </w:r>
    </w:p>
    <w:p w14:paraId="4E0EC7BF" w14:textId="77777777" w:rsidR="00DC276A" w:rsidRDefault="00DC276A" w:rsidP="00CC0378">
      <w:pPr>
        <w:jc w:val="both"/>
        <w:rPr>
          <w:bCs/>
          <w:sz w:val="22"/>
          <w:szCs w:val="22"/>
          <w:u w:val="single"/>
          <w:lang w:val="sr-Latn-ME"/>
        </w:rPr>
      </w:pPr>
    </w:p>
    <w:p w14:paraId="72CA2A11" w14:textId="43EE1AAC" w:rsidR="00B31A63" w:rsidRPr="00CC0378" w:rsidRDefault="007F3A72" w:rsidP="00CC0378">
      <w:pPr>
        <w:jc w:val="both"/>
        <w:rPr>
          <w:bCs/>
          <w:sz w:val="22"/>
          <w:szCs w:val="22"/>
          <w:u w:val="single"/>
          <w:lang w:val="sr-Latn-ME"/>
        </w:rPr>
      </w:pPr>
      <w:r>
        <w:rPr>
          <w:bCs/>
          <w:sz w:val="22"/>
          <w:szCs w:val="22"/>
          <w:u w:val="single"/>
          <w:lang w:val="sr-Latn-ME"/>
        </w:rPr>
        <w:t>Teške</w:t>
      </w:r>
      <w:r w:rsidRPr="00CC0378">
        <w:rPr>
          <w:bCs/>
          <w:sz w:val="22"/>
          <w:szCs w:val="22"/>
          <w:u w:val="single"/>
          <w:lang w:val="sr-Latn-ME"/>
        </w:rPr>
        <w:t xml:space="preserve"> </w:t>
      </w:r>
      <w:r w:rsidR="00B31A63" w:rsidRPr="00CC0378">
        <w:rPr>
          <w:bCs/>
          <w:sz w:val="22"/>
          <w:szCs w:val="22"/>
          <w:u w:val="single"/>
          <w:lang w:val="sr-Latn-ME"/>
        </w:rPr>
        <w:t>neželjene reakcije na koži (engl.</w:t>
      </w:r>
      <w:r w:rsidR="00C42942">
        <w:rPr>
          <w:bCs/>
          <w:sz w:val="22"/>
          <w:szCs w:val="22"/>
          <w:u w:val="single"/>
          <w:lang w:val="sr-Latn-ME"/>
        </w:rPr>
        <w:t xml:space="preserve"> </w:t>
      </w:r>
      <w:r w:rsidR="00C42942" w:rsidRPr="000C02E1">
        <w:rPr>
          <w:rFonts w:cs="Verdana"/>
          <w:i/>
          <w:color w:val="000000"/>
          <w:u w:val="single"/>
          <w:lang w:val="lt-LT"/>
        </w:rPr>
        <w:t>Severe cutaneous adverse reactions</w:t>
      </w:r>
      <w:r w:rsidR="00C42942">
        <w:rPr>
          <w:rFonts w:cs="Verdana"/>
          <w:color w:val="000000"/>
          <w:u w:val="single"/>
          <w:lang w:val="lt-LT"/>
        </w:rPr>
        <w:t>,</w:t>
      </w:r>
      <w:r w:rsidR="00C42942" w:rsidRPr="001C6C71">
        <w:rPr>
          <w:rFonts w:cs="Verdana"/>
          <w:color w:val="000000"/>
          <w:u w:val="single"/>
          <w:lang w:val="lt-LT"/>
        </w:rPr>
        <w:t xml:space="preserve"> </w:t>
      </w:r>
      <w:r w:rsidR="00B31A63" w:rsidRPr="00CC0378">
        <w:rPr>
          <w:bCs/>
          <w:sz w:val="22"/>
          <w:szCs w:val="22"/>
          <w:u w:val="single"/>
          <w:lang w:val="sr-Latn-ME"/>
        </w:rPr>
        <w:t>SCAR</w:t>
      </w:r>
      <w:r w:rsidR="00C42942">
        <w:rPr>
          <w:bCs/>
          <w:sz w:val="22"/>
          <w:szCs w:val="22"/>
          <w:u w:val="single"/>
          <w:lang w:val="sr-Latn-ME"/>
        </w:rPr>
        <w:t>s</w:t>
      </w:r>
      <w:r w:rsidR="00B31A63" w:rsidRPr="00CC0378">
        <w:rPr>
          <w:bCs/>
          <w:sz w:val="22"/>
          <w:szCs w:val="22"/>
          <w:u w:val="single"/>
          <w:lang w:val="sr-Latn-ME"/>
        </w:rPr>
        <w:t xml:space="preserve">) </w:t>
      </w:r>
    </w:p>
    <w:p w14:paraId="5509EF97" w14:textId="352E48D5" w:rsidR="00C42942" w:rsidRDefault="007F3A72" w:rsidP="00CC0378">
      <w:pPr>
        <w:jc w:val="both"/>
        <w:rPr>
          <w:bCs/>
          <w:sz w:val="22"/>
          <w:szCs w:val="22"/>
          <w:lang w:val="sr-Latn-ME"/>
        </w:rPr>
      </w:pPr>
      <w:r>
        <w:rPr>
          <w:bCs/>
          <w:sz w:val="22"/>
          <w:szCs w:val="22"/>
          <w:lang w:val="sr-Latn-ME"/>
        </w:rPr>
        <w:t>Teške</w:t>
      </w:r>
      <w:r w:rsidRPr="00CC0378">
        <w:rPr>
          <w:bCs/>
          <w:sz w:val="22"/>
          <w:szCs w:val="22"/>
          <w:lang w:val="sr-Latn-ME"/>
        </w:rPr>
        <w:t xml:space="preserve"> </w:t>
      </w:r>
      <w:r w:rsidR="00B31A63" w:rsidRPr="00CC0378">
        <w:rPr>
          <w:bCs/>
          <w:sz w:val="22"/>
          <w:szCs w:val="22"/>
          <w:lang w:val="sr-Latn-ME"/>
        </w:rPr>
        <w:t xml:space="preserve">neželjene reakcije na koži (engl. </w:t>
      </w:r>
      <w:r w:rsidR="00C42942" w:rsidRPr="000C02E1">
        <w:rPr>
          <w:rFonts w:cs="Verdana"/>
          <w:i/>
          <w:color w:val="000000"/>
          <w:u w:val="single"/>
          <w:lang w:val="lt-LT"/>
        </w:rPr>
        <w:t>Severe cutaneous adverse reactions</w:t>
      </w:r>
      <w:r w:rsidR="00C42942">
        <w:rPr>
          <w:rFonts w:cs="Verdana"/>
          <w:color w:val="000000"/>
          <w:u w:val="single"/>
          <w:lang w:val="lt-LT"/>
        </w:rPr>
        <w:t xml:space="preserve">, </w:t>
      </w:r>
      <w:r w:rsidR="00B31A63" w:rsidRPr="00CC0378">
        <w:rPr>
          <w:bCs/>
          <w:sz w:val="22"/>
          <w:szCs w:val="22"/>
          <w:lang w:val="sr-Latn-ME"/>
        </w:rPr>
        <w:t>SCAR</w:t>
      </w:r>
      <w:r w:rsidR="00C42942">
        <w:rPr>
          <w:bCs/>
          <w:sz w:val="22"/>
          <w:szCs w:val="22"/>
          <w:lang w:val="sr-Latn-ME"/>
        </w:rPr>
        <w:t>s</w:t>
      </w:r>
      <w:r w:rsidR="00B31A63" w:rsidRPr="00CC0378">
        <w:rPr>
          <w:bCs/>
          <w:sz w:val="22"/>
          <w:szCs w:val="22"/>
          <w:lang w:val="sr-Latn-ME"/>
        </w:rPr>
        <w:t xml:space="preserve">) kao što </w:t>
      </w:r>
      <w:r w:rsidR="00C42942">
        <w:rPr>
          <w:bCs/>
          <w:sz w:val="22"/>
          <w:szCs w:val="22"/>
          <w:lang w:val="sr-Latn-ME"/>
        </w:rPr>
        <w:t>su</w:t>
      </w:r>
      <w:r w:rsidR="00B31A63" w:rsidRPr="00CC0378">
        <w:rPr>
          <w:bCs/>
          <w:sz w:val="22"/>
          <w:szCs w:val="22"/>
          <w:lang w:val="sr-Latn-ME"/>
        </w:rPr>
        <w:t xml:space="preserve"> multiformni eritem (engl. </w:t>
      </w:r>
      <w:r w:rsidR="00C42942" w:rsidRPr="000C02E1">
        <w:rPr>
          <w:rFonts w:cs="Verdana"/>
          <w:i/>
          <w:color w:val="000000"/>
          <w:u w:val="single"/>
          <w:lang w:val="lt-LT"/>
        </w:rPr>
        <w:t>erythema multiforme</w:t>
      </w:r>
      <w:r w:rsidR="00C42942">
        <w:rPr>
          <w:rFonts w:cs="Verdana"/>
          <w:color w:val="000000"/>
          <w:u w:val="single"/>
          <w:lang w:val="lt-LT"/>
        </w:rPr>
        <w:t>,</w:t>
      </w:r>
      <w:r w:rsidR="00C42942" w:rsidRPr="001C6C71">
        <w:rPr>
          <w:rFonts w:cs="Verdana"/>
          <w:color w:val="000000"/>
          <w:u w:val="single"/>
          <w:lang w:val="lt-LT"/>
        </w:rPr>
        <w:t xml:space="preserve"> </w:t>
      </w:r>
      <w:r w:rsidR="00B31A63" w:rsidRPr="00CC0378">
        <w:rPr>
          <w:bCs/>
          <w:sz w:val="22"/>
          <w:szCs w:val="22"/>
          <w:lang w:val="sr-Latn-ME"/>
        </w:rPr>
        <w:t>EM), Stivens</w:t>
      </w:r>
      <w:r w:rsidR="00287560" w:rsidRPr="00CC0378">
        <w:rPr>
          <w:bCs/>
          <w:sz w:val="22"/>
          <w:szCs w:val="22"/>
          <w:lang w:val="sr-Latn-ME"/>
        </w:rPr>
        <w:t xml:space="preserve"> </w:t>
      </w:r>
      <w:r w:rsidR="00B31A63" w:rsidRPr="00CC0378">
        <w:rPr>
          <w:bCs/>
          <w:sz w:val="22"/>
          <w:szCs w:val="22"/>
          <w:lang w:val="sr-Latn-ME"/>
        </w:rPr>
        <w:t xml:space="preserve">Džonsonov sindrom (engl. </w:t>
      </w:r>
      <w:r w:rsidR="00C42942" w:rsidRPr="000C02E1">
        <w:rPr>
          <w:rFonts w:cs="Verdana"/>
          <w:i/>
          <w:color w:val="000000"/>
          <w:u w:val="single"/>
          <w:lang w:val="lt-LT"/>
        </w:rPr>
        <w:t>Stevens-Johnson syndrome</w:t>
      </w:r>
      <w:r w:rsidR="00C42942">
        <w:rPr>
          <w:rFonts w:cs="Verdana"/>
          <w:color w:val="000000"/>
          <w:u w:val="single"/>
          <w:lang w:val="lt-LT"/>
        </w:rPr>
        <w:t>,</w:t>
      </w:r>
      <w:r w:rsidR="00C42942" w:rsidRPr="00CC0378">
        <w:rPr>
          <w:bCs/>
          <w:sz w:val="22"/>
          <w:szCs w:val="22"/>
          <w:lang w:val="sr-Latn-ME"/>
        </w:rPr>
        <w:t xml:space="preserve"> </w:t>
      </w:r>
      <w:r w:rsidR="00B31A63" w:rsidRPr="00CC0378">
        <w:rPr>
          <w:bCs/>
          <w:sz w:val="22"/>
          <w:szCs w:val="22"/>
          <w:lang w:val="sr-Latn-ME"/>
        </w:rPr>
        <w:t>SJS), toksična epidermalna nekroliza (engl.</w:t>
      </w:r>
      <w:r w:rsidR="00C42942">
        <w:rPr>
          <w:bCs/>
          <w:sz w:val="22"/>
          <w:szCs w:val="22"/>
          <w:lang w:val="sr-Latn-ME"/>
        </w:rPr>
        <w:t xml:space="preserve"> </w:t>
      </w:r>
      <w:r w:rsidR="00C42942" w:rsidRPr="000C02E1">
        <w:rPr>
          <w:rFonts w:cs="Verdana"/>
          <w:i/>
          <w:color w:val="000000"/>
          <w:u w:val="single"/>
          <w:lang w:val="lt-LT"/>
        </w:rPr>
        <w:t>toxic epidermal necrolysis</w:t>
      </w:r>
      <w:r w:rsidR="00C42942">
        <w:rPr>
          <w:bCs/>
          <w:sz w:val="22"/>
          <w:szCs w:val="22"/>
          <w:lang w:val="sr-Latn-ME"/>
        </w:rPr>
        <w:t xml:space="preserve">, </w:t>
      </w:r>
      <w:r w:rsidR="00B31A63" w:rsidRPr="00CC0378">
        <w:rPr>
          <w:bCs/>
          <w:sz w:val="22"/>
          <w:szCs w:val="22"/>
          <w:lang w:val="sr-Latn-ME"/>
        </w:rPr>
        <w:t>TEN) i reakcija na ljekove sa eozinofilijom i sistemskim simptomima (engl.</w:t>
      </w:r>
      <w:r w:rsidR="00C42942">
        <w:rPr>
          <w:bCs/>
          <w:sz w:val="22"/>
          <w:szCs w:val="22"/>
          <w:lang w:val="sr-Latn-ME"/>
        </w:rPr>
        <w:t xml:space="preserve"> </w:t>
      </w:r>
      <w:r w:rsidR="00C42942" w:rsidRPr="000C02E1">
        <w:rPr>
          <w:rFonts w:cs="Verdana"/>
          <w:i/>
          <w:color w:val="000000"/>
          <w:u w:val="single"/>
          <w:lang w:val="lt-LT"/>
        </w:rPr>
        <w:t>drug reaction with eosinophilia and systemic symptoms,</w:t>
      </w:r>
      <w:r w:rsidR="00C42942" w:rsidRPr="001C6C71">
        <w:rPr>
          <w:rFonts w:cs="Verdana"/>
          <w:color w:val="000000"/>
          <w:u w:val="single"/>
          <w:lang w:val="lt-LT"/>
        </w:rPr>
        <w:t xml:space="preserve"> </w:t>
      </w:r>
      <w:r w:rsidR="00B31A63" w:rsidRPr="00CC0378">
        <w:rPr>
          <w:bCs/>
          <w:sz w:val="22"/>
          <w:szCs w:val="22"/>
          <w:lang w:val="sr-Latn-ME"/>
        </w:rPr>
        <w:t>DRESS), koj</w:t>
      </w:r>
      <w:r w:rsidR="00C42942">
        <w:rPr>
          <w:bCs/>
          <w:sz w:val="22"/>
          <w:szCs w:val="22"/>
          <w:lang w:val="sr-Latn-ME"/>
        </w:rPr>
        <w:t>e</w:t>
      </w:r>
      <w:r w:rsidR="00B31A63" w:rsidRPr="00CC0378">
        <w:rPr>
          <w:bCs/>
          <w:sz w:val="22"/>
          <w:szCs w:val="22"/>
          <w:lang w:val="sr-Latn-ME"/>
        </w:rPr>
        <w:t xml:space="preserve"> mogu biti opasn</w:t>
      </w:r>
      <w:r w:rsidR="00C42942">
        <w:rPr>
          <w:bCs/>
          <w:sz w:val="22"/>
          <w:szCs w:val="22"/>
          <w:lang w:val="sr-Latn-ME"/>
        </w:rPr>
        <w:t>e</w:t>
      </w:r>
      <w:r w:rsidR="00B31A63" w:rsidRPr="00CC0378">
        <w:rPr>
          <w:bCs/>
          <w:sz w:val="22"/>
          <w:szCs w:val="22"/>
          <w:lang w:val="sr-Latn-ME"/>
        </w:rPr>
        <w:t xml:space="preserve"> po život</w:t>
      </w:r>
      <w:r>
        <w:rPr>
          <w:bCs/>
          <w:sz w:val="22"/>
          <w:szCs w:val="22"/>
          <w:lang w:val="sr-Latn-ME"/>
        </w:rPr>
        <w:t xml:space="preserve"> ili fataln</w:t>
      </w:r>
      <w:r w:rsidR="00C42942">
        <w:rPr>
          <w:bCs/>
          <w:sz w:val="22"/>
          <w:szCs w:val="22"/>
          <w:lang w:val="sr-Latn-ME"/>
        </w:rPr>
        <w:t>e</w:t>
      </w:r>
      <w:r w:rsidR="00B31A63" w:rsidRPr="00CC0378">
        <w:rPr>
          <w:bCs/>
          <w:sz w:val="22"/>
          <w:szCs w:val="22"/>
          <w:lang w:val="sr-Latn-ME"/>
        </w:rPr>
        <w:t>, veoma rijetko su prijavljen</w:t>
      </w:r>
      <w:r w:rsidR="00C42942">
        <w:rPr>
          <w:bCs/>
          <w:sz w:val="22"/>
          <w:szCs w:val="22"/>
          <w:lang w:val="sr-Latn-ME"/>
        </w:rPr>
        <w:t>e</w:t>
      </w:r>
      <w:r w:rsidR="00B31A63" w:rsidRPr="00CC0378">
        <w:rPr>
          <w:bCs/>
          <w:sz w:val="22"/>
          <w:szCs w:val="22"/>
          <w:lang w:val="sr-Latn-ME"/>
        </w:rPr>
        <w:t xml:space="preserve"> u vezi sa</w:t>
      </w:r>
      <w:r w:rsidR="00287560" w:rsidRPr="00CC0378">
        <w:rPr>
          <w:bCs/>
          <w:sz w:val="22"/>
          <w:szCs w:val="22"/>
          <w:lang w:val="sr-Latn-ME"/>
        </w:rPr>
        <w:t xml:space="preserve"> </w:t>
      </w:r>
      <w:r w:rsidR="0002651F">
        <w:rPr>
          <w:bCs/>
          <w:sz w:val="22"/>
          <w:szCs w:val="22"/>
          <w:lang w:val="sr-Latn-ME"/>
        </w:rPr>
        <w:t>liječenjem</w:t>
      </w:r>
      <w:r w:rsidR="0002651F" w:rsidRPr="00CC0378">
        <w:rPr>
          <w:bCs/>
          <w:sz w:val="22"/>
          <w:szCs w:val="22"/>
          <w:lang w:val="sr-Latn-ME"/>
        </w:rPr>
        <w:t xml:space="preserve"> </w:t>
      </w:r>
      <w:r w:rsidR="00B31A63" w:rsidRPr="00CC0378">
        <w:rPr>
          <w:bCs/>
          <w:sz w:val="22"/>
          <w:szCs w:val="22"/>
          <w:lang w:val="sr-Latn-ME"/>
        </w:rPr>
        <w:t xml:space="preserve">esomeprazolom. </w:t>
      </w:r>
    </w:p>
    <w:p w14:paraId="50BCCE87" w14:textId="3F1C2827" w:rsidR="00B31A63" w:rsidRDefault="00B31A63" w:rsidP="00CC0378">
      <w:pPr>
        <w:jc w:val="both"/>
        <w:rPr>
          <w:bCs/>
          <w:sz w:val="22"/>
          <w:szCs w:val="22"/>
          <w:lang w:val="sr-Latn-ME"/>
        </w:rPr>
      </w:pPr>
      <w:r w:rsidRPr="00CC0378">
        <w:rPr>
          <w:bCs/>
          <w:sz w:val="22"/>
          <w:szCs w:val="22"/>
          <w:lang w:val="sr-Latn-ME"/>
        </w:rPr>
        <w:lastRenderedPageBreak/>
        <w:t>Pacijente treba obavijestiti o znacima i simptomima tešk</w:t>
      </w:r>
      <w:r w:rsidR="00C42942">
        <w:rPr>
          <w:bCs/>
          <w:sz w:val="22"/>
          <w:szCs w:val="22"/>
          <w:lang w:val="sr-Latn-ME"/>
        </w:rPr>
        <w:t xml:space="preserve">ih </w:t>
      </w:r>
      <w:r w:rsidR="0002651F">
        <w:rPr>
          <w:bCs/>
          <w:sz w:val="22"/>
          <w:szCs w:val="22"/>
          <w:lang w:val="sr-Latn-ME"/>
        </w:rPr>
        <w:t xml:space="preserve">neželjenih </w:t>
      </w:r>
      <w:r w:rsidR="00C42942">
        <w:rPr>
          <w:bCs/>
          <w:sz w:val="22"/>
          <w:szCs w:val="22"/>
          <w:lang w:val="sr-Latn-ME"/>
        </w:rPr>
        <w:t>reakcija na</w:t>
      </w:r>
      <w:r w:rsidRPr="00CC0378">
        <w:rPr>
          <w:bCs/>
          <w:sz w:val="22"/>
          <w:szCs w:val="22"/>
          <w:lang w:val="sr-Latn-ME"/>
        </w:rPr>
        <w:t xml:space="preserve"> kož</w:t>
      </w:r>
      <w:r w:rsidR="00C42942">
        <w:rPr>
          <w:bCs/>
          <w:sz w:val="22"/>
          <w:szCs w:val="22"/>
          <w:lang w:val="sr-Latn-ME"/>
        </w:rPr>
        <w:t>i</w:t>
      </w:r>
      <w:r w:rsidRPr="00CC0378">
        <w:rPr>
          <w:bCs/>
          <w:sz w:val="22"/>
          <w:szCs w:val="22"/>
          <w:lang w:val="sr-Latn-ME"/>
        </w:rPr>
        <w:t xml:space="preserve"> EM/SJS/TEN/DRESS i treba da potraže medicinski savjet od svog ljekara odmah kada primijete bilo kakve indikativne znake ili simptome.</w:t>
      </w:r>
      <w:r w:rsidR="0002651F">
        <w:rPr>
          <w:bCs/>
          <w:sz w:val="22"/>
          <w:szCs w:val="22"/>
          <w:lang w:val="sr-Latn-ME"/>
        </w:rPr>
        <w:t xml:space="preserve"> Primjenu</w:t>
      </w:r>
      <w:r w:rsidRPr="00CC0378">
        <w:rPr>
          <w:bCs/>
          <w:sz w:val="22"/>
          <w:szCs w:val="22"/>
          <w:lang w:val="sr-Latn-ME"/>
        </w:rPr>
        <w:t xml:space="preserve"> </w:t>
      </w:r>
      <w:r w:rsidR="0002651F">
        <w:rPr>
          <w:bCs/>
          <w:sz w:val="22"/>
          <w:szCs w:val="22"/>
          <w:lang w:val="sr-Latn-ME"/>
        </w:rPr>
        <w:t>e</w:t>
      </w:r>
      <w:r w:rsidRPr="00CC0378">
        <w:rPr>
          <w:bCs/>
          <w:sz w:val="22"/>
          <w:szCs w:val="22"/>
          <w:lang w:val="sr-Latn-ME"/>
        </w:rPr>
        <w:t>someprazol</w:t>
      </w:r>
      <w:r w:rsidR="0002651F">
        <w:rPr>
          <w:bCs/>
          <w:sz w:val="22"/>
          <w:szCs w:val="22"/>
          <w:lang w:val="sr-Latn-ME"/>
        </w:rPr>
        <w:t>a</w:t>
      </w:r>
      <w:r w:rsidRPr="00CC0378">
        <w:rPr>
          <w:bCs/>
          <w:sz w:val="22"/>
          <w:szCs w:val="22"/>
          <w:lang w:val="sr-Latn-ME"/>
        </w:rPr>
        <w:t xml:space="preserve"> treba odmah prekinuti nakon pojave znakova i simptoma teških </w:t>
      </w:r>
      <w:r w:rsidR="0002651F">
        <w:rPr>
          <w:bCs/>
          <w:sz w:val="22"/>
          <w:szCs w:val="22"/>
          <w:lang w:val="sr-Latn-ME"/>
        </w:rPr>
        <w:t>neželjenih reakcija na koži</w:t>
      </w:r>
      <w:r w:rsidRPr="00CC0378">
        <w:rPr>
          <w:bCs/>
          <w:sz w:val="22"/>
          <w:szCs w:val="22"/>
          <w:lang w:val="sr-Latn-ME"/>
        </w:rPr>
        <w:t xml:space="preserve"> i po potrebi treba obezbijediti dodatnu medicinsku njegu/detaljno praćenje.</w:t>
      </w:r>
    </w:p>
    <w:p w14:paraId="0D3B0915" w14:textId="77777777" w:rsidR="00C42942" w:rsidRPr="00CC0378" w:rsidRDefault="00C42942" w:rsidP="00CC0378">
      <w:pPr>
        <w:jc w:val="both"/>
        <w:rPr>
          <w:bCs/>
          <w:sz w:val="22"/>
          <w:szCs w:val="22"/>
          <w:lang w:val="sr-Latn-ME"/>
        </w:rPr>
      </w:pPr>
    </w:p>
    <w:p w14:paraId="764BF0B9" w14:textId="77777777" w:rsidR="00B31A63" w:rsidRPr="00CC0378" w:rsidRDefault="00B31A63" w:rsidP="00CC0378">
      <w:pPr>
        <w:jc w:val="both"/>
        <w:rPr>
          <w:bCs/>
          <w:sz w:val="22"/>
          <w:szCs w:val="22"/>
          <w:lang w:val="sr-Latn-ME"/>
        </w:rPr>
      </w:pPr>
      <w:r w:rsidRPr="00CC0378">
        <w:rPr>
          <w:bCs/>
          <w:sz w:val="22"/>
          <w:szCs w:val="22"/>
          <w:lang w:val="sr-Latn-ME"/>
        </w:rPr>
        <w:t>Kod pacijenata sa EM/SJS/TEN/DRESS ne treba ponovo razmatrati primjenu ovog lijeka.</w:t>
      </w:r>
    </w:p>
    <w:p w14:paraId="62A28356" w14:textId="77777777" w:rsidR="00DC276A" w:rsidRDefault="00DC276A" w:rsidP="00CC0378">
      <w:pPr>
        <w:jc w:val="both"/>
        <w:rPr>
          <w:bCs/>
          <w:sz w:val="22"/>
          <w:szCs w:val="22"/>
          <w:u w:val="single"/>
          <w:lang w:val="sr-Latn-ME"/>
        </w:rPr>
      </w:pPr>
    </w:p>
    <w:p w14:paraId="5A5EE7AF" w14:textId="1813D61B" w:rsidR="00B31A63" w:rsidRPr="00CC0378" w:rsidRDefault="00B31A63" w:rsidP="00CC0378">
      <w:pPr>
        <w:jc w:val="both"/>
        <w:rPr>
          <w:bCs/>
          <w:sz w:val="22"/>
          <w:szCs w:val="22"/>
          <w:u w:val="single"/>
          <w:lang w:val="sr-Latn-ME"/>
        </w:rPr>
      </w:pPr>
      <w:r w:rsidRPr="00CC0378">
        <w:rPr>
          <w:bCs/>
          <w:sz w:val="22"/>
          <w:szCs w:val="22"/>
          <w:u w:val="single"/>
          <w:lang w:val="sr-Latn-ME"/>
        </w:rPr>
        <w:t>Saharoza</w:t>
      </w:r>
    </w:p>
    <w:p w14:paraId="05EB15CB" w14:textId="54449E1B" w:rsidR="00B31A63" w:rsidRPr="00CC0378" w:rsidRDefault="00B31A63" w:rsidP="00CC0378">
      <w:pPr>
        <w:jc w:val="both"/>
        <w:rPr>
          <w:bCs/>
          <w:sz w:val="22"/>
          <w:szCs w:val="22"/>
          <w:lang w:val="sr-Latn-ME"/>
        </w:rPr>
      </w:pPr>
      <w:r w:rsidRPr="00CC0378">
        <w:rPr>
          <w:bCs/>
          <w:sz w:val="22"/>
          <w:szCs w:val="22"/>
          <w:lang w:val="sr-Latn-ME"/>
        </w:rPr>
        <w:t>Ovaj lijek sadrži saharozu. Pacijenti sa r</w:t>
      </w:r>
      <w:r w:rsidR="00287560" w:rsidRPr="00CC0378">
        <w:rPr>
          <w:bCs/>
          <w:sz w:val="22"/>
          <w:szCs w:val="22"/>
          <w:lang w:val="sr-Latn-ME"/>
        </w:rPr>
        <w:t>ij</w:t>
      </w:r>
      <w:r w:rsidRPr="00CC0378">
        <w:rPr>
          <w:bCs/>
          <w:sz w:val="22"/>
          <w:szCs w:val="22"/>
          <w:lang w:val="sr-Latn-ME"/>
        </w:rPr>
        <w:t>etkim nasl</w:t>
      </w:r>
      <w:r w:rsidR="00287560" w:rsidRPr="00CC0378">
        <w:rPr>
          <w:bCs/>
          <w:sz w:val="22"/>
          <w:szCs w:val="22"/>
          <w:lang w:val="sr-Latn-ME"/>
        </w:rPr>
        <w:t>j</w:t>
      </w:r>
      <w:r w:rsidRPr="00CC0378">
        <w:rPr>
          <w:bCs/>
          <w:sz w:val="22"/>
          <w:szCs w:val="22"/>
          <w:lang w:val="sr-Latn-ME"/>
        </w:rPr>
        <w:t>ednim problemima nepodnošenja fruktoze, malapsorpcije glukoze-galaktoze ili insuficijencijom saharaze-izomaltaze ne smiju da uzimaju ovaj lijek.</w:t>
      </w:r>
    </w:p>
    <w:p w14:paraId="26AFD1D5" w14:textId="77777777" w:rsidR="00B31A63" w:rsidRPr="00CC0378" w:rsidRDefault="00B31A63" w:rsidP="00CC0378">
      <w:pPr>
        <w:jc w:val="both"/>
        <w:rPr>
          <w:bCs/>
          <w:sz w:val="22"/>
          <w:szCs w:val="22"/>
          <w:lang w:val="sr-Latn-ME"/>
        </w:rPr>
      </w:pPr>
    </w:p>
    <w:p w14:paraId="1E1694BA" w14:textId="77777777" w:rsidR="005A20F7" w:rsidRPr="009462F3" w:rsidRDefault="005A20F7" w:rsidP="005A20F7">
      <w:pPr>
        <w:jc w:val="both"/>
        <w:rPr>
          <w:bCs/>
          <w:iCs/>
          <w:sz w:val="22"/>
          <w:szCs w:val="22"/>
          <w:u w:val="single"/>
          <w:lang w:val="sr-Latn-ME"/>
        </w:rPr>
      </w:pPr>
      <w:r w:rsidRPr="009462F3">
        <w:rPr>
          <w:bCs/>
          <w:iCs/>
          <w:sz w:val="22"/>
          <w:szCs w:val="22"/>
          <w:u w:val="single"/>
          <w:lang w:val="sr-Latn-ME"/>
        </w:rPr>
        <w:t>Sadržaj natrijuma</w:t>
      </w:r>
    </w:p>
    <w:p w14:paraId="63545552" w14:textId="77777777" w:rsidR="005A20F7" w:rsidRDefault="005A20F7" w:rsidP="005A20F7">
      <w:pPr>
        <w:tabs>
          <w:tab w:val="left" w:pos="540"/>
          <w:tab w:val="left" w:pos="569"/>
        </w:tabs>
        <w:jc w:val="both"/>
        <w:rPr>
          <w:bCs/>
          <w:sz w:val="22"/>
          <w:szCs w:val="22"/>
          <w:lang w:val="sr-Latn-ME"/>
        </w:rPr>
      </w:pPr>
      <w:r w:rsidRPr="00CC0378">
        <w:rPr>
          <w:bCs/>
          <w:sz w:val="22"/>
          <w:szCs w:val="22"/>
          <w:lang w:val="sr-Latn-ME"/>
        </w:rPr>
        <w:t xml:space="preserve">Ovaj lijek sadrži manje od 1 mmol natrijuma (23mg) po tableti, to jest u suštini je “bez natrijuma“. </w:t>
      </w:r>
    </w:p>
    <w:p w14:paraId="53E72B69" w14:textId="77777777" w:rsidR="005A20F7" w:rsidRPr="00CC0378" w:rsidRDefault="005A20F7" w:rsidP="005A20F7">
      <w:pPr>
        <w:tabs>
          <w:tab w:val="left" w:pos="540"/>
          <w:tab w:val="left" w:pos="569"/>
        </w:tabs>
        <w:jc w:val="both"/>
        <w:rPr>
          <w:bCs/>
          <w:sz w:val="22"/>
          <w:szCs w:val="22"/>
          <w:lang w:val="sr-Latn-ME"/>
        </w:rPr>
      </w:pPr>
    </w:p>
    <w:p w14:paraId="42119DFD" w14:textId="51BFF6BD" w:rsidR="00B31A63" w:rsidRPr="00CC0378" w:rsidRDefault="00B31A63" w:rsidP="00CC0378">
      <w:pPr>
        <w:jc w:val="both"/>
        <w:rPr>
          <w:bCs/>
          <w:sz w:val="22"/>
          <w:szCs w:val="22"/>
          <w:u w:val="single"/>
          <w:lang w:val="sr-Latn-ME"/>
        </w:rPr>
      </w:pPr>
      <w:r w:rsidRPr="00CC0378">
        <w:rPr>
          <w:bCs/>
          <w:sz w:val="22"/>
          <w:szCs w:val="22"/>
          <w:u w:val="single"/>
          <w:lang w:val="sr-Latn-ME"/>
        </w:rPr>
        <w:t>Uticaj na vrijednosti laboratorijskih analiza</w:t>
      </w:r>
    </w:p>
    <w:p w14:paraId="07D1245E" w14:textId="37806564" w:rsidR="00B31A63" w:rsidRPr="00CC0378" w:rsidRDefault="00B31A63" w:rsidP="00CC0378">
      <w:pPr>
        <w:jc w:val="both"/>
        <w:rPr>
          <w:bCs/>
          <w:sz w:val="22"/>
          <w:szCs w:val="22"/>
          <w:lang w:val="sr-Latn-ME"/>
        </w:rPr>
      </w:pPr>
      <w:r w:rsidRPr="00CC0378">
        <w:rPr>
          <w:bCs/>
          <w:sz w:val="22"/>
          <w:szCs w:val="22"/>
          <w:lang w:val="sr-Latn-ME"/>
        </w:rPr>
        <w:t>Povećani nivo humanog hromogranina A (CgA) može da utiče na rezultate analiza na neuroendokrine tumore. Da bi se ovaj uticaj izbjegao, terapiju esomeprazolom treba privremeno prekinuti najmanje 5 dana pr</w:t>
      </w:r>
      <w:r w:rsidR="00287560" w:rsidRPr="00CC0378">
        <w:rPr>
          <w:bCs/>
          <w:sz w:val="22"/>
          <w:szCs w:val="22"/>
          <w:lang w:val="sr-Latn-ME"/>
        </w:rPr>
        <w:t>ij</w:t>
      </w:r>
      <w:r w:rsidRPr="00CC0378">
        <w:rPr>
          <w:bCs/>
          <w:sz w:val="22"/>
          <w:szCs w:val="22"/>
          <w:lang w:val="sr-Latn-ME"/>
        </w:rPr>
        <w:t xml:space="preserve">e CgA analize (vidjeti </w:t>
      </w:r>
      <w:r w:rsidR="00E32873">
        <w:rPr>
          <w:bCs/>
          <w:sz w:val="22"/>
          <w:szCs w:val="22"/>
          <w:lang w:val="sr-Latn-ME"/>
        </w:rPr>
        <w:t>dio</w:t>
      </w:r>
      <w:r w:rsidRPr="00CC0378">
        <w:rPr>
          <w:bCs/>
          <w:sz w:val="22"/>
          <w:szCs w:val="22"/>
          <w:lang w:val="sr-Latn-ME"/>
        </w:rPr>
        <w:t xml:space="preserve"> 5.1). Ako se nivoi CgA i gastrina ne vrate u referentni opseg nakon inicijalnog m</w:t>
      </w:r>
      <w:r w:rsidR="00287560" w:rsidRPr="00CC0378">
        <w:rPr>
          <w:bCs/>
          <w:sz w:val="22"/>
          <w:szCs w:val="22"/>
          <w:lang w:val="sr-Latn-ME"/>
        </w:rPr>
        <w:t>j</w:t>
      </w:r>
      <w:r w:rsidRPr="00CC0378">
        <w:rPr>
          <w:bCs/>
          <w:sz w:val="22"/>
          <w:szCs w:val="22"/>
          <w:lang w:val="sr-Latn-ME"/>
        </w:rPr>
        <w:t>erenja, m</w:t>
      </w:r>
      <w:r w:rsidR="00287560" w:rsidRPr="00CC0378">
        <w:rPr>
          <w:bCs/>
          <w:sz w:val="22"/>
          <w:szCs w:val="22"/>
          <w:lang w:val="sr-Latn-ME"/>
        </w:rPr>
        <w:t>j</w:t>
      </w:r>
      <w:r w:rsidRPr="00CC0378">
        <w:rPr>
          <w:bCs/>
          <w:sz w:val="22"/>
          <w:szCs w:val="22"/>
          <w:lang w:val="sr-Latn-ME"/>
        </w:rPr>
        <w:t>erenja treba ponoviti 14 dana po prestanku terapije inhibitorima protonske pumpe.</w:t>
      </w:r>
    </w:p>
    <w:p w14:paraId="031785AF" w14:textId="77777777" w:rsidR="00057E35" w:rsidRPr="00CC0378" w:rsidRDefault="00057E35" w:rsidP="00CC0378">
      <w:pPr>
        <w:tabs>
          <w:tab w:val="left" w:pos="540"/>
          <w:tab w:val="left" w:pos="569"/>
        </w:tabs>
        <w:jc w:val="both"/>
        <w:rPr>
          <w:bCs/>
          <w:sz w:val="22"/>
          <w:szCs w:val="22"/>
          <w:lang w:val="sr-Latn-ME"/>
        </w:rPr>
      </w:pPr>
    </w:p>
    <w:p w14:paraId="38704CD0" w14:textId="74A31B7B" w:rsidR="00411B4B" w:rsidRPr="00CC0378" w:rsidRDefault="00411B4B" w:rsidP="00CC0378">
      <w:pPr>
        <w:tabs>
          <w:tab w:val="left" w:pos="540"/>
          <w:tab w:val="left" w:pos="569"/>
        </w:tabs>
        <w:jc w:val="both"/>
        <w:rPr>
          <w:b/>
          <w:bCs/>
          <w:sz w:val="22"/>
          <w:szCs w:val="22"/>
          <w:lang w:val="sr-Latn-ME"/>
        </w:rPr>
      </w:pPr>
      <w:r w:rsidRPr="00CC0378">
        <w:rPr>
          <w:b/>
          <w:bCs/>
          <w:sz w:val="22"/>
          <w:szCs w:val="22"/>
          <w:lang w:val="sr-Latn-ME"/>
        </w:rPr>
        <w:t>4.5.</w:t>
      </w:r>
      <w:r w:rsidR="000D60CC" w:rsidRPr="00CC0378">
        <w:rPr>
          <w:b/>
          <w:bCs/>
          <w:sz w:val="22"/>
          <w:szCs w:val="22"/>
          <w:lang w:val="sr-Latn-ME"/>
        </w:rPr>
        <w:tab/>
      </w:r>
      <w:r w:rsidRPr="00CC0378">
        <w:rPr>
          <w:b/>
          <w:bCs/>
          <w:sz w:val="22"/>
          <w:szCs w:val="22"/>
          <w:lang w:val="sr-Latn-ME"/>
        </w:rPr>
        <w:t>Interakcije sa drugim ljekovima i druge vrste interakcija</w:t>
      </w:r>
    </w:p>
    <w:p w14:paraId="30624202" w14:textId="77777777" w:rsidR="005D7586" w:rsidRPr="00CC0378" w:rsidRDefault="005D7586" w:rsidP="00CC0378">
      <w:pPr>
        <w:tabs>
          <w:tab w:val="left" w:pos="540"/>
          <w:tab w:val="left" w:pos="569"/>
        </w:tabs>
        <w:jc w:val="both"/>
        <w:rPr>
          <w:b/>
          <w:bCs/>
          <w:sz w:val="22"/>
          <w:szCs w:val="22"/>
          <w:lang w:val="sr-Latn-ME"/>
        </w:rPr>
      </w:pPr>
    </w:p>
    <w:p w14:paraId="55CF7C57" w14:textId="77777777" w:rsidR="005D7586" w:rsidRPr="00CC0378" w:rsidRDefault="005D7586" w:rsidP="00CC0378">
      <w:pPr>
        <w:jc w:val="both"/>
        <w:rPr>
          <w:b/>
          <w:sz w:val="22"/>
          <w:szCs w:val="22"/>
          <w:lang w:val="sr-Latn-ME"/>
        </w:rPr>
      </w:pPr>
      <w:r w:rsidRPr="00CC0378">
        <w:rPr>
          <w:b/>
          <w:sz w:val="22"/>
          <w:szCs w:val="22"/>
          <w:lang w:val="sr-Latn-ME"/>
        </w:rPr>
        <w:t xml:space="preserve">Dejstva esomeprazola na farmakokinetiku drugih ljekova </w:t>
      </w:r>
    </w:p>
    <w:p w14:paraId="6BACEECD" w14:textId="77777777" w:rsidR="005D7586" w:rsidRPr="00CC0378" w:rsidRDefault="005D7586" w:rsidP="00CC0378">
      <w:pPr>
        <w:jc w:val="both"/>
        <w:rPr>
          <w:sz w:val="22"/>
          <w:szCs w:val="22"/>
          <w:lang w:val="sr-Latn-ME"/>
        </w:rPr>
      </w:pPr>
    </w:p>
    <w:p w14:paraId="72A9FDC0" w14:textId="77777777" w:rsidR="005A20F7" w:rsidRDefault="005A20F7" w:rsidP="00CC0378">
      <w:pPr>
        <w:jc w:val="both"/>
        <w:rPr>
          <w:i/>
          <w:iCs/>
          <w:sz w:val="22"/>
          <w:szCs w:val="22"/>
          <w:lang w:val="sr-Latn-ME"/>
        </w:rPr>
      </w:pPr>
      <w:r>
        <w:rPr>
          <w:i/>
          <w:iCs/>
          <w:sz w:val="22"/>
          <w:szCs w:val="22"/>
          <w:lang w:val="sr-Latn-ME"/>
        </w:rPr>
        <w:t>Inhibitori proteaza</w:t>
      </w:r>
    </w:p>
    <w:p w14:paraId="0E68CE80" w14:textId="77777777" w:rsidR="005A20F7" w:rsidRDefault="005D7586" w:rsidP="00CC0378">
      <w:pPr>
        <w:jc w:val="both"/>
        <w:rPr>
          <w:sz w:val="22"/>
          <w:szCs w:val="22"/>
          <w:lang w:val="sr-Latn-ME"/>
        </w:rPr>
      </w:pPr>
      <w:r w:rsidRPr="00CC0378">
        <w:rPr>
          <w:sz w:val="22"/>
          <w:szCs w:val="22"/>
          <w:lang w:val="sr-Latn-ME"/>
        </w:rPr>
        <w:t>Zabilježene su interakcije omeprazola sa nekim inhibitorima proteaze. Klinički značaj i mehanizam ovih interakcija nisu uv</w:t>
      </w:r>
      <w:r w:rsidR="00287560" w:rsidRPr="00CC0378">
        <w:rPr>
          <w:sz w:val="22"/>
          <w:szCs w:val="22"/>
          <w:lang w:val="sr-Latn-ME"/>
        </w:rPr>
        <w:t>ij</w:t>
      </w:r>
      <w:r w:rsidRPr="00CC0378">
        <w:rPr>
          <w:sz w:val="22"/>
          <w:szCs w:val="22"/>
          <w:lang w:val="sr-Latn-ME"/>
        </w:rPr>
        <w:t>ek poznati. Povećana gastrična pH vr</w:t>
      </w:r>
      <w:r w:rsidR="00287560" w:rsidRPr="00CC0378">
        <w:rPr>
          <w:sz w:val="22"/>
          <w:szCs w:val="22"/>
          <w:lang w:val="sr-Latn-ME"/>
        </w:rPr>
        <w:t>ij</w:t>
      </w:r>
      <w:r w:rsidRPr="00CC0378">
        <w:rPr>
          <w:sz w:val="22"/>
          <w:szCs w:val="22"/>
          <w:lang w:val="sr-Latn-ME"/>
        </w:rPr>
        <w:t xml:space="preserve">ednost za vrijeme terapije omeprazolom može da utiče na apsorpciju inhibitora proteaze. Drugi mogući mehanizam interakcije je preko inhibicije CYP 2C19. </w:t>
      </w:r>
    </w:p>
    <w:p w14:paraId="64521EB7" w14:textId="3A1B7D0C" w:rsidR="005D7586" w:rsidRPr="00CC0378" w:rsidRDefault="005D7586" w:rsidP="00CC0378">
      <w:pPr>
        <w:jc w:val="both"/>
        <w:rPr>
          <w:sz w:val="22"/>
          <w:szCs w:val="22"/>
          <w:lang w:val="sr-Latn-ME"/>
        </w:rPr>
      </w:pPr>
      <w:r w:rsidRPr="00CC0378">
        <w:rPr>
          <w:sz w:val="22"/>
          <w:szCs w:val="22"/>
          <w:lang w:val="sr-Latn-ME"/>
        </w:rPr>
        <w:t>Kada su atazanavir i nelfinavir primjenjivani istovremeno sa omeprazolom, primjećeni su njihovi smanjeni nivoi u serumu i stoga se istovremena primjena ovih ljekova ne preporučuje. Istovremeno davanje omeprazola (40 mg jednom dnevno) uz atazanavir 300 mg/ritonavir 100 mg zdravim dobrovoljcima dovodilo je do znatnog smanjivanja izlaganja atazanaviru (približno smanjenje od 75% u parametrima PIK, C</w:t>
      </w:r>
      <w:r w:rsidRPr="00CC0378">
        <w:rPr>
          <w:sz w:val="22"/>
          <w:szCs w:val="22"/>
          <w:vertAlign w:val="subscript"/>
          <w:lang w:val="sr-Latn-ME"/>
        </w:rPr>
        <w:t>max</w:t>
      </w:r>
      <w:r w:rsidRPr="00CC0378">
        <w:rPr>
          <w:sz w:val="22"/>
          <w:szCs w:val="22"/>
          <w:lang w:val="sr-Latn-ME"/>
        </w:rPr>
        <w:t xml:space="preserve"> i C</w:t>
      </w:r>
      <w:r w:rsidRPr="00CC0378">
        <w:rPr>
          <w:sz w:val="22"/>
          <w:szCs w:val="22"/>
          <w:vertAlign w:val="subscript"/>
          <w:lang w:val="sr-Latn-ME"/>
        </w:rPr>
        <w:t>min</w:t>
      </w:r>
      <w:r w:rsidRPr="00CC0378">
        <w:rPr>
          <w:sz w:val="22"/>
          <w:szCs w:val="22"/>
          <w:lang w:val="sr-Latn-ME"/>
        </w:rPr>
        <w:t xml:space="preserve">). Povećavanje doze atazanavira do 400 mg nije kompenzovalo uticaj omeprazola na izloženost atazanaviru. Istovremena primjena omeprazola (20 mg dnevno) sa </w:t>
      </w:r>
      <w:r w:rsidR="00AB2C68" w:rsidRPr="00CC0378">
        <w:rPr>
          <w:sz w:val="22"/>
          <w:szCs w:val="22"/>
          <w:lang w:val="sr-Latn-ME"/>
        </w:rPr>
        <w:t>ljekov</w:t>
      </w:r>
      <w:r w:rsidRPr="00CC0378">
        <w:rPr>
          <w:sz w:val="22"/>
          <w:szCs w:val="22"/>
          <w:lang w:val="sr-Latn-ME"/>
        </w:rPr>
        <w:t>ima atazanavir 400 mg/ ritonavir 100 mg kod zdravih dobrovoljaca je rezult</w:t>
      </w:r>
      <w:r w:rsidR="00B42176" w:rsidRPr="00CC0378">
        <w:rPr>
          <w:sz w:val="22"/>
          <w:szCs w:val="22"/>
          <w:lang w:val="sr-Latn-ME"/>
        </w:rPr>
        <w:t>ir</w:t>
      </w:r>
      <w:r w:rsidRPr="00CC0378">
        <w:rPr>
          <w:sz w:val="22"/>
          <w:szCs w:val="22"/>
          <w:lang w:val="sr-Latn-ME"/>
        </w:rPr>
        <w:t>ala smanjenjem izloženosti atazanaviru za oko 30% u poređenju sa primjenom ljekova atazanavir 300</w:t>
      </w:r>
      <w:r w:rsidR="00B42176" w:rsidRPr="00CC0378">
        <w:rPr>
          <w:sz w:val="22"/>
          <w:szCs w:val="22"/>
          <w:lang w:val="sr-Latn-ME"/>
        </w:rPr>
        <w:t xml:space="preserve"> </w:t>
      </w:r>
      <w:r w:rsidRPr="00CC0378">
        <w:rPr>
          <w:sz w:val="22"/>
          <w:szCs w:val="22"/>
          <w:lang w:val="sr-Latn-ME"/>
        </w:rPr>
        <w:t>mg/ ritonavir 100 mg dnevno bez omeprazola 20 mg dnevno. Istovremena primjena omeprazola (40 mg dnevno) je dovela do smanjenja srednjih vr</w:t>
      </w:r>
      <w:r w:rsidR="00B42176" w:rsidRPr="00CC0378">
        <w:rPr>
          <w:sz w:val="22"/>
          <w:szCs w:val="22"/>
          <w:lang w:val="sr-Latn-ME"/>
        </w:rPr>
        <w:t>ij</w:t>
      </w:r>
      <w:r w:rsidRPr="00CC0378">
        <w:rPr>
          <w:sz w:val="22"/>
          <w:szCs w:val="22"/>
          <w:lang w:val="sr-Latn-ME"/>
        </w:rPr>
        <w:t>ednosti PIK, c</w:t>
      </w:r>
      <w:r w:rsidRPr="00CC0378">
        <w:rPr>
          <w:sz w:val="22"/>
          <w:szCs w:val="22"/>
          <w:vertAlign w:val="subscript"/>
          <w:lang w:val="sr-Latn-ME"/>
        </w:rPr>
        <w:t>max</w:t>
      </w:r>
      <w:r w:rsidRPr="00CC0378">
        <w:rPr>
          <w:sz w:val="22"/>
          <w:szCs w:val="22"/>
          <w:lang w:val="sr-Latn-ME"/>
        </w:rPr>
        <w:t xml:space="preserve"> i c</w:t>
      </w:r>
      <w:r w:rsidRPr="00CC0378">
        <w:rPr>
          <w:sz w:val="22"/>
          <w:szCs w:val="22"/>
          <w:vertAlign w:val="subscript"/>
          <w:lang w:val="sr-Latn-ME"/>
        </w:rPr>
        <w:t>min</w:t>
      </w:r>
      <w:r w:rsidRPr="00CC0378">
        <w:rPr>
          <w:sz w:val="22"/>
          <w:szCs w:val="22"/>
          <w:lang w:val="sr-Latn-ME"/>
        </w:rPr>
        <w:t xml:space="preserve"> nelfinavira za 36-39%, dok su srednje vrednosti PIK, c</w:t>
      </w:r>
      <w:r w:rsidRPr="00CC0378">
        <w:rPr>
          <w:sz w:val="22"/>
          <w:szCs w:val="22"/>
          <w:vertAlign w:val="subscript"/>
          <w:lang w:val="sr-Latn-ME"/>
        </w:rPr>
        <w:t>max</w:t>
      </w:r>
      <w:r w:rsidRPr="00CC0378">
        <w:rPr>
          <w:sz w:val="22"/>
          <w:szCs w:val="22"/>
          <w:lang w:val="sr-Latn-ME"/>
        </w:rPr>
        <w:t xml:space="preserve"> i c</w:t>
      </w:r>
      <w:r w:rsidRPr="00CC0378">
        <w:rPr>
          <w:sz w:val="22"/>
          <w:szCs w:val="22"/>
          <w:vertAlign w:val="subscript"/>
          <w:lang w:val="sr-Latn-ME"/>
        </w:rPr>
        <w:t xml:space="preserve">min </w:t>
      </w:r>
      <w:r w:rsidRPr="00CC0378">
        <w:rPr>
          <w:sz w:val="22"/>
          <w:szCs w:val="22"/>
          <w:lang w:val="sr-Latn-ME"/>
        </w:rPr>
        <w:t>aktivnog metabolita M8 smanjene za 75-92%. Zbog sličnih farmakodinamskih efekata i farmakokinetičkih osobina omeprazola i esomeprazola, istovremena primjena esomeprazola i atazanavira se ne preporučuje (vid</w:t>
      </w:r>
      <w:r w:rsidR="00B42176" w:rsidRPr="00CC0378">
        <w:rPr>
          <w:sz w:val="22"/>
          <w:szCs w:val="22"/>
          <w:lang w:val="sr-Latn-ME"/>
        </w:rPr>
        <w:t>j</w:t>
      </w:r>
      <w:r w:rsidRPr="00CC0378">
        <w:rPr>
          <w:sz w:val="22"/>
          <w:szCs w:val="22"/>
          <w:lang w:val="sr-Latn-ME"/>
        </w:rPr>
        <w:t xml:space="preserve">eti </w:t>
      </w:r>
      <w:r w:rsidR="00E32873">
        <w:rPr>
          <w:sz w:val="22"/>
          <w:szCs w:val="22"/>
          <w:lang w:val="sr-Latn-ME"/>
        </w:rPr>
        <w:t>dio</w:t>
      </w:r>
      <w:r w:rsidRPr="00CC0378">
        <w:rPr>
          <w:sz w:val="22"/>
          <w:szCs w:val="22"/>
          <w:lang w:val="sr-Latn-ME"/>
        </w:rPr>
        <w:t xml:space="preserve"> 4.4), a istovremena primjena esomeprazola i nelfinavira je kontraindikovana (vidjeti </w:t>
      </w:r>
      <w:r w:rsidR="00E32873">
        <w:rPr>
          <w:sz w:val="22"/>
          <w:szCs w:val="22"/>
          <w:lang w:val="sr-Latn-ME"/>
        </w:rPr>
        <w:t>dio</w:t>
      </w:r>
      <w:r w:rsidRPr="00CC0378">
        <w:rPr>
          <w:sz w:val="22"/>
          <w:szCs w:val="22"/>
          <w:lang w:val="sr-Latn-ME"/>
        </w:rPr>
        <w:t xml:space="preserve"> 4.3).</w:t>
      </w:r>
    </w:p>
    <w:p w14:paraId="3A5390BD" w14:textId="77777777" w:rsidR="005D7586" w:rsidRPr="00CC0378" w:rsidRDefault="005D7586" w:rsidP="00CC0378">
      <w:pPr>
        <w:jc w:val="both"/>
        <w:rPr>
          <w:sz w:val="22"/>
          <w:szCs w:val="22"/>
          <w:lang w:val="sr-Latn-ME"/>
        </w:rPr>
      </w:pPr>
    </w:p>
    <w:p w14:paraId="32E46592" w14:textId="6607407E" w:rsidR="005D7586" w:rsidRPr="00CC0378" w:rsidRDefault="005D7586" w:rsidP="00CC0378">
      <w:pPr>
        <w:jc w:val="both"/>
        <w:rPr>
          <w:strike/>
          <w:sz w:val="22"/>
          <w:szCs w:val="22"/>
          <w:lang w:val="sr-Latn-ME"/>
        </w:rPr>
      </w:pPr>
      <w:r w:rsidRPr="00CC0378">
        <w:rPr>
          <w:sz w:val="22"/>
          <w:szCs w:val="22"/>
          <w:lang w:val="sr-Latn-ME"/>
        </w:rPr>
        <w:t>Kada je sakvinavir (zajedno sa ritonavirom) primjenjivan istovremeno sa omeprazolom (40 mg dnevno) primjećeni su njegovi povećani nivoi u serumu (80-100%). Terapija omeprazolom 20 mg dnevno nije imala uticaja na izloženost ljekovima darunavir (primjenjen zajedno sa ritonavirom) i amprenavir (prim</w:t>
      </w:r>
      <w:r w:rsidR="00B42176" w:rsidRPr="00CC0378">
        <w:rPr>
          <w:sz w:val="22"/>
          <w:szCs w:val="22"/>
          <w:lang w:val="sr-Latn-ME"/>
        </w:rPr>
        <w:t>i</w:t>
      </w:r>
      <w:r w:rsidRPr="00CC0378">
        <w:rPr>
          <w:sz w:val="22"/>
          <w:szCs w:val="22"/>
          <w:lang w:val="sr-Latn-ME"/>
        </w:rPr>
        <w:t>jenjen zajedno sa ritonavirom). Terapija omeprazolom 20 mg dnevno nije imala uticaja na izloženost lijeku amprenavir (sa ili bez istovremene primjene ritonavira). Terapija omeprazolom 40 mg dnevno nije imala uticaja na izloženost lijeku lopinavir (prim</w:t>
      </w:r>
      <w:r w:rsidR="00B42176" w:rsidRPr="00CC0378">
        <w:rPr>
          <w:sz w:val="22"/>
          <w:szCs w:val="22"/>
          <w:lang w:val="sr-Latn-ME"/>
        </w:rPr>
        <w:t>i</w:t>
      </w:r>
      <w:r w:rsidRPr="00CC0378">
        <w:rPr>
          <w:sz w:val="22"/>
          <w:szCs w:val="22"/>
          <w:lang w:val="sr-Latn-ME"/>
        </w:rPr>
        <w:t xml:space="preserve">jenjen zajedno sa ritonavirom). </w:t>
      </w:r>
    </w:p>
    <w:p w14:paraId="7F1973BE" w14:textId="77777777" w:rsidR="005D7586" w:rsidRPr="00CC0378" w:rsidRDefault="005D7586" w:rsidP="00CC0378">
      <w:pPr>
        <w:jc w:val="both"/>
        <w:rPr>
          <w:strike/>
          <w:sz w:val="22"/>
          <w:szCs w:val="22"/>
          <w:lang w:val="sr-Latn-ME"/>
        </w:rPr>
      </w:pPr>
    </w:p>
    <w:p w14:paraId="0E7A3AD6" w14:textId="77777777" w:rsidR="005D7586" w:rsidRPr="00CC0378" w:rsidRDefault="005D7586" w:rsidP="00CC0378">
      <w:pPr>
        <w:jc w:val="both"/>
        <w:rPr>
          <w:i/>
          <w:sz w:val="22"/>
          <w:szCs w:val="22"/>
          <w:lang w:val="sr-Latn-ME"/>
        </w:rPr>
      </w:pPr>
      <w:r w:rsidRPr="00CC0378">
        <w:rPr>
          <w:i/>
          <w:sz w:val="22"/>
          <w:szCs w:val="22"/>
          <w:lang w:val="sr-Latn-ME"/>
        </w:rPr>
        <w:t>Metotreksat</w:t>
      </w:r>
    </w:p>
    <w:p w14:paraId="022FCC22" w14:textId="77777777" w:rsidR="005D7586" w:rsidRPr="00CC0378" w:rsidRDefault="005D7586" w:rsidP="00CC0378">
      <w:pPr>
        <w:jc w:val="both"/>
        <w:rPr>
          <w:sz w:val="22"/>
          <w:szCs w:val="22"/>
          <w:lang w:val="sr-Latn-ME"/>
        </w:rPr>
      </w:pPr>
      <w:r w:rsidRPr="00CC0378">
        <w:rPr>
          <w:sz w:val="22"/>
          <w:szCs w:val="22"/>
          <w:lang w:val="sr-Latn-ME"/>
        </w:rPr>
        <w:lastRenderedPageBreak/>
        <w:t>Kod nekih pacijenata je došlo do povišenih nivoa metotreksata, kada je primjenjivan sa inhibitorima protonske pumpe. Prilikom primjene visokih doza metotreksata treba razmotriti privremeni prekid terapije esomeprazolom.</w:t>
      </w:r>
    </w:p>
    <w:p w14:paraId="7EB6E427" w14:textId="5811CAB8" w:rsidR="005D7586" w:rsidRDefault="005D7586" w:rsidP="00CC0378">
      <w:pPr>
        <w:jc w:val="both"/>
        <w:rPr>
          <w:sz w:val="22"/>
          <w:szCs w:val="22"/>
          <w:lang w:val="sr-Latn-ME"/>
        </w:rPr>
      </w:pPr>
    </w:p>
    <w:p w14:paraId="3D9AD4D4" w14:textId="0A17C8E7" w:rsidR="002A034D" w:rsidRDefault="002A034D" w:rsidP="00CC0378">
      <w:pPr>
        <w:jc w:val="both"/>
        <w:rPr>
          <w:sz w:val="22"/>
          <w:szCs w:val="22"/>
          <w:lang w:val="sr-Latn-ME"/>
        </w:rPr>
      </w:pPr>
    </w:p>
    <w:p w14:paraId="4D8304EF" w14:textId="77777777" w:rsidR="002A034D" w:rsidRPr="00CC0378" w:rsidRDefault="002A034D" w:rsidP="00CC0378">
      <w:pPr>
        <w:jc w:val="both"/>
        <w:rPr>
          <w:sz w:val="22"/>
          <w:szCs w:val="22"/>
          <w:lang w:val="sr-Latn-ME"/>
        </w:rPr>
      </w:pPr>
    </w:p>
    <w:p w14:paraId="495BA807" w14:textId="77777777" w:rsidR="005D7586" w:rsidRPr="00CC0378" w:rsidRDefault="005D7586" w:rsidP="00CC0378">
      <w:pPr>
        <w:jc w:val="both"/>
        <w:rPr>
          <w:i/>
          <w:sz w:val="22"/>
          <w:szCs w:val="22"/>
          <w:lang w:val="sr-Latn-ME"/>
        </w:rPr>
      </w:pPr>
      <w:r w:rsidRPr="00CC0378">
        <w:rPr>
          <w:i/>
          <w:sz w:val="22"/>
          <w:szCs w:val="22"/>
          <w:lang w:val="sr-Latn-ME"/>
        </w:rPr>
        <w:t>Takrolimus</w:t>
      </w:r>
    </w:p>
    <w:p w14:paraId="473F90EB" w14:textId="670A717E" w:rsidR="0072020E" w:rsidRPr="00CC0378" w:rsidRDefault="005D7586" w:rsidP="00CC0378">
      <w:pPr>
        <w:tabs>
          <w:tab w:val="left" w:pos="540"/>
          <w:tab w:val="left" w:pos="569"/>
        </w:tabs>
        <w:jc w:val="both"/>
        <w:rPr>
          <w:sz w:val="22"/>
          <w:szCs w:val="22"/>
          <w:lang w:val="sr-Latn-ME"/>
        </w:rPr>
      </w:pPr>
      <w:r w:rsidRPr="00CC0378">
        <w:rPr>
          <w:sz w:val="22"/>
          <w:szCs w:val="22"/>
          <w:lang w:val="sr-Latn-ME"/>
        </w:rPr>
        <w:t xml:space="preserve">Prijavljeno je da istovremena primjena esomeprazola </w:t>
      </w:r>
      <w:r w:rsidR="00B42176" w:rsidRPr="00CC0378">
        <w:rPr>
          <w:sz w:val="22"/>
          <w:szCs w:val="22"/>
          <w:lang w:val="sr-Latn-ME"/>
        </w:rPr>
        <w:t xml:space="preserve">sa takrolimusom </w:t>
      </w:r>
      <w:r w:rsidRPr="00CC0378">
        <w:rPr>
          <w:sz w:val="22"/>
          <w:szCs w:val="22"/>
          <w:lang w:val="sr-Latn-ME"/>
        </w:rPr>
        <w:t>povećava serumski nivo</w:t>
      </w:r>
      <w:r w:rsidR="00B42176" w:rsidRPr="00CC0378">
        <w:rPr>
          <w:sz w:val="22"/>
          <w:szCs w:val="22"/>
          <w:lang w:val="sr-Latn-ME"/>
        </w:rPr>
        <w:t xml:space="preserve"> takrolimusa</w:t>
      </w:r>
      <w:r w:rsidRPr="00CC0378">
        <w:rPr>
          <w:sz w:val="22"/>
          <w:szCs w:val="22"/>
          <w:lang w:val="sr-Latn-ME"/>
        </w:rPr>
        <w:t>. Potrebno je pojačano praćenje</w:t>
      </w:r>
      <w:r w:rsidR="00B42176" w:rsidRPr="00CC0378">
        <w:rPr>
          <w:sz w:val="22"/>
          <w:szCs w:val="22"/>
          <w:lang w:val="sr-Latn-ME"/>
        </w:rPr>
        <w:t xml:space="preserve"> koncentracije takrolimusa, kao i funkcije bubrega (klirens kreatinina) i shodno tome prilagoditi dozu takrolimusa</w:t>
      </w:r>
      <w:r w:rsidRPr="00CC0378">
        <w:rPr>
          <w:sz w:val="22"/>
          <w:szCs w:val="22"/>
          <w:lang w:val="sr-Latn-ME"/>
        </w:rPr>
        <w:t>.</w:t>
      </w:r>
    </w:p>
    <w:p w14:paraId="26EEB74A" w14:textId="77777777" w:rsidR="00660338" w:rsidRDefault="00660338" w:rsidP="009462F3">
      <w:pPr>
        <w:jc w:val="both"/>
        <w:rPr>
          <w:i/>
          <w:iCs/>
          <w:sz w:val="22"/>
          <w:szCs w:val="22"/>
          <w:lang w:val="sr-Latn-ME"/>
        </w:rPr>
      </w:pPr>
    </w:p>
    <w:p w14:paraId="02E90A2E" w14:textId="77777777" w:rsidR="00660338" w:rsidRDefault="005D7586" w:rsidP="009462F3">
      <w:pPr>
        <w:jc w:val="both"/>
        <w:rPr>
          <w:i/>
          <w:iCs/>
          <w:sz w:val="22"/>
          <w:szCs w:val="22"/>
          <w:lang w:val="sr-Latn-ME"/>
        </w:rPr>
      </w:pPr>
      <w:r w:rsidRPr="00CC0378">
        <w:rPr>
          <w:i/>
          <w:iCs/>
          <w:sz w:val="22"/>
          <w:szCs w:val="22"/>
          <w:lang w:val="sr-Latn-ME"/>
        </w:rPr>
        <w:t>Ljekovi čija apsorpcija zavisi od pH</w:t>
      </w:r>
    </w:p>
    <w:p w14:paraId="40905759" w14:textId="48F7F7E3" w:rsidR="005D7586" w:rsidRPr="00CC0378" w:rsidRDefault="005D7586" w:rsidP="00CC0378">
      <w:pPr>
        <w:jc w:val="both"/>
        <w:rPr>
          <w:sz w:val="22"/>
          <w:szCs w:val="22"/>
          <w:lang w:val="sr-Latn-ME"/>
        </w:rPr>
      </w:pPr>
      <w:r w:rsidRPr="00CC0378">
        <w:rPr>
          <w:sz w:val="22"/>
          <w:szCs w:val="22"/>
          <w:lang w:val="sr-Latn-ME"/>
        </w:rPr>
        <w:fldChar w:fldCharType="begin"/>
      </w:r>
      <w:r w:rsidRPr="00CC0378">
        <w:rPr>
          <w:sz w:val="22"/>
          <w:szCs w:val="22"/>
          <w:lang w:val="sr-Latn-ME"/>
        </w:rPr>
        <w:instrText xml:space="preserve">  </w:instrText>
      </w:r>
      <w:r w:rsidRPr="00CC0378">
        <w:rPr>
          <w:sz w:val="22"/>
          <w:szCs w:val="22"/>
          <w:lang w:val="sr-Latn-ME"/>
        </w:rPr>
        <w:fldChar w:fldCharType="end"/>
      </w:r>
      <w:r w:rsidRPr="00CC0378">
        <w:rPr>
          <w:sz w:val="22"/>
          <w:szCs w:val="22"/>
          <w:lang w:val="sr-Latn-ME"/>
        </w:rPr>
        <w:t xml:space="preserve">Supresija lučenja želudačne kisjeline tokom terapije esomeprazolom i drugim inhibitorima protonske pumpe može da poveća ili smanji resorpciju </w:t>
      </w:r>
      <w:r w:rsidR="00AB2C68" w:rsidRPr="00CC0378">
        <w:rPr>
          <w:sz w:val="22"/>
          <w:szCs w:val="22"/>
          <w:lang w:val="sr-Latn-ME"/>
        </w:rPr>
        <w:t>ljekov</w:t>
      </w:r>
      <w:r w:rsidRPr="00CC0378">
        <w:rPr>
          <w:sz w:val="22"/>
          <w:szCs w:val="22"/>
          <w:lang w:val="sr-Latn-ME"/>
        </w:rPr>
        <w:t>a</w:t>
      </w:r>
      <w:r w:rsidR="005A20F7">
        <w:rPr>
          <w:sz w:val="22"/>
          <w:szCs w:val="22"/>
          <w:lang w:val="sr-Latn-ME"/>
        </w:rPr>
        <w:t xml:space="preserve"> čija</w:t>
      </w:r>
      <w:r w:rsidRPr="00CC0378">
        <w:rPr>
          <w:sz w:val="22"/>
          <w:szCs w:val="22"/>
          <w:lang w:val="sr-Latn-ME"/>
        </w:rPr>
        <w:t xml:space="preserve"> resorpcija zavisi od pH vr</w:t>
      </w:r>
      <w:r w:rsidR="005A20F7">
        <w:rPr>
          <w:sz w:val="22"/>
          <w:szCs w:val="22"/>
          <w:lang w:val="sr-Latn-ME"/>
        </w:rPr>
        <w:t>ij</w:t>
      </w:r>
      <w:r w:rsidRPr="00CC0378">
        <w:rPr>
          <w:sz w:val="22"/>
          <w:szCs w:val="22"/>
          <w:lang w:val="sr-Latn-ME"/>
        </w:rPr>
        <w:t xml:space="preserve">ednosti u želucu. Kao i u slučaju drugih </w:t>
      </w:r>
      <w:r w:rsidR="00AB2C68" w:rsidRPr="00CC0378">
        <w:rPr>
          <w:sz w:val="22"/>
          <w:szCs w:val="22"/>
          <w:lang w:val="sr-Latn-ME"/>
        </w:rPr>
        <w:t>ljekov</w:t>
      </w:r>
      <w:r w:rsidRPr="00CC0378">
        <w:rPr>
          <w:sz w:val="22"/>
          <w:szCs w:val="22"/>
          <w:lang w:val="sr-Latn-ME"/>
        </w:rPr>
        <w:t>a koji smanjuju kisjelost želuca, resorpcija ketokonazola, itrakonazola i erlotiniba može da bude smanjena, a resorpcija digoksina povećana tokom terapije esomeprazolom. Istovremena terapija omeprazolom (20 mg dnevno) i digoksinom kod zdravih dobrovoljaca je dovela do povećanja bioraspoloživosti digoksina za 10% (čak i do 30% kod 2 od 10 učesnika). Rijetko je zabilježena toksičnost digoksina. Ipak, treba biti obazriv prilikom primjene visokih doza esomeprazola kod starijih pacijenata. U tom slučaju treba pratiti koncentracije digoksina u krvi.</w:t>
      </w:r>
    </w:p>
    <w:p w14:paraId="7F33DC04" w14:textId="77777777" w:rsidR="005D7586" w:rsidRPr="00CC0378" w:rsidRDefault="005D7586" w:rsidP="00CC0378">
      <w:pPr>
        <w:jc w:val="both"/>
        <w:rPr>
          <w:sz w:val="22"/>
          <w:szCs w:val="22"/>
          <w:lang w:val="sr-Latn-ME"/>
        </w:rPr>
      </w:pPr>
    </w:p>
    <w:p w14:paraId="038C79D2" w14:textId="50AFF0F4" w:rsidR="005D7586" w:rsidRPr="00CC0378" w:rsidRDefault="005D7586" w:rsidP="009462F3">
      <w:pPr>
        <w:jc w:val="both"/>
        <w:rPr>
          <w:i/>
          <w:iCs/>
          <w:sz w:val="22"/>
          <w:szCs w:val="22"/>
          <w:lang w:val="sr-Latn-ME"/>
        </w:rPr>
      </w:pPr>
      <w:r w:rsidRPr="00CC0378">
        <w:rPr>
          <w:i/>
          <w:iCs/>
          <w:sz w:val="22"/>
          <w:szCs w:val="22"/>
          <w:lang w:val="sr-Latn-ME"/>
        </w:rPr>
        <w:t>Ljekovi koji se metabolšu preko CYP2C19</w:t>
      </w:r>
    </w:p>
    <w:p w14:paraId="3F2A2436" w14:textId="08BB9430" w:rsidR="005D7586" w:rsidRPr="00CC0378" w:rsidRDefault="005D7586" w:rsidP="00983603">
      <w:pPr>
        <w:jc w:val="both"/>
        <w:rPr>
          <w:sz w:val="22"/>
          <w:szCs w:val="22"/>
          <w:lang w:val="sr-Latn-ME"/>
        </w:rPr>
      </w:pPr>
      <w:r w:rsidRPr="00CC0378">
        <w:rPr>
          <w:sz w:val="22"/>
          <w:szCs w:val="22"/>
          <w:lang w:val="sr-Latn-ME"/>
        </w:rPr>
        <w:t>Esomeprazol inhibira CYP2C19, glavni enzim koji metabolizuje esomeprazol. Prema tome, kada se esomeprazol kombinuje sa ljekovima koje metabolizuje CYP2C19, kao što su diazepam, citalopram, imipramin, klomipramin, fenitoin itd., koncentracije ovih ljekova u plazmi mogu da budu povećane i može biti potrebno smanjenje doze. Ovo treba posebno imati na umu  kada se esomeprazol pr</w:t>
      </w:r>
      <w:r w:rsidR="00983603">
        <w:rPr>
          <w:sz w:val="22"/>
          <w:szCs w:val="22"/>
          <w:lang w:val="sr-Latn-ME"/>
        </w:rPr>
        <w:t>o</w:t>
      </w:r>
      <w:r w:rsidRPr="00CC0378">
        <w:rPr>
          <w:sz w:val="22"/>
          <w:szCs w:val="22"/>
          <w:lang w:val="sr-Latn-ME"/>
        </w:rPr>
        <w:t xml:space="preserve">pisuje za uzimanje po potrebi. </w:t>
      </w:r>
    </w:p>
    <w:p w14:paraId="4EBC0AED" w14:textId="77777777" w:rsidR="005D7586" w:rsidRPr="00CC0378" w:rsidRDefault="005D7586" w:rsidP="00CC0378">
      <w:pPr>
        <w:jc w:val="both"/>
        <w:rPr>
          <w:sz w:val="22"/>
          <w:szCs w:val="22"/>
          <w:lang w:val="sr-Latn-ME"/>
        </w:rPr>
      </w:pPr>
    </w:p>
    <w:p w14:paraId="1EFC01BD" w14:textId="77777777" w:rsidR="005D7586" w:rsidRPr="00CC0378" w:rsidRDefault="005D7586" w:rsidP="00CC0378">
      <w:pPr>
        <w:jc w:val="both"/>
        <w:rPr>
          <w:i/>
          <w:sz w:val="22"/>
          <w:szCs w:val="22"/>
          <w:lang w:val="sr-Latn-ME"/>
        </w:rPr>
      </w:pPr>
      <w:r w:rsidRPr="00CC0378">
        <w:rPr>
          <w:i/>
          <w:sz w:val="22"/>
          <w:szCs w:val="22"/>
          <w:lang w:val="sr-Latn-ME"/>
        </w:rPr>
        <w:t>Diazepam</w:t>
      </w:r>
    </w:p>
    <w:p w14:paraId="44DB68C1" w14:textId="77777777" w:rsidR="005D7586" w:rsidRPr="00CC0378" w:rsidRDefault="005D7586" w:rsidP="00CC0378">
      <w:pPr>
        <w:jc w:val="both"/>
        <w:rPr>
          <w:sz w:val="22"/>
          <w:szCs w:val="22"/>
          <w:lang w:val="sr-Latn-ME"/>
        </w:rPr>
      </w:pPr>
      <w:r w:rsidRPr="00CC0378">
        <w:rPr>
          <w:sz w:val="22"/>
          <w:szCs w:val="22"/>
          <w:lang w:val="sr-Latn-ME"/>
        </w:rPr>
        <w:t xml:space="preserve">Istovremeno davanje 30 mg esomeprazola dovodilo je do 45% smanjenja  klirensa  CYP2C19 supstrata diazepama. </w:t>
      </w:r>
    </w:p>
    <w:p w14:paraId="304E9DB0" w14:textId="77777777" w:rsidR="005D7586" w:rsidRPr="00CC0378" w:rsidRDefault="005D7586" w:rsidP="00CC0378">
      <w:pPr>
        <w:jc w:val="both"/>
        <w:rPr>
          <w:sz w:val="22"/>
          <w:szCs w:val="22"/>
          <w:lang w:val="sr-Latn-ME"/>
        </w:rPr>
      </w:pPr>
    </w:p>
    <w:p w14:paraId="53044027" w14:textId="77777777" w:rsidR="005D7586" w:rsidRPr="00CC0378" w:rsidRDefault="005D7586" w:rsidP="00CC0378">
      <w:pPr>
        <w:jc w:val="both"/>
        <w:rPr>
          <w:i/>
          <w:sz w:val="22"/>
          <w:szCs w:val="22"/>
          <w:lang w:val="sr-Latn-ME"/>
        </w:rPr>
      </w:pPr>
      <w:r w:rsidRPr="00CC0378">
        <w:rPr>
          <w:i/>
          <w:sz w:val="22"/>
          <w:szCs w:val="22"/>
          <w:lang w:val="sr-Latn-ME"/>
        </w:rPr>
        <w:t>Fenitoin</w:t>
      </w:r>
    </w:p>
    <w:p w14:paraId="651E027D" w14:textId="1F30BD39" w:rsidR="005D7586" w:rsidRPr="00CC0378" w:rsidRDefault="005D7586" w:rsidP="00CC0378">
      <w:pPr>
        <w:jc w:val="both"/>
        <w:rPr>
          <w:sz w:val="22"/>
          <w:szCs w:val="22"/>
          <w:lang w:val="sr-Latn-ME"/>
        </w:rPr>
      </w:pPr>
      <w:r w:rsidRPr="00CC0378">
        <w:rPr>
          <w:sz w:val="22"/>
          <w:szCs w:val="22"/>
          <w:lang w:val="sr-Latn-ME"/>
        </w:rPr>
        <w:t xml:space="preserve">Istovremeno davanje 40 mg esomeprazola dovodilo je do 13% povećanja minimalnih nivoa fenitoina  kod </w:t>
      </w:r>
      <w:r w:rsidR="00983603">
        <w:rPr>
          <w:sz w:val="22"/>
          <w:szCs w:val="22"/>
          <w:lang w:val="sr-Latn-ME"/>
        </w:rPr>
        <w:t>pacijenata sa epilepsijom</w:t>
      </w:r>
      <w:r w:rsidRPr="00CC0378">
        <w:rPr>
          <w:sz w:val="22"/>
          <w:szCs w:val="22"/>
          <w:lang w:val="sr-Latn-ME"/>
        </w:rPr>
        <w:t xml:space="preserve">. Preporučuje se da se prate koncentracije fenitoina u plazmi kada se uvodi ili obustavlja terapija esomeprazolom. </w:t>
      </w:r>
    </w:p>
    <w:p w14:paraId="4B526BF2" w14:textId="77777777" w:rsidR="005D7586" w:rsidRPr="00CC0378" w:rsidRDefault="005D7586" w:rsidP="00CC0378">
      <w:pPr>
        <w:jc w:val="both"/>
        <w:rPr>
          <w:sz w:val="22"/>
          <w:szCs w:val="22"/>
          <w:lang w:val="sr-Latn-ME"/>
        </w:rPr>
      </w:pPr>
    </w:p>
    <w:p w14:paraId="34040A64" w14:textId="77777777" w:rsidR="005D7586" w:rsidRPr="00CC0378" w:rsidRDefault="005D7586" w:rsidP="00CC0378">
      <w:pPr>
        <w:jc w:val="both"/>
        <w:rPr>
          <w:i/>
          <w:sz w:val="22"/>
          <w:szCs w:val="22"/>
          <w:lang w:val="sr-Latn-ME"/>
        </w:rPr>
      </w:pPr>
      <w:r w:rsidRPr="00CC0378">
        <w:rPr>
          <w:i/>
          <w:sz w:val="22"/>
          <w:szCs w:val="22"/>
          <w:lang w:val="sr-Latn-ME"/>
        </w:rPr>
        <w:t>Vorikonazol</w:t>
      </w:r>
    </w:p>
    <w:p w14:paraId="1A0F7240" w14:textId="5DE5716F" w:rsidR="005D7586" w:rsidRPr="00CC0378" w:rsidRDefault="005D7586" w:rsidP="00CC0378">
      <w:pPr>
        <w:jc w:val="both"/>
        <w:rPr>
          <w:sz w:val="22"/>
          <w:szCs w:val="22"/>
          <w:lang w:val="sr-Latn-ME"/>
        </w:rPr>
      </w:pPr>
      <w:r w:rsidRPr="00CC0378">
        <w:rPr>
          <w:sz w:val="22"/>
          <w:szCs w:val="22"/>
          <w:lang w:val="sr-Latn-ME"/>
        </w:rPr>
        <w:t>Omeprazol</w:t>
      </w:r>
      <w:r w:rsidRPr="00CC0378">
        <w:rPr>
          <w:sz w:val="22"/>
          <w:szCs w:val="22"/>
          <w:vertAlign w:val="subscript"/>
          <w:lang w:val="sr-Latn-ME"/>
        </w:rPr>
        <w:t xml:space="preserve"> </w:t>
      </w:r>
      <w:r w:rsidRPr="00CC0378">
        <w:rPr>
          <w:sz w:val="22"/>
          <w:szCs w:val="22"/>
          <w:lang w:val="sr-Latn-ME"/>
        </w:rPr>
        <w:t>(40 mg jednom dnevno) je povećavao C</w:t>
      </w:r>
      <w:r w:rsidRPr="00CC0378">
        <w:rPr>
          <w:sz w:val="22"/>
          <w:szCs w:val="22"/>
          <w:vertAlign w:val="subscript"/>
          <w:lang w:val="sr-Latn-ME"/>
        </w:rPr>
        <w:t>max</w:t>
      </w:r>
      <w:r w:rsidRPr="00CC0378">
        <w:rPr>
          <w:sz w:val="22"/>
          <w:szCs w:val="22"/>
          <w:lang w:val="sr-Latn-ME"/>
        </w:rPr>
        <w:t xml:space="preserve"> vorikonazola (supstrat CYP2C19) za 15% , a PIK</w:t>
      </w:r>
      <w:r w:rsidRPr="00CC0378">
        <w:rPr>
          <w:sz w:val="22"/>
          <w:szCs w:val="22"/>
          <w:vertAlign w:val="subscript"/>
          <w:lang w:val="sr-Latn-ME"/>
        </w:rPr>
        <w:sym w:font="Symbol" w:char="F074"/>
      </w:r>
      <w:r w:rsidRPr="00CC0378">
        <w:rPr>
          <w:sz w:val="22"/>
          <w:szCs w:val="22"/>
          <w:vertAlign w:val="subscript"/>
          <w:lang w:val="sr-Latn-ME"/>
        </w:rPr>
        <w:t xml:space="preserve"> </w:t>
      </w:r>
      <w:r w:rsidRPr="00CC0378">
        <w:rPr>
          <w:sz w:val="22"/>
          <w:szCs w:val="22"/>
          <w:lang w:val="sr-Latn-ME"/>
        </w:rPr>
        <w:t>za 41%.</w:t>
      </w:r>
    </w:p>
    <w:p w14:paraId="79406C6B" w14:textId="77777777" w:rsidR="005D7586" w:rsidRPr="00CC0378" w:rsidRDefault="005D7586" w:rsidP="00CC0378">
      <w:pPr>
        <w:jc w:val="both"/>
        <w:rPr>
          <w:sz w:val="22"/>
          <w:szCs w:val="22"/>
          <w:lang w:val="sr-Latn-ME"/>
        </w:rPr>
      </w:pPr>
    </w:p>
    <w:p w14:paraId="378C40A7" w14:textId="77777777" w:rsidR="005D7586" w:rsidRPr="00CC0378" w:rsidRDefault="005D7586" w:rsidP="00CC0378">
      <w:pPr>
        <w:jc w:val="both"/>
        <w:rPr>
          <w:i/>
          <w:sz w:val="22"/>
          <w:szCs w:val="22"/>
          <w:lang w:val="sr-Latn-ME"/>
        </w:rPr>
      </w:pPr>
      <w:r w:rsidRPr="00CC0378">
        <w:rPr>
          <w:i/>
          <w:sz w:val="22"/>
          <w:szCs w:val="22"/>
          <w:lang w:val="sr-Latn-ME"/>
        </w:rPr>
        <w:t>Cilostazol</w:t>
      </w:r>
    </w:p>
    <w:p w14:paraId="1A992335" w14:textId="4ED17D72" w:rsidR="005D7586" w:rsidRPr="00CC0378" w:rsidRDefault="005D7586" w:rsidP="00CC0378">
      <w:pPr>
        <w:jc w:val="both"/>
        <w:rPr>
          <w:sz w:val="22"/>
          <w:szCs w:val="22"/>
          <w:lang w:val="sr-Latn-ME"/>
        </w:rPr>
      </w:pPr>
      <w:r w:rsidRPr="00CC0378">
        <w:rPr>
          <w:sz w:val="22"/>
          <w:szCs w:val="22"/>
          <w:lang w:val="sr-Latn-ME"/>
        </w:rPr>
        <w:t>Omeprazol i esomeprazol d</w:t>
      </w:r>
      <w:r w:rsidR="001C4661" w:rsidRPr="00CC0378">
        <w:rPr>
          <w:sz w:val="22"/>
          <w:szCs w:val="22"/>
          <w:lang w:val="sr-Latn-ME"/>
        </w:rPr>
        <w:t>j</w:t>
      </w:r>
      <w:r w:rsidRPr="00CC0378">
        <w:rPr>
          <w:sz w:val="22"/>
          <w:szCs w:val="22"/>
          <w:lang w:val="sr-Latn-ME"/>
        </w:rPr>
        <w:t>eluju kao inhibitori CYP2C19. Omeprazol, prim</w:t>
      </w:r>
      <w:r w:rsidR="001C4661" w:rsidRPr="00CC0378">
        <w:rPr>
          <w:sz w:val="22"/>
          <w:szCs w:val="22"/>
          <w:lang w:val="sr-Latn-ME"/>
        </w:rPr>
        <w:t>i</w:t>
      </w:r>
      <w:r w:rsidRPr="00CC0378">
        <w:rPr>
          <w:sz w:val="22"/>
          <w:szCs w:val="22"/>
          <w:lang w:val="sr-Latn-ME"/>
        </w:rPr>
        <w:t>jenjen u dozi od 40 mg zdravim dobrovoljcima u ukrštenoj studiji, povećavao je c</w:t>
      </w:r>
      <w:r w:rsidRPr="00CC0378">
        <w:rPr>
          <w:sz w:val="22"/>
          <w:szCs w:val="22"/>
          <w:vertAlign w:val="subscript"/>
          <w:lang w:val="sr-Latn-ME"/>
        </w:rPr>
        <w:t>max</w:t>
      </w:r>
      <w:r w:rsidRPr="00CC0378">
        <w:rPr>
          <w:sz w:val="22"/>
          <w:szCs w:val="22"/>
          <w:lang w:val="sr-Latn-ME"/>
        </w:rPr>
        <w:t xml:space="preserve"> i PIK cilostazola za 18% i 26%, a c</w:t>
      </w:r>
      <w:r w:rsidRPr="00CC0378">
        <w:rPr>
          <w:sz w:val="22"/>
          <w:szCs w:val="22"/>
          <w:vertAlign w:val="subscript"/>
          <w:lang w:val="sr-Latn-ME"/>
        </w:rPr>
        <w:t>max</w:t>
      </w:r>
      <w:r w:rsidRPr="00CC0378">
        <w:rPr>
          <w:sz w:val="22"/>
          <w:szCs w:val="22"/>
          <w:lang w:val="sr-Latn-ME"/>
        </w:rPr>
        <w:t xml:space="preserve"> i PIK svog aktivnog metabolita za 29% i 69%. </w:t>
      </w:r>
    </w:p>
    <w:p w14:paraId="7FE8683D" w14:textId="77777777" w:rsidR="005D7586" w:rsidRPr="00CC0378" w:rsidRDefault="005D7586" w:rsidP="00CC0378">
      <w:pPr>
        <w:jc w:val="both"/>
        <w:rPr>
          <w:sz w:val="22"/>
          <w:szCs w:val="22"/>
          <w:lang w:val="sr-Latn-ME"/>
        </w:rPr>
      </w:pPr>
    </w:p>
    <w:p w14:paraId="11F3F103" w14:textId="77777777" w:rsidR="005D7586" w:rsidRPr="00CC0378" w:rsidRDefault="005D7586" w:rsidP="00CC0378">
      <w:pPr>
        <w:jc w:val="both"/>
        <w:rPr>
          <w:i/>
          <w:sz w:val="22"/>
          <w:szCs w:val="22"/>
          <w:lang w:val="sr-Latn-ME"/>
        </w:rPr>
      </w:pPr>
      <w:r w:rsidRPr="00CC0378">
        <w:rPr>
          <w:i/>
          <w:sz w:val="22"/>
          <w:szCs w:val="22"/>
          <w:lang w:val="sr-Latn-ME"/>
        </w:rPr>
        <w:t>Cisparid</w:t>
      </w:r>
    </w:p>
    <w:p w14:paraId="5671B583" w14:textId="2BD7E7A2" w:rsidR="005D7586" w:rsidRPr="00CC0378" w:rsidRDefault="005D7586" w:rsidP="00CC0378">
      <w:pPr>
        <w:jc w:val="both"/>
        <w:rPr>
          <w:sz w:val="22"/>
          <w:szCs w:val="22"/>
          <w:lang w:val="sr-Latn-ME"/>
        </w:rPr>
      </w:pPr>
      <w:r w:rsidRPr="00CC0378">
        <w:rPr>
          <w:sz w:val="22"/>
          <w:szCs w:val="22"/>
          <w:lang w:val="sr-Latn-ME"/>
        </w:rPr>
        <w:t>Kod zdravih dobrovoljaca istovremeno davanje 40 mg esomeprazola dovodilo je do 32% povećanja površine ispod krive koncentracije u plazmi u funkciji vremena (PIK) i do 31% povećanja poluvremena eliminacije (t</w:t>
      </w:r>
      <w:r w:rsidRPr="00CC0378">
        <w:rPr>
          <w:sz w:val="22"/>
          <w:szCs w:val="22"/>
          <w:vertAlign w:val="subscript"/>
          <w:lang w:val="sr-Latn-ME"/>
        </w:rPr>
        <w:t>1/2</w:t>
      </w:r>
      <w:r w:rsidRPr="00CC0378">
        <w:rPr>
          <w:sz w:val="22"/>
          <w:szCs w:val="22"/>
          <w:lang w:val="sr-Latn-ME"/>
        </w:rPr>
        <w:t>), ali ne i do značajnijih povećanja vršnih nivoa  cisaprida u plazmi. Neznatno produženi QTc interval koji se b</w:t>
      </w:r>
      <w:r w:rsidR="001C4661" w:rsidRPr="00CC0378">
        <w:rPr>
          <w:sz w:val="22"/>
          <w:szCs w:val="22"/>
          <w:lang w:val="sr-Latn-ME"/>
        </w:rPr>
        <w:t>i</w:t>
      </w:r>
      <w:r w:rsidRPr="00CC0378">
        <w:rPr>
          <w:sz w:val="22"/>
          <w:szCs w:val="22"/>
          <w:lang w:val="sr-Latn-ME"/>
        </w:rPr>
        <w:t>l</w:t>
      </w:r>
      <w:r w:rsidR="001C4661" w:rsidRPr="00CC0378">
        <w:rPr>
          <w:sz w:val="22"/>
          <w:szCs w:val="22"/>
          <w:lang w:val="sr-Latn-ME"/>
        </w:rPr>
        <w:t>j</w:t>
      </w:r>
      <w:r w:rsidRPr="00CC0378">
        <w:rPr>
          <w:sz w:val="22"/>
          <w:szCs w:val="22"/>
          <w:lang w:val="sr-Latn-ME"/>
        </w:rPr>
        <w:t xml:space="preserve">eži i po davanju samog cisaprida nije dodatno produžen kada je cisaprid davan u kombinaciji sa esomeprazolom (vidjeti i </w:t>
      </w:r>
      <w:r w:rsidR="00E32873">
        <w:rPr>
          <w:sz w:val="22"/>
          <w:szCs w:val="22"/>
          <w:lang w:val="sr-Latn-ME"/>
        </w:rPr>
        <w:t>dio</w:t>
      </w:r>
      <w:r w:rsidRPr="00CC0378">
        <w:rPr>
          <w:sz w:val="22"/>
          <w:szCs w:val="22"/>
          <w:lang w:val="sr-Latn-ME"/>
        </w:rPr>
        <w:t xml:space="preserve"> 4.4). </w:t>
      </w:r>
    </w:p>
    <w:p w14:paraId="634D4FFC" w14:textId="77777777" w:rsidR="005D7586" w:rsidRPr="00CC0378" w:rsidRDefault="005D7586" w:rsidP="00CC0378">
      <w:pPr>
        <w:jc w:val="both"/>
        <w:rPr>
          <w:sz w:val="22"/>
          <w:szCs w:val="22"/>
          <w:lang w:val="sr-Latn-ME"/>
        </w:rPr>
      </w:pPr>
    </w:p>
    <w:p w14:paraId="280257E1" w14:textId="77777777" w:rsidR="005D7586" w:rsidRPr="00CC0378" w:rsidRDefault="005D7586" w:rsidP="00CC0378">
      <w:pPr>
        <w:jc w:val="both"/>
        <w:rPr>
          <w:i/>
          <w:sz w:val="22"/>
          <w:szCs w:val="22"/>
          <w:lang w:val="sr-Latn-ME"/>
        </w:rPr>
      </w:pPr>
      <w:r w:rsidRPr="00CC0378">
        <w:rPr>
          <w:i/>
          <w:sz w:val="22"/>
          <w:szCs w:val="22"/>
          <w:lang w:val="sr-Latn-ME"/>
        </w:rPr>
        <w:t>Varfarin</w:t>
      </w:r>
    </w:p>
    <w:p w14:paraId="6F5D70B8" w14:textId="1C4D5F7C" w:rsidR="005D7586" w:rsidRPr="00CC0378" w:rsidRDefault="005D7586" w:rsidP="00CC0378">
      <w:pPr>
        <w:jc w:val="both"/>
        <w:rPr>
          <w:sz w:val="22"/>
          <w:szCs w:val="22"/>
          <w:lang w:val="sr-Latn-ME"/>
        </w:rPr>
      </w:pPr>
      <w:r w:rsidRPr="00CC0378">
        <w:rPr>
          <w:sz w:val="22"/>
          <w:szCs w:val="22"/>
          <w:lang w:val="sr-Latn-ME"/>
        </w:rPr>
        <w:t xml:space="preserve">Kod pacijenata koji su u kliničkom ispitivanju istovremeno dobijali 40 mg esomeprazola i varfarin,  </w:t>
      </w:r>
      <w:r w:rsidR="00983603">
        <w:rPr>
          <w:sz w:val="22"/>
          <w:szCs w:val="22"/>
          <w:lang w:val="sr-Latn-ME"/>
        </w:rPr>
        <w:t xml:space="preserve">vrijeme </w:t>
      </w:r>
      <w:r w:rsidRPr="00CC0378">
        <w:rPr>
          <w:sz w:val="22"/>
          <w:szCs w:val="22"/>
          <w:lang w:val="sr-Latn-ME"/>
        </w:rPr>
        <w:t>koagulacije bilo je u prihvatljivom opsegu.</w:t>
      </w:r>
    </w:p>
    <w:p w14:paraId="6608B7C5" w14:textId="77777777" w:rsidR="005D7586" w:rsidRPr="00CC0378" w:rsidRDefault="005D7586" w:rsidP="00CC0378">
      <w:pPr>
        <w:jc w:val="both"/>
        <w:rPr>
          <w:sz w:val="22"/>
          <w:szCs w:val="22"/>
          <w:lang w:val="sr-Latn-ME"/>
        </w:rPr>
      </w:pPr>
      <w:r w:rsidRPr="00CC0378">
        <w:rPr>
          <w:sz w:val="22"/>
          <w:szCs w:val="22"/>
          <w:lang w:val="sr-Latn-ME"/>
        </w:rPr>
        <w:lastRenderedPageBreak/>
        <w:t xml:space="preserve">Međutim, postmarketinškim praćenjem je uočeno nekoliko izolovanih slučajeva klinički značajno povišenih INR tokom istovremene primjene ovih ljekova. Preporučuje se praćenje pri započinjanju i prekidanju istovremene primjene esomeprazola tokom terapije varfarinom ili drugim derivatima kumarina. </w:t>
      </w:r>
    </w:p>
    <w:p w14:paraId="3E17474D" w14:textId="6B12F859" w:rsidR="005D7586" w:rsidRDefault="005D7586" w:rsidP="00CC0378">
      <w:pPr>
        <w:jc w:val="both"/>
        <w:rPr>
          <w:sz w:val="22"/>
          <w:szCs w:val="22"/>
          <w:lang w:val="sr-Latn-ME"/>
        </w:rPr>
      </w:pPr>
    </w:p>
    <w:p w14:paraId="51CE6B3D" w14:textId="28B49452" w:rsidR="002A034D" w:rsidRDefault="002A034D" w:rsidP="00CC0378">
      <w:pPr>
        <w:jc w:val="both"/>
        <w:rPr>
          <w:sz w:val="22"/>
          <w:szCs w:val="22"/>
          <w:lang w:val="sr-Latn-ME"/>
        </w:rPr>
      </w:pPr>
    </w:p>
    <w:p w14:paraId="32AAC4DD" w14:textId="77777777" w:rsidR="002A034D" w:rsidRPr="00CC0378" w:rsidRDefault="002A034D" w:rsidP="00CC0378">
      <w:pPr>
        <w:jc w:val="both"/>
        <w:rPr>
          <w:sz w:val="22"/>
          <w:szCs w:val="22"/>
          <w:lang w:val="sr-Latn-ME"/>
        </w:rPr>
      </w:pPr>
    </w:p>
    <w:p w14:paraId="1E172646" w14:textId="77777777" w:rsidR="005D7586" w:rsidRPr="00CC0378" w:rsidRDefault="005D7586" w:rsidP="00CC0378">
      <w:pPr>
        <w:jc w:val="both"/>
        <w:rPr>
          <w:i/>
          <w:sz w:val="22"/>
          <w:szCs w:val="22"/>
          <w:lang w:val="sr-Latn-ME"/>
        </w:rPr>
      </w:pPr>
      <w:r w:rsidRPr="00CC0378">
        <w:rPr>
          <w:i/>
          <w:sz w:val="22"/>
          <w:szCs w:val="22"/>
          <w:lang w:val="sr-Latn-ME"/>
        </w:rPr>
        <w:t>Klopidogrel</w:t>
      </w:r>
    </w:p>
    <w:p w14:paraId="792401F9" w14:textId="455B10F4" w:rsidR="005D7586" w:rsidRPr="00CC0378" w:rsidRDefault="005D7586" w:rsidP="00CC0378">
      <w:pPr>
        <w:jc w:val="both"/>
        <w:rPr>
          <w:sz w:val="22"/>
          <w:szCs w:val="22"/>
          <w:lang w:val="sr-Latn-ME"/>
        </w:rPr>
      </w:pPr>
      <w:r w:rsidRPr="00CC0378">
        <w:rPr>
          <w:sz w:val="22"/>
          <w:szCs w:val="22"/>
          <w:lang w:val="sr-Latn-ME"/>
        </w:rPr>
        <w:t>Rezultati studija na zdravim dobrovoljcima pokazale su farmakokinetičku (PK) i farmakodinamičku (PD) interakciju između klopidogrela (300 mg inicijalna doza/75 mg dnevna doza održavanja) i esomeprazol</w:t>
      </w:r>
      <w:r w:rsidR="00983603">
        <w:rPr>
          <w:sz w:val="22"/>
          <w:szCs w:val="22"/>
          <w:lang w:val="sr-Latn-ME"/>
        </w:rPr>
        <w:t>a</w:t>
      </w:r>
      <w:r w:rsidRPr="00CC0378">
        <w:rPr>
          <w:sz w:val="22"/>
          <w:szCs w:val="22"/>
          <w:lang w:val="sr-Latn-ME"/>
        </w:rPr>
        <w:t xml:space="preserve"> (40 mg </w:t>
      </w:r>
      <w:r w:rsidR="007A0F82">
        <w:rPr>
          <w:sz w:val="22"/>
          <w:szCs w:val="22"/>
          <w:lang w:val="sr-Latn-ME"/>
        </w:rPr>
        <w:t>per</w:t>
      </w:r>
      <w:r w:rsidR="00983603">
        <w:rPr>
          <w:sz w:val="22"/>
          <w:szCs w:val="22"/>
          <w:lang w:val="sr-Latn-ME"/>
        </w:rPr>
        <w:t xml:space="preserve">oralno, </w:t>
      </w:r>
      <w:r w:rsidRPr="00CC0378">
        <w:rPr>
          <w:sz w:val="22"/>
          <w:szCs w:val="22"/>
          <w:lang w:val="sr-Latn-ME"/>
        </w:rPr>
        <w:t>dnev</w:t>
      </w:r>
      <w:r w:rsidR="00983603">
        <w:rPr>
          <w:sz w:val="22"/>
          <w:szCs w:val="22"/>
          <w:lang w:val="sr-Latn-ME"/>
        </w:rPr>
        <w:t>n</w:t>
      </w:r>
      <w:r w:rsidRPr="00CC0378">
        <w:rPr>
          <w:sz w:val="22"/>
          <w:szCs w:val="22"/>
          <w:lang w:val="sr-Latn-ME"/>
        </w:rPr>
        <w:t>o) koja je imala za rezultat smanjenu izloženost aktivno</w:t>
      </w:r>
      <w:r w:rsidR="00983603">
        <w:rPr>
          <w:sz w:val="22"/>
          <w:szCs w:val="22"/>
          <w:lang w:val="sr-Latn-ME"/>
        </w:rPr>
        <w:t>m</w:t>
      </w:r>
      <w:r w:rsidRPr="00CC0378">
        <w:rPr>
          <w:sz w:val="22"/>
          <w:szCs w:val="22"/>
          <w:lang w:val="sr-Latn-ME"/>
        </w:rPr>
        <w:t xml:space="preserve"> </w:t>
      </w:r>
      <w:r w:rsidR="00983603" w:rsidRPr="00CC0378">
        <w:rPr>
          <w:sz w:val="22"/>
          <w:szCs w:val="22"/>
          <w:lang w:val="sr-Latn-ME"/>
        </w:rPr>
        <w:t>metabolit</w:t>
      </w:r>
      <w:r w:rsidR="00983603">
        <w:rPr>
          <w:sz w:val="22"/>
          <w:szCs w:val="22"/>
          <w:lang w:val="sr-Latn-ME"/>
        </w:rPr>
        <w:t>u</w:t>
      </w:r>
      <w:r w:rsidR="00983603" w:rsidRPr="00CC0378">
        <w:rPr>
          <w:sz w:val="22"/>
          <w:szCs w:val="22"/>
          <w:lang w:val="sr-Latn-ME"/>
        </w:rPr>
        <w:t xml:space="preserve"> </w:t>
      </w:r>
      <w:r w:rsidRPr="00CC0378">
        <w:rPr>
          <w:sz w:val="22"/>
          <w:szCs w:val="22"/>
          <w:lang w:val="sr-Latn-ME"/>
        </w:rPr>
        <w:t>klopidogrela za prosječno 40% i posl</w:t>
      </w:r>
      <w:r w:rsidR="001C4661" w:rsidRPr="00CC0378">
        <w:rPr>
          <w:sz w:val="22"/>
          <w:szCs w:val="22"/>
          <w:lang w:val="sr-Latn-ME"/>
        </w:rPr>
        <w:t>j</w:t>
      </w:r>
      <w:r w:rsidRPr="00CC0378">
        <w:rPr>
          <w:sz w:val="22"/>
          <w:szCs w:val="22"/>
          <w:lang w:val="sr-Latn-ME"/>
        </w:rPr>
        <w:t>edično smanjenu inhibiciju (ADP indukovane) agregacije trombocita za prosječno 14%.</w:t>
      </w:r>
    </w:p>
    <w:p w14:paraId="756CB6A6" w14:textId="77777777" w:rsidR="005D7586" w:rsidRPr="00CC0378" w:rsidRDefault="005D7586" w:rsidP="00CC0378">
      <w:pPr>
        <w:jc w:val="both"/>
        <w:rPr>
          <w:sz w:val="22"/>
          <w:szCs w:val="22"/>
          <w:lang w:val="sr-Latn-ME"/>
        </w:rPr>
      </w:pPr>
    </w:p>
    <w:p w14:paraId="66A7EE9F" w14:textId="5AB09740" w:rsidR="005D7586" w:rsidRPr="00CC0378" w:rsidRDefault="005D7586" w:rsidP="00CC0378">
      <w:pPr>
        <w:jc w:val="both"/>
        <w:rPr>
          <w:sz w:val="22"/>
          <w:szCs w:val="22"/>
          <w:lang w:val="sr-Latn-ME"/>
        </w:rPr>
      </w:pPr>
      <w:r w:rsidRPr="00CC0378">
        <w:rPr>
          <w:sz w:val="22"/>
          <w:szCs w:val="22"/>
          <w:lang w:val="sr-Latn-ME"/>
        </w:rPr>
        <w:t xml:space="preserve">Kada je klopidogrel davan sa fiksnom kombinacijom 20 mg esomeprazola i 81 mg </w:t>
      </w:r>
      <w:r w:rsidR="00983603">
        <w:rPr>
          <w:sz w:val="22"/>
          <w:szCs w:val="22"/>
          <w:lang w:val="sr-Latn-ME"/>
        </w:rPr>
        <w:t>acetilsalicilne kiseline,</w:t>
      </w:r>
      <w:r w:rsidR="00983603" w:rsidRPr="00CC0378">
        <w:rPr>
          <w:sz w:val="22"/>
          <w:szCs w:val="22"/>
          <w:lang w:val="sr-Latn-ME"/>
        </w:rPr>
        <w:t xml:space="preserve"> </w:t>
      </w:r>
      <w:r w:rsidRPr="00CC0378">
        <w:rPr>
          <w:sz w:val="22"/>
          <w:szCs w:val="22"/>
          <w:lang w:val="sr-Latn-ME"/>
        </w:rPr>
        <w:t>u poređenju sa</w:t>
      </w:r>
      <w:r w:rsidR="00983603">
        <w:rPr>
          <w:sz w:val="22"/>
          <w:szCs w:val="22"/>
          <w:lang w:val="sr-Latn-ME"/>
        </w:rPr>
        <w:t xml:space="preserve"> samim</w:t>
      </w:r>
      <w:r w:rsidRPr="00CC0378">
        <w:rPr>
          <w:sz w:val="22"/>
          <w:szCs w:val="22"/>
          <w:lang w:val="sr-Latn-ME"/>
        </w:rPr>
        <w:t xml:space="preserve"> klopidogrelom</w:t>
      </w:r>
      <w:r w:rsidR="00983603">
        <w:rPr>
          <w:sz w:val="22"/>
          <w:szCs w:val="22"/>
          <w:lang w:val="sr-Latn-ME"/>
        </w:rPr>
        <w:t>,</w:t>
      </w:r>
      <w:r w:rsidRPr="00CC0378">
        <w:rPr>
          <w:sz w:val="22"/>
          <w:szCs w:val="22"/>
          <w:lang w:val="sr-Latn-ME"/>
        </w:rPr>
        <w:t xml:space="preserve"> u studiji na zdravim dobrovoljcima </w:t>
      </w:r>
      <w:r w:rsidR="00983603">
        <w:rPr>
          <w:sz w:val="22"/>
          <w:szCs w:val="22"/>
          <w:lang w:val="sr-Latn-ME"/>
        </w:rPr>
        <w:t xml:space="preserve">došlo je do </w:t>
      </w:r>
      <w:r w:rsidRPr="00CC0378">
        <w:rPr>
          <w:sz w:val="22"/>
          <w:szCs w:val="22"/>
          <w:lang w:val="sr-Latn-ME"/>
        </w:rPr>
        <w:t>smanjen</w:t>
      </w:r>
      <w:r w:rsidR="00983603">
        <w:rPr>
          <w:sz w:val="22"/>
          <w:szCs w:val="22"/>
          <w:lang w:val="sr-Latn-ME"/>
        </w:rPr>
        <w:t>ja</w:t>
      </w:r>
      <w:r w:rsidRPr="00CC0378">
        <w:rPr>
          <w:sz w:val="22"/>
          <w:szCs w:val="22"/>
          <w:lang w:val="sr-Latn-ME"/>
        </w:rPr>
        <w:t xml:space="preserve"> izloženosti aktivno</w:t>
      </w:r>
      <w:r w:rsidR="00983603">
        <w:rPr>
          <w:sz w:val="22"/>
          <w:szCs w:val="22"/>
          <w:lang w:val="sr-Latn-ME"/>
        </w:rPr>
        <w:t>m</w:t>
      </w:r>
      <w:r w:rsidRPr="00CC0378">
        <w:rPr>
          <w:sz w:val="22"/>
          <w:szCs w:val="22"/>
          <w:lang w:val="sr-Latn-ME"/>
        </w:rPr>
        <w:t xml:space="preserve"> </w:t>
      </w:r>
      <w:r w:rsidR="00983603" w:rsidRPr="00CC0378">
        <w:rPr>
          <w:sz w:val="22"/>
          <w:szCs w:val="22"/>
          <w:lang w:val="sr-Latn-ME"/>
        </w:rPr>
        <w:t>metabolit</w:t>
      </w:r>
      <w:r w:rsidR="00983603">
        <w:rPr>
          <w:sz w:val="22"/>
          <w:szCs w:val="22"/>
          <w:lang w:val="sr-Latn-ME"/>
        </w:rPr>
        <w:t>u</w:t>
      </w:r>
      <w:r w:rsidR="00983603" w:rsidRPr="00CC0378">
        <w:rPr>
          <w:sz w:val="22"/>
          <w:szCs w:val="22"/>
          <w:lang w:val="sr-Latn-ME"/>
        </w:rPr>
        <w:t xml:space="preserve"> </w:t>
      </w:r>
      <w:r w:rsidRPr="00CC0378">
        <w:rPr>
          <w:sz w:val="22"/>
          <w:szCs w:val="22"/>
          <w:lang w:val="sr-Latn-ME"/>
        </w:rPr>
        <w:t>klopidogrela za skoro 40%.</w:t>
      </w:r>
      <w:r w:rsidR="001C4661" w:rsidRPr="00CC0378">
        <w:rPr>
          <w:sz w:val="22"/>
          <w:szCs w:val="22"/>
          <w:lang w:val="sr-Latn-ME"/>
        </w:rPr>
        <w:t xml:space="preserve"> </w:t>
      </w:r>
      <w:r w:rsidRPr="00CC0378">
        <w:rPr>
          <w:sz w:val="22"/>
          <w:szCs w:val="22"/>
          <w:lang w:val="sr-Latn-ME"/>
        </w:rPr>
        <w:t xml:space="preserve">Međutim, maksimalni nivo inhibicije (ADP indukovane) agregacije trombocita kod ovih subjekata </w:t>
      </w:r>
      <w:r w:rsidR="00983603">
        <w:rPr>
          <w:sz w:val="22"/>
          <w:szCs w:val="22"/>
          <w:lang w:val="sr-Latn-ME"/>
        </w:rPr>
        <w:t>bio</w:t>
      </w:r>
      <w:r w:rsidR="00983603" w:rsidRPr="00CC0378">
        <w:rPr>
          <w:sz w:val="22"/>
          <w:szCs w:val="22"/>
          <w:lang w:val="sr-Latn-ME"/>
        </w:rPr>
        <w:t xml:space="preserve"> </w:t>
      </w:r>
      <w:r w:rsidRPr="00CC0378">
        <w:rPr>
          <w:sz w:val="22"/>
          <w:szCs w:val="22"/>
          <w:lang w:val="sr-Latn-ME"/>
        </w:rPr>
        <w:t xml:space="preserve">je </w:t>
      </w:r>
      <w:r w:rsidR="00983603" w:rsidRPr="00CC0378">
        <w:rPr>
          <w:sz w:val="22"/>
          <w:szCs w:val="22"/>
          <w:lang w:val="sr-Latn-ME"/>
        </w:rPr>
        <w:t>ist</w:t>
      </w:r>
      <w:r w:rsidR="00983603">
        <w:rPr>
          <w:sz w:val="22"/>
          <w:szCs w:val="22"/>
          <w:lang w:val="sr-Latn-ME"/>
        </w:rPr>
        <w:t>i</w:t>
      </w:r>
      <w:r w:rsidR="00983603" w:rsidRPr="00CC0378">
        <w:rPr>
          <w:sz w:val="22"/>
          <w:szCs w:val="22"/>
          <w:lang w:val="sr-Latn-ME"/>
        </w:rPr>
        <w:t xml:space="preserve"> </w:t>
      </w:r>
      <w:r w:rsidRPr="00CC0378">
        <w:rPr>
          <w:sz w:val="22"/>
          <w:szCs w:val="22"/>
          <w:lang w:val="sr-Latn-ME"/>
        </w:rPr>
        <w:t>u grupi koja je primala klopidogrel i grupi koja je istovremeno primala klopidogrel i kombinaciju esomeprazol+</w:t>
      </w:r>
      <w:r w:rsidR="00983603">
        <w:rPr>
          <w:sz w:val="22"/>
          <w:szCs w:val="22"/>
          <w:lang w:val="sr-Latn-ME"/>
        </w:rPr>
        <w:t>acetilsalicilna kiselina</w:t>
      </w:r>
      <w:r w:rsidRPr="00CC0378">
        <w:rPr>
          <w:sz w:val="22"/>
          <w:szCs w:val="22"/>
          <w:lang w:val="sr-Latn-ME"/>
        </w:rPr>
        <w:t>.</w:t>
      </w:r>
    </w:p>
    <w:p w14:paraId="537A2E64" w14:textId="77777777" w:rsidR="005D7586" w:rsidRPr="00CC0378" w:rsidRDefault="005D7586" w:rsidP="00CC0378">
      <w:pPr>
        <w:jc w:val="both"/>
        <w:rPr>
          <w:sz w:val="22"/>
          <w:szCs w:val="22"/>
          <w:lang w:val="sr-Latn-ME"/>
        </w:rPr>
      </w:pPr>
    </w:p>
    <w:p w14:paraId="115289FF" w14:textId="71DE9AAB" w:rsidR="005D7586" w:rsidRPr="00CC0378" w:rsidRDefault="007A0F82" w:rsidP="00CC0378">
      <w:pPr>
        <w:jc w:val="both"/>
        <w:rPr>
          <w:sz w:val="22"/>
          <w:szCs w:val="22"/>
          <w:lang w:val="sr-Latn-ME"/>
        </w:rPr>
      </w:pPr>
      <w:r>
        <w:rPr>
          <w:sz w:val="22"/>
          <w:szCs w:val="22"/>
          <w:lang w:val="sr-Latn-ME"/>
        </w:rPr>
        <w:t>Nedosljednji podaci o</w:t>
      </w:r>
      <w:r w:rsidRPr="00CC0378">
        <w:rPr>
          <w:sz w:val="22"/>
          <w:szCs w:val="22"/>
          <w:lang w:val="sr-Latn-ME"/>
        </w:rPr>
        <w:t xml:space="preserve"> klinički</w:t>
      </w:r>
      <w:r>
        <w:rPr>
          <w:sz w:val="22"/>
          <w:szCs w:val="22"/>
          <w:lang w:val="sr-Latn-ME"/>
        </w:rPr>
        <w:t>m</w:t>
      </w:r>
      <w:r w:rsidRPr="00CC0378">
        <w:rPr>
          <w:sz w:val="22"/>
          <w:szCs w:val="22"/>
          <w:lang w:val="sr-Latn-ME"/>
        </w:rPr>
        <w:t xml:space="preserve"> </w:t>
      </w:r>
      <w:r w:rsidR="005D7586" w:rsidRPr="00CC0378">
        <w:rPr>
          <w:sz w:val="22"/>
          <w:szCs w:val="22"/>
          <w:lang w:val="sr-Latn-ME"/>
        </w:rPr>
        <w:t>implikacija</w:t>
      </w:r>
      <w:r>
        <w:rPr>
          <w:sz w:val="22"/>
          <w:szCs w:val="22"/>
          <w:lang w:val="sr-Latn-ME"/>
        </w:rPr>
        <w:t>ma</w:t>
      </w:r>
      <w:r w:rsidR="005D7586" w:rsidRPr="00CC0378">
        <w:rPr>
          <w:sz w:val="22"/>
          <w:szCs w:val="22"/>
          <w:lang w:val="sr-Latn-ME"/>
        </w:rPr>
        <w:t xml:space="preserve"> PK/PD interakcija esomeprazola u </w:t>
      </w:r>
      <w:r>
        <w:rPr>
          <w:sz w:val="22"/>
          <w:szCs w:val="22"/>
          <w:lang w:val="sr-Latn-ME"/>
        </w:rPr>
        <w:t>pogledu</w:t>
      </w:r>
      <w:r w:rsidRPr="00CC0378">
        <w:rPr>
          <w:sz w:val="22"/>
          <w:szCs w:val="22"/>
          <w:lang w:val="sr-Latn-ME"/>
        </w:rPr>
        <w:t xml:space="preserve"> </w:t>
      </w:r>
      <w:r w:rsidR="005D7586" w:rsidRPr="00CC0378">
        <w:rPr>
          <w:sz w:val="22"/>
          <w:szCs w:val="22"/>
          <w:lang w:val="sr-Latn-ME"/>
        </w:rPr>
        <w:t>većih kardiovaskularnih događaja</w:t>
      </w:r>
      <w:r>
        <w:rPr>
          <w:sz w:val="22"/>
          <w:szCs w:val="22"/>
          <w:lang w:val="sr-Latn-ME"/>
        </w:rPr>
        <w:t xml:space="preserve"> prijavljeni su</w:t>
      </w:r>
      <w:r w:rsidR="005D7586" w:rsidRPr="00CC0378">
        <w:rPr>
          <w:sz w:val="22"/>
          <w:szCs w:val="22"/>
          <w:lang w:val="sr-Latn-ME"/>
        </w:rPr>
        <w:t xml:space="preserve"> </w:t>
      </w:r>
      <w:r>
        <w:rPr>
          <w:sz w:val="22"/>
          <w:szCs w:val="22"/>
          <w:lang w:val="sr-Latn-ME"/>
        </w:rPr>
        <w:t>u</w:t>
      </w:r>
      <w:r w:rsidRPr="00CC0378">
        <w:rPr>
          <w:sz w:val="22"/>
          <w:szCs w:val="22"/>
          <w:lang w:val="sr-Latn-ME"/>
        </w:rPr>
        <w:t xml:space="preserve"> opservacioni</w:t>
      </w:r>
      <w:r>
        <w:rPr>
          <w:sz w:val="22"/>
          <w:szCs w:val="22"/>
          <w:lang w:val="sr-Latn-ME"/>
        </w:rPr>
        <w:t>m</w:t>
      </w:r>
      <w:r w:rsidRPr="00CC0378">
        <w:rPr>
          <w:sz w:val="22"/>
          <w:szCs w:val="22"/>
          <w:lang w:val="sr-Latn-ME"/>
        </w:rPr>
        <w:t xml:space="preserve"> </w:t>
      </w:r>
      <w:r w:rsidR="005D7586" w:rsidRPr="00CC0378">
        <w:rPr>
          <w:sz w:val="22"/>
          <w:szCs w:val="22"/>
          <w:lang w:val="sr-Latn-ME"/>
        </w:rPr>
        <w:t xml:space="preserve">i </w:t>
      </w:r>
      <w:r w:rsidRPr="00CC0378">
        <w:rPr>
          <w:sz w:val="22"/>
          <w:szCs w:val="22"/>
          <w:lang w:val="sr-Latn-ME"/>
        </w:rPr>
        <w:t>klinički</w:t>
      </w:r>
      <w:r>
        <w:rPr>
          <w:sz w:val="22"/>
          <w:szCs w:val="22"/>
          <w:lang w:val="sr-Latn-ME"/>
        </w:rPr>
        <w:t>m</w:t>
      </w:r>
      <w:r w:rsidRPr="00CC0378">
        <w:rPr>
          <w:sz w:val="22"/>
          <w:szCs w:val="22"/>
          <w:lang w:val="sr-Latn-ME"/>
        </w:rPr>
        <w:t xml:space="preserve"> </w:t>
      </w:r>
      <w:r w:rsidR="005D7586" w:rsidRPr="00CC0378">
        <w:rPr>
          <w:sz w:val="22"/>
          <w:szCs w:val="22"/>
          <w:lang w:val="sr-Latn-ME"/>
        </w:rPr>
        <w:t>studija</w:t>
      </w:r>
      <w:r>
        <w:rPr>
          <w:sz w:val="22"/>
          <w:szCs w:val="22"/>
          <w:lang w:val="sr-Latn-ME"/>
        </w:rPr>
        <w:t>ma</w:t>
      </w:r>
      <w:r w:rsidR="005D7586" w:rsidRPr="00CC0378">
        <w:rPr>
          <w:sz w:val="22"/>
          <w:szCs w:val="22"/>
          <w:lang w:val="sr-Latn-ME"/>
        </w:rPr>
        <w:t>. Kao m</w:t>
      </w:r>
      <w:r w:rsidR="001C4661" w:rsidRPr="00CC0378">
        <w:rPr>
          <w:sz w:val="22"/>
          <w:szCs w:val="22"/>
          <w:lang w:val="sr-Latn-ME"/>
        </w:rPr>
        <w:t>j</w:t>
      </w:r>
      <w:r w:rsidR="005D7586" w:rsidRPr="00CC0378">
        <w:rPr>
          <w:sz w:val="22"/>
          <w:szCs w:val="22"/>
          <w:lang w:val="sr-Latn-ME"/>
        </w:rPr>
        <w:t>eru predostrožnosti istovremenu primjenu klopidogrela</w:t>
      </w:r>
      <w:r w:rsidR="00983603">
        <w:rPr>
          <w:sz w:val="22"/>
          <w:szCs w:val="22"/>
          <w:lang w:val="sr-Latn-ME"/>
        </w:rPr>
        <w:t xml:space="preserve"> treba izbjegavati u preporukama</w:t>
      </w:r>
      <w:r w:rsidR="005D7586" w:rsidRPr="00CC0378">
        <w:rPr>
          <w:sz w:val="22"/>
          <w:szCs w:val="22"/>
          <w:lang w:val="sr-Latn-ME"/>
        </w:rPr>
        <w:t>.</w:t>
      </w:r>
    </w:p>
    <w:p w14:paraId="2684C30C" w14:textId="77777777" w:rsidR="005D7586" w:rsidRPr="00CC0378" w:rsidRDefault="005D7586" w:rsidP="00CC0378">
      <w:pPr>
        <w:jc w:val="both"/>
        <w:rPr>
          <w:sz w:val="22"/>
          <w:szCs w:val="22"/>
          <w:lang w:val="sr-Latn-ME"/>
        </w:rPr>
      </w:pPr>
    </w:p>
    <w:p w14:paraId="4E3B5ACE" w14:textId="70B73768" w:rsidR="005D7586" w:rsidRPr="00CC0378" w:rsidRDefault="005D7586" w:rsidP="00CC0378">
      <w:pPr>
        <w:jc w:val="both"/>
        <w:rPr>
          <w:i/>
          <w:sz w:val="22"/>
          <w:szCs w:val="22"/>
          <w:lang w:val="sr-Latn-ME"/>
        </w:rPr>
      </w:pPr>
      <w:r w:rsidRPr="00CC0378">
        <w:rPr>
          <w:i/>
          <w:sz w:val="22"/>
          <w:szCs w:val="22"/>
          <w:lang w:val="sr-Latn-ME"/>
        </w:rPr>
        <w:t>Ispitivani ljekovi koji nisu pokazali interakcije od kliničkog značaja</w:t>
      </w:r>
    </w:p>
    <w:p w14:paraId="3FD57D34" w14:textId="77777777" w:rsidR="001C4661" w:rsidRPr="00CC0378" w:rsidRDefault="001C4661" w:rsidP="00CC0378">
      <w:pPr>
        <w:jc w:val="both"/>
        <w:rPr>
          <w:i/>
          <w:sz w:val="22"/>
          <w:szCs w:val="22"/>
          <w:lang w:val="sr-Latn-ME"/>
        </w:rPr>
      </w:pPr>
    </w:p>
    <w:p w14:paraId="56177A8F" w14:textId="77777777" w:rsidR="005D7586" w:rsidRPr="00CC0378" w:rsidRDefault="005D7586" w:rsidP="00CC0378">
      <w:pPr>
        <w:jc w:val="both"/>
        <w:rPr>
          <w:i/>
          <w:sz w:val="22"/>
          <w:szCs w:val="22"/>
          <w:lang w:val="sr-Latn-ME"/>
        </w:rPr>
      </w:pPr>
      <w:r w:rsidRPr="00CC0378">
        <w:rPr>
          <w:i/>
          <w:sz w:val="22"/>
          <w:szCs w:val="22"/>
          <w:lang w:val="sr-Latn-ME"/>
        </w:rPr>
        <w:t>Amoksicilin i hinidin</w:t>
      </w:r>
    </w:p>
    <w:p w14:paraId="5DC5A51A" w14:textId="77777777" w:rsidR="005D7586" w:rsidRPr="00CC0378" w:rsidRDefault="005D7586" w:rsidP="00CC0378">
      <w:pPr>
        <w:jc w:val="both"/>
        <w:rPr>
          <w:sz w:val="22"/>
          <w:szCs w:val="22"/>
          <w:lang w:val="sr-Latn-ME"/>
        </w:rPr>
      </w:pPr>
      <w:r w:rsidRPr="00CC0378">
        <w:rPr>
          <w:sz w:val="22"/>
          <w:szCs w:val="22"/>
          <w:lang w:val="sr-Latn-ME"/>
        </w:rPr>
        <w:t>Pokazano je da esomeprazol nema klinički značajnih efekata na farmakokinetiku amoksicilina ili hinidina.</w:t>
      </w:r>
    </w:p>
    <w:p w14:paraId="025BB888" w14:textId="77777777" w:rsidR="005D7586" w:rsidRPr="00CC0378" w:rsidRDefault="005D7586" w:rsidP="00CC0378">
      <w:pPr>
        <w:jc w:val="both"/>
        <w:rPr>
          <w:sz w:val="22"/>
          <w:szCs w:val="22"/>
          <w:lang w:val="sr-Latn-ME"/>
        </w:rPr>
      </w:pPr>
    </w:p>
    <w:p w14:paraId="13C2E3F8" w14:textId="77777777" w:rsidR="005D7586" w:rsidRPr="00CC0378" w:rsidRDefault="005D7586" w:rsidP="00CC0378">
      <w:pPr>
        <w:jc w:val="both"/>
        <w:rPr>
          <w:i/>
          <w:sz w:val="22"/>
          <w:szCs w:val="22"/>
          <w:lang w:val="sr-Latn-ME"/>
        </w:rPr>
      </w:pPr>
      <w:r w:rsidRPr="00CC0378">
        <w:rPr>
          <w:i/>
          <w:sz w:val="22"/>
          <w:szCs w:val="22"/>
          <w:lang w:val="sr-Latn-ME"/>
        </w:rPr>
        <w:t>Naproksen ili rofekoksib</w:t>
      </w:r>
    </w:p>
    <w:p w14:paraId="36B05B2B" w14:textId="57382478" w:rsidR="005D7586" w:rsidRPr="00CC0378" w:rsidRDefault="007A0F82" w:rsidP="00CC0378">
      <w:pPr>
        <w:jc w:val="both"/>
        <w:rPr>
          <w:sz w:val="22"/>
          <w:szCs w:val="22"/>
          <w:lang w:val="sr-Latn-ME"/>
        </w:rPr>
      </w:pPr>
      <w:r>
        <w:rPr>
          <w:sz w:val="22"/>
          <w:szCs w:val="22"/>
          <w:lang w:val="sr-Latn-ME"/>
        </w:rPr>
        <w:t>U i</w:t>
      </w:r>
      <w:r w:rsidR="005D7586" w:rsidRPr="00CC0378">
        <w:rPr>
          <w:sz w:val="22"/>
          <w:szCs w:val="22"/>
          <w:lang w:val="sr-Latn-ME"/>
        </w:rPr>
        <w:t>spitivanjima, u kojima je ocjenjivana istovremena primjena esomeprazol</w:t>
      </w:r>
      <w:r>
        <w:rPr>
          <w:sz w:val="22"/>
          <w:szCs w:val="22"/>
          <w:lang w:val="sr-Latn-ME"/>
        </w:rPr>
        <w:t>a</w:t>
      </w:r>
      <w:r w:rsidR="005D7586" w:rsidRPr="00CC0378">
        <w:rPr>
          <w:sz w:val="22"/>
          <w:szCs w:val="22"/>
          <w:lang w:val="sr-Latn-ME"/>
        </w:rPr>
        <w:t xml:space="preserve"> ili sa naproksenom ili </w:t>
      </w:r>
      <w:r>
        <w:rPr>
          <w:sz w:val="22"/>
          <w:szCs w:val="22"/>
          <w:lang w:val="sr-Latn-ME"/>
        </w:rPr>
        <w:t xml:space="preserve">sa </w:t>
      </w:r>
      <w:r w:rsidR="005D7586" w:rsidRPr="00CC0378">
        <w:rPr>
          <w:sz w:val="22"/>
          <w:szCs w:val="22"/>
          <w:lang w:val="sr-Latn-ME"/>
        </w:rPr>
        <w:t xml:space="preserve">rofekoksibom, nisu identifikovane nikakve klinički značajne farmakokinetičke interakcije tokom kratkotrajnih ispitivanja. </w:t>
      </w:r>
    </w:p>
    <w:p w14:paraId="10A36677" w14:textId="679E8D1D" w:rsidR="005D7586" w:rsidRPr="00CC0378" w:rsidRDefault="005D7586" w:rsidP="00CC0378">
      <w:pPr>
        <w:jc w:val="both"/>
        <w:rPr>
          <w:sz w:val="22"/>
          <w:szCs w:val="22"/>
          <w:lang w:val="sr-Latn-ME"/>
        </w:rPr>
      </w:pPr>
    </w:p>
    <w:p w14:paraId="55125C39" w14:textId="77777777" w:rsidR="005D7586" w:rsidRPr="00CC0378" w:rsidRDefault="005D7586" w:rsidP="00CC0378">
      <w:pPr>
        <w:jc w:val="both"/>
        <w:rPr>
          <w:b/>
          <w:sz w:val="22"/>
          <w:szCs w:val="22"/>
          <w:lang w:val="sr-Latn-ME"/>
        </w:rPr>
      </w:pPr>
      <w:r w:rsidRPr="00CC0378">
        <w:rPr>
          <w:b/>
          <w:sz w:val="22"/>
          <w:szCs w:val="22"/>
          <w:lang w:val="sr-Latn-ME"/>
        </w:rPr>
        <w:t>Dejstvo drugih ljekova na farmakokinetiku esomeprazola</w:t>
      </w:r>
    </w:p>
    <w:p w14:paraId="3C68CB3A" w14:textId="77777777" w:rsidR="005D7586" w:rsidRPr="00CC0378" w:rsidRDefault="005D7586" w:rsidP="00CC0378">
      <w:pPr>
        <w:jc w:val="both"/>
        <w:rPr>
          <w:b/>
          <w:sz w:val="22"/>
          <w:szCs w:val="22"/>
          <w:lang w:val="sr-Latn-ME"/>
        </w:rPr>
      </w:pPr>
    </w:p>
    <w:p w14:paraId="1B4945B7" w14:textId="77777777" w:rsidR="005D7586" w:rsidRPr="00CC0378" w:rsidRDefault="005D7586" w:rsidP="00CC0378">
      <w:pPr>
        <w:jc w:val="both"/>
        <w:rPr>
          <w:i/>
          <w:sz w:val="22"/>
          <w:szCs w:val="22"/>
          <w:lang w:val="sr-Latn-ME"/>
        </w:rPr>
      </w:pPr>
      <w:r w:rsidRPr="00CC0378">
        <w:rPr>
          <w:i/>
          <w:sz w:val="22"/>
          <w:szCs w:val="22"/>
          <w:lang w:val="sr-Latn-ME"/>
        </w:rPr>
        <w:t>Inhibitori izoenzima CYP2C19 i/ili CYP3A4</w:t>
      </w:r>
    </w:p>
    <w:p w14:paraId="6504488F" w14:textId="61C9965E" w:rsidR="005D7586" w:rsidRPr="00CC0378" w:rsidRDefault="005D7586" w:rsidP="00CC0378">
      <w:pPr>
        <w:jc w:val="both"/>
        <w:rPr>
          <w:sz w:val="22"/>
          <w:szCs w:val="22"/>
          <w:lang w:val="sr-Latn-ME"/>
        </w:rPr>
      </w:pPr>
      <w:r w:rsidRPr="00CC0378">
        <w:rPr>
          <w:sz w:val="22"/>
          <w:szCs w:val="22"/>
          <w:lang w:val="sr-Latn-ME"/>
        </w:rPr>
        <w:t>Esomeprazol metabolizuju CYP2C19 i CYP3A4. Istovremeno davanje esomeprazola</w:t>
      </w:r>
      <w:r w:rsidR="001C7B16" w:rsidRPr="00CC0378">
        <w:rPr>
          <w:sz w:val="22"/>
          <w:szCs w:val="22"/>
          <w:lang w:val="sr-Latn-ME"/>
        </w:rPr>
        <w:t xml:space="preserve"> </w:t>
      </w:r>
      <w:r w:rsidRPr="00CC0378">
        <w:rPr>
          <w:sz w:val="22"/>
          <w:szCs w:val="22"/>
          <w:lang w:val="sr-Latn-ME"/>
        </w:rPr>
        <w:t xml:space="preserve">i inhibitora CYP3A4, klaritromicina (500 mg, dva puta na dan), dovelo je do udvostručavanja izlaganja (PIK) esomeprazolu. Istovremeno davanje esomeprazola i </w:t>
      </w:r>
      <w:r w:rsidRPr="00CC0378">
        <w:rPr>
          <w:sz w:val="22"/>
          <w:szCs w:val="22"/>
          <w:lang w:val="sr-Latn-ME" w:eastAsia="sv-SE"/>
        </w:rPr>
        <w:t xml:space="preserve">kombinovanog inhibitora CYP2C19 i CYP 3A4 može da dovede do povećanja izlaganja esomeprazolu većeg od dvostrukog. </w:t>
      </w:r>
      <w:r w:rsidRPr="00CC0378">
        <w:rPr>
          <w:sz w:val="22"/>
          <w:szCs w:val="22"/>
          <w:lang w:val="sr-Latn-ME"/>
        </w:rPr>
        <w:t>Inhibitor CYP2C19 i CYP3A4 vorikonazol povećava PIK</w:t>
      </w:r>
      <w:r w:rsidRPr="00CC0378">
        <w:rPr>
          <w:sz w:val="22"/>
          <w:szCs w:val="22"/>
          <w:vertAlign w:val="subscript"/>
          <w:lang w:val="sr-Latn-ME"/>
        </w:rPr>
        <w:sym w:font="Symbol" w:char="F074"/>
      </w:r>
      <w:r w:rsidRPr="00CC0378">
        <w:rPr>
          <w:sz w:val="22"/>
          <w:szCs w:val="22"/>
          <w:vertAlign w:val="subscript"/>
          <w:lang w:val="sr-Latn-ME"/>
        </w:rPr>
        <w:t xml:space="preserve">  </w:t>
      </w:r>
      <w:r w:rsidRPr="00CC0378">
        <w:rPr>
          <w:sz w:val="22"/>
          <w:szCs w:val="22"/>
          <w:lang w:val="sr-Latn-ME"/>
        </w:rPr>
        <w:t xml:space="preserve">omeprazola za 280%. </w:t>
      </w:r>
      <w:r w:rsidRPr="00CC0378">
        <w:rPr>
          <w:sz w:val="22"/>
          <w:szCs w:val="22"/>
          <w:lang w:val="sr-Latn-ME" w:eastAsia="sv-SE"/>
        </w:rPr>
        <w:t>Po pravilu, podešavanje doze esomeprazola nije potrebno ni u jednoj od ovih situacija.  Međutim, o podešavanju doze treba razmisliti kod pacijenata sa teškim oštećenjem funkcije jetre ako je indikovana dugotrajna terapija.</w:t>
      </w:r>
    </w:p>
    <w:p w14:paraId="70606FEF" w14:textId="77777777" w:rsidR="005D7586" w:rsidRPr="00CC0378" w:rsidRDefault="005D7586" w:rsidP="00CC0378">
      <w:pPr>
        <w:jc w:val="both"/>
        <w:rPr>
          <w:sz w:val="22"/>
          <w:szCs w:val="22"/>
          <w:lang w:val="sr-Latn-ME"/>
        </w:rPr>
      </w:pPr>
    </w:p>
    <w:p w14:paraId="3EB329CC" w14:textId="77777777" w:rsidR="005D7586" w:rsidRPr="00CC0378" w:rsidRDefault="005D7586" w:rsidP="00CC0378">
      <w:pPr>
        <w:jc w:val="both"/>
        <w:rPr>
          <w:sz w:val="22"/>
          <w:szCs w:val="22"/>
          <w:lang w:val="sr-Latn-ME"/>
        </w:rPr>
      </w:pPr>
      <w:r w:rsidRPr="00CC0378">
        <w:rPr>
          <w:i/>
          <w:sz w:val="22"/>
          <w:szCs w:val="22"/>
          <w:lang w:val="sr-Latn-ME"/>
        </w:rPr>
        <w:t>Induktori izoenzima CYP2C19 i/ili CYP3A4</w:t>
      </w:r>
    </w:p>
    <w:p w14:paraId="7A574841" w14:textId="77777777" w:rsidR="005D7586" w:rsidRPr="00CC0378" w:rsidRDefault="005D7586" w:rsidP="00CC0378">
      <w:pPr>
        <w:jc w:val="both"/>
        <w:rPr>
          <w:sz w:val="22"/>
          <w:szCs w:val="22"/>
          <w:lang w:val="sr-Latn-ME"/>
        </w:rPr>
      </w:pPr>
      <w:r w:rsidRPr="00CC0378">
        <w:rPr>
          <w:sz w:val="22"/>
          <w:szCs w:val="22"/>
          <w:lang w:val="sr-Latn-ME"/>
        </w:rPr>
        <w:t>Primjena ljekova za koje je poznato da indukuju izoenzime CYP2C19 i CYP3A4 (kao što su rifampicin i kantarion) može da dovede do smanjenja koncentracija esomeprazola u serumu, stimulišući metabolizam esomeprazola.</w:t>
      </w:r>
    </w:p>
    <w:p w14:paraId="017BDAF5" w14:textId="77777777" w:rsidR="005D7586" w:rsidRPr="00CC0378" w:rsidRDefault="005D7586" w:rsidP="00CC0378">
      <w:pPr>
        <w:jc w:val="both"/>
        <w:rPr>
          <w:sz w:val="22"/>
          <w:szCs w:val="22"/>
          <w:lang w:val="sr-Latn-ME"/>
        </w:rPr>
      </w:pPr>
    </w:p>
    <w:p w14:paraId="078B8781" w14:textId="77777777" w:rsidR="005D7586" w:rsidRPr="00CC0378" w:rsidRDefault="005D7586" w:rsidP="00CC0378">
      <w:pPr>
        <w:jc w:val="both"/>
        <w:rPr>
          <w:i/>
          <w:sz w:val="22"/>
          <w:szCs w:val="22"/>
          <w:lang w:val="sr-Latn-ME"/>
        </w:rPr>
      </w:pPr>
      <w:r w:rsidRPr="00CC0378">
        <w:rPr>
          <w:i/>
          <w:sz w:val="22"/>
          <w:szCs w:val="22"/>
          <w:lang w:val="sr-Latn-ME"/>
        </w:rPr>
        <w:t>Pedijatrijska populacija</w:t>
      </w:r>
    </w:p>
    <w:p w14:paraId="0AE9F016" w14:textId="0D9A8B4A" w:rsidR="00F4545F" w:rsidRPr="00CC0378" w:rsidRDefault="005D7586" w:rsidP="00CC0378">
      <w:pPr>
        <w:jc w:val="both"/>
        <w:rPr>
          <w:sz w:val="22"/>
          <w:szCs w:val="22"/>
          <w:lang w:val="sr-Latn-ME"/>
        </w:rPr>
      </w:pPr>
      <w:r w:rsidRPr="00CC0378">
        <w:rPr>
          <w:sz w:val="22"/>
          <w:szCs w:val="22"/>
          <w:lang w:val="sr-Latn-ME"/>
        </w:rPr>
        <w:t>Studije interakcija su rađene samo sa odraslima.</w:t>
      </w:r>
    </w:p>
    <w:p w14:paraId="16B380BB" w14:textId="02B46695" w:rsidR="005D7586" w:rsidRPr="00CC0378" w:rsidRDefault="005D7586" w:rsidP="00CC0378">
      <w:pPr>
        <w:jc w:val="both"/>
        <w:rPr>
          <w:i/>
          <w:strike/>
          <w:sz w:val="22"/>
          <w:szCs w:val="22"/>
          <w:lang w:val="sr-Latn-ME"/>
        </w:rPr>
      </w:pPr>
    </w:p>
    <w:p w14:paraId="6CA7718B" w14:textId="77777777" w:rsidR="0072020E" w:rsidRPr="00CC0378" w:rsidRDefault="0072020E" w:rsidP="00CC0378">
      <w:pPr>
        <w:tabs>
          <w:tab w:val="left" w:pos="540"/>
          <w:tab w:val="left" w:pos="569"/>
        </w:tabs>
        <w:jc w:val="both"/>
        <w:rPr>
          <w:b/>
          <w:sz w:val="22"/>
          <w:szCs w:val="22"/>
          <w:lang w:val="sr-Latn-ME"/>
        </w:rPr>
      </w:pPr>
      <w:r w:rsidRPr="00CC0378">
        <w:rPr>
          <w:b/>
          <w:bCs/>
          <w:sz w:val="22"/>
          <w:szCs w:val="22"/>
          <w:lang w:val="sr-Latn-ME"/>
        </w:rPr>
        <w:t xml:space="preserve">4.6. </w:t>
      </w:r>
      <w:r w:rsidR="00480FB1" w:rsidRPr="00CC0378">
        <w:rPr>
          <w:b/>
          <w:bCs/>
          <w:sz w:val="22"/>
          <w:szCs w:val="22"/>
          <w:lang w:val="sr-Latn-ME"/>
        </w:rPr>
        <w:tab/>
      </w:r>
      <w:r w:rsidR="006D20A5" w:rsidRPr="00CC0378">
        <w:rPr>
          <w:b/>
          <w:sz w:val="22"/>
          <w:szCs w:val="22"/>
          <w:lang w:val="sr-Latn-ME"/>
        </w:rPr>
        <w:t>Plodnost, trudnoća i dojenje</w:t>
      </w:r>
    </w:p>
    <w:p w14:paraId="6EBBCA18" w14:textId="77777777" w:rsidR="002031B3" w:rsidRPr="00CC0378" w:rsidRDefault="002031B3" w:rsidP="00CC0378">
      <w:pPr>
        <w:tabs>
          <w:tab w:val="left" w:pos="540"/>
          <w:tab w:val="left" w:pos="569"/>
        </w:tabs>
        <w:jc w:val="both"/>
        <w:rPr>
          <w:sz w:val="22"/>
          <w:szCs w:val="22"/>
          <w:u w:val="single"/>
          <w:lang w:val="sr-Latn-ME"/>
        </w:rPr>
      </w:pPr>
    </w:p>
    <w:p w14:paraId="3544EA70" w14:textId="3F015672" w:rsidR="002031B3" w:rsidRPr="00CC0378" w:rsidRDefault="002031B3" w:rsidP="00CC0378">
      <w:pPr>
        <w:tabs>
          <w:tab w:val="left" w:pos="540"/>
          <w:tab w:val="left" w:pos="569"/>
        </w:tabs>
        <w:jc w:val="both"/>
        <w:rPr>
          <w:sz w:val="22"/>
          <w:szCs w:val="22"/>
          <w:u w:val="single"/>
          <w:lang w:val="sr-Latn-ME"/>
        </w:rPr>
      </w:pPr>
      <w:r w:rsidRPr="00CC0378">
        <w:rPr>
          <w:sz w:val="22"/>
          <w:szCs w:val="22"/>
          <w:u w:val="single"/>
          <w:lang w:val="sr-Latn-ME"/>
        </w:rPr>
        <w:t>Plodnost</w:t>
      </w:r>
    </w:p>
    <w:p w14:paraId="2FE29DEF" w14:textId="1FDBFFB0" w:rsidR="002031B3" w:rsidRPr="00CC0378" w:rsidRDefault="005D7586" w:rsidP="009462F3">
      <w:pPr>
        <w:jc w:val="both"/>
        <w:rPr>
          <w:sz w:val="22"/>
          <w:szCs w:val="22"/>
          <w:u w:val="single"/>
          <w:lang w:val="sr-Latn-ME"/>
        </w:rPr>
      </w:pPr>
      <w:r w:rsidRPr="00CC0378">
        <w:rPr>
          <w:sz w:val="22"/>
          <w:szCs w:val="22"/>
          <w:lang w:val="sr-Latn-ME"/>
        </w:rPr>
        <w:lastRenderedPageBreak/>
        <w:t>Ispitivanja peroralne primjene esomeprazola na životinjama nisu ukazala na njegov uticaj na plodnost.</w:t>
      </w:r>
    </w:p>
    <w:p w14:paraId="6D436E67" w14:textId="77777777" w:rsidR="007A0F82" w:rsidRDefault="007A0F82" w:rsidP="00CC0378">
      <w:pPr>
        <w:tabs>
          <w:tab w:val="left" w:pos="540"/>
          <w:tab w:val="left" w:pos="569"/>
        </w:tabs>
        <w:jc w:val="both"/>
        <w:rPr>
          <w:sz w:val="22"/>
          <w:szCs w:val="22"/>
          <w:u w:val="single"/>
          <w:lang w:val="sr-Latn-ME"/>
        </w:rPr>
      </w:pPr>
    </w:p>
    <w:p w14:paraId="313D4FED" w14:textId="55ECD296" w:rsidR="005D7586" w:rsidRPr="00CC0378" w:rsidRDefault="007A3ECB" w:rsidP="00CC0378">
      <w:pPr>
        <w:tabs>
          <w:tab w:val="left" w:pos="540"/>
          <w:tab w:val="left" w:pos="569"/>
        </w:tabs>
        <w:jc w:val="both"/>
        <w:rPr>
          <w:sz w:val="22"/>
          <w:szCs w:val="22"/>
          <w:u w:val="single"/>
          <w:lang w:val="sr-Latn-ME"/>
        </w:rPr>
      </w:pPr>
      <w:r w:rsidRPr="00CC0378">
        <w:rPr>
          <w:sz w:val="22"/>
          <w:szCs w:val="22"/>
          <w:u w:val="single"/>
          <w:lang w:val="sr-Latn-ME"/>
        </w:rPr>
        <w:t>Trudnoća</w:t>
      </w:r>
    </w:p>
    <w:p w14:paraId="78DE89E7" w14:textId="1BD70ED4" w:rsidR="005D7586" w:rsidRPr="00CC0378" w:rsidRDefault="005D7586" w:rsidP="00CC0378">
      <w:pPr>
        <w:jc w:val="both"/>
        <w:rPr>
          <w:sz w:val="22"/>
          <w:szCs w:val="22"/>
          <w:lang w:val="sr-Latn-ME"/>
        </w:rPr>
      </w:pPr>
      <w:r w:rsidRPr="00CC0378">
        <w:rPr>
          <w:sz w:val="22"/>
          <w:szCs w:val="22"/>
          <w:lang w:val="sr-Latn-ME"/>
        </w:rPr>
        <w:t>Klinički podaci o trudnoćama izloženim lijeku Nexium nisu dovoljni. Sa racemskom smješom, omeprazolom, podaci o većem broju izloženih trudnoća iz epidemioloških studija ne ukazuju ni na kakvo malformativno ili fetotoksično dejstvo. Ispitivanja na životinjama sa esomeprazolom ne ukazuju ni na direktno, ni na indirektno štetno dejstvo na embriofetalni razvoj. Ispitivanja na životinjama sa racemskom sm</w:t>
      </w:r>
      <w:r w:rsidR="008F1F91" w:rsidRPr="00CC0378">
        <w:rPr>
          <w:sz w:val="22"/>
          <w:szCs w:val="22"/>
          <w:lang w:val="sr-Latn-ME"/>
        </w:rPr>
        <w:t>j</w:t>
      </w:r>
      <w:r w:rsidRPr="00CC0378">
        <w:rPr>
          <w:sz w:val="22"/>
          <w:szCs w:val="22"/>
          <w:lang w:val="sr-Latn-ME"/>
        </w:rPr>
        <w:t>ešom ne ukazuju ni na direktno, ni na indirektno štetno dejstvo na trudnoću, porođaj ili postnatalni razvoj. Kada se lijek prepisuje trudnicama, treba biti oprezan.</w:t>
      </w:r>
    </w:p>
    <w:p w14:paraId="0C5D48F9" w14:textId="77777777" w:rsidR="005D7586" w:rsidRPr="00CC0378" w:rsidRDefault="005D7586" w:rsidP="00CC0378">
      <w:pPr>
        <w:jc w:val="both"/>
        <w:rPr>
          <w:sz w:val="22"/>
          <w:szCs w:val="22"/>
          <w:lang w:val="sr-Latn-ME"/>
        </w:rPr>
      </w:pPr>
    </w:p>
    <w:p w14:paraId="71C53B37" w14:textId="77777777" w:rsidR="005D7586" w:rsidRPr="00CC0378" w:rsidRDefault="005D7586" w:rsidP="00CC0378">
      <w:pPr>
        <w:jc w:val="both"/>
        <w:rPr>
          <w:sz w:val="22"/>
          <w:szCs w:val="22"/>
          <w:lang w:val="sr-Latn-ME"/>
        </w:rPr>
      </w:pPr>
      <w:r w:rsidRPr="00CC0378">
        <w:rPr>
          <w:sz w:val="22"/>
          <w:szCs w:val="22"/>
          <w:lang w:val="sr-Latn-ME"/>
        </w:rPr>
        <w:t>Ograničeni podaci kod trudnica (između 300-1000 ishoda trudnoće) ukazuju da esomeprazol nema malformativnu ili feto/neonatalnu toksičnost.</w:t>
      </w:r>
    </w:p>
    <w:p w14:paraId="367DA71D" w14:textId="77777777" w:rsidR="005D7586" w:rsidRPr="00CC0378" w:rsidRDefault="005D7586" w:rsidP="00CC0378">
      <w:pPr>
        <w:jc w:val="both"/>
        <w:rPr>
          <w:sz w:val="22"/>
          <w:szCs w:val="22"/>
          <w:lang w:val="sr-Latn-ME"/>
        </w:rPr>
      </w:pPr>
    </w:p>
    <w:p w14:paraId="0D80E060" w14:textId="7957A18D" w:rsidR="005D7586" w:rsidRPr="00CC0378" w:rsidRDefault="005D7586" w:rsidP="00CC0378">
      <w:pPr>
        <w:jc w:val="both"/>
        <w:rPr>
          <w:sz w:val="22"/>
          <w:szCs w:val="22"/>
          <w:lang w:val="sr-Latn-ME"/>
        </w:rPr>
      </w:pPr>
      <w:r w:rsidRPr="00CC0378">
        <w:rPr>
          <w:sz w:val="22"/>
          <w:szCs w:val="22"/>
          <w:lang w:val="sr-Latn-ME"/>
        </w:rPr>
        <w:t xml:space="preserve">Studije na životinjama ne ukazuju na reproduktivnu toksičnost (vidjeti </w:t>
      </w:r>
      <w:r w:rsidR="00E32873">
        <w:rPr>
          <w:sz w:val="22"/>
          <w:szCs w:val="22"/>
          <w:lang w:val="sr-Latn-ME"/>
        </w:rPr>
        <w:t>dio</w:t>
      </w:r>
      <w:r w:rsidRPr="00CC0378">
        <w:rPr>
          <w:sz w:val="22"/>
          <w:szCs w:val="22"/>
          <w:lang w:val="sr-Latn-ME"/>
        </w:rPr>
        <w:t xml:space="preserve"> 5.3).</w:t>
      </w:r>
    </w:p>
    <w:p w14:paraId="3DC3FF7E" w14:textId="77777777" w:rsidR="002031B3" w:rsidRPr="00CC0378" w:rsidRDefault="002031B3" w:rsidP="00CC0378">
      <w:pPr>
        <w:tabs>
          <w:tab w:val="left" w:pos="540"/>
          <w:tab w:val="left" w:pos="569"/>
        </w:tabs>
        <w:jc w:val="both"/>
        <w:rPr>
          <w:sz w:val="22"/>
          <w:szCs w:val="22"/>
          <w:u w:val="single"/>
          <w:lang w:val="sr-Latn-ME"/>
        </w:rPr>
      </w:pPr>
    </w:p>
    <w:p w14:paraId="232D5865" w14:textId="77777777" w:rsidR="0072020E" w:rsidRPr="00CC0378" w:rsidRDefault="007A3ECB" w:rsidP="00CC0378">
      <w:pPr>
        <w:tabs>
          <w:tab w:val="left" w:pos="540"/>
          <w:tab w:val="left" w:pos="569"/>
        </w:tabs>
        <w:jc w:val="both"/>
        <w:rPr>
          <w:b/>
          <w:bCs/>
          <w:sz w:val="22"/>
          <w:szCs w:val="22"/>
          <w:lang w:val="sr-Latn-ME"/>
        </w:rPr>
      </w:pPr>
      <w:r w:rsidRPr="00CC0378">
        <w:rPr>
          <w:sz w:val="22"/>
          <w:szCs w:val="22"/>
          <w:u w:val="single"/>
          <w:lang w:val="sr-Latn-ME"/>
        </w:rPr>
        <w:t xml:space="preserve">Dojenje </w:t>
      </w:r>
    </w:p>
    <w:p w14:paraId="44DCDA86" w14:textId="31DD8EFE" w:rsidR="005D7586" w:rsidRPr="00CC0378" w:rsidRDefault="005D7586" w:rsidP="00CC0378">
      <w:pPr>
        <w:jc w:val="both"/>
        <w:rPr>
          <w:sz w:val="22"/>
          <w:szCs w:val="22"/>
          <w:lang w:val="sr-Latn-ME"/>
        </w:rPr>
      </w:pPr>
      <w:r w:rsidRPr="00CC0378">
        <w:rPr>
          <w:sz w:val="22"/>
          <w:szCs w:val="22"/>
          <w:lang w:val="sr-Latn-ME"/>
        </w:rPr>
        <w:t xml:space="preserve">Nije poznato da li se esomeprazol izlučuje u </w:t>
      </w:r>
      <w:r w:rsidR="007A0F82">
        <w:rPr>
          <w:sz w:val="22"/>
          <w:szCs w:val="22"/>
          <w:lang w:val="sr-Latn-ME"/>
        </w:rPr>
        <w:t>majčino mlijeko</w:t>
      </w:r>
      <w:r w:rsidRPr="00CC0378">
        <w:rPr>
          <w:sz w:val="22"/>
          <w:szCs w:val="22"/>
          <w:lang w:val="sr-Latn-ME"/>
        </w:rPr>
        <w:t xml:space="preserve">. </w:t>
      </w:r>
      <w:r w:rsidR="0040666A" w:rsidRPr="00CC0378">
        <w:rPr>
          <w:sz w:val="22"/>
          <w:szCs w:val="22"/>
          <w:lang w:val="sr-Latn-ME"/>
        </w:rPr>
        <w:t xml:space="preserve">S </w:t>
      </w:r>
      <w:r w:rsidRPr="00CC0378">
        <w:rPr>
          <w:sz w:val="22"/>
          <w:szCs w:val="22"/>
          <w:lang w:val="sr-Latn-ME"/>
        </w:rPr>
        <w:t>toga esomeprazol ne treba koristiti u periodu dojenja.</w:t>
      </w:r>
    </w:p>
    <w:p w14:paraId="1DA4E972" w14:textId="77777777" w:rsidR="00227BDB" w:rsidRPr="00CC0378" w:rsidRDefault="00227BDB" w:rsidP="00CC0378">
      <w:pPr>
        <w:tabs>
          <w:tab w:val="left" w:pos="540"/>
          <w:tab w:val="left" w:pos="569"/>
        </w:tabs>
        <w:ind w:left="540" w:hanging="540"/>
        <w:jc w:val="both"/>
        <w:rPr>
          <w:b/>
          <w:bCs/>
          <w:sz w:val="22"/>
          <w:szCs w:val="22"/>
          <w:lang w:val="sr-Latn-ME"/>
        </w:rPr>
      </w:pPr>
    </w:p>
    <w:p w14:paraId="5A9C6A38" w14:textId="77777777" w:rsidR="0072020E" w:rsidRPr="00CC0378" w:rsidRDefault="0072020E" w:rsidP="00CC0378">
      <w:pPr>
        <w:tabs>
          <w:tab w:val="left" w:pos="540"/>
          <w:tab w:val="left" w:pos="569"/>
        </w:tabs>
        <w:ind w:left="540" w:hanging="540"/>
        <w:jc w:val="both"/>
        <w:rPr>
          <w:b/>
          <w:bCs/>
          <w:sz w:val="22"/>
          <w:szCs w:val="22"/>
          <w:lang w:val="sr-Latn-ME"/>
        </w:rPr>
      </w:pPr>
      <w:r w:rsidRPr="00CC0378">
        <w:rPr>
          <w:b/>
          <w:bCs/>
          <w:sz w:val="22"/>
          <w:szCs w:val="22"/>
          <w:lang w:val="sr-Latn-ME"/>
        </w:rPr>
        <w:t xml:space="preserve">4.7. </w:t>
      </w:r>
      <w:r w:rsidR="00480FB1" w:rsidRPr="00CC0378">
        <w:rPr>
          <w:b/>
          <w:bCs/>
          <w:sz w:val="22"/>
          <w:szCs w:val="22"/>
          <w:lang w:val="sr-Latn-ME"/>
        </w:rPr>
        <w:tab/>
      </w:r>
      <w:r w:rsidRPr="00CC0378">
        <w:rPr>
          <w:b/>
          <w:bCs/>
          <w:sz w:val="22"/>
          <w:szCs w:val="22"/>
          <w:lang w:val="sr-Latn-ME"/>
        </w:rPr>
        <w:t xml:space="preserve">Uticaj na </w:t>
      </w:r>
      <w:r w:rsidR="002031B3" w:rsidRPr="00CC0378">
        <w:rPr>
          <w:b/>
          <w:bCs/>
          <w:sz w:val="22"/>
          <w:szCs w:val="22"/>
          <w:lang w:val="sr-Latn-ME"/>
        </w:rPr>
        <w:t xml:space="preserve">sposobnost </w:t>
      </w:r>
      <w:r w:rsidR="00F34554" w:rsidRPr="00CC0378">
        <w:rPr>
          <w:b/>
          <w:bCs/>
          <w:sz w:val="22"/>
          <w:szCs w:val="22"/>
          <w:lang w:val="sr-Latn-ME"/>
        </w:rPr>
        <w:t>upravljanja vozili</w:t>
      </w:r>
      <w:r w:rsidRPr="00CC0378">
        <w:rPr>
          <w:b/>
          <w:bCs/>
          <w:sz w:val="22"/>
          <w:szCs w:val="22"/>
          <w:lang w:val="sr-Latn-ME"/>
        </w:rPr>
        <w:t>m</w:t>
      </w:r>
      <w:r w:rsidR="00F34554" w:rsidRPr="00CC0378">
        <w:rPr>
          <w:b/>
          <w:bCs/>
          <w:sz w:val="22"/>
          <w:szCs w:val="22"/>
          <w:lang w:val="sr-Latn-ME"/>
        </w:rPr>
        <w:t>a</w:t>
      </w:r>
      <w:r w:rsidRPr="00CC0378">
        <w:rPr>
          <w:b/>
          <w:bCs/>
          <w:sz w:val="22"/>
          <w:szCs w:val="22"/>
          <w:lang w:val="sr-Latn-ME"/>
        </w:rPr>
        <w:t xml:space="preserve"> i </w:t>
      </w:r>
      <w:r w:rsidR="000D3449" w:rsidRPr="00CC0378">
        <w:rPr>
          <w:b/>
          <w:bCs/>
          <w:sz w:val="22"/>
          <w:szCs w:val="22"/>
          <w:lang w:val="sr-Latn-ME"/>
        </w:rPr>
        <w:t xml:space="preserve">rukovanje </w:t>
      </w:r>
      <w:r w:rsidRPr="00CC0378">
        <w:rPr>
          <w:b/>
          <w:bCs/>
          <w:sz w:val="22"/>
          <w:szCs w:val="22"/>
          <w:lang w:val="sr-Latn-ME"/>
        </w:rPr>
        <w:t>mašinama</w:t>
      </w:r>
    </w:p>
    <w:p w14:paraId="3DA3BBD6" w14:textId="1BC367FD" w:rsidR="0072020E" w:rsidRPr="00CC0378" w:rsidRDefault="0040666A" w:rsidP="00CC0378">
      <w:pPr>
        <w:tabs>
          <w:tab w:val="left" w:pos="540"/>
          <w:tab w:val="left" w:pos="569"/>
        </w:tabs>
        <w:jc w:val="both"/>
        <w:rPr>
          <w:sz w:val="22"/>
          <w:szCs w:val="22"/>
          <w:lang w:val="sr-Latn-ME"/>
        </w:rPr>
      </w:pPr>
      <w:r w:rsidRPr="00CC0378">
        <w:rPr>
          <w:sz w:val="22"/>
          <w:szCs w:val="22"/>
          <w:lang w:val="sr-Latn-ME"/>
        </w:rPr>
        <w:t xml:space="preserve">Esomeprazol ima manji uticaj na sposobnost vožnje ili i upravljanja mašinama. Prijavljivana su neželjena dejstva kao što su ošamućenost (povremeno) i zamućen vid (rijetko) (vidjeti </w:t>
      </w:r>
      <w:r w:rsidR="00E32873">
        <w:rPr>
          <w:sz w:val="22"/>
          <w:szCs w:val="22"/>
          <w:lang w:val="sr-Latn-ME"/>
        </w:rPr>
        <w:t>dio</w:t>
      </w:r>
      <w:r w:rsidRPr="00CC0378">
        <w:rPr>
          <w:sz w:val="22"/>
          <w:szCs w:val="22"/>
          <w:lang w:val="sr-Latn-ME"/>
        </w:rPr>
        <w:t xml:space="preserve"> 4.8). Ako osjete ove efekte, pacijenti ne bi trebali da voze ili upravljaju mašinama. </w:t>
      </w:r>
    </w:p>
    <w:p w14:paraId="5B5C1963" w14:textId="77777777" w:rsidR="0040666A" w:rsidRPr="00CC0378" w:rsidRDefault="0040666A" w:rsidP="00CC0378">
      <w:pPr>
        <w:tabs>
          <w:tab w:val="left" w:pos="540"/>
          <w:tab w:val="left" w:pos="569"/>
        </w:tabs>
        <w:jc w:val="both"/>
        <w:rPr>
          <w:b/>
          <w:bCs/>
          <w:sz w:val="22"/>
          <w:szCs w:val="22"/>
          <w:lang w:val="sr-Latn-ME"/>
        </w:rPr>
      </w:pPr>
    </w:p>
    <w:p w14:paraId="4D69E43F" w14:textId="3AC8A1AB" w:rsidR="0072020E"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4.8. </w:t>
      </w:r>
      <w:r w:rsidR="00480FB1" w:rsidRPr="00CC0378">
        <w:rPr>
          <w:b/>
          <w:bCs/>
          <w:sz w:val="22"/>
          <w:szCs w:val="22"/>
          <w:lang w:val="sr-Latn-ME"/>
        </w:rPr>
        <w:tab/>
      </w:r>
      <w:r w:rsidRPr="00CC0378">
        <w:rPr>
          <w:b/>
          <w:bCs/>
          <w:sz w:val="22"/>
          <w:szCs w:val="22"/>
          <w:lang w:val="sr-Latn-ME"/>
        </w:rPr>
        <w:t>Neželjena dejstva</w:t>
      </w:r>
    </w:p>
    <w:p w14:paraId="3DEEE414" w14:textId="10B0ADA2" w:rsidR="0040666A" w:rsidRPr="00CC0378" w:rsidRDefault="0040666A" w:rsidP="00CC0378">
      <w:pPr>
        <w:tabs>
          <w:tab w:val="left" w:pos="540"/>
          <w:tab w:val="left" w:pos="569"/>
        </w:tabs>
        <w:jc w:val="both"/>
        <w:rPr>
          <w:b/>
          <w:bCs/>
          <w:sz w:val="22"/>
          <w:szCs w:val="22"/>
          <w:lang w:val="sr-Latn-ME"/>
        </w:rPr>
      </w:pPr>
    </w:p>
    <w:p w14:paraId="7D967A2F" w14:textId="322C9471" w:rsidR="0040666A" w:rsidRPr="00CC0378" w:rsidRDefault="0040666A" w:rsidP="00CC0378">
      <w:pPr>
        <w:jc w:val="both"/>
        <w:rPr>
          <w:sz w:val="22"/>
          <w:szCs w:val="22"/>
          <w:u w:val="single"/>
          <w:lang w:val="sr-Latn-ME"/>
        </w:rPr>
      </w:pPr>
      <w:r w:rsidRPr="00CC0378">
        <w:rPr>
          <w:sz w:val="22"/>
          <w:szCs w:val="22"/>
          <w:u w:val="single"/>
          <w:lang w:val="sr-Latn-ME"/>
        </w:rPr>
        <w:t>Sažetak bezb</w:t>
      </w:r>
      <w:r w:rsidR="008F1F91" w:rsidRPr="00CC0378">
        <w:rPr>
          <w:sz w:val="22"/>
          <w:szCs w:val="22"/>
          <w:u w:val="single"/>
          <w:lang w:val="sr-Latn-ME"/>
        </w:rPr>
        <w:t>j</w:t>
      </w:r>
      <w:r w:rsidRPr="00CC0378">
        <w:rPr>
          <w:sz w:val="22"/>
          <w:szCs w:val="22"/>
          <w:u w:val="single"/>
          <w:lang w:val="sr-Latn-ME"/>
        </w:rPr>
        <w:t>ednosnog profila</w:t>
      </w:r>
    </w:p>
    <w:p w14:paraId="10DA5AF5" w14:textId="7CDE4203" w:rsidR="0040666A" w:rsidRPr="00CC0378" w:rsidRDefault="0040666A" w:rsidP="00CC0378">
      <w:pPr>
        <w:jc w:val="both"/>
        <w:rPr>
          <w:sz w:val="22"/>
          <w:szCs w:val="22"/>
          <w:lang w:val="sr-Latn-ME"/>
        </w:rPr>
      </w:pPr>
      <w:r w:rsidRPr="00CC0378">
        <w:rPr>
          <w:sz w:val="22"/>
          <w:szCs w:val="22"/>
          <w:lang w:val="sr-Latn-ME"/>
        </w:rPr>
        <w:t>Glavobolja, abdominalni bol, dijareja i mučnina su među neželjenim dejstvima najčešće prijavljivanim u kliničkim ispitivanjima (i takođe tokom post-marketinške upotrebe). Uz to, bezbjednosni profili za različite formulacije, terapijske indikacije, starosne grupe i populacije pacijenata su slični. Nijesu uočeni dozno-zavisni neželjeni efekti.</w:t>
      </w:r>
    </w:p>
    <w:p w14:paraId="6501D593" w14:textId="14075EE2" w:rsidR="0040666A" w:rsidRPr="00CC0378" w:rsidRDefault="0040666A" w:rsidP="00CC0378">
      <w:pPr>
        <w:tabs>
          <w:tab w:val="left" w:pos="540"/>
          <w:tab w:val="left" w:pos="569"/>
        </w:tabs>
        <w:jc w:val="both"/>
        <w:rPr>
          <w:b/>
          <w:bCs/>
          <w:sz w:val="22"/>
          <w:szCs w:val="22"/>
          <w:lang w:val="sr-Latn-ME"/>
        </w:rPr>
      </w:pPr>
    </w:p>
    <w:p w14:paraId="57E02C88" w14:textId="4E194568" w:rsidR="0040666A" w:rsidRPr="00CC0378" w:rsidRDefault="0040666A" w:rsidP="00CC0378">
      <w:pPr>
        <w:tabs>
          <w:tab w:val="left" w:pos="540"/>
          <w:tab w:val="left" w:pos="569"/>
        </w:tabs>
        <w:jc w:val="both"/>
        <w:rPr>
          <w:sz w:val="22"/>
          <w:szCs w:val="22"/>
          <w:u w:val="single"/>
          <w:lang w:val="sr-Latn-ME"/>
        </w:rPr>
      </w:pPr>
      <w:r w:rsidRPr="00CC0378">
        <w:rPr>
          <w:sz w:val="22"/>
          <w:szCs w:val="22"/>
          <w:u w:val="single"/>
          <w:lang w:val="sr-Latn-ME"/>
        </w:rPr>
        <w:t xml:space="preserve">Tabelarni prikaz neželjenih reakcija: </w:t>
      </w:r>
    </w:p>
    <w:p w14:paraId="488C4019" w14:textId="78F45D1A" w:rsidR="0040666A" w:rsidRPr="00CC0378" w:rsidRDefault="0040666A" w:rsidP="00CC0378">
      <w:pPr>
        <w:jc w:val="both"/>
        <w:rPr>
          <w:sz w:val="22"/>
          <w:szCs w:val="22"/>
          <w:lang w:val="sr-Latn-ME"/>
        </w:rPr>
      </w:pPr>
      <w:r w:rsidRPr="00CC0378">
        <w:rPr>
          <w:sz w:val="22"/>
          <w:szCs w:val="22"/>
          <w:lang w:val="sr-Latn-ME"/>
        </w:rPr>
        <w:t>Sl</w:t>
      </w:r>
      <w:r w:rsidR="008F1F91" w:rsidRPr="00CC0378">
        <w:rPr>
          <w:sz w:val="22"/>
          <w:szCs w:val="22"/>
          <w:lang w:val="sr-Latn-ME"/>
        </w:rPr>
        <w:t>j</w:t>
      </w:r>
      <w:r w:rsidRPr="00CC0378">
        <w:rPr>
          <w:sz w:val="22"/>
          <w:szCs w:val="22"/>
          <w:lang w:val="sr-Latn-ME"/>
        </w:rPr>
        <w:t>edeće neželjene reakcije na lijek su identifikovane ili se na njih sumnjalo u programu kliničkih ispitivanja za esomeprazol i po stavljanju lijeka u promet. Ni za jednu od ovih reakcija nije utvrđeno da je srazmjerna dozi. Reakcije su klasifikovane po učestalosti (vrlo česte &gt;1/10; česte &gt;1/100, &lt;1/10; povremene &gt;1/1000, &lt;1/100; rijetke &gt;1/10000, &lt;1/1000; veoma rijetke &lt;1/10000; nepoznate (ne može se procijeniti na osnovu dostupnih podataka)</w:t>
      </w:r>
      <w:r w:rsidRPr="00CC0378">
        <w:rPr>
          <w:sz w:val="22"/>
          <w:szCs w:val="22"/>
          <w:lang w:val="sr-Latn-ME"/>
        </w:rPr>
        <w:fldChar w:fldCharType="begin"/>
      </w:r>
      <w:r w:rsidRPr="00CC0378">
        <w:rPr>
          <w:sz w:val="22"/>
          <w:szCs w:val="22"/>
          <w:lang w:val="sr-Latn-ME"/>
        </w:rPr>
        <w:instrText xml:space="preserve">  </w:instrText>
      </w:r>
      <w:r w:rsidRPr="00CC0378">
        <w:rPr>
          <w:sz w:val="22"/>
          <w:szCs w:val="22"/>
          <w:lang w:val="sr-Latn-ME"/>
        </w:rPr>
        <w:fldChar w:fldCharType="end"/>
      </w:r>
      <w:r w:rsidRPr="00CC0378">
        <w:rPr>
          <w:sz w:val="22"/>
          <w:szCs w:val="22"/>
          <w:lang w:val="sr-Latn-ME"/>
        </w:rPr>
        <w:t xml:space="preserve">. </w:t>
      </w:r>
    </w:p>
    <w:p w14:paraId="7266271D" w14:textId="7C18BE26" w:rsidR="004E70AD" w:rsidRPr="00CC0378" w:rsidRDefault="004E70AD" w:rsidP="00CC0378">
      <w:pPr>
        <w:tabs>
          <w:tab w:val="left" w:pos="540"/>
          <w:tab w:val="left" w:pos="569"/>
        </w:tabs>
        <w:jc w:val="both"/>
        <w:rPr>
          <w:b/>
          <w:bC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19"/>
        <w:gridCol w:w="1938"/>
        <w:gridCol w:w="4106"/>
      </w:tblGrid>
      <w:tr w:rsidR="0040666A" w:rsidRPr="00CC0378" w14:paraId="63214713" w14:textId="77777777" w:rsidTr="009462F3">
        <w:tc>
          <w:tcPr>
            <w:tcW w:w="1666" w:type="pct"/>
            <w:tcBorders>
              <w:top w:val="single" w:sz="4" w:space="0" w:color="auto"/>
              <w:left w:val="single" w:sz="4" w:space="0" w:color="auto"/>
              <w:bottom w:val="single" w:sz="4" w:space="0" w:color="auto"/>
              <w:right w:val="single" w:sz="4" w:space="0" w:color="auto"/>
            </w:tcBorders>
            <w:hideMark/>
          </w:tcPr>
          <w:p w14:paraId="0C7D6792" w14:textId="77777777" w:rsidR="0040666A" w:rsidRPr="00CC0378" w:rsidRDefault="0040666A" w:rsidP="00CC0378">
            <w:pPr>
              <w:jc w:val="both"/>
              <w:rPr>
                <w:sz w:val="22"/>
                <w:szCs w:val="22"/>
                <w:lang w:val="sr-Latn-ME"/>
              </w:rPr>
            </w:pPr>
            <w:r w:rsidRPr="00CC0378">
              <w:rPr>
                <w:sz w:val="22"/>
                <w:szCs w:val="22"/>
                <w:lang w:val="sr-Latn-ME"/>
              </w:rPr>
              <w:t>Klasa sistema organa</w:t>
            </w:r>
          </w:p>
        </w:tc>
        <w:tc>
          <w:tcPr>
            <w:tcW w:w="1069" w:type="pct"/>
            <w:tcBorders>
              <w:top w:val="single" w:sz="4" w:space="0" w:color="auto"/>
              <w:left w:val="single" w:sz="4" w:space="0" w:color="auto"/>
              <w:bottom w:val="single" w:sz="4" w:space="0" w:color="auto"/>
              <w:right w:val="single" w:sz="4" w:space="0" w:color="auto"/>
            </w:tcBorders>
            <w:hideMark/>
          </w:tcPr>
          <w:p w14:paraId="41FAFFD1" w14:textId="77777777" w:rsidR="0040666A" w:rsidRPr="00CC0378" w:rsidRDefault="0040666A" w:rsidP="00CC0378">
            <w:pPr>
              <w:jc w:val="both"/>
              <w:rPr>
                <w:sz w:val="22"/>
                <w:szCs w:val="22"/>
                <w:lang w:val="sr-Latn-ME"/>
              </w:rPr>
            </w:pPr>
            <w:r w:rsidRPr="00CC0378">
              <w:rPr>
                <w:sz w:val="22"/>
                <w:szCs w:val="22"/>
                <w:lang w:val="sr-Latn-ME"/>
              </w:rPr>
              <w:t>Učestalost</w:t>
            </w:r>
          </w:p>
        </w:tc>
        <w:tc>
          <w:tcPr>
            <w:tcW w:w="2265" w:type="pct"/>
            <w:tcBorders>
              <w:top w:val="single" w:sz="4" w:space="0" w:color="auto"/>
              <w:left w:val="single" w:sz="4" w:space="0" w:color="auto"/>
              <w:bottom w:val="single" w:sz="4" w:space="0" w:color="auto"/>
              <w:right w:val="single" w:sz="4" w:space="0" w:color="auto"/>
            </w:tcBorders>
            <w:hideMark/>
          </w:tcPr>
          <w:p w14:paraId="5534BC1B" w14:textId="77777777" w:rsidR="0040666A" w:rsidRPr="00CC0378" w:rsidRDefault="0040666A" w:rsidP="00CC0378">
            <w:pPr>
              <w:jc w:val="both"/>
              <w:rPr>
                <w:sz w:val="22"/>
                <w:szCs w:val="22"/>
                <w:lang w:val="sr-Latn-ME"/>
              </w:rPr>
            </w:pPr>
            <w:r w:rsidRPr="00CC0378">
              <w:rPr>
                <w:sz w:val="22"/>
                <w:szCs w:val="22"/>
                <w:lang w:val="sr-Latn-ME"/>
              </w:rPr>
              <w:t>Neželjeni efekti</w:t>
            </w:r>
          </w:p>
        </w:tc>
      </w:tr>
      <w:tr w:rsidR="0040666A" w:rsidRPr="00CC0378" w14:paraId="68D83CC0" w14:textId="77777777" w:rsidTr="009462F3">
        <w:tc>
          <w:tcPr>
            <w:tcW w:w="1666" w:type="pct"/>
            <w:vMerge w:val="restart"/>
            <w:tcBorders>
              <w:top w:val="single" w:sz="4" w:space="0" w:color="auto"/>
              <w:left w:val="single" w:sz="4" w:space="0" w:color="auto"/>
              <w:bottom w:val="single" w:sz="4" w:space="0" w:color="auto"/>
              <w:right w:val="single" w:sz="4" w:space="0" w:color="auto"/>
            </w:tcBorders>
            <w:hideMark/>
          </w:tcPr>
          <w:p w14:paraId="0EB099FE" w14:textId="77777777" w:rsidR="0040666A" w:rsidRPr="00CC0378" w:rsidRDefault="0040666A" w:rsidP="00CC0378">
            <w:pPr>
              <w:jc w:val="both"/>
              <w:rPr>
                <w:bCs/>
                <w:sz w:val="22"/>
                <w:szCs w:val="22"/>
                <w:lang w:val="sr-Latn-ME"/>
              </w:rPr>
            </w:pPr>
            <w:r w:rsidRPr="00CC0378">
              <w:rPr>
                <w:bCs/>
                <w:sz w:val="22"/>
                <w:szCs w:val="22"/>
                <w:lang w:val="sr-Latn-ME"/>
              </w:rPr>
              <w:t>Poremećaji krvi i limfnog sistema</w:t>
            </w:r>
          </w:p>
        </w:tc>
        <w:tc>
          <w:tcPr>
            <w:tcW w:w="1069" w:type="pct"/>
            <w:tcBorders>
              <w:top w:val="single" w:sz="4" w:space="0" w:color="auto"/>
              <w:left w:val="single" w:sz="4" w:space="0" w:color="auto"/>
              <w:bottom w:val="single" w:sz="4" w:space="0" w:color="auto"/>
              <w:right w:val="single" w:sz="4" w:space="0" w:color="auto"/>
            </w:tcBorders>
            <w:hideMark/>
          </w:tcPr>
          <w:p w14:paraId="281062F1" w14:textId="5B96E60C" w:rsidR="0040666A" w:rsidRPr="00CC0378" w:rsidRDefault="00AB2C68" w:rsidP="00CC0378">
            <w:pPr>
              <w:jc w:val="both"/>
              <w:rPr>
                <w:sz w:val="22"/>
                <w:szCs w:val="22"/>
                <w:lang w:val="sr-Latn-ME"/>
              </w:rPr>
            </w:pPr>
            <w:r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17B07DD6" w14:textId="77777777" w:rsidR="0040666A" w:rsidRPr="00CC0378" w:rsidRDefault="0040666A" w:rsidP="00CC0378">
            <w:pPr>
              <w:jc w:val="both"/>
              <w:rPr>
                <w:sz w:val="22"/>
                <w:szCs w:val="22"/>
                <w:lang w:val="sr-Latn-ME"/>
              </w:rPr>
            </w:pPr>
            <w:r w:rsidRPr="00CC0378">
              <w:rPr>
                <w:sz w:val="22"/>
                <w:szCs w:val="22"/>
                <w:lang w:val="sr-Latn-ME"/>
              </w:rPr>
              <w:t>Leukopenija, trombocitopenija</w:t>
            </w:r>
          </w:p>
        </w:tc>
      </w:tr>
      <w:tr w:rsidR="0040666A" w:rsidRPr="00CC0378" w14:paraId="5C4DC800" w14:textId="77777777" w:rsidTr="009462F3">
        <w:trPr>
          <w:trHeight w:val="305"/>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4A9F92ED" w14:textId="77777777" w:rsidR="0040666A" w:rsidRPr="00CC0378" w:rsidRDefault="0040666A" w:rsidP="00CC0378">
            <w:pPr>
              <w:jc w:val="both"/>
              <w:rPr>
                <w:bCs/>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66D46DA1" w14:textId="09B1DEEA" w:rsidR="0040666A" w:rsidRPr="00CC0378" w:rsidRDefault="0040666A" w:rsidP="00CC0378">
            <w:pPr>
              <w:jc w:val="both"/>
              <w:rPr>
                <w:sz w:val="22"/>
                <w:szCs w:val="22"/>
                <w:lang w:val="sr-Latn-ME"/>
              </w:rPr>
            </w:pPr>
            <w:r w:rsidRPr="00CC0378">
              <w:rPr>
                <w:sz w:val="22"/>
                <w:szCs w:val="22"/>
                <w:lang w:val="sr-Latn-ME"/>
              </w:rPr>
              <w:t xml:space="preserve">Veoma </w:t>
            </w:r>
            <w:r w:rsidR="00AB2C68"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7E7EAA07" w14:textId="77777777" w:rsidR="0040666A" w:rsidRPr="00CC0378" w:rsidRDefault="0040666A" w:rsidP="00CC0378">
            <w:pPr>
              <w:jc w:val="both"/>
              <w:rPr>
                <w:sz w:val="22"/>
                <w:szCs w:val="22"/>
                <w:lang w:val="sr-Latn-ME"/>
              </w:rPr>
            </w:pPr>
            <w:r w:rsidRPr="00CC0378">
              <w:rPr>
                <w:sz w:val="22"/>
                <w:szCs w:val="22"/>
                <w:lang w:val="sr-Latn-ME"/>
              </w:rPr>
              <w:t>Agranulocitoza, pancitopenija</w:t>
            </w:r>
          </w:p>
        </w:tc>
      </w:tr>
      <w:tr w:rsidR="0040666A" w:rsidRPr="000C02E1" w14:paraId="0CBAD17E" w14:textId="77777777" w:rsidTr="009462F3">
        <w:tc>
          <w:tcPr>
            <w:tcW w:w="1666" w:type="pct"/>
            <w:tcBorders>
              <w:top w:val="single" w:sz="4" w:space="0" w:color="auto"/>
              <w:left w:val="single" w:sz="4" w:space="0" w:color="auto"/>
              <w:bottom w:val="single" w:sz="4" w:space="0" w:color="auto"/>
              <w:right w:val="single" w:sz="4" w:space="0" w:color="auto"/>
            </w:tcBorders>
            <w:hideMark/>
          </w:tcPr>
          <w:p w14:paraId="2EFE92C6" w14:textId="327913DA" w:rsidR="0040666A" w:rsidRPr="00CC0378" w:rsidRDefault="0040666A" w:rsidP="00CC0378">
            <w:pPr>
              <w:jc w:val="both"/>
              <w:rPr>
                <w:sz w:val="22"/>
                <w:szCs w:val="22"/>
                <w:lang w:val="sr-Latn-ME"/>
              </w:rPr>
            </w:pPr>
            <w:r w:rsidRPr="00CC0378">
              <w:rPr>
                <w:sz w:val="22"/>
                <w:szCs w:val="22"/>
                <w:lang w:val="sr-Latn-ME"/>
              </w:rPr>
              <w:t>Poremećaji imunog sistema</w:t>
            </w:r>
          </w:p>
        </w:tc>
        <w:tc>
          <w:tcPr>
            <w:tcW w:w="1069" w:type="pct"/>
            <w:tcBorders>
              <w:top w:val="single" w:sz="4" w:space="0" w:color="auto"/>
              <w:left w:val="single" w:sz="4" w:space="0" w:color="auto"/>
              <w:bottom w:val="single" w:sz="4" w:space="0" w:color="auto"/>
              <w:right w:val="single" w:sz="4" w:space="0" w:color="auto"/>
            </w:tcBorders>
            <w:hideMark/>
          </w:tcPr>
          <w:p w14:paraId="7751898C" w14:textId="23F93362" w:rsidR="0040666A" w:rsidRPr="00CC0378" w:rsidRDefault="00AB2C68" w:rsidP="00CC0378">
            <w:pPr>
              <w:jc w:val="both"/>
              <w:rPr>
                <w:sz w:val="22"/>
                <w:szCs w:val="22"/>
                <w:lang w:val="sr-Latn-ME"/>
              </w:rPr>
            </w:pPr>
            <w:r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tcPr>
          <w:p w14:paraId="0E16B4FA" w14:textId="5740E756" w:rsidR="0040666A" w:rsidRPr="00CC0378" w:rsidRDefault="0040666A" w:rsidP="00CC0378">
            <w:pPr>
              <w:jc w:val="both"/>
              <w:rPr>
                <w:sz w:val="22"/>
                <w:szCs w:val="22"/>
                <w:lang w:val="sr-Latn-ME"/>
              </w:rPr>
            </w:pPr>
            <w:r w:rsidRPr="00CC0378">
              <w:rPr>
                <w:sz w:val="22"/>
                <w:szCs w:val="22"/>
                <w:lang w:val="sr-Latn-ME"/>
              </w:rPr>
              <w:t>Reakcije preos</w:t>
            </w:r>
            <w:r w:rsidR="007974E9" w:rsidRPr="00CC0378">
              <w:rPr>
                <w:sz w:val="22"/>
                <w:szCs w:val="22"/>
                <w:lang w:val="sr-Latn-ME"/>
              </w:rPr>
              <w:t>j</w:t>
            </w:r>
            <w:r w:rsidRPr="00CC0378">
              <w:rPr>
                <w:sz w:val="22"/>
                <w:szCs w:val="22"/>
                <w:lang w:val="sr-Latn-ME"/>
              </w:rPr>
              <w:t>etljivosti, npr. povišena t</w:t>
            </w:r>
            <w:r w:rsidR="008F1F91" w:rsidRPr="00CC0378">
              <w:rPr>
                <w:sz w:val="22"/>
                <w:szCs w:val="22"/>
                <w:lang w:val="sr-Latn-ME"/>
              </w:rPr>
              <w:t>j</w:t>
            </w:r>
            <w:r w:rsidRPr="00CC0378">
              <w:rPr>
                <w:sz w:val="22"/>
                <w:szCs w:val="22"/>
                <w:lang w:val="sr-Latn-ME"/>
              </w:rPr>
              <w:t>elesna temperatura, angioedem i anafilaktička reakcija/šok</w:t>
            </w:r>
          </w:p>
          <w:p w14:paraId="18298AB4" w14:textId="77777777" w:rsidR="0040666A" w:rsidRPr="00CC0378" w:rsidRDefault="0040666A" w:rsidP="00CC0378">
            <w:pPr>
              <w:jc w:val="both"/>
              <w:rPr>
                <w:sz w:val="22"/>
                <w:szCs w:val="22"/>
                <w:lang w:val="sr-Latn-ME"/>
              </w:rPr>
            </w:pPr>
          </w:p>
        </w:tc>
      </w:tr>
      <w:tr w:rsidR="0040666A" w:rsidRPr="00CC0378" w14:paraId="3517B1B8" w14:textId="77777777" w:rsidTr="009462F3">
        <w:tc>
          <w:tcPr>
            <w:tcW w:w="1666" w:type="pct"/>
            <w:vMerge w:val="restart"/>
            <w:tcBorders>
              <w:top w:val="single" w:sz="4" w:space="0" w:color="auto"/>
              <w:left w:val="single" w:sz="4" w:space="0" w:color="auto"/>
              <w:bottom w:val="single" w:sz="4" w:space="0" w:color="auto"/>
              <w:right w:val="single" w:sz="4" w:space="0" w:color="auto"/>
            </w:tcBorders>
            <w:hideMark/>
          </w:tcPr>
          <w:p w14:paraId="760387CA" w14:textId="77777777" w:rsidR="0040666A" w:rsidRPr="00CC0378" w:rsidRDefault="0040666A" w:rsidP="00CC0378">
            <w:pPr>
              <w:jc w:val="both"/>
              <w:rPr>
                <w:sz w:val="22"/>
                <w:szCs w:val="22"/>
                <w:lang w:val="sr-Latn-ME"/>
              </w:rPr>
            </w:pPr>
            <w:r w:rsidRPr="00CC0378">
              <w:rPr>
                <w:sz w:val="22"/>
                <w:szCs w:val="22"/>
                <w:lang w:val="sr-Latn-ME"/>
              </w:rPr>
              <w:t>Poremećaji metabolizma i ishrane</w:t>
            </w:r>
          </w:p>
        </w:tc>
        <w:tc>
          <w:tcPr>
            <w:tcW w:w="1069" w:type="pct"/>
            <w:tcBorders>
              <w:top w:val="single" w:sz="4" w:space="0" w:color="auto"/>
              <w:left w:val="single" w:sz="4" w:space="0" w:color="auto"/>
              <w:bottom w:val="single" w:sz="4" w:space="0" w:color="auto"/>
              <w:right w:val="single" w:sz="4" w:space="0" w:color="auto"/>
            </w:tcBorders>
            <w:hideMark/>
          </w:tcPr>
          <w:p w14:paraId="007D595B" w14:textId="77777777" w:rsidR="0040666A" w:rsidRPr="00CC0378" w:rsidRDefault="0040666A" w:rsidP="00CC0378">
            <w:pPr>
              <w:jc w:val="both"/>
              <w:rPr>
                <w:sz w:val="22"/>
                <w:szCs w:val="22"/>
                <w:lang w:val="sr-Latn-ME"/>
              </w:rPr>
            </w:pPr>
            <w:r w:rsidRPr="00CC0378">
              <w:rPr>
                <w:sz w:val="22"/>
                <w:szCs w:val="22"/>
                <w:lang w:val="sr-Latn-ME"/>
              </w:rPr>
              <w:t>Povremeno</w:t>
            </w:r>
          </w:p>
        </w:tc>
        <w:tc>
          <w:tcPr>
            <w:tcW w:w="2265" w:type="pct"/>
            <w:tcBorders>
              <w:top w:val="single" w:sz="4" w:space="0" w:color="auto"/>
              <w:left w:val="single" w:sz="4" w:space="0" w:color="auto"/>
              <w:bottom w:val="single" w:sz="4" w:space="0" w:color="auto"/>
              <w:right w:val="single" w:sz="4" w:space="0" w:color="auto"/>
            </w:tcBorders>
          </w:tcPr>
          <w:p w14:paraId="30CFF5DB" w14:textId="69FB5BD9" w:rsidR="0040666A" w:rsidRPr="00CC0378" w:rsidRDefault="0040666A" w:rsidP="007A0F82">
            <w:pPr>
              <w:jc w:val="both"/>
              <w:rPr>
                <w:sz w:val="22"/>
                <w:szCs w:val="22"/>
                <w:lang w:val="sr-Latn-ME"/>
              </w:rPr>
            </w:pPr>
            <w:r w:rsidRPr="00CC0378">
              <w:rPr>
                <w:sz w:val="22"/>
                <w:szCs w:val="22"/>
                <w:lang w:val="sr-Latn-ME"/>
              </w:rPr>
              <w:t>Periferni edem</w:t>
            </w:r>
          </w:p>
        </w:tc>
      </w:tr>
      <w:tr w:rsidR="0040666A" w:rsidRPr="00CC0378" w14:paraId="2560D32C" w14:textId="77777777" w:rsidTr="009462F3">
        <w:tc>
          <w:tcPr>
            <w:tcW w:w="1666" w:type="pct"/>
            <w:vMerge/>
            <w:tcBorders>
              <w:top w:val="single" w:sz="4" w:space="0" w:color="auto"/>
              <w:left w:val="single" w:sz="4" w:space="0" w:color="auto"/>
              <w:bottom w:val="single" w:sz="4" w:space="0" w:color="auto"/>
              <w:right w:val="single" w:sz="4" w:space="0" w:color="auto"/>
            </w:tcBorders>
            <w:vAlign w:val="center"/>
            <w:hideMark/>
          </w:tcPr>
          <w:p w14:paraId="6909AD8B" w14:textId="77777777" w:rsidR="0040666A" w:rsidRPr="00CC0378" w:rsidRDefault="0040666A"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33539533" w14:textId="4C88E17A" w:rsidR="0040666A" w:rsidRPr="00CC0378" w:rsidRDefault="00AB2C68" w:rsidP="00CC0378">
            <w:pPr>
              <w:jc w:val="both"/>
              <w:rPr>
                <w:sz w:val="22"/>
                <w:szCs w:val="22"/>
                <w:lang w:val="sr-Latn-ME"/>
              </w:rPr>
            </w:pPr>
            <w:r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288F87FE" w14:textId="77777777" w:rsidR="0040666A" w:rsidRPr="00CC0378" w:rsidRDefault="0040666A" w:rsidP="00CC0378">
            <w:pPr>
              <w:jc w:val="both"/>
              <w:rPr>
                <w:sz w:val="22"/>
                <w:szCs w:val="22"/>
                <w:lang w:val="sr-Latn-ME"/>
              </w:rPr>
            </w:pPr>
            <w:r w:rsidRPr="00CC0378">
              <w:rPr>
                <w:sz w:val="22"/>
                <w:szCs w:val="22"/>
                <w:lang w:val="sr-Latn-ME"/>
              </w:rPr>
              <w:t>Hiponatrijemija</w:t>
            </w:r>
          </w:p>
        </w:tc>
      </w:tr>
      <w:tr w:rsidR="0040666A" w:rsidRPr="00CC0378" w14:paraId="569DFC38" w14:textId="77777777" w:rsidTr="009462F3">
        <w:tc>
          <w:tcPr>
            <w:tcW w:w="1666" w:type="pct"/>
            <w:vMerge/>
            <w:tcBorders>
              <w:top w:val="single" w:sz="4" w:space="0" w:color="auto"/>
              <w:left w:val="single" w:sz="4" w:space="0" w:color="auto"/>
              <w:bottom w:val="single" w:sz="4" w:space="0" w:color="auto"/>
              <w:right w:val="single" w:sz="4" w:space="0" w:color="auto"/>
            </w:tcBorders>
            <w:vAlign w:val="center"/>
            <w:hideMark/>
          </w:tcPr>
          <w:p w14:paraId="0E9205CC" w14:textId="77777777" w:rsidR="0040666A" w:rsidRPr="00CC0378" w:rsidRDefault="0040666A"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12F5092D" w14:textId="77777777" w:rsidR="0040666A" w:rsidRPr="00CC0378" w:rsidRDefault="0040666A" w:rsidP="00CC0378">
            <w:pPr>
              <w:jc w:val="both"/>
              <w:rPr>
                <w:sz w:val="22"/>
                <w:szCs w:val="22"/>
                <w:lang w:val="sr-Latn-ME"/>
              </w:rPr>
            </w:pPr>
            <w:r w:rsidRPr="00CC0378">
              <w:rPr>
                <w:sz w:val="22"/>
                <w:szCs w:val="22"/>
                <w:lang w:val="sr-Latn-ME"/>
              </w:rPr>
              <w:t>Nepoznato</w:t>
            </w:r>
          </w:p>
        </w:tc>
        <w:tc>
          <w:tcPr>
            <w:tcW w:w="2265" w:type="pct"/>
            <w:tcBorders>
              <w:top w:val="single" w:sz="4" w:space="0" w:color="auto"/>
              <w:left w:val="single" w:sz="4" w:space="0" w:color="auto"/>
              <w:bottom w:val="single" w:sz="4" w:space="0" w:color="auto"/>
              <w:right w:val="single" w:sz="4" w:space="0" w:color="auto"/>
            </w:tcBorders>
            <w:hideMark/>
          </w:tcPr>
          <w:p w14:paraId="5D6DC150" w14:textId="0384B40F" w:rsidR="0040666A" w:rsidRPr="00CC0378" w:rsidRDefault="0040666A" w:rsidP="00CC0378">
            <w:pPr>
              <w:jc w:val="both"/>
              <w:rPr>
                <w:sz w:val="22"/>
                <w:szCs w:val="22"/>
                <w:lang w:val="sr-Latn-ME"/>
              </w:rPr>
            </w:pPr>
            <w:r w:rsidRPr="00CC0378">
              <w:rPr>
                <w:sz w:val="22"/>
                <w:szCs w:val="22"/>
                <w:lang w:val="sr-Latn-ME"/>
              </w:rPr>
              <w:t>Hipomagnezijemija (vid</w:t>
            </w:r>
            <w:r w:rsidR="007974E9" w:rsidRPr="00CC0378">
              <w:rPr>
                <w:sz w:val="22"/>
                <w:szCs w:val="22"/>
                <w:lang w:val="sr-Latn-ME"/>
              </w:rPr>
              <w:t>j</w:t>
            </w:r>
            <w:r w:rsidRPr="00CC0378">
              <w:rPr>
                <w:sz w:val="22"/>
                <w:szCs w:val="22"/>
                <w:lang w:val="sr-Latn-ME"/>
              </w:rPr>
              <w:t xml:space="preserve">eti </w:t>
            </w:r>
            <w:r w:rsidR="00E32873">
              <w:rPr>
                <w:sz w:val="22"/>
                <w:szCs w:val="22"/>
                <w:lang w:val="sr-Latn-ME"/>
              </w:rPr>
              <w:t>dio</w:t>
            </w:r>
            <w:r w:rsidRPr="00CC0378">
              <w:rPr>
                <w:sz w:val="22"/>
                <w:szCs w:val="22"/>
                <w:lang w:val="sr-Latn-ME"/>
              </w:rPr>
              <w:t xml:space="preserve"> 4.4); izražena hipomagnezijemija može korelirati sa hipokalcemijom. Hipomagnezijemija može takođe da bude povezana sa hipokalemijom.</w:t>
            </w:r>
          </w:p>
        </w:tc>
      </w:tr>
      <w:tr w:rsidR="0040666A" w:rsidRPr="00CC0378" w14:paraId="5C87C13F" w14:textId="77777777" w:rsidTr="009462F3">
        <w:tc>
          <w:tcPr>
            <w:tcW w:w="1666" w:type="pct"/>
            <w:vMerge w:val="restart"/>
            <w:tcBorders>
              <w:top w:val="single" w:sz="4" w:space="0" w:color="auto"/>
              <w:left w:val="single" w:sz="4" w:space="0" w:color="auto"/>
              <w:bottom w:val="single" w:sz="4" w:space="0" w:color="auto"/>
              <w:right w:val="single" w:sz="4" w:space="0" w:color="auto"/>
            </w:tcBorders>
            <w:hideMark/>
          </w:tcPr>
          <w:p w14:paraId="05E1C83D" w14:textId="77777777" w:rsidR="0040666A" w:rsidRPr="00CC0378" w:rsidRDefault="0040666A" w:rsidP="00CC0378">
            <w:pPr>
              <w:jc w:val="both"/>
              <w:rPr>
                <w:sz w:val="22"/>
                <w:szCs w:val="22"/>
                <w:lang w:val="sr-Latn-ME"/>
              </w:rPr>
            </w:pPr>
            <w:r w:rsidRPr="00CC0378">
              <w:rPr>
                <w:sz w:val="22"/>
                <w:szCs w:val="22"/>
                <w:lang w:val="sr-Latn-ME"/>
              </w:rPr>
              <w:t>Psihijatrijski poremećaji</w:t>
            </w:r>
          </w:p>
        </w:tc>
        <w:tc>
          <w:tcPr>
            <w:tcW w:w="1069" w:type="pct"/>
            <w:tcBorders>
              <w:top w:val="single" w:sz="4" w:space="0" w:color="auto"/>
              <w:left w:val="single" w:sz="4" w:space="0" w:color="auto"/>
              <w:bottom w:val="single" w:sz="4" w:space="0" w:color="auto"/>
              <w:right w:val="single" w:sz="4" w:space="0" w:color="auto"/>
            </w:tcBorders>
            <w:hideMark/>
          </w:tcPr>
          <w:p w14:paraId="41CB821C" w14:textId="77777777" w:rsidR="0040666A" w:rsidRPr="00CC0378" w:rsidRDefault="0040666A" w:rsidP="00CC0378">
            <w:pPr>
              <w:jc w:val="both"/>
              <w:rPr>
                <w:sz w:val="22"/>
                <w:szCs w:val="22"/>
                <w:lang w:val="sr-Latn-ME"/>
              </w:rPr>
            </w:pPr>
            <w:r w:rsidRPr="00CC0378">
              <w:rPr>
                <w:sz w:val="22"/>
                <w:szCs w:val="22"/>
                <w:lang w:val="sr-Latn-ME"/>
              </w:rPr>
              <w:t>Povremeno</w:t>
            </w:r>
          </w:p>
        </w:tc>
        <w:tc>
          <w:tcPr>
            <w:tcW w:w="2265" w:type="pct"/>
            <w:tcBorders>
              <w:top w:val="single" w:sz="4" w:space="0" w:color="auto"/>
              <w:left w:val="single" w:sz="4" w:space="0" w:color="auto"/>
              <w:bottom w:val="single" w:sz="4" w:space="0" w:color="auto"/>
              <w:right w:val="single" w:sz="4" w:space="0" w:color="auto"/>
            </w:tcBorders>
            <w:hideMark/>
          </w:tcPr>
          <w:p w14:paraId="374B3D9F" w14:textId="77777777" w:rsidR="0040666A" w:rsidRPr="00CC0378" w:rsidRDefault="0040666A" w:rsidP="00CC0378">
            <w:pPr>
              <w:jc w:val="both"/>
              <w:rPr>
                <w:sz w:val="22"/>
                <w:szCs w:val="22"/>
                <w:lang w:val="sr-Latn-ME"/>
              </w:rPr>
            </w:pPr>
            <w:r w:rsidRPr="00CC0378">
              <w:rPr>
                <w:sz w:val="22"/>
                <w:szCs w:val="22"/>
                <w:lang w:val="sr-Latn-ME"/>
              </w:rPr>
              <w:t>Nesanica</w:t>
            </w:r>
          </w:p>
        </w:tc>
      </w:tr>
      <w:tr w:rsidR="0040666A" w:rsidRPr="00CC0378" w14:paraId="01C2B444" w14:textId="77777777" w:rsidTr="009462F3">
        <w:tc>
          <w:tcPr>
            <w:tcW w:w="1666" w:type="pct"/>
            <w:vMerge/>
            <w:tcBorders>
              <w:top w:val="single" w:sz="4" w:space="0" w:color="auto"/>
              <w:left w:val="single" w:sz="4" w:space="0" w:color="auto"/>
              <w:bottom w:val="single" w:sz="4" w:space="0" w:color="auto"/>
              <w:right w:val="single" w:sz="4" w:space="0" w:color="auto"/>
            </w:tcBorders>
            <w:vAlign w:val="center"/>
            <w:hideMark/>
          </w:tcPr>
          <w:p w14:paraId="5F0D6879" w14:textId="77777777" w:rsidR="0040666A" w:rsidRPr="00CC0378" w:rsidRDefault="0040666A"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206DDAF3" w14:textId="1BCFB95E" w:rsidR="0040666A" w:rsidRPr="00CC0378" w:rsidRDefault="00AB2C68" w:rsidP="00CC0378">
            <w:pPr>
              <w:jc w:val="both"/>
              <w:rPr>
                <w:sz w:val="22"/>
                <w:szCs w:val="22"/>
                <w:lang w:val="sr-Latn-ME"/>
              </w:rPr>
            </w:pPr>
            <w:r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317572D2" w14:textId="77777777" w:rsidR="0040666A" w:rsidRPr="00CC0378" w:rsidRDefault="0040666A" w:rsidP="00CC0378">
            <w:pPr>
              <w:jc w:val="both"/>
              <w:rPr>
                <w:sz w:val="22"/>
                <w:szCs w:val="22"/>
                <w:lang w:val="sr-Latn-ME"/>
              </w:rPr>
            </w:pPr>
            <w:r w:rsidRPr="00CC0378">
              <w:rPr>
                <w:sz w:val="22"/>
                <w:szCs w:val="22"/>
                <w:lang w:val="sr-Latn-ME"/>
              </w:rPr>
              <w:t>Agitiranost, konfuznost, depresija</w:t>
            </w:r>
          </w:p>
        </w:tc>
      </w:tr>
      <w:tr w:rsidR="0040666A" w:rsidRPr="00CC0378" w14:paraId="621B4F31" w14:textId="77777777" w:rsidTr="009462F3">
        <w:tc>
          <w:tcPr>
            <w:tcW w:w="1666" w:type="pct"/>
            <w:vMerge/>
            <w:tcBorders>
              <w:top w:val="single" w:sz="4" w:space="0" w:color="auto"/>
              <w:left w:val="single" w:sz="4" w:space="0" w:color="auto"/>
              <w:bottom w:val="single" w:sz="4" w:space="0" w:color="auto"/>
              <w:right w:val="single" w:sz="4" w:space="0" w:color="auto"/>
            </w:tcBorders>
            <w:vAlign w:val="center"/>
            <w:hideMark/>
          </w:tcPr>
          <w:p w14:paraId="258A3D3E" w14:textId="77777777" w:rsidR="0040666A" w:rsidRPr="00CC0378" w:rsidRDefault="0040666A"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435C3144" w14:textId="27C4A1E4" w:rsidR="0040666A" w:rsidRPr="00CC0378" w:rsidRDefault="0040666A" w:rsidP="00CC0378">
            <w:pPr>
              <w:jc w:val="both"/>
              <w:rPr>
                <w:sz w:val="22"/>
                <w:szCs w:val="22"/>
                <w:lang w:val="sr-Latn-ME"/>
              </w:rPr>
            </w:pPr>
            <w:r w:rsidRPr="00CC0378">
              <w:rPr>
                <w:sz w:val="22"/>
                <w:szCs w:val="22"/>
                <w:lang w:val="sr-Latn-ME"/>
              </w:rPr>
              <w:t xml:space="preserve">Veoma </w:t>
            </w:r>
            <w:r w:rsidR="00AB2C68"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42DAE1F5" w14:textId="77777777" w:rsidR="0040666A" w:rsidRPr="00CC0378" w:rsidRDefault="0040666A" w:rsidP="00CC0378">
            <w:pPr>
              <w:jc w:val="both"/>
              <w:rPr>
                <w:sz w:val="22"/>
                <w:szCs w:val="22"/>
                <w:lang w:val="sr-Latn-ME"/>
              </w:rPr>
            </w:pPr>
            <w:r w:rsidRPr="00CC0378">
              <w:rPr>
                <w:sz w:val="22"/>
                <w:szCs w:val="22"/>
                <w:lang w:val="sr-Latn-ME"/>
              </w:rPr>
              <w:t>Agresivnost, halucinacije</w:t>
            </w:r>
          </w:p>
        </w:tc>
      </w:tr>
      <w:tr w:rsidR="0040666A" w:rsidRPr="00CC0378" w14:paraId="133FE8B0" w14:textId="77777777" w:rsidTr="009462F3">
        <w:tc>
          <w:tcPr>
            <w:tcW w:w="1666" w:type="pct"/>
            <w:vMerge w:val="restart"/>
            <w:tcBorders>
              <w:top w:val="single" w:sz="4" w:space="0" w:color="auto"/>
              <w:left w:val="single" w:sz="4" w:space="0" w:color="auto"/>
              <w:bottom w:val="single" w:sz="4" w:space="0" w:color="auto"/>
              <w:right w:val="single" w:sz="4" w:space="0" w:color="auto"/>
            </w:tcBorders>
            <w:hideMark/>
          </w:tcPr>
          <w:p w14:paraId="4CB9E6D0" w14:textId="77777777" w:rsidR="0040666A" w:rsidRPr="00CC0378" w:rsidRDefault="0040666A" w:rsidP="00CC0378">
            <w:pPr>
              <w:jc w:val="both"/>
              <w:rPr>
                <w:sz w:val="22"/>
                <w:szCs w:val="22"/>
                <w:lang w:val="sr-Latn-ME"/>
              </w:rPr>
            </w:pPr>
            <w:r w:rsidRPr="00CC0378">
              <w:rPr>
                <w:sz w:val="22"/>
                <w:szCs w:val="22"/>
                <w:lang w:val="sr-Latn-ME"/>
              </w:rPr>
              <w:lastRenderedPageBreak/>
              <w:t>Poremećaji nervnog sistema</w:t>
            </w:r>
          </w:p>
        </w:tc>
        <w:tc>
          <w:tcPr>
            <w:tcW w:w="1069" w:type="pct"/>
            <w:tcBorders>
              <w:top w:val="single" w:sz="4" w:space="0" w:color="auto"/>
              <w:left w:val="single" w:sz="4" w:space="0" w:color="auto"/>
              <w:bottom w:val="single" w:sz="4" w:space="0" w:color="auto"/>
              <w:right w:val="single" w:sz="4" w:space="0" w:color="auto"/>
            </w:tcBorders>
            <w:hideMark/>
          </w:tcPr>
          <w:p w14:paraId="12D89581" w14:textId="77777777" w:rsidR="0040666A" w:rsidRPr="00CC0378" w:rsidRDefault="0040666A" w:rsidP="00CC0378">
            <w:pPr>
              <w:jc w:val="both"/>
              <w:rPr>
                <w:sz w:val="22"/>
                <w:szCs w:val="22"/>
                <w:lang w:val="sr-Latn-ME"/>
              </w:rPr>
            </w:pPr>
            <w:r w:rsidRPr="00CC0378">
              <w:rPr>
                <w:sz w:val="22"/>
                <w:szCs w:val="22"/>
                <w:lang w:val="sr-Latn-ME"/>
              </w:rPr>
              <w:t>Često</w:t>
            </w:r>
          </w:p>
        </w:tc>
        <w:tc>
          <w:tcPr>
            <w:tcW w:w="2265" w:type="pct"/>
            <w:tcBorders>
              <w:top w:val="single" w:sz="4" w:space="0" w:color="auto"/>
              <w:left w:val="single" w:sz="4" w:space="0" w:color="auto"/>
              <w:bottom w:val="single" w:sz="4" w:space="0" w:color="auto"/>
              <w:right w:val="single" w:sz="4" w:space="0" w:color="auto"/>
            </w:tcBorders>
            <w:hideMark/>
          </w:tcPr>
          <w:p w14:paraId="19EC2479" w14:textId="77777777" w:rsidR="0040666A" w:rsidRPr="00CC0378" w:rsidRDefault="0040666A" w:rsidP="00CC0378">
            <w:pPr>
              <w:jc w:val="both"/>
              <w:rPr>
                <w:sz w:val="22"/>
                <w:szCs w:val="22"/>
                <w:lang w:val="sr-Latn-ME"/>
              </w:rPr>
            </w:pPr>
            <w:r w:rsidRPr="00CC0378">
              <w:rPr>
                <w:sz w:val="22"/>
                <w:szCs w:val="22"/>
                <w:lang w:val="sr-Latn-ME"/>
              </w:rPr>
              <w:t>Glavobolja</w:t>
            </w:r>
          </w:p>
        </w:tc>
      </w:tr>
      <w:tr w:rsidR="0040666A" w:rsidRPr="00CC0378" w14:paraId="198521A2" w14:textId="77777777" w:rsidTr="009462F3">
        <w:tc>
          <w:tcPr>
            <w:tcW w:w="1666" w:type="pct"/>
            <w:vMerge/>
            <w:tcBorders>
              <w:top w:val="single" w:sz="4" w:space="0" w:color="auto"/>
              <w:left w:val="single" w:sz="4" w:space="0" w:color="auto"/>
              <w:bottom w:val="single" w:sz="4" w:space="0" w:color="auto"/>
              <w:right w:val="single" w:sz="4" w:space="0" w:color="auto"/>
            </w:tcBorders>
            <w:vAlign w:val="center"/>
            <w:hideMark/>
          </w:tcPr>
          <w:p w14:paraId="15CE5A4B" w14:textId="77777777" w:rsidR="0040666A" w:rsidRPr="00CC0378" w:rsidRDefault="0040666A"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286AA51F" w14:textId="77777777" w:rsidR="0040666A" w:rsidRPr="00CC0378" w:rsidRDefault="0040666A" w:rsidP="00CC0378">
            <w:pPr>
              <w:jc w:val="both"/>
              <w:rPr>
                <w:sz w:val="22"/>
                <w:szCs w:val="22"/>
                <w:lang w:val="sr-Latn-ME"/>
              </w:rPr>
            </w:pPr>
            <w:r w:rsidRPr="00CC0378">
              <w:rPr>
                <w:sz w:val="22"/>
                <w:szCs w:val="22"/>
                <w:lang w:val="sr-Latn-ME"/>
              </w:rPr>
              <w:t>Povremeno</w:t>
            </w:r>
          </w:p>
        </w:tc>
        <w:tc>
          <w:tcPr>
            <w:tcW w:w="2265" w:type="pct"/>
            <w:tcBorders>
              <w:top w:val="single" w:sz="4" w:space="0" w:color="auto"/>
              <w:left w:val="single" w:sz="4" w:space="0" w:color="auto"/>
              <w:bottom w:val="single" w:sz="4" w:space="0" w:color="auto"/>
              <w:right w:val="single" w:sz="4" w:space="0" w:color="auto"/>
            </w:tcBorders>
            <w:hideMark/>
          </w:tcPr>
          <w:p w14:paraId="1E4D60BE" w14:textId="77777777" w:rsidR="0040666A" w:rsidRPr="00CC0378" w:rsidRDefault="0040666A" w:rsidP="00CC0378">
            <w:pPr>
              <w:jc w:val="both"/>
              <w:rPr>
                <w:sz w:val="22"/>
                <w:szCs w:val="22"/>
                <w:lang w:val="sr-Latn-ME"/>
              </w:rPr>
            </w:pPr>
            <w:r w:rsidRPr="00CC0378">
              <w:rPr>
                <w:sz w:val="22"/>
                <w:szCs w:val="22"/>
                <w:lang w:val="sr-Latn-ME"/>
              </w:rPr>
              <w:t>Omaglice, parestezija, pospanost</w:t>
            </w:r>
          </w:p>
        </w:tc>
      </w:tr>
      <w:tr w:rsidR="0040666A" w:rsidRPr="00CC0378" w14:paraId="1B284142" w14:textId="77777777" w:rsidTr="009462F3">
        <w:tc>
          <w:tcPr>
            <w:tcW w:w="1666" w:type="pct"/>
            <w:vMerge/>
            <w:tcBorders>
              <w:top w:val="single" w:sz="4" w:space="0" w:color="auto"/>
              <w:left w:val="single" w:sz="4" w:space="0" w:color="auto"/>
              <w:bottom w:val="single" w:sz="4" w:space="0" w:color="auto"/>
              <w:right w:val="single" w:sz="4" w:space="0" w:color="auto"/>
            </w:tcBorders>
            <w:vAlign w:val="center"/>
            <w:hideMark/>
          </w:tcPr>
          <w:p w14:paraId="2367F7B4" w14:textId="77777777" w:rsidR="0040666A" w:rsidRPr="00CC0378" w:rsidRDefault="0040666A"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6696828A" w14:textId="77C7BDAA" w:rsidR="0040666A" w:rsidRPr="00CC0378" w:rsidRDefault="00AB2C68" w:rsidP="00CC0378">
            <w:pPr>
              <w:jc w:val="both"/>
              <w:rPr>
                <w:sz w:val="22"/>
                <w:szCs w:val="22"/>
                <w:lang w:val="sr-Latn-ME"/>
              </w:rPr>
            </w:pPr>
            <w:r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371AD348" w14:textId="77777777" w:rsidR="0040666A" w:rsidRPr="00CC0378" w:rsidRDefault="0040666A" w:rsidP="00CC0378">
            <w:pPr>
              <w:jc w:val="both"/>
              <w:rPr>
                <w:sz w:val="22"/>
                <w:szCs w:val="22"/>
                <w:lang w:val="sr-Latn-ME"/>
              </w:rPr>
            </w:pPr>
            <w:r w:rsidRPr="00CC0378">
              <w:rPr>
                <w:sz w:val="22"/>
                <w:szCs w:val="22"/>
                <w:lang w:val="sr-Latn-ME"/>
              </w:rPr>
              <w:t>Poremećaj ukusa</w:t>
            </w:r>
          </w:p>
        </w:tc>
      </w:tr>
      <w:tr w:rsidR="0040666A" w:rsidRPr="00CC0378" w14:paraId="6C1BA3C8" w14:textId="77777777" w:rsidTr="009462F3">
        <w:tc>
          <w:tcPr>
            <w:tcW w:w="1666" w:type="pct"/>
            <w:tcBorders>
              <w:top w:val="single" w:sz="4" w:space="0" w:color="auto"/>
              <w:left w:val="single" w:sz="4" w:space="0" w:color="auto"/>
              <w:bottom w:val="single" w:sz="4" w:space="0" w:color="auto"/>
              <w:right w:val="single" w:sz="4" w:space="0" w:color="auto"/>
            </w:tcBorders>
            <w:hideMark/>
          </w:tcPr>
          <w:p w14:paraId="725C3B1E" w14:textId="77777777" w:rsidR="0040666A" w:rsidRPr="00CC0378" w:rsidRDefault="0040666A" w:rsidP="00CC0378">
            <w:pPr>
              <w:jc w:val="both"/>
              <w:rPr>
                <w:sz w:val="22"/>
                <w:szCs w:val="22"/>
                <w:lang w:val="sr-Latn-ME"/>
              </w:rPr>
            </w:pPr>
            <w:r w:rsidRPr="00CC0378">
              <w:rPr>
                <w:sz w:val="22"/>
                <w:szCs w:val="22"/>
                <w:lang w:val="sr-Latn-ME"/>
              </w:rPr>
              <w:t>Poremećaji oka</w:t>
            </w:r>
          </w:p>
        </w:tc>
        <w:tc>
          <w:tcPr>
            <w:tcW w:w="1069" w:type="pct"/>
            <w:tcBorders>
              <w:top w:val="single" w:sz="4" w:space="0" w:color="auto"/>
              <w:left w:val="single" w:sz="4" w:space="0" w:color="auto"/>
              <w:bottom w:val="single" w:sz="4" w:space="0" w:color="auto"/>
              <w:right w:val="single" w:sz="4" w:space="0" w:color="auto"/>
            </w:tcBorders>
            <w:hideMark/>
          </w:tcPr>
          <w:p w14:paraId="5754EC4D" w14:textId="2FB554C6" w:rsidR="0040666A" w:rsidRPr="00CC0378" w:rsidRDefault="00AB2C68" w:rsidP="00CC0378">
            <w:pPr>
              <w:jc w:val="both"/>
              <w:rPr>
                <w:sz w:val="22"/>
                <w:szCs w:val="22"/>
                <w:lang w:val="sr-Latn-ME"/>
              </w:rPr>
            </w:pPr>
            <w:r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6FFA304B" w14:textId="77777777" w:rsidR="0040666A" w:rsidRPr="00CC0378" w:rsidRDefault="0040666A" w:rsidP="00CC0378">
            <w:pPr>
              <w:jc w:val="both"/>
              <w:rPr>
                <w:sz w:val="22"/>
                <w:szCs w:val="22"/>
                <w:lang w:val="sr-Latn-ME"/>
              </w:rPr>
            </w:pPr>
            <w:r w:rsidRPr="00CC0378">
              <w:rPr>
                <w:sz w:val="22"/>
                <w:szCs w:val="22"/>
                <w:lang w:val="sr-Latn-ME"/>
              </w:rPr>
              <w:t>Zamagljen vid</w:t>
            </w:r>
          </w:p>
        </w:tc>
      </w:tr>
      <w:tr w:rsidR="0040666A" w:rsidRPr="00CC0378" w14:paraId="536B9226" w14:textId="77777777" w:rsidTr="009462F3">
        <w:tc>
          <w:tcPr>
            <w:tcW w:w="1666" w:type="pct"/>
            <w:tcBorders>
              <w:top w:val="single" w:sz="4" w:space="0" w:color="auto"/>
              <w:left w:val="single" w:sz="4" w:space="0" w:color="auto"/>
              <w:bottom w:val="single" w:sz="4" w:space="0" w:color="auto"/>
              <w:right w:val="single" w:sz="4" w:space="0" w:color="auto"/>
            </w:tcBorders>
            <w:hideMark/>
          </w:tcPr>
          <w:p w14:paraId="7B671747" w14:textId="77777777" w:rsidR="0040666A" w:rsidRPr="00CC0378" w:rsidRDefault="0040666A" w:rsidP="00CC0378">
            <w:pPr>
              <w:jc w:val="both"/>
              <w:rPr>
                <w:sz w:val="22"/>
                <w:szCs w:val="22"/>
                <w:lang w:val="sr-Latn-ME"/>
              </w:rPr>
            </w:pPr>
            <w:r w:rsidRPr="00CC0378">
              <w:rPr>
                <w:sz w:val="22"/>
                <w:szCs w:val="22"/>
                <w:lang w:val="sr-Latn-ME"/>
              </w:rPr>
              <w:t>Poremećaji uha i labirinta</w:t>
            </w:r>
          </w:p>
        </w:tc>
        <w:tc>
          <w:tcPr>
            <w:tcW w:w="1069" w:type="pct"/>
            <w:tcBorders>
              <w:top w:val="single" w:sz="4" w:space="0" w:color="auto"/>
              <w:left w:val="single" w:sz="4" w:space="0" w:color="auto"/>
              <w:bottom w:val="single" w:sz="4" w:space="0" w:color="auto"/>
              <w:right w:val="single" w:sz="4" w:space="0" w:color="auto"/>
            </w:tcBorders>
            <w:hideMark/>
          </w:tcPr>
          <w:p w14:paraId="3CF50717" w14:textId="77777777" w:rsidR="0040666A" w:rsidRPr="00CC0378" w:rsidRDefault="0040666A" w:rsidP="00CC0378">
            <w:pPr>
              <w:jc w:val="both"/>
              <w:rPr>
                <w:sz w:val="22"/>
                <w:szCs w:val="22"/>
                <w:lang w:val="sr-Latn-ME"/>
              </w:rPr>
            </w:pPr>
            <w:r w:rsidRPr="00CC0378">
              <w:rPr>
                <w:sz w:val="22"/>
                <w:szCs w:val="22"/>
                <w:lang w:val="sr-Latn-ME"/>
              </w:rPr>
              <w:t>Povremeno</w:t>
            </w:r>
          </w:p>
        </w:tc>
        <w:tc>
          <w:tcPr>
            <w:tcW w:w="2265" w:type="pct"/>
            <w:tcBorders>
              <w:top w:val="single" w:sz="4" w:space="0" w:color="auto"/>
              <w:left w:val="single" w:sz="4" w:space="0" w:color="auto"/>
              <w:bottom w:val="single" w:sz="4" w:space="0" w:color="auto"/>
              <w:right w:val="single" w:sz="4" w:space="0" w:color="auto"/>
            </w:tcBorders>
            <w:hideMark/>
          </w:tcPr>
          <w:p w14:paraId="1F1DC06B" w14:textId="77777777" w:rsidR="0040666A" w:rsidRPr="00CC0378" w:rsidRDefault="0040666A" w:rsidP="00CC0378">
            <w:pPr>
              <w:jc w:val="both"/>
              <w:rPr>
                <w:sz w:val="22"/>
                <w:szCs w:val="22"/>
                <w:lang w:val="sr-Latn-ME"/>
              </w:rPr>
            </w:pPr>
            <w:r w:rsidRPr="00CC0378">
              <w:rPr>
                <w:sz w:val="22"/>
                <w:szCs w:val="22"/>
                <w:lang w:val="sr-Latn-ME"/>
              </w:rPr>
              <w:t>Vrtoglavica</w:t>
            </w:r>
          </w:p>
        </w:tc>
      </w:tr>
      <w:tr w:rsidR="0040666A" w:rsidRPr="00CC0378" w14:paraId="129172BD" w14:textId="77777777" w:rsidTr="009462F3">
        <w:tc>
          <w:tcPr>
            <w:tcW w:w="1666" w:type="pct"/>
            <w:tcBorders>
              <w:top w:val="single" w:sz="4" w:space="0" w:color="auto"/>
              <w:left w:val="single" w:sz="4" w:space="0" w:color="auto"/>
              <w:bottom w:val="single" w:sz="4" w:space="0" w:color="auto"/>
              <w:right w:val="single" w:sz="4" w:space="0" w:color="auto"/>
            </w:tcBorders>
            <w:hideMark/>
          </w:tcPr>
          <w:p w14:paraId="60D2AE5E" w14:textId="77777777" w:rsidR="0040666A" w:rsidRPr="00CC0378" w:rsidRDefault="0040666A" w:rsidP="00CC0378">
            <w:pPr>
              <w:jc w:val="both"/>
              <w:rPr>
                <w:sz w:val="22"/>
                <w:szCs w:val="22"/>
                <w:lang w:val="sr-Latn-ME"/>
              </w:rPr>
            </w:pPr>
            <w:r w:rsidRPr="00CC0378">
              <w:rPr>
                <w:sz w:val="22"/>
                <w:szCs w:val="22"/>
                <w:lang w:val="sr-Latn-ME"/>
              </w:rPr>
              <w:t>Respiratorni, torakalni i medijastinalni poremećaji</w:t>
            </w:r>
          </w:p>
        </w:tc>
        <w:tc>
          <w:tcPr>
            <w:tcW w:w="1069" w:type="pct"/>
            <w:tcBorders>
              <w:top w:val="single" w:sz="4" w:space="0" w:color="auto"/>
              <w:left w:val="single" w:sz="4" w:space="0" w:color="auto"/>
              <w:bottom w:val="single" w:sz="4" w:space="0" w:color="auto"/>
              <w:right w:val="single" w:sz="4" w:space="0" w:color="auto"/>
            </w:tcBorders>
            <w:hideMark/>
          </w:tcPr>
          <w:p w14:paraId="0D7841F0" w14:textId="472B59DB" w:rsidR="0040666A" w:rsidRPr="00CC0378" w:rsidRDefault="00AB2C68" w:rsidP="00CC0378">
            <w:pPr>
              <w:jc w:val="both"/>
              <w:rPr>
                <w:sz w:val="22"/>
                <w:szCs w:val="22"/>
                <w:lang w:val="sr-Latn-ME"/>
              </w:rPr>
            </w:pPr>
            <w:r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59865C58" w14:textId="77777777" w:rsidR="0040666A" w:rsidRPr="00CC0378" w:rsidRDefault="0040666A" w:rsidP="00CC0378">
            <w:pPr>
              <w:jc w:val="both"/>
              <w:rPr>
                <w:sz w:val="22"/>
                <w:szCs w:val="22"/>
                <w:lang w:val="sr-Latn-ME"/>
              </w:rPr>
            </w:pPr>
            <w:r w:rsidRPr="00CC0378">
              <w:rPr>
                <w:sz w:val="22"/>
                <w:szCs w:val="22"/>
                <w:lang w:val="sr-Latn-ME"/>
              </w:rPr>
              <w:t>Bronhospazam</w:t>
            </w:r>
          </w:p>
        </w:tc>
      </w:tr>
      <w:tr w:rsidR="0040666A" w:rsidRPr="000C02E1" w14:paraId="49194791" w14:textId="77777777" w:rsidTr="009462F3">
        <w:tc>
          <w:tcPr>
            <w:tcW w:w="1666" w:type="pct"/>
            <w:vMerge w:val="restart"/>
            <w:tcBorders>
              <w:top w:val="single" w:sz="4" w:space="0" w:color="auto"/>
              <w:left w:val="single" w:sz="4" w:space="0" w:color="auto"/>
              <w:bottom w:val="single" w:sz="4" w:space="0" w:color="auto"/>
              <w:right w:val="single" w:sz="4" w:space="0" w:color="auto"/>
            </w:tcBorders>
            <w:hideMark/>
          </w:tcPr>
          <w:p w14:paraId="70EB7D2C" w14:textId="77777777" w:rsidR="0040666A" w:rsidRPr="00CC0378" w:rsidRDefault="0040666A" w:rsidP="00CC0378">
            <w:pPr>
              <w:jc w:val="both"/>
              <w:rPr>
                <w:sz w:val="22"/>
                <w:szCs w:val="22"/>
                <w:lang w:val="sr-Latn-ME"/>
              </w:rPr>
            </w:pPr>
            <w:r w:rsidRPr="00CC0378">
              <w:rPr>
                <w:sz w:val="22"/>
                <w:szCs w:val="22"/>
                <w:lang w:val="sr-Latn-ME"/>
              </w:rPr>
              <w:t>Gastrointestinalni poremećaji</w:t>
            </w:r>
          </w:p>
        </w:tc>
        <w:tc>
          <w:tcPr>
            <w:tcW w:w="1069" w:type="pct"/>
            <w:tcBorders>
              <w:top w:val="single" w:sz="4" w:space="0" w:color="auto"/>
              <w:left w:val="single" w:sz="4" w:space="0" w:color="auto"/>
              <w:bottom w:val="single" w:sz="4" w:space="0" w:color="auto"/>
              <w:right w:val="single" w:sz="4" w:space="0" w:color="auto"/>
            </w:tcBorders>
            <w:hideMark/>
          </w:tcPr>
          <w:p w14:paraId="152DE9E3" w14:textId="77777777" w:rsidR="0040666A" w:rsidRPr="00CC0378" w:rsidRDefault="0040666A" w:rsidP="00CC0378">
            <w:pPr>
              <w:jc w:val="both"/>
              <w:rPr>
                <w:sz w:val="22"/>
                <w:szCs w:val="22"/>
                <w:lang w:val="sr-Latn-ME"/>
              </w:rPr>
            </w:pPr>
            <w:r w:rsidRPr="00CC0378">
              <w:rPr>
                <w:sz w:val="22"/>
                <w:szCs w:val="22"/>
                <w:lang w:val="sr-Latn-ME"/>
              </w:rPr>
              <w:t>Često</w:t>
            </w:r>
          </w:p>
        </w:tc>
        <w:tc>
          <w:tcPr>
            <w:tcW w:w="2265" w:type="pct"/>
            <w:tcBorders>
              <w:top w:val="single" w:sz="4" w:space="0" w:color="auto"/>
              <w:left w:val="single" w:sz="4" w:space="0" w:color="auto"/>
              <w:bottom w:val="single" w:sz="4" w:space="0" w:color="auto"/>
              <w:right w:val="single" w:sz="4" w:space="0" w:color="auto"/>
            </w:tcBorders>
            <w:hideMark/>
          </w:tcPr>
          <w:p w14:paraId="1D726855" w14:textId="0C8BFB2B" w:rsidR="0040666A" w:rsidRPr="00CC0378" w:rsidRDefault="0040666A" w:rsidP="00CC0378">
            <w:pPr>
              <w:jc w:val="both"/>
              <w:rPr>
                <w:sz w:val="22"/>
                <w:szCs w:val="22"/>
                <w:lang w:val="sr-Latn-ME"/>
              </w:rPr>
            </w:pPr>
            <w:r w:rsidRPr="00CC0378">
              <w:rPr>
                <w:sz w:val="22"/>
                <w:szCs w:val="22"/>
                <w:lang w:val="sr-Latn-ME"/>
              </w:rPr>
              <w:t>Abdominalni bol, konstipacija, dijareja, flatulencija, mučnina/ povraćanje, polipi fundusnih žl</w:t>
            </w:r>
            <w:r w:rsidR="007974E9" w:rsidRPr="00CC0378">
              <w:rPr>
                <w:sz w:val="22"/>
                <w:szCs w:val="22"/>
                <w:lang w:val="sr-Latn-ME"/>
              </w:rPr>
              <w:t>ij</w:t>
            </w:r>
            <w:r w:rsidRPr="00CC0378">
              <w:rPr>
                <w:sz w:val="22"/>
                <w:szCs w:val="22"/>
                <w:lang w:val="sr-Latn-ME"/>
              </w:rPr>
              <w:t xml:space="preserve">ezdi (benigni) </w:t>
            </w:r>
          </w:p>
        </w:tc>
      </w:tr>
      <w:tr w:rsidR="0040666A" w:rsidRPr="00CC0378" w14:paraId="7602B5E5" w14:textId="77777777" w:rsidTr="009462F3">
        <w:tc>
          <w:tcPr>
            <w:tcW w:w="1666" w:type="pct"/>
            <w:vMerge/>
            <w:tcBorders>
              <w:top w:val="single" w:sz="4" w:space="0" w:color="auto"/>
              <w:left w:val="single" w:sz="4" w:space="0" w:color="auto"/>
              <w:bottom w:val="single" w:sz="4" w:space="0" w:color="auto"/>
              <w:right w:val="single" w:sz="4" w:space="0" w:color="auto"/>
            </w:tcBorders>
            <w:vAlign w:val="center"/>
            <w:hideMark/>
          </w:tcPr>
          <w:p w14:paraId="69DB527A" w14:textId="77777777" w:rsidR="0040666A" w:rsidRPr="00CC0378" w:rsidRDefault="0040666A"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1DF7F321" w14:textId="77777777" w:rsidR="0040666A" w:rsidRPr="00CC0378" w:rsidRDefault="0040666A" w:rsidP="00CC0378">
            <w:pPr>
              <w:jc w:val="both"/>
              <w:rPr>
                <w:sz w:val="22"/>
                <w:szCs w:val="22"/>
                <w:lang w:val="sr-Latn-ME"/>
              </w:rPr>
            </w:pPr>
            <w:r w:rsidRPr="00CC0378">
              <w:rPr>
                <w:sz w:val="22"/>
                <w:szCs w:val="22"/>
                <w:lang w:val="sr-Latn-ME"/>
              </w:rPr>
              <w:t>Povremeno</w:t>
            </w:r>
          </w:p>
        </w:tc>
        <w:tc>
          <w:tcPr>
            <w:tcW w:w="2265" w:type="pct"/>
            <w:tcBorders>
              <w:top w:val="single" w:sz="4" w:space="0" w:color="auto"/>
              <w:left w:val="single" w:sz="4" w:space="0" w:color="auto"/>
              <w:bottom w:val="single" w:sz="4" w:space="0" w:color="auto"/>
              <w:right w:val="single" w:sz="4" w:space="0" w:color="auto"/>
            </w:tcBorders>
            <w:hideMark/>
          </w:tcPr>
          <w:p w14:paraId="4C37068A" w14:textId="77777777" w:rsidR="0040666A" w:rsidRPr="00CC0378" w:rsidRDefault="0040666A" w:rsidP="00CC0378">
            <w:pPr>
              <w:jc w:val="both"/>
              <w:rPr>
                <w:sz w:val="22"/>
                <w:szCs w:val="22"/>
                <w:lang w:val="sr-Latn-ME"/>
              </w:rPr>
            </w:pPr>
            <w:r w:rsidRPr="00CC0378">
              <w:rPr>
                <w:sz w:val="22"/>
                <w:szCs w:val="22"/>
                <w:lang w:val="sr-Latn-ME"/>
              </w:rPr>
              <w:t>Suva usta</w:t>
            </w:r>
          </w:p>
        </w:tc>
      </w:tr>
      <w:tr w:rsidR="0040666A" w:rsidRPr="00CC0378" w14:paraId="0B07A082" w14:textId="77777777" w:rsidTr="009462F3">
        <w:tc>
          <w:tcPr>
            <w:tcW w:w="1666" w:type="pct"/>
            <w:vMerge/>
            <w:tcBorders>
              <w:top w:val="single" w:sz="4" w:space="0" w:color="auto"/>
              <w:left w:val="single" w:sz="4" w:space="0" w:color="auto"/>
              <w:bottom w:val="single" w:sz="4" w:space="0" w:color="auto"/>
              <w:right w:val="single" w:sz="4" w:space="0" w:color="auto"/>
            </w:tcBorders>
            <w:vAlign w:val="center"/>
            <w:hideMark/>
          </w:tcPr>
          <w:p w14:paraId="61090342" w14:textId="77777777" w:rsidR="0040666A" w:rsidRPr="00CC0378" w:rsidRDefault="0040666A"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31CED890" w14:textId="08749605" w:rsidR="0040666A" w:rsidRPr="00CC0378" w:rsidRDefault="00AB2C68" w:rsidP="00CC0378">
            <w:pPr>
              <w:jc w:val="both"/>
              <w:rPr>
                <w:sz w:val="22"/>
                <w:szCs w:val="22"/>
                <w:lang w:val="sr-Latn-ME"/>
              </w:rPr>
            </w:pPr>
            <w:r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6756E121" w14:textId="77777777" w:rsidR="0040666A" w:rsidRPr="00CC0378" w:rsidRDefault="0040666A" w:rsidP="00CC0378">
            <w:pPr>
              <w:jc w:val="both"/>
              <w:rPr>
                <w:sz w:val="22"/>
                <w:szCs w:val="22"/>
                <w:lang w:val="sr-Latn-ME"/>
              </w:rPr>
            </w:pPr>
            <w:r w:rsidRPr="00CC0378">
              <w:rPr>
                <w:sz w:val="22"/>
                <w:szCs w:val="22"/>
                <w:lang w:val="sr-Latn-ME"/>
              </w:rPr>
              <w:t>Stomatitis, gastrointestinalna kandidijaza</w:t>
            </w:r>
          </w:p>
        </w:tc>
      </w:tr>
      <w:tr w:rsidR="0040666A" w:rsidRPr="00CC0378" w14:paraId="3C922861" w14:textId="77777777" w:rsidTr="009462F3">
        <w:tc>
          <w:tcPr>
            <w:tcW w:w="1666" w:type="pct"/>
            <w:vMerge/>
            <w:tcBorders>
              <w:top w:val="single" w:sz="4" w:space="0" w:color="auto"/>
              <w:left w:val="single" w:sz="4" w:space="0" w:color="auto"/>
              <w:bottom w:val="single" w:sz="4" w:space="0" w:color="auto"/>
              <w:right w:val="single" w:sz="4" w:space="0" w:color="auto"/>
            </w:tcBorders>
            <w:vAlign w:val="center"/>
            <w:hideMark/>
          </w:tcPr>
          <w:p w14:paraId="3EA555D2" w14:textId="77777777" w:rsidR="0040666A" w:rsidRPr="00CC0378" w:rsidRDefault="0040666A"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67DA34C6" w14:textId="77777777" w:rsidR="0040666A" w:rsidRPr="00CC0378" w:rsidRDefault="0040666A" w:rsidP="00CC0378">
            <w:pPr>
              <w:jc w:val="both"/>
              <w:rPr>
                <w:sz w:val="22"/>
                <w:szCs w:val="22"/>
                <w:lang w:val="sr-Latn-ME"/>
              </w:rPr>
            </w:pPr>
            <w:r w:rsidRPr="00CC0378">
              <w:rPr>
                <w:sz w:val="22"/>
                <w:szCs w:val="22"/>
                <w:lang w:val="sr-Latn-ME"/>
              </w:rPr>
              <w:t>Nepoznato</w:t>
            </w:r>
          </w:p>
        </w:tc>
        <w:tc>
          <w:tcPr>
            <w:tcW w:w="2265" w:type="pct"/>
            <w:tcBorders>
              <w:top w:val="single" w:sz="4" w:space="0" w:color="auto"/>
              <w:left w:val="single" w:sz="4" w:space="0" w:color="auto"/>
              <w:bottom w:val="single" w:sz="4" w:space="0" w:color="auto"/>
              <w:right w:val="single" w:sz="4" w:space="0" w:color="auto"/>
            </w:tcBorders>
            <w:hideMark/>
          </w:tcPr>
          <w:p w14:paraId="392787D1" w14:textId="77777777" w:rsidR="0040666A" w:rsidRPr="00CC0378" w:rsidRDefault="0040666A" w:rsidP="00CC0378">
            <w:pPr>
              <w:jc w:val="both"/>
              <w:rPr>
                <w:sz w:val="22"/>
                <w:szCs w:val="22"/>
                <w:lang w:val="sr-Latn-ME"/>
              </w:rPr>
            </w:pPr>
            <w:r w:rsidRPr="00CC0378">
              <w:rPr>
                <w:sz w:val="22"/>
                <w:szCs w:val="22"/>
                <w:lang w:val="sr-Latn-ME"/>
              </w:rPr>
              <w:t>Mikroskopski kolitis</w:t>
            </w:r>
          </w:p>
        </w:tc>
      </w:tr>
      <w:tr w:rsidR="0040666A" w:rsidRPr="00CC0378" w14:paraId="099A59DF" w14:textId="77777777" w:rsidTr="009462F3">
        <w:tc>
          <w:tcPr>
            <w:tcW w:w="1666" w:type="pct"/>
            <w:vMerge w:val="restart"/>
            <w:tcBorders>
              <w:top w:val="single" w:sz="4" w:space="0" w:color="auto"/>
              <w:left w:val="single" w:sz="4" w:space="0" w:color="auto"/>
              <w:bottom w:val="single" w:sz="4" w:space="0" w:color="auto"/>
              <w:right w:val="single" w:sz="4" w:space="0" w:color="auto"/>
            </w:tcBorders>
            <w:hideMark/>
          </w:tcPr>
          <w:p w14:paraId="4E23E7B4" w14:textId="77777777" w:rsidR="0040666A" w:rsidRPr="00CC0378" w:rsidRDefault="0040666A" w:rsidP="00CC0378">
            <w:pPr>
              <w:jc w:val="both"/>
              <w:rPr>
                <w:sz w:val="22"/>
                <w:szCs w:val="22"/>
                <w:lang w:val="sr-Latn-ME"/>
              </w:rPr>
            </w:pPr>
            <w:r w:rsidRPr="00CC0378">
              <w:rPr>
                <w:sz w:val="22"/>
                <w:szCs w:val="22"/>
                <w:lang w:val="sr-Latn-ME"/>
              </w:rPr>
              <w:t>Hepatobiijarni poremećaji</w:t>
            </w:r>
          </w:p>
        </w:tc>
        <w:tc>
          <w:tcPr>
            <w:tcW w:w="1069" w:type="pct"/>
            <w:tcBorders>
              <w:top w:val="single" w:sz="4" w:space="0" w:color="auto"/>
              <w:left w:val="single" w:sz="4" w:space="0" w:color="auto"/>
              <w:bottom w:val="single" w:sz="4" w:space="0" w:color="auto"/>
              <w:right w:val="single" w:sz="4" w:space="0" w:color="auto"/>
            </w:tcBorders>
            <w:hideMark/>
          </w:tcPr>
          <w:p w14:paraId="527CD5C2" w14:textId="77777777" w:rsidR="0040666A" w:rsidRPr="00CC0378" w:rsidRDefault="0040666A" w:rsidP="00CC0378">
            <w:pPr>
              <w:jc w:val="both"/>
              <w:rPr>
                <w:sz w:val="22"/>
                <w:szCs w:val="22"/>
                <w:lang w:val="sr-Latn-ME"/>
              </w:rPr>
            </w:pPr>
            <w:r w:rsidRPr="00CC0378">
              <w:rPr>
                <w:sz w:val="22"/>
                <w:szCs w:val="22"/>
                <w:lang w:val="sr-Latn-ME"/>
              </w:rPr>
              <w:t>Povremeno</w:t>
            </w:r>
          </w:p>
        </w:tc>
        <w:tc>
          <w:tcPr>
            <w:tcW w:w="2265" w:type="pct"/>
            <w:tcBorders>
              <w:top w:val="single" w:sz="4" w:space="0" w:color="auto"/>
              <w:left w:val="single" w:sz="4" w:space="0" w:color="auto"/>
              <w:bottom w:val="single" w:sz="4" w:space="0" w:color="auto"/>
              <w:right w:val="single" w:sz="4" w:space="0" w:color="auto"/>
            </w:tcBorders>
            <w:hideMark/>
          </w:tcPr>
          <w:p w14:paraId="1A214680" w14:textId="77777777" w:rsidR="0040666A" w:rsidRPr="00CC0378" w:rsidRDefault="0040666A" w:rsidP="00CC0378">
            <w:pPr>
              <w:keepNext/>
              <w:keepLines/>
              <w:jc w:val="both"/>
              <w:rPr>
                <w:sz w:val="22"/>
                <w:szCs w:val="22"/>
                <w:lang w:val="sr-Latn-ME"/>
              </w:rPr>
            </w:pPr>
            <w:r w:rsidRPr="00CC0378">
              <w:rPr>
                <w:sz w:val="22"/>
                <w:szCs w:val="22"/>
                <w:lang w:val="sr-Latn-ME"/>
              </w:rPr>
              <w:t>Povišeni enzimi jetre</w:t>
            </w:r>
          </w:p>
        </w:tc>
      </w:tr>
      <w:tr w:rsidR="0040666A" w:rsidRPr="000C02E1" w14:paraId="64AC47F8" w14:textId="77777777" w:rsidTr="009462F3">
        <w:tc>
          <w:tcPr>
            <w:tcW w:w="1666" w:type="pct"/>
            <w:vMerge/>
            <w:tcBorders>
              <w:top w:val="single" w:sz="4" w:space="0" w:color="auto"/>
              <w:left w:val="single" w:sz="4" w:space="0" w:color="auto"/>
              <w:bottom w:val="single" w:sz="4" w:space="0" w:color="auto"/>
              <w:right w:val="single" w:sz="4" w:space="0" w:color="auto"/>
            </w:tcBorders>
            <w:vAlign w:val="center"/>
            <w:hideMark/>
          </w:tcPr>
          <w:p w14:paraId="01766A6D" w14:textId="77777777" w:rsidR="0040666A" w:rsidRPr="00CC0378" w:rsidRDefault="0040666A"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36DD83BB" w14:textId="0C57D2D0" w:rsidR="0040666A" w:rsidRPr="00CC0378" w:rsidRDefault="00AB2C68" w:rsidP="00CC0378">
            <w:pPr>
              <w:jc w:val="both"/>
              <w:rPr>
                <w:sz w:val="22"/>
                <w:szCs w:val="22"/>
                <w:lang w:val="sr-Latn-ME"/>
              </w:rPr>
            </w:pPr>
            <w:r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6B13763F" w14:textId="77777777" w:rsidR="0040666A" w:rsidRPr="00CC0378" w:rsidRDefault="0040666A" w:rsidP="00CC0378">
            <w:pPr>
              <w:jc w:val="both"/>
              <w:rPr>
                <w:sz w:val="22"/>
                <w:szCs w:val="22"/>
                <w:lang w:val="sr-Latn-ME"/>
              </w:rPr>
            </w:pPr>
            <w:r w:rsidRPr="00CC0378">
              <w:rPr>
                <w:sz w:val="22"/>
                <w:szCs w:val="22"/>
                <w:lang w:val="sr-Latn-ME"/>
              </w:rPr>
              <w:t>Hepatitis uz žuticu ili bez nje</w:t>
            </w:r>
          </w:p>
        </w:tc>
      </w:tr>
      <w:tr w:rsidR="0040666A" w:rsidRPr="000C02E1" w14:paraId="55A53D2F" w14:textId="77777777" w:rsidTr="009462F3">
        <w:tc>
          <w:tcPr>
            <w:tcW w:w="1666" w:type="pct"/>
            <w:vMerge/>
            <w:tcBorders>
              <w:top w:val="single" w:sz="4" w:space="0" w:color="auto"/>
              <w:left w:val="single" w:sz="4" w:space="0" w:color="auto"/>
              <w:bottom w:val="single" w:sz="4" w:space="0" w:color="auto"/>
              <w:right w:val="single" w:sz="4" w:space="0" w:color="auto"/>
            </w:tcBorders>
            <w:vAlign w:val="center"/>
            <w:hideMark/>
          </w:tcPr>
          <w:p w14:paraId="4051E350" w14:textId="77777777" w:rsidR="0040666A" w:rsidRPr="00CC0378" w:rsidRDefault="0040666A"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tcPr>
          <w:p w14:paraId="208A5552" w14:textId="321BF60C" w:rsidR="0040666A" w:rsidRPr="00CC0378" w:rsidRDefault="0040666A" w:rsidP="00CC0378">
            <w:pPr>
              <w:jc w:val="both"/>
              <w:rPr>
                <w:sz w:val="22"/>
                <w:szCs w:val="22"/>
                <w:lang w:val="sr-Latn-ME"/>
              </w:rPr>
            </w:pPr>
            <w:r w:rsidRPr="00CC0378">
              <w:rPr>
                <w:sz w:val="22"/>
                <w:szCs w:val="22"/>
                <w:lang w:val="sr-Latn-ME"/>
              </w:rPr>
              <w:t xml:space="preserve">Veoma </w:t>
            </w:r>
            <w:r w:rsidR="00AB2C68" w:rsidRPr="00CC0378">
              <w:rPr>
                <w:sz w:val="22"/>
                <w:szCs w:val="22"/>
                <w:lang w:val="sr-Latn-ME"/>
              </w:rPr>
              <w:t>rijetko</w:t>
            </w:r>
          </w:p>
          <w:p w14:paraId="75F7FBC9" w14:textId="77777777" w:rsidR="0040666A" w:rsidRPr="00CC0378" w:rsidRDefault="0040666A" w:rsidP="00CC0378">
            <w:pPr>
              <w:jc w:val="both"/>
              <w:rPr>
                <w:sz w:val="22"/>
                <w:szCs w:val="22"/>
                <w:lang w:val="sr-Latn-ME"/>
              </w:rPr>
            </w:pPr>
          </w:p>
        </w:tc>
        <w:tc>
          <w:tcPr>
            <w:tcW w:w="2265" w:type="pct"/>
            <w:tcBorders>
              <w:top w:val="single" w:sz="4" w:space="0" w:color="auto"/>
              <w:left w:val="single" w:sz="4" w:space="0" w:color="auto"/>
              <w:bottom w:val="single" w:sz="4" w:space="0" w:color="auto"/>
              <w:right w:val="single" w:sz="4" w:space="0" w:color="auto"/>
            </w:tcBorders>
            <w:hideMark/>
          </w:tcPr>
          <w:p w14:paraId="4583356C" w14:textId="77777777" w:rsidR="0040666A" w:rsidRPr="00CC0378" w:rsidRDefault="0040666A" w:rsidP="00CC0378">
            <w:pPr>
              <w:jc w:val="both"/>
              <w:rPr>
                <w:sz w:val="22"/>
                <w:szCs w:val="22"/>
                <w:lang w:val="sr-Latn-ME"/>
              </w:rPr>
            </w:pPr>
            <w:r w:rsidRPr="00CC0378">
              <w:rPr>
                <w:sz w:val="22"/>
                <w:szCs w:val="22"/>
                <w:lang w:val="sr-Latn-ME"/>
              </w:rPr>
              <w:t>Hepatička insuficijencija, encefalopatija kod pacijenata koji su već imali oboljenje jetre</w:t>
            </w:r>
          </w:p>
        </w:tc>
      </w:tr>
      <w:tr w:rsidR="007A0F82" w:rsidRPr="00CC0378" w14:paraId="2CE2B9BE" w14:textId="77777777" w:rsidTr="00E16E77">
        <w:tc>
          <w:tcPr>
            <w:tcW w:w="1666" w:type="pct"/>
            <w:vMerge w:val="restart"/>
            <w:tcBorders>
              <w:top w:val="single" w:sz="4" w:space="0" w:color="auto"/>
              <w:left w:val="single" w:sz="4" w:space="0" w:color="auto"/>
              <w:right w:val="single" w:sz="4" w:space="0" w:color="auto"/>
            </w:tcBorders>
            <w:hideMark/>
          </w:tcPr>
          <w:p w14:paraId="3F2922D2" w14:textId="77777777" w:rsidR="007A0F82" w:rsidRPr="00CC0378" w:rsidRDefault="007A0F82" w:rsidP="00CC0378">
            <w:pPr>
              <w:jc w:val="both"/>
              <w:rPr>
                <w:sz w:val="22"/>
                <w:szCs w:val="22"/>
                <w:lang w:val="sr-Latn-ME"/>
              </w:rPr>
            </w:pPr>
            <w:r w:rsidRPr="00CC0378">
              <w:rPr>
                <w:bCs/>
                <w:sz w:val="22"/>
                <w:szCs w:val="22"/>
                <w:lang w:val="sr-Latn-ME"/>
              </w:rPr>
              <w:t>Poremećaji kože i potkožnog tkiva</w:t>
            </w:r>
          </w:p>
        </w:tc>
        <w:tc>
          <w:tcPr>
            <w:tcW w:w="1069" w:type="pct"/>
            <w:tcBorders>
              <w:top w:val="single" w:sz="4" w:space="0" w:color="auto"/>
              <w:left w:val="single" w:sz="4" w:space="0" w:color="auto"/>
              <w:bottom w:val="single" w:sz="4" w:space="0" w:color="auto"/>
              <w:right w:val="single" w:sz="4" w:space="0" w:color="auto"/>
            </w:tcBorders>
            <w:hideMark/>
          </w:tcPr>
          <w:p w14:paraId="28299799" w14:textId="77777777" w:rsidR="007A0F82" w:rsidRPr="00CC0378" w:rsidRDefault="007A0F82" w:rsidP="00CC0378">
            <w:pPr>
              <w:jc w:val="both"/>
              <w:rPr>
                <w:sz w:val="22"/>
                <w:szCs w:val="22"/>
                <w:lang w:val="sr-Latn-ME"/>
              </w:rPr>
            </w:pPr>
            <w:r w:rsidRPr="00CC0378">
              <w:rPr>
                <w:sz w:val="22"/>
                <w:szCs w:val="22"/>
                <w:lang w:val="sr-Latn-ME"/>
              </w:rPr>
              <w:t>Povremeno</w:t>
            </w:r>
          </w:p>
        </w:tc>
        <w:tc>
          <w:tcPr>
            <w:tcW w:w="2265" w:type="pct"/>
            <w:tcBorders>
              <w:top w:val="single" w:sz="4" w:space="0" w:color="auto"/>
              <w:left w:val="single" w:sz="4" w:space="0" w:color="auto"/>
              <w:bottom w:val="single" w:sz="4" w:space="0" w:color="auto"/>
              <w:right w:val="single" w:sz="4" w:space="0" w:color="auto"/>
            </w:tcBorders>
            <w:hideMark/>
          </w:tcPr>
          <w:p w14:paraId="5EA9A318" w14:textId="77777777" w:rsidR="007A0F82" w:rsidRPr="00CC0378" w:rsidRDefault="007A0F82" w:rsidP="00CC0378">
            <w:pPr>
              <w:jc w:val="both"/>
              <w:rPr>
                <w:sz w:val="22"/>
                <w:szCs w:val="22"/>
                <w:lang w:val="sr-Latn-ME"/>
              </w:rPr>
            </w:pPr>
            <w:r w:rsidRPr="00CC0378">
              <w:rPr>
                <w:sz w:val="22"/>
                <w:szCs w:val="22"/>
                <w:lang w:val="sr-Latn-ME"/>
              </w:rPr>
              <w:t>Dermatitis, pruritus, osip, urtikarija</w:t>
            </w:r>
          </w:p>
        </w:tc>
      </w:tr>
      <w:tr w:rsidR="007A0F82" w:rsidRPr="00CC0378" w14:paraId="70AEFD25" w14:textId="77777777" w:rsidTr="00E16E77">
        <w:tc>
          <w:tcPr>
            <w:tcW w:w="1666" w:type="pct"/>
            <w:vMerge/>
            <w:tcBorders>
              <w:left w:val="single" w:sz="4" w:space="0" w:color="auto"/>
              <w:right w:val="single" w:sz="4" w:space="0" w:color="auto"/>
            </w:tcBorders>
            <w:vAlign w:val="center"/>
            <w:hideMark/>
          </w:tcPr>
          <w:p w14:paraId="10FC88B1" w14:textId="77777777" w:rsidR="007A0F82" w:rsidRPr="00CC0378" w:rsidRDefault="007A0F82"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43149989" w14:textId="214F7934" w:rsidR="007A0F82" w:rsidRPr="00CC0378" w:rsidRDefault="007A0F82" w:rsidP="00CC0378">
            <w:pPr>
              <w:jc w:val="both"/>
              <w:rPr>
                <w:sz w:val="22"/>
                <w:szCs w:val="22"/>
                <w:lang w:val="sr-Latn-ME"/>
              </w:rPr>
            </w:pPr>
            <w:r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0852EF32" w14:textId="30C5B0EC" w:rsidR="007A0F82" w:rsidRPr="00CC0378" w:rsidRDefault="007A0F82" w:rsidP="00CC0378">
            <w:pPr>
              <w:jc w:val="both"/>
              <w:rPr>
                <w:sz w:val="22"/>
                <w:szCs w:val="22"/>
                <w:lang w:val="sr-Latn-ME"/>
              </w:rPr>
            </w:pPr>
            <w:r w:rsidRPr="00CC0378">
              <w:rPr>
                <w:sz w:val="22"/>
                <w:szCs w:val="22"/>
                <w:lang w:val="sr-Latn-ME"/>
              </w:rPr>
              <w:t>Alopecija, osetljivost na svjetlost</w:t>
            </w:r>
          </w:p>
        </w:tc>
      </w:tr>
      <w:tr w:rsidR="007A0F82" w:rsidRPr="000C02E1" w14:paraId="164DC779" w14:textId="77777777" w:rsidTr="00E16E77">
        <w:tc>
          <w:tcPr>
            <w:tcW w:w="1666" w:type="pct"/>
            <w:vMerge/>
            <w:tcBorders>
              <w:left w:val="single" w:sz="4" w:space="0" w:color="auto"/>
              <w:right w:val="single" w:sz="4" w:space="0" w:color="auto"/>
            </w:tcBorders>
            <w:vAlign w:val="center"/>
            <w:hideMark/>
          </w:tcPr>
          <w:p w14:paraId="04326630" w14:textId="77777777" w:rsidR="007A0F82" w:rsidRPr="00CC0378" w:rsidRDefault="007A0F82"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1C86E8BA" w14:textId="199690D2" w:rsidR="007A0F82" w:rsidRPr="00CC0378" w:rsidRDefault="007A0F82" w:rsidP="00CC0378">
            <w:pPr>
              <w:jc w:val="both"/>
              <w:rPr>
                <w:sz w:val="22"/>
                <w:szCs w:val="22"/>
                <w:lang w:val="sr-Latn-ME"/>
              </w:rPr>
            </w:pPr>
            <w:r w:rsidRPr="00CC0378">
              <w:rPr>
                <w:sz w:val="22"/>
                <w:szCs w:val="22"/>
                <w:lang w:val="sr-Latn-ME"/>
              </w:rPr>
              <w:t>Veoma rijetko</w:t>
            </w:r>
          </w:p>
        </w:tc>
        <w:tc>
          <w:tcPr>
            <w:tcW w:w="2265" w:type="pct"/>
            <w:tcBorders>
              <w:top w:val="single" w:sz="4" w:space="0" w:color="auto"/>
              <w:left w:val="single" w:sz="4" w:space="0" w:color="auto"/>
              <w:bottom w:val="single" w:sz="4" w:space="0" w:color="auto"/>
              <w:right w:val="single" w:sz="4" w:space="0" w:color="auto"/>
            </w:tcBorders>
            <w:hideMark/>
          </w:tcPr>
          <w:p w14:paraId="7E9ADE44" w14:textId="570E2C5E" w:rsidR="007A0F82" w:rsidRPr="00CC0378" w:rsidRDefault="007A0F82" w:rsidP="00CC0378">
            <w:pPr>
              <w:jc w:val="both"/>
              <w:rPr>
                <w:sz w:val="22"/>
                <w:szCs w:val="22"/>
                <w:lang w:val="sr-Latn-ME"/>
              </w:rPr>
            </w:pPr>
            <w:r w:rsidRPr="000C02E1">
              <w:rPr>
                <w:i/>
                <w:sz w:val="22"/>
                <w:szCs w:val="22"/>
                <w:lang w:val="sr-Latn-ME"/>
              </w:rPr>
              <w:t>Erythema multiforme</w:t>
            </w:r>
            <w:r w:rsidRPr="00CC0378">
              <w:rPr>
                <w:sz w:val="22"/>
                <w:szCs w:val="22"/>
                <w:lang w:val="sr-Latn-ME"/>
              </w:rPr>
              <w:t>, Stivens-Džonsonov sindrom, toksična epidermalna nekroliza (TEN), reakcija na ljekove sa eozinofilijom i sistemskim simptomima (DRESS)</w:t>
            </w:r>
          </w:p>
        </w:tc>
      </w:tr>
      <w:tr w:rsidR="007A0F82" w:rsidRPr="00CC0378" w14:paraId="66371C5E" w14:textId="77777777" w:rsidTr="00E16E77">
        <w:tc>
          <w:tcPr>
            <w:tcW w:w="1666" w:type="pct"/>
            <w:vMerge/>
            <w:tcBorders>
              <w:left w:val="single" w:sz="4" w:space="0" w:color="auto"/>
              <w:bottom w:val="single" w:sz="4" w:space="0" w:color="auto"/>
              <w:right w:val="single" w:sz="4" w:space="0" w:color="auto"/>
            </w:tcBorders>
          </w:tcPr>
          <w:p w14:paraId="40EA2EAB" w14:textId="77777777" w:rsidR="007A0F82" w:rsidRPr="00CC0378" w:rsidRDefault="007A0F82"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730D3B6C" w14:textId="77777777" w:rsidR="007A0F82" w:rsidRPr="00CC0378" w:rsidRDefault="007A0F82" w:rsidP="00CC0378">
            <w:pPr>
              <w:jc w:val="both"/>
              <w:rPr>
                <w:sz w:val="22"/>
                <w:szCs w:val="22"/>
                <w:lang w:val="sr-Latn-ME"/>
              </w:rPr>
            </w:pPr>
            <w:r w:rsidRPr="00CC0378">
              <w:rPr>
                <w:sz w:val="22"/>
                <w:szCs w:val="22"/>
                <w:lang w:val="sr-Latn-ME"/>
              </w:rPr>
              <w:t>Nepoznato</w:t>
            </w:r>
          </w:p>
        </w:tc>
        <w:tc>
          <w:tcPr>
            <w:tcW w:w="2265" w:type="pct"/>
            <w:tcBorders>
              <w:top w:val="single" w:sz="4" w:space="0" w:color="auto"/>
              <w:left w:val="single" w:sz="4" w:space="0" w:color="auto"/>
              <w:bottom w:val="single" w:sz="4" w:space="0" w:color="auto"/>
              <w:right w:val="single" w:sz="4" w:space="0" w:color="auto"/>
            </w:tcBorders>
            <w:hideMark/>
          </w:tcPr>
          <w:p w14:paraId="5DAD8E40" w14:textId="14FC4937" w:rsidR="007A0F82" w:rsidRPr="00CC0378" w:rsidRDefault="007A0F82" w:rsidP="00CC0378">
            <w:pPr>
              <w:jc w:val="both"/>
              <w:rPr>
                <w:sz w:val="22"/>
                <w:szCs w:val="22"/>
                <w:lang w:val="sr-Latn-ME"/>
              </w:rPr>
            </w:pPr>
            <w:r w:rsidRPr="00CC0378">
              <w:rPr>
                <w:sz w:val="22"/>
                <w:szCs w:val="22"/>
                <w:lang w:val="sr-Latn-ME"/>
              </w:rPr>
              <w:t xml:space="preserve">Subakutni kožni lupus erythematosus (vidjeti </w:t>
            </w:r>
            <w:r>
              <w:rPr>
                <w:sz w:val="22"/>
                <w:szCs w:val="22"/>
                <w:lang w:val="sr-Latn-ME"/>
              </w:rPr>
              <w:t>dio</w:t>
            </w:r>
            <w:r w:rsidRPr="00CC0378">
              <w:rPr>
                <w:sz w:val="22"/>
                <w:szCs w:val="22"/>
                <w:lang w:val="sr-Latn-ME"/>
              </w:rPr>
              <w:t xml:space="preserve"> 4.4)</w:t>
            </w:r>
          </w:p>
        </w:tc>
      </w:tr>
      <w:tr w:rsidR="0040666A" w:rsidRPr="000C02E1" w14:paraId="27ED2624" w14:textId="77777777" w:rsidTr="009462F3">
        <w:tc>
          <w:tcPr>
            <w:tcW w:w="1666" w:type="pct"/>
            <w:vMerge w:val="restart"/>
            <w:tcBorders>
              <w:top w:val="single" w:sz="4" w:space="0" w:color="auto"/>
              <w:left w:val="single" w:sz="4" w:space="0" w:color="auto"/>
              <w:bottom w:val="single" w:sz="4" w:space="0" w:color="auto"/>
              <w:right w:val="single" w:sz="4" w:space="0" w:color="auto"/>
            </w:tcBorders>
            <w:hideMark/>
          </w:tcPr>
          <w:p w14:paraId="6B482A4C" w14:textId="77777777" w:rsidR="0040666A" w:rsidRPr="00CC0378" w:rsidRDefault="0040666A" w:rsidP="00CC0378">
            <w:pPr>
              <w:jc w:val="both"/>
              <w:rPr>
                <w:bCs/>
                <w:sz w:val="22"/>
                <w:szCs w:val="22"/>
                <w:lang w:val="sr-Latn-ME"/>
              </w:rPr>
            </w:pPr>
            <w:r w:rsidRPr="00CC0378">
              <w:rPr>
                <w:bCs/>
                <w:sz w:val="22"/>
                <w:szCs w:val="22"/>
                <w:lang w:val="sr-Latn-ME"/>
              </w:rPr>
              <w:t xml:space="preserve">Poremećaji mišićno-koštanog sistema i vezivnog tkiva </w:t>
            </w:r>
          </w:p>
        </w:tc>
        <w:tc>
          <w:tcPr>
            <w:tcW w:w="1069" w:type="pct"/>
            <w:tcBorders>
              <w:top w:val="single" w:sz="4" w:space="0" w:color="auto"/>
              <w:left w:val="single" w:sz="4" w:space="0" w:color="auto"/>
              <w:bottom w:val="single" w:sz="4" w:space="0" w:color="auto"/>
              <w:right w:val="single" w:sz="4" w:space="0" w:color="auto"/>
            </w:tcBorders>
            <w:hideMark/>
          </w:tcPr>
          <w:p w14:paraId="4A8B91E1" w14:textId="77777777" w:rsidR="0040666A" w:rsidRPr="00CC0378" w:rsidRDefault="0040666A" w:rsidP="00CC0378">
            <w:pPr>
              <w:jc w:val="both"/>
              <w:rPr>
                <w:sz w:val="22"/>
                <w:szCs w:val="22"/>
                <w:lang w:val="sr-Latn-ME"/>
              </w:rPr>
            </w:pPr>
            <w:r w:rsidRPr="00CC0378">
              <w:rPr>
                <w:sz w:val="22"/>
                <w:szCs w:val="22"/>
                <w:lang w:val="sr-Latn-ME"/>
              </w:rPr>
              <w:t>Povremeno</w:t>
            </w:r>
          </w:p>
        </w:tc>
        <w:tc>
          <w:tcPr>
            <w:tcW w:w="2265" w:type="pct"/>
            <w:tcBorders>
              <w:top w:val="single" w:sz="4" w:space="0" w:color="auto"/>
              <w:left w:val="single" w:sz="4" w:space="0" w:color="auto"/>
              <w:bottom w:val="single" w:sz="4" w:space="0" w:color="auto"/>
              <w:right w:val="single" w:sz="4" w:space="0" w:color="auto"/>
            </w:tcBorders>
            <w:hideMark/>
          </w:tcPr>
          <w:p w14:paraId="676850B5" w14:textId="48CDC11F" w:rsidR="0040666A" w:rsidRPr="00CC0378" w:rsidRDefault="0040666A" w:rsidP="00CC0378">
            <w:pPr>
              <w:jc w:val="both"/>
              <w:rPr>
                <w:sz w:val="22"/>
                <w:szCs w:val="22"/>
                <w:lang w:val="sr-Latn-ME"/>
              </w:rPr>
            </w:pPr>
            <w:r w:rsidRPr="00CC0378">
              <w:rPr>
                <w:sz w:val="22"/>
                <w:szCs w:val="22"/>
                <w:lang w:val="sr-Latn-ME"/>
              </w:rPr>
              <w:t>Frakture kuka, ručnog zgloba ili kičme (vid</w:t>
            </w:r>
            <w:r w:rsidR="007974E9" w:rsidRPr="00CC0378">
              <w:rPr>
                <w:sz w:val="22"/>
                <w:szCs w:val="22"/>
                <w:lang w:val="sr-Latn-ME"/>
              </w:rPr>
              <w:t>j</w:t>
            </w:r>
            <w:r w:rsidRPr="00CC0378">
              <w:rPr>
                <w:sz w:val="22"/>
                <w:szCs w:val="22"/>
                <w:lang w:val="sr-Latn-ME"/>
              </w:rPr>
              <w:t xml:space="preserve">eti </w:t>
            </w:r>
            <w:r w:rsidR="00E32873">
              <w:rPr>
                <w:sz w:val="22"/>
                <w:szCs w:val="22"/>
                <w:lang w:val="sr-Latn-ME"/>
              </w:rPr>
              <w:t>dio</w:t>
            </w:r>
            <w:r w:rsidRPr="00CC0378">
              <w:rPr>
                <w:sz w:val="22"/>
                <w:szCs w:val="22"/>
                <w:lang w:val="sr-Latn-ME"/>
              </w:rPr>
              <w:t xml:space="preserve"> 4.4)</w:t>
            </w:r>
          </w:p>
        </w:tc>
      </w:tr>
      <w:tr w:rsidR="0040666A" w:rsidRPr="00CC0378" w14:paraId="3415D374" w14:textId="77777777" w:rsidTr="009462F3">
        <w:tc>
          <w:tcPr>
            <w:tcW w:w="1666" w:type="pct"/>
            <w:vMerge/>
            <w:tcBorders>
              <w:top w:val="single" w:sz="4" w:space="0" w:color="auto"/>
              <w:left w:val="single" w:sz="4" w:space="0" w:color="auto"/>
              <w:bottom w:val="single" w:sz="4" w:space="0" w:color="auto"/>
              <w:right w:val="single" w:sz="4" w:space="0" w:color="auto"/>
            </w:tcBorders>
            <w:vAlign w:val="center"/>
            <w:hideMark/>
          </w:tcPr>
          <w:p w14:paraId="4FDD0C9E" w14:textId="77777777" w:rsidR="0040666A" w:rsidRPr="00CC0378" w:rsidRDefault="0040666A" w:rsidP="00CC0378">
            <w:pPr>
              <w:jc w:val="both"/>
              <w:rPr>
                <w:bCs/>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6E39E58F" w14:textId="1C42F9D0" w:rsidR="0040666A" w:rsidRPr="00CC0378" w:rsidRDefault="0040666A" w:rsidP="00CC0378">
            <w:pPr>
              <w:jc w:val="both"/>
              <w:rPr>
                <w:sz w:val="22"/>
                <w:szCs w:val="22"/>
                <w:lang w:val="sr-Latn-ME"/>
              </w:rPr>
            </w:pPr>
            <w:r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3E2888D3" w14:textId="77777777" w:rsidR="0040666A" w:rsidRPr="00CC0378" w:rsidRDefault="0040666A" w:rsidP="00CC0378">
            <w:pPr>
              <w:jc w:val="both"/>
              <w:rPr>
                <w:sz w:val="22"/>
                <w:szCs w:val="22"/>
                <w:lang w:val="sr-Latn-ME"/>
              </w:rPr>
            </w:pPr>
            <w:r w:rsidRPr="00CC0378">
              <w:rPr>
                <w:sz w:val="22"/>
                <w:szCs w:val="22"/>
                <w:lang w:val="sr-Latn-ME"/>
              </w:rPr>
              <w:t>Artralgija, mijalgija</w:t>
            </w:r>
          </w:p>
        </w:tc>
      </w:tr>
      <w:tr w:rsidR="0040666A" w:rsidRPr="00CC0378" w14:paraId="10F0E55D" w14:textId="77777777" w:rsidTr="009462F3">
        <w:tc>
          <w:tcPr>
            <w:tcW w:w="1666" w:type="pct"/>
            <w:vMerge/>
            <w:tcBorders>
              <w:top w:val="single" w:sz="4" w:space="0" w:color="auto"/>
              <w:left w:val="single" w:sz="4" w:space="0" w:color="auto"/>
              <w:bottom w:val="single" w:sz="4" w:space="0" w:color="auto"/>
              <w:right w:val="single" w:sz="4" w:space="0" w:color="auto"/>
            </w:tcBorders>
            <w:vAlign w:val="center"/>
            <w:hideMark/>
          </w:tcPr>
          <w:p w14:paraId="445DE9F3" w14:textId="77777777" w:rsidR="0040666A" w:rsidRPr="00CC0378" w:rsidRDefault="0040666A" w:rsidP="00CC0378">
            <w:pPr>
              <w:jc w:val="both"/>
              <w:rPr>
                <w:bCs/>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61E4DCD4" w14:textId="3880A6FB" w:rsidR="0040666A" w:rsidRPr="00CC0378" w:rsidRDefault="0040666A" w:rsidP="00CC0378">
            <w:pPr>
              <w:jc w:val="both"/>
              <w:rPr>
                <w:sz w:val="22"/>
                <w:szCs w:val="22"/>
                <w:lang w:val="sr-Latn-ME"/>
              </w:rPr>
            </w:pPr>
            <w:r w:rsidRPr="00CC0378">
              <w:rPr>
                <w:sz w:val="22"/>
                <w:szCs w:val="22"/>
                <w:lang w:val="sr-Latn-ME"/>
              </w:rPr>
              <w:t xml:space="preserve">Veoma </w:t>
            </w:r>
            <w:r w:rsidR="00AB2C68"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23F88AC8" w14:textId="77777777" w:rsidR="0040666A" w:rsidRPr="00CC0378" w:rsidRDefault="0040666A" w:rsidP="00CC0378">
            <w:pPr>
              <w:jc w:val="both"/>
              <w:rPr>
                <w:sz w:val="22"/>
                <w:szCs w:val="22"/>
                <w:lang w:val="sr-Latn-ME"/>
              </w:rPr>
            </w:pPr>
            <w:r w:rsidRPr="00CC0378">
              <w:rPr>
                <w:sz w:val="22"/>
                <w:szCs w:val="22"/>
                <w:lang w:val="sr-Latn-ME"/>
              </w:rPr>
              <w:t>Slabost mišića</w:t>
            </w:r>
          </w:p>
        </w:tc>
      </w:tr>
      <w:tr w:rsidR="0040666A" w:rsidRPr="000C02E1" w14:paraId="4C9CC77A" w14:textId="77777777" w:rsidTr="009462F3">
        <w:tc>
          <w:tcPr>
            <w:tcW w:w="1666" w:type="pct"/>
            <w:tcBorders>
              <w:top w:val="single" w:sz="4" w:space="0" w:color="auto"/>
              <w:left w:val="single" w:sz="4" w:space="0" w:color="auto"/>
              <w:bottom w:val="single" w:sz="4" w:space="0" w:color="auto"/>
              <w:right w:val="single" w:sz="4" w:space="0" w:color="auto"/>
            </w:tcBorders>
          </w:tcPr>
          <w:p w14:paraId="049BD7F0" w14:textId="77777777" w:rsidR="0040666A" w:rsidRPr="00CC0378" w:rsidRDefault="0040666A" w:rsidP="00CC0378">
            <w:pPr>
              <w:jc w:val="both"/>
              <w:rPr>
                <w:bCs/>
                <w:sz w:val="22"/>
                <w:szCs w:val="22"/>
                <w:lang w:val="sr-Latn-ME"/>
              </w:rPr>
            </w:pPr>
            <w:r w:rsidRPr="00CC0378">
              <w:rPr>
                <w:bCs/>
                <w:sz w:val="22"/>
                <w:szCs w:val="22"/>
                <w:lang w:val="sr-Latn-ME"/>
              </w:rPr>
              <w:t>Poremećaji bubrega i urinarnog sistema</w:t>
            </w:r>
          </w:p>
          <w:p w14:paraId="69B7B9AC" w14:textId="77777777" w:rsidR="0040666A" w:rsidRPr="00CC0378" w:rsidRDefault="0040666A" w:rsidP="00CC0378">
            <w:pPr>
              <w:jc w:val="both"/>
              <w:rPr>
                <w:sz w:val="22"/>
                <w:szCs w:val="22"/>
                <w:lang w:val="sr-Latn-ME"/>
              </w:rPr>
            </w:pPr>
          </w:p>
        </w:tc>
        <w:tc>
          <w:tcPr>
            <w:tcW w:w="1069" w:type="pct"/>
            <w:tcBorders>
              <w:top w:val="single" w:sz="4" w:space="0" w:color="auto"/>
              <w:left w:val="single" w:sz="4" w:space="0" w:color="auto"/>
              <w:bottom w:val="single" w:sz="4" w:space="0" w:color="auto"/>
              <w:right w:val="single" w:sz="4" w:space="0" w:color="auto"/>
            </w:tcBorders>
            <w:hideMark/>
          </w:tcPr>
          <w:p w14:paraId="485AF11F" w14:textId="29FC7B9B" w:rsidR="0040666A" w:rsidRPr="00CC0378" w:rsidRDefault="0040666A" w:rsidP="00CC0378">
            <w:pPr>
              <w:jc w:val="both"/>
              <w:rPr>
                <w:sz w:val="22"/>
                <w:szCs w:val="22"/>
                <w:lang w:val="sr-Latn-ME"/>
              </w:rPr>
            </w:pPr>
            <w:r w:rsidRPr="00CC0378">
              <w:rPr>
                <w:sz w:val="22"/>
                <w:szCs w:val="22"/>
                <w:lang w:val="sr-Latn-ME"/>
              </w:rPr>
              <w:t xml:space="preserve">Veoma </w:t>
            </w:r>
            <w:r w:rsidR="00AB2C68"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hideMark/>
          </w:tcPr>
          <w:p w14:paraId="63E112D8" w14:textId="77777777" w:rsidR="0040666A" w:rsidRPr="00CC0378" w:rsidRDefault="0040666A" w:rsidP="00CC0378">
            <w:pPr>
              <w:jc w:val="both"/>
              <w:rPr>
                <w:sz w:val="22"/>
                <w:szCs w:val="22"/>
                <w:lang w:val="sr-Latn-ME"/>
              </w:rPr>
            </w:pPr>
            <w:r w:rsidRPr="00CC0378">
              <w:rPr>
                <w:sz w:val="22"/>
                <w:szCs w:val="22"/>
                <w:lang w:val="sr-Latn-ME"/>
              </w:rPr>
              <w:t>Intersticijalni nefritis; kod nekih pacijenata istovremeno je prijavljena i bubrežna insufucijencija</w:t>
            </w:r>
          </w:p>
        </w:tc>
      </w:tr>
      <w:tr w:rsidR="0040666A" w:rsidRPr="00CC0378" w14:paraId="6136C6BA" w14:textId="77777777" w:rsidTr="009462F3">
        <w:trPr>
          <w:trHeight w:val="438"/>
        </w:trPr>
        <w:tc>
          <w:tcPr>
            <w:tcW w:w="1666" w:type="pct"/>
            <w:tcBorders>
              <w:top w:val="single" w:sz="4" w:space="0" w:color="auto"/>
              <w:left w:val="single" w:sz="4" w:space="0" w:color="auto"/>
              <w:bottom w:val="single" w:sz="4" w:space="0" w:color="auto"/>
              <w:right w:val="single" w:sz="4" w:space="0" w:color="auto"/>
            </w:tcBorders>
            <w:hideMark/>
          </w:tcPr>
          <w:p w14:paraId="359D7973" w14:textId="77777777" w:rsidR="0040666A" w:rsidRPr="00CC0378" w:rsidRDefault="0040666A" w:rsidP="00CC0378">
            <w:pPr>
              <w:jc w:val="both"/>
              <w:rPr>
                <w:sz w:val="22"/>
                <w:szCs w:val="22"/>
                <w:lang w:val="sr-Latn-ME"/>
              </w:rPr>
            </w:pPr>
            <w:r w:rsidRPr="00CC0378">
              <w:rPr>
                <w:bCs/>
                <w:sz w:val="22"/>
                <w:szCs w:val="22"/>
                <w:lang w:val="sr-Latn-ME"/>
              </w:rPr>
              <w:t>Poremećaji reproduktivnog sistema i dojki</w:t>
            </w:r>
          </w:p>
        </w:tc>
        <w:tc>
          <w:tcPr>
            <w:tcW w:w="1069" w:type="pct"/>
            <w:tcBorders>
              <w:top w:val="single" w:sz="4" w:space="0" w:color="auto"/>
              <w:left w:val="single" w:sz="4" w:space="0" w:color="auto"/>
              <w:bottom w:val="single" w:sz="4" w:space="0" w:color="auto"/>
              <w:right w:val="single" w:sz="4" w:space="0" w:color="auto"/>
            </w:tcBorders>
            <w:hideMark/>
          </w:tcPr>
          <w:p w14:paraId="7548FA5B" w14:textId="6B373F1D" w:rsidR="0040666A" w:rsidRPr="00CC0378" w:rsidRDefault="0040666A" w:rsidP="00CC0378">
            <w:pPr>
              <w:jc w:val="both"/>
              <w:rPr>
                <w:sz w:val="22"/>
                <w:szCs w:val="22"/>
                <w:lang w:val="sr-Latn-ME"/>
              </w:rPr>
            </w:pPr>
            <w:r w:rsidRPr="00CC0378">
              <w:rPr>
                <w:sz w:val="22"/>
                <w:szCs w:val="22"/>
                <w:lang w:val="sr-Latn-ME"/>
              </w:rPr>
              <w:t>Veoma rijetko</w:t>
            </w:r>
          </w:p>
        </w:tc>
        <w:tc>
          <w:tcPr>
            <w:tcW w:w="2265" w:type="pct"/>
            <w:tcBorders>
              <w:top w:val="single" w:sz="4" w:space="0" w:color="auto"/>
              <w:left w:val="single" w:sz="4" w:space="0" w:color="auto"/>
              <w:bottom w:val="single" w:sz="4" w:space="0" w:color="auto"/>
              <w:right w:val="single" w:sz="4" w:space="0" w:color="auto"/>
            </w:tcBorders>
            <w:hideMark/>
          </w:tcPr>
          <w:p w14:paraId="0BB95D23" w14:textId="77777777" w:rsidR="0040666A" w:rsidRPr="00CC0378" w:rsidRDefault="0040666A" w:rsidP="00CC0378">
            <w:pPr>
              <w:jc w:val="both"/>
              <w:rPr>
                <w:sz w:val="22"/>
                <w:szCs w:val="22"/>
                <w:lang w:val="sr-Latn-ME"/>
              </w:rPr>
            </w:pPr>
            <w:r w:rsidRPr="00CC0378">
              <w:rPr>
                <w:sz w:val="22"/>
                <w:szCs w:val="22"/>
                <w:lang w:val="sr-Latn-ME"/>
              </w:rPr>
              <w:t>Ginekomastija</w:t>
            </w:r>
          </w:p>
        </w:tc>
      </w:tr>
      <w:tr w:rsidR="0040666A" w:rsidRPr="00CC0378" w14:paraId="48517CF6" w14:textId="77777777" w:rsidTr="009462F3">
        <w:trPr>
          <w:trHeight w:val="616"/>
        </w:trPr>
        <w:tc>
          <w:tcPr>
            <w:tcW w:w="1666" w:type="pct"/>
            <w:tcBorders>
              <w:top w:val="single" w:sz="4" w:space="0" w:color="auto"/>
              <w:left w:val="single" w:sz="4" w:space="0" w:color="auto"/>
              <w:bottom w:val="single" w:sz="4" w:space="0" w:color="auto"/>
              <w:right w:val="single" w:sz="4" w:space="0" w:color="auto"/>
            </w:tcBorders>
            <w:hideMark/>
          </w:tcPr>
          <w:p w14:paraId="0D72C48F" w14:textId="0E1093CC" w:rsidR="0040666A" w:rsidRPr="00CC0378" w:rsidRDefault="0040666A" w:rsidP="00CC0378">
            <w:pPr>
              <w:jc w:val="both"/>
              <w:rPr>
                <w:sz w:val="22"/>
                <w:szCs w:val="22"/>
                <w:lang w:val="sr-Latn-ME"/>
              </w:rPr>
            </w:pPr>
            <w:r w:rsidRPr="00CC0378">
              <w:rPr>
                <w:bCs/>
                <w:sz w:val="22"/>
                <w:szCs w:val="22"/>
                <w:lang w:val="sr-Latn-ME"/>
              </w:rPr>
              <w:t>Opšti poremećaji i reakcije na m</w:t>
            </w:r>
            <w:r w:rsidR="007974E9" w:rsidRPr="00CC0378">
              <w:rPr>
                <w:bCs/>
                <w:sz w:val="22"/>
                <w:szCs w:val="22"/>
                <w:lang w:val="sr-Latn-ME"/>
              </w:rPr>
              <w:t>j</w:t>
            </w:r>
            <w:r w:rsidRPr="00CC0378">
              <w:rPr>
                <w:bCs/>
                <w:sz w:val="22"/>
                <w:szCs w:val="22"/>
                <w:lang w:val="sr-Latn-ME"/>
              </w:rPr>
              <w:t>estu primjene</w:t>
            </w:r>
          </w:p>
        </w:tc>
        <w:tc>
          <w:tcPr>
            <w:tcW w:w="1069" w:type="pct"/>
            <w:tcBorders>
              <w:top w:val="single" w:sz="4" w:space="0" w:color="auto"/>
              <w:left w:val="single" w:sz="4" w:space="0" w:color="auto"/>
              <w:bottom w:val="single" w:sz="4" w:space="0" w:color="auto"/>
              <w:right w:val="single" w:sz="4" w:space="0" w:color="auto"/>
            </w:tcBorders>
            <w:hideMark/>
          </w:tcPr>
          <w:p w14:paraId="06EB6683" w14:textId="72B05750" w:rsidR="0040666A" w:rsidRPr="00CC0378" w:rsidRDefault="00AB2C68" w:rsidP="00CC0378">
            <w:pPr>
              <w:jc w:val="both"/>
              <w:rPr>
                <w:sz w:val="22"/>
                <w:szCs w:val="22"/>
                <w:lang w:val="sr-Latn-ME"/>
              </w:rPr>
            </w:pPr>
            <w:r w:rsidRPr="00CC0378">
              <w:rPr>
                <w:sz w:val="22"/>
                <w:szCs w:val="22"/>
                <w:lang w:val="sr-Latn-ME"/>
              </w:rPr>
              <w:t>Rijetko</w:t>
            </w:r>
          </w:p>
        </w:tc>
        <w:tc>
          <w:tcPr>
            <w:tcW w:w="2265" w:type="pct"/>
            <w:tcBorders>
              <w:top w:val="single" w:sz="4" w:space="0" w:color="auto"/>
              <w:left w:val="single" w:sz="4" w:space="0" w:color="auto"/>
              <w:bottom w:val="single" w:sz="4" w:space="0" w:color="auto"/>
              <w:right w:val="single" w:sz="4" w:space="0" w:color="auto"/>
            </w:tcBorders>
          </w:tcPr>
          <w:p w14:paraId="0FC86AC9" w14:textId="77777777" w:rsidR="0040666A" w:rsidRPr="00CC0378" w:rsidRDefault="0040666A" w:rsidP="00CC0378">
            <w:pPr>
              <w:jc w:val="both"/>
              <w:rPr>
                <w:sz w:val="22"/>
                <w:szCs w:val="22"/>
                <w:lang w:val="sr-Latn-ME"/>
              </w:rPr>
            </w:pPr>
            <w:r w:rsidRPr="00CC0378">
              <w:rPr>
                <w:sz w:val="22"/>
                <w:szCs w:val="22"/>
                <w:lang w:val="sr-Latn-ME"/>
              </w:rPr>
              <w:t>Slabost, pojačano znojenje</w:t>
            </w:r>
          </w:p>
          <w:p w14:paraId="16B56788" w14:textId="77777777" w:rsidR="0040666A" w:rsidRPr="00CC0378" w:rsidRDefault="0040666A" w:rsidP="00CC0378">
            <w:pPr>
              <w:jc w:val="both"/>
              <w:rPr>
                <w:sz w:val="22"/>
                <w:szCs w:val="22"/>
                <w:lang w:val="sr-Latn-ME"/>
              </w:rPr>
            </w:pPr>
          </w:p>
        </w:tc>
      </w:tr>
    </w:tbl>
    <w:p w14:paraId="5C43C2DF" w14:textId="77777777" w:rsidR="0040666A" w:rsidRPr="00CC0378" w:rsidRDefault="0040666A" w:rsidP="00CC0378">
      <w:pPr>
        <w:tabs>
          <w:tab w:val="left" w:pos="540"/>
          <w:tab w:val="left" w:pos="569"/>
        </w:tabs>
        <w:jc w:val="both"/>
        <w:rPr>
          <w:b/>
          <w:bCs/>
          <w:sz w:val="22"/>
          <w:szCs w:val="22"/>
          <w:lang w:val="sr-Latn-ME"/>
        </w:rPr>
      </w:pPr>
    </w:p>
    <w:p w14:paraId="53F788C2" w14:textId="77777777" w:rsidR="005A23D2" w:rsidRPr="00CC0378" w:rsidRDefault="005A23D2" w:rsidP="00CC0378">
      <w:pPr>
        <w:spacing w:line="276" w:lineRule="auto"/>
        <w:jc w:val="both"/>
        <w:rPr>
          <w:rFonts w:eastAsia="Calibri"/>
          <w:sz w:val="22"/>
          <w:szCs w:val="22"/>
          <w:u w:val="single"/>
          <w:lang w:val="sr-Latn-ME"/>
        </w:rPr>
      </w:pPr>
      <w:r w:rsidRPr="00CC0378">
        <w:rPr>
          <w:rFonts w:eastAsia="Calibri"/>
          <w:sz w:val="22"/>
          <w:szCs w:val="22"/>
          <w:u w:val="single"/>
          <w:lang w:val="sr-Latn-ME"/>
        </w:rPr>
        <w:t>Prijavljivanje sumnji na neželjena dejstva</w:t>
      </w:r>
    </w:p>
    <w:p w14:paraId="5A4652D1" w14:textId="77777777" w:rsidR="005A23D2" w:rsidRPr="00CC0378" w:rsidRDefault="005A23D2" w:rsidP="00CC0378">
      <w:pPr>
        <w:jc w:val="both"/>
        <w:rPr>
          <w:rFonts w:eastAsia="Calibri"/>
          <w:sz w:val="22"/>
          <w:szCs w:val="22"/>
          <w:lang w:val="sr-Latn-ME"/>
        </w:rPr>
      </w:pPr>
      <w:r w:rsidRPr="00CC0378">
        <w:rPr>
          <w:rFonts w:eastAsia="Calibri"/>
          <w:sz w:val="22"/>
          <w:szCs w:val="22"/>
          <w:lang w:val="sr-Latn-ME"/>
        </w:rPr>
        <w:t>Prijavljivanje neželjenih dejstava nakon dobijanja dozvole je od velikog značaja jer obezbjeđuje kont</w:t>
      </w:r>
      <w:r w:rsidR="00EA5765" w:rsidRPr="00CC0378">
        <w:rPr>
          <w:rFonts w:eastAsia="Calibri"/>
          <w:sz w:val="22"/>
          <w:szCs w:val="22"/>
          <w:lang w:val="sr-Latn-ME"/>
        </w:rPr>
        <w:t>inuirano praćenje odnosa korist</w:t>
      </w:r>
      <w:r w:rsidRPr="00CC0378">
        <w:rPr>
          <w:rFonts w:eastAsia="Calibri"/>
          <w:sz w:val="22"/>
          <w:szCs w:val="22"/>
          <w:lang w:val="sr-Latn-ME"/>
        </w:rPr>
        <w:t>/rizik primjene lijeka. Zdravstveni radnici treba da prijave svaku sumnju na neželjeno</w:t>
      </w:r>
      <w:r w:rsidR="009B062A" w:rsidRPr="00CC0378">
        <w:rPr>
          <w:rFonts w:eastAsia="Calibri"/>
          <w:sz w:val="22"/>
          <w:szCs w:val="22"/>
          <w:lang w:val="sr-Latn-ME"/>
        </w:rPr>
        <w:t xml:space="preserve"> </w:t>
      </w:r>
      <w:r w:rsidRPr="00CC0378">
        <w:rPr>
          <w:rFonts w:eastAsia="Calibri"/>
          <w:sz w:val="22"/>
          <w:szCs w:val="22"/>
          <w:lang w:val="sr-Latn-ME"/>
        </w:rPr>
        <w:t xml:space="preserve">dejstvo ovog lijeka </w:t>
      </w:r>
      <w:r w:rsidR="004E70AD" w:rsidRPr="00CC0378">
        <w:rPr>
          <w:rFonts w:eastAsia="Calibri"/>
          <w:sz w:val="22"/>
          <w:szCs w:val="22"/>
          <w:lang w:val="sr-Latn-ME"/>
        </w:rPr>
        <w:t>Institutu</w:t>
      </w:r>
      <w:r w:rsidRPr="00CC0378">
        <w:rPr>
          <w:rFonts w:eastAsia="Calibri"/>
          <w:sz w:val="22"/>
          <w:szCs w:val="22"/>
          <w:lang w:val="sr-Latn-ME"/>
        </w:rPr>
        <w:t xml:space="preserve"> za ljekove i medicinska sredstva</w:t>
      </w:r>
      <w:r w:rsidR="004E70AD" w:rsidRPr="00CC0378">
        <w:rPr>
          <w:rFonts w:eastAsia="Calibri"/>
          <w:sz w:val="22"/>
          <w:szCs w:val="22"/>
          <w:lang w:val="sr-Latn-ME"/>
        </w:rPr>
        <w:t xml:space="preserve"> </w:t>
      </w:r>
      <w:r w:rsidRPr="00CC0378">
        <w:rPr>
          <w:rFonts w:eastAsia="Calibri"/>
          <w:sz w:val="22"/>
          <w:szCs w:val="22"/>
          <w:lang w:val="sr-Latn-ME"/>
        </w:rPr>
        <w:t>(</w:t>
      </w:r>
      <w:r w:rsidR="004E70AD" w:rsidRPr="00CC0378">
        <w:rPr>
          <w:rFonts w:eastAsia="Calibri"/>
          <w:sz w:val="22"/>
          <w:szCs w:val="22"/>
          <w:lang w:val="sr-Latn-ME"/>
        </w:rPr>
        <w:t>CInMED</w:t>
      </w:r>
      <w:r w:rsidRPr="00CC0378">
        <w:rPr>
          <w:rFonts w:eastAsia="Calibri"/>
          <w:sz w:val="22"/>
          <w:szCs w:val="22"/>
          <w:lang w:val="sr-Latn-ME"/>
        </w:rPr>
        <w:t>):</w:t>
      </w:r>
    </w:p>
    <w:p w14:paraId="56E3FBAF" w14:textId="77777777" w:rsidR="005A23D2" w:rsidRPr="00CC0378" w:rsidRDefault="004E70AD" w:rsidP="00CC0378">
      <w:pPr>
        <w:pStyle w:val="NoSpacing"/>
        <w:jc w:val="both"/>
        <w:rPr>
          <w:rFonts w:eastAsia="Calibri"/>
          <w:sz w:val="22"/>
          <w:szCs w:val="22"/>
          <w:lang w:val="sr-Latn-ME"/>
        </w:rPr>
      </w:pPr>
      <w:r w:rsidRPr="00CC0378">
        <w:rPr>
          <w:rFonts w:eastAsia="Calibri"/>
          <w:sz w:val="22"/>
          <w:szCs w:val="22"/>
          <w:lang w:val="sr-Latn-ME"/>
        </w:rPr>
        <w:t xml:space="preserve">Institut </w:t>
      </w:r>
      <w:r w:rsidR="005A23D2" w:rsidRPr="00CC0378">
        <w:rPr>
          <w:rFonts w:eastAsia="Calibri"/>
          <w:sz w:val="22"/>
          <w:szCs w:val="22"/>
          <w:lang w:val="sr-Latn-ME"/>
        </w:rPr>
        <w:t xml:space="preserve">za ljekove i medicinska sredstva </w:t>
      </w:r>
    </w:p>
    <w:p w14:paraId="033B47AA" w14:textId="77777777" w:rsidR="005A23D2" w:rsidRPr="00CC0378" w:rsidRDefault="005A23D2" w:rsidP="00CC0378">
      <w:pPr>
        <w:pStyle w:val="NoSpacing"/>
        <w:jc w:val="both"/>
        <w:rPr>
          <w:rFonts w:eastAsia="Calibri"/>
          <w:sz w:val="22"/>
          <w:szCs w:val="22"/>
          <w:lang w:val="sr-Latn-ME"/>
        </w:rPr>
      </w:pPr>
      <w:r w:rsidRPr="00CC0378">
        <w:rPr>
          <w:rFonts w:eastAsia="Calibri"/>
          <w:sz w:val="22"/>
          <w:szCs w:val="22"/>
          <w:lang w:val="sr-Latn-ME"/>
        </w:rPr>
        <w:t>Odjeljenje za farmakovigilancu</w:t>
      </w:r>
    </w:p>
    <w:p w14:paraId="65BAE872" w14:textId="1876ACAA" w:rsidR="00EA5765" w:rsidRPr="00CC0378" w:rsidRDefault="005A23D2" w:rsidP="00CC0378">
      <w:pPr>
        <w:pStyle w:val="NoSpacing"/>
        <w:jc w:val="both"/>
        <w:rPr>
          <w:rFonts w:eastAsia="Calibri"/>
          <w:sz w:val="22"/>
          <w:szCs w:val="22"/>
          <w:lang w:val="sr-Latn-ME"/>
        </w:rPr>
      </w:pPr>
      <w:r w:rsidRPr="00CC0378">
        <w:rPr>
          <w:rFonts w:eastAsia="Calibri"/>
          <w:sz w:val="22"/>
          <w:szCs w:val="22"/>
          <w:lang w:val="sr-Latn-ME"/>
        </w:rPr>
        <w:t>Bulevar Ivana Crnojevića 64a, 81000 Podgorica</w:t>
      </w:r>
    </w:p>
    <w:p w14:paraId="4E745CDE" w14:textId="77777777" w:rsidR="005A23D2" w:rsidRPr="00CC0378" w:rsidRDefault="005A23D2" w:rsidP="00CC0378">
      <w:pPr>
        <w:pStyle w:val="NoSpacing"/>
        <w:jc w:val="both"/>
        <w:rPr>
          <w:rFonts w:eastAsia="Calibri"/>
          <w:sz w:val="22"/>
          <w:szCs w:val="22"/>
          <w:lang w:val="sr-Latn-ME"/>
        </w:rPr>
      </w:pPr>
      <w:r w:rsidRPr="00CC0378">
        <w:rPr>
          <w:rFonts w:eastAsia="Calibri"/>
          <w:sz w:val="22"/>
          <w:szCs w:val="22"/>
          <w:lang w:val="sr-Latn-ME"/>
        </w:rPr>
        <w:t>tel: +382 (0) 20 310 280</w:t>
      </w:r>
    </w:p>
    <w:p w14:paraId="611B895D" w14:textId="77777777" w:rsidR="00EA5765" w:rsidRPr="00CC0378" w:rsidRDefault="005A23D2" w:rsidP="00CC0378">
      <w:pPr>
        <w:pStyle w:val="NoSpacing"/>
        <w:jc w:val="both"/>
        <w:rPr>
          <w:rFonts w:eastAsia="Calibri"/>
          <w:sz w:val="22"/>
          <w:szCs w:val="22"/>
          <w:lang w:val="sr-Latn-ME"/>
        </w:rPr>
      </w:pPr>
      <w:r w:rsidRPr="00CC0378">
        <w:rPr>
          <w:rFonts w:eastAsia="Calibri"/>
          <w:sz w:val="22"/>
          <w:szCs w:val="22"/>
          <w:lang w:val="sr-Latn-ME"/>
        </w:rPr>
        <w:t>fax:</w:t>
      </w:r>
      <w:r w:rsidR="00EA5765" w:rsidRPr="00CC0378">
        <w:rPr>
          <w:rFonts w:eastAsia="Calibri"/>
          <w:sz w:val="22"/>
          <w:szCs w:val="22"/>
          <w:lang w:val="sr-Latn-ME"/>
        </w:rPr>
        <w:t xml:space="preserve"> </w:t>
      </w:r>
      <w:r w:rsidRPr="00CC0378">
        <w:rPr>
          <w:rFonts w:eastAsia="Calibri"/>
          <w:sz w:val="22"/>
          <w:szCs w:val="22"/>
          <w:lang w:val="sr-Latn-ME"/>
        </w:rPr>
        <w:t>+382 (0) 20 310 581</w:t>
      </w:r>
    </w:p>
    <w:p w14:paraId="78719105" w14:textId="77777777" w:rsidR="005A23D2" w:rsidRPr="00CC0378" w:rsidRDefault="00632896" w:rsidP="00CC0378">
      <w:pPr>
        <w:pStyle w:val="NoSpacing"/>
        <w:jc w:val="both"/>
        <w:rPr>
          <w:rFonts w:eastAsia="Calibri"/>
          <w:sz w:val="22"/>
          <w:szCs w:val="22"/>
          <w:lang w:val="sr-Latn-ME"/>
        </w:rPr>
      </w:pPr>
      <w:hyperlink r:id="rId8" w:history="1">
        <w:r w:rsidR="004E70AD" w:rsidRPr="00CC0378">
          <w:rPr>
            <w:rStyle w:val="Hyperlink"/>
            <w:rFonts w:eastAsia="Calibri"/>
            <w:sz w:val="22"/>
            <w:szCs w:val="22"/>
            <w:lang w:val="sr-Latn-ME"/>
          </w:rPr>
          <w:t>www.cinmed.me</w:t>
        </w:r>
      </w:hyperlink>
    </w:p>
    <w:p w14:paraId="37D55DA9" w14:textId="77777777" w:rsidR="00EA5765" w:rsidRPr="00CC0378" w:rsidRDefault="00632896" w:rsidP="00CC0378">
      <w:pPr>
        <w:pStyle w:val="NoSpacing"/>
        <w:jc w:val="both"/>
        <w:rPr>
          <w:rFonts w:eastAsia="Calibri"/>
          <w:color w:val="0000FF"/>
          <w:sz w:val="22"/>
          <w:szCs w:val="22"/>
          <w:u w:val="single"/>
          <w:lang w:val="sr-Latn-ME"/>
        </w:rPr>
      </w:pPr>
      <w:hyperlink r:id="rId9" w:history="1">
        <w:r w:rsidR="004E70AD" w:rsidRPr="00CC0378">
          <w:rPr>
            <w:rStyle w:val="Hyperlink"/>
            <w:rFonts w:eastAsia="Calibri"/>
            <w:sz w:val="22"/>
            <w:szCs w:val="22"/>
            <w:lang w:val="sr-Latn-ME"/>
          </w:rPr>
          <w:t>nezeljenadejstva@cinmed.me</w:t>
        </w:r>
      </w:hyperlink>
    </w:p>
    <w:p w14:paraId="486CC303" w14:textId="1BCAA68A" w:rsidR="00032EA4" w:rsidRPr="00CC0378" w:rsidRDefault="005A23D2" w:rsidP="00CC0378">
      <w:pPr>
        <w:pStyle w:val="NoSpacing"/>
        <w:jc w:val="both"/>
        <w:rPr>
          <w:rFonts w:eastAsia="Calibri"/>
          <w:sz w:val="22"/>
          <w:szCs w:val="22"/>
          <w:lang w:val="sr-Latn-ME"/>
        </w:rPr>
      </w:pPr>
      <w:r w:rsidRPr="00CC0378">
        <w:rPr>
          <w:rFonts w:eastAsia="Calibri"/>
          <w:sz w:val="22"/>
          <w:szCs w:val="22"/>
          <w:lang w:val="sr-Latn-ME"/>
        </w:rPr>
        <w:t>putem IS zdravstvene zaštite</w:t>
      </w:r>
    </w:p>
    <w:p w14:paraId="60E5F107" w14:textId="77777777" w:rsidR="00032EA4" w:rsidRPr="00CC0378" w:rsidRDefault="00032EA4" w:rsidP="00CC0378">
      <w:pPr>
        <w:pStyle w:val="NoSpacing"/>
        <w:jc w:val="both"/>
        <w:rPr>
          <w:rFonts w:eastAsia="Calibri"/>
          <w:sz w:val="22"/>
          <w:szCs w:val="22"/>
          <w:lang w:val="sr-Latn-ME"/>
        </w:rPr>
      </w:pPr>
      <w:r w:rsidRPr="00CC0378">
        <w:rPr>
          <w:rFonts w:eastAsia="Calibri"/>
          <w:sz w:val="22"/>
          <w:szCs w:val="22"/>
          <w:lang w:val="sr-Latn-ME"/>
        </w:rPr>
        <w:t>QR kod za online prijavu sumnje na neželjeno dejstvo lijeka:</w:t>
      </w:r>
    </w:p>
    <w:p w14:paraId="705C7D32" w14:textId="77777777" w:rsidR="00032EA4" w:rsidRPr="00CC0378" w:rsidRDefault="00032EA4" w:rsidP="00CC0378">
      <w:pPr>
        <w:pStyle w:val="NoSpacing"/>
        <w:jc w:val="both"/>
        <w:rPr>
          <w:rFonts w:eastAsia="Calibri"/>
          <w:sz w:val="22"/>
          <w:szCs w:val="22"/>
          <w:lang w:val="sr-Latn-ME"/>
        </w:rPr>
      </w:pPr>
    </w:p>
    <w:p w14:paraId="273BD755" w14:textId="53BE8DAF" w:rsidR="00032EA4" w:rsidRPr="00CC0378" w:rsidRDefault="00D65C3D" w:rsidP="00CC0378">
      <w:pPr>
        <w:pStyle w:val="NoSpacing"/>
        <w:jc w:val="both"/>
        <w:rPr>
          <w:rFonts w:eastAsia="Calibri"/>
          <w:sz w:val="22"/>
          <w:szCs w:val="22"/>
          <w:lang w:val="sr-Latn-ME"/>
        </w:rPr>
      </w:pPr>
      <w:r w:rsidRPr="007F661E">
        <w:rPr>
          <w:b/>
          <w:bCs/>
          <w:noProof/>
          <w:sz w:val="22"/>
          <w:szCs w:val="22"/>
        </w:rPr>
        <w:lastRenderedPageBreak/>
        <w:drawing>
          <wp:inline distT="0" distB="0" distL="0" distR="0" wp14:anchorId="701F1033" wp14:editId="19D316F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F41CAF4" w14:textId="77777777" w:rsidR="00836B35" w:rsidRPr="00CC0378" w:rsidRDefault="00836B35" w:rsidP="00CC0378">
      <w:pPr>
        <w:tabs>
          <w:tab w:val="left" w:pos="540"/>
          <w:tab w:val="left" w:pos="569"/>
        </w:tabs>
        <w:jc w:val="both"/>
        <w:rPr>
          <w:b/>
          <w:bCs/>
          <w:sz w:val="22"/>
          <w:szCs w:val="22"/>
          <w:lang w:val="sr-Latn-ME"/>
        </w:rPr>
      </w:pPr>
    </w:p>
    <w:p w14:paraId="7A13DEE9" w14:textId="77777777" w:rsidR="00CD6F02"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4.9. </w:t>
      </w:r>
      <w:r w:rsidR="00480FB1" w:rsidRPr="00CC0378">
        <w:rPr>
          <w:b/>
          <w:bCs/>
          <w:sz w:val="22"/>
          <w:szCs w:val="22"/>
          <w:lang w:val="sr-Latn-ME"/>
        </w:rPr>
        <w:tab/>
      </w:r>
      <w:r w:rsidRPr="00CC0378">
        <w:rPr>
          <w:b/>
          <w:bCs/>
          <w:sz w:val="22"/>
          <w:szCs w:val="22"/>
          <w:lang w:val="sr-Latn-ME"/>
        </w:rPr>
        <w:t>Predoziranje</w:t>
      </w:r>
      <w:r w:rsidR="002846DB" w:rsidRPr="00CC0378">
        <w:rPr>
          <w:b/>
          <w:bCs/>
          <w:sz w:val="22"/>
          <w:szCs w:val="22"/>
          <w:lang w:val="sr-Latn-ME"/>
        </w:rPr>
        <w:t xml:space="preserve"> </w:t>
      </w:r>
    </w:p>
    <w:p w14:paraId="675B7C8A" w14:textId="77777777" w:rsidR="00CD6F02" w:rsidRPr="00CC0378" w:rsidRDefault="00CD6F02" w:rsidP="00CC0378">
      <w:pPr>
        <w:tabs>
          <w:tab w:val="left" w:pos="540"/>
          <w:tab w:val="left" w:pos="569"/>
        </w:tabs>
        <w:jc w:val="both"/>
        <w:rPr>
          <w:b/>
          <w:bCs/>
          <w:sz w:val="22"/>
          <w:szCs w:val="22"/>
          <w:lang w:val="sr-Latn-ME"/>
        </w:rPr>
      </w:pPr>
    </w:p>
    <w:p w14:paraId="4DC902CA" w14:textId="24AE3C63" w:rsidR="0040666A" w:rsidRPr="00CC0378" w:rsidRDefault="0040666A" w:rsidP="00CC0378">
      <w:pPr>
        <w:jc w:val="both"/>
        <w:rPr>
          <w:sz w:val="22"/>
          <w:szCs w:val="22"/>
          <w:lang w:val="sr-Latn-ME"/>
        </w:rPr>
      </w:pPr>
      <w:r w:rsidRPr="00CC0378">
        <w:rPr>
          <w:sz w:val="22"/>
          <w:szCs w:val="22"/>
          <w:lang w:val="sr-Latn-ME"/>
        </w:rPr>
        <w:fldChar w:fldCharType="begin"/>
      </w:r>
      <w:r w:rsidRPr="00CC0378">
        <w:rPr>
          <w:sz w:val="22"/>
          <w:szCs w:val="22"/>
          <w:lang w:val="sr-Latn-ME"/>
        </w:rPr>
        <w:instrText xml:space="preserve">  </w:instrText>
      </w:r>
      <w:r w:rsidRPr="00CC0378">
        <w:rPr>
          <w:sz w:val="22"/>
          <w:szCs w:val="22"/>
          <w:lang w:val="sr-Latn-ME"/>
        </w:rPr>
        <w:fldChar w:fldCharType="end"/>
      </w:r>
      <w:r w:rsidRPr="00CC0378">
        <w:rPr>
          <w:sz w:val="22"/>
          <w:szCs w:val="22"/>
          <w:lang w:val="sr-Latn-ME"/>
        </w:rPr>
        <w:fldChar w:fldCharType="begin"/>
      </w:r>
      <w:r w:rsidRPr="00CC0378">
        <w:rPr>
          <w:sz w:val="22"/>
          <w:szCs w:val="22"/>
          <w:lang w:val="sr-Latn-ME"/>
        </w:rPr>
        <w:instrText xml:space="preserve">  </w:instrText>
      </w:r>
      <w:r w:rsidRPr="00CC0378">
        <w:rPr>
          <w:sz w:val="22"/>
          <w:szCs w:val="22"/>
          <w:lang w:val="sr-Latn-ME"/>
        </w:rPr>
        <w:fldChar w:fldCharType="end"/>
      </w:r>
      <w:r w:rsidRPr="00CC0378">
        <w:rPr>
          <w:sz w:val="22"/>
          <w:szCs w:val="22"/>
          <w:lang w:val="sr-Latn-ME"/>
        </w:rPr>
        <w:t>Za sada ima vrlo malo podataka sa namjernim predoziranjem. Simptomi opisani u vezi sa 280 mg bili su gastrointestinalni simptomi i slabost. Pojedinačna doza od 80 mg esomeprazola nije pravila probleme. Nije poznat nikakav specifični antidot. Esomeprazol se ekstenzivno vezuje za proteine plazme i stoga se ne može lako dijalizirati. Kao što je slučaj sa svakim predoziranjem, treba dati simptomatsku terapiju i primjeniti opšte potporne mjere.</w:t>
      </w:r>
    </w:p>
    <w:p w14:paraId="3BC5A98D" w14:textId="3886C000" w:rsidR="00227BDB" w:rsidRPr="00CC0378" w:rsidRDefault="00227BDB" w:rsidP="00CC0378">
      <w:pPr>
        <w:tabs>
          <w:tab w:val="left" w:pos="540"/>
          <w:tab w:val="left" w:pos="569"/>
        </w:tabs>
        <w:jc w:val="both"/>
        <w:rPr>
          <w:b/>
          <w:bCs/>
          <w:sz w:val="22"/>
          <w:szCs w:val="22"/>
          <w:lang w:val="sr-Latn-ME"/>
        </w:rPr>
      </w:pPr>
    </w:p>
    <w:p w14:paraId="2480A515" w14:textId="77777777" w:rsidR="00441998" w:rsidRPr="00CC0378" w:rsidRDefault="00441998" w:rsidP="00CC0378">
      <w:pPr>
        <w:tabs>
          <w:tab w:val="left" w:pos="540"/>
          <w:tab w:val="left" w:pos="569"/>
        </w:tabs>
        <w:jc w:val="both"/>
        <w:rPr>
          <w:b/>
          <w:bCs/>
          <w:sz w:val="22"/>
          <w:szCs w:val="22"/>
          <w:lang w:val="sr-Latn-ME"/>
        </w:rPr>
      </w:pPr>
    </w:p>
    <w:p w14:paraId="290663E2" w14:textId="77777777" w:rsidR="0072020E"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5. </w:t>
      </w:r>
      <w:r w:rsidR="00480FB1" w:rsidRPr="00CC0378">
        <w:rPr>
          <w:b/>
          <w:bCs/>
          <w:sz w:val="22"/>
          <w:szCs w:val="22"/>
          <w:lang w:val="sr-Latn-ME"/>
        </w:rPr>
        <w:tab/>
      </w:r>
      <w:r w:rsidRPr="00CC0378">
        <w:rPr>
          <w:b/>
          <w:bCs/>
          <w:sz w:val="22"/>
          <w:szCs w:val="22"/>
          <w:lang w:val="sr-Latn-ME"/>
        </w:rPr>
        <w:t>FARMAKOLOŠK</w:t>
      </w:r>
      <w:r w:rsidR="000D425A" w:rsidRPr="00CC0378">
        <w:rPr>
          <w:b/>
          <w:bCs/>
          <w:sz w:val="22"/>
          <w:szCs w:val="22"/>
          <w:lang w:val="sr-Latn-ME"/>
        </w:rPr>
        <w:t>I</w:t>
      </w:r>
      <w:r w:rsidRPr="00CC0378">
        <w:rPr>
          <w:b/>
          <w:bCs/>
          <w:sz w:val="22"/>
          <w:szCs w:val="22"/>
          <w:lang w:val="sr-Latn-ME"/>
        </w:rPr>
        <w:t xml:space="preserve"> PODACI</w:t>
      </w:r>
    </w:p>
    <w:p w14:paraId="7532B0E3" w14:textId="77777777" w:rsidR="0072020E" w:rsidRPr="00CC0378" w:rsidRDefault="0072020E" w:rsidP="00CC0378">
      <w:pPr>
        <w:tabs>
          <w:tab w:val="left" w:pos="540"/>
          <w:tab w:val="left" w:pos="569"/>
        </w:tabs>
        <w:jc w:val="both"/>
        <w:rPr>
          <w:b/>
          <w:bCs/>
          <w:sz w:val="22"/>
          <w:szCs w:val="22"/>
          <w:lang w:val="sr-Latn-ME"/>
        </w:rPr>
      </w:pPr>
    </w:p>
    <w:p w14:paraId="34B8E1DC" w14:textId="77777777" w:rsidR="0072020E"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5.1. </w:t>
      </w:r>
      <w:r w:rsidR="00480FB1" w:rsidRPr="00CC0378">
        <w:rPr>
          <w:b/>
          <w:bCs/>
          <w:sz w:val="22"/>
          <w:szCs w:val="22"/>
          <w:lang w:val="sr-Latn-ME"/>
        </w:rPr>
        <w:tab/>
      </w:r>
      <w:r w:rsidRPr="00CC0378">
        <w:rPr>
          <w:b/>
          <w:bCs/>
          <w:sz w:val="22"/>
          <w:szCs w:val="22"/>
          <w:lang w:val="sr-Latn-ME"/>
        </w:rPr>
        <w:t>Farmakodinamski podaci</w:t>
      </w:r>
      <w:r w:rsidR="003A7059" w:rsidRPr="00CC0378">
        <w:rPr>
          <w:b/>
          <w:bCs/>
          <w:sz w:val="22"/>
          <w:szCs w:val="22"/>
          <w:lang w:val="sr-Latn-ME"/>
        </w:rPr>
        <w:t xml:space="preserve"> </w:t>
      </w:r>
    </w:p>
    <w:p w14:paraId="33BD9641" w14:textId="77777777" w:rsidR="00F45F77" w:rsidRPr="00CC0378" w:rsidRDefault="00F45F77" w:rsidP="00CC0378">
      <w:pPr>
        <w:tabs>
          <w:tab w:val="left" w:pos="540"/>
          <w:tab w:val="left" w:pos="569"/>
        </w:tabs>
        <w:jc w:val="both"/>
        <w:rPr>
          <w:b/>
          <w:bCs/>
          <w:sz w:val="22"/>
          <w:szCs w:val="22"/>
          <w:lang w:val="sr-Latn-ME"/>
        </w:rPr>
      </w:pPr>
    </w:p>
    <w:p w14:paraId="0B3A1395" w14:textId="4B4F731D" w:rsidR="0072020E" w:rsidRPr="00CC0378" w:rsidRDefault="0072020E" w:rsidP="00CC0378">
      <w:pPr>
        <w:jc w:val="both"/>
        <w:rPr>
          <w:bCs/>
          <w:sz w:val="22"/>
          <w:szCs w:val="22"/>
          <w:lang w:val="sr-Latn-ME"/>
        </w:rPr>
      </w:pPr>
      <w:r w:rsidRPr="00CC0378">
        <w:rPr>
          <w:bCs/>
          <w:sz w:val="22"/>
          <w:szCs w:val="22"/>
          <w:lang w:val="sr-Latn-ME"/>
        </w:rPr>
        <w:t>Farmakoterapijska grupa:</w:t>
      </w:r>
      <w:r w:rsidR="0040666A" w:rsidRPr="00CC0378">
        <w:rPr>
          <w:bCs/>
          <w:sz w:val="22"/>
          <w:szCs w:val="22"/>
          <w:lang w:val="sr-Latn-ME"/>
        </w:rPr>
        <w:t xml:space="preserve"> Ljekovi za poremećaje aciditeta,</w:t>
      </w:r>
      <w:r w:rsidR="0040666A" w:rsidRPr="00CC0378">
        <w:rPr>
          <w:sz w:val="22"/>
          <w:szCs w:val="22"/>
          <w:lang w:val="sr-Latn-ME"/>
        </w:rPr>
        <w:t xml:space="preserve"> inhibitori protonske pumpe </w:t>
      </w:r>
    </w:p>
    <w:p w14:paraId="4E0DF80C" w14:textId="77777777" w:rsidR="0072020E" w:rsidRPr="00CC0378" w:rsidRDefault="0072020E" w:rsidP="00CC0378">
      <w:pPr>
        <w:tabs>
          <w:tab w:val="left" w:pos="540"/>
          <w:tab w:val="left" w:pos="569"/>
        </w:tabs>
        <w:jc w:val="both"/>
        <w:rPr>
          <w:bCs/>
          <w:sz w:val="22"/>
          <w:szCs w:val="22"/>
          <w:lang w:val="sr-Latn-ME"/>
        </w:rPr>
      </w:pPr>
    </w:p>
    <w:p w14:paraId="08F1B1B0" w14:textId="336E3AD8" w:rsidR="0072020E" w:rsidRPr="00CC0378" w:rsidRDefault="0072020E" w:rsidP="00CC0378">
      <w:pPr>
        <w:tabs>
          <w:tab w:val="left" w:pos="540"/>
          <w:tab w:val="left" w:pos="569"/>
        </w:tabs>
        <w:jc w:val="both"/>
        <w:rPr>
          <w:sz w:val="22"/>
          <w:szCs w:val="22"/>
          <w:lang w:val="sr-Latn-ME"/>
        </w:rPr>
      </w:pPr>
      <w:r w:rsidRPr="00CC0378">
        <w:rPr>
          <w:bCs/>
          <w:sz w:val="22"/>
          <w:szCs w:val="22"/>
          <w:lang w:val="sr-Latn-ME"/>
        </w:rPr>
        <w:t>ATC kod:</w:t>
      </w:r>
      <w:r w:rsidR="0040666A" w:rsidRPr="00CC0378">
        <w:rPr>
          <w:sz w:val="22"/>
          <w:szCs w:val="22"/>
          <w:lang w:val="sr-Latn-ME"/>
        </w:rPr>
        <w:t xml:space="preserve"> A02BC05</w:t>
      </w:r>
    </w:p>
    <w:p w14:paraId="26D44BCF" w14:textId="396D07C9" w:rsidR="0040666A" w:rsidRPr="00CC0378" w:rsidRDefault="0040666A" w:rsidP="00CC0378">
      <w:pPr>
        <w:tabs>
          <w:tab w:val="left" w:pos="540"/>
          <w:tab w:val="left" w:pos="569"/>
        </w:tabs>
        <w:jc w:val="both"/>
        <w:rPr>
          <w:sz w:val="22"/>
          <w:szCs w:val="22"/>
          <w:lang w:val="sr-Latn-ME"/>
        </w:rPr>
      </w:pPr>
    </w:p>
    <w:p w14:paraId="30EB777D" w14:textId="41FFEE83" w:rsidR="0040666A" w:rsidRPr="00CC0378" w:rsidRDefault="0040666A" w:rsidP="00CC0378">
      <w:pPr>
        <w:jc w:val="both"/>
        <w:rPr>
          <w:sz w:val="22"/>
          <w:szCs w:val="22"/>
          <w:lang w:val="sr-Latn-ME"/>
        </w:rPr>
      </w:pPr>
      <w:r w:rsidRPr="00CC0378">
        <w:rPr>
          <w:sz w:val="22"/>
          <w:szCs w:val="22"/>
          <w:lang w:val="sr-Latn-ME"/>
        </w:rPr>
        <w:fldChar w:fldCharType="begin"/>
      </w:r>
      <w:r w:rsidRPr="00CC0378">
        <w:rPr>
          <w:sz w:val="22"/>
          <w:szCs w:val="22"/>
          <w:lang w:val="sr-Latn-ME"/>
        </w:rPr>
        <w:instrText xml:space="preserve">  </w:instrText>
      </w:r>
      <w:r w:rsidRPr="00CC0378">
        <w:rPr>
          <w:sz w:val="22"/>
          <w:szCs w:val="22"/>
          <w:lang w:val="sr-Latn-ME"/>
        </w:rPr>
        <w:fldChar w:fldCharType="end"/>
      </w:r>
      <w:r w:rsidRPr="00CC0378">
        <w:rPr>
          <w:sz w:val="22"/>
          <w:szCs w:val="22"/>
          <w:lang w:val="sr-Latn-ME"/>
        </w:rPr>
        <w:t xml:space="preserve">Esomeprazol je S-izomer omeprazola koji smanjuje sekreciju želudačne </w:t>
      </w:r>
      <w:r w:rsidR="00AB2C68" w:rsidRPr="00CC0378">
        <w:rPr>
          <w:sz w:val="22"/>
          <w:szCs w:val="22"/>
          <w:lang w:val="sr-Latn-ME"/>
        </w:rPr>
        <w:t>kiselin</w:t>
      </w:r>
      <w:r w:rsidRPr="00CC0378">
        <w:rPr>
          <w:sz w:val="22"/>
          <w:szCs w:val="22"/>
          <w:lang w:val="sr-Latn-ME"/>
        </w:rPr>
        <w:t>e specifičnim ciljanim mehanizmom dejstva. On je specifičan inhibitor protonske pumpe u parijetalnim ćelijama. I  R- i S-izomer omeprazola imaju sličnu farmakodinamsku aktivnost.</w:t>
      </w:r>
    </w:p>
    <w:p w14:paraId="5453C4A2" w14:textId="77777777" w:rsidR="0040666A" w:rsidRPr="00CC0378" w:rsidRDefault="0040666A" w:rsidP="00CC0378">
      <w:pPr>
        <w:jc w:val="both"/>
        <w:rPr>
          <w:b/>
          <w:sz w:val="22"/>
          <w:szCs w:val="22"/>
          <w:lang w:val="sr-Latn-ME"/>
        </w:rPr>
      </w:pPr>
    </w:p>
    <w:p w14:paraId="2CAB6CF8" w14:textId="3E7188DB" w:rsidR="0040666A" w:rsidRPr="00CC0378" w:rsidRDefault="0040666A" w:rsidP="00CC0378">
      <w:pPr>
        <w:jc w:val="both"/>
        <w:rPr>
          <w:b/>
          <w:sz w:val="22"/>
          <w:szCs w:val="22"/>
          <w:lang w:val="sr-Latn-ME"/>
        </w:rPr>
      </w:pPr>
      <w:r w:rsidRPr="00CC0378">
        <w:rPr>
          <w:b/>
          <w:sz w:val="22"/>
          <w:szCs w:val="22"/>
          <w:lang w:val="sr-Latn-ME"/>
        </w:rPr>
        <w:t>Mehanizam d</w:t>
      </w:r>
      <w:r w:rsidR="002B5CD3" w:rsidRPr="00CC0378">
        <w:rPr>
          <w:b/>
          <w:sz w:val="22"/>
          <w:szCs w:val="22"/>
          <w:lang w:val="sr-Latn-ME"/>
        </w:rPr>
        <w:t>j</w:t>
      </w:r>
      <w:r w:rsidRPr="00CC0378">
        <w:rPr>
          <w:b/>
          <w:sz w:val="22"/>
          <w:szCs w:val="22"/>
          <w:lang w:val="sr-Latn-ME"/>
        </w:rPr>
        <w:t>elovanja</w:t>
      </w:r>
    </w:p>
    <w:p w14:paraId="47803212" w14:textId="1BA93F1B" w:rsidR="0040666A" w:rsidRPr="00CC0378" w:rsidRDefault="0040666A" w:rsidP="00CC0378">
      <w:pPr>
        <w:jc w:val="both"/>
        <w:rPr>
          <w:sz w:val="22"/>
          <w:szCs w:val="22"/>
          <w:lang w:val="sr-Latn-ME"/>
        </w:rPr>
      </w:pPr>
      <w:r w:rsidRPr="00CC0378">
        <w:rPr>
          <w:sz w:val="22"/>
          <w:szCs w:val="22"/>
          <w:lang w:val="sr-Latn-ME"/>
        </w:rPr>
        <w:t>Esomeprazol je slaba baza, koncentriše se i konvertuje u aktivnu formu u visoko kiseloj sredini sekretornih kanalikula parijetalnih ćelija, gd</w:t>
      </w:r>
      <w:r w:rsidR="002B5CD3" w:rsidRPr="00CC0378">
        <w:rPr>
          <w:sz w:val="22"/>
          <w:szCs w:val="22"/>
          <w:lang w:val="sr-Latn-ME"/>
        </w:rPr>
        <w:t>j</w:t>
      </w:r>
      <w:r w:rsidRPr="00CC0378">
        <w:rPr>
          <w:sz w:val="22"/>
          <w:szCs w:val="22"/>
          <w:lang w:val="sr-Latn-ME"/>
        </w:rPr>
        <w:t>e inhibira enzim H</w:t>
      </w:r>
      <w:r w:rsidRPr="00CC0378">
        <w:rPr>
          <w:sz w:val="22"/>
          <w:szCs w:val="22"/>
          <w:vertAlign w:val="superscript"/>
          <w:lang w:val="sr-Latn-ME"/>
        </w:rPr>
        <w:t>+</w:t>
      </w:r>
      <w:r w:rsidRPr="00CC0378">
        <w:rPr>
          <w:sz w:val="22"/>
          <w:szCs w:val="22"/>
          <w:lang w:val="sr-Latn-ME"/>
        </w:rPr>
        <w:t>K</w:t>
      </w:r>
      <w:r w:rsidRPr="00CC0378">
        <w:rPr>
          <w:sz w:val="22"/>
          <w:szCs w:val="22"/>
          <w:vertAlign w:val="superscript"/>
          <w:lang w:val="sr-Latn-ME"/>
        </w:rPr>
        <w:t>+</w:t>
      </w:r>
      <w:r w:rsidRPr="00CC0378">
        <w:rPr>
          <w:sz w:val="22"/>
          <w:szCs w:val="22"/>
          <w:lang w:val="sr-Latn-ME"/>
        </w:rPr>
        <w:t>-ATPazu –protonsku pumpu i na taj način inhibira i bazalnu i stimulisanu sekreciju želudačne kiseline.</w:t>
      </w:r>
    </w:p>
    <w:p w14:paraId="1C0DBD6D" w14:textId="77777777" w:rsidR="0040666A" w:rsidRPr="00CC0378" w:rsidRDefault="0040666A" w:rsidP="00CC0378">
      <w:pPr>
        <w:jc w:val="both"/>
        <w:rPr>
          <w:sz w:val="22"/>
          <w:szCs w:val="22"/>
          <w:lang w:val="sr-Latn-ME"/>
        </w:rPr>
      </w:pPr>
    </w:p>
    <w:p w14:paraId="71783DC1" w14:textId="77777777" w:rsidR="0040666A" w:rsidRPr="00CC0378" w:rsidRDefault="0040666A" w:rsidP="00CC0378">
      <w:pPr>
        <w:jc w:val="both"/>
        <w:rPr>
          <w:sz w:val="22"/>
          <w:szCs w:val="22"/>
          <w:u w:val="single"/>
          <w:lang w:val="sr-Latn-ME"/>
        </w:rPr>
      </w:pPr>
      <w:r w:rsidRPr="00CC0378">
        <w:rPr>
          <w:sz w:val="22"/>
          <w:szCs w:val="22"/>
          <w:u w:val="single"/>
          <w:lang w:val="sr-Latn-ME"/>
        </w:rPr>
        <w:t>Farmakodinamski efekti</w:t>
      </w:r>
    </w:p>
    <w:p w14:paraId="2CE6068E" w14:textId="4863B920" w:rsidR="0040666A" w:rsidRPr="00CC0378" w:rsidRDefault="0040666A" w:rsidP="00CC0378">
      <w:pPr>
        <w:jc w:val="both"/>
        <w:rPr>
          <w:sz w:val="22"/>
          <w:szCs w:val="22"/>
          <w:lang w:val="sr-Latn-ME"/>
        </w:rPr>
      </w:pPr>
      <w:r w:rsidRPr="00CC0378">
        <w:rPr>
          <w:sz w:val="22"/>
          <w:szCs w:val="22"/>
          <w:lang w:val="sr-Latn-ME"/>
        </w:rPr>
        <w:t>Posl</w:t>
      </w:r>
      <w:r w:rsidR="002B5CD3" w:rsidRPr="00CC0378">
        <w:rPr>
          <w:sz w:val="22"/>
          <w:szCs w:val="22"/>
          <w:lang w:val="sr-Latn-ME"/>
        </w:rPr>
        <w:t>ij</w:t>
      </w:r>
      <w:r w:rsidRPr="00CC0378">
        <w:rPr>
          <w:sz w:val="22"/>
          <w:szCs w:val="22"/>
          <w:lang w:val="sr-Latn-ME"/>
        </w:rPr>
        <w:t>e uzimanja oralne doze esomeprazola od 20 mg i 40 mg d</w:t>
      </w:r>
      <w:r w:rsidR="002B5CD3" w:rsidRPr="00CC0378">
        <w:rPr>
          <w:sz w:val="22"/>
          <w:szCs w:val="22"/>
          <w:lang w:val="sr-Latn-ME"/>
        </w:rPr>
        <w:t>j</w:t>
      </w:r>
      <w:r w:rsidRPr="00CC0378">
        <w:rPr>
          <w:sz w:val="22"/>
          <w:szCs w:val="22"/>
          <w:lang w:val="sr-Latn-ME"/>
        </w:rPr>
        <w:t>elovanje započinje u roku od jednog sata. Posl</w:t>
      </w:r>
      <w:r w:rsidR="002B5CD3" w:rsidRPr="00CC0378">
        <w:rPr>
          <w:sz w:val="22"/>
          <w:szCs w:val="22"/>
          <w:lang w:val="sr-Latn-ME"/>
        </w:rPr>
        <w:t>ij</w:t>
      </w:r>
      <w:r w:rsidRPr="00CC0378">
        <w:rPr>
          <w:sz w:val="22"/>
          <w:szCs w:val="22"/>
          <w:lang w:val="sr-Latn-ME"/>
        </w:rPr>
        <w:t xml:space="preserve">e ponovljene primjene 20 mg esomeprazola jednom dnevno tokom pet dana, prosječna maksimalna sekrecija </w:t>
      </w:r>
      <w:r w:rsidR="00AB2C68" w:rsidRPr="00CC0378">
        <w:rPr>
          <w:sz w:val="22"/>
          <w:szCs w:val="22"/>
          <w:lang w:val="sr-Latn-ME"/>
        </w:rPr>
        <w:t>kiselin</w:t>
      </w:r>
      <w:r w:rsidRPr="00CC0378">
        <w:rPr>
          <w:sz w:val="22"/>
          <w:szCs w:val="22"/>
          <w:lang w:val="sr-Latn-ME"/>
        </w:rPr>
        <w:t>e stimulisana pentagastrinom smanjuje se za 90%, izm</w:t>
      </w:r>
      <w:r w:rsidR="002B5CD3" w:rsidRPr="00CC0378">
        <w:rPr>
          <w:sz w:val="22"/>
          <w:szCs w:val="22"/>
          <w:lang w:val="sr-Latn-ME"/>
        </w:rPr>
        <w:t>j</w:t>
      </w:r>
      <w:r w:rsidRPr="00CC0378">
        <w:rPr>
          <w:sz w:val="22"/>
          <w:szCs w:val="22"/>
          <w:lang w:val="sr-Latn-ME"/>
        </w:rPr>
        <w:t>ereno petog dana, 6-7 časova posl</w:t>
      </w:r>
      <w:r w:rsidR="002B5CD3" w:rsidRPr="00CC0378">
        <w:rPr>
          <w:sz w:val="22"/>
          <w:szCs w:val="22"/>
          <w:lang w:val="sr-Latn-ME"/>
        </w:rPr>
        <w:t>ij</w:t>
      </w:r>
      <w:r w:rsidRPr="00CC0378">
        <w:rPr>
          <w:sz w:val="22"/>
          <w:szCs w:val="22"/>
          <w:lang w:val="sr-Latn-ME"/>
        </w:rPr>
        <w:t>e uzimanja l</w:t>
      </w:r>
      <w:r w:rsidR="002B5CD3" w:rsidRPr="00CC0378">
        <w:rPr>
          <w:sz w:val="22"/>
          <w:szCs w:val="22"/>
          <w:lang w:val="sr-Latn-ME"/>
        </w:rPr>
        <w:t>ij</w:t>
      </w:r>
      <w:r w:rsidRPr="00CC0378">
        <w:rPr>
          <w:sz w:val="22"/>
          <w:szCs w:val="22"/>
          <w:lang w:val="sr-Latn-ME"/>
        </w:rPr>
        <w:t>eka.</w:t>
      </w:r>
    </w:p>
    <w:p w14:paraId="0F964FBA" w14:textId="77777777" w:rsidR="0040666A" w:rsidRPr="00CC0378" w:rsidRDefault="0040666A" w:rsidP="00CC0378">
      <w:pPr>
        <w:jc w:val="both"/>
        <w:rPr>
          <w:sz w:val="22"/>
          <w:szCs w:val="22"/>
          <w:lang w:val="sr-Latn-ME"/>
        </w:rPr>
      </w:pPr>
    </w:p>
    <w:p w14:paraId="147D59C1" w14:textId="57954219" w:rsidR="0040666A" w:rsidRPr="00CC0378" w:rsidRDefault="0040666A" w:rsidP="00CC0378">
      <w:pPr>
        <w:jc w:val="both"/>
        <w:rPr>
          <w:sz w:val="22"/>
          <w:szCs w:val="22"/>
          <w:lang w:val="sr-Latn-ME"/>
        </w:rPr>
      </w:pPr>
      <w:r w:rsidRPr="00CC0378">
        <w:rPr>
          <w:sz w:val="22"/>
          <w:szCs w:val="22"/>
          <w:lang w:val="sr-Latn-ME"/>
        </w:rPr>
        <w:t>Posl</w:t>
      </w:r>
      <w:r w:rsidR="002B5CD3" w:rsidRPr="00CC0378">
        <w:rPr>
          <w:sz w:val="22"/>
          <w:szCs w:val="22"/>
          <w:lang w:val="sr-Latn-ME"/>
        </w:rPr>
        <w:t>ij</w:t>
      </w:r>
      <w:r w:rsidRPr="00CC0378">
        <w:rPr>
          <w:sz w:val="22"/>
          <w:szCs w:val="22"/>
          <w:lang w:val="sr-Latn-ME"/>
        </w:rPr>
        <w:t>e pet dana oralne  primjene 20 mg i 40 mg esomeprazola kod pacijenata sa simptomatskom GERB, intragastrični pH iznad 4 održavao se tokom 13</w:t>
      </w:r>
      <w:r w:rsidR="00965EB2">
        <w:rPr>
          <w:sz w:val="22"/>
          <w:szCs w:val="22"/>
          <w:lang w:val="sr-Latn-ME"/>
        </w:rPr>
        <w:t xml:space="preserve">, odnosno </w:t>
      </w:r>
      <w:r w:rsidRPr="00CC0378">
        <w:rPr>
          <w:sz w:val="22"/>
          <w:szCs w:val="22"/>
          <w:lang w:val="sr-Latn-ME"/>
        </w:rPr>
        <w:t>17 časova, tokom 24 časa praćenja. Procenat pacijenata kod kojih se intragastrični pH održao iznad 4 najmanje 8, 12 i 16 časova iznosio je za esomeprazol od 20 mg 76%, 54%</w:t>
      </w:r>
      <w:r w:rsidR="00965EB2">
        <w:rPr>
          <w:sz w:val="22"/>
          <w:szCs w:val="22"/>
          <w:lang w:val="sr-Latn-ME"/>
        </w:rPr>
        <w:t>, odnosno</w:t>
      </w:r>
      <w:r w:rsidRPr="00CC0378">
        <w:rPr>
          <w:sz w:val="22"/>
          <w:szCs w:val="22"/>
          <w:lang w:val="sr-Latn-ME"/>
        </w:rPr>
        <w:t xml:space="preserve"> 24%, a za esomeprazol od 40 mg 97%, 92%</w:t>
      </w:r>
      <w:r w:rsidR="00965EB2">
        <w:rPr>
          <w:sz w:val="22"/>
          <w:szCs w:val="22"/>
          <w:lang w:val="sr-Latn-ME"/>
        </w:rPr>
        <w:t xml:space="preserve">, odnosno </w:t>
      </w:r>
      <w:r w:rsidRPr="00CC0378">
        <w:rPr>
          <w:sz w:val="22"/>
          <w:szCs w:val="22"/>
          <w:lang w:val="sr-Latn-ME"/>
        </w:rPr>
        <w:t>56%.</w:t>
      </w:r>
    </w:p>
    <w:p w14:paraId="27E90A05" w14:textId="77777777" w:rsidR="0040666A" w:rsidRPr="00CC0378" w:rsidRDefault="0040666A" w:rsidP="00CC0378">
      <w:pPr>
        <w:jc w:val="both"/>
        <w:rPr>
          <w:sz w:val="22"/>
          <w:szCs w:val="22"/>
          <w:lang w:val="sr-Latn-ME"/>
        </w:rPr>
      </w:pPr>
    </w:p>
    <w:p w14:paraId="3232318B" w14:textId="4FCC6D72" w:rsidR="0040666A" w:rsidRPr="00CC0378" w:rsidRDefault="0040666A" w:rsidP="00CC0378">
      <w:pPr>
        <w:jc w:val="both"/>
        <w:rPr>
          <w:sz w:val="22"/>
          <w:szCs w:val="22"/>
          <w:lang w:val="sr-Latn-ME"/>
        </w:rPr>
      </w:pPr>
      <w:r w:rsidRPr="00CC0378">
        <w:rPr>
          <w:sz w:val="22"/>
          <w:szCs w:val="22"/>
          <w:lang w:val="sr-Latn-ME"/>
        </w:rPr>
        <w:t xml:space="preserve">Korišćenjem PIK kao surogat parametra za koncentracije u plazmi, pokazano je da postoji uzajamni odnos između raspoloživosti (PIK) i inhibicije sekrecije želudačne </w:t>
      </w:r>
      <w:r w:rsidR="00AB2C68" w:rsidRPr="00CC0378">
        <w:rPr>
          <w:sz w:val="22"/>
          <w:szCs w:val="22"/>
          <w:lang w:val="sr-Latn-ME"/>
        </w:rPr>
        <w:t>kiselin</w:t>
      </w:r>
      <w:r w:rsidRPr="00CC0378">
        <w:rPr>
          <w:sz w:val="22"/>
          <w:szCs w:val="22"/>
          <w:lang w:val="sr-Latn-ME"/>
        </w:rPr>
        <w:t>e.</w:t>
      </w:r>
    </w:p>
    <w:p w14:paraId="4AA35F29" w14:textId="77777777" w:rsidR="0040666A" w:rsidRPr="00CC0378" w:rsidRDefault="0040666A" w:rsidP="00CC0378">
      <w:pPr>
        <w:jc w:val="both"/>
        <w:rPr>
          <w:sz w:val="22"/>
          <w:szCs w:val="22"/>
          <w:lang w:val="sr-Latn-ME"/>
        </w:rPr>
      </w:pPr>
    </w:p>
    <w:p w14:paraId="5DFD5A82" w14:textId="14158DFB" w:rsidR="0040666A" w:rsidRPr="00CC0378" w:rsidRDefault="0040666A" w:rsidP="00CC0378">
      <w:pPr>
        <w:jc w:val="both"/>
        <w:rPr>
          <w:sz w:val="22"/>
          <w:szCs w:val="22"/>
          <w:lang w:val="sr-Latn-ME"/>
        </w:rPr>
      </w:pPr>
      <w:r w:rsidRPr="00CC0378">
        <w:rPr>
          <w:sz w:val="22"/>
          <w:szCs w:val="22"/>
          <w:lang w:val="sr-Latn-ME"/>
        </w:rPr>
        <w:t>Sa esomeprazolom 40 mg  došlo je do zal</w:t>
      </w:r>
      <w:r w:rsidR="004941E8" w:rsidRPr="00CC0378">
        <w:rPr>
          <w:sz w:val="22"/>
          <w:szCs w:val="22"/>
          <w:lang w:val="sr-Latn-ME"/>
        </w:rPr>
        <w:t>j</w:t>
      </w:r>
      <w:r w:rsidRPr="00CC0378">
        <w:rPr>
          <w:sz w:val="22"/>
          <w:szCs w:val="22"/>
          <w:lang w:val="sr-Latn-ME"/>
        </w:rPr>
        <w:t>ečenja refluksnog ezofagitisa kod približno 78% pacijenata posl</w:t>
      </w:r>
      <w:r w:rsidR="004941E8" w:rsidRPr="00CC0378">
        <w:rPr>
          <w:sz w:val="22"/>
          <w:szCs w:val="22"/>
          <w:lang w:val="sr-Latn-ME"/>
        </w:rPr>
        <w:t>ij</w:t>
      </w:r>
      <w:r w:rsidRPr="00CC0378">
        <w:rPr>
          <w:sz w:val="22"/>
          <w:szCs w:val="22"/>
          <w:lang w:val="sr-Latn-ME"/>
        </w:rPr>
        <w:t>e četiri ned</w:t>
      </w:r>
      <w:r w:rsidR="004941E8" w:rsidRPr="00CC0378">
        <w:rPr>
          <w:sz w:val="22"/>
          <w:szCs w:val="22"/>
          <w:lang w:val="sr-Latn-ME"/>
        </w:rPr>
        <w:t>j</w:t>
      </w:r>
      <w:r w:rsidRPr="00CC0378">
        <w:rPr>
          <w:sz w:val="22"/>
          <w:szCs w:val="22"/>
          <w:lang w:val="sr-Latn-ME"/>
        </w:rPr>
        <w:t>elje terapije i kod 93% posl</w:t>
      </w:r>
      <w:r w:rsidR="004941E8" w:rsidRPr="00CC0378">
        <w:rPr>
          <w:sz w:val="22"/>
          <w:szCs w:val="22"/>
          <w:lang w:val="sr-Latn-ME"/>
        </w:rPr>
        <w:t>ij</w:t>
      </w:r>
      <w:r w:rsidRPr="00CC0378">
        <w:rPr>
          <w:sz w:val="22"/>
          <w:szCs w:val="22"/>
          <w:lang w:val="sr-Latn-ME"/>
        </w:rPr>
        <w:t>e osam ned</w:t>
      </w:r>
      <w:r w:rsidR="004941E8" w:rsidRPr="00CC0378">
        <w:rPr>
          <w:sz w:val="22"/>
          <w:szCs w:val="22"/>
          <w:lang w:val="sr-Latn-ME"/>
        </w:rPr>
        <w:t>j</w:t>
      </w:r>
      <w:r w:rsidRPr="00CC0378">
        <w:rPr>
          <w:sz w:val="22"/>
          <w:szCs w:val="22"/>
          <w:lang w:val="sr-Latn-ME"/>
        </w:rPr>
        <w:t>elja terapije.</w:t>
      </w:r>
    </w:p>
    <w:p w14:paraId="5B86081D" w14:textId="77777777" w:rsidR="0040666A" w:rsidRPr="00CC0378" w:rsidRDefault="0040666A" w:rsidP="00CC0378">
      <w:pPr>
        <w:jc w:val="both"/>
        <w:rPr>
          <w:sz w:val="22"/>
          <w:szCs w:val="22"/>
          <w:lang w:val="sr-Latn-ME"/>
        </w:rPr>
      </w:pPr>
    </w:p>
    <w:p w14:paraId="3FF2270A" w14:textId="19F481F2" w:rsidR="0040666A" w:rsidRPr="00CC0378" w:rsidRDefault="0040666A" w:rsidP="00CC0378">
      <w:pPr>
        <w:jc w:val="both"/>
        <w:rPr>
          <w:sz w:val="22"/>
          <w:szCs w:val="22"/>
          <w:lang w:val="sr-Latn-ME"/>
        </w:rPr>
      </w:pPr>
      <w:r w:rsidRPr="00CC0378">
        <w:rPr>
          <w:sz w:val="22"/>
          <w:szCs w:val="22"/>
          <w:lang w:val="sr-Latn-ME"/>
        </w:rPr>
        <w:t>Jedna nedelja terapije esomeprazolom 20 mg dva puta dnevo zajedno sa odgovarajućim antibioticima dovela je do usp</w:t>
      </w:r>
      <w:r w:rsidR="00965EB2">
        <w:rPr>
          <w:sz w:val="22"/>
          <w:szCs w:val="22"/>
          <w:lang w:val="sr-Latn-ME"/>
        </w:rPr>
        <w:t>j</w:t>
      </w:r>
      <w:r w:rsidRPr="00CC0378">
        <w:rPr>
          <w:sz w:val="22"/>
          <w:szCs w:val="22"/>
          <w:lang w:val="sr-Latn-ME"/>
        </w:rPr>
        <w:t xml:space="preserve">ešne eradikacije </w:t>
      </w:r>
      <w:r w:rsidRPr="00CC0378">
        <w:rPr>
          <w:i/>
          <w:sz w:val="22"/>
          <w:szCs w:val="22"/>
          <w:lang w:val="sr-Latn-ME"/>
        </w:rPr>
        <w:t>H. pylori</w:t>
      </w:r>
      <w:r w:rsidRPr="00CC0378">
        <w:rPr>
          <w:sz w:val="22"/>
          <w:szCs w:val="22"/>
          <w:lang w:val="sr-Latn-ME"/>
        </w:rPr>
        <w:t xml:space="preserve"> kod približno 90% pacijenata.</w:t>
      </w:r>
    </w:p>
    <w:p w14:paraId="47D070B1" w14:textId="77777777" w:rsidR="0040666A" w:rsidRPr="00CC0378" w:rsidRDefault="0040666A" w:rsidP="00CC0378">
      <w:pPr>
        <w:jc w:val="both"/>
        <w:rPr>
          <w:sz w:val="22"/>
          <w:szCs w:val="22"/>
          <w:lang w:val="sr-Latn-ME"/>
        </w:rPr>
      </w:pPr>
    </w:p>
    <w:p w14:paraId="228009C6" w14:textId="5429D763" w:rsidR="0040666A" w:rsidRPr="00CC0378" w:rsidRDefault="0040666A" w:rsidP="00CC0378">
      <w:pPr>
        <w:jc w:val="both"/>
        <w:rPr>
          <w:sz w:val="22"/>
          <w:szCs w:val="22"/>
          <w:lang w:val="sr-Latn-ME"/>
        </w:rPr>
      </w:pPr>
      <w:r w:rsidRPr="00CC0378">
        <w:rPr>
          <w:sz w:val="22"/>
          <w:szCs w:val="22"/>
          <w:lang w:val="sr-Latn-ME"/>
        </w:rPr>
        <w:t>Kod pacijenata sa nekomplikovanim duodenalnim ulkusima posl</w:t>
      </w:r>
      <w:r w:rsidR="004941E8" w:rsidRPr="00CC0378">
        <w:rPr>
          <w:sz w:val="22"/>
          <w:szCs w:val="22"/>
          <w:lang w:val="sr-Latn-ME"/>
        </w:rPr>
        <w:t>ij</w:t>
      </w:r>
      <w:r w:rsidRPr="00CC0378">
        <w:rPr>
          <w:sz w:val="22"/>
          <w:szCs w:val="22"/>
          <w:lang w:val="sr-Latn-ME"/>
        </w:rPr>
        <w:t xml:space="preserve">e eradikacije </w:t>
      </w:r>
      <w:r w:rsidRPr="00CC0378">
        <w:rPr>
          <w:i/>
          <w:sz w:val="22"/>
          <w:szCs w:val="22"/>
          <w:lang w:val="sr-Latn-ME"/>
        </w:rPr>
        <w:t>H. Pylori</w:t>
      </w:r>
      <w:r w:rsidRPr="00CC0378">
        <w:rPr>
          <w:sz w:val="22"/>
          <w:szCs w:val="22"/>
          <w:lang w:val="sr-Latn-ME"/>
        </w:rPr>
        <w:t xml:space="preserve"> postignute  tokom jedne ned</w:t>
      </w:r>
      <w:r w:rsidR="004941E8" w:rsidRPr="00CC0378">
        <w:rPr>
          <w:sz w:val="22"/>
          <w:szCs w:val="22"/>
          <w:lang w:val="sr-Latn-ME"/>
        </w:rPr>
        <w:t>j</w:t>
      </w:r>
      <w:r w:rsidRPr="00CC0378">
        <w:rPr>
          <w:sz w:val="22"/>
          <w:szCs w:val="22"/>
          <w:lang w:val="sr-Latn-ME"/>
        </w:rPr>
        <w:t>elje terapije nema potrebe davati naknadno monoterapiju antisekretornim ljekovima radi efikasnog izl</w:t>
      </w:r>
      <w:r w:rsidR="004941E8" w:rsidRPr="00CC0378">
        <w:rPr>
          <w:sz w:val="22"/>
          <w:szCs w:val="22"/>
          <w:lang w:val="sr-Latn-ME"/>
        </w:rPr>
        <w:t>ij</w:t>
      </w:r>
      <w:r w:rsidRPr="00CC0378">
        <w:rPr>
          <w:sz w:val="22"/>
          <w:szCs w:val="22"/>
          <w:lang w:val="sr-Latn-ME"/>
        </w:rPr>
        <w:t>ečenja</w:t>
      </w:r>
      <w:r w:rsidR="00965EB2" w:rsidRPr="009462F3">
        <w:rPr>
          <w:sz w:val="22"/>
          <w:szCs w:val="22"/>
          <w:lang w:val="sr-Latn-ME"/>
        </w:rPr>
        <w:t xml:space="preserve"> </w:t>
      </w:r>
      <w:r w:rsidRPr="00CC0378">
        <w:rPr>
          <w:sz w:val="22"/>
          <w:szCs w:val="22"/>
          <w:lang w:val="sr-Latn-ME"/>
        </w:rPr>
        <w:t>ulkusa i povlačenja simptoma.</w:t>
      </w:r>
    </w:p>
    <w:p w14:paraId="2503B1BF" w14:textId="77777777" w:rsidR="0040666A" w:rsidRPr="00CC0378" w:rsidRDefault="0040666A" w:rsidP="00CC0378">
      <w:pPr>
        <w:jc w:val="both"/>
        <w:rPr>
          <w:sz w:val="22"/>
          <w:szCs w:val="22"/>
          <w:lang w:val="sr-Latn-ME"/>
        </w:rPr>
      </w:pPr>
    </w:p>
    <w:p w14:paraId="26D07DB7" w14:textId="6C21EF6E" w:rsidR="0040666A" w:rsidRPr="00CC0378" w:rsidRDefault="0040666A" w:rsidP="00CC0378">
      <w:pPr>
        <w:tabs>
          <w:tab w:val="left" w:pos="540"/>
          <w:tab w:val="left" w:pos="569"/>
        </w:tabs>
        <w:jc w:val="both"/>
        <w:rPr>
          <w:bCs/>
          <w:sz w:val="22"/>
          <w:szCs w:val="22"/>
          <w:lang w:val="sr-Latn-ME"/>
        </w:rPr>
      </w:pPr>
      <w:r w:rsidRPr="00CC0378">
        <w:rPr>
          <w:sz w:val="22"/>
          <w:szCs w:val="22"/>
          <w:lang w:val="sr-Latn-ME"/>
        </w:rPr>
        <w:lastRenderedPageBreak/>
        <w:t>U randomizovanoj, dvostruko slijepoj, placebo</w:t>
      </w:r>
      <w:r w:rsidR="004941E8" w:rsidRPr="00CC0378">
        <w:rPr>
          <w:sz w:val="22"/>
          <w:szCs w:val="22"/>
          <w:lang w:val="sr-Latn-ME"/>
        </w:rPr>
        <w:t>m</w:t>
      </w:r>
      <w:r w:rsidRPr="00CC0378">
        <w:rPr>
          <w:sz w:val="22"/>
          <w:szCs w:val="22"/>
          <w:lang w:val="sr-Latn-ME"/>
        </w:rPr>
        <w:t xml:space="preserve"> kontrolisanoj kliničkoj studiji, pacijenti sa endoskopski potvrđenim krvarenjem peptičkog ulkusa, Forrest klase Ia, Ib, IIa ili IIb 9%, 43%, 38% </w:t>
      </w:r>
      <w:r w:rsidR="00965EB2">
        <w:rPr>
          <w:sz w:val="22"/>
          <w:szCs w:val="22"/>
          <w:lang w:val="sr-Latn-ME"/>
        </w:rPr>
        <w:t>odnosno</w:t>
      </w:r>
      <w:r w:rsidR="00965EB2" w:rsidRPr="00CC0378">
        <w:rPr>
          <w:sz w:val="22"/>
          <w:szCs w:val="22"/>
          <w:lang w:val="sr-Latn-ME"/>
        </w:rPr>
        <w:t xml:space="preserve"> </w:t>
      </w:r>
      <w:r w:rsidRPr="00CC0378">
        <w:rPr>
          <w:sz w:val="22"/>
          <w:szCs w:val="22"/>
          <w:lang w:val="sr-Latn-ME"/>
        </w:rPr>
        <w:t>10 %,  bili su randomizovani da prime Nexium rastvor za infuziju (n=375) ili placebo (n=389). Nakon  endoskopski postignute hemostaze, pacijenti su primali ili 80 mg esomeprazola kao intravensku infuziju tokom 30 minuta a zatim  kontinuiranu infuziju esomeprazola 8 mg/h ili placebo, u toku 72 sata. Posl</w:t>
      </w:r>
      <w:r w:rsidR="004941E8" w:rsidRPr="00CC0378">
        <w:rPr>
          <w:sz w:val="22"/>
          <w:szCs w:val="22"/>
          <w:lang w:val="sr-Latn-ME"/>
        </w:rPr>
        <w:t>ij</w:t>
      </w:r>
      <w:r w:rsidRPr="00CC0378">
        <w:rPr>
          <w:sz w:val="22"/>
          <w:szCs w:val="22"/>
          <w:lang w:val="sr-Latn-ME"/>
        </w:rPr>
        <w:t>e prvih 72 sata , svi pacijenti su u otvorenom d</w:t>
      </w:r>
      <w:r w:rsidR="004941E8" w:rsidRPr="00CC0378">
        <w:rPr>
          <w:sz w:val="22"/>
          <w:szCs w:val="22"/>
          <w:lang w:val="sr-Latn-ME"/>
        </w:rPr>
        <w:t>ij</w:t>
      </w:r>
      <w:r w:rsidRPr="00CC0378">
        <w:rPr>
          <w:sz w:val="22"/>
          <w:szCs w:val="22"/>
          <w:lang w:val="sr-Latn-ME"/>
        </w:rPr>
        <w:t xml:space="preserve">elu studije uzimali Nexium tablete 40 mg, jednom dnevno tokom 27 dana radi supresije želudačne </w:t>
      </w:r>
      <w:r w:rsidR="00AB2C68" w:rsidRPr="00CC0378">
        <w:rPr>
          <w:sz w:val="22"/>
          <w:szCs w:val="22"/>
          <w:lang w:val="sr-Latn-ME"/>
        </w:rPr>
        <w:t>kiselin</w:t>
      </w:r>
      <w:r w:rsidRPr="00CC0378">
        <w:rPr>
          <w:sz w:val="22"/>
          <w:szCs w:val="22"/>
          <w:lang w:val="sr-Latn-ME"/>
        </w:rPr>
        <w:t xml:space="preserve">e. </w:t>
      </w:r>
      <w:r w:rsidR="00965EB2">
        <w:rPr>
          <w:sz w:val="22"/>
          <w:szCs w:val="22"/>
          <w:lang w:val="sr-Latn-ME"/>
        </w:rPr>
        <w:t>Pojava</w:t>
      </w:r>
      <w:r w:rsidR="00965EB2" w:rsidRPr="00CC0378">
        <w:rPr>
          <w:sz w:val="22"/>
          <w:szCs w:val="22"/>
          <w:lang w:val="sr-Latn-ME"/>
        </w:rPr>
        <w:t xml:space="preserve"> </w:t>
      </w:r>
      <w:r w:rsidRPr="00CC0378">
        <w:rPr>
          <w:sz w:val="22"/>
          <w:szCs w:val="22"/>
          <w:lang w:val="sr-Latn-ME"/>
        </w:rPr>
        <w:t>ponovnog krvarenja u toku prva 3 dana je bilo 5</w:t>
      </w:r>
      <w:r w:rsidR="00965EB2">
        <w:rPr>
          <w:sz w:val="22"/>
          <w:szCs w:val="22"/>
          <w:lang w:val="sr-Latn-ME"/>
        </w:rPr>
        <w:t>.</w:t>
      </w:r>
      <w:r w:rsidRPr="00CC0378">
        <w:rPr>
          <w:sz w:val="22"/>
          <w:szCs w:val="22"/>
          <w:lang w:val="sr-Latn-ME"/>
        </w:rPr>
        <w:t>9% u grupi je primala Nexium u poređenju sa 10</w:t>
      </w:r>
      <w:r w:rsidR="00965EB2">
        <w:rPr>
          <w:sz w:val="22"/>
          <w:szCs w:val="22"/>
          <w:lang w:val="sr-Latn-ME"/>
        </w:rPr>
        <w:t>.</w:t>
      </w:r>
      <w:r w:rsidRPr="00CC0378">
        <w:rPr>
          <w:sz w:val="22"/>
          <w:szCs w:val="22"/>
          <w:lang w:val="sr-Latn-ME"/>
        </w:rPr>
        <w:t>3% na placebu, a posl</w:t>
      </w:r>
      <w:r w:rsidR="004941E8" w:rsidRPr="00CC0378">
        <w:rPr>
          <w:sz w:val="22"/>
          <w:szCs w:val="22"/>
          <w:lang w:val="sr-Latn-ME"/>
        </w:rPr>
        <w:t>ij</w:t>
      </w:r>
      <w:r w:rsidRPr="00CC0378">
        <w:rPr>
          <w:sz w:val="22"/>
          <w:szCs w:val="22"/>
          <w:lang w:val="sr-Latn-ME"/>
        </w:rPr>
        <w:t>e 30 dana terapije, 7</w:t>
      </w:r>
      <w:r w:rsidR="00965EB2">
        <w:rPr>
          <w:sz w:val="22"/>
          <w:szCs w:val="22"/>
          <w:lang w:val="sr-Latn-ME"/>
        </w:rPr>
        <w:t>.</w:t>
      </w:r>
      <w:r w:rsidRPr="00CC0378">
        <w:rPr>
          <w:sz w:val="22"/>
          <w:szCs w:val="22"/>
          <w:lang w:val="sr-Latn-ME"/>
        </w:rPr>
        <w:t>7% u grupi</w:t>
      </w:r>
      <w:r w:rsidR="00965EB2">
        <w:rPr>
          <w:sz w:val="22"/>
          <w:szCs w:val="22"/>
          <w:lang w:val="sr-Latn-ME"/>
        </w:rPr>
        <w:t xml:space="preserve"> liječenoj</w:t>
      </w:r>
      <w:r w:rsidRPr="00CC0378">
        <w:rPr>
          <w:sz w:val="22"/>
          <w:szCs w:val="22"/>
          <w:lang w:val="sr-Latn-ME"/>
        </w:rPr>
        <w:t xml:space="preserve"> </w:t>
      </w:r>
      <w:r w:rsidR="00965EB2" w:rsidRPr="00CC0378">
        <w:rPr>
          <w:sz w:val="22"/>
          <w:szCs w:val="22"/>
          <w:lang w:val="sr-Latn-ME"/>
        </w:rPr>
        <w:t>Nexium</w:t>
      </w:r>
      <w:r w:rsidR="00965EB2">
        <w:rPr>
          <w:sz w:val="22"/>
          <w:szCs w:val="22"/>
          <w:lang w:val="sr-Latn-ME"/>
        </w:rPr>
        <w:t>om</w:t>
      </w:r>
      <w:r w:rsidR="00965EB2" w:rsidRPr="00CC0378">
        <w:rPr>
          <w:sz w:val="22"/>
          <w:szCs w:val="22"/>
          <w:lang w:val="sr-Latn-ME"/>
        </w:rPr>
        <w:t xml:space="preserve"> </w:t>
      </w:r>
      <w:r w:rsidRPr="00CC0378">
        <w:rPr>
          <w:sz w:val="22"/>
          <w:szCs w:val="22"/>
          <w:lang w:val="sr-Latn-ME"/>
        </w:rPr>
        <w:t>u odnosu na 13.6% u placebo grupi.</w:t>
      </w:r>
    </w:p>
    <w:p w14:paraId="3B3A71CC" w14:textId="0639EF3C" w:rsidR="002E37A5" w:rsidRPr="00CC0378" w:rsidRDefault="002E37A5" w:rsidP="00CC0378">
      <w:pPr>
        <w:tabs>
          <w:tab w:val="left" w:pos="540"/>
          <w:tab w:val="left" w:pos="569"/>
        </w:tabs>
        <w:jc w:val="both"/>
        <w:rPr>
          <w:b/>
          <w:bCs/>
          <w:sz w:val="22"/>
          <w:szCs w:val="22"/>
          <w:lang w:val="sr-Latn-ME"/>
        </w:rPr>
      </w:pPr>
    </w:p>
    <w:p w14:paraId="26B8F886" w14:textId="6CEB33E3" w:rsidR="0040666A" w:rsidRPr="00CC0378" w:rsidRDefault="0040666A" w:rsidP="00CC0378">
      <w:pPr>
        <w:jc w:val="both"/>
        <w:rPr>
          <w:strike/>
          <w:sz w:val="22"/>
          <w:szCs w:val="22"/>
          <w:lang w:val="sr-Latn-ME"/>
        </w:rPr>
      </w:pPr>
      <w:r w:rsidRPr="00CC0378">
        <w:rPr>
          <w:sz w:val="22"/>
          <w:szCs w:val="22"/>
          <w:lang w:val="sr-Latn-ME"/>
        </w:rPr>
        <w:t xml:space="preserve">Tokom terapije antisekretornim </w:t>
      </w:r>
      <w:r w:rsidR="00AB2C68" w:rsidRPr="00CC0378">
        <w:rPr>
          <w:sz w:val="22"/>
          <w:szCs w:val="22"/>
          <w:lang w:val="sr-Latn-ME"/>
        </w:rPr>
        <w:t>ljekov</w:t>
      </w:r>
      <w:r w:rsidRPr="00CC0378">
        <w:rPr>
          <w:sz w:val="22"/>
          <w:szCs w:val="22"/>
          <w:lang w:val="sr-Latn-ME"/>
        </w:rPr>
        <w:t xml:space="preserve">ima kao odgovor na smanjenu sekreciju </w:t>
      </w:r>
      <w:r w:rsidR="00AB2C68" w:rsidRPr="00CC0378">
        <w:rPr>
          <w:sz w:val="22"/>
          <w:szCs w:val="22"/>
          <w:lang w:val="sr-Latn-ME"/>
        </w:rPr>
        <w:t>kiselin</w:t>
      </w:r>
      <w:r w:rsidRPr="00CC0378">
        <w:rPr>
          <w:sz w:val="22"/>
          <w:szCs w:val="22"/>
          <w:lang w:val="sr-Latn-ME"/>
        </w:rPr>
        <w:t>e povećava se nivo gastrina u serumu. Nivo hromogranina A (CgA) se</w:t>
      </w:r>
      <w:r w:rsidR="004941E8" w:rsidRPr="00CC0378">
        <w:rPr>
          <w:sz w:val="22"/>
          <w:szCs w:val="22"/>
          <w:lang w:val="sr-Latn-ME"/>
        </w:rPr>
        <w:t xml:space="preserve"> </w:t>
      </w:r>
      <w:r w:rsidRPr="00CC0378">
        <w:rPr>
          <w:sz w:val="22"/>
          <w:szCs w:val="22"/>
          <w:lang w:val="sr-Latn-ME"/>
        </w:rPr>
        <w:t>povećava zbog smanjene kiselosti u želucu. Povećanje nivoa CgA može interferirati sa ispitivanjima na neuroendokrine tumore. Dostupni objavljeni dokazi ukazuju na to da terapiju inhibitor</w:t>
      </w:r>
      <w:r w:rsidR="004941E8" w:rsidRPr="009462F3">
        <w:rPr>
          <w:sz w:val="22"/>
          <w:szCs w:val="22"/>
          <w:lang w:val="sr-Latn-ME"/>
        </w:rPr>
        <w:t>ima</w:t>
      </w:r>
      <w:r w:rsidRPr="00CC0378">
        <w:rPr>
          <w:sz w:val="22"/>
          <w:szCs w:val="22"/>
          <w:lang w:val="sr-Latn-ME"/>
        </w:rPr>
        <w:t xml:space="preserve"> protonske pumpe treba obustaviti između 5 dana i dv</w:t>
      </w:r>
      <w:r w:rsidR="004941E8" w:rsidRPr="00CC0378">
        <w:rPr>
          <w:sz w:val="22"/>
          <w:szCs w:val="22"/>
          <w:lang w:val="sr-Latn-ME"/>
        </w:rPr>
        <w:t>ij</w:t>
      </w:r>
      <w:r w:rsidRPr="00CC0378">
        <w:rPr>
          <w:sz w:val="22"/>
          <w:szCs w:val="22"/>
          <w:lang w:val="sr-Latn-ME"/>
        </w:rPr>
        <w:t xml:space="preserve">e nedjelje uoči određivanja CgA da bi se omogućilo da se nivoi CgA, koji su mogli biti lažno povišeni nakon terapije inhibitorima protonske pumpe, vrate na nivoe u okviru referentnog opsega. </w:t>
      </w:r>
    </w:p>
    <w:p w14:paraId="21230625" w14:textId="77777777" w:rsidR="0040666A" w:rsidRPr="00CC0378" w:rsidRDefault="0040666A" w:rsidP="00CC0378">
      <w:pPr>
        <w:jc w:val="both"/>
        <w:rPr>
          <w:sz w:val="22"/>
          <w:szCs w:val="22"/>
          <w:lang w:val="sr-Latn-ME"/>
        </w:rPr>
      </w:pPr>
    </w:p>
    <w:p w14:paraId="57AF8EA2" w14:textId="48545CC5" w:rsidR="0040666A" w:rsidRPr="00CC0378" w:rsidRDefault="0040666A" w:rsidP="00CC0378">
      <w:pPr>
        <w:jc w:val="both"/>
        <w:rPr>
          <w:sz w:val="22"/>
          <w:szCs w:val="22"/>
          <w:lang w:val="sr-Latn-ME"/>
        </w:rPr>
      </w:pPr>
      <w:r w:rsidRPr="00CC0378">
        <w:rPr>
          <w:sz w:val="22"/>
          <w:szCs w:val="22"/>
          <w:lang w:val="sr-Latn-ME"/>
        </w:rPr>
        <w:t xml:space="preserve">Povećan broj ECL ćelija </w:t>
      </w:r>
      <w:r w:rsidRPr="00CC0378">
        <w:rPr>
          <w:i/>
          <w:sz w:val="22"/>
          <w:szCs w:val="22"/>
          <w:lang w:val="sr-Latn-ME"/>
        </w:rPr>
        <w:t>(enterochromafin-like cells)</w:t>
      </w:r>
      <w:r w:rsidRPr="00CC0378">
        <w:rPr>
          <w:sz w:val="22"/>
          <w:szCs w:val="22"/>
          <w:lang w:val="sr-Latn-ME"/>
        </w:rPr>
        <w:t xml:space="preserve"> v</w:t>
      </w:r>
      <w:r w:rsidR="004941E8" w:rsidRPr="00CC0378">
        <w:rPr>
          <w:sz w:val="22"/>
          <w:szCs w:val="22"/>
          <w:lang w:val="sr-Latn-ME"/>
        </w:rPr>
        <w:t>j</w:t>
      </w:r>
      <w:r w:rsidRPr="00CC0378">
        <w:rPr>
          <w:sz w:val="22"/>
          <w:szCs w:val="22"/>
          <w:lang w:val="sr-Latn-ME"/>
        </w:rPr>
        <w:t>erovatno povezan sa povećanim nivoima gastrina u serumu uočen je i kod djece i kod odraslih tokom dugotrajne terapije esomeprazolom.</w:t>
      </w:r>
    </w:p>
    <w:p w14:paraId="04FFCADA" w14:textId="4F5A880A" w:rsidR="0040666A" w:rsidRPr="00CC0378" w:rsidRDefault="0040666A" w:rsidP="00CC0378">
      <w:pPr>
        <w:jc w:val="both"/>
        <w:rPr>
          <w:sz w:val="22"/>
          <w:szCs w:val="22"/>
          <w:lang w:val="sr-Latn-ME"/>
        </w:rPr>
      </w:pPr>
      <w:r w:rsidRPr="00CC0378">
        <w:rPr>
          <w:sz w:val="22"/>
          <w:szCs w:val="22"/>
          <w:lang w:val="sr-Latn-ME"/>
        </w:rPr>
        <w:t>Smatra se da ovi nalazi nemaju klinički značaj.</w:t>
      </w:r>
    </w:p>
    <w:p w14:paraId="63E2A37F" w14:textId="3CCA99EE" w:rsidR="00581CDC" w:rsidRPr="00CC0378" w:rsidRDefault="00581CDC" w:rsidP="00CC0378">
      <w:pPr>
        <w:jc w:val="both"/>
        <w:rPr>
          <w:sz w:val="22"/>
          <w:szCs w:val="22"/>
          <w:lang w:val="sr-Latn-ME"/>
        </w:rPr>
      </w:pPr>
      <w:r w:rsidRPr="00CC0378">
        <w:rPr>
          <w:sz w:val="22"/>
          <w:szCs w:val="22"/>
          <w:lang w:val="sr-Latn-ME"/>
        </w:rPr>
        <w:t>Tokom dugotrajne terapije antisekretornim ljekovima prijavljeno je pojavljivanje gastričnih glandularnih cisti sa nešto povećanom učestalošću. Ove promjene su fiziološka posl</w:t>
      </w:r>
      <w:r w:rsidR="004941E8" w:rsidRPr="00CC0378">
        <w:rPr>
          <w:sz w:val="22"/>
          <w:szCs w:val="22"/>
          <w:lang w:val="sr-Latn-ME"/>
        </w:rPr>
        <w:t>j</w:t>
      </w:r>
      <w:r w:rsidRPr="00CC0378">
        <w:rPr>
          <w:sz w:val="22"/>
          <w:szCs w:val="22"/>
          <w:lang w:val="sr-Latn-ME"/>
        </w:rPr>
        <w:t xml:space="preserve">edica značajne inhibicije sekrecije </w:t>
      </w:r>
      <w:r w:rsidR="00AB2C68" w:rsidRPr="00CC0378">
        <w:rPr>
          <w:sz w:val="22"/>
          <w:szCs w:val="22"/>
          <w:lang w:val="sr-Latn-ME"/>
        </w:rPr>
        <w:t>kiselin</w:t>
      </w:r>
      <w:r w:rsidRPr="00CC0378">
        <w:rPr>
          <w:sz w:val="22"/>
          <w:szCs w:val="22"/>
          <w:lang w:val="sr-Latn-ME"/>
        </w:rPr>
        <w:t>e, benigne su prirode i izgleda da su reverzibilne.</w:t>
      </w:r>
    </w:p>
    <w:p w14:paraId="08A720B2" w14:textId="77777777" w:rsidR="00581CDC" w:rsidRPr="00CC0378" w:rsidRDefault="00581CDC" w:rsidP="00CC0378">
      <w:pPr>
        <w:jc w:val="both"/>
        <w:rPr>
          <w:sz w:val="22"/>
          <w:szCs w:val="22"/>
          <w:lang w:val="sr-Latn-ME"/>
        </w:rPr>
      </w:pPr>
    </w:p>
    <w:p w14:paraId="0E9E132D" w14:textId="2A420699" w:rsidR="00581CDC" w:rsidRPr="00CC0378" w:rsidRDefault="00581CDC" w:rsidP="00CC0378">
      <w:pPr>
        <w:jc w:val="both"/>
        <w:rPr>
          <w:sz w:val="22"/>
          <w:szCs w:val="22"/>
          <w:lang w:val="sr-Latn-ME"/>
        </w:rPr>
      </w:pPr>
      <w:r w:rsidRPr="00CC0378">
        <w:rPr>
          <w:sz w:val="22"/>
          <w:szCs w:val="22"/>
          <w:lang w:val="sr-Latn-ME"/>
        </w:rPr>
        <w:t xml:space="preserve">Smanjena kiselost u želucu bez obzira na uzrok, uključujući i inhibitore protonske pumpe, povećava broj bakterija u želucu, koje su normalno prisutne u gastrointestinalnom traktu. Terapija  inhibitorima protonske pumpe može dovesti do blagog povećanja rizika od gastrointestinalnih infekcija kao što su </w:t>
      </w:r>
      <w:r w:rsidRPr="00CC0378">
        <w:rPr>
          <w:i/>
          <w:iCs/>
          <w:sz w:val="22"/>
          <w:szCs w:val="22"/>
          <w:lang w:val="sr-Latn-ME"/>
        </w:rPr>
        <w:t xml:space="preserve">Salmonella </w:t>
      </w:r>
      <w:r w:rsidRPr="00CC0378">
        <w:rPr>
          <w:sz w:val="22"/>
          <w:szCs w:val="22"/>
          <w:lang w:val="sr-Latn-ME"/>
        </w:rPr>
        <w:t xml:space="preserve">i </w:t>
      </w:r>
      <w:r w:rsidRPr="00CC0378">
        <w:rPr>
          <w:i/>
          <w:iCs/>
          <w:sz w:val="22"/>
          <w:szCs w:val="22"/>
          <w:lang w:val="sr-Latn-ME"/>
        </w:rPr>
        <w:t>Campylobacter</w:t>
      </w:r>
      <w:r w:rsidR="004941E8" w:rsidRPr="00CC0378">
        <w:rPr>
          <w:i/>
          <w:iCs/>
          <w:sz w:val="22"/>
          <w:szCs w:val="22"/>
          <w:lang w:val="sr-Latn-ME"/>
        </w:rPr>
        <w:t>,</w:t>
      </w:r>
      <w:r w:rsidRPr="00CC0378">
        <w:rPr>
          <w:iCs/>
          <w:sz w:val="22"/>
          <w:szCs w:val="22"/>
          <w:lang w:val="sr-Latn-ME"/>
        </w:rPr>
        <w:t xml:space="preserve"> a kod hospitalizovanih pacijenata takođe je moguća </w:t>
      </w:r>
      <w:r w:rsidR="00965EB2" w:rsidRPr="00CC0378">
        <w:rPr>
          <w:iCs/>
          <w:sz w:val="22"/>
          <w:szCs w:val="22"/>
          <w:lang w:val="sr-Latn-ME"/>
        </w:rPr>
        <w:t>infekcija</w:t>
      </w:r>
      <w:r w:rsidR="00965EB2">
        <w:rPr>
          <w:iCs/>
          <w:sz w:val="22"/>
          <w:szCs w:val="22"/>
          <w:lang w:val="sr-Latn-ME"/>
        </w:rPr>
        <w:t xml:space="preserve"> sa</w:t>
      </w:r>
      <w:r w:rsidR="00965EB2" w:rsidRPr="00CC0378">
        <w:rPr>
          <w:i/>
          <w:iCs/>
          <w:sz w:val="22"/>
          <w:szCs w:val="22"/>
          <w:lang w:val="sr-Latn-ME"/>
        </w:rPr>
        <w:t xml:space="preserve"> </w:t>
      </w:r>
      <w:r w:rsidRPr="00CC0378">
        <w:rPr>
          <w:i/>
          <w:iCs/>
          <w:sz w:val="22"/>
          <w:szCs w:val="22"/>
          <w:lang w:val="sr-Latn-ME"/>
        </w:rPr>
        <w:t>Clostridium difficile</w:t>
      </w:r>
      <w:r w:rsidRPr="00CC0378">
        <w:rPr>
          <w:sz w:val="22"/>
          <w:szCs w:val="22"/>
          <w:lang w:val="sr-Latn-ME"/>
        </w:rPr>
        <w:t>.</w:t>
      </w:r>
    </w:p>
    <w:p w14:paraId="615255E6" w14:textId="77777777" w:rsidR="00581CDC" w:rsidRPr="00CC0378" w:rsidRDefault="00581CDC" w:rsidP="00CC0378">
      <w:pPr>
        <w:jc w:val="both"/>
        <w:rPr>
          <w:sz w:val="22"/>
          <w:szCs w:val="22"/>
          <w:lang w:val="sr-Latn-ME"/>
        </w:rPr>
      </w:pPr>
    </w:p>
    <w:p w14:paraId="2EB64D5F" w14:textId="77777777" w:rsidR="00581CDC" w:rsidRPr="00CC0378" w:rsidRDefault="00581CDC" w:rsidP="00CC0378">
      <w:pPr>
        <w:jc w:val="both"/>
        <w:rPr>
          <w:sz w:val="22"/>
          <w:szCs w:val="22"/>
          <w:u w:val="single"/>
          <w:lang w:val="sr-Latn-ME"/>
        </w:rPr>
      </w:pPr>
      <w:r w:rsidRPr="00CC0378">
        <w:rPr>
          <w:sz w:val="22"/>
          <w:szCs w:val="22"/>
          <w:u w:val="single"/>
          <w:lang w:val="sr-Latn-ME"/>
        </w:rPr>
        <w:t>Klinička efikasnost</w:t>
      </w:r>
    </w:p>
    <w:p w14:paraId="22C2EFCF" w14:textId="77777777" w:rsidR="00581CDC" w:rsidRPr="00CC0378" w:rsidRDefault="00581CDC" w:rsidP="00CC0378">
      <w:pPr>
        <w:jc w:val="both"/>
        <w:rPr>
          <w:sz w:val="22"/>
          <w:szCs w:val="22"/>
          <w:lang w:val="sr-Latn-ME"/>
        </w:rPr>
      </w:pPr>
      <w:r w:rsidRPr="00CC0378">
        <w:rPr>
          <w:sz w:val="22"/>
          <w:szCs w:val="22"/>
          <w:lang w:val="sr-Latn-ME"/>
        </w:rPr>
        <w:t>U dvije studije sa ranitidinom kao aktivnim komparatorom, Nexium je pokazao bolju efikasnost u liječenju želudačnih ulkusa kod pacijenata koji su bili na terapiji NSAIL, uključujući COX-2 selektivne NSAIL.</w:t>
      </w:r>
    </w:p>
    <w:p w14:paraId="2B7697D1" w14:textId="77777777" w:rsidR="00581CDC" w:rsidRPr="00CC0378" w:rsidRDefault="00581CDC" w:rsidP="00CC0378">
      <w:pPr>
        <w:jc w:val="both"/>
        <w:rPr>
          <w:sz w:val="22"/>
          <w:szCs w:val="22"/>
          <w:lang w:val="sr-Latn-ME"/>
        </w:rPr>
      </w:pPr>
    </w:p>
    <w:p w14:paraId="7FAAE891" w14:textId="77777777" w:rsidR="00581CDC" w:rsidRPr="00CC0378" w:rsidRDefault="00581CDC" w:rsidP="00CC0378">
      <w:pPr>
        <w:jc w:val="both"/>
        <w:rPr>
          <w:sz w:val="22"/>
          <w:szCs w:val="22"/>
          <w:lang w:val="sr-Latn-ME"/>
        </w:rPr>
      </w:pPr>
      <w:r w:rsidRPr="00CC0378">
        <w:rPr>
          <w:sz w:val="22"/>
          <w:szCs w:val="22"/>
          <w:lang w:val="sr-Latn-ME"/>
        </w:rPr>
        <w:t xml:space="preserve">U dvije studije sa placebom kao komparatorom, Nexium je pokazao bolju efikasnost u prevenciji želudačnih i duodenalnih ulkusa kod pacijenata koji su bili na terapiji NSAIL (stariji od 60 godina i/ili koji su prethodno imali ulkus), uključujući COX-2 selektivne NSAIL. </w:t>
      </w:r>
    </w:p>
    <w:p w14:paraId="5F21CB83" w14:textId="77777777" w:rsidR="00581CDC" w:rsidRPr="00CC0378" w:rsidRDefault="00581CDC" w:rsidP="00CC0378">
      <w:pPr>
        <w:jc w:val="both"/>
        <w:rPr>
          <w:sz w:val="22"/>
          <w:szCs w:val="22"/>
          <w:lang w:val="sr-Latn-ME"/>
        </w:rPr>
      </w:pPr>
    </w:p>
    <w:p w14:paraId="0A6B332D" w14:textId="77777777" w:rsidR="00581CDC" w:rsidRPr="00CC0378" w:rsidRDefault="00581CDC" w:rsidP="00CC0378">
      <w:pPr>
        <w:jc w:val="both"/>
        <w:rPr>
          <w:b/>
          <w:sz w:val="22"/>
          <w:szCs w:val="22"/>
          <w:lang w:val="sr-Latn-ME"/>
        </w:rPr>
      </w:pPr>
      <w:r w:rsidRPr="00CC0378">
        <w:rPr>
          <w:b/>
          <w:sz w:val="22"/>
          <w:szCs w:val="22"/>
          <w:lang w:val="sr-Latn-ME"/>
        </w:rPr>
        <w:t>Pedijatrijska populacija</w:t>
      </w:r>
    </w:p>
    <w:p w14:paraId="4D96E99D" w14:textId="4203D760" w:rsidR="00581CDC" w:rsidRPr="00CC0378" w:rsidRDefault="00581CDC" w:rsidP="00CC0378">
      <w:pPr>
        <w:jc w:val="both"/>
        <w:rPr>
          <w:sz w:val="22"/>
          <w:szCs w:val="22"/>
          <w:lang w:val="sr-Latn-ME"/>
        </w:rPr>
      </w:pPr>
      <w:r w:rsidRPr="00CC0378">
        <w:rPr>
          <w:sz w:val="22"/>
          <w:szCs w:val="22"/>
          <w:lang w:val="sr-Latn-ME"/>
        </w:rPr>
        <w:t>U studiji na pedijatrijskim pacijentima sa gastroezofagealnom refluksnom bolešću (&lt; 1 do 17 godina) koji su bili na dugotrajnoj terapiji inhibitorima protonske pumpe, 61% d</w:t>
      </w:r>
      <w:r w:rsidR="00104739">
        <w:rPr>
          <w:sz w:val="22"/>
          <w:szCs w:val="22"/>
          <w:lang w:val="sr-Latn-ME"/>
        </w:rPr>
        <w:t>j</w:t>
      </w:r>
      <w:r w:rsidRPr="00CC0378">
        <w:rPr>
          <w:sz w:val="22"/>
          <w:szCs w:val="22"/>
          <w:lang w:val="sr-Latn-ME"/>
        </w:rPr>
        <w:t xml:space="preserve">ece razvilo je hiperplaziju ECL ćelija </w:t>
      </w:r>
      <w:r w:rsidRPr="00CC0378">
        <w:rPr>
          <w:i/>
          <w:sz w:val="22"/>
          <w:szCs w:val="22"/>
          <w:lang w:val="sr-Latn-ME"/>
        </w:rPr>
        <w:t>(enterochromafin-like cells)</w:t>
      </w:r>
      <w:r w:rsidRPr="00CC0378">
        <w:rPr>
          <w:sz w:val="22"/>
          <w:szCs w:val="22"/>
          <w:lang w:val="sr-Latn-ME"/>
        </w:rPr>
        <w:t xml:space="preserve"> manjeg stepena sa još uv</w:t>
      </w:r>
      <w:r w:rsidR="00CE48A5" w:rsidRPr="00CC0378">
        <w:rPr>
          <w:sz w:val="22"/>
          <w:szCs w:val="22"/>
          <w:lang w:val="sr-Latn-ME"/>
        </w:rPr>
        <w:t>ij</w:t>
      </w:r>
      <w:r w:rsidRPr="00CC0378">
        <w:rPr>
          <w:sz w:val="22"/>
          <w:szCs w:val="22"/>
          <w:lang w:val="sr-Latn-ME"/>
        </w:rPr>
        <w:t>ek nepoznatim kliničkim značajem, ali bez razvoja atrofičnog gastritisa ili karcinoidnih tumora.</w:t>
      </w:r>
    </w:p>
    <w:p w14:paraId="3918BF13" w14:textId="347D0024" w:rsidR="00660338" w:rsidRDefault="00660338" w:rsidP="00CC0378">
      <w:pPr>
        <w:tabs>
          <w:tab w:val="left" w:pos="540"/>
          <w:tab w:val="left" w:pos="569"/>
        </w:tabs>
        <w:jc w:val="both"/>
        <w:rPr>
          <w:b/>
          <w:bCs/>
          <w:sz w:val="22"/>
          <w:szCs w:val="22"/>
          <w:lang w:val="sr-Latn-ME"/>
        </w:rPr>
      </w:pPr>
    </w:p>
    <w:p w14:paraId="4C2C762D" w14:textId="77777777" w:rsidR="0072020E"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5.2. </w:t>
      </w:r>
      <w:r w:rsidR="00480FB1" w:rsidRPr="00CC0378">
        <w:rPr>
          <w:b/>
          <w:bCs/>
          <w:sz w:val="22"/>
          <w:szCs w:val="22"/>
          <w:lang w:val="sr-Latn-ME"/>
        </w:rPr>
        <w:tab/>
      </w:r>
      <w:r w:rsidRPr="00CC0378">
        <w:rPr>
          <w:b/>
          <w:bCs/>
          <w:sz w:val="22"/>
          <w:szCs w:val="22"/>
          <w:lang w:val="sr-Latn-ME"/>
        </w:rPr>
        <w:t>Farmakokinetički podaci</w:t>
      </w:r>
      <w:r w:rsidR="003A7059" w:rsidRPr="00CC0378">
        <w:rPr>
          <w:b/>
          <w:bCs/>
          <w:sz w:val="22"/>
          <w:szCs w:val="22"/>
          <w:lang w:val="sr-Latn-ME"/>
        </w:rPr>
        <w:t xml:space="preserve"> </w:t>
      </w:r>
    </w:p>
    <w:p w14:paraId="60BE78BC" w14:textId="58A0102A" w:rsidR="0072020E" w:rsidRPr="00CC0378" w:rsidRDefault="0072020E" w:rsidP="00CC0378">
      <w:pPr>
        <w:tabs>
          <w:tab w:val="left" w:pos="540"/>
          <w:tab w:val="left" w:pos="569"/>
        </w:tabs>
        <w:jc w:val="both"/>
        <w:rPr>
          <w:bCs/>
          <w:sz w:val="22"/>
          <w:szCs w:val="22"/>
          <w:lang w:val="sr-Latn-ME"/>
        </w:rPr>
      </w:pPr>
    </w:p>
    <w:p w14:paraId="71208A25" w14:textId="78632A7F" w:rsidR="00581CDC" w:rsidRPr="00CC0378" w:rsidRDefault="00581CDC" w:rsidP="00CC0378">
      <w:pPr>
        <w:jc w:val="both"/>
        <w:rPr>
          <w:b/>
          <w:sz w:val="22"/>
          <w:szCs w:val="22"/>
          <w:lang w:val="sr-Latn-ME"/>
        </w:rPr>
      </w:pPr>
      <w:r w:rsidRPr="00CC0378">
        <w:rPr>
          <w:b/>
          <w:strike/>
          <w:sz w:val="22"/>
          <w:szCs w:val="22"/>
          <w:lang w:val="sr-Latn-ME"/>
        </w:rPr>
        <w:fldChar w:fldCharType="begin"/>
      </w:r>
      <w:r w:rsidRPr="00CC0378">
        <w:rPr>
          <w:b/>
          <w:strike/>
          <w:sz w:val="22"/>
          <w:szCs w:val="22"/>
          <w:lang w:val="sr-Latn-ME"/>
        </w:rPr>
        <w:instrText xml:space="preserve">  </w:instrText>
      </w:r>
      <w:r w:rsidRPr="00CC0378">
        <w:rPr>
          <w:b/>
          <w:strike/>
          <w:sz w:val="22"/>
          <w:szCs w:val="22"/>
          <w:lang w:val="sr-Latn-ME"/>
        </w:rPr>
        <w:fldChar w:fldCharType="end"/>
      </w:r>
      <w:r w:rsidRPr="00CC0378">
        <w:rPr>
          <w:b/>
          <w:sz w:val="22"/>
          <w:szCs w:val="22"/>
          <w:lang w:val="sr-Latn-ME"/>
        </w:rPr>
        <w:t>Resorpcija</w:t>
      </w:r>
    </w:p>
    <w:p w14:paraId="086094B2" w14:textId="6577C566" w:rsidR="00581CDC" w:rsidRPr="00CC0378" w:rsidRDefault="00581CDC" w:rsidP="00CC0378">
      <w:pPr>
        <w:jc w:val="both"/>
        <w:rPr>
          <w:strike/>
          <w:sz w:val="22"/>
          <w:szCs w:val="22"/>
          <w:lang w:val="sr-Latn-ME"/>
        </w:rPr>
      </w:pPr>
      <w:r w:rsidRPr="00CC0378">
        <w:rPr>
          <w:sz w:val="22"/>
          <w:szCs w:val="22"/>
          <w:lang w:val="sr-Latn-ME"/>
        </w:rPr>
        <w:t xml:space="preserve">Esomeprazol je nestabilan u kiseloj sredini te se primjenjuje oralno u vidu gastrorezistentnih granula.  Konverzija </w:t>
      </w:r>
      <w:r w:rsidRPr="00CC0378">
        <w:rPr>
          <w:i/>
          <w:sz w:val="22"/>
          <w:szCs w:val="22"/>
          <w:lang w:val="sr-Latn-ME"/>
        </w:rPr>
        <w:t>in vivo</w:t>
      </w:r>
      <w:r w:rsidRPr="00CC0378">
        <w:rPr>
          <w:sz w:val="22"/>
          <w:szCs w:val="22"/>
          <w:lang w:val="sr-Latn-ME"/>
        </w:rPr>
        <w:t xml:space="preserve"> u R-izomer je zanemarljiva. Resorpcija esomeprazola je brza, a maksimalne konc</w:t>
      </w:r>
      <w:r w:rsidR="00104739">
        <w:rPr>
          <w:sz w:val="22"/>
          <w:szCs w:val="22"/>
          <w:lang w:val="sr-Latn-ME"/>
        </w:rPr>
        <w:t>entracije</w:t>
      </w:r>
      <w:r w:rsidRPr="00CC0378">
        <w:rPr>
          <w:sz w:val="22"/>
          <w:szCs w:val="22"/>
          <w:lang w:val="sr-Latn-ME"/>
        </w:rPr>
        <w:t xml:space="preserve"> u plazmi javljaju se 1-2 časa posl</w:t>
      </w:r>
      <w:r w:rsidR="00CE48A5" w:rsidRPr="00CC0378">
        <w:rPr>
          <w:sz w:val="22"/>
          <w:szCs w:val="22"/>
          <w:lang w:val="sr-Latn-ME"/>
        </w:rPr>
        <w:t>ij</w:t>
      </w:r>
      <w:r w:rsidRPr="00CC0378">
        <w:rPr>
          <w:sz w:val="22"/>
          <w:szCs w:val="22"/>
          <w:lang w:val="sr-Latn-ME"/>
        </w:rPr>
        <w:t>e uzimanja lijeka. Apsolutna biološka raspoloživost iznosi 64% posl</w:t>
      </w:r>
      <w:r w:rsidR="00CE48A5" w:rsidRPr="00CC0378">
        <w:rPr>
          <w:sz w:val="22"/>
          <w:szCs w:val="22"/>
          <w:lang w:val="sr-Latn-ME"/>
        </w:rPr>
        <w:t>ij</w:t>
      </w:r>
      <w:r w:rsidRPr="00CC0378">
        <w:rPr>
          <w:sz w:val="22"/>
          <w:szCs w:val="22"/>
          <w:lang w:val="sr-Latn-ME"/>
        </w:rPr>
        <w:t>e pojedinačne doze od 40 mg i povećava se do 89% posl</w:t>
      </w:r>
      <w:r w:rsidR="00CE48A5" w:rsidRPr="00CC0378">
        <w:rPr>
          <w:sz w:val="22"/>
          <w:szCs w:val="22"/>
          <w:lang w:val="sr-Latn-ME"/>
        </w:rPr>
        <w:t>ij</w:t>
      </w:r>
      <w:r w:rsidRPr="00CC0378">
        <w:rPr>
          <w:sz w:val="22"/>
          <w:szCs w:val="22"/>
          <w:lang w:val="sr-Latn-ME"/>
        </w:rPr>
        <w:t xml:space="preserve">e ponavljanog uzimanja iste doze jednom dnevno. Za dozu od 20 mg esomeprazola odgovarajuće vrijednosti apsolutne biološke raspoloživosti su 50% </w:t>
      </w:r>
      <w:r w:rsidR="00104739">
        <w:rPr>
          <w:sz w:val="22"/>
          <w:szCs w:val="22"/>
          <w:lang w:val="sr-Latn-ME"/>
        </w:rPr>
        <w:t>odnosno</w:t>
      </w:r>
      <w:r w:rsidR="00104739" w:rsidRPr="00CC0378">
        <w:rPr>
          <w:sz w:val="22"/>
          <w:szCs w:val="22"/>
          <w:lang w:val="sr-Latn-ME"/>
        </w:rPr>
        <w:t xml:space="preserve"> </w:t>
      </w:r>
      <w:r w:rsidRPr="00CC0378">
        <w:rPr>
          <w:sz w:val="22"/>
          <w:szCs w:val="22"/>
          <w:lang w:val="sr-Latn-ME"/>
        </w:rPr>
        <w:t>68%.</w:t>
      </w:r>
    </w:p>
    <w:p w14:paraId="7C352FD3" w14:textId="77777777" w:rsidR="00581CDC" w:rsidRPr="00CC0378" w:rsidRDefault="00581CDC" w:rsidP="00CC0378">
      <w:pPr>
        <w:jc w:val="both"/>
        <w:rPr>
          <w:sz w:val="22"/>
          <w:szCs w:val="22"/>
          <w:lang w:val="sr-Latn-ME"/>
        </w:rPr>
      </w:pPr>
    </w:p>
    <w:p w14:paraId="1F78B694" w14:textId="3EDCC4E7" w:rsidR="00581CDC" w:rsidRPr="00CC0378" w:rsidRDefault="00581CDC" w:rsidP="00CC0378">
      <w:pPr>
        <w:jc w:val="both"/>
        <w:rPr>
          <w:sz w:val="22"/>
          <w:szCs w:val="22"/>
          <w:lang w:val="sr-Latn-ME"/>
        </w:rPr>
      </w:pPr>
      <w:r w:rsidRPr="00CC0378">
        <w:rPr>
          <w:sz w:val="22"/>
          <w:szCs w:val="22"/>
          <w:lang w:val="sr-Latn-ME"/>
        </w:rPr>
        <w:t>Uno</w:t>
      </w:r>
      <w:r w:rsidR="00104739">
        <w:rPr>
          <w:sz w:val="22"/>
          <w:szCs w:val="22"/>
          <w:lang w:val="sr-Latn-ME"/>
        </w:rPr>
        <w:t>s</w:t>
      </w:r>
      <w:r w:rsidRPr="00CC0378">
        <w:rPr>
          <w:sz w:val="22"/>
          <w:szCs w:val="22"/>
          <w:lang w:val="sr-Latn-ME"/>
        </w:rPr>
        <w:t xml:space="preserve"> hrane i usporava i smanjuje resorpciju esomeprazola mada ovo ne utiče značajno na efekat esomeprazola na intragastričnu kiselost.</w:t>
      </w:r>
    </w:p>
    <w:p w14:paraId="7501083B" w14:textId="77777777" w:rsidR="00581CDC" w:rsidRPr="00CC0378" w:rsidRDefault="00581CDC" w:rsidP="00CC0378">
      <w:pPr>
        <w:jc w:val="both"/>
        <w:rPr>
          <w:sz w:val="22"/>
          <w:szCs w:val="22"/>
          <w:lang w:val="sr-Latn-ME"/>
        </w:rPr>
      </w:pPr>
    </w:p>
    <w:p w14:paraId="43A5AFAD" w14:textId="77777777" w:rsidR="00581CDC" w:rsidRPr="00CC0378" w:rsidRDefault="00581CDC" w:rsidP="00CC0378">
      <w:pPr>
        <w:jc w:val="both"/>
        <w:rPr>
          <w:sz w:val="22"/>
          <w:szCs w:val="22"/>
          <w:u w:val="single"/>
          <w:lang w:val="sr-Latn-ME"/>
        </w:rPr>
      </w:pPr>
      <w:r w:rsidRPr="00CC0378">
        <w:rPr>
          <w:sz w:val="22"/>
          <w:szCs w:val="22"/>
          <w:u w:val="single"/>
          <w:lang w:val="sr-Latn-ME"/>
        </w:rPr>
        <w:t>Distribucija</w:t>
      </w:r>
    </w:p>
    <w:p w14:paraId="46515D95" w14:textId="367AAC82" w:rsidR="00581CDC" w:rsidRPr="00CC0378" w:rsidRDefault="00581CDC" w:rsidP="00CC0378">
      <w:pPr>
        <w:jc w:val="both"/>
        <w:rPr>
          <w:sz w:val="22"/>
          <w:szCs w:val="22"/>
          <w:lang w:val="sr-Latn-ME"/>
        </w:rPr>
      </w:pPr>
      <w:r w:rsidRPr="00CC0378">
        <w:rPr>
          <w:sz w:val="22"/>
          <w:szCs w:val="22"/>
          <w:lang w:val="sr-Latn-ME"/>
        </w:rPr>
        <w:t xml:space="preserve">Volumen distribucije u stanju ravnoteže kod zdravih ispitanika iznosi približno 0,22 </w:t>
      </w:r>
      <w:r w:rsidR="00104739">
        <w:rPr>
          <w:sz w:val="22"/>
          <w:szCs w:val="22"/>
          <w:lang w:val="sr-Latn-ME"/>
        </w:rPr>
        <w:t>l</w:t>
      </w:r>
      <w:r w:rsidRPr="00CC0378">
        <w:rPr>
          <w:sz w:val="22"/>
          <w:szCs w:val="22"/>
          <w:lang w:val="sr-Latn-ME"/>
        </w:rPr>
        <w:t>/kg tjelesne mase. Esomeprazol se vezuje za proteine plazme 97%.</w:t>
      </w:r>
    </w:p>
    <w:p w14:paraId="3A7FFFE3" w14:textId="47BC8982" w:rsidR="00581CDC" w:rsidRPr="00CC0378" w:rsidRDefault="00581CDC" w:rsidP="00CC0378">
      <w:pPr>
        <w:jc w:val="both"/>
        <w:rPr>
          <w:sz w:val="22"/>
          <w:szCs w:val="22"/>
          <w:lang w:val="sr-Latn-ME"/>
        </w:rPr>
      </w:pPr>
    </w:p>
    <w:p w14:paraId="03DA9D5C" w14:textId="77777777" w:rsidR="00581CDC" w:rsidRPr="00CC0378" w:rsidRDefault="00581CDC" w:rsidP="00CC0378">
      <w:pPr>
        <w:jc w:val="both"/>
        <w:rPr>
          <w:sz w:val="22"/>
          <w:szCs w:val="22"/>
          <w:u w:val="single"/>
          <w:lang w:val="sr-Latn-ME"/>
        </w:rPr>
      </w:pPr>
      <w:r w:rsidRPr="00CC0378">
        <w:rPr>
          <w:sz w:val="22"/>
          <w:szCs w:val="22"/>
          <w:u w:val="single"/>
          <w:lang w:val="sr-Latn-ME"/>
        </w:rPr>
        <w:t>Biotransformacija</w:t>
      </w:r>
    </w:p>
    <w:p w14:paraId="74D3909C" w14:textId="06A3486C" w:rsidR="00581CDC" w:rsidRPr="00CC0378" w:rsidRDefault="00581CDC" w:rsidP="00CC0378">
      <w:pPr>
        <w:jc w:val="both"/>
        <w:rPr>
          <w:sz w:val="22"/>
          <w:szCs w:val="22"/>
          <w:lang w:val="sr-Latn-ME"/>
        </w:rPr>
      </w:pPr>
      <w:r w:rsidRPr="00CC0378">
        <w:rPr>
          <w:sz w:val="22"/>
          <w:szCs w:val="22"/>
          <w:lang w:val="sr-Latn-ME"/>
        </w:rPr>
        <w:t xml:space="preserve">Esomeprazol se </w:t>
      </w:r>
      <w:r w:rsidR="00104739">
        <w:rPr>
          <w:sz w:val="22"/>
          <w:szCs w:val="22"/>
          <w:lang w:val="sr-Latn-ME"/>
        </w:rPr>
        <w:t>u potpunosti</w:t>
      </w:r>
      <w:r w:rsidR="00104739" w:rsidRPr="00CC0378">
        <w:rPr>
          <w:sz w:val="22"/>
          <w:szCs w:val="22"/>
          <w:lang w:val="sr-Latn-ME"/>
        </w:rPr>
        <w:t xml:space="preserve"> </w:t>
      </w:r>
      <w:r w:rsidRPr="00CC0378">
        <w:rPr>
          <w:sz w:val="22"/>
          <w:szCs w:val="22"/>
          <w:lang w:val="sr-Latn-ME"/>
        </w:rPr>
        <w:t xml:space="preserve">metaboliše pomoću sistema citohroma P450 (CYP). </w:t>
      </w:r>
      <w:r w:rsidR="00104739">
        <w:rPr>
          <w:sz w:val="22"/>
          <w:szCs w:val="22"/>
          <w:lang w:val="sr-Latn-ME"/>
        </w:rPr>
        <w:t>Njaveći dio metabolizma</w:t>
      </w:r>
      <w:r w:rsidRPr="00CC0378">
        <w:rPr>
          <w:sz w:val="22"/>
          <w:szCs w:val="22"/>
          <w:lang w:val="sr-Latn-ME"/>
        </w:rPr>
        <w:t xml:space="preserve"> esomeprazola zavisi od polimorfnog CYP2C19, koji je odgovoran za formiranje hidroksi</w:t>
      </w:r>
      <w:r w:rsidR="00104739">
        <w:rPr>
          <w:sz w:val="22"/>
          <w:szCs w:val="22"/>
          <w:lang w:val="sr-Latn-ME"/>
        </w:rPr>
        <w:t>-</w:t>
      </w:r>
      <w:r w:rsidRPr="00CC0378">
        <w:rPr>
          <w:sz w:val="22"/>
          <w:szCs w:val="22"/>
          <w:lang w:val="sr-Latn-ME"/>
        </w:rPr>
        <w:t xml:space="preserve"> i desmetil metabolita esomeprazola. Preostali dio se metaboliše preko druge specifične izoforme, CYP3A4, koja je odgovorna za formiranje esomeprazol sulfona, glavnog metabolita u plazmi.</w:t>
      </w:r>
    </w:p>
    <w:p w14:paraId="735FA7BB" w14:textId="2E2F6962" w:rsidR="00581CDC" w:rsidRDefault="00581CDC" w:rsidP="00CC0378">
      <w:pPr>
        <w:jc w:val="both"/>
        <w:rPr>
          <w:sz w:val="22"/>
          <w:szCs w:val="22"/>
          <w:lang w:val="sr-Latn-ME"/>
        </w:rPr>
      </w:pPr>
    </w:p>
    <w:p w14:paraId="6BEA92DD" w14:textId="77777777" w:rsidR="002A034D" w:rsidRPr="00CC0378" w:rsidRDefault="002A034D" w:rsidP="00CC0378">
      <w:pPr>
        <w:jc w:val="both"/>
        <w:rPr>
          <w:sz w:val="22"/>
          <w:szCs w:val="22"/>
          <w:lang w:val="sr-Latn-ME"/>
        </w:rPr>
      </w:pPr>
    </w:p>
    <w:p w14:paraId="37B2A2E6" w14:textId="77777777" w:rsidR="00581CDC" w:rsidRPr="00CC0378" w:rsidRDefault="00581CDC" w:rsidP="00CC0378">
      <w:pPr>
        <w:jc w:val="both"/>
        <w:rPr>
          <w:sz w:val="22"/>
          <w:szCs w:val="22"/>
          <w:u w:val="single"/>
          <w:lang w:val="sr-Latn-ME"/>
        </w:rPr>
      </w:pPr>
      <w:r w:rsidRPr="00CC0378">
        <w:rPr>
          <w:sz w:val="22"/>
          <w:szCs w:val="22"/>
          <w:u w:val="single"/>
          <w:lang w:val="sr-Latn-ME"/>
        </w:rPr>
        <w:t>Eliminacija</w:t>
      </w:r>
    </w:p>
    <w:p w14:paraId="5B203608" w14:textId="36EFCC6A" w:rsidR="00581CDC" w:rsidRPr="00CC0378" w:rsidRDefault="00581CDC" w:rsidP="00CC0378">
      <w:pPr>
        <w:jc w:val="both"/>
        <w:rPr>
          <w:sz w:val="22"/>
          <w:szCs w:val="22"/>
          <w:lang w:val="sr-Latn-ME"/>
        </w:rPr>
      </w:pPr>
      <w:r w:rsidRPr="00CC0378">
        <w:rPr>
          <w:sz w:val="22"/>
          <w:szCs w:val="22"/>
          <w:lang w:val="sr-Latn-ME"/>
        </w:rPr>
        <w:t xml:space="preserve">Dolje navedeni parametri odnose se uglavnom na farmakokinetiku esomeprazola kod ispitanika sa funkcionalnim enzimom CYP2C19, tzv. </w:t>
      </w:r>
      <w:r w:rsidR="00104739" w:rsidRPr="00CC0378">
        <w:rPr>
          <w:sz w:val="22"/>
          <w:szCs w:val="22"/>
          <w:lang w:val="sr-Latn-ME"/>
        </w:rPr>
        <w:t xml:space="preserve">ekstenzivni </w:t>
      </w:r>
      <w:r w:rsidRPr="00CC0378">
        <w:rPr>
          <w:sz w:val="22"/>
          <w:szCs w:val="22"/>
          <w:lang w:val="sr-Latn-ME"/>
        </w:rPr>
        <w:t>metabolizer</w:t>
      </w:r>
      <w:r w:rsidR="00104739">
        <w:rPr>
          <w:sz w:val="22"/>
          <w:szCs w:val="22"/>
          <w:lang w:val="sr-Latn-ME"/>
        </w:rPr>
        <w:t>i</w:t>
      </w:r>
      <w:r w:rsidRPr="00CC0378">
        <w:rPr>
          <w:sz w:val="22"/>
          <w:szCs w:val="22"/>
          <w:lang w:val="sr-Latn-ME"/>
        </w:rPr>
        <w:t xml:space="preserve">. </w:t>
      </w:r>
    </w:p>
    <w:p w14:paraId="2689ECA7" w14:textId="67712225" w:rsidR="00581CDC" w:rsidRPr="00CC0378" w:rsidRDefault="00581CDC" w:rsidP="00CC0378">
      <w:pPr>
        <w:jc w:val="both"/>
        <w:rPr>
          <w:sz w:val="22"/>
          <w:szCs w:val="22"/>
          <w:lang w:val="sr-Latn-ME"/>
        </w:rPr>
      </w:pPr>
      <w:r w:rsidRPr="00CC0378">
        <w:rPr>
          <w:sz w:val="22"/>
          <w:szCs w:val="22"/>
          <w:lang w:val="sr-Latn-ME"/>
        </w:rPr>
        <w:t xml:space="preserve">Ukupni plazma klirens je oko 17 </w:t>
      </w:r>
      <w:r w:rsidR="00104739">
        <w:rPr>
          <w:sz w:val="22"/>
          <w:szCs w:val="22"/>
          <w:lang w:val="sr-Latn-ME"/>
        </w:rPr>
        <w:t>l</w:t>
      </w:r>
      <w:r w:rsidRPr="00CC0378">
        <w:rPr>
          <w:sz w:val="22"/>
          <w:szCs w:val="22"/>
          <w:lang w:val="sr-Latn-ME"/>
        </w:rPr>
        <w:t>/h posl</w:t>
      </w:r>
      <w:r w:rsidR="00CE48A5" w:rsidRPr="00CC0378">
        <w:rPr>
          <w:sz w:val="22"/>
          <w:szCs w:val="22"/>
          <w:lang w:val="sr-Latn-ME"/>
        </w:rPr>
        <w:t>ij</w:t>
      </w:r>
      <w:r w:rsidRPr="00CC0378">
        <w:rPr>
          <w:sz w:val="22"/>
          <w:szCs w:val="22"/>
          <w:lang w:val="sr-Latn-ME"/>
        </w:rPr>
        <w:t xml:space="preserve">e pojedinačne doze i oko 9 </w:t>
      </w:r>
      <w:r w:rsidR="00104739">
        <w:rPr>
          <w:sz w:val="22"/>
          <w:szCs w:val="22"/>
          <w:lang w:val="sr-Latn-ME"/>
        </w:rPr>
        <w:t>l</w:t>
      </w:r>
      <w:r w:rsidRPr="00CC0378">
        <w:rPr>
          <w:sz w:val="22"/>
          <w:szCs w:val="22"/>
          <w:lang w:val="sr-Latn-ME"/>
        </w:rPr>
        <w:t>/h posl</w:t>
      </w:r>
      <w:r w:rsidR="00CE48A5" w:rsidRPr="00CC0378">
        <w:rPr>
          <w:sz w:val="22"/>
          <w:szCs w:val="22"/>
          <w:lang w:val="sr-Latn-ME"/>
        </w:rPr>
        <w:t>ij</w:t>
      </w:r>
      <w:r w:rsidRPr="00CC0378">
        <w:rPr>
          <w:sz w:val="22"/>
          <w:szCs w:val="22"/>
          <w:lang w:val="sr-Latn-ME"/>
        </w:rPr>
        <w:t>e ponavljene primjene. Poluvrijeme eliminacije iz plazme je oko 1</w:t>
      </w:r>
      <w:r w:rsidR="00104739">
        <w:rPr>
          <w:sz w:val="22"/>
          <w:szCs w:val="22"/>
          <w:lang w:val="sr-Latn-ME"/>
        </w:rPr>
        <w:t>.</w:t>
      </w:r>
      <w:r w:rsidRPr="00CC0378">
        <w:rPr>
          <w:sz w:val="22"/>
          <w:szCs w:val="22"/>
          <w:lang w:val="sr-Latn-ME"/>
        </w:rPr>
        <w:t>3 časa posl</w:t>
      </w:r>
      <w:r w:rsidR="00CE48A5" w:rsidRPr="00CC0378">
        <w:rPr>
          <w:sz w:val="22"/>
          <w:szCs w:val="22"/>
          <w:lang w:val="sr-Latn-ME"/>
        </w:rPr>
        <w:t>ij</w:t>
      </w:r>
      <w:r w:rsidRPr="00CC0378">
        <w:rPr>
          <w:sz w:val="22"/>
          <w:szCs w:val="22"/>
          <w:lang w:val="sr-Latn-ME"/>
        </w:rPr>
        <w:t>e ponovljene primjene esomeprazola jednom dnevno. Esomeprazol se kompletno eliminiše iz plazme između doza i nema tendenciju da se akumulira kada se daje jednom dnevno.</w:t>
      </w:r>
    </w:p>
    <w:p w14:paraId="14487972" w14:textId="77777777" w:rsidR="00581CDC" w:rsidRPr="00CC0378" w:rsidRDefault="00581CDC" w:rsidP="00CC0378">
      <w:pPr>
        <w:jc w:val="both"/>
        <w:rPr>
          <w:sz w:val="22"/>
          <w:szCs w:val="22"/>
          <w:lang w:val="sr-Latn-ME"/>
        </w:rPr>
      </w:pPr>
    </w:p>
    <w:p w14:paraId="3B67B56C" w14:textId="4F97B3EE" w:rsidR="00581CDC" w:rsidRPr="00CC0378" w:rsidRDefault="00581CDC" w:rsidP="00CC0378">
      <w:pPr>
        <w:jc w:val="both"/>
        <w:rPr>
          <w:sz w:val="22"/>
          <w:szCs w:val="22"/>
          <w:lang w:val="sr-Latn-ME"/>
        </w:rPr>
      </w:pPr>
      <w:r w:rsidRPr="00CC0378">
        <w:rPr>
          <w:sz w:val="22"/>
          <w:szCs w:val="22"/>
          <w:lang w:val="sr-Latn-ME"/>
        </w:rPr>
        <w:t xml:space="preserve">Glavni metaboliti esomeprazola nemaju dejstva na sekreciju želudačne </w:t>
      </w:r>
      <w:r w:rsidR="00AB2C68" w:rsidRPr="00CC0378">
        <w:rPr>
          <w:sz w:val="22"/>
          <w:szCs w:val="22"/>
          <w:lang w:val="sr-Latn-ME"/>
        </w:rPr>
        <w:t>kiselin</w:t>
      </w:r>
      <w:r w:rsidRPr="00CC0378">
        <w:rPr>
          <w:sz w:val="22"/>
          <w:szCs w:val="22"/>
          <w:lang w:val="sr-Latn-ME"/>
        </w:rPr>
        <w:t>e. Skoro 80% oralne doze esomeprazola izlučuje se u vidu metabolita urinom, a ostatak se izlučuje fecesom. U urinu se nalazi manje od 1% osnovnog lijeka.</w:t>
      </w:r>
    </w:p>
    <w:p w14:paraId="14A7D41E" w14:textId="77777777" w:rsidR="00581CDC" w:rsidRPr="00CC0378" w:rsidRDefault="00581CDC" w:rsidP="00CC0378">
      <w:pPr>
        <w:jc w:val="both"/>
        <w:rPr>
          <w:sz w:val="22"/>
          <w:szCs w:val="22"/>
          <w:lang w:val="sr-Latn-ME"/>
        </w:rPr>
      </w:pPr>
    </w:p>
    <w:p w14:paraId="05813B40" w14:textId="77777777" w:rsidR="00581CDC" w:rsidRPr="00CC0378" w:rsidRDefault="00581CDC" w:rsidP="00CC0378">
      <w:pPr>
        <w:jc w:val="both"/>
        <w:rPr>
          <w:sz w:val="22"/>
          <w:szCs w:val="22"/>
          <w:u w:val="single"/>
          <w:lang w:val="sr-Latn-ME"/>
        </w:rPr>
      </w:pPr>
      <w:r w:rsidRPr="00CC0378">
        <w:rPr>
          <w:sz w:val="22"/>
          <w:szCs w:val="22"/>
          <w:u w:val="single"/>
          <w:lang w:val="sr-Latn-ME"/>
        </w:rPr>
        <w:t>Linearnost/nelinearnost</w:t>
      </w:r>
    </w:p>
    <w:p w14:paraId="7EEE0123" w14:textId="4D57DDC7" w:rsidR="00581CDC" w:rsidRPr="00CC0378" w:rsidRDefault="00581CDC" w:rsidP="00CC0378">
      <w:pPr>
        <w:jc w:val="both"/>
        <w:rPr>
          <w:sz w:val="22"/>
          <w:szCs w:val="22"/>
          <w:lang w:val="sr-Latn-ME"/>
        </w:rPr>
      </w:pPr>
      <w:r w:rsidRPr="00CC0378">
        <w:rPr>
          <w:sz w:val="22"/>
          <w:szCs w:val="22"/>
          <w:lang w:val="sr-Latn-ME"/>
        </w:rPr>
        <w:t>Farmakokinetika esomeprazola ispitivana je u dozama do 40 mg dva puta dnevno. Površina ispod krive koncentracije lijeka u plazmi u funkciji vremena povećava se pri ponovljenoj primjeni esomeprazola. Ovo povećanje je dozno-zavisno i dovodi do više nego proporcionalnog povećanja PIK posl</w:t>
      </w:r>
      <w:r w:rsidR="00CE48A5" w:rsidRPr="00CC0378">
        <w:rPr>
          <w:sz w:val="22"/>
          <w:szCs w:val="22"/>
          <w:lang w:val="sr-Latn-ME"/>
        </w:rPr>
        <w:t>ij</w:t>
      </w:r>
      <w:r w:rsidRPr="00CC0378">
        <w:rPr>
          <w:sz w:val="22"/>
          <w:szCs w:val="22"/>
          <w:lang w:val="sr-Latn-ME"/>
        </w:rPr>
        <w:t>e ponovljene primjene. Ova vremenska i dozna zavisnost je posl</w:t>
      </w:r>
      <w:r w:rsidR="00CE48A5" w:rsidRPr="00CC0378">
        <w:rPr>
          <w:sz w:val="22"/>
          <w:szCs w:val="22"/>
          <w:lang w:val="sr-Latn-ME"/>
        </w:rPr>
        <w:t>j</w:t>
      </w:r>
      <w:r w:rsidRPr="00CC0378">
        <w:rPr>
          <w:sz w:val="22"/>
          <w:szCs w:val="22"/>
          <w:lang w:val="sr-Latn-ME"/>
        </w:rPr>
        <w:t>edica smanjenja metabolizma prvog prolaza i sistemskog klirensa v</w:t>
      </w:r>
      <w:r w:rsidR="00CE48A5" w:rsidRPr="00CC0378">
        <w:rPr>
          <w:sz w:val="22"/>
          <w:szCs w:val="22"/>
          <w:lang w:val="sr-Latn-ME"/>
        </w:rPr>
        <w:t>j</w:t>
      </w:r>
      <w:r w:rsidRPr="00CC0378">
        <w:rPr>
          <w:sz w:val="22"/>
          <w:szCs w:val="22"/>
          <w:lang w:val="sr-Latn-ME"/>
        </w:rPr>
        <w:t>erovatno usl</w:t>
      </w:r>
      <w:r w:rsidR="00CE48A5" w:rsidRPr="00CC0378">
        <w:rPr>
          <w:sz w:val="22"/>
          <w:szCs w:val="22"/>
          <w:lang w:val="sr-Latn-ME"/>
        </w:rPr>
        <w:t>j</w:t>
      </w:r>
      <w:r w:rsidRPr="00CC0378">
        <w:rPr>
          <w:sz w:val="22"/>
          <w:szCs w:val="22"/>
          <w:lang w:val="sr-Latn-ME"/>
        </w:rPr>
        <w:t xml:space="preserve">ed inhibicije enzima CYP2C19 esomeprazolom i/ili njegovim sulfonskim metabolitom.  </w:t>
      </w:r>
    </w:p>
    <w:p w14:paraId="46890222" w14:textId="77777777" w:rsidR="00581CDC" w:rsidRPr="00CC0378" w:rsidRDefault="00581CDC" w:rsidP="00CC0378">
      <w:pPr>
        <w:jc w:val="both"/>
        <w:rPr>
          <w:sz w:val="22"/>
          <w:szCs w:val="22"/>
          <w:lang w:val="sr-Latn-ME"/>
        </w:rPr>
      </w:pPr>
    </w:p>
    <w:p w14:paraId="1123A8AC" w14:textId="09DE83E3" w:rsidR="00581CDC" w:rsidRPr="00CC0378" w:rsidRDefault="00581CDC" w:rsidP="00CC0378">
      <w:pPr>
        <w:jc w:val="both"/>
        <w:rPr>
          <w:b/>
          <w:sz w:val="22"/>
          <w:szCs w:val="22"/>
          <w:lang w:val="sr-Latn-ME"/>
        </w:rPr>
      </w:pPr>
      <w:r w:rsidRPr="00CC0378">
        <w:rPr>
          <w:b/>
          <w:sz w:val="22"/>
          <w:szCs w:val="22"/>
          <w:lang w:val="sr-Latn-ME"/>
        </w:rPr>
        <w:t xml:space="preserve">Posebne populacije </w:t>
      </w:r>
      <w:r w:rsidR="00CE48A5" w:rsidRPr="00CC0378">
        <w:rPr>
          <w:b/>
          <w:sz w:val="22"/>
          <w:szCs w:val="22"/>
          <w:lang w:val="sr-Latn-ME"/>
        </w:rPr>
        <w:t>pacijenata</w:t>
      </w:r>
    </w:p>
    <w:p w14:paraId="200A8B8E" w14:textId="77777777" w:rsidR="00581CDC" w:rsidRPr="00CC0378" w:rsidRDefault="00581CDC" w:rsidP="00CC0378">
      <w:pPr>
        <w:jc w:val="both"/>
        <w:rPr>
          <w:b/>
          <w:sz w:val="22"/>
          <w:szCs w:val="22"/>
          <w:lang w:val="sr-Latn-ME"/>
        </w:rPr>
      </w:pPr>
    </w:p>
    <w:p w14:paraId="0390FA4A" w14:textId="77777777" w:rsidR="00581CDC" w:rsidRPr="00CC0378" w:rsidRDefault="00581CDC" w:rsidP="00CC0378">
      <w:pPr>
        <w:jc w:val="both"/>
        <w:rPr>
          <w:i/>
          <w:sz w:val="22"/>
          <w:szCs w:val="22"/>
          <w:lang w:val="sr-Latn-ME"/>
        </w:rPr>
      </w:pPr>
      <w:r w:rsidRPr="00CC0378">
        <w:rPr>
          <w:i/>
          <w:sz w:val="22"/>
          <w:szCs w:val="22"/>
          <w:lang w:val="sr-Latn-ME"/>
        </w:rPr>
        <w:t>Slabi metabolizeri</w:t>
      </w:r>
    </w:p>
    <w:p w14:paraId="6BDE96E4" w14:textId="4A00ADDE" w:rsidR="00581CDC" w:rsidRPr="00CC0378" w:rsidRDefault="00581CDC" w:rsidP="00CC0378">
      <w:pPr>
        <w:jc w:val="both"/>
        <w:rPr>
          <w:sz w:val="22"/>
          <w:szCs w:val="22"/>
          <w:lang w:val="sr-Latn-ME"/>
        </w:rPr>
      </w:pPr>
      <w:r w:rsidRPr="00CC0378">
        <w:rPr>
          <w:sz w:val="22"/>
          <w:szCs w:val="22"/>
          <w:lang w:val="sr-Latn-ME"/>
        </w:rPr>
        <w:t>Približno  2</w:t>
      </w:r>
      <w:r w:rsidR="00104739">
        <w:rPr>
          <w:sz w:val="22"/>
          <w:szCs w:val="22"/>
          <w:lang w:val="sr-Latn-ME"/>
        </w:rPr>
        <w:t>.</w:t>
      </w:r>
      <w:r w:rsidRPr="00CC0378">
        <w:rPr>
          <w:sz w:val="22"/>
          <w:szCs w:val="22"/>
          <w:lang w:val="sr-Latn-ME"/>
        </w:rPr>
        <w:t>9</w:t>
      </w:r>
      <w:r w:rsidRPr="00CC0378">
        <w:rPr>
          <w:sz w:val="22"/>
          <w:szCs w:val="22"/>
          <w:lang w:val="sr-Latn-ME"/>
        </w:rPr>
        <w:sym w:font="Symbol" w:char="F0B1"/>
      </w:r>
      <w:r w:rsidRPr="00CC0378">
        <w:rPr>
          <w:sz w:val="22"/>
          <w:szCs w:val="22"/>
          <w:lang w:val="sr-Latn-ME"/>
        </w:rPr>
        <w:t>1</w:t>
      </w:r>
      <w:r w:rsidR="00104739">
        <w:rPr>
          <w:sz w:val="22"/>
          <w:szCs w:val="22"/>
          <w:lang w:val="sr-Latn-ME"/>
        </w:rPr>
        <w:t>.</w:t>
      </w:r>
      <w:r w:rsidRPr="00CC0378">
        <w:rPr>
          <w:sz w:val="22"/>
          <w:szCs w:val="22"/>
          <w:lang w:val="sr-Latn-ME"/>
        </w:rPr>
        <w:t>5%</w:t>
      </w:r>
      <w:r w:rsidRPr="00CC0378">
        <w:rPr>
          <w:bCs/>
          <w:sz w:val="22"/>
          <w:szCs w:val="22"/>
          <w:lang w:val="sr-Latn-ME"/>
        </w:rPr>
        <w:t xml:space="preserve"> </w:t>
      </w:r>
      <w:r w:rsidRPr="00CC0378">
        <w:rPr>
          <w:sz w:val="22"/>
          <w:szCs w:val="22"/>
          <w:lang w:val="sr-Latn-ME"/>
        </w:rPr>
        <w:t>populacije nema funkcionalni enzim CYP2C19 i oni se nazivaju slabi metabolizeri. Kod ovih osoba metabolizam esomeprazola se vjerovatno odvija pomoću CYP3A4. Posl</w:t>
      </w:r>
      <w:r w:rsidR="00CE48A5" w:rsidRPr="00CC0378">
        <w:rPr>
          <w:sz w:val="22"/>
          <w:szCs w:val="22"/>
          <w:lang w:val="sr-Latn-ME"/>
        </w:rPr>
        <w:t>ij</w:t>
      </w:r>
      <w:r w:rsidRPr="00CC0378">
        <w:rPr>
          <w:sz w:val="22"/>
          <w:szCs w:val="22"/>
          <w:lang w:val="sr-Latn-ME"/>
        </w:rPr>
        <w:t>e ponovljene primjene 40 mg esomeprazola jednom dnevno, prosječna površina ispod krive koncentracije lijeka u plazmi u funkciji vremena bila je približno 100% veća kod slabih metabolizera u odnosu na one koji imaju funkcionalni enzim CYP2C19 (ekstenzivni metabolizeri). Prosječne maksimalne koncentracije u plazmi bile su povećane za oko  60%. Ovi nalazi nemaju uticaja na doziranje esomeprazola.</w:t>
      </w:r>
    </w:p>
    <w:p w14:paraId="4B6C2595" w14:textId="038E322A" w:rsidR="00581CDC" w:rsidRPr="00CC0378" w:rsidRDefault="00581CDC" w:rsidP="00CC0378">
      <w:pPr>
        <w:jc w:val="both"/>
        <w:rPr>
          <w:sz w:val="22"/>
          <w:szCs w:val="22"/>
          <w:lang w:val="sr-Latn-ME"/>
        </w:rPr>
      </w:pPr>
      <w:r w:rsidRPr="00CC0378">
        <w:rPr>
          <w:sz w:val="22"/>
          <w:szCs w:val="22"/>
          <w:lang w:val="sr-Latn-ME"/>
        </w:rPr>
        <w:t xml:space="preserve"> </w:t>
      </w:r>
    </w:p>
    <w:p w14:paraId="0EEAA02C" w14:textId="77777777" w:rsidR="00581CDC" w:rsidRPr="00CC0378" w:rsidRDefault="00581CDC" w:rsidP="00CC0378">
      <w:pPr>
        <w:jc w:val="both"/>
        <w:rPr>
          <w:i/>
          <w:sz w:val="22"/>
          <w:szCs w:val="22"/>
          <w:lang w:val="sr-Latn-ME"/>
        </w:rPr>
      </w:pPr>
      <w:r w:rsidRPr="00CC0378">
        <w:rPr>
          <w:i/>
          <w:sz w:val="22"/>
          <w:szCs w:val="22"/>
          <w:lang w:val="sr-Latn-ME"/>
        </w:rPr>
        <w:t>Pol</w:t>
      </w:r>
    </w:p>
    <w:p w14:paraId="5A0F5FB2" w14:textId="77777777" w:rsidR="00581CDC" w:rsidRPr="00CC0378" w:rsidRDefault="00581CDC" w:rsidP="00CC0378">
      <w:pPr>
        <w:jc w:val="both"/>
        <w:rPr>
          <w:sz w:val="22"/>
          <w:szCs w:val="22"/>
          <w:lang w:val="sr-Latn-ME"/>
        </w:rPr>
      </w:pPr>
      <w:r w:rsidRPr="00CC0378">
        <w:rPr>
          <w:sz w:val="22"/>
          <w:szCs w:val="22"/>
          <w:lang w:val="sr-Latn-ME"/>
        </w:rPr>
        <w:t>Poslije pojedinačne doze od 40 mg esomeprazola prosječna površina ispod krive koncentracije lijeka u plazmi u funkciji vremena bila je približno 30% veća kod žena nego kod muškaraca. Razlike između polova nisu uočene pri ponovljenoj primjeni lijeka jednom dnevno. Ovi nalazi nemaju uticaja na doziranje esomeprazola.</w:t>
      </w:r>
    </w:p>
    <w:p w14:paraId="38E35512" w14:textId="77777777" w:rsidR="00581CDC" w:rsidRPr="00CC0378" w:rsidRDefault="00581CDC" w:rsidP="00CC0378">
      <w:pPr>
        <w:jc w:val="both"/>
        <w:rPr>
          <w:sz w:val="22"/>
          <w:szCs w:val="22"/>
          <w:lang w:val="sr-Latn-ME"/>
        </w:rPr>
      </w:pPr>
      <w:r w:rsidRPr="00CC0378">
        <w:rPr>
          <w:sz w:val="22"/>
          <w:szCs w:val="22"/>
          <w:lang w:val="sr-Latn-ME"/>
        </w:rPr>
        <w:fldChar w:fldCharType="begin"/>
      </w:r>
      <w:r w:rsidRPr="00CC0378">
        <w:rPr>
          <w:sz w:val="22"/>
          <w:szCs w:val="22"/>
          <w:lang w:val="sr-Latn-ME"/>
        </w:rPr>
        <w:instrText xml:space="preserve">  </w:instrText>
      </w:r>
      <w:r w:rsidRPr="00CC0378">
        <w:rPr>
          <w:sz w:val="22"/>
          <w:szCs w:val="22"/>
          <w:lang w:val="sr-Latn-ME"/>
        </w:rPr>
        <w:fldChar w:fldCharType="end"/>
      </w:r>
    </w:p>
    <w:p w14:paraId="04436F1B" w14:textId="77777777" w:rsidR="00581CDC" w:rsidRPr="00CC0378" w:rsidRDefault="00581CDC" w:rsidP="00CC0378">
      <w:pPr>
        <w:jc w:val="both"/>
        <w:rPr>
          <w:i/>
          <w:sz w:val="22"/>
          <w:szCs w:val="22"/>
          <w:lang w:val="sr-Latn-ME"/>
        </w:rPr>
      </w:pPr>
      <w:r w:rsidRPr="00CC0378">
        <w:rPr>
          <w:i/>
          <w:sz w:val="22"/>
          <w:szCs w:val="22"/>
          <w:lang w:val="sr-Latn-ME"/>
        </w:rPr>
        <w:t>Oštećenje funkcije jetre</w:t>
      </w:r>
    </w:p>
    <w:p w14:paraId="2A0A10F0" w14:textId="11E17379" w:rsidR="00581CDC" w:rsidRPr="00CC0378" w:rsidRDefault="00581CDC" w:rsidP="00CC0378">
      <w:pPr>
        <w:jc w:val="both"/>
        <w:rPr>
          <w:sz w:val="22"/>
          <w:szCs w:val="22"/>
          <w:lang w:val="sr-Latn-ME"/>
        </w:rPr>
      </w:pPr>
      <w:r w:rsidRPr="00CC0378">
        <w:rPr>
          <w:sz w:val="22"/>
          <w:szCs w:val="22"/>
          <w:lang w:val="sr-Latn-ME"/>
        </w:rPr>
        <w:t>Metabolizam esomeprazola kod pacijenata sa blagom do umjerenom insuficijencijom jetre može biti smanjen, dok je  kod pacijenata sa težom insuficijencijom jetre metabolizam esomeprazola smanjen što dovodi do dvostrukog povećanja vrijednosti površine ispod krive koncentracije esomeprazola u plazmi u funkciji vremena. Zbog toga, kod pacijenata sa težom insuficijencijom</w:t>
      </w:r>
      <w:r w:rsidR="00023DCA">
        <w:rPr>
          <w:sz w:val="22"/>
          <w:szCs w:val="22"/>
          <w:lang w:val="sr-Latn-ME"/>
        </w:rPr>
        <w:t xml:space="preserve"> jetre</w:t>
      </w:r>
      <w:r w:rsidRPr="00CC0378">
        <w:rPr>
          <w:sz w:val="22"/>
          <w:szCs w:val="22"/>
          <w:lang w:val="sr-Latn-ME"/>
        </w:rPr>
        <w:t xml:space="preserve"> maksimalna doza ne smije biti veća od 20 mg. Esomeprazol i njegovi glavni metaboliti nemaju tendenciju da se akumuliraju pri doziranju jednom dnevno.</w:t>
      </w:r>
    </w:p>
    <w:p w14:paraId="5F388E85" w14:textId="77777777" w:rsidR="00581CDC" w:rsidRPr="00CC0378" w:rsidRDefault="00581CDC" w:rsidP="00CC0378">
      <w:pPr>
        <w:jc w:val="both"/>
        <w:rPr>
          <w:sz w:val="22"/>
          <w:szCs w:val="22"/>
          <w:lang w:val="sr-Latn-ME"/>
        </w:rPr>
      </w:pPr>
    </w:p>
    <w:p w14:paraId="17C05B29" w14:textId="77777777" w:rsidR="00581CDC" w:rsidRPr="00CC0378" w:rsidRDefault="00581CDC" w:rsidP="00CC0378">
      <w:pPr>
        <w:jc w:val="both"/>
        <w:rPr>
          <w:i/>
          <w:sz w:val="22"/>
          <w:szCs w:val="22"/>
          <w:lang w:val="sr-Latn-ME"/>
        </w:rPr>
      </w:pPr>
      <w:r w:rsidRPr="00CC0378">
        <w:rPr>
          <w:i/>
          <w:sz w:val="22"/>
          <w:szCs w:val="22"/>
          <w:lang w:val="sr-Latn-ME"/>
        </w:rPr>
        <w:t>Oštećenje funkcije bubrega</w:t>
      </w:r>
    </w:p>
    <w:p w14:paraId="4975FB60" w14:textId="16731AB0" w:rsidR="00581CDC" w:rsidRPr="00CC0378" w:rsidRDefault="00581CDC" w:rsidP="00CC0378">
      <w:pPr>
        <w:jc w:val="both"/>
        <w:rPr>
          <w:sz w:val="22"/>
          <w:szCs w:val="22"/>
          <w:lang w:val="sr-Latn-ME"/>
        </w:rPr>
      </w:pPr>
      <w:r w:rsidRPr="00CC0378">
        <w:rPr>
          <w:sz w:val="22"/>
          <w:szCs w:val="22"/>
          <w:lang w:val="sr-Latn-ME"/>
        </w:rPr>
        <w:lastRenderedPageBreak/>
        <w:t>Nisu sprovedene studije na pacijentima sa oslabljenom funkcijom bubrega. Pošto se putem bubrega izlučuju metaboliti esomeprazola, ali ne i osnovno jedinjenje, ne očekuje se da metabolizam esomeprazola bude prom</w:t>
      </w:r>
      <w:r w:rsidR="00CE48A5" w:rsidRPr="00CC0378">
        <w:rPr>
          <w:sz w:val="22"/>
          <w:szCs w:val="22"/>
          <w:lang w:val="sr-Latn-ME"/>
        </w:rPr>
        <w:t>ij</w:t>
      </w:r>
      <w:r w:rsidRPr="00CC0378">
        <w:rPr>
          <w:sz w:val="22"/>
          <w:szCs w:val="22"/>
          <w:lang w:val="sr-Latn-ME"/>
        </w:rPr>
        <w:t>enjen kod pacijenata sa oslabljenom funkcijom bubrega.</w:t>
      </w:r>
    </w:p>
    <w:p w14:paraId="4E3976A7" w14:textId="77777777" w:rsidR="00581CDC" w:rsidRPr="00CC0378" w:rsidRDefault="00581CDC" w:rsidP="00CC0378">
      <w:pPr>
        <w:jc w:val="both"/>
        <w:rPr>
          <w:sz w:val="22"/>
          <w:szCs w:val="22"/>
          <w:lang w:val="sr-Latn-ME"/>
        </w:rPr>
      </w:pPr>
    </w:p>
    <w:p w14:paraId="0D89CA46" w14:textId="77777777" w:rsidR="00581CDC" w:rsidRPr="00CC0378" w:rsidRDefault="00581CDC" w:rsidP="00CC0378">
      <w:pPr>
        <w:jc w:val="both"/>
        <w:rPr>
          <w:bCs/>
          <w:i/>
          <w:sz w:val="22"/>
          <w:szCs w:val="22"/>
          <w:lang w:val="sr-Latn-ME"/>
        </w:rPr>
      </w:pPr>
      <w:r w:rsidRPr="00CC0378">
        <w:rPr>
          <w:bCs/>
          <w:i/>
          <w:sz w:val="22"/>
          <w:szCs w:val="22"/>
          <w:lang w:val="sr-Latn-ME"/>
        </w:rPr>
        <w:t>Starija populacija</w:t>
      </w:r>
    </w:p>
    <w:p w14:paraId="76CE0BC6" w14:textId="171B04FA" w:rsidR="00581CDC" w:rsidRPr="00CC0378" w:rsidRDefault="00581CDC" w:rsidP="00CC0378">
      <w:pPr>
        <w:jc w:val="both"/>
        <w:rPr>
          <w:sz w:val="22"/>
          <w:szCs w:val="22"/>
          <w:lang w:val="sr-Latn-ME"/>
        </w:rPr>
      </w:pPr>
      <w:r w:rsidRPr="00CC0378">
        <w:rPr>
          <w:sz w:val="22"/>
          <w:szCs w:val="22"/>
          <w:lang w:val="sr-Latn-ME"/>
        </w:rPr>
        <w:t>Metabolizam esomeprazola nije značajno prom</w:t>
      </w:r>
      <w:r w:rsidR="00023DCA">
        <w:rPr>
          <w:sz w:val="22"/>
          <w:szCs w:val="22"/>
          <w:lang w:val="sr-Latn-ME"/>
        </w:rPr>
        <w:t>ij</w:t>
      </w:r>
      <w:r w:rsidRPr="00CC0378">
        <w:rPr>
          <w:sz w:val="22"/>
          <w:szCs w:val="22"/>
          <w:lang w:val="sr-Latn-ME"/>
        </w:rPr>
        <w:t>enjen kod starijih pacijenata (71-80 godina starosti).</w:t>
      </w:r>
    </w:p>
    <w:p w14:paraId="59A6B41F" w14:textId="77777777" w:rsidR="00581CDC" w:rsidRPr="00CC0378" w:rsidRDefault="00581CDC" w:rsidP="00CC0378">
      <w:pPr>
        <w:jc w:val="both"/>
        <w:rPr>
          <w:sz w:val="22"/>
          <w:szCs w:val="22"/>
          <w:lang w:val="sr-Latn-ME"/>
        </w:rPr>
      </w:pPr>
    </w:p>
    <w:p w14:paraId="6B58F994" w14:textId="77777777" w:rsidR="00581CDC" w:rsidRPr="00CC0378" w:rsidRDefault="00581CDC" w:rsidP="00CC0378">
      <w:pPr>
        <w:autoSpaceDE w:val="0"/>
        <w:autoSpaceDN w:val="0"/>
        <w:adjustRightInd w:val="0"/>
        <w:jc w:val="both"/>
        <w:rPr>
          <w:b/>
          <w:bCs/>
          <w:sz w:val="22"/>
          <w:szCs w:val="22"/>
          <w:highlight w:val="yellow"/>
          <w:lang w:val="sr-Latn-ME"/>
        </w:rPr>
      </w:pPr>
      <w:r w:rsidRPr="00CC0378">
        <w:rPr>
          <w:b/>
          <w:bCs/>
          <w:sz w:val="22"/>
          <w:szCs w:val="22"/>
          <w:lang w:val="sr-Latn-ME"/>
        </w:rPr>
        <w:t>Pedijatrijska populacija</w:t>
      </w:r>
    </w:p>
    <w:p w14:paraId="4F6B8752" w14:textId="77777777" w:rsidR="00581CDC" w:rsidRPr="009462F3" w:rsidRDefault="00581CDC" w:rsidP="00CC0378">
      <w:pPr>
        <w:autoSpaceDE w:val="0"/>
        <w:autoSpaceDN w:val="0"/>
        <w:adjustRightInd w:val="0"/>
        <w:jc w:val="both"/>
        <w:rPr>
          <w:i/>
          <w:iCs/>
          <w:sz w:val="22"/>
          <w:szCs w:val="22"/>
          <w:lang w:val="sr-Latn-ME"/>
        </w:rPr>
      </w:pPr>
      <w:r w:rsidRPr="009462F3">
        <w:rPr>
          <w:i/>
          <w:iCs/>
          <w:sz w:val="22"/>
          <w:szCs w:val="22"/>
          <w:lang w:val="sr-Latn-ME"/>
        </w:rPr>
        <w:t>Adolescenti uzrasta od 12 do 18 godina:</w:t>
      </w:r>
    </w:p>
    <w:p w14:paraId="26F42455" w14:textId="27374CA1" w:rsidR="00581CDC" w:rsidRPr="00CC0378" w:rsidRDefault="00581CDC" w:rsidP="00CC0378">
      <w:pPr>
        <w:jc w:val="both"/>
        <w:rPr>
          <w:sz w:val="22"/>
          <w:szCs w:val="22"/>
          <w:lang w:val="sr-Latn-ME"/>
        </w:rPr>
      </w:pPr>
      <w:r w:rsidRPr="00CC0378">
        <w:rPr>
          <w:sz w:val="22"/>
          <w:szCs w:val="22"/>
          <w:lang w:val="sr-Latn-ME"/>
        </w:rPr>
        <w:t>Ukupna izloženost (PIK) i vr</w:t>
      </w:r>
      <w:r w:rsidR="00CE48A5" w:rsidRPr="00CC0378">
        <w:rPr>
          <w:sz w:val="22"/>
          <w:szCs w:val="22"/>
          <w:lang w:val="sr-Latn-ME"/>
        </w:rPr>
        <w:t>ij</w:t>
      </w:r>
      <w:r w:rsidRPr="00CC0378">
        <w:rPr>
          <w:sz w:val="22"/>
          <w:szCs w:val="22"/>
          <w:lang w:val="sr-Latn-ME"/>
        </w:rPr>
        <w:t>eme do postizanja maksimalnih koncentracija u plazmi (t</w:t>
      </w:r>
      <w:r w:rsidRPr="00CC0378">
        <w:rPr>
          <w:sz w:val="22"/>
          <w:szCs w:val="22"/>
          <w:vertAlign w:val="subscript"/>
          <w:lang w:val="sr-Latn-ME"/>
        </w:rPr>
        <w:t>max</w:t>
      </w:r>
      <w:r w:rsidRPr="00CC0378">
        <w:rPr>
          <w:sz w:val="22"/>
          <w:szCs w:val="22"/>
          <w:lang w:val="sr-Latn-ME"/>
        </w:rPr>
        <w:t>) kod pacijenata uzrasta 12-18 godina bilo je slično kao kod odraslih za ob</w:t>
      </w:r>
      <w:r w:rsidR="00CE48A5" w:rsidRPr="00CC0378">
        <w:rPr>
          <w:sz w:val="22"/>
          <w:szCs w:val="22"/>
          <w:lang w:val="sr-Latn-ME"/>
        </w:rPr>
        <w:t>ij</w:t>
      </w:r>
      <w:r w:rsidRPr="00CC0378">
        <w:rPr>
          <w:sz w:val="22"/>
          <w:szCs w:val="22"/>
          <w:lang w:val="sr-Latn-ME"/>
        </w:rPr>
        <w:t>e doze esomeprazola</w:t>
      </w:r>
      <w:r w:rsidR="00CE48A5" w:rsidRPr="00CC0378">
        <w:rPr>
          <w:sz w:val="22"/>
          <w:szCs w:val="22"/>
          <w:lang w:val="sr-Latn-ME"/>
        </w:rPr>
        <w:t>.</w:t>
      </w:r>
    </w:p>
    <w:p w14:paraId="0F98F733" w14:textId="77777777" w:rsidR="00581CDC" w:rsidRPr="00CC0378" w:rsidRDefault="00581CDC" w:rsidP="00CC0378">
      <w:pPr>
        <w:tabs>
          <w:tab w:val="left" w:pos="540"/>
          <w:tab w:val="left" w:pos="569"/>
        </w:tabs>
        <w:jc w:val="both"/>
        <w:rPr>
          <w:bCs/>
          <w:sz w:val="22"/>
          <w:szCs w:val="22"/>
          <w:lang w:val="sr-Latn-ME"/>
        </w:rPr>
      </w:pPr>
    </w:p>
    <w:p w14:paraId="062A9CB7" w14:textId="6B95F603" w:rsidR="0072020E"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5.3. </w:t>
      </w:r>
      <w:r w:rsidR="00480FB1" w:rsidRPr="00CC0378">
        <w:rPr>
          <w:b/>
          <w:bCs/>
          <w:sz w:val="22"/>
          <w:szCs w:val="22"/>
          <w:lang w:val="sr-Latn-ME"/>
        </w:rPr>
        <w:tab/>
      </w:r>
      <w:r w:rsidRPr="00CC0378">
        <w:rPr>
          <w:b/>
          <w:bCs/>
          <w:sz w:val="22"/>
          <w:szCs w:val="22"/>
          <w:lang w:val="sr-Latn-ME"/>
        </w:rPr>
        <w:t xml:space="preserve">Pretklinički podaci o bezbjednosti </w:t>
      </w:r>
    </w:p>
    <w:p w14:paraId="730BD2A3" w14:textId="77777777" w:rsidR="00B31A63" w:rsidRPr="00CC0378" w:rsidRDefault="00B31A63" w:rsidP="00CC0378">
      <w:pPr>
        <w:tabs>
          <w:tab w:val="left" w:pos="540"/>
          <w:tab w:val="left" w:pos="569"/>
        </w:tabs>
        <w:jc w:val="both"/>
        <w:rPr>
          <w:b/>
          <w:bCs/>
          <w:sz w:val="22"/>
          <w:szCs w:val="22"/>
          <w:lang w:val="sr-Latn-ME"/>
        </w:rPr>
      </w:pPr>
    </w:p>
    <w:p w14:paraId="31179FA3" w14:textId="56C2AED6" w:rsidR="00581CDC" w:rsidRPr="00CC0378" w:rsidRDefault="00581CDC" w:rsidP="00CC0378">
      <w:pPr>
        <w:jc w:val="both"/>
        <w:rPr>
          <w:sz w:val="22"/>
          <w:szCs w:val="22"/>
          <w:lang w:val="sr-Latn-ME"/>
        </w:rPr>
      </w:pPr>
      <w:r w:rsidRPr="00CC0378">
        <w:rPr>
          <w:sz w:val="22"/>
          <w:szCs w:val="22"/>
          <w:lang w:val="sr-Latn-ME"/>
        </w:rPr>
        <w:t>Neklinički podaci dobijeni konvencionalnom studijama farmakološke bezb</w:t>
      </w:r>
      <w:r w:rsidR="00CE48A5" w:rsidRPr="00CC0378">
        <w:rPr>
          <w:sz w:val="22"/>
          <w:szCs w:val="22"/>
          <w:lang w:val="sr-Latn-ME"/>
        </w:rPr>
        <w:t>j</w:t>
      </w:r>
      <w:r w:rsidRPr="00CC0378">
        <w:rPr>
          <w:sz w:val="22"/>
          <w:szCs w:val="22"/>
          <w:lang w:val="sr-Latn-ME"/>
        </w:rPr>
        <w:t>ednosti, toksičnosti ponovljenih doza, genotoksičnosti, karcinogenog potencijala, reproduktivne toksičnosti i toksičnosti u periodu razvića, ni</w:t>
      </w:r>
      <w:r w:rsidR="00023DCA">
        <w:rPr>
          <w:sz w:val="22"/>
          <w:szCs w:val="22"/>
          <w:lang w:val="sr-Latn-ME"/>
        </w:rPr>
        <w:t>je</w:t>
      </w:r>
      <w:r w:rsidRPr="00CC0378">
        <w:rPr>
          <w:sz w:val="22"/>
          <w:szCs w:val="22"/>
          <w:lang w:val="sr-Latn-ME"/>
        </w:rPr>
        <w:t>su ukazali na posebne opasnosti za ljude. Neželjena dejstva koja ni</w:t>
      </w:r>
      <w:r w:rsidR="00023DCA">
        <w:rPr>
          <w:sz w:val="22"/>
          <w:szCs w:val="22"/>
          <w:lang w:val="sr-Latn-ME"/>
        </w:rPr>
        <w:t>je</w:t>
      </w:r>
      <w:r w:rsidRPr="00CC0378">
        <w:rPr>
          <w:sz w:val="22"/>
          <w:szCs w:val="22"/>
          <w:lang w:val="sr-Latn-ME"/>
        </w:rPr>
        <w:t>su uočena u kliničkim studijama, ali su prim</w:t>
      </w:r>
      <w:r w:rsidR="00CE48A5" w:rsidRPr="00CC0378">
        <w:rPr>
          <w:sz w:val="22"/>
          <w:szCs w:val="22"/>
          <w:lang w:val="sr-Latn-ME"/>
        </w:rPr>
        <w:t>i</w:t>
      </w:r>
      <w:r w:rsidRPr="00CC0378">
        <w:rPr>
          <w:sz w:val="22"/>
          <w:szCs w:val="22"/>
          <w:lang w:val="sr-Latn-ME"/>
        </w:rPr>
        <w:t>jećena kod životinja pri nivoima izloženosti sličnim onima u kliničkim studijama i koja mogu biti od značaja u kliničkoj primjeni bila su sl</w:t>
      </w:r>
      <w:r w:rsidR="00CE48A5" w:rsidRPr="00CC0378">
        <w:rPr>
          <w:sz w:val="22"/>
          <w:szCs w:val="22"/>
          <w:lang w:val="sr-Latn-ME"/>
        </w:rPr>
        <w:t>j</w:t>
      </w:r>
      <w:r w:rsidRPr="00CC0378">
        <w:rPr>
          <w:sz w:val="22"/>
          <w:szCs w:val="22"/>
          <w:lang w:val="sr-Latn-ME"/>
        </w:rPr>
        <w:t>edeća:</w:t>
      </w:r>
    </w:p>
    <w:p w14:paraId="7253FA52" w14:textId="77777777" w:rsidR="00581CDC" w:rsidRPr="00CC0378" w:rsidRDefault="00581CDC" w:rsidP="00CC0378">
      <w:pPr>
        <w:jc w:val="both"/>
        <w:rPr>
          <w:sz w:val="22"/>
          <w:szCs w:val="22"/>
          <w:lang w:val="sr-Latn-ME"/>
        </w:rPr>
      </w:pPr>
    </w:p>
    <w:p w14:paraId="71CBC300" w14:textId="029AB0CF" w:rsidR="00581CDC" w:rsidRPr="00CC0378" w:rsidRDefault="00581CDC" w:rsidP="00CC0378">
      <w:pPr>
        <w:tabs>
          <w:tab w:val="left" w:pos="540"/>
          <w:tab w:val="left" w:pos="569"/>
        </w:tabs>
        <w:jc w:val="both"/>
        <w:rPr>
          <w:b/>
          <w:bCs/>
          <w:sz w:val="22"/>
          <w:szCs w:val="22"/>
          <w:lang w:val="sr-Latn-ME"/>
        </w:rPr>
      </w:pPr>
      <w:r w:rsidRPr="00CC0378">
        <w:rPr>
          <w:sz w:val="22"/>
          <w:szCs w:val="22"/>
          <w:lang w:val="sr-Latn-ME"/>
        </w:rPr>
        <w:t xml:space="preserve">U ispitivanjima karcinogenosti na pacovima sa </w:t>
      </w:r>
      <w:r w:rsidR="00023DCA">
        <w:rPr>
          <w:sz w:val="22"/>
          <w:szCs w:val="22"/>
          <w:lang w:val="sr-Latn-ME"/>
        </w:rPr>
        <w:t>racemskom</w:t>
      </w:r>
      <w:r w:rsidR="00023DCA" w:rsidRPr="00CC0378">
        <w:rPr>
          <w:sz w:val="22"/>
          <w:szCs w:val="22"/>
          <w:lang w:val="sr-Latn-ME"/>
        </w:rPr>
        <w:t xml:space="preserve"> </w:t>
      </w:r>
      <w:r w:rsidRPr="00CC0378">
        <w:rPr>
          <w:sz w:val="22"/>
          <w:szCs w:val="22"/>
          <w:lang w:val="sr-Latn-ME"/>
        </w:rPr>
        <w:t>m</w:t>
      </w:r>
      <w:r w:rsidR="00CE48A5" w:rsidRPr="00CC0378">
        <w:rPr>
          <w:sz w:val="22"/>
          <w:szCs w:val="22"/>
          <w:lang w:val="sr-Latn-ME"/>
        </w:rPr>
        <w:t>j</w:t>
      </w:r>
      <w:r w:rsidRPr="00CC0378">
        <w:rPr>
          <w:sz w:val="22"/>
          <w:szCs w:val="22"/>
          <w:lang w:val="sr-Latn-ME"/>
        </w:rPr>
        <w:t>ešavinom uočeni su hiperplazija želudačnih ECL ćelija i karcinoidni tumori. Ovi gastrični efekti kod pacova su posl</w:t>
      </w:r>
      <w:r w:rsidR="00CE48A5" w:rsidRPr="00CC0378">
        <w:rPr>
          <w:sz w:val="22"/>
          <w:szCs w:val="22"/>
          <w:lang w:val="sr-Latn-ME"/>
        </w:rPr>
        <w:t>j</w:t>
      </w:r>
      <w:r w:rsidRPr="00CC0378">
        <w:rPr>
          <w:sz w:val="22"/>
          <w:szCs w:val="22"/>
          <w:lang w:val="sr-Latn-ME"/>
        </w:rPr>
        <w:t>edica produžene, izražene hipergastrinemije do koje dolazi sekundarno usl</w:t>
      </w:r>
      <w:r w:rsidR="00CE48A5" w:rsidRPr="00CC0378">
        <w:rPr>
          <w:sz w:val="22"/>
          <w:szCs w:val="22"/>
          <w:lang w:val="sr-Latn-ME"/>
        </w:rPr>
        <w:t>j</w:t>
      </w:r>
      <w:r w:rsidRPr="00CC0378">
        <w:rPr>
          <w:sz w:val="22"/>
          <w:szCs w:val="22"/>
          <w:lang w:val="sr-Latn-ME"/>
        </w:rPr>
        <w:t xml:space="preserve">ed smanjene produkcije želudačne </w:t>
      </w:r>
      <w:r w:rsidR="00AB2C68" w:rsidRPr="00CC0378">
        <w:rPr>
          <w:sz w:val="22"/>
          <w:szCs w:val="22"/>
          <w:lang w:val="sr-Latn-ME"/>
        </w:rPr>
        <w:t>kiselin</w:t>
      </w:r>
      <w:r w:rsidRPr="00CC0378">
        <w:rPr>
          <w:sz w:val="22"/>
          <w:szCs w:val="22"/>
          <w:lang w:val="sr-Latn-ME"/>
        </w:rPr>
        <w:t>e i uočeni su posl</w:t>
      </w:r>
      <w:r w:rsidR="00CE48A5" w:rsidRPr="00CC0378">
        <w:rPr>
          <w:sz w:val="22"/>
          <w:szCs w:val="22"/>
          <w:lang w:val="sr-Latn-ME"/>
        </w:rPr>
        <w:t>ij</w:t>
      </w:r>
      <w:r w:rsidRPr="00CC0378">
        <w:rPr>
          <w:sz w:val="22"/>
          <w:szCs w:val="22"/>
          <w:lang w:val="sr-Latn-ME"/>
        </w:rPr>
        <w:t>e dugotrajnog tretiranja pacova inhibitorima sekrecije želudačne kiseline.</w:t>
      </w:r>
    </w:p>
    <w:p w14:paraId="2BCAD8D8" w14:textId="77777777" w:rsidR="00836B35" w:rsidRPr="00CC0378" w:rsidRDefault="00836B35" w:rsidP="00CC0378">
      <w:pPr>
        <w:tabs>
          <w:tab w:val="left" w:pos="540"/>
          <w:tab w:val="left" w:pos="569"/>
        </w:tabs>
        <w:jc w:val="both"/>
        <w:rPr>
          <w:bCs/>
          <w:sz w:val="22"/>
          <w:szCs w:val="22"/>
          <w:lang w:val="sr-Latn-ME"/>
        </w:rPr>
      </w:pPr>
    </w:p>
    <w:p w14:paraId="1FEDB16F" w14:textId="77777777" w:rsidR="00396DFD" w:rsidRPr="00CC0378" w:rsidRDefault="00396DFD" w:rsidP="00CC0378">
      <w:pPr>
        <w:tabs>
          <w:tab w:val="left" w:pos="540"/>
          <w:tab w:val="left" w:pos="569"/>
        </w:tabs>
        <w:jc w:val="both"/>
        <w:rPr>
          <w:b/>
          <w:bCs/>
          <w:sz w:val="22"/>
          <w:szCs w:val="22"/>
          <w:lang w:val="sr-Latn-ME"/>
        </w:rPr>
      </w:pPr>
    </w:p>
    <w:p w14:paraId="7CBCB66E" w14:textId="77777777" w:rsidR="0072020E"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6. </w:t>
      </w:r>
      <w:r w:rsidR="00480FB1" w:rsidRPr="00CC0378">
        <w:rPr>
          <w:b/>
          <w:bCs/>
          <w:sz w:val="22"/>
          <w:szCs w:val="22"/>
          <w:lang w:val="sr-Latn-ME"/>
        </w:rPr>
        <w:tab/>
      </w:r>
      <w:r w:rsidRPr="00CC0378">
        <w:rPr>
          <w:b/>
          <w:bCs/>
          <w:sz w:val="22"/>
          <w:szCs w:val="22"/>
          <w:lang w:val="sr-Latn-ME"/>
        </w:rPr>
        <w:t>FARMACEUTSKI PODACI</w:t>
      </w:r>
    </w:p>
    <w:p w14:paraId="6EAF8242" w14:textId="77777777" w:rsidR="00836B35" w:rsidRPr="00CC0378" w:rsidRDefault="00836B35" w:rsidP="00CC0378">
      <w:pPr>
        <w:tabs>
          <w:tab w:val="left" w:pos="540"/>
          <w:tab w:val="left" w:pos="569"/>
        </w:tabs>
        <w:jc w:val="both"/>
        <w:rPr>
          <w:bCs/>
          <w:sz w:val="22"/>
          <w:szCs w:val="22"/>
          <w:lang w:val="sr-Latn-ME"/>
        </w:rPr>
      </w:pPr>
    </w:p>
    <w:p w14:paraId="5E25182F" w14:textId="77777777" w:rsidR="0072020E"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6.1. </w:t>
      </w:r>
      <w:r w:rsidR="00480FB1" w:rsidRPr="00CC0378">
        <w:rPr>
          <w:b/>
          <w:bCs/>
          <w:sz w:val="22"/>
          <w:szCs w:val="22"/>
          <w:lang w:val="sr-Latn-ME"/>
        </w:rPr>
        <w:tab/>
      </w:r>
      <w:r w:rsidRPr="00CC0378">
        <w:rPr>
          <w:b/>
          <w:bCs/>
          <w:sz w:val="22"/>
          <w:szCs w:val="22"/>
          <w:lang w:val="sr-Latn-ME"/>
        </w:rPr>
        <w:t>Lista pomoćnih supstanci</w:t>
      </w:r>
      <w:r w:rsidR="002E0135" w:rsidRPr="00CC0378">
        <w:rPr>
          <w:b/>
          <w:bCs/>
          <w:sz w:val="22"/>
          <w:szCs w:val="22"/>
          <w:lang w:val="sr-Latn-ME"/>
        </w:rPr>
        <w:t xml:space="preserve"> (ekscipijenasa)</w:t>
      </w:r>
    </w:p>
    <w:p w14:paraId="23CF5C32" w14:textId="77777777" w:rsidR="0090329E" w:rsidRDefault="0090329E" w:rsidP="0090329E">
      <w:pPr>
        <w:pStyle w:val="Header"/>
        <w:tabs>
          <w:tab w:val="left" w:pos="284"/>
        </w:tabs>
        <w:jc w:val="both"/>
        <w:rPr>
          <w:sz w:val="22"/>
          <w:szCs w:val="22"/>
          <w:u w:val="single"/>
          <w:lang w:val="sr-Latn-ME"/>
        </w:rPr>
      </w:pPr>
    </w:p>
    <w:p w14:paraId="7F60B955" w14:textId="27368ED0" w:rsidR="0090329E" w:rsidRDefault="0090329E" w:rsidP="009462F3">
      <w:pPr>
        <w:pStyle w:val="Header"/>
        <w:tabs>
          <w:tab w:val="left" w:pos="284"/>
        </w:tabs>
        <w:jc w:val="both"/>
        <w:rPr>
          <w:bCs/>
          <w:sz w:val="22"/>
          <w:szCs w:val="22"/>
          <w:u w:val="single"/>
          <w:lang w:val="sr-Latn-ME"/>
        </w:rPr>
      </w:pPr>
      <w:r w:rsidRPr="009462F3">
        <w:rPr>
          <w:sz w:val="22"/>
          <w:szCs w:val="22"/>
          <w:u w:val="single"/>
          <w:lang w:val="sr-Latn-ME"/>
        </w:rPr>
        <w:t>N</w:t>
      </w:r>
      <w:r w:rsidR="00583A68" w:rsidRPr="0090329E">
        <w:rPr>
          <w:sz w:val="22"/>
          <w:szCs w:val="22"/>
          <w:u w:val="single"/>
          <w:lang w:val="sr-Latn-ME"/>
        </w:rPr>
        <w:t>exium</w:t>
      </w:r>
      <w:r w:rsidRPr="009462F3">
        <w:rPr>
          <w:sz w:val="22"/>
          <w:szCs w:val="22"/>
          <w:u w:val="single"/>
          <w:lang w:val="sr-Latn-ME"/>
        </w:rPr>
        <w:t>,</w:t>
      </w:r>
      <w:r w:rsidRPr="009462F3">
        <w:rPr>
          <w:bCs/>
          <w:sz w:val="22"/>
          <w:szCs w:val="22"/>
          <w:u w:val="single"/>
          <w:lang w:val="sr-Latn-ME"/>
        </w:rPr>
        <w:t xml:space="preserve"> 20 mg,</w:t>
      </w:r>
      <w:r w:rsidRPr="009462F3">
        <w:rPr>
          <w:sz w:val="22"/>
          <w:szCs w:val="22"/>
          <w:u w:val="single"/>
          <w:lang w:val="sr-Latn-ME"/>
        </w:rPr>
        <w:t xml:space="preserve"> </w:t>
      </w:r>
      <w:r w:rsidRPr="009462F3">
        <w:rPr>
          <w:bCs/>
          <w:sz w:val="22"/>
          <w:szCs w:val="22"/>
          <w:u w:val="single"/>
          <w:lang w:val="sr-Latn-ME"/>
        </w:rPr>
        <w:t>gastrorezistentna tableta</w:t>
      </w:r>
    </w:p>
    <w:p w14:paraId="73118DE9" w14:textId="77777777" w:rsidR="00583A68" w:rsidRPr="009462F3" w:rsidRDefault="00583A68" w:rsidP="009462F3">
      <w:pPr>
        <w:pStyle w:val="Header"/>
        <w:tabs>
          <w:tab w:val="left" w:pos="284"/>
        </w:tabs>
        <w:jc w:val="both"/>
        <w:rPr>
          <w:bCs/>
          <w:sz w:val="22"/>
          <w:szCs w:val="22"/>
          <w:u w:val="single"/>
          <w:lang w:val="sr-Latn-ME"/>
        </w:rPr>
      </w:pPr>
    </w:p>
    <w:p w14:paraId="2B6D34FD" w14:textId="47A8B035"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Glicerol</w:t>
      </w:r>
      <w:r w:rsidR="00CF1D43">
        <w:rPr>
          <w:bCs/>
          <w:sz w:val="22"/>
          <w:szCs w:val="22"/>
          <w:lang w:val="sr-Latn-ME"/>
        </w:rPr>
        <w:t xml:space="preserve"> </w:t>
      </w:r>
      <w:r w:rsidRPr="00CC0378">
        <w:rPr>
          <w:bCs/>
          <w:sz w:val="22"/>
          <w:szCs w:val="22"/>
          <w:lang w:val="sr-Latn-ME"/>
        </w:rPr>
        <w:t>monostearat</w:t>
      </w:r>
      <w:r w:rsidR="00E10587">
        <w:rPr>
          <w:bCs/>
          <w:sz w:val="22"/>
          <w:szCs w:val="22"/>
          <w:lang w:val="sr-Latn-ME"/>
        </w:rPr>
        <w:t xml:space="preserve"> 40-55</w:t>
      </w:r>
      <w:r w:rsidRPr="00CC0378">
        <w:rPr>
          <w:bCs/>
          <w:sz w:val="22"/>
          <w:szCs w:val="22"/>
          <w:lang w:val="sr-Latn-ME"/>
        </w:rPr>
        <w:t xml:space="preserve">, </w:t>
      </w:r>
    </w:p>
    <w:p w14:paraId="17969D30" w14:textId="47700DE5"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 xml:space="preserve">Hidroksipropilceluloza, </w:t>
      </w:r>
    </w:p>
    <w:p w14:paraId="0818F4A9" w14:textId="77777777"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 xml:space="preserve">Hipromeloza, </w:t>
      </w:r>
    </w:p>
    <w:p w14:paraId="30AF9F1D" w14:textId="41BB0E76" w:rsidR="00017D98" w:rsidRDefault="00581CDC" w:rsidP="00CC0378">
      <w:pPr>
        <w:tabs>
          <w:tab w:val="left" w:pos="540"/>
          <w:tab w:val="left" w:pos="569"/>
        </w:tabs>
        <w:jc w:val="both"/>
        <w:rPr>
          <w:bCs/>
          <w:sz w:val="22"/>
          <w:szCs w:val="22"/>
          <w:lang w:val="sr-Latn-ME"/>
        </w:rPr>
      </w:pPr>
      <w:r w:rsidRPr="00CC0378">
        <w:rPr>
          <w:bCs/>
          <w:sz w:val="22"/>
          <w:szCs w:val="22"/>
          <w:lang w:val="sr-Latn-ME"/>
        </w:rPr>
        <w:t>Gvožđe</w:t>
      </w:r>
      <w:r w:rsidR="0090329E">
        <w:rPr>
          <w:bCs/>
          <w:sz w:val="22"/>
          <w:szCs w:val="22"/>
          <w:lang w:val="sr-Latn-ME"/>
        </w:rPr>
        <w:t xml:space="preserve"> </w:t>
      </w:r>
      <w:r w:rsidRPr="00CC0378">
        <w:rPr>
          <w:bCs/>
          <w:sz w:val="22"/>
          <w:szCs w:val="22"/>
          <w:lang w:val="sr-Latn-ME"/>
        </w:rPr>
        <w:t>(III)</w:t>
      </w:r>
      <w:r w:rsidR="0090329E">
        <w:rPr>
          <w:bCs/>
          <w:sz w:val="22"/>
          <w:szCs w:val="22"/>
          <w:lang w:val="sr-Latn-ME"/>
        </w:rPr>
        <w:t xml:space="preserve"> </w:t>
      </w:r>
      <w:r w:rsidRPr="00CC0378">
        <w:rPr>
          <w:bCs/>
          <w:sz w:val="22"/>
          <w:szCs w:val="22"/>
          <w:lang w:val="sr-Latn-ME"/>
        </w:rPr>
        <w:t>oksid</w:t>
      </w:r>
      <w:r w:rsidR="00017D98">
        <w:rPr>
          <w:bCs/>
          <w:sz w:val="22"/>
          <w:szCs w:val="22"/>
          <w:lang w:val="sr-Latn-ME"/>
        </w:rPr>
        <w:t>,</w:t>
      </w:r>
      <w:r w:rsidRPr="00CC0378">
        <w:rPr>
          <w:bCs/>
          <w:sz w:val="22"/>
          <w:szCs w:val="22"/>
          <w:lang w:val="sr-Latn-ME"/>
        </w:rPr>
        <w:t xml:space="preserve"> crvenkastosmeđi</w:t>
      </w:r>
      <w:r w:rsidR="006659EA">
        <w:rPr>
          <w:bCs/>
          <w:sz w:val="22"/>
          <w:szCs w:val="22"/>
          <w:lang w:val="sr-Latn-ME"/>
        </w:rPr>
        <w:t xml:space="preserve"> </w:t>
      </w:r>
      <w:r w:rsidR="006659EA" w:rsidRPr="00861677">
        <w:rPr>
          <w:sz w:val="22"/>
          <w:szCs w:val="22"/>
          <w:lang w:val="sr-Latn-ME"/>
        </w:rPr>
        <w:t>(E172)</w:t>
      </w:r>
      <w:r w:rsidR="006659EA">
        <w:rPr>
          <w:sz w:val="22"/>
          <w:szCs w:val="22"/>
          <w:lang w:val="sr-Latn-ME"/>
        </w:rPr>
        <w:t>,</w:t>
      </w:r>
      <w:r w:rsidR="006659EA" w:rsidRPr="00861677">
        <w:rPr>
          <w:sz w:val="22"/>
          <w:szCs w:val="22"/>
          <w:lang w:val="sr-Latn-ME"/>
        </w:rPr>
        <w:t xml:space="preserve"> </w:t>
      </w:r>
    </w:p>
    <w:p w14:paraId="406EB00A" w14:textId="4E729FE9" w:rsidR="00581CDC" w:rsidRPr="00CC0378" w:rsidRDefault="00017D98" w:rsidP="00CC0378">
      <w:pPr>
        <w:tabs>
          <w:tab w:val="left" w:pos="540"/>
          <w:tab w:val="left" w:pos="569"/>
        </w:tabs>
        <w:jc w:val="both"/>
        <w:rPr>
          <w:bCs/>
          <w:sz w:val="22"/>
          <w:szCs w:val="22"/>
          <w:lang w:val="sr-Latn-ME"/>
        </w:rPr>
      </w:pPr>
      <w:r w:rsidRPr="00CC0378">
        <w:rPr>
          <w:bCs/>
          <w:sz w:val="22"/>
          <w:szCs w:val="22"/>
          <w:lang w:val="sr-Latn-ME"/>
        </w:rPr>
        <w:t>Gvožđe</w:t>
      </w:r>
      <w:r>
        <w:rPr>
          <w:bCs/>
          <w:sz w:val="22"/>
          <w:szCs w:val="22"/>
          <w:lang w:val="sr-Latn-ME"/>
        </w:rPr>
        <w:t xml:space="preserve"> </w:t>
      </w:r>
      <w:r w:rsidRPr="00CC0378">
        <w:rPr>
          <w:bCs/>
          <w:sz w:val="22"/>
          <w:szCs w:val="22"/>
          <w:lang w:val="sr-Latn-ME"/>
        </w:rPr>
        <w:t>(III)</w:t>
      </w:r>
      <w:r>
        <w:rPr>
          <w:bCs/>
          <w:sz w:val="22"/>
          <w:szCs w:val="22"/>
          <w:lang w:val="sr-Latn-ME"/>
        </w:rPr>
        <w:t xml:space="preserve"> </w:t>
      </w:r>
      <w:r w:rsidRPr="00CC0378">
        <w:rPr>
          <w:bCs/>
          <w:sz w:val="22"/>
          <w:szCs w:val="22"/>
          <w:lang w:val="sr-Latn-ME"/>
        </w:rPr>
        <w:t>oksid</w:t>
      </w:r>
      <w:r w:rsidR="006659EA">
        <w:rPr>
          <w:bCs/>
          <w:sz w:val="22"/>
          <w:szCs w:val="22"/>
          <w:lang w:val="sr-Latn-ME"/>
        </w:rPr>
        <w:t xml:space="preserve">, žuti </w:t>
      </w:r>
      <w:r w:rsidR="006659EA" w:rsidRPr="00861677">
        <w:rPr>
          <w:sz w:val="22"/>
          <w:szCs w:val="22"/>
          <w:lang w:val="sr-Latn-ME"/>
        </w:rPr>
        <w:t>(E172)</w:t>
      </w:r>
      <w:r w:rsidR="006659EA">
        <w:rPr>
          <w:sz w:val="22"/>
          <w:szCs w:val="22"/>
          <w:lang w:val="sr-Latn-ME"/>
        </w:rPr>
        <w:t>,</w:t>
      </w:r>
      <w:r>
        <w:rPr>
          <w:bCs/>
          <w:sz w:val="22"/>
          <w:szCs w:val="22"/>
          <w:lang w:val="sr-Latn-ME"/>
        </w:rPr>
        <w:t xml:space="preserve"> </w:t>
      </w:r>
    </w:p>
    <w:p w14:paraId="313AE36C" w14:textId="2A79978E"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Magnezijum</w:t>
      </w:r>
      <w:r w:rsidR="00F4545F" w:rsidRPr="00CC0378">
        <w:rPr>
          <w:bCs/>
          <w:sz w:val="22"/>
          <w:szCs w:val="22"/>
          <w:lang w:val="sr-Latn-ME"/>
        </w:rPr>
        <w:t xml:space="preserve"> </w:t>
      </w:r>
      <w:r w:rsidRPr="00CC0378">
        <w:rPr>
          <w:bCs/>
          <w:sz w:val="22"/>
          <w:szCs w:val="22"/>
          <w:lang w:val="sr-Latn-ME"/>
        </w:rPr>
        <w:t xml:space="preserve">stearat, </w:t>
      </w:r>
    </w:p>
    <w:p w14:paraId="3B336819" w14:textId="1E6D82EA" w:rsidR="00581CDC" w:rsidRPr="00CC0378" w:rsidRDefault="0090329E" w:rsidP="00CC0378">
      <w:pPr>
        <w:tabs>
          <w:tab w:val="left" w:pos="540"/>
          <w:tab w:val="left" w:pos="569"/>
        </w:tabs>
        <w:jc w:val="both"/>
        <w:rPr>
          <w:bCs/>
          <w:sz w:val="22"/>
          <w:szCs w:val="22"/>
          <w:lang w:val="sr-Latn-ME"/>
        </w:rPr>
      </w:pPr>
      <w:r>
        <w:rPr>
          <w:bCs/>
          <w:sz w:val="22"/>
          <w:szCs w:val="22"/>
          <w:lang w:val="sr-Latn-ME"/>
        </w:rPr>
        <w:t>M</w:t>
      </w:r>
      <w:r w:rsidR="00581CDC" w:rsidRPr="00CC0378">
        <w:rPr>
          <w:bCs/>
          <w:sz w:val="22"/>
          <w:szCs w:val="22"/>
          <w:lang w:val="sr-Latn-ME"/>
        </w:rPr>
        <w:t xml:space="preserve">etakrilna </w:t>
      </w:r>
      <w:r w:rsidR="00AB2C68" w:rsidRPr="00CC0378">
        <w:rPr>
          <w:bCs/>
          <w:sz w:val="22"/>
          <w:szCs w:val="22"/>
          <w:lang w:val="sr-Latn-ME"/>
        </w:rPr>
        <w:t>kiselin</w:t>
      </w:r>
      <w:r w:rsidR="00581CDC" w:rsidRPr="00CC0378">
        <w:rPr>
          <w:bCs/>
          <w:sz w:val="22"/>
          <w:szCs w:val="22"/>
          <w:lang w:val="sr-Latn-ME"/>
        </w:rPr>
        <w:t>a</w:t>
      </w:r>
      <w:r w:rsidR="00F4545F" w:rsidRPr="00CC0378">
        <w:rPr>
          <w:bCs/>
          <w:sz w:val="22"/>
          <w:szCs w:val="22"/>
          <w:lang w:val="sr-Latn-ME"/>
        </w:rPr>
        <w:t xml:space="preserve"> </w:t>
      </w:r>
      <w:r w:rsidR="00581CDC" w:rsidRPr="00CC0378">
        <w:rPr>
          <w:bCs/>
          <w:sz w:val="22"/>
          <w:szCs w:val="22"/>
          <w:lang w:val="sr-Latn-ME"/>
        </w:rPr>
        <w:t>etilakrilat, kopolimer (1:1) 30% disperzija,</w:t>
      </w:r>
    </w:p>
    <w:p w14:paraId="3E2D53F5" w14:textId="6A44199B"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Celuloza</w:t>
      </w:r>
      <w:r w:rsidR="006659EA">
        <w:rPr>
          <w:bCs/>
          <w:sz w:val="22"/>
          <w:szCs w:val="22"/>
          <w:lang w:val="sr-Latn-ME"/>
        </w:rPr>
        <w:t xml:space="preserve"> </w:t>
      </w:r>
      <w:r w:rsidRPr="00CC0378">
        <w:rPr>
          <w:bCs/>
          <w:sz w:val="22"/>
          <w:szCs w:val="22"/>
          <w:lang w:val="sr-Latn-ME"/>
        </w:rPr>
        <w:t>mikrokristalna,</w:t>
      </w:r>
    </w:p>
    <w:p w14:paraId="6BFAC5C7" w14:textId="51973DE7"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Parafin sintetički</w:t>
      </w:r>
      <w:r w:rsidR="0074529A">
        <w:rPr>
          <w:bCs/>
          <w:sz w:val="22"/>
          <w:szCs w:val="22"/>
          <w:lang w:val="sr-Latn-ME"/>
        </w:rPr>
        <w:t>,</w:t>
      </w:r>
      <w:r w:rsidRPr="00CC0378">
        <w:rPr>
          <w:bCs/>
          <w:sz w:val="22"/>
          <w:szCs w:val="22"/>
          <w:lang w:val="sr-Latn-ME"/>
        </w:rPr>
        <w:t xml:space="preserve"> </w:t>
      </w:r>
    </w:p>
    <w:p w14:paraId="0E825317" w14:textId="5925D9FE"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Makrogol</w:t>
      </w:r>
      <w:r w:rsidR="00DE423F">
        <w:rPr>
          <w:bCs/>
          <w:sz w:val="22"/>
          <w:szCs w:val="22"/>
          <w:lang w:val="sr-Latn-ME"/>
        </w:rPr>
        <w:t>i</w:t>
      </w:r>
      <w:r w:rsidRPr="00CC0378">
        <w:rPr>
          <w:bCs/>
          <w:sz w:val="22"/>
          <w:szCs w:val="22"/>
          <w:lang w:val="sr-Latn-ME"/>
        </w:rPr>
        <w:t xml:space="preserve">, </w:t>
      </w:r>
    </w:p>
    <w:p w14:paraId="38BA4D22" w14:textId="77777777"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 xml:space="preserve">Polisorbat 80, </w:t>
      </w:r>
    </w:p>
    <w:p w14:paraId="5E2DD888" w14:textId="77777777"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 xml:space="preserve">Krospovidon, </w:t>
      </w:r>
    </w:p>
    <w:p w14:paraId="1FD8C8AD" w14:textId="77B79782"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Natrijum</w:t>
      </w:r>
      <w:r w:rsidR="00F4545F" w:rsidRPr="00CC0378">
        <w:rPr>
          <w:bCs/>
          <w:sz w:val="22"/>
          <w:szCs w:val="22"/>
          <w:lang w:val="sr-Latn-ME"/>
        </w:rPr>
        <w:t xml:space="preserve"> </w:t>
      </w:r>
      <w:r w:rsidRPr="00CC0378">
        <w:rPr>
          <w:bCs/>
          <w:sz w:val="22"/>
          <w:szCs w:val="22"/>
          <w:lang w:val="sr-Latn-ME"/>
        </w:rPr>
        <w:t>stearil</w:t>
      </w:r>
      <w:r w:rsidR="0074529A">
        <w:rPr>
          <w:bCs/>
          <w:sz w:val="22"/>
          <w:szCs w:val="22"/>
          <w:lang w:val="sr-Latn-ME"/>
        </w:rPr>
        <w:t xml:space="preserve"> </w:t>
      </w:r>
      <w:r w:rsidRPr="00CC0378">
        <w:rPr>
          <w:bCs/>
          <w:sz w:val="22"/>
          <w:szCs w:val="22"/>
          <w:lang w:val="sr-Latn-ME"/>
        </w:rPr>
        <w:t xml:space="preserve">fumarat, </w:t>
      </w:r>
    </w:p>
    <w:p w14:paraId="5A976492" w14:textId="2ADECE15"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 xml:space="preserve">Šećerne sfere (saharoza i skrob kukuruzni), </w:t>
      </w:r>
    </w:p>
    <w:p w14:paraId="7CFA1911" w14:textId="77777777"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 xml:space="preserve">Talk, </w:t>
      </w:r>
    </w:p>
    <w:p w14:paraId="21A08DD3" w14:textId="322EA4A8"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Titan</w:t>
      </w:r>
      <w:r w:rsidR="00F4545F" w:rsidRPr="00CC0378">
        <w:rPr>
          <w:bCs/>
          <w:sz w:val="22"/>
          <w:szCs w:val="22"/>
          <w:lang w:val="sr-Latn-ME"/>
        </w:rPr>
        <w:t xml:space="preserve"> </w:t>
      </w:r>
      <w:r w:rsidRPr="00CC0378">
        <w:rPr>
          <w:bCs/>
          <w:sz w:val="22"/>
          <w:szCs w:val="22"/>
          <w:lang w:val="sr-Latn-ME"/>
        </w:rPr>
        <w:t>dioksid</w:t>
      </w:r>
      <w:r w:rsidR="006659EA">
        <w:rPr>
          <w:bCs/>
          <w:sz w:val="22"/>
          <w:szCs w:val="22"/>
          <w:lang w:val="sr-Latn-ME"/>
        </w:rPr>
        <w:t xml:space="preserve"> </w:t>
      </w:r>
      <w:r w:rsidR="006659EA" w:rsidRPr="00861677">
        <w:rPr>
          <w:sz w:val="22"/>
          <w:szCs w:val="22"/>
          <w:lang w:val="sr-Latn-ME"/>
        </w:rPr>
        <w:t>(E 171)</w:t>
      </w:r>
      <w:r w:rsidR="006659EA">
        <w:rPr>
          <w:sz w:val="22"/>
          <w:szCs w:val="22"/>
          <w:lang w:val="sr-Latn-ME"/>
        </w:rPr>
        <w:t>,</w:t>
      </w:r>
      <w:r w:rsidRPr="00CC0378">
        <w:rPr>
          <w:bCs/>
          <w:sz w:val="22"/>
          <w:szCs w:val="22"/>
          <w:lang w:val="sr-Latn-ME"/>
        </w:rPr>
        <w:t xml:space="preserve"> </w:t>
      </w:r>
    </w:p>
    <w:p w14:paraId="276D99D1" w14:textId="0A24BB0D" w:rsidR="00581CDC" w:rsidRPr="00CC0378" w:rsidRDefault="00581CDC" w:rsidP="00CC0378">
      <w:pPr>
        <w:tabs>
          <w:tab w:val="left" w:pos="540"/>
          <w:tab w:val="left" w:pos="569"/>
        </w:tabs>
        <w:jc w:val="both"/>
        <w:rPr>
          <w:bCs/>
          <w:sz w:val="22"/>
          <w:szCs w:val="22"/>
          <w:lang w:val="sr-Latn-ME"/>
        </w:rPr>
      </w:pPr>
      <w:r w:rsidRPr="00CC0378">
        <w:rPr>
          <w:bCs/>
          <w:sz w:val="22"/>
          <w:szCs w:val="22"/>
          <w:lang w:val="sr-Latn-ME"/>
        </w:rPr>
        <w:t>Trietil</w:t>
      </w:r>
      <w:r w:rsidR="00E90D35">
        <w:rPr>
          <w:bCs/>
          <w:sz w:val="22"/>
          <w:szCs w:val="22"/>
          <w:lang w:val="sr-Latn-ME"/>
        </w:rPr>
        <w:t xml:space="preserve"> </w:t>
      </w:r>
      <w:r w:rsidRPr="00CC0378">
        <w:rPr>
          <w:bCs/>
          <w:sz w:val="22"/>
          <w:szCs w:val="22"/>
          <w:lang w:val="sr-Latn-ME"/>
        </w:rPr>
        <w:t xml:space="preserve">citrat. </w:t>
      </w:r>
    </w:p>
    <w:p w14:paraId="00F2A01A" w14:textId="4C3B7093" w:rsidR="00660338" w:rsidRDefault="00660338" w:rsidP="009462F3">
      <w:pPr>
        <w:jc w:val="both"/>
        <w:rPr>
          <w:b/>
          <w:bCs/>
          <w:sz w:val="22"/>
          <w:szCs w:val="22"/>
          <w:lang w:val="sr-Latn-ME"/>
        </w:rPr>
      </w:pPr>
    </w:p>
    <w:p w14:paraId="7CAFDDED" w14:textId="793DD6EB" w:rsidR="0090329E" w:rsidRDefault="0090329E" w:rsidP="0090329E">
      <w:pPr>
        <w:pStyle w:val="Header"/>
        <w:tabs>
          <w:tab w:val="left" w:pos="284"/>
        </w:tabs>
        <w:jc w:val="both"/>
        <w:rPr>
          <w:bCs/>
          <w:sz w:val="22"/>
          <w:szCs w:val="22"/>
          <w:u w:val="single"/>
          <w:lang w:val="sr-Latn-ME"/>
        </w:rPr>
      </w:pPr>
      <w:r w:rsidRPr="009462F3">
        <w:rPr>
          <w:sz w:val="22"/>
          <w:szCs w:val="22"/>
          <w:u w:val="single"/>
          <w:lang w:val="sr-Latn-ME"/>
        </w:rPr>
        <w:t>N</w:t>
      </w:r>
      <w:r w:rsidR="00583A68" w:rsidRPr="0090329E">
        <w:rPr>
          <w:sz w:val="22"/>
          <w:szCs w:val="22"/>
          <w:u w:val="single"/>
          <w:lang w:val="sr-Latn-ME"/>
        </w:rPr>
        <w:t>exium</w:t>
      </w:r>
      <w:r w:rsidRPr="009462F3">
        <w:rPr>
          <w:sz w:val="22"/>
          <w:szCs w:val="22"/>
          <w:u w:val="single"/>
          <w:lang w:val="sr-Latn-ME"/>
        </w:rPr>
        <w:t xml:space="preserve">, </w:t>
      </w:r>
      <w:r w:rsidRPr="009462F3">
        <w:rPr>
          <w:bCs/>
          <w:sz w:val="22"/>
          <w:szCs w:val="22"/>
          <w:u w:val="single"/>
          <w:lang w:val="sr-Latn-ME"/>
        </w:rPr>
        <w:t xml:space="preserve">40 mg, gastrorezistentna tableta </w:t>
      </w:r>
    </w:p>
    <w:p w14:paraId="70A8F6C4" w14:textId="77777777" w:rsidR="0090329E" w:rsidRPr="009462F3" w:rsidRDefault="0090329E" w:rsidP="0090329E">
      <w:pPr>
        <w:pStyle w:val="Header"/>
        <w:tabs>
          <w:tab w:val="left" w:pos="284"/>
        </w:tabs>
        <w:jc w:val="both"/>
        <w:rPr>
          <w:bCs/>
          <w:sz w:val="22"/>
          <w:szCs w:val="22"/>
          <w:u w:val="single"/>
          <w:lang w:val="sr-Latn-ME"/>
        </w:rPr>
      </w:pPr>
    </w:p>
    <w:p w14:paraId="6BC02A2E" w14:textId="29AC555E" w:rsidR="0090329E" w:rsidRPr="00CC0378" w:rsidRDefault="0090329E" w:rsidP="0090329E">
      <w:pPr>
        <w:tabs>
          <w:tab w:val="left" w:pos="540"/>
          <w:tab w:val="left" w:pos="569"/>
        </w:tabs>
        <w:jc w:val="both"/>
        <w:rPr>
          <w:bCs/>
          <w:sz w:val="22"/>
          <w:szCs w:val="22"/>
          <w:lang w:val="sr-Latn-ME"/>
        </w:rPr>
      </w:pPr>
      <w:r w:rsidRPr="00CC0378">
        <w:rPr>
          <w:bCs/>
          <w:sz w:val="22"/>
          <w:szCs w:val="22"/>
          <w:lang w:val="sr-Latn-ME"/>
        </w:rPr>
        <w:t>Glicerol</w:t>
      </w:r>
      <w:r w:rsidR="00962001">
        <w:rPr>
          <w:bCs/>
          <w:sz w:val="22"/>
          <w:szCs w:val="22"/>
          <w:lang w:val="sr-Latn-ME"/>
        </w:rPr>
        <w:t xml:space="preserve"> </w:t>
      </w:r>
      <w:r w:rsidRPr="00CC0378">
        <w:rPr>
          <w:bCs/>
          <w:sz w:val="22"/>
          <w:szCs w:val="22"/>
          <w:lang w:val="sr-Latn-ME"/>
        </w:rPr>
        <w:t>monostearat</w:t>
      </w:r>
      <w:r w:rsidR="00962001">
        <w:rPr>
          <w:bCs/>
          <w:sz w:val="22"/>
          <w:szCs w:val="22"/>
          <w:lang w:val="sr-Latn-ME"/>
        </w:rPr>
        <w:t xml:space="preserve"> 40-55</w:t>
      </w:r>
      <w:r w:rsidRPr="00CC0378">
        <w:rPr>
          <w:bCs/>
          <w:sz w:val="22"/>
          <w:szCs w:val="22"/>
          <w:lang w:val="sr-Latn-ME"/>
        </w:rPr>
        <w:t xml:space="preserve">, </w:t>
      </w:r>
    </w:p>
    <w:p w14:paraId="461F13A8" w14:textId="3DED20C1" w:rsidR="0090329E" w:rsidRPr="00CC0378" w:rsidRDefault="0090329E" w:rsidP="0090329E">
      <w:pPr>
        <w:tabs>
          <w:tab w:val="left" w:pos="540"/>
          <w:tab w:val="left" w:pos="569"/>
        </w:tabs>
        <w:jc w:val="both"/>
        <w:rPr>
          <w:bCs/>
          <w:sz w:val="22"/>
          <w:szCs w:val="22"/>
          <w:lang w:val="sr-Latn-ME"/>
        </w:rPr>
      </w:pPr>
      <w:r w:rsidRPr="00CC0378">
        <w:rPr>
          <w:bCs/>
          <w:sz w:val="22"/>
          <w:szCs w:val="22"/>
          <w:lang w:val="sr-Latn-ME"/>
        </w:rPr>
        <w:t xml:space="preserve">Hidroksipropilceluloza, </w:t>
      </w:r>
    </w:p>
    <w:p w14:paraId="3141F211" w14:textId="77777777" w:rsidR="0090329E" w:rsidRPr="00CC0378" w:rsidRDefault="0090329E" w:rsidP="0090329E">
      <w:pPr>
        <w:tabs>
          <w:tab w:val="left" w:pos="540"/>
          <w:tab w:val="left" w:pos="569"/>
        </w:tabs>
        <w:jc w:val="both"/>
        <w:rPr>
          <w:bCs/>
          <w:sz w:val="22"/>
          <w:szCs w:val="22"/>
          <w:lang w:val="sr-Latn-ME"/>
        </w:rPr>
      </w:pPr>
      <w:r w:rsidRPr="00CC0378">
        <w:rPr>
          <w:bCs/>
          <w:sz w:val="22"/>
          <w:szCs w:val="22"/>
          <w:lang w:val="sr-Latn-ME"/>
        </w:rPr>
        <w:t xml:space="preserve">Hipromeloza, </w:t>
      </w:r>
    </w:p>
    <w:p w14:paraId="49F04E71" w14:textId="426F7D6C" w:rsidR="0090329E" w:rsidRPr="00CC0378" w:rsidRDefault="0090329E" w:rsidP="0090329E">
      <w:pPr>
        <w:tabs>
          <w:tab w:val="left" w:pos="540"/>
          <w:tab w:val="left" w:pos="569"/>
        </w:tabs>
        <w:jc w:val="both"/>
        <w:rPr>
          <w:bCs/>
          <w:sz w:val="22"/>
          <w:szCs w:val="22"/>
          <w:lang w:val="sr-Latn-ME"/>
        </w:rPr>
      </w:pPr>
      <w:r w:rsidRPr="00CC0378">
        <w:rPr>
          <w:bCs/>
          <w:sz w:val="22"/>
          <w:szCs w:val="22"/>
          <w:lang w:val="sr-Latn-ME"/>
        </w:rPr>
        <w:t>Gvožđe</w:t>
      </w:r>
      <w:r>
        <w:rPr>
          <w:bCs/>
          <w:sz w:val="22"/>
          <w:szCs w:val="22"/>
          <w:lang w:val="sr-Latn-ME"/>
        </w:rPr>
        <w:t xml:space="preserve"> </w:t>
      </w:r>
      <w:r w:rsidRPr="00CC0378">
        <w:rPr>
          <w:bCs/>
          <w:sz w:val="22"/>
          <w:szCs w:val="22"/>
          <w:lang w:val="sr-Latn-ME"/>
        </w:rPr>
        <w:t>(III)</w:t>
      </w:r>
      <w:r>
        <w:rPr>
          <w:bCs/>
          <w:sz w:val="22"/>
          <w:szCs w:val="22"/>
          <w:lang w:val="sr-Latn-ME"/>
        </w:rPr>
        <w:t xml:space="preserve"> </w:t>
      </w:r>
      <w:r w:rsidR="00E90D35">
        <w:rPr>
          <w:bCs/>
          <w:sz w:val="22"/>
          <w:szCs w:val="22"/>
          <w:lang w:val="sr-Latn-ME"/>
        </w:rPr>
        <w:t xml:space="preserve">oksid, </w:t>
      </w:r>
      <w:r w:rsidRPr="00CC0378">
        <w:rPr>
          <w:bCs/>
          <w:sz w:val="22"/>
          <w:szCs w:val="22"/>
          <w:lang w:val="sr-Latn-ME"/>
        </w:rPr>
        <w:t>crvenkasto</w:t>
      </w:r>
      <w:r w:rsidR="00E90D35">
        <w:rPr>
          <w:bCs/>
          <w:sz w:val="22"/>
          <w:szCs w:val="22"/>
          <w:lang w:val="sr-Latn-ME"/>
        </w:rPr>
        <w:t>smeđi</w:t>
      </w:r>
      <w:r w:rsidR="006659EA">
        <w:rPr>
          <w:bCs/>
          <w:sz w:val="22"/>
          <w:szCs w:val="22"/>
          <w:lang w:val="sr-Latn-ME"/>
        </w:rPr>
        <w:t xml:space="preserve"> </w:t>
      </w:r>
      <w:r w:rsidR="006659EA">
        <w:rPr>
          <w:sz w:val="22"/>
          <w:szCs w:val="22"/>
          <w:lang w:val="sr-Latn-ME"/>
        </w:rPr>
        <w:t>(E172),</w:t>
      </w:r>
    </w:p>
    <w:p w14:paraId="22FE1DD8" w14:textId="77777777" w:rsidR="0090329E" w:rsidRPr="00CC0378" w:rsidRDefault="0090329E" w:rsidP="0090329E">
      <w:pPr>
        <w:tabs>
          <w:tab w:val="left" w:pos="540"/>
          <w:tab w:val="left" w:pos="569"/>
        </w:tabs>
        <w:jc w:val="both"/>
        <w:rPr>
          <w:bCs/>
          <w:sz w:val="22"/>
          <w:szCs w:val="22"/>
          <w:lang w:val="sr-Latn-ME"/>
        </w:rPr>
      </w:pPr>
      <w:r w:rsidRPr="00CC0378">
        <w:rPr>
          <w:bCs/>
          <w:sz w:val="22"/>
          <w:szCs w:val="22"/>
          <w:lang w:val="sr-Latn-ME"/>
        </w:rPr>
        <w:t xml:space="preserve">Magnezijum stearat, </w:t>
      </w:r>
    </w:p>
    <w:p w14:paraId="09CBA450" w14:textId="0AB50ECF" w:rsidR="0090329E" w:rsidRPr="00CC0378" w:rsidRDefault="0074529A" w:rsidP="0090329E">
      <w:pPr>
        <w:tabs>
          <w:tab w:val="left" w:pos="540"/>
          <w:tab w:val="left" w:pos="569"/>
        </w:tabs>
        <w:jc w:val="both"/>
        <w:rPr>
          <w:bCs/>
          <w:sz w:val="22"/>
          <w:szCs w:val="22"/>
          <w:lang w:val="sr-Latn-ME"/>
        </w:rPr>
      </w:pPr>
      <w:r w:rsidRPr="00CC0378">
        <w:rPr>
          <w:bCs/>
          <w:sz w:val="22"/>
          <w:szCs w:val="22"/>
          <w:lang w:val="sr-Latn-ME"/>
        </w:rPr>
        <w:lastRenderedPageBreak/>
        <w:t xml:space="preserve">Metakrilna </w:t>
      </w:r>
      <w:r w:rsidR="0090329E" w:rsidRPr="00CC0378">
        <w:rPr>
          <w:bCs/>
          <w:sz w:val="22"/>
          <w:szCs w:val="22"/>
          <w:lang w:val="sr-Latn-ME"/>
        </w:rPr>
        <w:t>kiselina etilakrilat, kopolimer (1:1) 30% disperzija,</w:t>
      </w:r>
    </w:p>
    <w:p w14:paraId="646B576B" w14:textId="522332CD" w:rsidR="0090329E" w:rsidRPr="00CC0378" w:rsidRDefault="00C520BD" w:rsidP="0090329E">
      <w:pPr>
        <w:tabs>
          <w:tab w:val="left" w:pos="540"/>
          <w:tab w:val="left" w:pos="569"/>
        </w:tabs>
        <w:jc w:val="both"/>
        <w:rPr>
          <w:bCs/>
          <w:sz w:val="22"/>
          <w:szCs w:val="22"/>
          <w:lang w:val="sr-Latn-ME"/>
        </w:rPr>
      </w:pPr>
      <w:r>
        <w:rPr>
          <w:bCs/>
          <w:sz w:val="22"/>
          <w:szCs w:val="22"/>
          <w:lang w:val="sr-Latn-ME"/>
        </w:rPr>
        <w:t>Celuloza</w:t>
      </w:r>
      <w:r w:rsidR="0090329E" w:rsidRPr="00CC0378">
        <w:rPr>
          <w:bCs/>
          <w:sz w:val="22"/>
          <w:szCs w:val="22"/>
          <w:lang w:val="sr-Latn-ME"/>
        </w:rPr>
        <w:t xml:space="preserve"> mikrokristalna,</w:t>
      </w:r>
    </w:p>
    <w:p w14:paraId="05059338" w14:textId="0973A3DA" w:rsidR="0090329E" w:rsidRPr="00CC0378" w:rsidRDefault="00E90D35" w:rsidP="0090329E">
      <w:pPr>
        <w:tabs>
          <w:tab w:val="left" w:pos="540"/>
          <w:tab w:val="left" w:pos="569"/>
        </w:tabs>
        <w:jc w:val="both"/>
        <w:rPr>
          <w:bCs/>
          <w:sz w:val="22"/>
          <w:szCs w:val="22"/>
          <w:lang w:val="sr-Latn-ME"/>
        </w:rPr>
      </w:pPr>
      <w:r>
        <w:rPr>
          <w:bCs/>
          <w:sz w:val="22"/>
          <w:szCs w:val="22"/>
          <w:lang w:val="sr-Latn-ME"/>
        </w:rPr>
        <w:t>Parafin</w:t>
      </w:r>
      <w:r w:rsidR="0090329E" w:rsidRPr="00CC0378">
        <w:rPr>
          <w:bCs/>
          <w:sz w:val="22"/>
          <w:szCs w:val="22"/>
          <w:lang w:val="sr-Latn-ME"/>
        </w:rPr>
        <w:t xml:space="preserve"> sintetički</w:t>
      </w:r>
      <w:r w:rsidR="0074529A">
        <w:rPr>
          <w:bCs/>
          <w:sz w:val="22"/>
          <w:szCs w:val="22"/>
          <w:lang w:val="sr-Latn-ME"/>
        </w:rPr>
        <w:t>,</w:t>
      </w:r>
      <w:r w:rsidR="0090329E" w:rsidRPr="00CC0378">
        <w:rPr>
          <w:bCs/>
          <w:sz w:val="22"/>
          <w:szCs w:val="22"/>
          <w:lang w:val="sr-Latn-ME"/>
        </w:rPr>
        <w:t xml:space="preserve"> </w:t>
      </w:r>
    </w:p>
    <w:p w14:paraId="41ED7BAC" w14:textId="6882CA67" w:rsidR="0090329E" w:rsidRPr="00CC0378" w:rsidRDefault="0090329E" w:rsidP="0090329E">
      <w:pPr>
        <w:tabs>
          <w:tab w:val="left" w:pos="540"/>
          <w:tab w:val="left" w:pos="569"/>
        </w:tabs>
        <w:jc w:val="both"/>
        <w:rPr>
          <w:bCs/>
          <w:sz w:val="22"/>
          <w:szCs w:val="22"/>
          <w:lang w:val="sr-Latn-ME"/>
        </w:rPr>
      </w:pPr>
      <w:r w:rsidRPr="00CC0378">
        <w:rPr>
          <w:bCs/>
          <w:sz w:val="22"/>
          <w:szCs w:val="22"/>
          <w:lang w:val="sr-Latn-ME"/>
        </w:rPr>
        <w:t>Makrogol</w:t>
      </w:r>
      <w:r w:rsidR="00DE423F">
        <w:rPr>
          <w:bCs/>
          <w:sz w:val="22"/>
          <w:szCs w:val="22"/>
          <w:lang w:val="sr-Latn-ME"/>
        </w:rPr>
        <w:t>i</w:t>
      </w:r>
      <w:r w:rsidRPr="00CC0378">
        <w:rPr>
          <w:bCs/>
          <w:sz w:val="22"/>
          <w:szCs w:val="22"/>
          <w:lang w:val="sr-Latn-ME"/>
        </w:rPr>
        <w:t xml:space="preserve">, </w:t>
      </w:r>
    </w:p>
    <w:p w14:paraId="4EAE5564" w14:textId="77777777" w:rsidR="0090329E" w:rsidRPr="00CC0378" w:rsidRDefault="0090329E" w:rsidP="0090329E">
      <w:pPr>
        <w:tabs>
          <w:tab w:val="left" w:pos="540"/>
          <w:tab w:val="left" w:pos="569"/>
        </w:tabs>
        <w:jc w:val="both"/>
        <w:rPr>
          <w:bCs/>
          <w:sz w:val="22"/>
          <w:szCs w:val="22"/>
          <w:lang w:val="sr-Latn-ME"/>
        </w:rPr>
      </w:pPr>
      <w:r w:rsidRPr="00CC0378">
        <w:rPr>
          <w:bCs/>
          <w:sz w:val="22"/>
          <w:szCs w:val="22"/>
          <w:lang w:val="sr-Latn-ME"/>
        </w:rPr>
        <w:t xml:space="preserve">Polisorbat 80, </w:t>
      </w:r>
    </w:p>
    <w:p w14:paraId="110ECA5A" w14:textId="77777777" w:rsidR="0090329E" w:rsidRPr="00CC0378" w:rsidRDefault="0090329E" w:rsidP="0090329E">
      <w:pPr>
        <w:tabs>
          <w:tab w:val="left" w:pos="540"/>
          <w:tab w:val="left" w:pos="569"/>
        </w:tabs>
        <w:jc w:val="both"/>
        <w:rPr>
          <w:bCs/>
          <w:sz w:val="22"/>
          <w:szCs w:val="22"/>
          <w:lang w:val="sr-Latn-ME"/>
        </w:rPr>
      </w:pPr>
      <w:r w:rsidRPr="00CC0378">
        <w:rPr>
          <w:bCs/>
          <w:sz w:val="22"/>
          <w:szCs w:val="22"/>
          <w:lang w:val="sr-Latn-ME"/>
        </w:rPr>
        <w:t xml:space="preserve">Krospovidon, </w:t>
      </w:r>
    </w:p>
    <w:p w14:paraId="7F759D2F" w14:textId="5AFEA21C" w:rsidR="0090329E" w:rsidRPr="00CC0378" w:rsidRDefault="0090329E" w:rsidP="0090329E">
      <w:pPr>
        <w:tabs>
          <w:tab w:val="left" w:pos="540"/>
          <w:tab w:val="left" w:pos="569"/>
        </w:tabs>
        <w:jc w:val="both"/>
        <w:rPr>
          <w:bCs/>
          <w:sz w:val="22"/>
          <w:szCs w:val="22"/>
          <w:lang w:val="sr-Latn-ME"/>
        </w:rPr>
      </w:pPr>
      <w:r w:rsidRPr="00CC0378">
        <w:rPr>
          <w:bCs/>
          <w:sz w:val="22"/>
          <w:szCs w:val="22"/>
          <w:lang w:val="sr-Latn-ME"/>
        </w:rPr>
        <w:t>Natrijum stearil</w:t>
      </w:r>
      <w:r w:rsidR="0074529A">
        <w:rPr>
          <w:bCs/>
          <w:sz w:val="22"/>
          <w:szCs w:val="22"/>
          <w:lang w:val="sr-Latn-ME"/>
        </w:rPr>
        <w:t xml:space="preserve"> </w:t>
      </w:r>
      <w:r w:rsidRPr="00CC0378">
        <w:rPr>
          <w:bCs/>
          <w:sz w:val="22"/>
          <w:szCs w:val="22"/>
          <w:lang w:val="sr-Latn-ME"/>
        </w:rPr>
        <w:t xml:space="preserve">fumarat, </w:t>
      </w:r>
    </w:p>
    <w:p w14:paraId="5E1C00A5" w14:textId="77777777" w:rsidR="0090329E" w:rsidRPr="00CC0378" w:rsidRDefault="0090329E" w:rsidP="0090329E">
      <w:pPr>
        <w:tabs>
          <w:tab w:val="left" w:pos="540"/>
          <w:tab w:val="left" w:pos="569"/>
        </w:tabs>
        <w:jc w:val="both"/>
        <w:rPr>
          <w:bCs/>
          <w:sz w:val="22"/>
          <w:szCs w:val="22"/>
          <w:lang w:val="sr-Latn-ME"/>
        </w:rPr>
      </w:pPr>
      <w:r w:rsidRPr="00CC0378">
        <w:rPr>
          <w:bCs/>
          <w:sz w:val="22"/>
          <w:szCs w:val="22"/>
          <w:lang w:val="sr-Latn-ME"/>
        </w:rPr>
        <w:t xml:space="preserve">Šećerne sfere (saharoza i skrob kukuruzni), </w:t>
      </w:r>
    </w:p>
    <w:p w14:paraId="73519B6C" w14:textId="77777777" w:rsidR="0090329E" w:rsidRPr="00CC0378" w:rsidRDefault="0090329E" w:rsidP="0090329E">
      <w:pPr>
        <w:tabs>
          <w:tab w:val="left" w:pos="540"/>
          <w:tab w:val="left" w:pos="569"/>
        </w:tabs>
        <w:jc w:val="both"/>
        <w:rPr>
          <w:bCs/>
          <w:sz w:val="22"/>
          <w:szCs w:val="22"/>
          <w:lang w:val="sr-Latn-ME"/>
        </w:rPr>
      </w:pPr>
      <w:r w:rsidRPr="00CC0378">
        <w:rPr>
          <w:bCs/>
          <w:sz w:val="22"/>
          <w:szCs w:val="22"/>
          <w:lang w:val="sr-Latn-ME"/>
        </w:rPr>
        <w:t xml:space="preserve">Talk, </w:t>
      </w:r>
    </w:p>
    <w:p w14:paraId="1CC46424" w14:textId="37F6D139" w:rsidR="0090329E" w:rsidRPr="00CC0378" w:rsidRDefault="0090329E" w:rsidP="0090329E">
      <w:pPr>
        <w:tabs>
          <w:tab w:val="left" w:pos="540"/>
          <w:tab w:val="left" w:pos="569"/>
        </w:tabs>
        <w:jc w:val="both"/>
        <w:rPr>
          <w:bCs/>
          <w:sz w:val="22"/>
          <w:szCs w:val="22"/>
          <w:lang w:val="sr-Latn-ME"/>
        </w:rPr>
      </w:pPr>
      <w:r w:rsidRPr="00CC0378">
        <w:rPr>
          <w:bCs/>
          <w:sz w:val="22"/>
          <w:szCs w:val="22"/>
          <w:lang w:val="sr-Latn-ME"/>
        </w:rPr>
        <w:t>Titan dioksid</w:t>
      </w:r>
      <w:r w:rsidR="000C43EB">
        <w:rPr>
          <w:bCs/>
          <w:sz w:val="22"/>
          <w:szCs w:val="22"/>
          <w:lang w:val="sr-Latn-ME"/>
        </w:rPr>
        <w:t xml:space="preserve"> </w:t>
      </w:r>
      <w:r w:rsidR="000C43EB" w:rsidRPr="00861677">
        <w:rPr>
          <w:sz w:val="22"/>
          <w:szCs w:val="22"/>
          <w:lang w:val="sr-Latn-ME"/>
        </w:rPr>
        <w:t>(E 171)</w:t>
      </w:r>
      <w:r w:rsidRPr="00CC0378">
        <w:rPr>
          <w:bCs/>
          <w:sz w:val="22"/>
          <w:szCs w:val="22"/>
          <w:lang w:val="sr-Latn-ME"/>
        </w:rPr>
        <w:t xml:space="preserve">, </w:t>
      </w:r>
    </w:p>
    <w:p w14:paraId="35426DC1" w14:textId="55DA8316" w:rsidR="0090329E" w:rsidRPr="00CC0378" w:rsidRDefault="0090329E" w:rsidP="0090329E">
      <w:pPr>
        <w:tabs>
          <w:tab w:val="left" w:pos="540"/>
          <w:tab w:val="left" w:pos="569"/>
        </w:tabs>
        <w:jc w:val="both"/>
        <w:rPr>
          <w:bCs/>
          <w:sz w:val="22"/>
          <w:szCs w:val="22"/>
          <w:lang w:val="sr-Latn-ME"/>
        </w:rPr>
      </w:pPr>
      <w:r w:rsidRPr="00CC0378">
        <w:rPr>
          <w:bCs/>
          <w:sz w:val="22"/>
          <w:szCs w:val="22"/>
          <w:lang w:val="sr-Latn-ME"/>
        </w:rPr>
        <w:t>Trietil</w:t>
      </w:r>
      <w:r w:rsidR="00962001">
        <w:rPr>
          <w:bCs/>
          <w:sz w:val="22"/>
          <w:szCs w:val="22"/>
          <w:lang w:val="sr-Latn-ME"/>
        </w:rPr>
        <w:t xml:space="preserve"> </w:t>
      </w:r>
      <w:r w:rsidRPr="00CC0378">
        <w:rPr>
          <w:bCs/>
          <w:sz w:val="22"/>
          <w:szCs w:val="22"/>
          <w:lang w:val="sr-Latn-ME"/>
        </w:rPr>
        <w:t xml:space="preserve">citrat. </w:t>
      </w:r>
    </w:p>
    <w:p w14:paraId="7527F1B9" w14:textId="5FC1A89F" w:rsidR="0090329E" w:rsidRDefault="0090329E" w:rsidP="009462F3">
      <w:pPr>
        <w:jc w:val="both"/>
        <w:rPr>
          <w:b/>
          <w:bCs/>
          <w:sz w:val="22"/>
          <w:szCs w:val="22"/>
          <w:lang w:val="sr-Latn-ME"/>
        </w:rPr>
      </w:pPr>
    </w:p>
    <w:p w14:paraId="1C94FD9C" w14:textId="77777777" w:rsidR="0072020E" w:rsidRPr="00CC0378" w:rsidRDefault="0072020E" w:rsidP="009462F3">
      <w:pPr>
        <w:jc w:val="both"/>
        <w:rPr>
          <w:b/>
          <w:bCs/>
          <w:sz w:val="22"/>
          <w:szCs w:val="22"/>
          <w:lang w:val="sr-Latn-ME"/>
        </w:rPr>
      </w:pPr>
      <w:r w:rsidRPr="00CC0378">
        <w:rPr>
          <w:b/>
          <w:bCs/>
          <w:sz w:val="22"/>
          <w:szCs w:val="22"/>
          <w:lang w:val="sr-Latn-ME"/>
        </w:rPr>
        <w:t xml:space="preserve">6.2. </w:t>
      </w:r>
      <w:r w:rsidR="00480FB1" w:rsidRPr="00CC0378">
        <w:rPr>
          <w:b/>
          <w:bCs/>
          <w:sz w:val="22"/>
          <w:szCs w:val="22"/>
          <w:lang w:val="sr-Latn-ME"/>
        </w:rPr>
        <w:tab/>
      </w:r>
      <w:r w:rsidRPr="00CC0378">
        <w:rPr>
          <w:b/>
          <w:bCs/>
          <w:sz w:val="22"/>
          <w:szCs w:val="22"/>
          <w:lang w:val="sr-Latn-ME"/>
        </w:rPr>
        <w:t>Inkompatibilnost</w:t>
      </w:r>
      <w:r w:rsidR="002846DB" w:rsidRPr="00CC0378">
        <w:rPr>
          <w:b/>
          <w:bCs/>
          <w:sz w:val="22"/>
          <w:szCs w:val="22"/>
          <w:lang w:val="sr-Latn-ME"/>
        </w:rPr>
        <w:t>i</w:t>
      </w:r>
    </w:p>
    <w:p w14:paraId="1AD21C2C" w14:textId="0B16395C" w:rsidR="0072020E" w:rsidRPr="00CC0378" w:rsidRDefault="0072020E" w:rsidP="00CC0378">
      <w:pPr>
        <w:tabs>
          <w:tab w:val="left" w:pos="540"/>
          <w:tab w:val="left" w:pos="569"/>
        </w:tabs>
        <w:jc w:val="both"/>
        <w:rPr>
          <w:bCs/>
          <w:sz w:val="22"/>
          <w:szCs w:val="22"/>
          <w:lang w:val="sr-Latn-ME"/>
        </w:rPr>
      </w:pPr>
    </w:p>
    <w:p w14:paraId="7EDB42F5" w14:textId="77777777" w:rsidR="008174EA" w:rsidRDefault="008174EA" w:rsidP="00CC0378">
      <w:pPr>
        <w:tabs>
          <w:tab w:val="left" w:pos="540"/>
          <w:tab w:val="left" w:pos="569"/>
        </w:tabs>
        <w:jc w:val="both"/>
        <w:rPr>
          <w:bCs/>
          <w:sz w:val="22"/>
          <w:szCs w:val="22"/>
          <w:lang w:val="sr-Latn-ME"/>
        </w:rPr>
      </w:pPr>
      <w:r>
        <w:rPr>
          <w:color w:val="000000"/>
          <w:sz w:val="22"/>
          <w:szCs w:val="22"/>
          <w:lang w:val="sr-Latn-ME"/>
        </w:rPr>
        <w:t>Nije primjenljivo</w:t>
      </w:r>
      <w:r>
        <w:rPr>
          <w:bCs/>
          <w:sz w:val="22"/>
          <w:szCs w:val="22"/>
          <w:lang w:val="sr-Latn-ME"/>
        </w:rPr>
        <w:t>.</w:t>
      </w:r>
    </w:p>
    <w:p w14:paraId="08DC7348" w14:textId="77777777" w:rsidR="00581CDC" w:rsidRPr="00CC0378" w:rsidRDefault="00581CDC" w:rsidP="00CC0378">
      <w:pPr>
        <w:tabs>
          <w:tab w:val="left" w:pos="540"/>
          <w:tab w:val="left" w:pos="569"/>
        </w:tabs>
        <w:jc w:val="both"/>
        <w:rPr>
          <w:bCs/>
          <w:sz w:val="22"/>
          <w:szCs w:val="22"/>
          <w:lang w:val="sr-Latn-ME"/>
        </w:rPr>
      </w:pPr>
    </w:p>
    <w:p w14:paraId="098F76F0" w14:textId="1084F08B" w:rsidR="0072020E" w:rsidRPr="00CC0378" w:rsidRDefault="0072020E" w:rsidP="00CC0378">
      <w:pPr>
        <w:tabs>
          <w:tab w:val="left" w:pos="540"/>
          <w:tab w:val="left" w:pos="569"/>
        </w:tabs>
        <w:jc w:val="both"/>
        <w:rPr>
          <w:b/>
          <w:bCs/>
          <w:sz w:val="22"/>
          <w:szCs w:val="22"/>
          <w:lang w:val="sr-Latn-ME"/>
        </w:rPr>
      </w:pPr>
      <w:r w:rsidRPr="00CC0378">
        <w:rPr>
          <w:b/>
          <w:bCs/>
          <w:sz w:val="22"/>
          <w:szCs w:val="22"/>
          <w:lang w:val="sr-Latn-ME"/>
        </w:rPr>
        <w:t>6.3.</w:t>
      </w:r>
      <w:r w:rsidR="00C05DF8" w:rsidRPr="00CC0378">
        <w:rPr>
          <w:b/>
          <w:bCs/>
          <w:sz w:val="22"/>
          <w:szCs w:val="22"/>
          <w:lang w:val="sr-Latn-ME"/>
        </w:rPr>
        <w:t xml:space="preserve"> </w:t>
      </w:r>
      <w:r w:rsidR="00480FB1" w:rsidRPr="00CC0378">
        <w:rPr>
          <w:b/>
          <w:bCs/>
          <w:sz w:val="22"/>
          <w:szCs w:val="22"/>
          <w:lang w:val="sr-Latn-ME"/>
        </w:rPr>
        <w:tab/>
      </w:r>
      <w:r w:rsidRPr="00CC0378">
        <w:rPr>
          <w:b/>
          <w:bCs/>
          <w:sz w:val="22"/>
          <w:szCs w:val="22"/>
          <w:lang w:val="sr-Latn-ME"/>
        </w:rPr>
        <w:t>Rok upotrebe</w:t>
      </w:r>
    </w:p>
    <w:p w14:paraId="570CC755" w14:textId="77777777" w:rsidR="00581CDC" w:rsidRPr="00CC0378" w:rsidRDefault="00581CDC" w:rsidP="00CC0378">
      <w:pPr>
        <w:tabs>
          <w:tab w:val="left" w:pos="540"/>
          <w:tab w:val="left" w:pos="569"/>
        </w:tabs>
        <w:jc w:val="both"/>
        <w:rPr>
          <w:b/>
          <w:bCs/>
          <w:sz w:val="22"/>
          <w:szCs w:val="22"/>
          <w:lang w:val="sr-Latn-ME"/>
        </w:rPr>
      </w:pPr>
    </w:p>
    <w:p w14:paraId="46970564" w14:textId="77777777" w:rsidR="00581CDC" w:rsidRPr="00CC0378" w:rsidRDefault="00581CDC" w:rsidP="00CC0378">
      <w:pPr>
        <w:jc w:val="both"/>
        <w:rPr>
          <w:sz w:val="22"/>
          <w:szCs w:val="22"/>
          <w:lang w:val="sr-Latn-ME"/>
        </w:rPr>
      </w:pPr>
      <w:r w:rsidRPr="00CC0378">
        <w:rPr>
          <w:sz w:val="22"/>
          <w:szCs w:val="22"/>
          <w:lang w:val="sr-Latn-ME"/>
        </w:rPr>
        <w:t>3 godine.</w:t>
      </w:r>
    </w:p>
    <w:p w14:paraId="2AB69A6E" w14:textId="77777777" w:rsidR="00581CDC" w:rsidRPr="00CC0378" w:rsidRDefault="00581CDC" w:rsidP="00CC0378">
      <w:pPr>
        <w:jc w:val="both"/>
        <w:rPr>
          <w:sz w:val="22"/>
          <w:szCs w:val="22"/>
          <w:lang w:val="sr-Latn-ME"/>
        </w:rPr>
      </w:pPr>
      <w:r w:rsidRPr="00CC0378">
        <w:rPr>
          <w:sz w:val="22"/>
          <w:szCs w:val="22"/>
          <w:lang w:val="sr-Latn-ME"/>
        </w:rPr>
        <w:t>Lijek se ne smije koristiti nakon isteka datuma navedenog na pakovanju.</w:t>
      </w:r>
    </w:p>
    <w:p w14:paraId="5FD29C71" w14:textId="77777777" w:rsidR="0072020E" w:rsidRPr="00CC0378" w:rsidRDefault="0072020E" w:rsidP="00CC0378">
      <w:pPr>
        <w:tabs>
          <w:tab w:val="left" w:pos="540"/>
          <w:tab w:val="left" w:pos="569"/>
        </w:tabs>
        <w:jc w:val="both"/>
        <w:rPr>
          <w:bCs/>
          <w:sz w:val="22"/>
          <w:szCs w:val="22"/>
          <w:lang w:val="sr-Latn-ME"/>
        </w:rPr>
      </w:pPr>
    </w:p>
    <w:p w14:paraId="2DC8914A" w14:textId="23DCCB86" w:rsidR="0072020E"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6.4. </w:t>
      </w:r>
      <w:r w:rsidR="00480FB1" w:rsidRPr="00CC0378">
        <w:rPr>
          <w:b/>
          <w:bCs/>
          <w:sz w:val="22"/>
          <w:szCs w:val="22"/>
          <w:lang w:val="sr-Latn-ME"/>
        </w:rPr>
        <w:tab/>
      </w:r>
      <w:r w:rsidRPr="00CC0378">
        <w:rPr>
          <w:b/>
          <w:bCs/>
          <w:sz w:val="22"/>
          <w:szCs w:val="22"/>
          <w:lang w:val="sr-Latn-ME"/>
        </w:rPr>
        <w:t>Posebne mjere upozorenja pri čuvanju</w:t>
      </w:r>
      <w:r w:rsidR="00F8570A" w:rsidRPr="00CC0378">
        <w:rPr>
          <w:b/>
          <w:bCs/>
          <w:sz w:val="22"/>
          <w:szCs w:val="22"/>
          <w:lang w:val="sr-Latn-ME"/>
        </w:rPr>
        <w:t xml:space="preserve"> lijeka</w:t>
      </w:r>
    </w:p>
    <w:p w14:paraId="68789850" w14:textId="77777777" w:rsidR="00581CDC" w:rsidRPr="00CC0378" w:rsidRDefault="00581CDC" w:rsidP="00CC0378">
      <w:pPr>
        <w:tabs>
          <w:tab w:val="left" w:pos="540"/>
          <w:tab w:val="left" w:pos="569"/>
        </w:tabs>
        <w:jc w:val="both"/>
        <w:rPr>
          <w:b/>
          <w:bCs/>
          <w:sz w:val="22"/>
          <w:szCs w:val="22"/>
          <w:lang w:val="sr-Latn-ME"/>
        </w:rPr>
      </w:pPr>
    </w:p>
    <w:p w14:paraId="3A2D281A" w14:textId="77777777" w:rsidR="00581CDC" w:rsidRPr="00CC0378" w:rsidRDefault="00581CDC" w:rsidP="00CC0378">
      <w:pPr>
        <w:jc w:val="both"/>
        <w:rPr>
          <w:sz w:val="22"/>
          <w:szCs w:val="22"/>
          <w:lang w:val="sr-Latn-ME"/>
        </w:rPr>
      </w:pPr>
      <w:r w:rsidRPr="00CC0378">
        <w:rPr>
          <w:sz w:val="22"/>
          <w:szCs w:val="22"/>
          <w:lang w:val="sr-Latn-ME"/>
        </w:rPr>
        <w:t>Lijek čuvati van domašaja djece.</w:t>
      </w:r>
    </w:p>
    <w:p w14:paraId="7E847B7F" w14:textId="77777777" w:rsidR="0090329E" w:rsidRDefault="00581CDC" w:rsidP="00CC0378">
      <w:pPr>
        <w:jc w:val="both"/>
        <w:rPr>
          <w:sz w:val="22"/>
          <w:szCs w:val="22"/>
          <w:lang w:val="sr-Latn-ME"/>
        </w:rPr>
      </w:pPr>
      <w:r w:rsidRPr="00CC0378">
        <w:rPr>
          <w:sz w:val="22"/>
          <w:szCs w:val="22"/>
          <w:lang w:val="sr-Latn-ME"/>
        </w:rPr>
        <w:fldChar w:fldCharType="begin"/>
      </w:r>
      <w:r w:rsidRPr="00CC0378">
        <w:rPr>
          <w:sz w:val="22"/>
          <w:szCs w:val="22"/>
          <w:lang w:val="sr-Latn-ME"/>
        </w:rPr>
        <w:instrText xml:space="preserve">  </w:instrText>
      </w:r>
      <w:r w:rsidRPr="00CC0378">
        <w:rPr>
          <w:sz w:val="22"/>
          <w:szCs w:val="22"/>
          <w:lang w:val="sr-Latn-ME"/>
        </w:rPr>
        <w:fldChar w:fldCharType="end"/>
      </w:r>
      <w:r w:rsidRPr="00CC0378">
        <w:rPr>
          <w:sz w:val="22"/>
          <w:szCs w:val="22"/>
          <w:lang w:val="sr-Latn-ME"/>
        </w:rPr>
        <w:t>Čuvati na temperaturi do 30</w:t>
      </w:r>
      <w:r w:rsidR="00F4545F" w:rsidRPr="00CC0378">
        <w:rPr>
          <w:sz w:val="22"/>
          <w:szCs w:val="22"/>
          <w:lang w:val="sr-Latn-ME"/>
        </w:rPr>
        <w:t>°</w:t>
      </w:r>
      <w:r w:rsidRPr="00CC0378">
        <w:rPr>
          <w:sz w:val="22"/>
          <w:szCs w:val="22"/>
          <w:lang w:val="sr-Latn-ME"/>
        </w:rPr>
        <w:t xml:space="preserve">C. </w:t>
      </w:r>
    </w:p>
    <w:p w14:paraId="71683DB1" w14:textId="52B4D60C" w:rsidR="00581CDC" w:rsidRPr="00CC0378" w:rsidRDefault="00581CDC" w:rsidP="00CC0378">
      <w:pPr>
        <w:jc w:val="both"/>
        <w:rPr>
          <w:sz w:val="22"/>
          <w:szCs w:val="22"/>
          <w:lang w:val="sr-Latn-ME"/>
        </w:rPr>
      </w:pPr>
      <w:r w:rsidRPr="00CC0378">
        <w:rPr>
          <w:sz w:val="22"/>
          <w:szCs w:val="22"/>
          <w:lang w:val="sr-Latn-ME"/>
        </w:rPr>
        <w:t>Čuvati u originalnom pakovanju, radi zaštite od vlage.</w:t>
      </w:r>
    </w:p>
    <w:p w14:paraId="027A8F7D" w14:textId="77777777" w:rsidR="00EC2532" w:rsidRPr="00CC0378" w:rsidRDefault="00EC2532" w:rsidP="00CC0378">
      <w:pPr>
        <w:tabs>
          <w:tab w:val="left" w:pos="540"/>
          <w:tab w:val="left" w:pos="569"/>
        </w:tabs>
        <w:jc w:val="both"/>
        <w:rPr>
          <w:bCs/>
          <w:sz w:val="22"/>
          <w:szCs w:val="22"/>
          <w:lang w:val="sr-Latn-ME"/>
        </w:rPr>
      </w:pPr>
    </w:p>
    <w:p w14:paraId="32DF6C74" w14:textId="77777777" w:rsidR="0072020E"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6.5. </w:t>
      </w:r>
      <w:r w:rsidR="00480FB1" w:rsidRPr="00CC0378">
        <w:rPr>
          <w:b/>
          <w:bCs/>
          <w:sz w:val="22"/>
          <w:szCs w:val="22"/>
          <w:lang w:val="sr-Latn-ME"/>
        </w:rPr>
        <w:tab/>
      </w:r>
      <w:r w:rsidR="002846DB" w:rsidRPr="00CC0378">
        <w:rPr>
          <w:b/>
          <w:bCs/>
          <w:sz w:val="22"/>
          <w:szCs w:val="22"/>
          <w:lang w:val="sr-Latn-ME"/>
        </w:rPr>
        <w:t xml:space="preserve">Vrsta i sadržaj </w:t>
      </w:r>
      <w:r w:rsidR="00F8570A" w:rsidRPr="00CC0378">
        <w:rPr>
          <w:b/>
          <w:bCs/>
          <w:sz w:val="22"/>
          <w:szCs w:val="22"/>
          <w:lang w:val="sr-Latn-ME"/>
        </w:rPr>
        <w:t>pakovanja</w:t>
      </w:r>
      <w:r w:rsidR="00C06864" w:rsidRPr="00CC0378">
        <w:rPr>
          <w:b/>
          <w:bCs/>
          <w:sz w:val="22"/>
          <w:szCs w:val="22"/>
          <w:lang w:val="sr-Latn-ME"/>
        </w:rPr>
        <w:t xml:space="preserve"> </w:t>
      </w:r>
    </w:p>
    <w:p w14:paraId="405060E8" w14:textId="75781D96" w:rsidR="0072020E" w:rsidRPr="00CC0378" w:rsidRDefault="0072020E" w:rsidP="00CC0378">
      <w:pPr>
        <w:tabs>
          <w:tab w:val="left" w:pos="540"/>
          <w:tab w:val="left" w:pos="569"/>
        </w:tabs>
        <w:jc w:val="both"/>
        <w:rPr>
          <w:bCs/>
          <w:sz w:val="22"/>
          <w:szCs w:val="22"/>
          <w:lang w:val="sr-Latn-ME"/>
        </w:rPr>
      </w:pPr>
    </w:p>
    <w:p w14:paraId="5FB77C62" w14:textId="11FF7A3B" w:rsidR="00581CDC" w:rsidRPr="0090329E" w:rsidRDefault="0090329E" w:rsidP="00CC0378">
      <w:pPr>
        <w:jc w:val="both"/>
        <w:rPr>
          <w:sz w:val="22"/>
          <w:szCs w:val="22"/>
          <w:lang w:val="sr-Latn-ME"/>
        </w:rPr>
      </w:pPr>
      <w:r w:rsidRPr="0090329E">
        <w:rPr>
          <w:sz w:val="22"/>
          <w:szCs w:val="22"/>
          <w:lang w:val="sr-Latn-ME"/>
        </w:rPr>
        <w:t>Unutrašnje pakovanje je a</w:t>
      </w:r>
      <w:r w:rsidR="00581CDC" w:rsidRPr="0090329E">
        <w:rPr>
          <w:sz w:val="22"/>
          <w:szCs w:val="22"/>
          <w:lang w:val="sr-Latn-ME"/>
        </w:rPr>
        <w:t xml:space="preserve">luminijumski blister </w:t>
      </w:r>
      <w:r w:rsidRPr="0090329E">
        <w:rPr>
          <w:sz w:val="22"/>
          <w:szCs w:val="22"/>
          <w:lang w:val="sr-Latn-ME"/>
        </w:rPr>
        <w:t xml:space="preserve">u kome se nalazi 7 </w:t>
      </w:r>
      <w:r w:rsidRPr="0090329E">
        <w:rPr>
          <w:bCs/>
          <w:sz w:val="22"/>
          <w:szCs w:val="22"/>
          <w:lang w:val="sr-Latn-ME"/>
        </w:rPr>
        <w:t>gastrorezistentnih tableta.</w:t>
      </w:r>
      <w:r w:rsidRPr="0090329E" w:rsidDel="0090329E">
        <w:rPr>
          <w:sz w:val="22"/>
          <w:szCs w:val="22"/>
          <w:lang w:val="sr-Latn-ME"/>
        </w:rPr>
        <w:t xml:space="preserve"> </w:t>
      </w:r>
    </w:p>
    <w:p w14:paraId="1117D3F1" w14:textId="67BCFB96" w:rsidR="0090329E" w:rsidRPr="009462F3" w:rsidRDefault="0090329E" w:rsidP="0090329E">
      <w:pPr>
        <w:jc w:val="both"/>
        <w:rPr>
          <w:sz w:val="22"/>
          <w:szCs w:val="22"/>
          <w:lang w:val="sr-Latn-ME"/>
        </w:rPr>
      </w:pPr>
      <w:r w:rsidRPr="009462F3">
        <w:rPr>
          <w:sz w:val="22"/>
          <w:szCs w:val="22"/>
          <w:lang w:val="sr-Latn-ME"/>
        </w:rPr>
        <w:t xml:space="preserve">Spoljašnje pakovanje lijeka je složiva kartonska kutija u kojoj se nalazi 1 blister sa po 7 </w:t>
      </w:r>
      <w:r w:rsidRPr="0090329E">
        <w:rPr>
          <w:bCs/>
          <w:sz w:val="22"/>
          <w:szCs w:val="22"/>
          <w:lang w:val="sr-Latn-ME"/>
        </w:rPr>
        <w:t>gastrorezistentnih tableta</w:t>
      </w:r>
      <w:r w:rsidRPr="009462F3">
        <w:rPr>
          <w:sz w:val="22"/>
          <w:szCs w:val="22"/>
          <w:lang w:val="sr-Latn-ME"/>
        </w:rPr>
        <w:t xml:space="preserve"> (ukupno 7 </w:t>
      </w:r>
      <w:r w:rsidRPr="0090329E">
        <w:rPr>
          <w:bCs/>
          <w:sz w:val="22"/>
          <w:szCs w:val="22"/>
          <w:lang w:val="sr-Latn-ME"/>
        </w:rPr>
        <w:t>gastrorezistentnih tableta</w:t>
      </w:r>
      <w:r w:rsidRPr="009462F3">
        <w:rPr>
          <w:sz w:val="22"/>
          <w:szCs w:val="22"/>
          <w:lang w:val="sr-Latn-ME"/>
        </w:rPr>
        <w:t>) i Uputstvo za lijek.</w:t>
      </w:r>
    </w:p>
    <w:p w14:paraId="1C13EC3F" w14:textId="77777777" w:rsidR="00581CDC" w:rsidRPr="00CC0378" w:rsidRDefault="00581CDC" w:rsidP="009462F3">
      <w:pPr>
        <w:jc w:val="both"/>
        <w:rPr>
          <w:bCs/>
          <w:sz w:val="22"/>
          <w:szCs w:val="22"/>
          <w:lang w:val="sr-Latn-ME"/>
        </w:rPr>
      </w:pPr>
    </w:p>
    <w:p w14:paraId="66A268B0" w14:textId="59F7D933" w:rsidR="002846DB"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6.6. </w:t>
      </w:r>
      <w:r w:rsidR="00480FB1" w:rsidRPr="00CC0378">
        <w:rPr>
          <w:b/>
          <w:bCs/>
          <w:sz w:val="22"/>
          <w:szCs w:val="22"/>
          <w:lang w:val="sr-Latn-ME"/>
        </w:rPr>
        <w:tab/>
      </w:r>
      <w:r w:rsidRPr="00CC0378">
        <w:rPr>
          <w:b/>
          <w:bCs/>
          <w:color w:val="000000"/>
          <w:sz w:val="22"/>
          <w:szCs w:val="22"/>
          <w:lang w:val="sr-Latn-ME"/>
        </w:rPr>
        <w:t>Posebne mjere opreza pri odlaganju materijala koji treba odbaciti nakon primjene lijeka</w:t>
      </w:r>
      <w:r w:rsidRPr="00CC0378">
        <w:rPr>
          <w:b/>
          <w:bCs/>
          <w:sz w:val="22"/>
          <w:szCs w:val="22"/>
          <w:lang w:val="sr-Latn-ME"/>
        </w:rPr>
        <w:t xml:space="preserve"> </w:t>
      </w:r>
      <w:r w:rsidR="00310F03" w:rsidRPr="00CC0378">
        <w:rPr>
          <w:b/>
          <w:bCs/>
          <w:sz w:val="22"/>
          <w:szCs w:val="22"/>
          <w:lang w:val="sr-Latn-ME"/>
        </w:rPr>
        <w:t>(i druga uputs</w:t>
      </w:r>
      <w:r w:rsidR="004109FA" w:rsidRPr="00CC0378">
        <w:rPr>
          <w:b/>
          <w:bCs/>
          <w:sz w:val="22"/>
          <w:szCs w:val="22"/>
          <w:lang w:val="sr-Latn-ME"/>
        </w:rPr>
        <w:t>t</w:t>
      </w:r>
      <w:r w:rsidR="00310F03" w:rsidRPr="00CC0378">
        <w:rPr>
          <w:b/>
          <w:bCs/>
          <w:sz w:val="22"/>
          <w:szCs w:val="22"/>
          <w:lang w:val="sr-Latn-ME"/>
        </w:rPr>
        <w:t xml:space="preserve">va za rukovanje lijekom) </w:t>
      </w:r>
    </w:p>
    <w:p w14:paraId="14546607" w14:textId="77777777" w:rsidR="00F4545F" w:rsidRPr="00CC0378" w:rsidRDefault="00F4545F" w:rsidP="00CC0378">
      <w:pPr>
        <w:tabs>
          <w:tab w:val="left" w:pos="540"/>
          <w:tab w:val="left" w:pos="569"/>
        </w:tabs>
        <w:jc w:val="both"/>
        <w:rPr>
          <w:b/>
          <w:bCs/>
          <w:sz w:val="22"/>
          <w:szCs w:val="22"/>
          <w:lang w:val="sr-Latn-ME"/>
        </w:rPr>
      </w:pPr>
    </w:p>
    <w:p w14:paraId="52FFD671" w14:textId="12363FAE" w:rsidR="00581CDC" w:rsidRPr="00CC0378" w:rsidRDefault="00581CDC" w:rsidP="00CC0378">
      <w:pPr>
        <w:tabs>
          <w:tab w:val="left" w:pos="540"/>
          <w:tab w:val="left" w:pos="569"/>
        </w:tabs>
        <w:jc w:val="both"/>
        <w:rPr>
          <w:sz w:val="22"/>
          <w:szCs w:val="22"/>
          <w:lang w:val="sr-Latn-ME"/>
        </w:rPr>
      </w:pPr>
      <w:r w:rsidRPr="00CC0378">
        <w:rPr>
          <w:sz w:val="22"/>
          <w:szCs w:val="22"/>
          <w:lang w:val="sr-Latn-ME"/>
        </w:rPr>
        <w:t>Odlaganje i uništavanje neupotr</w:t>
      </w:r>
      <w:r w:rsidR="00AC00D4" w:rsidRPr="00CC0378">
        <w:rPr>
          <w:sz w:val="22"/>
          <w:szCs w:val="22"/>
          <w:lang w:val="sr-Latn-ME"/>
        </w:rPr>
        <w:t>ij</w:t>
      </w:r>
      <w:r w:rsidRPr="00CC0378">
        <w:rPr>
          <w:sz w:val="22"/>
          <w:szCs w:val="22"/>
          <w:lang w:val="sr-Latn-ME"/>
        </w:rPr>
        <w:t>ebljenog lijeka vrši se u skladu sa postojećim propisima.</w:t>
      </w:r>
    </w:p>
    <w:p w14:paraId="4635BD8B" w14:textId="77777777" w:rsidR="00137988" w:rsidRPr="00CC0378" w:rsidRDefault="00137988" w:rsidP="00CC0378">
      <w:pPr>
        <w:tabs>
          <w:tab w:val="left" w:pos="540"/>
          <w:tab w:val="left" w:pos="569"/>
        </w:tabs>
        <w:jc w:val="both"/>
        <w:rPr>
          <w:b/>
          <w:bCs/>
          <w:sz w:val="22"/>
          <w:szCs w:val="22"/>
          <w:lang w:val="sr-Latn-ME"/>
        </w:rPr>
      </w:pPr>
    </w:p>
    <w:p w14:paraId="5890E65F" w14:textId="3B6D6ACA" w:rsidR="00581CDC" w:rsidRPr="00CC0378" w:rsidRDefault="00581CDC" w:rsidP="00CC0378">
      <w:pPr>
        <w:jc w:val="both"/>
        <w:rPr>
          <w:sz w:val="22"/>
          <w:szCs w:val="22"/>
          <w:u w:val="single"/>
          <w:lang w:val="sr-Latn-ME"/>
        </w:rPr>
      </w:pPr>
      <w:r w:rsidRPr="00CC0378">
        <w:rPr>
          <w:sz w:val="22"/>
          <w:szCs w:val="22"/>
          <w:u w:val="single"/>
          <w:lang w:val="sr-Latn-ME"/>
        </w:rPr>
        <w:t>Davanje lijeka kroz gastričnu sondu</w:t>
      </w:r>
    </w:p>
    <w:p w14:paraId="6FA6AE42" w14:textId="77777777" w:rsidR="00AC00D4" w:rsidRPr="00CC0378" w:rsidRDefault="00AC00D4" w:rsidP="00CC0378">
      <w:pPr>
        <w:jc w:val="both"/>
        <w:rPr>
          <w:sz w:val="22"/>
          <w:szCs w:val="22"/>
          <w:u w:val="single"/>
          <w:lang w:val="sr-Latn-ME"/>
        </w:rPr>
      </w:pPr>
    </w:p>
    <w:p w14:paraId="6E1F049B" w14:textId="77777777" w:rsidR="00023DCA" w:rsidRPr="00CC0378" w:rsidRDefault="00023DCA" w:rsidP="00CC0378">
      <w:pPr>
        <w:tabs>
          <w:tab w:val="left" w:pos="0"/>
          <w:tab w:val="left" w:pos="284"/>
          <w:tab w:val="left" w:pos="1299"/>
          <w:tab w:val="left" w:pos="2597"/>
          <w:tab w:val="left" w:pos="3895"/>
          <w:tab w:val="left" w:pos="5194"/>
          <w:tab w:val="left" w:pos="6492"/>
          <w:tab w:val="left" w:pos="7791"/>
          <w:tab w:val="left" w:pos="9089"/>
          <w:tab w:val="left" w:pos="10387"/>
        </w:tabs>
        <w:suppressAutoHyphens/>
        <w:jc w:val="both"/>
        <w:rPr>
          <w:sz w:val="22"/>
          <w:szCs w:val="22"/>
          <w:lang w:val="sr-Latn-ME"/>
        </w:rPr>
      </w:pPr>
      <w:r w:rsidRPr="00CC0378">
        <w:rPr>
          <w:sz w:val="22"/>
          <w:szCs w:val="22"/>
          <w:lang w:val="sr-Latn-ME"/>
        </w:rPr>
        <w:t>1. Staviti tabletu u odgovarajući špric i napuniti ga sa približno 25 ml vode i približno 5 ml vazduha.</w:t>
      </w:r>
    </w:p>
    <w:p w14:paraId="37009230" w14:textId="77777777" w:rsidR="00023DCA" w:rsidRPr="00CC0378" w:rsidRDefault="00023DCA" w:rsidP="00CC0378">
      <w:pPr>
        <w:tabs>
          <w:tab w:val="left" w:pos="0"/>
          <w:tab w:val="left" w:pos="1299"/>
          <w:tab w:val="left" w:pos="2597"/>
          <w:tab w:val="left" w:pos="3895"/>
          <w:tab w:val="left" w:pos="5194"/>
          <w:tab w:val="left" w:pos="6492"/>
          <w:tab w:val="left" w:pos="7791"/>
          <w:tab w:val="left" w:pos="9089"/>
          <w:tab w:val="left" w:pos="10387"/>
        </w:tabs>
        <w:suppressAutoHyphens/>
        <w:jc w:val="both"/>
        <w:rPr>
          <w:sz w:val="22"/>
          <w:szCs w:val="22"/>
          <w:lang w:val="sr-Latn-ME"/>
        </w:rPr>
      </w:pPr>
      <w:r w:rsidRPr="00CC0378">
        <w:rPr>
          <w:sz w:val="22"/>
          <w:szCs w:val="22"/>
          <w:lang w:val="sr-Latn-ME"/>
        </w:rPr>
        <w:t xml:space="preserve">Kod nekih sondi potrebna je disperzija u 50 ml vode da bi se spriječilo da pelete začepe sondu. </w:t>
      </w:r>
    </w:p>
    <w:p w14:paraId="2BF51A39" w14:textId="77777777" w:rsidR="00023DCA" w:rsidRPr="00CC0378" w:rsidRDefault="00023DCA" w:rsidP="00CC0378">
      <w:pPr>
        <w:tabs>
          <w:tab w:val="left" w:pos="0"/>
          <w:tab w:val="left" w:pos="284"/>
          <w:tab w:val="left" w:pos="1299"/>
          <w:tab w:val="left" w:pos="2597"/>
          <w:tab w:val="left" w:pos="3895"/>
          <w:tab w:val="left" w:pos="5194"/>
          <w:tab w:val="left" w:pos="6492"/>
          <w:tab w:val="left" w:pos="7791"/>
          <w:tab w:val="left" w:pos="9089"/>
          <w:tab w:val="left" w:pos="10387"/>
        </w:tabs>
        <w:suppressAutoHyphens/>
        <w:jc w:val="both"/>
        <w:rPr>
          <w:sz w:val="22"/>
          <w:szCs w:val="22"/>
          <w:lang w:val="sr-Latn-ME"/>
        </w:rPr>
      </w:pPr>
      <w:r w:rsidRPr="00CC0378">
        <w:rPr>
          <w:sz w:val="22"/>
          <w:szCs w:val="22"/>
          <w:lang w:val="sr-Latn-ME"/>
        </w:rPr>
        <w:t xml:space="preserve">2. Odmah potom tresite špric oko 2 minuta da se tableta rastvori. </w:t>
      </w:r>
    </w:p>
    <w:p w14:paraId="74FBCDED" w14:textId="77777777" w:rsidR="00023DCA" w:rsidRPr="00CC0378" w:rsidRDefault="00023DCA" w:rsidP="00CC0378">
      <w:pPr>
        <w:tabs>
          <w:tab w:val="left" w:pos="0"/>
          <w:tab w:val="left" w:pos="284"/>
          <w:tab w:val="left" w:pos="1299"/>
          <w:tab w:val="left" w:pos="2597"/>
          <w:tab w:val="left" w:pos="3895"/>
          <w:tab w:val="left" w:pos="5194"/>
          <w:tab w:val="left" w:pos="6492"/>
          <w:tab w:val="left" w:pos="7791"/>
          <w:tab w:val="left" w:pos="9089"/>
          <w:tab w:val="left" w:pos="10387"/>
        </w:tabs>
        <w:suppressAutoHyphens/>
        <w:jc w:val="both"/>
        <w:rPr>
          <w:sz w:val="22"/>
          <w:szCs w:val="22"/>
          <w:lang w:val="sr-Latn-ME"/>
        </w:rPr>
      </w:pPr>
      <w:r w:rsidRPr="00CC0378">
        <w:rPr>
          <w:sz w:val="22"/>
          <w:szCs w:val="22"/>
          <w:lang w:val="sr-Latn-ME"/>
        </w:rPr>
        <w:t xml:space="preserve">3. Držite špric sa vrhom naviše i provjerite da vrh nije začepljen. </w:t>
      </w:r>
    </w:p>
    <w:p w14:paraId="7B17F967" w14:textId="77777777" w:rsidR="00023DCA" w:rsidRPr="00CC0378" w:rsidRDefault="00023DCA" w:rsidP="00CC0378">
      <w:pPr>
        <w:tabs>
          <w:tab w:val="left" w:pos="0"/>
          <w:tab w:val="left" w:pos="284"/>
          <w:tab w:val="left" w:pos="1299"/>
          <w:tab w:val="left" w:pos="2597"/>
          <w:tab w:val="left" w:pos="3895"/>
          <w:tab w:val="left" w:pos="5194"/>
          <w:tab w:val="left" w:pos="6492"/>
          <w:tab w:val="left" w:pos="7791"/>
          <w:tab w:val="left" w:pos="9089"/>
          <w:tab w:val="left" w:pos="10387"/>
        </w:tabs>
        <w:suppressAutoHyphens/>
        <w:jc w:val="both"/>
        <w:rPr>
          <w:sz w:val="22"/>
          <w:szCs w:val="22"/>
          <w:lang w:val="sr-Latn-ME"/>
        </w:rPr>
      </w:pPr>
      <w:r w:rsidRPr="00CC0378">
        <w:rPr>
          <w:sz w:val="22"/>
          <w:szCs w:val="22"/>
          <w:lang w:val="sr-Latn-ME"/>
        </w:rPr>
        <w:t>4. Špric spojite sa tubusom održavajući gornji položaj.</w:t>
      </w:r>
    </w:p>
    <w:p w14:paraId="61C7CB71" w14:textId="77777777" w:rsidR="00023DCA" w:rsidRPr="00CC0378" w:rsidRDefault="00023DCA" w:rsidP="00CC0378">
      <w:pPr>
        <w:tabs>
          <w:tab w:val="left" w:pos="0"/>
          <w:tab w:val="left" w:pos="284"/>
          <w:tab w:val="left" w:pos="1299"/>
          <w:tab w:val="left" w:pos="2597"/>
          <w:tab w:val="left" w:pos="3895"/>
          <w:tab w:val="left" w:pos="5194"/>
          <w:tab w:val="left" w:pos="6492"/>
          <w:tab w:val="left" w:pos="7791"/>
          <w:tab w:val="left" w:pos="9089"/>
          <w:tab w:val="left" w:pos="10387"/>
        </w:tabs>
        <w:suppressAutoHyphens/>
        <w:jc w:val="both"/>
        <w:rPr>
          <w:sz w:val="22"/>
          <w:szCs w:val="22"/>
          <w:lang w:val="sr-Latn-ME"/>
        </w:rPr>
      </w:pPr>
      <w:r w:rsidRPr="00CC0378">
        <w:rPr>
          <w:sz w:val="22"/>
          <w:szCs w:val="22"/>
          <w:lang w:val="sr-Latn-ME"/>
        </w:rPr>
        <w:t>5. Protresite špric i postavite ga tako da mu vrh bude usmjeren na</w:t>
      </w:r>
      <w:r>
        <w:rPr>
          <w:sz w:val="22"/>
          <w:szCs w:val="22"/>
          <w:lang w:val="sr-Latn-ME"/>
        </w:rPr>
        <w:t xml:space="preserve"> </w:t>
      </w:r>
      <w:r w:rsidRPr="00CC0378">
        <w:rPr>
          <w:sz w:val="22"/>
          <w:szCs w:val="22"/>
          <w:lang w:val="sr-Latn-ME"/>
        </w:rPr>
        <w:t xml:space="preserve">dolje. Odmah ubrizgajte  5 – 10 ml u tubus. Po ubrizgavanju okrenite špric i protresite ga (špric morate držati sa vrhom usmjerenim nagore da se izbjegne začepljenje vrha). </w:t>
      </w:r>
    </w:p>
    <w:p w14:paraId="48D4A4F6" w14:textId="77777777" w:rsidR="00023DCA" w:rsidRPr="00CC0378" w:rsidRDefault="00023DCA" w:rsidP="00CC0378">
      <w:pPr>
        <w:tabs>
          <w:tab w:val="left" w:pos="0"/>
          <w:tab w:val="left" w:pos="284"/>
          <w:tab w:val="left" w:pos="1299"/>
          <w:tab w:val="left" w:pos="2597"/>
          <w:tab w:val="left" w:pos="3895"/>
          <w:tab w:val="left" w:pos="5194"/>
          <w:tab w:val="left" w:pos="6492"/>
          <w:tab w:val="left" w:pos="7791"/>
          <w:tab w:val="left" w:pos="9089"/>
          <w:tab w:val="left" w:pos="10387"/>
        </w:tabs>
        <w:suppressAutoHyphens/>
        <w:jc w:val="both"/>
        <w:rPr>
          <w:sz w:val="22"/>
          <w:szCs w:val="22"/>
          <w:lang w:val="sr-Latn-ME"/>
        </w:rPr>
      </w:pPr>
      <w:r w:rsidRPr="00CC0378">
        <w:rPr>
          <w:sz w:val="22"/>
          <w:szCs w:val="22"/>
          <w:lang w:val="sr-Latn-ME"/>
        </w:rPr>
        <w:t>6. Okrenite špric vrhom nadolje i odmah ubrizgajte još 5 – 10 ml u tubus. Ponavljate ovaj postupak sve dok ne ispraznite špric.</w:t>
      </w:r>
    </w:p>
    <w:p w14:paraId="20C95553" w14:textId="77777777" w:rsidR="00023DCA" w:rsidRPr="00CC0378" w:rsidRDefault="00023DCA" w:rsidP="00CC0378">
      <w:pPr>
        <w:tabs>
          <w:tab w:val="left" w:pos="284"/>
          <w:tab w:val="left" w:pos="9089"/>
          <w:tab w:val="left" w:pos="10387"/>
        </w:tabs>
        <w:suppressAutoHyphens/>
        <w:jc w:val="both"/>
        <w:rPr>
          <w:sz w:val="22"/>
          <w:szCs w:val="22"/>
          <w:lang w:val="sr-Latn-ME"/>
        </w:rPr>
      </w:pPr>
      <w:r w:rsidRPr="00CC0378">
        <w:rPr>
          <w:sz w:val="22"/>
          <w:szCs w:val="22"/>
          <w:lang w:val="sr-Latn-ME"/>
        </w:rPr>
        <w:t>7. Napunite špric sa 25 ml vode i 5 ml vazduha i ponavljajte korak br. 5 ako je neophodno da se ispere sav talog sa šprica. Za neke tubuse potrebno je da se koristi 50 ml vode.</w:t>
      </w:r>
    </w:p>
    <w:p w14:paraId="7F9721EB" w14:textId="77777777" w:rsidR="00B66A70" w:rsidRPr="00CC0378" w:rsidRDefault="00B66A70" w:rsidP="00CC0378">
      <w:pPr>
        <w:tabs>
          <w:tab w:val="left" w:pos="540"/>
          <w:tab w:val="left" w:pos="569"/>
        </w:tabs>
        <w:jc w:val="both"/>
        <w:rPr>
          <w:b/>
          <w:bCs/>
          <w:sz w:val="22"/>
          <w:szCs w:val="22"/>
          <w:lang w:val="sr-Latn-ME"/>
        </w:rPr>
      </w:pPr>
    </w:p>
    <w:p w14:paraId="63FD297B" w14:textId="77777777" w:rsidR="0072020E" w:rsidRPr="00CC0378" w:rsidRDefault="0072020E" w:rsidP="00CC0378">
      <w:pPr>
        <w:tabs>
          <w:tab w:val="left" w:pos="540"/>
          <w:tab w:val="left" w:pos="569"/>
        </w:tabs>
        <w:jc w:val="both"/>
        <w:rPr>
          <w:bCs/>
          <w:sz w:val="22"/>
          <w:szCs w:val="22"/>
          <w:lang w:val="sr-Latn-ME"/>
        </w:rPr>
      </w:pPr>
    </w:p>
    <w:p w14:paraId="022D504B" w14:textId="77777777" w:rsidR="00F8570A"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7. </w:t>
      </w:r>
      <w:r w:rsidR="00480FB1" w:rsidRPr="00CC0378">
        <w:rPr>
          <w:b/>
          <w:bCs/>
          <w:sz w:val="22"/>
          <w:szCs w:val="22"/>
          <w:lang w:val="sr-Latn-ME"/>
        </w:rPr>
        <w:tab/>
      </w:r>
      <w:r w:rsidRPr="00CC0378">
        <w:rPr>
          <w:b/>
          <w:bCs/>
          <w:sz w:val="22"/>
          <w:szCs w:val="22"/>
          <w:lang w:val="sr-Latn-ME"/>
        </w:rPr>
        <w:t>NOSILAC DOZVOLE</w:t>
      </w:r>
      <w:r w:rsidR="00483928" w:rsidRPr="00CC0378">
        <w:rPr>
          <w:b/>
          <w:bCs/>
          <w:sz w:val="22"/>
          <w:szCs w:val="22"/>
          <w:lang w:val="sr-Latn-ME"/>
        </w:rPr>
        <w:t xml:space="preserve"> </w:t>
      </w:r>
    </w:p>
    <w:p w14:paraId="1F6E0359" w14:textId="77777777" w:rsidR="00C61BE0" w:rsidRPr="00CC0378" w:rsidRDefault="00C61BE0" w:rsidP="00CC0378">
      <w:pPr>
        <w:tabs>
          <w:tab w:val="left" w:pos="540"/>
          <w:tab w:val="left" w:pos="569"/>
        </w:tabs>
        <w:jc w:val="both"/>
        <w:rPr>
          <w:bCs/>
          <w:sz w:val="22"/>
          <w:szCs w:val="22"/>
          <w:lang w:val="sr-Latn-ME"/>
        </w:rPr>
      </w:pPr>
    </w:p>
    <w:p w14:paraId="007B5499" w14:textId="3EDBBB02" w:rsidR="00D21886" w:rsidRPr="00CC0378" w:rsidRDefault="0074529A" w:rsidP="0090329E">
      <w:pPr>
        <w:tabs>
          <w:tab w:val="left" w:pos="708"/>
        </w:tabs>
        <w:jc w:val="both"/>
        <w:rPr>
          <w:bCs/>
          <w:sz w:val="22"/>
          <w:szCs w:val="22"/>
          <w:lang w:val="sr-Latn-ME"/>
        </w:rPr>
      </w:pPr>
      <w:r w:rsidRPr="00CC0378">
        <w:rPr>
          <w:bCs/>
          <w:sz w:val="22"/>
          <w:szCs w:val="22"/>
          <w:lang w:val="sr-Latn-ME"/>
        </w:rPr>
        <w:t>Evropa Lek Pharma</w:t>
      </w:r>
      <w:r w:rsidR="00D21886" w:rsidRPr="00CC0378">
        <w:rPr>
          <w:bCs/>
          <w:sz w:val="22"/>
          <w:szCs w:val="22"/>
          <w:lang w:val="sr-Latn-ME"/>
        </w:rPr>
        <w:t xml:space="preserve"> </w:t>
      </w:r>
      <w:r w:rsidR="00023DCA">
        <w:rPr>
          <w:bCs/>
          <w:sz w:val="22"/>
          <w:szCs w:val="22"/>
          <w:lang w:val="sr-Latn-ME"/>
        </w:rPr>
        <w:t>d.o.o.</w:t>
      </w:r>
      <w:r w:rsidR="00023DCA" w:rsidRPr="00CC0378">
        <w:rPr>
          <w:bCs/>
          <w:sz w:val="22"/>
          <w:szCs w:val="22"/>
          <w:lang w:val="sr-Latn-ME"/>
        </w:rPr>
        <w:t xml:space="preserve"> </w:t>
      </w:r>
      <w:r w:rsidRPr="00CC0378">
        <w:rPr>
          <w:bCs/>
          <w:sz w:val="22"/>
          <w:szCs w:val="22"/>
          <w:lang w:val="sr-Latn-ME"/>
        </w:rPr>
        <w:t>Podgorica</w:t>
      </w:r>
      <w:r w:rsidR="00D21886" w:rsidRPr="00CC0378">
        <w:rPr>
          <w:bCs/>
          <w:sz w:val="22"/>
          <w:szCs w:val="22"/>
          <w:lang w:val="sr-Latn-ME"/>
        </w:rPr>
        <w:t xml:space="preserve"> </w:t>
      </w:r>
    </w:p>
    <w:p w14:paraId="55648184" w14:textId="5DED3D86" w:rsidR="00AB2C68" w:rsidRPr="00CC0378" w:rsidRDefault="00D21886" w:rsidP="00CC0378">
      <w:pPr>
        <w:tabs>
          <w:tab w:val="left" w:pos="708"/>
        </w:tabs>
        <w:jc w:val="both"/>
        <w:rPr>
          <w:bCs/>
          <w:sz w:val="22"/>
          <w:szCs w:val="22"/>
          <w:lang w:val="sr-Latn-ME"/>
        </w:rPr>
      </w:pPr>
      <w:r w:rsidRPr="00CC0378">
        <w:rPr>
          <w:bCs/>
          <w:sz w:val="22"/>
          <w:szCs w:val="22"/>
          <w:lang w:val="sr-Latn-ME"/>
        </w:rPr>
        <w:lastRenderedPageBreak/>
        <w:t>Kritskog odreda 4/1, Podgorica</w:t>
      </w:r>
      <w:r w:rsidR="00AB2C68" w:rsidRPr="00CC0378">
        <w:rPr>
          <w:bCs/>
          <w:sz w:val="22"/>
          <w:szCs w:val="22"/>
          <w:lang w:val="sr-Latn-ME"/>
        </w:rPr>
        <w:t>, Crna Gora</w:t>
      </w:r>
    </w:p>
    <w:p w14:paraId="5A83265A" w14:textId="3EB153EA" w:rsidR="00C37FD7" w:rsidRPr="00CC0378" w:rsidRDefault="00C37FD7" w:rsidP="00CC0378">
      <w:pPr>
        <w:tabs>
          <w:tab w:val="left" w:pos="540"/>
          <w:tab w:val="left" w:pos="569"/>
        </w:tabs>
        <w:jc w:val="both"/>
        <w:rPr>
          <w:bCs/>
          <w:sz w:val="22"/>
          <w:szCs w:val="22"/>
          <w:lang w:val="sr-Latn-ME"/>
        </w:rPr>
      </w:pPr>
    </w:p>
    <w:p w14:paraId="33ED1871" w14:textId="77777777" w:rsidR="00D21886" w:rsidRPr="00CC0378" w:rsidRDefault="00D21886" w:rsidP="00CC0378">
      <w:pPr>
        <w:tabs>
          <w:tab w:val="left" w:pos="540"/>
          <w:tab w:val="left" w:pos="569"/>
        </w:tabs>
        <w:jc w:val="both"/>
        <w:rPr>
          <w:bCs/>
          <w:sz w:val="22"/>
          <w:szCs w:val="22"/>
          <w:lang w:val="sr-Latn-ME"/>
        </w:rPr>
      </w:pPr>
    </w:p>
    <w:p w14:paraId="7463444D" w14:textId="187E73CB" w:rsidR="0072020E"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8. </w:t>
      </w:r>
      <w:r w:rsidR="00480FB1" w:rsidRPr="00CC0378">
        <w:rPr>
          <w:b/>
          <w:bCs/>
          <w:sz w:val="22"/>
          <w:szCs w:val="22"/>
          <w:lang w:val="sr-Latn-ME"/>
        </w:rPr>
        <w:tab/>
      </w:r>
      <w:r w:rsidRPr="00CC0378">
        <w:rPr>
          <w:b/>
          <w:bCs/>
          <w:sz w:val="22"/>
          <w:szCs w:val="22"/>
          <w:lang w:val="sr-Latn-ME"/>
        </w:rPr>
        <w:t>BROJ DOZVOLE</w:t>
      </w:r>
      <w:r w:rsidR="008A6D43" w:rsidRPr="00CC0378">
        <w:rPr>
          <w:b/>
          <w:bCs/>
          <w:sz w:val="22"/>
          <w:szCs w:val="22"/>
          <w:lang w:val="sr-Latn-ME"/>
        </w:rPr>
        <w:t xml:space="preserve"> ZA STAVLJANJE LIJEKA U PROMET</w:t>
      </w:r>
    </w:p>
    <w:p w14:paraId="462CF7FB" w14:textId="77777777" w:rsidR="00AB2C68" w:rsidRPr="00CC0378" w:rsidRDefault="00AB2C68" w:rsidP="00CC0378">
      <w:pPr>
        <w:tabs>
          <w:tab w:val="left" w:pos="540"/>
          <w:tab w:val="left" w:pos="569"/>
        </w:tabs>
        <w:jc w:val="both"/>
        <w:rPr>
          <w:b/>
          <w:bCs/>
          <w:sz w:val="22"/>
          <w:szCs w:val="22"/>
          <w:lang w:val="sr-Latn-ME"/>
        </w:rPr>
      </w:pPr>
    </w:p>
    <w:p w14:paraId="669156F2" w14:textId="389946FF" w:rsidR="00AB2C68" w:rsidRPr="00CC0378" w:rsidRDefault="00AB2C68" w:rsidP="00CC0378">
      <w:pPr>
        <w:widowControl w:val="0"/>
        <w:autoSpaceDE w:val="0"/>
        <w:autoSpaceDN w:val="0"/>
        <w:jc w:val="both"/>
        <w:rPr>
          <w:bCs/>
          <w:sz w:val="22"/>
          <w:szCs w:val="22"/>
          <w:lang w:val="sr-Latn-ME"/>
        </w:rPr>
      </w:pPr>
      <w:r w:rsidRPr="00CC0378">
        <w:rPr>
          <w:bCs/>
          <w:sz w:val="22"/>
          <w:szCs w:val="22"/>
          <w:lang w:val="sr-Latn-ME"/>
        </w:rPr>
        <w:t>Nexium, gastrorezistentn</w:t>
      </w:r>
      <w:r w:rsidR="00660338">
        <w:rPr>
          <w:bCs/>
          <w:sz w:val="22"/>
          <w:szCs w:val="22"/>
          <w:lang w:val="sr-Latn-ME"/>
        </w:rPr>
        <w:t>a</w:t>
      </w:r>
      <w:r w:rsidRPr="00CC0378">
        <w:rPr>
          <w:bCs/>
          <w:sz w:val="22"/>
          <w:szCs w:val="22"/>
          <w:lang w:val="sr-Latn-ME"/>
        </w:rPr>
        <w:t xml:space="preserve"> tablet</w:t>
      </w:r>
      <w:r w:rsidR="00660338">
        <w:rPr>
          <w:bCs/>
          <w:sz w:val="22"/>
          <w:szCs w:val="22"/>
          <w:lang w:val="sr-Latn-ME"/>
        </w:rPr>
        <w:t>a</w:t>
      </w:r>
      <w:r w:rsidRPr="00CC0378">
        <w:rPr>
          <w:bCs/>
          <w:sz w:val="22"/>
          <w:szCs w:val="22"/>
          <w:lang w:val="sr-Latn-ME"/>
        </w:rPr>
        <w:t>,</w:t>
      </w:r>
      <w:r w:rsidR="00660338">
        <w:rPr>
          <w:bCs/>
          <w:sz w:val="22"/>
          <w:szCs w:val="22"/>
          <w:lang w:val="sr-Latn-ME"/>
        </w:rPr>
        <w:t xml:space="preserve"> </w:t>
      </w:r>
      <w:r w:rsidR="00660338" w:rsidRPr="009462F3">
        <w:rPr>
          <w:bCs/>
          <w:sz w:val="22"/>
          <w:szCs w:val="22"/>
          <w:lang w:val="sr-Latn-ME"/>
        </w:rPr>
        <w:t>20 mg, blister</w:t>
      </w:r>
      <w:r w:rsidR="005C107A">
        <w:rPr>
          <w:bCs/>
          <w:sz w:val="22"/>
          <w:szCs w:val="22"/>
          <w:lang w:val="sr-Latn-ME"/>
        </w:rPr>
        <w:t>,</w:t>
      </w:r>
      <w:r w:rsidRPr="00CC0378">
        <w:rPr>
          <w:bCs/>
          <w:sz w:val="22"/>
          <w:szCs w:val="22"/>
          <w:lang w:val="sr-Latn-ME"/>
        </w:rPr>
        <w:t xml:space="preserve"> 7 </w:t>
      </w:r>
      <w:r w:rsidR="00660338" w:rsidRPr="00CC0378">
        <w:rPr>
          <w:bCs/>
          <w:sz w:val="22"/>
          <w:szCs w:val="22"/>
          <w:lang w:val="sr-Latn-ME"/>
        </w:rPr>
        <w:t>gastrorezistentn</w:t>
      </w:r>
      <w:r w:rsidR="00660338">
        <w:rPr>
          <w:bCs/>
          <w:sz w:val="22"/>
          <w:szCs w:val="22"/>
          <w:lang w:val="sr-Latn-ME"/>
        </w:rPr>
        <w:t>ih</w:t>
      </w:r>
      <w:r w:rsidR="00660338" w:rsidRPr="00CC0378">
        <w:rPr>
          <w:bCs/>
          <w:sz w:val="22"/>
          <w:szCs w:val="22"/>
          <w:lang w:val="sr-Latn-ME"/>
        </w:rPr>
        <w:t xml:space="preserve"> tablet</w:t>
      </w:r>
      <w:r w:rsidR="00660338">
        <w:rPr>
          <w:bCs/>
          <w:sz w:val="22"/>
          <w:szCs w:val="22"/>
          <w:lang w:val="sr-Latn-ME"/>
        </w:rPr>
        <w:t>a</w:t>
      </w:r>
      <w:r w:rsidRPr="00CC0378">
        <w:rPr>
          <w:bCs/>
          <w:sz w:val="22"/>
          <w:szCs w:val="22"/>
          <w:lang w:val="sr-Latn-ME"/>
        </w:rPr>
        <w:t xml:space="preserve">: </w:t>
      </w:r>
      <w:r w:rsidR="002A034D" w:rsidRPr="0094105A">
        <w:rPr>
          <w:rFonts w:eastAsia="Calibri"/>
          <w:sz w:val="22"/>
          <w:szCs w:val="22"/>
          <w:lang w:val="sr-Latn-ME"/>
        </w:rPr>
        <w:t>2030/25/1527 - 3067</w:t>
      </w:r>
    </w:p>
    <w:p w14:paraId="70C170E1" w14:textId="3285CD32" w:rsidR="00AB2C68" w:rsidRPr="00CC0378" w:rsidRDefault="00AB2C68" w:rsidP="00CC0378">
      <w:pPr>
        <w:widowControl w:val="0"/>
        <w:autoSpaceDE w:val="0"/>
        <w:autoSpaceDN w:val="0"/>
        <w:jc w:val="both"/>
        <w:rPr>
          <w:bCs/>
          <w:sz w:val="22"/>
          <w:szCs w:val="22"/>
          <w:lang w:val="sr-Latn-ME"/>
        </w:rPr>
      </w:pPr>
      <w:r w:rsidRPr="00CC0378">
        <w:rPr>
          <w:bCs/>
          <w:sz w:val="22"/>
          <w:szCs w:val="22"/>
          <w:lang w:val="sr-Latn-ME"/>
        </w:rPr>
        <w:t>Nexium, gastrorezistentn</w:t>
      </w:r>
      <w:r w:rsidR="00660338">
        <w:rPr>
          <w:bCs/>
          <w:sz w:val="22"/>
          <w:szCs w:val="22"/>
          <w:lang w:val="sr-Latn-ME"/>
        </w:rPr>
        <w:t>a</w:t>
      </w:r>
      <w:r w:rsidRPr="00CC0378">
        <w:rPr>
          <w:bCs/>
          <w:sz w:val="22"/>
          <w:szCs w:val="22"/>
          <w:lang w:val="sr-Latn-ME"/>
        </w:rPr>
        <w:t xml:space="preserve"> tablet</w:t>
      </w:r>
      <w:r w:rsidR="00660338">
        <w:rPr>
          <w:bCs/>
          <w:sz w:val="22"/>
          <w:szCs w:val="22"/>
          <w:lang w:val="sr-Latn-ME"/>
        </w:rPr>
        <w:t>a</w:t>
      </w:r>
      <w:r w:rsidRPr="00CC0378">
        <w:rPr>
          <w:bCs/>
          <w:sz w:val="22"/>
          <w:szCs w:val="22"/>
          <w:lang w:val="sr-Latn-ME"/>
        </w:rPr>
        <w:t>,</w:t>
      </w:r>
      <w:r w:rsidR="00660338">
        <w:rPr>
          <w:bCs/>
          <w:sz w:val="22"/>
          <w:szCs w:val="22"/>
          <w:lang w:val="sr-Latn-ME"/>
        </w:rPr>
        <w:t xml:space="preserve"> </w:t>
      </w:r>
      <w:r w:rsidR="00660338" w:rsidRPr="009462F3">
        <w:rPr>
          <w:bCs/>
          <w:sz w:val="22"/>
          <w:szCs w:val="22"/>
          <w:lang w:val="sr-Latn-ME"/>
        </w:rPr>
        <w:t>40 mg,</w:t>
      </w:r>
      <w:r w:rsidRPr="00CC0378">
        <w:rPr>
          <w:bCs/>
          <w:sz w:val="22"/>
          <w:szCs w:val="22"/>
          <w:lang w:val="sr-Latn-ME"/>
        </w:rPr>
        <w:t xml:space="preserve"> </w:t>
      </w:r>
      <w:r w:rsidR="00660338">
        <w:rPr>
          <w:bCs/>
          <w:sz w:val="22"/>
          <w:szCs w:val="22"/>
          <w:lang w:val="sr-Latn-ME"/>
        </w:rPr>
        <w:t xml:space="preserve">blister, </w:t>
      </w:r>
      <w:r w:rsidRPr="00CC0378">
        <w:rPr>
          <w:bCs/>
          <w:sz w:val="22"/>
          <w:szCs w:val="22"/>
          <w:lang w:val="sr-Latn-ME"/>
        </w:rPr>
        <w:t>7</w:t>
      </w:r>
      <w:r w:rsidR="00660338">
        <w:rPr>
          <w:bCs/>
          <w:sz w:val="22"/>
          <w:szCs w:val="22"/>
          <w:lang w:val="sr-Latn-ME"/>
        </w:rPr>
        <w:t xml:space="preserve"> </w:t>
      </w:r>
      <w:r w:rsidR="00660338" w:rsidRPr="00CC0378">
        <w:rPr>
          <w:bCs/>
          <w:sz w:val="22"/>
          <w:szCs w:val="22"/>
          <w:lang w:val="sr-Latn-ME"/>
        </w:rPr>
        <w:t>gastrorezistentn</w:t>
      </w:r>
      <w:r w:rsidR="00660338">
        <w:rPr>
          <w:bCs/>
          <w:sz w:val="22"/>
          <w:szCs w:val="22"/>
          <w:lang w:val="sr-Latn-ME"/>
        </w:rPr>
        <w:t>ih</w:t>
      </w:r>
      <w:r w:rsidR="00660338" w:rsidRPr="00CC0378">
        <w:rPr>
          <w:bCs/>
          <w:sz w:val="22"/>
          <w:szCs w:val="22"/>
          <w:lang w:val="sr-Latn-ME"/>
        </w:rPr>
        <w:t xml:space="preserve"> tablet</w:t>
      </w:r>
      <w:r w:rsidR="00660338">
        <w:rPr>
          <w:bCs/>
          <w:sz w:val="22"/>
          <w:szCs w:val="22"/>
          <w:lang w:val="sr-Latn-ME"/>
        </w:rPr>
        <w:t>a</w:t>
      </w:r>
      <w:r w:rsidRPr="00CC0378">
        <w:rPr>
          <w:bCs/>
          <w:sz w:val="22"/>
          <w:szCs w:val="22"/>
          <w:lang w:val="sr-Latn-ME"/>
        </w:rPr>
        <w:t xml:space="preserve">: </w:t>
      </w:r>
      <w:r w:rsidR="002A034D" w:rsidRPr="0067294F">
        <w:rPr>
          <w:rFonts w:eastAsia="Calibri"/>
          <w:sz w:val="22"/>
          <w:szCs w:val="22"/>
          <w:lang w:val="sr-Latn-ME"/>
        </w:rPr>
        <w:t>2030/25/1528 - 3068</w:t>
      </w:r>
    </w:p>
    <w:p w14:paraId="1F40369C" w14:textId="77777777" w:rsidR="0072020E" w:rsidRPr="00CC0378" w:rsidRDefault="0072020E" w:rsidP="00CC0378">
      <w:pPr>
        <w:tabs>
          <w:tab w:val="left" w:pos="540"/>
          <w:tab w:val="left" w:pos="569"/>
        </w:tabs>
        <w:jc w:val="both"/>
        <w:rPr>
          <w:bCs/>
          <w:sz w:val="22"/>
          <w:szCs w:val="22"/>
          <w:lang w:val="sr-Latn-ME"/>
        </w:rPr>
      </w:pPr>
    </w:p>
    <w:p w14:paraId="7D7BC33A" w14:textId="1DFC37CC" w:rsidR="00F45F77" w:rsidRDefault="00F45F77" w:rsidP="00CC0378">
      <w:pPr>
        <w:tabs>
          <w:tab w:val="left" w:pos="540"/>
          <w:tab w:val="left" w:pos="569"/>
        </w:tabs>
        <w:jc w:val="both"/>
        <w:rPr>
          <w:bCs/>
          <w:sz w:val="22"/>
          <w:szCs w:val="22"/>
          <w:lang w:val="sr-Latn-ME"/>
        </w:rPr>
      </w:pPr>
    </w:p>
    <w:p w14:paraId="6FF53FE8" w14:textId="2DED9749" w:rsidR="002A034D" w:rsidRDefault="002A034D" w:rsidP="00CC0378">
      <w:pPr>
        <w:tabs>
          <w:tab w:val="left" w:pos="540"/>
          <w:tab w:val="left" w:pos="569"/>
        </w:tabs>
        <w:jc w:val="both"/>
        <w:rPr>
          <w:bCs/>
          <w:sz w:val="22"/>
          <w:szCs w:val="22"/>
          <w:lang w:val="sr-Latn-ME"/>
        </w:rPr>
      </w:pPr>
    </w:p>
    <w:p w14:paraId="0ED19EC5" w14:textId="77777777" w:rsidR="002A034D" w:rsidRPr="00CC0378" w:rsidRDefault="002A034D" w:rsidP="00CC0378">
      <w:pPr>
        <w:tabs>
          <w:tab w:val="left" w:pos="540"/>
          <w:tab w:val="left" w:pos="569"/>
        </w:tabs>
        <w:jc w:val="both"/>
        <w:rPr>
          <w:bCs/>
          <w:sz w:val="22"/>
          <w:szCs w:val="22"/>
          <w:lang w:val="sr-Latn-ME"/>
        </w:rPr>
      </w:pPr>
    </w:p>
    <w:p w14:paraId="0FFD8FFE" w14:textId="10200F2F" w:rsidR="0072020E" w:rsidRPr="00CC0378" w:rsidRDefault="0072020E" w:rsidP="00CC0378">
      <w:pPr>
        <w:tabs>
          <w:tab w:val="left" w:pos="540"/>
          <w:tab w:val="left" w:pos="569"/>
        </w:tabs>
        <w:jc w:val="both"/>
        <w:rPr>
          <w:b/>
          <w:bCs/>
          <w:sz w:val="22"/>
          <w:szCs w:val="22"/>
          <w:lang w:val="sr-Latn-ME"/>
        </w:rPr>
      </w:pPr>
      <w:r w:rsidRPr="00CC0378">
        <w:rPr>
          <w:b/>
          <w:bCs/>
          <w:sz w:val="22"/>
          <w:szCs w:val="22"/>
          <w:lang w:val="sr-Latn-ME"/>
        </w:rPr>
        <w:t xml:space="preserve">9. </w:t>
      </w:r>
      <w:r w:rsidR="00480FB1" w:rsidRPr="00CC0378">
        <w:rPr>
          <w:b/>
          <w:bCs/>
          <w:sz w:val="22"/>
          <w:szCs w:val="22"/>
          <w:lang w:val="sr-Latn-ME"/>
        </w:rPr>
        <w:tab/>
      </w:r>
      <w:r w:rsidRPr="00CC0378">
        <w:rPr>
          <w:b/>
          <w:bCs/>
          <w:sz w:val="22"/>
          <w:szCs w:val="22"/>
          <w:lang w:val="sr-Latn-ME"/>
        </w:rPr>
        <w:t xml:space="preserve">DATUM </w:t>
      </w:r>
      <w:r w:rsidR="00C05DF8" w:rsidRPr="00CC0378">
        <w:rPr>
          <w:b/>
          <w:bCs/>
          <w:sz w:val="22"/>
          <w:szCs w:val="22"/>
          <w:lang w:val="sr-Latn-ME"/>
        </w:rPr>
        <w:t xml:space="preserve">PRVE </w:t>
      </w:r>
      <w:r w:rsidR="008A6D43" w:rsidRPr="00CC0378">
        <w:rPr>
          <w:b/>
          <w:bCs/>
          <w:sz w:val="22"/>
          <w:szCs w:val="22"/>
          <w:lang w:val="sr-Latn-ME"/>
        </w:rPr>
        <w:t>DOZVOLE</w:t>
      </w:r>
      <w:r w:rsidR="00C05DF8" w:rsidRPr="00CC0378">
        <w:rPr>
          <w:b/>
          <w:bCs/>
          <w:sz w:val="22"/>
          <w:szCs w:val="22"/>
          <w:lang w:val="sr-Latn-ME"/>
        </w:rPr>
        <w:t>/OBNOVE DOZVOLE</w:t>
      </w:r>
      <w:r w:rsidR="008A6D43" w:rsidRPr="00CC0378">
        <w:rPr>
          <w:b/>
          <w:bCs/>
          <w:sz w:val="22"/>
          <w:szCs w:val="22"/>
          <w:lang w:val="sr-Latn-ME"/>
        </w:rPr>
        <w:t xml:space="preserve"> ZA STAVLJANJE LIJEKA U PROMET</w:t>
      </w:r>
    </w:p>
    <w:p w14:paraId="38F34050" w14:textId="77777777" w:rsidR="00AB2C68" w:rsidRPr="00CC0378" w:rsidRDefault="00AB2C68" w:rsidP="00CC0378">
      <w:pPr>
        <w:tabs>
          <w:tab w:val="left" w:pos="540"/>
          <w:tab w:val="left" w:pos="569"/>
        </w:tabs>
        <w:jc w:val="both"/>
        <w:rPr>
          <w:b/>
          <w:bCs/>
          <w:sz w:val="22"/>
          <w:szCs w:val="22"/>
          <w:lang w:val="sr-Latn-ME"/>
        </w:rPr>
      </w:pPr>
    </w:p>
    <w:p w14:paraId="4E69452A" w14:textId="7DE31DE7" w:rsidR="00AB2C68" w:rsidRPr="00CC0378" w:rsidRDefault="005C107A" w:rsidP="00CC0378">
      <w:pPr>
        <w:widowControl w:val="0"/>
        <w:autoSpaceDE w:val="0"/>
        <w:autoSpaceDN w:val="0"/>
        <w:jc w:val="both"/>
        <w:rPr>
          <w:bCs/>
          <w:sz w:val="22"/>
          <w:szCs w:val="22"/>
          <w:lang w:val="sr-Latn-ME"/>
        </w:rPr>
      </w:pPr>
      <w:r w:rsidRPr="005C107A">
        <w:rPr>
          <w:bCs/>
          <w:sz w:val="22"/>
          <w:szCs w:val="22"/>
          <w:lang w:val="sr-Latn-ME"/>
        </w:rPr>
        <w:t xml:space="preserve">Datum </w:t>
      </w:r>
      <w:r w:rsidRPr="009462F3">
        <w:rPr>
          <w:bCs/>
          <w:sz w:val="22"/>
          <w:szCs w:val="22"/>
          <w:lang w:val="sr-Latn-ME"/>
        </w:rPr>
        <w:t>prve dozvole</w:t>
      </w:r>
      <w:r>
        <w:rPr>
          <w:bCs/>
          <w:sz w:val="22"/>
          <w:szCs w:val="22"/>
          <w:lang w:val="sr-Latn-ME"/>
        </w:rPr>
        <w:t>:</w:t>
      </w:r>
      <w:r w:rsidRPr="00CC0378" w:rsidDel="00660338">
        <w:rPr>
          <w:bCs/>
          <w:sz w:val="22"/>
          <w:szCs w:val="22"/>
          <w:lang w:val="sr-Latn-ME"/>
        </w:rPr>
        <w:t xml:space="preserve"> </w:t>
      </w:r>
      <w:r w:rsidR="00AB2C68" w:rsidRPr="00CC0378">
        <w:rPr>
          <w:bCs/>
          <w:sz w:val="22"/>
          <w:szCs w:val="22"/>
          <w:lang w:val="sr-Latn-ME"/>
        </w:rPr>
        <w:t>28.01.2013.</w:t>
      </w:r>
      <w:r w:rsidR="00660338">
        <w:rPr>
          <w:bCs/>
          <w:sz w:val="22"/>
          <w:szCs w:val="22"/>
          <w:lang w:val="sr-Latn-ME"/>
        </w:rPr>
        <w:t xml:space="preserve"> godine</w:t>
      </w:r>
    </w:p>
    <w:p w14:paraId="7A149450" w14:textId="0931607B" w:rsidR="00836B35" w:rsidRDefault="005C107A" w:rsidP="00CC0378">
      <w:pPr>
        <w:tabs>
          <w:tab w:val="left" w:pos="540"/>
          <w:tab w:val="left" w:pos="569"/>
        </w:tabs>
        <w:jc w:val="both"/>
        <w:rPr>
          <w:rFonts w:eastAsia="Calibri"/>
          <w:sz w:val="22"/>
          <w:szCs w:val="22"/>
          <w:lang w:val="sr-Latn-ME"/>
        </w:rPr>
      </w:pPr>
      <w:r w:rsidRPr="009814A8">
        <w:rPr>
          <w:bCs/>
          <w:sz w:val="22"/>
          <w:szCs w:val="22"/>
          <w:lang w:val="sr-Latn-ME"/>
        </w:rPr>
        <w:t xml:space="preserve">Datum </w:t>
      </w:r>
      <w:r>
        <w:rPr>
          <w:bCs/>
          <w:sz w:val="22"/>
          <w:szCs w:val="22"/>
          <w:lang w:val="sr-Latn-ME"/>
        </w:rPr>
        <w:t>poslednje obnove</w:t>
      </w:r>
      <w:r w:rsidRPr="009814A8">
        <w:rPr>
          <w:bCs/>
          <w:sz w:val="22"/>
          <w:szCs w:val="22"/>
          <w:lang w:val="sr-Latn-ME"/>
        </w:rPr>
        <w:t xml:space="preserve"> dozvole</w:t>
      </w:r>
      <w:r>
        <w:rPr>
          <w:bCs/>
          <w:sz w:val="22"/>
          <w:szCs w:val="22"/>
          <w:lang w:val="sr-Latn-ME"/>
        </w:rPr>
        <w:t>:</w:t>
      </w:r>
      <w:r w:rsidRPr="00CC0378" w:rsidDel="00660338">
        <w:rPr>
          <w:bCs/>
          <w:sz w:val="22"/>
          <w:szCs w:val="22"/>
          <w:lang w:val="sr-Latn-ME"/>
        </w:rPr>
        <w:t xml:space="preserve"> </w:t>
      </w:r>
      <w:r w:rsidR="002A034D" w:rsidRPr="0067294F">
        <w:rPr>
          <w:rFonts w:eastAsia="Calibri"/>
          <w:sz w:val="22"/>
          <w:szCs w:val="22"/>
          <w:lang w:val="sr-Latn-ME"/>
        </w:rPr>
        <w:t>26.03.2025. godine</w:t>
      </w:r>
    </w:p>
    <w:p w14:paraId="464F0382" w14:textId="77777777" w:rsidR="002A034D" w:rsidRPr="00CC0378" w:rsidRDefault="002A034D" w:rsidP="00CC0378">
      <w:pPr>
        <w:tabs>
          <w:tab w:val="left" w:pos="540"/>
          <w:tab w:val="left" w:pos="569"/>
        </w:tabs>
        <w:jc w:val="both"/>
        <w:rPr>
          <w:bCs/>
          <w:sz w:val="22"/>
          <w:szCs w:val="22"/>
          <w:lang w:val="sr-Latn-ME"/>
        </w:rPr>
      </w:pPr>
    </w:p>
    <w:p w14:paraId="7F3629A6" w14:textId="77777777" w:rsidR="00D21886" w:rsidRPr="00CC0378" w:rsidRDefault="00D21886" w:rsidP="00CC0378">
      <w:pPr>
        <w:tabs>
          <w:tab w:val="left" w:pos="540"/>
          <w:tab w:val="left" w:pos="569"/>
        </w:tabs>
        <w:jc w:val="both"/>
        <w:rPr>
          <w:bCs/>
          <w:sz w:val="22"/>
          <w:szCs w:val="22"/>
          <w:lang w:val="sr-Latn-ME"/>
        </w:rPr>
      </w:pPr>
    </w:p>
    <w:p w14:paraId="028AADA3" w14:textId="3D56DA1D" w:rsidR="003F6A59" w:rsidRDefault="0072020E" w:rsidP="00CC0378">
      <w:pPr>
        <w:tabs>
          <w:tab w:val="left" w:pos="540"/>
          <w:tab w:val="left" w:pos="569"/>
        </w:tabs>
        <w:ind w:left="540" w:hanging="540"/>
        <w:jc w:val="both"/>
        <w:rPr>
          <w:b/>
          <w:bCs/>
          <w:sz w:val="22"/>
          <w:szCs w:val="22"/>
          <w:lang w:val="sr-Latn-ME"/>
        </w:rPr>
      </w:pPr>
      <w:r w:rsidRPr="00CC0378">
        <w:rPr>
          <w:b/>
          <w:bCs/>
          <w:sz w:val="22"/>
          <w:szCs w:val="22"/>
          <w:lang w:val="sr-Latn-ME"/>
        </w:rPr>
        <w:t xml:space="preserve">10. </w:t>
      </w:r>
      <w:r w:rsidR="00480FB1" w:rsidRPr="00CC0378">
        <w:rPr>
          <w:b/>
          <w:bCs/>
          <w:sz w:val="22"/>
          <w:szCs w:val="22"/>
          <w:lang w:val="sr-Latn-ME"/>
        </w:rPr>
        <w:tab/>
      </w:r>
      <w:r w:rsidR="002846DB" w:rsidRPr="00CC0378">
        <w:rPr>
          <w:b/>
          <w:bCs/>
          <w:sz w:val="22"/>
          <w:szCs w:val="22"/>
          <w:lang w:val="sr-Latn-ME"/>
        </w:rPr>
        <w:t>D</w:t>
      </w:r>
      <w:r w:rsidR="00EC2532" w:rsidRPr="00CC0378">
        <w:rPr>
          <w:b/>
          <w:bCs/>
          <w:sz w:val="22"/>
          <w:szCs w:val="22"/>
          <w:lang w:val="sr-Latn-ME"/>
        </w:rPr>
        <w:t xml:space="preserve">ATUM REVIZIJE TEKSTA </w:t>
      </w:r>
    </w:p>
    <w:p w14:paraId="47FA589C" w14:textId="5E063B5C" w:rsidR="002A034D" w:rsidRDefault="002A034D" w:rsidP="00CC0378">
      <w:pPr>
        <w:tabs>
          <w:tab w:val="left" w:pos="540"/>
          <w:tab w:val="left" w:pos="569"/>
        </w:tabs>
        <w:ind w:left="540" w:hanging="540"/>
        <w:jc w:val="both"/>
        <w:rPr>
          <w:b/>
          <w:bCs/>
          <w:sz w:val="22"/>
          <w:szCs w:val="22"/>
          <w:lang w:val="sr-Latn-ME"/>
        </w:rPr>
      </w:pPr>
    </w:p>
    <w:p w14:paraId="30201A48" w14:textId="5073A344" w:rsidR="002A034D" w:rsidRPr="002A034D" w:rsidRDefault="007904F4" w:rsidP="00CC0378">
      <w:pPr>
        <w:tabs>
          <w:tab w:val="left" w:pos="540"/>
          <w:tab w:val="left" w:pos="569"/>
        </w:tabs>
        <w:ind w:left="540" w:hanging="540"/>
        <w:jc w:val="both"/>
        <w:rPr>
          <w:bCs/>
          <w:sz w:val="22"/>
          <w:szCs w:val="22"/>
          <w:lang w:val="sr-Latn-ME"/>
        </w:rPr>
      </w:pPr>
      <w:r>
        <w:rPr>
          <w:bCs/>
          <w:sz w:val="22"/>
          <w:szCs w:val="22"/>
          <w:lang w:val="sr-Latn-ME"/>
        </w:rPr>
        <w:t>Jul</w:t>
      </w:r>
      <w:bookmarkStart w:id="0" w:name="_GoBack"/>
      <w:bookmarkEnd w:id="0"/>
      <w:r w:rsidR="002A034D" w:rsidRPr="002A034D">
        <w:rPr>
          <w:bCs/>
          <w:sz w:val="22"/>
          <w:szCs w:val="22"/>
          <w:lang w:val="sr-Latn-ME"/>
        </w:rPr>
        <w:t>, 2025. godine</w:t>
      </w:r>
    </w:p>
    <w:p w14:paraId="6F23FFC8" w14:textId="77777777" w:rsidR="008A6D43" w:rsidRPr="00CC0378" w:rsidRDefault="008A6D43" w:rsidP="00CC0378">
      <w:pPr>
        <w:tabs>
          <w:tab w:val="left" w:pos="540"/>
          <w:tab w:val="left" w:pos="569"/>
        </w:tabs>
        <w:jc w:val="both"/>
        <w:rPr>
          <w:bCs/>
          <w:sz w:val="22"/>
          <w:szCs w:val="22"/>
          <w:lang w:val="sr-Latn-ME"/>
        </w:rPr>
      </w:pPr>
    </w:p>
    <w:p w14:paraId="4A3C49C1" w14:textId="54252EE8" w:rsidR="003F6A59" w:rsidRPr="00CC0378" w:rsidRDefault="003F6A59" w:rsidP="00CC0378">
      <w:pPr>
        <w:jc w:val="both"/>
        <w:rPr>
          <w:sz w:val="22"/>
          <w:szCs w:val="22"/>
          <w:lang w:val="sr-Latn-ME"/>
        </w:rPr>
      </w:pPr>
    </w:p>
    <w:sectPr w:rsidR="003F6A59" w:rsidRPr="00CC0378"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1642C" w14:textId="77777777" w:rsidR="00632896" w:rsidRDefault="00632896">
      <w:r>
        <w:separator/>
      </w:r>
    </w:p>
  </w:endnote>
  <w:endnote w:type="continuationSeparator" w:id="0">
    <w:p w14:paraId="0703E22D" w14:textId="77777777" w:rsidR="00632896" w:rsidRDefault="0063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02499A49" w:rsidR="0074529A" w:rsidRPr="00C771FD" w:rsidRDefault="0074529A" w:rsidP="00B23F69">
    <w:pPr>
      <w:pStyle w:val="Footer"/>
      <w:jc w:val="center"/>
      <w:rPr>
        <w:sz w:val="20"/>
        <w:szCs w:val="22"/>
      </w:rPr>
    </w:pPr>
    <w:r w:rsidRPr="00C771FD">
      <w:rPr>
        <w:sz w:val="20"/>
        <w:szCs w:val="22"/>
      </w:rPr>
      <w:fldChar w:fldCharType="begin"/>
    </w:r>
    <w:r w:rsidRPr="00C771FD">
      <w:rPr>
        <w:sz w:val="20"/>
        <w:szCs w:val="22"/>
      </w:rPr>
      <w:instrText xml:space="preserve"> PAGE </w:instrText>
    </w:r>
    <w:r w:rsidRPr="00C771FD">
      <w:rPr>
        <w:sz w:val="20"/>
        <w:szCs w:val="22"/>
      </w:rPr>
      <w:fldChar w:fldCharType="separate"/>
    </w:r>
    <w:r w:rsidR="007904F4">
      <w:rPr>
        <w:noProof/>
        <w:sz w:val="20"/>
        <w:szCs w:val="22"/>
      </w:rPr>
      <w:t>14</w:t>
    </w:r>
    <w:r w:rsidRPr="00C771FD">
      <w:rPr>
        <w:sz w:val="20"/>
        <w:szCs w:val="22"/>
      </w:rPr>
      <w:fldChar w:fldCharType="end"/>
    </w:r>
    <w:r w:rsidRPr="00C771FD">
      <w:rPr>
        <w:sz w:val="20"/>
        <w:szCs w:val="22"/>
      </w:rPr>
      <w:t xml:space="preserve"> / </w:t>
    </w:r>
    <w:r w:rsidRPr="00C771FD">
      <w:rPr>
        <w:sz w:val="20"/>
        <w:szCs w:val="22"/>
      </w:rPr>
      <w:fldChar w:fldCharType="begin"/>
    </w:r>
    <w:r w:rsidRPr="00C771FD">
      <w:rPr>
        <w:sz w:val="20"/>
        <w:szCs w:val="22"/>
      </w:rPr>
      <w:instrText xml:space="preserve"> NUMPAGES </w:instrText>
    </w:r>
    <w:r w:rsidRPr="00C771FD">
      <w:rPr>
        <w:sz w:val="20"/>
        <w:szCs w:val="22"/>
      </w:rPr>
      <w:fldChar w:fldCharType="separate"/>
    </w:r>
    <w:r w:rsidR="007904F4">
      <w:rPr>
        <w:noProof/>
        <w:sz w:val="20"/>
        <w:szCs w:val="22"/>
      </w:rPr>
      <w:t>16</w:t>
    </w:r>
    <w:r w:rsidRPr="00C771FD">
      <w:rPr>
        <w:sz w:val="20"/>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5D02D" w14:textId="77777777" w:rsidR="00632896" w:rsidRDefault="00632896">
      <w:r>
        <w:separator/>
      </w:r>
    </w:p>
  </w:footnote>
  <w:footnote w:type="continuationSeparator" w:id="0">
    <w:p w14:paraId="6C469FCD" w14:textId="77777777" w:rsidR="00632896" w:rsidRDefault="006328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8pt;height:14.15pt;visibility:visible" o:bullet="t">
        <v:imagedata r:id="rId1" o:title="BT_1000x858px"/>
      </v:shape>
    </w:pict>
  </w:numPicBullet>
  <w:abstractNum w:abstractNumId="0" w15:restartNumberingAfterBreak="0">
    <w:nsid w:val="0746475D"/>
    <w:multiLevelType w:val="singleLevel"/>
    <w:tmpl w:val="348E9C02"/>
    <w:lvl w:ilvl="0">
      <w:start w:val="1"/>
      <w:numFmt w:val="bullet"/>
      <w:lvlText w:val="-"/>
      <w:lvlJc w:val="left"/>
      <w:pPr>
        <w:tabs>
          <w:tab w:val="num" w:pos="360"/>
        </w:tabs>
        <w:ind w:left="360" w:hanging="360"/>
      </w:pPr>
      <w:rPr>
        <w:rFonts w:ascii="Times New Roman" w:hAnsi="Times New Roman" w:cs="Times New Roman" w:hint="default"/>
        <w:b w:val="0"/>
        <w:i w:val="0"/>
        <w:sz w:val="24"/>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1F93FEB"/>
    <w:multiLevelType w:val="hybridMultilevel"/>
    <w:tmpl w:val="2C5E75A6"/>
    <w:lvl w:ilvl="0" w:tplc="5DECA504">
      <w:start w:val="30"/>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A19BD"/>
    <w:multiLevelType w:val="hybridMultilevel"/>
    <w:tmpl w:val="4D066740"/>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BF1A1D"/>
    <w:multiLevelType w:val="hybridMultilevel"/>
    <w:tmpl w:val="19DEB006"/>
    <w:lvl w:ilvl="0" w:tplc="9DD20B2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2232E09"/>
    <w:multiLevelType w:val="singleLevel"/>
    <w:tmpl w:val="348E9C02"/>
    <w:lvl w:ilvl="0">
      <w:start w:val="1"/>
      <w:numFmt w:val="bullet"/>
      <w:lvlText w:val="-"/>
      <w:lvlJc w:val="left"/>
      <w:pPr>
        <w:tabs>
          <w:tab w:val="num" w:pos="360"/>
        </w:tabs>
        <w:ind w:left="360" w:hanging="360"/>
      </w:pPr>
      <w:rPr>
        <w:rFonts w:ascii="Times New Roman" w:hAnsi="Times New Roman" w:cs="Times New Roman" w:hint="default"/>
        <w:b w:val="0"/>
        <w:i w:val="0"/>
        <w:sz w:val="24"/>
      </w:rPr>
    </w:lvl>
  </w:abstractNum>
  <w:abstractNum w:abstractNumId="12" w15:restartNumberingAfterBreak="0">
    <w:nsid w:val="368C59AA"/>
    <w:multiLevelType w:val="singleLevel"/>
    <w:tmpl w:val="9BDA8E24"/>
    <w:lvl w:ilvl="0">
      <w:numFmt w:val="bullet"/>
      <w:lvlText w:val="-"/>
      <w:lvlJc w:val="left"/>
      <w:pPr>
        <w:tabs>
          <w:tab w:val="num" w:pos="360"/>
        </w:tabs>
        <w:ind w:left="360" w:hanging="360"/>
      </w:pPr>
      <w:rPr>
        <w:b/>
      </w:rPr>
    </w:lvl>
  </w:abstractNum>
  <w:abstractNum w:abstractNumId="13" w15:restartNumberingAfterBreak="0">
    <w:nsid w:val="3B461DB9"/>
    <w:multiLevelType w:val="hybridMultilevel"/>
    <w:tmpl w:val="D8500B12"/>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AE6583"/>
    <w:multiLevelType w:val="hybridMultilevel"/>
    <w:tmpl w:val="40D6C962"/>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C80096F"/>
    <w:multiLevelType w:val="hybridMultilevel"/>
    <w:tmpl w:val="42681148"/>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33259"/>
    <w:multiLevelType w:val="hybridMultilevel"/>
    <w:tmpl w:val="8A846868"/>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A34141"/>
    <w:multiLevelType w:val="hybridMultilevel"/>
    <w:tmpl w:val="4C7EF14A"/>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1486072"/>
    <w:multiLevelType w:val="hybridMultilevel"/>
    <w:tmpl w:val="4776D606"/>
    <w:lvl w:ilvl="0" w:tplc="33E2D14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87643E1"/>
    <w:multiLevelType w:val="singleLevel"/>
    <w:tmpl w:val="348E9C02"/>
    <w:lvl w:ilvl="0">
      <w:start w:val="1"/>
      <w:numFmt w:val="bullet"/>
      <w:lvlText w:val="-"/>
      <w:lvlJc w:val="left"/>
      <w:pPr>
        <w:tabs>
          <w:tab w:val="num" w:pos="360"/>
        </w:tabs>
        <w:ind w:left="360" w:hanging="360"/>
      </w:pPr>
      <w:rPr>
        <w:rFonts w:ascii="Times New Roman" w:hAnsi="Times New Roman" w:cs="Times New Roman" w:hint="default"/>
        <w:b w:val="0"/>
        <w:i w:val="0"/>
        <w:sz w:val="24"/>
      </w:rPr>
    </w:lvl>
  </w:abstractNum>
  <w:abstractNum w:abstractNumId="22" w15:restartNumberingAfterBreak="0">
    <w:nsid w:val="68FA7F26"/>
    <w:multiLevelType w:val="hybridMultilevel"/>
    <w:tmpl w:val="349A86A4"/>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
  </w:num>
  <w:num w:numId="4">
    <w:abstractNumId w:val="19"/>
  </w:num>
  <w:num w:numId="5">
    <w:abstractNumId w:val="6"/>
  </w:num>
  <w:num w:numId="6">
    <w:abstractNumId w:val="2"/>
  </w:num>
  <w:num w:numId="7">
    <w:abstractNumId w:val="15"/>
  </w:num>
  <w:num w:numId="8">
    <w:abstractNumId w:val="5"/>
  </w:num>
  <w:num w:numId="9">
    <w:abstractNumId w:val="10"/>
  </w:num>
  <w:num w:numId="10">
    <w:abstractNumId w:val="24"/>
  </w:num>
  <w:num w:numId="11">
    <w:abstractNumId w:val="7"/>
  </w:num>
  <w:num w:numId="12">
    <w:abstractNumId w:val="12"/>
  </w:num>
  <w:num w:numId="13">
    <w:abstractNumId w:val="0"/>
  </w:num>
  <w:num w:numId="14">
    <w:abstractNumId w:val="9"/>
  </w:num>
  <w:num w:numId="15">
    <w:abstractNumId w:val="11"/>
  </w:num>
  <w:num w:numId="16">
    <w:abstractNumId w:val="21"/>
  </w:num>
  <w:num w:numId="17">
    <w:abstractNumId w:val="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8"/>
  </w:num>
  <w:num w:numId="21">
    <w:abstractNumId w:val="14"/>
  </w:num>
  <w:num w:numId="22">
    <w:abstractNumId w:val="18"/>
  </w:num>
  <w:num w:numId="23">
    <w:abstractNumId w:val="17"/>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CB5"/>
    <w:rsid w:val="000176CA"/>
    <w:rsid w:val="00017D98"/>
    <w:rsid w:val="00023DCA"/>
    <w:rsid w:val="0002651F"/>
    <w:rsid w:val="00032EA4"/>
    <w:rsid w:val="00036FA0"/>
    <w:rsid w:val="0003793F"/>
    <w:rsid w:val="00043E70"/>
    <w:rsid w:val="00057E35"/>
    <w:rsid w:val="000748CB"/>
    <w:rsid w:val="00076726"/>
    <w:rsid w:val="00080303"/>
    <w:rsid w:val="000A3F58"/>
    <w:rsid w:val="000C02E1"/>
    <w:rsid w:val="000C43EB"/>
    <w:rsid w:val="000D02BE"/>
    <w:rsid w:val="000D2343"/>
    <w:rsid w:val="000D2E4D"/>
    <w:rsid w:val="000D311A"/>
    <w:rsid w:val="000D31E9"/>
    <w:rsid w:val="000D3449"/>
    <w:rsid w:val="000D425A"/>
    <w:rsid w:val="000D60CC"/>
    <w:rsid w:val="000E16B1"/>
    <w:rsid w:val="000E2084"/>
    <w:rsid w:val="000E6F55"/>
    <w:rsid w:val="000F77FA"/>
    <w:rsid w:val="00100E42"/>
    <w:rsid w:val="00104739"/>
    <w:rsid w:val="00107BF7"/>
    <w:rsid w:val="00126F53"/>
    <w:rsid w:val="00137988"/>
    <w:rsid w:val="0014766D"/>
    <w:rsid w:val="001536CC"/>
    <w:rsid w:val="001939A4"/>
    <w:rsid w:val="001A3FBA"/>
    <w:rsid w:val="001A5518"/>
    <w:rsid w:val="001B1551"/>
    <w:rsid w:val="001B1C6A"/>
    <w:rsid w:val="001C1263"/>
    <w:rsid w:val="001C1417"/>
    <w:rsid w:val="001C4661"/>
    <w:rsid w:val="001C7B16"/>
    <w:rsid w:val="001E390B"/>
    <w:rsid w:val="001F42FB"/>
    <w:rsid w:val="001F719A"/>
    <w:rsid w:val="002031B3"/>
    <w:rsid w:val="00215931"/>
    <w:rsid w:val="00224C91"/>
    <w:rsid w:val="00227BDB"/>
    <w:rsid w:val="00234CB1"/>
    <w:rsid w:val="002352F8"/>
    <w:rsid w:val="002510A5"/>
    <w:rsid w:val="00254A0A"/>
    <w:rsid w:val="0026326A"/>
    <w:rsid w:val="00266046"/>
    <w:rsid w:val="00274494"/>
    <w:rsid w:val="002846DB"/>
    <w:rsid w:val="00284CCD"/>
    <w:rsid w:val="00287560"/>
    <w:rsid w:val="002A034D"/>
    <w:rsid w:val="002B5CD3"/>
    <w:rsid w:val="002C6637"/>
    <w:rsid w:val="002E0135"/>
    <w:rsid w:val="002E37A5"/>
    <w:rsid w:val="002E5509"/>
    <w:rsid w:val="00310F03"/>
    <w:rsid w:val="003247D2"/>
    <w:rsid w:val="003445C1"/>
    <w:rsid w:val="0035183E"/>
    <w:rsid w:val="00355B61"/>
    <w:rsid w:val="00362686"/>
    <w:rsid w:val="00371510"/>
    <w:rsid w:val="00381D3E"/>
    <w:rsid w:val="00396DFD"/>
    <w:rsid w:val="003A7059"/>
    <w:rsid w:val="003B7A36"/>
    <w:rsid w:val="003C17AB"/>
    <w:rsid w:val="003C7823"/>
    <w:rsid w:val="003D15FD"/>
    <w:rsid w:val="003E1DCC"/>
    <w:rsid w:val="003F11A1"/>
    <w:rsid w:val="003F6A59"/>
    <w:rsid w:val="004065C8"/>
    <w:rsid w:val="0040666A"/>
    <w:rsid w:val="004109FA"/>
    <w:rsid w:val="00411B4B"/>
    <w:rsid w:val="00415BEE"/>
    <w:rsid w:val="00416141"/>
    <w:rsid w:val="00427F85"/>
    <w:rsid w:val="004357C8"/>
    <w:rsid w:val="0043691C"/>
    <w:rsid w:val="00436F42"/>
    <w:rsid w:val="004378B4"/>
    <w:rsid w:val="00441998"/>
    <w:rsid w:val="00451314"/>
    <w:rsid w:val="00452E9D"/>
    <w:rsid w:val="004534C7"/>
    <w:rsid w:val="00456F65"/>
    <w:rsid w:val="004671AA"/>
    <w:rsid w:val="00473751"/>
    <w:rsid w:val="00480FB1"/>
    <w:rsid w:val="00483928"/>
    <w:rsid w:val="004941E8"/>
    <w:rsid w:val="004C331F"/>
    <w:rsid w:val="004D6103"/>
    <w:rsid w:val="004E3BCE"/>
    <w:rsid w:val="004E70AD"/>
    <w:rsid w:val="004F0E97"/>
    <w:rsid w:val="00501DD1"/>
    <w:rsid w:val="00515C21"/>
    <w:rsid w:val="00530BD7"/>
    <w:rsid w:val="00545CD2"/>
    <w:rsid w:val="005476F3"/>
    <w:rsid w:val="00552B21"/>
    <w:rsid w:val="00561D2B"/>
    <w:rsid w:val="00572527"/>
    <w:rsid w:val="00573361"/>
    <w:rsid w:val="00573E40"/>
    <w:rsid w:val="00576348"/>
    <w:rsid w:val="00581CDC"/>
    <w:rsid w:val="00583A68"/>
    <w:rsid w:val="005A0B2E"/>
    <w:rsid w:val="005A20F7"/>
    <w:rsid w:val="005A23D2"/>
    <w:rsid w:val="005A36CB"/>
    <w:rsid w:val="005B49B8"/>
    <w:rsid w:val="005C0741"/>
    <w:rsid w:val="005C107A"/>
    <w:rsid w:val="005C5EF4"/>
    <w:rsid w:val="005D7586"/>
    <w:rsid w:val="005E2E0B"/>
    <w:rsid w:val="005E7A7D"/>
    <w:rsid w:val="00602457"/>
    <w:rsid w:val="00632896"/>
    <w:rsid w:val="00644FC3"/>
    <w:rsid w:val="00646BD1"/>
    <w:rsid w:val="006561C2"/>
    <w:rsid w:val="00660338"/>
    <w:rsid w:val="006659EA"/>
    <w:rsid w:val="00671CB3"/>
    <w:rsid w:val="00674BAF"/>
    <w:rsid w:val="00682200"/>
    <w:rsid w:val="00690E36"/>
    <w:rsid w:val="00692BF6"/>
    <w:rsid w:val="006A1497"/>
    <w:rsid w:val="006A40E7"/>
    <w:rsid w:val="006B0BD1"/>
    <w:rsid w:val="006B5404"/>
    <w:rsid w:val="006D1DF5"/>
    <w:rsid w:val="006D20A5"/>
    <w:rsid w:val="006D37BF"/>
    <w:rsid w:val="0070191C"/>
    <w:rsid w:val="00702E22"/>
    <w:rsid w:val="007176BF"/>
    <w:rsid w:val="0072020E"/>
    <w:rsid w:val="00720AA3"/>
    <w:rsid w:val="0074529A"/>
    <w:rsid w:val="00785739"/>
    <w:rsid w:val="00786071"/>
    <w:rsid w:val="007904F4"/>
    <w:rsid w:val="007974E9"/>
    <w:rsid w:val="007A06BA"/>
    <w:rsid w:val="007A0F82"/>
    <w:rsid w:val="007A3ECB"/>
    <w:rsid w:val="007B732B"/>
    <w:rsid w:val="007D7BB3"/>
    <w:rsid w:val="007F3A72"/>
    <w:rsid w:val="00805495"/>
    <w:rsid w:val="008150F8"/>
    <w:rsid w:val="008174EA"/>
    <w:rsid w:val="00824AB9"/>
    <w:rsid w:val="00836B35"/>
    <w:rsid w:val="00843BDE"/>
    <w:rsid w:val="0087588C"/>
    <w:rsid w:val="00876A41"/>
    <w:rsid w:val="00891BC1"/>
    <w:rsid w:val="0089705C"/>
    <w:rsid w:val="008A6D43"/>
    <w:rsid w:val="008A7E66"/>
    <w:rsid w:val="008B491E"/>
    <w:rsid w:val="008C1A28"/>
    <w:rsid w:val="008C2E98"/>
    <w:rsid w:val="008E49BD"/>
    <w:rsid w:val="008E53E9"/>
    <w:rsid w:val="008E5771"/>
    <w:rsid w:val="008F1F91"/>
    <w:rsid w:val="008F4ACF"/>
    <w:rsid w:val="0090329E"/>
    <w:rsid w:val="00910592"/>
    <w:rsid w:val="0091656F"/>
    <w:rsid w:val="00923786"/>
    <w:rsid w:val="00924166"/>
    <w:rsid w:val="00927C50"/>
    <w:rsid w:val="00940B9B"/>
    <w:rsid w:val="009462F3"/>
    <w:rsid w:val="00953017"/>
    <w:rsid w:val="0095676E"/>
    <w:rsid w:val="00956983"/>
    <w:rsid w:val="00962001"/>
    <w:rsid w:val="00963CF0"/>
    <w:rsid w:val="00964BB1"/>
    <w:rsid w:val="00965EB2"/>
    <w:rsid w:val="00970D34"/>
    <w:rsid w:val="009775D9"/>
    <w:rsid w:val="00983603"/>
    <w:rsid w:val="00997175"/>
    <w:rsid w:val="009A1847"/>
    <w:rsid w:val="009A6840"/>
    <w:rsid w:val="009A6928"/>
    <w:rsid w:val="009B062A"/>
    <w:rsid w:val="009C2EA4"/>
    <w:rsid w:val="009E4E1B"/>
    <w:rsid w:val="009E7C6F"/>
    <w:rsid w:val="009F1793"/>
    <w:rsid w:val="009F2D23"/>
    <w:rsid w:val="00A01D69"/>
    <w:rsid w:val="00A02335"/>
    <w:rsid w:val="00A35195"/>
    <w:rsid w:val="00A46C9A"/>
    <w:rsid w:val="00A532BE"/>
    <w:rsid w:val="00A619F3"/>
    <w:rsid w:val="00A62A73"/>
    <w:rsid w:val="00A87FF6"/>
    <w:rsid w:val="00A974CE"/>
    <w:rsid w:val="00AA0A3B"/>
    <w:rsid w:val="00AA2763"/>
    <w:rsid w:val="00AA33B6"/>
    <w:rsid w:val="00AA3A1B"/>
    <w:rsid w:val="00AB2C68"/>
    <w:rsid w:val="00AB50CA"/>
    <w:rsid w:val="00AB6D64"/>
    <w:rsid w:val="00AC00D4"/>
    <w:rsid w:val="00AC53CE"/>
    <w:rsid w:val="00AD2193"/>
    <w:rsid w:val="00AF2AC7"/>
    <w:rsid w:val="00AF74CE"/>
    <w:rsid w:val="00B208DB"/>
    <w:rsid w:val="00B23F69"/>
    <w:rsid w:val="00B31A63"/>
    <w:rsid w:val="00B42176"/>
    <w:rsid w:val="00B468D8"/>
    <w:rsid w:val="00B60619"/>
    <w:rsid w:val="00B66A70"/>
    <w:rsid w:val="00B67366"/>
    <w:rsid w:val="00B777EB"/>
    <w:rsid w:val="00B80EE1"/>
    <w:rsid w:val="00B84135"/>
    <w:rsid w:val="00BB2A8F"/>
    <w:rsid w:val="00BD7794"/>
    <w:rsid w:val="00C04D34"/>
    <w:rsid w:val="00C05DF8"/>
    <w:rsid w:val="00C06864"/>
    <w:rsid w:val="00C10F54"/>
    <w:rsid w:val="00C23D8D"/>
    <w:rsid w:val="00C37AA3"/>
    <w:rsid w:val="00C37FD7"/>
    <w:rsid w:val="00C42942"/>
    <w:rsid w:val="00C43419"/>
    <w:rsid w:val="00C44CF3"/>
    <w:rsid w:val="00C45149"/>
    <w:rsid w:val="00C520BD"/>
    <w:rsid w:val="00C61BE0"/>
    <w:rsid w:val="00C6707E"/>
    <w:rsid w:val="00C70B0E"/>
    <w:rsid w:val="00C7694D"/>
    <w:rsid w:val="00C771FD"/>
    <w:rsid w:val="00C773CA"/>
    <w:rsid w:val="00C83785"/>
    <w:rsid w:val="00C94C0D"/>
    <w:rsid w:val="00CA1FEB"/>
    <w:rsid w:val="00CC0378"/>
    <w:rsid w:val="00CD4F85"/>
    <w:rsid w:val="00CD6F02"/>
    <w:rsid w:val="00CE246D"/>
    <w:rsid w:val="00CE48A5"/>
    <w:rsid w:val="00CF07A0"/>
    <w:rsid w:val="00CF1D43"/>
    <w:rsid w:val="00CF3E03"/>
    <w:rsid w:val="00D0082A"/>
    <w:rsid w:val="00D12B8D"/>
    <w:rsid w:val="00D21455"/>
    <w:rsid w:val="00D21886"/>
    <w:rsid w:val="00D26F73"/>
    <w:rsid w:val="00D47634"/>
    <w:rsid w:val="00D65C3D"/>
    <w:rsid w:val="00D709B3"/>
    <w:rsid w:val="00DA0AE7"/>
    <w:rsid w:val="00DA23AC"/>
    <w:rsid w:val="00DA2ED6"/>
    <w:rsid w:val="00DB4816"/>
    <w:rsid w:val="00DB76B8"/>
    <w:rsid w:val="00DC276A"/>
    <w:rsid w:val="00DC2EA1"/>
    <w:rsid w:val="00DD6AAF"/>
    <w:rsid w:val="00DE341B"/>
    <w:rsid w:val="00DE3F5C"/>
    <w:rsid w:val="00DE423F"/>
    <w:rsid w:val="00DF1D20"/>
    <w:rsid w:val="00E10587"/>
    <w:rsid w:val="00E21324"/>
    <w:rsid w:val="00E246B9"/>
    <w:rsid w:val="00E269FB"/>
    <w:rsid w:val="00E31FEA"/>
    <w:rsid w:val="00E32873"/>
    <w:rsid w:val="00E45169"/>
    <w:rsid w:val="00E47787"/>
    <w:rsid w:val="00E51C30"/>
    <w:rsid w:val="00E64180"/>
    <w:rsid w:val="00E74AEE"/>
    <w:rsid w:val="00E868E5"/>
    <w:rsid w:val="00E90D35"/>
    <w:rsid w:val="00E9237A"/>
    <w:rsid w:val="00E939FA"/>
    <w:rsid w:val="00EA069C"/>
    <w:rsid w:val="00EA317A"/>
    <w:rsid w:val="00EA5765"/>
    <w:rsid w:val="00EC2532"/>
    <w:rsid w:val="00ED7812"/>
    <w:rsid w:val="00EF3B86"/>
    <w:rsid w:val="00F05991"/>
    <w:rsid w:val="00F11600"/>
    <w:rsid w:val="00F317E9"/>
    <w:rsid w:val="00F34554"/>
    <w:rsid w:val="00F4545F"/>
    <w:rsid w:val="00F45F77"/>
    <w:rsid w:val="00F5167F"/>
    <w:rsid w:val="00F52258"/>
    <w:rsid w:val="00F8570A"/>
    <w:rsid w:val="00F91C7B"/>
    <w:rsid w:val="00FC31CD"/>
    <w:rsid w:val="00FE46C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EA069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basedOn w:val="DefaultParagraphFont"/>
    <w:link w:val="Header"/>
    <w:uiPriority w:val="99"/>
    <w:rsid w:val="00EA069C"/>
    <w:rPr>
      <w:sz w:val="24"/>
      <w:szCs w:val="24"/>
      <w:lang w:val="en-US" w:eastAsia="en-US"/>
    </w:rPr>
  </w:style>
  <w:style w:type="paragraph" w:styleId="BodyText">
    <w:name w:val="Body Text"/>
    <w:basedOn w:val="Normal"/>
    <w:link w:val="BodyTextChar"/>
    <w:unhideWhenUsed/>
    <w:rsid w:val="00EA069C"/>
    <w:pPr>
      <w:tabs>
        <w:tab w:val="left" w:pos="284"/>
      </w:tabs>
      <w:jc w:val="both"/>
    </w:pPr>
    <w:rPr>
      <w:sz w:val="22"/>
      <w:lang w:val="sr-Latn-CS"/>
    </w:rPr>
  </w:style>
  <w:style w:type="character" w:customStyle="1" w:styleId="BodyTextChar">
    <w:name w:val="Body Text Char"/>
    <w:basedOn w:val="DefaultParagraphFont"/>
    <w:link w:val="BodyText"/>
    <w:rsid w:val="00EA069C"/>
    <w:rPr>
      <w:sz w:val="22"/>
      <w:szCs w:val="24"/>
      <w:lang w:val="sr-Latn-CS" w:eastAsia="en-US"/>
    </w:rPr>
  </w:style>
  <w:style w:type="paragraph" w:customStyle="1" w:styleId="A-Heading3">
    <w:name w:val="A-Heading3"/>
    <w:basedOn w:val="Heading3"/>
    <w:next w:val="Normal"/>
    <w:rsid w:val="00EA069C"/>
    <w:pPr>
      <w:keepLines w:val="0"/>
      <w:tabs>
        <w:tab w:val="num" w:pos="0"/>
      </w:tabs>
      <w:spacing w:before="0" w:after="120" w:line="280" w:lineRule="atLeast"/>
      <w:outlineLvl w:val="9"/>
    </w:pPr>
    <w:rPr>
      <w:rFonts w:ascii="Arial" w:eastAsia="Times New Roman" w:hAnsi="Arial" w:cs="Times New Roman"/>
      <w:color w:val="auto"/>
      <w:szCs w:val="20"/>
      <w:lang w:val="en-GB" w:eastAsia="sv-SE"/>
    </w:rPr>
  </w:style>
  <w:style w:type="character" w:customStyle="1" w:styleId="Heading3Char">
    <w:name w:val="Heading 3 Char"/>
    <w:basedOn w:val="DefaultParagraphFont"/>
    <w:link w:val="Heading3"/>
    <w:semiHidden/>
    <w:rsid w:val="00EA069C"/>
    <w:rPr>
      <w:rFonts w:asciiTheme="majorHAnsi" w:eastAsiaTheme="majorEastAsia" w:hAnsiTheme="majorHAnsi" w:cstheme="majorBidi"/>
      <w:color w:val="1F4D78" w:themeColor="accent1" w:themeShade="7F"/>
      <w:sz w:val="24"/>
      <w:szCs w:val="24"/>
      <w:lang w:val="en-US" w:eastAsia="en-US"/>
    </w:rPr>
  </w:style>
  <w:style w:type="paragraph" w:styleId="BodyTextIndent3">
    <w:name w:val="Body Text Indent 3"/>
    <w:basedOn w:val="Normal"/>
    <w:link w:val="BodyTextIndent3Char"/>
    <w:rsid w:val="00B777EB"/>
    <w:pPr>
      <w:spacing w:after="120"/>
      <w:ind w:left="283"/>
    </w:pPr>
    <w:rPr>
      <w:sz w:val="16"/>
      <w:szCs w:val="16"/>
    </w:rPr>
  </w:style>
  <w:style w:type="character" w:customStyle="1" w:styleId="BodyTextIndent3Char">
    <w:name w:val="Body Text Indent 3 Char"/>
    <w:basedOn w:val="DefaultParagraphFont"/>
    <w:link w:val="BodyTextIndent3"/>
    <w:rsid w:val="00B777EB"/>
    <w:rPr>
      <w:sz w:val="16"/>
      <w:szCs w:val="16"/>
      <w:lang w:val="en-US" w:eastAsia="en-US"/>
    </w:rPr>
  </w:style>
  <w:style w:type="paragraph" w:styleId="ListParagraph">
    <w:name w:val="List Paragraph"/>
    <w:basedOn w:val="Normal"/>
    <w:uiPriority w:val="34"/>
    <w:qFormat/>
    <w:rsid w:val="00AB2C68"/>
    <w:pPr>
      <w:ind w:left="720"/>
      <w:contextualSpacing/>
    </w:pPr>
  </w:style>
  <w:style w:type="paragraph" w:styleId="Revision">
    <w:name w:val="Revision"/>
    <w:hidden/>
    <w:uiPriority w:val="99"/>
    <w:semiHidden/>
    <w:rsid w:val="00032EA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808">
      <w:bodyDiv w:val="1"/>
      <w:marLeft w:val="0"/>
      <w:marRight w:val="0"/>
      <w:marTop w:val="0"/>
      <w:marBottom w:val="0"/>
      <w:divBdr>
        <w:top w:val="none" w:sz="0" w:space="0" w:color="auto"/>
        <w:left w:val="none" w:sz="0" w:space="0" w:color="auto"/>
        <w:bottom w:val="none" w:sz="0" w:space="0" w:color="auto"/>
        <w:right w:val="none" w:sz="0" w:space="0" w:color="auto"/>
      </w:divBdr>
    </w:div>
    <w:div w:id="83259492">
      <w:bodyDiv w:val="1"/>
      <w:marLeft w:val="0"/>
      <w:marRight w:val="0"/>
      <w:marTop w:val="0"/>
      <w:marBottom w:val="0"/>
      <w:divBdr>
        <w:top w:val="none" w:sz="0" w:space="0" w:color="auto"/>
        <w:left w:val="none" w:sz="0" w:space="0" w:color="auto"/>
        <w:bottom w:val="none" w:sz="0" w:space="0" w:color="auto"/>
        <w:right w:val="none" w:sz="0" w:space="0" w:color="auto"/>
      </w:divBdr>
    </w:div>
    <w:div w:id="94709725">
      <w:bodyDiv w:val="1"/>
      <w:marLeft w:val="0"/>
      <w:marRight w:val="0"/>
      <w:marTop w:val="0"/>
      <w:marBottom w:val="0"/>
      <w:divBdr>
        <w:top w:val="none" w:sz="0" w:space="0" w:color="auto"/>
        <w:left w:val="none" w:sz="0" w:space="0" w:color="auto"/>
        <w:bottom w:val="none" w:sz="0" w:space="0" w:color="auto"/>
        <w:right w:val="none" w:sz="0" w:space="0" w:color="auto"/>
      </w:divBdr>
    </w:div>
    <w:div w:id="216598155">
      <w:bodyDiv w:val="1"/>
      <w:marLeft w:val="0"/>
      <w:marRight w:val="0"/>
      <w:marTop w:val="0"/>
      <w:marBottom w:val="0"/>
      <w:divBdr>
        <w:top w:val="none" w:sz="0" w:space="0" w:color="auto"/>
        <w:left w:val="none" w:sz="0" w:space="0" w:color="auto"/>
        <w:bottom w:val="none" w:sz="0" w:space="0" w:color="auto"/>
        <w:right w:val="none" w:sz="0" w:space="0" w:color="auto"/>
      </w:divBdr>
    </w:div>
    <w:div w:id="247152437">
      <w:bodyDiv w:val="1"/>
      <w:marLeft w:val="0"/>
      <w:marRight w:val="0"/>
      <w:marTop w:val="0"/>
      <w:marBottom w:val="0"/>
      <w:divBdr>
        <w:top w:val="none" w:sz="0" w:space="0" w:color="auto"/>
        <w:left w:val="none" w:sz="0" w:space="0" w:color="auto"/>
        <w:bottom w:val="none" w:sz="0" w:space="0" w:color="auto"/>
        <w:right w:val="none" w:sz="0" w:space="0" w:color="auto"/>
      </w:divBdr>
    </w:div>
    <w:div w:id="329918337">
      <w:bodyDiv w:val="1"/>
      <w:marLeft w:val="0"/>
      <w:marRight w:val="0"/>
      <w:marTop w:val="0"/>
      <w:marBottom w:val="0"/>
      <w:divBdr>
        <w:top w:val="none" w:sz="0" w:space="0" w:color="auto"/>
        <w:left w:val="none" w:sz="0" w:space="0" w:color="auto"/>
        <w:bottom w:val="none" w:sz="0" w:space="0" w:color="auto"/>
        <w:right w:val="none" w:sz="0" w:space="0" w:color="auto"/>
      </w:divBdr>
    </w:div>
    <w:div w:id="337584614">
      <w:bodyDiv w:val="1"/>
      <w:marLeft w:val="0"/>
      <w:marRight w:val="0"/>
      <w:marTop w:val="0"/>
      <w:marBottom w:val="0"/>
      <w:divBdr>
        <w:top w:val="none" w:sz="0" w:space="0" w:color="auto"/>
        <w:left w:val="none" w:sz="0" w:space="0" w:color="auto"/>
        <w:bottom w:val="none" w:sz="0" w:space="0" w:color="auto"/>
        <w:right w:val="none" w:sz="0" w:space="0" w:color="auto"/>
      </w:divBdr>
    </w:div>
    <w:div w:id="411239868">
      <w:bodyDiv w:val="1"/>
      <w:marLeft w:val="0"/>
      <w:marRight w:val="0"/>
      <w:marTop w:val="0"/>
      <w:marBottom w:val="0"/>
      <w:divBdr>
        <w:top w:val="none" w:sz="0" w:space="0" w:color="auto"/>
        <w:left w:val="none" w:sz="0" w:space="0" w:color="auto"/>
        <w:bottom w:val="none" w:sz="0" w:space="0" w:color="auto"/>
        <w:right w:val="none" w:sz="0" w:space="0" w:color="auto"/>
      </w:divBdr>
    </w:div>
    <w:div w:id="596907402">
      <w:bodyDiv w:val="1"/>
      <w:marLeft w:val="0"/>
      <w:marRight w:val="0"/>
      <w:marTop w:val="0"/>
      <w:marBottom w:val="0"/>
      <w:divBdr>
        <w:top w:val="none" w:sz="0" w:space="0" w:color="auto"/>
        <w:left w:val="none" w:sz="0" w:space="0" w:color="auto"/>
        <w:bottom w:val="none" w:sz="0" w:space="0" w:color="auto"/>
        <w:right w:val="none" w:sz="0" w:space="0" w:color="auto"/>
      </w:divBdr>
    </w:div>
    <w:div w:id="633292933">
      <w:bodyDiv w:val="1"/>
      <w:marLeft w:val="0"/>
      <w:marRight w:val="0"/>
      <w:marTop w:val="0"/>
      <w:marBottom w:val="0"/>
      <w:divBdr>
        <w:top w:val="none" w:sz="0" w:space="0" w:color="auto"/>
        <w:left w:val="none" w:sz="0" w:space="0" w:color="auto"/>
        <w:bottom w:val="none" w:sz="0" w:space="0" w:color="auto"/>
        <w:right w:val="none" w:sz="0" w:space="0" w:color="auto"/>
      </w:divBdr>
    </w:div>
    <w:div w:id="721902957">
      <w:bodyDiv w:val="1"/>
      <w:marLeft w:val="0"/>
      <w:marRight w:val="0"/>
      <w:marTop w:val="0"/>
      <w:marBottom w:val="0"/>
      <w:divBdr>
        <w:top w:val="none" w:sz="0" w:space="0" w:color="auto"/>
        <w:left w:val="none" w:sz="0" w:space="0" w:color="auto"/>
        <w:bottom w:val="none" w:sz="0" w:space="0" w:color="auto"/>
        <w:right w:val="none" w:sz="0" w:space="0" w:color="auto"/>
      </w:divBdr>
    </w:div>
    <w:div w:id="766653616">
      <w:bodyDiv w:val="1"/>
      <w:marLeft w:val="0"/>
      <w:marRight w:val="0"/>
      <w:marTop w:val="0"/>
      <w:marBottom w:val="0"/>
      <w:divBdr>
        <w:top w:val="none" w:sz="0" w:space="0" w:color="auto"/>
        <w:left w:val="none" w:sz="0" w:space="0" w:color="auto"/>
        <w:bottom w:val="none" w:sz="0" w:space="0" w:color="auto"/>
        <w:right w:val="none" w:sz="0" w:space="0" w:color="auto"/>
      </w:divBdr>
    </w:div>
    <w:div w:id="798500876">
      <w:bodyDiv w:val="1"/>
      <w:marLeft w:val="0"/>
      <w:marRight w:val="0"/>
      <w:marTop w:val="0"/>
      <w:marBottom w:val="0"/>
      <w:divBdr>
        <w:top w:val="none" w:sz="0" w:space="0" w:color="auto"/>
        <w:left w:val="none" w:sz="0" w:space="0" w:color="auto"/>
        <w:bottom w:val="none" w:sz="0" w:space="0" w:color="auto"/>
        <w:right w:val="none" w:sz="0" w:space="0" w:color="auto"/>
      </w:divBdr>
    </w:div>
    <w:div w:id="890189192">
      <w:bodyDiv w:val="1"/>
      <w:marLeft w:val="0"/>
      <w:marRight w:val="0"/>
      <w:marTop w:val="0"/>
      <w:marBottom w:val="0"/>
      <w:divBdr>
        <w:top w:val="none" w:sz="0" w:space="0" w:color="auto"/>
        <w:left w:val="none" w:sz="0" w:space="0" w:color="auto"/>
        <w:bottom w:val="none" w:sz="0" w:space="0" w:color="auto"/>
        <w:right w:val="none" w:sz="0" w:space="0" w:color="auto"/>
      </w:divBdr>
    </w:div>
    <w:div w:id="921136217">
      <w:bodyDiv w:val="1"/>
      <w:marLeft w:val="0"/>
      <w:marRight w:val="0"/>
      <w:marTop w:val="0"/>
      <w:marBottom w:val="0"/>
      <w:divBdr>
        <w:top w:val="none" w:sz="0" w:space="0" w:color="auto"/>
        <w:left w:val="none" w:sz="0" w:space="0" w:color="auto"/>
        <w:bottom w:val="none" w:sz="0" w:space="0" w:color="auto"/>
        <w:right w:val="none" w:sz="0" w:space="0" w:color="auto"/>
      </w:divBdr>
    </w:div>
    <w:div w:id="1010723018">
      <w:bodyDiv w:val="1"/>
      <w:marLeft w:val="0"/>
      <w:marRight w:val="0"/>
      <w:marTop w:val="0"/>
      <w:marBottom w:val="0"/>
      <w:divBdr>
        <w:top w:val="none" w:sz="0" w:space="0" w:color="auto"/>
        <w:left w:val="none" w:sz="0" w:space="0" w:color="auto"/>
        <w:bottom w:val="none" w:sz="0" w:space="0" w:color="auto"/>
        <w:right w:val="none" w:sz="0" w:space="0" w:color="auto"/>
      </w:divBdr>
    </w:div>
    <w:div w:id="1030227290">
      <w:bodyDiv w:val="1"/>
      <w:marLeft w:val="0"/>
      <w:marRight w:val="0"/>
      <w:marTop w:val="0"/>
      <w:marBottom w:val="0"/>
      <w:divBdr>
        <w:top w:val="none" w:sz="0" w:space="0" w:color="auto"/>
        <w:left w:val="none" w:sz="0" w:space="0" w:color="auto"/>
        <w:bottom w:val="none" w:sz="0" w:space="0" w:color="auto"/>
        <w:right w:val="none" w:sz="0" w:space="0" w:color="auto"/>
      </w:divBdr>
    </w:div>
    <w:div w:id="1031540274">
      <w:bodyDiv w:val="1"/>
      <w:marLeft w:val="0"/>
      <w:marRight w:val="0"/>
      <w:marTop w:val="0"/>
      <w:marBottom w:val="0"/>
      <w:divBdr>
        <w:top w:val="none" w:sz="0" w:space="0" w:color="auto"/>
        <w:left w:val="none" w:sz="0" w:space="0" w:color="auto"/>
        <w:bottom w:val="none" w:sz="0" w:space="0" w:color="auto"/>
        <w:right w:val="none" w:sz="0" w:space="0" w:color="auto"/>
      </w:divBdr>
    </w:div>
    <w:div w:id="1050571928">
      <w:bodyDiv w:val="1"/>
      <w:marLeft w:val="0"/>
      <w:marRight w:val="0"/>
      <w:marTop w:val="0"/>
      <w:marBottom w:val="0"/>
      <w:divBdr>
        <w:top w:val="none" w:sz="0" w:space="0" w:color="auto"/>
        <w:left w:val="none" w:sz="0" w:space="0" w:color="auto"/>
        <w:bottom w:val="none" w:sz="0" w:space="0" w:color="auto"/>
        <w:right w:val="none" w:sz="0" w:space="0" w:color="auto"/>
      </w:divBdr>
    </w:div>
    <w:div w:id="1074427206">
      <w:bodyDiv w:val="1"/>
      <w:marLeft w:val="0"/>
      <w:marRight w:val="0"/>
      <w:marTop w:val="0"/>
      <w:marBottom w:val="0"/>
      <w:divBdr>
        <w:top w:val="none" w:sz="0" w:space="0" w:color="auto"/>
        <w:left w:val="none" w:sz="0" w:space="0" w:color="auto"/>
        <w:bottom w:val="none" w:sz="0" w:space="0" w:color="auto"/>
        <w:right w:val="none" w:sz="0" w:space="0" w:color="auto"/>
      </w:divBdr>
    </w:div>
    <w:div w:id="1108894919">
      <w:bodyDiv w:val="1"/>
      <w:marLeft w:val="0"/>
      <w:marRight w:val="0"/>
      <w:marTop w:val="0"/>
      <w:marBottom w:val="0"/>
      <w:divBdr>
        <w:top w:val="none" w:sz="0" w:space="0" w:color="auto"/>
        <w:left w:val="none" w:sz="0" w:space="0" w:color="auto"/>
        <w:bottom w:val="none" w:sz="0" w:space="0" w:color="auto"/>
        <w:right w:val="none" w:sz="0" w:space="0" w:color="auto"/>
      </w:divBdr>
    </w:div>
    <w:div w:id="1234270226">
      <w:bodyDiv w:val="1"/>
      <w:marLeft w:val="0"/>
      <w:marRight w:val="0"/>
      <w:marTop w:val="0"/>
      <w:marBottom w:val="0"/>
      <w:divBdr>
        <w:top w:val="none" w:sz="0" w:space="0" w:color="auto"/>
        <w:left w:val="none" w:sz="0" w:space="0" w:color="auto"/>
        <w:bottom w:val="none" w:sz="0" w:space="0" w:color="auto"/>
        <w:right w:val="none" w:sz="0" w:space="0" w:color="auto"/>
      </w:divBdr>
    </w:div>
    <w:div w:id="1249582449">
      <w:bodyDiv w:val="1"/>
      <w:marLeft w:val="0"/>
      <w:marRight w:val="0"/>
      <w:marTop w:val="0"/>
      <w:marBottom w:val="0"/>
      <w:divBdr>
        <w:top w:val="none" w:sz="0" w:space="0" w:color="auto"/>
        <w:left w:val="none" w:sz="0" w:space="0" w:color="auto"/>
        <w:bottom w:val="none" w:sz="0" w:space="0" w:color="auto"/>
        <w:right w:val="none" w:sz="0" w:space="0" w:color="auto"/>
      </w:divBdr>
    </w:div>
    <w:div w:id="1288702274">
      <w:bodyDiv w:val="1"/>
      <w:marLeft w:val="0"/>
      <w:marRight w:val="0"/>
      <w:marTop w:val="0"/>
      <w:marBottom w:val="0"/>
      <w:divBdr>
        <w:top w:val="none" w:sz="0" w:space="0" w:color="auto"/>
        <w:left w:val="none" w:sz="0" w:space="0" w:color="auto"/>
        <w:bottom w:val="none" w:sz="0" w:space="0" w:color="auto"/>
        <w:right w:val="none" w:sz="0" w:space="0" w:color="auto"/>
      </w:divBdr>
    </w:div>
    <w:div w:id="1313947727">
      <w:bodyDiv w:val="1"/>
      <w:marLeft w:val="0"/>
      <w:marRight w:val="0"/>
      <w:marTop w:val="0"/>
      <w:marBottom w:val="0"/>
      <w:divBdr>
        <w:top w:val="none" w:sz="0" w:space="0" w:color="auto"/>
        <w:left w:val="none" w:sz="0" w:space="0" w:color="auto"/>
        <w:bottom w:val="none" w:sz="0" w:space="0" w:color="auto"/>
        <w:right w:val="none" w:sz="0" w:space="0" w:color="auto"/>
      </w:divBdr>
    </w:div>
    <w:div w:id="1355886564">
      <w:bodyDiv w:val="1"/>
      <w:marLeft w:val="0"/>
      <w:marRight w:val="0"/>
      <w:marTop w:val="0"/>
      <w:marBottom w:val="0"/>
      <w:divBdr>
        <w:top w:val="none" w:sz="0" w:space="0" w:color="auto"/>
        <w:left w:val="none" w:sz="0" w:space="0" w:color="auto"/>
        <w:bottom w:val="none" w:sz="0" w:space="0" w:color="auto"/>
        <w:right w:val="none" w:sz="0" w:space="0" w:color="auto"/>
      </w:divBdr>
    </w:div>
    <w:div w:id="1491485378">
      <w:bodyDiv w:val="1"/>
      <w:marLeft w:val="0"/>
      <w:marRight w:val="0"/>
      <w:marTop w:val="0"/>
      <w:marBottom w:val="0"/>
      <w:divBdr>
        <w:top w:val="none" w:sz="0" w:space="0" w:color="auto"/>
        <w:left w:val="none" w:sz="0" w:space="0" w:color="auto"/>
        <w:bottom w:val="none" w:sz="0" w:space="0" w:color="auto"/>
        <w:right w:val="none" w:sz="0" w:space="0" w:color="auto"/>
      </w:divBdr>
    </w:div>
    <w:div w:id="1495798484">
      <w:bodyDiv w:val="1"/>
      <w:marLeft w:val="0"/>
      <w:marRight w:val="0"/>
      <w:marTop w:val="0"/>
      <w:marBottom w:val="0"/>
      <w:divBdr>
        <w:top w:val="none" w:sz="0" w:space="0" w:color="auto"/>
        <w:left w:val="none" w:sz="0" w:space="0" w:color="auto"/>
        <w:bottom w:val="none" w:sz="0" w:space="0" w:color="auto"/>
        <w:right w:val="none" w:sz="0" w:space="0" w:color="auto"/>
      </w:divBdr>
    </w:div>
    <w:div w:id="1555042968">
      <w:bodyDiv w:val="1"/>
      <w:marLeft w:val="0"/>
      <w:marRight w:val="0"/>
      <w:marTop w:val="0"/>
      <w:marBottom w:val="0"/>
      <w:divBdr>
        <w:top w:val="none" w:sz="0" w:space="0" w:color="auto"/>
        <w:left w:val="none" w:sz="0" w:space="0" w:color="auto"/>
        <w:bottom w:val="none" w:sz="0" w:space="0" w:color="auto"/>
        <w:right w:val="none" w:sz="0" w:space="0" w:color="auto"/>
      </w:divBdr>
    </w:div>
    <w:div w:id="1578974034">
      <w:bodyDiv w:val="1"/>
      <w:marLeft w:val="0"/>
      <w:marRight w:val="0"/>
      <w:marTop w:val="0"/>
      <w:marBottom w:val="0"/>
      <w:divBdr>
        <w:top w:val="none" w:sz="0" w:space="0" w:color="auto"/>
        <w:left w:val="none" w:sz="0" w:space="0" w:color="auto"/>
        <w:bottom w:val="none" w:sz="0" w:space="0" w:color="auto"/>
        <w:right w:val="none" w:sz="0" w:space="0" w:color="auto"/>
      </w:divBdr>
    </w:div>
    <w:div w:id="1612935871">
      <w:bodyDiv w:val="1"/>
      <w:marLeft w:val="0"/>
      <w:marRight w:val="0"/>
      <w:marTop w:val="0"/>
      <w:marBottom w:val="0"/>
      <w:divBdr>
        <w:top w:val="none" w:sz="0" w:space="0" w:color="auto"/>
        <w:left w:val="none" w:sz="0" w:space="0" w:color="auto"/>
        <w:bottom w:val="none" w:sz="0" w:space="0" w:color="auto"/>
        <w:right w:val="none" w:sz="0" w:space="0" w:color="auto"/>
      </w:divBdr>
    </w:div>
    <w:div w:id="1630672020">
      <w:bodyDiv w:val="1"/>
      <w:marLeft w:val="0"/>
      <w:marRight w:val="0"/>
      <w:marTop w:val="0"/>
      <w:marBottom w:val="0"/>
      <w:divBdr>
        <w:top w:val="none" w:sz="0" w:space="0" w:color="auto"/>
        <w:left w:val="none" w:sz="0" w:space="0" w:color="auto"/>
        <w:bottom w:val="none" w:sz="0" w:space="0" w:color="auto"/>
        <w:right w:val="none" w:sz="0" w:space="0" w:color="auto"/>
      </w:divBdr>
    </w:div>
    <w:div w:id="1678385756">
      <w:bodyDiv w:val="1"/>
      <w:marLeft w:val="0"/>
      <w:marRight w:val="0"/>
      <w:marTop w:val="0"/>
      <w:marBottom w:val="0"/>
      <w:divBdr>
        <w:top w:val="none" w:sz="0" w:space="0" w:color="auto"/>
        <w:left w:val="none" w:sz="0" w:space="0" w:color="auto"/>
        <w:bottom w:val="none" w:sz="0" w:space="0" w:color="auto"/>
        <w:right w:val="none" w:sz="0" w:space="0" w:color="auto"/>
      </w:divBdr>
    </w:div>
    <w:div w:id="1684823753">
      <w:bodyDiv w:val="1"/>
      <w:marLeft w:val="0"/>
      <w:marRight w:val="0"/>
      <w:marTop w:val="0"/>
      <w:marBottom w:val="0"/>
      <w:divBdr>
        <w:top w:val="none" w:sz="0" w:space="0" w:color="auto"/>
        <w:left w:val="none" w:sz="0" w:space="0" w:color="auto"/>
        <w:bottom w:val="none" w:sz="0" w:space="0" w:color="auto"/>
        <w:right w:val="none" w:sz="0" w:space="0" w:color="auto"/>
      </w:divBdr>
    </w:div>
    <w:div w:id="1706520553">
      <w:bodyDiv w:val="1"/>
      <w:marLeft w:val="0"/>
      <w:marRight w:val="0"/>
      <w:marTop w:val="0"/>
      <w:marBottom w:val="0"/>
      <w:divBdr>
        <w:top w:val="none" w:sz="0" w:space="0" w:color="auto"/>
        <w:left w:val="none" w:sz="0" w:space="0" w:color="auto"/>
        <w:bottom w:val="none" w:sz="0" w:space="0" w:color="auto"/>
        <w:right w:val="none" w:sz="0" w:space="0" w:color="auto"/>
      </w:divBdr>
    </w:div>
    <w:div w:id="1727561372">
      <w:bodyDiv w:val="1"/>
      <w:marLeft w:val="0"/>
      <w:marRight w:val="0"/>
      <w:marTop w:val="0"/>
      <w:marBottom w:val="0"/>
      <w:divBdr>
        <w:top w:val="none" w:sz="0" w:space="0" w:color="auto"/>
        <w:left w:val="none" w:sz="0" w:space="0" w:color="auto"/>
        <w:bottom w:val="none" w:sz="0" w:space="0" w:color="auto"/>
        <w:right w:val="none" w:sz="0" w:space="0" w:color="auto"/>
      </w:divBdr>
    </w:div>
    <w:div w:id="1767116890">
      <w:bodyDiv w:val="1"/>
      <w:marLeft w:val="0"/>
      <w:marRight w:val="0"/>
      <w:marTop w:val="0"/>
      <w:marBottom w:val="0"/>
      <w:divBdr>
        <w:top w:val="none" w:sz="0" w:space="0" w:color="auto"/>
        <w:left w:val="none" w:sz="0" w:space="0" w:color="auto"/>
        <w:bottom w:val="none" w:sz="0" w:space="0" w:color="auto"/>
        <w:right w:val="none" w:sz="0" w:space="0" w:color="auto"/>
      </w:divBdr>
    </w:div>
    <w:div w:id="1803383336">
      <w:bodyDiv w:val="1"/>
      <w:marLeft w:val="0"/>
      <w:marRight w:val="0"/>
      <w:marTop w:val="0"/>
      <w:marBottom w:val="0"/>
      <w:divBdr>
        <w:top w:val="none" w:sz="0" w:space="0" w:color="auto"/>
        <w:left w:val="none" w:sz="0" w:space="0" w:color="auto"/>
        <w:bottom w:val="none" w:sz="0" w:space="0" w:color="auto"/>
        <w:right w:val="none" w:sz="0" w:space="0" w:color="auto"/>
      </w:divBdr>
    </w:div>
    <w:div w:id="1839733644">
      <w:bodyDiv w:val="1"/>
      <w:marLeft w:val="0"/>
      <w:marRight w:val="0"/>
      <w:marTop w:val="0"/>
      <w:marBottom w:val="0"/>
      <w:divBdr>
        <w:top w:val="none" w:sz="0" w:space="0" w:color="auto"/>
        <w:left w:val="none" w:sz="0" w:space="0" w:color="auto"/>
        <w:bottom w:val="none" w:sz="0" w:space="0" w:color="auto"/>
        <w:right w:val="none" w:sz="0" w:space="0" w:color="auto"/>
      </w:divBdr>
    </w:div>
    <w:div w:id="1864703897">
      <w:bodyDiv w:val="1"/>
      <w:marLeft w:val="0"/>
      <w:marRight w:val="0"/>
      <w:marTop w:val="0"/>
      <w:marBottom w:val="0"/>
      <w:divBdr>
        <w:top w:val="none" w:sz="0" w:space="0" w:color="auto"/>
        <w:left w:val="none" w:sz="0" w:space="0" w:color="auto"/>
        <w:bottom w:val="none" w:sz="0" w:space="0" w:color="auto"/>
        <w:right w:val="none" w:sz="0" w:space="0" w:color="auto"/>
      </w:divBdr>
    </w:div>
    <w:div w:id="1885094457">
      <w:bodyDiv w:val="1"/>
      <w:marLeft w:val="0"/>
      <w:marRight w:val="0"/>
      <w:marTop w:val="0"/>
      <w:marBottom w:val="0"/>
      <w:divBdr>
        <w:top w:val="none" w:sz="0" w:space="0" w:color="auto"/>
        <w:left w:val="none" w:sz="0" w:space="0" w:color="auto"/>
        <w:bottom w:val="none" w:sz="0" w:space="0" w:color="auto"/>
        <w:right w:val="none" w:sz="0" w:space="0" w:color="auto"/>
      </w:divBdr>
    </w:div>
    <w:div w:id="2016371682">
      <w:bodyDiv w:val="1"/>
      <w:marLeft w:val="0"/>
      <w:marRight w:val="0"/>
      <w:marTop w:val="0"/>
      <w:marBottom w:val="0"/>
      <w:divBdr>
        <w:top w:val="none" w:sz="0" w:space="0" w:color="auto"/>
        <w:left w:val="none" w:sz="0" w:space="0" w:color="auto"/>
        <w:bottom w:val="none" w:sz="0" w:space="0" w:color="auto"/>
        <w:right w:val="none" w:sz="0" w:space="0" w:color="auto"/>
      </w:divBdr>
    </w:div>
    <w:div w:id="2028674258">
      <w:bodyDiv w:val="1"/>
      <w:marLeft w:val="0"/>
      <w:marRight w:val="0"/>
      <w:marTop w:val="0"/>
      <w:marBottom w:val="0"/>
      <w:divBdr>
        <w:top w:val="none" w:sz="0" w:space="0" w:color="auto"/>
        <w:left w:val="none" w:sz="0" w:space="0" w:color="auto"/>
        <w:bottom w:val="none" w:sz="0" w:space="0" w:color="auto"/>
        <w:right w:val="none" w:sz="0" w:space="0" w:color="auto"/>
      </w:divBdr>
    </w:div>
    <w:div w:id="213078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F8693-BF1C-4B95-B1CD-B31B2D1F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6486</Words>
  <Characters>36975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43375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Svetlana Rajc</cp:lastModifiedBy>
  <cp:revision>3</cp:revision>
  <dcterms:created xsi:type="dcterms:W3CDTF">2025-07-30T10:43:00Z</dcterms:created>
  <dcterms:modified xsi:type="dcterms:W3CDTF">2025-07-30T10:44:00Z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