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A5" w:rsidRPr="002B34BA" w:rsidRDefault="002510A5" w:rsidP="002510A5">
      <w:pPr>
        <w:jc w:val="center"/>
        <w:rPr>
          <w:b/>
          <w:bCs/>
          <w:iCs/>
          <w:sz w:val="22"/>
          <w:szCs w:val="22"/>
          <w:u w:val="single"/>
          <w:lang w:val="sr-Latn-ME"/>
        </w:rPr>
      </w:pPr>
      <w:r w:rsidRPr="002B34BA">
        <w:rPr>
          <w:b/>
          <w:bCs/>
          <w:iCs/>
          <w:sz w:val="22"/>
          <w:szCs w:val="22"/>
          <w:u w:val="single"/>
          <w:lang w:val="sr-Latn-ME"/>
        </w:rPr>
        <w:t>SAŽETAK KARAKTERISTIKA LIJEKA</w:t>
      </w:r>
    </w:p>
    <w:p w:rsidR="002510A5" w:rsidRPr="002B34BA" w:rsidRDefault="002510A5" w:rsidP="002510A5">
      <w:pPr>
        <w:rPr>
          <w:b/>
          <w:bCs/>
          <w:i/>
          <w:iCs/>
          <w:sz w:val="22"/>
          <w:szCs w:val="22"/>
          <w:u w:val="single"/>
          <w:lang w:val="sr-Latn-ME"/>
        </w:rPr>
      </w:pPr>
    </w:p>
    <w:p w:rsidR="003C17AB" w:rsidRPr="002B34BA" w:rsidRDefault="003C17AB" w:rsidP="00F5167F">
      <w:pPr>
        <w:tabs>
          <w:tab w:val="left" w:pos="540"/>
          <w:tab w:val="left" w:pos="569"/>
        </w:tabs>
        <w:rPr>
          <w:noProof/>
          <w:sz w:val="22"/>
          <w:szCs w:val="22"/>
          <w:lang w:val="sr-Latn-ME"/>
        </w:rPr>
      </w:pPr>
    </w:p>
    <w:p w:rsidR="00C37FD7" w:rsidRPr="002B34BA" w:rsidRDefault="00C37FD7" w:rsidP="00F5167F">
      <w:pPr>
        <w:tabs>
          <w:tab w:val="left" w:pos="540"/>
          <w:tab w:val="left" w:pos="569"/>
        </w:tabs>
        <w:rPr>
          <w:bCs/>
          <w:sz w:val="22"/>
          <w:szCs w:val="22"/>
          <w:lang w:val="sr-Latn-ME"/>
        </w:rPr>
      </w:pPr>
    </w:p>
    <w:p w:rsidR="00411B4B" w:rsidRPr="002B34BA" w:rsidRDefault="00411B4B" w:rsidP="00F5167F">
      <w:pPr>
        <w:tabs>
          <w:tab w:val="left" w:pos="540"/>
          <w:tab w:val="left" w:pos="569"/>
        </w:tabs>
        <w:rPr>
          <w:b/>
          <w:bCs/>
          <w:sz w:val="22"/>
          <w:szCs w:val="22"/>
          <w:lang w:val="sr-Latn-ME"/>
        </w:rPr>
      </w:pPr>
      <w:r w:rsidRPr="002B34BA">
        <w:rPr>
          <w:b/>
          <w:bCs/>
          <w:sz w:val="22"/>
          <w:szCs w:val="22"/>
          <w:lang w:val="sr-Latn-ME"/>
        </w:rPr>
        <w:t>1.</w:t>
      </w:r>
      <w:r w:rsidR="00F5167F" w:rsidRPr="002B34BA">
        <w:rPr>
          <w:b/>
          <w:bCs/>
          <w:sz w:val="22"/>
          <w:szCs w:val="22"/>
          <w:lang w:val="sr-Latn-ME"/>
        </w:rPr>
        <w:tab/>
      </w:r>
      <w:r w:rsidR="002846DB" w:rsidRPr="002B34BA">
        <w:rPr>
          <w:b/>
          <w:bCs/>
          <w:sz w:val="22"/>
          <w:szCs w:val="22"/>
          <w:lang w:val="sr-Latn-ME"/>
        </w:rPr>
        <w:t xml:space="preserve">NAZIV </w:t>
      </w:r>
      <w:r w:rsidRPr="002B34BA">
        <w:rPr>
          <w:b/>
          <w:bCs/>
          <w:sz w:val="22"/>
          <w:szCs w:val="22"/>
          <w:lang w:val="sr-Latn-ME"/>
        </w:rPr>
        <w:t>LIJEKA</w:t>
      </w:r>
    </w:p>
    <w:p w:rsidR="00595195" w:rsidRPr="002B34BA" w:rsidRDefault="00595195" w:rsidP="00595195">
      <w:pPr>
        <w:rPr>
          <w:sz w:val="22"/>
          <w:szCs w:val="22"/>
          <w:lang w:val="sr-Latn-ME"/>
        </w:rPr>
      </w:pPr>
    </w:p>
    <w:p w:rsidR="00595195" w:rsidRPr="002B34BA" w:rsidRDefault="00595195" w:rsidP="00595195">
      <w:pPr>
        <w:rPr>
          <w:sz w:val="22"/>
          <w:szCs w:val="22"/>
          <w:lang w:val="sr-Latn-ME"/>
        </w:rPr>
      </w:pPr>
      <w:r w:rsidRPr="002B34BA">
        <w:rPr>
          <w:sz w:val="22"/>
          <w:szCs w:val="22"/>
          <w:lang w:val="sr-Latn-ME"/>
        </w:rPr>
        <w:t>ARGEDIN</w:t>
      </w:r>
      <w:r w:rsidR="00551909">
        <w:rPr>
          <w:sz w:val="22"/>
          <w:szCs w:val="22"/>
          <w:lang w:val="sr-Latn-ME"/>
        </w:rPr>
        <w:t>,</w:t>
      </w:r>
      <w:r w:rsidRPr="002B34BA">
        <w:rPr>
          <w:sz w:val="22"/>
          <w:szCs w:val="22"/>
          <w:lang w:val="sr-Latn-ME"/>
        </w:rPr>
        <w:t xml:space="preserve"> </w:t>
      </w:r>
      <w:r w:rsidR="00CC755C">
        <w:rPr>
          <w:sz w:val="22"/>
          <w:szCs w:val="22"/>
          <w:lang w:val="sr-Latn-ME"/>
        </w:rPr>
        <w:t>10 mg/g,</w:t>
      </w:r>
      <w:r w:rsidRPr="002B34BA">
        <w:rPr>
          <w:sz w:val="22"/>
          <w:szCs w:val="22"/>
          <w:lang w:val="sr-Latn-ME"/>
        </w:rPr>
        <w:t xml:space="preserve"> krem</w:t>
      </w:r>
    </w:p>
    <w:p w:rsidR="00595195" w:rsidRPr="002B34BA" w:rsidRDefault="00595195" w:rsidP="00595195">
      <w:pPr>
        <w:rPr>
          <w:sz w:val="22"/>
          <w:szCs w:val="22"/>
          <w:lang w:val="sr-Latn-ME"/>
        </w:rPr>
      </w:pPr>
    </w:p>
    <w:p w:rsidR="00EC2532" w:rsidRPr="002B34BA" w:rsidRDefault="00595195" w:rsidP="00595195">
      <w:pPr>
        <w:rPr>
          <w:sz w:val="22"/>
          <w:szCs w:val="22"/>
          <w:lang w:val="sr-Latn-ME"/>
        </w:rPr>
      </w:pPr>
      <w:r w:rsidRPr="002B34BA">
        <w:rPr>
          <w:sz w:val="22"/>
          <w:szCs w:val="22"/>
          <w:lang w:val="sr-Latn-ME"/>
        </w:rPr>
        <w:t>INN: sulfadiazin srebro</w:t>
      </w:r>
    </w:p>
    <w:p w:rsidR="006D20A5" w:rsidRDefault="006D20A5">
      <w:pPr>
        <w:rPr>
          <w:bCs/>
          <w:sz w:val="22"/>
          <w:szCs w:val="22"/>
          <w:lang w:val="sr-Latn-ME"/>
        </w:rPr>
      </w:pPr>
    </w:p>
    <w:p w:rsidR="00551909" w:rsidRPr="002B34BA" w:rsidRDefault="00551909">
      <w:pPr>
        <w:rPr>
          <w:bCs/>
          <w:sz w:val="22"/>
          <w:szCs w:val="22"/>
          <w:lang w:val="sr-Latn-ME"/>
        </w:rPr>
      </w:pPr>
    </w:p>
    <w:p w:rsidR="00411B4B" w:rsidRPr="002B34BA" w:rsidRDefault="00411B4B" w:rsidP="00F5167F">
      <w:pPr>
        <w:tabs>
          <w:tab w:val="left" w:pos="540"/>
          <w:tab w:val="left" w:pos="569"/>
        </w:tabs>
        <w:rPr>
          <w:b/>
          <w:bCs/>
          <w:sz w:val="22"/>
          <w:szCs w:val="22"/>
          <w:lang w:val="sr-Latn-ME"/>
        </w:rPr>
      </w:pPr>
      <w:r w:rsidRPr="002B34BA">
        <w:rPr>
          <w:b/>
          <w:bCs/>
          <w:sz w:val="22"/>
          <w:szCs w:val="22"/>
          <w:lang w:val="sr-Latn-ME"/>
        </w:rPr>
        <w:t xml:space="preserve">2. </w:t>
      </w:r>
      <w:r w:rsidR="00F5167F" w:rsidRPr="002B34BA">
        <w:rPr>
          <w:b/>
          <w:bCs/>
          <w:sz w:val="22"/>
          <w:szCs w:val="22"/>
          <w:lang w:val="sr-Latn-ME"/>
        </w:rPr>
        <w:tab/>
      </w:r>
      <w:r w:rsidRPr="002B34BA">
        <w:rPr>
          <w:b/>
          <w:bCs/>
          <w:sz w:val="22"/>
          <w:szCs w:val="22"/>
          <w:lang w:val="sr-Latn-ME"/>
        </w:rPr>
        <w:t>KVALITATIVNI I KVANTITATIVNI SASTAV</w:t>
      </w:r>
    </w:p>
    <w:p w:rsidR="00BC3C8A" w:rsidRPr="002B34BA" w:rsidRDefault="00BC3C8A" w:rsidP="00BC3C8A">
      <w:pPr>
        <w:rPr>
          <w:sz w:val="22"/>
          <w:szCs w:val="22"/>
          <w:lang w:val="sr-Latn-ME"/>
        </w:rPr>
      </w:pPr>
    </w:p>
    <w:p w:rsidR="00595195" w:rsidRPr="002B34BA" w:rsidRDefault="00595195" w:rsidP="00595195">
      <w:pPr>
        <w:pStyle w:val="IntoksikacijesaovimpreparatomsuupreporueenomdoziranjunemogueeSobzromda"/>
        <w:rPr>
          <w:rFonts w:ascii="Times New Roman" w:hAnsi="Times New Roman"/>
          <w:sz w:val="22"/>
          <w:szCs w:val="22"/>
          <w:lang w:val="sr-Latn-ME"/>
        </w:rPr>
      </w:pPr>
      <w:r w:rsidRPr="002B34BA">
        <w:rPr>
          <w:rFonts w:ascii="Times New Roman" w:hAnsi="Times New Roman"/>
          <w:sz w:val="22"/>
          <w:szCs w:val="22"/>
          <w:lang w:val="sr-Latn-ME"/>
        </w:rPr>
        <w:t>1 g krema sadrži 10 mg sulfadiazin srebra.</w:t>
      </w:r>
    </w:p>
    <w:p w:rsidR="00595195" w:rsidRPr="002B34BA" w:rsidRDefault="00595195" w:rsidP="00595195">
      <w:pPr>
        <w:jc w:val="both"/>
        <w:rPr>
          <w:sz w:val="22"/>
          <w:szCs w:val="22"/>
          <w:lang w:val="sr-Latn-ME"/>
        </w:rPr>
      </w:pPr>
      <w:r w:rsidRPr="002B34BA">
        <w:rPr>
          <w:sz w:val="22"/>
          <w:szCs w:val="22"/>
          <w:lang w:val="sr-Latn-ME"/>
        </w:rPr>
        <w:t xml:space="preserve">  </w:t>
      </w:r>
    </w:p>
    <w:p w:rsidR="006A376B" w:rsidRPr="002B34BA" w:rsidRDefault="006A376B" w:rsidP="006A376B">
      <w:pPr>
        <w:tabs>
          <w:tab w:val="left" w:pos="8505"/>
        </w:tabs>
        <w:jc w:val="both"/>
        <w:rPr>
          <w:sz w:val="22"/>
          <w:szCs w:val="22"/>
          <w:lang w:val="sr-Latn-ME"/>
        </w:rPr>
      </w:pPr>
      <w:r w:rsidRPr="002B34BA">
        <w:rPr>
          <w:sz w:val="22"/>
          <w:szCs w:val="22"/>
          <w:lang w:val="sr-Latn-ME"/>
        </w:rPr>
        <w:t xml:space="preserve">Pomoćne supstance sa potvrđenim dejstvom: </w:t>
      </w:r>
      <w:r w:rsidR="00F7312A" w:rsidRPr="002B34BA">
        <w:rPr>
          <w:sz w:val="22"/>
          <w:szCs w:val="22"/>
          <w:lang w:val="sr-Latn-ME"/>
        </w:rPr>
        <w:t>propilen</w:t>
      </w:r>
      <w:r w:rsidR="00FD27A0">
        <w:rPr>
          <w:sz w:val="22"/>
          <w:szCs w:val="22"/>
          <w:lang w:val="sr-Latn-ME"/>
        </w:rPr>
        <w:t xml:space="preserve"> </w:t>
      </w:r>
      <w:r w:rsidR="00F7312A" w:rsidRPr="002B34BA">
        <w:rPr>
          <w:sz w:val="22"/>
          <w:szCs w:val="22"/>
          <w:lang w:val="sr-Latn-ME"/>
        </w:rPr>
        <w:t>glikol</w:t>
      </w:r>
      <w:r w:rsidRPr="002B34BA">
        <w:rPr>
          <w:sz w:val="22"/>
          <w:szCs w:val="22"/>
          <w:lang w:val="sr-Latn-ME"/>
        </w:rPr>
        <w:t xml:space="preserve">, </w:t>
      </w:r>
      <w:r w:rsidR="00F7312A" w:rsidRPr="002B34BA">
        <w:rPr>
          <w:sz w:val="22"/>
          <w:szCs w:val="22"/>
          <w:lang w:val="sr-Latn-ME"/>
        </w:rPr>
        <w:t>metil parahidroksibenzoat.</w:t>
      </w:r>
    </w:p>
    <w:p w:rsidR="006A376B" w:rsidRPr="002B34BA" w:rsidRDefault="006A376B" w:rsidP="006A376B">
      <w:pPr>
        <w:tabs>
          <w:tab w:val="left" w:pos="8505"/>
        </w:tabs>
        <w:jc w:val="both"/>
        <w:rPr>
          <w:color w:val="FF0000"/>
          <w:sz w:val="22"/>
          <w:szCs w:val="22"/>
          <w:lang w:val="sr-Latn-ME"/>
        </w:rPr>
      </w:pPr>
    </w:p>
    <w:p w:rsidR="006A376B" w:rsidRPr="002B34BA" w:rsidRDefault="006A376B" w:rsidP="006A376B">
      <w:pPr>
        <w:rPr>
          <w:sz w:val="22"/>
          <w:szCs w:val="22"/>
          <w:lang w:val="sr-Latn-ME"/>
        </w:rPr>
      </w:pPr>
      <w:r w:rsidRPr="002B34BA">
        <w:rPr>
          <w:sz w:val="22"/>
          <w:szCs w:val="22"/>
          <w:lang w:val="sr-Latn-ME"/>
        </w:rPr>
        <w:t>Za spisak svih ekscipijenasa, pogledati dio 6.1.</w:t>
      </w:r>
    </w:p>
    <w:p w:rsidR="00C37FD7" w:rsidRDefault="00C37FD7">
      <w:pPr>
        <w:rPr>
          <w:sz w:val="22"/>
          <w:szCs w:val="22"/>
          <w:lang w:val="sr-Latn-ME"/>
        </w:rPr>
      </w:pPr>
    </w:p>
    <w:p w:rsidR="00551909" w:rsidRPr="002B34BA" w:rsidRDefault="00551909">
      <w:pPr>
        <w:rPr>
          <w:sz w:val="22"/>
          <w:szCs w:val="22"/>
          <w:lang w:val="sr-Latn-ME"/>
        </w:rPr>
      </w:pPr>
    </w:p>
    <w:p w:rsidR="00411B4B" w:rsidRPr="002B34BA" w:rsidRDefault="00411B4B" w:rsidP="00F5167F">
      <w:pPr>
        <w:tabs>
          <w:tab w:val="left" w:pos="540"/>
          <w:tab w:val="left" w:pos="569"/>
        </w:tabs>
        <w:rPr>
          <w:b/>
          <w:bCs/>
          <w:sz w:val="22"/>
          <w:szCs w:val="22"/>
          <w:lang w:val="sr-Latn-ME"/>
        </w:rPr>
      </w:pPr>
      <w:r w:rsidRPr="002B34BA">
        <w:rPr>
          <w:b/>
          <w:bCs/>
          <w:sz w:val="22"/>
          <w:szCs w:val="22"/>
          <w:lang w:val="sr-Latn-ME"/>
        </w:rPr>
        <w:t xml:space="preserve">3. </w:t>
      </w:r>
      <w:r w:rsidR="00F5167F" w:rsidRPr="002B34BA">
        <w:rPr>
          <w:b/>
          <w:bCs/>
          <w:sz w:val="22"/>
          <w:szCs w:val="22"/>
          <w:lang w:val="sr-Latn-ME"/>
        </w:rPr>
        <w:tab/>
      </w:r>
      <w:r w:rsidRPr="002B34BA">
        <w:rPr>
          <w:b/>
          <w:bCs/>
          <w:sz w:val="22"/>
          <w:szCs w:val="22"/>
          <w:lang w:val="sr-Latn-ME"/>
        </w:rPr>
        <w:t>FARMACEUTSKI OBLIK</w:t>
      </w:r>
      <w:r w:rsidR="009F2D23" w:rsidRPr="002B34BA">
        <w:rPr>
          <w:b/>
          <w:bCs/>
          <w:sz w:val="22"/>
          <w:szCs w:val="22"/>
          <w:lang w:val="sr-Latn-ME"/>
        </w:rPr>
        <w:t xml:space="preserve"> </w:t>
      </w:r>
    </w:p>
    <w:p w:rsidR="006E2B43" w:rsidRPr="002B34BA" w:rsidRDefault="006E2B43" w:rsidP="00277B0A">
      <w:pPr>
        <w:jc w:val="both"/>
        <w:rPr>
          <w:b/>
          <w:caps/>
          <w:sz w:val="22"/>
          <w:szCs w:val="22"/>
          <w:lang w:val="sr-Latn-ME"/>
        </w:rPr>
      </w:pPr>
    </w:p>
    <w:p w:rsidR="00BD1DB8" w:rsidRDefault="00595195" w:rsidP="00595195">
      <w:pPr>
        <w:rPr>
          <w:sz w:val="22"/>
          <w:szCs w:val="22"/>
          <w:lang w:val="sr-Latn-ME"/>
        </w:rPr>
      </w:pPr>
      <w:r w:rsidRPr="002B34BA">
        <w:rPr>
          <w:sz w:val="22"/>
          <w:szCs w:val="22"/>
          <w:lang w:val="sr-Latn-ME"/>
        </w:rPr>
        <w:t>Krem</w:t>
      </w:r>
      <w:r w:rsidR="00BD1DB8">
        <w:rPr>
          <w:sz w:val="22"/>
          <w:szCs w:val="22"/>
          <w:lang w:val="sr-Latn-ME"/>
        </w:rPr>
        <w:t>.</w:t>
      </w:r>
    </w:p>
    <w:p w:rsidR="00BD1DB8" w:rsidRDefault="00BD1DB8" w:rsidP="00595195">
      <w:pPr>
        <w:rPr>
          <w:sz w:val="22"/>
          <w:szCs w:val="22"/>
          <w:lang w:val="sr-Latn-ME"/>
        </w:rPr>
      </w:pPr>
    </w:p>
    <w:p w:rsidR="00595195" w:rsidRPr="002B34BA" w:rsidRDefault="00BD1DB8" w:rsidP="00595195">
      <w:pPr>
        <w:rPr>
          <w:sz w:val="22"/>
          <w:szCs w:val="22"/>
          <w:lang w:val="sr-Latn-ME"/>
        </w:rPr>
      </w:pPr>
      <w:r>
        <w:rPr>
          <w:sz w:val="22"/>
          <w:szCs w:val="22"/>
          <w:lang w:val="sr-Latn-ME"/>
        </w:rPr>
        <w:t>Krem</w:t>
      </w:r>
      <w:r w:rsidR="00595195" w:rsidRPr="002B34BA">
        <w:rPr>
          <w:sz w:val="22"/>
          <w:szCs w:val="22"/>
          <w:lang w:val="sr-Latn-ME"/>
        </w:rPr>
        <w:t xml:space="preserve"> bijele do slabo žute boje, homogene konzistencije.</w:t>
      </w:r>
    </w:p>
    <w:p w:rsidR="008B26EF" w:rsidRPr="002B34BA" w:rsidRDefault="008B26EF" w:rsidP="00595195">
      <w:pPr>
        <w:rPr>
          <w:bCs/>
          <w:sz w:val="22"/>
          <w:szCs w:val="22"/>
          <w:lang w:val="sr-Latn-ME"/>
        </w:rPr>
      </w:pPr>
    </w:p>
    <w:p w:rsidR="00595195" w:rsidRPr="002B34BA" w:rsidRDefault="00595195" w:rsidP="00277B0A">
      <w:pPr>
        <w:jc w:val="both"/>
        <w:rPr>
          <w:b/>
          <w:caps/>
          <w:sz w:val="22"/>
          <w:szCs w:val="22"/>
          <w:lang w:val="sr-Latn-ME"/>
        </w:rPr>
      </w:pPr>
    </w:p>
    <w:p w:rsidR="00411B4B" w:rsidRPr="002B34BA" w:rsidRDefault="00411B4B" w:rsidP="002B34BA">
      <w:pPr>
        <w:tabs>
          <w:tab w:val="left" w:pos="540"/>
          <w:tab w:val="left" w:pos="569"/>
        </w:tabs>
        <w:jc w:val="both"/>
        <w:rPr>
          <w:b/>
          <w:bCs/>
          <w:sz w:val="22"/>
          <w:szCs w:val="22"/>
          <w:lang w:val="sr-Latn-ME"/>
        </w:rPr>
      </w:pPr>
      <w:r w:rsidRPr="002B34BA">
        <w:rPr>
          <w:b/>
          <w:bCs/>
          <w:sz w:val="22"/>
          <w:szCs w:val="22"/>
          <w:lang w:val="sr-Latn-ME"/>
        </w:rPr>
        <w:t xml:space="preserve">4. </w:t>
      </w:r>
      <w:r w:rsidR="00480FB1" w:rsidRPr="002B34BA">
        <w:rPr>
          <w:b/>
          <w:bCs/>
          <w:sz w:val="22"/>
          <w:szCs w:val="22"/>
          <w:lang w:val="sr-Latn-ME"/>
        </w:rPr>
        <w:tab/>
      </w:r>
      <w:r w:rsidRPr="002B34BA">
        <w:rPr>
          <w:b/>
          <w:bCs/>
          <w:sz w:val="22"/>
          <w:szCs w:val="22"/>
          <w:lang w:val="sr-Latn-ME"/>
        </w:rPr>
        <w:t>KLINIČKI PODACI</w:t>
      </w:r>
    </w:p>
    <w:p w:rsidR="008B26EF" w:rsidRPr="002B34BA" w:rsidRDefault="008B26EF" w:rsidP="002B34BA">
      <w:pPr>
        <w:tabs>
          <w:tab w:val="left" w:pos="540"/>
          <w:tab w:val="left" w:pos="569"/>
        </w:tabs>
        <w:jc w:val="both"/>
        <w:rPr>
          <w:b/>
          <w:bCs/>
          <w:sz w:val="22"/>
          <w:szCs w:val="22"/>
          <w:lang w:val="sr-Latn-ME"/>
        </w:rPr>
      </w:pPr>
    </w:p>
    <w:p w:rsidR="00411B4B" w:rsidRPr="002B34BA" w:rsidRDefault="00411B4B" w:rsidP="002B34BA">
      <w:pPr>
        <w:tabs>
          <w:tab w:val="left" w:pos="540"/>
          <w:tab w:val="left" w:pos="569"/>
        </w:tabs>
        <w:jc w:val="both"/>
        <w:rPr>
          <w:b/>
          <w:bCs/>
          <w:sz w:val="22"/>
          <w:szCs w:val="22"/>
          <w:lang w:val="sr-Latn-ME"/>
        </w:rPr>
      </w:pPr>
      <w:r w:rsidRPr="002B34BA">
        <w:rPr>
          <w:b/>
          <w:bCs/>
          <w:sz w:val="22"/>
          <w:szCs w:val="22"/>
          <w:lang w:val="sr-Latn-ME"/>
        </w:rPr>
        <w:t xml:space="preserve">4.1. </w:t>
      </w:r>
      <w:r w:rsidR="00480FB1" w:rsidRPr="002B34BA">
        <w:rPr>
          <w:b/>
          <w:bCs/>
          <w:sz w:val="22"/>
          <w:szCs w:val="22"/>
          <w:lang w:val="sr-Latn-ME"/>
        </w:rPr>
        <w:tab/>
      </w:r>
      <w:r w:rsidRPr="002B34BA">
        <w:rPr>
          <w:b/>
          <w:bCs/>
          <w:sz w:val="22"/>
          <w:szCs w:val="22"/>
          <w:lang w:val="sr-Latn-ME"/>
        </w:rPr>
        <w:t>Terapijske indikacije</w:t>
      </w:r>
    </w:p>
    <w:p w:rsidR="00A9791C" w:rsidRPr="002B34BA" w:rsidRDefault="00A9791C" w:rsidP="002B34BA">
      <w:pPr>
        <w:tabs>
          <w:tab w:val="left" w:pos="540"/>
          <w:tab w:val="left" w:pos="569"/>
        </w:tabs>
        <w:jc w:val="both"/>
        <w:rPr>
          <w:b/>
          <w:bCs/>
          <w:sz w:val="22"/>
          <w:szCs w:val="22"/>
          <w:lang w:val="sr-Latn-ME"/>
        </w:rPr>
      </w:pPr>
    </w:p>
    <w:p w:rsidR="00595195" w:rsidRPr="002B34BA" w:rsidRDefault="00595195" w:rsidP="008B26EF">
      <w:pPr>
        <w:jc w:val="both"/>
        <w:rPr>
          <w:b/>
          <w:bCs/>
          <w:sz w:val="22"/>
          <w:szCs w:val="22"/>
          <w:lang w:val="sr-Latn-ME"/>
        </w:rPr>
      </w:pPr>
      <w:r w:rsidRPr="002B34BA">
        <w:rPr>
          <w:sz w:val="22"/>
          <w:szCs w:val="22"/>
          <w:lang w:val="sr-Latn-ME"/>
        </w:rPr>
        <w:t>Lijek ARGEDIN je indikovan kod odraslih i djece starije od 2 mjeseca za prevenciju i liječenje infekcija opekotina drugog stepena.</w:t>
      </w:r>
    </w:p>
    <w:p w:rsidR="00595195" w:rsidRPr="002B34BA" w:rsidRDefault="00595195" w:rsidP="008B26EF">
      <w:pPr>
        <w:autoSpaceDE w:val="0"/>
        <w:autoSpaceDN w:val="0"/>
        <w:adjustRightInd w:val="0"/>
        <w:jc w:val="both"/>
        <w:rPr>
          <w:sz w:val="22"/>
          <w:szCs w:val="22"/>
          <w:lang w:val="sr-Latn-ME"/>
        </w:rPr>
      </w:pPr>
    </w:p>
    <w:p w:rsidR="00595195" w:rsidRPr="002B34BA" w:rsidRDefault="00595195" w:rsidP="008B26EF">
      <w:pPr>
        <w:autoSpaceDE w:val="0"/>
        <w:autoSpaceDN w:val="0"/>
        <w:adjustRightInd w:val="0"/>
        <w:jc w:val="both"/>
        <w:rPr>
          <w:sz w:val="22"/>
          <w:szCs w:val="22"/>
          <w:lang w:val="sr-Latn-ME"/>
        </w:rPr>
      </w:pPr>
      <w:r w:rsidRPr="002B34BA">
        <w:rPr>
          <w:sz w:val="22"/>
          <w:szCs w:val="22"/>
          <w:lang w:val="sr-Latn-ME"/>
        </w:rPr>
        <w:t>Treba uzeti u obzir i zvanične smjernice o pravilnoj primjeni antibakterijskih ljekova.</w:t>
      </w:r>
    </w:p>
    <w:p w:rsidR="00BC3C8A" w:rsidRPr="002B34BA" w:rsidRDefault="00BC3C8A" w:rsidP="002B34BA">
      <w:pPr>
        <w:jc w:val="both"/>
        <w:rPr>
          <w:sz w:val="22"/>
          <w:szCs w:val="22"/>
          <w:lang w:val="sr-Latn-ME"/>
        </w:rPr>
      </w:pPr>
    </w:p>
    <w:p w:rsidR="00411B4B" w:rsidRPr="002B34BA" w:rsidRDefault="00411B4B" w:rsidP="002B34BA">
      <w:pPr>
        <w:tabs>
          <w:tab w:val="left" w:pos="540"/>
          <w:tab w:val="left" w:pos="569"/>
        </w:tabs>
        <w:jc w:val="both"/>
        <w:rPr>
          <w:b/>
          <w:bCs/>
          <w:sz w:val="22"/>
          <w:szCs w:val="22"/>
          <w:lang w:val="sr-Latn-ME"/>
        </w:rPr>
      </w:pPr>
      <w:r w:rsidRPr="002B34BA">
        <w:rPr>
          <w:b/>
          <w:bCs/>
          <w:sz w:val="22"/>
          <w:szCs w:val="22"/>
          <w:lang w:val="sr-Latn-ME"/>
        </w:rPr>
        <w:t xml:space="preserve">4.2. </w:t>
      </w:r>
      <w:r w:rsidR="00480FB1" w:rsidRPr="002B34BA">
        <w:rPr>
          <w:b/>
          <w:bCs/>
          <w:sz w:val="22"/>
          <w:szCs w:val="22"/>
          <w:lang w:val="sr-Latn-ME"/>
        </w:rPr>
        <w:tab/>
      </w:r>
      <w:r w:rsidRPr="002B34BA">
        <w:rPr>
          <w:b/>
          <w:bCs/>
          <w:sz w:val="22"/>
          <w:szCs w:val="22"/>
          <w:lang w:val="sr-Latn-ME"/>
        </w:rPr>
        <w:t>Doziranje i način primjene</w:t>
      </w:r>
    </w:p>
    <w:p w:rsidR="00F647DA" w:rsidRPr="002B34BA" w:rsidRDefault="00F647DA" w:rsidP="002B34BA">
      <w:pPr>
        <w:tabs>
          <w:tab w:val="left" w:pos="540"/>
          <w:tab w:val="left" w:pos="569"/>
        </w:tabs>
        <w:jc w:val="both"/>
        <w:rPr>
          <w:b/>
          <w:bCs/>
          <w:sz w:val="22"/>
          <w:szCs w:val="22"/>
          <w:lang w:val="sr-Latn-ME"/>
        </w:rPr>
      </w:pPr>
    </w:p>
    <w:p w:rsidR="00595195" w:rsidRPr="002B34BA" w:rsidRDefault="00595195" w:rsidP="008B26EF">
      <w:pPr>
        <w:tabs>
          <w:tab w:val="left" w:pos="540"/>
          <w:tab w:val="left" w:pos="569"/>
        </w:tabs>
        <w:jc w:val="both"/>
        <w:rPr>
          <w:sz w:val="22"/>
          <w:szCs w:val="22"/>
          <w:u w:val="single"/>
          <w:lang w:val="sr-Latn-ME"/>
        </w:rPr>
      </w:pPr>
      <w:r w:rsidRPr="002B34BA">
        <w:rPr>
          <w:sz w:val="22"/>
          <w:szCs w:val="22"/>
          <w:u w:val="single"/>
          <w:lang w:val="sr-Latn-ME"/>
        </w:rPr>
        <w:t xml:space="preserve">Doziranje </w:t>
      </w:r>
    </w:p>
    <w:p w:rsidR="00595195" w:rsidRPr="002B34BA" w:rsidRDefault="00595195" w:rsidP="008B26EF">
      <w:pPr>
        <w:tabs>
          <w:tab w:val="left" w:pos="540"/>
          <w:tab w:val="left" w:pos="569"/>
        </w:tabs>
        <w:jc w:val="both"/>
        <w:rPr>
          <w:sz w:val="22"/>
          <w:szCs w:val="22"/>
          <w:lang w:val="sr-Latn-ME"/>
        </w:rPr>
      </w:pPr>
    </w:p>
    <w:p w:rsidR="00595195" w:rsidRPr="002B34BA" w:rsidRDefault="00595195" w:rsidP="008B26EF">
      <w:pPr>
        <w:tabs>
          <w:tab w:val="left" w:pos="540"/>
          <w:tab w:val="left" w:pos="569"/>
        </w:tabs>
        <w:jc w:val="both"/>
        <w:rPr>
          <w:i/>
          <w:sz w:val="22"/>
          <w:szCs w:val="22"/>
          <w:lang w:val="sr-Latn-ME"/>
        </w:rPr>
      </w:pPr>
      <w:r w:rsidRPr="002B34BA">
        <w:rPr>
          <w:i/>
          <w:sz w:val="22"/>
          <w:szCs w:val="22"/>
          <w:lang w:val="sr-Latn-ME"/>
        </w:rPr>
        <w:t>Pedijatrijska populacija</w:t>
      </w:r>
    </w:p>
    <w:p w:rsidR="00595195" w:rsidRPr="002B34BA" w:rsidRDefault="00595195" w:rsidP="008B26EF">
      <w:pPr>
        <w:tabs>
          <w:tab w:val="left" w:pos="540"/>
          <w:tab w:val="left" w:pos="569"/>
        </w:tabs>
        <w:jc w:val="both"/>
        <w:rPr>
          <w:i/>
          <w:sz w:val="22"/>
          <w:szCs w:val="22"/>
          <w:lang w:val="sr-Latn-ME"/>
        </w:rPr>
      </w:pPr>
    </w:p>
    <w:p w:rsidR="00595195" w:rsidRPr="002B34BA" w:rsidRDefault="00595195" w:rsidP="008B26EF">
      <w:pPr>
        <w:tabs>
          <w:tab w:val="left" w:pos="540"/>
          <w:tab w:val="left" w:pos="569"/>
        </w:tabs>
        <w:jc w:val="both"/>
        <w:rPr>
          <w:sz w:val="22"/>
          <w:szCs w:val="22"/>
          <w:u w:val="single"/>
          <w:lang w:val="sr-Latn-ME"/>
        </w:rPr>
      </w:pPr>
      <w:r w:rsidRPr="002B34BA">
        <w:rPr>
          <w:sz w:val="22"/>
          <w:szCs w:val="22"/>
          <w:u w:val="single"/>
          <w:lang w:val="sr-Latn-ME"/>
        </w:rPr>
        <w:t>Kontraindikovana je primjena lijeka ARGEDIN kod nedonoščadi, novorođenčadi i odojčadi mlađe od 2 mjeseca (vidjeti dio 4.3).</w:t>
      </w:r>
    </w:p>
    <w:p w:rsidR="00595195" w:rsidRPr="002B34BA" w:rsidRDefault="00595195">
      <w:pPr>
        <w:tabs>
          <w:tab w:val="left" w:pos="540"/>
          <w:tab w:val="left" w:pos="569"/>
        </w:tabs>
        <w:jc w:val="both"/>
        <w:rPr>
          <w:sz w:val="22"/>
          <w:szCs w:val="22"/>
          <w:lang w:val="sr-Latn-ME"/>
        </w:rPr>
      </w:pPr>
    </w:p>
    <w:p w:rsidR="00595195" w:rsidRPr="002B34BA" w:rsidRDefault="00595195">
      <w:pPr>
        <w:tabs>
          <w:tab w:val="left" w:pos="540"/>
          <w:tab w:val="left" w:pos="569"/>
        </w:tabs>
        <w:jc w:val="both"/>
        <w:rPr>
          <w:sz w:val="22"/>
          <w:szCs w:val="22"/>
          <w:u w:val="single"/>
          <w:lang w:val="sr-Latn-ME"/>
        </w:rPr>
      </w:pPr>
      <w:r w:rsidRPr="002B34BA">
        <w:rPr>
          <w:sz w:val="22"/>
          <w:szCs w:val="22"/>
          <w:u w:val="single"/>
          <w:lang w:val="sr-Latn-ME"/>
        </w:rPr>
        <w:t xml:space="preserve">Način primjene </w:t>
      </w:r>
    </w:p>
    <w:p w:rsidR="00595195" w:rsidRPr="002B34BA" w:rsidRDefault="00595195">
      <w:pPr>
        <w:tabs>
          <w:tab w:val="left" w:pos="540"/>
          <w:tab w:val="left" w:pos="569"/>
        </w:tabs>
        <w:jc w:val="both"/>
        <w:rPr>
          <w:bCs/>
          <w:sz w:val="22"/>
          <w:szCs w:val="22"/>
          <w:lang w:val="sr-Latn-ME"/>
        </w:rPr>
      </w:pPr>
    </w:p>
    <w:p w:rsidR="00595195" w:rsidRPr="002B34BA" w:rsidRDefault="00595195">
      <w:pPr>
        <w:widowControl w:val="0"/>
        <w:autoSpaceDE w:val="0"/>
        <w:autoSpaceDN w:val="0"/>
        <w:jc w:val="both"/>
        <w:rPr>
          <w:sz w:val="22"/>
          <w:szCs w:val="22"/>
          <w:lang w:val="sr-Latn-ME"/>
        </w:rPr>
      </w:pPr>
      <w:r w:rsidRPr="002B34BA">
        <w:rPr>
          <w:bCs/>
          <w:sz w:val="22"/>
          <w:szCs w:val="22"/>
          <w:lang w:val="sr-Latn-ME"/>
        </w:rPr>
        <w:t>Lijek</w:t>
      </w:r>
      <w:r w:rsidRPr="002B34BA">
        <w:rPr>
          <w:sz w:val="22"/>
          <w:szCs w:val="22"/>
          <w:lang w:val="sr-Latn-ME"/>
        </w:rPr>
        <w:t xml:space="preserve"> je namijenjen za primjenu na kožu. </w:t>
      </w:r>
    </w:p>
    <w:p w:rsidR="00595195" w:rsidRPr="002B34BA" w:rsidRDefault="00595195">
      <w:pPr>
        <w:tabs>
          <w:tab w:val="left" w:pos="540"/>
          <w:tab w:val="left" w:pos="569"/>
        </w:tabs>
        <w:jc w:val="both"/>
        <w:rPr>
          <w:bCs/>
          <w:sz w:val="22"/>
          <w:szCs w:val="22"/>
          <w:lang w:val="sr-Latn-ME"/>
        </w:rPr>
      </w:pPr>
    </w:p>
    <w:p w:rsidR="00595195" w:rsidRPr="002B34BA" w:rsidRDefault="00595195">
      <w:pPr>
        <w:numPr>
          <w:ilvl w:val="0"/>
          <w:numId w:val="25"/>
        </w:numPr>
        <w:ind w:left="360"/>
        <w:contextualSpacing/>
        <w:jc w:val="both"/>
        <w:rPr>
          <w:sz w:val="22"/>
          <w:szCs w:val="22"/>
          <w:lang w:val="sr-Latn-ME"/>
        </w:rPr>
      </w:pPr>
      <w:r w:rsidRPr="002B34BA">
        <w:rPr>
          <w:sz w:val="22"/>
          <w:szCs w:val="22"/>
          <w:lang w:val="sr-Latn-ME"/>
        </w:rPr>
        <w:t>Krem se može prethodno nanijeti na sterilnu gazu ili direktno na ozlijeđeno područje kože, u sloju debljine oko 2 do 3 mm. Prije svakog ponovnog nanošenja krema (nanosi se jedanput na dan), potrebno je očistiti ozlijeđeno područje kože pranjem sterilnom vodom ili fiziološkim rastvorom.</w:t>
      </w:r>
    </w:p>
    <w:p w:rsidR="00595195" w:rsidRPr="002B34BA" w:rsidRDefault="00595195">
      <w:pPr>
        <w:jc w:val="both"/>
        <w:rPr>
          <w:sz w:val="22"/>
          <w:szCs w:val="22"/>
          <w:lang w:val="sr-Latn-ME"/>
        </w:rPr>
      </w:pPr>
    </w:p>
    <w:p w:rsidR="00595195" w:rsidRPr="002B34BA" w:rsidRDefault="00595195">
      <w:pPr>
        <w:numPr>
          <w:ilvl w:val="0"/>
          <w:numId w:val="25"/>
        </w:numPr>
        <w:ind w:left="360"/>
        <w:contextualSpacing/>
        <w:jc w:val="both"/>
        <w:rPr>
          <w:sz w:val="22"/>
          <w:szCs w:val="22"/>
          <w:lang w:val="sr-Latn-ME"/>
        </w:rPr>
      </w:pPr>
      <w:r w:rsidRPr="002B34BA">
        <w:rPr>
          <w:sz w:val="22"/>
          <w:szCs w:val="22"/>
          <w:lang w:val="sr-Latn-ME"/>
        </w:rPr>
        <w:t>Za opekotine koje ni</w:t>
      </w:r>
      <w:r w:rsidR="008B21E4" w:rsidRPr="002B34BA">
        <w:rPr>
          <w:sz w:val="22"/>
          <w:szCs w:val="22"/>
          <w:lang w:val="sr-Latn-ME"/>
        </w:rPr>
        <w:t>je</w:t>
      </w:r>
      <w:r w:rsidRPr="002B34BA">
        <w:rPr>
          <w:sz w:val="22"/>
          <w:szCs w:val="22"/>
          <w:lang w:val="sr-Latn-ME"/>
        </w:rPr>
        <w:t xml:space="preserve">su zacijelile nakon 15 dana liječenja lijekom ARGEDIN, neophodan je medicinski savjet u bolničkoj službi specijalizovanoj za liječenje opekotina. </w:t>
      </w:r>
    </w:p>
    <w:p w:rsidR="00972F5F" w:rsidRDefault="00972F5F" w:rsidP="002B34BA">
      <w:pPr>
        <w:jc w:val="both"/>
        <w:rPr>
          <w:rFonts w:eastAsia="TimesNewRoman"/>
          <w:sz w:val="22"/>
          <w:szCs w:val="22"/>
          <w:lang w:val="sr-Latn-ME"/>
        </w:rPr>
      </w:pPr>
    </w:p>
    <w:p w:rsidR="00551909" w:rsidRPr="002B34BA" w:rsidRDefault="00551909" w:rsidP="002B34BA">
      <w:pPr>
        <w:jc w:val="both"/>
        <w:rPr>
          <w:rFonts w:eastAsia="TimesNewRoman"/>
          <w:sz w:val="22"/>
          <w:szCs w:val="22"/>
          <w:lang w:val="sr-Latn-ME"/>
        </w:rPr>
      </w:pPr>
    </w:p>
    <w:p w:rsidR="00411B4B" w:rsidRPr="002B34BA" w:rsidRDefault="00411B4B" w:rsidP="002B34BA">
      <w:pPr>
        <w:tabs>
          <w:tab w:val="left" w:pos="540"/>
          <w:tab w:val="left" w:pos="569"/>
        </w:tabs>
        <w:jc w:val="both"/>
        <w:rPr>
          <w:b/>
          <w:bCs/>
          <w:sz w:val="22"/>
          <w:szCs w:val="22"/>
          <w:lang w:val="sr-Latn-ME"/>
        </w:rPr>
      </w:pPr>
      <w:r w:rsidRPr="002B34BA">
        <w:rPr>
          <w:b/>
          <w:bCs/>
          <w:sz w:val="22"/>
          <w:szCs w:val="22"/>
          <w:lang w:val="sr-Latn-ME"/>
        </w:rPr>
        <w:lastRenderedPageBreak/>
        <w:t xml:space="preserve">4.3. </w:t>
      </w:r>
      <w:r w:rsidR="00480FB1" w:rsidRPr="002B34BA">
        <w:rPr>
          <w:b/>
          <w:bCs/>
          <w:sz w:val="22"/>
          <w:szCs w:val="22"/>
          <w:lang w:val="sr-Latn-ME"/>
        </w:rPr>
        <w:tab/>
      </w:r>
      <w:r w:rsidRPr="002B34BA">
        <w:rPr>
          <w:b/>
          <w:bCs/>
          <w:sz w:val="22"/>
          <w:szCs w:val="22"/>
          <w:lang w:val="sr-Latn-ME"/>
        </w:rPr>
        <w:t>Kontraindikacije</w:t>
      </w:r>
    </w:p>
    <w:p w:rsidR="00595195" w:rsidRPr="002B34BA" w:rsidRDefault="00595195" w:rsidP="002B34BA">
      <w:pPr>
        <w:tabs>
          <w:tab w:val="left" w:pos="540"/>
          <w:tab w:val="left" w:pos="569"/>
        </w:tabs>
        <w:jc w:val="both"/>
        <w:rPr>
          <w:b/>
          <w:bCs/>
          <w:sz w:val="22"/>
          <w:szCs w:val="22"/>
          <w:lang w:val="sr-Latn-ME"/>
        </w:rPr>
      </w:pPr>
    </w:p>
    <w:p w:rsidR="00595195" w:rsidRPr="002B34BA" w:rsidRDefault="00595195" w:rsidP="00BD1DB8">
      <w:pPr>
        <w:tabs>
          <w:tab w:val="left" w:pos="540"/>
          <w:tab w:val="left" w:pos="569"/>
        </w:tabs>
        <w:jc w:val="both"/>
        <w:rPr>
          <w:bCs/>
          <w:sz w:val="22"/>
          <w:szCs w:val="22"/>
          <w:lang w:val="sr-Latn-ME"/>
        </w:rPr>
      </w:pPr>
      <w:r w:rsidRPr="002B34BA">
        <w:rPr>
          <w:bCs/>
          <w:sz w:val="22"/>
          <w:szCs w:val="22"/>
          <w:lang w:val="sr-Latn-ME"/>
        </w:rPr>
        <w:t xml:space="preserve">Preosjetljivost na sulfadiazin srebro, druge sulfonamide ili na neki od ekscipijenasa, navedenih u dijelu 6.1. </w:t>
      </w:r>
    </w:p>
    <w:p w:rsidR="00595195" w:rsidRPr="002B34BA" w:rsidRDefault="00595195" w:rsidP="0055458C">
      <w:pPr>
        <w:tabs>
          <w:tab w:val="left" w:pos="540"/>
          <w:tab w:val="left" w:pos="569"/>
        </w:tabs>
        <w:jc w:val="both"/>
        <w:rPr>
          <w:sz w:val="22"/>
          <w:szCs w:val="22"/>
          <w:lang w:val="sr-Latn-ME"/>
        </w:rPr>
      </w:pPr>
      <w:r w:rsidRPr="002B34BA">
        <w:rPr>
          <w:sz w:val="22"/>
          <w:szCs w:val="22"/>
          <w:lang w:val="sr-Latn-ME"/>
        </w:rPr>
        <w:t xml:space="preserve">Djeca mlađa od 2 mjeseca: nedonoščad, novorođenčad i odojčad mlađa od 2 mjeseca (vidjeti dio 4.8). </w:t>
      </w:r>
    </w:p>
    <w:p w:rsidR="00595195" w:rsidRPr="002B34BA" w:rsidRDefault="00595195">
      <w:pPr>
        <w:tabs>
          <w:tab w:val="left" w:pos="540"/>
          <w:tab w:val="left" w:pos="569"/>
        </w:tabs>
        <w:jc w:val="both"/>
        <w:rPr>
          <w:sz w:val="22"/>
          <w:szCs w:val="22"/>
          <w:shd w:val="clear" w:color="auto" w:fill="FFFFFF"/>
          <w:lang w:val="sr-Latn-ME"/>
        </w:rPr>
      </w:pPr>
      <w:r w:rsidRPr="002B34BA">
        <w:rPr>
          <w:bCs/>
          <w:sz w:val="22"/>
          <w:szCs w:val="22"/>
          <w:lang w:val="sr-Latn-ME"/>
        </w:rPr>
        <w:t xml:space="preserve">Tokom dojenja, ako dijete ima </w:t>
      </w:r>
      <w:r w:rsidRPr="002B34BA">
        <w:rPr>
          <w:sz w:val="22"/>
          <w:szCs w:val="22"/>
          <w:shd w:val="clear" w:color="auto" w:fill="FFFFFF"/>
          <w:lang w:val="sr-Latn-ME"/>
        </w:rPr>
        <w:t xml:space="preserve">nedostatak </w:t>
      </w:r>
      <w:r w:rsidRPr="002B34BA">
        <w:rPr>
          <w:sz w:val="22"/>
          <w:szCs w:val="22"/>
          <w:lang w:val="sr-Latn-ME"/>
        </w:rPr>
        <w:t>glukoza-6-fosfat-dehidrogenaze</w:t>
      </w:r>
      <w:r w:rsidRPr="002B34BA">
        <w:rPr>
          <w:sz w:val="22"/>
          <w:szCs w:val="22"/>
          <w:shd w:val="clear" w:color="auto" w:fill="FFFFFF"/>
          <w:lang w:val="sr-Latn-ME"/>
        </w:rPr>
        <w:t xml:space="preserve"> i/ili ako je dijete mlađe od jednog mjeseca (vidjeti djelove 4.6 i 4.8). </w:t>
      </w:r>
    </w:p>
    <w:p w:rsidR="00595195" w:rsidRPr="002B34BA" w:rsidRDefault="00595195" w:rsidP="008B26EF">
      <w:pPr>
        <w:tabs>
          <w:tab w:val="left" w:pos="540"/>
          <w:tab w:val="left" w:pos="569"/>
        </w:tabs>
        <w:jc w:val="both"/>
        <w:rPr>
          <w:bCs/>
          <w:sz w:val="22"/>
          <w:szCs w:val="22"/>
          <w:lang w:val="sr-Latn-ME"/>
        </w:rPr>
      </w:pPr>
    </w:p>
    <w:p w:rsidR="00411B4B" w:rsidRPr="002B34BA" w:rsidRDefault="00411B4B" w:rsidP="002B34BA">
      <w:pPr>
        <w:tabs>
          <w:tab w:val="left" w:pos="540"/>
          <w:tab w:val="left" w:pos="569"/>
        </w:tabs>
        <w:jc w:val="both"/>
        <w:rPr>
          <w:b/>
          <w:bCs/>
          <w:sz w:val="22"/>
          <w:szCs w:val="22"/>
          <w:lang w:val="sr-Latn-ME"/>
        </w:rPr>
      </w:pPr>
      <w:r w:rsidRPr="002B34BA">
        <w:rPr>
          <w:b/>
          <w:bCs/>
          <w:sz w:val="22"/>
          <w:szCs w:val="22"/>
          <w:lang w:val="sr-Latn-ME"/>
        </w:rPr>
        <w:t xml:space="preserve">4.4. </w:t>
      </w:r>
      <w:r w:rsidR="00480FB1" w:rsidRPr="002B34BA">
        <w:rPr>
          <w:b/>
          <w:bCs/>
          <w:sz w:val="22"/>
          <w:szCs w:val="22"/>
          <w:lang w:val="sr-Latn-ME"/>
        </w:rPr>
        <w:tab/>
      </w:r>
      <w:r w:rsidRPr="002B34BA">
        <w:rPr>
          <w:b/>
          <w:bCs/>
          <w:sz w:val="22"/>
          <w:szCs w:val="22"/>
          <w:lang w:val="sr-Latn-ME"/>
        </w:rPr>
        <w:t>Posebna upozorenja i mjere opreza pri upotrebi lijeka</w:t>
      </w:r>
    </w:p>
    <w:p w:rsidR="00595195" w:rsidRPr="002B34BA" w:rsidRDefault="00595195" w:rsidP="008B26EF">
      <w:pPr>
        <w:tabs>
          <w:tab w:val="left" w:pos="540"/>
          <w:tab w:val="left" w:pos="569"/>
        </w:tabs>
        <w:jc w:val="both"/>
        <w:rPr>
          <w:b/>
          <w:bCs/>
          <w:sz w:val="22"/>
          <w:szCs w:val="22"/>
          <w:u w:val="single"/>
          <w:lang w:val="sr-Latn-ME"/>
        </w:rPr>
      </w:pPr>
    </w:p>
    <w:p w:rsidR="00595195" w:rsidRPr="002B34BA" w:rsidRDefault="00595195" w:rsidP="008B26EF">
      <w:pPr>
        <w:tabs>
          <w:tab w:val="left" w:pos="540"/>
          <w:tab w:val="left" w:pos="569"/>
        </w:tabs>
        <w:jc w:val="both"/>
        <w:rPr>
          <w:b/>
          <w:bCs/>
          <w:sz w:val="22"/>
          <w:szCs w:val="22"/>
          <w:u w:val="single"/>
          <w:lang w:val="sr-Latn-ME"/>
        </w:rPr>
      </w:pPr>
      <w:r w:rsidRPr="002B34BA">
        <w:rPr>
          <w:b/>
          <w:bCs/>
          <w:sz w:val="22"/>
          <w:szCs w:val="22"/>
          <w:u w:val="single"/>
          <w:lang w:val="sr-Latn-ME"/>
        </w:rPr>
        <w:t>Upozorenj</w:t>
      </w:r>
      <w:r w:rsidR="008B21E4" w:rsidRPr="002B34BA">
        <w:rPr>
          <w:b/>
          <w:bCs/>
          <w:sz w:val="22"/>
          <w:szCs w:val="22"/>
          <w:u w:val="single"/>
          <w:lang w:val="sr-Latn-ME"/>
        </w:rPr>
        <w:t>a</w:t>
      </w:r>
    </w:p>
    <w:p w:rsidR="00595195" w:rsidRPr="002B34BA" w:rsidRDefault="00595195" w:rsidP="002B34BA">
      <w:pPr>
        <w:rPr>
          <w:sz w:val="22"/>
          <w:szCs w:val="22"/>
          <w:lang w:val="sr-Latn-ME"/>
        </w:rPr>
      </w:pPr>
    </w:p>
    <w:p w:rsidR="00595195" w:rsidRPr="002B34BA" w:rsidRDefault="00595195" w:rsidP="002B34BA">
      <w:pPr>
        <w:pStyle w:val="ListParagraph"/>
        <w:numPr>
          <w:ilvl w:val="0"/>
          <w:numId w:val="38"/>
        </w:numPr>
        <w:jc w:val="both"/>
        <w:rPr>
          <w:sz w:val="22"/>
          <w:lang w:val="sr-Latn-ME"/>
        </w:rPr>
      </w:pPr>
      <w:r w:rsidRPr="002B34BA">
        <w:rPr>
          <w:rFonts w:ascii="Times New Roman" w:hAnsi="Times New Roman"/>
          <w:sz w:val="22"/>
          <w:lang w:val="sr-Latn-ME"/>
        </w:rPr>
        <w:t xml:space="preserve">Zbog rizika od diskoloracije kože, pacijente treba savjetovati da izbjegavaju izlaganje sunčevim zracima (vidjeti dio 4.8). </w:t>
      </w:r>
    </w:p>
    <w:p w:rsidR="00595195" w:rsidRPr="002B34BA" w:rsidRDefault="00595195" w:rsidP="00BD1DB8">
      <w:pPr>
        <w:jc w:val="both"/>
        <w:rPr>
          <w:sz w:val="22"/>
          <w:lang w:val="sr-Latn-ME"/>
        </w:rPr>
      </w:pPr>
    </w:p>
    <w:p w:rsidR="00595195" w:rsidRPr="002B34BA" w:rsidRDefault="00595195" w:rsidP="002B34BA">
      <w:pPr>
        <w:pStyle w:val="ListParagraph"/>
        <w:numPr>
          <w:ilvl w:val="0"/>
          <w:numId w:val="38"/>
        </w:numPr>
        <w:jc w:val="both"/>
        <w:rPr>
          <w:sz w:val="22"/>
          <w:lang w:val="sr-Latn-ME"/>
        </w:rPr>
      </w:pPr>
      <w:r w:rsidRPr="002B34BA">
        <w:rPr>
          <w:rFonts w:ascii="Times New Roman" w:hAnsi="Times New Roman"/>
          <w:sz w:val="22"/>
          <w:lang w:val="sr-Latn-ME"/>
        </w:rPr>
        <w:t xml:space="preserve">Tokom primjene sulfadiazina, prijavljene su životno ugrožavajuće reakcije na koži, kao što su </w:t>
      </w:r>
      <w:r w:rsidRPr="002B34BA">
        <w:rPr>
          <w:rFonts w:ascii="Times New Roman" w:hAnsi="Times New Roman"/>
          <w:i/>
          <w:sz w:val="22"/>
          <w:lang w:val="sr-Latn-ME"/>
        </w:rPr>
        <w:t>Stevens-Johnson</w:t>
      </w:r>
      <w:r w:rsidRPr="002B34BA">
        <w:rPr>
          <w:rFonts w:ascii="Times New Roman" w:hAnsi="Times New Roman"/>
          <w:sz w:val="22"/>
          <w:lang w:val="sr-Latn-ME"/>
        </w:rPr>
        <w:t>-ov sindrom (SJS) i toksična epidermalna nekroliza (TEN).</w:t>
      </w:r>
    </w:p>
    <w:p w:rsidR="00595195" w:rsidRPr="002B34BA" w:rsidRDefault="00595195" w:rsidP="00BD1DB8">
      <w:pPr>
        <w:jc w:val="both"/>
        <w:rPr>
          <w:sz w:val="22"/>
          <w:lang w:val="sr-Latn-ME"/>
        </w:rPr>
      </w:pPr>
    </w:p>
    <w:p w:rsidR="00595195" w:rsidRPr="002B34BA" w:rsidRDefault="00595195" w:rsidP="002B34BA">
      <w:pPr>
        <w:pStyle w:val="ListParagraph"/>
        <w:numPr>
          <w:ilvl w:val="0"/>
          <w:numId w:val="38"/>
        </w:numPr>
        <w:jc w:val="both"/>
        <w:rPr>
          <w:sz w:val="22"/>
          <w:lang w:val="sr-Latn-ME"/>
        </w:rPr>
      </w:pPr>
      <w:r w:rsidRPr="002B34BA">
        <w:rPr>
          <w:rFonts w:ascii="Times New Roman" w:hAnsi="Times New Roman"/>
          <w:sz w:val="22"/>
          <w:lang w:val="sr-Latn-ME"/>
        </w:rPr>
        <w:t xml:space="preserve">Pacijente treba upozoriti na znakove i simptome </w:t>
      </w:r>
      <w:r w:rsidRPr="002B34BA">
        <w:rPr>
          <w:rFonts w:ascii="Times New Roman" w:hAnsi="Times New Roman"/>
          <w:i/>
          <w:sz w:val="22"/>
          <w:lang w:val="sr-Latn-ME"/>
        </w:rPr>
        <w:t>Stevens–Johnson</w:t>
      </w:r>
      <w:r w:rsidRPr="002B34BA">
        <w:rPr>
          <w:rFonts w:ascii="Times New Roman" w:hAnsi="Times New Roman"/>
          <w:sz w:val="22"/>
          <w:lang w:val="sr-Latn-ME"/>
        </w:rPr>
        <w:t xml:space="preserve">-ovog sindroma i toksične epidermalne nekrolize i treba ih pažljivo pratiti zbog pojave reakcija na koži. </w:t>
      </w:r>
    </w:p>
    <w:p w:rsidR="00595195" w:rsidRPr="002B34BA" w:rsidRDefault="00595195" w:rsidP="00BD1DB8">
      <w:pPr>
        <w:jc w:val="both"/>
        <w:rPr>
          <w:sz w:val="22"/>
          <w:lang w:val="sr-Latn-ME"/>
        </w:rPr>
      </w:pPr>
    </w:p>
    <w:p w:rsidR="00595195" w:rsidRPr="002B34BA" w:rsidRDefault="00595195" w:rsidP="002B34BA">
      <w:pPr>
        <w:pStyle w:val="ListParagraph"/>
        <w:numPr>
          <w:ilvl w:val="0"/>
          <w:numId w:val="38"/>
        </w:numPr>
        <w:jc w:val="both"/>
        <w:rPr>
          <w:sz w:val="22"/>
          <w:lang w:val="sr-Latn-ME"/>
        </w:rPr>
      </w:pPr>
      <w:r w:rsidRPr="002B34BA">
        <w:rPr>
          <w:rFonts w:ascii="Times New Roman" w:hAnsi="Times New Roman"/>
          <w:sz w:val="22"/>
          <w:lang w:val="sr-Latn-ME"/>
        </w:rPr>
        <w:t xml:space="preserve">Najveći rizik za pojavu </w:t>
      </w:r>
      <w:r w:rsidRPr="002B34BA">
        <w:rPr>
          <w:rFonts w:ascii="Times New Roman" w:hAnsi="Times New Roman"/>
          <w:i/>
          <w:sz w:val="22"/>
          <w:lang w:val="sr-Latn-ME"/>
        </w:rPr>
        <w:t>Stevens–Johnson</w:t>
      </w:r>
      <w:r w:rsidRPr="002B34BA">
        <w:rPr>
          <w:rFonts w:ascii="Times New Roman" w:hAnsi="Times New Roman"/>
          <w:sz w:val="22"/>
          <w:lang w:val="sr-Latn-ME"/>
        </w:rPr>
        <w:t xml:space="preserve">-ovog sindroma ili toksične epidermalne nekrolize je tokom prvih nedjelja terapije. Ukoliko su prisutni znaci ili simptomi </w:t>
      </w:r>
      <w:r w:rsidRPr="002B34BA">
        <w:rPr>
          <w:rFonts w:ascii="Times New Roman" w:hAnsi="Times New Roman"/>
          <w:i/>
          <w:sz w:val="22"/>
          <w:lang w:val="sr-Latn-ME"/>
        </w:rPr>
        <w:t>Stevens–Johnson</w:t>
      </w:r>
      <w:r w:rsidRPr="002B34BA">
        <w:rPr>
          <w:rFonts w:ascii="Times New Roman" w:hAnsi="Times New Roman"/>
          <w:sz w:val="22"/>
          <w:lang w:val="sr-Latn-ME"/>
        </w:rPr>
        <w:t>-ovog sindroma ili toksične epidermalne nekrolize (npr. progresivni kožni osip, često sa pli</w:t>
      </w:r>
      <w:r w:rsidR="008B21E4" w:rsidRPr="002B34BA">
        <w:rPr>
          <w:rFonts w:ascii="Times New Roman" w:hAnsi="Times New Roman"/>
          <w:sz w:val="22"/>
          <w:lang w:val="sr-Latn-ME"/>
        </w:rPr>
        <w:t>k</w:t>
      </w:r>
      <w:r w:rsidRPr="002B34BA">
        <w:rPr>
          <w:rFonts w:ascii="Times New Roman" w:hAnsi="Times New Roman"/>
          <w:sz w:val="22"/>
          <w:lang w:val="sr-Latn-ME"/>
        </w:rPr>
        <w:t>ovima ili lezijama na sluzokoži), terapija lijekom ARGEDIN se mora prekinuti.</w:t>
      </w:r>
    </w:p>
    <w:p w:rsidR="00595195" w:rsidRPr="002B34BA" w:rsidRDefault="00595195" w:rsidP="00BD1DB8">
      <w:pPr>
        <w:jc w:val="both"/>
        <w:rPr>
          <w:sz w:val="22"/>
          <w:lang w:val="sr-Latn-ME"/>
        </w:rPr>
      </w:pPr>
    </w:p>
    <w:p w:rsidR="00595195" w:rsidRPr="002B34BA" w:rsidRDefault="00595195" w:rsidP="002B34BA">
      <w:pPr>
        <w:pStyle w:val="ListParagraph"/>
        <w:numPr>
          <w:ilvl w:val="0"/>
          <w:numId w:val="38"/>
        </w:numPr>
        <w:jc w:val="both"/>
        <w:rPr>
          <w:sz w:val="22"/>
          <w:lang w:val="sr-Latn-ME"/>
        </w:rPr>
      </w:pPr>
      <w:r w:rsidRPr="002B34BA">
        <w:rPr>
          <w:rFonts w:ascii="Times New Roman" w:hAnsi="Times New Roman"/>
          <w:sz w:val="22"/>
          <w:lang w:val="sr-Latn-ME"/>
        </w:rPr>
        <w:t xml:space="preserve">Najbolji rezultati u kontroli </w:t>
      </w:r>
      <w:r w:rsidRPr="002B34BA">
        <w:rPr>
          <w:rFonts w:ascii="Times New Roman" w:hAnsi="Times New Roman"/>
          <w:i/>
          <w:sz w:val="22"/>
          <w:lang w:val="sr-Latn-ME"/>
        </w:rPr>
        <w:t>Stevens–Johnson</w:t>
      </w:r>
      <w:r w:rsidRPr="002B34BA">
        <w:rPr>
          <w:rFonts w:ascii="Times New Roman" w:hAnsi="Times New Roman"/>
          <w:sz w:val="22"/>
          <w:lang w:val="sr-Latn-ME"/>
        </w:rPr>
        <w:t>-ovog sindroma ili toksične epidermalne nekrolize postižu se pravovremenom dijagnozom i trenutnim prekidom terapije svakim sumnjivim lijekom. Rani prekid terapije je povezan sa boljom prognozom.</w:t>
      </w:r>
    </w:p>
    <w:p w:rsidR="00595195" w:rsidRPr="002B34BA" w:rsidRDefault="00595195" w:rsidP="00BD1DB8">
      <w:pPr>
        <w:jc w:val="both"/>
        <w:rPr>
          <w:sz w:val="22"/>
          <w:lang w:val="sr-Latn-ME"/>
        </w:rPr>
      </w:pPr>
    </w:p>
    <w:p w:rsidR="00595195" w:rsidRPr="002B34BA" w:rsidRDefault="00595195" w:rsidP="002B34BA">
      <w:pPr>
        <w:pStyle w:val="ListParagraph"/>
        <w:numPr>
          <w:ilvl w:val="0"/>
          <w:numId w:val="38"/>
        </w:numPr>
        <w:jc w:val="both"/>
        <w:rPr>
          <w:sz w:val="22"/>
          <w:lang w:val="sr-Latn-ME"/>
        </w:rPr>
      </w:pPr>
      <w:r w:rsidRPr="002B34BA">
        <w:rPr>
          <w:rFonts w:ascii="Times New Roman" w:hAnsi="Times New Roman"/>
          <w:sz w:val="22"/>
          <w:lang w:val="sr-Latn-ME"/>
        </w:rPr>
        <w:t xml:space="preserve">Pacijentima koji tokom terapije lijekom ARGEDIN razviju </w:t>
      </w:r>
      <w:r w:rsidRPr="002B34BA">
        <w:rPr>
          <w:rFonts w:ascii="Times New Roman" w:hAnsi="Times New Roman"/>
          <w:i/>
          <w:sz w:val="22"/>
          <w:lang w:val="sr-Latn-ME"/>
        </w:rPr>
        <w:t>Stevens–Johnson-</w:t>
      </w:r>
      <w:r w:rsidRPr="002B34BA">
        <w:rPr>
          <w:rFonts w:ascii="Times New Roman" w:hAnsi="Times New Roman"/>
          <w:sz w:val="22"/>
          <w:lang w:val="sr-Latn-ME"/>
        </w:rPr>
        <w:t>ov sindrom ili toksičnu epidermalnu nekrolizu, lijek ARGEDIN se ne smije ponovo primijeniti ni u kojem trenutku.</w:t>
      </w:r>
    </w:p>
    <w:p w:rsidR="00595195" w:rsidRPr="002B34BA" w:rsidRDefault="00595195" w:rsidP="00BD1DB8">
      <w:pPr>
        <w:jc w:val="both"/>
        <w:rPr>
          <w:sz w:val="22"/>
          <w:lang w:val="sr-Latn-ME"/>
        </w:rPr>
      </w:pPr>
    </w:p>
    <w:p w:rsidR="00595195" w:rsidRPr="002B34BA" w:rsidRDefault="00595195" w:rsidP="002B34BA">
      <w:pPr>
        <w:pStyle w:val="ListParagraph"/>
        <w:numPr>
          <w:ilvl w:val="0"/>
          <w:numId w:val="38"/>
        </w:numPr>
        <w:jc w:val="both"/>
        <w:rPr>
          <w:sz w:val="22"/>
          <w:lang w:val="sr-Latn-ME"/>
        </w:rPr>
      </w:pPr>
      <w:r w:rsidRPr="002B34BA">
        <w:rPr>
          <w:rFonts w:ascii="Times New Roman" w:hAnsi="Times New Roman"/>
          <w:sz w:val="22"/>
          <w:lang w:val="sr-Latn-ME"/>
        </w:rPr>
        <w:t xml:space="preserve">Zbog varijabilne transkutane resorpcije, ne može se isključiti rizik od sistemskih neželjenih efekata. Ovi efekti se više ispoljavaju ako se lijek ARGEDIN primjenjuje na velike površine kože i/ili nakon dugotrajne primjene, ispod okluzivnih zavoja, na oštećenoj koži (posebno sa opekotinama), na sluzokoži ili koži novorođenčeta (zbog veće površine kože u odnosu na tjelesnu masu i uticaja okluzije slojeva u području opekotine). Takođe, lijek ARGEDIN treba koristiti s oprezom kod djece mlađe od 2 godine, zbog povećane sistemske resorpcije lijeka. </w:t>
      </w:r>
    </w:p>
    <w:p w:rsidR="00595195" w:rsidRPr="002B34BA" w:rsidRDefault="00595195" w:rsidP="00BD1DB8">
      <w:pPr>
        <w:jc w:val="both"/>
        <w:rPr>
          <w:sz w:val="22"/>
          <w:lang w:val="sr-Latn-ME"/>
        </w:rPr>
      </w:pPr>
    </w:p>
    <w:p w:rsidR="00595195" w:rsidRPr="002B34BA" w:rsidRDefault="00595195" w:rsidP="002B34BA">
      <w:pPr>
        <w:pStyle w:val="ListParagraph"/>
        <w:numPr>
          <w:ilvl w:val="0"/>
          <w:numId w:val="38"/>
        </w:numPr>
        <w:jc w:val="both"/>
        <w:rPr>
          <w:sz w:val="22"/>
          <w:lang w:val="sr-Latn-ME"/>
        </w:rPr>
      </w:pPr>
      <w:r w:rsidRPr="002B34BA">
        <w:rPr>
          <w:rFonts w:ascii="Times New Roman" w:hAnsi="Times New Roman"/>
          <w:sz w:val="22"/>
          <w:lang w:val="sr-Latn-ME"/>
        </w:rPr>
        <w:t xml:space="preserve">Sistemska resorpcija sulfadiazina dovodi do rizika od opštih komplikacija sulfonamida, kao što su hematološke, bubrežne, imunološke i kožne; pacijenti sa bubrežnom ili insuficijencijom jetre imaju povećan rizik za pojavu ovih komplikacija (vidjeti dio 4.8). </w:t>
      </w:r>
    </w:p>
    <w:p w:rsidR="00595195" w:rsidRPr="002B34BA" w:rsidRDefault="00595195" w:rsidP="00BD1DB8">
      <w:pPr>
        <w:jc w:val="both"/>
        <w:rPr>
          <w:sz w:val="22"/>
          <w:lang w:val="sr-Latn-ME"/>
        </w:rPr>
      </w:pPr>
    </w:p>
    <w:p w:rsidR="00595195" w:rsidRPr="002B34BA" w:rsidRDefault="00595195" w:rsidP="002B34BA">
      <w:pPr>
        <w:pStyle w:val="ListParagraph"/>
        <w:numPr>
          <w:ilvl w:val="0"/>
          <w:numId w:val="38"/>
        </w:numPr>
        <w:jc w:val="both"/>
        <w:rPr>
          <w:sz w:val="22"/>
          <w:lang w:val="sr-Latn-ME"/>
        </w:rPr>
      </w:pPr>
      <w:r w:rsidRPr="002B34BA">
        <w:rPr>
          <w:rFonts w:ascii="Times New Roman" w:hAnsi="Times New Roman"/>
          <w:sz w:val="22"/>
          <w:lang w:val="sr-Latn-ME"/>
        </w:rPr>
        <w:t xml:space="preserve">Zabilježena je pojava akutne hemolize prilikom topikalne primjene sulfadiazina kod pacijenata sa nedostatkom glukoza-6-fosfat-dehidrogenaze. Stoga se sulfadiazin ne smije propisivati tim pacijentima, već se isključivo preporučuje uvođenje alternativne terapije, ukoliko postoji. U nedostatku alternativne terapije, prilikom donošenja odluke o nastavku liječenja, mora se uzeti u obzir svaki pacijent, rizik od hemolize, kao i potencijalna korist liječenja. Ako je potrebno propisivanje ovog lijeka, eventualna pojava hemolize se mora pratiti. </w:t>
      </w:r>
    </w:p>
    <w:p w:rsidR="00595195" w:rsidRPr="002B34BA" w:rsidRDefault="00595195" w:rsidP="00BD1DB8">
      <w:pPr>
        <w:jc w:val="both"/>
        <w:rPr>
          <w:sz w:val="22"/>
          <w:lang w:val="sr-Latn-ME"/>
        </w:rPr>
      </w:pPr>
    </w:p>
    <w:p w:rsidR="00595195" w:rsidRPr="002B34BA" w:rsidRDefault="00595195" w:rsidP="002B34BA">
      <w:pPr>
        <w:pStyle w:val="ListParagraph"/>
        <w:numPr>
          <w:ilvl w:val="0"/>
          <w:numId w:val="38"/>
        </w:numPr>
        <w:jc w:val="both"/>
        <w:rPr>
          <w:sz w:val="22"/>
          <w:lang w:val="sr-Latn-ME"/>
        </w:rPr>
      </w:pPr>
      <w:r w:rsidRPr="002B34BA">
        <w:rPr>
          <w:rFonts w:ascii="Times New Roman" w:hAnsi="Times New Roman"/>
          <w:sz w:val="22"/>
          <w:lang w:val="sr-Latn-ME"/>
        </w:rPr>
        <w:t>Moguća je pojava kontaminacije pakovanja krema, odmah nakon otvaranja.</w:t>
      </w:r>
    </w:p>
    <w:p w:rsidR="00595195" w:rsidRDefault="00595195" w:rsidP="002B34BA">
      <w:pPr>
        <w:tabs>
          <w:tab w:val="left" w:pos="540"/>
          <w:tab w:val="left" w:pos="569"/>
        </w:tabs>
        <w:jc w:val="both"/>
        <w:rPr>
          <w:bCs/>
          <w:sz w:val="22"/>
          <w:szCs w:val="22"/>
          <w:lang w:val="sr-Latn-ME"/>
        </w:rPr>
      </w:pPr>
    </w:p>
    <w:p w:rsidR="00551909" w:rsidRDefault="00551909" w:rsidP="002B34BA">
      <w:pPr>
        <w:tabs>
          <w:tab w:val="left" w:pos="540"/>
          <w:tab w:val="left" w:pos="569"/>
        </w:tabs>
        <w:jc w:val="both"/>
        <w:rPr>
          <w:bCs/>
          <w:sz w:val="22"/>
          <w:szCs w:val="22"/>
          <w:lang w:val="sr-Latn-ME"/>
        </w:rPr>
      </w:pPr>
    </w:p>
    <w:p w:rsidR="00BD1DB8" w:rsidRPr="002B34BA" w:rsidRDefault="00BD1DB8" w:rsidP="002B34BA">
      <w:pPr>
        <w:tabs>
          <w:tab w:val="left" w:pos="540"/>
          <w:tab w:val="left" w:pos="569"/>
        </w:tabs>
        <w:jc w:val="both"/>
        <w:rPr>
          <w:bCs/>
          <w:sz w:val="22"/>
          <w:szCs w:val="22"/>
          <w:lang w:val="sr-Latn-ME"/>
        </w:rPr>
      </w:pPr>
    </w:p>
    <w:p w:rsidR="00595195" w:rsidRPr="002B34BA" w:rsidRDefault="00595195" w:rsidP="002B34BA">
      <w:pPr>
        <w:tabs>
          <w:tab w:val="left" w:pos="540"/>
          <w:tab w:val="left" w:pos="569"/>
        </w:tabs>
        <w:jc w:val="both"/>
        <w:rPr>
          <w:b/>
          <w:bCs/>
          <w:sz w:val="22"/>
          <w:szCs w:val="22"/>
          <w:u w:val="single"/>
          <w:lang w:val="sr-Latn-ME"/>
        </w:rPr>
      </w:pPr>
      <w:r w:rsidRPr="002B34BA">
        <w:rPr>
          <w:b/>
          <w:bCs/>
          <w:sz w:val="22"/>
          <w:szCs w:val="22"/>
          <w:u w:val="single"/>
          <w:lang w:val="sr-Latn-ME"/>
        </w:rPr>
        <w:lastRenderedPageBreak/>
        <w:t>Mjere opreza</w:t>
      </w:r>
    </w:p>
    <w:p w:rsidR="00595195" w:rsidRPr="002B34BA" w:rsidRDefault="00595195" w:rsidP="002B34BA">
      <w:pPr>
        <w:tabs>
          <w:tab w:val="left" w:pos="540"/>
          <w:tab w:val="left" w:pos="569"/>
        </w:tabs>
        <w:jc w:val="both"/>
        <w:rPr>
          <w:b/>
          <w:bCs/>
          <w:sz w:val="22"/>
          <w:szCs w:val="22"/>
          <w:u w:val="single"/>
          <w:lang w:val="sr-Latn-ME"/>
        </w:rPr>
      </w:pPr>
    </w:p>
    <w:p w:rsidR="00595195" w:rsidRPr="002B34BA" w:rsidRDefault="00595195" w:rsidP="002B34BA">
      <w:pPr>
        <w:pStyle w:val="ListParagraph"/>
        <w:numPr>
          <w:ilvl w:val="0"/>
          <w:numId w:val="31"/>
        </w:numPr>
        <w:jc w:val="both"/>
        <w:rPr>
          <w:sz w:val="22"/>
          <w:szCs w:val="22"/>
          <w:lang w:val="sr-Latn-ME"/>
        </w:rPr>
      </w:pPr>
      <w:r w:rsidRPr="002B34BA">
        <w:rPr>
          <w:rFonts w:ascii="Times New Roman" w:hAnsi="Times New Roman"/>
          <w:sz w:val="22"/>
          <w:szCs w:val="22"/>
          <w:lang w:val="sr-Latn-ME"/>
        </w:rPr>
        <w:t>Potreban je oprez kod pacijenata s teškom insuficijencijom bubrega.</w:t>
      </w:r>
    </w:p>
    <w:p w:rsidR="00595195" w:rsidRPr="002B34BA" w:rsidRDefault="00595195" w:rsidP="002B34BA">
      <w:pPr>
        <w:pStyle w:val="ListParagraph"/>
        <w:numPr>
          <w:ilvl w:val="0"/>
          <w:numId w:val="31"/>
        </w:numPr>
        <w:jc w:val="both"/>
        <w:rPr>
          <w:sz w:val="22"/>
          <w:szCs w:val="22"/>
          <w:lang w:val="sr-Latn-ME"/>
        </w:rPr>
      </w:pPr>
      <w:r w:rsidRPr="002B34BA">
        <w:rPr>
          <w:rFonts w:ascii="Times New Roman" w:hAnsi="Times New Roman"/>
          <w:sz w:val="22"/>
          <w:szCs w:val="22"/>
          <w:lang w:val="sr-Latn-ME"/>
        </w:rPr>
        <w:t xml:space="preserve">Potreban je oprez kod pacijenata koji su spori acetilatori i kod pacijenata s teškom insuficijencijom jetre. </w:t>
      </w:r>
    </w:p>
    <w:p w:rsidR="006E44B3" w:rsidRPr="002B34BA" w:rsidRDefault="006E44B3" w:rsidP="002B34BA">
      <w:pPr>
        <w:pStyle w:val="ListParagraph"/>
        <w:numPr>
          <w:ilvl w:val="0"/>
          <w:numId w:val="31"/>
        </w:numPr>
        <w:jc w:val="both"/>
        <w:rPr>
          <w:sz w:val="22"/>
          <w:szCs w:val="22"/>
          <w:lang w:val="sr-Latn-ME"/>
        </w:rPr>
      </w:pPr>
      <w:r w:rsidRPr="002B34BA">
        <w:rPr>
          <w:sz w:val="22"/>
          <w:szCs w:val="22"/>
          <w:lang w:val="sr-Latn-ME"/>
        </w:rPr>
        <w:t>Ovaj lijek sadrži propilen</w:t>
      </w:r>
      <w:r w:rsidR="0055458C">
        <w:rPr>
          <w:rFonts w:ascii="Times New Roman" w:hAnsi="Times New Roman"/>
          <w:sz w:val="22"/>
          <w:szCs w:val="22"/>
          <w:lang w:val="sr-Latn-ME"/>
        </w:rPr>
        <w:t xml:space="preserve"> </w:t>
      </w:r>
      <w:r w:rsidRPr="002B34BA">
        <w:rPr>
          <w:sz w:val="22"/>
          <w:szCs w:val="22"/>
          <w:lang w:val="sr-Latn-ME"/>
        </w:rPr>
        <w:t>glikol koji može nadražiti kožu, i metilparahidroksibenzoat koji može uzrokovati alergijske reakcije (moguće i reakcije odložene preosjetljivosti).</w:t>
      </w:r>
    </w:p>
    <w:p w:rsidR="006E44B3" w:rsidRPr="002B34BA" w:rsidRDefault="006E44B3" w:rsidP="002B34BA">
      <w:pPr>
        <w:pStyle w:val="ListParagraph"/>
        <w:numPr>
          <w:ilvl w:val="0"/>
          <w:numId w:val="31"/>
        </w:numPr>
        <w:jc w:val="both"/>
        <w:rPr>
          <w:bCs/>
          <w:sz w:val="22"/>
          <w:szCs w:val="22"/>
          <w:lang w:val="sr-Latn-ME"/>
        </w:rPr>
      </w:pPr>
      <w:r w:rsidRPr="002B34BA">
        <w:rPr>
          <w:rFonts w:ascii="Times New Roman" w:hAnsi="Times New Roman"/>
          <w:sz w:val="22"/>
          <w:szCs w:val="22"/>
          <w:lang w:val="sr-Latn-ME"/>
        </w:rPr>
        <w:t xml:space="preserve">Krem ne ostavlja mrlje na odjeći i posteljini i lako se odstranjuje prilikom svakodnevnog čišćenja rane. </w:t>
      </w:r>
    </w:p>
    <w:p w:rsidR="00101EC1" w:rsidRPr="002B34BA" w:rsidRDefault="00101EC1" w:rsidP="002B34BA">
      <w:pPr>
        <w:jc w:val="both"/>
        <w:rPr>
          <w:rFonts w:eastAsia="TimesNewRoman"/>
          <w:sz w:val="22"/>
          <w:szCs w:val="22"/>
          <w:lang w:val="sr-Latn-ME"/>
        </w:rPr>
      </w:pPr>
    </w:p>
    <w:p w:rsidR="00411B4B" w:rsidRPr="002B34BA" w:rsidRDefault="00411B4B" w:rsidP="002B34BA">
      <w:pPr>
        <w:tabs>
          <w:tab w:val="left" w:pos="540"/>
          <w:tab w:val="left" w:pos="569"/>
        </w:tabs>
        <w:jc w:val="both"/>
        <w:rPr>
          <w:b/>
          <w:bCs/>
          <w:sz w:val="22"/>
          <w:szCs w:val="22"/>
          <w:lang w:val="sr-Latn-ME"/>
        </w:rPr>
      </w:pPr>
      <w:r w:rsidRPr="002B34BA">
        <w:rPr>
          <w:b/>
          <w:bCs/>
          <w:sz w:val="22"/>
          <w:szCs w:val="22"/>
          <w:lang w:val="sr-Latn-ME"/>
        </w:rPr>
        <w:t>4.5.</w:t>
      </w:r>
      <w:r w:rsidR="000D60CC" w:rsidRPr="002B34BA">
        <w:rPr>
          <w:b/>
          <w:bCs/>
          <w:sz w:val="22"/>
          <w:szCs w:val="22"/>
          <w:lang w:val="sr-Latn-ME"/>
        </w:rPr>
        <w:tab/>
      </w:r>
      <w:r w:rsidRPr="002B34BA">
        <w:rPr>
          <w:b/>
          <w:bCs/>
          <w:sz w:val="22"/>
          <w:szCs w:val="22"/>
          <w:lang w:val="sr-Latn-ME"/>
        </w:rPr>
        <w:t>Interakcije sa drugim ljekovima i druge vrste interakcija</w:t>
      </w:r>
    </w:p>
    <w:p w:rsidR="008D3BFD" w:rsidRPr="002B34BA" w:rsidRDefault="008D3BFD" w:rsidP="002B34BA">
      <w:pPr>
        <w:tabs>
          <w:tab w:val="left" w:pos="540"/>
          <w:tab w:val="left" w:pos="569"/>
        </w:tabs>
        <w:jc w:val="both"/>
        <w:rPr>
          <w:bCs/>
          <w:sz w:val="22"/>
          <w:szCs w:val="22"/>
          <w:lang w:val="sr-Latn-ME"/>
        </w:rPr>
      </w:pPr>
    </w:p>
    <w:p w:rsidR="00AE71EB" w:rsidRDefault="00AE71EB" w:rsidP="008B26EF">
      <w:pPr>
        <w:tabs>
          <w:tab w:val="left" w:pos="540"/>
          <w:tab w:val="left" w:pos="569"/>
        </w:tabs>
        <w:jc w:val="both"/>
        <w:rPr>
          <w:b/>
          <w:bCs/>
          <w:sz w:val="22"/>
          <w:szCs w:val="22"/>
          <w:lang w:val="sr-Latn-ME"/>
        </w:rPr>
      </w:pPr>
      <w:r w:rsidRPr="002B34BA">
        <w:rPr>
          <w:b/>
          <w:bCs/>
          <w:iCs/>
          <w:sz w:val="22"/>
          <w:szCs w:val="22"/>
          <w:lang w:val="sr-Latn-ME"/>
        </w:rPr>
        <w:t xml:space="preserve">Istovremena primjena </w:t>
      </w:r>
      <w:r w:rsidRPr="002B34BA">
        <w:rPr>
          <w:b/>
          <w:bCs/>
          <w:sz w:val="22"/>
          <w:szCs w:val="22"/>
          <w:lang w:val="sr-Latn-ME"/>
        </w:rPr>
        <w:t>koja zahtijeva oprez</w:t>
      </w:r>
    </w:p>
    <w:p w:rsidR="00CC755C" w:rsidRPr="002B34BA" w:rsidRDefault="00CC755C" w:rsidP="008B26EF">
      <w:pPr>
        <w:tabs>
          <w:tab w:val="left" w:pos="540"/>
          <w:tab w:val="left" w:pos="569"/>
        </w:tabs>
        <w:jc w:val="both"/>
        <w:rPr>
          <w:b/>
          <w:bCs/>
          <w:sz w:val="22"/>
          <w:szCs w:val="22"/>
          <w:lang w:val="sr-Latn-ME"/>
        </w:rPr>
      </w:pPr>
    </w:p>
    <w:p w:rsidR="00AE71EB" w:rsidRPr="002B34BA" w:rsidRDefault="00CC755C" w:rsidP="00BD1DB8">
      <w:pPr>
        <w:tabs>
          <w:tab w:val="left" w:pos="540"/>
          <w:tab w:val="left" w:pos="569"/>
        </w:tabs>
        <w:jc w:val="both"/>
        <w:rPr>
          <w:bCs/>
          <w:sz w:val="22"/>
          <w:szCs w:val="22"/>
          <w:lang w:val="sr-Latn-ME"/>
        </w:rPr>
      </w:pPr>
      <w:r w:rsidRPr="002B34BA">
        <w:rPr>
          <w:bCs/>
          <w:sz w:val="22"/>
          <w:szCs w:val="22"/>
          <w:lang w:val="sr-Latn-ME"/>
        </w:rPr>
        <w:t xml:space="preserve">- </w:t>
      </w:r>
      <w:r w:rsidR="00AE71EB" w:rsidRPr="002B34BA">
        <w:rPr>
          <w:b/>
          <w:bCs/>
          <w:sz w:val="22"/>
          <w:szCs w:val="22"/>
          <w:lang w:val="sr-Latn-ME"/>
        </w:rPr>
        <w:t>METOTREKSAT</w:t>
      </w:r>
    </w:p>
    <w:p w:rsidR="00AE71EB" w:rsidRPr="002B34BA" w:rsidRDefault="00AE71EB" w:rsidP="008B26EF">
      <w:pPr>
        <w:tabs>
          <w:tab w:val="left" w:pos="540"/>
          <w:tab w:val="left" w:pos="569"/>
        </w:tabs>
        <w:jc w:val="both"/>
        <w:rPr>
          <w:bCs/>
          <w:sz w:val="22"/>
          <w:szCs w:val="22"/>
          <w:lang w:val="sr-Latn-ME"/>
        </w:rPr>
      </w:pPr>
      <w:r w:rsidRPr="002B34BA">
        <w:rPr>
          <w:bCs/>
          <w:sz w:val="22"/>
          <w:szCs w:val="22"/>
          <w:lang w:val="sr-Latn-ME"/>
        </w:rPr>
        <w:t>Dolazi do povećanja djelovanja i hematološke toksičnosti metotreksata.</w:t>
      </w:r>
    </w:p>
    <w:p w:rsidR="00AE71EB" w:rsidRPr="002B34BA" w:rsidRDefault="00AE71EB" w:rsidP="008B26EF">
      <w:pPr>
        <w:tabs>
          <w:tab w:val="left" w:pos="540"/>
          <w:tab w:val="left" w:pos="569"/>
        </w:tabs>
        <w:jc w:val="both"/>
        <w:rPr>
          <w:bCs/>
          <w:sz w:val="22"/>
          <w:szCs w:val="22"/>
          <w:lang w:val="sr-Latn-ME"/>
        </w:rPr>
      </w:pPr>
      <w:r w:rsidRPr="002B34BA">
        <w:rPr>
          <w:bCs/>
          <w:sz w:val="22"/>
          <w:szCs w:val="22"/>
          <w:lang w:val="sr-Latn-ME"/>
        </w:rPr>
        <w:t xml:space="preserve">Mjera opreza: potrebno je određivanje koncentracija metotreksata. Takođe, ukoliko je potrebno,  može se vršiti prilagođavanje doze tokom istovremene primjene i nakon prestanka primjene metotreksata.  </w:t>
      </w:r>
    </w:p>
    <w:p w:rsidR="00AE71EB" w:rsidRPr="002B34BA" w:rsidRDefault="00AE71EB" w:rsidP="008B26EF">
      <w:pPr>
        <w:tabs>
          <w:tab w:val="left" w:pos="540"/>
          <w:tab w:val="left" w:pos="569"/>
        </w:tabs>
        <w:jc w:val="both"/>
        <w:rPr>
          <w:bCs/>
          <w:sz w:val="22"/>
          <w:szCs w:val="22"/>
          <w:lang w:val="sr-Latn-ME"/>
        </w:rPr>
      </w:pPr>
    </w:p>
    <w:p w:rsidR="00AE71EB" w:rsidRPr="002B34BA" w:rsidRDefault="00AE71EB">
      <w:pPr>
        <w:tabs>
          <w:tab w:val="left" w:pos="540"/>
          <w:tab w:val="left" w:pos="569"/>
        </w:tabs>
        <w:jc w:val="both"/>
        <w:rPr>
          <w:b/>
          <w:bCs/>
          <w:sz w:val="22"/>
          <w:szCs w:val="22"/>
          <w:lang w:val="sr-Latn-ME"/>
        </w:rPr>
      </w:pPr>
      <w:r w:rsidRPr="002B34BA">
        <w:rPr>
          <w:b/>
          <w:bCs/>
          <w:iCs/>
          <w:sz w:val="22"/>
          <w:szCs w:val="22"/>
          <w:lang w:val="sr-Latn-ME"/>
        </w:rPr>
        <w:t xml:space="preserve">Istovremena primjena </w:t>
      </w:r>
      <w:r w:rsidRPr="002B34BA">
        <w:rPr>
          <w:b/>
          <w:bCs/>
          <w:sz w:val="22"/>
          <w:szCs w:val="22"/>
          <w:lang w:val="sr-Latn-ME"/>
        </w:rPr>
        <w:t>koju treba uzeti u obzir</w:t>
      </w:r>
    </w:p>
    <w:p w:rsidR="00AE71EB" w:rsidRPr="002B34BA" w:rsidRDefault="00CC755C" w:rsidP="00BD1DB8">
      <w:pPr>
        <w:jc w:val="both"/>
        <w:rPr>
          <w:rStyle w:val="Emphasis"/>
          <w:i w:val="0"/>
          <w:iCs w:val="0"/>
          <w:sz w:val="22"/>
          <w:szCs w:val="22"/>
          <w:shd w:val="clear" w:color="auto" w:fill="FFFFFF"/>
          <w:lang w:val="sr-Latn-ME"/>
        </w:rPr>
      </w:pPr>
      <w:r w:rsidRPr="002B34BA">
        <w:rPr>
          <w:bCs/>
          <w:sz w:val="22"/>
          <w:szCs w:val="22"/>
          <w:lang w:val="sr-Latn-ME"/>
        </w:rPr>
        <w:t xml:space="preserve">- </w:t>
      </w:r>
      <w:r w:rsidR="00AE71EB" w:rsidRPr="002B34BA">
        <w:rPr>
          <w:b/>
          <w:bCs/>
          <w:sz w:val="22"/>
          <w:szCs w:val="22"/>
          <w:lang w:val="sr-Latn-ME"/>
        </w:rPr>
        <w:t xml:space="preserve">DRUGI LJEKOVI KOJI MOGU UZROKOVATI </w:t>
      </w:r>
      <w:r w:rsidR="00AE71EB" w:rsidRPr="002B34BA">
        <w:rPr>
          <w:rStyle w:val="Emphasis"/>
          <w:b/>
          <w:bCs/>
          <w:i w:val="0"/>
          <w:sz w:val="22"/>
          <w:szCs w:val="22"/>
          <w:shd w:val="clear" w:color="auto" w:fill="FFFFFF"/>
          <w:lang w:val="sr-Latn-ME"/>
        </w:rPr>
        <w:t>METHEMOGLOBINEMIJU</w:t>
      </w:r>
      <w:r w:rsidR="00AE71EB" w:rsidRPr="002B34BA">
        <w:rPr>
          <w:rStyle w:val="Emphasis"/>
          <w:bCs/>
          <w:sz w:val="22"/>
          <w:szCs w:val="22"/>
          <w:shd w:val="clear" w:color="auto" w:fill="FFFFFF"/>
          <w:lang w:val="sr-Latn-ME"/>
        </w:rPr>
        <w:t xml:space="preserve"> (acetil sulfafurazol, benzokain, dapson, flutamid, metoklopramid, prilokain, natrijum nitroprusid, sulfadoksin, sulfafurazol, sulfagvanidin, sulfametizol, sulfametoksazol): </w:t>
      </w:r>
      <w:r w:rsidR="00AE71EB" w:rsidRPr="002B34BA">
        <w:rPr>
          <w:rStyle w:val="Emphasis"/>
          <w:sz w:val="22"/>
          <w:szCs w:val="22"/>
          <w:shd w:val="clear" w:color="auto" w:fill="FFFFFF"/>
          <w:lang w:val="sr-Latn-ME"/>
        </w:rPr>
        <w:t>Postoji rizik od dodatnih efekata u odnosu na methemoglobinemiju.</w:t>
      </w:r>
    </w:p>
    <w:p w:rsidR="00AE71EB" w:rsidRPr="002B34BA" w:rsidRDefault="00AE71EB">
      <w:pPr>
        <w:jc w:val="both"/>
        <w:rPr>
          <w:color w:val="FF0000"/>
          <w:sz w:val="22"/>
          <w:szCs w:val="22"/>
          <w:lang w:val="sr-Latn-ME"/>
        </w:rPr>
      </w:pPr>
    </w:p>
    <w:p w:rsidR="00AE71EB" w:rsidRPr="002B34BA" w:rsidRDefault="00CC755C" w:rsidP="00BD1DB8">
      <w:pPr>
        <w:jc w:val="both"/>
        <w:rPr>
          <w:rStyle w:val="Emphasis"/>
          <w:i w:val="0"/>
          <w:iCs w:val="0"/>
          <w:sz w:val="22"/>
          <w:szCs w:val="22"/>
          <w:shd w:val="clear" w:color="auto" w:fill="FFFFFF"/>
          <w:lang w:val="sr-Latn-ME"/>
        </w:rPr>
      </w:pPr>
      <w:r w:rsidRPr="002B34BA">
        <w:rPr>
          <w:rStyle w:val="Emphasis"/>
          <w:bCs/>
          <w:i w:val="0"/>
          <w:iCs w:val="0"/>
          <w:sz w:val="22"/>
          <w:szCs w:val="22"/>
          <w:shd w:val="clear" w:color="auto" w:fill="FFFFFF"/>
          <w:lang w:val="sr-Latn-ME"/>
        </w:rPr>
        <w:t>-</w:t>
      </w:r>
      <w:r>
        <w:rPr>
          <w:rStyle w:val="Emphasis"/>
          <w:b/>
          <w:bCs/>
          <w:sz w:val="22"/>
          <w:szCs w:val="22"/>
          <w:shd w:val="clear" w:color="auto" w:fill="FFFFFF"/>
          <w:lang w:val="sr-Latn-ME"/>
        </w:rPr>
        <w:t xml:space="preserve"> </w:t>
      </w:r>
      <w:r w:rsidR="00AE71EB" w:rsidRPr="002B34BA">
        <w:rPr>
          <w:rStyle w:val="Emphasis"/>
          <w:b/>
          <w:bCs/>
          <w:i w:val="0"/>
          <w:sz w:val="22"/>
          <w:szCs w:val="22"/>
          <w:shd w:val="clear" w:color="auto" w:fill="FFFFFF"/>
          <w:lang w:val="sr-Latn-ME"/>
        </w:rPr>
        <w:t>ANTAGONISTI VITAMINA K</w:t>
      </w:r>
      <w:r w:rsidR="00AE71EB" w:rsidRPr="002B34BA">
        <w:rPr>
          <w:rStyle w:val="Emphasis"/>
          <w:b/>
          <w:bCs/>
          <w:sz w:val="22"/>
          <w:szCs w:val="22"/>
          <w:shd w:val="clear" w:color="auto" w:fill="FFFFFF"/>
          <w:lang w:val="sr-Latn-ME"/>
        </w:rPr>
        <w:t xml:space="preserve"> </w:t>
      </w:r>
      <w:r w:rsidR="00AE71EB" w:rsidRPr="002B34BA">
        <w:rPr>
          <w:rStyle w:val="Emphasis"/>
          <w:sz w:val="22"/>
          <w:szCs w:val="22"/>
          <w:shd w:val="clear" w:color="auto" w:fill="FFFFFF"/>
          <w:lang w:val="sr-Latn-ME"/>
        </w:rPr>
        <w:t xml:space="preserve">(acenokumarol, fluindion, varfarin): antiinfektivno djelovanje i INR. </w:t>
      </w:r>
    </w:p>
    <w:p w:rsidR="00AE71EB" w:rsidRPr="002B34BA" w:rsidRDefault="00AE71EB">
      <w:pPr>
        <w:jc w:val="both"/>
        <w:rPr>
          <w:color w:val="FF0000"/>
          <w:sz w:val="22"/>
          <w:szCs w:val="22"/>
          <w:lang w:val="sr-Latn-ME"/>
        </w:rPr>
      </w:pPr>
      <w:r w:rsidRPr="002B34BA">
        <w:rPr>
          <w:sz w:val="22"/>
          <w:szCs w:val="22"/>
          <w:lang w:val="sr-Latn-ME"/>
        </w:rPr>
        <w:t>Zabilježeni su brojni slučajevi pojačanog djelovanja antagonista vitamina K kod pacijenata koji su primali antibiotike. Izgleda da su izraženi infektivni ili upalni procesi, uzrast i opšte stanje pacijenta faktori rizika. U ovim okolnostima, čini se da je teško utvrditi granicu između infektivnog oboljenja i njegovog liječenja pri nastanku neravnoteže INR-a. Međutim, pojedine klase antibiotika su u ovo više uključene: to se odnosi na fluoro</w:t>
      </w:r>
      <w:r w:rsidR="00CD5DF9" w:rsidRPr="002B34BA">
        <w:rPr>
          <w:sz w:val="22"/>
          <w:szCs w:val="22"/>
          <w:lang w:val="sr-Latn-ME"/>
        </w:rPr>
        <w:t>h</w:t>
      </w:r>
      <w:r w:rsidRPr="002B34BA">
        <w:rPr>
          <w:sz w:val="22"/>
          <w:szCs w:val="22"/>
          <w:lang w:val="sr-Latn-ME"/>
        </w:rPr>
        <w:t>inolone, makrolide, cikline, kotrimoksazol i određene cefalosporine, čija primjena zahtijeva redovno praćenje INR-a</w:t>
      </w:r>
      <w:r w:rsidRPr="002B34BA">
        <w:rPr>
          <w:color w:val="FF0000"/>
          <w:sz w:val="22"/>
          <w:szCs w:val="22"/>
          <w:lang w:val="sr-Latn-ME"/>
        </w:rPr>
        <w:t xml:space="preserve">. </w:t>
      </w:r>
    </w:p>
    <w:p w:rsidR="00AE71EB" w:rsidRPr="002B34BA" w:rsidRDefault="00AE71EB">
      <w:pPr>
        <w:tabs>
          <w:tab w:val="left" w:pos="540"/>
          <w:tab w:val="left" w:pos="569"/>
        </w:tabs>
        <w:jc w:val="both"/>
        <w:rPr>
          <w:sz w:val="22"/>
          <w:szCs w:val="22"/>
          <w:lang w:val="sr-Latn-ME"/>
        </w:rPr>
      </w:pPr>
      <w:r w:rsidRPr="002B34BA">
        <w:rPr>
          <w:sz w:val="22"/>
          <w:szCs w:val="22"/>
          <w:lang w:val="sr-Latn-ME"/>
        </w:rPr>
        <w:t xml:space="preserve"> </w:t>
      </w:r>
    </w:p>
    <w:p w:rsidR="00AE71EB" w:rsidRPr="002B34BA" w:rsidRDefault="00CC755C" w:rsidP="00BD1DB8">
      <w:pPr>
        <w:tabs>
          <w:tab w:val="left" w:pos="540"/>
          <w:tab w:val="left" w:pos="569"/>
        </w:tabs>
        <w:jc w:val="both"/>
        <w:rPr>
          <w:sz w:val="22"/>
          <w:szCs w:val="22"/>
          <w:lang w:val="sr-Latn-ME"/>
        </w:rPr>
      </w:pPr>
      <w:r w:rsidRPr="002B34BA">
        <w:rPr>
          <w:rStyle w:val="Emphasis"/>
          <w:bCs/>
          <w:i w:val="0"/>
          <w:iCs w:val="0"/>
          <w:sz w:val="22"/>
          <w:szCs w:val="22"/>
          <w:shd w:val="clear" w:color="auto" w:fill="FFFFFF"/>
          <w:lang w:val="sr-Latn-ME"/>
        </w:rPr>
        <w:t>-</w:t>
      </w:r>
      <w:r w:rsidRPr="002B34BA">
        <w:rPr>
          <w:rStyle w:val="Emphasis"/>
          <w:b/>
          <w:bCs/>
          <w:i w:val="0"/>
          <w:sz w:val="22"/>
          <w:szCs w:val="22"/>
          <w:shd w:val="clear" w:color="auto" w:fill="FFFFFF"/>
          <w:lang w:val="sr-Latn-ME"/>
        </w:rPr>
        <w:t xml:space="preserve"> </w:t>
      </w:r>
      <w:r w:rsidR="00AE71EB" w:rsidRPr="002B34BA">
        <w:rPr>
          <w:rStyle w:val="Emphasis"/>
          <w:b/>
          <w:bCs/>
          <w:i w:val="0"/>
          <w:sz w:val="22"/>
          <w:szCs w:val="22"/>
          <w:shd w:val="clear" w:color="auto" w:fill="FFFFFF"/>
          <w:lang w:val="sr-Latn-ME"/>
        </w:rPr>
        <w:t xml:space="preserve">ŽIVA </w:t>
      </w:r>
      <w:r w:rsidR="00CD5DF9" w:rsidRPr="002B34BA">
        <w:rPr>
          <w:rStyle w:val="Emphasis"/>
          <w:b/>
          <w:bCs/>
          <w:i w:val="0"/>
          <w:sz w:val="22"/>
          <w:szCs w:val="22"/>
          <w:shd w:val="clear" w:color="auto" w:fill="FFFFFF"/>
          <w:lang w:val="sr-Latn-ME"/>
        </w:rPr>
        <w:t xml:space="preserve">ATENUISANA </w:t>
      </w:r>
      <w:r w:rsidR="00AE71EB" w:rsidRPr="002B34BA">
        <w:rPr>
          <w:rStyle w:val="Emphasis"/>
          <w:b/>
          <w:bCs/>
          <w:i w:val="0"/>
          <w:sz w:val="22"/>
          <w:szCs w:val="22"/>
          <w:shd w:val="clear" w:color="auto" w:fill="FFFFFF"/>
          <w:lang w:val="sr-Latn-ME"/>
        </w:rPr>
        <w:t>ORALNA</w:t>
      </w:r>
      <w:r w:rsidR="00AE71EB" w:rsidRPr="002B34BA">
        <w:rPr>
          <w:b/>
          <w:sz w:val="22"/>
          <w:szCs w:val="22"/>
          <w:shd w:val="clear" w:color="auto" w:fill="FFFFFF"/>
          <w:lang w:val="sr-Latn-ME"/>
        </w:rPr>
        <w:t> VAKCINA PROTIV </w:t>
      </w:r>
      <w:r w:rsidR="00AE71EB" w:rsidRPr="002B34BA">
        <w:rPr>
          <w:rStyle w:val="Emphasis"/>
          <w:b/>
          <w:bCs/>
          <w:i w:val="0"/>
          <w:sz w:val="22"/>
          <w:szCs w:val="22"/>
          <w:shd w:val="clear" w:color="auto" w:fill="FFFFFF"/>
          <w:lang w:val="sr-Latn-ME"/>
        </w:rPr>
        <w:t>TIFUSA:</w:t>
      </w:r>
      <w:r w:rsidR="00AE71EB" w:rsidRPr="002B34BA">
        <w:rPr>
          <w:rStyle w:val="Emphasis"/>
          <w:b/>
          <w:bCs/>
          <w:sz w:val="22"/>
          <w:szCs w:val="22"/>
          <w:shd w:val="clear" w:color="auto" w:fill="FFFFFF"/>
          <w:lang w:val="sr-Latn-ME"/>
        </w:rPr>
        <w:t xml:space="preserve"> </w:t>
      </w:r>
      <w:r w:rsidR="00AE71EB" w:rsidRPr="002B34BA">
        <w:rPr>
          <w:rStyle w:val="Emphasis"/>
          <w:bCs/>
          <w:sz w:val="22"/>
          <w:szCs w:val="22"/>
          <w:shd w:val="clear" w:color="auto" w:fill="FFFFFF"/>
          <w:lang w:val="sr-Latn-ME"/>
        </w:rPr>
        <w:t>Potrebno je izbjegavati primjenu lijeka ARGEDIN tri dana prije, kao i tri dana nakon primjene ove vakcine.</w:t>
      </w:r>
    </w:p>
    <w:p w:rsidR="00AE71EB" w:rsidRPr="002B34BA" w:rsidRDefault="00AE71EB" w:rsidP="002B34BA">
      <w:pPr>
        <w:tabs>
          <w:tab w:val="left" w:pos="540"/>
          <w:tab w:val="left" w:pos="569"/>
        </w:tabs>
        <w:jc w:val="both"/>
        <w:rPr>
          <w:bCs/>
          <w:sz w:val="22"/>
          <w:szCs w:val="22"/>
          <w:lang w:val="sr-Latn-ME"/>
        </w:rPr>
      </w:pPr>
    </w:p>
    <w:p w:rsidR="0072020E" w:rsidRPr="002B34BA" w:rsidRDefault="0072020E" w:rsidP="002B34BA">
      <w:pPr>
        <w:tabs>
          <w:tab w:val="left" w:pos="540"/>
          <w:tab w:val="left" w:pos="569"/>
        </w:tabs>
        <w:jc w:val="both"/>
        <w:rPr>
          <w:b/>
          <w:sz w:val="22"/>
          <w:szCs w:val="22"/>
          <w:lang w:val="sr-Latn-ME"/>
        </w:rPr>
      </w:pPr>
      <w:r w:rsidRPr="002B34BA">
        <w:rPr>
          <w:b/>
          <w:bCs/>
          <w:sz w:val="22"/>
          <w:szCs w:val="22"/>
          <w:lang w:val="sr-Latn-ME"/>
        </w:rPr>
        <w:t xml:space="preserve">4.6. </w:t>
      </w:r>
      <w:r w:rsidR="00480FB1" w:rsidRPr="002B34BA">
        <w:rPr>
          <w:b/>
          <w:bCs/>
          <w:sz w:val="22"/>
          <w:szCs w:val="22"/>
          <w:lang w:val="sr-Latn-ME"/>
        </w:rPr>
        <w:tab/>
      </w:r>
      <w:r w:rsidR="006D20A5" w:rsidRPr="002B34BA">
        <w:rPr>
          <w:b/>
          <w:sz w:val="22"/>
          <w:szCs w:val="22"/>
          <w:lang w:val="sr-Latn-ME"/>
        </w:rPr>
        <w:t>Plodnost, trudnoća i dojenje</w:t>
      </w:r>
    </w:p>
    <w:p w:rsidR="00F647DA" w:rsidRPr="002B34BA" w:rsidRDefault="00F647DA" w:rsidP="002B34BA">
      <w:pPr>
        <w:tabs>
          <w:tab w:val="left" w:pos="540"/>
          <w:tab w:val="left" w:pos="569"/>
        </w:tabs>
        <w:jc w:val="both"/>
        <w:rPr>
          <w:b/>
          <w:sz w:val="22"/>
          <w:szCs w:val="22"/>
          <w:lang w:val="sr-Latn-ME"/>
        </w:rPr>
      </w:pPr>
    </w:p>
    <w:p w:rsidR="00AE71EB" w:rsidRPr="002B34BA" w:rsidRDefault="00AE71EB" w:rsidP="008B26EF">
      <w:pPr>
        <w:autoSpaceDE w:val="0"/>
        <w:autoSpaceDN w:val="0"/>
        <w:adjustRightInd w:val="0"/>
        <w:jc w:val="both"/>
        <w:rPr>
          <w:rFonts w:eastAsia="Calibri"/>
          <w:b/>
          <w:sz w:val="22"/>
          <w:szCs w:val="22"/>
          <w:lang w:val="sr-Latn-ME"/>
        </w:rPr>
      </w:pPr>
      <w:r w:rsidRPr="002B34BA">
        <w:rPr>
          <w:rFonts w:eastAsia="Calibri"/>
          <w:b/>
          <w:sz w:val="22"/>
          <w:szCs w:val="22"/>
          <w:lang w:val="sr-Latn-ME"/>
        </w:rPr>
        <w:t xml:space="preserve">Trudnoća </w:t>
      </w:r>
    </w:p>
    <w:p w:rsidR="00AE71EB" w:rsidRPr="002B34BA" w:rsidRDefault="00AE71EB" w:rsidP="008B26EF">
      <w:pPr>
        <w:autoSpaceDE w:val="0"/>
        <w:autoSpaceDN w:val="0"/>
        <w:adjustRightInd w:val="0"/>
        <w:jc w:val="both"/>
        <w:rPr>
          <w:rFonts w:eastAsia="Calibri"/>
          <w:i/>
          <w:sz w:val="22"/>
          <w:szCs w:val="22"/>
          <w:lang w:val="sr-Latn-ME"/>
        </w:rPr>
      </w:pPr>
    </w:p>
    <w:p w:rsidR="00AE71EB" w:rsidRPr="002B34BA" w:rsidRDefault="00AE71EB" w:rsidP="008B26EF">
      <w:pPr>
        <w:autoSpaceDE w:val="0"/>
        <w:autoSpaceDN w:val="0"/>
        <w:adjustRightInd w:val="0"/>
        <w:jc w:val="both"/>
        <w:rPr>
          <w:rFonts w:eastAsia="Calibri"/>
          <w:i/>
          <w:sz w:val="22"/>
          <w:szCs w:val="22"/>
          <w:lang w:val="sr-Latn-ME"/>
        </w:rPr>
      </w:pPr>
      <w:r w:rsidRPr="002B34BA">
        <w:rPr>
          <w:rFonts w:eastAsia="Calibri"/>
          <w:i/>
          <w:sz w:val="22"/>
          <w:szCs w:val="22"/>
          <w:lang w:val="sr-Latn-ME"/>
        </w:rPr>
        <w:t>Podaci koji se odnose na srebro</w:t>
      </w:r>
    </w:p>
    <w:p w:rsidR="00AE71EB" w:rsidRPr="002B34BA" w:rsidRDefault="00AE71EB" w:rsidP="008B26EF">
      <w:pPr>
        <w:autoSpaceDE w:val="0"/>
        <w:autoSpaceDN w:val="0"/>
        <w:adjustRightInd w:val="0"/>
        <w:jc w:val="both"/>
        <w:rPr>
          <w:rStyle w:val="Emphasis"/>
          <w:bCs/>
          <w:i w:val="0"/>
          <w:iCs w:val="0"/>
          <w:sz w:val="22"/>
          <w:szCs w:val="22"/>
          <w:shd w:val="clear" w:color="auto" w:fill="FFFFFF"/>
          <w:lang w:val="sr-Latn-ME"/>
        </w:rPr>
      </w:pPr>
      <w:r w:rsidRPr="002B34BA">
        <w:rPr>
          <w:rFonts w:eastAsia="Calibri"/>
          <w:sz w:val="22"/>
          <w:szCs w:val="22"/>
          <w:lang w:val="sr-Latn-ME"/>
        </w:rPr>
        <w:t xml:space="preserve">Nema dovoljno podataka iz studija na životinjama, kao ni kliničkih podataka koji se odnose na srebro. Pojava fetalnih </w:t>
      </w:r>
      <w:r w:rsidRPr="002B34BA">
        <w:rPr>
          <w:rStyle w:val="Emphasis"/>
          <w:bCs/>
          <w:i w:val="0"/>
          <w:sz w:val="22"/>
          <w:szCs w:val="22"/>
          <w:shd w:val="clear" w:color="auto" w:fill="FFFFFF"/>
          <w:lang w:val="sr-Latn-ME"/>
        </w:rPr>
        <w:t>i neonatalnih neželjenih efekata nakon dugotrajne primjene lijeka nije utvrđena.</w:t>
      </w:r>
    </w:p>
    <w:p w:rsidR="00AE71EB" w:rsidRPr="002B34BA" w:rsidRDefault="00AE71EB" w:rsidP="008B26EF">
      <w:pPr>
        <w:autoSpaceDE w:val="0"/>
        <w:autoSpaceDN w:val="0"/>
        <w:adjustRightInd w:val="0"/>
        <w:jc w:val="both"/>
        <w:rPr>
          <w:rStyle w:val="Emphasis"/>
          <w:bCs/>
          <w:i w:val="0"/>
          <w:iCs w:val="0"/>
          <w:sz w:val="22"/>
          <w:szCs w:val="22"/>
          <w:shd w:val="clear" w:color="auto" w:fill="FFFFFF"/>
          <w:lang w:val="sr-Latn-ME"/>
        </w:rPr>
      </w:pPr>
    </w:p>
    <w:p w:rsidR="00AE71EB" w:rsidRPr="002B34BA" w:rsidRDefault="00AE71EB" w:rsidP="008B26EF">
      <w:pPr>
        <w:autoSpaceDE w:val="0"/>
        <w:autoSpaceDN w:val="0"/>
        <w:adjustRightInd w:val="0"/>
        <w:jc w:val="both"/>
        <w:rPr>
          <w:rFonts w:eastAsia="Calibri"/>
          <w:i/>
          <w:sz w:val="22"/>
          <w:szCs w:val="22"/>
          <w:lang w:val="sr-Latn-ME"/>
        </w:rPr>
      </w:pPr>
      <w:r w:rsidRPr="002B34BA">
        <w:rPr>
          <w:rFonts w:eastAsia="Calibri"/>
          <w:i/>
          <w:sz w:val="22"/>
          <w:szCs w:val="22"/>
          <w:lang w:val="sr-Latn-ME"/>
        </w:rPr>
        <w:t>Podaci koji se odnose na sulfadiazin</w:t>
      </w:r>
    </w:p>
    <w:p w:rsidR="00AE71EB" w:rsidRPr="002B34BA" w:rsidRDefault="00AE71EB">
      <w:pPr>
        <w:autoSpaceDE w:val="0"/>
        <w:autoSpaceDN w:val="0"/>
        <w:adjustRightInd w:val="0"/>
        <w:jc w:val="both"/>
        <w:rPr>
          <w:sz w:val="22"/>
          <w:szCs w:val="22"/>
          <w:shd w:val="clear" w:color="auto" w:fill="FFFFFF"/>
          <w:lang w:val="sr-Latn-ME"/>
        </w:rPr>
      </w:pPr>
      <w:r w:rsidRPr="002B34BA">
        <w:rPr>
          <w:rStyle w:val="Emphasis"/>
          <w:bCs/>
          <w:i w:val="0"/>
          <w:sz w:val="22"/>
          <w:szCs w:val="22"/>
          <w:shd w:val="clear" w:color="auto" w:fill="FFFFFF"/>
          <w:lang w:val="sr-Latn-ME"/>
        </w:rPr>
        <w:t>Sulfadiazin prolazi placentu u svim stadijumima trudnoće. Postoje ograničeni podaci o primjeni sulfadiazina</w:t>
      </w:r>
      <w:r w:rsidRPr="002B34BA">
        <w:rPr>
          <w:i/>
          <w:sz w:val="22"/>
          <w:szCs w:val="22"/>
          <w:shd w:val="clear" w:color="auto" w:fill="FFFFFF"/>
          <w:lang w:val="sr-Latn-ME"/>
        </w:rPr>
        <w:t> </w:t>
      </w:r>
      <w:r w:rsidRPr="002B34BA">
        <w:rPr>
          <w:sz w:val="22"/>
          <w:szCs w:val="22"/>
          <w:shd w:val="clear" w:color="auto" w:fill="FFFFFF"/>
          <w:lang w:val="sr-Latn-ME"/>
        </w:rPr>
        <w:t xml:space="preserve">tokom trudnoće. Studije na životinjama su nedovoljne da bi se moglo zaključiti da sulfadiazin ispoljava reproduktivnu toksičnost. Određeni sulfonamidi su pokazali teratogeni efekat (rascjep nepca). </w:t>
      </w:r>
    </w:p>
    <w:p w:rsidR="00AE71EB" w:rsidRPr="002B34BA" w:rsidRDefault="00AE71EB">
      <w:pPr>
        <w:autoSpaceDE w:val="0"/>
        <w:autoSpaceDN w:val="0"/>
        <w:adjustRightInd w:val="0"/>
        <w:jc w:val="both"/>
        <w:rPr>
          <w:sz w:val="22"/>
          <w:szCs w:val="22"/>
          <w:lang w:val="sr-Latn-ME"/>
        </w:rPr>
      </w:pPr>
      <w:r w:rsidRPr="002B34BA">
        <w:rPr>
          <w:sz w:val="22"/>
          <w:szCs w:val="22"/>
          <w:lang w:val="sr-Latn-ME"/>
        </w:rPr>
        <w:t xml:space="preserve">Prema tome, može se razmotriti primjena lijeka ARGEDIN u trudnoći samo ukoliko ne postoji druga alternativna terapija, a što se posebno odnosi na period tokom trećeg trimestra trudnoće. Zapravo, izloženost tokom posljednjeg trimestra trudnoće povećava potencijalni rizik od teške žutice ili čak nuklearne žutice novorođenčeta usljed istiskivanja bilirubina. Pored toga, u slučaju urođenog nedostatka glukoza-6-fosfat-dehidrogenaze, moguća je pojava neonatalne hemolize ako se lijek primjenjuje na kraju trudnoće. </w:t>
      </w:r>
    </w:p>
    <w:p w:rsidR="00AE71EB" w:rsidRPr="002B34BA" w:rsidRDefault="00AE71EB" w:rsidP="002B34BA">
      <w:pPr>
        <w:autoSpaceDE w:val="0"/>
        <w:autoSpaceDN w:val="0"/>
        <w:jc w:val="both"/>
        <w:rPr>
          <w:rStyle w:val="Emphasis"/>
          <w:b/>
          <w:bCs/>
          <w:i w:val="0"/>
          <w:iCs w:val="0"/>
          <w:sz w:val="22"/>
          <w:szCs w:val="22"/>
          <w:shd w:val="clear" w:color="auto" w:fill="FFFFFF"/>
          <w:lang w:val="sr-Latn-ME"/>
        </w:rPr>
      </w:pPr>
      <w:r w:rsidRPr="002B34BA">
        <w:rPr>
          <w:sz w:val="22"/>
          <w:szCs w:val="22"/>
          <w:lang w:val="sr-Latn-ME"/>
        </w:rPr>
        <w:t xml:space="preserve">U slučaju liječenja na kraju trudnoće, bitno je neonatalno praćenje (žutica, hiperbilirubinemija). </w:t>
      </w:r>
    </w:p>
    <w:p w:rsidR="00AE71EB" w:rsidRPr="002B34BA" w:rsidRDefault="00AE71EB">
      <w:pPr>
        <w:autoSpaceDE w:val="0"/>
        <w:autoSpaceDN w:val="0"/>
        <w:adjustRightInd w:val="0"/>
        <w:jc w:val="both"/>
        <w:rPr>
          <w:rFonts w:eastAsia="Calibri"/>
          <w:b/>
          <w:sz w:val="22"/>
          <w:szCs w:val="22"/>
          <w:lang w:val="sr-Latn-ME"/>
        </w:rPr>
      </w:pPr>
      <w:r w:rsidRPr="002B34BA">
        <w:rPr>
          <w:rFonts w:eastAsia="Calibri"/>
          <w:b/>
          <w:sz w:val="22"/>
          <w:szCs w:val="22"/>
          <w:lang w:val="sr-Latn-ME"/>
        </w:rPr>
        <w:lastRenderedPageBreak/>
        <w:t xml:space="preserve">Dojenje </w:t>
      </w:r>
    </w:p>
    <w:p w:rsidR="00AE71EB" w:rsidRPr="002B34BA" w:rsidRDefault="00AE71EB">
      <w:pPr>
        <w:autoSpaceDE w:val="0"/>
        <w:autoSpaceDN w:val="0"/>
        <w:adjustRightInd w:val="0"/>
        <w:jc w:val="both"/>
        <w:rPr>
          <w:rFonts w:eastAsia="Calibri"/>
          <w:b/>
          <w:sz w:val="22"/>
          <w:szCs w:val="22"/>
          <w:lang w:val="sr-Latn-ME"/>
        </w:rPr>
      </w:pPr>
    </w:p>
    <w:p w:rsidR="00AE71EB" w:rsidRPr="002B34BA" w:rsidRDefault="00AE71EB">
      <w:pPr>
        <w:autoSpaceDE w:val="0"/>
        <w:autoSpaceDN w:val="0"/>
        <w:adjustRightInd w:val="0"/>
        <w:jc w:val="both"/>
        <w:rPr>
          <w:rFonts w:eastAsia="Calibri"/>
          <w:sz w:val="22"/>
          <w:szCs w:val="22"/>
          <w:lang w:val="sr-Latn-ME"/>
        </w:rPr>
      </w:pPr>
      <w:r w:rsidRPr="002B34BA">
        <w:rPr>
          <w:rStyle w:val="Emphasis"/>
          <w:bCs/>
          <w:i w:val="0"/>
          <w:sz w:val="22"/>
          <w:szCs w:val="22"/>
          <w:shd w:val="clear" w:color="auto" w:fill="FFFFFF"/>
          <w:lang w:val="sr-Latn-ME"/>
        </w:rPr>
        <w:t>Nije poznato izlučuje</w:t>
      </w:r>
      <w:r w:rsidRPr="002B34BA">
        <w:rPr>
          <w:sz w:val="22"/>
          <w:szCs w:val="22"/>
          <w:shd w:val="clear" w:color="auto" w:fill="FFFFFF"/>
          <w:lang w:val="sr-Latn-ME"/>
        </w:rPr>
        <w:t> li </w:t>
      </w:r>
      <w:r w:rsidRPr="002B34BA">
        <w:rPr>
          <w:rStyle w:val="Emphasis"/>
          <w:bCs/>
          <w:i w:val="0"/>
          <w:sz w:val="22"/>
          <w:szCs w:val="22"/>
          <w:shd w:val="clear" w:color="auto" w:fill="FFFFFF"/>
          <w:lang w:val="sr-Latn-ME"/>
        </w:rPr>
        <w:t>se</w:t>
      </w:r>
      <w:r w:rsidRPr="002B34BA">
        <w:rPr>
          <w:sz w:val="22"/>
          <w:szCs w:val="22"/>
          <w:shd w:val="clear" w:color="auto" w:fill="FFFFFF"/>
          <w:lang w:val="sr-Latn-ME"/>
        </w:rPr>
        <w:t> srebro </w:t>
      </w:r>
      <w:r w:rsidRPr="002B34BA">
        <w:rPr>
          <w:rStyle w:val="Emphasis"/>
          <w:bCs/>
          <w:i w:val="0"/>
          <w:sz w:val="22"/>
          <w:szCs w:val="22"/>
          <w:shd w:val="clear" w:color="auto" w:fill="FFFFFF"/>
          <w:lang w:val="sr-Latn-ME"/>
        </w:rPr>
        <w:t>u majčino mlijeko</w:t>
      </w:r>
      <w:r w:rsidRPr="002B34BA">
        <w:rPr>
          <w:sz w:val="22"/>
          <w:szCs w:val="22"/>
          <w:shd w:val="clear" w:color="auto" w:fill="FFFFFF"/>
          <w:lang w:val="sr-Latn-ME"/>
        </w:rPr>
        <w:t xml:space="preserve">. Sulfadiazin se izlučuje u majčino mlijeko. </w:t>
      </w:r>
    </w:p>
    <w:p w:rsidR="00AE71EB" w:rsidRPr="002B34BA" w:rsidRDefault="00AE71EB">
      <w:pPr>
        <w:autoSpaceDE w:val="0"/>
        <w:autoSpaceDN w:val="0"/>
        <w:adjustRightInd w:val="0"/>
        <w:jc w:val="both"/>
        <w:rPr>
          <w:sz w:val="22"/>
          <w:szCs w:val="22"/>
          <w:lang w:val="sr-Latn-ME"/>
        </w:rPr>
      </w:pPr>
      <w:r w:rsidRPr="002B34BA">
        <w:rPr>
          <w:rFonts w:eastAsia="Calibri"/>
          <w:sz w:val="22"/>
          <w:szCs w:val="22"/>
          <w:lang w:val="sr-Latn-ME"/>
        </w:rPr>
        <w:t xml:space="preserve">Ukoliko dijete ima </w:t>
      </w:r>
      <w:r w:rsidRPr="002B34BA">
        <w:rPr>
          <w:sz w:val="22"/>
          <w:szCs w:val="22"/>
          <w:lang w:val="sr-Latn-ME"/>
        </w:rPr>
        <w:t>nedostatak glukoza-6-fosfat-dehidrogenaze, d</w:t>
      </w:r>
      <w:r w:rsidRPr="002B34BA">
        <w:rPr>
          <w:rFonts w:eastAsia="Calibri"/>
          <w:sz w:val="22"/>
          <w:szCs w:val="22"/>
          <w:lang w:val="sr-Latn-ME"/>
        </w:rPr>
        <w:t xml:space="preserve">ojenje je kontraindikovano, </w:t>
      </w:r>
      <w:r w:rsidRPr="002B34BA">
        <w:rPr>
          <w:sz w:val="22"/>
          <w:szCs w:val="22"/>
          <w:lang w:val="sr-Latn-ME"/>
        </w:rPr>
        <w:t xml:space="preserve">kako bi se spriječila pojava hemolize (vidjeti dio 4.3). </w:t>
      </w:r>
    </w:p>
    <w:p w:rsidR="00AE71EB" w:rsidRPr="002B34BA" w:rsidRDefault="00AE71EB">
      <w:pPr>
        <w:autoSpaceDE w:val="0"/>
        <w:autoSpaceDN w:val="0"/>
        <w:adjustRightInd w:val="0"/>
        <w:jc w:val="both"/>
        <w:rPr>
          <w:bCs/>
          <w:sz w:val="22"/>
          <w:szCs w:val="22"/>
          <w:lang w:val="sr-Latn-ME"/>
        </w:rPr>
      </w:pPr>
      <w:r w:rsidRPr="002B34BA">
        <w:rPr>
          <w:sz w:val="22"/>
          <w:szCs w:val="22"/>
          <w:lang w:val="sr-Latn-ME"/>
        </w:rPr>
        <w:t xml:space="preserve">Zabilježena je pojava teške ili čak nuklearne žutice kod novorođenčadi primjenom određenih sulfonamida. Kao rezultat toga, dojenje je kontraindikovano kod odojčadi koja su mlađa od jednog mjeseca, zbog nezrelosti njihovog enzimskog sistema (vidjeti djelove 4.3 i 4.8). U slučaju dugotrajne primjene lijeka ili </w:t>
      </w:r>
      <w:r w:rsidRPr="002B34BA">
        <w:rPr>
          <w:bCs/>
          <w:sz w:val="22"/>
          <w:szCs w:val="22"/>
          <w:lang w:val="sr-Latn-ME"/>
        </w:rPr>
        <w:t xml:space="preserve">primjene na velike površine kože, dojenje se ne preporučuje ni izvan ove uzrasne grupe. </w:t>
      </w:r>
    </w:p>
    <w:p w:rsidR="002031B3" w:rsidRPr="002B34BA" w:rsidRDefault="002031B3" w:rsidP="002B34BA">
      <w:pPr>
        <w:tabs>
          <w:tab w:val="left" w:pos="540"/>
          <w:tab w:val="left" w:pos="569"/>
        </w:tabs>
        <w:jc w:val="both"/>
        <w:rPr>
          <w:sz w:val="22"/>
          <w:szCs w:val="22"/>
          <w:u w:val="single"/>
          <w:lang w:val="sr-Latn-ME"/>
        </w:rPr>
      </w:pPr>
    </w:p>
    <w:p w:rsidR="0072020E" w:rsidRPr="002B34BA" w:rsidRDefault="0072020E" w:rsidP="002B34BA">
      <w:pPr>
        <w:tabs>
          <w:tab w:val="left" w:pos="540"/>
          <w:tab w:val="left" w:pos="569"/>
        </w:tabs>
        <w:ind w:left="540" w:hanging="540"/>
        <w:jc w:val="both"/>
        <w:rPr>
          <w:b/>
          <w:bCs/>
          <w:sz w:val="22"/>
          <w:szCs w:val="22"/>
          <w:lang w:val="sr-Latn-ME"/>
        </w:rPr>
      </w:pPr>
      <w:r w:rsidRPr="002B34BA">
        <w:rPr>
          <w:b/>
          <w:bCs/>
          <w:sz w:val="22"/>
          <w:szCs w:val="22"/>
          <w:lang w:val="sr-Latn-ME"/>
        </w:rPr>
        <w:t xml:space="preserve">4.7. </w:t>
      </w:r>
      <w:r w:rsidR="00480FB1" w:rsidRPr="002B34BA">
        <w:rPr>
          <w:b/>
          <w:bCs/>
          <w:sz w:val="22"/>
          <w:szCs w:val="22"/>
          <w:lang w:val="sr-Latn-ME"/>
        </w:rPr>
        <w:tab/>
      </w:r>
      <w:r w:rsidRPr="002B34BA">
        <w:rPr>
          <w:b/>
          <w:bCs/>
          <w:sz w:val="22"/>
          <w:szCs w:val="22"/>
          <w:lang w:val="sr-Latn-ME"/>
        </w:rPr>
        <w:t xml:space="preserve">Uticaj na </w:t>
      </w:r>
      <w:r w:rsidR="002031B3" w:rsidRPr="002B34BA">
        <w:rPr>
          <w:b/>
          <w:bCs/>
          <w:sz w:val="22"/>
          <w:szCs w:val="22"/>
          <w:lang w:val="sr-Latn-ME"/>
        </w:rPr>
        <w:t xml:space="preserve">sposobnost </w:t>
      </w:r>
      <w:r w:rsidR="00F34554" w:rsidRPr="002B34BA">
        <w:rPr>
          <w:b/>
          <w:bCs/>
          <w:sz w:val="22"/>
          <w:szCs w:val="22"/>
          <w:lang w:val="sr-Latn-ME"/>
        </w:rPr>
        <w:t>upravljanja vozili</w:t>
      </w:r>
      <w:r w:rsidRPr="002B34BA">
        <w:rPr>
          <w:b/>
          <w:bCs/>
          <w:sz w:val="22"/>
          <w:szCs w:val="22"/>
          <w:lang w:val="sr-Latn-ME"/>
        </w:rPr>
        <w:t>m</w:t>
      </w:r>
      <w:r w:rsidR="00F34554" w:rsidRPr="002B34BA">
        <w:rPr>
          <w:b/>
          <w:bCs/>
          <w:sz w:val="22"/>
          <w:szCs w:val="22"/>
          <w:lang w:val="sr-Latn-ME"/>
        </w:rPr>
        <w:t>a</w:t>
      </w:r>
      <w:r w:rsidRPr="002B34BA">
        <w:rPr>
          <w:b/>
          <w:bCs/>
          <w:sz w:val="22"/>
          <w:szCs w:val="22"/>
          <w:lang w:val="sr-Latn-ME"/>
        </w:rPr>
        <w:t xml:space="preserve"> i </w:t>
      </w:r>
      <w:r w:rsidR="000D3449" w:rsidRPr="002B34BA">
        <w:rPr>
          <w:b/>
          <w:bCs/>
          <w:sz w:val="22"/>
          <w:szCs w:val="22"/>
          <w:lang w:val="sr-Latn-ME"/>
        </w:rPr>
        <w:t xml:space="preserve">rukovanje </w:t>
      </w:r>
      <w:r w:rsidRPr="002B34BA">
        <w:rPr>
          <w:b/>
          <w:bCs/>
          <w:sz w:val="22"/>
          <w:szCs w:val="22"/>
          <w:lang w:val="sr-Latn-ME"/>
        </w:rPr>
        <w:t>mašinama</w:t>
      </w:r>
    </w:p>
    <w:p w:rsidR="00AE71EB" w:rsidRPr="002B34BA" w:rsidRDefault="00AE71EB" w:rsidP="008B26EF">
      <w:pPr>
        <w:tabs>
          <w:tab w:val="left" w:pos="540"/>
          <w:tab w:val="left" w:pos="569"/>
        </w:tabs>
        <w:jc w:val="both"/>
        <w:rPr>
          <w:sz w:val="22"/>
          <w:szCs w:val="22"/>
          <w:shd w:val="clear" w:color="auto" w:fill="FFFFFF"/>
          <w:lang w:val="sr-Latn-ME"/>
        </w:rPr>
      </w:pPr>
    </w:p>
    <w:p w:rsidR="00AE71EB" w:rsidRPr="002B34BA" w:rsidRDefault="00AE71EB" w:rsidP="008B26EF">
      <w:pPr>
        <w:tabs>
          <w:tab w:val="left" w:pos="540"/>
          <w:tab w:val="left" w:pos="569"/>
        </w:tabs>
        <w:jc w:val="both"/>
        <w:rPr>
          <w:sz w:val="22"/>
          <w:szCs w:val="22"/>
          <w:lang w:val="sr-Latn-ME"/>
        </w:rPr>
      </w:pPr>
      <w:r w:rsidRPr="002B34BA">
        <w:rPr>
          <w:sz w:val="22"/>
          <w:szCs w:val="22"/>
          <w:shd w:val="clear" w:color="auto" w:fill="FFFFFF"/>
          <w:lang w:val="sr-Latn-ME"/>
        </w:rPr>
        <w:t>Lijek ARGEDIN nema ili </w:t>
      </w:r>
      <w:r w:rsidRPr="002B34BA">
        <w:rPr>
          <w:rStyle w:val="Emphasis"/>
          <w:bCs/>
          <w:i w:val="0"/>
          <w:sz w:val="22"/>
          <w:szCs w:val="22"/>
          <w:shd w:val="clear" w:color="auto" w:fill="FFFFFF"/>
          <w:lang w:val="sr-Latn-ME"/>
        </w:rPr>
        <w:t>ima zanemarljiv uticaj na</w:t>
      </w:r>
      <w:r w:rsidRPr="002B34BA">
        <w:rPr>
          <w:sz w:val="22"/>
          <w:szCs w:val="22"/>
          <w:lang w:val="sr-Latn-ME"/>
        </w:rPr>
        <w:t xml:space="preserve"> upravljanje vozilima i rukovanje mašinama. </w:t>
      </w:r>
    </w:p>
    <w:p w:rsidR="00AE71EB" w:rsidRPr="002B34BA" w:rsidRDefault="00AE71EB" w:rsidP="008B26EF">
      <w:pPr>
        <w:tabs>
          <w:tab w:val="left" w:pos="540"/>
          <w:tab w:val="left" w:pos="569"/>
        </w:tabs>
        <w:jc w:val="both"/>
        <w:rPr>
          <w:b/>
          <w:bCs/>
          <w:sz w:val="22"/>
          <w:szCs w:val="22"/>
          <w:lang w:val="sr-Latn-ME"/>
        </w:rPr>
      </w:pPr>
    </w:p>
    <w:p w:rsidR="0072020E" w:rsidRPr="002B34BA" w:rsidRDefault="0072020E" w:rsidP="002B34BA">
      <w:pPr>
        <w:tabs>
          <w:tab w:val="left" w:pos="540"/>
          <w:tab w:val="left" w:pos="569"/>
        </w:tabs>
        <w:jc w:val="both"/>
        <w:rPr>
          <w:b/>
          <w:bCs/>
          <w:sz w:val="22"/>
          <w:szCs w:val="22"/>
          <w:lang w:val="sr-Latn-ME"/>
        </w:rPr>
      </w:pPr>
      <w:r w:rsidRPr="002B34BA">
        <w:rPr>
          <w:b/>
          <w:bCs/>
          <w:sz w:val="22"/>
          <w:szCs w:val="22"/>
          <w:lang w:val="sr-Latn-ME"/>
        </w:rPr>
        <w:t xml:space="preserve">4.8. </w:t>
      </w:r>
      <w:r w:rsidR="00480FB1" w:rsidRPr="002B34BA">
        <w:rPr>
          <w:b/>
          <w:bCs/>
          <w:sz w:val="22"/>
          <w:szCs w:val="22"/>
          <w:lang w:val="sr-Latn-ME"/>
        </w:rPr>
        <w:tab/>
      </w:r>
      <w:r w:rsidRPr="002B34BA">
        <w:rPr>
          <w:b/>
          <w:bCs/>
          <w:sz w:val="22"/>
          <w:szCs w:val="22"/>
          <w:lang w:val="sr-Latn-ME"/>
        </w:rPr>
        <w:t>Neželjena dejstva</w:t>
      </w:r>
    </w:p>
    <w:p w:rsidR="00AE71EB" w:rsidRPr="002B34BA" w:rsidRDefault="00AE71EB" w:rsidP="008B26EF">
      <w:pPr>
        <w:autoSpaceDE w:val="0"/>
        <w:autoSpaceDN w:val="0"/>
        <w:adjustRightInd w:val="0"/>
        <w:jc w:val="both"/>
        <w:rPr>
          <w:sz w:val="22"/>
          <w:szCs w:val="22"/>
          <w:lang w:val="sr-Latn-ME"/>
        </w:rPr>
      </w:pPr>
    </w:p>
    <w:p w:rsidR="00AE71EB" w:rsidRPr="002B34BA" w:rsidRDefault="00AE71EB" w:rsidP="008B26EF">
      <w:pPr>
        <w:autoSpaceDE w:val="0"/>
        <w:autoSpaceDN w:val="0"/>
        <w:adjustRightInd w:val="0"/>
        <w:jc w:val="both"/>
        <w:rPr>
          <w:rFonts w:eastAsia="Calibri"/>
          <w:sz w:val="22"/>
          <w:szCs w:val="22"/>
          <w:lang w:val="sr-Latn-ME"/>
        </w:rPr>
      </w:pPr>
      <w:r w:rsidRPr="002B34BA">
        <w:rPr>
          <w:sz w:val="22"/>
          <w:szCs w:val="22"/>
          <w:lang w:val="sr-Latn-ME"/>
        </w:rPr>
        <w:t xml:space="preserve">Neželjena dejstva su navedena ispod, prema sistemima </w:t>
      </w:r>
      <w:r w:rsidR="00CD5DF9" w:rsidRPr="002B34BA">
        <w:rPr>
          <w:sz w:val="22"/>
          <w:szCs w:val="22"/>
          <w:lang w:val="sr-Latn-ME"/>
        </w:rPr>
        <w:t xml:space="preserve"> organa </w:t>
      </w:r>
      <w:r w:rsidRPr="002B34BA">
        <w:rPr>
          <w:sz w:val="22"/>
          <w:szCs w:val="22"/>
          <w:lang w:val="sr-Latn-ME"/>
        </w:rPr>
        <w:t xml:space="preserve">i učestalosti. Učestalost neželjenih dejstava je određena na sljedeći način: </w:t>
      </w:r>
      <w:r w:rsidRPr="002B34BA">
        <w:rPr>
          <w:iCs/>
          <w:sz w:val="22"/>
          <w:szCs w:val="22"/>
          <w:lang w:val="sr-Latn-ME"/>
        </w:rPr>
        <w:t>veoma često (</w:t>
      </w:r>
      <w:r w:rsidRPr="002B34BA">
        <w:rPr>
          <w:sz w:val="22"/>
          <w:szCs w:val="22"/>
          <w:lang w:val="sr-Latn-ME"/>
        </w:rPr>
        <w:t xml:space="preserve">≥ 1/10), </w:t>
      </w:r>
      <w:r w:rsidRPr="002B34BA">
        <w:rPr>
          <w:iCs/>
          <w:sz w:val="22"/>
          <w:szCs w:val="22"/>
          <w:lang w:val="sr-Latn-ME"/>
        </w:rPr>
        <w:t>često (</w:t>
      </w:r>
      <w:r w:rsidRPr="002B34BA">
        <w:rPr>
          <w:sz w:val="22"/>
          <w:szCs w:val="22"/>
          <w:lang w:val="sr-Latn-ME"/>
        </w:rPr>
        <w:t xml:space="preserve">≥ 1/100, &lt; 1/10), </w:t>
      </w:r>
      <w:r w:rsidRPr="002B34BA">
        <w:rPr>
          <w:iCs/>
          <w:sz w:val="22"/>
          <w:szCs w:val="22"/>
          <w:lang w:val="sr-Latn-ME"/>
        </w:rPr>
        <w:t>povremeno (</w:t>
      </w:r>
      <w:r w:rsidRPr="002B34BA">
        <w:rPr>
          <w:sz w:val="22"/>
          <w:szCs w:val="22"/>
          <w:lang w:val="sr-Latn-ME"/>
        </w:rPr>
        <w:t xml:space="preserve">≥ 1/1000, &lt; 1/100), </w:t>
      </w:r>
      <w:r w:rsidRPr="002B34BA">
        <w:rPr>
          <w:iCs/>
          <w:sz w:val="22"/>
          <w:szCs w:val="22"/>
          <w:lang w:val="sr-Latn-ME"/>
        </w:rPr>
        <w:t>rijetko (</w:t>
      </w:r>
      <w:r w:rsidRPr="002B34BA">
        <w:rPr>
          <w:sz w:val="22"/>
          <w:szCs w:val="22"/>
          <w:lang w:val="sr-Latn-ME"/>
        </w:rPr>
        <w:t xml:space="preserve">≥ 1/10 000, &lt; 1/1000), </w:t>
      </w:r>
      <w:r w:rsidRPr="002B34BA">
        <w:rPr>
          <w:iCs/>
          <w:sz w:val="22"/>
          <w:szCs w:val="22"/>
          <w:lang w:val="sr-Latn-ME"/>
        </w:rPr>
        <w:t>veoma rijetko (</w:t>
      </w:r>
      <w:r w:rsidRPr="002B34BA">
        <w:rPr>
          <w:sz w:val="22"/>
          <w:szCs w:val="22"/>
          <w:lang w:val="sr-Latn-ME"/>
        </w:rPr>
        <w:t xml:space="preserve">&lt; 1/10 000), </w:t>
      </w:r>
      <w:r w:rsidRPr="002B34BA">
        <w:rPr>
          <w:rFonts w:eastAsia="Calibri"/>
          <w:sz w:val="22"/>
          <w:szCs w:val="22"/>
          <w:lang w:val="sr-Latn-ME"/>
        </w:rPr>
        <w:t>nepoznato (ne može se procijeniti iz dostupnih podataka).</w:t>
      </w:r>
    </w:p>
    <w:p w:rsidR="004E70AD" w:rsidRPr="002B34BA" w:rsidRDefault="004E70AD" w:rsidP="002B34BA">
      <w:pPr>
        <w:tabs>
          <w:tab w:val="left" w:pos="540"/>
          <w:tab w:val="left" w:pos="569"/>
        </w:tabs>
        <w:jc w:val="both"/>
        <w:rPr>
          <w:b/>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40"/>
      </w:tblGrid>
      <w:tr w:rsidR="00AE71EB" w:rsidRPr="00551909" w:rsidTr="007143D5">
        <w:tc>
          <w:tcPr>
            <w:tcW w:w="4529" w:type="dxa"/>
            <w:shd w:val="clear" w:color="auto" w:fill="auto"/>
          </w:tcPr>
          <w:p w:rsidR="00AE71EB" w:rsidRPr="002B34BA" w:rsidRDefault="00AE71EB" w:rsidP="008B26EF">
            <w:pPr>
              <w:jc w:val="both"/>
              <w:rPr>
                <w:b/>
                <w:iCs/>
                <w:sz w:val="22"/>
                <w:szCs w:val="22"/>
                <w:lang w:val="sr-Latn-ME"/>
              </w:rPr>
            </w:pPr>
            <w:r w:rsidRPr="002B34BA">
              <w:rPr>
                <w:b/>
                <w:bCs/>
                <w:sz w:val="22"/>
                <w:szCs w:val="22"/>
                <w:lang w:val="sr-Latn-ME"/>
              </w:rPr>
              <w:t>Sistem organa</w:t>
            </w:r>
          </w:p>
        </w:tc>
        <w:tc>
          <w:tcPr>
            <w:tcW w:w="4546" w:type="dxa"/>
            <w:shd w:val="clear" w:color="auto" w:fill="auto"/>
          </w:tcPr>
          <w:p w:rsidR="00AE71EB" w:rsidRPr="002B34BA" w:rsidRDefault="00AE71EB" w:rsidP="002B34BA">
            <w:pPr>
              <w:jc w:val="both"/>
              <w:rPr>
                <w:b/>
                <w:bCs/>
                <w:iCs/>
                <w:sz w:val="22"/>
                <w:szCs w:val="22"/>
                <w:lang w:val="sr-Latn-ME"/>
              </w:rPr>
            </w:pPr>
            <w:r w:rsidRPr="002B34BA">
              <w:rPr>
                <w:b/>
                <w:bCs/>
                <w:iCs/>
                <w:sz w:val="22"/>
                <w:szCs w:val="22"/>
                <w:lang w:val="sr-Latn-ME"/>
              </w:rPr>
              <w:t>Neželjena dejstva</w:t>
            </w:r>
          </w:p>
        </w:tc>
      </w:tr>
      <w:tr w:rsidR="00AE71EB" w:rsidRPr="00551909" w:rsidTr="007143D5">
        <w:tc>
          <w:tcPr>
            <w:tcW w:w="4529" w:type="dxa"/>
            <w:shd w:val="clear" w:color="auto" w:fill="auto"/>
          </w:tcPr>
          <w:p w:rsidR="00AE71EB" w:rsidRPr="002B34BA" w:rsidRDefault="00AE71EB" w:rsidP="008B26EF">
            <w:pPr>
              <w:jc w:val="both"/>
              <w:rPr>
                <w:iCs/>
                <w:sz w:val="22"/>
                <w:szCs w:val="22"/>
                <w:lang w:val="sr-Latn-ME"/>
              </w:rPr>
            </w:pPr>
            <w:r w:rsidRPr="002B34BA">
              <w:rPr>
                <w:sz w:val="22"/>
                <w:szCs w:val="22"/>
                <w:lang w:val="sr-Latn-ME"/>
              </w:rPr>
              <w:t>Poremećaji krvi i limfnog sistema</w:t>
            </w:r>
          </w:p>
        </w:tc>
        <w:tc>
          <w:tcPr>
            <w:tcW w:w="4546" w:type="dxa"/>
            <w:shd w:val="clear" w:color="auto" w:fill="auto"/>
          </w:tcPr>
          <w:p w:rsidR="00AE71EB" w:rsidRPr="002B34BA" w:rsidRDefault="00AE71EB" w:rsidP="002B34BA">
            <w:pPr>
              <w:jc w:val="both"/>
              <w:rPr>
                <w:i/>
                <w:iCs/>
                <w:sz w:val="22"/>
                <w:szCs w:val="22"/>
                <w:lang w:val="sr-Latn-ME"/>
              </w:rPr>
            </w:pPr>
            <w:r w:rsidRPr="002B34BA">
              <w:rPr>
                <w:i/>
                <w:iCs/>
                <w:sz w:val="22"/>
                <w:szCs w:val="22"/>
                <w:lang w:val="sr-Latn-ME"/>
              </w:rPr>
              <w:t>Nepoznato:</w:t>
            </w:r>
          </w:p>
          <w:p w:rsidR="00AE71EB" w:rsidRPr="002B34BA" w:rsidRDefault="00AE71EB" w:rsidP="002B34BA">
            <w:pPr>
              <w:jc w:val="both"/>
              <w:rPr>
                <w:iCs/>
                <w:sz w:val="22"/>
                <w:szCs w:val="22"/>
                <w:lang w:val="sr-Latn-ME"/>
              </w:rPr>
            </w:pPr>
            <w:r w:rsidRPr="002B34BA">
              <w:rPr>
                <w:iCs/>
                <w:sz w:val="22"/>
                <w:szCs w:val="22"/>
                <w:lang w:val="sr-Latn-ME"/>
              </w:rPr>
              <w:t>Citopenija (leukopenija, neutropenija, agranulocitoza)</w:t>
            </w:r>
          </w:p>
        </w:tc>
      </w:tr>
      <w:tr w:rsidR="00AE71EB" w:rsidRPr="00551909" w:rsidTr="007143D5">
        <w:tc>
          <w:tcPr>
            <w:tcW w:w="4529" w:type="dxa"/>
            <w:shd w:val="clear" w:color="auto" w:fill="auto"/>
          </w:tcPr>
          <w:p w:rsidR="00AE71EB" w:rsidRPr="002B34BA" w:rsidRDefault="00AE71EB" w:rsidP="002B34BA">
            <w:pPr>
              <w:jc w:val="both"/>
              <w:rPr>
                <w:iCs/>
                <w:sz w:val="22"/>
                <w:szCs w:val="22"/>
                <w:lang w:val="sr-Latn-ME"/>
              </w:rPr>
            </w:pPr>
            <w:r w:rsidRPr="002B34BA">
              <w:rPr>
                <w:iCs/>
                <w:sz w:val="22"/>
                <w:szCs w:val="22"/>
                <w:lang w:val="sr-Latn-ME"/>
              </w:rPr>
              <w:t xml:space="preserve">Poremećaji imunološkog sistema </w:t>
            </w:r>
          </w:p>
        </w:tc>
        <w:tc>
          <w:tcPr>
            <w:tcW w:w="4546" w:type="dxa"/>
            <w:shd w:val="clear" w:color="auto" w:fill="auto"/>
          </w:tcPr>
          <w:p w:rsidR="00AE71EB" w:rsidRPr="002B34BA" w:rsidRDefault="00AE71EB" w:rsidP="002B34BA">
            <w:pPr>
              <w:jc w:val="both"/>
              <w:rPr>
                <w:i/>
                <w:iCs/>
                <w:sz w:val="22"/>
                <w:szCs w:val="22"/>
                <w:lang w:val="sr-Latn-ME"/>
              </w:rPr>
            </w:pPr>
            <w:r w:rsidRPr="002B34BA">
              <w:rPr>
                <w:i/>
                <w:iCs/>
                <w:sz w:val="22"/>
                <w:szCs w:val="22"/>
                <w:lang w:val="sr-Latn-ME"/>
              </w:rPr>
              <w:t>Nepoznato:</w:t>
            </w:r>
          </w:p>
          <w:p w:rsidR="00AE71EB" w:rsidRPr="002B34BA" w:rsidRDefault="00AE71EB" w:rsidP="002B34BA">
            <w:pPr>
              <w:jc w:val="both"/>
              <w:rPr>
                <w:iCs/>
                <w:sz w:val="22"/>
                <w:szCs w:val="22"/>
                <w:lang w:val="sr-Latn-ME"/>
              </w:rPr>
            </w:pPr>
            <w:r w:rsidRPr="002B34BA">
              <w:rPr>
                <w:sz w:val="22"/>
                <w:szCs w:val="22"/>
                <w:lang w:val="sr-Latn-ME"/>
              </w:rPr>
              <w:t xml:space="preserve">Reakcije preosjetljivosti kao što su urtikarija, edem, anafilaktoidna reakcija </w:t>
            </w:r>
          </w:p>
        </w:tc>
      </w:tr>
      <w:tr w:rsidR="00AE71EB" w:rsidRPr="00551909" w:rsidTr="007143D5">
        <w:tc>
          <w:tcPr>
            <w:tcW w:w="4529" w:type="dxa"/>
            <w:shd w:val="clear" w:color="auto" w:fill="auto"/>
          </w:tcPr>
          <w:p w:rsidR="00AE71EB" w:rsidRPr="002B34BA" w:rsidRDefault="00AE71EB" w:rsidP="002B34BA">
            <w:pPr>
              <w:jc w:val="both"/>
              <w:rPr>
                <w:iCs/>
                <w:sz w:val="22"/>
                <w:szCs w:val="22"/>
                <w:lang w:val="sr-Latn-ME"/>
              </w:rPr>
            </w:pPr>
            <w:r w:rsidRPr="002B34BA">
              <w:rPr>
                <w:iCs/>
                <w:sz w:val="22"/>
                <w:szCs w:val="22"/>
                <w:lang w:val="sr-Latn-ME"/>
              </w:rPr>
              <w:t>Poremećaji kože i potkožnog tkiva</w:t>
            </w:r>
          </w:p>
        </w:tc>
        <w:tc>
          <w:tcPr>
            <w:tcW w:w="4546" w:type="dxa"/>
            <w:shd w:val="clear" w:color="auto" w:fill="auto"/>
          </w:tcPr>
          <w:p w:rsidR="00AE71EB" w:rsidRPr="002B34BA" w:rsidRDefault="00AE71EB" w:rsidP="002B34BA">
            <w:pPr>
              <w:jc w:val="both"/>
              <w:rPr>
                <w:i/>
                <w:sz w:val="22"/>
                <w:szCs w:val="22"/>
                <w:lang w:val="sr-Latn-ME"/>
              </w:rPr>
            </w:pPr>
            <w:r w:rsidRPr="002B34BA">
              <w:rPr>
                <w:i/>
                <w:sz w:val="22"/>
                <w:szCs w:val="22"/>
                <w:lang w:val="sr-Latn-ME"/>
              </w:rPr>
              <w:t xml:space="preserve">Nepoznato: </w:t>
            </w:r>
          </w:p>
          <w:p w:rsidR="00AE71EB" w:rsidRPr="002B34BA" w:rsidRDefault="00AE71EB" w:rsidP="002B34BA">
            <w:pPr>
              <w:jc w:val="both"/>
              <w:rPr>
                <w:rStyle w:val="Emphasis"/>
                <w:bCs/>
                <w:i w:val="0"/>
                <w:iCs w:val="0"/>
                <w:sz w:val="22"/>
                <w:szCs w:val="22"/>
                <w:shd w:val="clear" w:color="auto" w:fill="FFFFFF"/>
                <w:lang w:val="sr-Latn-ME"/>
              </w:rPr>
            </w:pPr>
            <w:r w:rsidRPr="002B34BA">
              <w:rPr>
                <w:sz w:val="22"/>
                <w:szCs w:val="22"/>
                <w:lang w:val="sr-Latn-ME"/>
              </w:rPr>
              <w:t xml:space="preserve">Argirija, </w:t>
            </w:r>
            <w:r w:rsidRPr="002B34BA">
              <w:rPr>
                <w:rStyle w:val="Emphasis"/>
                <w:bCs/>
                <w:i w:val="0"/>
                <w:sz w:val="22"/>
                <w:szCs w:val="22"/>
                <w:shd w:val="clear" w:color="auto" w:fill="FFFFFF"/>
                <w:lang w:val="sr-Latn-ME"/>
              </w:rPr>
              <w:t>kožna dishromija, osip, pruritus, kožne erupcije, ekcem, fotosenzitivne reakcije</w:t>
            </w:r>
          </w:p>
          <w:p w:rsidR="00AE71EB" w:rsidRPr="002B34BA" w:rsidRDefault="00AE71EB" w:rsidP="002B34BA">
            <w:pPr>
              <w:jc w:val="both"/>
              <w:rPr>
                <w:rStyle w:val="Emphasis"/>
                <w:bCs/>
                <w:i w:val="0"/>
                <w:iCs w:val="0"/>
                <w:sz w:val="22"/>
                <w:szCs w:val="22"/>
                <w:shd w:val="clear" w:color="auto" w:fill="FFFFFF"/>
                <w:lang w:val="sr-Latn-ME"/>
              </w:rPr>
            </w:pPr>
            <w:r w:rsidRPr="002B34BA">
              <w:rPr>
                <w:rStyle w:val="Emphasis"/>
                <w:bCs/>
                <w:sz w:val="22"/>
                <w:szCs w:val="22"/>
                <w:shd w:val="clear" w:color="auto" w:fill="FFFFFF"/>
                <w:lang w:val="sr-Latn-ME"/>
              </w:rPr>
              <w:t>Veoma rijetko:</w:t>
            </w:r>
          </w:p>
          <w:p w:rsidR="00AE71EB" w:rsidRPr="002B34BA" w:rsidRDefault="00AE71EB" w:rsidP="002B34BA">
            <w:pPr>
              <w:jc w:val="both"/>
              <w:rPr>
                <w:iCs/>
                <w:sz w:val="22"/>
                <w:szCs w:val="22"/>
                <w:lang w:val="sr-Latn-ME"/>
              </w:rPr>
            </w:pPr>
            <w:r w:rsidRPr="002B34BA">
              <w:rPr>
                <w:rStyle w:val="Emphasis"/>
                <w:bCs/>
                <w:i w:val="0"/>
                <w:sz w:val="22"/>
                <w:szCs w:val="22"/>
                <w:shd w:val="clear" w:color="auto" w:fill="FFFFFF"/>
                <w:lang w:val="sr-Latn-ME"/>
              </w:rPr>
              <w:t>Teške bulozne reakcije</w:t>
            </w:r>
            <w:r w:rsidRPr="002B34BA">
              <w:rPr>
                <w:sz w:val="22"/>
                <w:szCs w:val="22"/>
                <w:shd w:val="clear" w:color="auto" w:fill="FFFFFF"/>
                <w:lang w:val="sr-Latn-ME"/>
              </w:rPr>
              <w:t xml:space="preserve"> kao što je </w:t>
            </w:r>
            <w:r w:rsidRPr="002B34BA">
              <w:rPr>
                <w:sz w:val="22"/>
                <w:szCs w:val="22"/>
                <w:lang w:val="sr-Latn-ME"/>
              </w:rPr>
              <w:t xml:space="preserve">Stevens-Johnsonov sindrom (SJS), toksična epidermalna nekroliza (TEN) (vidjeti dio 4.4). </w:t>
            </w:r>
          </w:p>
        </w:tc>
      </w:tr>
      <w:tr w:rsidR="00AE71EB" w:rsidRPr="00551909" w:rsidTr="007143D5">
        <w:tc>
          <w:tcPr>
            <w:tcW w:w="4529" w:type="dxa"/>
            <w:shd w:val="clear" w:color="auto" w:fill="auto"/>
          </w:tcPr>
          <w:p w:rsidR="00AE71EB" w:rsidRPr="002B34BA" w:rsidRDefault="00AE71EB" w:rsidP="002B34BA">
            <w:pPr>
              <w:jc w:val="both"/>
              <w:rPr>
                <w:iCs/>
                <w:sz w:val="22"/>
                <w:szCs w:val="22"/>
                <w:lang w:val="sr-Latn-ME"/>
              </w:rPr>
            </w:pPr>
            <w:r w:rsidRPr="002B34BA">
              <w:rPr>
                <w:iCs/>
                <w:sz w:val="22"/>
                <w:szCs w:val="22"/>
                <w:lang w:val="sr-Latn-ME"/>
              </w:rPr>
              <w:t>Opšti poremećaji i reakcije na mjestu primjene</w:t>
            </w:r>
          </w:p>
        </w:tc>
        <w:tc>
          <w:tcPr>
            <w:tcW w:w="4546" w:type="dxa"/>
            <w:shd w:val="clear" w:color="auto" w:fill="auto"/>
          </w:tcPr>
          <w:p w:rsidR="00AE71EB" w:rsidRPr="002B34BA" w:rsidRDefault="00AE71EB" w:rsidP="002B34BA">
            <w:pPr>
              <w:jc w:val="both"/>
              <w:rPr>
                <w:i/>
                <w:sz w:val="22"/>
                <w:szCs w:val="22"/>
                <w:lang w:val="sr-Latn-ME"/>
              </w:rPr>
            </w:pPr>
            <w:r w:rsidRPr="002B34BA">
              <w:rPr>
                <w:i/>
                <w:sz w:val="22"/>
                <w:szCs w:val="22"/>
                <w:lang w:val="sr-Latn-ME"/>
              </w:rPr>
              <w:t xml:space="preserve">Nepoznato: </w:t>
            </w:r>
          </w:p>
          <w:p w:rsidR="00AE71EB" w:rsidRPr="002B34BA" w:rsidRDefault="00AE71EB" w:rsidP="002B34BA">
            <w:pPr>
              <w:jc w:val="both"/>
              <w:rPr>
                <w:iCs/>
                <w:sz w:val="22"/>
                <w:szCs w:val="22"/>
                <w:lang w:val="sr-Latn-ME"/>
              </w:rPr>
            </w:pPr>
            <w:r w:rsidRPr="002B34BA">
              <w:rPr>
                <w:sz w:val="22"/>
                <w:szCs w:val="22"/>
                <w:lang w:val="sr-Latn-ME"/>
              </w:rPr>
              <w:t>Reakcije kože kao što su pečenje i pojava eksudata na površini rane</w:t>
            </w:r>
          </w:p>
        </w:tc>
      </w:tr>
      <w:tr w:rsidR="00AE71EB" w:rsidRPr="00551909" w:rsidTr="007143D5">
        <w:tc>
          <w:tcPr>
            <w:tcW w:w="4529" w:type="dxa"/>
            <w:shd w:val="clear" w:color="auto" w:fill="auto"/>
          </w:tcPr>
          <w:p w:rsidR="00AE71EB" w:rsidRPr="002B34BA" w:rsidRDefault="00AE71EB" w:rsidP="008B26EF">
            <w:pPr>
              <w:jc w:val="both"/>
              <w:rPr>
                <w:sz w:val="22"/>
                <w:szCs w:val="22"/>
                <w:lang w:val="sr-Latn-ME"/>
              </w:rPr>
            </w:pPr>
            <w:r w:rsidRPr="002B34BA">
              <w:rPr>
                <w:sz w:val="22"/>
                <w:szCs w:val="22"/>
                <w:lang w:val="sr-Latn-ME"/>
              </w:rPr>
              <w:t>Poremećaji bubrega i mokraćnog sistema</w:t>
            </w:r>
          </w:p>
          <w:p w:rsidR="00AE71EB" w:rsidRPr="002B34BA" w:rsidRDefault="00AE71EB" w:rsidP="002B34BA">
            <w:pPr>
              <w:jc w:val="both"/>
              <w:rPr>
                <w:iCs/>
                <w:sz w:val="22"/>
                <w:szCs w:val="22"/>
                <w:lang w:val="sr-Latn-ME"/>
              </w:rPr>
            </w:pPr>
            <w:r w:rsidRPr="002B34BA">
              <w:rPr>
                <w:iCs/>
                <w:sz w:val="22"/>
                <w:szCs w:val="22"/>
                <w:lang w:val="sr-Latn-ME"/>
              </w:rPr>
              <w:t xml:space="preserve"> </w:t>
            </w:r>
          </w:p>
        </w:tc>
        <w:tc>
          <w:tcPr>
            <w:tcW w:w="4546" w:type="dxa"/>
            <w:shd w:val="clear" w:color="auto" w:fill="auto"/>
          </w:tcPr>
          <w:p w:rsidR="00AE71EB" w:rsidRPr="002B34BA" w:rsidRDefault="00AE71EB" w:rsidP="002B34BA">
            <w:pPr>
              <w:jc w:val="both"/>
              <w:rPr>
                <w:i/>
                <w:sz w:val="22"/>
                <w:szCs w:val="22"/>
                <w:lang w:val="sr-Latn-ME"/>
              </w:rPr>
            </w:pPr>
            <w:r w:rsidRPr="002B34BA">
              <w:rPr>
                <w:i/>
                <w:sz w:val="22"/>
                <w:szCs w:val="22"/>
                <w:lang w:val="sr-Latn-ME"/>
              </w:rPr>
              <w:t>Nepoznato:</w:t>
            </w:r>
          </w:p>
          <w:p w:rsidR="00AE71EB" w:rsidRPr="002B34BA" w:rsidRDefault="00AE71EB" w:rsidP="002B34BA">
            <w:pPr>
              <w:jc w:val="both"/>
              <w:rPr>
                <w:sz w:val="22"/>
                <w:szCs w:val="22"/>
                <w:lang w:val="sr-Latn-ME"/>
              </w:rPr>
            </w:pPr>
            <w:r w:rsidRPr="002B34BA">
              <w:rPr>
                <w:sz w:val="22"/>
                <w:szCs w:val="22"/>
                <w:lang w:val="sr-Latn-ME"/>
              </w:rPr>
              <w:t>Akutna renalna insuficijencija</w:t>
            </w:r>
          </w:p>
        </w:tc>
      </w:tr>
    </w:tbl>
    <w:p w:rsidR="0079543F" w:rsidRPr="002B34BA" w:rsidRDefault="0079543F" w:rsidP="008B26EF">
      <w:pPr>
        <w:jc w:val="both"/>
        <w:rPr>
          <w:bCs/>
          <w:iCs/>
          <w:color w:val="FF0000"/>
          <w:sz w:val="22"/>
          <w:szCs w:val="22"/>
          <w:lang w:val="sr-Latn-ME"/>
        </w:rPr>
      </w:pPr>
    </w:p>
    <w:p w:rsidR="00AE71EB" w:rsidRPr="002B34BA" w:rsidRDefault="00AE71EB" w:rsidP="008B26EF">
      <w:pPr>
        <w:autoSpaceDE w:val="0"/>
        <w:autoSpaceDN w:val="0"/>
        <w:adjustRightInd w:val="0"/>
        <w:jc w:val="both"/>
        <w:rPr>
          <w:rFonts w:eastAsia="Calibri"/>
          <w:b/>
          <w:sz w:val="22"/>
          <w:szCs w:val="22"/>
          <w:lang w:val="sr-Latn-ME"/>
        </w:rPr>
      </w:pPr>
      <w:r w:rsidRPr="002B34BA">
        <w:rPr>
          <w:rFonts w:eastAsia="Calibri"/>
          <w:b/>
          <w:sz w:val="22"/>
          <w:szCs w:val="22"/>
          <w:lang w:val="sr-Latn-ME"/>
        </w:rPr>
        <w:t>Pedijatrijska populacija</w:t>
      </w:r>
    </w:p>
    <w:p w:rsidR="00AE71EB" w:rsidRPr="002B34BA" w:rsidRDefault="00AE71EB" w:rsidP="008B26EF">
      <w:pPr>
        <w:autoSpaceDE w:val="0"/>
        <w:autoSpaceDN w:val="0"/>
        <w:adjustRightInd w:val="0"/>
        <w:jc w:val="both"/>
        <w:rPr>
          <w:rFonts w:eastAsia="Calibri"/>
          <w:b/>
          <w:sz w:val="22"/>
          <w:szCs w:val="22"/>
          <w:lang w:val="sr-Latn-ME"/>
        </w:rPr>
      </w:pPr>
    </w:p>
    <w:p w:rsidR="00AE71EB" w:rsidRPr="002B34BA" w:rsidRDefault="00AE71EB" w:rsidP="008B26EF">
      <w:pPr>
        <w:jc w:val="both"/>
        <w:rPr>
          <w:sz w:val="22"/>
          <w:szCs w:val="22"/>
          <w:lang w:val="sr-Latn-ME"/>
        </w:rPr>
      </w:pPr>
      <w:r w:rsidRPr="002B34BA">
        <w:rPr>
          <w:rStyle w:val="Emphasis"/>
          <w:bCs/>
          <w:i w:val="0"/>
          <w:sz w:val="22"/>
          <w:szCs w:val="22"/>
          <w:shd w:val="clear" w:color="auto" w:fill="FFFFFF"/>
          <w:lang w:val="sr-Latn-ME"/>
        </w:rPr>
        <w:t xml:space="preserve">Primijećena su ozbiljna hematološka neželjena dejstva (citopenija), posebno kod djece mlađe od 2 godine; prema tome, </w:t>
      </w:r>
      <w:r w:rsidRPr="002B34BA">
        <w:rPr>
          <w:sz w:val="22"/>
          <w:szCs w:val="22"/>
          <w:lang w:val="sr-Latn-ME"/>
        </w:rPr>
        <w:t xml:space="preserve">sulfadiazin srebro treba primjenjivati s oprezom kod ove uzrasne grupe (vidjeti dio 4.4). </w:t>
      </w:r>
    </w:p>
    <w:p w:rsidR="00AE71EB" w:rsidRPr="002B34BA" w:rsidRDefault="00AE71EB">
      <w:pPr>
        <w:jc w:val="both"/>
        <w:rPr>
          <w:rFonts w:eastAsia="Calibri"/>
          <w:sz w:val="22"/>
          <w:szCs w:val="22"/>
          <w:u w:val="single"/>
          <w:lang w:val="sr-Latn-ME"/>
        </w:rPr>
      </w:pPr>
      <w:r w:rsidRPr="002B34BA">
        <w:rPr>
          <w:sz w:val="22"/>
          <w:szCs w:val="22"/>
          <w:lang w:val="sr-Latn-ME"/>
        </w:rPr>
        <w:t>Zbog nezrelosti njihovog enzimskog sistema i rizika od nuklearne žutice, primjena lijeka ARGEDIN je kontraindikovana kod novorođenčadi, nedonoščadi i odojčadi mlađe od 2 mjeseca, kao i kod dojilja tokom prvog mjeseca dojenja</w:t>
      </w:r>
      <w:r w:rsidRPr="002B34BA">
        <w:rPr>
          <w:rFonts w:eastAsia="Calibri"/>
          <w:sz w:val="22"/>
          <w:szCs w:val="22"/>
          <w:lang w:val="sr-Latn-ME"/>
        </w:rPr>
        <w:t xml:space="preserve"> </w:t>
      </w:r>
      <w:r w:rsidRPr="002B34BA">
        <w:rPr>
          <w:sz w:val="22"/>
          <w:szCs w:val="22"/>
          <w:lang w:val="sr-Latn-ME"/>
        </w:rPr>
        <w:t xml:space="preserve">(vidjeti djelove 4.3 i 4.6).  </w:t>
      </w:r>
    </w:p>
    <w:p w:rsidR="00AE71EB" w:rsidRPr="002B34BA" w:rsidRDefault="00AE71EB">
      <w:pPr>
        <w:autoSpaceDE w:val="0"/>
        <w:autoSpaceDN w:val="0"/>
        <w:adjustRightInd w:val="0"/>
        <w:jc w:val="both"/>
        <w:rPr>
          <w:rFonts w:eastAsia="Calibri"/>
          <w:sz w:val="22"/>
          <w:szCs w:val="22"/>
          <w:u w:val="single"/>
          <w:lang w:val="sr-Latn-ME"/>
        </w:rPr>
      </w:pPr>
    </w:p>
    <w:p w:rsidR="005944DE" w:rsidRPr="002B34BA" w:rsidRDefault="005944DE" w:rsidP="002B34BA">
      <w:pPr>
        <w:spacing w:line="276" w:lineRule="auto"/>
        <w:jc w:val="both"/>
        <w:rPr>
          <w:rFonts w:eastAsia="Calibri"/>
          <w:sz w:val="22"/>
          <w:szCs w:val="22"/>
          <w:u w:val="single"/>
          <w:lang w:val="sr-Latn-ME"/>
        </w:rPr>
      </w:pPr>
      <w:r w:rsidRPr="002B34BA">
        <w:rPr>
          <w:rFonts w:eastAsia="Calibri"/>
          <w:sz w:val="22"/>
          <w:szCs w:val="22"/>
          <w:u w:val="single"/>
          <w:lang w:val="sr-Latn-ME"/>
        </w:rPr>
        <w:t>Prijavljivanje sumnji na neželjena dejstva</w:t>
      </w:r>
    </w:p>
    <w:p w:rsidR="00ED06A1" w:rsidRDefault="005A23D2" w:rsidP="008B26EF">
      <w:pPr>
        <w:jc w:val="both"/>
        <w:rPr>
          <w:rFonts w:eastAsia="Calibri"/>
          <w:sz w:val="22"/>
          <w:szCs w:val="22"/>
          <w:lang w:val="sr-Latn-ME"/>
        </w:rPr>
      </w:pPr>
      <w:r w:rsidRPr="002B34BA">
        <w:rPr>
          <w:rFonts w:eastAsia="Calibri"/>
          <w:sz w:val="22"/>
          <w:szCs w:val="22"/>
          <w:lang w:val="sr-Latn-ME"/>
        </w:rPr>
        <w:t>Prijavljivanje neželjenih dejstava nakon dobijanja dozvole je od velikog značaja jer obezbjeđuje kont</w:t>
      </w:r>
      <w:r w:rsidR="00EA5765" w:rsidRPr="002B34BA">
        <w:rPr>
          <w:rFonts w:eastAsia="Calibri"/>
          <w:sz w:val="22"/>
          <w:szCs w:val="22"/>
          <w:lang w:val="sr-Latn-ME"/>
        </w:rPr>
        <w:t>inuirano praćenje odnosa korist</w:t>
      </w:r>
      <w:r w:rsidRPr="002B34BA">
        <w:rPr>
          <w:rFonts w:eastAsia="Calibri"/>
          <w:sz w:val="22"/>
          <w:szCs w:val="22"/>
          <w:lang w:val="sr-Latn-ME"/>
        </w:rPr>
        <w:t>/rizik primjene lijeka. Zdravstveni radnici treba da prijave svaku sumnju na neželjeno</w:t>
      </w:r>
      <w:r w:rsidR="009B062A" w:rsidRPr="002B34BA">
        <w:rPr>
          <w:rFonts w:eastAsia="Calibri"/>
          <w:sz w:val="22"/>
          <w:szCs w:val="22"/>
          <w:lang w:val="sr-Latn-ME"/>
        </w:rPr>
        <w:t xml:space="preserve"> </w:t>
      </w:r>
      <w:r w:rsidRPr="002B34BA">
        <w:rPr>
          <w:rFonts w:eastAsia="Calibri"/>
          <w:sz w:val="22"/>
          <w:szCs w:val="22"/>
          <w:lang w:val="sr-Latn-ME"/>
        </w:rPr>
        <w:t xml:space="preserve">dejstvo ovog lijeka </w:t>
      </w:r>
      <w:r w:rsidR="004E70AD" w:rsidRPr="002B34BA">
        <w:rPr>
          <w:rFonts w:eastAsia="Calibri"/>
          <w:sz w:val="22"/>
          <w:szCs w:val="22"/>
          <w:lang w:val="sr-Latn-ME"/>
        </w:rPr>
        <w:t>Institutu</w:t>
      </w:r>
      <w:r w:rsidRPr="002B34BA">
        <w:rPr>
          <w:rFonts w:eastAsia="Calibri"/>
          <w:sz w:val="22"/>
          <w:szCs w:val="22"/>
          <w:lang w:val="sr-Latn-ME"/>
        </w:rPr>
        <w:t xml:space="preserve"> za ljekove i medicinska sredstva</w:t>
      </w:r>
      <w:r w:rsidR="004E70AD" w:rsidRPr="002B34BA">
        <w:rPr>
          <w:rFonts w:eastAsia="Calibri"/>
          <w:sz w:val="22"/>
          <w:szCs w:val="22"/>
          <w:lang w:val="sr-Latn-ME"/>
        </w:rPr>
        <w:t xml:space="preserve"> </w:t>
      </w:r>
      <w:r w:rsidRPr="002B34BA">
        <w:rPr>
          <w:rFonts w:eastAsia="Calibri"/>
          <w:sz w:val="22"/>
          <w:szCs w:val="22"/>
          <w:lang w:val="sr-Latn-ME"/>
        </w:rPr>
        <w:t>(</w:t>
      </w:r>
      <w:r w:rsidR="004E70AD" w:rsidRPr="002B34BA">
        <w:rPr>
          <w:rFonts w:eastAsia="Calibri"/>
          <w:sz w:val="22"/>
          <w:szCs w:val="22"/>
          <w:lang w:val="sr-Latn-ME"/>
        </w:rPr>
        <w:t>CInMED</w:t>
      </w:r>
      <w:r w:rsidRPr="002B34BA">
        <w:rPr>
          <w:rFonts w:eastAsia="Calibri"/>
          <w:sz w:val="22"/>
          <w:szCs w:val="22"/>
          <w:lang w:val="sr-Latn-ME"/>
        </w:rPr>
        <w:t>):</w:t>
      </w:r>
    </w:p>
    <w:p w:rsidR="00ED06A1" w:rsidRDefault="00ED06A1" w:rsidP="008B26EF">
      <w:pPr>
        <w:jc w:val="both"/>
        <w:rPr>
          <w:rFonts w:eastAsia="Calibri"/>
          <w:sz w:val="22"/>
          <w:szCs w:val="22"/>
          <w:lang w:val="sr-Latn-ME"/>
        </w:rPr>
      </w:pPr>
    </w:p>
    <w:p w:rsidR="00ED06A1" w:rsidRPr="002B34BA" w:rsidRDefault="00ED06A1" w:rsidP="008B26EF">
      <w:pPr>
        <w:jc w:val="both"/>
        <w:rPr>
          <w:rFonts w:eastAsia="Calibri"/>
          <w:sz w:val="22"/>
          <w:szCs w:val="22"/>
          <w:lang w:val="sr-Latn-ME"/>
        </w:rPr>
      </w:pPr>
    </w:p>
    <w:p w:rsidR="005A23D2" w:rsidRPr="002B34BA" w:rsidRDefault="004E70AD" w:rsidP="008B26EF">
      <w:pPr>
        <w:pStyle w:val="NoSpacing"/>
        <w:jc w:val="both"/>
        <w:rPr>
          <w:rFonts w:eastAsia="Calibri"/>
          <w:sz w:val="22"/>
          <w:szCs w:val="22"/>
          <w:lang w:val="sr-Latn-ME"/>
        </w:rPr>
      </w:pPr>
      <w:r w:rsidRPr="002B34BA">
        <w:rPr>
          <w:rFonts w:eastAsia="Calibri"/>
          <w:sz w:val="22"/>
          <w:szCs w:val="22"/>
          <w:lang w:val="sr-Latn-ME"/>
        </w:rPr>
        <w:lastRenderedPageBreak/>
        <w:t xml:space="preserve">Institut </w:t>
      </w:r>
      <w:r w:rsidR="005A23D2" w:rsidRPr="002B34BA">
        <w:rPr>
          <w:rFonts w:eastAsia="Calibri"/>
          <w:sz w:val="22"/>
          <w:szCs w:val="22"/>
          <w:lang w:val="sr-Latn-ME"/>
        </w:rPr>
        <w:t xml:space="preserve">za ljekove i medicinska sredstva </w:t>
      </w:r>
    </w:p>
    <w:p w:rsidR="005A23D2" w:rsidRPr="002B34BA" w:rsidRDefault="005A23D2" w:rsidP="008B26EF">
      <w:pPr>
        <w:pStyle w:val="NoSpacing"/>
        <w:jc w:val="both"/>
        <w:rPr>
          <w:rFonts w:eastAsia="Calibri"/>
          <w:sz w:val="22"/>
          <w:szCs w:val="22"/>
          <w:lang w:val="sr-Latn-ME"/>
        </w:rPr>
      </w:pPr>
      <w:r w:rsidRPr="002B34BA">
        <w:rPr>
          <w:rFonts w:eastAsia="Calibri"/>
          <w:sz w:val="22"/>
          <w:szCs w:val="22"/>
          <w:lang w:val="sr-Latn-ME"/>
        </w:rPr>
        <w:t>Odjeljenje za farmakovigilancu</w:t>
      </w:r>
    </w:p>
    <w:p w:rsidR="00EA5765" w:rsidRPr="002B34BA" w:rsidRDefault="005A23D2" w:rsidP="002B34BA">
      <w:pPr>
        <w:pStyle w:val="NoSpacing"/>
        <w:jc w:val="both"/>
        <w:rPr>
          <w:rFonts w:eastAsia="Calibri"/>
          <w:sz w:val="22"/>
          <w:szCs w:val="22"/>
          <w:lang w:val="sr-Latn-ME"/>
        </w:rPr>
      </w:pPr>
      <w:r w:rsidRPr="002B34BA">
        <w:rPr>
          <w:rFonts w:eastAsia="Calibri"/>
          <w:sz w:val="22"/>
          <w:szCs w:val="22"/>
          <w:lang w:val="sr-Latn-ME"/>
        </w:rPr>
        <w:t>Bulevar Ivana Crnojevića 64a, 81000 Podgorica</w:t>
      </w:r>
    </w:p>
    <w:p w:rsidR="005A23D2" w:rsidRPr="002B34BA" w:rsidRDefault="005A23D2" w:rsidP="008B26EF">
      <w:pPr>
        <w:pStyle w:val="NoSpacing"/>
        <w:jc w:val="both"/>
        <w:rPr>
          <w:rFonts w:eastAsia="Calibri"/>
          <w:sz w:val="22"/>
          <w:szCs w:val="22"/>
          <w:lang w:val="sr-Latn-ME"/>
        </w:rPr>
      </w:pPr>
      <w:r w:rsidRPr="002B34BA">
        <w:rPr>
          <w:rFonts w:eastAsia="Calibri"/>
          <w:sz w:val="22"/>
          <w:szCs w:val="22"/>
          <w:lang w:val="sr-Latn-ME"/>
        </w:rPr>
        <w:t>tel: +382 (0) 20 310 280</w:t>
      </w:r>
    </w:p>
    <w:p w:rsidR="00EA5765" w:rsidRPr="002B34BA" w:rsidRDefault="005A23D2" w:rsidP="008B26EF">
      <w:pPr>
        <w:pStyle w:val="NoSpacing"/>
        <w:tabs>
          <w:tab w:val="left" w:pos="6720"/>
        </w:tabs>
        <w:jc w:val="both"/>
        <w:rPr>
          <w:rFonts w:eastAsia="Calibri"/>
          <w:sz w:val="22"/>
          <w:szCs w:val="22"/>
          <w:lang w:val="sr-Latn-ME"/>
        </w:rPr>
      </w:pPr>
      <w:r w:rsidRPr="002B34BA">
        <w:rPr>
          <w:rFonts w:eastAsia="Calibri"/>
          <w:sz w:val="22"/>
          <w:szCs w:val="22"/>
          <w:lang w:val="sr-Latn-ME"/>
        </w:rPr>
        <w:t>fax:</w:t>
      </w:r>
      <w:r w:rsidR="00EA5765" w:rsidRPr="002B34BA">
        <w:rPr>
          <w:rFonts w:eastAsia="Calibri"/>
          <w:sz w:val="22"/>
          <w:szCs w:val="22"/>
          <w:lang w:val="sr-Latn-ME"/>
        </w:rPr>
        <w:t xml:space="preserve"> </w:t>
      </w:r>
      <w:r w:rsidRPr="002B34BA">
        <w:rPr>
          <w:rFonts w:eastAsia="Calibri"/>
          <w:sz w:val="22"/>
          <w:szCs w:val="22"/>
          <w:lang w:val="sr-Latn-ME"/>
        </w:rPr>
        <w:t>+382 (0) 20 310 581</w:t>
      </w:r>
      <w:r w:rsidR="00FF3EDF" w:rsidRPr="002B34BA">
        <w:rPr>
          <w:rFonts w:eastAsia="Calibri"/>
          <w:sz w:val="22"/>
          <w:szCs w:val="22"/>
          <w:lang w:val="sr-Latn-ME"/>
        </w:rPr>
        <w:tab/>
      </w:r>
    </w:p>
    <w:p w:rsidR="005A23D2" w:rsidRPr="002B34BA" w:rsidRDefault="00E73E35" w:rsidP="008B26EF">
      <w:pPr>
        <w:pStyle w:val="NoSpacing"/>
        <w:jc w:val="both"/>
        <w:rPr>
          <w:rFonts w:eastAsia="Calibri"/>
          <w:sz w:val="22"/>
          <w:szCs w:val="22"/>
          <w:lang w:val="sr-Latn-ME"/>
        </w:rPr>
      </w:pPr>
      <w:hyperlink r:id="rId8" w:history="1">
        <w:r w:rsidR="004E70AD" w:rsidRPr="002B34BA">
          <w:rPr>
            <w:rStyle w:val="Hyperlink"/>
            <w:rFonts w:eastAsia="Calibri"/>
            <w:sz w:val="22"/>
            <w:szCs w:val="22"/>
            <w:lang w:val="sr-Latn-ME"/>
          </w:rPr>
          <w:t>www.cinmed.me</w:t>
        </w:r>
      </w:hyperlink>
    </w:p>
    <w:p w:rsidR="00EA5765" w:rsidRPr="002B34BA" w:rsidRDefault="00E73E35" w:rsidP="008B26EF">
      <w:pPr>
        <w:pStyle w:val="NoSpacing"/>
        <w:jc w:val="both"/>
        <w:rPr>
          <w:rFonts w:eastAsia="Calibri"/>
          <w:color w:val="0000FF"/>
          <w:sz w:val="22"/>
          <w:szCs w:val="22"/>
          <w:u w:val="single"/>
          <w:lang w:val="sr-Latn-ME"/>
        </w:rPr>
      </w:pPr>
      <w:hyperlink r:id="rId9" w:history="1">
        <w:r w:rsidR="004E70AD" w:rsidRPr="002B34BA">
          <w:rPr>
            <w:rStyle w:val="Hyperlink"/>
            <w:rFonts w:eastAsia="Calibri"/>
            <w:sz w:val="22"/>
            <w:szCs w:val="22"/>
            <w:lang w:val="sr-Latn-ME"/>
          </w:rPr>
          <w:t>nezeljenadejstva@cinmed.me</w:t>
        </w:r>
      </w:hyperlink>
    </w:p>
    <w:p w:rsidR="005A23D2" w:rsidRPr="002B34BA" w:rsidRDefault="005A23D2" w:rsidP="008B26EF">
      <w:pPr>
        <w:pStyle w:val="NoSpacing"/>
        <w:jc w:val="both"/>
        <w:rPr>
          <w:rFonts w:eastAsia="Calibri"/>
          <w:sz w:val="22"/>
          <w:szCs w:val="22"/>
          <w:lang w:val="sr-Latn-ME"/>
        </w:rPr>
      </w:pPr>
      <w:r w:rsidRPr="002B34BA">
        <w:rPr>
          <w:rFonts w:eastAsia="Calibri"/>
          <w:sz w:val="22"/>
          <w:szCs w:val="22"/>
          <w:lang w:val="sr-Latn-ME"/>
        </w:rPr>
        <w:t>putem IS zdravstvene zaštite</w:t>
      </w:r>
    </w:p>
    <w:p w:rsidR="007E31E9" w:rsidRPr="002B34BA" w:rsidRDefault="007E31E9">
      <w:pPr>
        <w:pStyle w:val="NoSpacing"/>
        <w:jc w:val="both"/>
        <w:rPr>
          <w:rFonts w:eastAsia="Calibri"/>
          <w:sz w:val="22"/>
          <w:szCs w:val="22"/>
          <w:lang w:val="sr-Latn-ME"/>
        </w:rPr>
      </w:pPr>
      <w:r w:rsidRPr="002B34BA">
        <w:rPr>
          <w:rFonts w:eastAsia="Calibri"/>
          <w:sz w:val="22"/>
          <w:szCs w:val="22"/>
          <w:lang w:val="sr-Latn-ME"/>
        </w:rPr>
        <w:t>QR kod za online prijavu</w:t>
      </w:r>
      <w:r w:rsidR="00D74CD2" w:rsidRPr="002B34BA">
        <w:rPr>
          <w:rFonts w:eastAsia="Calibri"/>
          <w:sz w:val="22"/>
          <w:szCs w:val="22"/>
          <w:lang w:val="sr-Latn-ME"/>
        </w:rPr>
        <w:t xml:space="preserve"> sumnje na neželjeno dejstvo lijeka</w:t>
      </w:r>
      <w:r w:rsidRPr="002B34BA">
        <w:rPr>
          <w:rFonts w:eastAsia="Calibri"/>
          <w:sz w:val="22"/>
          <w:szCs w:val="22"/>
          <w:lang w:val="sr-Latn-ME"/>
        </w:rPr>
        <w:t>:</w:t>
      </w:r>
    </w:p>
    <w:p w:rsidR="007E31E9" w:rsidRPr="002B34BA" w:rsidRDefault="007E31E9">
      <w:pPr>
        <w:pStyle w:val="NoSpacing"/>
        <w:jc w:val="both"/>
        <w:rPr>
          <w:rFonts w:eastAsia="Calibri"/>
          <w:sz w:val="22"/>
          <w:szCs w:val="22"/>
          <w:lang w:val="sr-Latn-ME"/>
        </w:rPr>
      </w:pPr>
    </w:p>
    <w:p w:rsidR="004F17E2" w:rsidRPr="002B34BA" w:rsidRDefault="00CD5DF9" w:rsidP="002B34BA">
      <w:pPr>
        <w:pStyle w:val="NoSpacing"/>
        <w:jc w:val="both"/>
        <w:rPr>
          <w:rFonts w:eastAsia="Calibri"/>
          <w:sz w:val="22"/>
          <w:szCs w:val="22"/>
          <w:lang w:val="sr-Latn-ME"/>
        </w:rPr>
      </w:pPr>
      <w:r w:rsidRPr="002B34BA">
        <w:rPr>
          <w:b/>
          <w:bCs/>
          <w:noProof/>
          <w:sz w:val="22"/>
          <w:szCs w:val="22"/>
        </w:rPr>
        <w:drawing>
          <wp:inline distT="0" distB="0" distL="0" distR="0" wp14:anchorId="2EE84D66" wp14:editId="20EE002C">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836B35" w:rsidRPr="002B34BA" w:rsidRDefault="00836B35" w:rsidP="002B34BA">
      <w:pPr>
        <w:tabs>
          <w:tab w:val="left" w:pos="540"/>
          <w:tab w:val="left" w:pos="569"/>
        </w:tabs>
        <w:jc w:val="both"/>
        <w:rPr>
          <w:b/>
          <w:bCs/>
          <w:sz w:val="22"/>
          <w:szCs w:val="22"/>
          <w:lang w:val="sr-Latn-ME"/>
        </w:rPr>
      </w:pPr>
    </w:p>
    <w:p w:rsidR="00CD6F02" w:rsidRPr="002B34BA" w:rsidRDefault="0072020E" w:rsidP="002B34BA">
      <w:pPr>
        <w:tabs>
          <w:tab w:val="left" w:pos="540"/>
          <w:tab w:val="left" w:pos="569"/>
        </w:tabs>
        <w:jc w:val="both"/>
        <w:rPr>
          <w:b/>
          <w:bCs/>
          <w:sz w:val="22"/>
          <w:szCs w:val="22"/>
          <w:lang w:val="sr-Latn-ME"/>
        </w:rPr>
      </w:pPr>
      <w:r w:rsidRPr="002B34BA">
        <w:rPr>
          <w:b/>
          <w:bCs/>
          <w:sz w:val="22"/>
          <w:szCs w:val="22"/>
          <w:lang w:val="sr-Latn-ME"/>
        </w:rPr>
        <w:t xml:space="preserve">4.9. </w:t>
      </w:r>
      <w:r w:rsidR="00480FB1" w:rsidRPr="002B34BA">
        <w:rPr>
          <w:b/>
          <w:bCs/>
          <w:sz w:val="22"/>
          <w:szCs w:val="22"/>
          <w:lang w:val="sr-Latn-ME"/>
        </w:rPr>
        <w:tab/>
      </w:r>
      <w:r w:rsidRPr="002B34BA">
        <w:rPr>
          <w:b/>
          <w:bCs/>
          <w:sz w:val="22"/>
          <w:szCs w:val="22"/>
          <w:lang w:val="sr-Latn-ME"/>
        </w:rPr>
        <w:t>Predoziranje</w:t>
      </w:r>
      <w:r w:rsidR="002846DB" w:rsidRPr="002B34BA">
        <w:rPr>
          <w:b/>
          <w:bCs/>
          <w:sz w:val="22"/>
          <w:szCs w:val="22"/>
          <w:lang w:val="sr-Latn-ME"/>
        </w:rPr>
        <w:t xml:space="preserve"> </w:t>
      </w:r>
    </w:p>
    <w:p w:rsidR="00AE71EB" w:rsidRPr="002B34BA" w:rsidRDefault="00AE71EB" w:rsidP="008B26EF">
      <w:pPr>
        <w:autoSpaceDE w:val="0"/>
        <w:autoSpaceDN w:val="0"/>
        <w:adjustRightInd w:val="0"/>
        <w:jc w:val="both"/>
        <w:rPr>
          <w:rFonts w:eastAsia="Calibri"/>
          <w:sz w:val="22"/>
          <w:szCs w:val="22"/>
          <w:lang w:val="sr-Latn-ME"/>
        </w:rPr>
      </w:pPr>
    </w:p>
    <w:p w:rsidR="00AE71EB" w:rsidRPr="002B34BA" w:rsidRDefault="00AE71EB" w:rsidP="008B26EF">
      <w:pPr>
        <w:autoSpaceDE w:val="0"/>
        <w:autoSpaceDN w:val="0"/>
        <w:adjustRightInd w:val="0"/>
        <w:jc w:val="both"/>
        <w:rPr>
          <w:rFonts w:eastAsia="Calibri"/>
          <w:sz w:val="22"/>
          <w:szCs w:val="22"/>
          <w:lang w:val="sr-Latn-ME"/>
        </w:rPr>
      </w:pPr>
      <w:r w:rsidRPr="002B34BA">
        <w:rPr>
          <w:rFonts w:eastAsia="Calibri"/>
          <w:sz w:val="22"/>
          <w:szCs w:val="22"/>
          <w:lang w:val="sr-Latn-ME"/>
        </w:rPr>
        <w:t>Nije isključena sistemska resorpcija lijeka, koja zavisi od opsega i ozbiljnosti tretiranih kožnih lezija, primijenjenih doza i trajanja liječenja.</w:t>
      </w:r>
    </w:p>
    <w:p w:rsidR="00AE71EB" w:rsidRPr="002B34BA" w:rsidRDefault="00AE71EB" w:rsidP="008B26EF">
      <w:pPr>
        <w:autoSpaceDE w:val="0"/>
        <w:autoSpaceDN w:val="0"/>
        <w:adjustRightInd w:val="0"/>
        <w:jc w:val="both"/>
        <w:rPr>
          <w:rFonts w:eastAsia="Calibri"/>
          <w:sz w:val="22"/>
          <w:szCs w:val="22"/>
          <w:lang w:val="sr-Latn-ME"/>
        </w:rPr>
      </w:pPr>
    </w:p>
    <w:p w:rsidR="00AE71EB" w:rsidRPr="002B34BA" w:rsidRDefault="00AE71EB" w:rsidP="008B26EF">
      <w:pPr>
        <w:autoSpaceDE w:val="0"/>
        <w:autoSpaceDN w:val="0"/>
        <w:adjustRightInd w:val="0"/>
        <w:jc w:val="both"/>
        <w:rPr>
          <w:rFonts w:eastAsia="Calibri"/>
          <w:sz w:val="22"/>
          <w:szCs w:val="22"/>
          <w:u w:val="single"/>
          <w:lang w:val="sr-Latn-ME"/>
        </w:rPr>
      </w:pPr>
      <w:r w:rsidRPr="002B34BA">
        <w:rPr>
          <w:rFonts w:eastAsia="Calibri"/>
          <w:sz w:val="22"/>
          <w:szCs w:val="22"/>
          <w:u w:val="single"/>
          <w:lang w:val="sr-Latn-ME"/>
        </w:rPr>
        <w:t xml:space="preserve">Simptomi: </w:t>
      </w:r>
    </w:p>
    <w:p w:rsidR="00AE71EB" w:rsidRPr="002B34BA" w:rsidRDefault="00AE71EB">
      <w:pPr>
        <w:jc w:val="both"/>
        <w:rPr>
          <w:sz w:val="22"/>
          <w:szCs w:val="22"/>
          <w:lang w:val="sr-Latn-ME"/>
        </w:rPr>
      </w:pPr>
      <w:r w:rsidRPr="002B34BA">
        <w:rPr>
          <w:sz w:val="22"/>
          <w:szCs w:val="22"/>
          <w:lang w:val="sr-Latn-ME"/>
        </w:rPr>
        <w:t>Nakon dugotrajne primjene velikih doza sulfadiazin srebra, može se pojaviti povećan nivo srebra u serumu. Simptomi koji se pri tome javljaju mogu biti neurološkog, renalnog, hepatičnog, respiratornog, gastrointestinalnog i hematološkog porijekla.</w:t>
      </w:r>
    </w:p>
    <w:p w:rsidR="00AE71EB" w:rsidRPr="002B34BA" w:rsidRDefault="00AE71EB">
      <w:pPr>
        <w:autoSpaceDE w:val="0"/>
        <w:autoSpaceDN w:val="0"/>
        <w:adjustRightInd w:val="0"/>
        <w:jc w:val="both"/>
        <w:rPr>
          <w:rFonts w:eastAsia="Calibri"/>
          <w:sz w:val="22"/>
          <w:szCs w:val="22"/>
          <w:lang w:val="sr-Latn-ME"/>
        </w:rPr>
      </w:pPr>
      <w:r w:rsidRPr="002B34BA">
        <w:rPr>
          <w:rFonts w:eastAsia="Calibri"/>
          <w:sz w:val="22"/>
          <w:szCs w:val="22"/>
          <w:lang w:val="sr-Latn-ME"/>
        </w:rPr>
        <w:t xml:space="preserve">Dodatno, može se primijetiti plavo-siva obojenost kože i </w:t>
      </w:r>
      <w:r w:rsidRPr="002B34BA">
        <w:rPr>
          <w:rStyle w:val="Emphasis"/>
          <w:bCs/>
          <w:i w:val="0"/>
          <w:sz w:val="22"/>
          <w:szCs w:val="22"/>
          <w:shd w:val="clear" w:color="auto" w:fill="FFFFFF"/>
          <w:lang w:val="sr-Latn-ME"/>
        </w:rPr>
        <w:t>beonjača</w:t>
      </w:r>
      <w:r w:rsidRPr="002B34BA">
        <w:rPr>
          <w:rFonts w:eastAsia="Calibri"/>
          <w:i/>
          <w:sz w:val="22"/>
          <w:szCs w:val="22"/>
          <w:lang w:val="sr-Latn-ME"/>
        </w:rPr>
        <w:t>.</w:t>
      </w:r>
      <w:r w:rsidRPr="002B34BA">
        <w:rPr>
          <w:rFonts w:eastAsia="Calibri"/>
          <w:sz w:val="22"/>
          <w:szCs w:val="22"/>
          <w:lang w:val="sr-Latn-ME"/>
        </w:rPr>
        <w:t xml:space="preserve">  </w:t>
      </w:r>
    </w:p>
    <w:p w:rsidR="00AE71EB" w:rsidRPr="002B34BA" w:rsidRDefault="00AE71EB">
      <w:pPr>
        <w:autoSpaceDE w:val="0"/>
        <w:autoSpaceDN w:val="0"/>
        <w:adjustRightInd w:val="0"/>
        <w:jc w:val="both"/>
        <w:rPr>
          <w:rFonts w:eastAsia="Calibri"/>
          <w:sz w:val="22"/>
          <w:szCs w:val="22"/>
          <w:lang w:val="sr-Latn-ME"/>
        </w:rPr>
      </w:pPr>
    </w:p>
    <w:p w:rsidR="00AE71EB" w:rsidRPr="002B34BA" w:rsidRDefault="00CD5DF9">
      <w:pPr>
        <w:autoSpaceDE w:val="0"/>
        <w:autoSpaceDN w:val="0"/>
        <w:adjustRightInd w:val="0"/>
        <w:jc w:val="both"/>
        <w:rPr>
          <w:rFonts w:eastAsia="Calibri"/>
          <w:sz w:val="22"/>
          <w:szCs w:val="22"/>
          <w:u w:val="single"/>
          <w:lang w:val="sr-Latn-ME"/>
        </w:rPr>
      </w:pPr>
      <w:r w:rsidRPr="002B34BA">
        <w:rPr>
          <w:rFonts w:eastAsia="Calibri"/>
          <w:sz w:val="22"/>
          <w:szCs w:val="22"/>
          <w:u w:val="single"/>
          <w:lang w:val="sr-Latn-ME"/>
        </w:rPr>
        <w:t>Liječenje</w:t>
      </w:r>
      <w:r w:rsidR="00AE71EB" w:rsidRPr="002B34BA">
        <w:rPr>
          <w:rFonts w:eastAsia="Calibri"/>
          <w:sz w:val="22"/>
          <w:szCs w:val="22"/>
          <w:u w:val="single"/>
          <w:lang w:val="sr-Latn-ME"/>
        </w:rPr>
        <w:t>:</w:t>
      </w:r>
    </w:p>
    <w:p w:rsidR="00AE71EB" w:rsidRPr="002B34BA" w:rsidRDefault="00AE71EB">
      <w:pPr>
        <w:jc w:val="both"/>
        <w:rPr>
          <w:sz w:val="22"/>
          <w:szCs w:val="22"/>
          <w:lang w:val="sr-Latn-ME"/>
        </w:rPr>
      </w:pPr>
      <w:r w:rsidRPr="002B34BA">
        <w:rPr>
          <w:sz w:val="22"/>
          <w:szCs w:val="22"/>
          <w:lang w:val="sr-Latn-ME"/>
        </w:rPr>
        <w:t>Pri predoziranju, potrebno je prekinuti primjenu lijeka, kao i preduzeti simptomatske mjere. Ako je neophodno, potrebno je pratiti funkciju bubrega i kontrolisati krvnu sliku. Resorbovani sulfadiazin se brzo eliminiše iz organizma postupkom hemodijalize, kao i peritonealne dijalize.</w:t>
      </w:r>
    </w:p>
    <w:p w:rsidR="005944DE" w:rsidRPr="002B34BA" w:rsidRDefault="005944DE" w:rsidP="002B34BA">
      <w:pPr>
        <w:tabs>
          <w:tab w:val="left" w:pos="540"/>
          <w:tab w:val="left" w:pos="569"/>
        </w:tabs>
        <w:jc w:val="both"/>
        <w:rPr>
          <w:sz w:val="22"/>
          <w:szCs w:val="22"/>
          <w:lang w:val="sr-Latn-ME"/>
        </w:rPr>
      </w:pPr>
    </w:p>
    <w:p w:rsidR="00227BDB" w:rsidRPr="002B34BA" w:rsidRDefault="00227BDB" w:rsidP="008B26EF">
      <w:pPr>
        <w:tabs>
          <w:tab w:val="left" w:pos="540"/>
          <w:tab w:val="left" w:pos="569"/>
        </w:tabs>
        <w:jc w:val="both"/>
        <w:rPr>
          <w:b/>
          <w:bCs/>
          <w:sz w:val="22"/>
          <w:szCs w:val="22"/>
          <w:lang w:val="sr-Latn-ME"/>
        </w:rPr>
      </w:pPr>
    </w:p>
    <w:p w:rsidR="0072020E" w:rsidRPr="002B34BA" w:rsidRDefault="0072020E" w:rsidP="002B34BA">
      <w:pPr>
        <w:tabs>
          <w:tab w:val="left" w:pos="540"/>
          <w:tab w:val="left" w:pos="569"/>
        </w:tabs>
        <w:jc w:val="both"/>
        <w:rPr>
          <w:b/>
          <w:bCs/>
          <w:sz w:val="22"/>
          <w:szCs w:val="22"/>
          <w:lang w:val="sr-Latn-ME"/>
        </w:rPr>
      </w:pPr>
      <w:r w:rsidRPr="002B34BA">
        <w:rPr>
          <w:b/>
          <w:bCs/>
          <w:sz w:val="22"/>
          <w:szCs w:val="22"/>
          <w:lang w:val="sr-Latn-ME"/>
        </w:rPr>
        <w:t xml:space="preserve">5. </w:t>
      </w:r>
      <w:r w:rsidR="00480FB1" w:rsidRPr="002B34BA">
        <w:rPr>
          <w:b/>
          <w:bCs/>
          <w:sz w:val="22"/>
          <w:szCs w:val="22"/>
          <w:lang w:val="sr-Latn-ME"/>
        </w:rPr>
        <w:tab/>
      </w:r>
      <w:r w:rsidRPr="002B34BA">
        <w:rPr>
          <w:b/>
          <w:bCs/>
          <w:sz w:val="22"/>
          <w:szCs w:val="22"/>
          <w:lang w:val="sr-Latn-ME"/>
        </w:rPr>
        <w:t>FARMAKOLOŠK</w:t>
      </w:r>
      <w:r w:rsidR="000D425A" w:rsidRPr="002B34BA">
        <w:rPr>
          <w:b/>
          <w:bCs/>
          <w:sz w:val="22"/>
          <w:szCs w:val="22"/>
          <w:lang w:val="sr-Latn-ME"/>
        </w:rPr>
        <w:t>I</w:t>
      </w:r>
      <w:r w:rsidRPr="002B34BA">
        <w:rPr>
          <w:b/>
          <w:bCs/>
          <w:sz w:val="22"/>
          <w:szCs w:val="22"/>
          <w:lang w:val="sr-Latn-ME"/>
        </w:rPr>
        <w:t xml:space="preserve"> PODACI</w:t>
      </w:r>
    </w:p>
    <w:p w:rsidR="0072020E" w:rsidRPr="002B34BA" w:rsidRDefault="0072020E" w:rsidP="002B34BA">
      <w:pPr>
        <w:tabs>
          <w:tab w:val="left" w:pos="540"/>
          <w:tab w:val="left" w:pos="569"/>
        </w:tabs>
        <w:jc w:val="both"/>
        <w:rPr>
          <w:b/>
          <w:bCs/>
          <w:sz w:val="22"/>
          <w:szCs w:val="22"/>
          <w:lang w:val="sr-Latn-ME"/>
        </w:rPr>
      </w:pPr>
    </w:p>
    <w:p w:rsidR="0072020E" w:rsidRPr="002B34BA" w:rsidRDefault="0072020E" w:rsidP="002B34BA">
      <w:pPr>
        <w:tabs>
          <w:tab w:val="left" w:pos="540"/>
          <w:tab w:val="left" w:pos="569"/>
        </w:tabs>
        <w:jc w:val="both"/>
        <w:rPr>
          <w:b/>
          <w:bCs/>
          <w:sz w:val="22"/>
          <w:szCs w:val="22"/>
          <w:lang w:val="sr-Latn-ME"/>
        </w:rPr>
      </w:pPr>
      <w:r w:rsidRPr="002B34BA">
        <w:rPr>
          <w:b/>
          <w:bCs/>
          <w:sz w:val="22"/>
          <w:szCs w:val="22"/>
          <w:lang w:val="sr-Latn-ME"/>
        </w:rPr>
        <w:t xml:space="preserve">5.1. </w:t>
      </w:r>
      <w:r w:rsidR="00480FB1" w:rsidRPr="002B34BA">
        <w:rPr>
          <w:b/>
          <w:bCs/>
          <w:sz w:val="22"/>
          <w:szCs w:val="22"/>
          <w:lang w:val="sr-Latn-ME"/>
        </w:rPr>
        <w:tab/>
      </w:r>
      <w:r w:rsidRPr="002B34BA">
        <w:rPr>
          <w:b/>
          <w:bCs/>
          <w:sz w:val="22"/>
          <w:szCs w:val="22"/>
          <w:lang w:val="sr-Latn-ME"/>
        </w:rPr>
        <w:t>Farmakodinamski podaci</w:t>
      </w:r>
      <w:r w:rsidR="003A7059" w:rsidRPr="002B34BA">
        <w:rPr>
          <w:b/>
          <w:bCs/>
          <w:sz w:val="22"/>
          <w:szCs w:val="22"/>
          <w:lang w:val="sr-Latn-ME"/>
        </w:rPr>
        <w:t xml:space="preserve"> </w:t>
      </w:r>
    </w:p>
    <w:p w:rsidR="005944DE" w:rsidRPr="002B34BA" w:rsidRDefault="005944DE" w:rsidP="002B34BA">
      <w:pPr>
        <w:tabs>
          <w:tab w:val="left" w:pos="540"/>
          <w:tab w:val="left" w:pos="569"/>
        </w:tabs>
        <w:jc w:val="both"/>
        <w:rPr>
          <w:b/>
          <w:bCs/>
          <w:sz w:val="22"/>
          <w:szCs w:val="22"/>
          <w:lang w:val="sr-Latn-ME"/>
        </w:rPr>
      </w:pPr>
    </w:p>
    <w:p w:rsidR="00AE71EB" w:rsidRPr="002B34BA" w:rsidRDefault="00AE71EB" w:rsidP="008B26EF">
      <w:pPr>
        <w:tabs>
          <w:tab w:val="left" w:pos="540"/>
          <w:tab w:val="left" w:pos="569"/>
        </w:tabs>
        <w:jc w:val="both"/>
        <w:rPr>
          <w:bCs/>
          <w:sz w:val="22"/>
          <w:szCs w:val="22"/>
          <w:lang w:val="sr-Latn-ME"/>
        </w:rPr>
      </w:pPr>
      <w:r w:rsidRPr="002B34BA">
        <w:rPr>
          <w:bCs/>
          <w:sz w:val="22"/>
          <w:szCs w:val="22"/>
          <w:lang w:val="sr-Latn-ME"/>
        </w:rPr>
        <w:t xml:space="preserve">Farmakoterapijska grupa: </w:t>
      </w:r>
      <w:r w:rsidRPr="002B34BA">
        <w:rPr>
          <w:sz w:val="22"/>
          <w:szCs w:val="22"/>
          <w:lang w:val="sr-Latn-ME"/>
        </w:rPr>
        <w:t>Hemoterapeutici za topikalnu primjenu; podgrupa: Sulfonamidi.</w:t>
      </w:r>
    </w:p>
    <w:p w:rsidR="00AE71EB" w:rsidRPr="002B34BA" w:rsidRDefault="00AE71EB" w:rsidP="008B26EF">
      <w:pPr>
        <w:jc w:val="both"/>
        <w:rPr>
          <w:sz w:val="22"/>
          <w:szCs w:val="22"/>
          <w:lang w:val="sr-Latn-ME"/>
        </w:rPr>
      </w:pPr>
      <w:r w:rsidRPr="002B34BA">
        <w:rPr>
          <w:sz w:val="22"/>
          <w:szCs w:val="22"/>
          <w:lang w:val="sr-Latn-ME"/>
        </w:rPr>
        <w:t>ATC kod: D06BA01.</w:t>
      </w:r>
    </w:p>
    <w:p w:rsidR="00AE71EB" w:rsidRPr="002B34BA" w:rsidRDefault="00AE71EB" w:rsidP="008B26EF">
      <w:pPr>
        <w:tabs>
          <w:tab w:val="left" w:pos="540"/>
          <w:tab w:val="left" w:pos="569"/>
        </w:tabs>
        <w:jc w:val="both"/>
        <w:rPr>
          <w:rStyle w:val="Emphasis"/>
          <w:bCs/>
          <w:i w:val="0"/>
          <w:iCs w:val="0"/>
          <w:sz w:val="22"/>
          <w:szCs w:val="22"/>
          <w:shd w:val="clear" w:color="auto" w:fill="FFFFFF"/>
          <w:lang w:val="sr-Latn-ME"/>
        </w:rPr>
      </w:pPr>
    </w:p>
    <w:p w:rsidR="00AE71EB" w:rsidRPr="002B34BA" w:rsidRDefault="00AE71EB" w:rsidP="008B26EF">
      <w:pPr>
        <w:tabs>
          <w:tab w:val="left" w:pos="540"/>
          <w:tab w:val="left" w:pos="569"/>
        </w:tabs>
        <w:jc w:val="both"/>
        <w:rPr>
          <w:bCs/>
          <w:sz w:val="22"/>
          <w:szCs w:val="22"/>
          <w:lang w:val="sr-Latn-ME"/>
        </w:rPr>
      </w:pPr>
      <w:r w:rsidRPr="002B34BA">
        <w:rPr>
          <w:rStyle w:val="Emphasis"/>
          <w:bCs/>
          <w:i w:val="0"/>
          <w:sz w:val="22"/>
          <w:szCs w:val="22"/>
          <w:shd w:val="clear" w:color="auto" w:fill="FFFFFF"/>
          <w:lang w:val="sr-Latn-ME"/>
        </w:rPr>
        <w:t xml:space="preserve">Nivo dokaza </w:t>
      </w:r>
      <w:r w:rsidRPr="002B34BA">
        <w:rPr>
          <w:sz w:val="22"/>
          <w:szCs w:val="22"/>
          <w:shd w:val="clear" w:color="auto" w:fill="FFFFFF"/>
          <w:lang w:val="sr-Latn-ME"/>
        </w:rPr>
        <w:t>o</w:t>
      </w:r>
      <w:r w:rsidRPr="002B34BA">
        <w:rPr>
          <w:i/>
          <w:sz w:val="22"/>
          <w:szCs w:val="22"/>
          <w:shd w:val="clear" w:color="auto" w:fill="FFFFFF"/>
          <w:lang w:val="sr-Latn-ME"/>
        </w:rPr>
        <w:t> </w:t>
      </w:r>
      <w:r w:rsidRPr="002B34BA">
        <w:rPr>
          <w:rStyle w:val="Emphasis"/>
          <w:bCs/>
          <w:i w:val="0"/>
          <w:sz w:val="22"/>
          <w:szCs w:val="22"/>
          <w:shd w:val="clear" w:color="auto" w:fill="FFFFFF"/>
          <w:lang w:val="sr-Latn-ME"/>
        </w:rPr>
        <w:t xml:space="preserve">efikasnosti </w:t>
      </w:r>
      <w:r w:rsidRPr="002B34BA">
        <w:rPr>
          <w:bCs/>
          <w:sz w:val="22"/>
          <w:szCs w:val="22"/>
          <w:lang w:val="sr-Latn-ME"/>
        </w:rPr>
        <w:t>sulfadiazin</w:t>
      </w:r>
      <w:r w:rsidRPr="002B34BA">
        <w:rPr>
          <w:bCs/>
          <w:i/>
          <w:sz w:val="22"/>
          <w:szCs w:val="22"/>
          <w:lang w:val="sr-Latn-ME"/>
        </w:rPr>
        <w:t xml:space="preserve"> </w:t>
      </w:r>
      <w:r w:rsidRPr="002B34BA">
        <w:rPr>
          <w:bCs/>
          <w:sz w:val="22"/>
          <w:szCs w:val="22"/>
          <w:lang w:val="sr-Latn-ME"/>
        </w:rPr>
        <w:t xml:space="preserve">srebra je nizak, ali je dobro poznata njegova upotreba koja se zasniva na </w:t>
      </w:r>
      <w:r w:rsidRPr="002B34BA">
        <w:rPr>
          <w:rStyle w:val="Emphasis"/>
          <w:bCs/>
          <w:i w:val="0"/>
          <w:sz w:val="22"/>
          <w:szCs w:val="22"/>
          <w:shd w:val="clear" w:color="auto" w:fill="FFFFFF"/>
          <w:lang w:val="sr-Latn-ME"/>
        </w:rPr>
        <w:t xml:space="preserve">preporukama u liječenju </w:t>
      </w:r>
      <w:r w:rsidRPr="002B34BA">
        <w:rPr>
          <w:bCs/>
          <w:sz w:val="22"/>
          <w:szCs w:val="22"/>
          <w:lang w:val="sr-Latn-ME"/>
        </w:rPr>
        <w:t>opekotina.</w:t>
      </w:r>
    </w:p>
    <w:p w:rsidR="00AE71EB" w:rsidRPr="002B34BA" w:rsidRDefault="00AE71EB">
      <w:pPr>
        <w:tabs>
          <w:tab w:val="left" w:pos="540"/>
          <w:tab w:val="left" w:pos="569"/>
        </w:tabs>
        <w:jc w:val="both"/>
        <w:rPr>
          <w:bCs/>
          <w:sz w:val="22"/>
          <w:szCs w:val="22"/>
          <w:lang w:val="sr-Latn-ME"/>
        </w:rPr>
      </w:pPr>
    </w:p>
    <w:p w:rsidR="00AE71EB" w:rsidRPr="002B34BA" w:rsidRDefault="00AE71EB">
      <w:pPr>
        <w:jc w:val="both"/>
        <w:rPr>
          <w:b/>
          <w:sz w:val="22"/>
          <w:szCs w:val="22"/>
          <w:lang w:val="sr-Latn-ME"/>
        </w:rPr>
      </w:pPr>
      <w:r w:rsidRPr="002B34BA">
        <w:rPr>
          <w:b/>
          <w:bCs/>
          <w:sz w:val="22"/>
          <w:szCs w:val="22"/>
          <w:lang w:val="sr-Latn-ME"/>
        </w:rPr>
        <w:t>Mehanizam djelovanja</w:t>
      </w:r>
    </w:p>
    <w:p w:rsidR="00AE71EB" w:rsidRPr="002B34BA" w:rsidRDefault="00AE71EB">
      <w:pPr>
        <w:jc w:val="both"/>
        <w:rPr>
          <w:rStyle w:val="Emphasis"/>
          <w:bCs/>
          <w:i w:val="0"/>
          <w:iCs w:val="0"/>
          <w:sz w:val="22"/>
          <w:szCs w:val="22"/>
          <w:shd w:val="clear" w:color="auto" w:fill="FFFFFF"/>
          <w:lang w:val="sr-Latn-ME"/>
        </w:rPr>
      </w:pPr>
      <w:r w:rsidRPr="002B34BA">
        <w:rPr>
          <w:sz w:val="22"/>
          <w:szCs w:val="22"/>
          <w:lang w:val="sr-Latn-ME"/>
        </w:rPr>
        <w:t xml:space="preserve">Smatra se da sulfadiazin srebro postepeno oslobađa jon srebra, čije baktericidno djelovanje je povezano sa </w:t>
      </w:r>
      <w:r w:rsidRPr="002B34BA">
        <w:rPr>
          <w:rStyle w:val="Emphasis"/>
          <w:bCs/>
          <w:i w:val="0"/>
          <w:sz w:val="22"/>
          <w:szCs w:val="22"/>
          <w:shd w:val="clear" w:color="auto" w:fill="FFFFFF"/>
          <w:lang w:val="sr-Latn-ME"/>
        </w:rPr>
        <w:t>bakteriostatskim djelovanjem sulfonamida</w:t>
      </w:r>
      <w:r w:rsidRPr="002B34BA">
        <w:rPr>
          <w:rStyle w:val="Emphasis"/>
          <w:bCs/>
          <w:sz w:val="22"/>
          <w:szCs w:val="22"/>
          <w:shd w:val="clear" w:color="auto" w:fill="FFFFFF"/>
          <w:lang w:val="sr-Latn-ME"/>
        </w:rPr>
        <w:t xml:space="preserve">. </w:t>
      </w:r>
    </w:p>
    <w:p w:rsidR="00AE71EB" w:rsidRPr="002B34BA" w:rsidRDefault="00AE71EB">
      <w:pPr>
        <w:jc w:val="both"/>
        <w:rPr>
          <w:sz w:val="22"/>
          <w:szCs w:val="22"/>
          <w:lang w:val="sr-Latn-ME"/>
        </w:rPr>
      </w:pPr>
      <w:r w:rsidRPr="002B34BA">
        <w:rPr>
          <w:sz w:val="22"/>
          <w:szCs w:val="22"/>
          <w:lang w:val="sr-Latn-ME"/>
        </w:rPr>
        <w:t xml:space="preserve">Sulfadiazin srebro je uglavnom efikasan protiv Gram-negativnih bakterija, kao što su </w:t>
      </w:r>
      <w:r w:rsidRPr="002B34BA">
        <w:rPr>
          <w:bCs/>
          <w:i/>
          <w:iCs/>
          <w:sz w:val="22"/>
          <w:szCs w:val="22"/>
          <w:lang w:val="sr-Latn-ME"/>
        </w:rPr>
        <w:t>Pseudomonas aeruginosa</w:t>
      </w:r>
      <w:r w:rsidRPr="002B34BA">
        <w:rPr>
          <w:bCs/>
          <w:i/>
          <w:sz w:val="22"/>
          <w:szCs w:val="22"/>
          <w:lang w:val="sr-Latn-ME"/>
        </w:rPr>
        <w:t xml:space="preserve"> </w:t>
      </w:r>
      <w:r w:rsidRPr="002B34BA">
        <w:rPr>
          <w:bCs/>
          <w:sz w:val="22"/>
          <w:szCs w:val="22"/>
          <w:lang w:val="sr-Latn-ME"/>
        </w:rPr>
        <w:t>(</w:t>
      </w:r>
      <w:r w:rsidRPr="002B34BA">
        <w:rPr>
          <w:rStyle w:val="Emphasis"/>
          <w:bCs/>
          <w:sz w:val="22"/>
          <w:szCs w:val="22"/>
          <w:shd w:val="clear" w:color="auto" w:fill="FFFFFF"/>
          <w:lang w:val="sr-Latn-ME"/>
        </w:rPr>
        <w:t>bacillus pyocyaneus</w:t>
      </w:r>
      <w:r w:rsidRPr="002B34BA">
        <w:rPr>
          <w:sz w:val="22"/>
          <w:szCs w:val="22"/>
          <w:shd w:val="clear" w:color="auto" w:fill="FFFFFF"/>
          <w:lang w:val="sr-Latn-ME"/>
        </w:rPr>
        <w:t xml:space="preserve">), </w:t>
      </w:r>
      <w:r w:rsidRPr="002B34BA">
        <w:rPr>
          <w:rStyle w:val="Emphasis"/>
          <w:bCs/>
          <w:sz w:val="22"/>
          <w:szCs w:val="22"/>
          <w:shd w:val="clear" w:color="auto" w:fill="FFFFFF"/>
          <w:lang w:val="sr-Latn-ME"/>
        </w:rPr>
        <w:t xml:space="preserve">Aerobacter aerogenes </w:t>
      </w:r>
      <w:r w:rsidRPr="002B34BA">
        <w:rPr>
          <w:sz w:val="22"/>
          <w:szCs w:val="22"/>
          <w:shd w:val="clear" w:color="auto" w:fill="FFFFFF"/>
          <w:lang w:val="sr-Latn-ME"/>
        </w:rPr>
        <w:t>(</w:t>
      </w:r>
      <w:r w:rsidRPr="002B34BA">
        <w:rPr>
          <w:rStyle w:val="Emphasis"/>
          <w:bCs/>
          <w:sz w:val="22"/>
          <w:szCs w:val="22"/>
          <w:shd w:val="clear" w:color="auto" w:fill="FFFFFF"/>
          <w:lang w:val="sr-Latn-ME"/>
        </w:rPr>
        <w:t>Enterobacter aerogenes),</w:t>
      </w:r>
      <w:r w:rsidRPr="002B34BA">
        <w:rPr>
          <w:sz w:val="22"/>
          <w:szCs w:val="22"/>
          <w:lang w:val="sr-Latn-ME"/>
        </w:rPr>
        <w:t xml:space="preserve"> </w:t>
      </w:r>
      <w:r w:rsidRPr="002B34BA">
        <w:rPr>
          <w:i/>
          <w:sz w:val="22"/>
          <w:szCs w:val="22"/>
          <w:lang w:val="sr-Latn-ME"/>
        </w:rPr>
        <w:t>Klebsiella pneumonia</w:t>
      </w:r>
      <w:r w:rsidRPr="002B34BA">
        <w:rPr>
          <w:sz w:val="22"/>
          <w:szCs w:val="22"/>
          <w:lang w:val="sr-Latn-ME"/>
        </w:rPr>
        <w:t xml:space="preserve">, kao i </w:t>
      </w:r>
      <w:r w:rsidRPr="002B34BA">
        <w:rPr>
          <w:i/>
          <w:sz w:val="22"/>
          <w:szCs w:val="22"/>
          <w:lang w:val="sr-Latn-ME"/>
        </w:rPr>
        <w:t>Staphylococcus aureus</w:t>
      </w:r>
      <w:r w:rsidRPr="002B34BA">
        <w:rPr>
          <w:sz w:val="22"/>
          <w:szCs w:val="22"/>
          <w:lang w:val="sr-Latn-ME"/>
        </w:rPr>
        <w:t xml:space="preserve">. </w:t>
      </w:r>
    </w:p>
    <w:p w:rsidR="00AE71EB" w:rsidRPr="002B34BA" w:rsidRDefault="00AE71EB">
      <w:pPr>
        <w:jc w:val="both"/>
        <w:rPr>
          <w:bCs/>
          <w:sz w:val="22"/>
          <w:szCs w:val="22"/>
          <w:lang w:val="sr-Latn-ME"/>
        </w:rPr>
      </w:pPr>
      <w:r w:rsidRPr="002B34BA">
        <w:rPr>
          <w:sz w:val="22"/>
          <w:szCs w:val="22"/>
          <w:lang w:val="sr-Latn-ME"/>
        </w:rPr>
        <w:t xml:space="preserve">Primjena krema nije bolna. </w:t>
      </w:r>
    </w:p>
    <w:p w:rsidR="00AE71EB" w:rsidRPr="002B34BA" w:rsidRDefault="00AE71EB">
      <w:pPr>
        <w:tabs>
          <w:tab w:val="left" w:pos="540"/>
          <w:tab w:val="left" w:pos="569"/>
        </w:tabs>
        <w:jc w:val="both"/>
        <w:rPr>
          <w:bCs/>
          <w:sz w:val="22"/>
          <w:szCs w:val="22"/>
          <w:lang w:val="sr-Latn-ME"/>
        </w:rPr>
      </w:pPr>
    </w:p>
    <w:p w:rsidR="0072020E" w:rsidRPr="002B34BA" w:rsidRDefault="0072020E" w:rsidP="002B34BA">
      <w:pPr>
        <w:tabs>
          <w:tab w:val="left" w:pos="540"/>
          <w:tab w:val="left" w:pos="569"/>
        </w:tabs>
        <w:jc w:val="both"/>
        <w:rPr>
          <w:b/>
          <w:bCs/>
          <w:sz w:val="22"/>
          <w:szCs w:val="22"/>
          <w:lang w:val="sr-Latn-ME"/>
        </w:rPr>
      </w:pPr>
      <w:r w:rsidRPr="002B34BA">
        <w:rPr>
          <w:b/>
          <w:bCs/>
          <w:sz w:val="22"/>
          <w:szCs w:val="22"/>
          <w:lang w:val="sr-Latn-ME"/>
        </w:rPr>
        <w:t xml:space="preserve">5.2. </w:t>
      </w:r>
      <w:r w:rsidR="00480FB1" w:rsidRPr="002B34BA">
        <w:rPr>
          <w:b/>
          <w:bCs/>
          <w:sz w:val="22"/>
          <w:szCs w:val="22"/>
          <w:lang w:val="sr-Latn-ME"/>
        </w:rPr>
        <w:tab/>
      </w:r>
      <w:r w:rsidRPr="002B34BA">
        <w:rPr>
          <w:b/>
          <w:bCs/>
          <w:sz w:val="22"/>
          <w:szCs w:val="22"/>
          <w:lang w:val="sr-Latn-ME"/>
        </w:rPr>
        <w:t>Farmakokinetički podaci</w:t>
      </w:r>
      <w:r w:rsidR="003A7059" w:rsidRPr="002B34BA">
        <w:rPr>
          <w:b/>
          <w:bCs/>
          <w:sz w:val="22"/>
          <w:szCs w:val="22"/>
          <w:lang w:val="sr-Latn-ME"/>
        </w:rPr>
        <w:t xml:space="preserve"> </w:t>
      </w:r>
    </w:p>
    <w:p w:rsidR="00CD5DF9" w:rsidRPr="002B34BA" w:rsidRDefault="00CD5DF9" w:rsidP="002B34BA">
      <w:pPr>
        <w:tabs>
          <w:tab w:val="left" w:pos="540"/>
          <w:tab w:val="left" w:pos="569"/>
        </w:tabs>
        <w:jc w:val="both"/>
        <w:rPr>
          <w:b/>
          <w:bCs/>
          <w:sz w:val="22"/>
          <w:szCs w:val="22"/>
          <w:lang w:val="sr-Latn-ME"/>
        </w:rPr>
      </w:pPr>
    </w:p>
    <w:p w:rsidR="00AE71EB" w:rsidRPr="002B34BA" w:rsidRDefault="00AE71EB" w:rsidP="002B34BA">
      <w:pPr>
        <w:tabs>
          <w:tab w:val="left" w:pos="540"/>
          <w:tab w:val="left" w:pos="569"/>
        </w:tabs>
        <w:jc w:val="both"/>
        <w:rPr>
          <w:bCs/>
          <w:sz w:val="22"/>
          <w:szCs w:val="22"/>
          <w:u w:val="single"/>
          <w:lang w:val="sr-Latn-ME"/>
        </w:rPr>
      </w:pPr>
      <w:r w:rsidRPr="002B34BA">
        <w:rPr>
          <w:sz w:val="22"/>
          <w:szCs w:val="22"/>
          <w:u w:val="single"/>
          <w:lang w:val="sr-Latn-ME"/>
        </w:rPr>
        <w:t>Resorpcija</w:t>
      </w:r>
    </w:p>
    <w:p w:rsidR="00AE71EB" w:rsidRPr="002B34BA" w:rsidRDefault="00AE71EB" w:rsidP="002B34BA">
      <w:pPr>
        <w:tabs>
          <w:tab w:val="left" w:pos="540"/>
          <w:tab w:val="left" w:pos="569"/>
        </w:tabs>
        <w:jc w:val="both"/>
        <w:rPr>
          <w:sz w:val="22"/>
          <w:szCs w:val="22"/>
          <w:lang w:val="sr-Latn-ME"/>
        </w:rPr>
      </w:pPr>
      <w:r w:rsidRPr="002B34BA">
        <w:rPr>
          <w:bCs/>
          <w:sz w:val="22"/>
          <w:szCs w:val="22"/>
          <w:lang w:val="sr-Latn-ME"/>
        </w:rPr>
        <w:t xml:space="preserve">Nakon topikalne primjene, kod osoba sa zdravom kožom, </w:t>
      </w:r>
      <w:r w:rsidRPr="002B34BA">
        <w:rPr>
          <w:sz w:val="22"/>
          <w:szCs w:val="22"/>
          <w:lang w:val="sr-Latn-ME"/>
        </w:rPr>
        <w:t xml:space="preserve">koncentracija srebra u serumu je manja od 5 ng/g, dok kod osoba sa opekotinama iznosi 300 ng/g. </w:t>
      </w:r>
    </w:p>
    <w:p w:rsidR="00AE71EB" w:rsidRPr="002B34BA" w:rsidRDefault="00AE71EB" w:rsidP="002B34BA">
      <w:pPr>
        <w:tabs>
          <w:tab w:val="left" w:pos="540"/>
          <w:tab w:val="left" w:pos="569"/>
        </w:tabs>
        <w:jc w:val="both"/>
        <w:rPr>
          <w:sz w:val="22"/>
          <w:szCs w:val="22"/>
          <w:lang w:val="sr-Latn-ME"/>
        </w:rPr>
      </w:pPr>
      <w:r w:rsidRPr="002B34BA">
        <w:rPr>
          <w:sz w:val="22"/>
          <w:szCs w:val="22"/>
          <w:lang w:val="sr-Latn-ME"/>
        </w:rPr>
        <w:lastRenderedPageBreak/>
        <w:t>Kod pacijenata sa opekotinama, koncentracija sulfonamida u serumu iznosi od 0,2 do 5 mg/100 ml.</w:t>
      </w:r>
    </w:p>
    <w:p w:rsidR="00AE71EB" w:rsidRPr="002B34BA" w:rsidRDefault="00AE71EB" w:rsidP="002B34BA">
      <w:pPr>
        <w:tabs>
          <w:tab w:val="left" w:pos="540"/>
          <w:tab w:val="left" w:pos="569"/>
        </w:tabs>
        <w:jc w:val="both"/>
        <w:rPr>
          <w:bCs/>
          <w:sz w:val="22"/>
          <w:szCs w:val="22"/>
          <w:lang w:val="sr-Latn-ME"/>
        </w:rPr>
      </w:pPr>
    </w:p>
    <w:p w:rsidR="00AE71EB" w:rsidRPr="002B34BA" w:rsidRDefault="00AE71EB" w:rsidP="002B34BA">
      <w:pPr>
        <w:tabs>
          <w:tab w:val="left" w:pos="540"/>
          <w:tab w:val="left" w:pos="569"/>
        </w:tabs>
        <w:jc w:val="both"/>
        <w:rPr>
          <w:bCs/>
          <w:sz w:val="22"/>
          <w:szCs w:val="22"/>
          <w:u w:val="single"/>
          <w:lang w:val="sr-Latn-ME"/>
        </w:rPr>
      </w:pPr>
      <w:r w:rsidRPr="002B34BA">
        <w:rPr>
          <w:bCs/>
          <w:sz w:val="22"/>
          <w:szCs w:val="22"/>
          <w:u w:val="single"/>
          <w:lang w:val="sr-Latn-ME"/>
        </w:rPr>
        <w:t xml:space="preserve">Distribucija </w:t>
      </w:r>
    </w:p>
    <w:p w:rsidR="00AE71EB" w:rsidRPr="002B34BA" w:rsidRDefault="00AE71EB" w:rsidP="008B26EF">
      <w:pPr>
        <w:tabs>
          <w:tab w:val="left" w:pos="540"/>
          <w:tab w:val="left" w:pos="569"/>
        </w:tabs>
        <w:jc w:val="both"/>
        <w:rPr>
          <w:sz w:val="22"/>
          <w:szCs w:val="22"/>
          <w:lang w:val="sr-Latn-ME"/>
        </w:rPr>
      </w:pPr>
      <w:r w:rsidRPr="002B34BA">
        <w:rPr>
          <w:sz w:val="22"/>
          <w:szCs w:val="22"/>
          <w:lang w:val="sr-Latn-ME"/>
        </w:rPr>
        <w:t>Srebro se distribuira u različitim tkivima, kao što su jetra, bubrezi i mozak. Sulfadiazin se vezuje za proteine.</w:t>
      </w:r>
    </w:p>
    <w:p w:rsidR="00AE71EB" w:rsidRPr="002B34BA" w:rsidRDefault="00AE71EB" w:rsidP="002B34BA">
      <w:pPr>
        <w:tabs>
          <w:tab w:val="left" w:pos="540"/>
          <w:tab w:val="left" w:pos="569"/>
        </w:tabs>
        <w:jc w:val="both"/>
        <w:rPr>
          <w:sz w:val="22"/>
          <w:szCs w:val="22"/>
          <w:lang w:val="sr-Latn-ME"/>
        </w:rPr>
      </w:pPr>
    </w:p>
    <w:p w:rsidR="00AE71EB" w:rsidRPr="002B34BA" w:rsidRDefault="00AE71EB" w:rsidP="002B34BA">
      <w:pPr>
        <w:tabs>
          <w:tab w:val="left" w:pos="540"/>
          <w:tab w:val="left" w:pos="569"/>
        </w:tabs>
        <w:jc w:val="both"/>
        <w:rPr>
          <w:sz w:val="22"/>
          <w:szCs w:val="22"/>
          <w:u w:val="single"/>
          <w:lang w:val="sr-Latn-ME"/>
        </w:rPr>
      </w:pPr>
      <w:r w:rsidRPr="002B34BA">
        <w:rPr>
          <w:sz w:val="22"/>
          <w:szCs w:val="22"/>
          <w:u w:val="single"/>
          <w:lang w:val="sr-Latn-ME"/>
        </w:rPr>
        <w:t>Biotransformacija</w:t>
      </w:r>
    </w:p>
    <w:p w:rsidR="00AE71EB" w:rsidRPr="002B34BA" w:rsidRDefault="00AE71EB" w:rsidP="002B34BA">
      <w:pPr>
        <w:tabs>
          <w:tab w:val="left" w:pos="540"/>
          <w:tab w:val="left" w:pos="569"/>
        </w:tabs>
        <w:jc w:val="both"/>
        <w:rPr>
          <w:sz w:val="22"/>
          <w:szCs w:val="22"/>
          <w:u w:val="single"/>
          <w:lang w:val="sr-Latn-ME"/>
        </w:rPr>
      </w:pPr>
      <w:r w:rsidRPr="002B34BA">
        <w:rPr>
          <w:sz w:val="22"/>
          <w:szCs w:val="22"/>
          <w:lang w:val="sr-Latn-ME"/>
        </w:rPr>
        <w:t xml:space="preserve">Sulfadiazin se u jetri acetilira. </w:t>
      </w:r>
    </w:p>
    <w:p w:rsidR="005944DE" w:rsidRPr="002B34BA" w:rsidRDefault="005944DE" w:rsidP="008B26EF">
      <w:pPr>
        <w:tabs>
          <w:tab w:val="left" w:pos="540"/>
          <w:tab w:val="left" w:pos="569"/>
        </w:tabs>
        <w:jc w:val="both"/>
        <w:rPr>
          <w:sz w:val="22"/>
          <w:szCs w:val="22"/>
          <w:lang w:val="sr-Latn-ME"/>
        </w:rPr>
      </w:pPr>
    </w:p>
    <w:p w:rsidR="00AE71EB" w:rsidRPr="002B34BA" w:rsidRDefault="00AE71EB" w:rsidP="002B34BA">
      <w:pPr>
        <w:tabs>
          <w:tab w:val="left" w:pos="540"/>
          <w:tab w:val="left" w:pos="569"/>
        </w:tabs>
        <w:jc w:val="both"/>
        <w:rPr>
          <w:bCs/>
          <w:sz w:val="22"/>
          <w:szCs w:val="22"/>
          <w:u w:val="single"/>
          <w:lang w:val="sr-Latn-ME"/>
        </w:rPr>
      </w:pPr>
      <w:r w:rsidRPr="002B34BA">
        <w:rPr>
          <w:bCs/>
          <w:sz w:val="22"/>
          <w:szCs w:val="22"/>
          <w:u w:val="single"/>
          <w:lang w:val="sr-Latn-ME"/>
        </w:rPr>
        <w:t>Eliminacija</w:t>
      </w:r>
    </w:p>
    <w:p w:rsidR="00AE71EB" w:rsidRPr="002B34BA" w:rsidRDefault="00AE71EB" w:rsidP="002B34BA">
      <w:pPr>
        <w:tabs>
          <w:tab w:val="left" w:pos="540"/>
          <w:tab w:val="left" w:pos="569"/>
        </w:tabs>
        <w:jc w:val="both"/>
        <w:rPr>
          <w:sz w:val="22"/>
          <w:szCs w:val="22"/>
          <w:lang w:val="sr-Latn-ME"/>
        </w:rPr>
      </w:pPr>
      <w:r w:rsidRPr="002B34BA">
        <w:rPr>
          <w:sz w:val="22"/>
          <w:szCs w:val="22"/>
          <w:lang w:val="sr-Latn-ME"/>
        </w:rPr>
        <w:t>Sulfadiazin i srebro se izlučuju putem bubrega.</w:t>
      </w:r>
    </w:p>
    <w:p w:rsidR="00AE71EB" w:rsidRPr="002B34BA" w:rsidRDefault="00AE71EB" w:rsidP="008B26EF">
      <w:pPr>
        <w:jc w:val="both"/>
        <w:rPr>
          <w:sz w:val="22"/>
          <w:szCs w:val="22"/>
          <w:lang w:val="sr-Latn-ME"/>
        </w:rPr>
      </w:pPr>
      <w:r w:rsidRPr="002B34BA">
        <w:rPr>
          <w:sz w:val="22"/>
          <w:szCs w:val="22"/>
          <w:lang w:val="sr-Latn-ME"/>
        </w:rPr>
        <w:t>Kod pacijenata, kod kojih je zbog opekotina primijenjeno 5 do 10 g sulfadiazin srebra (500 g do 1 kg krema) na dan, koncentracija sulfadiazina u urinu je varirala od 5 do 200 mg/100 ml, t.j 50 mg do 2 g/100 ml.</w:t>
      </w:r>
    </w:p>
    <w:p w:rsidR="00AE71EB" w:rsidRPr="002B34BA" w:rsidRDefault="00AE71EB" w:rsidP="002B34BA">
      <w:pPr>
        <w:tabs>
          <w:tab w:val="left" w:pos="540"/>
          <w:tab w:val="left" w:pos="569"/>
        </w:tabs>
        <w:jc w:val="both"/>
        <w:rPr>
          <w:bCs/>
          <w:sz w:val="22"/>
          <w:szCs w:val="22"/>
          <w:lang w:val="sr-Latn-ME"/>
        </w:rPr>
      </w:pPr>
    </w:p>
    <w:p w:rsidR="0072020E" w:rsidRPr="002B34BA" w:rsidRDefault="0072020E" w:rsidP="002B34BA">
      <w:pPr>
        <w:tabs>
          <w:tab w:val="left" w:pos="540"/>
          <w:tab w:val="left" w:pos="569"/>
        </w:tabs>
        <w:jc w:val="both"/>
        <w:rPr>
          <w:b/>
          <w:bCs/>
          <w:sz w:val="22"/>
          <w:szCs w:val="22"/>
          <w:lang w:val="sr-Latn-ME"/>
        </w:rPr>
      </w:pPr>
      <w:r w:rsidRPr="002B34BA">
        <w:rPr>
          <w:b/>
          <w:bCs/>
          <w:sz w:val="22"/>
          <w:szCs w:val="22"/>
          <w:lang w:val="sr-Latn-ME"/>
        </w:rPr>
        <w:t xml:space="preserve">5.3. </w:t>
      </w:r>
      <w:r w:rsidR="00480FB1" w:rsidRPr="002B34BA">
        <w:rPr>
          <w:b/>
          <w:bCs/>
          <w:sz w:val="22"/>
          <w:szCs w:val="22"/>
          <w:lang w:val="sr-Latn-ME"/>
        </w:rPr>
        <w:tab/>
      </w:r>
      <w:r w:rsidRPr="002B34BA">
        <w:rPr>
          <w:b/>
          <w:bCs/>
          <w:sz w:val="22"/>
          <w:szCs w:val="22"/>
          <w:lang w:val="sr-Latn-ME"/>
        </w:rPr>
        <w:t xml:space="preserve">Pretklinički podaci o bezbjednosti </w:t>
      </w:r>
    </w:p>
    <w:p w:rsidR="005944DE" w:rsidRPr="002B34BA" w:rsidRDefault="005944DE" w:rsidP="002B34BA">
      <w:pPr>
        <w:tabs>
          <w:tab w:val="left" w:pos="540"/>
          <w:tab w:val="left" w:pos="569"/>
        </w:tabs>
        <w:jc w:val="both"/>
        <w:rPr>
          <w:b/>
          <w:bCs/>
          <w:sz w:val="22"/>
          <w:szCs w:val="22"/>
          <w:lang w:val="sr-Latn-ME"/>
        </w:rPr>
      </w:pPr>
    </w:p>
    <w:p w:rsidR="00AE71EB" w:rsidRPr="002B34BA" w:rsidRDefault="00AE71EB" w:rsidP="008B26EF">
      <w:pPr>
        <w:tabs>
          <w:tab w:val="left" w:pos="540"/>
          <w:tab w:val="left" w:pos="569"/>
        </w:tabs>
        <w:jc w:val="both"/>
        <w:rPr>
          <w:bCs/>
          <w:sz w:val="22"/>
          <w:szCs w:val="22"/>
          <w:lang w:val="sr-Latn-ME"/>
        </w:rPr>
      </w:pPr>
      <w:r w:rsidRPr="002B34BA">
        <w:rPr>
          <w:bCs/>
          <w:sz w:val="22"/>
          <w:szCs w:val="22"/>
          <w:lang w:val="sr-Latn-ME"/>
        </w:rPr>
        <w:t>Nije primjen</w:t>
      </w:r>
      <w:r w:rsidR="00CC755C">
        <w:rPr>
          <w:bCs/>
          <w:sz w:val="22"/>
          <w:szCs w:val="22"/>
          <w:lang w:val="sr-Latn-ME"/>
        </w:rPr>
        <w:t>lj</w:t>
      </w:r>
      <w:r w:rsidRPr="002B34BA">
        <w:rPr>
          <w:bCs/>
          <w:sz w:val="22"/>
          <w:szCs w:val="22"/>
          <w:lang w:val="sr-Latn-ME"/>
        </w:rPr>
        <w:t>ivo.</w:t>
      </w:r>
    </w:p>
    <w:p w:rsidR="00836B35" w:rsidRDefault="00836B35" w:rsidP="00F90DCF">
      <w:pPr>
        <w:tabs>
          <w:tab w:val="left" w:pos="540"/>
          <w:tab w:val="left" w:pos="569"/>
        </w:tabs>
        <w:jc w:val="both"/>
        <w:rPr>
          <w:bCs/>
          <w:sz w:val="22"/>
          <w:szCs w:val="22"/>
          <w:lang w:val="sr-Latn-ME"/>
        </w:rPr>
      </w:pPr>
    </w:p>
    <w:p w:rsidR="00CC755C" w:rsidRPr="002B34BA" w:rsidRDefault="00CC755C" w:rsidP="00F90DCF">
      <w:pPr>
        <w:tabs>
          <w:tab w:val="left" w:pos="540"/>
          <w:tab w:val="left" w:pos="569"/>
        </w:tabs>
        <w:jc w:val="both"/>
        <w:rPr>
          <w:bCs/>
          <w:sz w:val="22"/>
          <w:szCs w:val="22"/>
          <w:lang w:val="sr-Latn-ME"/>
        </w:rPr>
      </w:pPr>
    </w:p>
    <w:p w:rsidR="0072020E" w:rsidRPr="002B34BA" w:rsidRDefault="0072020E" w:rsidP="00480FB1">
      <w:pPr>
        <w:tabs>
          <w:tab w:val="left" w:pos="540"/>
          <w:tab w:val="left" w:pos="569"/>
        </w:tabs>
        <w:rPr>
          <w:b/>
          <w:bCs/>
          <w:sz w:val="22"/>
          <w:szCs w:val="22"/>
          <w:lang w:val="sr-Latn-ME"/>
        </w:rPr>
      </w:pPr>
      <w:r w:rsidRPr="002B34BA">
        <w:rPr>
          <w:b/>
          <w:bCs/>
          <w:sz w:val="22"/>
          <w:szCs w:val="22"/>
          <w:lang w:val="sr-Latn-ME"/>
        </w:rPr>
        <w:t xml:space="preserve">6. </w:t>
      </w:r>
      <w:r w:rsidR="00480FB1" w:rsidRPr="002B34BA">
        <w:rPr>
          <w:b/>
          <w:bCs/>
          <w:sz w:val="22"/>
          <w:szCs w:val="22"/>
          <w:lang w:val="sr-Latn-ME"/>
        </w:rPr>
        <w:tab/>
      </w:r>
      <w:r w:rsidRPr="002B34BA">
        <w:rPr>
          <w:b/>
          <w:bCs/>
          <w:sz w:val="22"/>
          <w:szCs w:val="22"/>
          <w:lang w:val="sr-Latn-ME"/>
        </w:rPr>
        <w:t>FARMACEUTSKI PODACI</w:t>
      </w:r>
    </w:p>
    <w:p w:rsidR="00836B35" w:rsidRPr="002B34BA" w:rsidRDefault="00836B35" w:rsidP="00480FB1">
      <w:pPr>
        <w:tabs>
          <w:tab w:val="left" w:pos="540"/>
          <w:tab w:val="left" w:pos="569"/>
        </w:tabs>
        <w:rPr>
          <w:bCs/>
          <w:sz w:val="22"/>
          <w:szCs w:val="22"/>
          <w:lang w:val="sr-Latn-ME"/>
        </w:rPr>
      </w:pPr>
    </w:p>
    <w:p w:rsidR="0072020E" w:rsidRPr="002B34BA" w:rsidRDefault="0072020E" w:rsidP="00480FB1">
      <w:pPr>
        <w:tabs>
          <w:tab w:val="left" w:pos="540"/>
          <w:tab w:val="left" w:pos="569"/>
        </w:tabs>
        <w:rPr>
          <w:b/>
          <w:bCs/>
          <w:sz w:val="22"/>
          <w:szCs w:val="22"/>
          <w:lang w:val="sr-Latn-ME"/>
        </w:rPr>
      </w:pPr>
      <w:r w:rsidRPr="002B34BA">
        <w:rPr>
          <w:b/>
          <w:bCs/>
          <w:sz w:val="22"/>
          <w:szCs w:val="22"/>
          <w:lang w:val="sr-Latn-ME"/>
        </w:rPr>
        <w:t xml:space="preserve">6.1. </w:t>
      </w:r>
      <w:r w:rsidR="00480FB1" w:rsidRPr="002B34BA">
        <w:rPr>
          <w:b/>
          <w:bCs/>
          <w:sz w:val="22"/>
          <w:szCs w:val="22"/>
          <w:lang w:val="sr-Latn-ME"/>
        </w:rPr>
        <w:tab/>
      </w:r>
      <w:r w:rsidRPr="002B34BA">
        <w:rPr>
          <w:b/>
          <w:bCs/>
          <w:sz w:val="22"/>
          <w:szCs w:val="22"/>
          <w:lang w:val="sr-Latn-ME"/>
        </w:rPr>
        <w:t>Lista pomoćnih supstanci</w:t>
      </w:r>
      <w:r w:rsidR="002E0135" w:rsidRPr="002B34BA">
        <w:rPr>
          <w:b/>
          <w:bCs/>
          <w:sz w:val="22"/>
          <w:szCs w:val="22"/>
          <w:lang w:val="sr-Latn-ME"/>
        </w:rPr>
        <w:t xml:space="preserve"> (ekscipijenasa)</w:t>
      </w:r>
    </w:p>
    <w:p w:rsidR="00AE71EB" w:rsidRPr="002B34BA" w:rsidRDefault="00AE71EB" w:rsidP="00480FB1">
      <w:pPr>
        <w:tabs>
          <w:tab w:val="left" w:pos="540"/>
          <w:tab w:val="left" w:pos="569"/>
        </w:tabs>
        <w:rPr>
          <w:b/>
          <w:bCs/>
          <w:sz w:val="22"/>
          <w:szCs w:val="22"/>
          <w:lang w:val="sr-Latn-ME"/>
        </w:rPr>
      </w:pPr>
    </w:p>
    <w:p w:rsidR="00AE71EB" w:rsidRPr="002B34BA" w:rsidRDefault="00AE71EB" w:rsidP="00C334A9">
      <w:pPr>
        <w:pStyle w:val="IntoksikacijesaovimpreparatomsuupreporueenomdoziranjunemogueeSobzromda"/>
        <w:jc w:val="both"/>
        <w:rPr>
          <w:rFonts w:ascii="Times New Roman" w:hAnsi="Times New Roman"/>
          <w:sz w:val="22"/>
          <w:szCs w:val="22"/>
          <w:lang w:val="sr-Latn-ME"/>
        </w:rPr>
      </w:pPr>
      <w:r w:rsidRPr="002B34BA">
        <w:rPr>
          <w:rFonts w:ascii="Times New Roman" w:hAnsi="Times New Roman"/>
          <w:color w:val="000000"/>
          <w:sz w:val="22"/>
          <w:szCs w:val="22"/>
          <w:lang w:val="sr-Latn-ME"/>
        </w:rPr>
        <w:t>Parafin, bijeli, meki</w:t>
      </w:r>
    </w:p>
    <w:p w:rsidR="00AE71EB" w:rsidRPr="002B34BA" w:rsidRDefault="00AE71EB" w:rsidP="00C334A9">
      <w:pPr>
        <w:pStyle w:val="IntoksikacijesaovimpreparatomsuupreporueenomdoziranjunemogueeSobzromda"/>
        <w:jc w:val="both"/>
        <w:rPr>
          <w:rFonts w:ascii="Times New Roman" w:hAnsi="Times New Roman"/>
          <w:sz w:val="22"/>
          <w:szCs w:val="22"/>
          <w:lang w:val="sr-Latn-ME"/>
        </w:rPr>
      </w:pPr>
      <w:r w:rsidRPr="002B34BA">
        <w:rPr>
          <w:rFonts w:ascii="Times New Roman" w:hAnsi="Times New Roman"/>
          <w:color w:val="000000"/>
          <w:sz w:val="22"/>
          <w:szCs w:val="22"/>
          <w:lang w:val="sr-Latn-ME"/>
        </w:rPr>
        <w:t>Propilen glikol</w:t>
      </w:r>
    </w:p>
    <w:p w:rsidR="00AE71EB" w:rsidRPr="002B34BA" w:rsidRDefault="00AE71EB" w:rsidP="00C334A9">
      <w:pPr>
        <w:pStyle w:val="IntoksikacijesaovimpreparatomsuupreporueenomdoziranjunemogueeSobzromda"/>
        <w:jc w:val="both"/>
        <w:rPr>
          <w:rFonts w:ascii="Times New Roman" w:hAnsi="Times New Roman"/>
          <w:sz w:val="22"/>
          <w:szCs w:val="22"/>
          <w:lang w:val="sr-Latn-ME"/>
        </w:rPr>
      </w:pPr>
      <w:r w:rsidRPr="002B34BA">
        <w:rPr>
          <w:rFonts w:ascii="Times New Roman" w:hAnsi="Times New Roman"/>
          <w:color w:val="000000"/>
          <w:sz w:val="22"/>
          <w:szCs w:val="22"/>
          <w:lang w:val="sr-Latn-ME"/>
        </w:rPr>
        <w:t>Cetomakrogol emulgujući vosak</w:t>
      </w:r>
      <w:r w:rsidRPr="002B34BA">
        <w:rPr>
          <w:rFonts w:ascii="Times New Roman" w:hAnsi="Times New Roman"/>
          <w:sz w:val="22"/>
          <w:szCs w:val="22"/>
          <w:lang w:val="sr-Latn-ME"/>
        </w:rPr>
        <w:t xml:space="preserve"> </w:t>
      </w:r>
    </w:p>
    <w:p w:rsidR="00AE71EB" w:rsidRPr="002B34BA" w:rsidRDefault="00AE71EB" w:rsidP="00C334A9">
      <w:pPr>
        <w:pStyle w:val="IntoksikacijesaovimpreparatomsuupreporueenomdoziranjunemogueeSobzromda"/>
        <w:jc w:val="both"/>
        <w:rPr>
          <w:rFonts w:ascii="Times New Roman" w:hAnsi="Times New Roman"/>
          <w:sz w:val="22"/>
          <w:szCs w:val="22"/>
          <w:lang w:val="sr-Latn-ME"/>
        </w:rPr>
      </w:pPr>
      <w:r w:rsidRPr="002B34BA">
        <w:rPr>
          <w:rFonts w:ascii="Times New Roman" w:hAnsi="Times New Roman"/>
          <w:color w:val="000000"/>
          <w:sz w:val="22"/>
          <w:szCs w:val="22"/>
          <w:lang w:val="sr-Latn-ME"/>
        </w:rPr>
        <w:t>Parafin, tečni</w:t>
      </w:r>
    </w:p>
    <w:p w:rsidR="00AE71EB" w:rsidRPr="002B34BA" w:rsidRDefault="00AE71EB" w:rsidP="00C334A9">
      <w:pPr>
        <w:pStyle w:val="IntoksikacijesaovimpreparatomsuupreporueenomdoziranjunemogueeSobzromda"/>
        <w:tabs>
          <w:tab w:val="left" w:pos="540"/>
          <w:tab w:val="left" w:pos="569"/>
        </w:tabs>
        <w:jc w:val="both"/>
        <w:rPr>
          <w:rFonts w:ascii="Times New Roman" w:hAnsi="Times New Roman"/>
          <w:b/>
          <w:bCs/>
          <w:sz w:val="22"/>
          <w:szCs w:val="22"/>
          <w:lang w:val="sr-Latn-ME"/>
        </w:rPr>
      </w:pPr>
      <w:r w:rsidRPr="002B34BA">
        <w:rPr>
          <w:rFonts w:ascii="Times New Roman" w:hAnsi="Times New Roman"/>
          <w:color w:val="000000"/>
          <w:sz w:val="22"/>
          <w:szCs w:val="22"/>
          <w:lang w:val="sr-Latn-ME"/>
        </w:rPr>
        <w:t>Metil parahidroksibenzoat</w:t>
      </w:r>
    </w:p>
    <w:p w:rsidR="00104709" w:rsidRPr="002B34BA" w:rsidRDefault="00AE71EB" w:rsidP="00C334A9">
      <w:pPr>
        <w:pStyle w:val="IntoksikacijesaovimpreparatomsuupreporueenomdoziranjunemogueeSobzromda"/>
        <w:tabs>
          <w:tab w:val="left" w:pos="540"/>
          <w:tab w:val="left" w:pos="569"/>
        </w:tabs>
        <w:jc w:val="both"/>
        <w:rPr>
          <w:rFonts w:ascii="Times New Roman" w:hAnsi="Times New Roman"/>
          <w:b/>
          <w:bCs/>
          <w:sz w:val="22"/>
          <w:szCs w:val="22"/>
          <w:lang w:val="sr-Latn-ME"/>
        </w:rPr>
      </w:pPr>
      <w:r w:rsidRPr="002B34BA">
        <w:rPr>
          <w:rFonts w:ascii="Times New Roman" w:hAnsi="Times New Roman"/>
          <w:sz w:val="22"/>
          <w:szCs w:val="22"/>
          <w:lang w:val="sr-Latn-ME"/>
        </w:rPr>
        <w:t>Voda, prečišćena</w:t>
      </w:r>
    </w:p>
    <w:p w:rsidR="00104709" w:rsidRPr="002B34BA" w:rsidRDefault="00104709" w:rsidP="00104709">
      <w:pPr>
        <w:tabs>
          <w:tab w:val="left" w:pos="540"/>
          <w:tab w:val="left" w:pos="569"/>
        </w:tabs>
        <w:jc w:val="both"/>
        <w:rPr>
          <w:bCs/>
          <w:sz w:val="22"/>
          <w:szCs w:val="22"/>
          <w:lang w:val="sr-Latn-ME"/>
        </w:rPr>
      </w:pPr>
    </w:p>
    <w:p w:rsidR="0072020E" w:rsidRDefault="0072020E" w:rsidP="00480FB1">
      <w:pPr>
        <w:tabs>
          <w:tab w:val="left" w:pos="540"/>
          <w:tab w:val="left" w:pos="569"/>
        </w:tabs>
        <w:rPr>
          <w:b/>
          <w:bCs/>
          <w:sz w:val="22"/>
          <w:szCs w:val="22"/>
          <w:lang w:val="sr-Latn-ME"/>
        </w:rPr>
      </w:pPr>
      <w:r w:rsidRPr="002B34BA">
        <w:rPr>
          <w:b/>
          <w:bCs/>
          <w:sz w:val="22"/>
          <w:szCs w:val="22"/>
          <w:lang w:val="sr-Latn-ME"/>
        </w:rPr>
        <w:t xml:space="preserve">6.2. </w:t>
      </w:r>
      <w:r w:rsidR="00480FB1" w:rsidRPr="002B34BA">
        <w:rPr>
          <w:b/>
          <w:bCs/>
          <w:sz w:val="22"/>
          <w:szCs w:val="22"/>
          <w:lang w:val="sr-Latn-ME"/>
        </w:rPr>
        <w:tab/>
      </w:r>
      <w:r w:rsidRPr="002B34BA">
        <w:rPr>
          <w:b/>
          <w:bCs/>
          <w:sz w:val="22"/>
          <w:szCs w:val="22"/>
          <w:lang w:val="sr-Latn-ME"/>
        </w:rPr>
        <w:t>Inkompatibilnost</w:t>
      </w:r>
      <w:r w:rsidR="002846DB" w:rsidRPr="002B34BA">
        <w:rPr>
          <w:b/>
          <w:bCs/>
          <w:sz w:val="22"/>
          <w:szCs w:val="22"/>
          <w:lang w:val="sr-Latn-ME"/>
        </w:rPr>
        <w:t>i</w:t>
      </w:r>
    </w:p>
    <w:p w:rsidR="00BD1DB8" w:rsidRPr="002B34BA" w:rsidRDefault="00BD1DB8" w:rsidP="00480FB1">
      <w:pPr>
        <w:tabs>
          <w:tab w:val="left" w:pos="540"/>
          <w:tab w:val="left" w:pos="569"/>
        </w:tabs>
        <w:rPr>
          <w:b/>
          <w:bCs/>
          <w:sz w:val="22"/>
          <w:szCs w:val="22"/>
          <w:lang w:val="sr-Latn-ME"/>
        </w:rPr>
      </w:pPr>
    </w:p>
    <w:p w:rsidR="0055458C" w:rsidRDefault="0055458C" w:rsidP="00480FB1">
      <w:pPr>
        <w:tabs>
          <w:tab w:val="left" w:pos="540"/>
          <w:tab w:val="left" w:pos="569"/>
        </w:tabs>
        <w:rPr>
          <w:sz w:val="22"/>
          <w:szCs w:val="22"/>
          <w:lang w:val="sr-Latn-ME"/>
        </w:rPr>
      </w:pPr>
      <w:r>
        <w:rPr>
          <w:sz w:val="22"/>
          <w:szCs w:val="22"/>
          <w:lang w:val="sr-Latn-ME"/>
        </w:rPr>
        <w:t xml:space="preserve">Nije primjenljivo. </w:t>
      </w:r>
    </w:p>
    <w:p w:rsidR="0072020E" w:rsidRPr="002B34BA" w:rsidRDefault="0072020E" w:rsidP="00480FB1">
      <w:pPr>
        <w:tabs>
          <w:tab w:val="left" w:pos="540"/>
          <w:tab w:val="left" w:pos="569"/>
        </w:tabs>
        <w:rPr>
          <w:bCs/>
          <w:sz w:val="22"/>
          <w:szCs w:val="22"/>
          <w:lang w:val="sr-Latn-ME"/>
        </w:rPr>
      </w:pPr>
    </w:p>
    <w:p w:rsidR="0072020E" w:rsidRDefault="0072020E" w:rsidP="00480FB1">
      <w:pPr>
        <w:tabs>
          <w:tab w:val="left" w:pos="540"/>
          <w:tab w:val="left" w:pos="569"/>
        </w:tabs>
        <w:rPr>
          <w:b/>
          <w:bCs/>
          <w:sz w:val="22"/>
          <w:szCs w:val="22"/>
          <w:lang w:val="sr-Latn-ME"/>
        </w:rPr>
      </w:pPr>
      <w:r w:rsidRPr="002B34BA">
        <w:rPr>
          <w:b/>
          <w:bCs/>
          <w:sz w:val="22"/>
          <w:szCs w:val="22"/>
          <w:lang w:val="sr-Latn-ME"/>
        </w:rPr>
        <w:t>6.3.</w:t>
      </w:r>
      <w:r w:rsidR="00C05DF8" w:rsidRPr="002B34BA">
        <w:rPr>
          <w:b/>
          <w:bCs/>
          <w:sz w:val="22"/>
          <w:szCs w:val="22"/>
          <w:lang w:val="sr-Latn-ME"/>
        </w:rPr>
        <w:t xml:space="preserve"> </w:t>
      </w:r>
      <w:r w:rsidR="00480FB1" w:rsidRPr="002B34BA">
        <w:rPr>
          <w:b/>
          <w:bCs/>
          <w:sz w:val="22"/>
          <w:szCs w:val="22"/>
          <w:lang w:val="sr-Latn-ME"/>
        </w:rPr>
        <w:tab/>
      </w:r>
      <w:r w:rsidRPr="002B34BA">
        <w:rPr>
          <w:b/>
          <w:bCs/>
          <w:sz w:val="22"/>
          <w:szCs w:val="22"/>
          <w:lang w:val="sr-Latn-ME"/>
        </w:rPr>
        <w:t>Rok upotrebe</w:t>
      </w:r>
    </w:p>
    <w:p w:rsidR="00BD1DB8" w:rsidRPr="002B34BA" w:rsidRDefault="00BD1DB8" w:rsidP="002B34BA">
      <w:pPr>
        <w:tabs>
          <w:tab w:val="left" w:pos="540"/>
          <w:tab w:val="left" w:pos="569"/>
        </w:tabs>
        <w:jc w:val="both"/>
        <w:rPr>
          <w:b/>
          <w:bCs/>
          <w:sz w:val="22"/>
          <w:szCs w:val="22"/>
          <w:lang w:val="sr-Latn-ME"/>
        </w:rPr>
      </w:pPr>
    </w:p>
    <w:p w:rsidR="00AE71EB" w:rsidRPr="002B34BA" w:rsidRDefault="00AE71EB" w:rsidP="002B34BA">
      <w:pPr>
        <w:jc w:val="both"/>
        <w:rPr>
          <w:rFonts w:eastAsia="Calibri"/>
          <w:sz w:val="22"/>
          <w:szCs w:val="22"/>
          <w:lang w:val="sr-Latn-ME"/>
        </w:rPr>
      </w:pPr>
      <w:r w:rsidRPr="002B34BA">
        <w:rPr>
          <w:rFonts w:eastAsia="Calibri"/>
          <w:sz w:val="22"/>
          <w:szCs w:val="22"/>
          <w:lang w:val="sr-Latn-ME"/>
        </w:rPr>
        <w:t>36 mjeseci.</w:t>
      </w:r>
    </w:p>
    <w:p w:rsidR="00AE71EB" w:rsidRPr="002B34BA" w:rsidRDefault="00AE71EB" w:rsidP="002B34BA">
      <w:pPr>
        <w:jc w:val="both"/>
        <w:rPr>
          <w:rFonts w:eastAsia="Calibri"/>
          <w:sz w:val="22"/>
          <w:szCs w:val="22"/>
          <w:lang w:val="sr-Latn-ME"/>
        </w:rPr>
      </w:pPr>
      <w:r w:rsidRPr="002B34BA">
        <w:rPr>
          <w:rFonts w:eastAsia="Calibri"/>
          <w:sz w:val="22"/>
          <w:szCs w:val="22"/>
          <w:lang w:val="sr-Latn-ME"/>
        </w:rPr>
        <w:t>Rok upotrebe nakon prvog otvaranja lijeka: 24 mjeseca</w:t>
      </w:r>
    </w:p>
    <w:p w:rsidR="00104709" w:rsidRPr="002B34BA" w:rsidRDefault="00104709" w:rsidP="002B34BA">
      <w:pPr>
        <w:tabs>
          <w:tab w:val="left" w:pos="540"/>
          <w:tab w:val="left" w:pos="569"/>
        </w:tabs>
        <w:jc w:val="both"/>
        <w:rPr>
          <w:bCs/>
          <w:sz w:val="22"/>
          <w:szCs w:val="22"/>
          <w:lang w:val="sr-Latn-ME"/>
        </w:rPr>
      </w:pPr>
    </w:p>
    <w:p w:rsidR="0072020E" w:rsidRDefault="0072020E" w:rsidP="002B34BA">
      <w:pPr>
        <w:tabs>
          <w:tab w:val="left" w:pos="540"/>
          <w:tab w:val="left" w:pos="569"/>
        </w:tabs>
        <w:jc w:val="both"/>
        <w:rPr>
          <w:b/>
          <w:bCs/>
          <w:sz w:val="22"/>
          <w:szCs w:val="22"/>
          <w:lang w:val="sr-Latn-ME"/>
        </w:rPr>
      </w:pPr>
      <w:r w:rsidRPr="002B34BA">
        <w:rPr>
          <w:b/>
          <w:bCs/>
          <w:sz w:val="22"/>
          <w:szCs w:val="22"/>
          <w:lang w:val="sr-Latn-ME"/>
        </w:rPr>
        <w:t xml:space="preserve">6.4. </w:t>
      </w:r>
      <w:r w:rsidR="00480FB1" w:rsidRPr="002B34BA">
        <w:rPr>
          <w:b/>
          <w:bCs/>
          <w:sz w:val="22"/>
          <w:szCs w:val="22"/>
          <w:lang w:val="sr-Latn-ME"/>
        </w:rPr>
        <w:tab/>
      </w:r>
      <w:r w:rsidRPr="002B34BA">
        <w:rPr>
          <w:b/>
          <w:bCs/>
          <w:sz w:val="22"/>
          <w:szCs w:val="22"/>
          <w:lang w:val="sr-Latn-ME"/>
        </w:rPr>
        <w:t>Posebne mjere upozorenja pri čuvanju</w:t>
      </w:r>
      <w:r w:rsidR="00F8570A" w:rsidRPr="002B34BA">
        <w:rPr>
          <w:b/>
          <w:bCs/>
          <w:sz w:val="22"/>
          <w:szCs w:val="22"/>
          <w:lang w:val="sr-Latn-ME"/>
        </w:rPr>
        <w:t xml:space="preserve"> lijeka</w:t>
      </w:r>
    </w:p>
    <w:p w:rsidR="00BD1DB8" w:rsidRPr="002B34BA" w:rsidRDefault="00BD1DB8" w:rsidP="002B34BA">
      <w:pPr>
        <w:tabs>
          <w:tab w:val="left" w:pos="540"/>
          <w:tab w:val="left" w:pos="569"/>
        </w:tabs>
        <w:jc w:val="both"/>
        <w:rPr>
          <w:b/>
          <w:bCs/>
          <w:sz w:val="22"/>
          <w:szCs w:val="22"/>
          <w:lang w:val="sr-Latn-ME"/>
        </w:rPr>
      </w:pPr>
    </w:p>
    <w:p w:rsidR="00AE71EB" w:rsidRPr="002B34BA" w:rsidRDefault="008439FD" w:rsidP="0055458C">
      <w:pPr>
        <w:jc w:val="both"/>
        <w:rPr>
          <w:sz w:val="22"/>
          <w:szCs w:val="22"/>
          <w:lang w:val="sr-Latn-ME"/>
        </w:rPr>
      </w:pPr>
      <w:r>
        <w:rPr>
          <w:sz w:val="22"/>
          <w:szCs w:val="22"/>
          <w:lang w:val="sr-Latn-ME"/>
        </w:rPr>
        <w:t>Čuvati na temperaturi do 25</w:t>
      </w:r>
      <w:r w:rsidR="00AE71EB" w:rsidRPr="002B34BA">
        <w:rPr>
          <w:sz w:val="22"/>
          <w:szCs w:val="22"/>
          <w:lang w:val="sr-Latn-ME"/>
        </w:rPr>
        <w:t xml:space="preserve">°C. </w:t>
      </w:r>
    </w:p>
    <w:p w:rsidR="00EC2532" w:rsidRPr="002B34BA" w:rsidRDefault="00EC2532" w:rsidP="002B34BA">
      <w:pPr>
        <w:tabs>
          <w:tab w:val="left" w:pos="540"/>
          <w:tab w:val="left" w:pos="569"/>
        </w:tabs>
        <w:jc w:val="both"/>
        <w:rPr>
          <w:bCs/>
          <w:sz w:val="22"/>
          <w:szCs w:val="22"/>
          <w:lang w:val="sr-Latn-ME"/>
        </w:rPr>
      </w:pPr>
    </w:p>
    <w:p w:rsidR="0072020E" w:rsidRPr="0055458C" w:rsidRDefault="0072020E" w:rsidP="002B34BA">
      <w:pPr>
        <w:tabs>
          <w:tab w:val="left" w:pos="540"/>
          <w:tab w:val="left" w:pos="569"/>
        </w:tabs>
        <w:jc w:val="both"/>
        <w:rPr>
          <w:b/>
          <w:bCs/>
          <w:sz w:val="22"/>
          <w:szCs w:val="22"/>
          <w:lang w:val="sr-Latn-ME"/>
        </w:rPr>
      </w:pPr>
      <w:r w:rsidRPr="002B34BA">
        <w:rPr>
          <w:b/>
          <w:bCs/>
          <w:sz w:val="22"/>
          <w:szCs w:val="22"/>
          <w:lang w:val="sr-Latn-ME"/>
        </w:rPr>
        <w:t xml:space="preserve">6.5. </w:t>
      </w:r>
      <w:r w:rsidR="00480FB1" w:rsidRPr="002B34BA">
        <w:rPr>
          <w:b/>
          <w:bCs/>
          <w:sz w:val="22"/>
          <w:szCs w:val="22"/>
          <w:lang w:val="sr-Latn-ME"/>
        </w:rPr>
        <w:tab/>
      </w:r>
      <w:r w:rsidR="002846DB" w:rsidRPr="002B34BA">
        <w:rPr>
          <w:b/>
          <w:bCs/>
          <w:sz w:val="22"/>
          <w:szCs w:val="22"/>
          <w:lang w:val="sr-Latn-ME"/>
        </w:rPr>
        <w:t xml:space="preserve">Vrsta i sadržaj </w:t>
      </w:r>
      <w:r w:rsidR="00F8570A" w:rsidRPr="002B34BA">
        <w:rPr>
          <w:b/>
          <w:bCs/>
          <w:sz w:val="22"/>
          <w:szCs w:val="22"/>
          <w:lang w:val="sr-Latn-ME"/>
        </w:rPr>
        <w:t>pakovanja</w:t>
      </w:r>
      <w:r w:rsidR="00C06864" w:rsidRPr="002B34BA">
        <w:rPr>
          <w:b/>
          <w:bCs/>
          <w:sz w:val="22"/>
          <w:szCs w:val="22"/>
          <w:lang w:val="sr-Latn-ME"/>
        </w:rPr>
        <w:t xml:space="preserve"> </w:t>
      </w:r>
    </w:p>
    <w:p w:rsidR="00BD1DB8" w:rsidRPr="002B34BA" w:rsidRDefault="00BD1DB8" w:rsidP="002B34BA">
      <w:pPr>
        <w:tabs>
          <w:tab w:val="left" w:pos="540"/>
          <w:tab w:val="left" w:pos="569"/>
        </w:tabs>
        <w:jc w:val="both"/>
        <w:rPr>
          <w:b/>
          <w:bCs/>
          <w:sz w:val="22"/>
          <w:szCs w:val="22"/>
          <w:lang w:val="sr-Latn-ME"/>
        </w:rPr>
      </w:pPr>
    </w:p>
    <w:p w:rsidR="00366B79" w:rsidRPr="0055458C" w:rsidRDefault="00366B79" w:rsidP="0055458C">
      <w:pPr>
        <w:keepNext/>
        <w:tabs>
          <w:tab w:val="left" w:pos="142"/>
        </w:tabs>
        <w:autoSpaceDE w:val="0"/>
        <w:autoSpaceDN w:val="0"/>
        <w:adjustRightInd w:val="0"/>
        <w:jc w:val="both"/>
        <w:rPr>
          <w:bCs/>
          <w:sz w:val="22"/>
          <w:szCs w:val="22"/>
          <w:lang w:val="sr-Latn-ME"/>
        </w:rPr>
      </w:pPr>
      <w:r w:rsidRPr="002B34BA">
        <w:rPr>
          <w:sz w:val="22"/>
          <w:szCs w:val="22"/>
          <w:lang w:val="sr-Latn-ME"/>
        </w:rPr>
        <w:t xml:space="preserve">Unutrašnje pakovanje lijeka je </w:t>
      </w:r>
      <w:r w:rsidRPr="0055458C">
        <w:rPr>
          <w:bCs/>
          <w:sz w:val="22"/>
          <w:szCs w:val="22"/>
          <w:lang w:val="sr-Latn-ME"/>
        </w:rPr>
        <w:t>a</w:t>
      </w:r>
      <w:r w:rsidR="00AE71EB" w:rsidRPr="002B34BA">
        <w:rPr>
          <w:bCs/>
          <w:sz w:val="22"/>
          <w:szCs w:val="22"/>
          <w:lang w:val="sr-Latn-ME"/>
        </w:rPr>
        <w:t xml:space="preserve">luminijska tuba s membranom i zatvaračem. </w:t>
      </w:r>
    </w:p>
    <w:p w:rsidR="00366B79" w:rsidRPr="00366B79" w:rsidRDefault="00366B79">
      <w:pPr>
        <w:pStyle w:val="NormalSabon"/>
        <w:widowControl w:val="0"/>
        <w:tabs>
          <w:tab w:val="left" w:pos="550"/>
        </w:tabs>
        <w:jc w:val="both"/>
        <w:rPr>
          <w:rFonts w:ascii="Times New Roman" w:hAnsi="Times New Roman"/>
          <w:szCs w:val="22"/>
          <w:lang w:val="sr-Latn-ME"/>
        </w:rPr>
      </w:pPr>
      <w:r w:rsidRPr="00366B79">
        <w:rPr>
          <w:rFonts w:ascii="Times New Roman" w:hAnsi="Times New Roman"/>
          <w:szCs w:val="22"/>
          <w:lang w:val="sr-Latn-ME"/>
        </w:rPr>
        <w:t>Spoljašnje pakovanje lijeka je složiva kartonska kutija u kojoj se nalazi 1 tuba sa 40 g krema i Uputstvo za lijek.</w:t>
      </w:r>
    </w:p>
    <w:p w:rsidR="007E74CE" w:rsidRPr="002B34BA" w:rsidRDefault="007E74CE">
      <w:pPr>
        <w:jc w:val="both"/>
        <w:rPr>
          <w:color w:val="0D0D0D"/>
          <w:sz w:val="22"/>
          <w:szCs w:val="22"/>
          <w:lang w:val="sr-Latn-ME"/>
        </w:rPr>
      </w:pPr>
    </w:p>
    <w:p w:rsidR="002846DB" w:rsidRPr="0055458C" w:rsidRDefault="0072020E" w:rsidP="002B34BA">
      <w:pPr>
        <w:tabs>
          <w:tab w:val="left" w:pos="540"/>
          <w:tab w:val="left" w:pos="569"/>
        </w:tabs>
        <w:jc w:val="both"/>
        <w:rPr>
          <w:b/>
          <w:bCs/>
          <w:sz w:val="22"/>
          <w:szCs w:val="22"/>
          <w:lang w:val="sr-Latn-ME"/>
        </w:rPr>
      </w:pPr>
      <w:r w:rsidRPr="002B34BA">
        <w:rPr>
          <w:b/>
          <w:bCs/>
          <w:sz w:val="22"/>
          <w:szCs w:val="22"/>
          <w:lang w:val="sr-Latn-ME"/>
        </w:rPr>
        <w:t xml:space="preserve">6.6. </w:t>
      </w:r>
      <w:r w:rsidR="00480FB1" w:rsidRPr="002B34BA">
        <w:rPr>
          <w:b/>
          <w:bCs/>
          <w:sz w:val="22"/>
          <w:szCs w:val="22"/>
          <w:lang w:val="sr-Latn-ME"/>
        </w:rPr>
        <w:tab/>
      </w:r>
      <w:r w:rsidRPr="002B34BA">
        <w:rPr>
          <w:b/>
          <w:bCs/>
          <w:color w:val="000000"/>
          <w:sz w:val="22"/>
          <w:szCs w:val="22"/>
          <w:lang w:val="sr-Latn-ME"/>
        </w:rPr>
        <w:t>Posebne mjere opreza pri odlaganju materijala koji treba odbaciti nakon primjene lijeka</w:t>
      </w:r>
      <w:r w:rsidRPr="002B34BA">
        <w:rPr>
          <w:b/>
          <w:bCs/>
          <w:sz w:val="22"/>
          <w:szCs w:val="22"/>
          <w:lang w:val="sr-Latn-ME"/>
        </w:rPr>
        <w:t xml:space="preserve"> </w:t>
      </w:r>
      <w:r w:rsidR="00310F03" w:rsidRPr="002B34BA">
        <w:rPr>
          <w:b/>
          <w:bCs/>
          <w:sz w:val="22"/>
          <w:szCs w:val="22"/>
          <w:lang w:val="sr-Latn-ME"/>
        </w:rPr>
        <w:t>(i druga uputs</w:t>
      </w:r>
      <w:r w:rsidR="004109FA" w:rsidRPr="002B34BA">
        <w:rPr>
          <w:b/>
          <w:bCs/>
          <w:sz w:val="22"/>
          <w:szCs w:val="22"/>
          <w:lang w:val="sr-Latn-ME"/>
        </w:rPr>
        <w:t>t</w:t>
      </w:r>
      <w:r w:rsidR="00310F03" w:rsidRPr="002B34BA">
        <w:rPr>
          <w:b/>
          <w:bCs/>
          <w:sz w:val="22"/>
          <w:szCs w:val="22"/>
          <w:lang w:val="sr-Latn-ME"/>
        </w:rPr>
        <w:t xml:space="preserve">va za rukovanje lijekom) </w:t>
      </w:r>
    </w:p>
    <w:p w:rsidR="00BD1DB8" w:rsidRPr="002B34BA" w:rsidRDefault="00BD1DB8" w:rsidP="002B34BA">
      <w:pPr>
        <w:tabs>
          <w:tab w:val="left" w:pos="540"/>
          <w:tab w:val="left" w:pos="569"/>
        </w:tabs>
        <w:jc w:val="both"/>
        <w:rPr>
          <w:b/>
          <w:bCs/>
          <w:sz w:val="22"/>
          <w:szCs w:val="22"/>
          <w:lang w:val="sr-Latn-ME"/>
        </w:rPr>
      </w:pPr>
    </w:p>
    <w:p w:rsidR="007E74CE" w:rsidRPr="002B34BA" w:rsidRDefault="007E74CE" w:rsidP="0055458C">
      <w:pPr>
        <w:tabs>
          <w:tab w:val="left" w:pos="540"/>
          <w:tab w:val="left" w:pos="569"/>
        </w:tabs>
        <w:jc w:val="both"/>
        <w:rPr>
          <w:bCs/>
          <w:sz w:val="22"/>
          <w:szCs w:val="22"/>
          <w:lang w:val="sr-Latn-ME"/>
        </w:rPr>
      </w:pPr>
      <w:r w:rsidRPr="002B34BA">
        <w:rPr>
          <w:bCs/>
          <w:sz w:val="22"/>
          <w:szCs w:val="22"/>
          <w:lang w:val="sr-Latn-ME"/>
        </w:rPr>
        <w:t>Neupotr</w:t>
      </w:r>
      <w:r w:rsidR="00E335DF">
        <w:rPr>
          <w:bCs/>
          <w:sz w:val="22"/>
          <w:szCs w:val="22"/>
          <w:lang w:val="sr-Latn-ME"/>
        </w:rPr>
        <w:t>ij</w:t>
      </w:r>
      <w:r w:rsidRPr="002B34BA">
        <w:rPr>
          <w:bCs/>
          <w:sz w:val="22"/>
          <w:szCs w:val="22"/>
          <w:lang w:val="sr-Latn-ME"/>
        </w:rPr>
        <w:t>ebljen</w:t>
      </w:r>
      <w:r w:rsidR="00E335DF">
        <w:rPr>
          <w:bCs/>
          <w:sz w:val="22"/>
          <w:szCs w:val="22"/>
          <w:lang w:val="sr-Latn-ME"/>
        </w:rPr>
        <w:t>i</w:t>
      </w:r>
      <w:r w:rsidRPr="002B34BA">
        <w:rPr>
          <w:bCs/>
          <w:sz w:val="22"/>
          <w:szCs w:val="22"/>
          <w:lang w:val="sr-Latn-ME"/>
        </w:rPr>
        <w:t xml:space="preserve"> lijek se uništava u skladu sa važećim propisima.</w:t>
      </w:r>
    </w:p>
    <w:p w:rsidR="00366B79" w:rsidRDefault="00366B79" w:rsidP="00480FB1">
      <w:pPr>
        <w:tabs>
          <w:tab w:val="left" w:pos="540"/>
          <w:tab w:val="left" w:pos="569"/>
        </w:tabs>
        <w:rPr>
          <w:b/>
          <w:bCs/>
          <w:sz w:val="22"/>
          <w:szCs w:val="22"/>
          <w:lang w:val="sr-Latn-ME"/>
        </w:rPr>
      </w:pPr>
    </w:p>
    <w:p w:rsidR="00ED06A1" w:rsidRDefault="00ED06A1" w:rsidP="00480FB1">
      <w:pPr>
        <w:tabs>
          <w:tab w:val="left" w:pos="540"/>
          <w:tab w:val="left" w:pos="569"/>
        </w:tabs>
        <w:rPr>
          <w:b/>
          <w:bCs/>
          <w:sz w:val="22"/>
          <w:szCs w:val="22"/>
          <w:lang w:val="sr-Latn-ME"/>
        </w:rPr>
      </w:pPr>
    </w:p>
    <w:p w:rsidR="00366B79" w:rsidRPr="002B34BA" w:rsidRDefault="00366B79" w:rsidP="00480FB1">
      <w:pPr>
        <w:tabs>
          <w:tab w:val="left" w:pos="540"/>
          <w:tab w:val="left" w:pos="569"/>
        </w:tabs>
        <w:rPr>
          <w:b/>
          <w:bCs/>
          <w:sz w:val="22"/>
          <w:szCs w:val="22"/>
          <w:lang w:val="sr-Latn-ME"/>
        </w:rPr>
      </w:pPr>
    </w:p>
    <w:p w:rsidR="00F8570A" w:rsidRPr="00FE7075" w:rsidRDefault="0072020E" w:rsidP="00480FB1">
      <w:pPr>
        <w:tabs>
          <w:tab w:val="left" w:pos="540"/>
          <w:tab w:val="left" w:pos="569"/>
        </w:tabs>
        <w:rPr>
          <w:b/>
          <w:bCs/>
          <w:sz w:val="22"/>
          <w:szCs w:val="22"/>
          <w:lang w:val="sr-Latn-ME"/>
        </w:rPr>
      </w:pPr>
      <w:r w:rsidRPr="00FE7075">
        <w:rPr>
          <w:b/>
          <w:bCs/>
          <w:sz w:val="22"/>
          <w:szCs w:val="22"/>
          <w:lang w:val="sr-Latn-ME"/>
        </w:rPr>
        <w:lastRenderedPageBreak/>
        <w:t xml:space="preserve">7. </w:t>
      </w:r>
      <w:r w:rsidR="00480FB1" w:rsidRPr="00FE7075">
        <w:rPr>
          <w:b/>
          <w:bCs/>
          <w:sz w:val="22"/>
          <w:szCs w:val="22"/>
          <w:lang w:val="sr-Latn-ME"/>
        </w:rPr>
        <w:tab/>
      </w:r>
      <w:r w:rsidRPr="00FE7075">
        <w:rPr>
          <w:b/>
          <w:bCs/>
          <w:sz w:val="22"/>
          <w:szCs w:val="22"/>
          <w:lang w:val="sr-Latn-ME"/>
        </w:rPr>
        <w:t>NOSILAC DOZVOLE</w:t>
      </w:r>
      <w:r w:rsidR="00483928" w:rsidRPr="00FE7075">
        <w:rPr>
          <w:b/>
          <w:bCs/>
          <w:sz w:val="22"/>
          <w:szCs w:val="22"/>
          <w:lang w:val="sr-Latn-ME"/>
        </w:rPr>
        <w:t xml:space="preserve"> </w:t>
      </w:r>
    </w:p>
    <w:p w:rsidR="00BD1DB8" w:rsidRPr="00FE7075" w:rsidRDefault="00BD1DB8" w:rsidP="00480FB1">
      <w:pPr>
        <w:tabs>
          <w:tab w:val="left" w:pos="540"/>
          <w:tab w:val="left" w:pos="569"/>
        </w:tabs>
        <w:rPr>
          <w:b/>
          <w:bCs/>
          <w:sz w:val="22"/>
          <w:szCs w:val="22"/>
          <w:lang w:val="sr-Latn-ME"/>
        </w:rPr>
      </w:pPr>
    </w:p>
    <w:p w:rsidR="00BD1DB8" w:rsidRPr="00FE7075" w:rsidRDefault="005944DE" w:rsidP="005944DE">
      <w:pPr>
        <w:pStyle w:val="ListNumber"/>
        <w:numPr>
          <w:ilvl w:val="0"/>
          <w:numId w:val="0"/>
        </w:numPr>
        <w:jc w:val="both"/>
        <w:rPr>
          <w:rFonts w:ascii="Times New Roman" w:hAnsi="Times New Roman"/>
          <w:color w:val="000000"/>
          <w:sz w:val="22"/>
          <w:szCs w:val="22"/>
          <w:lang w:val="sr-Latn-ME"/>
        </w:rPr>
      </w:pPr>
      <w:r w:rsidRPr="00FE7075">
        <w:rPr>
          <w:rFonts w:ascii="Times New Roman" w:hAnsi="Times New Roman"/>
          <w:color w:val="000000"/>
          <w:sz w:val="22"/>
          <w:szCs w:val="22"/>
          <w:lang w:val="sr-Latn-ME"/>
        </w:rPr>
        <w:t>B</w:t>
      </w:r>
      <w:r w:rsidR="00BD1DB8" w:rsidRPr="00FE7075">
        <w:rPr>
          <w:rFonts w:ascii="Times New Roman" w:hAnsi="Times New Roman"/>
          <w:color w:val="000000"/>
          <w:sz w:val="22"/>
          <w:szCs w:val="22"/>
          <w:lang w:val="sr-Latn-ME"/>
        </w:rPr>
        <w:t>osnalijek</w:t>
      </w:r>
      <w:r w:rsidRPr="00FE7075">
        <w:rPr>
          <w:rFonts w:ascii="Times New Roman" w:hAnsi="Times New Roman"/>
          <w:color w:val="000000"/>
          <w:sz w:val="22"/>
          <w:szCs w:val="22"/>
          <w:lang w:val="sr-Latn-ME"/>
        </w:rPr>
        <w:t xml:space="preserve"> </w:t>
      </w:r>
      <w:r w:rsidR="00BD1DB8" w:rsidRPr="00FE7075">
        <w:rPr>
          <w:rFonts w:ascii="Times New Roman" w:hAnsi="Times New Roman"/>
          <w:color w:val="000000"/>
          <w:sz w:val="22"/>
          <w:szCs w:val="22"/>
          <w:lang w:val="sr-Latn-ME"/>
        </w:rPr>
        <w:t xml:space="preserve">d.d. </w:t>
      </w:r>
      <w:r w:rsidRPr="00FE7075">
        <w:rPr>
          <w:rFonts w:ascii="Times New Roman" w:hAnsi="Times New Roman"/>
          <w:color w:val="000000"/>
          <w:sz w:val="22"/>
          <w:szCs w:val="22"/>
          <w:lang w:val="sr-Latn-ME"/>
        </w:rPr>
        <w:t>P</w:t>
      </w:r>
      <w:r w:rsidR="00BD1DB8" w:rsidRPr="00FE7075">
        <w:rPr>
          <w:rFonts w:ascii="Times New Roman" w:hAnsi="Times New Roman"/>
          <w:color w:val="000000"/>
          <w:sz w:val="22"/>
          <w:szCs w:val="22"/>
          <w:lang w:val="sr-Latn-ME"/>
        </w:rPr>
        <w:t>redstavništvo</w:t>
      </w:r>
      <w:r w:rsidRPr="00FE7075">
        <w:rPr>
          <w:rFonts w:ascii="Times New Roman" w:hAnsi="Times New Roman"/>
          <w:color w:val="000000"/>
          <w:sz w:val="22"/>
          <w:szCs w:val="22"/>
          <w:lang w:val="sr-Latn-ME"/>
        </w:rPr>
        <w:t xml:space="preserve"> C</w:t>
      </w:r>
      <w:r w:rsidR="00BD1DB8" w:rsidRPr="00FE7075">
        <w:rPr>
          <w:rFonts w:ascii="Times New Roman" w:hAnsi="Times New Roman"/>
          <w:color w:val="000000"/>
          <w:sz w:val="22"/>
          <w:szCs w:val="22"/>
          <w:lang w:val="sr-Latn-ME"/>
        </w:rPr>
        <w:t xml:space="preserve">rna </w:t>
      </w:r>
      <w:r w:rsidRPr="00FE7075">
        <w:rPr>
          <w:rFonts w:ascii="Times New Roman" w:hAnsi="Times New Roman"/>
          <w:color w:val="000000"/>
          <w:sz w:val="22"/>
          <w:szCs w:val="22"/>
          <w:lang w:val="sr-Latn-ME"/>
        </w:rPr>
        <w:t>G</w:t>
      </w:r>
      <w:r w:rsidR="00BD1DB8" w:rsidRPr="00FE7075">
        <w:rPr>
          <w:rFonts w:ascii="Times New Roman" w:hAnsi="Times New Roman"/>
          <w:color w:val="000000"/>
          <w:sz w:val="22"/>
          <w:szCs w:val="22"/>
          <w:lang w:val="sr-Latn-ME"/>
        </w:rPr>
        <w:t>ora</w:t>
      </w:r>
      <w:r w:rsidRPr="00FE7075">
        <w:rPr>
          <w:rFonts w:ascii="Times New Roman" w:hAnsi="Times New Roman"/>
          <w:color w:val="000000"/>
          <w:sz w:val="22"/>
          <w:szCs w:val="22"/>
          <w:lang w:val="sr-Latn-ME"/>
        </w:rPr>
        <w:t>,</w:t>
      </w:r>
      <w:r w:rsidR="00BD1DB8" w:rsidRPr="00FE7075">
        <w:rPr>
          <w:rFonts w:ascii="Times New Roman" w:hAnsi="Times New Roman"/>
          <w:color w:val="000000"/>
          <w:sz w:val="22"/>
          <w:szCs w:val="22"/>
          <w:lang w:val="sr-Latn-ME"/>
        </w:rPr>
        <w:t xml:space="preserve"> </w:t>
      </w:r>
    </w:p>
    <w:p w:rsidR="005944DE" w:rsidRPr="00FE7075" w:rsidRDefault="005944DE" w:rsidP="005944DE">
      <w:pPr>
        <w:pStyle w:val="ListNumber"/>
        <w:numPr>
          <w:ilvl w:val="0"/>
          <w:numId w:val="0"/>
        </w:numPr>
        <w:jc w:val="both"/>
        <w:rPr>
          <w:rFonts w:ascii="Times New Roman" w:hAnsi="Times New Roman"/>
          <w:b/>
          <w:color w:val="000000"/>
          <w:sz w:val="22"/>
          <w:szCs w:val="22"/>
          <w:lang w:val="sr-Latn-ME"/>
        </w:rPr>
      </w:pPr>
      <w:r w:rsidRPr="00FE7075">
        <w:rPr>
          <w:rFonts w:ascii="Times New Roman" w:hAnsi="Times New Roman"/>
          <w:color w:val="000000"/>
          <w:sz w:val="22"/>
          <w:szCs w:val="22"/>
          <w:lang w:val="sr-Latn-ME"/>
        </w:rPr>
        <w:t xml:space="preserve">Bulevar Svetog Petra Cetinjskog 63, </w:t>
      </w:r>
      <w:r w:rsidR="00BD1DB8" w:rsidRPr="00FE7075">
        <w:rPr>
          <w:rFonts w:ascii="Times New Roman" w:hAnsi="Times New Roman"/>
          <w:color w:val="000000"/>
          <w:sz w:val="22"/>
          <w:szCs w:val="22"/>
          <w:lang w:val="sr-Latn-ME"/>
        </w:rPr>
        <w:t>81000 Podgorica, Crna Gora</w:t>
      </w:r>
    </w:p>
    <w:p w:rsidR="00551909" w:rsidRPr="00FE7075" w:rsidRDefault="00551909" w:rsidP="00480FB1">
      <w:pPr>
        <w:tabs>
          <w:tab w:val="left" w:pos="540"/>
          <w:tab w:val="left" w:pos="569"/>
        </w:tabs>
        <w:rPr>
          <w:bCs/>
          <w:sz w:val="22"/>
          <w:szCs w:val="22"/>
          <w:lang w:val="sr-Latn-ME"/>
        </w:rPr>
      </w:pPr>
    </w:p>
    <w:p w:rsidR="00551909" w:rsidRPr="00FE7075" w:rsidRDefault="00551909" w:rsidP="00480FB1">
      <w:pPr>
        <w:tabs>
          <w:tab w:val="left" w:pos="540"/>
          <w:tab w:val="left" w:pos="569"/>
        </w:tabs>
        <w:rPr>
          <w:bCs/>
          <w:sz w:val="22"/>
          <w:szCs w:val="22"/>
          <w:lang w:val="sr-Latn-ME"/>
        </w:rPr>
      </w:pPr>
      <w:bookmarkStart w:id="0" w:name="_GoBack"/>
      <w:bookmarkEnd w:id="0"/>
    </w:p>
    <w:p w:rsidR="0072020E" w:rsidRPr="00FE7075" w:rsidRDefault="0072020E" w:rsidP="00480FB1">
      <w:pPr>
        <w:tabs>
          <w:tab w:val="left" w:pos="540"/>
          <w:tab w:val="left" w:pos="569"/>
        </w:tabs>
        <w:rPr>
          <w:b/>
          <w:bCs/>
          <w:sz w:val="22"/>
          <w:szCs w:val="22"/>
          <w:lang w:val="sr-Latn-ME"/>
        </w:rPr>
      </w:pPr>
      <w:r w:rsidRPr="00FE7075">
        <w:rPr>
          <w:b/>
          <w:bCs/>
          <w:sz w:val="22"/>
          <w:szCs w:val="22"/>
          <w:lang w:val="sr-Latn-ME"/>
        </w:rPr>
        <w:t xml:space="preserve">8. </w:t>
      </w:r>
      <w:r w:rsidR="00480FB1" w:rsidRPr="00FE7075">
        <w:rPr>
          <w:b/>
          <w:bCs/>
          <w:sz w:val="22"/>
          <w:szCs w:val="22"/>
          <w:lang w:val="sr-Latn-ME"/>
        </w:rPr>
        <w:tab/>
      </w:r>
      <w:r w:rsidRPr="00FE7075">
        <w:rPr>
          <w:b/>
          <w:bCs/>
          <w:sz w:val="22"/>
          <w:szCs w:val="22"/>
          <w:lang w:val="sr-Latn-ME"/>
        </w:rPr>
        <w:t>BROJ DOZVOLE</w:t>
      </w:r>
      <w:r w:rsidR="008A6D43" w:rsidRPr="00FE7075">
        <w:rPr>
          <w:b/>
          <w:bCs/>
          <w:sz w:val="22"/>
          <w:szCs w:val="22"/>
          <w:lang w:val="sr-Latn-ME"/>
        </w:rPr>
        <w:t xml:space="preserve"> ZA STAVLJANJE LIJEKA U PROMET</w:t>
      </w:r>
    </w:p>
    <w:p w:rsidR="00AE71EB" w:rsidRPr="00FE7075" w:rsidRDefault="00AE71EB" w:rsidP="00AE71EB">
      <w:pPr>
        <w:tabs>
          <w:tab w:val="left" w:pos="540"/>
          <w:tab w:val="left" w:pos="569"/>
        </w:tabs>
        <w:jc w:val="both"/>
        <w:rPr>
          <w:bCs/>
          <w:sz w:val="22"/>
          <w:szCs w:val="22"/>
          <w:lang w:val="sr-Latn-ME"/>
        </w:rPr>
      </w:pPr>
    </w:p>
    <w:p w:rsidR="00551909" w:rsidRPr="00FE7075" w:rsidRDefault="00FE7075" w:rsidP="00AE71EB">
      <w:pPr>
        <w:tabs>
          <w:tab w:val="left" w:pos="540"/>
          <w:tab w:val="left" w:pos="569"/>
        </w:tabs>
        <w:jc w:val="both"/>
        <w:rPr>
          <w:bCs/>
          <w:sz w:val="22"/>
          <w:szCs w:val="22"/>
          <w:lang w:val="sr-Latn-ME"/>
        </w:rPr>
      </w:pPr>
      <w:r w:rsidRPr="00FE7075">
        <w:rPr>
          <w:bCs/>
          <w:sz w:val="22"/>
          <w:szCs w:val="22"/>
          <w:lang w:val="sr-Latn-ME"/>
        </w:rPr>
        <w:t>2030/25/2773 - 6373</w:t>
      </w:r>
    </w:p>
    <w:p w:rsidR="00FE7075" w:rsidRPr="00FE7075" w:rsidRDefault="00FE7075" w:rsidP="00AE71EB">
      <w:pPr>
        <w:tabs>
          <w:tab w:val="left" w:pos="540"/>
          <w:tab w:val="left" w:pos="569"/>
        </w:tabs>
        <w:jc w:val="both"/>
        <w:rPr>
          <w:bCs/>
          <w:sz w:val="22"/>
          <w:szCs w:val="22"/>
          <w:lang w:val="sr-Latn-ME"/>
        </w:rPr>
      </w:pPr>
    </w:p>
    <w:p w:rsidR="00BD1DB8" w:rsidRPr="00FE7075" w:rsidRDefault="00BD1DB8" w:rsidP="00AE71EB">
      <w:pPr>
        <w:tabs>
          <w:tab w:val="left" w:pos="540"/>
          <w:tab w:val="left" w:pos="569"/>
        </w:tabs>
        <w:jc w:val="both"/>
        <w:rPr>
          <w:bCs/>
          <w:sz w:val="22"/>
          <w:szCs w:val="22"/>
          <w:lang w:val="sr-Latn-ME"/>
        </w:rPr>
      </w:pPr>
    </w:p>
    <w:p w:rsidR="0072020E" w:rsidRPr="00FE7075" w:rsidRDefault="0072020E" w:rsidP="002B34BA">
      <w:pPr>
        <w:tabs>
          <w:tab w:val="left" w:pos="540"/>
          <w:tab w:val="left" w:pos="569"/>
        </w:tabs>
        <w:jc w:val="both"/>
        <w:rPr>
          <w:b/>
          <w:bCs/>
          <w:sz w:val="22"/>
          <w:szCs w:val="22"/>
          <w:lang w:val="sr-Latn-ME"/>
        </w:rPr>
      </w:pPr>
      <w:r w:rsidRPr="00FE7075">
        <w:rPr>
          <w:b/>
          <w:bCs/>
          <w:sz w:val="22"/>
          <w:szCs w:val="22"/>
          <w:lang w:val="sr-Latn-ME"/>
        </w:rPr>
        <w:t xml:space="preserve">9. </w:t>
      </w:r>
      <w:r w:rsidR="00480FB1" w:rsidRPr="00FE7075">
        <w:rPr>
          <w:b/>
          <w:bCs/>
          <w:sz w:val="22"/>
          <w:szCs w:val="22"/>
          <w:lang w:val="sr-Latn-ME"/>
        </w:rPr>
        <w:tab/>
      </w:r>
      <w:r w:rsidRPr="00FE7075">
        <w:rPr>
          <w:b/>
          <w:bCs/>
          <w:sz w:val="22"/>
          <w:szCs w:val="22"/>
          <w:lang w:val="sr-Latn-ME"/>
        </w:rPr>
        <w:t xml:space="preserve">DATUM </w:t>
      </w:r>
      <w:r w:rsidR="00C05DF8" w:rsidRPr="00FE7075">
        <w:rPr>
          <w:b/>
          <w:bCs/>
          <w:sz w:val="22"/>
          <w:szCs w:val="22"/>
          <w:lang w:val="sr-Latn-ME"/>
        </w:rPr>
        <w:t xml:space="preserve">PRVE </w:t>
      </w:r>
      <w:r w:rsidR="008A6D43" w:rsidRPr="00FE7075">
        <w:rPr>
          <w:b/>
          <w:bCs/>
          <w:sz w:val="22"/>
          <w:szCs w:val="22"/>
          <w:lang w:val="sr-Latn-ME"/>
        </w:rPr>
        <w:t>DOZVOLE</w:t>
      </w:r>
      <w:r w:rsidR="00C05DF8" w:rsidRPr="00FE7075">
        <w:rPr>
          <w:b/>
          <w:bCs/>
          <w:sz w:val="22"/>
          <w:szCs w:val="22"/>
          <w:lang w:val="sr-Latn-ME"/>
        </w:rPr>
        <w:t>/OBNOVE DOZVOLE</w:t>
      </w:r>
      <w:r w:rsidR="008A6D43" w:rsidRPr="00FE7075">
        <w:rPr>
          <w:b/>
          <w:bCs/>
          <w:sz w:val="22"/>
          <w:szCs w:val="22"/>
          <w:lang w:val="sr-Latn-ME"/>
        </w:rPr>
        <w:t xml:space="preserve"> ZA STAVLJANJE LIJEKA U PROMET</w:t>
      </w:r>
    </w:p>
    <w:p w:rsidR="00B4624E" w:rsidRPr="00FE7075" w:rsidRDefault="00B4624E" w:rsidP="00B4624E">
      <w:pPr>
        <w:tabs>
          <w:tab w:val="left" w:pos="540"/>
          <w:tab w:val="left" w:pos="569"/>
        </w:tabs>
        <w:jc w:val="both"/>
        <w:rPr>
          <w:bCs/>
          <w:sz w:val="22"/>
          <w:szCs w:val="22"/>
          <w:lang w:val="sr-Latn-ME"/>
        </w:rPr>
      </w:pPr>
    </w:p>
    <w:p w:rsidR="00B4624E" w:rsidRPr="00FE7075" w:rsidRDefault="00BD1DB8" w:rsidP="00B4624E">
      <w:pPr>
        <w:tabs>
          <w:tab w:val="left" w:pos="540"/>
          <w:tab w:val="left" w:pos="569"/>
        </w:tabs>
        <w:jc w:val="both"/>
        <w:rPr>
          <w:bCs/>
          <w:sz w:val="22"/>
          <w:szCs w:val="22"/>
          <w:lang w:val="sr-Latn-ME"/>
        </w:rPr>
      </w:pPr>
      <w:r w:rsidRPr="00FE7075">
        <w:rPr>
          <w:bCs/>
          <w:sz w:val="22"/>
          <w:szCs w:val="22"/>
          <w:lang w:val="sr-Latn-ME"/>
        </w:rPr>
        <w:t xml:space="preserve">Datum prve dozvole: </w:t>
      </w:r>
      <w:r w:rsidR="00B4624E" w:rsidRPr="00FE7075">
        <w:rPr>
          <w:bCs/>
          <w:sz w:val="22"/>
          <w:szCs w:val="22"/>
          <w:lang w:val="sr-Latn-ME"/>
        </w:rPr>
        <w:t>04.05.2020. godine</w:t>
      </w:r>
    </w:p>
    <w:p w:rsidR="0072020E" w:rsidRPr="00FE7075" w:rsidRDefault="00BD1DB8" w:rsidP="00480FB1">
      <w:pPr>
        <w:tabs>
          <w:tab w:val="left" w:pos="540"/>
          <w:tab w:val="left" w:pos="569"/>
        </w:tabs>
        <w:rPr>
          <w:bCs/>
          <w:sz w:val="22"/>
          <w:szCs w:val="22"/>
          <w:lang w:val="sr-Latn-ME"/>
        </w:rPr>
      </w:pPr>
      <w:r w:rsidRPr="00FE7075">
        <w:rPr>
          <w:bCs/>
          <w:sz w:val="22"/>
          <w:szCs w:val="22"/>
          <w:lang w:val="sr-Latn-ME"/>
        </w:rPr>
        <w:t>Datum poslednje obnove dozvole:</w:t>
      </w:r>
      <w:r w:rsidR="00FE7075" w:rsidRPr="00FE7075">
        <w:rPr>
          <w:sz w:val="22"/>
          <w:szCs w:val="22"/>
        </w:rPr>
        <w:t xml:space="preserve"> </w:t>
      </w:r>
      <w:r w:rsidR="00FE7075" w:rsidRPr="00FE7075">
        <w:rPr>
          <w:bCs/>
          <w:sz w:val="22"/>
          <w:szCs w:val="22"/>
          <w:lang w:val="sr-Latn-ME"/>
        </w:rPr>
        <w:t>30.07.2025. godine</w:t>
      </w:r>
    </w:p>
    <w:p w:rsidR="00BD1DB8" w:rsidRPr="00FE7075" w:rsidRDefault="00BD1DB8" w:rsidP="00480FB1">
      <w:pPr>
        <w:tabs>
          <w:tab w:val="left" w:pos="540"/>
          <w:tab w:val="left" w:pos="569"/>
        </w:tabs>
        <w:rPr>
          <w:bCs/>
          <w:sz w:val="22"/>
          <w:szCs w:val="22"/>
          <w:lang w:val="sr-Latn-ME"/>
        </w:rPr>
      </w:pPr>
    </w:p>
    <w:p w:rsidR="00551909" w:rsidRPr="00FE7075" w:rsidRDefault="00551909" w:rsidP="00480FB1">
      <w:pPr>
        <w:tabs>
          <w:tab w:val="left" w:pos="540"/>
          <w:tab w:val="left" w:pos="569"/>
        </w:tabs>
        <w:rPr>
          <w:bCs/>
          <w:sz w:val="22"/>
          <w:szCs w:val="22"/>
          <w:lang w:val="sr-Latn-ME"/>
        </w:rPr>
      </w:pPr>
    </w:p>
    <w:p w:rsidR="003F6A59" w:rsidRPr="00FE7075" w:rsidRDefault="0072020E" w:rsidP="00C05DF8">
      <w:pPr>
        <w:tabs>
          <w:tab w:val="left" w:pos="540"/>
          <w:tab w:val="left" w:pos="569"/>
        </w:tabs>
        <w:ind w:left="540" w:hanging="540"/>
        <w:rPr>
          <w:b/>
          <w:bCs/>
          <w:sz w:val="22"/>
          <w:szCs w:val="22"/>
          <w:lang w:val="sr-Latn-ME"/>
        </w:rPr>
      </w:pPr>
      <w:r w:rsidRPr="00FE7075">
        <w:rPr>
          <w:b/>
          <w:bCs/>
          <w:sz w:val="22"/>
          <w:szCs w:val="22"/>
          <w:lang w:val="sr-Latn-ME"/>
        </w:rPr>
        <w:t xml:space="preserve">10. </w:t>
      </w:r>
      <w:r w:rsidR="00480FB1" w:rsidRPr="00FE7075">
        <w:rPr>
          <w:b/>
          <w:bCs/>
          <w:sz w:val="22"/>
          <w:szCs w:val="22"/>
          <w:lang w:val="sr-Latn-ME"/>
        </w:rPr>
        <w:tab/>
      </w:r>
      <w:r w:rsidR="002846DB" w:rsidRPr="00FE7075">
        <w:rPr>
          <w:b/>
          <w:bCs/>
          <w:sz w:val="22"/>
          <w:szCs w:val="22"/>
          <w:lang w:val="sr-Latn-ME"/>
        </w:rPr>
        <w:t>D</w:t>
      </w:r>
      <w:r w:rsidR="00EC2532" w:rsidRPr="00FE7075">
        <w:rPr>
          <w:b/>
          <w:bCs/>
          <w:sz w:val="22"/>
          <w:szCs w:val="22"/>
          <w:lang w:val="sr-Latn-ME"/>
        </w:rPr>
        <w:t xml:space="preserve">ATUM REVIZIJE TEKSTA </w:t>
      </w:r>
    </w:p>
    <w:p w:rsidR="00FE7075" w:rsidRPr="00FE7075" w:rsidRDefault="00FE7075" w:rsidP="00C05DF8">
      <w:pPr>
        <w:tabs>
          <w:tab w:val="left" w:pos="540"/>
          <w:tab w:val="left" w:pos="569"/>
        </w:tabs>
        <w:ind w:left="540" w:hanging="540"/>
        <w:rPr>
          <w:b/>
          <w:bCs/>
          <w:sz w:val="22"/>
          <w:szCs w:val="22"/>
          <w:lang w:val="sr-Latn-ME"/>
        </w:rPr>
      </w:pPr>
    </w:p>
    <w:p w:rsidR="00FE7075" w:rsidRPr="00FE7075" w:rsidRDefault="00FE7075" w:rsidP="00C05DF8">
      <w:pPr>
        <w:tabs>
          <w:tab w:val="left" w:pos="540"/>
          <w:tab w:val="left" w:pos="569"/>
        </w:tabs>
        <w:ind w:left="540" w:hanging="540"/>
        <w:rPr>
          <w:bCs/>
          <w:sz w:val="22"/>
          <w:szCs w:val="22"/>
          <w:lang w:val="sr-Latn-ME"/>
        </w:rPr>
      </w:pPr>
      <w:r w:rsidRPr="00FE7075">
        <w:rPr>
          <w:bCs/>
          <w:sz w:val="22"/>
          <w:szCs w:val="22"/>
          <w:lang w:val="sr-Latn-ME"/>
        </w:rPr>
        <w:t>Jul, 2025. godine</w:t>
      </w:r>
    </w:p>
    <w:p w:rsidR="00F647DA" w:rsidRPr="00FE7075" w:rsidRDefault="00F647DA" w:rsidP="00F647DA">
      <w:pPr>
        <w:tabs>
          <w:tab w:val="left" w:pos="540"/>
          <w:tab w:val="left" w:pos="569"/>
        </w:tabs>
        <w:ind w:left="540" w:hanging="540"/>
        <w:rPr>
          <w:bCs/>
          <w:sz w:val="22"/>
          <w:szCs w:val="22"/>
          <w:lang w:val="sr-Latn-ME"/>
        </w:rPr>
      </w:pPr>
    </w:p>
    <w:p w:rsidR="003F6A59" w:rsidRDefault="003F6A59" w:rsidP="00DE3F5C">
      <w:pPr>
        <w:rPr>
          <w:sz w:val="22"/>
          <w:szCs w:val="22"/>
          <w:lang w:val="sr-Latn-ME"/>
        </w:rPr>
      </w:pPr>
    </w:p>
    <w:p w:rsidR="00BD1DB8" w:rsidRPr="002B34BA" w:rsidRDefault="00BD1DB8" w:rsidP="00DE3F5C">
      <w:pPr>
        <w:rPr>
          <w:sz w:val="22"/>
          <w:szCs w:val="22"/>
          <w:lang w:val="sr-Latn-ME"/>
        </w:rPr>
      </w:pPr>
    </w:p>
    <w:sectPr w:rsidR="00BD1DB8" w:rsidRPr="002B34BA" w:rsidSect="002B34BA">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E35" w:rsidRDefault="00E73E35">
      <w:r>
        <w:separator/>
      </w:r>
    </w:p>
  </w:endnote>
  <w:endnote w:type="continuationSeparator" w:id="0">
    <w:p w:rsidR="00E73E35" w:rsidRDefault="00E7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panose1 w:val="00000000000000000000"/>
    <w:charset w:val="00"/>
    <w:family w:val="swiss"/>
    <w:notTrueType/>
    <w:pitch w:val="variable"/>
    <w:sig w:usb0="00000003" w:usb1="00000000" w:usb2="00000000" w:usb3="00000000" w:csb0="00000001" w:csb1="00000000"/>
  </w:font>
  <w:font w:name="Sabon">
    <w:altName w:val="Times New Roman"/>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5A" w:rsidRPr="00B23F69" w:rsidRDefault="009A2B6B" w:rsidP="00B23F69">
    <w:pPr>
      <w:pStyle w:val="Footer"/>
      <w:jc w:val="center"/>
      <w:rPr>
        <w:sz w:val="22"/>
        <w:szCs w:val="22"/>
      </w:rPr>
    </w:pPr>
    <w:r w:rsidRPr="00B23F69">
      <w:rPr>
        <w:sz w:val="22"/>
        <w:szCs w:val="22"/>
      </w:rPr>
      <w:fldChar w:fldCharType="begin"/>
    </w:r>
    <w:r w:rsidR="0015395A" w:rsidRPr="00B23F69">
      <w:rPr>
        <w:sz w:val="22"/>
        <w:szCs w:val="22"/>
      </w:rPr>
      <w:instrText xml:space="preserve"> PAGE </w:instrText>
    </w:r>
    <w:r w:rsidRPr="00B23F69">
      <w:rPr>
        <w:sz w:val="22"/>
        <w:szCs w:val="22"/>
      </w:rPr>
      <w:fldChar w:fldCharType="separate"/>
    </w:r>
    <w:r w:rsidR="00E335DF">
      <w:rPr>
        <w:noProof/>
        <w:sz w:val="22"/>
        <w:szCs w:val="22"/>
      </w:rPr>
      <w:t>7</w:t>
    </w:r>
    <w:r w:rsidRPr="00B23F69">
      <w:rPr>
        <w:sz w:val="22"/>
        <w:szCs w:val="22"/>
      </w:rPr>
      <w:fldChar w:fldCharType="end"/>
    </w:r>
    <w:r w:rsidR="0015395A" w:rsidRPr="00B23F69">
      <w:rPr>
        <w:sz w:val="22"/>
        <w:szCs w:val="22"/>
      </w:rPr>
      <w:t xml:space="preserve"> / </w:t>
    </w:r>
    <w:r w:rsidRPr="00B23F69">
      <w:rPr>
        <w:sz w:val="22"/>
        <w:szCs w:val="22"/>
      </w:rPr>
      <w:fldChar w:fldCharType="begin"/>
    </w:r>
    <w:r w:rsidR="0015395A" w:rsidRPr="00B23F69">
      <w:rPr>
        <w:sz w:val="22"/>
        <w:szCs w:val="22"/>
      </w:rPr>
      <w:instrText xml:space="preserve"> NUMPAGES </w:instrText>
    </w:r>
    <w:r w:rsidRPr="00B23F69">
      <w:rPr>
        <w:sz w:val="22"/>
        <w:szCs w:val="22"/>
      </w:rPr>
      <w:fldChar w:fldCharType="separate"/>
    </w:r>
    <w:r w:rsidR="00E335DF">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E35" w:rsidRDefault="00E73E35">
      <w:r>
        <w:separator/>
      </w:r>
    </w:p>
  </w:footnote>
  <w:footnote w:type="continuationSeparator" w:id="0">
    <w:p w:rsidR="00E73E35" w:rsidRDefault="00E73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5pt;height:13.75pt;visibility:visible" o:bullet="t">
        <v:imagedata r:id="rId1" o:title="BT_1000x858px"/>
      </v:shape>
    </w:pict>
  </w:numPicBullet>
  <w:abstractNum w:abstractNumId="0" w15:restartNumberingAfterBreak="0">
    <w:nsid w:val="FFFFFF88"/>
    <w:multiLevelType w:val="singleLevel"/>
    <w:tmpl w:val="110439BE"/>
    <w:lvl w:ilvl="0">
      <w:start w:val="1"/>
      <w:numFmt w:val="decimal"/>
      <w:pStyle w:val="ListNumber"/>
      <w:lvlText w:val="%1."/>
      <w:lvlJc w:val="left"/>
      <w:pPr>
        <w:tabs>
          <w:tab w:val="num" w:pos="360"/>
        </w:tabs>
        <w:ind w:left="360" w:hanging="360"/>
      </w:pPr>
    </w:lvl>
  </w:abstractNum>
  <w:abstractNum w:abstractNumId="1" w15:restartNumberingAfterBreak="0">
    <w:nsid w:val="06120182"/>
    <w:multiLevelType w:val="hybridMultilevel"/>
    <w:tmpl w:val="25B4C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EBE352A"/>
    <w:multiLevelType w:val="hybridMultilevel"/>
    <w:tmpl w:val="B6767BC8"/>
    <w:lvl w:ilvl="0" w:tplc="AE2EBA04">
      <w:start w:val="4"/>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D33B7"/>
    <w:multiLevelType w:val="hybridMultilevel"/>
    <w:tmpl w:val="033448AC"/>
    <w:lvl w:ilvl="0" w:tplc="AA585F42">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1056B"/>
    <w:multiLevelType w:val="hybridMultilevel"/>
    <w:tmpl w:val="0CC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67555E6"/>
    <w:multiLevelType w:val="hybridMultilevel"/>
    <w:tmpl w:val="5128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1664C"/>
    <w:multiLevelType w:val="hybridMultilevel"/>
    <w:tmpl w:val="36A245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2D56FA"/>
    <w:multiLevelType w:val="hybridMultilevel"/>
    <w:tmpl w:val="E0861212"/>
    <w:lvl w:ilvl="0" w:tplc="A0DA7196">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03C06"/>
    <w:multiLevelType w:val="hybridMultilevel"/>
    <w:tmpl w:val="C47EC4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E1B5AD4"/>
    <w:multiLevelType w:val="hybridMultilevel"/>
    <w:tmpl w:val="A1244B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475A2C"/>
    <w:multiLevelType w:val="hybridMultilevel"/>
    <w:tmpl w:val="B2B20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58648C"/>
    <w:multiLevelType w:val="hybridMultilevel"/>
    <w:tmpl w:val="034E44E8"/>
    <w:lvl w:ilvl="0" w:tplc="AEB85226">
      <w:start w:val="4"/>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7B77248"/>
    <w:multiLevelType w:val="hybridMultilevel"/>
    <w:tmpl w:val="394C8BF4"/>
    <w:lvl w:ilvl="0" w:tplc="4AA4D912">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2036E"/>
    <w:multiLevelType w:val="hybridMultilevel"/>
    <w:tmpl w:val="A916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D723B"/>
    <w:multiLevelType w:val="hybridMultilevel"/>
    <w:tmpl w:val="0456BC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3907A74"/>
    <w:multiLevelType w:val="hybridMultilevel"/>
    <w:tmpl w:val="1582995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9875EB8"/>
    <w:multiLevelType w:val="hybridMultilevel"/>
    <w:tmpl w:val="2070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34C6B"/>
    <w:multiLevelType w:val="hybridMultilevel"/>
    <w:tmpl w:val="E1D4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C3344"/>
    <w:multiLevelType w:val="hybridMultilevel"/>
    <w:tmpl w:val="BFC2272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5BD83BBC"/>
    <w:multiLevelType w:val="hybridMultilevel"/>
    <w:tmpl w:val="DB96C3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FAC25C2"/>
    <w:multiLevelType w:val="hybridMultilevel"/>
    <w:tmpl w:val="7E9ED5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62E773AD"/>
    <w:multiLevelType w:val="hybridMultilevel"/>
    <w:tmpl w:val="E5B25F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97903D5"/>
    <w:multiLevelType w:val="hybridMultilevel"/>
    <w:tmpl w:val="62F249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B01FDE"/>
    <w:multiLevelType w:val="hybridMultilevel"/>
    <w:tmpl w:val="A08E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D57E6"/>
    <w:multiLevelType w:val="hybridMultilevel"/>
    <w:tmpl w:val="A764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7283D"/>
    <w:multiLevelType w:val="hybridMultilevel"/>
    <w:tmpl w:val="CD7834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B692BB2"/>
    <w:multiLevelType w:val="hybridMultilevel"/>
    <w:tmpl w:val="FC2815EC"/>
    <w:lvl w:ilvl="0" w:tplc="5540ED14">
      <w:start w:val="4"/>
      <w:numFmt w:val="bullet"/>
      <w:lvlText w:val="-"/>
      <w:lvlJc w:val="left"/>
      <w:pPr>
        <w:ind w:left="360" w:hanging="360"/>
      </w:pPr>
      <w:rPr>
        <w:rFonts w:ascii="Times New Roman" w:eastAsia="MS Mincho" w:hAnsi="Times New Roman" w:cs="Times New Roman" w:hint="default"/>
        <w:b/>
        <w:color w:val="auto"/>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6"/>
  </w:num>
  <w:num w:numId="2">
    <w:abstractNumId w:val="32"/>
  </w:num>
  <w:num w:numId="3">
    <w:abstractNumId w:val="2"/>
  </w:num>
  <w:num w:numId="4">
    <w:abstractNumId w:val="24"/>
  </w:num>
  <w:num w:numId="5">
    <w:abstractNumId w:val="8"/>
  </w:num>
  <w:num w:numId="6">
    <w:abstractNumId w:val="3"/>
  </w:num>
  <w:num w:numId="7">
    <w:abstractNumId w:val="19"/>
  </w:num>
  <w:num w:numId="8">
    <w:abstractNumId w:val="7"/>
  </w:num>
  <w:num w:numId="9">
    <w:abstractNumId w:val="11"/>
  </w:num>
  <w:num w:numId="10">
    <w:abstractNumId w:val="33"/>
  </w:num>
  <w:num w:numId="11">
    <w:abstractNumId w:val="9"/>
  </w:num>
  <w:num w:numId="12">
    <w:abstractNumId w:val="28"/>
  </w:num>
  <w:num w:numId="13">
    <w:abstractNumId w:val="36"/>
  </w:num>
  <w:num w:numId="14">
    <w:abstractNumId w:val="1"/>
  </w:num>
  <w:num w:numId="15">
    <w:abstractNumId w:val="16"/>
  </w:num>
  <w:num w:numId="16">
    <w:abstractNumId w:val="31"/>
  </w:num>
  <w:num w:numId="17">
    <w:abstractNumId w:val="23"/>
  </w:num>
  <w:num w:numId="18">
    <w:abstractNumId w:val="37"/>
  </w:num>
  <w:num w:numId="19">
    <w:abstractNumId w:val="22"/>
  </w:num>
  <w:num w:numId="20">
    <w:abstractNumId w:val="26"/>
  </w:num>
  <w:num w:numId="21">
    <w:abstractNumId w:val="13"/>
  </w:num>
  <w:num w:numId="22">
    <w:abstractNumId w:val="21"/>
  </w:num>
  <w:num w:numId="23">
    <w:abstractNumId w:val="12"/>
  </w:num>
  <w:num w:numId="24">
    <w:abstractNumId w:val="0"/>
  </w:num>
  <w:num w:numId="25">
    <w:abstractNumId w:val="30"/>
  </w:num>
  <w:num w:numId="26">
    <w:abstractNumId w:val="27"/>
  </w:num>
  <w:num w:numId="27">
    <w:abstractNumId w:val="15"/>
  </w:num>
  <w:num w:numId="28">
    <w:abstractNumId w:val="29"/>
  </w:num>
  <w:num w:numId="29">
    <w:abstractNumId w:val="17"/>
  </w:num>
  <w:num w:numId="30">
    <w:abstractNumId w:val="10"/>
  </w:num>
  <w:num w:numId="31">
    <w:abstractNumId w:val="25"/>
  </w:num>
  <w:num w:numId="32">
    <w:abstractNumId w:val="34"/>
  </w:num>
  <w:num w:numId="33">
    <w:abstractNumId w:val="5"/>
  </w:num>
  <w:num w:numId="34">
    <w:abstractNumId w:val="14"/>
  </w:num>
  <w:num w:numId="35">
    <w:abstractNumId w:val="20"/>
  </w:num>
  <w:num w:numId="36">
    <w:abstractNumId w:val="4"/>
  </w:num>
  <w:num w:numId="37">
    <w:abstractNumId w:val="18"/>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403D"/>
    <w:rsid w:val="000176CA"/>
    <w:rsid w:val="00033469"/>
    <w:rsid w:val="00036FA0"/>
    <w:rsid w:val="0003793F"/>
    <w:rsid w:val="00045130"/>
    <w:rsid w:val="00057E35"/>
    <w:rsid w:val="00075E28"/>
    <w:rsid w:val="00076726"/>
    <w:rsid w:val="00080303"/>
    <w:rsid w:val="00083D02"/>
    <w:rsid w:val="000A3F58"/>
    <w:rsid w:val="000D2343"/>
    <w:rsid w:val="000D3449"/>
    <w:rsid w:val="000D425A"/>
    <w:rsid w:val="000D43DF"/>
    <w:rsid w:val="000D60CC"/>
    <w:rsid w:val="000E2084"/>
    <w:rsid w:val="000E6F55"/>
    <w:rsid w:val="000F77FA"/>
    <w:rsid w:val="00101EC1"/>
    <w:rsid w:val="00104709"/>
    <w:rsid w:val="00107BF7"/>
    <w:rsid w:val="00126F53"/>
    <w:rsid w:val="00130200"/>
    <w:rsid w:val="0014766D"/>
    <w:rsid w:val="001536CC"/>
    <w:rsid w:val="0015395A"/>
    <w:rsid w:val="001544B6"/>
    <w:rsid w:val="00186D22"/>
    <w:rsid w:val="001A3FBA"/>
    <w:rsid w:val="001A5518"/>
    <w:rsid w:val="001B1C6A"/>
    <w:rsid w:val="001C1263"/>
    <w:rsid w:val="001C1417"/>
    <w:rsid w:val="001E277C"/>
    <w:rsid w:val="001E390B"/>
    <w:rsid w:val="001F42FB"/>
    <w:rsid w:val="001F719A"/>
    <w:rsid w:val="002031B3"/>
    <w:rsid w:val="00215931"/>
    <w:rsid w:val="00221F1A"/>
    <w:rsid w:val="00224C91"/>
    <w:rsid w:val="00227BDB"/>
    <w:rsid w:val="00234CB1"/>
    <w:rsid w:val="002352F8"/>
    <w:rsid w:val="002510A5"/>
    <w:rsid w:val="00254A0A"/>
    <w:rsid w:val="00266046"/>
    <w:rsid w:val="00277B0A"/>
    <w:rsid w:val="002846DB"/>
    <w:rsid w:val="00284CCD"/>
    <w:rsid w:val="002B34BA"/>
    <w:rsid w:val="002C6637"/>
    <w:rsid w:val="002D57DC"/>
    <w:rsid w:val="002D669D"/>
    <w:rsid w:val="002E0135"/>
    <w:rsid w:val="002E2BCE"/>
    <w:rsid w:val="002E37A5"/>
    <w:rsid w:val="00310F03"/>
    <w:rsid w:val="003247D2"/>
    <w:rsid w:val="00324D4C"/>
    <w:rsid w:val="003250AE"/>
    <w:rsid w:val="003445C1"/>
    <w:rsid w:val="00355B61"/>
    <w:rsid w:val="00362686"/>
    <w:rsid w:val="00366B79"/>
    <w:rsid w:val="00371510"/>
    <w:rsid w:val="00396DFD"/>
    <w:rsid w:val="003A7059"/>
    <w:rsid w:val="003B7A36"/>
    <w:rsid w:val="003C17AB"/>
    <w:rsid w:val="003C5BC4"/>
    <w:rsid w:val="003C7823"/>
    <w:rsid w:val="003E1DCC"/>
    <w:rsid w:val="003F11A1"/>
    <w:rsid w:val="003F6A59"/>
    <w:rsid w:val="004065C8"/>
    <w:rsid w:val="004109FA"/>
    <w:rsid w:val="00411B4B"/>
    <w:rsid w:val="00412051"/>
    <w:rsid w:val="00415BEE"/>
    <w:rsid w:val="004254E9"/>
    <w:rsid w:val="00427F85"/>
    <w:rsid w:val="00436F42"/>
    <w:rsid w:val="004378B4"/>
    <w:rsid w:val="00446DC6"/>
    <w:rsid w:val="00451314"/>
    <w:rsid w:val="00452E9D"/>
    <w:rsid w:val="004534C7"/>
    <w:rsid w:val="004671AA"/>
    <w:rsid w:val="00471DF8"/>
    <w:rsid w:val="00475EE6"/>
    <w:rsid w:val="00480FB1"/>
    <w:rsid w:val="00483928"/>
    <w:rsid w:val="004B361B"/>
    <w:rsid w:val="004C331F"/>
    <w:rsid w:val="004C485F"/>
    <w:rsid w:val="004D6103"/>
    <w:rsid w:val="004E3BCE"/>
    <w:rsid w:val="004E70AD"/>
    <w:rsid w:val="004E7CDE"/>
    <w:rsid w:val="004F0E97"/>
    <w:rsid w:val="004F17E2"/>
    <w:rsid w:val="00501DD1"/>
    <w:rsid w:val="00502DAF"/>
    <w:rsid w:val="00515C21"/>
    <w:rsid w:val="005219DB"/>
    <w:rsid w:val="00530BD7"/>
    <w:rsid w:val="00545CD2"/>
    <w:rsid w:val="005476F3"/>
    <w:rsid w:val="00550243"/>
    <w:rsid w:val="00551909"/>
    <w:rsid w:val="00551C4B"/>
    <w:rsid w:val="0055458C"/>
    <w:rsid w:val="00561A20"/>
    <w:rsid w:val="0056583A"/>
    <w:rsid w:val="00572527"/>
    <w:rsid w:val="00573E40"/>
    <w:rsid w:val="00576348"/>
    <w:rsid w:val="005839F1"/>
    <w:rsid w:val="005908B7"/>
    <w:rsid w:val="005944DE"/>
    <w:rsid w:val="00595195"/>
    <w:rsid w:val="005A0B2E"/>
    <w:rsid w:val="005A23D2"/>
    <w:rsid w:val="005A36CB"/>
    <w:rsid w:val="005B49B8"/>
    <w:rsid w:val="005C0741"/>
    <w:rsid w:val="005C5EF4"/>
    <w:rsid w:val="005D1C37"/>
    <w:rsid w:val="005E2E0B"/>
    <w:rsid w:val="005E67AD"/>
    <w:rsid w:val="005E7A7D"/>
    <w:rsid w:val="00602457"/>
    <w:rsid w:val="006044F7"/>
    <w:rsid w:val="00644FC3"/>
    <w:rsid w:val="00646BD1"/>
    <w:rsid w:val="00647589"/>
    <w:rsid w:val="006561C2"/>
    <w:rsid w:val="00671CB3"/>
    <w:rsid w:val="00674BAF"/>
    <w:rsid w:val="00682200"/>
    <w:rsid w:val="00692BF6"/>
    <w:rsid w:val="006A1351"/>
    <w:rsid w:val="006A1497"/>
    <w:rsid w:val="006A376B"/>
    <w:rsid w:val="006B0BD1"/>
    <w:rsid w:val="006B5404"/>
    <w:rsid w:val="006D20A5"/>
    <w:rsid w:val="006D37BF"/>
    <w:rsid w:val="006D3BB8"/>
    <w:rsid w:val="006E2B43"/>
    <w:rsid w:val="006E44B3"/>
    <w:rsid w:val="00702E22"/>
    <w:rsid w:val="0072020E"/>
    <w:rsid w:val="00754902"/>
    <w:rsid w:val="00770A75"/>
    <w:rsid w:val="00786071"/>
    <w:rsid w:val="0079543F"/>
    <w:rsid w:val="007A0967"/>
    <w:rsid w:val="007A3ECB"/>
    <w:rsid w:val="007D7BB3"/>
    <w:rsid w:val="007E2839"/>
    <w:rsid w:val="007E31E9"/>
    <w:rsid w:val="007E74CE"/>
    <w:rsid w:val="007F05E3"/>
    <w:rsid w:val="00824AB9"/>
    <w:rsid w:val="0083669C"/>
    <w:rsid w:val="00836B35"/>
    <w:rsid w:val="00841175"/>
    <w:rsid w:val="008439FD"/>
    <w:rsid w:val="00843BDE"/>
    <w:rsid w:val="00861564"/>
    <w:rsid w:val="0087588C"/>
    <w:rsid w:val="00881665"/>
    <w:rsid w:val="0089705C"/>
    <w:rsid w:val="008A6D43"/>
    <w:rsid w:val="008B106C"/>
    <w:rsid w:val="008B21E4"/>
    <w:rsid w:val="008B26EF"/>
    <w:rsid w:val="008B491E"/>
    <w:rsid w:val="008C1A28"/>
    <w:rsid w:val="008C2E98"/>
    <w:rsid w:val="008D3BFD"/>
    <w:rsid w:val="008E49BD"/>
    <w:rsid w:val="008E53E9"/>
    <w:rsid w:val="008E5771"/>
    <w:rsid w:val="008F4ACF"/>
    <w:rsid w:val="008F4EDB"/>
    <w:rsid w:val="008F79F3"/>
    <w:rsid w:val="00924166"/>
    <w:rsid w:val="009307F1"/>
    <w:rsid w:val="0093750F"/>
    <w:rsid w:val="00940B9B"/>
    <w:rsid w:val="00953573"/>
    <w:rsid w:val="0095676E"/>
    <w:rsid w:val="00956983"/>
    <w:rsid w:val="00963CF0"/>
    <w:rsid w:val="00964BB1"/>
    <w:rsid w:val="00972F5F"/>
    <w:rsid w:val="009775D9"/>
    <w:rsid w:val="00997175"/>
    <w:rsid w:val="009A1847"/>
    <w:rsid w:val="009A2B6B"/>
    <w:rsid w:val="009B062A"/>
    <w:rsid w:val="009D0F48"/>
    <w:rsid w:val="009E7C6F"/>
    <w:rsid w:val="009F1793"/>
    <w:rsid w:val="009F2D23"/>
    <w:rsid w:val="00A01D69"/>
    <w:rsid w:val="00A02335"/>
    <w:rsid w:val="00A2487B"/>
    <w:rsid w:val="00A46C9A"/>
    <w:rsid w:val="00A619F3"/>
    <w:rsid w:val="00A62A73"/>
    <w:rsid w:val="00A87FF6"/>
    <w:rsid w:val="00A97452"/>
    <w:rsid w:val="00A9791C"/>
    <w:rsid w:val="00AA0A3B"/>
    <w:rsid w:val="00AA2763"/>
    <w:rsid w:val="00AA33B6"/>
    <w:rsid w:val="00AB128D"/>
    <w:rsid w:val="00AB50CA"/>
    <w:rsid w:val="00AB6D64"/>
    <w:rsid w:val="00AC0001"/>
    <w:rsid w:val="00AC53CE"/>
    <w:rsid w:val="00AD2193"/>
    <w:rsid w:val="00AE71EB"/>
    <w:rsid w:val="00AF19F4"/>
    <w:rsid w:val="00AF2AC7"/>
    <w:rsid w:val="00AF74CE"/>
    <w:rsid w:val="00B17E59"/>
    <w:rsid w:val="00B208DB"/>
    <w:rsid w:val="00B23F69"/>
    <w:rsid w:val="00B30324"/>
    <w:rsid w:val="00B4624E"/>
    <w:rsid w:val="00B60619"/>
    <w:rsid w:val="00B66A70"/>
    <w:rsid w:val="00B67366"/>
    <w:rsid w:val="00B76D4B"/>
    <w:rsid w:val="00B80EE1"/>
    <w:rsid w:val="00B84135"/>
    <w:rsid w:val="00B86246"/>
    <w:rsid w:val="00BC3C8A"/>
    <w:rsid w:val="00BD0AD2"/>
    <w:rsid w:val="00BD0DF9"/>
    <w:rsid w:val="00BD1DB8"/>
    <w:rsid w:val="00C04D34"/>
    <w:rsid w:val="00C05DF8"/>
    <w:rsid w:val="00C06864"/>
    <w:rsid w:val="00C10F54"/>
    <w:rsid w:val="00C23D8D"/>
    <w:rsid w:val="00C334A9"/>
    <w:rsid w:val="00C37AA3"/>
    <w:rsid w:val="00C37FD7"/>
    <w:rsid w:val="00C43419"/>
    <w:rsid w:val="00C44CF3"/>
    <w:rsid w:val="00C61BE0"/>
    <w:rsid w:val="00C6707E"/>
    <w:rsid w:val="00C70B0E"/>
    <w:rsid w:val="00C773CA"/>
    <w:rsid w:val="00C83785"/>
    <w:rsid w:val="00C87FA8"/>
    <w:rsid w:val="00C94C0D"/>
    <w:rsid w:val="00CA1FEB"/>
    <w:rsid w:val="00CC3266"/>
    <w:rsid w:val="00CC755C"/>
    <w:rsid w:val="00CD4F85"/>
    <w:rsid w:val="00CD5DF9"/>
    <w:rsid w:val="00CD6B1C"/>
    <w:rsid w:val="00CD6F02"/>
    <w:rsid w:val="00CE246D"/>
    <w:rsid w:val="00CE798B"/>
    <w:rsid w:val="00CF07A0"/>
    <w:rsid w:val="00CF1AAB"/>
    <w:rsid w:val="00CF3E03"/>
    <w:rsid w:val="00D0082A"/>
    <w:rsid w:val="00D21455"/>
    <w:rsid w:val="00D47634"/>
    <w:rsid w:val="00D504D2"/>
    <w:rsid w:val="00D51BC3"/>
    <w:rsid w:val="00D709B3"/>
    <w:rsid w:val="00D74CD2"/>
    <w:rsid w:val="00DA2ED6"/>
    <w:rsid w:val="00DB1D55"/>
    <w:rsid w:val="00DB76B8"/>
    <w:rsid w:val="00DC2EA1"/>
    <w:rsid w:val="00DD2647"/>
    <w:rsid w:val="00DD6AAF"/>
    <w:rsid w:val="00DE3F5C"/>
    <w:rsid w:val="00DF1D20"/>
    <w:rsid w:val="00E21324"/>
    <w:rsid w:val="00E246B9"/>
    <w:rsid w:val="00E31FEA"/>
    <w:rsid w:val="00E335DF"/>
    <w:rsid w:val="00E414D9"/>
    <w:rsid w:val="00E444BD"/>
    <w:rsid w:val="00E44F6E"/>
    <w:rsid w:val="00E45169"/>
    <w:rsid w:val="00E47787"/>
    <w:rsid w:val="00E51C30"/>
    <w:rsid w:val="00E64180"/>
    <w:rsid w:val="00E7235D"/>
    <w:rsid w:val="00E73E35"/>
    <w:rsid w:val="00E74AEE"/>
    <w:rsid w:val="00E868E5"/>
    <w:rsid w:val="00E9237A"/>
    <w:rsid w:val="00E939FA"/>
    <w:rsid w:val="00EA5765"/>
    <w:rsid w:val="00EC2532"/>
    <w:rsid w:val="00EC5FCE"/>
    <w:rsid w:val="00ED06A1"/>
    <w:rsid w:val="00ED1B56"/>
    <w:rsid w:val="00ED7812"/>
    <w:rsid w:val="00EE4768"/>
    <w:rsid w:val="00EF3B86"/>
    <w:rsid w:val="00F259E1"/>
    <w:rsid w:val="00F317E9"/>
    <w:rsid w:val="00F34554"/>
    <w:rsid w:val="00F35B68"/>
    <w:rsid w:val="00F45F77"/>
    <w:rsid w:val="00F5167F"/>
    <w:rsid w:val="00F52258"/>
    <w:rsid w:val="00F54F01"/>
    <w:rsid w:val="00F647DA"/>
    <w:rsid w:val="00F7312A"/>
    <w:rsid w:val="00F76A18"/>
    <w:rsid w:val="00F773B8"/>
    <w:rsid w:val="00F8570A"/>
    <w:rsid w:val="00F90DCF"/>
    <w:rsid w:val="00F91C32"/>
    <w:rsid w:val="00F91C7B"/>
    <w:rsid w:val="00FD27A0"/>
    <w:rsid w:val="00FE7075"/>
    <w:rsid w:val="00FF27BF"/>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F6464"/>
  <w15:docId w15:val="{31F191A7-E28E-4970-87D9-AD9B8CB5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B6B"/>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F259E1"/>
    <w:pPr>
      <w:ind w:left="720"/>
      <w:contextualSpacing/>
    </w:pPr>
    <w:rPr>
      <w:rFonts w:ascii="Arial" w:hAnsi="Arial"/>
      <w:szCs w:val="20"/>
      <w:lang w:val="en-AU"/>
    </w:rPr>
  </w:style>
  <w:style w:type="character" w:customStyle="1" w:styleId="HeaderChar">
    <w:name w:val="Header Char"/>
    <w:link w:val="Header"/>
    <w:rsid w:val="00550243"/>
    <w:rPr>
      <w:sz w:val="24"/>
      <w:szCs w:val="24"/>
      <w:lang w:val="en-US" w:eastAsia="en-US"/>
    </w:rPr>
  </w:style>
  <w:style w:type="paragraph" w:styleId="ListNumber">
    <w:name w:val="List Number"/>
    <w:basedOn w:val="Normal"/>
    <w:rsid w:val="005944DE"/>
    <w:pPr>
      <w:numPr>
        <w:numId w:val="24"/>
      </w:numPr>
    </w:pPr>
    <w:rPr>
      <w:rFonts w:ascii="Arial" w:hAnsi="Arial"/>
      <w:szCs w:val="20"/>
      <w:lang w:val="en-AU"/>
    </w:rPr>
  </w:style>
  <w:style w:type="paragraph" w:customStyle="1" w:styleId="IntoksikacijesaovimpreparatomsuupreporueenomdoziranjunemogueeSobzromda">
    <w:name w:val="Intoksikacije sa ovim preparatom su u preporueenom doziranju nemoguee. S obzromda"/>
    <w:basedOn w:val="Normal"/>
    <w:rsid w:val="00595195"/>
    <w:rPr>
      <w:rFonts w:ascii="Arial" w:eastAsia="Univers Condensed" w:hAnsi="Arial"/>
      <w:szCs w:val="20"/>
      <w:lang w:val="en-GB"/>
    </w:rPr>
  </w:style>
  <w:style w:type="character" w:styleId="Emphasis">
    <w:name w:val="Emphasis"/>
    <w:basedOn w:val="DefaultParagraphFont"/>
    <w:uiPriority w:val="20"/>
    <w:qFormat/>
    <w:rsid w:val="00AE71EB"/>
    <w:rPr>
      <w:i/>
      <w:iCs/>
    </w:rPr>
  </w:style>
  <w:style w:type="paragraph" w:customStyle="1" w:styleId="NormalSabon">
    <w:name w:val="Normal Sabon"/>
    <w:basedOn w:val="Normal"/>
    <w:rsid w:val="00366B79"/>
    <w:rPr>
      <w:rFonts w:ascii="Sabon" w:hAnsi="Sabon"/>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63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D0333-F6C0-4492-B6CE-480CACCA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14520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Aleksandra Marijanović</cp:lastModifiedBy>
  <cp:revision>12</cp:revision>
  <cp:lastPrinted>2023-02-09T08:16:00Z</cp:lastPrinted>
  <dcterms:created xsi:type="dcterms:W3CDTF">2025-07-22T06:03:00Z</dcterms:created>
  <dcterms:modified xsi:type="dcterms:W3CDTF">2025-07-30T11:15:00Z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