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D058D" w14:textId="77777777" w:rsidR="002510A5" w:rsidRPr="00476346" w:rsidRDefault="002510A5" w:rsidP="00476346">
      <w:pPr>
        <w:jc w:val="center"/>
        <w:rPr>
          <w:rFonts w:asciiTheme="majorBidi" w:hAnsiTheme="majorBidi" w:cstheme="majorBidi"/>
          <w:b/>
          <w:bCs/>
          <w:iCs/>
          <w:sz w:val="22"/>
          <w:szCs w:val="22"/>
          <w:u w:val="single"/>
          <w:lang w:val="sr-Latn-ME"/>
        </w:rPr>
      </w:pPr>
      <w:r w:rsidRPr="00476346">
        <w:rPr>
          <w:rFonts w:asciiTheme="majorBidi" w:hAnsiTheme="majorBidi" w:cstheme="majorBidi"/>
          <w:b/>
          <w:bCs/>
          <w:iCs/>
          <w:sz w:val="22"/>
          <w:szCs w:val="22"/>
          <w:u w:val="single"/>
          <w:lang w:val="sr-Latn-ME"/>
        </w:rPr>
        <w:t>SAŽETAK KARAKTERISTIKA LIJEKA</w:t>
      </w:r>
    </w:p>
    <w:p w14:paraId="691AA5EC" w14:textId="77777777" w:rsidR="002510A5" w:rsidRPr="00476346" w:rsidRDefault="002510A5" w:rsidP="00476346">
      <w:pPr>
        <w:rPr>
          <w:rFonts w:asciiTheme="majorBidi" w:hAnsiTheme="majorBidi" w:cstheme="majorBidi"/>
          <w:b/>
          <w:bCs/>
          <w:i/>
          <w:iCs/>
          <w:sz w:val="22"/>
          <w:szCs w:val="22"/>
          <w:u w:val="single"/>
          <w:lang w:val="sr-Latn-ME"/>
        </w:rPr>
      </w:pPr>
    </w:p>
    <w:p w14:paraId="72760B16" w14:textId="77777777" w:rsidR="00C37FD7" w:rsidRPr="00476346" w:rsidRDefault="00C37FD7" w:rsidP="00476346">
      <w:pPr>
        <w:tabs>
          <w:tab w:val="left" w:pos="540"/>
          <w:tab w:val="left" w:pos="569"/>
        </w:tabs>
        <w:rPr>
          <w:rFonts w:asciiTheme="majorBidi" w:hAnsiTheme="majorBidi" w:cstheme="majorBidi"/>
          <w:bCs/>
          <w:sz w:val="22"/>
          <w:szCs w:val="22"/>
          <w:lang w:val="sr-Latn-ME"/>
        </w:rPr>
      </w:pPr>
    </w:p>
    <w:p w14:paraId="359440B5" w14:textId="77777777" w:rsidR="00411B4B" w:rsidRPr="005474B2" w:rsidRDefault="00411B4B" w:rsidP="0009637B">
      <w:pPr>
        <w:tabs>
          <w:tab w:val="left" w:pos="540"/>
          <w:tab w:val="left" w:pos="569"/>
        </w:tabs>
        <w:jc w:val="both"/>
        <w:rPr>
          <w:b/>
          <w:bCs/>
          <w:sz w:val="22"/>
          <w:szCs w:val="22"/>
          <w:lang w:val="sr-Latn-ME"/>
        </w:rPr>
      </w:pPr>
      <w:r w:rsidRPr="005474B2">
        <w:rPr>
          <w:b/>
          <w:bCs/>
          <w:sz w:val="22"/>
          <w:szCs w:val="22"/>
          <w:lang w:val="sr-Latn-ME"/>
        </w:rPr>
        <w:t>1.</w:t>
      </w:r>
      <w:r w:rsidR="00F5167F" w:rsidRPr="005474B2">
        <w:rPr>
          <w:b/>
          <w:bCs/>
          <w:sz w:val="22"/>
          <w:szCs w:val="22"/>
          <w:lang w:val="sr-Latn-ME"/>
        </w:rPr>
        <w:tab/>
      </w:r>
      <w:r w:rsidR="002846DB" w:rsidRPr="005474B2">
        <w:rPr>
          <w:b/>
          <w:bCs/>
          <w:sz w:val="22"/>
          <w:szCs w:val="22"/>
          <w:lang w:val="sr-Latn-ME"/>
        </w:rPr>
        <w:t xml:space="preserve">NAZIV </w:t>
      </w:r>
      <w:r w:rsidRPr="005474B2">
        <w:rPr>
          <w:b/>
          <w:bCs/>
          <w:sz w:val="22"/>
          <w:szCs w:val="22"/>
          <w:lang w:val="sr-Latn-ME"/>
        </w:rPr>
        <w:t>LIJEKA</w:t>
      </w:r>
    </w:p>
    <w:p w14:paraId="13832105" w14:textId="77777777" w:rsidR="00EC2532" w:rsidRPr="005474B2" w:rsidRDefault="00EC2532" w:rsidP="0009637B">
      <w:pPr>
        <w:jc w:val="both"/>
        <w:rPr>
          <w:sz w:val="22"/>
          <w:szCs w:val="22"/>
          <w:lang w:val="sr-Latn-ME"/>
        </w:rPr>
      </w:pPr>
    </w:p>
    <w:p w14:paraId="28967850" w14:textId="5AE3EA81" w:rsidR="007D7CE1" w:rsidRPr="005474B2" w:rsidRDefault="007D7CE1">
      <w:pPr>
        <w:pStyle w:val="Bodytext1"/>
        <w:shd w:val="clear" w:color="auto" w:fill="auto"/>
        <w:spacing w:before="0" w:after="0" w:line="240" w:lineRule="auto"/>
        <w:jc w:val="both"/>
        <w:rPr>
          <w:szCs w:val="22"/>
        </w:rPr>
      </w:pPr>
      <w:r w:rsidRPr="005474B2">
        <w:rPr>
          <w:szCs w:val="22"/>
        </w:rPr>
        <w:t xml:space="preserve">Cosentyx, </w:t>
      </w:r>
      <w:r w:rsidR="00AA6D7D" w:rsidRPr="005474B2">
        <w:rPr>
          <w:szCs w:val="22"/>
        </w:rPr>
        <w:t xml:space="preserve">300 </w:t>
      </w:r>
      <w:r w:rsidRPr="005474B2">
        <w:rPr>
          <w:szCs w:val="22"/>
        </w:rPr>
        <w:t>mg, rastvor za injekciju u napunjenom injekcionom penu</w:t>
      </w:r>
    </w:p>
    <w:p w14:paraId="2F925115" w14:textId="77777777" w:rsidR="000D425A" w:rsidRPr="005474B2" w:rsidRDefault="000D425A">
      <w:pPr>
        <w:jc w:val="both"/>
        <w:rPr>
          <w:bCs/>
          <w:sz w:val="22"/>
          <w:szCs w:val="22"/>
          <w:lang w:val="sr-Latn-ME"/>
        </w:rPr>
      </w:pPr>
    </w:p>
    <w:p w14:paraId="1B3D5910" w14:textId="77777777" w:rsidR="006D20A5" w:rsidRPr="005474B2" w:rsidRDefault="006D20A5">
      <w:pPr>
        <w:jc w:val="both"/>
        <w:rPr>
          <w:sz w:val="22"/>
          <w:szCs w:val="22"/>
          <w:lang w:val="sr-Latn-ME"/>
        </w:rPr>
      </w:pPr>
      <w:r w:rsidRPr="005474B2">
        <w:rPr>
          <w:sz w:val="22"/>
          <w:szCs w:val="22"/>
          <w:lang w:val="sr-Latn-ME"/>
        </w:rPr>
        <w:t>INN:</w:t>
      </w:r>
      <w:r w:rsidR="007D7CE1" w:rsidRPr="005474B2">
        <w:rPr>
          <w:sz w:val="22"/>
          <w:szCs w:val="22"/>
          <w:lang w:val="sr-Latn-ME"/>
        </w:rPr>
        <w:t xml:space="preserve"> sekukinumab</w:t>
      </w:r>
    </w:p>
    <w:p w14:paraId="1B8E8AC3" w14:textId="77777777" w:rsidR="006D20A5" w:rsidRPr="005474B2" w:rsidRDefault="006D20A5">
      <w:pPr>
        <w:jc w:val="both"/>
        <w:rPr>
          <w:bCs/>
          <w:sz w:val="22"/>
          <w:szCs w:val="22"/>
          <w:lang w:val="sr-Latn-ME"/>
        </w:rPr>
      </w:pPr>
    </w:p>
    <w:p w14:paraId="466E2D69" w14:textId="77777777" w:rsidR="00530BD7" w:rsidRPr="005474B2" w:rsidRDefault="00530BD7">
      <w:pPr>
        <w:jc w:val="both"/>
        <w:rPr>
          <w:bCs/>
          <w:sz w:val="22"/>
          <w:szCs w:val="22"/>
          <w:lang w:val="sr-Latn-ME"/>
        </w:rPr>
      </w:pPr>
    </w:p>
    <w:p w14:paraId="0BD0F56E" w14:textId="77777777" w:rsidR="00411B4B" w:rsidRPr="005474B2" w:rsidRDefault="00411B4B">
      <w:pPr>
        <w:tabs>
          <w:tab w:val="left" w:pos="540"/>
          <w:tab w:val="left" w:pos="569"/>
        </w:tabs>
        <w:jc w:val="both"/>
        <w:rPr>
          <w:b/>
          <w:bCs/>
          <w:sz w:val="22"/>
          <w:szCs w:val="22"/>
          <w:lang w:val="sr-Latn-ME"/>
        </w:rPr>
      </w:pPr>
      <w:r w:rsidRPr="005474B2">
        <w:rPr>
          <w:b/>
          <w:bCs/>
          <w:sz w:val="22"/>
          <w:szCs w:val="22"/>
          <w:lang w:val="sr-Latn-ME"/>
        </w:rPr>
        <w:t xml:space="preserve">2. </w:t>
      </w:r>
      <w:r w:rsidR="00F5167F" w:rsidRPr="005474B2">
        <w:rPr>
          <w:b/>
          <w:bCs/>
          <w:sz w:val="22"/>
          <w:szCs w:val="22"/>
          <w:lang w:val="sr-Latn-ME"/>
        </w:rPr>
        <w:tab/>
      </w:r>
      <w:r w:rsidRPr="005474B2">
        <w:rPr>
          <w:b/>
          <w:bCs/>
          <w:sz w:val="22"/>
          <w:szCs w:val="22"/>
          <w:lang w:val="sr-Latn-ME"/>
        </w:rPr>
        <w:t>KVALITATIVNI I KVANTITATIVNI SASTAV</w:t>
      </w:r>
    </w:p>
    <w:p w14:paraId="22FBCF55" w14:textId="77777777" w:rsidR="007D7CE1" w:rsidRPr="005474B2" w:rsidRDefault="007D7CE1">
      <w:pPr>
        <w:jc w:val="both"/>
        <w:rPr>
          <w:sz w:val="22"/>
          <w:szCs w:val="22"/>
          <w:lang w:val="sr-Latn-ME"/>
        </w:rPr>
      </w:pPr>
    </w:p>
    <w:p w14:paraId="314DB7F6" w14:textId="74A83E7C" w:rsidR="007D7CE1" w:rsidRPr="005474B2" w:rsidRDefault="007D7CE1">
      <w:pPr>
        <w:jc w:val="both"/>
        <w:rPr>
          <w:sz w:val="22"/>
          <w:szCs w:val="22"/>
          <w:lang w:val="sr-Latn-ME"/>
        </w:rPr>
      </w:pPr>
      <w:r w:rsidRPr="005474B2">
        <w:rPr>
          <w:sz w:val="22"/>
          <w:szCs w:val="22"/>
          <w:lang w:val="sr-Latn-ME"/>
        </w:rPr>
        <w:t xml:space="preserve">Jedan napunjeni injekcioni pen sadrži </w:t>
      </w:r>
      <w:r w:rsidR="00AA6D7D" w:rsidRPr="005474B2">
        <w:rPr>
          <w:sz w:val="22"/>
          <w:szCs w:val="22"/>
          <w:lang w:val="sr-Latn-ME"/>
        </w:rPr>
        <w:t xml:space="preserve">300 </w:t>
      </w:r>
      <w:r w:rsidRPr="005474B2">
        <w:rPr>
          <w:sz w:val="22"/>
          <w:szCs w:val="22"/>
          <w:lang w:val="sr-Latn-ME"/>
        </w:rPr>
        <w:t xml:space="preserve">mg sekukinumaba u </w:t>
      </w:r>
      <w:r w:rsidR="00AA6D7D" w:rsidRPr="005474B2">
        <w:rPr>
          <w:sz w:val="22"/>
          <w:szCs w:val="22"/>
          <w:lang w:val="sr-Latn-ME"/>
        </w:rPr>
        <w:t xml:space="preserve">2 </w:t>
      </w:r>
      <w:r w:rsidRPr="005474B2">
        <w:rPr>
          <w:sz w:val="22"/>
          <w:szCs w:val="22"/>
          <w:lang w:val="sr-Latn-ME"/>
        </w:rPr>
        <w:t>m</w:t>
      </w:r>
      <w:r w:rsidR="005F72ED" w:rsidRPr="005474B2">
        <w:rPr>
          <w:sz w:val="22"/>
          <w:szCs w:val="22"/>
          <w:lang w:val="sr-Latn-ME"/>
        </w:rPr>
        <w:t>l</w:t>
      </w:r>
      <w:r w:rsidRPr="005474B2">
        <w:rPr>
          <w:sz w:val="22"/>
          <w:szCs w:val="22"/>
          <w:lang w:val="sr-Latn-ME"/>
        </w:rPr>
        <w:t>.</w:t>
      </w:r>
    </w:p>
    <w:p w14:paraId="0D97282B" w14:textId="77777777" w:rsidR="007D7CE1" w:rsidRPr="005474B2" w:rsidRDefault="007D7CE1">
      <w:pPr>
        <w:shd w:val="clear" w:color="auto" w:fill="FFFFFF"/>
        <w:tabs>
          <w:tab w:val="left" w:pos="284"/>
        </w:tabs>
        <w:spacing w:before="19"/>
        <w:ind w:left="5" w:right="422"/>
        <w:jc w:val="both"/>
        <w:rPr>
          <w:color w:val="000000"/>
          <w:sz w:val="22"/>
          <w:szCs w:val="22"/>
          <w:lang w:val="sr-Latn-ME"/>
        </w:rPr>
      </w:pPr>
    </w:p>
    <w:p w14:paraId="7AECBE41" w14:textId="7ED0EB97" w:rsidR="007D7CE1" w:rsidRPr="005474B2" w:rsidRDefault="007D7CE1">
      <w:pPr>
        <w:shd w:val="clear" w:color="auto" w:fill="FFFFFF"/>
        <w:tabs>
          <w:tab w:val="left" w:pos="284"/>
        </w:tabs>
        <w:spacing w:before="19"/>
        <w:ind w:left="5" w:right="422"/>
        <w:jc w:val="both"/>
        <w:rPr>
          <w:color w:val="000000"/>
          <w:sz w:val="22"/>
          <w:szCs w:val="22"/>
          <w:lang w:val="sr-Latn-ME"/>
        </w:rPr>
      </w:pPr>
      <w:r w:rsidRPr="005474B2">
        <w:rPr>
          <w:color w:val="000000"/>
          <w:sz w:val="22"/>
          <w:szCs w:val="22"/>
          <w:lang w:val="sr-Latn-ME"/>
        </w:rPr>
        <w:t>Sekukinumab je rekombinantno potpuno humano monoklonsko antit</w:t>
      </w:r>
      <w:r w:rsidR="009A4880" w:rsidRPr="005474B2">
        <w:rPr>
          <w:color w:val="000000"/>
          <w:sz w:val="22"/>
          <w:szCs w:val="22"/>
          <w:lang w:val="sr-Latn-ME"/>
        </w:rPr>
        <w:t>ij</w:t>
      </w:r>
      <w:r w:rsidRPr="005474B2">
        <w:rPr>
          <w:color w:val="000000"/>
          <w:sz w:val="22"/>
          <w:szCs w:val="22"/>
          <w:lang w:val="sr-Latn-ME"/>
        </w:rPr>
        <w:t>elo proizveden</w:t>
      </w:r>
      <w:r w:rsidR="0042255C" w:rsidRPr="005474B2">
        <w:rPr>
          <w:color w:val="000000"/>
          <w:sz w:val="22"/>
          <w:szCs w:val="22"/>
          <w:lang w:val="sr-Latn-ME"/>
        </w:rPr>
        <w:t>o</w:t>
      </w:r>
      <w:r w:rsidRPr="005474B2">
        <w:rPr>
          <w:color w:val="000000"/>
          <w:sz w:val="22"/>
          <w:szCs w:val="22"/>
          <w:lang w:val="sr-Latn-ME"/>
        </w:rPr>
        <w:t xml:space="preserve"> u ćelijama jajnika kineskog hrčka (</w:t>
      </w:r>
      <w:bookmarkStart w:id="0" w:name="_Hlk164679020"/>
      <w:r w:rsidR="003D0030" w:rsidRPr="005474B2">
        <w:rPr>
          <w:i/>
          <w:color w:val="000000"/>
          <w:sz w:val="22"/>
          <w:szCs w:val="22"/>
          <w:lang w:val="sr-Latn-ME"/>
        </w:rPr>
        <w:t>engl. Chinese Hamster Ovary</w:t>
      </w:r>
      <w:r w:rsidR="003D0030" w:rsidRPr="005474B2">
        <w:rPr>
          <w:rStyle w:val="markedcontent"/>
          <w:sz w:val="22"/>
          <w:szCs w:val="22"/>
          <w:lang w:val="sr-Latn-ME"/>
        </w:rPr>
        <w:t xml:space="preserve">, </w:t>
      </w:r>
      <w:bookmarkEnd w:id="0"/>
      <w:r w:rsidRPr="005474B2">
        <w:rPr>
          <w:color w:val="000000"/>
          <w:sz w:val="22"/>
          <w:szCs w:val="22"/>
          <w:lang w:val="sr-Latn-ME"/>
        </w:rPr>
        <w:t>CHO).</w:t>
      </w:r>
    </w:p>
    <w:p w14:paraId="674BAC23" w14:textId="77777777" w:rsidR="007D7CE1" w:rsidRPr="005474B2" w:rsidRDefault="007D7CE1">
      <w:pPr>
        <w:jc w:val="both"/>
        <w:rPr>
          <w:sz w:val="22"/>
          <w:szCs w:val="22"/>
          <w:lang w:val="sr-Latn-ME"/>
        </w:rPr>
      </w:pPr>
    </w:p>
    <w:p w14:paraId="5D17A38A" w14:textId="014ECD69" w:rsidR="0003793F" w:rsidRPr="005474B2" w:rsidRDefault="0003793F">
      <w:pPr>
        <w:jc w:val="both"/>
        <w:rPr>
          <w:sz w:val="22"/>
          <w:szCs w:val="22"/>
          <w:lang w:val="sr-Latn-ME"/>
        </w:rPr>
      </w:pPr>
      <w:r w:rsidRPr="005474B2">
        <w:rPr>
          <w:sz w:val="22"/>
          <w:szCs w:val="22"/>
          <w:lang w:val="sr-Latn-ME"/>
        </w:rPr>
        <w:t>Za spisak svih ekscipijenasa, pogledati dio 6.1.</w:t>
      </w:r>
    </w:p>
    <w:p w14:paraId="472AEEFD" w14:textId="260DBC1A" w:rsidR="00905563" w:rsidRPr="005474B2" w:rsidRDefault="00905563">
      <w:pPr>
        <w:jc w:val="both"/>
        <w:rPr>
          <w:sz w:val="22"/>
          <w:szCs w:val="22"/>
          <w:lang w:val="sr-Latn-ME"/>
        </w:rPr>
      </w:pPr>
    </w:p>
    <w:p w14:paraId="77F5F255" w14:textId="77777777" w:rsidR="00A62164" w:rsidRPr="005474B2" w:rsidRDefault="00A62164">
      <w:pPr>
        <w:jc w:val="both"/>
        <w:rPr>
          <w:sz w:val="22"/>
          <w:szCs w:val="22"/>
          <w:lang w:val="sr-Latn-ME"/>
        </w:rPr>
      </w:pPr>
    </w:p>
    <w:p w14:paraId="459E8E44" w14:textId="77777777" w:rsidR="0042255C" w:rsidRPr="005474B2" w:rsidRDefault="00411B4B">
      <w:pPr>
        <w:jc w:val="both"/>
        <w:rPr>
          <w:sz w:val="22"/>
          <w:szCs w:val="22"/>
          <w:lang w:val="sr-Latn-ME"/>
        </w:rPr>
      </w:pPr>
      <w:r w:rsidRPr="005474B2">
        <w:rPr>
          <w:b/>
          <w:bCs/>
          <w:sz w:val="22"/>
          <w:szCs w:val="22"/>
          <w:lang w:val="sr-Latn-ME"/>
        </w:rPr>
        <w:t xml:space="preserve">3. </w:t>
      </w:r>
      <w:r w:rsidR="00F5167F" w:rsidRPr="005474B2">
        <w:rPr>
          <w:b/>
          <w:bCs/>
          <w:sz w:val="22"/>
          <w:szCs w:val="22"/>
          <w:lang w:val="sr-Latn-ME"/>
        </w:rPr>
        <w:tab/>
      </w:r>
      <w:r w:rsidRPr="005474B2">
        <w:rPr>
          <w:b/>
          <w:bCs/>
          <w:sz w:val="22"/>
          <w:szCs w:val="22"/>
          <w:lang w:val="sr-Latn-ME"/>
        </w:rPr>
        <w:t>FARMACEUTSKI OBLIK</w:t>
      </w:r>
      <w:r w:rsidR="009F2D23" w:rsidRPr="005474B2">
        <w:rPr>
          <w:b/>
          <w:bCs/>
          <w:sz w:val="22"/>
          <w:szCs w:val="22"/>
          <w:lang w:val="sr-Latn-ME"/>
        </w:rPr>
        <w:t xml:space="preserve"> </w:t>
      </w:r>
    </w:p>
    <w:p w14:paraId="73C4DA4B" w14:textId="77777777" w:rsidR="007D7CE1" w:rsidRPr="005474B2" w:rsidRDefault="007D7CE1">
      <w:pPr>
        <w:tabs>
          <w:tab w:val="left" w:pos="540"/>
          <w:tab w:val="left" w:pos="569"/>
        </w:tabs>
        <w:jc w:val="both"/>
        <w:rPr>
          <w:b/>
          <w:bCs/>
          <w:sz w:val="22"/>
          <w:szCs w:val="22"/>
          <w:lang w:val="sr-Latn-ME"/>
        </w:rPr>
      </w:pPr>
    </w:p>
    <w:p w14:paraId="6D1C5948" w14:textId="74BF70C7" w:rsidR="007D7CE1" w:rsidRPr="005474B2" w:rsidRDefault="007D7CE1">
      <w:pPr>
        <w:shd w:val="clear" w:color="auto" w:fill="FFFFFF"/>
        <w:tabs>
          <w:tab w:val="left" w:pos="284"/>
        </w:tabs>
        <w:ind w:left="10"/>
        <w:jc w:val="both"/>
        <w:rPr>
          <w:color w:val="000000"/>
          <w:sz w:val="22"/>
          <w:szCs w:val="22"/>
          <w:lang w:val="sr-Latn-ME"/>
        </w:rPr>
      </w:pPr>
      <w:r w:rsidRPr="005474B2">
        <w:rPr>
          <w:color w:val="000000"/>
          <w:sz w:val="22"/>
          <w:szCs w:val="22"/>
          <w:lang w:val="sr-Latn-ME"/>
        </w:rPr>
        <w:t>Rastvor za injekciju</w:t>
      </w:r>
      <w:r w:rsidR="0042255C" w:rsidRPr="005474B2">
        <w:rPr>
          <w:sz w:val="22"/>
          <w:szCs w:val="22"/>
          <w:lang w:val="sr-Latn-ME"/>
        </w:rPr>
        <w:t xml:space="preserve"> </w:t>
      </w:r>
      <w:r w:rsidR="0042255C" w:rsidRPr="005474B2">
        <w:rPr>
          <w:color w:val="000000"/>
          <w:sz w:val="22"/>
          <w:szCs w:val="22"/>
          <w:lang w:val="sr-Latn-ME"/>
        </w:rPr>
        <w:t>u napunjenom injekcionom penu</w:t>
      </w:r>
      <w:r w:rsidR="002C62C8" w:rsidRPr="005474B2">
        <w:rPr>
          <w:color w:val="000000"/>
          <w:sz w:val="22"/>
          <w:szCs w:val="22"/>
          <w:lang w:val="sr-Latn-ME"/>
        </w:rPr>
        <w:t>.</w:t>
      </w:r>
    </w:p>
    <w:p w14:paraId="6F566CB0" w14:textId="77777777" w:rsidR="00A62164" w:rsidRPr="005474B2" w:rsidRDefault="00A62164">
      <w:pPr>
        <w:shd w:val="clear" w:color="auto" w:fill="FFFFFF"/>
        <w:tabs>
          <w:tab w:val="left" w:pos="284"/>
        </w:tabs>
        <w:ind w:left="10"/>
        <w:jc w:val="both"/>
        <w:rPr>
          <w:color w:val="000000"/>
          <w:sz w:val="22"/>
          <w:szCs w:val="22"/>
          <w:lang w:val="sr-Latn-ME"/>
        </w:rPr>
      </w:pPr>
    </w:p>
    <w:p w14:paraId="7399FEE9" w14:textId="77777777" w:rsidR="007D7CE1" w:rsidRPr="005474B2" w:rsidRDefault="007D7CE1">
      <w:pPr>
        <w:shd w:val="clear" w:color="auto" w:fill="FFFFFF"/>
        <w:tabs>
          <w:tab w:val="left" w:pos="284"/>
        </w:tabs>
        <w:ind w:left="10"/>
        <w:jc w:val="both"/>
        <w:rPr>
          <w:color w:val="000000"/>
          <w:sz w:val="22"/>
          <w:szCs w:val="22"/>
          <w:lang w:val="sr-Latn-ME"/>
        </w:rPr>
      </w:pPr>
      <w:r w:rsidRPr="005474B2">
        <w:rPr>
          <w:color w:val="000000"/>
          <w:sz w:val="22"/>
          <w:szCs w:val="22"/>
          <w:lang w:val="sr-Latn-ME"/>
        </w:rPr>
        <w:t>Rastvor je bistar i bezbojan do sv</w:t>
      </w:r>
      <w:r w:rsidR="009A4880" w:rsidRPr="005474B2">
        <w:rPr>
          <w:color w:val="000000"/>
          <w:sz w:val="22"/>
          <w:szCs w:val="22"/>
          <w:lang w:val="sr-Latn-ME"/>
        </w:rPr>
        <w:t>ij</w:t>
      </w:r>
      <w:r w:rsidRPr="005474B2">
        <w:rPr>
          <w:color w:val="000000"/>
          <w:sz w:val="22"/>
          <w:szCs w:val="22"/>
          <w:lang w:val="sr-Latn-ME"/>
        </w:rPr>
        <w:t>etložut.</w:t>
      </w:r>
    </w:p>
    <w:p w14:paraId="75D5363D" w14:textId="77777777" w:rsidR="00411B4B" w:rsidRPr="005474B2" w:rsidRDefault="00411B4B">
      <w:pPr>
        <w:jc w:val="both"/>
        <w:rPr>
          <w:bCs/>
          <w:sz w:val="22"/>
          <w:szCs w:val="22"/>
          <w:lang w:val="sr-Latn-ME"/>
        </w:rPr>
      </w:pPr>
    </w:p>
    <w:p w14:paraId="0F8EBD45" w14:textId="77777777" w:rsidR="00EC2532" w:rsidRPr="005474B2" w:rsidRDefault="00EC2532">
      <w:pPr>
        <w:jc w:val="both"/>
        <w:rPr>
          <w:bCs/>
          <w:sz w:val="22"/>
          <w:szCs w:val="22"/>
          <w:lang w:val="sr-Latn-ME"/>
        </w:rPr>
      </w:pPr>
    </w:p>
    <w:p w14:paraId="71FFC453" w14:textId="77777777" w:rsidR="00411B4B" w:rsidRPr="005474B2" w:rsidRDefault="00411B4B">
      <w:pPr>
        <w:tabs>
          <w:tab w:val="left" w:pos="540"/>
          <w:tab w:val="left" w:pos="569"/>
        </w:tabs>
        <w:jc w:val="both"/>
        <w:rPr>
          <w:b/>
          <w:bCs/>
          <w:sz w:val="22"/>
          <w:szCs w:val="22"/>
          <w:lang w:val="sr-Latn-ME"/>
        </w:rPr>
      </w:pPr>
      <w:r w:rsidRPr="005474B2">
        <w:rPr>
          <w:b/>
          <w:bCs/>
          <w:sz w:val="22"/>
          <w:szCs w:val="22"/>
          <w:lang w:val="sr-Latn-ME"/>
        </w:rPr>
        <w:t xml:space="preserve">4. </w:t>
      </w:r>
      <w:r w:rsidR="00480FB1" w:rsidRPr="005474B2">
        <w:rPr>
          <w:b/>
          <w:bCs/>
          <w:sz w:val="22"/>
          <w:szCs w:val="22"/>
          <w:lang w:val="sr-Latn-ME"/>
        </w:rPr>
        <w:tab/>
      </w:r>
      <w:r w:rsidRPr="005474B2">
        <w:rPr>
          <w:b/>
          <w:bCs/>
          <w:sz w:val="22"/>
          <w:szCs w:val="22"/>
          <w:lang w:val="sr-Latn-ME"/>
        </w:rPr>
        <w:t>KLINIČKI PODACI</w:t>
      </w:r>
    </w:p>
    <w:p w14:paraId="7C1B9032" w14:textId="77777777" w:rsidR="00CD6F02" w:rsidRPr="005474B2" w:rsidRDefault="00CD6F02">
      <w:pPr>
        <w:tabs>
          <w:tab w:val="left" w:pos="540"/>
          <w:tab w:val="left" w:pos="569"/>
        </w:tabs>
        <w:jc w:val="both"/>
        <w:rPr>
          <w:bCs/>
          <w:sz w:val="22"/>
          <w:szCs w:val="22"/>
          <w:lang w:val="sr-Latn-ME"/>
        </w:rPr>
      </w:pPr>
    </w:p>
    <w:p w14:paraId="4877CBAB" w14:textId="77777777" w:rsidR="00411B4B" w:rsidRPr="005474B2" w:rsidRDefault="00411B4B">
      <w:pPr>
        <w:tabs>
          <w:tab w:val="left" w:pos="540"/>
          <w:tab w:val="left" w:pos="569"/>
        </w:tabs>
        <w:jc w:val="both"/>
        <w:rPr>
          <w:b/>
          <w:bCs/>
          <w:sz w:val="22"/>
          <w:szCs w:val="22"/>
          <w:lang w:val="sr-Latn-ME"/>
        </w:rPr>
      </w:pPr>
      <w:r w:rsidRPr="005474B2">
        <w:rPr>
          <w:b/>
          <w:bCs/>
          <w:sz w:val="22"/>
          <w:szCs w:val="22"/>
          <w:lang w:val="sr-Latn-ME"/>
        </w:rPr>
        <w:t xml:space="preserve">4.1. </w:t>
      </w:r>
      <w:r w:rsidR="00480FB1" w:rsidRPr="005474B2">
        <w:rPr>
          <w:b/>
          <w:bCs/>
          <w:sz w:val="22"/>
          <w:szCs w:val="22"/>
          <w:lang w:val="sr-Latn-ME"/>
        </w:rPr>
        <w:tab/>
      </w:r>
      <w:r w:rsidRPr="005474B2">
        <w:rPr>
          <w:b/>
          <w:bCs/>
          <w:sz w:val="22"/>
          <w:szCs w:val="22"/>
          <w:lang w:val="sr-Latn-ME"/>
        </w:rPr>
        <w:t>Terapijske indikacije</w:t>
      </w:r>
    </w:p>
    <w:p w14:paraId="36CD428D" w14:textId="77777777" w:rsidR="007D7CE1" w:rsidRPr="005474B2" w:rsidRDefault="007D7CE1">
      <w:pPr>
        <w:tabs>
          <w:tab w:val="left" w:pos="540"/>
          <w:tab w:val="left" w:pos="569"/>
        </w:tabs>
        <w:jc w:val="both"/>
        <w:rPr>
          <w:b/>
          <w:bCs/>
          <w:sz w:val="22"/>
          <w:szCs w:val="22"/>
          <w:lang w:val="sr-Latn-ME"/>
        </w:rPr>
      </w:pPr>
    </w:p>
    <w:p w14:paraId="7B7EF67B" w14:textId="77777777" w:rsidR="007D7CE1" w:rsidRPr="005474B2" w:rsidRDefault="007D7CE1">
      <w:pPr>
        <w:tabs>
          <w:tab w:val="left" w:pos="284"/>
        </w:tabs>
        <w:jc w:val="both"/>
        <w:rPr>
          <w:b/>
          <w:sz w:val="22"/>
          <w:szCs w:val="22"/>
          <w:u w:val="single"/>
          <w:lang w:val="sr-Latn-ME"/>
        </w:rPr>
      </w:pPr>
      <w:r w:rsidRPr="005474B2">
        <w:rPr>
          <w:b/>
          <w:sz w:val="22"/>
          <w:szCs w:val="22"/>
          <w:u w:val="single"/>
          <w:lang w:val="sr-Latn-ME"/>
        </w:rPr>
        <w:t>Plak psorijaza kod odraslih</w:t>
      </w:r>
    </w:p>
    <w:p w14:paraId="50C2D607" w14:textId="77777777" w:rsidR="007D7CE1" w:rsidRPr="005474B2" w:rsidRDefault="007D7CE1">
      <w:pPr>
        <w:tabs>
          <w:tab w:val="left" w:pos="284"/>
        </w:tabs>
        <w:jc w:val="both"/>
        <w:rPr>
          <w:sz w:val="22"/>
          <w:szCs w:val="22"/>
          <w:lang w:val="sr-Latn-ME"/>
        </w:rPr>
      </w:pPr>
    </w:p>
    <w:p w14:paraId="5D99A26F" w14:textId="21AFF6AB" w:rsidR="007D7CE1" w:rsidRPr="005474B2" w:rsidRDefault="0042255C">
      <w:pPr>
        <w:tabs>
          <w:tab w:val="left" w:pos="284"/>
        </w:tabs>
        <w:jc w:val="both"/>
        <w:rPr>
          <w:sz w:val="22"/>
          <w:szCs w:val="22"/>
          <w:lang w:val="sr-Latn-ME"/>
        </w:rPr>
      </w:pPr>
      <w:r w:rsidRPr="005474B2">
        <w:rPr>
          <w:sz w:val="22"/>
          <w:szCs w:val="22"/>
          <w:lang w:val="sr-Latn-ME"/>
        </w:rPr>
        <w:t xml:space="preserve">Lijek </w:t>
      </w:r>
      <w:r w:rsidR="007D7CE1" w:rsidRPr="005474B2">
        <w:rPr>
          <w:sz w:val="22"/>
          <w:szCs w:val="22"/>
          <w:lang w:val="sr-Latn-ME"/>
        </w:rPr>
        <w:t>Cosentyx je indikovan za terapiju um</w:t>
      </w:r>
      <w:r w:rsidR="009A4880" w:rsidRPr="005474B2">
        <w:rPr>
          <w:sz w:val="22"/>
          <w:szCs w:val="22"/>
          <w:lang w:val="sr-Latn-ME"/>
        </w:rPr>
        <w:t>j</w:t>
      </w:r>
      <w:r w:rsidR="007D7CE1" w:rsidRPr="005474B2">
        <w:rPr>
          <w:sz w:val="22"/>
          <w:szCs w:val="22"/>
          <w:lang w:val="sr-Latn-ME"/>
        </w:rPr>
        <w:t>erene do teške plak psorijaze kod odraslih osoba koje su kandidati za sistemsku terapiju.</w:t>
      </w:r>
    </w:p>
    <w:p w14:paraId="69F958A2" w14:textId="77777777" w:rsidR="007D7CE1" w:rsidRPr="005474B2" w:rsidRDefault="007D7CE1">
      <w:pPr>
        <w:tabs>
          <w:tab w:val="left" w:pos="284"/>
        </w:tabs>
        <w:jc w:val="both"/>
        <w:rPr>
          <w:sz w:val="22"/>
          <w:szCs w:val="22"/>
          <w:lang w:val="sr-Latn-ME"/>
        </w:rPr>
      </w:pPr>
    </w:p>
    <w:p w14:paraId="1DCA36AA" w14:textId="77777777" w:rsidR="007D7CE1" w:rsidRPr="005474B2" w:rsidRDefault="007D7CE1">
      <w:pPr>
        <w:tabs>
          <w:tab w:val="left" w:pos="284"/>
        </w:tabs>
        <w:jc w:val="both"/>
        <w:rPr>
          <w:b/>
          <w:sz w:val="22"/>
          <w:szCs w:val="22"/>
          <w:u w:val="single"/>
          <w:lang w:val="sr-Latn-ME"/>
        </w:rPr>
      </w:pPr>
      <w:r w:rsidRPr="005474B2">
        <w:rPr>
          <w:b/>
          <w:sz w:val="22"/>
          <w:szCs w:val="22"/>
          <w:u w:val="single"/>
          <w:lang w:val="sr-Latn-ME"/>
        </w:rPr>
        <w:t>Plak psorijaza kod d</w:t>
      </w:r>
      <w:r w:rsidR="009A4880" w:rsidRPr="005474B2">
        <w:rPr>
          <w:b/>
          <w:sz w:val="22"/>
          <w:szCs w:val="22"/>
          <w:u w:val="single"/>
          <w:lang w:val="sr-Latn-ME"/>
        </w:rPr>
        <w:t>j</w:t>
      </w:r>
      <w:r w:rsidRPr="005474B2">
        <w:rPr>
          <w:b/>
          <w:sz w:val="22"/>
          <w:szCs w:val="22"/>
          <w:u w:val="single"/>
          <w:lang w:val="sr-Latn-ME"/>
        </w:rPr>
        <w:t>ece</w:t>
      </w:r>
    </w:p>
    <w:p w14:paraId="719FDC3D" w14:textId="77777777" w:rsidR="007D7CE1" w:rsidRPr="005474B2" w:rsidRDefault="007D7CE1">
      <w:pPr>
        <w:tabs>
          <w:tab w:val="left" w:pos="284"/>
        </w:tabs>
        <w:jc w:val="both"/>
        <w:rPr>
          <w:sz w:val="22"/>
          <w:szCs w:val="22"/>
          <w:lang w:val="sr-Latn-ME"/>
        </w:rPr>
      </w:pPr>
    </w:p>
    <w:p w14:paraId="1CD1111D" w14:textId="1199B286" w:rsidR="007D7CE1" w:rsidRPr="005474B2" w:rsidRDefault="007D7CE1">
      <w:pPr>
        <w:tabs>
          <w:tab w:val="left" w:pos="284"/>
        </w:tabs>
        <w:jc w:val="both"/>
        <w:rPr>
          <w:sz w:val="22"/>
          <w:szCs w:val="22"/>
          <w:lang w:val="sr-Latn-ME"/>
        </w:rPr>
      </w:pPr>
      <w:r w:rsidRPr="005474B2">
        <w:rPr>
          <w:sz w:val="22"/>
          <w:szCs w:val="22"/>
          <w:lang w:val="sr-Latn-ME"/>
        </w:rPr>
        <w:t>L</w:t>
      </w:r>
      <w:r w:rsidR="009A4880" w:rsidRPr="005474B2">
        <w:rPr>
          <w:sz w:val="22"/>
          <w:szCs w:val="22"/>
          <w:lang w:val="sr-Latn-ME"/>
        </w:rPr>
        <w:t>ij</w:t>
      </w:r>
      <w:r w:rsidRPr="005474B2">
        <w:rPr>
          <w:sz w:val="22"/>
          <w:szCs w:val="22"/>
          <w:lang w:val="sr-Latn-ME"/>
        </w:rPr>
        <w:t>ek Cosentyx je indikovan za terapiju um</w:t>
      </w:r>
      <w:r w:rsidR="009A4880" w:rsidRPr="005474B2">
        <w:rPr>
          <w:sz w:val="22"/>
          <w:szCs w:val="22"/>
          <w:lang w:val="sr-Latn-ME"/>
        </w:rPr>
        <w:t>j</w:t>
      </w:r>
      <w:r w:rsidRPr="005474B2">
        <w:rPr>
          <w:sz w:val="22"/>
          <w:szCs w:val="22"/>
          <w:lang w:val="sr-Latn-ME"/>
        </w:rPr>
        <w:t>erene do teške plak psorijaze kod d</w:t>
      </w:r>
      <w:r w:rsidR="009A4880" w:rsidRPr="005474B2">
        <w:rPr>
          <w:sz w:val="22"/>
          <w:szCs w:val="22"/>
          <w:lang w:val="sr-Latn-ME"/>
        </w:rPr>
        <w:t>j</w:t>
      </w:r>
      <w:r w:rsidRPr="005474B2">
        <w:rPr>
          <w:sz w:val="22"/>
          <w:szCs w:val="22"/>
          <w:lang w:val="sr-Latn-ME"/>
        </w:rPr>
        <w:t xml:space="preserve">ece i adolescenata uzrasta od 6 i više godina </w:t>
      </w:r>
      <w:r w:rsidR="005B706C" w:rsidRPr="005474B2">
        <w:rPr>
          <w:sz w:val="22"/>
          <w:szCs w:val="22"/>
          <w:lang w:val="sr-Latn-ME"/>
        </w:rPr>
        <w:t xml:space="preserve">koji </w:t>
      </w:r>
      <w:r w:rsidRPr="005474B2">
        <w:rPr>
          <w:sz w:val="22"/>
          <w:szCs w:val="22"/>
          <w:lang w:val="sr-Latn-ME"/>
        </w:rPr>
        <w:t>su kandidati za sistemsku terapiju.</w:t>
      </w:r>
    </w:p>
    <w:p w14:paraId="1B8A503E" w14:textId="760284DB" w:rsidR="007D7CE1" w:rsidRPr="005474B2" w:rsidRDefault="007D7CE1">
      <w:pPr>
        <w:tabs>
          <w:tab w:val="left" w:pos="284"/>
        </w:tabs>
        <w:jc w:val="both"/>
        <w:rPr>
          <w:sz w:val="22"/>
          <w:szCs w:val="22"/>
          <w:lang w:val="sr-Latn-ME"/>
        </w:rPr>
      </w:pPr>
    </w:p>
    <w:p w14:paraId="7FBE89B5" w14:textId="2F9CC0BB" w:rsidR="00CA4EF7" w:rsidRPr="005474B2" w:rsidRDefault="00CA4EF7">
      <w:pPr>
        <w:tabs>
          <w:tab w:val="left" w:pos="284"/>
        </w:tabs>
        <w:jc w:val="both"/>
        <w:rPr>
          <w:b/>
          <w:bCs/>
          <w:sz w:val="22"/>
          <w:szCs w:val="22"/>
          <w:u w:val="single"/>
          <w:lang w:val="hr-HR"/>
        </w:rPr>
      </w:pPr>
      <w:r w:rsidRPr="005474B2">
        <w:rPr>
          <w:b/>
          <w:bCs/>
          <w:sz w:val="22"/>
          <w:szCs w:val="22"/>
          <w:u w:val="single"/>
          <w:lang w:val="hr-HR"/>
        </w:rPr>
        <w:t>Gnojno zapaljenje znojnih žl</w:t>
      </w:r>
      <w:r w:rsidR="0060463D" w:rsidRPr="005474B2">
        <w:rPr>
          <w:b/>
          <w:bCs/>
          <w:sz w:val="22"/>
          <w:szCs w:val="22"/>
          <w:u w:val="single"/>
          <w:lang w:val="hr-HR"/>
        </w:rPr>
        <w:t>ij</w:t>
      </w:r>
      <w:r w:rsidRPr="005474B2">
        <w:rPr>
          <w:b/>
          <w:bCs/>
          <w:sz w:val="22"/>
          <w:szCs w:val="22"/>
          <w:u w:val="single"/>
          <w:lang w:val="hr-HR"/>
        </w:rPr>
        <w:t>ezda (</w:t>
      </w:r>
      <w:r w:rsidRPr="005474B2">
        <w:rPr>
          <w:b/>
          <w:bCs/>
          <w:i/>
          <w:iCs/>
          <w:sz w:val="22"/>
          <w:szCs w:val="22"/>
          <w:u w:val="single"/>
          <w:lang w:val="hr-HR"/>
        </w:rPr>
        <w:t>Hidradenitis suppurativa</w:t>
      </w:r>
      <w:r w:rsidRPr="005474B2">
        <w:rPr>
          <w:b/>
          <w:bCs/>
          <w:sz w:val="22"/>
          <w:szCs w:val="22"/>
          <w:u w:val="single"/>
          <w:lang w:val="hr-HR"/>
        </w:rPr>
        <w:t>, HS)</w:t>
      </w:r>
    </w:p>
    <w:p w14:paraId="4BB5E2A2" w14:textId="77777777" w:rsidR="00CA4EF7" w:rsidRPr="005474B2" w:rsidRDefault="00CA4EF7">
      <w:pPr>
        <w:tabs>
          <w:tab w:val="left" w:pos="284"/>
        </w:tabs>
        <w:jc w:val="both"/>
        <w:rPr>
          <w:sz w:val="22"/>
          <w:szCs w:val="22"/>
          <w:lang w:val="hr-HR"/>
        </w:rPr>
      </w:pPr>
    </w:p>
    <w:p w14:paraId="1BC440B0" w14:textId="7765BBA4" w:rsidR="00CA4EF7" w:rsidRPr="005474B2" w:rsidRDefault="00CA4EF7">
      <w:pPr>
        <w:tabs>
          <w:tab w:val="left" w:pos="284"/>
        </w:tabs>
        <w:jc w:val="both"/>
        <w:rPr>
          <w:sz w:val="22"/>
          <w:szCs w:val="22"/>
        </w:rPr>
      </w:pPr>
      <w:r w:rsidRPr="005474B2">
        <w:rPr>
          <w:sz w:val="22"/>
          <w:szCs w:val="22"/>
          <w:lang w:val="hr-HR"/>
        </w:rPr>
        <w:t>L</w:t>
      </w:r>
      <w:r w:rsidR="0060463D" w:rsidRPr="005474B2">
        <w:rPr>
          <w:sz w:val="22"/>
          <w:szCs w:val="22"/>
          <w:lang w:val="hr-HR"/>
        </w:rPr>
        <w:t>ij</w:t>
      </w:r>
      <w:r w:rsidRPr="005474B2">
        <w:rPr>
          <w:sz w:val="22"/>
          <w:szCs w:val="22"/>
          <w:lang w:val="hr-HR"/>
        </w:rPr>
        <w:t>ek Cosentyx je indikovan za l</w:t>
      </w:r>
      <w:r w:rsidR="0060463D" w:rsidRPr="005474B2">
        <w:rPr>
          <w:sz w:val="22"/>
          <w:szCs w:val="22"/>
          <w:lang w:val="hr-HR"/>
        </w:rPr>
        <w:t>ij</w:t>
      </w:r>
      <w:r w:rsidRPr="005474B2">
        <w:rPr>
          <w:sz w:val="22"/>
          <w:szCs w:val="22"/>
          <w:lang w:val="hr-HR"/>
        </w:rPr>
        <w:t>ečenje um</w:t>
      </w:r>
      <w:r w:rsidR="0060463D" w:rsidRPr="005474B2">
        <w:rPr>
          <w:sz w:val="22"/>
          <w:szCs w:val="22"/>
          <w:lang w:val="hr-HR"/>
        </w:rPr>
        <w:t>j</w:t>
      </w:r>
      <w:r w:rsidRPr="005474B2">
        <w:rPr>
          <w:sz w:val="22"/>
          <w:szCs w:val="22"/>
          <w:lang w:val="hr-HR"/>
        </w:rPr>
        <w:t xml:space="preserve">erenog do teškog oblika aktivnog </w:t>
      </w:r>
      <w:bookmarkStart w:id="1" w:name="_Hlk136529432"/>
      <w:r w:rsidRPr="005474B2">
        <w:rPr>
          <w:sz w:val="22"/>
          <w:szCs w:val="22"/>
          <w:lang w:val="hr-HR"/>
        </w:rPr>
        <w:t>gnojnog zapaljenja znojnih žl</w:t>
      </w:r>
      <w:r w:rsidR="0060463D" w:rsidRPr="005474B2">
        <w:rPr>
          <w:sz w:val="22"/>
          <w:szCs w:val="22"/>
          <w:lang w:val="hr-HR"/>
        </w:rPr>
        <w:t>ij</w:t>
      </w:r>
      <w:r w:rsidRPr="005474B2">
        <w:rPr>
          <w:sz w:val="22"/>
          <w:szCs w:val="22"/>
          <w:lang w:val="hr-HR"/>
        </w:rPr>
        <w:t xml:space="preserve">ezda </w:t>
      </w:r>
      <w:r w:rsidRPr="005474B2">
        <w:rPr>
          <w:i/>
          <w:iCs/>
          <w:sz w:val="22"/>
          <w:szCs w:val="22"/>
          <w:lang w:val="hr-HR"/>
        </w:rPr>
        <w:t>Hidradenitis suppurativa</w:t>
      </w:r>
      <w:bookmarkEnd w:id="1"/>
      <w:r w:rsidRPr="005474B2">
        <w:rPr>
          <w:sz w:val="22"/>
          <w:szCs w:val="22"/>
          <w:lang w:val="hr-HR"/>
        </w:rPr>
        <w:t xml:space="preserve"> (</w:t>
      </w:r>
      <w:r w:rsidRPr="005474B2">
        <w:rPr>
          <w:i/>
          <w:iCs/>
          <w:sz w:val="22"/>
          <w:szCs w:val="22"/>
          <w:lang w:val="hr-HR"/>
        </w:rPr>
        <w:t>acne inversa</w:t>
      </w:r>
      <w:r w:rsidRPr="005474B2">
        <w:rPr>
          <w:sz w:val="22"/>
          <w:szCs w:val="22"/>
          <w:lang w:val="hr-HR"/>
        </w:rPr>
        <w:t xml:space="preserve">) </w:t>
      </w:r>
      <w:proofErr w:type="spellStart"/>
      <w:r w:rsidRPr="005474B2">
        <w:rPr>
          <w:sz w:val="22"/>
          <w:szCs w:val="22"/>
        </w:rPr>
        <w:t>kod</w:t>
      </w:r>
      <w:proofErr w:type="spellEnd"/>
      <w:r w:rsidRPr="005474B2">
        <w:rPr>
          <w:sz w:val="22"/>
          <w:szCs w:val="22"/>
        </w:rPr>
        <w:t xml:space="preserve"> </w:t>
      </w:r>
      <w:proofErr w:type="spellStart"/>
      <w:r w:rsidRPr="005474B2">
        <w:rPr>
          <w:sz w:val="22"/>
          <w:szCs w:val="22"/>
        </w:rPr>
        <w:t>odraslih</w:t>
      </w:r>
      <w:proofErr w:type="spellEnd"/>
      <w:r w:rsidRPr="005474B2">
        <w:rPr>
          <w:sz w:val="22"/>
          <w:szCs w:val="22"/>
        </w:rPr>
        <w:t xml:space="preserve"> </w:t>
      </w:r>
      <w:proofErr w:type="spellStart"/>
      <w:r w:rsidRPr="005474B2">
        <w:rPr>
          <w:sz w:val="22"/>
          <w:szCs w:val="22"/>
        </w:rPr>
        <w:t>osoba</w:t>
      </w:r>
      <w:proofErr w:type="spellEnd"/>
      <w:r w:rsidRPr="005474B2">
        <w:rPr>
          <w:sz w:val="22"/>
          <w:szCs w:val="22"/>
        </w:rPr>
        <w:t xml:space="preserve"> </w:t>
      </w:r>
      <w:proofErr w:type="spellStart"/>
      <w:r w:rsidRPr="005474B2">
        <w:rPr>
          <w:sz w:val="22"/>
          <w:szCs w:val="22"/>
        </w:rPr>
        <w:t>kod</w:t>
      </w:r>
      <w:proofErr w:type="spellEnd"/>
      <w:r w:rsidRPr="005474B2">
        <w:rPr>
          <w:sz w:val="22"/>
          <w:szCs w:val="22"/>
        </w:rPr>
        <w:t xml:space="preserve"> </w:t>
      </w:r>
      <w:proofErr w:type="spellStart"/>
      <w:r w:rsidRPr="005474B2">
        <w:rPr>
          <w:sz w:val="22"/>
          <w:szCs w:val="22"/>
        </w:rPr>
        <w:t>kojih</w:t>
      </w:r>
      <w:proofErr w:type="spellEnd"/>
      <w:r w:rsidRPr="005474B2">
        <w:rPr>
          <w:sz w:val="22"/>
          <w:szCs w:val="22"/>
        </w:rPr>
        <w:t xml:space="preserve"> </w:t>
      </w:r>
      <w:proofErr w:type="spellStart"/>
      <w:r w:rsidRPr="005474B2">
        <w:rPr>
          <w:sz w:val="22"/>
          <w:szCs w:val="22"/>
        </w:rPr>
        <w:t>odgovor</w:t>
      </w:r>
      <w:proofErr w:type="spellEnd"/>
      <w:r w:rsidRPr="005474B2">
        <w:rPr>
          <w:sz w:val="22"/>
          <w:szCs w:val="22"/>
        </w:rPr>
        <w:t xml:space="preserve"> </w:t>
      </w:r>
      <w:proofErr w:type="spellStart"/>
      <w:r w:rsidRPr="005474B2">
        <w:rPr>
          <w:sz w:val="22"/>
          <w:szCs w:val="22"/>
        </w:rPr>
        <w:t>na</w:t>
      </w:r>
      <w:proofErr w:type="spellEnd"/>
      <w:r w:rsidRPr="005474B2">
        <w:rPr>
          <w:sz w:val="22"/>
          <w:szCs w:val="22"/>
        </w:rPr>
        <w:t xml:space="preserve"> </w:t>
      </w:r>
      <w:proofErr w:type="spellStart"/>
      <w:r w:rsidRPr="005474B2">
        <w:rPr>
          <w:sz w:val="22"/>
          <w:szCs w:val="22"/>
        </w:rPr>
        <w:t>konvencionalno</w:t>
      </w:r>
      <w:proofErr w:type="spellEnd"/>
      <w:r w:rsidRPr="005474B2">
        <w:rPr>
          <w:sz w:val="22"/>
          <w:szCs w:val="22"/>
        </w:rPr>
        <w:t xml:space="preserve"> </w:t>
      </w:r>
      <w:proofErr w:type="spellStart"/>
      <w:r w:rsidRPr="005474B2">
        <w:rPr>
          <w:sz w:val="22"/>
          <w:szCs w:val="22"/>
        </w:rPr>
        <w:t>sistemsko</w:t>
      </w:r>
      <w:proofErr w:type="spellEnd"/>
      <w:r w:rsidRPr="005474B2">
        <w:rPr>
          <w:sz w:val="22"/>
          <w:szCs w:val="22"/>
        </w:rPr>
        <w:t xml:space="preserve"> </w:t>
      </w:r>
      <w:proofErr w:type="spellStart"/>
      <w:r w:rsidRPr="005474B2">
        <w:rPr>
          <w:sz w:val="22"/>
          <w:szCs w:val="22"/>
        </w:rPr>
        <w:t>l</w:t>
      </w:r>
      <w:r w:rsidR="0060463D" w:rsidRPr="005474B2">
        <w:rPr>
          <w:sz w:val="22"/>
          <w:szCs w:val="22"/>
        </w:rPr>
        <w:t>ij</w:t>
      </w:r>
      <w:r w:rsidRPr="005474B2">
        <w:rPr>
          <w:sz w:val="22"/>
          <w:szCs w:val="22"/>
        </w:rPr>
        <w:t>ečenje</w:t>
      </w:r>
      <w:proofErr w:type="spellEnd"/>
      <w:r w:rsidRPr="005474B2">
        <w:rPr>
          <w:sz w:val="22"/>
          <w:szCs w:val="22"/>
        </w:rPr>
        <w:t xml:space="preserve"> </w:t>
      </w:r>
      <w:proofErr w:type="spellStart"/>
      <w:r w:rsidRPr="005474B2">
        <w:rPr>
          <w:sz w:val="22"/>
          <w:szCs w:val="22"/>
        </w:rPr>
        <w:t>nije</w:t>
      </w:r>
      <w:proofErr w:type="spellEnd"/>
      <w:r w:rsidRPr="005474B2">
        <w:rPr>
          <w:sz w:val="22"/>
          <w:szCs w:val="22"/>
        </w:rPr>
        <w:t xml:space="preserve"> bio </w:t>
      </w:r>
      <w:proofErr w:type="spellStart"/>
      <w:r w:rsidRPr="005474B2">
        <w:rPr>
          <w:sz w:val="22"/>
          <w:szCs w:val="22"/>
        </w:rPr>
        <w:t>odgovarajući</w:t>
      </w:r>
      <w:proofErr w:type="spellEnd"/>
      <w:r w:rsidRPr="005474B2">
        <w:rPr>
          <w:sz w:val="22"/>
          <w:szCs w:val="22"/>
          <w:lang w:val="hr-HR"/>
        </w:rPr>
        <w:t xml:space="preserve"> (vid</w:t>
      </w:r>
      <w:r w:rsidR="0060463D" w:rsidRPr="005474B2">
        <w:rPr>
          <w:sz w:val="22"/>
          <w:szCs w:val="22"/>
          <w:lang w:val="hr-HR"/>
        </w:rPr>
        <w:t>j</w:t>
      </w:r>
      <w:r w:rsidRPr="005474B2">
        <w:rPr>
          <w:sz w:val="22"/>
          <w:szCs w:val="22"/>
          <w:lang w:val="hr-HR"/>
        </w:rPr>
        <w:t xml:space="preserve">eti </w:t>
      </w:r>
      <w:r w:rsidR="0009637B">
        <w:rPr>
          <w:sz w:val="22"/>
          <w:szCs w:val="22"/>
          <w:lang w:val="hr-HR"/>
        </w:rPr>
        <w:t>dio</w:t>
      </w:r>
      <w:r w:rsidRPr="005474B2">
        <w:rPr>
          <w:sz w:val="22"/>
          <w:szCs w:val="22"/>
          <w:lang w:val="hr-HR"/>
        </w:rPr>
        <w:t> 5.1).</w:t>
      </w:r>
    </w:p>
    <w:p w14:paraId="59AFB9D9" w14:textId="77777777" w:rsidR="00CA4EF7" w:rsidRPr="005474B2" w:rsidRDefault="00CA4EF7">
      <w:pPr>
        <w:tabs>
          <w:tab w:val="left" w:pos="284"/>
        </w:tabs>
        <w:jc w:val="both"/>
        <w:rPr>
          <w:sz w:val="22"/>
          <w:szCs w:val="22"/>
          <w:lang w:val="sr-Latn-ME"/>
        </w:rPr>
      </w:pPr>
    </w:p>
    <w:p w14:paraId="243511AC" w14:textId="77777777" w:rsidR="007D7CE1" w:rsidRPr="005474B2" w:rsidRDefault="007D7CE1">
      <w:pPr>
        <w:tabs>
          <w:tab w:val="left" w:pos="284"/>
        </w:tabs>
        <w:jc w:val="both"/>
        <w:rPr>
          <w:b/>
          <w:sz w:val="22"/>
          <w:szCs w:val="22"/>
          <w:u w:val="single"/>
          <w:lang w:val="sr-Latn-ME"/>
        </w:rPr>
      </w:pPr>
      <w:r w:rsidRPr="005474B2">
        <w:rPr>
          <w:b/>
          <w:sz w:val="22"/>
          <w:szCs w:val="22"/>
          <w:u w:val="single"/>
          <w:lang w:val="sr-Latn-ME"/>
        </w:rPr>
        <w:t>Psorijazni artritis</w:t>
      </w:r>
    </w:p>
    <w:p w14:paraId="22F3C156" w14:textId="77777777" w:rsidR="007D7CE1" w:rsidRPr="005474B2" w:rsidRDefault="007D7CE1">
      <w:pPr>
        <w:tabs>
          <w:tab w:val="left" w:pos="284"/>
        </w:tabs>
        <w:jc w:val="both"/>
        <w:rPr>
          <w:sz w:val="22"/>
          <w:szCs w:val="22"/>
          <w:lang w:val="sr-Latn-ME"/>
        </w:rPr>
      </w:pPr>
    </w:p>
    <w:p w14:paraId="7C4CCF83" w14:textId="6D408900" w:rsidR="007D7CE1" w:rsidRPr="005474B2" w:rsidRDefault="0042255C">
      <w:pPr>
        <w:tabs>
          <w:tab w:val="left" w:pos="284"/>
        </w:tabs>
        <w:jc w:val="both"/>
        <w:rPr>
          <w:sz w:val="22"/>
          <w:szCs w:val="22"/>
          <w:lang w:val="sr-Latn-ME"/>
        </w:rPr>
      </w:pPr>
      <w:r w:rsidRPr="005474B2">
        <w:rPr>
          <w:sz w:val="22"/>
          <w:szCs w:val="22"/>
          <w:lang w:val="sr-Latn-ME"/>
        </w:rPr>
        <w:t xml:space="preserve">Lijek </w:t>
      </w:r>
      <w:r w:rsidR="007D7CE1" w:rsidRPr="005474B2">
        <w:rPr>
          <w:sz w:val="22"/>
          <w:szCs w:val="22"/>
          <w:lang w:val="sr-Latn-ME"/>
        </w:rPr>
        <w:t>Cosentyx, sam ili u kombinaciji sa metotreksatom (MTX), je indikovan za l</w:t>
      </w:r>
      <w:r w:rsidR="009A4880" w:rsidRPr="005474B2">
        <w:rPr>
          <w:sz w:val="22"/>
          <w:szCs w:val="22"/>
          <w:lang w:val="sr-Latn-ME"/>
        </w:rPr>
        <w:t>ij</w:t>
      </w:r>
      <w:r w:rsidR="007D7CE1" w:rsidRPr="005474B2">
        <w:rPr>
          <w:sz w:val="22"/>
          <w:szCs w:val="22"/>
          <w:lang w:val="sr-Latn-ME"/>
        </w:rPr>
        <w:t>ečenje aktivnog psorijaznog artritisa kod odraslih pacijenata kada odgovor na prethodnu terapiju antireumatskim l</w:t>
      </w:r>
      <w:r w:rsidR="009A4880" w:rsidRPr="005474B2">
        <w:rPr>
          <w:sz w:val="22"/>
          <w:szCs w:val="22"/>
          <w:lang w:val="sr-Latn-ME"/>
        </w:rPr>
        <w:t>ij</w:t>
      </w:r>
      <w:r w:rsidR="007D7CE1" w:rsidRPr="005474B2">
        <w:rPr>
          <w:sz w:val="22"/>
          <w:szCs w:val="22"/>
          <w:lang w:val="sr-Latn-ME"/>
        </w:rPr>
        <w:t xml:space="preserve">ekom koji modifikuje bolest (DMARD, engl. </w:t>
      </w:r>
      <w:r w:rsidR="007D7CE1" w:rsidRPr="005474B2">
        <w:rPr>
          <w:i/>
          <w:sz w:val="22"/>
          <w:szCs w:val="22"/>
          <w:lang w:val="sr-Latn-ME"/>
        </w:rPr>
        <w:t>disease</w:t>
      </w:r>
      <w:r w:rsidR="000F4CC7" w:rsidRPr="005474B2">
        <w:rPr>
          <w:i/>
          <w:sz w:val="22"/>
          <w:szCs w:val="22"/>
          <w:lang w:val="sr-Latn-ME"/>
        </w:rPr>
        <w:t>-</w:t>
      </w:r>
      <w:r w:rsidR="007D7CE1" w:rsidRPr="005474B2">
        <w:rPr>
          <w:i/>
          <w:sz w:val="22"/>
          <w:szCs w:val="22"/>
          <w:lang w:val="sr-Latn-ME"/>
        </w:rPr>
        <w:t>modifying anti</w:t>
      </w:r>
      <w:r w:rsidR="000F4CC7" w:rsidRPr="005474B2">
        <w:rPr>
          <w:i/>
          <w:sz w:val="22"/>
          <w:szCs w:val="22"/>
          <w:lang w:val="sr-Latn-ME"/>
        </w:rPr>
        <w:t>-</w:t>
      </w:r>
      <w:r w:rsidR="007D7CE1" w:rsidRPr="005474B2">
        <w:rPr>
          <w:i/>
          <w:sz w:val="22"/>
          <w:szCs w:val="22"/>
          <w:lang w:val="sr-Latn-ME"/>
        </w:rPr>
        <w:t>rheumatic drug</w:t>
      </w:r>
      <w:r w:rsidR="007D7CE1" w:rsidRPr="005474B2">
        <w:rPr>
          <w:sz w:val="22"/>
          <w:szCs w:val="22"/>
          <w:lang w:val="sr-Latn-ME"/>
        </w:rPr>
        <w:t>) nije bio odgovarajući (vid</w:t>
      </w:r>
      <w:r w:rsidR="009A4880" w:rsidRPr="005474B2">
        <w:rPr>
          <w:sz w:val="22"/>
          <w:szCs w:val="22"/>
          <w:lang w:val="sr-Latn-ME"/>
        </w:rPr>
        <w:t>j</w:t>
      </w:r>
      <w:r w:rsidR="007D7CE1" w:rsidRPr="005474B2">
        <w:rPr>
          <w:sz w:val="22"/>
          <w:szCs w:val="22"/>
          <w:lang w:val="sr-Latn-ME"/>
        </w:rPr>
        <w:t xml:space="preserve">eti </w:t>
      </w:r>
      <w:r w:rsidR="003559B7" w:rsidRPr="005474B2">
        <w:rPr>
          <w:sz w:val="22"/>
          <w:szCs w:val="22"/>
          <w:lang w:val="sr-Latn-ME"/>
        </w:rPr>
        <w:t xml:space="preserve">dio </w:t>
      </w:r>
      <w:r w:rsidR="007D7CE1" w:rsidRPr="005474B2">
        <w:rPr>
          <w:sz w:val="22"/>
          <w:szCs w:val="22"/>
          <w:lang w:val="sr-Latn-ME"/>
        </w:rPr>
        <w:t>5.1).</w:t>
      </w:r>
    </w:p>
    <w:p w14:paraId="29C1DB8A" w14:textId="77777777" w:rsidR="007D7CE1" w:rsidRPr="005474B2" w:rsidRDefault="007D7CE1">
      <w:pPr>
        <w:tabs>
          <w:tab w:val="left" w:pos="284"/>
        </w:tabs>
        <w:jc w:val="both"/>
        <w:rPr>
          <w:sz w:val="22"/>
          <w:szCs w:val="22"/>
          <w:lang w:val="sr-Latn-ME"/>
        </w:rPr>
      </w:pPr>
    </w:p>
    <w:p w14:paraId="0D0FF5DB" w14:textId="77777777" w:rsidR="007D7CE1" w:rsidRPr="005474B2" w:rsidRDefault="007D7CE1">
      <w:pPr>
        <w:tabs>
          <w:tab w:val="left" w:pos="284"/>
        </w:tabs>
        <w:jc w:val="both"/>
        <w:rPr>
          <w:b/>
          <w:sz w:val="22"/>
          <w:szCs w:val="22"/>
          <w:u w:val="single"/>
          <w:lang w:val="sr-Latn-ME"/>
        </w:rPr>
      </w:pPr>
      <w:r w:rsidRPr="005474B2">
        <w:rPr>
          <w:b/>
          <w:sz w:val="22"/>
          <w:szCs w:val="22"/>
          <w:u w:val="single"/>
          <w:lang w:val="sr-Latn-ME"/>
        </w:rPr>
        <w:t>Aksijalni spondiloartritis (axSpA)</w:t>
      </w:r>
    </w:p>
    <w:p w14:paraId="3857994B" w14:textId="77777777" w:rsidR="007D7CE1" w:rsidRPr="005474B2" w:rsidRDefault="007D7CE1">
      <w:pPr>
        <w:tabs>
          <w:tab w:val="left" w:pos="284"/>
        </w:tabs>
        <w:jc w:val="both"/>
        <w:rPr>
          <w:b/>
          <w:sz w:val="22"/>
          <w:szCs w:val="22"/>
          <w:lang w:val="sr-Latn-ME"/>
        </w:rPr>
      </w:pPr>
    </w:p>
    <w:p w14:paraId="13A097B5" w14:textId="77777777" w:rsidR="007D7CE1" w:rsidRPr="005474B2" w:rsidRDefault="007D7CE1">
      <w:pPr>
        <w:tabs>
          <w:tab w:val="left" w:pos="284"/>
        </w:tabs>
        <w:jc w:val="both"/>
        <w:rPr>
          <w:b/>
          <w:sz w:val="22"/>
          <w:szCs w:val="22"/>
          <w:u w:val="single"/>
          <w:lang w:val="sr-Latn-ME"/>
        </w:rPr>
      </w:pPr>
      <w:r w:rsidRPr="005474B2">
        <w:rPr>
          <w:i/>
          <w:sz w:val="22"/>
          <w:szCs w:val="22"/>
          <w:u w:val="single"/>
          <w:lang w:val="sr-Latn-ME"/>
        </w:rPr>
        <w:t>Ankilozirajući spondilitis</w:t>
      </w:r>
      <w:r w:rsidRPr="005474B2">
        <w:rPr>
          <w:b/>
          <w:sz w:val="22"/>
          <w:szCs w:val="22"/>
          <w:u w:val="single"/>
          <w:lang w:val="sr-Latn-ME"/>
        </w:rPr>
        <w:t xml:space="preserve"> </w:t>
      </w:r>
      <w:r w:rsidRPr="005474B2">
        <w:rPr>
          <w:i/>
          <w:sz w:val="22"/>
          <w:szCs w:val="22"/>
          <w:u w:val="single"/>
          <w:lang w:val="sr-Latn-ME"/>
        </w:rPr>
        <w:t>(AS, radiografski aksijalni spondiloartritis)</w:t>
      </w:r>
    </w:p>
    <w:p w14:paraId="12E8BCD8" w14:textId="77777777" w:rsidR="007D7CE1" w:rsidRPr="005474B2" w:rsidRDefault="007D7CE1">
      <w:pPr>
        <w:tabs>
          <w:tab w:val="left" w:pos="284"/>
        </w:tabs>
        <w:jc w:val="both"/>
        <w:rPr>
          <w:b/>
          <w:sz w:val="22"/>
          <w:szCs w:val="22"/>
          <w:lang w:val="sr-Latn-ME"/>
        </w:rPr>
      </w:pPr>
    </w:p>
    <w:p w14:paraId="05A165E4" w14:textId="03863F3A" w:rsidR="007D7CE1" w:rsidRPr="005474B2" w:rsidRDefault="0042255C">
      <w:pPr>
        <w:tabs>
          <w:tab w:val="left" w:pos="284"/>
        </w:tabs>
        <w:jc w:val="both"/>
        <w:rPr>
          <w:sz w:val="22"/>
          <w:szCs w:val="22"/>
          <w:lang w:val="sr-Latn-ME"/>
        </w:rPr>
      </w:pPr>
      <w:r w:rsidRPr="005474B2">
        <w:rPr>
          <w:sz w:val="22"/>
          <w:szCs w:val="22"/>
          <w:lang w:val="sr-Latn-ME"/>
        </w:rPr>
        <w:t xml:space="preserve">Lijek </w:t>
      </w:r>
      <w:r w:rsidR="007D7CE1" w:rsidRPr="005474B2">
        <w:rPr>
          <w:sz w:val="22"/>
          <w:szCs w:val="22"/>
          <w:lang w:val="sr-Latn-ME"/>
        </w:rPr>
        <w:t>Cosentyx je indikovan za l</w:t>
      </w:r>
      <w:r w:rsidR="009A4880" w:rsidRPr="005474B2">
        <w:rPr>
          <w:sz w:val="22"/>
          <w:szCs w:val="22"/>
          <w:lang w:val="sr-Latn-ME"/>
        </w:rPr>
        <w:t>ij</w:t>
      </w:r>
      <w:r w:rsidR="007D7CE1" w:rsidRPr="005474B2">
        <w:rPr>
          <w:sz w:val="22"/>
          <w:szCs w:val="22"/>
          <w:lang w:val="sr-Latn-ME"/>
        </w:rPr>
        <w:t>ečenje aktivnog ankilozirajućeg spondilitisa kod odraslih koji su imali neadekvatan odgovor na konvencionalnu terapiju.</w:t>
      </w:r>
    </w:p>
    <w:p w14:paraId="3DFC0C40" w14:textId="77777777" w:rsidR="00A62164" w:rsidRPr="005474B2" w:rsidRDefault="00A62164">
      <w:pPr>
        <w:tabs>
          <w:tab w:val="left" w:pos="540"/>
          <w:tab w:val="left" w:pos="569"/>
        </w:tabs>
        <w:jc w:val="both"/>
        <w:rPr>
          <w:b/>
          <w:bCs/>
          <w:sz w:val="22"/>
          <w:szCs w:val="22"/>
          <w:lang w:val="sr-Latn-ME"/>
        </w:rPr>
      </w:pPr>
    </w:p>
    <w:p w14:paraId="5E98D24A" w14:textId="79E6FD32" w:rsidR="007D7CE1" w:rsidRPr="005474B2" w:rsidRDefault="007D7CE1">
      <w:pPr>
        <w:tabs>
          <w:tab w:val="left" w:pos="284"/>
        </w:tabs>
        <w:jc w:val="both"/>
        <w:rPr>
          <w:i/>
          <w:sz w:val="22"/>
          <w:szCs w:val="22"/>
          <w:u w:val="single"/>
          <w:lang w:val="sr-Latn-ME"/>
        </w:rPr>
      </w:pPr>
      <w:r w:rsidRPr="005474B2">
        <w:rPr>
          <w:i/>
          <w:sz w:val="22"/>
          <w:szCs w:val="22"/>
          <w:u w:val="single"/>
          <w:lang w:val="sr-Latn-ME"/>
        </w:rPr>
        <w:t>Neradiografski aksijalni spondiloartritis (nr-axSpA)</w:t>
      </w:r>
    </w:p>
    <w:p w14:paraId="27C856D2" w14:textId="77777777" w:rsidR="007D7CE1" w:rsidRPr="005474B2" w:rsidRDefault="007D7CE1">
      <w:pPr>
        <w:tabs>
          <w:tab w:val="left" w:pos="284"/>
        </w:tabs>
        <w:jc w:val="both"/>
        <w:rPr>
          <w:i/>
          <w:sz w:val="22"/>
          <w:szCs w:val="22"/>
          <w:lang w:val="sr-Latn-ME"/>
        </w:rPr>
      </w:pPr>
    </w:p>
    <w:p w14:paraId="4BB78C62" w14:textId="0F53A045" w:rsidR="007D7CE1" w:rsidRPr="005474B2" w:rsidRDefault="00F36D59">
      <w:pPr>
        <w:tabs>
          <w:tab w:val="left" w:pos="284"/>
        </w:tabs>
        <w:jc w:val="both"/>
        <w:rPr>
          <w:sz w:val="22"/>
          <w:szCs w:val="22"/>
          <w:lang w:val="sr-Latn-ME"/>
        </w:rPr>
      </w:pPr>
      <w:r w:rsidRPr="005474B2">
        <w:rPr>
          <w:sz w:val="22"/>
          <w:szCs w:val="22"/>
          <w:lang w:val="sr-Latn-ME"/>
        </w:rPr>
        <w:t xml:space="preserve">Lijek </w:t>
      </w:r>
      <w:r w:rsidR="007D7CE1" w:rsidRPr="005474B2">
        <w:rPr>
          <w:sz w:val="22"/>
          <w:szCs w:val="22"/>
          <w:lang w:val="sr-Latn-ME"/>
        </w:rPr>
        <w:t xml:space="preserve">Cosentyx je indikovan za </w:t>
      </w:r>
      <w:r w:rsidR="009A4880" w:rsidRPr="005474B2">
        <w:rPr>
          <w:sz w:val="22"/>
          <w:szCs w:val="22"/>
          <w:lang w:val="sr-Latn-ME"/>
        </w:rPr>
        <w:t>liječ</w:t>
      </w:r>
      <w:r w:rsidR="007D7CE1" w:rsidRPr="005474B2">
        <w:rPr>
          <w:sz w:val="22"/>
          <w:szCs w:val="22"/>
          <w:lang w:val="sr-Latn-ME"/>
        </w:rPr>
        <w:t>enje aktivnog neradiografskog aksijalnog spondiloartritisa sa jasnim znacima inflamacije</w:t>
      </w:r>
      <w:r w:rsidR="006501E8" w:rsidRPr="005474B2">
        <w:rPr>
          <w:sz w:val="22"/>
          <w:szCs w:val="22"/>
          <w:lang w:val="sr-Latn-ME"/>
        </w:rPr>
        <w:t>,</w:t>
      </w:r>
      <w:r w:rsidR="007D7CE1" w:rsidRPr="005474B2">
        <w:rPr>
          <w:sz w:val="22"/>
          <w:szCs w:val="22"/>
          <w:lang w:val="sr-Latn-ME"/>
        </w:rPr>
        <w:t xml:space="preserve"> što se potvrđuje povišenim </w:t>
      </w:r>
      <w:r w:rsidR="00A233FB" w:rsidRPr="005474B2">
        <w:rPr>
          <w:sz w:val="22"/>
          <w:szCs w:val="22"/>
          <w:lang w:val="sr-Latn-ME"/>
        </w:rPr>
        <w:t>vrijednosti</w:t>
      </w:r>
      <w:r w:rsidR="007D7CE1" w:rsidRPr="005474B2">
        <w:rPr>
          <w:sz w:val="22"/>
          <w:szCs w:val="22"/>
          <w:lang w:val="sr-Latn-ME"/>
        </w:rPr>
        <w:t>ma C-reaktivnog proteina (CRP) i/ili pomoću snimka magnetnom rezonancom (MRI) prisutnog kod odraslih koji su imali neadekvatan odgovor na nesteroidne antiinflamatorne l</w:t>
      </w:r>
      <w:r w:rsidR="005B706C" w:rsidRPr="005474B2">
        <w:rPr>
          <w:sz w:val="22"/>
          <w:szCs w:val="22"/>
          <w:lang w:val="sr-Latn-ME"/>
        </w:rPr>
        <w:t>j</w:t>
      </w:r>
      <w:r w:rsidR="007D7CE1" w:rsidRPr="005474B2">
        <w:rPr>
          <w:sz w:val="22"/>
          <w:szCs w:val="22"/>
          <w:lang w:val="sr-Latn-ME"/>
        </w:rPr>
        <w:t>ekove (NSAIL).</w:t>
      </w:r>
    </w:p>
    <w:p w14:paraId="5B915A20" w14:textId="3A8DAA05" w:rsidR="007D7CE1" w:rsidRPr="005474B2" w:rsidRDefault="007D7CE1">
      <w:pPr>
        <w:tabs>
          <w:tab w:val="left" w:pos="284"/>
        </w:tabs>
        <w:jc w:val="both"/>
        <w:rPr>
          <w:sz w:val="22"/>
          <w:szCs w:val="22"/>
          <w:lang w:val="sr-Latn-ME"/>
        </w:rPr>
      </w:pPr>
    </w:p>
    <w:p w14:paraId="3D121936" w14:textId="77777777" w:rsidR="00AB478E" w:rsidRPr="0009637B" w:rsidRDefault="00AB478E">
      <w:pPr>
        <w:tabs>
          <w:tab w:val="left" w:pos="284"/>
        </w:tabs>
        <w:jc w:val="both"/>
        <w:rPr>
          <w:bCs/>
          <w:sz w:val="22"/>
          <w:szCs w:val="22"/>
        </w:rPr>
      </w:pPr>
      <w:proofErr w:type="spellStart"/>
      <w:r w:rsidRPr="0009637B">
        <w:rPr>
          <w:bCs/>
          <w:sz w:val="22"/>
          <w:szCs w:val="22"/>
        </w:rPr>
        <w:t>Juvenilni</w:t>
      </w:r>
      <w:proofErr w:type="spellEnd"/>
      <w:r w:rsidRPr="0009637B">
        <w:rPr>
          <w:bCs/>
          <w:sz w:val="22"/>
          <w:szCs w:val="22"/>
        </w:rPr>
        <w:t xml:space="preserve"> </w:t>
      </w:r>
      <w:proofErr w:type="spellStart"/>
      <w:r w:rsidRPr="0009637B">
        <w:rPr>
          <w:bCs/>
          <w:sz w:val="22"/>
          <w:szCs w:val="22"/>
        </w:rPr>
        <w:t>idiopatski</w:t>
      </w:r>
      <w:proofErr w:type="spellEnd"/>
      <w:r w:rsidRPr="0009637B">
        <w:rPr>
          <w:bCs/>
          <w:sz w:val="22"/>
          <w:szCs w:val="22"/>
        </w:rPr>
        <w:t xml:space="preserve"> </w:t>
      </w:r>
      <w:proofErr w:type="spellStart"/>
      <w:r w:rsidRPr="0009637B">
        <w:rPr>
          <w:bCs/>
          <w:sz w:val="22"/>
          <w:szCs w:val="22"/>
        </w:rPr>
        <w:t>artritis</w:t>
      </w:r>
      <w:proofErr w:type="spellEnd"/>
      <w:r w:rsidRPr="0009637B">
        <w:rPr>
          <w:bCs/>
          <w:sz w:val="22"/>
          <w:szCs w:val="22"/>
        </w:rPr>
        <w:t xml:space="preserve"> (JIA)</w:t>
      </w:r>
    </w:p>
    <w:p w14:paraId="7A5DF25F" w14:textId="77777777" w:rsidR="00AB478E" w:rsidRPr="0009637B" w:rsidRDefault="00AB478E">
      <w:pPr>
        <w:tabs>
          <w:tab w:val="left" w:pos="284"/>
        </w:tabs>
        <w:jc w:val="both"/>
        <w:rPr>
          <w:bCs/>
          <w:sz w:val="22"/>
          <w:szCs w:val="22"/>
        </w:rPr>
      </w:pPr>
    </w:p>
    <w:p w14:paraId="01282AD7" w14:textId="77777777" w:rsidR="00AB478E" w:rsidRPr="0009637B" w:rsidRDefault="00AB478E">
      <w:pPr>
        <w:tabs>
          <w:tab w:val="left" w:pos="284"/>
        </w:tabs>
        <w:jc w:val="both"/>
        <w:rPr>
          <w:bCs/>
          <w:sz w:val="22"/>
          <w:szCs w:val="22"/>
        </w:rPr>
      </w:pPr>
      <w:proofErr w:type="spellStart"/>
      <w:r w:rsidRPr="0009637B">
        <w:rPr>
          <w:bCs/>
          <w:sz w:val="22"/>
          <w:szCs w:val="22"/>
        </w:rPr>
        <w:t>Artritis</w:t>
      </w:r>
      <w:proofErr w:type="spellEnd"/>
      <w:r w:rsidRPr="0009637B">
        <w:rPr>
          <w:bCs/>
          <w:sz w:val="22"/>
          <w:szCs w:val="22"/>
        </w:rPr>
        <w:t xml:space="preserve"> </w:t>
      </w:r>
      <w:proofErr w:type="spellStart"/>
      <w:r w:rsidRPr="0009637B">
        <w:rPr>
          <w:bCs/>
          <w:sz w:val="22"/>
          <w:szCs w:val="22"/>
        </w:rPr>
        <w:t>povezan</w:t>
      </w:r>
      <w:proofErr w:type="spellEnd"/>
      <w:r w:rsidRPr="0009637B">
        <w:rPr>
          <w:bCs/>
          <w:sz w:val="22"/>
          <w:szCs w:val="22"/>
        </w:rPr>
        <w:t xml:space="preserve"> </w:t>
      </w:r>
      <w:proofErr w:type="spellStart"/>
      <w:r w:rsidRPr="0009637B">
        <w:rPr>
          <w:bCs/>
          <w:sz w:val="22"/>
          <w:szCs w:val="22"/>
        </w:rPr>
        <w:t>sa</w:t>
      </w:r>
      <w:proofErr w:type="spellEnd"/>
      <w:r w:rsidRPr="0009637B">
        <w:rPr>
          <w:bCs/>
          <w:sz w:val="22"/>
          <w:szCs w:val="22"/>
        </w:rPr>
        <w:t xml:space="preserve"> </w:t>
      </w:r>
      <w:proofErr w:type="spellStart"/>
      <w:r w:rsidRPr="0009637B">
        <w:rPr>
          <w:bCs/>
          <w:sz w:val="22"/>
          <w:szCs w:val="22"/>
        </w:rPr>
        <w:t>entezitisom</w:t>
      </w:r>
      <w:proofErr w:type="spellEnd"/>
      <w:r w:rsidRPr="0009637B">
        <w:rPr>
          <w:bCs/>
          <w:sz w:val="22"/>
          <w:szCs w:val="22"/>
        </w:rPr>
        <w:t xml:space="preserve"> (</w:t>
      </w:r>
      <w:proofErr w:type="spellStart"/>
      <w:r w:rsidRPr="0009637B">
        <w:rPr>
          <w:bCs/>
          <w:sz w:val="22"/>
          <w:szCs w:val="22"/>
        </w:rPr>
        <w:t>engl.</w:t>
      </w:r>
      <w:proofErr w:type="spellEnd"/>
      <w:r w:rsidRPr="0009637B">
        <w:rPr>
          <w:bCs/>
          <w:sz w:val="22"/>
          <w:szCs w:val="22"/>
        </w:rPr>
        <w:t xml:space="preserve"> </w:t>
      </w:r>
      <w:r w:rsidRPr="0009637B">
        <w:rPr>
          <w:bCs/>
          <w:i/>
          <w:iCs/>
          <w:sz w:val="22"/>
          <w:szCs w:val="22"/>
        </w:rPr>
        <w:t>enthesitis-related arthritis</w:t>
      </w:r>
      <w:r w:rsidRPr="0009637B">
        <w:rPr>
          <w:bCs/>
          <w:sz w:val="22"/>
          <w:szCs w:val="22"/>
        </w:rPr>
        <w:t>, ERA)</w:t>
      </w:r>
    </w:p>
    <w:p w14:paraId="7D002530" w14:textId="14DC68A2" w:rsidR="00AB478E" w:rsidRPr="0009637B" w:rsidRDefault="00AB478E">
      <w:pPr>
        <w:tabs>
          <w:tab w:val="left" w:pos="284"/>
        </w:tabs>
        <w:jc w:val="both"/>
        <w:rPr>
          <w:bCs/>
          <w:sz w:val="22"/>
          <w:szCs w:val="22"/>
        </w:rPr>
      </w:pPr>
      <w:proofErr w:type="spellStart"/>
      <w:r w:rsidRPr="0009637B">
        <w:rPr>
          <w:bCs/>
          <w:sz w:val="22"/>
          <w:szCs w:val="22"/>
        </w:rPr>
        <w:t>Lijek</w:t>
      </w:r>
      <w:proofErr w:type="spellEnd"/>
      <w:r w:rsidRPr="0009637B">
        <w:rPr>
          <w:bCs/>
          <w:sz w:val="22"/>
          <w:szCs w:val="22"/>
        </w:rPr>
        <w:t xml:space="preserve"> </w:t>
      </w:r>
      <w:proofErr w:type="spellStart"/>
      <w:r w:rsidRPr="0009637B">
        <w:rPr>
          <w:bCs/>
          <w:sz w:val="22"/>
          <w:szCs w:val="22"/>
        </w:rPr>
        <w:t>Cosentyx</w:t>
      </w:r>
      <w:proofErr w:type="spellEnd"/>
      <w:r w:rsidRPr="0009637B">
        <w:rPr>
          <w:bCs/>
          <w:sz w:val="22"/>
          <w:szCs w:val="22"/>
        </w:rPr>
        <w:t xml:space="preserve">, </w:t>
      </w:r>
      <w:proofErr w:type="spellStart"/>
      <w:r w:rsidRPr="0009637B">
        <w:rPr>
          <w:bCs/>
          <w:sz w:val="22"/>
          <w:szCs w:val="22"/>
        </w:rPr>
        <w:t>sam</w:t>
      </w:r>
      <w:proofErr w:type="spellEnd"/>
      <w:r w:rsidRPr="0009637B">
        <w:rPr>
          <w:bCs/>
          <w:sz w:val="22"/>
          <w:szCs w:val="22"/>
        </w:rPr>
        <w:t xml:space="preserve"> </w:t>
      </w:r>
      <w:proofErr w:type="spellStart"/>
      <w:r w:rsidRPr="0009637B">
        <w:rPr>
          <w:bCs/>
          <w:sz w:val="22"/>
          <w:szCs w:val="22"/>
        </w:rPr>
        <w:t>ili</w:t>
      </w:r>
      <w:proofErr w:type="spellEnd"/>
      <w:r w:rsidRPr="0009637B">
        <w:rPr>
          <w:bCs/>
          <w:sz w:val="22"/>
          <w:szCs w:val="22"/>
        </w:rPr>
        <w:t xml:space="preserve"> u </w:t>
      </w:r>
      <w:proofErr w:type="spellStart"/>
      <w:r w:rsidRPr="0009637B">
        <w:rPr>
          <w:bCs/>
          <w:sz w:val="22"/>
          <w:szCs w:val="22"/>
        </w:rPr>
        <w:t>kombinaciji</w:t>
      </w:r>
      <w:proofErr w:type="spellEnd"/>
      <w:r w:rsidRPr="0009637B">
        <w:rPr>
          <w:bCs/>
          <w:sz w:val="22"/>
          <w:szCs w:val="22"/>
        </w:rPr>
        <w:t xml:space="preserve"> </w:t>
      </w:r>
      <w:proofErr w:type="spellStart"/>
      <w:r w:rsidRPr="0009637B">
        <w:rPr>
          <w:bCs/>
          <w:sz w:val="22"/>
          <w:szCs w:val="22"/>
        </w:rPr>
        <w:t>sa</w:t>
      </w:r>
      <w:proofErr w:type="spellEnd"/>
      <w:r w:rsidRPr="0009637B">
        <w:rPr>
          <w:bCs/>
          <w:sz w:val="22"/>
          <w:szCs w:val="22"/>
        </w:rPr>
        <w:t xml:space="preserve"> </w:t>
      </w:r>
      <w:proofErr w:type="spellStart"/>
      <w:r w:rsidRPr="0009637B">
        <w:rPr>
          <w:bCs/>
          <w:sz w:val="22"/>
          <w:szCs w:val="22"/>
        </w:rPr>
        <w:t>metotreksatom</w:t>
      </w:r>
      <w:proofErr w:type="spellEnd"/>
      <w:r w:rsidRPr="0009637B">
        <w:rPr>
          <w:bCs/>
          <w:sz w:val="22"/>
          <w:szCs w:val="22"/>
        </w:rPr>
        <w:t xml:space="preserve"> (MTX) je </w:t>
      </w:r>
      <w:proofErr w:type="spellStart"/>
      <w:r w:rsidRPr="0009637B">
        <w:rPr>
          <w:bCs/>
          <w:sz w:val="22"/>
          <w:szCs w:val="22"/>
        </w:rPr>
        <w:t>indikovan</w:t>
      </w:r>
      <w:proofErr w:type="spellEnd"/>
      <w:r w:rsidRPr="0009637B">
        <w:rPr>
          <w:bCs/>
          <w:sz w:val="22"/>
          <w:szCs w:val="22"/>
        </w:rPr>
        <w:t xml:space="preserve"> </w:t>
      </w:r>
      <w:proofErr w:type="spellStart"/>
      <w:r w:rsidRPr="0009637B">
        <w:rPr>
          <w:bCs/>
          <w:sz w:val="22"/>
          <w:szCs w:val="22"/>
        </w:rPr>
        <w:t>za</w:t>
      </w:r>
      <w:proofErr w:type="spellEnd"/>
      <w:r w:rsidRPr="0009637B">
        <w:rPr>
          <w:bCs/>
          <w:sz w:val="22"/>
          <w:szCs w:val="22"/>
        </w:rPr>
        <w:t xml:space="preserve"> </w:t>
      </w:r>
      <w:proofErr w:type="spellStart"/>
      <w:r w:rsidRPr="0009637B">
        <w:rPr>
          <w:bCs/>
          <w:sz w:val="22"/>
          <w:szCs w:val="22"/>
        </w:rPr>
        <w:t>liječenje</w:t>
      </w:r>
      <w:proofErr w:type="spellEnd"/>
      <w:r w:rsidRPr="0009637B">
        <w:rPr>
          <w:bCs/>
          <w:sz w:val="22"/>
          <w:szCs w:val="22"/>
        </w:rPr>
        <w:t xml:space="preserve"> </w:t>
      </w:r>
      <w:proofErr w:type="spellStart"/>
      <w:r w:rsidRPr="0009637B">
        <w:rPr>
          <w:bCs/>
          <w:sz w:val="22"/>
          <w:szCs w:val="22"/>
        </w:rPr>
        <w:t>aktivnog</w:t>
      </w:r>
      <w:proofErr w:type="spellEnd"/>
      <w:r w:rsidRPr="0009637B">
        <w:rPr>
          <w:bCs/>
          <w:sz w:val="22"/>
          <w:szCs w:val="22"/>
        </w:rPr>
        <w:t xml:space="preserve"> </w:t>
      </w:r>
      <w:proofErr w:type="spellStart"/>
      <w:r w:rsidRPr="0009637B">
        <w:rPr>
          <w:bCs/>
          <w:sz w:val="22"/>
          <w:szCs w:val="22"/>
        </w:rPr>
        <w:t>artritisa</w:t>
      </w:r>
      <w:proofErr w:type="spellEnd"/>
      <w:r w:rsidRPr="0009637B">
        <w:rPr>
          <w:bCs/>
          <w:sz w:val="22"/>
          <w:szCs w:val="22"/>
        </w:rPr>
        <w:t xml:space="preserve"> </w:t>
      </w:r>
      <w:proofErr w:type="spellStart"/>
      <w:r w:rsidRPr="0009637B">
        <w:rPr>
          <w:bCs/>
          <w:sz w:val="22"/>
          <w:szCs w:val="22"/>
        </w:rPr>
        <w:t>povezanog</w:t>
      </w:r>
      <w:proofErr w:type="spellEnd"/>
      <w:r w:rsidRPr="0009637B">
        <w:rPr>
          <w:bCs/>
          <w:sz w:val="22"/>
          <w:szCs w:val="22"/>
        </w:rPr>
        <w:t xml:space="preserve"> </w:t>
      </w:r>
      <w:proofErr w:type="spellStart"/>
      <w:r w:rsidRPr="0009637B">
        <w:rPr>
          <w:bCs/>
          <w:sz w:val="22"/>
          <w:szCs w:val="22"/>
        </w:rPr>
        <w:t>sa</w:t>
      </w:r>
      <w:proofErr w:type="spellEnd"/>
      <w:r w:rsidRPr="0009637B">
        <w:rPr>
          <w:bCs/>
          <w:sz w:val="22"/>
          <w:szCs w:val="22"/>
        </w:rPr>
        <w:t xml:space="preserve"> </w:t>
      </w:r>
      <w:proofErr w:type="spellStart"/>
      <w:r w:rsidRPr="0009637B">
        <w:rPr>
          <w:bCs/>
          <w:sz w:val="22"/>
          <w:szCs w:val="22"/>
        </w:rPr>
        <w:t>entezitisom</w:t>
      </w:r>
      <w:bookmarkStart w:id="2" w:name="_Hlk106791661"/>
      <w:proofErr w:type="spellEnd"/>
      <w:r w:rsidRPr="0009637B">
        <w:rPr>
          <w:bCs/>
          <w:sz w:val="22"/>
          <w:szCs w:val="22"/>
        </w:rPr>
        <w:t xml:space="preserve"> </w:t>
      </w:r>
      <w:proofErr w:type="spellStart"/>
      <w:r w:rsidRPr="0009637B">
        <w:rPr>
          <w:bCs/>
          <w:sz w:val="22"/>
          <w:szCs w:val="22"/>
        </w:rPr>
        <w:t>kod</w:t>
      </w:r>
      <w:proofErr w:type="spellEnd"/>
      <w:r w:rsidRPr="0009637B">
        <w:rPr>
          <w:bCs/>
          <w:sz w:val="22"/>
          <w:szCs w:val="22"/>
        </w:rPr>
        <w:t xml:space="preserve"> </w:t>
      </w:r>
      <w:proofErr w:type="spellStart"/>
      <w:r w:rsidRPr="0009637B">
        <w:rPr>
          <w:bCs/>
          <w:sz w:val="22"/>
          <w:szCs w:val="22"/>
        </w:rPr>
        <w:t>pacijenata</w:t>
      </w:r>
      <w:proofErr w:type="spellEnd"/>
      <w:r w:rsidRPr="0009637B">
        <w:rPr>
          <w:bCs/>
          <w:sz w:val="22"/>
          <w:szCs w:val="22"/>
        </w:rPr>
        <w:t xml:space="preserve"> </w:t>
      </w:r>
      <w:proofErr w:type="spellStart"/>
      <w:r w:rsidRPr="0009637B">
        <w:rPr>
          <w:bCs/>
          <w:sz w:val="22"/>
          <w:szCs w:val="22"/>
        </w:rPr>
        <w:t>uzrasta</w:t>
      </w:r>
      <w:proofErr w:type="spellEnd"/>
      <w:r w:rsidRPr="0009637B">
        <w:rPr>
          <w:bCs/>
          <w:sz w:val="22"/>
          <w:szCs w:val="22"/>
        </w:rPr>
        <w:t xml:space="preserve"> od 6 </w:t>
      </w:r>
      <w:proofErr w:type="spellStart"/>
      <w:r w:rsidRPr="0009637B">
        <w:rPr>
          <w:bCs/>
          <w:sz w:val="22"/>
          <w:szCs w:val="22"/>
        </w:rPr>
        <w:t>i</w:t>
      </w:r>
      <w:proofErr w:type="spellEnd"/>
      <w:r w:rsidRPr="0009637B">
        <w:rPr>
          <w:bCs/>
          <w:sz w:val="22"/>
          <w:szCs w:val="22"/>
        </w:rPr>
        <w:t xml:space="preserve"> </w:t>
      </w:r>
      <w:proofErr w:type="spellStart"/>
      <w:r w:rsidRPr="0009637B">
        <w:rPr>
          <w:bCs/>
          <w:sz w:val="22"/>
          <w:szCs w:val="22"/>
        </w:rPr>
        <w:t>više</w:t>
      </w:r>
      <w:proofErr w:type="spellEnd"/>
      <w:r w:rsidRPr="0009637B">
        <w:rPr>
          <w:bCs/>
          <w:sz w:val="22"/>
          <w:szCs w:val="22"/>
        </w:rPr>
        <w:t xml:space="preserve"> </w:t>
      </w:r>
      <w:proofErr w:type="spellStart"/>
      <w:r w:rsidRPr="0009637B">
        <w:rPr>
          <w:bCs/>
          <w:sz w:val="22"/>
          <w:szCs w:val="22"/>
        </w:rPr>
        <w:t>godina</w:t>
      </w:r>
      <w:proofErr w:type="spellEnd"/>
      <w:r w:rsidRPr="0009637B">
        <w:rPr>
          <w:bCs/>
          <w:sz w:val="22"/>
          <w:szCs w:val="22"/>
        </w:rPr>
        <w:t xml:space="preserve"> </w:t>
      </w:r>
      <w:proofErr w:type="spellStart"/>
      <w:r w:rsidRPr="0009637B">
        <w:rPr>
          <w:bCs/>
          <w:sz w:val="22"/>
          <w:szCs w:val="22"/>
        </w:rPr>
        <w:t>koji</w:t>
      </w:r>
      <w:proofErr w:type="spellEnd"/>
      <w:r w:rsidRPr="0009637B">
        <w:rPr>
          <w:bCs/>
          <w:sz w:val="22"/>
          <w:szCs w:val="22"/>
        </w:rPr>
        <w:t xml:space="preserve"> </w:t>
      </w:r>
      <w:proofErr w:type="spellStart"/>
      <w:r w:rsidRPr="0009637B">
        <w:rPr>
          <w:bCs/>
          <w:sz w:val="22"/>
          <w:szCs w:val="22"/>
        </w:rPr>
        <w:t>nemaju</w:t>
      </w:r>
      <w:proofErr w:type="spellEnd"/>
      <w:r w:rsidRPr="0009637B">
        <w:rPr>
          <w:bCs/>
          <w:sz w:val="22"/>
          <w:szCs w:val="22"/>
        </w:rPr>
        <w:t xml:space="preserve"> </w:t>
      </w:r>
      <w:proofErr w:type="spellStart"/>
      <w:r w:rsidRPr="0009637B">
        <w:rPr>
          <w:bCs/>
          <w:sz w:val="22"/>
          <w:szCs w:val="22"/>
        </w:rPr>
        <w:t>odgovarajući</w:t>
      </w:r>
      <w:proofErr w:type="spellEnd"/>
      <w:r w:rsidRPr="0009637B">
        <w:rPr>
          <w:bCs/>
          <w:sz w:val="22"/>
          <w:szCs w:val="22"/>
        </w:rPr>
        <w:t xml:space="preserve"> </w:t>
      </w:r>
      <w:proofErr w:type="spellStart"/>
      <w:r w:rsidRPr="0009637B">
        <w:rPr>
          <w:bCs/>
          <w:sz w:val="22"/>
          <w:szCs w:val="22"/>
        </w:rPr>
        <w:t>odgovor</w:t>
      </w:r>
      <w:proofErr w:type="spellEnd"/>
      <w:r w:rsidRPr="0009637B">
        <w:rPr>
          <w:bCs/>
          <w:sz w:val="22"/>
          <w:szCs w:val="22"/>
        </w:rPr>
        <w:t xml:space="preserve"> </w:t>
      </w:r>
      <w:proofErr w:type="spellStart"/>
      <w:r w:rsidRPr="0009637B">
        <w:rPr>
          <w:bCs/>
          <w:sz w:val="22"/>
          <w:szCs w:val="22"/>
        </w:rPr>
        <w:t>na</w:t>
      </w:r>
      <w:proofErr w:type="spellEnd"/>
      <w:r w:rsidRPr="0009637B">
        <w:rPr>
          <w:bCs/>
          <w:sz w:val="22"/>
          <w:szCs w:val="22"/>
        </w:rPr>
        <w:t xml:space="preserve"> </w:t>
      </w:r>
      <w:proofErr w:type="spellStart"/>
      <w:r w:rsidRPr="0009637B">
        <w:rPr>
          <w:bCs/>
          <w:sz w:val="22"/>
          <w:szCs w:val="22"/>
        </w:rPr>
        <w:t>konvencionalno</w:t>
      </w:r>
      <w:proofErr w:type="spellEnd"/>
      <w:r w:rsidRPr="0009637B">
        <w:rPr>
          <w:bCs/>
          <w:sz w:val="22"/>
          <w:szCs w:val="22"/>
        </w:rPr>
        <w:t xml:space="preserve"> </w:t>
      </w:r>
      <w:proofErr w:type="spellStart"/>
      <w:r w:rsidRPr="0009637B">
        <w:rPr>
          <w:bCs/>
          <w:sz w:val="22"/>
          <w:szCs w:val="22"/>
        </w:rPr>
        <w:t>liječenje</w:t>
      </w:r>
      <w:proofErr w:type="spellEnd"/>
      <w:r w:rsidRPr="0009637B">
        <w:rPr>
          <w:bCs/>
          <w:sz w:val="22"/>
          <w:szCs w:val="22"/>
        </w:rPr>
        <w:t xml:space="preserve"> </w:t>
      </w:r>
      <w:proofErr w:type="spellStart"/>
      <w:r w:rsidRPr="0009637B">
        <w:rPr>
          <w:bCs/>
          <w:sz w:val="22"/>
          <w:szCs w:val="22"/>
        </w:rPr>
        <w:t>ili</w:t>
      </w:r>
      <w:proofErr w:type="spellEnd"/>
      <w:r w:rsidRPr="0009637B">
        <w:rPr>
          <w:bCs/>
          <w:sz w:val="22"/>
          <w:szCs w:val="22"/>
        </w:rPr>
        <w:t xml:space="preserve"> </w:t>
      </w:r>
      <w:proofErr w:type="spellStart"/>
      <w:r w:rsidRPr="0009637B">
        <w:rPr>
          <w:bCs/>
          <w:sz w:val="22"/>
          <w:szCs w:val="22"/>
        </w:rPr>
        <w:t>ga</w:t>
      </w:r>
      <w:proofErr w:type="spellEnd"/>
      <w:r w:rsidRPr="0009637B">
        <w:rPr>
          <w:bCs/>
          <w:sz w:val="22"/>
          <w:szCs w:val="22"/>
        </w:rPr>
        <w:t xml:space="preserve"> ne </w:t>
      </w:r>
      <w:proofErr w:type="spellStart"/>
      <w:r w:rsidRPr="0009637B">
        <w:rPr>
          <w:bCs/>
          <w:sz w:val="22"/>
          <w:szCs w:val="22"/>
        </w:rPr>
        <w:t>podnose</w:t>
      </w:r>
      <w:proofErr w:type="spellEnd"/>
      <w:r w:rsidRPr="0009637B">
        <w:rPr>
          <w:bCs/>
          <w:sz w:val="22"/>
          <w:szCs w:val="22"/>
        </w:rPr>
        <w:t xml:space="preserve"> (</w:t>
      </w:r>
      <w:proofErr w:type="spellStart"/>
      <w:r w:rsidRPr="0009637B">
        <w:rPr>
          <w:bCs/>
          <w:sz w:val="22"/>
          <w:szCs w:val="22"/>
        </w:rPr>
        <w:t>vidjeti</w:t>
      </w:r>
      <w:proofErr w:type="spellEnd"/>
      <w:r w:rsidRPr="0009637B">
        <w:rPr>
          <w:bCs/>
          <w:sz w:val="22"/>
          <w:szCs w:val="22"/>
        </w:rPr>
        <w:t xml:space="preserve"> </w:t>
      </w:r>
      <w:proofErr w:type="spellStart"/>
      <w:r w:rsidR="00E1152F">
        <w:rPr>
          <w:bCs/>
          <w:sz w:val="22"/>
          <w:szCs w:val="22"/>
        </w:rPr>
        <w:t>dio</w:t>
      </w:r>
      <w:proofErr w:type="spellEnd"/>
      <w:r w:rsidR="00E1152F" w:rsidRPr="0009637B">
        <w:rPr>
          <w:bCs/>
          <w:sz w:val="22"/>
          <w:szCs w:val="22"/>
        </w:rPr>
        <w:t xml:space="preserve"> </w:t>
      </w:r>
      <w:r w:rsidRPr="0009637B">
        <w:rPr>
          <w:bCs/>
          <w:sz w:val="22"/>
          <w:szCs w:val="22"/>
        </w:rPr>
        <w:t>5.1).</w:t>
      </w:r>
    </w:p>
    <w:bookmarkEnd w:id="2"/>
    <w:p w14:paraId="099F8D4A" w14:textId="77777777" w:rsidR="00AB478E" w:rsidRPr="0009637B" w:rsidRDefault="00AB478E">
      <w:pPr>
        <w:tabs>
          <w:tab w:val="left" w:pos="284"/>
        </w:tabs>
        <w:jc w:val="both"/>
        <w:rPr>
          <w:bCs/>
          <w:sz w:val="22"/>
          <w:szCs w:val="22"/>
        </w:rPr>
      </w:pPr>
    </w:p>
    <w:p w14:paraId="48FC0FA6" w14:textId="77777777" w:rsidR="00AB478E" w:rsidRPr="0009637B" w:rsidRDefault="00AB478E">
      <w:pPr>
        <w:tabs>
          <w:tab w:val="left" w:pos="284"/>
        </w:tabs>
        <w:jc w:val="both"/>
        <w:rPr>
          <w:bCs/>
          <w:sz w:val="22"/>
          <w:szCs w:val="22"/>
        </w:rPr>
      </w:pPr>
      <w:proofErr w:type="spellStart"/>
      <w:r w:rsidRPr="0009637B">
        <w:rPr>
          <w:bCs/>
          <w:sz w:val="22"/>
          <w:szCs w:val="22"/>
        </w:rPr>
        <w:t>Juvenilni</w:t>
      </w:r>
      <w:proofErr w:type="spellEnd"/>
      <w:r w:rsidRPr="0009637B">
        <w:rPr>
          <w:bCs/>
          <w:sz w:val="22"/>
          <w:szCs w:val="22"/>
        </w:rPr>
        <w:t xml:space="preserve"> </w:t>
      </w:r>
      <w:proofErr w:type="spellStart"/>
      <w:r w:rsidRPr="0009637B">
        <w:rPr>
          <w:bCs/>
          <w:sz w:val="22"/>
          <w:szCs w:val="22"/>
        </w:rPr>
        <w:t>psorijazni</w:t>
      </w:r>
      <w:proofErr w:type="spellEnd"/>
      <w:r w:rsidRPr="0009637B">
        <w:rPr>
          <w:bCs/>
          <w:sz w:val="22"/>
          <w:szCs w:val="22"/>
        </w:rPr>
        <w:t xml:space="preserve"> </w:t>
      </w:r>
      <w:proofErr w:type="spellStart"/>
      <w:r w:rsidRPr="0009637B">
        <w:rPr>
          <w:bCs/>
          <w:sz w:val="22"/>
          <w:szCs w:val="22"/>
        </w:rPr>
        <w:t>artritis</w:t>
      </w:r>
      <w:proofErr w:type="spellEnd"/>
      <w:r w:rsidRPr="0009637B">
        <w:rPr>
          <w:bCs/>
          <w:sz w:val="22"/>
          <w:szCs w:val="22"/>
        </w:rPr>
        <w:t xml:space="preserve"> (</w:t>
      </w:r>
      <w:proofErr w:type="spellStart"/>
      <w:r w:rsidRPr="0009637B">
        <w:rPr>
          <w:bCs/>
          <w:sz w:val="22"/>
          <w:szCs w:val="22"/>
        </w:rPr>
        <w:t>JPsA</w:t>
      </w:r>
      <w:proofErr w:type="spellEnd"/>
      <w:r w:rsidRPr="0009637B">
        <w:rPr>
          <w:bCs/>
          <w:sz w:val="22"/>
          <w:szCs w:val="22"/>
        </w:rPr>
        <w:t>)</w:t>
      </w:r>
    </w:p>
    <w:p w14:paraId="08F11CE3" w14:textId="5B4C909B" w:rsidR="00AB478E" w:rsidRPr="0009637B" w:rsidRDefault="00AB478E">
      <w:pPr>
        <w:tabs>
          <w:tab w:val="left" w:pos="284"/>
        </w:tabs>
        <w:jc w:val="both"/>
        <w:rPr>
          <w:bCs/>
          <w:sz w:val="22"/>
          <w:szCs w:val="22"/>
        </w:rPr>
      </w:pPr>
      <w:proofErr w:type="spellStart"/>
      <w:r w:rsidRPr="0009637B">
        <w:rPr>
          <w:bCs/>
          <w:sz w:val="22"/>
          <w:szCs w:val="22"/>
        </w:rPr>
        <w:t>Lijek</w:t>
      </w:r>
      <w:proofErr w:type="spellEnd"/>
      <w:r w:rsidRPr="0009637B">
        <w:rPr>
          <w:bCs/>
          <w:sz w:val="22"/>
          <w:szCs w:val="22"/>
        </w:rPr>
        <w:t xml:space="preserve"> </w:t>
      </w:r>
      <w:proofErr w:type="spellStart"/>
      <w:r w:rsidRPr="0009637B">
        <w:rPr>
          <w:bCs/>
          <w:sz w:val="22"/>
          <w:szCs w:val="22"/>
        </w:rPr>
        <w:t>Cosentyx</w:t>
      </w:r>
      <w:proofErr w:type="spellEnd"/>
      <w:r w:rsidRPr="0009637B">
        <w:rPr>
          <w:bCs/>
          <w:sz w:val="22"/>
          <w:szCs w:val="22"/>
        </w:rPr>
        <w:t xml:space="preserve">, </w:t>
      </w:r>
      <w:proofErr w:type="spellStart"/>
      <w:r w:rsidRPr="0009637B">
        <w:rPr>
          <w:bCs/>
          <w:sz w:val="22"/>
          <w:szCs w:val="22"/>
        </w:rPr>
        <w:t>sam</w:t>
      </w:r>
      <w:proofErr w:type="spellEnd"/>
      <w:r w:rsidRPr="0009637B">
        <w:rPr>
          <w:bCs/>
          <w:sz w:val="22"/>
          <w:szCs w:val="22"/>
        </w:rPr>
        <w:t xml:space="preserve"> </w:t>
      </w:r>
      <w:proofErr w:type="spellStart"/>
      <w:r w:rsidRPr="0009637B">
        <w:rPr>
          <w:bCs/>
          <w:sz w:val="22"/>
          <w:szCs w:val="22"/>
        </w:rPr>
        <w:t>ili</w:t>
      </w:r>
      <w:proofErr w:type="spellEnd"/>
      <w:r w:rsidRPr="0009637B">
        <w:rPr>
          <w:bCs/>
          <w:sz w:val="22"/>
          <w:szCs w:val="22"/>
        </w:rPr>
        <w:t xml:space="preserve"> u </w:t>
      </w:r>
      <w:proofErr w:type="spellStart"/>
      <w:r w:rsidRPr="0009637B">
        <w:rPr>
          <w:bCs/>
          <w:sz w:val="22"/>
          <w:szCs w:val="22"/>
        </w:rPr>
        <w:t>kombinaciji</w:t>
      </w:r>
      <w:proofErr w:type="spellEnd"/>
      <w:r w:rsidRPr="0009637B">
        <w:rPr>
          <w:bCs/>
          <w:sz w:val="22"/>
          <w:szCs w:val="22"/>
        </w:rPr>
        <w:t xml:space="preserve"> </w:t>
      </w:r>
      <w:proofErr w:type="spellStart"/>
      <w:r w:rsidRPr="0009637B">
        <w:rPr>
          <w:bCs/>
          <w:sz w:val="22"/>
          <w:szCs w:val="22"/>
        </w:rPr>
        <w:t>s</w:t>
      </w:r>
      <w:r w:rsidR="007811E7">
        <w:rPr>
          <w:bCs/>
          <w:sz w:val="22"/>
          <w:szCs w:val="22"/>
        </w:rPr>
        <w:t>a</w:t>
      </w:r>
      <w:proofErr w:type="spellEnd"/>
      <w:r w:rsidRPr="0009637B">
        <w:rPr>
          <w:bCs/>
          <w:sz w:val="22"/>
          <w:szCs w:val="22"/>
        </w:rPr>
        <w:t xml:space="preserve"> </w:t>
      </w:r>
      <w:proofErr w:type="spellStart"/>
      <w:r w:rsidRPr="0009637B">
        <w:rPr>
          <w:bCs/>
          <w:sz w:val="22"/>
          <w:szCs w:val="22"/>
        </w:rPr>
        <w:t>metotreksatom</w:t>
      </w:r>
      <w:proofErr w:type="spellEnd"/>
      <w:r w:rsidRPr="0009637B">
        <w:rPr>
          <w:bCs/>
          <w:sz w:val="22"/>
          <w:szCs w:val="22"/>
        </w:rPr>
        <w:t xml:space="preserve"> (MTX) je </w:t>
      </w:r>
      <w:proofErr w:type="spellStart"/>
      <w:r w:rsidRPr="0009637B">
        <w:rPr>
          <w:bCs/>
          <w:sz w:val="22"/>
          <w:szCs w:val="22"/>
        </w:rPr>
        <w:t>indikovan</w:t>
      </w:r>
      <w:proofErr w:type="spellEnd"/>
      <w:r w:rsidRPr="0009637B">
        <w:rPr>
          <w:bCs/>
          <w:sz w:val="22"/>
          <w:szCs w:val="22"/>
        </w:rPr>
        <w:t xml:space="preserve"> </w:t>
      </w:r>
      <w:proofErr w:type="spellStart"/>
      <w:r w:rsidRPr="0009637B">
        <w:rPr>
          <w:bCs/>
          <w:sz w:val="22"/>
          <w:szCs w:val="22"/>
        </w:rPr>
        <w:t>za</w:t>
      </w:r>
      <w:proofErr w:type="spellEnd"/>
      <w:r w:rsidRPr="0009637B">
        <w:rPr>
          <w:bCs/>
          <w:sz w:val="22"/>
          <w:szCs w:val="22"/>
        </w:rPr>
        <w:t xml:space="preserve"> </w:t>
      </w:r>
      <w:proofErr w:type="spellStart"/>
      <w:r w:rsidRPr="0009637B">
        <w:rPr>
          <w:bCs/>
          <w:sz w:val="22"/>
          <w:szCs w:val="22"/>
        </w:rPr>
        <w:t>liječenje</w:t>
      </w:r>
      <w:proofErr w:type="spellEnd"/>
      <w:r w:rsidRPr="0009637B">
        <w:rPr>
          <w:bCs/>
          <w:sz w:val="22"/>
          <w:szCs w:val="22"/>
        </w:rPr>
        <w:t xml:space="preserve"> </w:t>
      </w:r>
      <w:proofErr w:type="spellStart"/>
      <w:r w:rsidRPr="0009637B">
        <w:rPr>
          <w:bCs/>
          <w:sz w:val="22"/>
          <w:szCs w:val="22"/>
        </w:rPr>
        <w:t>aktivnog</w:t>
      </w:r>
      <w:proofErr w:type="spellEnd"/>
      <w:r w:rsidRPr="0009637B">
        <w:rPr>
          <w:bCs/>
          <w:sz w:val="22"/>
          <w:szCs w:val="22"/>
        </w:rPr>
        <w:t xml:space="preserve"> </w:t>
      </w:r>
      <w:proofErr w:type="spellStart"/>
      <w:r w:rsidRPr="0009637B">
        <w:rPr>
          <w:bCs/>
          <w:sz w:val="22"/>
          <w:szCs w:val="22"/>
        </w:rPr>
        <w:t>juvenilnog</w:t>
      </w:r>
      <w:proofErr w:type="spellEnd"/>
      <w:r w:rsidRPr="0009637B">
        <w:rPr>
          <w:bCs/>
          <w:sz w:val="22"/>
          <w:szCs w:val="22"/>
        </w:rPr>
        <w:t xml:space="preserve"> </w:t>
      </w:r>
      <w:proofErr w:type="spellStart"/>
      <w:r w:rsidRPr="0009637B">
        <w:rPr>
          <w:bCs/>
          <w:sz w:val="22"/>
          <w:szCs w:val="22"/>
        </w:rPr>
        <w:t>psorijaznog</w:t>
      </w:r>
      <w:proofErr w:type="spellEnd"/>
      <w:r w:rsidRPr="0009637B">
        <w:rPr>
          <w:bCs/>
          <w:sz w:val="22"/>
          <w:szCs w:val="22"/>
        </w:rPr>
        <w:t xml:space="preserve"> </w:t>
      </w:r>
      <w:proofErr w:type="spellStart"/>
      <w:r w:rsidRPr="0009637B">
        <w:rPr>
          <w:bCs/>
          <w:sz w:val="22"/>
          <w:szCs w:val="22"/>
        </w:rPr>
        <w:t>artritisa</w:t>
      </w:r>
      <w:proofErr w:type="spellEnd"/>
      <w:r w:rsidRPr="0009637B">
        <w:rPr>
          <w:bCs/>
          <w:sz w:val="22"/>
          <w:szCs w:val="22"/>
        </w:rPr>
        <w:t xml:space="preserve"> </w:t>
      </w:r>
      <w:proofErr w:type="spellStart"/>
      <w:r w:rsidRPr="0009637B">
        <w:rPr>
          <w:bCs/>
          <w:sz w:val="22"/>
          <w:szCs w:val="22"/>
        </w:rPr>
        <w:t>kod</w:t>
      </w:r>
      <w:proofErr w:type="spellEnd"/>
      <w:r w:rsidRPr="0009637B">
        <w:rPr>
          <w:bCs/>
          <w:sz w:val="22"/>
          <w:szCs w:val="22"/>
        </w:rPr>
        <w:t xml:space="preserve"> </w:t>
      </w:r>
      <w:proofErr w:type="spellStart"/>
      <w:r w:rsidRPr="0009637B">
        <w:rPr>
          <w:bCs/>
          <w:sz w:val="22"/>
          <w:szCs w:val="22"/>
        </w:rPr>
        <w:t>pacijenata</w:t>
      </w:r>
      <w:proofErr w:type="spellEnd"/>
      <w:r w:rsidRPr="0009637B">
        <w:rPr>
          <w:bCs/>
          <w:sz w:val="22"/>
          <w:szCs w:val="22"/>
        </w:rPr>
        <w:t xml:space="preserve"> </w:t>
      </w:r>
      <w:proofErr w:type="spellStart"/>
      <w:r w:rsidRPr="0009637B">
        <w:rPr>
          <w:bCs/>
          <w:sz w:val="22"/>
          <w:szCs w:val="22"/>
        </w:rPr>
        <w:t>uzrasta</w:t>
      </w:r>
      <w:proofErr w:type="spellEnd"/>
      <w:r w:rsidRPr="0009637B">
        <w:rPr>
          <w:bCs/>
          <w:sz w:val="22"/>
          <w:szCs w:val="22"/>
        </w:rPr>
        <w:t xml:space="preserve"> od 6 </w:t>
      </w:r>
      <w:proofErr w:type="spellStart"/>
      <w:r w:rsidRPr="0009637B">
        <w:rPr>
          <w:bCs/>
          <w:sz w:val="22"/>
          <w:szCs w:val="22"/>
        </w:rPr>
        <w:t>i</w:t>
      </w:r>
      <w:proofErr w:type="spellEnd"/>
      <w:r w:rsidRPr="0009637B">
        <w:rPr>
          <w:bCs/>
          <w:sz w:val="22"/>
          <w:szCs w:val="22"/>
        </w:rPr>
        <w:t xml:space="preserve"> </w:t>
      </w:r>
      <w:proofErr w:type="spellStart"/>
      <w:r w:rsidRPr="0009637B">
        <w:rPr>
          <w:bCs/>
          <w:sz w:val="22"/>
          <w:szCs w:val="22"/>
        </w:rPr>
        <w:t>više</w:t>
      </w:r>
      <w:proofErr w:type="spellEnd"/>
      <w:r w:rsidRPr="0009637B">
        <w:rPr>
          <w:bCs/>
          <w:sz w:val="22"/>
          <w:szCs w:val="22"/>
        </w:rPr>
        <w:t xml:space="preserve"> </w:t>
      </w:r>
      <w:proofErr w:type="spellStart"/>
      <w:r w:rsidRPr="0009637B">
        <w:rPr>
          <w:bCs/>
          <w:sz w:val="22"/>
          <w:szCs w:val="22"/>
        </w:rPr>
        <w:t>godina</w:t>
      </w:r>
      <w:proofErr w:type="spellEnd"/>
      <w:r w:rsidRPr="0009637B">
        <w:rPr>
          <w:bCs/>
          <w:sz w:val="22"/>
          <w:szCs w:val="22"/>
        </w:rPr>
        <w:t xml:space="preserve">, </w:t>
      </w:r>
      <w:proofErr w:type="spellStart"/>
      <w:r w:rsidRPr="0009637B">
        <w:rPr>
          <w:bCs/>
          <w:sz w:val="22"/>
          <w:szCs w:val="22"/>
        </w:rPr>
        <w:t>koji</w:t>
      </w:r>
      <w:proofErr w:type="spellEnd"/>
      <w:r w:rsidRPr="0009637B">
        <w:rPr>
          <w:bCs/>
          <w:sz w:val="22"/>
          <w:szCs w:val="22"/>
        </w:rPr>
        <w:t xml:space="preserve"> </w:t>
      </w:r>
      <w:proofErr w:type="spellStart"/>
      <w:r w:rsidRPr="0009637B">
        <w:rPr>
          <w:bCs/>
          <w:sz w:val="22"/>
          <w:szCs w:val="22"/>
        </w:rPr>
        <w:t>nemaju</w:t>
      </w:r>
      <w:proofErr w:type="spellEnd"/>
      <w:r w:rsidRPr="0009637B">
        <w:rPr>
          <w:bCs/>
          <w:sz w:val="22"/>
          <w:szCs w:val="22"/>
        </w:rPr>
        <w:t xml:space="preserve"> </w:t>
      </w:r>
      <w:proofErr w:type="spellStart"/>
      <w:r w:rsidRPr="0009637B">
        <w:rPr>
          <w:bCs/>
          <w:sz w:val="22"/>
          <w:szCs w:val="22"/>
        </w:rPr>
        <w:t>odgovarajući</w:t>
      </w:r>
      <w:proofErr w:type="spellEnd"/>
      <w:r w:rsidRPr="0009637B">
        <w:rPr>
          <w:bCs/>
          <w:sz w:val="22"/>
          <w:szCs w:val="22"/>
        </w:rPr>
        <w:t xml:space="preserve"> </w:t>
      </w:r>
      <w:proofErr w:type="spellStart"/>
      <w:r w:rsidRPr="0009637B">
        <w:rPr>
          <w:bCs/>
          <w:sz w:val="22"/>
          <w:szCs w:val="22"/>
        </w:rPr>
        <w:t>odgovor</w:t>
      </w:r>
      <w:proofErr w:type="spellEnd"/>
      <w:r w:rsidRPr="0009637B">
        <w:rPr>
          <w:bCs/>
          <w:sz w:val="22"/>
          <w:szCs w:val="22"/>
        </w:rPr>
        <w:t xml:space="preserve"> </w:t>
      </w:r>
      <w:proofErr w:type="spellStart"/>
      <w:r w:rsidRPr="0009637B">
        <w:rPr>
          <w:bCs/>
          <w:sz w:val="22"/>
          <w:szCs w:val="22"/>
        </w:rPr>
        <w:t>na</w:t>
      </w:r>
      <w:proofErr w:type="spellEnd"/>
      <w:r w:rsidRPr="0009637B">
        <w:rPr>
          <w:bCs/>
          <w:sz w:val="22"/>
          <w:szCs w:val="22"/>
        </w:rPr>
        <w:t xml:space="preserve"> </w:t>
      </w:r>
      <w:proofErr w:type="spellStart"/>
      <w:r w:rsidRPr="0009637B">
        <w:rPr>
          <w:bCs/>
          <w:sz w:val="22"/>
          <w:szCs w:val="22"/>
        </w:rPr>
        <w:t>konvencionalno</w:t>
      </w:r>
      <w:proofErr w:type="spellEnd"/>
      <w:r w:rsidRPr="0009637B">
        <w:rPr>
          <w:bCs/>
          <w:sz w:val="22"/>
          <w:szCs w:val="22"/>
        </w:rPr>
        <w:t xml:space="preserve"> </w:t>
      </w:r>
      <w:proofErr w:type="spellStart"/>
      <w:r w:rsidRPr="0009637B">
        <w:rPr>
          <w:bCs/>
          <w:sz w:val="22"/>
          <w:szCs w:val="22"/>
        </w:rPr>
        <w:t>liječenje</w:t>
      </w:r>
      <w:proofErr w:type="spellEnd"/>
      <w:r w:rsidRPr="0009637B">
        <w:rPr>
          <w:bCs/>
          <w:sz w:val="22"/>
          <w:szCs w:val="22"/>
        </w:rPr>
        <w:t xml:space="preserve"> </w:t>
      </w:r>
      <w:proofErr w:type="spellStart"/>
      <w:r w:rsidRPr="0009637B">
        <w:rPr>
          <w:bCs/>
          <w:sz w:val="22"/>
          <w:szCs w:val="22"/>
        </w:rPr>
        <w:t>ili</w:t>
      </w:r>
      <w:proofErr w:type="spellEnd"/>
      <w:r w:rsidRPr="0009637B">
        <w:rPr>
          <w:bCs/>
          <w:sz w:val="22"/>
          <w:szCs w:val="22"/>
        </w:rPr>
        <w:t xml:space="preserve"> </w:t>
      </w:r>
      <w:proofErr w:type="spellStart"/>
      <w:r w:rsidRPr="0009637B">
        <w:rPr>
          <w:bCs/>
          <w:sz w:val="22"/>
          <w:szCs w:val="22"/>
        </w:rPr>
        <w:t>ga</w:t>
      </w:r>
      <w:proofErr w:type="spellEnd"/>
      <w:r w:rsidRPr="0009637B">
        <w:rPr>
          <w:bCs/>
          <w:sz w:val="22"/>
          <w:szCs w:val="22"/>
        </w:rPr>
        <w:t xml:space="preserve"> ne </w:t>
      </w:r>
      <w:proofErr w:type="spellStart"/>
      <w:r w:rsidRPr="0009637B">
        <w:rPr>
          <w:bCs/>
          <w:sz w:val="22"/>
          <w:szCs w:val="22"/>
        </w:rPr>
        <w:t>podnose</w:t>
      </w:r>
      <w:proofErr w:type="spellEnd"/>
      <w:r w:rsidRPr="0009637B">
        <w:rPr>
          <w:bCs/>
          <w:sz w:val="22"/>
          <w:szCs w:val="22"/>
        </w:rPr>
        <w:t xml:space="preserve"> (</w:t>
      </w:r>
      <w:proofErr w:type="spellStart"/>
      <w:r w:rsidRPr="0009637B">
        <w:rPr>
          <w:bCs/>
          <w:sz w:val="22"/>
          <w:szCs w:val="22"/>
        </w:rPr>
        <w:t>vidjeti</w:t>
      </w:r>
      <w:proofErr w:type="spellEnd"/>
      <w:r w:rsidRPr="0009637B">
        <w:rPr>
          <w:bCs/>
          <w:sz w:val="22"/>
          <w:szCs w:val="22"/>
        </w:rPr>
        <w:t xml:space="preserve"> </w:t>
      </w:r>
      <w:proofErr w:type="spellStart"/>
      <w:r w:rsidR="00E1152F">
        <w:rPr>
          <w:bCs/>
          <w:sz w:val="22"/>
          <w:szCs w:val="22"/>
        </w:rPr>
        <w:t>dio</w:t>
      </w:r>
      <w:proofErr w:type="spellEnd"/>
      <w:r w:rsidR="00E1152F" w:rsidRPr="0009637B">
        <w:rPr>
          <w:bCs/>
          <w:sz w:val="22"/>
          <w:szCs w:val="22"/>
        </w:rPr>
        <w:t xml:space="preserve"> </w:t>
      </w:r>
      <w:r w:rsidRPr="0009637B">
        <w:rPr>
          <w:bCs/>
          <w:sz w:val="22"/>
          <w:szCs w:val="22"/>
        </w:rPr>
        <w:t>5.1).</w:t>
      </w:r>
    </w:p>
    <w:p w14:paraId="67C046D3" w14:textId="77777777" w:rsidR="00AB478E" w:rsidRPr="005474B2" w:rsidRDefault="00AB478E">
      <w:pPr>
        <w:tabs>
          <w:tab w:val="left" w:pos="284"/>
        </w:tabs>
        <w:jc w:val="both"/>
        <w:rPr>
          <w:sz w:val="22"/>
          <w:szCs w:val="22"/>
          <w:lang w:val="sr-Latn-ME"/>
        </w:rPr>
      </w:pPr>
    </w:p>
    <w:p w14:paraId="6BA82A1B" w14:textId="77777777" w:rsidR="00411B4B" w:rsidRPr="005474B2" w:rsidRDefault="00411B4B">
      <w:pPr>
        <w:tabs>
          <w:tab w:val="left" w:pos="540"/>
          <w:tab w:val="left" w:pos="569"/>
        </w:tabs>
        <w:jc w:val="both"/>
        <w:rPr>
          <w:b/>
          <w:bCs/>
          <w:sz w:val="22"/>
          <w:szCs w:val="22"/>
          <w:lang w:val="sr-Latn-ME"/>
        </w:rPr>
      </w:pPr>
      <w:r w:rsidRPr="005474B2">
        <w:rPr>
          <w:b/>
          <w:bCs/>
          <w:sz w:val="22"/>
          <w:szCs w:val="22"/>
          <w:lang w:val="sr-Latn-ME"/>
        </w:rPr>
        <w:t xml:space="preserve">4.2. </w:t>
      </w:r>
      <w:r w:rsidR="00480FB1" w:rsidRPr="005474B2">
        <w:rPr>
          <w:b/>
          <w:bCs/>
          <w:sz w:val="22"/>
          <w:szCs w:val="22"/>
          <w:lang w:val="sr-Latn-ME"/>
        </w:rPr>
        <w:tab/>
      </w:r>
      <w:r w:rsidRPr="005474B2">
        <w:rPr>
          <w:b/>
          <w:bCs/>
          <w:sz w:val="22"/>
          <w:szCs w:val="22"/>
          <w:lang w:val="sr-Latn-ME"/>
        </w:rPr>
        <w:t>Doziranje i način primjene</w:t>
      </w:r>
    </w:p>
    <w:p w14:paraId="2D643057" w14:textId="77777777" w:rsidR="0072020E" w:rsidRPr="005474B2" w:rsidRDefault="0072020E">
      <w:pPr>
        <w:tabs>
          <w:tab w:val="left" w:pos="540"/>
          <w:tab w:val="left" w:pos="569"/>
        </w:tabs>
        <w:jc w:val="both"/>
        <w:rPr>
          <w:bCs/>
          <w:sz w:val="22"/>
          <w:szCs w:val="22"/>
          <w:lang w:val="sr-Latn-ME"/>
        </w:rPr>
      </w:pPr>
    </w:p>
    <w:p w14:paraId="779F4E0C" w14:textId="7922C183" w:rsidR="007D7CE1" w:rsidRPr="005474B2" w:rsidRDefault="0042255C">
      <w:pPr>
        <w:tabs>
          <w:tab w:val="left" w:pos="284"/>
        </w:tabs>
        <w:jc w:val="both"/>
        <w:rPr>
          <w:sz w:val="22"/>
          <w:szCs w:val="22"/>
          <w:lang w:val="sr-Latn-ME"/>
        </w:rPr>
      </w:pPr>
      <w:r w:rsidRPr="005474B2">
        <w:rPr>
          <w:sz w:val="22"/>
          <w:szCs w:val="22"/>
          <w:lang w:val="sr-Latn-ME"/>
        </w:rPr>
        <w:t xml:space="preserve">Lijek </w:t>
      </w:r>
      <w:r w:rsidR="007D7CE1" w:rsidRPr="005474B2">
        <w:rPr>
          <w:sz w:val="22"/>
          <w:szCs w:val="22"/>
          <w:lang w:val="sr-Latn-ME"/>
        </w:rPr>
        <w:t>Cosentyx je nam</w:t>
      </w:r>
      <w:r w:rsidR="009A4880" w:rsidRPr="005474B2">
        <w:rPr>
          <w:sz w:val="22"/>
          <w:szCs w:val="22"/>
          <w:lang w:val="sr-Latn-ME"/>
        </w:rPr>
        <w:t>ij</w:t>
      </w:r>
      <w:r w:rsidR="007D7CE1" w:rsidRPr="005474B2">
        <w:rPr>
          <w:sz w:val="22"/>
          <w:szCs w:val="22"/>
          <w:lang w:val="sr-Latn-ME"/>
        </w:rPr>
        <w:t>enjen za upotrebu koju vodi i nadgleda l</w:t>
      </w:r>
      <w:r w:rsidR="009A4880" w:rsidRPr="005474B2">
        <w:rPr>
          <w:sz w:val="22"/>
          <w:szCs w:val="22"/>
          <w:lang w:val="sr-Latn-ME"/>
        </w:rPr>
        <w:t>j</w:t>
      </w:r>
      <w:r w:rsidR="007D7CE1" w:rsidRPr="005474B2">
        <w:rPr>
          <w:sz w:val="22"/>
          <w:szCs w:val="22"/>
          <w:lang w:val="sr-Latn-ME"/>
        </w:rPr>
        <w:t xml:space="preserve">ekar sa iskustvom u postavljanju dijagnoze i </w:t>
      </w:r>
      <w:r w:rsidR="009A4880" w:rsidRPr="005474B2">
        <w:rPr>
          <w:sz w:val="22"/>
          <w:szCs w:val="22"/>
          <w:lang w:val="sr-Latn-ME"/>
        </w:rPr>
        <w:t>liječ</w:t>
      </w:r>
      <w:r w:rsidR="007D7CE1" w:rsidRPr="005474B2">
        <w:rPr>
          <w:sz w:val="22"/>
          <w:szCs w:val="22"/>
          <w:lang w:val="sr-Latn-ME"/>
        </w:rPr>
        <w:t xml:space="preserve">enju bolesti za koje je </w:t>
      </w:r>
      <w:r w:rsidRPr="005474B2">
        <w:rPr>
          <w:sz w:val="22"/>
          <w:szCs w:val="22"/>
          <w:lang w:val="sr-Latn-ME"/>
        </w:rPr>
        <w:t xml:space="preserve">lijek </w:t>
      </w:r>
      <w:r w:rsidR="007D7CE1" w:rsidRPr="005474B2">
        <w:rPr>
          <w:sz w:val="22"/>
          <w:szCs w:val="22"/>
          <w:lang w:val="sr-Latn-ME"/>
        </w:rPr>
        <w:t>Cosentyx indikovan.</w:t>
      </w:r>
    </w:p>
    <w:p w14:paraId="35821766" w14:textId="77777777" w:rsidR="007D7CE1" w:rsidRPr="005474B2" w:rsidRDefault="007D7CE1">
      <w:pPr>
        <w:tabs>
          <w:tab w:val="left" w:pos="540"/>
          <w:tab w:val="left" w:pos="569"/>
        </w:tabs>
        <w:jc w:val="both"/>
        <w:rPr>
          <w:bCs/>
          <w:sz w:val="22"/>
          <w:szCs w:val="22"/>
          <w:u w:val="single"/>
          <w:lang w:val="sr-Latn-ME"/>
        </w:rPr>
      </w:pPr>
    </w:p>
    <w:p w14:paraId="5AC87367" w14:textId="77777777" w:rsidR="00452E9D" w:rsidRPr="005474B2" w:rsidRDefault="00452E9D">
      <w:pPr>
        <w:tabs>
          <w:tab w:val="left" w:pos="540"/>
          <w:tab w:val="left" w:pos="569"/>
        </w:tabs>
        <w:jc w:val="both"/>
        <w:rPr>
          <w:bCs/>
          <w:sz w:val="22"/>
          <w:szCs w:val="22"/>
          <w:u w:val="single"/>
          <w:lang w:val="sr-Latn-ME"/>
        </w:rPr>
      </w:pPr>
      <w:r w:rsidRPr="005474B2">
        <w:rPr>
          <w:bCs/>
          <w:sz w:val="22"/>
          <w:szCs w:val="22"/>
          <w:u w:val="single"/>
          <w:lang w:val="sr-Latn-ME"/>
        </w:rPr>
        <w:t>Doziranje</w:t>
      </w:r>
    </w:p>
    <w:p w14:paraId="57001DF8" w14:textId="77777777" w:rsidR="00452E9D" w:rsidRPr="005474B2" w:rsidRDefault="00452E9D">
      <w:pPr>
        <w:tabs>
          <w:tab w:val="left" w:pos="540"/>
          <w:tab w:val="left" w:pos="569"/>
        </w:tabs>
        <w:jc w:val="both"/>
        <w:rPr>
          <w:bCs/>
          <w:sz w:val="22"/>
          <w:szCs w:val="22"/>
          <w:u w:val="single"/>
          <w:lang w:val="sr-Latn-ME"/>
        </w:rPr>
      </w:pPr>
    </w:p>
    <w:p w14:paraId="3A8A8DFC" w14:textId="77777777" w:rsidR="007D7CE1" w:rsidRPr="005474B2" w:rsidRDefault="007D7CE1">
      <w:pPr>
        <w:jc w:val="both"/>
        <w:rPr>
          <w:b/>
          <w:sz w:val="22"/>
          <w:szCs w:val="22"/>
          <w:lang w:val="sr-Latn-ME"/>
        </w:rPr>
      </w:pPr>
      <w:r w:rsidRPr="005474B2">
        <w:rPr>
          <w:b/>
          <w:sz w:val="22"/>
          <w:szCs w:val="22"/>
          <w:lang w:val="sr-Latn-ME"/>
        </w:rPr>
        <w:t>Plak psorijaza kod odraslih</w:t>
      </w:r>
    </w:p>
    <w:p w14:paraId="7075BCAF" w14:textId="77777777" w:rsidR="007D7CE1" w:rsidRPr="005474B2" w:rsidRDefault="007D7CE1">
      <w:pPr>
        <w:jc w:val="both"/>
        <w:rPr>
          <w:b/>
          <w:sz w:val="22"/>
          <w:szCs w:val="22"/>
          <w:lang w:val="sr-Latn-ME"/>
        </w:rPr>
      </w:pPr>
    </w:p>
    <w:p w14:paraId="6FD471FE" w14:textId="0F65C348" w:rsidR="007D7CE1" w:rsidRPr="005474B2" w:rsidRDefault="007D7CE1">
      <w:pPr>
        <w:jc w:val="both"/>
        <w:rPr>
          <w:sz w:val="22"/>
          <w:szCs w:val="22"/>
          <w:lang w:val="sr-Latn-ME"/>
        </w:rPr>
      </w:pPr>
      <w:r w:rsidRPr="005474B2">
        <w:rPr>
          <w:sz w:val="22"/>
          <w:szCs w:val="22"/>
          <w:lang w:val="sr-Latn-ME"/>
        </w:rPr>
        <w:t>Preporučena doza je 300 mg sekukinumaba su</w:t>
      </w:r>
      <w:r w:rsidR="00801863" w:rsidRPr="005474B2">
        <w:rPr>
          <w:sz w:val="22"/>
          <w:szCs w:val="22"/>
          <w:lang w:val="sr-Latn-ME"/>
        </w:rPr>
        <w:t>b</w:t>
      </w:r>
      <w:r w:rsidRPr="005474B2">
        <w:rPr>
          <w:sz w:val="22"/>
          <w:szCs w:val="22"/>
          <w:lang w:val="sr-Latn-ME"/>
        </w:rPr>
        <w:t>kutanom injekcijom sa početnim doziranjem u 0</w:t>
      </w:r>
      <w:r w:rsidR="00651527" w:rsidRPr="005474B2">
        <w:rPr>
          <w:sz w:val="22"/>
          <w:szCs w:val="22"/>
          <w:lang w:val="sr-Latn-ME"/>
        </w:rPr>
        <w:t>.</w:t>
      </w:r>
      <w:r w:rsidRPr="005474B2">
        <w:rPr>
          <w:sz w:val="22"/>
          <w:szCs w:val="22"/>
          <w:lang w:val="sr-Latn-ME"/>
        </w:rPr>
        <w:t>, 1</w:t>
      </w:r>
      <w:r w:rsidR="00651527" w:rsidRPr="005474B2">
        <w:rPr>
          <w:sz w:val="22"/>
          <w:szCs w:val="22"/>
          <w:lang w:val="sr-Latn-ME"/>
        </w:rPr>
        <w:t>.</w:t>
      </w:r>
      <w:r w:rsidRPr="005474B2">
        <w:rPr>
          <w:sz w:val="22"/>
          <w:szCs w:val="22"/>
          <w:lang w:val="sr-Latn-ME"/>
        </w:rPr>
        <w:t>, 2</w:t>
      </w:r>
      <w:r w:rsidR="00651527" w:rsidRPr="005474B2">
        <w:rPr>
          <w:sz w:val="22"/>
          <w:szCs w:val="22"/>
          <w:lang w:val="sr-Latn-ME"/>
        </w:rPr>
        <w:t>.</w:t>
      </w:r>
      <w:r w:rsidRPr="005474B2">
        <w:rPr>
          <w:sz w:val="22"/>
          <w:szCs w:val="22"/>
          <w:lang w:val="sr-Latn-ME"/>
        </w:rPr>
        <w:t>, 3. i 4. ned</w:t>
      </w:r>
      <w:r w:rsidR="009A4880" w:rsidRPr="005474B2">
        <w:rPr>
          <w:sz w:val="22"/>
          <w:szCs w:val="22"/>
          <w:lang w:val="sr-Latn-ME"/>
        </w:rPr>
        <w:t>j</w:t>
      </w:r>
      <w:r w:rsidRPr="005474B2">
        <w:rPr>
          <w:sz w:val="22"/>
          <w:szCs w:val="22"/>
          <w:lang w:val="sr-Latn-ME"/>
        </w:rPr>
        <w:t xml:space="preserve">elji, nakon čega </w:t>
      </w:r>
      <w:r w:rsidR="009A4880" w:rsidRPr="005474B2">
        <w:rPr>
          <w:sz w:val="22"/>
          <w:szCs w:val="22"/>
          <w:lang w:val="sr-Latn-ME"/>
        </w:rPr>
        <w:t>slijedi</w:t>
      </w:r>
      <w:r w:rsidRPr="005474B2">
        <w:rPr>
          <w:sz w:val="22"/>
          <w:szCs w:val="22"/>
          <w:lang w:val="sr-Latn-ME"/>
        </w:rPr>
        <w:t xml:space="preserve"> m</w:t>
      </w:r>
      <w:r w:rsidR="009A4880" w:rsidRPr="005474B2">
        <w:rPr>
          <w:sz w:val="22"/>
          <w:szCs w:val="22"/>
          <w:lang w:val="sr-Latn-ME"/>
        </w:rPr>
        <w:t>j</w:t>
      </w:r>
      <w:r w:rsidRPr="005474B2">
        <w:rPr>
          <w:sz w:val="22"/>
          <w:szCs w:val="22"/>
          <w:lang w:val="sr-Latn-ME"/>
        </w:rPr>
        <w:t xml:space="preserve">esečna doza održavanja. </w:t>
      </w:r>
      <w:r w:rsidR="00852324" w:rsidRPr="005474B2">
        <w:rPr>
          <w:sz w:val="22"/>
          <w:szCs w:val="22"/>
          <w:lang w:val="sr-Latn-ME"/>
        </w:rPr>
        <w:t xml:space="preserve">Na osnovu kliničkog odgovora, doza održavanja od 300 mg svake 2 nedjelje bi mogla da obezbijedi dodatnu korist za pacijente tjelesne težine 90 kg ili više. </w:t>
      </w:r>
      <w:r w:rsidR="006501E8" w:rsidRPr="005474B2">
        <w:rPr>
          <w:sz w:val="22"/>
          <w:szCs w:val="22"/>
          <w:lang w:val="sr-Latn-ME"/>
        </w:rPr>
        <w:t>Jedna</w:t>
      </w:r>
      <w:r w:rsidRPr="005474B2">
        <w:rPr>
          <w:sz w:val="22"/>
          <w:szCs w:val="22"/>
          <w:lang w:val="sr-Latn-ME"/>
        </w:rPr>
        <w:t xml:space="preserve"> doza od 300 mg se </w:t>
      </w:r>
      <w:r w:rsidR="006501E8" w:rsidRPr="005474B2">
        <w:rPr>
          <w:sz w:val="22"/>
          <w:szCs w:val="22"/>
          <w:lang w:val="sr-Latn-ME"/>
        </w:rPr>
        <w:t>primjenuje</w:t>
      </w:r>
      <w:r w:rsidRPr="005474B2">
        <w:rPr>
          <w:sz w:val="22"/>
          <w:szCs w:val="22"/>
          <w:lang w:val="sr-Latn-ME"/>
        </w:rPr>
        <w:t xml:space="preserve"> kao </w:t>
      </w:r>
      <w:r w:rsidR="0060699C" w:rsidRPr="005474B2">
        <w:rPr>
          <w:sz w:val="22"/>
          <w:szCs w:val="22"/>
          <w:lang w:val="sr-Latn-ME"/>
        </w:rPr>
        <w:t>jedna su</w:t>
      </w:r>
      <w:r w:rsidR="00651527" w:rsidRPr="005474B2">
        <w:rPr>
          <w:sz w:val="22"/>
          <w:szCs w:val="22"/>
          <w:lang w:val="sr-Latn-ME"/>
        </w:rPr>
        <w:t>b</w:t>
      </w:r>
      <w:r w:rsidR="0060699C" w:rsidRPr="005474B2">
        <w:rPr>
          <w:sz w:val="22"/>
          <w:szCs w:val="22"/>
          <w:lang w:val="sr-Latn-ME"/>
        </w:rPr>
        <w:t xml:space="preserve">kutana injekcija od 300 mg ili kao </w:t>
      </w:r>
      <w:r w:rsidRPr="005474B2">
        <w:rPr>
          <w:sz w:val="22"/>
          <w:szCs w:val="22"/>
          <w:lang w:val="sr-Latn-ME"/>
        </w:rPr>
        <w:t>dv</w:t>
      </w:r>
      <w:r w:rsidR="009A4880" w:rsidRPr="005474B2">
        <w:rPr>
          <w:sz w:val="22"/>
          <w:szCs w:val="22"/>
          <w:lang w:val="sr-Latn-ME"/>
        </w:rPr>
        <w:t>ij</w:t>
      </w:r>
      <w:r w:rsidRPr="005474B2">
        <w:rPr>
          <w:sz w:val="22"/>
          <w:szCs w:val="22"/>
          <w:lang w:val="sr-Latn-ME"/>
        </w:rPr>
        <w:t>e su</w:t>
      </w:r>
      <w:r w:rsidR="00651527" w:rsidRPr="005474B2">
        <w:rPr>
          <w:sz w:val="22"/>
          <w:szCs w:val="22"/>
          <w:lang w:val="sr-Latn-ME"/>
        </w:rPr>
        <w:t>b</w:t>
      </w:r>
      <w:r w:rsidRPr="005474B2">
        <w:rPr>
          <w:sz w:val="22"/>
          <w:szCs w:val="22"/>
          <w:lang w:val="sr-Latn-ME"/>
        </w:rPr>
        <w:t>kutane injekcije od 150 mg.</w:t>
      </w:r>
    </w:p>
    <w:p w14:paraId="4426172F" w14:textId="77777777" w:rsidR="007D7CE1" w:rsidRPr="005474B2" w:rsidRDefault="007D7CE1">
      <w:pPr>
        <w:jc w:val="both"/>
        <w:rPr>
          <w:sz w:val="22"/>
          <w:szCs w:val="22"/>
          <w:lang w:val="sr-Latn-ME"/>
        </w:rPr>
      </w:pPr>
    </w:p>
    <w:p w14:paraId="04542DEF" w14:textId="698235EA" w:rsidR="007D7CE1" w:rsidRPr="005474B2" w:rsidRDefault="007D7CE1">
      <w:pPr>
        <w:jc w:val="both"/>
        <w:rPr>
          <w:b/>
          <w:sz w:val="22"/>
          <w:szCs w:val="22"/>
          <w:lang w:val="sr-Latn-ME"/>
        </w:rPr>
      </w:pPr>
      <w:r w:rsidRPr="005474B2">
        <w:rPr>
          <w:b/>
          <w:sz w:val="22"/>
          <w:szCs w:val="22"/>
          <w:lang w:val="sr-Latn-ME"/>
        </w:rPr>
        <w:t>Plak psorijaza kod d</w:t>
      </w:r>
      <w:r w:rsidR="009A4880" w:rsidRPr="005474B2">
        <w:rPr>
          <w:b/>
          <w:sz w:val="22"/>
          <w:szCs w:val="22"/>
          <w:lang w:val="sr-Latn-ME"/>
        </w:rPr>
        <w:t>j</w:t>
      </w:r>
      <w:r w:rsidRPr="005474B2">
        <w:rPr>
          <w:b/>
          <w:sz w:val="22"/>
          <w:szCs w:val="22"/>
          <w:lang w:val="sr-Latn-ME"/>
        </w:rPr>
        <w:t>ece (adolescenti i d</w:t>
      </w:r>
      <w:r w:rsidR="009A4880" w:rsidRPr="005474B2">
        <w:rPr>
          <w:b/>
          <w:sz w:val="22"/>
          <w:szCs w:val="22"/>
          <w:lang w:val="sr-Latn-ME"/>
        </w:rPr>
        <w:t>j</w:t>
      </w:r>
      <w:r w:rsidRPr="005474B2">
        <w:rPr>
          <w:b/>
          <w:sz w:val="22"/>
          <w:szCs w:val="22"/>
          <w:lang w:val="sr-Latn-ME"/>
        </w:rPr>
        <w:t>eca uzrasta od 6 i više godina)</w:t>
      </w:r>
    </w:p>
    <w:p w14:paraId="435B4519" w14:textId="77777777" w:rsidR="00A62164" w:rsidRPr="005474B2" w:rsidRDefault="00A62164">
      <w:pPr>
        <w:jc w:val="both"/>
        <w:rPr>
          <w:b/>
          <w:sz w:val="22"/>
          <w:szCs w:val="22"/>
          <w:lang w:val="sr-Latn-ME"/>
        </w:rPr>
      </w:pPr>
    </w:p>
    <w:p w14:paraId="2C72E4B8" w14:textId="7EE6617F" w:rsidR="007D7CE1" w:rsidRPr="005474B2" w:rsidRDefault="007D7CE1">
      <w:pPr>
        <w:tabs>
          <w:tab w:val="left" w:pos="284"/>
        </w:tabs>
        <w:jc w:val="both"/>
        <w:rPr>
          <w:sz w:val="22"/>
          <w:szCs w:val="22"/>
          <w:lang w:val="sr-Latn-ME"/>
        </w:rPr>
      </w:pPr>
      <w:r w:rsidRPr="005474B2">
        <w:rPr>
          <w:sz w:val="22"/>
          <w:szCs w:val="22"/>
          <w:lang w:val="sr-Latn-ME"/>
        </w:rPr>
        <w:t>Preporučena doza se zasniva na t</w:t>
      </w:r>
      <w:r w:rsidR="009A4880" w:rsidRPr="005474B2">
        <w:rPr>
          <w:sz w:val="22"/>
          <w:szCs w:val="22"/>
          <w:lang w:val="sr-Latn-ME"/>
        </w:rPr>
        <w:t>j</w:t>
      </w:r>
      <w:r w:rsidRPr="005474B2">
        <w:rPr>
          <w:sz w:val="22"/>
          <w:szCs w:val="22"/>
          <w:lang w:val="sr-Latn-ME"/>
        </w:rPr>
        <w:t>elesnoj težini (Tabela 1) i prim</w:t>
      </w:r>
      <w:r w:rsidR="009A4880" w:rsidRPr="005474B2">
        <w:rPr>
          <w:sz w:val="22"/>
          <w:szCs w:val="22"/>
          <w:lang w:val="sr-Latn-ME"/>
        </w:rPr>
        <w:t>j</w:t>
      </w:r>
      <w:r w:rsidRPr="005474B2">
        <w:rPr>
          <w:sz w:val="22"/>
          <w:szCs w:val="22"/>
          <w:lang w:val="sr-Latn-ME"/>
        </w:rPr>
        <w:t>enjuje se su</w:t>
      </w:r>
      <w:r w:rsidR="00651527" w:rsidRPr="005474B2">
        <w:rPr>
          <w:sz w:val="22"/>
          <w:szCs w:val="22"/>
          <w:lang w:val="sr-Latn-ME"/>
        </w:rPr>
        <w:t>b</w:t>
      </w:r>
      <w:r w:rsidRPr="005474B2">
        <w:rPr>
          <w:sz w:val="22"/>
          <w:szCs w:val="22"/>
          <w:lang w:val="sr-Latn-ME"/>
        </w:rPr>
        <w:t>kutanom injekcijom sa početnim doziranjem u 0.</w:t>
      </w:r>
      <w:r w:rsidR="003559B7" w:rsidRPr="005474B2">
        <w:rPr>
          <w:sz w:val="22"/>
          <w:szCs w:val="22"/>
          <w:lang w:val="sr-Latn-ME"/>
        </w:rPr>
        <w:t>,</w:t>
      </w:r>
      <w:r w:rsidRPr="005474B2">
        <w:rPr>
          <w:sz w:val="22"/>
          <w:szCs w:val="22"/>
          <w:lang w:val="sr-Latn-ME"/>
        </w:rPr>
        <w:t xml:space="preserve"> 1.</w:t>
      </w:r>
      <w:r w:rsidR="003559B7" w:rsidRPr="005474B2">
        <w:rPr>
          <w:sz w:val="22"/>
          <w:szCs w:val="22"/>
          <w:lang w:val="sr-Latn-ME"/>
        </w:rPr>
        <w:t>,</w:t>
      </w:r>
      <w:r w:rsidRPr="005474B2">
        <w:rPr>
          <w:sz w:val="22"/>
          <w:szCs w:val="22"/>
          <w:lang w:val="sr-Latn-ME"/>
        </w:rPr>
        <w:t xml:space="preserve"> 2.</w:t>
      </w:r>
      <w:r w:rsidR="003559B7" w:rsidRPr="005474B2">
        <w:rPr>
          <w:sz w:val="22"/>
          <w:szCs w:val="22"/>
          <w:lang w:val="sr-Latn-ME"/>
        </w:rPr>
        <w:t>,</w:t>
      </w:r>
      <w:r w:rsidRPr="005474B2">
        <w:rPr>
          <w:sz w:val="22"/>
          <w:szCs w:val="22"/>
          <w:lang w:val="sr-Latn-ME"/>
        </w:rPr>
        <w:t xml:space="preserve"> 3. i 4. </w:t>
      </w:r>
      <w:r w:rsidR="009A4880" w:rsidRPr="005474B2">
        <w:rPr>
          <w:sz w:val="22"/>
          <w:szCs w:val="22"/>
          <w:lang w:val="sr-Latn-ME"/>
        </w:rPr>
        <w:t>nedjelj</w:t>
      </w:r>
      <w:r w:rsidRPr="005474B2">
        <w:rPr>
          <w:sz w:val="22"/>
          <w:szCs w:val="22"/>
          <w:lang w:val="sr-Latn-ME"/>
        </w:rPr>
        <w:t xml:space="preserve">i, nakon čega </w:t>
      </w:r>
      <w:r w:rsidR="009A4880" w:rsidRPr="005474B2">
        <w:rPr>
          <w:sz w:val="22"/>
          <w:szCs w:val="22"/>
          <w:lang w:val="sr-Latn-ME"/>
        </w:rPr>
        <w:t>slijedi</w:t>
      </w:r>
      <w:r w:rsidRPr="005474B2">
        <w:rPr>
          <w:sz w:val="22"/>
          <w:szCs w:val="22"/>
          <w:lang w:val="sr-Latn-ME"/>
        </w:rPr>
        <w:t xml:space="preserve"> </w:t>
      </w:r>
      <w:r w:rsidR="009A4880" w:rsidRPr="005474B2">
        <w:rPr>
          <w:sz w:val="22"/>
          <w:szCs w:val="22"/>
          <w:lang w:val="sr-Latn-ME"/>
        </w:rPr>
        <w:t>mjeseč</w:t>
      </w:r>
      <w:r w:rsidRPr="005474B2">
        <w:rPr>
          <w:sz w:val="22"/>
          <w:szCs w:val="22"/>
          <w:lang w:val="sr-Latn-ME"/>
        </w:rPr>
        <w:t>na doza održavanja. Svaka doza od 75 mg se daje kao su</w:t>
      </w:r>
      <w:r w:rsidR="00651527" w:rsidRPr="005474B2">
        <w:rPr>
          <w:sz w:val="22"/>
          <w:szCs w:val="22"/>
          <w:lang w:val="sr-Latn-ME"/>
        </w:rPr>
        <w:t>b</w:t>
      </w:r>
      <w:r w:rsidRPr="005474B2">
        <w:rPr>
          <w:sz w:val="22"/>
          <w:szCs w:val="22"/>
          <w:lang w:val="sr-Latn-ME"/>
        </w:rPr>
        <w:t>kutana injekcija od 75 mg. Svaka doza od 150 mg se daje kao jedna su</w:t>
      </w:r>
      <w:r w:rsidR="00651527" w:rsidRPr="005474B2">
        <w:rPr>
          <w:sz w:val="22"/>
          <w:szCs w:val="22"/>
          <w:lang w:val="sr-Latn-ME"/>
        </w:rPr>
        <w:t>b</w:t>
      </w:r>
      <w:r w:rsidRPr="005474B2">
        <w:rPr>
          <w:sz w:val="22"/>
          <w:szCs w:val="22"/>
          <w:lang w:val="sr-Latn-ME"/>
        </w:rPr>
        <w:t xml:space="preserve">kutana injekcija od 150 mg. Svaka doza od 300 mg se daje kao </w:t>
      </w:r>
      <w:r w:rsidR="0060699C" w:rsidRPr="005474B2">
        <w:rPr>
          <w:sz w:val="22"/>
          <w:szCs w:val="22"/>
          <w:lang w:val="sr-Latn-ME"/>
        </w:rPr>
        <w:t>jedna su</w:t>
      </w:r>
      <w:r w:rsidR="00651527" w:rsidRPr="005474B2">
        <w:rPr>
          <w:sz w:val="22"/>
          <w:szCs w:val="22"/>
          <w:lang w:val="sr-Latn-ME"/>
        </w:rPr>
        <w:t>b</w:t>
      </w:r>
      <w:r w:rsidR="0060699C" w:rsidRPr="005474B2">
        <w:rPr>
          <w:sz w:val="22"/>
          <w:szCs w:val="22"/>
          <w:lang w:val="sr-Latn-ME"/>
        </w:rPr>
        <w:t xml:space="preserve">kutana injekcija od 300 mg ili kao </w:t>
      </w:r>
      <w:r w:rsidRPr="005474B2">
        <w:rPr>
          <w:sz w:val="22"/>
          <w:szCs w:val="22"/>
          <w:lang w:val="sr-Latn-ME"/>
        </w:rPr>
        <w:t>dv</w:t>
      </w:r>
      <w:r w:rsidR="009A4880" w:rsidRPr="005474B2">
        <w:rPr>
          <w:sz w:val="22"/>
          <w:szCs w:val="22"/>
          <w:lang w:val="sr-Latn-ME"/>
        </w:rPr>
        <w:t>ij</w:t>
      </w:r>
      <w:r w:rsidRPr="005474B2">
        <w:rPr>
          <w:sz w:val="22"/>
          <w:szCs w:val="22"/>
          <w:lang w:val="sr-Latn-ME"/>
        </w:rPr>
        <w:t>e su</w:t>
      </w:r>
      <w:r w:rsidR="00651527" w:rsidRPr="005474B2">
        <w:rPr>
          <w:sz w:val="22"/>
          <w:szCs w:val="22"/>
          <w:lang w:val="sr-Latn-ME"/>
        </w:rPr>
        <w:t>b</w:t>
      </w:r>
      <w:r w:rsidRPr="005474B2">
        <w:rPr>
          <w:sz w:val="22"/>
          <w:szCs w:val="22"/>
          <w:lang w:val="sr-Latn-ME"/>
        </w:rPr>
        <w:t>kutane injekcije od 150 mg.</w:t>
      </w:r>
    </w:p>
    <w:p w14:paraId="4EBD37D7" w14:textId="77777777" w:rsidR="007D7CE1" w:rsidRPr="005474B2" w:rsidRDefault="007D7CE1">
      <w:pPr>
        <w:tabs>
          <w:tab w:val="left" w:pos="284"/>
        </w:tabs>
        <w:jc w:val="both"/>
        <w:rPr>
          <w:sz w:val="22"/>
          <w:szCs w:val="22"/>
          <w:lang w:val="sr-Latn-ME"/>
        </w:rPr>
      </w:pPr>
    </w:p>
    <w:p w14:paraId="4C141A82" w14:textId="77777777" w:rsidR="007D7CE1" w:rsidRPr="005474B2" w:rsidRDefault="007D7CE1">
      <w:pPr>
        <w:keepNext/>
        <w:ind w:left="1134" w:hanging="1134"/>
        <w:jc w:val="both"/>
        <w:rPr>
          <w:b/>
          <w:color w:val="000000"/>
          <w:sz w:val="22"/>
          <w:szCs w:val="22"/>
          <w:lang w:val="sr-Latn-ME"/>
        </w:rPr>
      </w:pPr>
      <w:r w:rsidRPr="005474B2">
        <w:rPr>
          <w:b/>
          <w:color w:val="000000"/>
          <w:sz w:val="22"/>
          <w:szCs w:val="22"/>
          <w:lang w:val="sr-Latn-ME"/>
        </w:rPr>
        <w:t>Tabela 1</w:t>
      </w:r>
      <w:r w:rsidRPr="005474B2">
        <w:rPr>
          <w:b/>
          <w:color w:val="000000"/>
          <w:sz w:val="22"/>
          <w:szCs w:val="22"/>
          <w:lang w:val="sr-Latn-ME"/>
        </w:rPr>
        <w:tab/>
        <w:t>Preporučena doza za pedijatrijsku plak psorijazu</w:t>
      </w:r>
    </w:p>
    <w:p w14:paraId="3A49BA2E" w14:textId="77777777" w:rsidR="007D7CE1" w:rsidRPr="005474B2" w:rsidRDefault="007D7CE1">
      <w:pPr>
        <w:tabs>
          <w:tab w:val="left" w:pos="540"/>
          <w:tab w:val="left" w:pos="569"/>
        </w:tabs>
        <w:jc w:val="both"/>
        <w:rPr>
          <w:bCs/>
          <w:sz w:val="22"/>
          <w:szCs w:val="22"/>
          <w:u w:val="single"/>
          <w:lang w:val="sr-Latn-ME"/>
        </w:rPr>
      </w:pPr>
    </w:p>
    <w:tbl>
      <w:tblPr>
        <w:tblW w:w="8010" w:type="dxa"/>
        <w:jc w:val="center"/>
        <w:tblCellMar>
          <w:left w:w="0" w:type="dxa"/>
          <w:right w:w="0" w:type="dxa"/>
        </w:tblCellMar>
        <w:tblLook w:val="04A0" w:firstRow="1" w:lastRow="0" w:firstColumn="1" w:lastColumn="0" w:noHBand="0" w:noVBand="1"/>
      </w:tblPr>
      <w:tblGrid>
        <w:gridCol w:w="4005"/>
        <w:gridCol w:w="4005"/>
      </w:tblGrid>
      <w:tr w:rsidR="007D7CE1" w:rsidRPr="0009637B" w14:paraId="44E0840E" w14:textId="77777777" w:rsidTr="00A62164">
        <w:trPr>
          <w:cantSplit/>
          <w:jc w:val="center"/>
        </w:trPr>
        <w:tc>
          <w:tcPr>
            <w:tcW w:w="4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783F18" w14:textId="77777777" w:rsidR="007D7CE1" w:rsidRPr="005474B2" w:rsidRDefault="007D7CE1">
            <w:pPr>
              <w:keepNext/>
              <w:jc w:val="both"/>
              <w:rPr>
                <w:b/>
                <w:sz w:val="22"/>
                <w:szCs w:val="22"/>
                <w:lang w:val="sr-Latn-ME"/>
              </w:rPr>
            </w:pPr>
            <w:r w:rsidRPr="005474B2">
              <w:rPr>
                <w:b/>
                <w:sz w:val="22"/>
                <w:szCs w:val="22"/>
                <w:lang w:val="sr-Latn-ME"/>
              </w:rPr>
              <w:t>T</w:t>
            </w:r>
            <w:r w:rsidR="009A4880" w:rsidRPr="005474B2">
              <w:rPr>
                <w:b/>
                <w:sz w:val="22"/>
                <w:szCs w:val="22"/>
                <w:lang w:val="sr-Latn-ME"/>
              </w:rPr>
              <w:t>j</w:t>
            </w:r>
            <w:r w:rsidRPr="005474B2">
              <w:rPr>
                <w:b/>
                <w:sz w:val="22"/>
                <w:szCs w:val="22"/>
                <w:lang w:val="sr-Latn-ME"/>
              </w:rPr>
              <w:t>elesna težina u vreme doziranja</w:t>
            </w:r>
          </w:p>
        </w:tc>
        <w:tc>
          <w:tcPr>
            <w:tcW w:w="4005"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14:paraId="55194107" w14:textId="77777777" w:rsidR="007D7CE1" w:rsidRPr="005474B2" w:rsidRDefault="007D7CE1">
            <w:pPr>
              <w:keepNext/>
              <w:jc w:val="both"/>
              <w:rPr>
                <w:b/>
                <w:sz w:val="22"/>
                <w:szCs w:val="22"/>
                <w:lang w:val="sr-Latn-ME"/>
              </w:rPr>
            </w:pPr>
            <w:r w:rsidRPr="005474B2">
              <w:rPr>
                <w:b/>
                <w:sz w:val="22"/>
                <w:szCs w:val="22"/>
                <w:lang w:val="sr-Latn-ME"/>
              </w:rPr>
              <w:t>Preporučena doza</w:t>
            </w:r>
          </w:p>
        </w:tc>
      </w:tr>
      <w:tr w:rsidR="007D7CE1" w:rsidRPr="0009637B" w14:paraId="14A92E7E" w14:textId="77777777" w:rsidTr="00A62164">
        <w:trPr>
          <w:cantSplit/>
          <w:jc w:val="center"/>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36F71B" w14:textId="77777777" w:rsidR="007D7CE1" w:rsidRPr="005474B2" w:rsidRDefault="007D7CE1" w:rsidP="0009637B">
            <w:pPr>
              <w:keepNext/>
              <w:jc w:val="both"/>
              <w:rPr>
                <w:sz w:val="22"/>
                <w:szCs w:val="22"/>
                <w:lang w:val="sr-Latn-ME"/>
              </w:rPr>
            </w:pPr>
            <w:r w:rsidRPr="005474B2">
              <w:rPr>
                <w:sz w:val="22"/>
                <w:szCs w:val="22"/>
                <w:lang w:val="sr-Latn-ME"/>
              </w:rPr>
              <w:t>&lt;25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7BB2C7D5" w14:textId="77777777" w:rsidR="007D7CE1" w:rsidRPr="005474B2" w:rsidRDefault="007D7CE1" w:rsidP="0009637B">
            <w:pPr>
              <w:keepNext/>
              <w:jc w:val="both"/>
              <w:rPr>
                <w:sz w:val="22"/>
                <w:szCs w:val="22"/>
                <w:lang w:val="sr-Latn-ME"/>
              </w:rPr>
            </w:pPr>
            <w:r w:rsidRPr="005474B2">
              <w:rPr>
                <w:sz w:val="22"/>
                <w:szCs w:val="22"/>
                <w:lang w:val="sr-Latn-ME"/>
              </w:rPr>
              <w:t>75 mg</w:t>
            </w:r>
          </w:p>
        </w:tc>
      </w:tr>
      <w:tr w:rsidR="007D7CE1" w:rsidRPr="0009637B" w14:paraId="73034880" w14:textId="77777777" w:rsidTr="00A62164">
        <w:trPr>
          <w:cantSplit/>
          <w:jc w:val="center"/>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6951D8" w14:textId="77777777" w:rsidR="007D7CE1" w:rsidRPr="005474B2" w:rsidRDefault="007D7CE1" w:rsidP="0009637B">
            <w:pPr>
              <w:keepNext/>
              <w:jc w:val="both"/>
              <w:rPr>
                <w:sz w:val="22"/>
                <w:szCs w:val="22"/>
                <w:lang w:val="sr-Latn-ME"/>
              </w:rPr>
            </w:pPr>
            <w:r w:rsidRPr="005474B2">
              <w:rPr>
                <w:sz w:val="22"/>
                <w:szCs w:val="22"/>
                <w:lang w:val="sr-Latn-ME"/>
              </w:rPr>
              <w:t>25 do &lt;50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8759C8B" w14:textId="77777777" w:rsidR="007D7CE1" w:rsidRPr="005474B2" w:rsidRDefault="007D7CE1" w:rsidP="0009637B">
            <w:pPr>
              <w:keepNext/>
              <w:jc w:val="both"/>
              <w:rPr>
                <w:sz w:val="22"/>
                <w:szCs w:val="22"/>
                <w:lang w:val="sr-Latn-ME"/>
              </w:rPr>
            </w:pPr>
            <w:r w:rsidRPr="005474B2">
              <w:rPr>
                <w:sz w:val="22"/>
                <w:szCs w:val="22"/>
                <w:lang w:val="sr-Latn-ME"/>
              </w:rPr>
              <w:t>75 mg</w:t>
            </w:r>
          </w:p>
        </w:tc>
      </w:tr>
      <w:tr w:rsidR="007D7CE1" w:rsidRPr="0009637B" w14:paraId="1FC09F06" w14:textId="77777777" w:rsidTr="00A62164">
        <w:trPr>
          <w:cantSplit/>
          <w:jc w:val="center"/>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0145B1" w14:textId="77777777" w:rsidR="007D7CE1" w:rsidRPr="005474B2" w:rsidRDefault="007D7CE1" w:rsidP="0009637B">
            <w:pPr>
              <w:keepNext/>
              <w:jc w:val="both"/>
              <w:rPr>
                <w:sz w:val="22"/>
                <w:szCs w:val="22"/>
                <w:lang w:val="sr-Latn-ME"/>
              </w:rPr>
            </w:pPr>
            <w:r w:rsidRPr="005474B2">
              <w:rPr>
                <w:sz w:val="22"/>
                <w:szCs w:val="22"/>
                <w:lang w:val="sr-Latn-ME"/>
              </w:rPr>
              <w:t>≥50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2BDB866C" w14:textId="77777777" w:rsidR="007D7CE1" w:rsidRPr="005474B2" w:rsidRDefault="007D7CE1" w:rsidP="0009637B">
            <w:pPr>
              <w:keepNext/>
              <w:jc w:val="both"/>
              <w:rPr>
                <w:sz w:val="22"/>
                <w:szCs w:val="22"/>
                <w:lang w:val="sr-Latn-ME"/>
              </w:rPr>
            </w:pPr>
            <w:r w:rsidRPr="005474B2">
              <w:rPr>
                <w:sz w:val="22"/>
                <w:szCs w:val="22"/>
                <w:lang w:val="sr-Latn-ME"/>
              </w:rPr>
              <w:t>150 mg (*može se povećati do 300 mg)</w:t>
            </w:r>
          </w:p>
        </w:tc>
      </w:tr>
    </w:tbl>
    <w:p w14:paraId="3B2F8AE4" w14:textId="753FF6EE" w:rsidR="007D7CE1" w:rsidRPr="005474B2" w:rsidRDefault="00A62164" w:rsidP="0009637B">
      <w:pPr>
        <w:widowControl w:val="0"/>
        <w:jc w:val="both"/>
        <w:rPr>
          <w:sz w:val="22"/>
          <w:szCs w:val="22"/>
          <w:lang w:val="sr-Latn-ME"/>
        </w:rPr>
      </w:pPr>
      <w:r w:rsidRPr="005474B2">
        <w:rPr>
          <w:sz w:val="22"/>
          <w:szCs w:val="22"/>
          <w:lang w:val="sr-Latn-ME"/>
        </w:rPr>
        <w:tab/>
      </w:r>
      <w:r w:rsidR="007D7CE1" w:rsidRPr="005474B2">
        <w:rPr>
          <w:sz w:val="22"/>
          <w:szCs w:val="22"/>
          <w:lang w:val="sr-Latn-ME"/>
        </w:rPr>
        <w:t>*Neki pacijenti bi mogli imati dodatne koristi od veće doze.</w:t>
      </w:r>
    </w:p>
    <w:p w14:paraId="29F015E3" w14:textId="77777777" w:rsidR="007D7CE1" w:rsidRPr="005474B2" w:rsidRDefault="007D7CE1" w:rsidP="0009637B">
      <w:pPr>
        <w:widowControl w:val="0"/>
        <w:jc w:val="both"/>
        <w:rPr>
          <w:rFonts w:eastAsia="MS Mincho"/>
          <w:sz w:val="22"/>
          <w:szCs w:val="22"/>
          <w:lang w:val="sr-Latn-ME"/>
        </w:rPr>
      </w:pPr>
    </w:p>
    <w:p w14:paraId="501ACB86" w14:textId="071DF59E" w:rsidR="005F3FC2" w:rsidRPr="005474B2" w:rsidRDefault="005F3FC2">
      <w:pPr>
        <w:pStyle w:val="Text"/>
        <w:widowControl w:val="0"/>
        <w:spacing w:before="0"/>
        <w:rPr>
          <w:sz w:val="22"/>
          <w:szCs w:val="22"/>
          <w:lang w:val="sr-Latn-ME"/>
        </w:rPr>
      </w:pPr>
      <w:r w:rsidRPr="005474B2">
        <w:rPr>
          <w:sz w:val="22"/>
          <w:szCs w:val="22"/>
          <w:lang w:val="sr-Latn-ME"/>
        </w:rPr>
        <w:t>Doze od 150 mg i 300 mg rastvora za injekciju u napunjenom injekcionom špricu i napunjenom injekcionom penu ni</w:t>
      </w:r>
      <w:r w:rsidR="00746619" w:rsidRPr="005474B2">
        <w:rPr>
          <w:sz w:val="22"/>
          <w:szCs w:val="22"/>
          <w:lang w:val="sr-Latn-ME"/>
        </w:rPr>
        <w:t>je</w:t>
      </w:r>
      <w:r w:rsidRPr="005474B2">
        <w:rPr>
          <w:sz w:val="22"/>
          <w:szCs w:val="22"/>
          <w:lang w:val="sr-Latn-ME"/>
        </w:rPr>
        <w:t>su indikovane za prim</w:t>
      </w:r>
      <w:r w:rsidR="003C2F11" w:rsidRPr="005474B2">
        <w:rPr>
          <w:sz w:val="22"/>
          <w:szCs w:val="22"/>
          <w:lang w:val="sr-Latn-ME"/>
        </w:rPr>
        <w:t>j</w:t>
      </w:r>
      <w:r w:rsidRPr="005474B2">
        <w:rPr>
          <w:sz w:val="22"/>
          <w:szCs w:val="22"/>
          <w:lang w:val="sr-Latn-ME"/>
        </w:rPr>
        <w:t>enu kod pedijatrijskih pacijenata težine &lt;50 kg. L</w:t>
      </w:r>
      <w:r w:rsidR="003C2F11" w:rsidRPr="005474B2">
        <w:rPr>
          <w:sz w:val="22"/>
          <w:szCs w:val="22"/>
          <w:lang w:val="sr-Latn-ME"/>
        </w:rPr>
        <w:t>ij</w:t>
      </w:r>
      <w:r w:rsidRPr="005474B2">
        <w:rPr>
          <w:sz w:val="22"/>
          <w:szCs w:val="22"/>
          <w:lang w:val="sr-Latn-ME"/>
        </w:rPr>
        <w:t xml:space="preserve">ek Cosentyx može biti dostupan u drugim jačinama i/ili farmaceutskim oblicima shodno individualnim </w:t>
      </w:r>
      <w:r w:rsidRPr="005474B2">
        <w:rPr>
          <w:sz w:val="22"/>
          <w:szCs w:val="22"/>
          <w:lang w:val="sr-Latn-ME"/>
        </w:rPr>
        <w:lastRenderedPageBreak/>
        <w:t>potrebama terapije.</w:t>
      </w:r>
    </w:p>
    <w:p w14:paraId="42E780A1" w14:textId="50E8AFD0" w:rsidR="007D7CE1" w:rsidRPr="005474B2" w:rsidRDefault="007D7CE1">
      <w:pPr>
        <w:jc w:val="both"/>
        <w:rPr>
          <w:sz w:val="22"/>
          <w:szCs w:val="22"/>
          <w:lang w:val="sr-Latn-ME"/>
        </w:rPr>
      </w:pPr>
    </w:p>
    <w:p w14:paraId="33E90618" w14:textId="51564A8D" w:rsidR="00CA4EF7" w:rsidRPr="005474B2" w:rsidRDefault="00CA4EF7" w:rsidP="005474B2">
      <w:pPr>
        <w:jc w:val="both"/>
        <w:rPr>
          <w:b/>
          <w:bCs/>
          <w:i/>
          <w:sz w:val="22"/>
          <w:szCs w:val="22"/>
          <w:u w:val="single"/>
          <w:lang w:val="hr-HR"/>
        </w:rPr>
      </w:pPr>
      <w:r w:rsidRPr="005474B2">
        <w:rPr>
          <w:b/>
          <w:bCs/>
          <w:i/>
          <w:sz w:val="22"/>
          <w:szCs w:val="22"/>
          <w:u w:val="single"/>
          <w:lang w:val="hr-HR"/>
        </w:rPr>
        <w:t>Gnojno zapaljenje znojnih žl</w:t>
      </w:r>
      <w:r w:rsidR="0060463D" w:rsidRPr="005474B2">
        <w:rPr>
          <w:b/>
          <w:bCs/>
          <w:i/>
          <w:sz w:val="22"/>
          <w:szCs w:val="22"/>
          <w:u w:val="single"/>
          <w:lang w:val="hr-HR"/>
        </w:rPr>
        <w:t>ij</w:t>
      </w:r>
      <w:r w:rsidRPr="005474B2">
        <w:rPr>
          <w:b/>
          <w:bCs/>
          <w:i/>
          <w:sz w:val="22"/>
          <w:szCs w:val="22"/>
          <w:u w:val="single"/>
          <w:lang w:val="hr-HR"/>
        </w:rPr>
        <w:t>ezda  (HS)</w:t>
      </w:r>
    </w:p>
    <w:p w14:paraId="0D9B9240" w14:textId="77777777" w:rsidR="00CA4EF7" w:rsidRPr="005474B2" w:rsidRDefault="00CA4EF7" w:rsidP="005474B2">
      <w:pPr>
        <w:jc w:val="both"/>
        <w:rPr>
          <w:iCs/>
          <w:sz w:val="22"/>
          <w:szCs w:val="22"/>
          <w:lang w:val="hr-HR"/>
        </w:rPr>
      </w:pPr>
    </w:p>
    <w:p w14:paraId="24465853" w14:textId="795AC2B4" w:rsidR="00CA4EF7" w:rsidRPr="005474B2" w:rsidRDefault="00CA4EF7" w:rsidP="005474B2">
      <w:pPr>
        <w:jc w:val="both"/>
        <w:rPr>
          <w:iCs/>
          <w:sz w:val="22"/>
          <w:szCs w:val="22"/>
        </w:rPr>
      </w:pPr>
      <w:r w:rsidRPr="005474B2">
        <w:rPr>
          <w:iCs/>
          <w:sz w:val="22"/>
          <w:szCs w:val="22"/>
          <w:lang w:val="bs-Latn-BA"/>
        </w:rPr>
        <w:t>Preporučena doza je 300 mg sekukinumaba supkutanom injekcijom sa početnim doziranjem u 0</w:t>
      </w:r>
      <w:r w:rsidR="007811E7">
        <w:rPr>
          <w:iCs/>
          <w:sz w:val="22"/>
          <w:szCs w:val="22"/>
          <w:lang w:val="bs-Latn-BA"/>
        </w:rPr>
        <w:t>.</w:t>
      </w:r>
      <w:r w:rsidRPr="005474B2">
        <w:rPr>
          <w:iCs/>
          <w:sz w:val="22"/>
          <w:szCs w:val="22"/>
          <w:lang w:val="bs-Latn-BA"/>
        </w:rPr>
        <w:t>, 1</w:t>
      </w:r>
      <w:r w:rsidR="007811E7">
        <w:rPr>
          <w:iCs/>
          <w:sz w:val="22"/>
          <w:szCs w:val="22"/>
          <w:lang w:val="bs-Latn-BA"/>
        </w:rPr>
        <w:t>.</w:t>
      </w:r>
      <w:r w:rsidRPr="005474B2">
        <w:rPr>
          <w:iCs/>
          <w:sz w:val="22"/>
          <w:szCs w:val="22"/>
          <w:lang w:val="bs-Latn-BA"/>
        </w:rPr>
        <w:t>, 2</w:t>
      </w:r>
      <w:r w:rsidR="007811E7">
        <w:rPr>
          <w:iCs/>
          <w:sz w:val="22"/>
          <w:szCs w:val="22"/>
          <w:lang w:val="bs-Latn-BA"/>
        </w:rPr>
        <w:t>.</w:t>
      </w:r>
      <w:r w:rsidRPr="005474B2">
        <w:rPr>
          <w:iCs/>
          <w:sz w:val="22"/>
          <w:szCs w:val="22"/>
          <w:lang w:val="bs-Latn-BA"/>
        </w:rPr>
        <w:t>, 3. i 4. ned</w:t>
      </w:r>
      <w:r w:rsidR="0060463D" w:rsidRPr="005474B2">
        <w:rPr>
          <w:iCs/>
          <w:sz w:val="22"/>
          <w:szCs w:val="22"/>
          <w:lang w:val="bs-Latn-BA"/>
        </w:rPr>
        <w:t>j</w:t>
      </w:r>
      <w:r w:rsidRPr="005474B2">
        <w:rPr>
          <w:iCs/>
          <w:sz w:val="22"/>
          <w:szCs w:val="22"/>
          <w:lang w:val="bs-Latn-BA"/>
        </w:rPr>
        <w:t>elji, nakon čega sl</w:t>
      </w:r>
      <w:r w:rsidR="0060463D" w:rsidRPr="005474B2">
        <w:rPr>
          <w:iCs/>
          <w:sz w:val="22"/>
          <w:szCs w:val="22"/>
          <w:lang w:val="bs-Latn-BA"/>
        </w:rPr>
        <w:t>ij</w:t>
      </w:r>
      <w:r w:rsidRPr="005474B2">
        <w:rPr>
          <w:iCs/>
          <w:sz w:val="22"/>
          <w:szCs w:val="22"/>
          <w:lang w:val="bs-Latn-BA"/>
        </w:rPr>
        <w:t>edi m</w:t>
      </w:r>
      <w:r w:rsidR="0060463D" w:rsidRPr="005474B2">
        <w:rPr>
          <w:iCs/>
          <w:sz w:val="22"/>
          <w:szCs w:val="22"/>
          <w:lang w:val="bs-Latn-BA"/>
        </w:rPr>
        <w:t>j</w:t>
      </w:r>
      <w:r w:rsidRPr="005474B2">
        <w:rPr>
          <w:iCs/>
          <w:sz w:val="22"/>
          <w:szCs w:val="22"/>
          <w:lang w:val="bs-Latn-BA"/>
        </w:rPr>
        <w:t xml:space="preserve">esečna doza održavanja. </w:t>
      </w:r>
      <w:r w:rsidRPr="005474B2">
        <w:rPr>
          <w:iCs/>
          <w:sz w:val="22"/>
          <w:szCs w:val="22"/>
          <w:lang w:val="hr-HR"/>
        </w:rPr>
        <w:t>Na osnovu kliničkog odgovora, doza održavanja se može povećati na 300 mg svake 2 ned</w:t>
      </w:r>
      <w:r w:rsidR="0060463D" w:rsidRPr="005474B2">
        <w:rPr>
          <w:iCs/>
          <w:sz w:val="22"/>
          <w:szCs w:val="22"/>
          <w:lang w:val="hr-HR"/>
        </w:rPr>
        <w:t>j</w:t>
      </w:r>
      <w:r w:rsidRPr="005474B2">
        <w:rPr>
          <w:iCs/>
          <w:sz w:val="22"/>
          <w:szCs w:val="22"/>
          <w:lang w:val="hr-HR"/>
        </w:rPr>
        <w:t xml:space="preserve">elje. </w:t>
      </w:r>
      <w:proofErr w:type="spellStart"/>
      <w:r w:rsidRPr="005474B2">
        <w:rPr>
          <w:iCs/>
          <w:sz w:val="22"/>
          <w:szCs w:val="22"/>
        </w:rPr>
        <w:t>Jedna</w:t>
      </w:r>
      <w:proofErr w:type="spellEnd"/>
      <w:r w:rsidRPr="005474B2">
        <w:rPr>
          <w:iCs/>
          <w:sz w:val="22"/>
          <w:szCs w:val="22"/>
        </w:rPr>
        <w:t xml:space="preserve"> </w:t>
      </w:r>
      <w:proofErr w:type="spellStart"/>
      <w:r w:rsidRPr="005474B2">
        <w:rPr>
          <w:iCs/>
          <w:sz w:val="22"/>
          <w:szCs w:val="22"/>
        </w:rPr>
        <w:t>doza</w:t>
      </w:r>
      <w:proofErr w:type="spellEnd"/>
      <w:r w:rsidRPr="005474B2">
        <w:rPr>
          <w:iCs/>
          <w:sz w:val="22"/>
          <w:szCs w:val="22"/>
        </w:rPr>
        <w:t xml:space="preserve"> od 300 mg se </w:t>
      </w:r>
      <w:proofErr w:type="spellStart"/>
      <w:r w:rsidRPr="005474B2">
        <w:rPr>
          <w:iCs/>
          <w:sz w:val="22"/>
          <w:szCs w:val="22"/>
        </w:rPr>
        <w:t>daje</w:t>
      </w:r>
      <w:proofErr w:type="spellEnd"/>
      <w:r w:rsidRPr="005474B2">
        <w:rPr>
          <w:iCs/>
          <w:sz w:val="22"/>
          <w:szCs w:val="22"/>
        </w:rPr>
        <w:t xml:space="preserve"> </w:t>
      </w:r>
      <w:proofErr w:type="spellStart"/>
      <w:r w:rsidRPr="005474B2">
        <w:rPr>
          <w:iCs/>
          <w:sz w:val="22"/>
          <w:szCs w:val="22"/>
        </w:rPr>
        <w:t>kao</w:t>
      </w:r>
      <w:proofErr w:type="spellEnd"/>
      <w:r w:rsidRPr="005474B2">
        <w:rPr>
          <w:iCs/>
          <w:sz w:val="22"/>
          <w:szCs w:val="22"/>
        </w:rPr>
        <w:t xml:space="preserve"> </w:t>
      </w:r>
      <w:proofErr w:type="spellStart"/>
      <w:r w:rsidRPr="005474B2">
        <w:rPr>
          <w:iCs/>
          <w:sz w:val="22"/>
          <w:szCs w:val="22"/>
        </w:rPr>
        <w:t>jedna</w:t>
      </w:r>
      <w:proofErr w:type="spellEnd"/>
      <w:r w:rsidRPr="005474B2">
        <w:rPr>
          <w:iCs/>
          <w:sz w:val="22"/>
          <w:szCs w:val="22"/>
        </w:rPr>
        <w:t xml:space="preserve"> </w:t>
      </w:r>
      <w:proofErr w:type="spellStart"/>
      <w:r w:rsidRPr="005474B2">
        <w:rPr>
          <w:iCs/>
          <w:sz w:val="22"/>
          <w:szCs w:val="22"/>
        </w:rPr>
        <w:t>supkutana</w:t>
      </w:r>
      <w:proofErr w:type="spellEnd"/>
      <w:r w:rsidRPr="005474B2">
        <w:rPr>
          <w:iCs/>
          <w:sz w:val="22"/>
          <w:szCs w:val="22"/>
        </w:rPr>
        <w:t xml:space="preserve"> </w:t>
      </w:r>
      <w:proofErr w:type="spellStart"/>
      <w:r w:rsidRPr="005474B2">
        <w:rPr>
          <w:iCs/>
          <w:sz w:val="22"/>
          <w:szCs w:val="22"/>
        </w:rPr>
        <w:t>injekcija</w:t>
      </w:r>
      <w:proofErr w:type="spellEnd"/>
      <w:r w:rsidRPr="005474B2">
        <w:rPr>
          <w:iCs/>
          <w:sz w:val="22"/>
          <w:szCs w:val="22"/>
        </w:rPr>
        <w:t xml:space="preserve"> od 300 mg </w:t>
      </w:r>
      <w:proofErr w:type="spellStart"/>
      <w:r w:rsidRPr="005474B2">
        <w:rPr>
          <w:iCs/>
          <w:sz w:val="22"/>
          <w:szCs w:val="22"/>
        </w:rPr>
        <w:t>ili</w:t>
      </w:r>
      <w:proofErr w:type="spellEnd"/>
      <w:r w:rsidRPr="005474B2">
        <w:rPr>
          <w:iCs/>
          <w:sz w:val="22"/>
          <w:szCs w:val="22"/>
        </w:rPr>
        <w:t xml:space="preserve"> </w:t>
      </w:r>
      <w:proofErr w:type="spellStart"/>
      <w:r w:rsidRPr="005474B2">
        <w:rPr>
          <w:iCs/>
          <w:sz w:val="22"/>
          <w:szCs w:val="22"/>
        </w:rPr>
        <w:t>kao</w:t>
      </w:r>
      <w:proofErr w:type="spellEnd"/>
      <w:r w:rsidRPr="005474B2">
        <w:rPr>
          <w:iCs/>
          <w:sz w:val="22"/>
          <w:szCs w:val="22"/>
        </w:rPr>
        <w:t xml:space="preserve"> </w:t>
      </w:r>
      <w:proofErr w:type="spellStart"/>
      <w:r w:rsidRPr="005474B2">
        <w:rPr>
          <w:iCs/>
          <w:sz w:val="22"/>
          <w:szCs w:val="22"/>
        </w:rPr>
        <w:t>dv</w:t>
      </w:r>
      <w:r w:rsidR="0060463D" w:rsidRPr="005474B2">
        <w:rPr>
          <w:iCs/>
          <w:sz w:val="22"/>
          <w:szCs w:val="22"/>
        </w:rPr>
        <w:t>ij</w:t>
      </w:r>
      <w:r w:rsidRPr="005474B2">
        <w:rPr>
          <w:iCs/>
          <w:sz w:val="22"/>
          <w:szCs w:val="22"/>
        </w:rPr>
        <w:t>e</w:t>
      </w:r>
      <w:proofErr w:type="spellEnd"/>
      <w:r w:rsidRPr="005474B2">
        <w:rPr>
          <w:iCs/>
          <w:sz w:val="22"/>
          <w:szCs w:val="22"/>
        </w:rPr>
        <w:t xml:space="preserve"> </w:t>
      </w:r>
      <w:proofErr w:type="spellStart"/>
      <w:r w:rsidRPr="005474B2">
        <w:rPr>
          <w:iCs/>
          <w:sz w:val="22"/>
          <w:szCs w:val="22"/>
        </w:rPr>
        <w:t>supkutane</w:t>
      </w:r>
      <w:proofErr w:type="spellEnd"/>
      <w:r w:rsidRPr="005474B2">
        <w:rPr>
          <w:iCs/>
          <w:sz w:val="22"/>
          <w:szCs w:val="22"/>
        </w:rPr>
        <w:t xml:space="preserve"> </w:t>
      </w:r>
      <w:proofErr w:type="spellStart"/>
      <w:r w:rsidRPr="005474B2">
        <w:rPr>
          <w:iCs/>
          <w:sz w:val="22"/>
          <w:szCs w:val="22"/>
        </w:rPr>
        <w:t>injekcije</w:t>
      </w:r>
      <w:proofErr w:type="spellEnd"/>
      <w:r w:rsidRPr="005474B2">
        <w:rPr>
          <w:iCs/>
          <w:sz w:val="22"/>
          <w:szCs w:val="22"/>
        </w:rPr>
        <w:t xml:space="preserve"> od 150 mg.</w:t>
      </w:r>
    </w:p>
    <w:p w14:paraId="09ADA358" w14:textId="77777777" w:rsidR="00CA4EF7" w:rsidRPr="005474B2" w:rsidRDefault="00CA4EF7" w:rsidP="0009637B">
      <w:pPr>
        <w:jc w:val="both"/>
        <w:rPr>
          <w:sz w:val="22"/>
          <w:szCs w:val="22"/>
          <w:lang w:val="sr-Latn-ME"/>
        </w:rPr>
      </w:pPr>
    </w:p>
    <w:p w14:paraId="463E6798" w14:textId="653F6290" w:rsidR="007D7CE1" w:rsidRPr="005474B2" w:rsidRDefault="007D7CE1" w:rsidP="0009637B">
      <w:pPr>
        <w:jc w:val="both"/>
        <w:rPr>
          <w:b/>
          <w:sz w:val="22"/>
          <w:szCs w:val="22"/>
          <w:lang w:val="sr-Latn-ME"/>
        </w:rPr>
      </w:pPr>
      <w:r w:rsidRPr="005474B2">
        <w:rPr>
          <w:b/>
          <w:sz w:val="22"/>
          <w:szCs w:val="22"/>
          <w:lang w:val="sr-Latn-ME"/>
        </w:rPr>
        <w:t>Psorijazni artritis</w:t>
      </w:r>
    </w:p>
    <w:p w14:paraId="4BB519D6" w14:textId="77777777" w:rsidR="00A62164" w:rsidRPr="005474B2" w:rsidRDefault="00A62164">
      <w:pPr>
        <w:jc w:val="both"/>
        <w:rPr>
          <w:b/>
          <w:sz w:val="22"/>
          <w:szCs w:val="22"/>
          <w:lang w:val="sr-Latn-ME"/>
        </w:rPr>
      </w:pPr>
    </w:p>
    <w:p w14:paraId="2C5431F7" w14:textId="1AD49EA1" w:rsidR="00852324" w:rsidRPr="005474B2" w:rsidRDefault="00852324">
      <w:pPr>
        <w:pStyle w:val="Text"/>
        <w:spacing w:before="0"/>
        <w:rPr>
          <w:sz w:val="22"/>
          <w:szCs w:val="22"/>
          <w:lang w:val="sr-Latn-ME"/>
        </w:rPr>
      </w:pPr>
      <w:r w:rsidRPr="005474B2">
        <w:rPr>
          <w:sz w:val="22"/>
          <w:szCs w:val="22"/>
          <w:lang w:val="sr-Latn-ME"/>
        </w:rPr>
        <w:t xml:space="preserve">Za pacijente sa </w:t>
      </w:r>
      <w:r w:rsidR="00162AA9" w:rsidRPr="005474B2">
        <w:rPr>
          <w:sz w:val="22"/>
          <w:szCs w:val="22"/>
          <w:lang w:val="sr-Latn-ME"/>
        </w:rPr>
        <w:t>udruženom</w:t>
      </w:r>
      <w:r w:rsidRPr="005474B2">
        <w:rPr>
          <w:sz w:val="22"/>
          <w:szCs w:val="22"/>
          <w:lang w:val="sr-Latn-ME"/>
        </w:rPr>
        <w:t xml:space="preserve"> umjerenom do teškom plak psorijazom, molimo pogledajte preporuke za plak psorijazu kod odraslih.</w:t>
      </w:r>
    </w:p>
    <w:p w14:paraId="0A9B0FE9" w14:textId="77777777" w:rsidR="00852324" w:rsidRPr="005474B2" w:rsidRDefault="00852324">
      <w:pPr>
        <w:jc w:val="both"/>
        <w:rPr>
          <w:b/>
          <w:sz w:val="22"/>
          <w:szCs w:val="22"/>
          <w:lang w:val="sr-Latn-ME"/>
        </w:rPr>
      </w:pPr>
    </w:p>
    <w:p w14:paraId="63191A84" w14:textId="0DC85A6C" w:rsidR="007D7CE1" w:rsidRPr="005474B2" w:rsidRDefault="007D7CE1">
      <w:pPr>
        <w:jc w:val="both"/>
        <w:rPr>
          <w:sz w:val="22"/>
          <w:szCs w:val="22"/>
          <w:lang w:val="sr-Latn-ME"/>
        </w:rPr>
      </w:pPr>
      <w:r w:rsidRPr="005474B2">
        <w:rPr>
          <w:sz w:val="22"/>
          <w:szCs w:val="22"/>
          <w:lang w:val="sr-Latn-ME"/>
        </w:rPr>
        <w:t xml:space="preserve">Za pacijente koji nemaju adekvatan odgovor na anti-TNFα (IR, engl. </w:t>
      </w:r>
      <w:r w:rsidRPr="005474B2">
        <w:rPr>
          <w:i/>
          <w:sz w:val="22"/>
          <w:szCs w:val="22"/>
          <w:lang w:val="sr-Latn-ME"/>
        </w:rPr>
        <w:t>inadequate responders</w:t>
      </w:r>
      <w:r w:rsidRPr="005474B2">
        <w:rPr>
          <w:sz w:val="22"/>
          <w:szCs w:val="22"/>
          <w:lang w:val="sr-Latn-ME"/>
        </w:rPr>
        <w:t>), preporučena doza je 300 mg su</w:t>
      </w:r>
      <w:r w:rsidR="00801863" w:rsidRPr="005474B2">
        <w:rPr>
          <w:sz w:val="22"/>
          <w:szCs w:val="22"/>
          <w:lang w:val="sr-Latn-ME"/>
        </w:rPr>
        <w:t>b</w:t>
      </w:r>
      <w:r w:rsidRPr="005474B2">
        <w:rPr>
          <w:sz w:val="22"/>
          <w:szCs w:val="22"/>
          <w:lang w:val="sr-Latn-ME"/>
        </w:rPr>
        <w:t>kutanom injekcijom, sa početnim doziranjem u 0</w:t>
      </w:r>
      <w:r w:rsidR="003559B7" w:rsidRPr="005474B2">
        <w:rPr>
          <w:sz w:val="22"/>
          <w:szCs w:val="22"/>
          <w:lang w:val="sr-Latn-ME"/>
        </w:rPr>
        <w:t>.</w:t>
      </w:r>
      <w:r w:rsidRPr="005474B2">
        <w:rPr>
          <w:sz w:val="22"/>
          <w:szCs w:val="22"/>
          <w:lang w:val="sr-Latn-ME"/>
        </w:rPr>
        <w:t>, 1</w:t>
      </w:r>
      <w:r w:rsidR="003559B7" w:rsidRPr="005474B2">
        <w:rPr>
          <w:sz w:val="22"/>
          <w:szCs w:val="22"/>
          <w:lang w:val="sr-Latn-ME"/>
        </w:rPr>
        <w:t>.</w:t>
      </w:r>
      <w:r w:rsidRPr="005474B2">
        <w:rPr>
          <w:sz w:val="22"/>
          <w:szCs w:val="22"/>
          <w:lang w:val="sr-Latn-ME"/>
        </w:rPr>
        <w:t>, 2</w:t>
      </w:r>
      <w:r w:rsidR="003559B7" w:rsidRPr="005474B2">
        <w:rPr>
          <w:sz w:val="22"/>
          <w:szCs w:val="22"/>
          <w:lang w:val="sr-Latn-ME"/>
        </w:rPr>
        <w:t>.</w:t>
      </w:r>
      <w:r w:rsidRPr="005474B2">
        <w:rPr>
          <w:sz w:val="22"/>
          <w:szCs w:val="22"/>
          <w:lang w:val="sr-Latn-ME"/>
        </w:rPr>
        <w:t xml:space="preserve">, 3. i 4. </w:t>
      </w:r>
      <w:r w:rsidR="009A4880" w:rsidRPr="005474B2">
        <w:rPr>
          <w:sz w:val="22"/>
          <w:szCs w:val="22"/>
          <w:lang w:val="sr-Latn-ME"/>
        </w:rPr>
        <w:t>nedjelj</w:t>
      </w:r>
      <w:r w:rsidRPr="005474B2">
        <w:rPr>
          <w:sz w:val="22"/>
          <w:szCs w:val="22"/>
          <w:lang w:val="sr-Latn-ME"/>
        </w:rPr>
        <w:t>i, nakon čega sl</w:t>
      </w:r>
      <w:r w:rsidR="009A4880" w:rsidRPr="005474B2">
        <w:rPr>
          <w:sz w:val="22"/>
          <w:szCs w:val="22"/>
          <w:lang w:val="sr-Latn-ME"/>
        </w:rPr>
        <w:t>ij</w:t>
      </w:r>
      <w:r w:rsidRPr="005474B2">
        <w:rPr>
          <w:sz w:val="22"/>
          <w:szCs w:val="22"/>
          <w:lang w:val="sr-Latn-ME"/>
        </w:rPr>
        <w:t xml:space="preserve">edi </w:t>
      </w:r>
      <w:r w:rsidR="009A4880" w:rsidRPr="005474B2">
        <w:rPr>
          <w:sz w:val="22"/>
          <w:szCs w:val="22"/>
          <w:lang w:val="sr-Latn-ME"/>
        </w:rPr>
        <w:t>mjeseč</w:t>
      </w:r>
      <w:r w:rsidRPr="005474B2">
        <w:rPr>
          <w:sz w:val="22"/>
          <w:szCs w:val="22"/>
          <w:lang w:val="sr-Latn-ME"/>
        </w:rPr>
        <w:t xml:space="preserve">na doza održavanja. Svaka doza od 300 mg se daje kao </w:t>
      </w:r>
      <w:r w:rsidR="0060699C" w:rsidRPr="005474B2">
        <w:rPr>
          <w:sz w:val="22"/>
          <w:szCs w:val="22"/>
          <w:lang w:val="sr-Latn-ME"/>
        </w:rPr>
        <w:t>jedna su</w:t>
      </w:r>
      <w:r w:rsidR="00801863" w:rsidRPr="005474B2">
        <w:rPr>
          <w:sz w:val="22"/>
          <w:szCs w:val="22"/>
          <w:lang w:val="sr-Latn-ME"/>
        </w:rPr>
        <w:t>b</w:t>
      </w:r>
      <w:r w:rsidR="0060699C" w:rsidRPr="005474B2">
        <w:rPr>
          <w:sz w:val="22"/>
          <w:szCs w:val="22"/>
          <w:lang w:val="sr-Latn-ME"/>
        </w:rPr>
        <w:t xml:space="preserve">kutana injekcija od 300 mg ili kao </w:t>
      </w:r>
      <w:r w:rsidRPr="005474B2">
        <w:rPr>
          <w:sz w:val="22"/>
          <w:szCs w:val="22"/>
          <w:lang w:val="sr-Latn-ME"/>
        </w:rPr>
        <w:t>dv</w:t>
      </w:r>
      <w:r w:rsidR="009A4880" w:rsidRPr="005474B2">
        <w:rPr>
          <w:sz w:val="22"/>
          <w:szCs w:val="22"/>
          <w:lang w:val="sr-Latn-ME"/>
        </w:rPr>
        <w:t>ij</w:t>
      </w:r>
      <w:r w:rsidRPr="005474B2">
        <w:rPr>
          <w:sz w:val="22"/>
          <w:szCs w:val="22"/>
          <w:lang w:val="sr-Latn-ME"/>
        </w:rPr>
        <w:t>e su</w:t>
      </w:r>
      <w:r w:rsidR="00801863" w:rsidRPr="005474B2">
        <w:rPr>
          <w:sz w:val="22"/>
          <w:szCs w:val="22"/>
          <w:lang w:val="sr-Latn-ME"/>
        </w:rPr>
        <w:t>b</w:t>
      </w:r>
      <w:r w:rsidRPr="005474B2">
        <w:rPr>
          <w:sz w:val="22"/>
          <w:szCs w:val="22"/>
          <w:lang w:val="sr-Latn-ME"/>
        </w:rPr>
        <w:t>kutane injekcije od 150 mg.</w:t>
      </w:r>
    </w:p>
    <w:p w14:paraId="551B3429" w14:textId="77777777" w:rsidR="007D7CE1" w:rsidRPr="005474B2" w:rsidRDefault="007D7CE1">
      <w:pPr>
        <w:jc w:val="both"/>
        <w:rPr>
          <w:sz w:val="22"/>
          <w:szCs w:val="22"/>
          <w:lang w:val="sr-Latn-ME"/>
        </w:rPr>
      </w:pPr>
    </w:p>
    <w:p w14:paraId="0FACEC8D" w14:textId="74C17AEE" w:rsidR="007D7CE1" w:rsidRPr="005474B2" w:rsidRDefault="007D7CE1">
      <w:pPr>
        <w:jc w:val="both"/>
        <w:rPr>
          <w:sz w:val="22"/>
          <w:szCs w:val="22"/>
          <w:lang w:val="sr-Latn-ME"/>
        </w:rPr>
      </w:pPr>
      <w:r w:rsidRPr="005474B2">
        <w:rPr>
          <w:sz w:val="22"/>
          <w:szCs w:val="22"/>
          <w:lang w:val="sr-Latn-ME"/>
        </w:rPr>
        <w:t>Za ostale pacijente</w:t>
      </w:r>
      <w:r w:rsidR="00D31D3A" w:rsidRPr="005474B2">
        <w:rPr>
          <w:sz w:val="22"/>
          <w:szCs w:val="22"/>
          <w:lang w:val="sr-Latn-ME"/>
        </w:rPr>
        <w:t>,</w:t>
      </w:r>
      <w:r w:rsidRPr="005474B2">
        <w:rPr>
          <w:sz w:val="22"/>
          <w:szCs w:val="22"/>
          <w:lang w:val="sr-Latn-ME"/>
        </w:rPr>
        <w:t xml:space="preserve"> preporučena doza je 150 mg su</w:t>
      </w:r>
      <w:r w:rsidR="00801863" w:rsidRPr="005474B2">
        <w:rPr>
          <w:sz w:val="22"/>
          <w:szCs w:val="22"/>
          <w:lang w:val="sr-Latn-ME"/>
        </w:rPr>
        <w:t>b</w:t>
      </w:r>
      <w:r w:rsidRPr="005474B2">
        <w:rPr>
          <w:sz w:val="22"/>
          <w:szCs w:val="22"/>
          <w:lang w:val="sr-Latn-ME"/>
        </w:rPr>
        <w:t>kutanom injekcijom sa početnim doziranjem u 0</w:t>
      </w:r>
      <w:r w:rsidR="00746619" w:rsidRPr="005474B2">
        <w:rPr>
          <w:sz w:val="22"/>
          <w:szCs w:val="22"/>
          <w:lang w:val="sr-Latn-ME"/>
        </w:rPr>
        <w:t>.</w:t>
      </w:r>
      <w:r w:rsidRPr="005474B2">
        <w:rPr>
          <w:sz w:val="22"/>
          <w:szCs w:val="22"/>
          <w:lang w:val="sr-Latn-ME"/>
        </w:rPr>
        <w:t>, 1</w:t>
      </w:r>
      <w:r w:rsidR="00746619" w:rsidRPr="005474B2">
        <w:rPr>
          <w:sz w:val="22"/>
          <w:szCs w:val="22"/>
          <w:lang w:val="sr-Latn-ME"/>
        </w:rPr>
        <w:t>.</w:t>
      </w:r>
      <w:r w:rsidRPr="005474B2">
        <w:rPr>
          <w:sz w:val="22"/>
          <w:szCs w:val="22"/>
          <w:lang w:val="sr-Latn-ME"/>
        </w:rPr>
        <w:t>, 2</w:t>
      </w:r>
      <w:r w:rsidR="00746619" w:rsidRPr="005474B2">
        <w:rPr>
          <w:sz w:val="22"/>
          <w:szCs w:val="22"/>
          <w:lang w:val="sr-Latn-ME"/>
        </w:rPr>
        <w:t>.</w:t>
      </w:r>
      <w:r w:rsidRPr="005474B2">
        <w:rPr>
          <w:sz w:val="22"/>
          <w:szCs w:val="22"/>
          <w:lang w:val="sr-Latn-ME"/>
        </w:rPr>
        <w:t xml:space="preserve">, 3. </w:t>
      </w:r>
      <w:r w:rsidR="00162AA9" w:rsidRPr="005474B2">
        <w:rPr>
          <w:sz w:val="22"/>
          <w:szCs w:val="22"/>
          <w:lang w:val="sr-Latn-ME"/>
        </w:rPr>
        <w:t>i</w:t>
      </w:r>
      <w:r w:rsidRPr="005474B2">
        <w:rPr>
          <w:sz w:val="22"/>
          <w:szCs w:val="22"/>
          <w:lang w:val="sr-Latn-ME"/>
        </w:rPr>
        <w:t xml:space="preserve"> 4. </w:t>
      </w:r>
      <w:r w:rsidR="009A4880" w:rsidRPr="005474B2">
        <w:rPr>
          <w:sz w:val="22"/>
          <w:szCs w:val="22"/>
          <w:lang w:val="sr-Latn-ME"/>
        </w:rPr>
        <w:t>nedjelj</w:t>
      </w:r>
      <w:r w:rsidRPr="005474B2">
        <w:rPr>
          <w:sz w:val="22"/>
          <w:szCs w:val="22"/>
          <w:lang w:val="sr-Latn-ME"/>
        </w:rPr>
        <w:t xml:space="preserve">i, nakon čega </w:t>
      </w:r>
      <w:r w:rsidR="009A4880" w:rsidRPr="005474B2">
        <w:rPr>
          <w:sz w:val="22"/>
          <w:szCs w:val="22"/>
          <w:lang w:val="sr-Latn-ME"/>
        </w:rPr>
        <w:t>slijedi</w:t>
      </w:r>
      <w:r w:rsidRPr="005474B2">
        <w:rPr>
          <w:sz w:val="22"/>
          <w:szCs w:val="22"/>
          <w:lang w:val="sr-Latn-ME"/>
        </w:rPr>
        <w:t xml:space="preserve"> </w:t>
      </w:r>
      <w:r w:rsidR="009A4880" w:rsidRPr="005474B2">
        <w:rPr>
          <w:sz w:val="22"/>
          <w:szCs w:val="22"/>
          <w:lang w:val="sr-Latn-ME"/>
        </w:rPr>
        <w:t>mjeseč</w:t>
      </w:r>
      <w:r w:rsidRPr="005474B2">
        <w:rPr>
          <w:sz w:val="22"/>
          <w:szCs w:val="22"/>
          <w:lang w:val="sr-Latn-ME"/>
        </w:rPr>
        <w:t>na doza održavanja. U zavisnosti od kliničkog odgovora, doza se može povećati do 300 mg.</w:t>
      </w:r>
    </w:p>
    <w:p w14:paraId="77FBA706" w14:textId="7C2282AF" w:rsidR="007D7CE1" w:rsidRPr="005474B2" w:rsidRDefault="007D7CE1">
      <w:pPr>
        <w:jc w:val="both"/>
        <w:rPr>
          <w:sz w:val="22"/>
          <w:szCs w:val="22"/>
          <w:lang w:val="sr-Latn-ME"/>
        </w:rPr>
      </w:pPr>
    </w:p>
    <w:p w14:paraId="0C438E2A" w14:textId="474C04F7" w:rsidR="007D7CE1" w:rsidRPr="005474B2" w:rsidRDefault="007D7CE1">
      <w:pPr>
        <w:tabs>
          <w:tab w:val="left" w:pos="284"/>
        </w:tabs>
        <w:jc w:val="both"/>
        <w:rPr>
          <w:b/>
          <w:sz w:val="22"/>
          <w:szCs w:val="22"/>
          <w:lang w:val="sr-Latn-ME"/>
        </w:rPr>
      </w:pPr>
      <w:r w:rsidRPr="005474B2">
        <w:rPr>
          <w:b/>
          <w:sz w:val="22"/>
          <w:szCs w:val="22"/>
          <w:lang w:val="sr-Latn-ME"/>
        </w:rPr>
        <w:t>Aksijalni spondiloartritis (axSpA)</w:t>
      </w:r>
    </w:p>
    <w:p w14:paraId="4A674C79" w14:textId="77777777" w:rsidR="00A62164" w:rsidRPr="005474B2" w:rsidRDefault="00A62164">
      <w:pPr>
        <w:tabs>
          <w:tab w:val="left" w:pos="284"/>
        </w:tabs>
        <w:jc w:val="both"/>
        <w:rPr>
          <w:b/>
          <w:sz w:val="22"/>
          <w:szCs w:val="22"/>
          <w:lang w:val="sr-Latn-ME"/>
        </w:rPr>
      </w:pPr>
    </w:p>
    <w:p w14:paraId="1F8D891C" w14:textId="6D5016B1" w:rsidR="002C62C8" w:rsidRPr="005474B2" w:rsidRDefault="007D7CE1">
      <w:pPr>
        <w:tabs>
          <w:tab w:val="left" w:pos="284"/>
        </w:tabs>
        <w:jc w:val="both"/>
        <w:rPr>
          <w:i/>
          <w:sz w:val="22"/>
          <w:szCs w:val="22"/>
          <w:lang w:val="sr-Latn-ME"/>
        </w:rPr>
      </w:pPr>
      <w:r w:rsidRPr="005474B2">
        <w:rPr>
          <w:i/>
          <w:iCs/>
          <w:sz w:val="22"/>
          <w:szCs w:val="22"/>
          <w:lang w:val="sr-Latn-ME"/>
        </w:rPr>
        <w:t>Ankilozirajući spondilitis</w:t>
      </w:r>
      <w:r w:rsidR="002C62C8" w:rsidRPr="005474B2">
        <w:rPr>
          <w:i/>
          <w:iCs/>
          <w:sz w:val="22"/>
          <w:szCs w:val="22"/>
          <w:lang w:val="sr-Latn-ME"/>
        </w:rPr>
        <w:t xml:space="preserve"> </w:t>
      </w:r>
      <w:r w:rsidRPr="005474B2">
        <w:rPr>
          <w:i/>
          <w:sz w:val="22"/>
          <w:szCs w:val="22"/>
          <w:lang w:val="sr-Latn-ME"/>
        </w:rPr>
        <w:t>(AS, radiografski aksijalni spondiloartritis)</w:t>
      </w:r>
    </w:p>
    <w:p w14:paraId="35814386" w14:textId="1F01922A" w:rsidR="007D7CE1" w:rsidRPr="005474B2" w:rsidRDefault="007D7CE1">
      <w:pPr>
        <w:jc w:val="both"/>
        <w:rPr>
          <w:sz w:val="22"/>
          <w:szCs w:val="22"/>
          <w:lang w:val="sr-Latn-ME"/>
        </w:rPr>
      </w:pPr>
      <w:r w:rsidRPr="005474B2">
        <w:rPr>
          <w:sz w:val="22"/>
          <w:szCs w:val="22"/>
          <w:lang w:val="sr-Latn-ME"/>
        </w:rPr>
        <w:t>Preporučena doza je 150 mg su</w:t>
      </w:r>
      <w:r w:rsidR="00801863" w:rsidRPr="005474B2">
        <w:rPr>
          <w:sz w:val="22"/>
          <w:szCs w:val="22"/>
          <w:lang w:val="sr-Latn-ME"/>
        </w:rPr>
        <w:t>b</w:t>
      </w:r>
      <w:r w:rsidRPr="005474B2">
        <w:rPr>
          <w:sz w:val="22"/>
          <w:szCs w:val="22"/>
          <w:lang w:val="sr-Latn-ME"/>
        </w:rPr>
        <w:t>kutanom injekcijom sa početnim doziranjem u 0</w:t>
      </w:r>
      <w:r w:rsidR="003559B7" w:rsidRPr="005474B2">
        <w:rPr>
          <w:sz w:val="22"/>
          <w:szCs w:val="22"/>
          <w:lang w:val="sr-Latn-ME"/>
        </w:rPr>
        <w:t>.</w:t>
      </w:r>
      <w:r w:rsidRPr="005474B2">
        <w:rPr>
          <w:sz w:val="22"/>
          <w:szCs w:val="22"/>
          <w:lang w:val="sr-Latn-ME"/>
        </w:rPr>
        <w:t>, 1</w:t>
      </w:r>
      <w:r w:rsidR="003559B7" w:rsidRPr="005474B2">
        <w:rPr>
          <w:sz w:val="22"/>
          <w:szCs w:val="22"/>
          <w:lang w:val="sr-Latn-ME"/>
        </w:rPr>
        <w:t>.</w:t>
      </w:r>
      <w:r w:rsidRPr="005474B2">
        <w:rPr>
          <w:sz w:val="22"/>
          <w:szCs w:val="22"/>
          <w:lang w:val="sr-Latn-ME"/>
        </w:rPr>
        <w:t>, 2</w:t>
      </w:r>
      <w:r w:rsidR="003559B7" w:rsidRPr="005474B2">
        <w:rPr>
          <w:sz w:val="22"/>
          <w:szCs w:val="22"/>
          <w:lang w:val="sr-Latn-ME"/>
        </w:rPr>
        <w:t>.</w:t>
      </w:r>
      <w:r w:rsidRPr="005474B2">
        <w:rPr>
          <w:sz w:val="22"/>
          <w:szCs w:val="22"/>
          <w:lang w:val="sr-Latn-ME"/>
        </w:rPr>
        <w:t xml:space="preserve">, 3. i 4. </w:t>
      </w:r>
      <w:r w:rsidR="009A4880" w:rsidRPr="005474B2">
        <w:rPr>
          <w:sz w:val="22"/>
          <w:szCs w:val="22"/>
          <w:lang w:val="sr-Latn-ME"/>
        </w:rPr>
        <w:t>nedjelj</w:t>
      </w:r>
      <w:r w:rsidRPr="005474B2">
        <w:rPr>
          <w:sz w:val="22"/>
          <w:szCs w:val="22"/>
          <w:lang w:val="sr-Latn-ME"/>
        </w:rPr>
        <w:t xml:space="preserve">i, nakon čega </w:t>
      </w:r>
      <w:r w:rsidR="009A4880" w:rsidRPr="005474B2">
        <w:rPr>
          <w:sz w:val="22"/>
          <w:szCs w:val="22"/>
          <w:lang w:val="sr-Latn-ME"/>
        </w:rPr>
        <w:t>slijedi</w:t>
      </w:r>
      <w:r w:rsidRPr="005474B2">
        <w:rPr>
          <w:sz w:val="22"/>
          <w:szCs w:val="22"/>
          <w:lang w:val="sr-Latn-ME"/>
        </w:rPr>
        <w:t xml:space="preserve"> </w:t>
      </w:r>
      <w:r w:rsidR="009A4880" w:rsidRPr="005474B2">
        <w:rPr>
          <w:sz w:val="22"/>
          <w:szCs w:val="22"/>
          <w:lang w:val="sr-Latn-ME"/>
        </w:rPr>
        <w:t>mjeseč</w:t>
      </w:r>
      <w:r w:rsidRPr="005474B2">
        <w:rPr>
          <w:sz w:val="22"/>
          <w:szCs w:val="22"/>
          <w:lang w:val="sr-Latn-ME"/>
        </w:rPr>
        <w:t>na doza održavanja. U zavisnosti od kliničkog odgovora, doza se može povećati do 300 mg.</w:t>
      </w:r>
    </w:p>
    <w:p w14:paraId="3B0829CC" w14:textId="35132014" w:rsidR="007D7CE1" w:rsidRPr="005474B2" w:rsidRDefault="007D7CE1">
      <w:pPr>
        <w:jc w:val="both"/>
        <w:rPr>
          <w:sz w:val="22"/>
          <w:szCs w:val="22"/>
          <w:lang w:val="sr-Latn-ME"/>
        </w:rPr>
      </w:pPr>
      <w:r w:rsidRPr="005474B2">
        <w:rPr>
          <w:sz w:val="22"/>
          <w:szCs w:val="22"/>
          <w:lang w:val="sr-Latn-ME"/>
        </w:rPr>
        <w:t xml:space="preserve">Svaka doza od 300 mg se daje kao </w:t>
      </w:r>
      <w:r w:rsidR="0060699C" w:rsidRPr="005474B2">
        <w:rPr>
          <w:sz w:val="22"/>
          <w:szCs w:val="22"/>
          <w:lang w:val="sr-Latn-ME"/>
        </w:rPr>
        <w:t>jedna su</w:t>
      </w:r>
      <w:r w:rsidR="00801863" w:rsidRPr="005474B2">
        <w:rPr>
          <w:sz w:val="22"/>
          <w:szCs w:val="22"/>
          <w:lang w:val="sr-Latn-ME"/>
        </w:rPr>
        <w:t>b</w:t>
      </w:r>
      <w:r w:rsidR="0060699C" w:rsidRPr="005474B2">
        <w:rPr>
          <w:sz w:val="22"/>
          <w:szCs w:val="22"/>
          <w:lang w:val="sr-Latn-ME"/>
        </w:rPr>
        <w:t xml:space="preserve">kutana injekcija od 300 mg ili kao </w:t>
      </w:r>
      <w:r w:rsidRPr="005474B2">
        <w:rPr>
          <w:sz w:val="22"/>
          <w:szCs w:val="22"/>
          <w:lang w:val="sr-Latn-ME"/>
        </w:rPr>
        <w:t>dv</w:t>
      </w:r>
      <w:r w:rsidR="009A4880" w:rsidRPr="005474B2">
        <w:rPr>
          <w:sz w:val="22"/>
          <w:szCs w:val="22"/>
          <w:lang w:val="sr-Latn-ME"/>
        </w:rPr>
        <w:t>ij</w:t>
      </w:r>
      <w:r w:rsidRPr="005474B2">
        <w:rPr>
          <w:sz w:val="22"/>
          <w:szCs w:val="22"/>
          <w:lang w:val="sr-Latn-ME"/>
        </w:rPr>
        <w:t>e su</w:t>
      </w:r>
      <w:r w:rsidR="00801863" w:rsidRPr="005474B2">
        <w:rPr>
          <w:sz w:val="22"/>
          <w:szCs w:val="22"/>
          <w:lang w:val="sr-Latn-ME"/>
        </w:rPr>
        <w:t>b</w:t>
      </w:r>
      <w:r w:rsidRPr="005474B2">
        <w:rPr>
          <w:sz w:val="22"/>
          <w:szCs w:val="22"/>
          <w:lang w:val="sr-Latn-ME"/>
        </w:rPr>
        <w:t>kutane injekcije od 150 mg.</w:t>
      </w:r>
    </w:p>
    <w:p w14:paraId="433840D7" w14:textId="77777777" w:rsidR="007D7CE1" w:rsidRPr="005474B2" w:rsidRDefault="007D7CE1">
      <w:pPr>
        <w:jc w:val="both"/>
        <w:rPr>
          <w:sz w:val="22"/>
          <w:szCs w:val="22"/>
          <w:lang w:val="sr-Latn-ME"/>
        </w:rPr>
      </w:pPr>
    </w:p>
    <w:p w14:paraId="601C47C1" w14:textId="39C26673" w:rsidR="007D7CE1" w:rsidRPr="005474B2" w:rsidRDefault="007D7CE1">
      <w:pPr>
        <w:tabs>
          <w:tab w:val="left" w:pos="284"/>
        </w:tabs>
        <w:jc w:val="both"/>
        <w:rPr>
          <w:i/>
          <w:sz w:val="22"/>
          <w:szCs w:val="22"/>
          <w:lang w:val="sr-Latn-ME"/>
        </w:rPr>
      </w:pPr>
      <w:r w:rsidRPr="005474B2">
        <w:rPr>
          <w:i/>
          <w:sz w:val="22"/>
          <w:szCs w:val="22"/>
          <w:lang w:val="sr-Latn-ME"/>
        </w:rPr>
        <w:t>Neradiografski aksijalni spondiloartritis (nr-axSpA)</w:t>
      </w:r>
    </w:p>
    <w:p w14:paraId="7CB64CC0" w14:textId="4735DE94" w:rsidR="007D7CE1" w:rsidRPr="005474B2" w:rsidRDefault="007D7CE1">
      <w:pPr>
        <w:jc w:val="both"/>
        <w:rPr>
          <w:sz w:val="22"/>
          <w:szCs w:val="22"/>
          <w:lang w:val="sr-Latn-ME"/>
        </w:rPr>
      </w:pPr>
      <w:r w:rsidRPr="005474B2">
        <w:rPr>
          <w:sz w:val="22"/>
          <w:szCs w:val="22"/>
          <w:lang w:val="sr-Latn-ME"/>
        </w:rPr>
        <w:t>Preporučena doza je 150 mg su</w:t>
      </w:r>
      <w:r w:rsidR="00801863" w:rsidRPr="005474B2">
        <w:rPr>
          <w:sz w:val="22"/>
          <w:szCs w:val="22"/>
          <w:lang w:val="sr-Latn-ME"/>
        </w:rPr>
        <w:t>b</w:t>
      </w:r>
      <w:r w:rsidRPr="005474B2">
        <w:rPr>
          <w:sz w:val="22"/>
          <w:szCs w:val="22"/>
          <w:lang w:val="sr-Latn-ME"/>
        </w:rPr>
        <w:t>kutanom injekcijom sa početnim doziranjem u 0</w:t>
      </w:r>
      <w:r w:rsidR="003559B7" w:rsidRPr="005474B2">
        <w:rPr>
          <w:sz w:val="22"/>
          <w:szCs w:val="22"/>
          <w:lang w:val="sr-Latn-ME"/>
        </w:rPr>
        <w:t>.</w:t>
      </w:r>
      <w:r w:rsidRPr="005474B2">
        <w:rPr>
          <w:sz w:val="22"/>
          <w:szCs w:val="22"/>
          <w:lang w:val="sr-Latn-ME"/>
        </w:rPr>
        <w:t>, 1</w:t>
      </w:r>
      <w:r w:rsidR="003559B7" w:rsidRPr="005474B2">
        <w:rPr>
          <w:sz w:val="22"/>
          <w:szCs w:val="22"/>
          <w:lang w:val="sr-Latn-ME"/>
        </w:rPr>
        <w:t>.</w:t>
      </w:r>
      <w:r w:rsidRPr="005474B2">
        <w:rPr>
          <w:sz w:val="22"/>
          <w:szCs w:val="22"/>
          <w:lang w:val="sr-Latn-ME"/>
        </w:rPr>
        <w:t>, 2</w:t>
      </w:r>
      <w:r w:rsidR="003559B7" w:rsidRPr="005474B2">
        <w:rPr>
          <w:sz w:val="22"/>
          <w:szCs w:val="22"/>
          <w:lang w:val="sr-Latn-ME"/>
        </w:rPr>
        <w:t>.</w:t>
      </w:r>
      <w:r w:rsidRPr="005474B2">
        <w:rPr>
          <w:sz w:val="22"/>
          <w:szCs w:val="22"/>
          <w:lang w:val="sr-Latn-ME"/>
        </w:rPr>
        <w:t>, 3</w:t>
      </w:r>
      <w:r w:rsidR="00162AA9" w:rsidRPr="005474B2">
        <w:rPr>
          <w:sz w:val="22"/>
          <w:szCs w:val="22"/>
          <w:lang w:val="sr-Latn-ME"/>
        </w:rPr>
        <w:t>.</w:t>
      </w:r>
      <w:r w:rsidRPr="005474B2">
        <w:rPr>
          <w:sz w:val="22"/>
          <w:szCs w:val="22"/>
          <w:lang w:val="sr-Latn-ME"/>
        </w:rPr>
        <w:t xml:space="preserve"> i 4. </w:t>
      </w:r>
      <w:r w:rsidR="009A4880" w:rsidRPr="005474B2">
        <w:rPr>
          <w:sz w:val="22"/>
          <w:szCs w:val="22"/>
          <w:lang w:val="sr-Latn-ME"/>
        </w:rPr>
        <w:t>nedjelj</w:t>
      </w:r>
      <w:r w:rsidRPr="005474B2">
        <w:rPr>
          <w:sz w:val="22"/>
          <w:szCs w:val="22"/>
          <w:lang w:val="sr-Latn-ME"/>
        </w:rPr>
        <w:t xml:space="preserve">i, nakon čega </w:t>
      </w:r>
      <w:r w:rsidR="009A4880" w:rsidRPr="005474B2">
        <w:rPr>
          <w:sz w:val="22"/>
          <w:szCs w:val="22"/>
          <w:lang w:val="sr-Latn-ME"/>
        </w:rPr>
        <w:t>slijedi</w:t>
      </w:r>
      <w:r w:rsidRPr="005474B2">
        <w:rPr>
          <w:sz w:val="22"/>
          <w:szCs w:val="22"/>
          <w:lang w:val="sr-Latn-ME"/>
        </w:rPr>
        <w:t xml:space="preserve"> </w:t>
      </w:r>
      <w:r w:rsidR="009A4880" w:rsidRPr="005474B2">
        <w:rPr>
          <w:sz w:val="22"/>
          <w:szCs w:val="22"/>
          <w:lang w:val="sr-Latn-ME"/>
        </w:rPr>
        <w:t>mjeseč</w:t>
      </w:r>
      <w:r w:rsidRPr="005474B2">
        <w:rPr>
          <w:sz w:val="22"/>
          <w:szCs w:val="22"/>
          <w:lang w:val="sr-Latn-ME"/>
        </w:rPr>
        <w:t>na doza održavanja.</w:t>
      </w:r>
      <w:r w:rsidR="00EF490D" w:rsidRPr="005474B2">
        <w:rPr>
          <w:sz w:val="22"/>
          <w:szCs w:val="22"/>
          <w:lang w:val="sr-Latn-ME"/>
        </w:rPr>
        <w:t xml:space="preserve"> </w:t>
      </w:r>
    </w:p>
    <w:p w14:paraId="78AB49BF" w14:textId="22F715F4" w:rsidR="007D7CE1" w:rsidRPr="005474B2" w:rsidRDefault="007D7CE1">
      <w:pPr>
        <w:jc w:val="both"/>
        <w:rPr>
          <w:sz w:val="22"/>
          <w:szCs w:val="22"/>
          <w:lang w:val="sr-Latn-ME"/>
        </w:rPr>
      </w:pPr>
    </w:p>
    <w:p w14:paraId="79594FBE" w14:textId="77777777" w:rsidR="00AB478E" w:rsidRPr="005474B2" w:rsidRDefault="00AB478E">
      <w:pPr>
        <w:jc w:val="both"/>
        <w:rPr>
          <w:sz w:val="22"/>
          <w:szCs w:val="22"/>
        </w:rPr>
      </w:pPr>
      <w:bookmarkStart w:id="3" w:name="_Hlk108536649"/>
      <w:proofErr w:type="spellStart"/>
      <w:r w:rsidRPr="005474B2">
        <w:rPr>
          <w:sz w:val="22"/>
          <w:szCs w:val="22"/>
        </w:rPr>
        <w:t>Juvenilni</w:t>
      </w:r>
      <w:proofErr w:type="spellEnd"/>
      <w:r w:rsidRPr="005474B2">
        <w:rPr>
          <w:sz w:val="22"/>
          <w:szCs w:val="22"/>
        </w:rPr>
        <w:t xml:space="preserve"> </w:t>
      </w:r>
      <w:proofErr w:type="spellStart"/>
      <w:r w:rsidRPr="005474B2">
        <w:rPr>
          <w:sz w:val="22"/>
          <w:szCs w:val="22"/>
        </w:rPr>
        <w:t>idiopatski</w:t>
      </w:r>
      <w:proofErr w:type="spellEnd"/>
      <w:r w:rsidRPr="005474B2">
        <w:rPr>
          <w:sz w:val="22"/>
          <w:szCs w:val="22"/>
        </w:rPr>
        <w:t xml:space="preserve"> </w:t>
      </w:r>
      <w:proofErr w:type="spellStart"/>
      <w:r w:rsidRPr="005474B2">
        <w:rPr>
          <w:sz w:val="22"/>
          <w:szCs w:val="22"/>
        </w:rPr>
        <w:t>artritis</w:t>
      </w:r>
      <w:proofErr w:type="spellEnd"/>
      <w:r w:rsidRPr="005474B2">
        <w:rPr>
          <w:sz w:val="22"/>
          <w:szCs w:val="22"/>
        </w:rPr>
        <w:t xml:space="preserve"> (JIA)</w:t>
      </w:r>
    </w:p>
    <w:p w14:paraId="725527A7" w14:textId="77777777" w:rsidR="00AB478E" w:rsidRPr="005474B2" w:rsidRDefault="00AB478E">
      <w:pPr>
        <w:jc w:val="both"/>
        <w:rPr>
          <w:sz w:val="22"/>
          <w:szCs w:val="22"/>
        </w:rPr>
      </w:pPr>
    </w:p>
    <w:p w14:paraId="47DF26C8" w14:textId="77777777" w:rsidR="00AB478E" w:rsidRPr="005474B2" w:rsidRDefault="00AB478E">
      <w:pPr>
        <w:jc w:val="both"/>
        <w:rPr>
          <w:sz w:val="22"/>
          <w:szCs w:val="22"/>
        </w:rPr>
      </w:pPr>
      <w:proofErr w:type="spellStart"/>
      <w:r w:rsidRPr="005474B2">
        <w:rPr>
          <w:sz w:val="22"/>
          <w:szCs w:val="22"/>
        </w:rPr>
        <w:t>Artritis</w:t>
      </w:r>
      <w:proofErr w:type="spellEnd"/>
      <w:r w:rsidRPr="005474B2">
        <w:rPr>
          <w:sz w:val="22"/>
          <w:szCs w:val="22"/>
        </w:rPr>
        <w:t xml:space="preserve"> </w:t>
      </w:r>
      <w:proofErr w:type="spellStart"/>
      <w:r w:rsidRPr="005474B2">
        <w:rPr>
          <w:sz w:val="22"/>
          <w:szCs w:val="22"/>
        </w:rPr>
        <w:t>povezan</w:t>
      </w:r>
      <w:proofErr w:type="spellEnd"/>
      <w:r w:rsidRPr="005474B2">
        <w:rPr>
          <w:sz w:val="22"/>
          <w:szCs w:val="22"/>
        </w:rPr>
        <w:t xml:space="preserve"> </w:t>
      </w:r>
      <w:proofErr w:type="spellStart"/>
      <w:r w:rsidRPr="005474B2">
        <w:rPr>
          <w:sz w:val="22"/>
          <w:szCs w:val="22"/>
        </w:rPr>
        <w:t>sa</w:t>
      </w:r>
      <w:proofErr w:type="spellEnd"/>
      <w:r w:rsidRPr="005474B2">
        <w:rPr>
          <w:sz w:val="22"/>
          <w:szCs w:val="22"/>
        </w:rPr>
        <w:t xml:space="preserve"> </w:t>
      </w:r>
      <w:proofErr w:type="spellStart"/>
      <w:r w:rsidRPr="005474B2">
        <w:rPr>
          <w:sz w:val="22"/>
          <w:szCs w:val="22"/>
        </w:rPr>
        <w:t>entezitisom</w:t>
      </w:r>
      <w:proofErr w:type="spellEnd"/>
      <w:r w:rsidRPr="005474B2">
        <w:rPr>
          <w:sz w:val="22"/>
          <w:szCs w:val="22"/>
        </w:rPr>
        <w:t xml:space="preserve"> (ERA) </w:t>
      </w:r>
      <w:proofErr w:type="spellStart"/>
      <w:r w:rsidRPr="005474B2">
        <w:rPr>
          <w:sz w:val="22"/>
          <w:szCs w:val="22"/>
        </w:rPr>
        <w:t>i</w:t>
      </w:r>
      <w:proofErr w:type="spellEnd"/>
      <w:r w:rsidRPr="005474B2">
        <w:rPr>
          <w:sz w:val="22"/>
          <w:szCs w:val="22"/>
        </w:rPr>
        <w:t xml:space="preserve"> </w:t>
      </w:r>
      <w:proofErr w:type="spellStart"/>
      <w:r w:rsidRPr="005474B2">
        <w:rPr>
          <w:sz w:val="22"/>
          <w:szCs w:val="22"/>
        </w:rPr>
        <w:t>juvenilni</w:t>
      </w:r>
      <w:proofErr w:type="spellEnd"/>
      <w:r w:rsidRPr="005474B2">
        <w:rPr>
          <w:sz w:val="22"/>
          <w:szCs w:val="22"/>
        </w:rPr>
        <w:t xml:space="preserve"> </w:t>
      </w:r>
      <w:proofErr w:type="spellStart"/>
      <w:r w:rsidRPr="005474B2">
        <w:rPr>
          <w:sz w:val="22"/>
          <w:szCs w:val="22"/>
        </w:rPr>
        <w:t>psorijazni</w:t>
      </w:r>
      <w:proofErr w:type="spellEnd"/>
      <w:r w:rsidRPr="005474B2">
        <w:rPr>
          <w:sz w:val="22"/>
          <w:szCs w:val="22"/>
        </w:rPr>
        <w:t xml:space="preserve"> </w:t>
      </w:r>
      <w:proofErr w:type="spellStart"/>
      <w:r w:rsidRPr="005474B2">
        <w:rPr>
          <w:sz w:val="22"/>
          <w:szCs w:val="22"/>
        </w:rPr>
        <w:t>artritis</w:t>
      </w:r>
      <w:proofErr w:type="spellEnd"/>
      <w:r w:rsidRPr="005474B2">
        <w:rPr>
          <w:sz w:val="22"/>
          <w:szCs w:val="22"/>
        </w:rPr>
        <w:t xml:space="preserve"> (</w:t>
      </w:r>
      <w:proofErr w:type="spellStart"/>
      <w:r w:rsidRPr="005474B2">
        <w:rPr>
          <w:sz w:val="22"/>
          <w:szCs w:val="22"/>
        </w:rPr>
        <w:t>JPsA</w:t>
      </w:r>
      <w:proofErr w:type="spellEnd"/>
      <w:r w:rsidRPr="005474B2">
        <w:rPr>
          <w:sz w:val="22"/>
          <w:szCs w:val="22"/>
        </w:rPr>
        <w:t>)</w:t>
      </w:r>
    </w:p>
    <w:p w14:paraId="56DF9CE6" w14:textId="7BB774E6" w:rsidR="00AB478E" w:rsidRPr="005474B2" w:rsidRDefault="00AB478E">
      <w:pPr>
        <w:jc w:val="both"/>
        <w:rPr>
          <w:sz w:val="22"/>
          <w:szCs w:val="22"/>
        </w:rPr>
      </w:pPr>
      <w:proofErr w:type="spellStart"/>
      <w:r w:rsidRPr="005474B2">
        <w:rPr>
          <w:sz w:val="22"/>
          <w:szCs w:val="22"/>
        </w:rPr>
        <w:t>Preporučena</w:t>
      </w:r>
      <w:proofErr w:type="spellEnd"/>
      <w:r w:rsidRPr="005474B2">
        <w:rPr>
          <w:sz w:val="22"/>
          <w:szCs w:val="22"/>
        </w:rPr>
        <w:t xml:space="preserve"> </w:t>
      </w:r>
      <w:proofErr w:type="spellStart"/>
      <w:r w:rsidRPr="005474B2">
        <w:rPr>
          <w:sz w:val="22"/>
          <w:szCs w:val="22"/>
        </w:rPr>
        <w:t>doza</w:t>
      </w:r>
      <w:proofErr w:type="spellEnd"/>
      <w:r w:rsidRPr="005474B2">
        <w:rPr>
          <w:sz w:val="22"/>
          <w:szCs w:val="22"/>
        </w:rPr>
        <w:t xml:space="preserve"> se </w:t>
      </w:r>
      <w:proofErr w:type="spellStart"/>
      <w:r w:rsidRPr="005474B2">
        <w:rPr>
          <w:sz w:val="22"/>
          <w:szCs w:val="22"/>
        </w:rPr>
        <w:t>zasniva</w:t>
      </w:r>
      <w:proofErr w:type="spellEnd"/>
      <w:r w:rsidRPr="005474B2">
        <w:rPr>
          <w:sz w:val="22"/>
          <w:szCs w:val="22"/>
        </w:rPr>
        <w:t xml:space="preserve"> </w:t>
      </w:r>
      <w:proofErr w:type="spellStart"/>
      <w:r w:rsidRPr="005474B2">
        <w:rPr>
          <w:sz w:val="22"/>
          <w:szCs w:val="22"/>
        </w:rPr>
        <w:t>na</w:t>
      </w:r>
      <w:proofErr w:type="spellEnd"/>
      <w:r w:rsidRPr="005474B2">
        <w:rPr>
          <w:sz w:val="22"/>
          <w:szCs w:val="22"/>
        </w:rPr>
        <w:t xml:space="preserve"> </w:t>
      </w:r>
      <w:proofErr w:type="spellStart"/>
      <w:r w:rsidRPr="005474B2">
        <w:rPr>
          <w:sz w:val="22"/>
          <w:szCs w:val="22"/>
        </w:rPr>
        <w:t>tjelesnoj</w:t>
      </w:r>
      <w:proofErr w:type="spellEnd"/>
      <w:r w:rsidRPr="005474B2">
        <w:rPr>
          <w:sz w:val="22"/>
          <w:szCs w:val="22"/>
        </w:rPr>
        <w:t xml:space="preserve"> </w:t>
      </w:r>
      <w:proofErr w:type="spellStart"/>
      <w:r w:rsidRPr="005474B2">
        <w:rPr>
          <w:sz w:val="22"/>
          <w:szCs w:val="22"/>
        </w:rPr>
        <w:t>masi</w:t>
      </w:r>
      <w:proofErr w:type="spellEnd"/>
      <w:r w:rsidRPr="005474B2">
        <w:rPr>
          <w:sz w:val="22"/>
          <w:szCs w:val="22"/>
        </w:rPr>
        <w:t xml:space="preserve"> (</w:t>
      </w:r>
      <w:proofErr w:type="spellStart"/>
      <w:r w:rsidRPr="005474B2">
        <w:rPr>
          <w:sz w:val="22"/>
          <w:szCs w:val="22"/>
        </w:rPr>
        <w:t>Tabela</w:t>
      </w:r>
      <w:proofErr w:type="spellEnd"/>
      <w:r w:rsidRPr="005474B2">
        <w:rPr>
          <w:sz w:val="22"/>
          <w:szCs w:val="22"/>
        </w:rPr>
        <w:t xml:space="preserve"> 2) </w:t>
      </w:r>
      <w:proofErr w:type="spellStart"/>
      <w:r w:rsidRPr="005474B2">
        <w:rPr>
          <w:sz w:val="22"/>
          <w:szCs w:val="22"/>
        </w:rPr>
        <w:t>i</w:t>
      </w:r>
      <w:proofErr w:type="spellEnd"/>
      <w:r w:rsidRPr="005474B2">
        <w:rPr>
          <w:sz w:val="22"/>
          <w:szCs w:val="22"/>
        </w:rPr>
        <w:t xml:space="preserve"> </w:t>
      </w:r>
      <w:proofErr w:type="spellStart"/>
      <w:r w:rsidRPr="005474B2">
        <w:rPr>
          <w:sz w:val="22"/>
          <w:szCs w:val="22"/>
        </w:rPr>
        <w:t>primjenjuje</w:t>
      </w:r>
      <w:proofErr w:type="spellEnd"/>
      <w:r w:rsidRPr="005474B2">
        <w:rPr>
          <w:sz w:val="22"/>
          <w:szCs w:val="22"/>
        </w:rPr>
        <w:t xml:space="preserve"> se </w:t>
      </w:r>
      <w:proofErr w:type="spellStart"/>
      <w:r w:rsidRPr="005474B2">
        <w:rPr>
          <w:sz w:val="22"/>
          <w:szCs w:val="22"/>
        </w:rPr>
        <w:t>supkutanom</w:t>
      </w:r>
      <w:proofErr w:type="spellEnd"/>
      <w:r w:rsidRPr="005474B2">
        <w:rPr>
          <w:sz w:val="22"/>
          <w:szCs w:val="22"/>
        </w:rPr>
        <w:t xml:space="preserve"> </w:t>
      </w:r>
      <w:proofErr w:type="spellStart"/>
      <w:r w:rsidRPr="005474B2">
        <w:rPr>
          <w:sz w:val="22"/>
          <w:szCs w:val="22"/>
        </w:rPr>
        <w:t>injekcijom</w:t>
      </w:r>
      <w:proofErr w:type="spellEnd"/>
      <w:r w:rsidRPr="005474B2">
        <w:rPr>
          <w:sz w:val="22"/>
          <w:szCs w:val="22"/>
        </w:rPr>
        <w:t xml:space="preserve"> u 0</w:t>
      </w:r>
      <w:r w:rsidR="007811E7">
        <w:rPr>
          <w:sz w:val="22"/>
          <w:szCs w:val="22"/>
        </w:rPr>
        <w:t>.</w:t>
      </w:r>
      <w:r w:rsidRPr="005474B2">
        <w:rPr>
          <w:sz w:val="22"/>
          <w:szCs w:val="22"/>
        </w:rPr>
        <w:t>, 1</w:t>
      </w:r>
      <w:r w:rsidR="007811E7">
        <w:rPr>
          <w:sz w:val="22"/>
          <w:szCs w:val="22"/>
        </w:rPr>
        <w:t>.</w:t>
      </w:r>
      <w:r w:rsidRPr="005474B2">
        <w:rPr>
          <w:sz w:val="22"/>
          <w:szCs w:val="22"/>
        </w:rPr>
        <w:t>, 2</w:t>
      </w:r>
      <w:r w:rsidR="007811E7">
        <w:rPr>
          <w:sz w:val="22"/>
          <w:szCs w:val="22"/>
        </w:rPr>
        <w:t>.</w:t>
      </w:r>
      <w:r w:rsidRPr="005474B2">
        <w:rPr>
          <w:sz w:val="22"/>
          <w:szCs w:val="22"/>
        </w:rPr>
        <w:t xml:space="preserve">, 3. </w:t>
      </w:r>
      <w:proofErr w:type="spellStart"/>
      <w:r w:rsidRPr="005474B2">
        <w:rPr>
          <w:sz w:val="22"/>
          <w:szCs w:val="22"/>
        </w:rPr>
        <w:t>i</w:t>
      </w:r>
      <w:proofErr w:type="spellEnd"/>
      <w:r w:rsidRPr="005474B2">
        <w:rPr>
          <w:sz w:val="22"/>
          <w:szCs w:val="22"/>
        </w:rPr>
        <w:t xml:space="preserve"> 4. </w:t>
      </w:r>
      <w:proofErr w:type="spellStart"/>
      <w:r w:rsidRPr="005474B2">
        <w:rPr>
          <w:sz w:val="22"/>
          <w:szCs w:val="22"/>
        </w:rPr>
        <w:t>nedjelji</w:t>
      </w:r>
      <w:proofErr w:type="spellEnd"/>
      <w:r w:rsidRPr="005474B2">
        <w:rPr>
          <w:sz w:val="22"/>
          <w:szCs w:val="22"/>
        </w:rPr>
        <w:t xml:space="preserve">, </w:t>
      </w:r>
      <w:proofErr w:type="spellStart"/>
      <w:r w:rsidRPr="005474B2">
        <w:rPr>
          <w:sz w:val="22"/>
          <w:szCs w:val="22"/>
        </w:rPr>
        <w:t>nakon</w:t>
      </w:r>
      <w:proofErr w:type="spellEnd"/>
      <w:r w:rsidRPr="005474B2">
        <w:rPr>
          <w:sz w:val="22"/>
          <w:szCs w:val="22"/>
        </w:rPr>
        <w:t xml:space="preserve"> </w:t>
      </w:r>
      <w:proofErr w:type="spellStart"/>
      <w:r w:rsidRPr="005474B2">
        <w:rPr>
          <w:sz w:val="22"/>
          <w:szCs w:val="22"/>
        </w:rPr>
        <w:t>čega</w:t>
      </w:r>
      <w:proofErr w:type="spellEnd"/>
      <w:r w:rsidRPr="005474B2">
        <w:rPr>
          <w:sz w:val="22"/>
          <w:szCs w:val="22"/>
        </w:rPr>
        <w:t xml:space="preserve"> </w:t>
      </w:r>
      <w:proofErr w:type="spellStart"/>
      <w:r w:rsidRPr="005474B2">
        <w:rPr>
          <w:sz w:val="22"/>
          <w:szCs w:val="22"/>
        </w:rPr>
        <w:t>slijedi</w:t>
      </w:r>
      <w:proofErr w:type="spellEnd"/>
      <w:r w:rsidRPr="005474B2">
        <w:rPr>
          <w:sz w:val="22"/>
          <w:szCs w:val="22"/>
        </w:rPr>
        <w:t xml:space="preserve"> </w:t>
      </w:r>
      <w:proofErr w:type="spellStart"/>
      <w:r w:rsidRPr="005474B2">
        <w:rPr>
          <w:sz w:val="22"/>
          <w:szCs w:val="22"/>
        </w:rPr>
        <w:t>mjesečna</w:t>
      </w:r>
      <w:proofErr w:type="spellEnd"/>
      <w:r w:rsidRPr="005474B2">
        <w:rPr>
          <w:sz w:val="22"/>
          <w:szCs w:val="22"/>
        </w:rPr>
        <w:t xml:space="preserve"> </w:t>
      </w:r>
      <w:proofErr w:type="spellStart"/>
      <w:r w:rsidRPr="005474B2">
        <w:rPr>
          <w:sz w:val="22"/>
          <w:szCs w:val="22"/>
        </w:rPr>
        <w:t>doza</w:t>
      </w:r>
      <w:proofErr w:type="spellEnd"/>
      <w:r w:rsidRPr="005474B2">
        <w:rPr>
          <w:sz w:val="22"/>
          <w:szCs w:val="22"/>
        </w:rPr>
        <w:t xml:space="preserve"> </w:t>
      </w:r>
      <w:proofErr w:type="spellStart"/>
      <w:r w:rsidRPr="005474B2">
        <w:rPr>
          <w:sz w:val="22"/>
          <w:szCs w:val="22"/>
        </w:rPr>
        <w:t>održavanja</w:t>
      </w:r>
      <w:proofErr w:type="spellEnd"/>
      <w:r w:rsidRPr="005474B2">
        <w:rPr>
          <w:sz w:val="22"/>
          <w:szCs w:val="22"/>
        </w:rPr>
        <w:t xml:space="preserve">. </w:t>
      </w:r>
      <w:proofErr w:type="spellStart"/>
      <w:r w:rsidRPr="005474B2">
        <w:rPr>
          <w:sz w:val="22"/>
          <w:szCs w:val="22"/>
        </w:rPr>
        <w:t>Jedna</w:t>
      </w:r>
      <w:proofErr w:type="spellEnd"/>
      <w:r w:rsidRPr="005474B2">
        <w:rPr>
          <w:sz w:val="22"/>
          <w:szCs w:val="22"/>
        </w:rPr>
        <w:t xml:space="preserve"> </w:t>
      </w:r>
      <w:proofErr w:type="spellStart"/>
      <w:r w:rsidRPr="005474B2">
        <w:rPr>
          <w:sz w:val="22"/>
          <w:szCs w:val="22"/>
        </w:rPr>
        <w:t>doza</w:t>
      </w:r>
      <w:proofErr w:type="spellEnd"/>
      <w:r w:rsidRPr="005474B2">
        <w:rPr>
          <w:sz w:val="22"/>
          <w:szCs w:val="22"/>
        </w:rPr>
        <w:t xml:space="preserve"> od 75 mg se </w:t>
      </w:r>
      <w:proofErr w:type="spellStart"/>
      <w:r w:rsidRPr="005474B2">
        <w:rPr>
          <w:sz w:val="22"/>
          <w:szCs w:val="22"/>
        </w:rPr>
        <w:t>daje</w:t>
      </w:r>
      <w:proofErr w:type="spellEnd"/>
      <w:r w:rsidRPr="005474B2">
        <w:rPr>
          <w:sz w:val="22"/>
          <w:szCs w:val="22"/>
        </w:rPr>
        <w:t xml:space="preserve"> </w:t>
      </w:r>
      <w:proofErr w:type="spellStart"/>
      <w:r w:rsidRPr="005474B2">
        <w:rPr>
          <w:sz w:val="22"/>
          <w:szCs w:val="22"/>
        </w:rPr>
        <w:t>kao</w:t>
      </w:r>
      <w:proofErr w:type="spellEnd"/>
      <w:r w:rsidRPr="005474B2">
        <w:rPr>
          <w:sz w:val="22"/>
          <w:szCs w:val="22"/>
        </w:rPr>
        <w:t xml:space="preserve"> </w:t>
      </w:r>
      <w:proofErr w:type="spellStart"/>
      <w:r w:rsidRPr="005474B2">
        <w:rPr>
          <w:sz w:val="22"/>
          <w:szCs w:val="22"/>
        </w:rPr>
        <w:t>jedna</w:t>
      </w:r>
      <w:proofErr w:type="spellEnd"/>
      <w:r w:rsidRPr="005474B2">
        <w:rPr>
          <w:sz w:val="22"/>
          <w:szCs w:val="22"/>
        </w:rPr>
        <w:t xml:space="preserve"> </w:t>
      </w:r>
      <w:proofErr w:type="spellStart"/>
      <w:r w:rsidRPr="005474B2">
        <w:rPr>
          <w:sz w:val="22"/>
          <w:szCs w:val="22"/>
        </w:rPr>
        <w:t>supkutana</w:t>
      </w:r>
      <w:proofErr w:type="spellEnd"/>
      <w:r w:rsidRPr="005474B2">
        <w:rPr>
          <w:sz w:val="22"/>
          <w:szCs w:val="22"/>
        </w:rPr>
        <w:t xml:space="preserve"> </w:t>
      </w:r>
      <w:proofErr w:type="spellStart"/>
      <w:r w:rsidRPr="005474B2">
        <w:rPr>
          <w:sz w:val="22"/>
          <w:szCs w:val="22"/>
        </w:rPr>
        <w:t>injekcija</w:t>
      </w:r>
      <w:proofErr w:type="spellEnd"/>
      <w:r w:rsidRPr="005474B2">
        <w:rPr>
          <w:sz w:val="22"/>
          <w:szCs w:val="22"/>
        </w:rPr>
        <w:t xml:space="preserve"> od 75 mg. </w:t>
      </w:r>
      <w:proofErr w:type="spellStart"/>
      <w:r w:rsidRPr="005474B2">
        <w:rPr>
          <w:sz w:val="22"/>
          <w:szCs w:val="22"/>
        </w:rPr>
        <w:t>Jedna</w:t>
      </w:r>
      <w:proofErr w:type="spellEnd"/>
      <w:r w:rsidRPr="005474B2">
        <w:rPr>
          <w:sz w:val="22"/>
          <w:szCs w:val="22"/>
        </w:rPr>
        <w:t xml:space="preserve"> </w:t>
      </w:r>
      <w:proofErr w:type="spellStart"/>
      <w:r w:rsidRPr="005474B2">
        <w:rPr>
          <w:sz w:val="22"/>
          <w:szCs w:val="22"/>
        </w:rPr>
        <w:t>doza</w:t>
      </w:r>
      <w:proofErr w:type="spellEnd"/>
      <w:r w:rsidRPr="005474B2">
        <w:rPr>
          <w:sz w:val="22"/>
          <w:szCs w:val="22"/>
        </w:rPr>
        <w:t xml:space="preserve"> od 150 mg </w:t>
      </w:r>
      <w:proofErr w:type="spellStart"/>
      <w:r w:rsidRPr="005474B2">
        <w:rPr>
          <w:sz w:val="22"/>
          <w:szCs w:val="22"/>
        </w:rPr>
        <w:t>daje</w:t>
      </w:r>
      <w:proofErr w:type="spellEnd"/>
      <w:r w:rsidRPr="005474B2">
        <w:rPr>
          <w:sz w:val="22"/>
          <w:szCs w:val="22"/>
        </w:rPr>
        <w:t xml:space="preserve"> se </w:t>
      </w:r>
      <w:proofErr w:type="spellStart"/>
      <w:r w:rsidRPr="005474B2">
        <w:rPr>
          <w:sz w:val="22"/>
          <w:szCs w:val="22"/>
        </w:rPr>
        <w:t>kao</w:t>
      </w:r>
      <w:proofErr w:type="spellEnd"/>
      <w:r w:rsidRPr="005474B2">
        <w:rPr>
          <w:sz w:val="22"/>
          <w:szCs w:val="22"/>
        </w:rPr>
        <w:t xml:space="preserve"> </w:t>
      </w:r>
      <w:proofErr w:type="spellStart"/>
      <w:r w:rsidRPr="005474B2">
        <w:rPr>
          <w:sz w:val="22"/>
          <w:szCs w:val="22"/>
        </w:rPr>
        <w:t>jedna</w:t>
      </w:r>
      <w:proofErr w:type="spellEnd"/>
      <w:r w:rsidRPr="005474B2">
        <w:rPr>
          <w:sz w:val="22"/>
          <w:szCs w:val="22"/>
        </w:rPr>
        <w:t xml:space="preserve"> </w:t>
      </w:r>
      <w:proofErr w:type="spellStart"/>
      <w:r w:rsidRPr="005474B2">
        <w:rPr>
          <w:sz w:val="22"/>
          <w:szCs w:val="22"/>
        </w:rPr>
        <w:t>supkutana</w:t>
      </w:r>
      <w:proofErr w:type="spellEnd"/>
      <w:r w:rsidRPr="005474B2">
        <w:rPr>
          <w:sz w:val="22"/>
          <w:szCs w:val="22"/>
        </w:rPr>
        <w:t xml:space="preserve"> </w:t>
      </w:r>
      <w:proofErr w:type="spellStart"/>
      <w:r w:rsidRPr="005474B2">
        <w:rPr>
          <w:sz w:val="22"/>
          <w:szCs w:val="22"/>
        </w:rPr>
        <w:t>injekcija</w:t>
      </w:r>
      <w:proofErr w:type="spellEnd"/>
      <w:r w:rsidRPr="005474B2">
        <w:rPr>
          <w:sz w:val="22"/>
          <w:szCs w:val="22"/>
        </w:rPr>
        <w:t xml:space="preserve"> od 150 mg.</w:t>
      </w:r>
    </w:p>
    <w:p w14:paraId="5B930004" w14:textId="77777777" w:rsidR="00AB478E" w:rsidRPr="005474B2" w:rsidRDefault="00AB478E">
      <w:pPr>
        <w:jc w:val="both"/>
        <w:rPr>
          <w:sz w:val="22"/>
          <w:szCs w:val="22"/>
        </w:rPr>
      </w:pPr>
    </w:p>
    <w:p w14:paraId="317478D7" w14:textId="77777777" w:rsidR="00AB478E" w:rsidRPr="005474B2" w:rsidRDefault="00AB478E">
      <w:pPr>
        <w:jc w:val="both"/>
        <w:rPr>
          <w:b/>
          <w:bCs/>
          <w:sz w:val="22"/>
          <w:szCs w:val="22"/>
        </w:rPr>
      </w:pPr>
      <w:proofErr w:type="spellStart"/>
      <w:r w:rsidRPr="005474B2">
        <w:rPr>
          <w:b/>
          <w:bCs/>
          <w:sz w:val="22"/>
          <w:szCs w:val="22"/>
        </w:rPr>
        <w:t>Tabela</w:t>
      </w:r>
      <w:proofErr w:type="spellEnd"/>
      <w:r w:rsidRPr="005474B2">
        <w:rPr>
          <w:b/>
          <w:bCs/>
          <w:sz w:val="22"/>
          <w:szCs w:val="22"/>
        </w:rPr>
        <w:t xml:space="preserve"> 2</w:t>
      </w:r>
      <w:r w:rsidRPr="005474B2">
        <w:rPr>
          <w:b/>
          <w:bCs/>
          <w:sz w:val="22"/>
          <w:szCs w:val="22"/>
        </w:rPr>
        <w:tab/>
      </w:r>
      <w:proofErr w:type="spellStart"/>
      <w:r w:rsidRPr="005474B2">
        <w:rPr>
          <w:b/>
          <w:bCs/>
          <w:sz w:val="22"/>
          <w:szCs w:val="22"/>
        </w:rPr>
        <w:t>Preporučena</w:t>
      </w:r>
      <w:proofErr w:type="spellEnd"/>
      <w:r w:rsidRPr="005474B2">
        <w:rPr>
          <w:b/>
          <w:bCs/>
          <w:sz w:val="22"/>
          <w:szCs w:val="22"/>
        </w:rPr>
        <w:t xml:space="preserve"> </w:t>
      </w:r>
      <w:proofErr w:type="spellStart"/>
      <w:r w:rsidRPr="005474B2">
        <w:rPr>
          <w:b/>
          <w:bCs/>
          <w:sz w:val="22"/>
          <w:szCs w:val="22"/>
        </w:rPr>
        <w:t>doza</w:t>
      </w:r>
      <w:proofErr w:type="spellEnd"/>
      <w:r w:rsidRPr="005474B2">
        <w:rPr>
          <w:b/>
          <w:bCs/>
          <w:sz w:val="22"/>
          <w:szCs w:val="22"/>
        </w:rPr>
        <w:t xml:space="preserve"> </w:t>
      </w:r>
      <w:proofErr w:type="spellStart"/>
      <w:r w:rsidRPr="005474B2">
        <w:rPr>
          <w:b/>
          <w:bCs/>
          <w:sz w:val="22"/>
          <w:szCs w:val="22"/>
        </w:rPr>
        <w:t>za</w:t>
      </w:r>
      <w:proofErr w:type="spellEnd"/>
      <w:r w:rsidRPr="005474B2">
        <w:rPr>
          <w:b/>
          <w:bCs/>
          <w:sz w:val="22"/>
          <w:szCs w:val="22"/>
        </w:rPr>
        <w:t xml:space="preserve"> </w:t>
      </w:r>
      <w:proofErr w:type="spellStart"/>
      <w:r w:rsidRPr="005474B2">
        <w:rPr>
          <w:b/>
          <w:bCs/>
          <w:sz w:val="22"/>
          <w:szCs w:val="22"/>
        </w:rPr>
        <w:t>juvenilni</w:t>
      </w:r>
      <w:proofErr w:type="spellEnd"/>
      <w:r w:rsidRPr="005474B2">
        <w:rPr>
          <w:b/>
          <w:bCs/>
          <w:sz w:val="22"/>
          <w:szCs w:val="22"/>
        </w:rPr>
        <w:t xml:space="preserve"> </w:t>
      </w:r>
      <w:proofErr w:type="spellStart"/>
      <w:r w:rsidRPr="005474B2">
        <w:rPr>
          <w:b/>
          <w:bCs/>
          <w:sz w:val="22"/>
          <w:szCs w:val="22"/>
        </w:rPr>
        <w:t>idiopatski</w:t>
      </w:r>
      <w:proofErr w:type="spellEnd"/>
      <w:r w:rsidRPr="005474B2">
        <w:rPr>
          <w:b/>
          <w:bCs/>
          <w:sz w:val="22"/>
          <w:szCs w:val="22"/>
        </w:rPr>
        <w:t xml:space="preserve"> </w:t>
      </w:r>
      <w:proofErr w:type="spellStart"/>
      <w:r w:rsidRPr="005474B2">
        <w:rPr>
          <w:b/>
          <w:bCs/>
          <w:sz w:val="22"/>
          <w:szCs w:val="22"/>
        </w:rPr>
        <w:t>artritis</w:t>
      </w:r>
      <w:proofErr w:type="spellEnd"/>
    </w:p>
    <w:bookmarkEnd w:id="3"/>
    <w:p w14:paraId="7C11EEDB" w14:textId="3D25851E" w:rsidR="00AB478E" w:rsidRPr="005474B2" w:rsidRDefault="00AB478E">
      <w:pPr>
        <w:jc w:val="both"/>
        <w:rPr>
          <w:sz w:val="22"/>
          <w:szCs w:val="22"/>
          <w:lang w:val="sr-Latn-ME"/>
        </w:rPr>
      </w:pPr>
    </w:p>
    <w:tbl>
      <w:tblPr>
        <w:tblStyle w:val="TableGrid2"/>
        <w:tblW w:w="0" w:type="auto"/>
        <w:tblLook w:val="04A0" w:firstRow="1" w:lastRow="0" w:firstColumn="1" w:lastColumn="0" w:noHBand="0" w:noVBand="1"/>
      </w:tblPr>
      <w:tblGrid>
        <w:gridCol w:w="4530"/>
        <w:gridCol w:w="4531"/>
      </w:tblGrid>
      <w:tr w:rsidR="00AB478E" w:rsidRPr="0009637B" w14:paraId="302E297E" w14:textId="77777777" w:rsidTr="00907A1D">
        <w:tc>
          <w:tcPr>
            <w:tcW w:w="4530" w:type="dxa"/>
            <w:hideMark/>
          </w:tcPr>
          <w:p w14:paraId="48ABE32E" w14:textId="77777777" w:rsidR="00AB478E" w:rsidRPr="0009637B" w:rsidRDefault="00AB478E" w:rsidP="005474B2">
            <w:pPr>
              <w:keepNext/>
              <w:jc w:val="both"/>
              <w:rPr>
                <w:b/>
                <w:sz w:val="22"/>
                <w:szCs w:val="22"/>
              </w:rPr>
            </w:pPr>
            <w:bookmarkStart w:id="4" w:name="_Hlk108536663"/>
            <w:proofErr w:type="spellStart"/>
            <w:r w:rsidRPr="0009637B">
              <w:rPr>
                <w:b/>
                <w:sz w:val="22"/>
                <w:szCs w:val="22"/>
              </w:rPr>
              <w:t>Tjelesna</w:t>
            </w:r>
            <w:proofErr w:type="spellEnd"/>
            <w:r w:rsidRPr="0009637B">
              <w:rPr>
                <w:b/>
                <w:sz w:val="22"/>
                <w:szCs w:val="22"/>
              </w:rPr>
              <w:t xml:space="preserve"> masa u </w:t>
            </w:r>
            <w:proofErr w:type="spellStart"/>
            <w:r w:rsidRPr="0009637B">
              <w:rPr>
                <w:b/>
                <w:sz w:val="22"/>
                <w:szCs w:val="22"/>
              </w:rPr>
              <w:t>vrijeme</w:t>
            </w:r>
            <w:proofErr w:type="spellEnd"/>
            <w:r w:rsidRPr="0009637B">
              <w:rPr>
                <w:b/>
                <w:sz w:val="22"/>
                <w:szCs w:val="22"/>
              </w:rPr>
              <w:t xml:space="preserve"> </w:t>
            </w:r>
            <w:proofErr w:type="spellStart"/>
            <w:r w:rsidRPr="0009637B">
              <w:rPr>
                <w:b/>
                <w:sz w:val="22"/>
                <w:szCs w:val="22"/>
              </w:rPr>
              <w:t>doziranja</w:t>
            </w:r>
            <w:proofErr w:type="spellEnd"/>
          </w:p>
        </w:tc>
        <w:tc>
          <w:tcPr>
            <w:tcW w:w="4531" w:type="dxa"/>
            <w:hideMark/>
          </w:tcPr>
          <w:p w14:paraId="0537290A" w14:textId="77777777" w:rsidR="00AB478E" w:rsidRPr="0009637B" w:rsidRDefault="00AB478E" w:rsidP="005474B2">
            <w:pPr>
              <w:keepNext/>
              <w:jc w:val="both"/>
              <w:rPr>
                <w:b/>
                <w:sz w:val="22"/>
                <w:szCs w:val="22"/>
              </w:rPr>
            </w:pPr>
            <w:proofErr w:type="spellStart"/>
            <w:r w:rsidRPr="0009637B">
              <w:rPr>
                <w:b/>
                <w:sz w:val="22"/>
                <w:szCs w:val="22"/>
              </w:rPr>
              <w:t>Preporučena</w:t>
            </w:r>
            <w:proofErr w:type="spellEnd"/>
            <w:r w:rsidRPr="0009637B">
              <w:rPr>
                <w:b/>
                <w:sz w:val="22"/>
                <w:szCs w:val="22"/>
              </w:rPr>
              <w:t xml:space="preserve"> </w:t>
            </w:r>
            <w:proofErr w:type="spellStart"/>
            <w:r w:rsidRPr="0009637B">
              <w:rPr>
                <w:b/>
                <w:sz w:val="22"/>
                <w:szCs w:val="22"/>
              </w:rPr>
              <w:t>doza</w:t>
            </w:r>
            <w:proofErr w:type="spellEnd"/>
          </w:p>
        </w:tc>
      </w:tr>
      <w:tr w:rsidR="00AB478E" w:rsidRPr="0009637B" w14:paraId="76264343" w14:textId="77777777" w:rsidTr="00907A1D">
        <w:tc>
          <w:tcPr>
            <w:tcW w:w="4530" w:type="dxa"/>
            <w:hideMark/>
          </w:tcPr>
          <w:p w14:paraId="75FA9DD6" w14:textId="77777777" w:rsidR="00AB478E" w:rsidRPr="0009637B" w:rsidRDefault="00AB478E" w:rsidP="005474B2">
            <w:pPr>
              <w:keepNext/>
              <w:jc w:val="both"/>
              <w:rPr>
                <w:sz w:val="22"/>
                <w:szCs w:val="22"/>
              </w:rPr>
            </w:pPr>
            <w:r w:rsidRPr="0009637B">
              <w:rPr>
                <w:sz w:val="22"/>
                <w:szCs w:val="22"/>
              </w:rPr>
              <w:t>&lt;50 kg</w:t>
            </w:r>
          </w:p>
        </w:tc>
        <w:tc>
          <w:tcPr>
            <w:tcW w:w="4531" w:type="dxa"/>
            <w:hideMark/>
          </w:tcPr>
          <w:p w14:paraId="2A861D7E" w14:textId="77777777" w:rsidR="00AB478E" w:rsidRPr="0009637B" w:rsidRDefault="00AB478E" w:rsidP="005474B2">
            <w:pPr>
              <w:keepNext/>
              <w:jc w:val="both"/>
              <w:rPr>
                <w:sz w:val="22"/>
                <w:szCs w:val="22"/>
              </w:rPr>
            </w:pPr>
            <w:r w:rsidRPr="0009637B">
              <w:rPr>
                <w:sz w:val="22"/>
                <w:szCs w:val="22"/>
              </w:rPr>
              <w:t>75 mg</w:t>
            </w:r>
          </w:p>
        </w:tc>
      </w:tr>
      <w:tr w:rsidR="00AB478E" w:rsidRPr="0009637B" w14:paraId="38909704" w14:textId="77777777" w:rsidTr="00907A1D">
        <w:tc>
          <w:tcPr>
            <w:tcW w:w="4530" w:type="dxa"/>
            <w:hideMark/>
          </w:tcPr>
          <w:p w14:paraId="34EF4F09" w14:textId="77777777" w:rsidR="00AB478E" w:rsidRPr="0009637B" w:rsidRDefault="00AB478E" w:rsidP="005474B2">
            <w:pPr>
              <w:jc w:val="both"/>
              <w:rPr>
                <w:sz w:val="22"/>
                <w:szCs w:val="22"/>
              </w:rPr>
            </w:pPr>
            <w:r w:rsidRPr="0009637B">
              <w:rPr>
                <w:sz w:val="22"/>
                <w:szCs w:val="22"/>
              </w:rPr>
              <w:t>≥50 kg</w:t>
            </w:r>
          </w:p>
        </w:tc>
        <w:tc>
          <w:tcPr>
            <w:tcW w:w="4531" w:type="dxa"/>
            <w:hideMark/>
          </w:tcPr>
          <w:p w14:paraId="5BB7E31C" w14:textId="77777777" w:rsidR="00AB478E" w:rsidRPr="0009637B" w:rsidRDefault="00AB478E" w:rsidP="005474B2">
            <w:pPr>
              <w:jc w:val="both"/>
              <w:rPr>
                <w:sz w:val="22"/>
                <w:szCs w:val="22"/>
              </w:rPr>
            </w:pPr>
            <w:r w:rsidRPr="0009637B">
              <w:rPr>
                <w:sz w:val="22"/>
                <w:szCs w:val="22"/>
              </w:rPr>
              <w:t>150 mg</w:t>
            </w:r>
          </w:p>
        </w:tc>
      </w:tr>
      <w:bookmarkEnd w:id="4"/>
    </w:tbl>
    <w:p w14:paraId="637096B4" w14:textId="2D0D3ACE" w:rsidR="00AB478E" w:rsidRPr="005474B2" w:rsidRDefault="00AB478E" w:rsidP="0009637B">
      <w:pPr>
        <w:jc w:val="both"/>
        <w:rPr>
          <w:sz w:val="22"/>
          <w:szCs w:val="22"/>
          <w:lang w:val="sr-Latn-ME"/>
        </w:rPr>
      </w:pPr>
    </w:p>
    <w:p w14:paraId="113CEF30" w14:textId="77777777" w:rsidR="00AB478E" w:rsidRDefault="00AB478E" w:rsidP="0009637B">
      <w:pPr>
        <w:jc w:val="both"/>
        <w:rPr>
          <w:sz w:val="22"/>
          <w:szCs w:val="22"/>
          <w:lang w:val="hr-HR"/>
        </w:rPr>
      </w:pPr>
      <w:bookmarkStart w:id="5" w:name="_Hlk108536687"/>
      <w:r w:rsidRPr="0009637B">
        <w:rPr>
          <w:sz w:val="22"/>
          <w:szCs w:val="22"/>
          <w:lang w:val="hr-HR"/>
        </w:rPr>
        <w:t xml:space="preserve">Doze od 150 mg i 300 mg rastvora za injekciju u napunjenom injekcionom špricu i u napunjenom injekcionom penu nisu indikovane za primjenu kod pedijatrijskih pacijenata mase &lt;50 kg. </w:t>
      </w:r>
    </w:p>
    <w:p w14:paraId="7FCA4374" w14:textId="77777777" w:rsidR="00E1152F" w:rsidRPr="0009637B" w:rsidRDefault="00E1152F" w:rsidP="0009637B">
      <w:pPr>
        <w:jc w:val="both"/>
        <w:rPr>
          <w:sz w:val="22"/>
          <w:szCs w:val="22"/>
          <w:lang w:val="hr-HR"/>
        </w:rPr>
      </w:pPr>
    </w:p>
    <w:p w14:paraId="69B0CA0B" w14:textId="77777777" w:rsidR="00AB478E" w:rsidRPr="0009637B" w:rsidRDefault="00AB478E">
      <w:pPr>
        <w:jc w:val="both"/>
        <w:rPr>
          <w:sz w:val="22"/>
          <w:szCs w:val="22"/>
          <w:lang w:val="hr-HR"/>
        </w:rPr>
      </w:pPr>
      <w:r w:rsidRPr="0009637B">
        <w:rPr>
          <w:sz w:val="22"/>
          <w:szCs w:val="22"/>
          <w:lang w:val="hr-HR"/>
        </w:rPr>
        <w:t xml:space="preserve">Lijek Cosentyx može biti dostupan u drugim jačinama i/ili farmaceutskim oblicima shodno individualnim potrebama terapije. </w:t>
      </w:r>
    </w:p>
    <w:bookmarkEnd w:id="5"/>
    <w:p w14:paraId="6F95ACC7" w14:textId="77777777" w:rsidR="00AB478E" w:rsidRPr="005474B2" w:rsidRDefault="00AB478E">
      <w:pPr>
        <w:jc w:val="both"/>
        <w:rPr>
          <w:sz w:val="22"/>
          <w:szCs w:val="22"/>
          <w:lang w:val="sr-Latn-ME"/>
        </w:rPr>
      </w:pPr>
    </w:p>
    <w:p w14:paraId="5E392915" w14:textId="34165E10" w:rsidR="007D7CE1" w:rsidRPr="005474B2" w:rsidRDefault="009A4880">
      <w:pPr>
        <w:jc w:val="both"/>
        <w:rPr>
          <w:sz w:val="22"/>
          <w:szCs w:val="22"/>
          <w:lang w:val="sr-Latn-ME"/>
        </w:rPr>
      </w:pPr>
      <w:r w:rsidRPr="005474B2">
        <w:rPr>
          <w:sz w:val="22"/>
          <w:szCs w:val="22"/>
          <w:lang w:val="sr-Latn-ME"/>
        </w:rPr>
        <w:lastRenderedPageBreak/>
        <w:t>Za sve gore</w:t>
      </w:r>
      <w:r w:rsidR="00127826" w:rsidRPr="005474B2">
        <w:rPr>
          <w:sz w:val="22"/>
          <w:szCs w:val="22"/>
          <w:lang w:val="sr-Latn-ME"/>
        </w:rPr>
        <w:t xml:space="preserve"> </w:t>
      </w:r>
      <w:r w:rsidR="007D7CE1" w:rsidRPr="005474B2">
        <w:rPr>
          <w:sz w:val="22"/>
          <w:szCs w:val="22"/>
          <w:lang w:val="sr-Latn-ME"/>
        </w:rPr>
        <w:t xml:space="preserve">navedene indikacije, dostupni podaci pokazuju da se klinički odgovor obično postiže u toku 16 </w:t>
      </w:r>
      <w:r w:rsidRPr="005474B2">
        <w:rPr>
          <w:sz w:val="22"/>
          <w:szCs w:val="22"/>
          <w:lang w:val="sr-Latn-ME"/>
        </w:rPr>
        <w:t>nedjelj</w:t>
      </w:r>
      <w:r w:rsidR="007D7CE1" w:rsidRPr="005474B2">
        <w:rPr>
          <w:sz w:val="22"/>
          <w:szCs w:val="22"/>
          <w:lang w:val="sr-Latn-ME"/>
        </w:rPr>
        <w:t xml:space="preserve">a </w:t>
      </w:r>
      <w:r w:rsidRPr="005474B2">
        <w:rPr>
          <w:sz w:val="22"/>
          <w:szCs w:val="22"/>
          <w:lang w:val="sr-Latn-ME"/>
        </w:rPr>
        <w:t>liječ</w:t>
      </w:r>
      <w:r w:rsidR="007D7CE1" w:rsidRPr="005474B2">
        <w:rPr>
          <w:sz w:val="22"/>
          <w:szCs w:val="22"/>
          <w:lang w:val="sr-Latn-ME"/>
        </w:rPr>
        <w:t xml:space="preserve">enja. Potrebno je razmotriti prekid </w:t>
      </w:r>
      <w:r w:rsidRPr="005474B2">
        <w:rPr>
          <w:sz w:val="22"/>
          <w:szCs w:val="22"/>
          <w:lang w:val="sr-Latn-ME"/>
        </w:rPr>
        <w:t>liječ</w:t>
      </w:r>
      <w:r w:rsidR="007D7CE1" w:rsidRPr="005474B2">
        <w:rPr>
          <w:sz w:val="22"/>
          <w:szCs w:val="22"/>
          <w:lang w:val="sr-Latn-ME"/>
        </w:rPr>
        <w:t>enja kod pacijenata koji ni</w:t>
      </w:r>
      <w:r w:rsidR="00746619" w:rsidRPr="005474B2">
        <w:rPr>
          <w:sz w:val="22"/>
          <w:szCs w:val="22"/>
          <w:lang w:val="sr-Latn-ME"/>
        </w:rPr>
        <w:t>je</w:t>
      </w:r>
      <w:r w:rsidR="007D7CE1" w:rsidRPr="005474B2">
        <w:rPr>
          <w:sz w:val="22"/>
          <w:szCs w:val="22"/>
          <w:lang w:val="sr-Latn-ME"/>
        </w:rPr>
        <w:t xml:space="preserve">su pokazali odgovor do 16. </w:t>
      </w:r>
      <w:r w:rsidRPr="005474B2">
        <w:rPr>
          <w:sz w:val="22"/>
          <w:szCs w:val="22"/>
          <w:lang w:val="sr-Latn-ME"/>
        </w:rPr>
        <w:t>nedjelj</w:t>
      </w:r>
      <w:r w:rsidR="007D7CE1" w:rsidRPr="005474B2">
        <w:rPr>
          <w:sz w:val="22"/>
          <w:szCs w:val="22"/>
          <w:lang w:val="sr-Latn-ME"/>
        </w:rPr>
        <w:t xml:space="preserve">e </w:t>
      </w:r>
      <w:r w:rsidRPr="005474B2">
        <w:rPr>
          <w:sz w:val="22"/>
          <w:szCs w:val="22"/>
          <w:lang w:val="sr-Latn-ME"/>
        </w:rPr>
        <w:t>liječ</w:t>
      </w:r>
      <w:r w:rsidR="007D7CE1" w:rsidRPr="005474B2">
        <w:rPr>
          <w:sz w:val="22"/>
          <w:szCs w:val="22"/>
          <w:lang w:val="sr-Latn-ME"/>
        </w:rPr>
        <w:t>enja. D</w:t>
      </w:r>
      <w:r w:rsidRPr="005474B2">
        <w:rPr>
          <w:sz w:val="22"/>
          <w:szCs w:val="22"/>
          <w:lang w:val="sr-Latn-ME"/>
        </w:rPr>
        <w:t>j</w:t>
      </w:r>
      <w:r w:rsidR="007D7CE1" w:rsidRPr="005474B2">
        <w:rPr>
          <w:sz w:val="22"/>
          <w:szCs w:val="22"/>
          <w:lang w:val="sr-Latn-ME"/>
        </w:rPr>
        <w:t xml:space="preserve">elimičan početni odgovor kod nekih pacijenata može da se poboljša sa nastavkom terapije nakon 16. </w:t>
      </w:r>
      <w:r w:rsidRPr="005474B2">
        <w:rPr>
          <w:sz w:val="22"/>
          <w:szCs w:val="22"/>
          <w:lang w:val="sr-Latn-ME"/>
        </w:rPr>
        <w:t>nedjelj</w:t>
      </w:r>
      <w:r w:rsidR="007D7CE1" w:rsidRPr="005474B2">
        <w:rPr>
          <w:sz w:val="22"/>
          <w:szCs w:val="22"/>
          <w:lang w:val="sr-Latn-ME"/>
        </w:rPr>
        <w:t xml:space="preserve">e. </w:t>
      </w:r>
    </w:p>
    <w:p w14:paraId="51E9FED8" w14:textId="77777777" w:rsidR="007D7CE1" w:rsidRPr="005474B2" w:rsidRDefault="007D7CE1">
      <w:pPr>
        <w:jc w:val="both"/>
        <w:rPr>
          <w:sz w:val="22"/>
          <w:szCs w:val="22"/>
          <w:lang w:val="sr-Latn-ME"/>
        </w:rPr>
      </w:pPr>
    </w:p>
    <w:p w14:paraId="18E273BF" w14:textId="77777777" w:rsidR="007D7CE1" w:rsidRPr="005474B2" w:rsidRDefault="007D7CE1">
      <w:pPr>
        <w:jc w:val="both"/>
        <w:rPr>
          <w:b/>
          <w:sz w:val="22"/>
          <w:szCs w:val="22"/>
          <w:lang w:val="sr-Latn-ME"/>
        </w:rPr>
      </w:pPr>
      <w:r w:rsidRPr="005474B2">
        <w:rPr>
          <w:b/>
          <w:sz w:val="22"/>
          <w:szCs w:val="22"/>
          <w:lang w:val="sr-Latn-ME"/>
        </w:rPr>
        <w:t>Posebne populacije</w:t>
      </w:r>
    </w:p>
    <w:p w14:paraId="427F209B" w14:textId="77777777" w:rsidR="007D7CE1" w:rsidRPr="005474B2" w:rsidRDefault="007D7CE1">
      <w:pPr>
        <w:jc w:val="both"/>
        <w:rPr>
          <w:sz w:val="22"/>
          <w:szCs w:val="22"/>
          <w:lang w:val="sr-Latn-ME"/>
        </w:rPr>
      </w:pPr>
    </w:p>
    <w:p w14:paraId="2212B952" w14:textId="0805C9C8" w:rsidR="007D7CE1" w:rsidRPr="005474B2" w:rsidRDefault="007D7CE1">
      <w:pPr>
        <w:jc w:val="both"/>
        <w:rPr>
          <w:b/>
          <w:sz w:val="22"/>
          <w:szCs w:val="22"/>
          <w:lang w:val="sr-Latn-ME"/>
        </w:rPr>
      </w:pPr>
      <w:r w:rsidRPr="005474B2">
        <w:rPr>
          <w:b/>
          <w:sz w:val="22"/>
          <w:szCs w:val="22"/>
          <w:lang w:val="sr-Latn-ME"/>
        </w:rPr>
        <w:t>Stariji pacijenti (starosti 65 godina i više)</w:t>
      </w:r>
    </w:p>
    <w:p w14:paraId="611AB21B" w14:textId="77777777" w:rsidR="00A62164" w:rsidRPr="005474B2" w:rsidRDefault="00A62164">
      <w:pPr>
        <w:jc w:val="both"/>
        <w:rPr>
          <w:b/>
          <w:sz w:val="22"/>
          <w:szCs w:val="22"/>
          <w:lang w:val="sr-Latn-ME"/>
        </w:rPr>
      </w:pPr>
    </w:p>
    <w:p w14:paraId="435C3E8E" w14:textId="0C9B0602" w:rsidR="007D7CE1" w:rsidRPr="005474B2" w:rsidRDefault="007D7CE1">
      <w:pPr>
        <w:jc w:val="both"/>
        <w:rPr>
          <w:sz w:val="22"/>
          <w:szCs w:val="22"/>
          <w:lang w:val="sr-Latn-ME"/>
        </w:rPr>
      </w:pPr>
      <w:r w:rsidRPr="005474B2">
        <w:rPr>
          <w:sz w:val="22"/>
          <w:szCs w:val="22"/>
          <w:lang w:val="sr-Latn-ME"/>
        </w:rPr>
        <w:t>Nije potrebno prilagođavanje doze (</w:t>
      </w:r>
      <w:r w:rsidR="009A4880" w:rsidRPr="005474B2">
        <w:rPr>
          <w:sz w:val="22"/>
          <w:szCs w:val="22"/>
          <w:lang w:val="sr-Latn-ME"/>
        </w:rPr>
        <w:t>vidjet</w:t>
      </w:r>
      <w:r w:rsidRPr="005474B2">
        <w:rPr>
          <w:sz w:val="22"/>
          <w:szCs w:val="22"/>
          <w:lang w:val="sr-Latn-ME"/>
        </w:rPr>
        <w:t xml:space="preserve">i </w:t>
      </w:r>
      <w:r w:rsidR="002D2E85" w:rsidRPr="005474B2">
        <w:rPr>
          <w:sz w:val="22"/>
          <w:szCs w:val="22"/>
          <w:lang w:val="sr-Latn-ME"/>
        </w:rPr>
        <w:t xml:space="preserve">dio </w:t>
      </w:r>
      <w:r w:rsidRPr="005474B2">
        <w:rPr>
          <w:sz w:val="22"/>
          <w:szCs w:val="22"/>
          <w:lang w:val="sr-Latn-ME"/>
        </w:rPr>
        <w:t>5.2).</w:t>
      </w:r>
    </w:p>
    <w:p w14:paraId="44D8972A" w14:textId="77777777" w:rsidR="007D7CE1" w:rsidRPr="005474B2" w:rsidRDefault="007D7CE1">
      <w:pPr>
        <w:jc w:val="both"/>
        <w:rPr>
          <w:sz w:val="22"/>
          <w:szCs w:val="22"/>
          <w:lang w:val="sr-Latn-ME"/>
        </w:rPr>
      </w:pPr>
    </w:p>
    <w:p w14:paraId="442C0E55" w14:textId="05B1DA9F" w:rsidR="007D7CE1" w:rsidRPr="005474B2" w:rsidRDefault="007D7CE1">
      <w:pPr>
        <w:jc w:val="both"/>
        <w:rPr>
          <w:b/>
          <w:sz w:val="22"/>
          <w:szCs w:val="22"/>
          <w:lang w:val="sr-Latn-ME"/>
        </w:rPr>
      </w:pPr>
      <w:r w:rsidRPr="005474B2">
        <w:rPr>
          <w:b/>
          <w:sz w:val="22"/>
          <w:szCs w:val="22"/>
          <w:lang w:val="sr-Latn-ME"/>
        </w:rPr>
        <w:t>Oštećenje funkcije bubrega/jetre</w:t>
      </w:r>
    </w:p>
    <w:p w14:paraId="131CBAE4" w14:textId="77777777" w:rsidR="00A62164" w:rsidRPr="005474B2" w:rsidRDefault="00A62164">
      <w:pPr>
        <w:jc w:val="both"/>
        <w:rPr>
          <w:b/>
          <w:sz w:val="22"/>
          <w:szCs w:val="22"/>
          <w:lang w:val="sr-Latn-ME"/>
        </w:rPr>
      </w:pPr>
    </w:p>
    <w:p w14:paraId="692EB82E" w14:textId="7D980011" w:rsidR="007D7CE1" w:rsidRPr="005474B2" w:rsidRDefault="003559B7">
      <w:pPr>
        <w:jc w:val="both"/>
        <w:rPr>
          <w:sz w:val="22"/>
          <w:szCs w:val="22"/>
          <w:lang w:val="sr-Latn-ME"/>
        </w:rPr>
      </w:pPr>
      <w:r w:rsidRPr="005474B2">
        <w:rPr>
          <w:sz w:val="22"/>
          <w:szCs w:val="22"/>
          <w:lang w:val="sr-Latn-ME"/>
        </w:rPr>
        <w:t xml:space="preserve">Lijek </w:t>
      </w:r>
      <w:r w:rsidR="007D7CE1" w:rsidRPr="005474B2">
        <w:rPr>
          <w:sz w:val="22"/>
          <w:szCs w:val="22"/>
          <w:lang w:val="sr-Latn-ME"/>
        </w:rPr>
        <w:t>Cosentyx nije ispitivan u ovoj grupi pacijenata. Nije moguće dati preporuku doziranja.</w:t>
      </w:r>
    </w:p>
    <w:p w14:paraId="405CACBB" w14:textId="77777777" w:rsidR="007D7CE1" w:rsidRPr="005474B2" w:rsidRDefault="007D7CE1">
      <w:pPr>
        <w:jc w:val="both"/>
        <w:rPr>
          <w:sz w:val="22"/>
          <w:szCs w:val="22"/>
          <w:lang w:val="sr-Latn-ME"/>
        </w:rPr>
      </w:pPr>
    </w:p>
    <w:p w14:paraId="3E5B4A9D" w14:textId="000CE257" w:rsidR="007D7CE1" w:rsidRPr="005474B2" w:rsidRDefault="007D7CE1">
      <w:pPr>
        <w:jc w:val="both"/>
        <w:rPr>
          <w:b/>
          <w:sz w:val="22"/>
          <w:szCs w:val="22"/>
          <w:lang w:val="sr-Latn-ME"/>
        </w:rPr>
      </w:pPr>
      <w:r w:rsidRPr="005474B2">
        <w:rPr>
          <w:b/>
          <w:sz w:val="22"/>
          <w:szCs w:val="22"/>
          <w:lang w:val="sr-Latn-ME"/>
        </w:rPr>
        <w:t>Pedijatrijska populacija</w:t>
      </w:r>
    </w:p>
    <w:p w14:paraId="0953DA62" w14:textId="77777777" w:rsidR="00A62164" w:rsidRPr="005474B2" w:rsidRDefault="00A62164">
      <w:pPr>
        <w:jc w:val="both"/>
        <w:rPr>
          <w:b/>
          <w:sz w:val="22"/>
          <w:szCs w:val="22"/>
          <w:lang w:val="sr-Latn-ME"/>
        </w:rPr>
      </w:pPr>
    </w:p>
    <w:p w14:paraId="700E105F" w14:textId="3E60675E" w:rsidR="007D7CE1" w:rsidRPr="005474B2" w:rsidRDefault="007D7CE1">
      <w:pPr>
        <w:jc w:val="both"/>
        <w:rPr>
          <w:sz w:val="22"/>
          <w:szCs w:val="22"/>
          <w:lang w:val="sr-Latn-ME"/>
        </w:rPr>
      </w:pPr>
      <w:r w:rsidRPr="005474B2">
        <w:rPr>
          <w:sz w:val="22"/>
          <w:szCs w:val="22"/>
          <w:lang w:val="sr-Latn-ME"/>
        </w:rPr>
        <w:t>Bezb</w:t>
      </w:r>
      <w:r w:rsidR="009A4880" w:rsidRPr="005474B2">
        <w:rPr>
          <w:sz w:val="22"/>
          <w:szCs w:val="22"/>
          <w:lang w:val="sr-Latn-ME"/>
        </w:rPr>
        <w:t>j</w:t>
      </w:r>
      <w:r w:rsidRPr="005474B2">
        <w:rPr>
          <w:sz w:val="22"/>
          <w:szCs w:val="22"/>
          <w:lang w:val="sr-Latn-ME"/>
        </w:rPr>
        <w:t xml:space="preserve">ednost i efikasnost </w:t>
      </w:r>
      <w:r w:rsidR="009A4880" w:rsidRPr="005474B2">
        <w:rPr>
          <w:sz w:val="22"/>
          <w:szCs w:val="22"/>
          <w:lang w:val="sr-Latn-ME"/>
        </w:rPr>
        <w:t>lijeka</w:t>
      </w:r>
      <w:r w:rsidRPr="005474B2">
        <w:rPr>
          <w:sz w:val="22"/>
          <w:szCs w:val="22"/>
          <w:lang w:val="sr-Latn-ME"/>
        </w:rPr>
        <w:t xml:space="preserve"> Cosentyx kod </w:t>
      </w:r>
      <w:r w:rsidR="008F70AE" w:rsidRPr="005474B2">
        <w:rPr>
          <w:sz w:val="22"/>
          <w:szCs w:val="22"/>
          <w:lang w:val="sr-Latn-ME"/>
        </w:rPr>
        <w:t>djece</w:t>
      </w:r>
      <w:r w:rsidRPr="005474B2">
        <w:rPr>
          <w:sz w:val="22"/>
          <w:szCs w:val="22"/>
          <w:lang w:val="sr-Latn-ME"/>
        </w:rPr>
        <w:t xml:space="preserve"> s plak psorijazom</w:t>
      </w:r>
      <w:bookmarkStart w:id="6" w:name="_Hlk108536747"/>
      <w:r w:rsidR="00AB478E" w:rsidRPr="0009637B">
        <w:rPr>
          <w:sz w:val="22"/>
          <w:szCs w:val="22"/>
          <w:lang w:val="bs-Latn-BA"/>
        </w:rPr>
        <w:t>, ERA i JPsA oblicima juvenilnog idiopatskog artritisa (JIA),</w:t>
      </w:r>
      <w:bookmarkEnd w:id="6"/>
      <w:r w:rsidRPr="005474B2">
        <w:rPr>
          <w:sz w:val="22"/>
          <w:szCs w:val="22"/>
          <w:lang w:val="sr-Latn-ME"/>
        </w:rPr>
        <w:t xml:space="preserve"> mlađe od 6 godina još uvek ni</w:t>
      </w:r>
      <w:r w:rsidR="003559B7" w:rsidRPr="005474B2">
        <w:rPr>
          <w:sz w:val="22"/>
          <w:szCs w:val="22"/>
          <w:lang w:val="sr-Latn-ME"/>
        </w:rPr>
        <w:t>je</w:t>
      </w:r>
      <w:r w:rsidRPr="005474B2">
        <w:rPr>
          <w:sz w:val="22"/>
          <w:szCs w:val="22"/>
          <w:lang w:val="sr-Latn-ME"/>
        </w:rPr>
        <w:t>su utvrđeni.</w:t>
      </w:r>
    </w:p>
    <w:p w14:paraId="6696F808" w14:textId="77777777" w:rsidR="007D7CE1" w:rsidRPr="005474B2" w:rsidRDefault="007D7CE1">
      <w:pPr>
        <w:jc w:val="both"/>
        <w:rPr>
          <w:sz w:val="22"/>
          <w:szCs w:val="22"/>
          <w:lang w:val="sr-Latn-ME"/>
        </w:rPr>
      </w:pPr>
    </w:p>
    <w:p w14:paraId="48B63DEC" w14:textId="3C8B4832" w:rsidR="007D7CE1" w:rsidRPr="005474B2" w:rsidRDefault="007D7CE1">
      <w:pPr>
        <w:jc w:val="both"/>
        <w:rPr>
          <w:sz w:val="22"/>
          <w:szCs w:val="22"/>
          <w:lang w:val="sr-Latn-ME"/>
        </w:rPr>
      </w:pPr>
      <w:r w:rsidRPr="005474B2">
        <w:rPr>
          <w:sz w:val="22"/>
          <w:szCs w:val="22"/>
          <w:lang w:val="sr-Latn-ME"/>
        </w:rPr>
        <w:t>Ni</w:t>
      </w:r>
      <w:r w:rsidR="003559B7" w:rsidRPr="005474B2">
        <w:rPr>
          <w:sz w:val="22"/>
          <w:szCs w:val="22"/>
          <w:lang w:val="sr-Latn-ME"/>
        </w:rPr>
        <w:t>je</w:t>
      </w:r>
      <w:r w:rsidRPr="005474B2">
        <w:rPr>
          <w:sz w:val="22"/>
          <w:szCs w:val="22"/>
          <w:lang w:val="sr-Latn-ME"/>
        </w:rPr>
        <w:t xml:space="preserve">su utvrđene </w:t>
      </w:r>
      <w:r w:rsidR="009A4880" w:rsidRPr="005474B2">
        <w:rPr>
          <w:sz w:val="22"/>
          <w:szCs w:val="22"/>
          <w:lang w:val="sr-Latn-ME"/>
        </w:rPr>
        <w:t>bezbjednost</w:t>
      </w:r>
      <w:r w:rsidRPr="005474B2">
        <w:rPr>
          <w:sz w:val="22"/>
          <w:szCs w:val="22"/>
          <w:lang w:val="sr-Latn-ME"/>
        </w:rPr>
        <w:t xml:space="preserve"> i efikasnost prim</w:t>
      </w:r>
      <w:r w:rsidR="009A4880" w:rsidRPr="005474B2">
        <w:rPr>
          <w:sz w:val="22"/>
          <w:szCs w:val="22"/>
          <w:lang w:val="sr-Latn-ME"/>
        </w:rPr>
        <w:t>j</w:t>
      </w:r>
      <w:r w:rsidRPr="005474B2">
        <w:rPr>
          <w:sz w:val="22"/>
          <w:szCs w:val="22"/>
          <w:lang w:val="sr-Latn-ME"/>
        </w:rPr>
        <w:t xml:space="preserve">ene </w:t>
      </w:r>
      <w:r w:rsidR="009A4880" w:rsidRPr="005474B2">
        <w:rPr>
          <w:sz w:val="22"/>
          <w:szCs w:val="22"/>
          <w:lang w:val="sr-Latn-ME"/>
        </w:rPr>
        <w:t>lijeka</w:t>
      </w:r>
      <w:r w:rsidRPr="005474B2">
        <w:rPr>
          <w:sz w:val="22"/>
          <w:szCs w:val="22"/>
          <w:lang w:val="sr-Latn-ME"/>
        </w:rPr>
        <w:t xml:space="preserve"> Cosentyx kod d</w:t>
      </w:r>
      <w:r w:rsidR="009A4880" w:rsidRPr="005474B2">
        <w:rPr>
          <w:sz w:val="22"/>
          <w:szCs w:val="22"/>
          <w:lang w:val="sr-Latn-ME"/>
        </w:rPr>
        <w:t>j</w:t>
      </w:r>
      <w:r w:rsidRPr="005474B2">
        <w:rPr>
          <w:sz w:val="22"/>
          <w:szCs w:val="22"/>
          <w:lang w:val="sr-Latn-ME"/>
        </w:rPr>
        <w:t>ece mlađe od 18 godina u drugim indikacijama. Nema dostupnih podataka.</w:t>
      </w:r>
    </w:p>
    <w:p w14:paraId="1272599C" w14:textId="77777777" w:rsidR="007D7CE1" w:rsidRPr="005474B2" w:rsidRDefault="007D7CE1">
      <w:pPr>
        <w:tabs>
          <w:tab w:val="left" w:pos="540"/>
          <w:tab w:val="left" w:pos="569"/>
        </w:tabs>
        <w:jc w:val="both"/>
        <w:rPr>
          <w:bCs/>
          <w:sz w:val="22"/>
          <w:szCs w:val="22"/>
          <w:u w:val="single"/>
          <w:lang w:val="sr-Latn-ME"/>
        </w:rPr>
      </w:pPr>
    </w:p>
    <w:p w14:paraId="47E4651A" w14:textId="77777777" w:rsidR="00452E9D" w:rsidRPr="005474B2" w:rsidRDefault="00452E9D">
      <w:pPr>
        <w:tabs>
          <w:tab w:val="left" w:pos="540"/>
          <w:tab w:val="left" w:pos="569"/>
        </w:tabs>
        <w:jc w:val="both"/>
        <w:rPr>
          <w:bCs/>
          <w:sz w:val="22"/>
          <w:szCs w:val="22"/>
          <w:u w:val="single"/>
          <w:lang w:val="sr-Latn-ME"/>
        </w:rPr>
      </w:pPr>
      <w:r w:rsidRPr="005474B2">
        <w:rPr>
          <w:bCs/>
          <w:sz w:val="22"/>
          <w:szCs w:val="22"/>
          <w:u w:val="single"/>
          <w:lang w:val="sr-Latn-ME"/>
        </w:rPr>
        <w:t>Način primjene</w:t>
      </w:r>
    </w:p>
    <w:p w14:paraId="20076F76" w14:textId="77777777" w:rsidR="00452E9D" w:rsidRPr="005474B2" w:rsidRDefault="00452E9D">
      <w:pPr>
        <w:tabs>
          <w:tab w:val="left" w:pos="540"/>
          <w:tab w:val="left" w:pos="569"/>
        </w:tabs>
        <w:jc w:val="both"/>
        <w:rPr>
          <w:bCs/>
          <w:sz w:val="22"/>
          <w:szCs w:val="22"/>
          <w:lang w:val="sr-Latn-ME"/>
        </w:rPr>
      </w:pPr>
    </w:p>
    <w:p w14:paraId="584BD39D" w14:textId="25B3AAF2" w:rsidR="007D7CE1" w:rsidRPr="005474B2" w:rsidRDefault="003559B7">
      <w:pPr>
        <w:tabs>
          <w:tab w:val="left" w:pos="284"/>
        </w:tabs>
        <w:jc w:val="both"/>
        <w:rPr>
          <w:sz w:val="22"/>
          <w:szCs w:val="22"/>
          <w:lang w:val="sr-Latn-ME"/>
        </w:rPr>
      </w:pPr>
      <w:r w:rsidRPr="005474B2">
        <w:rPr>
          <w:sz w:val="22"/>
          <w:szCs w:val="22"/>
          <w:lang w:val="sr-Latn-ME"/>
        </w:rPr>
        <w:t xml:space="preserve">Lijek </w:t>
      </w:r>
      <w:r w:rsidR="007D7CE1" w:rsidRPr="005474B2">
        <w:rPr>
          <w:sz w:val="22"/>
          <w:szCs w:val="22"/>
          <w:lang w:val="sr-Latn-ME"/>
        </w:rPr>
        <w:t xml:space="preserve">Cosentyx se </w:t>
      </w:r>
      <w:r w:rsidR="009A4880" w:rsidRPr="005474B2">
        <w:rPr>
          <w:sz w:val="22"/>
          <w:szCs w:val="22"/>
          <w:lang w:val="sr-Latn-ME"/>
        </w:rPr>
        <w:t>primjenjuje</w:t>
      </w:r>
      <w:r w:rsidR="007D7CE1" w:rsidRPr="005474B2">
        <w:rPr>
          <w:sz w:val="22"/>
          <w:szCs w:val="22"/>
          <w:lang w:val="sr-Latn-ME"/>
        </w:rPr>
        <w:t xml:space="preserve"> su</w:t>
      </w:r>
      <w:r w:rsidRPr="005474B2">
        <w:rPr>
          <w:sz w:val="22"/>
          <w:szCs w:val="22"/>
          <w:lang w:val="sr-Latn-ME"/>
        </w:rPr>
        <w:t>b</w:t>
      </w:r>
      <w:r w:rsidR="007D7CE1" w:rsidRPr="005474B2">
        <w:rPr>
          <w:sz w:val="22"/>
          <w:szCs w:val="22"/>
          <w:lang w:val="sr-Latn-ME"/>
        </w:rPr>
        <w:t>kutanom injekcijom. Ukoliko je moguće, kao m</w:t>
      </w:r>
      <w:r w:rsidR="009A4880" w:rsidRPr="005474B2">
        <w:rPr>
          <w:sz w:val="22"/>
          <w:szCs w:val="22"/>
          <w:lang w:val="sr-Latn-ME"/>
        </w:rPr>
        <w:t>j</w:t>
      </w:r>
      <w:r w:rsidR="007D7CE1" w:rsidRPr="005474B2">
        <w:rPr>
          <w:sz w:val="22"/>
          <w:szCs w:val="22"/>
          <w:lang w:val="sr-Latn-ME"/>
        </w:rPr>
        <w:t xml:space="preserve">esto </w:t>
      </w:r>
      <w:r w:rsidR="009A4880" w:rsidRPr="005474B2">
        <w:rPr>
          <w:sz w:val="22"/>
          <w:szCs w:val="22"/>
          <w:lang w:val="sr-Latn-ME"/>
        </w:rPr>
        <w:t>primjene</w:t>
      </w:r>
      <w:r w:rsidR="007D7CE1" w:rsidRPr="005474B2">
        <w:rPr>
          <w:sz w:val="22"/>
          <w:szCs w:val="22"/>
          <w:lang w:val="sr-Latn-ME"/>
        </w:rPr>
        <w:t xml:space="preserve"> injekcije treba izb</w:t>
      </w:r>
      <w:r w:rsidR="009A4880" w:rsidRPr="005474B2">
        <w:rPr>
          <w:sz w:val="22"/>
          <w:szCs w:val="22"/>
          <w:lang w:val="sr-Latn-ME"/>
        </w:rPr>
        <w:t>j</w:t>
      </w:r>
      <w:r w:rsidR="007D7CE1" w:rsidRPr="005474B2">
        <w:rPr>
          <w:sz w:val="22"/>
          <w:szCs w:val="22"/>
          <w:lang w:val="sr-Latn-ME"/>
        </w:rPr>
        <w:t>egavati d</w:t>
      </w:r>
      <w:r w:rsidR="009A4880" w:rsidRPr="005474B2">
        <w:rPr>
          <w:sz w:val="22"/>
          <w:szCs w:val="22"/>
          <w:lang w:val="sr-Latn-ME"/>
        </w:rPr>
        <w:t>j</w:t>
      </w:r>
      <w:r w:rsidR="007D7CE1" w:rsidRPr="005474B2">
        <w:rPr>
          <w:sz w:val="22"/>
          <w:szCs w:val="22"/>
          <w:lang w:val="sr-Latn-ME"/>
        </w:rPr>
        <w:t xml:space="preserve">elove kože zahvaćene psorijaznim </w:t>
      </w:r>
      <w:r w:rsidR="00A233FB" w:rsidRPr="005474B2">
        <w:rPr>
          <w:sz w:val="22"/>
          <w:szCs w:val="22"/>
          <w:lang w:val="sr-Latn-ME"/>
        </w:rPr>
        <w:t>promjena</w:t>
      </w:r>
      <w:r w:rsidR="007D7CE1" w:rsidRPr="005474B2">
        <w:rPr>
          <w:sz w:val="22"/>
          <w:szCs w:val="22"/>
          <w:lang w:val="sr-Latn-ME"/>
        </w:rPr>
        <w:t xml:space="preserve">ma. </w:t>
      </w:r>
      <w:r w:rsidR="007811E7">
        <w:rPr>
          <w:sz w:val="22"/>
          <w:szCs w:val="22"/>
          <w:lang w:val="sr-Latn-ME"/>
        </w:rPr>
        <w:t>Pen</w:t>
      </w:r>
      <w:r w:rsidR="007D7CE1" w:rsidRPr="005474B2">
        <w:rPr>
          <w:sz w:val="22"/>
          <w:szCs w:val="22"/>
          <w:lang w:val="sr-Latn-ME"/>
        </w:rPr>
        <w:t xml:space="preserve"> se ne sm</w:t>
      </w:r>
      <w:r w:rsidR="009A4880" w:rsidRPr="005474B2">
        <w:rPr>
          <w:sz w:val="22"/>
          <w:szCs w:val="22"/>
          <w:lang w:val="sr-Latn-ME"/>
        </w:rPr>
        <w:t>ij</w:t>
      </w:r>
      <w:r w:rsidR="007D7CE1" w:rsidRPr="005474B2">
        <w:rPr>
          <w:sz w:val="22"/>
          <w:szCs w:val="22"/>
          <w:lang w:val="sr-Latn-ME"/>
        </w:rPr>
        <w:t>e tresti.</w:t>
      </w:r>
    </w:p>
    <w:p w14:paraId="70020E64" w14:textId="77777777" w:rsidR="007D7CE1" w:rsidRPr="005474B2" w:rsidRDefault="007D7CE1">
      <w:pPr>
        <w:tabs>
          <w:tab w:val="left" w:pos="284"/>
        </w:tabs>
        <w:jc w:val="both"/>
        <w:rPr>
          <w:sz w:val="22"/>
          <w:szCs w:val="22"/>
          <w:lang w:val="sr-Latn-ME"/>
        </w:rPr>
      </w:pPr>
    </w:p>
    <w:p w14:paraId="19EF02CC" w14:textId="5EE0412A" w:rsidR="007D7CE1" w:rsidRPr="005474B2" w:rsidRDefault="007D7CE1">
      <w:pPr>
        <w:tabs>
          <w:tab w:val="left" w:pos="284"/>
        </w:tabs>
        <w:jc w:val="both"/>
        <w:rPr>
          <w:sz w:val="22"/>
          <w:szCs w:val="22"/>
          <w:lang w:val="sr-Latn-ME"/>
        </w:rPr>
      </w:pPr>
      <w:r w:rsidRPr="005474B2">
        <w:rPr>
          <w:sz w:val="22"/>
          <w:szCs w:val="22"/>
          <w:lang w:val="sr-Latn-ME"/>
        </w:rPr>
        <w:t xml:space="preserve">Nakon odgovarajuće obuke o tehnici </w:t>
      </w:r>
      <w:r w:rsidR="009A4880" w:rsidRPr="005474B2">
        <w:rPr>
          <w:sz w:val="22"/>
          <w:szCs w:val="22"/>
          <w:lang w:val="sr-Latn-ME"/>
        </w:rPr>
        <w:t>primjene</w:t>
      </w:r>
      <w:r w:rsidRPr="005474B2">
        <w:rPr>
          <w:sz w:val="22"/>
          <w:szCs w:val="22"/>
          <w:lang w:val="sr-Latn-ME"/>
        </w:rPr>
        <w:t xml:space="preserve"> su</w:t>
      </w:r>
      <w:r w:rsidR="00801863" w:rsidRPr="005474B2">
        <w:rPr>
          <w:sz w:val="22"/>
          <w:szCs w:val="22"/>
          <w:lang w:val="sr-Latn-ME"/>
        </w:rPr>
        <w:t>b</w:t>
      </w:r>
      <w:r w:rsidRPr="005474B2">
        <w:rPr>
          <w:sz w:val="22"/>
          <w:szCs w:val="22"/>
          <w:lang w:val="sr-Latn-ME"/>
        </w:rPr>
        <w:t xml:space="preserve">kutanih injekcija, pacijenti mogu sami sebi da daju </w:t>
      </w:r>
      <w:r w:rsidR="003559B7" w:rsidRPr="005474B2">
        <w:rPr>
          <w:sz w:val="22"/>
          <w:szCs w:val="22"/>
          <w:lang w:val="sr-Latn-ME"/>
        </w:rPr>
        <w:t xml:space="preserve">lijek </w:t>
      </w:r>
      <w:r w:rsidRPr="005474B2">
        <w:rPr>
          <w:sz w:val="22"/>
          <w:szCs w:val="22"/>
          <w:lang w:val="sr-Latn-ME"/>
        </w:rPr>
        <w:t xml:space="preserve">Cosentyx ili </w:t>
      </w:r>
      <w:r w:rsidR="00336833" w:rsidRPr="005474B2">
        <w:rPr>
          <w:sz w:val="22"/>
          <w:szCs w:val="22"/>
          <w:lang w:val="sr-Latn-ME"/>
        </w:rPr>
        <w:t>i</w:t>
      </w:r>
      <w:r w:rsidRPr="005474B2">
        <w:rPr>
          <w:sz w:val="22"/>
          <w:szCs w:val="22"/>
          <w:lang w:val="sr-Latn-ME"/>
        </w:rPr>
        <w:t>m ga može dati n</w:t>
      </w:r>
      <w:r w:rsidR="009A4880" w:rsidRPr="005474B2">
        <w:rPr>
          <w:sz w:val="22"/>
          <w:szCs w:val="22"/>
          <w:lang w:val="sr-Latn-ME"/>
        </w:rPr>
        <w:t>j</w:t>
      </w:r>
      <w:r w:rsidRPr="005474B2">
        <w:rPr>
          <w:sz w:val="22"/>
          <w:szCs w:val="22"/>
          <w:lang w:val="sr-Latn-ME"/>
        </w:rPr>
        <w:t xml:space="preserve">egovatelj ukoliko </w:t>
      </w:r>
      <w:r w:rsidR="009A4880" w:rsidRPr="005474B2">
        <w:rPr>
          <w:sz w:val="22"/>
          <w:szCs w:val="22"/>
          <w:lang w:val="sr-Latn-ME"/>
        </w:rPr>
        <w:t>ljekar</w:t>
      </w:r>
      <w:r w:rsidRPr="005474B2">
        <w:rPr>
          <w:sz w:val="22"/>
          <w:szCs w:val="22"/>
          <w:lang w:val="sr-Latn-ME"/>
        </w:rPr>
        <w:t xml:space="preserve"> proc</w:t>
      </w:r>
      <w:r w:rsidR="009A4880" w:rsidRPr="005474B2">
        <w:rPr>
          <w:sz w:val="22"/>
          <w:szCs w:val="22"/>
          <w:lang w:val="sr-Latn-ME"/>
        </w:rPr>
        <w:t>ij</w:t>
      </w:r>
      <w:r w:rsidRPr="005474B2">
        <w:rPr>
          <w:sz w:val="22"/>
          <w:szCs w:val="22"/>
          <w:lang w:val="sr-Latn-ME"/>
        </w:rPr>
        <w:t xml:space="preserve">eni da je to prikladno. Ipak, </w:t>
      </w:r>
      <w:r w:rsidR="009A4880" w:rsidRPr="005474B2">
        <w:rPr>
          <w:sz w:val="22"/>
          <w:szCs w:val="22"/>
          <w:lang w:val="sr-Latn-ME"/>
        </w:rPr>
        <w:t>ljekar</w:t>
      </w:r>
      <w:r w:rsidRPr="005474B2">
        <w:rPr>
          <w:sz w:val="22"/>
          <w:szCs w:val="22"/>
          <w:lang w:val="sr-Latn-ME"/>
        </w:rPr>
        <w:t xml:space="preserve"> treba da osigura odgovarajuće praćenje pacijenta. </w:t>
      </w:r>
    </w:p>
    <w:p w14:paraId="014B1851" w14:textId="78B1C7D9" w:rsidR="007D7CE1" w:rsidRPr="005474B2" w:rsidRDefault="007D7CE1">
      <w:pPr>
        <w:tabs>
          <w:tab w:val="left" w:pos="284"/>
        </w:tabs>
        <w:jc w:val="both"/>
        <w:rPr>
          <w:sz w:val="22"/>
          <w:szCs w:val="22"/>
          <w:lang w:val="sr-Latn-ME"/>
        </w:rPr>
      </w:pPr>
      <w:r w:rsidRPr="005474B2">
        <w:rPr>
          <w:sz w:val="22"/>
          <w:szCs w:val="22"/>
          <w:lang w:val="sr-Latn-ME"/>
        </w:rPr>
        <w:t>Pacijente ili negovatelje treba uputiti da ubrizgaju c</w:t>
      </w:r>
      <w:r w:rsidR="009A4880" w:rsidRPr="005474B2">
        <w:rPr>
          <w:sz w:val="22"/>
          <w:szCs w:val="22"/>
          <w:lang w:val="sr-Latn-ME"/>
        </w:rPr>
        <w:t>j</w:t>
      </w:r>
      <w:r w:rsidRPr="005474B2">
        <w:rPr>
          <w:sz w:val="22"/>
          <w:szCs w:val="22"/>
          <w:lang w:val="sr-Latn-ME"/>
        </w:rPr>
        <w:t xml:space="preserve">elokupnu količinu </w:t>
      </w:r>
      <w:r w:rsidR="009A4880" w:rsidRPr="005474B2">
        <w:rPr>
          <w:sz w:val="22"/>
          <w:szCs w:val="22"/>
          <w:lang w:val="sr-Latn-ME"/>
        </w:rPr>
        <w:t>lijeka</w:t>
      </w:r>
      <w:r w:rsidRPr="005474B2">
        <w:rPr>
          <w:sz w:val="22"/>
          <w:szCs w:val="22"/>
          <w:lang w:val="sr-Latn-ME"/>
        </w:rPr>
        <w:t xml:space="preserve"> Cosentyx u skladu sa uputstvima priloženim u uputstvu za pacijenta. Detaljna uputstva o prim</w:t>
      </w:r>
      <w:r w:rsidR="009A4880" w:rsidRPr="005474B2">
        <w:rPr>
          <w:sz w:val="22"/>
          <w:szCs w:val="22"/>
          <w:lang w:val="sr-Latn-ME"/>
        </w:rPr>
        <w:t>j</w:t>
      </w:r>
      <w:r w:rsidRPr="005474B2">
        <w:rPr>
          <w:sz w:val="22"/>
          <w:szCs w:val="22"/>
          <w:lang w:val="sr-Latn-ME"/>
        </w:rPr>
        <w:t xml:space="preserve">eni su data u uputstvu za </w:t>
      </w:r>
      <w:r w:rsidR="007811E7">
        <w:rPr>
          <w:sz w:val="22"/>
          <w:szCs w:val="22"/>
          <w:lang w:val="sr-Latn-ME"/>
        </w:rPr>
        <w:t>lijek</w:t>
      </w:r>
      <w:r w:rsidRPr="005474B2">
        <w:rPr>
          <w:sz w:val="22"/>
          <w:szCs w:val="22"/>
          <w:lang w:val="sr-Latn-ME"/>
        </w:rPr>
        <w:t>.</w:t>
      </w:r>
    </w:p>
    <w:p w14:paraId="38F0847D" w14:textId="77777777" w:rsidR="007D7CE1" w:rsidRPr="005474B2" w:rsidRDefault="007D7CE1">
      <w:pPr>
        <w:tabs>
          <w:tab w:val="left" w:pos="540"/>
          <w:tab w:val="left" w:pos="569"/>
        </w:tabs>
        <w:jc w:val="both"/>
        <w:rPr>
          <w:bCs/>
          <w:sz w:val="22"/>
          <w:szCs w:val="22"/>
          <w:lang w:val="sr-Latn-ME"/>
        </w:rPr>
      </w:pPr>
    </w:p>
    <w:p w14:paraId="7E177790" w14:textId="77777777" w:rsidR="00411B4B" w:rsidRPr="005474B2" w:rsidRDefault="00411B4B">
      <w:pPr>
        <w:tabs>
          <w:tab w:val="left" w:pos="540"/>
          <w:tab w:val="left" w:pos="569"/>
        </w:tabs>
        <w:jc w:val="both"/>
        <w:rPr>
          <w:b/>
          <w:bCs/>
          <w:sz w:val="22"/>
          <w:szCs w:val="22"/>
          <w:lang w:val="sr-Latn-ME"/>
        </w:rPr>
      </w:pPr>
      <w:r w:rsidRPr="005474B2">
        <w:rPr>
          <w:b/>
          <w:bCs/>
          <w:sz w:val="22"/>
          <w:szCs w:val="22"/>
          <w:lang w:val="sr-Latn-ME"/>
        </w:rPr>
        <w:t xml:space="preserve">4.3. </w:t>
      </w:r>
      <w:r w:rsidR="00480FB1" w:rsidRPr="005474B2">
        <w:rPr>
          <w:b/>
          <w:bCs/>
          <w:sz w:val="22"/>
          <w:szCs w:val="22"/>
          <w:lang w:val="sr-Latn-ME"/>
        </w:rPr>
        <w:tab/>
      </w:r>
      <w:r w:rsidRPr="005474B2">
        <w:rPr>
          <w:b/>
          <w:bCs/>
          <w:sz w:val="22"/>
          <w:szCs w:val="22"/>
          <w:lang w:val="sr-Latn-ME"/>
        </w:rPr>
        <w:t>Kontraindikacije</w:t>
      </w:r>
    </w:p>
    <w:p w14:paraId="6552D7E8" w14:textId="77777777" w:rsidR="0072020E" w:rsidRPr="005474B2" w:rsidRDefault="0072020E">
      <w:pPr>
        <w:tabs>
          <w:tab w:val="left" w:pos="540"/>
          <w:tab w:val="left" w:pos="569"/>
        </w:tabs>
        <w:jc w:val="both"/>
        <w:rPr>
          <w:bCs/>
          <w:sz w:val="22"/>
          <w:szCs w:val="22"/>
          <w:lang w:val="sr-Latn-ME"/>
        </w:rPr>
      </w:pPr>
    </w:p>
    <w:p w14:paraId="3631BE37" w14:textId="5AFFAF06" w:rsidR="007D7CE1" w:rsidRPr="005474B2" w:rsidRDefault="007D7CE1">
      <w:pPr>
        <w:tabs>
          <w:tab w:val="left" w:pos="284"/>
        </w:tabs>
        <w:jc w:val="both"/>
        <w:rPr>
          <w:sz w:val="22"/>
          <w:szCs w:val="22"/>
          <w:lang w:val="sr-Latn-ME"/>
        </w:rPr>
      </w:pPr>
      <w:r w:rsidRPr="005474B2">
        <w:rPr>
          <w:sz w:val="22"/>
          <w:szCs w:val="22"/>
          <w:lang w:val="sr-Latn-ME"/>
        </w:rPr>
        <w:t>Preos</w:t>
      </w:r>
      <w:r w:rsidR="009A4880" w:rsidRPr="005474B2">
        <w:rPr>
          <w:sz w:val="22"/>
          <w:szCs w:val="22"/>
          <w:lang w:val="sr-Latn-ME"/>
        </w:rPr>
        <w:t>j</w:t>
      </w:r>
      <w:r w:rsidRPr="005474B2">
        <w:rPr>
          <w:sz w:val="22"/>
          <w:szCs w:val="22"/>
          <w:lang w:val="sr-Latn-ME"/>
        </w:rPr>
        <w:t xml:space="preserve">etljivost na aktivnu supstancu ili </w:t>
      </w:r>
      <w:r w:rsidR="00DF02DD" w:rsidRPr="005474B2">
        <w:rPr>
          <w:sz w:val="22"/>
          <w:szCs w:val="22"/>
          <w:lang w:val="sr-Latn-ME"/>
        </w:rPr>
        <w:t xml:space="preserve">na </w:t>
      </w:r>
      <w:r w:rsidRPr="005474B2">
        <w:rPr>
          <w:sz w:val="22"/>
          <w:szCs w:val="22"/>
          <w:lang w:val="sr-Latn-ME"/>
        </w:rPr>
        <w:t xml:space="preserve">bilo koju pomoćnu supstancu navedenu u </w:t>
      </w:r>
      <w:r w:rsidR="003559B7" w:rsidRPr="005474B2">
        <w:rPr>
          <w:sz w:val="22"/>
          <w:szCs w:val="22"/>
          <w:lang w:val="sr-Latn-ME"/>
        </w:rPr>
        <w:t xml:space="preserve">dijelu  </w:t>
      </w:r>
      <w:r w:rsidRPr="005474B2">
        <w:rPr>
          <w:sz w:val="22"/>
          <w:szCs w:val="22"/>
          <w:lang w:val="sr-Latn-ME"/>
        </w:rPr>
        <w:t>6.1.</w:t>
      </w:r>
    </w:p>
    <w:p w14:paraId="2D5B2324" w14:textId="77777777" w:rsidR="007D7CE1" w:rsidRPr="005474B2" w:rsidRDefault="007D7CE1">
      <w:pPr>
        <w:tabs>
          <w:tab w:val="left" w:pos="284"/>
        </w:tabs>
        <w:jc w:val="both"/>
        <w:rPr>
          <w:sz w:val="22"/>
          <w:szCs w:val="22"/>
          <w:lang w:val="sr-Latn-ME"/>
        </w:rPr>
      </w:pPr>
    </w:p>
    <w:p w14:paraId="26985EFF" w14:textId="6728B868" w:rsidR="007D7CE1" w:rsidRPr="005474B2" w:rsidRDefault="007D7CE1">
      <w:pPr>
        <w:tabs>
          <w:tab w:val="left" w:pos="284"/>
        </w:tabs>
        <w:jc w:val="both"/>
        <w:rPr>
          <w:sz w:val="22"/>
          <w:szCs w:val="22"/>
          <w:lang w:val="sr-Latn-ME"/>
        </w:rPr>
      </w:pPr>
      <w:r w:rsidRPr="005474B2">
        <w:rPr>
          <w:sz w:val="22"/>
          <w:szCs w:val="22"/>
          <w:lang w:val="sr-Latn-ME"/>
        </w:rPr>
        <w:t>Klinički značajna, aktivna infekcija, npr. aktivna tuberkuloza (</w:t>
      </w:r>
      <w:r w:rsidR="009A4880" w:rsidRPr="005474B2">
        <w:rPr>
          <w:sz w:val="22"/>
          <w:szCs w:val="22"/>
          <w:lang w:val="sr-Latn-ME"/>
        </w:rPr>
        <w:t>vidjet</w:t>
      </w:r>
      <w:r w:rsidRPr="005474B2">
        <w:rPr>
          <w:sz w:val="22"/>
          <w:szCs w:val="22"/>
          <w:lang w:val="sr-Latn-ME"/>
        </w:rPr>
        <w:t xml:space="preserve">i </w:t>
      </w:r>
      <w:r w:rsidR="003559B7" w:rsidRPr="005474B2">
        <w:rPr>
          <w:sz w:val="22"/>
          <w:szCs w:val="22"/>
          <w:lang w:val="sr-Latn-ME"/>
        </w:rPr>
        <w:t xml:space="preserve">dio </w:t>
      </w:r>
      <w:r w:rsidRPr="005474B2">
        <w:rPr>
          <w:sz w:val="22"/>
          <w:szCs w:val="22"/>
          <w:lang w:val="sr-Latn-ME"/>
        </w:rPr>
        <w:t>4.4).</w:t>
      </w:r>
    </w:p>
    <w:p w14:paraId="3FA002AA" w14:textId="77777777" w:rsidR="00A62164" w:rsidRPr="005474B2" w:rsidRDefault="00A62164">
      <w:pPr>
        <w:tabs>
          <w:tab w:val="left" w:pos="284"/>
        </w:tabs>
        <w:jc w:val="both"/>
        <w:rPr>
          <w:sz w:val="22"/>
          <w:szCs w:val="22"/>
          <w:lang w:val="sr-Latn-ME"/>
        </w:rPr>
      </w:pPr>
    </w:p>
    <w:p w14:paraId="3E811F19" w14:textId="77777777" w:rsidR="007D7CE1" w:rsidRPr="005474B2" w:rsidRDefault="007D7CE1">
      <w:pPr>
        <w:tabs>
          <w:tab w:val="left" w:pos="540"/>
          <w:tab w:val="left" w:pos="569"/>
        </w:tabs>
        <w:jc w:val="both"/>
        <w:rPr>
          <w:bCs/>
          <w:sz w:val="22"/>
          <w:szCs w:val="22"/>
          <w:lang w:val="sr-Latn-ME"/>
        </w:rPr>
      </w:pPr>
    </w:p>
    <w:p w14:paraId="7A92E057" w14:textId="77777777" w:rsidR="00411B4B" w:rsidRPr="005474B2" w:rsidRDefault="00411B4B">
      <w:pPr>
        <w:tabs>
          <w:tab w:val="left" w:pos="540"/>
          <w:tab w:val="left" w:pos="569"/>
        </w:tabs>
        <w:jc w:val="both"/>
        <w:rPr>
          <w:b/>
          <w:bCs/>
          <w:sz w:val="22"/>
          <w:szCs w:val="22"/>
          <w:lang w:val="sr-Latn-ME"/>
        </w:rPr>
      </w:pPr>
      <w:r w:rsidRPr="005474B2">
        <w:rPr>
          <w:b/>
          <w:bCs/>
          <w:sz w:val="22"/>
          <w:szCs w:val="22"/>
          <w:lang w:val="sr-Latn-ME"/>
        </w:rPr>
        <w:t xml:space="preserve">4.4. </w:t>
      </w:r>
      <w:r w:rsidR="00480FB1" w:rsidRPr="005474B2">
        <w:rPr>
          <w:b/>
          <w:bCs/>
          <w:sz w:val="22"/>
          <w:szCs w:val="22"/>
          <w:lang w:val="sr-Latn-ME"/>
        </w:rPr>
        <w:tab/>
      </w:r>
      <w:r w:rsidRPr="005474B2">
        <w:rPr>
          <w:b/>
          <w:bCs/>
          <w:sz w:val="22"/>
          <w:szCs w:val="22"/>
          <w:lang w:val="sr-Latn-ME"/>
        </w:rPr>
        <w:t>Posebna upozorenja i mjere opreza pri upotrebi lijeka</w:t>
      </w:r>
    </w:p>
    <w:p w14:paraId="6FB556C6" w14:textId="77777777" w:rsidR="0072020E" w:rsidRPr="005474B2" w:rsidRDefault="0072020E">
      <w:pPr>
        <w:tabs>
          <w:tab w:val="left" w:pos="540"/>
          <w:tab w:val="left" w:pos="569"/>
        </w:tabs>
        <w:jc w:val="both"/>
        <w:rPr>
          <w:bCs/>
          <w:sz w:val="22"/>
          <w:szCs w:val="22"/>
          <w:lang w:val="sr-Latn-ME"/>
        </w:rPr>
      </w:pPr>
    </w:p>
    <w:p w14:paraId="1ACEDCCC" w14:textId="77777777" w:rsidR="007D7CE1" w:rsidRPr="005474B2" w:rsidRDefault="007D7CE1">
      <w:pPr>
        <w:shd w:val="clear" w:color="auto" w:fill="FFFFFF"/>
        <w:tabs>
          <w:tab w:val="left" w:pos="284"/>
        </w:tabs>
        <w:jc w:val="both"/>
        <w:rPr>
          <w:sz w:val="22"/>
          <w:szCs w:val="22"/>
          <w:u w:val="single"/>
          <w:lang w:val="sr-Latn-ME"/>
        </w:rPr>
      </w:pPr>
      <w:r w:rsidRPr="005474B2">
        <w:rPr>
          <w:sz w:val="22"/>
          <w:szCs w:val="22"/>
          <w:u w:val="single"/>
          <w:lang w:val="sr-Latn-ME"/>
        </w:rPr>
        <w:t>Praćenje</w:t>
      </w:r>
    </w:p>
    <w:p w14:paraId="0CF9431F" w14:textId="77777777" w:rsidR="007D7CE1" w:rsidRPr="005474B2" w:rsidRDefault="007D7CE1">
      <w:pPr>
        <w:shd w:val="clear" w:color="auto" w:fill="FFFFFF"/>
        <w:tabs>
          <w:tab w:val="left" w:pos="284"/>
        </w:tabs>
        <w:jc w:val="both"/>
        <w:rPr>
          <w:sz w:val="22"/>
          <w:szCs w:val="22"/>
          <w:u w:val="single"/>
          <w:lang w:val="sr-Latn-ME"/>
        </w:rPr>
      </w:pPr>
    </w:p>
    <w:p w14:paraId="5190BAE7" w14:textId="7E46CE68" w:rsidR="007D7CE1" w:rsidRPr="005474B2" w:rsidRDefault="007D7CE1">
      <w:pPr>
        <w:shd w:val="clear" w:color="auto" w:fill="FFFFFF"/>
        <w:tabs>
          <w:tab w:val="left" w:pos="284"/>
        </w:tabs>
        <w:jc w:val="both"/>
        <w:rPr>
          <w:sz w:val="22"/>
          <w:szCs w:val="22"/>
          <w:lang w:val="sr-Latn-ME"/>
        </w:rPr>
      </w:pPr>
      <w:r w:rsidRPr="005474B2">
        <w:rPr>
          <w:sz w:val="22"/>
          <w:szCs w:val="22"/>
          <w:lang w:val="sr-Latn-ME"/>
        </w:rPr>
        <w:t>U cilju unapr</w:t>
      </w:r>
      <w:r w:rsidR="00DF02DD" w:rsidRPr="005474B2">
        <w:rPr>
          <w:sz w:val="22"/>
          <w:szCs w:val="22"/>
          <w:lang w:val="sr-Latn-ME"/>
        </w:rPr>
        <w:t>j</w:t>
      </w:r>
      <w:r w:rsidRPr="005474B2">
        <w:rPr>
          <w:sz w:val="22"/>
          <w:szCs w:val="22"/>
          <w:lang w:val="sr-Latn-ME"/>
        </w:rPr>
        <w:t>eđenja praćenja bioloških l</w:t>
      </w:r>
      <w:r w:rsidR="009A4880" w:rsidRPr="005474B2">
        <w:rPr>
          <w:sz w:val="22"/>
          <w:szCs w:val="22"/>
          <w:lang w:val="sr-Latn-ME"/>
        </w:rPr>
        <w:t>j</w:t>
      </w:r>
      <w:r w:rsidRPr="005474B2">
        <w:rPr>
          <w:sz w:val="22"/>
          <w:szCs w:val="22"/>
          <w:lang w:val="sr-Latn-ME"/>
        </w:rPr>
        <w:t xml:space="preserve">ekova, ime </w:t>
      </w:r>
      <w:r w:rsidR="009A4880" w:rsidRPr="005474B2">
        <w:rPr>
          <w:sz w:val="22"/>
          <w:szCs w:val="22"/>
          <w:lang w:val="sr-Latn-ME"/>
        </w:rPr>
        <w:t>lijeka</w:t>
      </w:r>
      <w:r w:rsidRPr="005474B2">
        <w:rPr>
          <w:sz w:val="22"/>
          <w:szCs w:val="22"/>
          <w:lang w:val="sr-Latn-ME"/>
        </w:rPr>
        <w:t xml:space="preserve"> i broj serije prim</w:t>
      </w:r>
      <w:r w:rsidR="009A4880" w:rsidRPr="005474B2">
        <w:rPr>
          <w:sz w:val="22"/>
          <w:szCs w:val="22"/>
          <w:lang w:val="sr-Latn-ME"/>
        </w:rPr>
        <w:t>ij</w:t>
      </w:r>
      <w:r w:rsidRPr="005474B2">
        <w:rPr>
          <w:sz w:val="22"/>
          <w:szCs w:val="22"/>
          <w:lang w:val="sr-Latn-ME"/>
        </w:rPr>
        <w:t xml:space="preserve">enjenog </w:t>
      </w:r>
      <w:r w:rsidR="009A4880" w:rsidRPr="005474B2">
        <w:rPr>
          <w:sz w:val="22"/>
          <w:szCs w:val="22"/>
          <w:lang w:val="sr-Latn-ME"/>
        </w:rPr>
        <w:t>lijeka</w:t>
      </w:r>
      <w:r w:rsidRPr="005474B2">
        <w:rPr>
          <w:sz w:val="22"/>
          <w:szCs w:val="22"/>
          <w:lang w:val="sr-Latn-ME"/>
        </w:rPr>
        <w:t xml:space="preserve"> treba precizno zab</w:t>
      </w:r>
      <w:r w:rsidR="009A4880" w:rsidRPr="005474B2">
        <w:rPr>
          <w:sz w:val="22"/>
          <w:szCs w:val="22"/>
          <w:lang w:val="sr-Latn-ME"/>
        </w:rPr>
        <w:t>ilj</w:t>
      </w:r>
      <w:r w:rsidRPr="005474B2">
        <w:rPr>
          <w:sz w:val="22"/>
          <w:szCs w:val="22"/>
          <w:lang w:val="sr-Latn-ME"/>
        </w:rPr>
        <w:t>ežiti.</w:t>
      </w:r>
    </w:p>
    <w:p w14:paraId="385F0410" w14:textId="77777777" w:rsidR="007D7CE1" w:rsidRPr="005474B2" w:rsidRDefault="007D7CE1">
      <w:pPr>
        <w:shd w:val="clear" w:color="auto" w:fill="FFFFFF"/>
        <w:tabs>
          <w:tab w:val="left" w:pos="284"/>
        </w:tabs>
        <w:ind w:left="10"/>
        <w:jc w:val="both"/>
        <w:rPr>
          <w:sz w:val="22"/>
          <w:szCs w:val="22"/>
          <w:u w:val="single"/>
          <w:lang w:val="sr-Latn-ME"/>
        </w:rPr>
      </w:pPr>
    </w:p>
    <w:p w14:paraId="302BB2FA" w14:textId="77777777" w:rsidR="007D7CE1" w:rsidRPr="005474B2" w:rsidRDefault="007D7CE1">
      <w:pPr>
        <w:shd w:val="clear" w:color="auto" w:fill="FFFFFF"/>
        <w:tabs>
          <w:tab w:val="left" w:pos="284"/>
        </w:tabs>
        <w:ind w:left="10"/>
        <w:jc w:val="both"/>
        <w:rPr>
          <w:sz w:val="22"/>
          <w:szCs w:val="22"/>
          <w:u w:val="single"/>
          <w:lang w:val="sr-Latn-ME"/>
        </w:rPr>
      </w:pPr>
      <w:r w:rsidRPr="005474B2">
        <w:rPr>
          <w:sz w:val="22"/>
          <w:szCs w:val="22"/>
          <w:u w:val="single"/>
          <w:lang w:val="sr-Latn-ME"/>
        </w:rPr>
        <w:t>Infekcije</w:t>
      </w:r>
    </w:p>
    <w:p w14:paraId="177E0082" w14:textId="77777777" w:rsidR="007D7CE1" w:rsidRPr="005474B2" w:rsidRDefault="007D7CE1">
      <w:pPr>
        <w:shd w:val="clear" w:color="auto" w:fill="FFFFFF"/>
        <w:tabs>
          <w:tab w:val="left" w:pos="284"/>
        </w:tabs>
        <w:ind w:left="10"/>
        <w:jc w:val="both"/>
        <w:rPr>
          <w:sz w:val="22"/>
          <w:szCs w:val="22"/>
          <w:u w:val="single"/>
          <w:lang w:val="sr-Latn-ME"/>
        </w:rPr>
      </w:pPr>
    </w:p>
    <w:p w14:paraId="57E62CFA" w14:textId="23769970" w:rsidR="007D7CE1" w:rsidRPr="005474B2" w:rsidRDefault="007D7CE1">
      <w:pPr>
        <w:shd w:val="clear" w:color="auto" w:fill="FFFFFF"/>
        <w:tabs>
          <w:tab w:val="left" w:pos="284"/>
        </w:tabs>
        <w:ind w:left="10"/>
        <w:jc w:val="both"/>
        <w:rPr>
          <w:sz w:val="22"/>
          <w:szCs w:val="22"/>
          <w:lang w:val="sr-Latn-ME"/>
        </w:rPr>
      </w:pPr>
      <w:r w:rsidRPr="005474B2">
        <w:rPr>
          <w:sz w:val="22"/>
          <w:szCs w:val="22"/>
          <w:lang w:val="sr-Latn-ME"/>
        </w:rPr>
        <w:t>Sekukinumab može da poveća rizik od infekcija. U praćenju nakon dobijanja dozvole za l</w:t>
      </w:r>
      <w:r w:rsidR="009A4880" w:rsidRPr="005474B2">
        <w:rPr>
          <w:sz w:val="22"/>
          <w:szCs w:val="22"/>
          <w:lang w:val="sr-Latn-ME"/>
        </w:rPr>
        <w:t>ij</w:t>
      </w:r>
      <w:r w:rsidRPr="005474B2">
        <w:rPr>
          <w:sz w:val="22"/>
          <w:szCs w:val="22"/>
          <w:lang w:val="sr-Latn-ME"/>
        </w:rPr>
        <w:t xml:space="preserve">ek, uočene su ozbiljne infekcije kod pacijenata koji su primali sekukinumab. Potreban je oprez kada se razmatra </w:t>
      </w:r>
      <w:r w:rsidR="009A4880" w:rsidRPr="005474B2">
        <w:rPr>
          <w:sz w:val="22"/>
          <w:szCs w:val="22"/>
          <w:lang w:val="sr-Latn-ME"/>
        </w:rPr>
        <w:t>primjena</w:t>
      </w:r>
      <w:r w:rsidRPr="005474B2">
        <w:rPr>
          <w:sz w:val="22"/>
          <w:szCs w:val="22"/>
          <w:lang w:val="sr-Latn-ME"/>
        </w:rPr>
        <w:t xml:space="preserve"> sekukinumaba kod pacijenata sa hroničnom infekcijom ili rekurentnom infekcijom u anamnezi. </w:t>
      </w:r>
    </w:p>
    <w:p w14:paraId="3458640A" w14:textId="77777777" w:rsidR="007D7CE1" w:rsidRPr="005474B2" w:rsidRDefault="007D7CE1">
      <w:pPr>
        <w:shd w:val="clear" w:color="auto" w:fill="FFFFFF"/>
        <w:tabs>
          <w:tab w:val="left" w:pos="284"/>
        </w:tabs>
        <w:ind w:left="10"/>
        <w:jc w:val="both"/>
        <w:rPr>
          <w:sz w:val="22"/>
          <w:szCs w:val="22"/>
          <w:lang w:val="sr-Latn-ME"/>
        </w:rPr>
      </w:pPr>
    </w:p>
    <w:p w14:paraId="3E0298B8" w14:textId="0BCC50A5" w:rsidR="007D7CE1" w:rsidRPr="005474B2" w:rsidRDefault="007D7CE1">
      <w:pPr>
        <w:shd w:val="clear" w:color="auto" w:fill="FFFFFF"/>
        <w:tabs>
          <w:tab w:val="left" w:pos="284"/>
        </w:tabs>
        <w:ind w:left="10"/>
        <w:jc w:val="both"/>
        <w:rPr>
          <w:sz w:val="22"/>
          <w:szCs w:val="22"/>
          <w:lang w:val="sr-Latn-ME"/>
        </w:rPr>
      </w:pPr>
      <w:r w:rsidRPr="005474B2">
        <w:rPr>
          <w:sz w:val="22"/>
          <w:szCs w:val="22"/>
          <w:lang w:val="sr-Latn-ME"/>
        </w:rPr>
        <w:lastRenderedPageBreak/>
        <w:t>Pacijente treba uputiti da potraže sav</w:t>
      </w:r>
      <w:r w:rsidR="00336833" w:rsidRPr="005474B2">
        <w:rPr>
          <w:sz w:val="22"/>
          <w:szCs w:val="22"/>
          <w:lang w:val="sr-Latn-ME"/>
        </w:rPr>
        <w:t>j</w:t>
      </w:r>
      <w:r w:rsidRPr="005474B2">
        <w:rPr>
          <w:sz w:val="22"/>
          <w:szCs w:val="22"/>
          <w:lang w:val="sr-Latn-ME"/>
        </w:rPr>
        <w:t xml:space="preserve">et </w:t>
      </w:r>
      <w:r w:rsidR="009A4880" w:rsidRPr="005474B2">
        <w:rPr>
          <w:sz w:val="22"/>
          <w:szCs w:val="22"/>
          <w:lang w:val="sr-Latn-ME"/>
        </w:rPr>
        <w:t>ljekar</w:t>
      </w:r>
      <w:r w:rsidRPr="005474B2">
        <w:rPr>
          <w:sz w:val="22"/>
          <w:szCs w:val="22"/>
          <w:lang w:val="sr-Latn-ME"/>
        </w:rPr>
        <w:t>a u slučaju pojave znakova ili simptoma koji ukazuju na pojavu infekcije. Ukoliko se kod pacijenta razvije ozbiljna infekcija, potrebno je pacijenta pažljivo pratiti i sekukinumab ne bi trebalo prim</w:t>
      </w:r>
      <w:r w:rsidR="009A4880" w:rsidRPr="005474B2">
        <w:rPr>
          <w:sz w:val="22"/>
          <w:szCs w:val="22"/>
          <w:lang w:val="sr-Latn-ME"/>
        </w:rPr>
        <w:t>j</w:t>
      </w:r>
      <w:r w:rsidRPr="005474B2">
        <w:rPr>
          <w:sz w:val="22"/>
          <w:szCs w:val="22"/>
          <w:lang w:val="sr-Latn-ME"/>
        </w:rPr>
        <w:t>enjivati dok se infekcija ne iz</w:t>
      </w:r>
      <w:r w:rsidR="009A4880" w:rsidRPr="005474B2">
        <w:rPr>
          <w:sz w:val="22"/>
          <w:szCs w:val="22"/>
          <w:lang w:val="sr-Latn-ME"/>
        </w:rPr>
        <w:t>liječ</w:t>
      </w:r>
      <w:r w:rsidRPr="005474B2">
        <w:rPr>
          <w:sz w:val="22"/>
          <w:szCs w:val="22"/>
          <w:lang w:val="sr-Latn-ME"/>
        </w:rPr>
        <w:t>i.</w:t>
      </w:r>
    </w:p>
    <w:p w14:paraId="04A99075" w14:textId="77777777" w:rsidR="007D7CE1" w:rsidRPr="005474B2" w:rsidRDefault="007D7CE1">
      <w:pPr>
        <w:tabs>
          <w:tab w:val="left" w:pos="540"/>
          <w:tab w:val="left" w:pos="569"/>
        </w:tabs>
        <w:jc w:val="both"/>
        <w:rPr>
          <w:sz w:val="22"/>
          <w:szCs w:val="22"/>
          <w:u w:val="single"/>
          <w:lang w:val="sr-Latn-ME"/>
        </w:rPr>
      </w:pPr>
    </w:p>
    <w:p w14:paraId="78178229" w14:textId="0FBEDBA3" w:rsidR="007D7CE1" w:rsidRPr="005474B2" w:rsidRDefault="007D7CE1">
      <w:pPr>
        <w:shd w:val="clear" w:color="auto" w:fill="FFFFFF"/>
        <w:tabs>
          <w:tab w:val="left" w:pos="284"/>
        </w:tabs>
        <w:ind w:left="10"/>
        <w:jc w:val="both"/>
        <w:rPr>
          <w:sz w:val="22"/>
          <w:szCs w:val="22"/>
          <w:lang w:val="sr-Latn-ME"/>
        </w:rPr>
      </w:pPr>
      <w:r w:rsidRPr="005474B2">
        <w:rPr>
          <w:sz w:val="22"/>
          <w:szCs w:val="22"/>
          <w:lang w:val="sr-Latn-ME"/>
        </w:rPr>
        <w:t>U kliničkim ispitivanjima, prim</w:t>
      </w:r>
      <w:r w:rsidR="009A4880" w:rsidRPr="005474B2">
        <w:rPr>
          <w:sz w:val="22"/>
          <w:szCs w:val="22"/>
          <w:lang w:val="sr-Latn-ME"/>
        </w:rPr>
        <w:t>ij</w:t>
      </w:r>
      <w:r w:rsidRPr="005474B2">
        <w:rPr>
          <w:sz w:val="22"/>
          <w:szCs w:val="22"/>
          <w:lang w:val="sr-Latn-ME"/>
        </w:rPr>
        <w:t>ećene su infekcije kod pacijenata koji su primali sekukinumab</w:t>
      </w:r>
      <w:r w:rsidRPr="005474B2" w:rsidDel="009A1D70">
        <w:rPr>
          <w:sz w:val="22"/>
          <w:szCs w:val="22"/>
          <w:lang w:val="sr-Latn-ME"/>
        </w:rPr>
        <w:t xml:space="preserve"> </w:t>
      </w:r>
      <w:r w:rsidRPr="005474B2">
        <w:rPr>
          <w:sz w:val="22"/>
          <w:szCs w:val="22"/>
          <w:lang w:val="sr-Latn-ME"/>
        </w:rPr>
        <w:t>(</w:t>
      </w:r>
      <w:r w:rsidR="009A4880" w:rsidRPr="005474B2">
        <w:rPr>
          <w:sz w:val="22"/>
          <w:szCs w:val="22"/>
          <w:lang w:val="sr-Latn-ME"/>
        </w:rPr>
        <w:t>vidjet</w:t>
      </w:r>
      <w:r w:rsidRPr="005474B2">
        <w:rPr>
          <w:sz w:val="22"/>
          <w:szCs w:val="22"/>
          <w:lang w:val="sr-Latn-ME"/>
        </w:rPr>
        <w:t xml:space="preserve">i </w:t>
      </w:r>
      <w:r w:rsidR="003559B7" w:rsidRPr="005474B2">
        <w:rPr>
          <w:sz w:val="22"/>
          <w:szCs w:val="22"/>
          <w:lang w:val="sr-Latn-ME"/>
        </w:rPr>
        <w:t xml:space="preserve">dio </w:t>
      </w:r>
      <w:r w:rsidRPr="005474B2">
        <w:rPr>
          <w:sz w:val="22"/>
          <w:szCs w:val="22"/>
          <w:lang w:val="sr-Latn-ME"/>
        </w:rPr>
        <w:t xml:space="preserve">4.8). To su uglavnom bile blage do </w:t>
      </w:r>
      <w:r w:rsidR="009A4880" w:rsidRPr="005474B2">
        <w:rPr>
          <w:sz w:val="22"/>
          <w:szCs w:val="22"/>
          <w:lang w:val="sr-Latn-ME"/>
        </w:rPr>
        <w:t>umjeren</w:t>
      </w:r>
      <w:r w:rsidRPr="005474B2">
        <w:rPr>
          <w:sz w:val="22"/>
          <w:szCs w:val="22"/>
          <w:lang w:val="sr-Latn-ME"/>
        </w:rPr>
        <w:t>e infekcije gornjih d</w:t>
      </w:r>
      <w:r w:rsidR="009A4880" w:rsidRPr="005474B2">
        <w:rPr>
          <w:sz w:val="22"/>
          <w:szCs w:val="22"/>
          <w:lang w:val="sr-Latn-ME"/>
        </w:rPr>
        <w:t>j</w:t>
      </w:r>
      <w:r w:rsidRPr="005474B2">
        <w:rPr>
          <w:sz w:val="22"/>
          <w:szCs w:val="22"/>
          <w:lang w:val="sr-Latn-ME"/>
        </w:rPr>
        <w:t>elova respiratornog trakta</w:t>
      </w:r>
      <w:r w:rsidR="00DF02DD" w:rsidRPr="005474B2">
        <w:rPr>
          <w:sz w:val="22"/>
          <w:szCs w:val="22"/>
          <w:lang w:val="sr-Latn-ME"/>
        </w:rPr>
        <w:t>,</w:t>
      </w:r>
      <w:r w:rsidRPr="005474B2">
        <w:rPr>
          <w:sz w:val="22"/>
          <w:szCs w:val="22"/>
          <w:lang w:val="sr-Latn-ME"/>
        </w:rPr>
        <w:t xml:space="preserve"> kao što je nazofaringitis</w:t>
      </w:r>
      <w:r w:rsidR="006554BD" w:rsidRPr="005474B2">
        <w:rPr>
          <w:sz w:val="22"/>
          <w:szCs w:val="22"/>
          <w:lang w:val="sr-Latn-ME"/>
        </w:rPr>
        <w:t>,</w:t>
      </w:r>
      <w:r w:rsidRPr="005474B2">
        <w:rPr>
          <w:sz w:val="22"/>
          <w:szCs w:val="22"/>
          <w:lang w:val="sr-Latn-ME"/>
        </w:rPr>
        <w:t xml:space="preserve"> i ni</w:t>
      </w:r>
      <w:r w:rsidR="00746619" w:rsidRPr="005474B2">
        <w:rPr>
          <w:sz w:val="22"/>
          <w:szCs w:val="22"/>
          <w:lang w:val="sr-Latn-ME"/>
        </w:rPr>
        <w:t>je</w:t>
      </w:r>
      <w:r w:rsidRPr="005474B2">
        <w:rPr>
          <w:sz w:val="22"/>
          <w:szCs w:val="22"/>
          <w:lang w:val="sr-Latn-ME"/>
        </w:rPr>
        <w:t>su zaht</w:t>
      </w:r>
      <w:r w:rsidR="009A4880" w:rsidRPr="005474B2">
        <w:rPr>
          <w:sz w:val="22"/>
          <w:szCs w:val="22"/>
          <w:lang w:val="sr-Latn-ME"/>
        </w:rPr>
        <w:t>ij</w:t>
      </w:r>
      <w:r w:rsidRPr="005474B2">
        <w:rPr>
          <w:sz w:val="22"/>
          <w:szCs w:val="22"/>
          <w:lang w:val="sr-Latn-ME"/>
        </w:rPr>
        <w:t xml:space="preserve">evale prekid </w:t>
      </w:r>
      <w:r w:rsidR="009A4880" w:rsidRPr="005474B2">
        <w:rPr>
          <w:sz w:val="22"/>
          <w:szCs w:val="22"/>
          <w:lang w:val="sr-Latn-ME"/>
        </w:rPr>
        <w:t>liječ</w:t>
      </w:r>
      <w:r w:rsidRPr="005474B2">
        <w:rPr>
          <w:sz w:val="22"/>
          <w:szCs w:val="22"/>
          <w:lang w:val="sr-Latn-ME"/>
        </w:rPr>
        <w:t>enja.</w:t>
      </w:r>
    </w:p>
    <w:p w14:paraId="38E95ECC" w14:textId="77777777" w:rsidR="007D7CE1" w:rsidRPr="005474B2" w:rsidRDefault="007D7CE1">
      <w:pPr>
        <w:shd w:val="clear" w:color="auto" w:fill="FFFFFF"/>
        <w:tabs>
          <w:tab w:val="left" w:pos="284"/>
        </w:tabs>
        <w:ind w:left="10"/>
        <w:jc w:val="both"/>
        <w:rPr>
          <w:sz w:val="22"/>
          <w:szCs w:val="22"/>
          <w:lang w:val="sr-Latn-ME"/>
        </w:rPr>
      </w:pPr>
    </w:p>
    <w:p w14:paraId="6BE69458" w14:textId="63C0B746" w:rsidR="007D7CE1" w:rsidRDefault="007D7CE1">
      <w:pPr>
        <w:shd w:val="clear" w:color="auto" w:fill="FFFFFF"/>
        <w:tabs>
          <w:tab w:val="left" w:pos="284"/>
        </w:tabs>
        <w:ind w:left="10"/>
        <w:jc w:val="both"/>
        <w:rPr>
          <w:sz w:val="22"/>
          <w:szCs w:val="22"/>
          <w:lang w:val="sr-Latn-ME"/>
        </w:rPr>
      </w:pPr>
      <w:r w:rsidRPr="005474B2">
        <w:rPr>
          <w:sz w:val="22"/>
          <w:szCs w:val="22"/>
          <w:lang w:val="sr-Latn-ME"/>
        </w:rPr>
        <w:t>Povezano sa mehanizmom dejstva sekukinumaba, u kliničkim ispitivanjima za psorijazu, mukokutane infekcije izazvane kandidom koje ni</w:t>
      </w:r>
      <w:r w:rsidR="00746619" w:rsidRPr="005474B2">
        <w:rPr>
          <w:sz w:val="22"/>
          <w:szCs w:val="22"/>
          <w:lang w:val="sr-Latn-ME"/>
        </w:rPr>
        <w:t>je</w:t>
      </w:r>
      <w:r w:rsidRPr="005474B2">
        <w:rPr>
          <w:sz w:val="22"/>
          <w:szCs w:val="22"/>
          <w:lang w:val="sr-Latn-ME"/>
        </w:rPr>
        <w:t>su bile ozbiljne su bile prijavljivane češće za sekukinumab nego za placebo (3,55 na 100 pacijent-godina za sekukinumab 300 mg</w:t>
      </w:r>
      <w:r w:rsidR="00741E41" w:rsidRPr="005474B2">
        <w:rPr>
          <w:sz w:val="22"/>
          <w:szCs w:val="22"/>
          <w:lang w:val="sr-Latn-ME"/>
        </w:rPr>
        <w:t>,</w:t>
      </w:r>
      <w:r w:rsidRPr="005474B2">
        <w:rPr>
          <w:sz w:val="22"/>
          <w:szCs w:val="22"/>
          <w:lang w:val="sr-Latn-ME"/>
        </w:rPr>
        <w:t xml:space="preserve"> u odnosu na 1 na 100 pacijent-godina za placebo) (</w:t>
      </w:r>
      <w:r w:rsidR="009A4880" w:rsidRPr="005474B2">
        <w:rPr>
          <w:sz w:val="22"/>
          <w:szCs w:val="22"/>
          <w:lang w:val="sr-Latn-ME"/>
        </w:rPr>
        <w:t>vidjet</w:t>
      </w:r>
      <w:r w:rsidRPr="005474B2">
        <w:rPr>
          <w:sz w:val="22"/>
          <w:szCs w:val="22"/>
          <w:lang w:val="sr-Latn-ME"/>
        </w:rPr>
        <w:t xml:space="preserve">i </w:t>
      </w:r>
      <w:r w:rsidR="003559B7" w:rsidRPr="005474B2">
        <w:rPr>
          <w:sz w:val="22"/>
          <w:szCs w:val="22"/>
          <w:lang w:val="sr-Latn-ME"/>
        </w:rPr>
        <w:t xml:space="preserve">dio </w:t>
      </w:r>
      <w:r w:rsidRPr="005474B2">
        <w:rPr>
          <w:sz w:val="22"/>
          <w:szCs w:val="22"/>
          <w:lang w:val="sr-Latn-ME"/>
        </w:rPr>
        <w:t>4.8).</w:t>
      </w:r>
    </w:p>
    <w:p w14:paraId="12712A63" w14:textId="77777777" w:rsidR="00965440" w:rsidRPr="005474B2" w:rsidRDefault="00965440">
      <w:pPr>
        <w:shd w:val="clear" w:color="auto" w:fill="FFFFFF"/>
        <w:tabs>
          <w:tab w:val="left" w:pos="284"/>
        </w:tabs>
        <w:ind w:left="10"/>
        <w:jc w:val="both"/>
        <w:rPr>
          <w:sz w:val="22"/>
          <w:szCs w:val="22"/>
          <w:lang w:val="sr-Latn-ME"/>
        </w:rPr>
      </w:pPr>
    </w:p>
    <w:p w14:paraId="661FF50D" w14:textId="77777777" w:rsidR="00965440" w:rsidRPr="00965440" w:rsidRDefault="00965440" w:rsidP="00965440">
      <w:pPr>
        <w:shd w:val="clear" w:color="auto" w:fill="FFFFFF"/>
        <w:tabs>
          <w:tab w:val="left" w:pos="284"/>
        </w:tabs>
        <w:jc w:val="both"/>
        <w:rPr>
          <w:sz w:val="22"/>
          <w:szCs w:val="22"/>
          <w:u w:val="single"/>
          <w:lang w:val="hr-HR"/>
        </w:rPr>
      </w:pPr>
      <w:r w:rsidRPr="00965440">
        <w:rPr>
          <w:sz w:val="22"/>
          <w:szCs w:val="22"/>
          <w:u w:val="single"/>
          <w:lang w:val="hr-HR"/>
        </w:rPr>
        <w:t>Tuberkuloza</w:t>
      </w:r>
    </w:p>
    <w:p w14:paraId="7308DB7F" w14:textId="77777777" w:rsidR="00965440" w:rsidRPr="00965440" w:rsidRDefault="00965440" w:rsidP="00965440">
      <w:pPr>
        <w:shd w:val="clear" w:color="auto" w:fill="FFFFFF"/>
        <w:tabs>
          <w:tab w:val="left" w:pos="284"/>
        </w:tabs>
        <w:jc w:val="both"/>
        <w:rPr>
          <w:sz w:val="22"/>
          <w:szCs w:val="22"/>
          <w:lang w:val="hr-HR"/>
        </w:rPr>
      </w:pPr>
    </w:p>
    <w:p w14:paraId="35D986EE" w14:textId="419C079C" w:rsidR="00965440" w:rsidRPr="00965440" w:rsidRDefault="00965440" w:rsidP="00965440">
      <w:pPr>
        <w:shd w:val="clear" w:color="auto" w:fill="FFFFFF"/>
        <w:tabs>
          <w:tab w:val="left" w:pos="284"/>
        </w:tabs>
        <w:jc w:val="both"/>
        <w:rPr>
          <w:sz w:val="22"/>
          <w:szCs w:val="22"/>
          <w:lang w:val="bs-Latn-BA"/>
        </w:rPr>
      </w:pPr>
      <w:r w:rsidRPr="00965440">
        <w:rPr>
          <w:sz w:val="22"/>
          <w:szCs w:val="22"/>
          <w:lang w:val="hr-HR"/>
        </w:rPr>
        <w:t>Tuberkuloza (aktivna i/ili latentna reaktivacija) je prijavljena</w:t>
      </w:r>
      <w:r w:rsidR="00E21F1E">
        <w:rPr>
          <w:sz w:val="22"/>
          <w:szCs w:val="22"/>
          <w:lang w:val="hr-HR"/>
        </w:rPr>
        <w:t xml:space="preserve"> kod</w:t>
      </w:r>
      <w:r w:rsidRPr="00965440">
        <w:rPr>
          <w:sz w:val="22"/>
          <w:szCs w:val="22"/>
          <w:lang w:val="hr-HR"/>
        </w:rPr>
        <w:t xml:space="preserve"> pacijenata l</w:t>
      </w:r>
      <w:r w:rsidR="00E21F1E">
        <w:rPr>
          <w:sz w:val="22"/>
          <w:szCs w:val="22"/>
          <w:lang w:val="hr-HR"/>
        </w:rPr>
        <w:t>ij</w:t>
      </w:r>
      <w:r w:rsidRPr="00965440">
        <w:rPr>
          <w:sz w:val="22"/>
          <w:szCs w:val="22"/>
          <w:lang w:val="hr-HR"/>
        </w:rPr>
        <w:t>ečenih sekukinumabom. Pr</w:t>
      </w:r>
      <w:r w:rsidR="00E21F1E">
        <w:rPr>
          <w:sz w:val="22"/>
          <w:szCs w:val="22"/>
          <w:lang w:val="hr-HR"/>
        </w:rPr>
        <w:t>ij</w:t>
      </w:r>
      <w:r w:rsidRPr="00965440">
        <w:rPr>
          <w:sz w:val="22"/>
          <w:szCs w:val="22"/>
          <w:lang w:val="hr-HR"/>
        </w:rPr>
        <w:t>e početka l</w:t>
      </w:r>
      <w:r w:rsidR="00E21F1E">
        <w:rPr>
          <w:sz w:val="22"/>
          <w:szCs w:val="22"/>
          <w:lang w:val="hr-HR"/>
        </w:rPr>
        <w:t>ij</w:t>
      </w:r>
      <w:r w:rsidRPr="00965440">
        <w:rPr>
          <w:sz w:val="22"/>
          <w:szCs w:val="22"/>
          <w:lang w:val="hr-HR"/>
        </w:rPr>
        <w:t>ečenja sekukinumabom treba proc</w:t>
      </w:r>
      <w:r w:rsidR="00E21F1E">
        <w:rPr>
          <w:sz w:val="22"/>
          <w:szCs w:val="22"/>
          <w:lang w:val="hr-HR"/>
        </w:rPr>
        <w:t>ij</w:t>
      </w:r>
      <w:r w:rsidRPr="00965440">
        <w:rPr>
          <w:sz w:val="22"/>
          <w:szCs w:val="22"/>
          <w:lang w:val="hr-HR"/>
        </w:rPr>
        <w:t>eniti infekciju tuberkulozom kod pacijenata.</w:t>
      </w:r>
    </w:p>
    <w:p w14:paraId="07D5E4D1" w14:textId="77777777" w:rsidR="007D7CE1" w:rsidRPr="005474B2" w:rsidRDefault="007D7CE1">
      <w:pPr>
        <w:shd w:val="clear" w:color="auto" w:fill="FFFFFF"/>
        <w:tabs>
          <w:tab w:val="left" w:pos="284"/>
        </w:tabs>
        <w:jc w:val="both"/>
        <w:rPr>
          <w:sz w:val="22"/>
          <w:szCs w:val="22"/>
          <w:lang w:val="sr-Latn-ME"/>
        </w:rPr>
      </w:pPr>
    </w:p>
    <w:p w14:paraId="33B7C852" w14:textId="313513DB" w:rsidR="007D7CE1" w:rsidRPr="005474B2" w:rsidRDefault="00965440">
      <w:pPr>
        <w:shd w:val="clear" w:color="auto" w:fill="FFFFFF"/>
        <w:tabs>
          <w:tab w:val="left" w:pos="284"/>
        </w:tabs>
        <w:ind w:left="10"/>
        <w:jc w:val="both"/>
        <w:rPr>
          <w:sz w:val="22"/>
          <w:szCs w:val="22"/>
          <w:lang w:val="sr-Latn-ME"/>
        </w:rPr>
      </w:pPr>
      <w:r>
        <w:rPr>
          <w:sz w:val="22"/>
          <w:szCs w:val="22"/>
          <w:lang w:val="sr-Latn-ME"/>
        </w:rPr>
        <w:t>S</w:t>
      </w:r>
      <w:r w:rsidR="007D7CE1" w:rsidRPr="005474B2">
        <w:rPr>
          <w:sz w:val="22"/>
          <w:szCs w:val="22"/>
          <w:lang w:val="sr-Latn-ME"/>
        </w:rPr>
        <w:t xml:space="preserve">ekukinumab </w:t>
      </w:r>
      <w:r w:rsidR="0034791F">
        <w:rPr>
          <w:sz w:val="22"/>
          <w:szCs w:val="22"/>
          <w:lang w:val="sr-Latn-ME"/>
        </w:rPr>
        <w:t>se ne smije</w:t>
      </w:r>
      <w:r w:rsidR="007D7CE1" w:rsidRPr="005474B2">
        <w:rPr>
          <w:sz w:val="22"/>
          <w:szCs w:val="22"/>
          <w:lang w:val="sr-Latn-ME"/>
        </w:rPr>
        <w:t xml:space="preserve"> prim</w:t>
      </w:r>
      <w:r w:rsidR="009A4880" w:rsidRPr="005474B2">
        <w:rPr>
          <w:sz w:val="22"/>
          <w:szCs w:val="22"/>
          <w:lang w:val="sr-Latn-ME"/>
        </w:rPr>
        <w:t>j</w:t>
      </w:r>
      <w:r w:rsidR="007D7CE1" w:rsidRPr="005474B2">
        <w:rPr>
          <w:sz w:val="22"/>
          <w:szCs w:val="22"/>
          <w:lang w:val="sr-Latn-ME"/>
        </w:rPr>
        <w:t>enjivati kod pacijenata sa aktivnom tuberkulozom</w:t>
      </w:r>
      <w:r>
        <w:rPr>
          <w:sz w:val="22"/>
          <w:szCs w:val="22"/>
          <w:lang w:val="sr-Latn-ME"/>
        </w:rPr>
        <w:t xml:space="preserve"> </w:t>
      </w:r>
      <w:r w:rsidRPr="00965440">
        <w:rPr>
          <w:sz w:val="22"/>
          <w:szCs w:val="22"/>
        </w:rPr>
        <w:t>(</w:t>
      </w:r>
      <w:proofErr w:type="spellStart"/>
      <w:r w:rsidRPr="00965440">
        <w:rPr>
          <w:sz w:val="22"/>
          <w:szCs w:val="22"/>
        </w:rPr>
        <w:t>vid</w:t>
      </w:r>
      <w:r w:rsidR="0034791F">
        <w:rPr>
          <w:sz w:val="22"/>
          <w:szCs w:val="22"/>
        </w:rPr>
        <w:t>jeti</w:t>
      </w:r>
      <w:proofErr w:type="spellEnd"/>
      <w:r w:rsidRPr="00965440">
        <w:rPr>
          <w:sz w:val="22"/>
          <w:szCs w:val="22"/>
        </w:rPr>
        <w:t xml:space="preserve"> </w:t>
      </w:r>
      <w:proofErr w:type="spellStart"/>
      <w:r w:rsidR="00770267">
        <w:rPr>
          <w:sz w:val="22"/>
          <w:szCs w:val="22"/>
        </w:rPr>
        <w:t>dio</w:t>
      </w:r>
      <w:proofErr w:type="spellEnd"/>
      <w:r w:rsidRPr="00965440">
        <w:rPr>
          <w:sz w:val="22"/>
          <w:szCs w:val="22"/>
        </w:rPr>
        <w:t xml:space="preserve"> 4.3)</w:t>
      </w:r>
      <w:r w:rsidR="007D7CE1" w:rsidRPr="005474B2">
        <w:rPr>
          <w:sz w:val="22"/>
          <w:szCs w:val="22"/>
          <w:lang w:val="sr-Latn-ME"/>
        </w:rPr>
        <w:t xml:space="preserve">. Kod pacijenata sa latentnom tuberkulozom, treba razmotriti </w:t>
      </w:r>
      <w:r w:rsidR="009A4880" w:rsidRPr="005474B2">
        <w:rPr>
          <w:sz w:val="22"/>
          <w:szCs w:val="22"/>
          <w:lang w:val="sr-Latn-ME"/>
        </w:rPr>
        <w:t>liječ</w:t>
      </w:r>
      <w:r w:rsidR="007D7CE1" w:rsidRPr="005474B2">
        <w:rPr>
          <w:sz w:val="22"/>
          <w:szCs w:val="22"/>
          <w:lang w:val="sr-Latn-ME"/>
        </w:rPr>
        <w:t>enje tuberkuloze pr</w:t>
      </w:r>
      <w:r w:rsidR="009A4880" w:rsidRPr="005474B2">
        <w:rPr>
          <w:sz w:val="22"/>
          <w:szCs w:val="22"/>
          <w:lang w:val="sr-Latn-ME"/>
        </w:rPr>
        <w:t>ij</w:t>
      </w:r>
      <w:r w:rsidR="007D7CE1" w:rsidRPr="005474B2">
        <w:rPr>
          <w:sz w:val="22"/>
          <w:szCs w:val="22"/>
          <w:lang w:val="sr-Latn-ME"/>
        </w:rPr>
        <w:t xml:space="preserve">e početka </w:t>
      </w:r>
      <w:r w:rsidR="009A4880" w:rsidRPr="005474B2">
        <w:rPr>
          <w:sz w:val="22"/>
          <w:szCs w:val="22"/>
          <w:lang w:val="sr-Latn-ME"/>
        </w:rPr>
        <w:t>primjene</w:t>
      </w:r>
      <w:r w:rsidR="007D7CE1" w:rsidRPr="005474B2">
        <w:rPr>
          <w:sz w:val="22"/>
          <w:szCs w:val="22"/>
          <w:lang w:val="sr-Latn-ME"/>
        </w:rPr>
        <w:t xml:space="preserve"> sekukinumaba</w:t>
      </w:r>
      <w:r w:rsidRPr="00965440">
        <w:rPr>
          <w:sz w:val="22"/>
          <w:szCs w:val="22"/>
        </w:rPr>
        <w:t xml:space="preserve"> u </w:t>
      </w:r>
      <w:proofErr w:type="spellStart"/>
      <w:r w:rsidRPr="00965440">
        <w:rPr>
          <w:sz w:val="22"/>
          <w:szCs w:val="22"/>
        </w:rPr>
        <w:t>skladu</w:t>
      </w:r>
      <w:proofErr w:type="spellEnd"/>
      <w:r w:rsidRPr="00965440">
        <w:rPr>
          <w:sz w:val="22"/>
          <w:szCs w:val="22"/>
        </w:rPr>
        <w:t xml:space="preserve"> </w:t>
      </w:r>
      <w:proofErr w:type="spellStart"/>
      <w:r w:rsidRPr="00965440">
        <w:rPr>
          <w:sz w:val="22"/>
          <w:szCs w:val="22"/>
        </w:rPr>
        <w:t>sa</w:t>
      </w:r>
      <w:proofErr w:type="spellEnd"/>
      <w:r w:rsidRPr="00965440">
        <w:rPr>
          <w:sz w:val="22"/>
          <w:szCs w:val="22"/>
        </w:rPr>
        <w:t xml:space="preserve"> </w:t>
      </w:r>
      <w:proofErr w:type="spellStart"/>
      <w:r w:rsidRPr="00965440">
        <w:rPr>
          <w:sz w:val="22"/>
          <w:szCs w:val="22"/>
        </w:rPr>
        <w:t>kliničkim</w:t>
      </w:r>
      <w:proofErr w:type="spellEnd"/>
      <w:r w:rsidRPr="00965440">
        <w:rPr>
          <w:sz w:val="22"/>
          <w:szCs w:val="22"/>
        </w:rPr>
        <w:t xml:space="preserve"> </w:t>
      </w:r>
      <w:proofErr w:type="spellStart"/>
      <w:r w:rsidRPr="00965440">
        <w:rPr>
          <w:sz w:val="22"/>
          <w:szCs w:val="22"/>
        </w:rPr>
        <w:t>sm</w:t>
      </w:r>
      <w:r w:rsidR="00E21F1E">
        <w:rPr>
          <w:sz w:val="22"/>
          <w:szCs w:val="22"/>
        </w:rPr>
        <w:t>j</w:t>
      </w:r>
      <w:r w:rsidRPr="00965440">
        <w:rPr>
          <w:sz w:val="22"/>
          <w:szCs w:val="22"/>
        </w:rPr>
        <w:t>ernicama</w:t>
      </w:r>
      <w:proofErr w:type="spellEnd"/>
      <w:r w:rsidRPr="00965440">
        <w:rPr>
          <w:sz w:val="22"/>
          <w:szCs w:val="22"/>
        </w:rPr>
        <w:t>.</w:t>
      </w:r>
      <w:r w:rsidRPr="00965440">
        <w:rPr>
          <w:sz w:val="22"/>
          <w:szCs w:val="22"/>
          <w:lang w:val="hr-HR"/>
        </w:rPr>
        <w:t xml:space="preserve"> Pacijente koji primaju sekukinumab treba pratiti zbog znakova i simptoma aktivne tuberkuloze</w:t>
      </w:r>
      <w:r w:rsidR="007D7CE1" w:rsidRPr="005474B2">
        <w:rPr>
          <w:sz w:val="22"/>
          <w:szCs w:val="22"/>
          <w:lang w:val="sr-Latn-ME"/>
        </w:rPr>
        <w:t xml:space="preserve">. </w:t>
      </w:r>
    </w:p>
    <w:p w14:paraId="2C8CB394" w14:textId="77777777" w:rsidR="007D7CE1" w:rsidRPr="005474B2" w:rsidRDefault="007D7CE1">
      <w:pPr>
        <w:shd w:val="clear" w:color="auto" w:fill="FFFFFF"/>
        <w:tabs>
          <w:tab w:val="left" w:pos="284"/>
        </w:tabs>
        <w:ind w:left="10"/>
        <w:jc w:val="both"/>
        <w:rPr>
          <w:sz w:val="22"/>
          <w:szCs w:val="22"/>
          <w:lang w:val="sr-Latn-ME"/>
        </w:rPr>
      </w:pPr>
    </w:p>
    <w:p w14:paraId="2CD1FAAD" w14:textId="574CCA0A" w:rsidR="007D7CE1" w:rsidRPr="005474B2" w:rsidRDefault="007D7CE1">
      <w:pPr>
        <w:shd w:val="clear" w:color="auto" w:fill="FFFFFF"/>
        <w:tabs>
          <w:tab w:val="left" w:pos="284"/>
        </w:tabs>
        <w:jc w:val="both"/>
        <w:rPr>
          <w:sz w:val="22"/>
          <w:szCs w:val="22"/>
          <w:u w:val="single"/>
          <w:lang w:val="sr-Latn-ME"/>
        </w:rPr>
      </w:pPr>
      <w:r w:rsidRPr="005474B2">
        <w:rPr>
          <w:sz w:val="22"/>
          <w:szCs w:val="22"/>
          <w:u w:val="single"/>
          <w:lang w:val="sr-Latn-ME"/>
        </w:rPr>
        <w:t>Inflamatorna bolest cr</w:t>
      </w:r>
      <w:r w:rsidR="009A4880" w:rsidRPr="005474B2">
        <w:rPr>
          <w:sz w:val="22"/>
          <w:szCs w:val="22"/>
          <w:u w:val="single"/>
          <w:lang w:val="sr-Latn-ME"/>
        </w:rPr>
        <w:t>ij</w:t>
      </w:r>
      <w:r w:rsidRPr="005474B2">
        <w:rPr>
          <w:sz w:val="22"/>
          <w:szCs w:val="22"/>
          <w:u w:val="single"/>
          <w:lang w:val="sr-Latn-ME"/>
        </w:rPr>
        <w:t xml:space="preserve">eva (uključujući Kronovu bolest i </w:t>
      </w:r>
      <w:r w:rsidR="007811E7">
        <w:rPr>
          <w:sz w:val="22"/>
          <w:szCs w:val="22"/>
          <w:u w:val="single"/>
          <w:lang w:val="sr-Latn-ME"/>
        </w:rPr>
        <w:t>ulcerozni</w:t>
      </w:r>
      <w:r w:rsidRPr="005474B2">
        <w:rPr>
          <w:sz w:val="22"/>
          <w:szCs w:val="22"/>
          <w:u w:val="single"/>
          <w:lang w:val="sr-Latn-ME"/>
        </w:rPr>
        <w:t xml:space="preserve"> kolitis)</w:t>
      </w:r>
    </w:p>
    <w:p w14:paraId="528BEA74" w14:textId="77777777" w:rsidR="00336833" w:rsidRPr="005474B2" w:rsidRDefault="00336833">
      <w:pPr>
        <w:shd w:val="clear" w:color="auto" w:fill="FFFFFF"/>
        <w:tabs>
          <w:tab w:val="left" w:pos="284"/>
        </w:tabs>
        <w:jc w:val="both"/>
        <w:rPr>
          <w:sz w:val="22"/>
          <w:szCs w:val="22"/>
          <w:u w:val="single"/>
          <w:lang w:val="sr-Latn-ME"/>
        </w:rPr>
      </w:pPr>
    </w:p>
    <w:p w14:paraId="0E8A8462" w14:textId="570CAD72" w:rsidR="007D7CE1" w:rsidRPr="005474B2" w:rsidRDefault="007D7CE1">
      <w:pPr>
        <w:shd w:val="clear" w:color="auto" w:fill="FFFFFF"/>
        <w:tabs>
          <w:tab w:val="left" w:pos="284"/>
        </w:tabs>
        <w:ind w:left="10"/>
        <w:jc w:val="both"/>
        <w:rPr>
          <w:sz w:val="22"/>
          <w:szCs w:val="22"/>
          <w:lang w:val="sr-Latn-ME"/>
        </w:rPr>
      </w:pPr>
      <w:r w:rsidRPr="005474B2">
        <w:rPr>
          <w:sz w:val="22"/>
          <w:szCs w:val="22"/>
          <w:lang w:val="sr-Latn-ME"/>
        </w:rPr>
        <w:t>Prijavljeni su novi</w:t>
      </w:r>
      <w:r w:rsidR="00D77CBC">
        <w:rPr>
          <w:sz w:val="22"/>
          <w:szCs w:val="22"/>
          <w:lang w:val="sr-Latn-ME"/>
        </w:rPr>
        <w:t xml:space="preserve"> slučajeviu</w:t>
      </w:r>
      <w:r w:rsidRPr="005474B2">
        <w:rPr>
          <w:sz w:val="22"/>
          <w:szCs w:val="22"/>
          <w:lang w:val="sr-Latn-ME"/>
        </w:rPr>
        <w:t xml:space="preserve"> ili pogoršanja inflamatorne bolesti cr</w:t>
      </w:r>
      <w:r w:rsidR="009A4880" w:rsidRPr="005474B2">
        <w:rPr>
          <w:sz w:val="22"/>
          <w:szCs w:val="22"/>
          <w:lang w:val="sr-Latn-ME"/>
        </w:rPr>
        <w:t>ij</w:t>
      </w:r>
      <w:r w:rsidRPr="005474B2">
        <w:rPr>
          <w:sz w:val="22"/>
          <w:szCs w:val="22"/>
          <w:lang w:val="sr-Latn-ME"/>
        </w:rPr>
        <w:t>eva sa sekukinumabom (</w:t>
      </w:r>
      <w:r w:rsidR="009A4880" w:rsidRPr="005474B2">
        <w:rPr>
          <w:sz w:val="22"/>
          <w:szCs w:val="22"/>
          <w:lang w:val="sr-Latn-ME"/>
        </w:rPr>
        <w:t>vidjet</w:t>
      </w:r>
      <w:r w:rsidRPr="005474B2">
        <w:rPr>
          <w:sz w:val="22"/>
          <w:szCs w:val="22"/>
          <w:lang w:val="sr-Latn-ME"/>
        </w:rPr>
        <w:t xml:space="preserve">i </w:t>
      </w:r>
      <w:r w:rsidR="003559B7" w:rsidRPr="005474B2">
        <w:rPr>
          <w:sz w:val="22"/>
          <w:szCs w:val="22"/>
          <w:lang w:val="sr-Latn-ME"/>
        </w:rPr>
        <w:t xml:space="preserve">dio </w:t>
      </w:r>
      <w:r w:rsidRPr="005474B2">
        <w:rPr>
          <w:sz w:val="22"/>
          <w:szCs w:val="22"/>
          <w:lang w:val="sr-Latn-ME"/>
        </w:rPr>
        <w:t>4.8). Sekukinumab se ne preporučuje pacijentima sa inflamatornom bolešću cr</w:t>
      </w:r>
      <w:r w:rsidR="009A4880" w:rsidRPr="005474B2">
        <w:rPr>
          <w:sz w:val="22"/>
          <w:szCs w:val="22"/>
          <w:lang w:val="sr-Latn-ME"/>
        </w:rPr>
        <w:t>ij</w:t>
      </w:r>
      <w:r w:rsidRPr="005474B2">
        <w:rPr>
          <w:sz w:val="22"/>
          <w:szCs w:val="22"/>
          <w:lang w:val="sr-Latn-ME"/>
        </w:rPr>
        <w:t>eva. Ukoliko se kod pacijenta razviju znaci i simptomi inflamatorne bolesti cr</w:t>
      </w:r>
      <w:r w:rsidR="009A4880" w:rsidRPr="005474B2">
        <w:rPr>
          <w:sz w:val="22"/>
          <w:szCs w:val="22"/>
          <w:lang w:val="sr-Latn-ME"/>
        </w:rPr>
        <w:t>ij</w:t>
      </w:r>
      <w:r w:rsidRPr="005474B2">
        <w:rPr>
          <w:sz w:val="22"/>
          <w:szCs w:val="22"/>
          <w:lang w:val="sr-Latn-ME"/>
        </w:rPr>
        <w:t>eva ili dođe do pogoršanja prethodno postojeće inflamatorne bolesti cr</w:t>
      </w:r>
      <w:r w:rsidR="009A4880" w:rsidRPr="005474B2">
        <w:rPr>
          <w:sz w:val="22"/>
          <w:szCs w:val="22"/>
          <w:lang w:val="sr-Latn-ME"/>
        </w:rPr>
        <w:t>ij</w:t>
      </w:r>
      <w:r w:rsidRPr="005474B2">
        <w:rPr>
          <w:sz w:val="22"/>
          <w:szCs w:val="22"/>
          <w:lang w:val="sr-Latn-ME"/>
        </w:rPr>
        <w:t>eva, upotrebu sekukinumaba treba obustaviti i započeti odgovarajuću terapiju.</w:t>
      </w:r>
    </w:p>
    <w:p w14:paraId="3BA2BD87" w14:textId="77777777" w:rsidR="002C62C8" w:rsidRPr="005474B2" w:rsidRDefault="002C62C8">
      <w:pPr>
        <w:shd w:val="clear" w:color="auto" w:fill="FFFFFF"/>
        <w:tabs>
          <w:tab w:val="left" w:pos="284"/>
        </w:tabs>
        <w:ind w:left="10"/>
        <w:jc w:val="both"/>
        <w:rPr>
          <w:sz w:val="22"/>
          <w:szCs w:val="22"/>
          <w:lang w:val="sr-Latn-ME"/>
        </w:rPr>
      </w:pPr>
    </w:p>
    <w:p w14:paraId="73056CA7" w14:textId="77777777" w:rsidR="007D7CE1" w:rsidRPr="005474B2" w:rsidRDefault="007D7CE1">
      <w:pPr>
        <w:shd w:val="clear" w:color="auto" w:fill="FFFFFF"/>
        <w:tabs>
          <w:tab w:val="left" w:pos="284"/>
        </w:tabs>
        <w:ind w:left="10"/>
        <w:jc w:val="both"/>
        <w:rPr>
          <w:sz w:val="22"/>
          <w:szCs w:val="22"/>
          <w:u w:val="single"/>
          <w:lang w:val="sr-Latn-ME"/>
        </w:rPr>
      </w:pPr>
      <w:r w:rsidRPr="005474B2">
        <w:rPr>
          <w:sz w:val="22"/>
          <w:szCs w:val="22"/>
          <w:u w:val="single"/>
          <w:lang w:val="sr-Latn-ME"/>
        </w:rPr>
        <w:t>Reakcije pre</w:t>
      </w:r>
      <w:r w:rsidR="009A4880" w:rsidRPr="005474B2">
        <w:rPr>
          <w:sz w:val="22"/>
          <w:szCs w:val="22"/>
          <w:u w:val="single"/>
          <w:lang w:val="sr-Latn-ME"/>
        </w:rPr>
        <w:t>osjetljivost</w:t>
      </w:r>
      <w:r w:rsidRPr="005474B2">
        <w:rPr>
          <w:sz w:val="22"/>
          <w:szCs w:val="22"/>
          <w:u w:val="single"/>
          <w:lang w:val="sr-Latn-ME"/>
        </w:rPr>
        <w:t>i</w:t>
      </w:r>
    </w:p>
    <w:p w14:paraId="322646B1" w14:textId="77777777" w:rsidR="007D7CE1" w:rsidRPr="005474B2" w:rsidRDefault="007D7CE1">
      <w:pPr>
        <w:shd w:val="clear" w:color="auto" w:fill="FFFFFF"/>
        <w:tabs>
          <w:tab w:val="left" w:pos="284"/>
        </w:tabs>
        <w:ind w:left="10"/>
        <w:jc w:val="both"/>
        <w:rPr>
          <w:sz w:val="22"/>
          <w:szCs w:val="22"/>
          <w:u w:val="single"/>
          <w:lang w:val="sr-Latn-ME"/>
        </w:rPr>
      </w:pPr>
    </w:p>
    <w:p w14:paraId="0172D03E" w14:textId="3B4B2B18" w:rsidR="007D7CE1" w:rsidRPr="005474B2" w:rsidRDefault="008224E7">
      <w:pPr>
        <w:shd w:val="clear" w:color="auto" w:fill="FFFFFF"/>
        <w:tabs>
          <w:tab w:val="left" w:pos="284"/>
        </w:tabs>
        <w:ind w:left="10"/>
        <w:jc w:val="both"/>
        <w:rPr>
          <w:sz w:val="22"/>
          <w:szCs w:val="22"/>
          <w:lang w:val="sr-Latn-ME"/>
        </w:rPr>
      </w:pPr>
      <w:r>
        <w:rPr>
          <w:sz w:val="22"/>
          <w:szCs w:val="22"/>
          <w:lang w:val="sr-Latn-ME"/>
        </w:rPr>
        <w:t>U</w:t>
      </w:r>
      <w:r w:rsidR="007D7CE1" w:rsidRPr="005474B2">
        <w:rPr>
          <w:sz w:val="22"/>
          <w:szCs w:val="22"/>
          <w:lang w:val="sr-Latn-ME"/>
        </w:rPr>
        <w:t>očeni r</w:t>
      </w:r>
      <w:r w:rsidR="009A4880" w:rsidRPr="005474B2">
        <w:rPr>
          <w:sz w:val="22"/>
          <w:szCs w:val="22"/>
          <w:lang w:val="sr-Latn-ME"/>
        </w:rPr>
        <w:t>ij</w:t>
      </w:r>
      <w:r w:rsidR="007D7CE1" w:rsidRPr="005474B2">
        <w:rPr>
          <w:sz w:val="22"/>
          <w:szCs w:val="22"/>
          <w:lang w:val="sr-Latn-ME"/>
        </w:rPr>
        <w:t xml:space="preserve">etki slučajevi anafilaktičkih reakcija </w:t>
      </w:r>
      <w:proofErr w:type="spellStart"/>
      <w:r w:rsidRPr="00573C6B">
        <w:rPr>
          <w:sz w:val="22"/>
          <w:szCs w:val="22"/>
        </w:rPr>
        <w:t>i</w:t>
      </w:r>
      <w:proofErr w:type="spellEnd"/>
      <w:r w:rsidRPr="00573C6B">
        <w:rPr>
          <w:sz w:val="22"/>
          <w:szCs w:val="22"/>
        </w:rPr>
        <w:t xml:space="preserve"> angioedema</w:t>
      </w:r>
      <w:r>
        <w:t xml:space="preserve"> </w:t>
      </w:r>
      <w:r w:rsidR="007D7CE1" w:rsidRPr="005474B2">
        <w:rPr>
          <w:sz w:val="22"/>
          <w:szCs w:val="22"/>
          <w:lang w:val="sr-Latn-ME"/>
        </w:rPr>
        <w:t xml:space="preserve">kod pacijenata koji su primali sekukinumab. U slučaju pojave anafilaktičke </w:t>
      </w:r>
      <w:r w:rsidRPr="008224E7">
        <w:rPr>
          <w:sz w:val="22"/>
          <w:szCs w:val="22"/>
          <w:lang w:val="sr-Latn-ME"/>
        </w:rPr>
        <w:t xml:space="preserve">reakcije, angioedema </w:t>
      </w:r>
      <w:r w:rsidR="007D7CE1" w:rsidRPr="005474B2">
        <w:rPr>
          <w:sz w:val="22"/>
          <w:szCs w:val="22"/>
          <w:lang w:val="sr-Latn-ME"/>
        </w:rPr>
        <w:t>ili drug</w:t>
      </w:r>
      <w:r>
        <w:rPr>
          <w:sz w:val="22"/>
          <w:szCs w:val="22"/>
          <w:lang w:val="sr-Latn-ME"/>
        </w:rPr>
        <w:t>ih</w:t>
      </w:r>
      <w:r w:rsidR="007D7CE1" w:rsidRPr="005474B2">
        <w:rPr>
          <w:sz w:val="22"/>
          <w:szCs w:val="22"/>
          <w:lang w:val="sr-Latn-ME"/>
        </w:rPr>
        <w:t xml:space="preserve"> ozbiljn</w:t>
      </w:r>
      <w:r>
        <w:rPr>
          <w:sz w:val="22"/>
          <w:szCs w:val="22"/>
          <w:lang w:val="sr-Latn-ME"/>
        </w:rPr>
        <w:t>ih</w:t>
      </w:r>
      <w:r w:rsidR="007D7CE1" w:rsidRPr="005474B2">
        <w:rPr>
          <w:sz w:val="22"/>
          <w:szCs w:val="22"/>
          <w:lang w:val="sr-Latn-ME"/>
        </w:rPr>
        <w:t xml:space="preserve"> alergijsk</w:t>
      </w:r>
      <w:r>
        <w:rPr>
          <w:sz w:val="22"/>
          <w:szCs w:val="22"/>
          <w:lang w:val="sr-Latn-ME"/>
        </w:rPr>
        <w:t>ih</w:t>
      </w:r>
      <w:r w:rsidR="007D7CE1" w:rsidRPr="005474B2">
        <w:rPr>
          <w:sz w:val="22"/>
          <w:szCs w:val="22"/>
          <w:lang w:val="sr-Latn-ME"/>
        </w:rPr>
        <w:t xml:space="preserve"> reakcij</w:t>
      </w:r>
      <w:r>
        <w:rPr>
          <w:sz w:val="22"/>
          <w:szCs w:val="22"/>
          <w:lang w:val="sr-Latn-ME"/>
        </w:rPr>
        <w:t>a</w:t>
      </w:r>
      <w:r w:rsidR="007D7CE1" w:rsidRPr="005474B2">
        <w:rPr>
          <w:sz w:val="22"/>
          <w:szCs w:val="22"/>
          <w:lang w:val="sr-Latn-ME"/>
        </w:rPr>
        <w:t xml:space="preserve">, </w:t>
      </w:r>
      <w:r w:rsidR="009A4880" w:rsidRPr="005474B2">
        <w:rPr>
          <w:sz w:val="22"/>
          <w:szCs w:val="22"/>
          <w:lang w:val="sr-Latn-ME"/>
        </w:rPr>
        <w:t>primjenu</w:t>
      </w:r>
      <w:r w:rsidR="007D7CE1" w:rsidRPr="005474B2">
        <w:rPr>
          <w:sz w:val="22"/>
          <w:szCs w:val="22"/>
          <w:lang w:val="sr-Latn-ME"/>
        </w:rPr>
        <w:t xml:space="preserve"> sekukinumaba treba odmah prekinuti i započeti odgovarajuću terapiju.</w:t>
      </w:r>
    </w:p>
    <w:p w14:paraId="2CAB8921" w14:textId="77777777" w:rsidR="007D7CE1" w:rsidRPr="005474B2" w:rsidRDefault="007D7CE1">
      <w:pPr>
        <w:shd w:val="clear" w:color="auto" w:fill="FFFFFF"/>
        <w:tabs>
          <w:tab w:val="left" w:pos="284"/>
        </w:tabs>
        <w:ind w:left="10"/>
        <w:jc w:val="both"/>
        <w:rPr>
          <w:sz w:val="22"/>
          <w:szCs w:val="22"/>
          <w:lang w:val="sr-Latn-ME"/>
        </w:rPr>
      </w:pPr>
    </w:p>
    <w:p w14:paraId="599E6744" w14:textId="46D826C0" w:rsidR="007D7CE1" w:rsidRPr="005474B2" w:rsidRDefault="007D7CE1">
      <w:pPr>
        <w:shd w:val="clear" w:color="auto" w:fill="FFFFFF"/>
        <w:tabs>
          <w:tab w:val="left" w:pos="284"/>
        </w:tabs>
        <w:ind w:left="10"/>
        <w:jc w:val="both"/>
        <w:rPr>
          <w:sz w:val="22"/>
          <w:szCs w:val="22"/>
          <w:u w:val="single"/>
          <w:lang w:val="sr-Latn-ME"/>
        </w:rPr>
      </w:pPr>
      <w:r w:rsidRPr="005474B2">
        <w:rPr>
          <w:sz w:val="22"/>
          <w:szCs w:val="22"/>
          <w:u w:val="single"/>
          <w:lang w:val="sr-Latn-ME"/>
        </w:rPr>
        <w:t>Vakcinacij</w:t>
      </w:r>
      <w:r w:rsidR="00C94065" w:rsidRPr="005474B2">
        <w:rPr>
          <w:sz w:val="22"/>
          <w:szCs w:val="22"/>
          <w:u w:val="single"/>
          <w:lang w:val="sr-Latn-ME"/>
        </w:rPr>
        <w:t>e</w:t>
      </w:r>
    </w:p>
    <w:p w14:paraId="2CEC8F8B" w14:textId="77777777" w:rsidR="007D7CE1" w:rsidRPr="005474B2" w:rsidRDefault="007D7CE1">
      <w:pPr>
        <w:shd w:val="clear" w:color="auto" w:fill="FFFFFF"/>
        <w:tabs>
          <w:tab w:val="left" w:pos="284"/>
        </w:tabs>
        <w:ind w:left="10"/>
        <w:jc w:val="both"/>
        <w:rPr>
          <w:sz w:val="22"/>
          <w:szCs w:val="22"/>
          <w:u w:val="single"/>
          <w:lang w:val="sr-Latn-ME"/>
        </w:rPr>
      </w:pPr>
    </w:p>
    <w:p w14:paraId="0A4B9A4C" w14:textId="77777777" w:rsidR="007D7CE1" w:rsidRPr="005474B2" w:rsidRDefault="007D7CE1">
      <w:pPr>
        <w:shd w:val="clear" w:color="auto" w:fill="FFFFFF"/>
        <w:tabs>
          <w:tab w:val="left" w:pos="284"/>
        </w:tabs>
        <w:ind w:left="10"/>
        <w:jc w:val="both"/>
        <w:rPr>
          <w:sz w:val="22"/>
          <w:szCs w:val="22"/>
          <w:lang w:val="sr-Latn-ME"/>
        </w:rPr>
      </w:pPr>
      <w:r w:rsidRPr="005474B2">
        <w:rPr>
          <w:sz w:val="22"/>
          <w:szCs w:val="22"/>
          <w:lang w:val="sr-Latn-ME"/>
        </w:rPr>
        <w:t>Žive vakcine ne treba davati istovremeno sa sekukinumabom.</w:t>
      </w:r>
    </w:p>
    <w:p w14:paraId="116AFE13" w14:textId="77777777" w:rsidR="007D7CE1" w:rsidRPr="005474B2" w:rsidRDefault="007D7CE1">
      <w:pPr>
        <w:shd w:val="clear" w:color="auto" w:fill="FFFFFF"/>
        <w:tabs>
          <w:tab w:val="left" w:pos="284"/>
        </w:tabs>
        <w:ind w:left="10"/>
        <w:jc w:val="both"/>
        <w:rPr>
          <w:sz w:val="22"/>
          <w:szCs w:val="22"/>
          <w:lang w:val="sr-Latn-ME"/>
        </w:rPr>
      </w:pPr>
    </w:p>
    <w:p w14:paraId="50A1D5AD" w14:textId="77777777" w:rsidR="007D7CE1" w:rsidRPr="005474B2" w:rsidRDefault="007D7CE1">
      <w:pPr>
        <w:shd w:val="clear" w:color="auto" w:fill="FFFFFF"/>
        <w:tabs>
          <w:tab w:val="left" w:pos="284"/>
        </w:tabs>
        <w:ind w:left="10"/>
        <w:jc w:val="both"/>
        <w:rPr>
          <w:sz w:val="22"/>
          <w:szCs w:val="22"/>
          <w:lang w:val="sr-Latn-ME"/>
        </w:rPr>
      </w:pPr>
      <w:r w:rsidRPr="005474B2">
        <w:rPr>
          <w:sz w:val="22"/>
          <w:szCs w:val="22"/>
          <w:lang w:val="sr-Latn-ME"/>
        </w:rPr>
        <w:t xml:space="preserve">Pacijenti koji primaju sekukinumab mogu istovremeno da prime inaktivisane ili nežive vakcine. U ispitivanju, nakon </w:t>
      </w:r>
      <w:r w:rsidR="009A4880" w:rsidRPr="005474B2">
        <w:rPr>
          <w:sz w:val="22"/>
          <w:szCs w:val="22"/>
          <w:lang w:val="sr-Latn-ME"/>
        </w:rPr>
        <w:t>primjene</w:t>
      </w:r>
      <w:r w:rsidRPr="005474B2">
        <w:rPr>
          <w:sz w:val="22"/>
          <w:szCs w:val="22"/>
          <w:lang w:val="sr-Latn-ME"/>
        </w:rPr>
        <w:t xml:space="preserve"> vakcine protiv </w:t>
      </w:r>
      <w:r w:rsidRPr="005474B2">
        <w:rPr>
          <w:i/>
          <w:sz w:val="22"/>
          <w:szCs w:val="22"/>
          <w:lang w:val="sr-Latn-ME"/>
        </w:rPr>
        <w:t>meningokoka</w:t>
      </w:r>
      <w:r w:rsidRPr="005474B2">
        <w:rPr>
          <w:sz w:val="22"/>
          <w:szCs w:val="22"/>
          <w:lang w:val="sr-Latn-ME"/>
        </w:rPr>
        <w:t xml:space="preserve"> ili inaktivisane vakcine protiv</w:t>
      </w:r>
      <w:r w:rsidRPr="005474B2">
        <w:rPr>
          <w:i/>
          <w:sz w:val="22"/>
          <w:szCs w:val="22"/>
          <w:lang w:val="sr-Latn-ME"/>
        </w:rPr>
        <w:t xml:space="preserve"> gripa</w:t>
      </w:r>
      <w:r w:rsidRPr="005474B2">
        <w:rPr>
          <w:sz w:val="22"/>
          <w:szCs w:val="22"/>
          <w:lang w:val="sr-Latn-ME"/>
        </w:rPr>
        <w:t>, sličan procenat zdravih dobrovoljaca koji su primili 150 mg sekukinumaba i onih koji su primili placebo usp</w:t>
      </w:r>
      <w:r w:rsidR="009A4880" w:rsidRPr="005474B2">
        <w:rPr>
          <w:sz w:val="22"/>
          <w:szCs w:val="22"/>
          <w:lang w:val="sr-Latn-ME"/>
        </w:rPr>
        <w:t>i</w:t>
      </w:r>
      <w:r w:rsidRPr="005474B2">
        <w:rPr>
          <w:sz w:val="22"/>
          <w:szCs w:val="22"/>
          <w:lang w:val="sr-Latn-ME"/>
        </w:rPr>
        <w:t>o je da postigne odgovarajući imuni odgovor od najmanje četvorostrukog povećanja titra antit</w:t>
      </w:r>
      <w:r w:rsidR="009A4880" w:rsidRPr="005474B2">
        <w:rPr>
          <w:sz w:val="22"/>
          <w:szCs w:val="22"/>
          <w:lang w:val="sr-Latn-ME"/>
        </w:rPr>
        <w:t>ij</w:t>
      </w:r>
      <w:r w:rsidRPr="005474B2">
        <w:rPr>
          <w:sz w:val="22"/>
          <w:szCs w:val="22"/>
          <w:lang w:val="sr-Latn-ME"/>
        </w:rPr>
        <w:t xml:space="preserve">ela na </w:t>
      </w:r>
      <w:r w:rsidRPr="005474B2">
        <w:rPr>
          <w:i/>
          <w:sz w:val="22"/>
          <w:szCs w:val="22"/>
          <w:lang w:val="sr-Latn-ME"/>
        </w:rPr>
        <w:t>meningokoknu</w:t>
      </w:r>
      <w:r w:rsidRPr="005474B2">
        <w:rPr>
          <w:sz w:val="22"/>
          <w:szCs w:val="22"/>
          <w:lang w:val="sr-Latn-ME"/>
        </w:rPr>
        <w:t xml:space="preserve"> vakcinu i vakcinu protiv </w:t>
      </w:r>
      <w:r w:rsidRPr="005474B2">
        <w:rPr>
          <w:i/>
          <w:sz w:val="22"/>
          <w:szCs w:val="22"/>
          <w:lang w:val="sr-Latn-ME"/>
        </w:rPr>
        <w:t>gripa</w:t>
      </w:r>
      <w:r w:rsidRPr="005474B2">
        <w:rPr>
          <w:sz w:val="22"/>
          <w:szCs w:val="22"/>
          <w:lang w:val="sr-Latn-ME"/>
        </w:rPr>
        <w:t xml:space="preserve">. Ovi podaci ukazuju da sekukinumab ne suprimira humoralni imuni odgovor na vakcine protiv </w:t>
      </w:r>
      <w:r w:rsidRPr="005474B2">
        <w:rPr>
          <w:i/>
          <w:sz w:val="22"/>
          <w:szCs w:val="22"/>
          <w:lang w:val="sr-Latn-ME"/>
        </w:rPr>
        <w:t xml:space="preserve">meningokoka </w:t>
      </w:r>
      <w:r w:rsidRPr="005474B2">
        <w:rPr>
          <w:sz w:val="22"/>
          <w:szCs w:val="22"/>
          <w:lang w:val="sr-Latn-ME"/>
        </w:rPr>
        <w:t xml:space="preserve">i </w:t>
      </w:r>
      <w:r w:rsidRPr="005474B2">
        <w:rPr>
          <w:i/>
          <w:sz w:val="22"/>
          <w:szCs w:val="22"/>
          <w:lang w:val="sr-Latn-ME"/>
        </w:rPr>
        <w:t>gripa</w:t>
      </w:r>
      <w:r w:rsidRPr="005474B2">
        <w:rPr>
          <w:sz w:val="22"/>
          <w:szCs w:val="22"/>
          <w:lang w:val="sr-Latn-ME"/>
        </w:rPr>
        <w:t>.</w:t>
      </w:r>
    </w:p>
    <w:p w14:paraId="6B8F1F38" w14:textId="77777777" w:rsidR="007D7CE1" w:rsidRPr="005474B2" w:rsidRDefault="007D7CE1">
      <w:pPr>
        <w:shd w:val="clear" w:color="auto" w:fill="FFFFFF"/>
        <w:tabs>
          <w:tab w:val="left" w:pos="284"/>
        </w:tabs>
        <w:ind w:left="10"/>
        <w:jc w:val="both"/>
        <w:rPr>
          <w:sz w:val="22"/>
          <w:szCs w:val="22"/>
          <w:lang w:val="sr-Latn-ME"/>
        </w:rPr>
      </w:pPr>
    </w:p>
    <w:p w14:paraId="6CAD8B39" w14:textId="0F148D97" w:rsidR="007D7CE1" w:rsidRPr="005474B2" w:rsidRDefault="007D7CE1">
      <w:pPr>
        <w:shd w:val="clear" w:color="auto" w:fill="FFFFFF"/>
        <w:tabs>
          <w:tab w:val="left" w:pos="284"/>
        </w:tabs>
        <w:ind w:left="10"/>
        <w:jc w:val="both"/>
        <w:rPr>
          <w:sz w:val="22"/>
          <w:szCs w:val="22"/>
          <w:lang w:val="sr-Latn-ME"/>
        </w:rPr>
      </w:pPr>
      <w:r w:rsidRPr="005474B2">
        <w:rPr>
          <w:sz w:val="22"/>
          <w:szCs w:val="22"/>
          <w:lang w:val="sr-Latn-ME"/>
        </w:rPr>
        <w:t>Pr</w:t>
      </w:r>
      <w:r w:rsidR="009A4880" w:rsidRPr="005474B2">
        <w:rPr>
          <w:sz w:val="22"/>
          <w:szCs w:val="22"/>
          <w:lang w:val="sr-Latn-ME"/>
        </w:rPr>
        <w:t>ij</w:t>
      </w:r>
      <w:r w:rsidRPr="005474B2">
        <w:rPr>
          <w:sz w:val="22"/>
          <w:szCs w:val="22"/>
          <w:lang w:val="sr-Latn-ME"/>
        </w:rPr>
        <w:t>e započinjanja terapije l</w:t>
      </w:r>
      <w:r w:rsidR="009A4880" w:rsidRPr="005474B2">
        <w:rPr>
          <w:sz w:val="22"/>
          <w:szCs w:val="22"/>
          <w:lang w:val="sr-Latn-ME"/>
        </w:rPr>
        <w:t>ij</w:t>
      </w:r>
      <w:r w:rsidRPr="005474B2">
        <w:rPr>
          <w:sz w:val="22"/>
          <w:szCs w:val="22"/>
          <w:lang w:val="sr-Latn-ME"/>
        </w:rPr>
        <w:t>ekom Cosentyx, preporuka je da se prvo završi imunizacija pedijatrijskih pacijenata svim potrebnim vakcinama prema važećim sm</w:t>
      </w:r>
      <w:r w:rsidR="006554BD" w:rsidRPr="005474B2">
        <w:rPr>
          <w:sz w:val="22"/>
          <w:szCs w:val="22"/>
          <w:lang w:val="sr-Latn-ME"/>
        </w:rPr>
        <w:t>j</w:t>
      </w:r>
      <w:r w:rsidRPr="005474B2">
        <w:rPr>
          <w:sz w:val="22"/>
          <w:szCs w:val="22"/>
          <w:lang w:val="sr-Latn-ME"/>
        </w:rPr>
        <w:t>ernicama, u skladu sa njihovim uzrastom.</w:t>
      </w:r>
    </w:p>
    <w:p w14:paraId="58C2E87D" w14:textId="77777777" w:rsidR="007D7CE1" w:rsidRPr="005474B2" w:rsidRDefault="007D7CE1">
      <w:pPr>
        <w:shd w:val="clear" w:color="auto" w:fill="FFFFFF"/>
        <w:tabs>
          <w:tab w:val="left" w:pos="284"/>
        </w:tabs>
        <w:ind w:left="10"/>
        <w:jc w:val="both"/>
        <w:rPr>
          <w:sz w:val="22"/>
          <w:szCs w:val="22"/>
          <w:lang w:val="sr-Latn-ME"/>
        </w:rPr>
      </w:pPr>
    </w:p>
    <w:p w14:paraId="485DFB12" w14:textId="77777777" w:rsidR="007D7CE1" w:rsidRPr="005474B2" w:rsidRDefault="007D7CE1">
      <w:pPr>
        <w:shd w:val="clear" w:color="auto" w:fill="FFFFFF"/>
        <w:tabs>
          <w:tab w:val="left" w:pos="284"/>
        </w:tabs>
        <w:ind w:left="10"/>
        <w:jc w:val="both"/>
        <w:rPr>
          <w:sz w:val="22"/>
          <w:szCs w:val="22"/>
          <w:u w:val="single"/>
          <w:lang w:val="sr-Latn-ME"/>
        </w:rPr>
      </w:pPr>
      <w:r w:rsidRPr="005474B2">
        <w:rPr>
          <w:sz w:val="22"/>
          <w:szCs w:val="22"/>
          <w:u w:val="single"/>
          <w:lang w:val="sr-Latn-ME"/>
        </w:rPr>
        <w:t xml:space="preserve">Istovremeno </w:t>
      </w:r>
      <w:r w:rsidR="009A4880" w:rsidRPr="005474B2">
        <w:rPr>
          <w:sz w:val="22"/>
          <w:szCs w:val="22"/>
          <w:u w:val="single"/>
          <w:lang w:val="sr-Latn-ME"/>
        </w:rPr>
        <w:t>liječ</w:t>
      </w:r>
      <w:r w:rsidRPr="005474B2">
        <w:rPr>
          <w:sz w:val="22"/>
          <w:szCs w:val="22"/>
          <w:u w:val="single"/>
          <w:lang w:val="sr-Latn-ME"/>
        </w:rPr>
        <w:t>enje imunosupresivima</w:t>
      </w:r>
    </w:p>
    <w:p w14:paraId="5875BE73" w14:textId="77777777" w:rsidR="007D7CE1" w:rsidRPr="005474B2" w:rsidRDefault="007D7CE1">
      <w:pPr>
        <w:shd w:val="clear" w:color="auto" w:fill="FFFFFF"/>
        <w:tabs>
          <w:tab w:val="left" w:pos="284"/>
        </w:tabs>
        <w:ind w:left="10"/>
        <w:jc w:val="both"/>
        <w:rPr>
          <w:sz w:val="22"/>
          <w:szCs w:val="22"/>
          <w:u w:val="single"/>
          <w:lang w:val="sr-Latn-ME"/>
        </w:rPr>
      </w:pPr>
    </w:p>
    <w:p w14:paraId="3818249C" w14:textId="6A9504B0" w:rsidR="007D7CE1" w:rsidRPr="005474B2" w:rsidRDefault="007D7CE1">
      <w:pPr>
        <w:tabs>
          <w:tab w:val="left" w:pos="284"/>
        </w:tabs>
        <w:jc w:val="both"/>
        <w:rPr>
          <w:sz w:val="22"/>
          <w:szCs w:val="22"/>
          <w:lang w:val="sr-Latn-ME"/>
        </w:rPr>
      </w:pPr>
      <w:r w:rsidRPr="005474B2">
        <w:rPr>
          <w:sz w:val="22"/>
          <w:szCs w:val="22"/>
          <w:lang w:val="sr-Latn-ME"/>
        </w:rPr>
        <w:t>U studijama za psorijazu nije proc</w:t>
      </w:r>
      <w:r w:rsidR="009A4880" w:rsidRPr="005474B2">
        <w:rPr>
          <w:sz w:val="22"/>
          <w:szCs w:val="22"/>
          <w:lang w:val="sr-Latn-ME"/>
        </w:rPr>
        <w:t>j</w:t>
      </w:r>
      <w:r w:rsidRPr="005474B2">
        <w:rPr>
          <w:sz w:val="22"/>
          <w:szCs w:val="22"/>
          <w:lang w:val="sr-Latn-ME"/>
        </w:rPr>
        <w:t xml:space="preserve">enjivana efikasnost i </w:t>
      </w:r>
      <w:r w:rsidR="009A4880" w:rsidRPr="005474B2">
        <w:rPr>
          <w:sz w:val="22"/>
          <w:szCs w:val="22"/>
          <w:lang w:val="sr-Latn-ME"/>
        </w:rPr>
        <w:t>bezbjednost</w:t>
      </w:r>
      <w:r w:rsidRPr="005474B2">
        <w:rPr>
          <w:sz w:val="22"/>
          <w:szCs w:val="22"/>
          <w:lang w:val="sr-Latn-ME"/>
        </w:rPr>
        <w:t xml:space="preserve"> sekukinumaba u kombinaciji sa imunosupresivima, uključujući biološku terapiju ili fototerapiju. Sekukinumab je prim</w:t>
      </w:r>
      <w:r w:rsidR="009A4880" w:rsidRPr="005474B2">
        <w:rPr>
          <w:sz w:val="22"/>
          <w:szCs w:val="22"/>
          <w:lang w:val="sr-Latn-ME"/>
        </w:rPr>
        <w:t>ij</w:t>
      </w:r>
      <w:r w:rsidRPr="005474B2">
        <w:rPr>
          <w:sz w:val="22"/>
          <w:szCs w:val="22"/>
          <w:lang w:val="sr-Latn-ME"/>
        </w:rPr>
        <w:t xml:space="preserve">enjen istovremeno sa metotreksatom (MTX), sulfasalazinom i/ili kortikosteroidima u studijama za artritis </w:t>
      </w:r>
      <w:r w:rsidRPr="005474B2">
        <w:rPr>
          <w:sz w:val="22"/>
          <w:szCs w:val="22"/>
          <w:lang w:val="sr-Latn-ME"/>
        </w:rPr>
        <w:lastRenderedPageBreak/>
        <w:t xml:space="preserve">(uključujući pacijente sa psorijaznim artritisom i ankilozirajućim spondilitisom). Potrebno je obratiti pažnju prilikom istovremene </w:t>
      </w:r>
      <w:r w:rsidR="009A4880" w:rsidRPr="005474B2">
        <w:rPr>
          <w:sz w:val="22"/>
          <w:szCs w:val="22"/>
          <w:lang w:val="sr-Latn-ME"/>
        </w:rPr>
        <w:t>primjene</w:t>
      </w:r>
      <w:r w:rsidRPr="005474B2">
        <w:rPr>
          <w:sz w:val="22"/>
          <w:szCs w:val="22"/>
          <w:lang w:val="sr-Latn-ME"/>
        </w:rPr>
        <w:t xml:space="preserve"> drugih imunosupresiva i sekukinumaba (</w:t>
      </w:r>
      <w:r w:rsidR="009A4880" w:rsidRPr="005474B2">
        <w:rPr>
          <w:sz w:val="22"/>
          <w:szCs w:val="22"/>
          <w:lang w:val="sr-Latn-ME"/>
        </w:rPr>
        <w:t>vidjet</w:t>
      </w:r>
      <w:r w:rsidRPr="005474B2">
        <w:rPr>
          <w:sz w:val="22"/>
          <w:szCs w:val="22"/>
          <w:lang w:val="sr-Latn-ME"/>
        </w:rPr>
        <w:t>i</w:t>
      </w:r>
      <w:r w:rsidR="00741E41" w:rsidRPr="005474B2">
        <w:rPr>
          <w:sz w:val="22"/>
          <w:szCs w:val="22"/>
          <w:lang w:val="sr-Latn-ME"/>
        </w:rPr>
        <w:t xml:space="preserve"> </w:t>
      </w:r>
      <w:r w:rsidR="003559B7" w:rsidRPr="005474B2">
        <w:rPr>
          <w:sz w:val="22"/>
          <w:szCs w:val="22"/>
          <w:lang w:val="sr-Latn-ME"/>
        </w:rPr>
        <w:t>dio</w:t>
      </w:r>
      <w:r w:rsidRPr="005474B2">
        <w:rPr>
          <w:sz w:val="22"/>
          <w:szCs w:val="22"/>
          <w:lang w:val="sr-Latn-ME"/>
        </w:rPr>
        <w:t xml:space="preserve"> 4.5).</w:t>
      </w:r>
    </w:p>
    <w:p w14:paraId="11413E8E" w14:textId="77777777" w:rsidR="00057E35" w:rsidRPr="00BB2DA1" w:rsidRDefault="00057E35">
      <w:pPr>
        <w:tabs>
          <w:tab w:val="left" w:pos="540"/>
          <w:tab w:val="left" w:pos="569"/>
        </w:tabs>
        <w:jc w:val="both"/>
        <w:rPr>
          <w:bCs/>
          <w:sz w:val="22"/>
          <w:szCs w:val="22"/>
          <w:u w:val="single"/>
          <w:lang w:val="sr-Latn-ME"/>
        </w:rPr>
      </w:pPr>
    </w:p>
    <w:p w14:paraId="2224726F" w14:textId="77777777" w:rsidR="008224E7" w:rsidRPr="00BB2DA1" w:rsidRDefault="008224E7" w:rsidP="008224E7">
      <w:pPr>
        <w:tabs>
          <w:tab w:val="left" w:pos="540"/>
          <w:tab w:val="left" w:pos="569"/>
        </w:tabs>
        <w:jc w:val="both"/>
        <w:rPr>
          <w:bCs/>
          <w:sz w:val="22"/>
          <w:szCs w:val="22"/>
          <w:u w:val="single"/>
          <w:lang w:val="sr-Latn-ME"/>
        </w:rPr>
      </w:pPr>
      <w:r w:rsidRPr="00BB2DA1">
        <w:rPr>
          <w:bCs/>
          <w:sz w:val="22"/>
          <w:szCs w:val="22"/>
          <w:u w:val="single"/>
          <w:lang w:val="sr-Latn-ME"/>
        </w:rPr>
        <w:t>Reaktivacija hepatitisa B</w:t>
      </w:r>
    </w:p>
    <w:p w14:paraId="6B46E377" w14:textId="77777777" w:rsidR="008224E7" w:rsidRPr="008224E7" w:rsidRDefault="008224E7" w:rsidP="008224E7">
      <w:pPr>
        <w:tabs>
          <w:tab w:val="left" w:pos="540"/>
          <w:tab w:val="left" w:pos="569"/>
        </w:tabs>
        <w:jc w:val="both"/>
        <w:rPr>
          <w:bCs/>
          <w:sz w:val="22"/>
          <w:szCs w:val="22"/>
          <w:lang w:val="sr-Latn-ME"/>
        </w:rPr>
      </w:pPr>
    </w:p>
    <w:p w14:paraId="19912F97" w14:textId="6055EC6A" w:rsidR="008224E7" w:rsidRPr="008224E7" w:rsidRDefault="008224E7" w:rsidP="008224E7">
      <w:pPr>
        <w:tabs>
          <w:tab w:val="left" w:pos="540"/>
          <w:tab w:val="left" w:pos="569"/>
        </w:tabs>
        <w:jc w:val="both"/>
        <w:rPr>
          <w:bCs/>
          <w:sz w:val="22"/>
          <w:szCs w:val="22"/>
          <w:lang w:val="sr-Latn-ME"/>
        </w:rPr>
      </w:pPr>
      <w:r w:rsidRPr="008224E7">
        <w:rPr>
          <w:bCs/>
          <w:sz w:val="22"/>
          <w:szCs w:val="22"/>
          <w:lang w:val="sr-Latn-ME"/>
        </w:rPr>
        <w:t>Kod pacijenata l</w:t>
      </w:r>
      <w:r w:rsidR="0044194A">
        <w:rPr>
          <w:bCs/>
          <w:sz w:val="22"/>
          <w:szCs w:val="22"/>
          <w:lang w:val="sr-Latn-ME"/>
        </w:rPr>
        <w:t>ij</w:t>
      </w:r>
      <w:r w:rsidRPr="008224E7">
        <w:rPr>
          <w:bCs/>
          <w:sz w:val="22"/>
          <w:szCs w:val="22"/>
          <w:lang w:val="sr-Latn-ME"/>
        </w:rPr>
        <w:t>ečenih sekukinumabom može doći do reaktivacije virusa hepatitisa B. U skladu sa kliničkim sm</w:t>
      </w:r>
      <w:r w:rsidR="00AC70A6">
        <w:rPr>
          <w:bCs/>
          <w:sz w:val="22"/>
          <w:szCs w:val="22"/>
          <w:lang w:val="sr-Latn-ME"/>
        </w:rPr>
        <w:t>j</w:t>
      </w:r>
      <w:r w:rsidRPr="008224E7">
        <w:rPr>
          <w:bCs/>
          <w:sz w:val="22"/>
          <w:szCs w:val="22"/>
          <w:lang w:val="sr-Latn-ME"/>
        </w:rPr>
        <w:t>ernicama za imunosupresive, treba razmotriti testiranje pacijenata na HBV infekciju pr</w:t>
      </w:r>
      <w:r w:rsidR="0044194A">
        <w:rPr>
          <w:bCs/>
          <w:sz w:val="22"/>
          <w:szCs w:val="22"/>
          <w:lang w:val="sr-Latn-ME"/>
        </w:rPr>
        <w:t>ij</w:t>
      </w:r>
      <w:r w:rsidRPr="008224E7">
        <w:rPr>
          <w:bCs/>
          <w:sz w:val="22"/>
          <w:szCs w:val="22"/>
          <w:lang w:val="sr-Latn-ME"/>
        </w:rPr>
        <w:t>e početka l</w:t>
      </w:r>
      <w:r w:rsidR="0044194A">
        <w:rPr>
          <w:bCs/>
          <w:sz w:val="22"/>
          <w:szCs w:val="22"/>
          <w:lang w:val="sr-Latn-ME"/>
        </w:rPr>
        <w:t>ij</w:t>
      </w:r>
      <w:r w:rsidRPr="008224E7">
        <w:rPr>
          <w:bCs/>
          <w:sz w:val="22"/>
          <w:szCs w:val="22"/>
          <w:lang w:val="sr-Latn-ME"/>
        </w:rPr>
        <w:t>ečenja sekukinumabom. Pacijenti sa utvrđenom pozitivnom serologijom na HBV treba pratiti zbog moguće pojave kliničk</w:t>
      </w:r>
      <w:r w:rsidR="00AC70A6">
        <w:rPr>
          <w:bCs/>
          <w:sz w:val="22"/>
          <w:szCs w:val="22"/>
          <w:lang w:val="sr-Latn-ME"/>
        </w:rPr>
        <w:t>ih</w:t>
      </w:r>
      <w:r w:rsidRPr="008224E7">
        <w:rPr>
          <w:bCs/>
          <w:sz w:val="22"/>
          <w:szCs w:val="22"/>
          <w:lang w:val="sr-Latn-ME"/>
        </w:rPr>
        <w:t xml:space="preserve"> i laboratorijsk</w:t>
      </w:r>
      <w:r w:rsidR="00AC70A6">
        <w:rPr>
          <w:bCs/>
          <w:sz w:val="22"/>
          <w:szCs w:val="22"/>
          <w:lang w:val="sr-Latn-ME"/>
        </w:rPr>
        <w:t>ih</w:t>
      </w:r>
      <w:r w:rsidRPr="008224E7">
        <w:rPr>
          <w:bCs/>
          <w:sz w:val="22"/>
          <w:szCs w:val="22"/>
          <w:lang w:val="sr-Latn-ME"/>
        </w:rPr>
        <w:t xml:space="preserve"> znakov</w:t>
      </w:r>
      <w:r w:rsidR="00AC70A6">
        <w:rPr>
          <w:bCs/>
          <w:sz w:val="22"/>
          <w:szCs w:val="22"/>
          <w:lang w:val="sr-Latn-ME"/>
        </w:rPr>
        <w:t>a</w:t>
      </w:r>
      <w:r w:rsidRPr="008224E7">
        <w:rPr>
          <w:bCs/>
          <w:sz w:val="22"/>
          <w:szCs w:val="22"/>
          <w:lang w:val="sr-Latn-ME"/>
        </w:rPr>
        <w:t xml:space="preserve"> reaktivacije HBV tokom l</w:t>
      </w:r>
      <w:r w:rsidR="0044194A">
        <w:rPr>
          <w:bCs/>
          <w:sz w:val="22"/>
          <w:szCs w:val="22"/>
          <w:lang w:val="sr-Latn-ME"/>
        </w:rPr>
        <w:t>ij</w:t>
      </w:r>
      <w:r w:rsidRPr="008224E7">
        <w:rPr>
          <w:bCs/>
          <w:sz w:val="22"/>
          <w:szCs w:val="22"/>
          <w:lang w:val="sr-Latn-ME"/>
        </w:rPr>
        <w:t>ečenja sekukinumabom. Ako dođe do reaktivacije HBV tokom l</w:t>
      </w:r>
      <w:r w:rsidR="0044194A">
        <w:rPr>
          <w:bCs/>
          <w:sz w:val="22"/>
          <w:szCs w:val="22"/>
          <w:lang w:val="sr-Latn-ME"/>
        </w:rPr>
        <w:t>ij</w:t>
      </w:r>
      <w:r w:rsidRPr="008224E7">
        <w:rPr>
          <w:bCs/>
          <w:sz w:val="22"/>
          <w:szCs w:val="22"/>
          <w:lang w:val="sr-Latn-ME"/>
        </w:rPr>
        <w:t>ečenja sekukinumabom, treba razmotriti prekid terapije, a pacijente treba l</w:t>
      </w:r>
      <w:r w:rsidR="0044194A">
        <w:rPr>
          <w:bCs/>
          <w:sz w:val="22"/>
          <w:szCs w:val="22"/>
          <w:lang w:val="sr-Latn-ME"/>
        </w:rPr>
        <w:t>ij</w:t>
      </w:r>
      <w:r w:rsidRPr="008224E7">
        <w:rPr>
          <w:bCs/>
          <w:sz w:val="22"/>
          <w:szCs w:val="22"/>
          <w:lang w:val="sr-Latn-ME"/>
        </w:rPr>
        <w:t>ečiti prema kliničkim sm</w:t>
      </w:r>
      <w:r w:rsidR="00AC70A6">
        <w:rPr>
          <w:bCs/>
          <w:sz w:val="22"/>
          <w:szCs w:val="22"/>
          <w:lang w:val="sr-Latn-ME"/>
        </w:rPr>
        <w:t>j</w:t>
      </w:r>
      <w:r w:rsidRPr="008224E7">
        <w:rPr>
          <w:bCs/>
          <w:sz w:val="22"/>
          <w:szCs w:val="22"/>
          <w:lang w:val="sr-Latn-ME"/>
        </w:rPr>
        <w:t>ernicama.</w:t>
      </w:r>
    </w:p>
    <w:p w14:paraId="2300870C" w14:textId="77777777" w:rsidR="008224E7" w:rsidRPr="005474B2" w:rsidRDefault="008224E7">
      <w:pPr>
        <w:tabs>
          <w:tab w:val="left" w:pos="540"/>
          <w:tab w:val="left" w:pos="569"/>
        </w:tabs>
        <w:jc w:val="both"/>
        <w:rPr>
          <w:bCs/>
          <w:sz w:val="22"/>
          <w:szCs w:val="22"/>
          <w:lang w:val="sr-Latn-ME"/>
        </w:rPr>
      </w:pPr>
    </w:p>
    <w:p w14:paraId="0F0984D0" w14:textId="77777777" w:rsidR="00411B4B" w:rsidRPr="005474B2" w:rsidRDefault="00411B4B">
      <w:pPr>
        <w:tabs>
          <w:tab w:val="left" w:pos="540"/>
          <w:tab w:val="left" w:pos="569"/>
        </w:tabs>
        <w:jc w:val="both"/>
        <w:rPr>
          <w:b/>
          <w:bCs/>
          <w:sz w:val="22"/>
          <w:szCs w:val="22"/>
          <w:lang w:val="sr-Latn-ME"/>
        </w:rPr>
      </w:pPr>
      <w:r w:rsidRPr="005474B2">
        <w:rPr>
          <w:b/>
          <w:bCs/>
          <w:sz w:val="22"/>
          <w:szCs w:val="22"/>
          <w:lang w:val="sr-Latn-ME"/>
        </w:rPr>
        <w:t>4.5.</w:t>
      </w:r>
      <w:r w:rsidR="000D60CC" w:rsidRPr="005474B2">
        <w:rPr>
          <w:b/>
          <w:bCs/>
          <w:sz w:val="22"/>
          <w:szCs w:val="22"/>
          <w:lang w:val="sr-Latn-ME"/>
        </w:rPr>
        <w:tab/>
      </w:r>
      <w:r w:rsidRPr="005474B2">
        <w:rPr>
          <w:b/>
          <w:bCs/>
          <w:sz w:val="22"/>
          <w:szCs w:val="22"/>
          <w:lang w:val="sr-Latn-ME"/>
        </w:rPr>
        <w:t>Interakcije sa drugim ljekovima i druge vrste interakcija</w:t>
      </w:r>
    </w:p>
    <w:p w14:paraId="7B38CE04" w14:textId="77777777" w:rsidR="0072020E" w:rsidRPr="005474B2" w:rsidRDefault="0072020E">
      <w:pPr>
        <w:tabs>
          <w:tab w:val="left" w:pos="540"/>
          <w:tab w:val="left" w:pos="569"/>
        </w:tabs>
        <w:jc w:val="both"/>
        <w:rPr>
          <w:bCs/>
          <w:sz w:val="22"/>
          <w:szCs w:val="22"/>
          <w:lang w:val="sr-Latn-ME"/>
        </w:rPr>
      </w:pPr>
    </w:p>
    <w:p w14:paraId="4D4460F8" w14:textId="0E98953A" w:rsidR="007D7CE1" w:rsidRPr="005474B2" w:rsidRDefault="007D7CE1">
      <w:pPr>
        <w:tabs>
          <w:tab w:val="left" w:pos="284"/>
        </w:tabs>
        <w:jc w:val="both"/>
        <w:rPr>
          <w:sz w:val="22"/>
          <w:szCs w:val="22"/>
          <w:lang w:val="sr-Latn-ME"/>
        </w:rPr>
      </w:pPr>
      <w:r w:rsidRPr="005474B2">
        <w:rPr>
          <w:sz w:val="22"/>
          <w:szCs w:val="22"/>
          <w:lang w:val="sr-Latn-ME"/>
        </w:rPr>
        <w:t>Žive vakcine ne treba prim</w:t>
      </w:r>
      <w:r w:rsidR="00A23A61" w:rsidRPr="005474B2">
        <w:rPr>
          <w:sz w:val="22"/>
          <w:szCs w:val="22"/>
          <w:lang w:val="sr-Latn-ME"/>
        </w:rPr>
        <w:t>j</w:t>
      </w:r>
      <w:r w:rsidRPr="005474B2">
        <w:rPr>
          <w:sz w:val="22"/>
          <w:szCs w:val="22"/>
          <w:lang w:val="sr-Latn-ME"/>
        </w:rPr>
        <w:t>enjivati istovremeno sa sekukinumabom (</w:t>
      </w:r>
      <w:r w:rsidR="009A4880" w:rsidRPr="005474B2">
        <w:rPr>
          <w:sz w:val="22"/>
          <w:szCs w:val="22"/>
          <w:lang w:val="sr-Latn-ME"/>
        </w:rPr>
        <w:t>vidjet</w:t>
      </w:r>
      <w:r w:rsidRPr="005474B2">
        <w:rPr>
          <w:sz w:val="22"/>
          <w:szCs w:val="22"/>
          <w:lang w:val="sr-Latn-ME"/>
        </w:rPr>
        <w:t xml:space="preserve">i </w:t>
      </w:r>
      <w:r w:rsidR="003559B7" w:rsidRPr="005474B2">
        <w:rPr>
          <w:sz w:val="22"/>
          <w:szCs w:val="22"/>
          <w:lang w:val="sr-Latn-ME"/>
        </w:rPr>
        <w:t xml:space="preserve">dio </w:t>
      </w:r>
      <w:r w:rsidRPr="005474B2">
        <w:rPr>
          <w:sz w:val="22"/>
          <w:szCs w:val="22"/>
          <w:lang w:val="sr-Latn-ME"/>
        </w:rPr>
        <w:t>4.4).</w:t>
      </w:r>
    </w:p>
    <w:p w14:paraId="5348EB20" w14:textId="77777777" w:rsidR="007D7CE1" w:rsidRPr="005474B2" w:rsidRDefault="007D7CE1">
      <w:pPr>
        <w:tabs>
          <w:tab w:val="left" w:pos="284"/>
        </w:tabs>
        <w:jc w:val="both"/>
        <w:rPr>
          <w:sz w:val="22"/>
          <w:szCs w:val="22"/>
          <w:lang w:val="sr-Latn-ME"/>
        </w:rPr>
      </w:pPr>
    </w:p>
    <w:p w14:paraId="2F710D15" w14:textId="06AFDA9C" w:rsidR="007D7CE1" w:rsidRPr="005474B2" w:rsidRDefault="007D7CE1">
      <w:pPr>
        <w:tabs>
          <w:tab w:val="left" w:pos="284"/>
        </w:tabs>
        <w:jc w:val="both"/>
        <w:rPr>
          <w:sz w:val="22"/>
          <w:szCs w:val="22"/>
          <w:lang w:val="sr-Latn-ME"/>
        </w:rPr>
      </w:pPr>
      <w:r w:rsidRPr="005474B2">
        <w:rPr>
          <w:sz w:val="22"/>
          <w:szCs w:val="22"/>
          <w:lang w:val="sr-Latn-ME"/>
        </w:rPr>
        <w:t>U studiji sa odraslim ispitanicima koji imaju plak psorijazu, ni</w:t>
      </w:r>
      <w:r w:rsidR="00746619" w:rsidRPr="005474B2">
        <w:rPr>
          <w:sz w:val="22"/>
          <w:szCs w:val="22"/>
          <w:lang w:val="sr-Latn-ME"/>
        </w:rPr>
        <w:t>je</w:t>
      </w:r>
      <w:r w:rsidRPr="005474B2">
        <w:rPr>
          <w:sz w:val="22"/>
          <w:szCs w:val="22"/>
          <w:lang w:val="sr-Latn-ME"/>
        </w:rPr>
        <w:t>su zab</w:t>
      </w:r>
      <w:r w:rsidR="00A23A61" w:rsidRPr="005474B2">
        <w:rPr>
          <w:sz w:val="22"/>
          <w:szCs w:val="22"/>
          <w:lang w:val="sr-Latn-ME"/>
        </w:rPr>
        <w:t>i</w:t>
      </w:r>
      <w:r w:rsidRPr="005474B2">
        <w:rPr>
          <w:sz w:val="22"/>
          <w:szCs w:val="22"/>
          <w:lang w:val="sr-Latn-ME"/>
        </w:rPr>
        <w:t>l</w:t>
      </w:r>
      <w:r w:rsidR="00A23A61" w:rsidRPr="005474B2">
        <w:rPr>
          <w:sz w:val="22"/>
          <w:szCs w:val="22"/>
          <w:lang w:val="sr-Latn-ME"/>
        </w:rPr>
        <w:t>j</w:t>
      </w:r>
      <w:r w:rsidRPr="005474B2">
        <w:rPr>
          <w:sz w:val="22"/>
          <w:szCs w:val="22"/>
          <w:lang w:val="sr-Latn-ME"/>
        </w:rPr>
        <w:t>ežene interakcije između sekukinumaba i midazolama (CYP3A4 supstrata).</w:t>
      </w:r>
    </w:p>
    <w:p w14:paraId="1F0FAC08" w14:textId="77777777" w:rsidR="007D7CE1" w:rsidRPr="005474B2" w:rsidRDefault="007D7CE1">
      <w:pPr>
        <w:tabs>
          <w:tab w:val="left" w:pos="284"/>
        </w:tabs>
        <w:jc w:val="both"/>
        <w:rPr>
          <w:sz w:val="22"/>
          <w:szCs w:val="22"/>
          <w:lang w:val="sr-Latn-ME"/>
        </w:rPr>
      </w:pPr>
    </w:p>
    <w:p w14:paraId="37477ABC" w14:textId="4D329A86" w:rsidR="007D7CE1" w:rsidRPr="005474B2" w:rsidRDefault="007D7CE1">
      <w:pPr>
        <w:tabs>
          <w:tab w:val="left" w:pos="284"/>
        </w:tabs>
        <w:jc w:val="both"/>
        <w:rPr>
          <w:sz w:val="22"/>
          <w:szCs w:val="22"/>
          <w:lang w:val="sr-Latn-ME"/>
        </w:rPr>
      </w:pPr>
      <w:r w:rsidRPr="005474B2">
        <w:rPr>
          <w:sz w:val="22"/>
          <w:szCs w:val="22"/>
          <w:lang w:val="sr-Latn-ME"/>
        </w:rPr>
        <w:t>Ni</w:t>
      </w:r>
      <w:r w:rsidR="00746619" w:rsidRPr="005474B2">
        <w:rPr>
          <w:sz w:val="22"/>
          <w:szCs w:val="22"/>
          <w:lang w:val="sr-Latn-ME"/>
        </w:rPr>
        <w:t>je</w:t>
      </w:r>
      <w:r w:rsidRPr="005474B2">
        <w:rPr>
          <w:sz w:val="22"/>
          <w:szCs w:val="22"/>
          <w:lang w:val="sr-Latn-ME"/>
        </w:rPr>
        <w:t xml:space="preserve">su uočene interakcije prilikom istovremene </w:t>
      </w:r>
      <w:r w:rsidR="009A4880" w:rsidRPr="005474B2">
        <w:rPr>
          <w:sz w:val="22"/>
          <w:szCs w:val="22"/>
          <w:lang w:val="sr-Latn-ME"/>
        </w:rPr>
        <w:t>primjene</w:t>
      </w:r>
      <w:r w:rsidRPr="005474B2">
        <w:rPr>
          <w:sz w:val="22"/>
          <w:szCs w:val="22"/>
          <w:lang w:val="sr-Latn-ME"/>
        </w:rPr>
        <w:t xml:space="preserve"> sekukinumaba i metotreksata (MTX) i/ili kortikosteroida u studijama za artritis (</w:t>
      </w:r>
      <w:r w:rsidR="00741E41" w:rsidRPr="005474B2">
        <w:rPr>
          <w:sz w:val="22"/>
          <w:szCs w:val="22"/>
          <w:lang w:val="sr-Latn-ME"/>
        </w:rPr>
        <w:t xml:space="preserve">koje </w:t>
      </w:r>
      <w:r w:rsidRPr="005474B2">
        <w:rPr>
          <w:sz w:val="22"/>
          <w:szCs w:val="22"/>
          <w:lang w:val="sr-Latn-ME"/>
        </w:rPr>
        <w:t>su uključival</w:t>
      </w:r>
      <w:r w:rsidR="00621FB9" w:rsidRPr="005474B2">
        <w:rPr>
          <w:sz w:val="22"/>
          <w:szCs w:val="22"/>
          <w:lang w:val="sr-Latn-ME"/>
        </w:rPr>
        <w:t>e</w:t>
      </w:r>
      <w:r w:rsidRPr="005474B2">
        <w:rPr>
          <w:sz w:val="22"/>
          <w:szCs w:val="22"/>
          <w:lang w:val="sr-Latn-ME"/>
        </w:rPr>
        <w:t xml:space="preserve"> pacijente sa psorijaznim artritisom i aksijalnim spondiloartritisom).</w:t>
      </w:r>
    </w:p>
    <w:p w14:paraId="41059449" w14:textId="77777777" w:rsidR="007D7CE1" w:rsidRPr="005474B2" w:rsidRDefault="007D7CE1">
      <w:pPr>
        <w:tabs>
          <w:tab w:val="left" w:pos="540"/>
          <w:tab w:val="left" w:pos="569"/>
        </w:tabs>
        <w:jc w:val="both"/>
        <w:rPr>
          <w:bCs/>
          <w:sz w:val="22"/>
          <w:szCs w:val="22"/>
          <w:lang w:val="sr-Latn-ME"/>
        </w:rPr>
      </w:pPr>
    </w:p>
    <w:p w14:paraId="0E16896B" w14:textId="77777777" w:rsidR="0072020E" w:rsidRPr="005474B2" w:rsidRDefault="0072020E">
      <w:pPr>
        <w:tabs>
          <w:tab w:val="left" w:pos="540"/>
          <w:tab w:val="left" w:pos="569"/>
        </w:tabs>
        <w:jc w:val="both"/>
        <w:rPr>
          <w:b/>
          <w:sz w:val="22"/>
          <w:szCs w:val="22"/>
          <w:lang w:val="sr-Latn-ME"/>
        </w:rPr>
      </w:pPr>
      <w:r w:rsidRPr="005474B2">
        <w:rPr>
          <w:b/>
          <w:bCs/>
          <w:sz w:val="22"/>
          <w:szCs w:val="22"/>
          <w:lang w:val="sr-Latn-ME"/>
        </w:rPr>
        <w:t xml:space="preserve">4.6. </w:t>
      </w:r>
      <w:r w:rsidR="00480FB1" w:rsidRPr="005474B2">
        <w:rPr>
          <w:b/>
          <w:bCs/>
          <w:sz w:val="22"/>
          <w:szCs w:val="22"/>
          <w:lang w:val="sr-Latn-ME"/>
        </w:rPr>
        <w:tab/>
      </w:r>
      <w:r w:rsidR="006D20A5" w:rsidRPr="005474B2">
        <w:rPr>
          <w:b/>
          <w:sz w:val="22"/>
          <w:szCs w:val="22"/>
          <w:lang w:val="sr-Latn-ME"/>
        </w:rPr>
        <w:t>Plodnost, trudnoća i dojenje</w:t>
      </w:r>
    </w:p>
    <w:p w14:paraId="11A279A2" w14:textId="77777777" w:rsidR="002031B3" w:rsidRPr="005474B2" w:rsidRDefault="002031B3">
      <w:pPr>
        <w:tabs>
          <w:tab w:val="left" w:pos="540"/>
          <w:tab w:val="left" w:pos="569"/>
        </w:tabs>
        <w:jc w:val="both"/>
        <w:rPr>
          <w:sz w:val="22"/>
          <w:szCs w:val="22"/>
          <w:u w:val="single"/>
          <w:lang w:val="sr-Latn-ME"/>
        </w:rPr>
      </w:pPr>
    </w:p>
    <w:p w14:paraId="2120F254" w14:textId="77777777" w:rsidR="007D7CE1" w:rsidRPr="005474B2" w:rsidRDefault="007D7CE1">
      <w:pPr>
        <w:jc w:val="both"/>
        <w:rPr>
          <w:sz w:val="22"/>
          <w:szCs w:val="22"/>
          <w:u w:val="single"/>
          <w:lang w:val="sr-Latn-ME"/>
        </w:rPr>
      </w:pPr>
      <w:r w:rsidRPr="005474B2">
        <w:rPr>
          <w:sz w:val="22"/>
          <w:szCs w:val="22"/>
          <w:u w:val="single"/>
          <w:lang w:val="sr-Latn-ME"/>
        </w:rPr>
        <w:t>Žene u reproduktivnom periodu</w:t>
      </w:r>
    </w:p>
    <w:p w14:paraId="07FD3605" w14:textId="77777777" w:rsidR="007D7CE1" w:rsidRPr="005474B2" w:rsidRDefault="007D7CE1">
      <w:pPr>
        <w:jc w:val="both"/>
        <w:rPr>
          <w:sz w:val="22"/>
          <w:szCs w:val="22"/>
          <w:lang w:val="sr-Latn-ME"/>
        </w:rPr>
      </w:pPr>
    </w:p>
    <w:p w14:paraId="180E0575" w14:textId="77777777" w:rsidR="007D7CE1" w:rsidRPr="005474B2" w:rsidRDefault="007D7CE1">
      <w:pPr>
        <w:jc w:val="both"/>
        <w:rPr>
          <w:sz w:val="22"/>
          <w:szCs w:val="22"/>
          <w:lang w:val="sr-Latn-ME"/>
        </w:rPr>
      </w:pPr>
      <w:r w:rsidRPr="005474B2">
        <w:rPr>
          <w:sz w:val="22"/>
          <w:szCs w:val="22"/>
          <w:lang w:val="sr-Latn-ME"/>
        </w:rPr>
        <w:t xml:space="preserve">Žene u reproduktivnom periodu treba da koriste efikasan metod kontracepcije tokom </w:t>
      </w:r>
      <w:r w:rsidR="009A4880" w:rsidRPr="005474B2">
        <w:rPr>
          <w:sz w:val="22"/>
          <w:szCs w:val="22"/>
          <w:lang w:val="sr-Latn-ME"/>
        </w:rPr>
        <w:t>liječ</w:t>
      </w:r>
      <w:r w:rsidRPr="005474B2">
        <w:rPr>
          <w:sz w:val="22"/>
          <w:szCs w:val="22"/>
          <w:lang w:val="sr-Latn-ME"/>
        </w:rPr>
        <w:t xml:space="preserve">enja i najmanje 20 </w:t>
      </w:r>
      <w:r w:rsidR="009A4880" w:rsidRPr="005474B2">
        <w:rPr>
          <w:sz w:val="22"/>
          <w:szCs w:val="22"/>
          <w:lang w:val="sr-Latn-ME"/>
        </w:rPr>
        <w:t>nedjelj</w:t>
      </w:r>
      <w:r w:rsidRPr="005474B2">
        <w:rPr>
          <w:sz w:val="22"/>
          <w:szCs w:val="22"/>
          <w:lang w:val="sr-Latn-ME"/>
        </w:rPr>
        <w:t xml:space="preserve">a nakon </w:t>
      </w:r>
      <w:r w:rsidR="009A4880" w:rsidRPr="005474B2">
        <w:rPr>
          <w:sz w:val="22"/>
          <w:szCs w:val="22"/>
          <w:lang w:val="sr-Latn-ME"/>
        </w:rPr>
        <w:t>liječ</w:t>
      </w:r>
      <w:r w:rsidRPr="005474B2">
        <w:rPr>
          <w:sz w:val="22"/>
          <w:szCs w:val="22"/>
          <w:lang w:val="sr-Latn-ME"/>
        </w:rPr>
        <w:t>enja.</w:t>
      </w:r>
    </w:p>
    <w:p w14:paraId="6CF41059" w14:textId="77777777" w:rsidR="007D7CE1" w:rsidRPr="005474B2" w:rsidRDefault="007D7CE1">
      <w:pPr>
        <w:tabs>
          <w:tab w:val="left" w:pos="540"/>
          <w:tab w:val="left" w:pos="569"/>
        </w:tabs>
        <w:jc w:val="both"/>
        <w:rPr>
          <w:sz w:val="22"/>
          <w:szCs w:val="22"/>
          <w:u w:val="single"/>
          <w:lang w:val="sr-Latn-ME"/>
        </w:rPr>
      </w:pPr>
    </w:p>
    <w:p w14:paraId="6A242509" w14:textId="77777777" w:rsidR="002031B3" w:rsidRPr="005474B2" w:rsidRDefault="002031B3">
      <w:pPr>
        <w:tabs>
          <w:tab w:val="left" w:pos="540"/>
          <w:tab w:val="left" w:pos="569"/>
        </w:tabs>
        <w:jc w:val="both"/>
        <w:rPr>
          <w:sz w:val="22"/>
          <w:szCs w:val="22"/>
          <w:u w:val="single"/>
          <w:lang w:val="sr-Latn-ME"/>
        </w:rPr>
      </w:pPr>
      <w:r w:rsidRPr="005474B2">
        <w:rPr>
          <w:sz w:val="22"/>
          <w:szCs w:val="22"/>
          <w:u w:val="single"/>
          <w:lang w:val="sr-Latn-ME"/>
        </w:rPr>
        <w:t>Plodnost</w:t>
      </w:r>
    </w:p>
    <w:p w14:paraId="07ADAA1B" w14:textId="77777777" w:rsidR="002031B3" w:rsidRPr="005474B2" w:rsidRDefault="002031B3">
      <w:pPr>
        <w:tabs>
          <w:tab w:val="left" w:pos="540"/>
          <w:tab w:val="left" w:pos="569"/>
        </w:tabs>
        <w:jc w:val="both"/>
        <w:rPr>
          <w:sz w:val="22"/>
          <w:szCs w:val="22"/>
          <w:u w:val="single"/>
          <w:lang w:val="sr-Latn-ME"/>
        </w:rPr>
      </w:pPr>
    </w:p>
    <w:p w14:paraId="2C638D80" w14:textId="77777777" w:rsidR="007D7CE1" w:rsidRPr="005474B2" w:rsidRDefault="007D7CE1">
      <w:pPr>
        <w:tabs>
          <w:tab w:val="left" w:pos="284"/>
        </w:tabs>
        <w:jc w:val="both"/>
        <w:rPr>
          <w:sz w:val="22"/>
          <w:szCs w:val="22"/>
          <w:lang w:val="sr-Latn-ME"/>
        </w:rPr>
      </w:pPr>
      <w:r w:rsidRPr="005474B2">
        <w:rPr>
          <w:sz w:val="22"/>
          <w:szCs w:val="22"/>
          <w:lang w:val="sr-Latn-ME"/>
        </w:rPr>
        <w:t>Uticaj sekukinumaba na plodnost kod ljudi nije proc</w:t>
      </w:r>
      <w:r w:rsidR="00A23A61" w:rsidRPr="005474B2">
        <w:rPr>
          <w:sz w:val="22"/>
          <w:szCs w:val="22"/>
          <w:lang w:val="sr-Latn-ME"/>
        </w:rPr>
        <w:t>j</w:t>
      </w:r>
      <w:r w:rsidRPr="005474B2">
        <w:rPr>
          <w:sz w:val="22"/>
          <w:szCs w:val="22"/>
          <w:lang w:val="sr-Latn-ME"/>
        </w:rPr>
        <w:t>enjivan. Ispitivanja na životinjama ne ukazuju na direktan ili indirektan štetan efekat na plodnost.</w:t>
      </w:r>
    </w:p>
    <w:p w14:paraId="02382A1E" w14:textId="77777777" w:rsidR="007D7CE1" w:rsidRPr="005474B2" w:rsidRDefault="007D7CE1">
      <w:pPr>
        <w:tabs>
          <w:tab w:val="left" w:pos="540"/>
          <w:tab w:val="left" w:pos="569"/>
        </w:tabs>
        <w:jc w:val="both"/>
        <w:rPr>
          <w:sz w:val="22"/>
          <w:szCs w:val="22"/>
          <w:u w:val="single"/>
          <w:lang w:val="sr-Latn-ME"/>
        </w:rPr>
      </w:pPr>
    </w:p>
    <w:p w14:paraId="3FB4605E" w14:textId="77777777" w:rsidR="007A3ECB" w:rsidRPr="005474B2" w:rsidRDefault="007A3ECB">
      <w:pPr>
        <w:tabs>
          <w:tab w:val="left" w:pos="540"/>
          <w:tab w:val="left" w:pos="569"/>
        </w:tabs>
        <w:jc w:val="both"/>
        <w:rPr>
          <w:sz w:val="22"/>
          <w:szCs w:val="22"/>
          <w:u w:val="single"/>
          <w:lang w:val="sr-Latn-ME"/>
        </w:rPr>
      </w:pPr>
      <w:r w:rsidRPr="005474B2">
        <w:rPr>
          <w:sz w:val="22"/>
          <w:szCs w:val="22"/>
          <w:u w:val="single"/>
          <w:lang w:val="sr-Latn-ME"/>
        </w:rPr>
        <w:t>Trudnoća</w:t>
      </w:r>
    </w:p>
    <w:p w14:paraId="05E1DB15" w14:textId="77777777" w:rsidR="002031B3" w:rsidRPr="005474B2" w:rsidRDefault="002031B3">
      <w:pPr>
        <w:tabs>
          <w:tab w:val="left" w:pos="540"/>
          <w:tab w:val="left" w:pos="569"/>
        </w:tabs>
        <w:jc w:val="both"/>
        <w:rPr>
          <w:sz w:val="22"/>
          <w:szCs w:val="22"/>
          <w:u w:val="single"/>
          <w:lang w:val="sr-Latn-ME"/>
        </w:rPr>
      </w:pPr>
    </w:p>
    <w:p w14:paraId="449E7272" w14:textId="77777777" w:rsidR="007D7CE1" w:rsidRPr="005474B2" w:rsidRDefault="007D7CE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lang w:val="sr-Latn-ME"/>
        </w:rPr>
      </w:pPr>
      <w:r w:rsidRPr="005474B2">
        <w:rPr>
          <w:sz w:val="22"/>
          <w:szCs w:val="22"/>
          <w:lang w:val="sr-Latn-ME"/>
        </w:rPr>
        <w:t xml:space="preserve">Nema odgovarajućih podataka o upotrebi sekukinumaba kod trudnica. </w:t>
      </w:r>
    </w:p>
    <w:p w14:paraId="0D9953A3" w14:textId="77777777" w:rsidR="007D7CE1" w:rsidRPr="005474B2" w:rsidRDefault="007D7CE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lang w:val="sr-Latn-ME"/>
        </w:rPr>
      </w:pPr>
    </w:p>
    <w:p w14:paraId="4E2A4DFC" w14:textId="65A9DC3C" w:rsidR="007D7CE1" w:rsidRPr="005474B2" w:rsidRDefault="007D7CE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lang w:val="sr-Latn-ME"/>
        </w:rPr>
      </w:pPr>
      <w:r w:rsidRPr="005474B2">
        <w:rPr>
          <w:sz w:val="22"/>
          <w:szCs w:val="22"/>
          <w:lang w:val="sr-Latn-ME"/>
        </w:rPr>
        <w:t>Ispitivanja na životinjama ne ukazuju na direktan ili indirektan štetan uticaj u smislu reproduktivne toksičnosti (</w:t>
      </w:r>
      <w:r w:rsidR="009A4880" w:rsidRPr="005474B2">
        <w:rPr>
          <w:sz w:val="22"/>
          <w:szCs w:val="22"/>
          <w:lang w:val="sr-Latn-ME"/>
        </w:rPr>
        <w:t>vidjet</w:t>
      </w:r>
      <w:r w:rsidRPr="005474B2">
        <w:rPr>
          <w:sz w:val="22"/>
          <w:szCs w:val="22"/>
          <w:lang w:val="sr-Latn-ME"/>
        </w:rPr>
        <w:t xml:space="preserve">i </w:t>
      </w:r>
      <w:r w:rsidR="003559B7" w:rsidRPr="005474B2">
        <w:rPr>
          <w:sz w:val="22"/>
          <w:szCs w:val="22"/>
          <w:lang w:val="sr-Latn-ME"/>
        </w:rPr>
        <w:t xml:space="preserve">dio </w:t>
      </w:r>
      <w:r w:rsidRPr="005474B2">
        <w:rPr>
          <w:sz w:val="22"/>
          <w:szCs w:val="22"/>
          <w:lang w:val="sr-Latn-ME"/>
        </w:rPr>
        <w:t>5.3). Kao m</w:t>
      </w:r>
      <w:r w:rsidR="00A23A61" w:rsidRPr="005474B2">
        <w:rPr>
          <w:sz w:val="22"/>
          <w:szCs w:val="22"/>
          <w:lang w:val="sr-Latn-ME"/>
        </w:rPr>
        <w:t>j</w:t>
      </w:r>
      <w:r w:rsidRPr="005474B2">
        <w:rPr>
          <w:sz w:val="22"/>
          <w:szCs w:val="22"/>
          <w:lang w:val="sr-Latn-ME"/>
        </w:rPr>
        <w:t>era opreza, preporučuje se izb</w:t>
      </w:r>
      <w:r w:rsidR="00A23A61" w:rsidRPr="005474B2">
        <w:rPr>
          <w:sz w:val="22"/>
          <w:szCs w:val="22"/>
          <w:lang w:val="sr-Latn-ME"/>
        </w:rPr>
        <w:t>j</w:t>
      </w:r>
      <w:r w:rsidRPr="005474B2">
        <w:rPr>
          <w:sz w:val="22"/>
          <w:szCs w:val="22"/>
          <w:lang w:val="sr-Latn-ME"/>
        </w:rPr>
        <w:t xml:space="preserve">egavanje upotrebe </w:t>
      </w:r>
      <w:r w:rsidR="009A4880" w:rsidRPr="005474B2">
        <w:rPr>
          <w:sz w:val="22"/>
          <w:szCs w:val="22"/>
          <w:lang w:val="sr-Latn-ME"/>
        </w:rPr>
        <w:t>lijeka</w:t>
      </w:r>
      <w:r w:rsidRPr="005474B2">
        <w:rPr>
          <w:sz w:val="22"/>
          <w:szCs w:val="22"/>
          <w:lang w:val="sr-Latn-ME"/>
        </w:rPr>
        <w:t xml:space="preserve"> Cosentyx tokom trudnoće. </w:t>
      </w:r>
    </w:p>
    <w:p w14:paraId="47FE981C" w14:textId="77777777" w:rsidR="007D7CE1" w:rsidRPr="005474B2" w:rsidRDefault="007D7CE1">
      <w:pPr>
        <w:tabs>
          <w:tab w:val="left" w:pos="540"/>
          <w:tab w:val="left" w:pos="569"/>
        </w:tabs>
        <w:jc w:val="both"/>
        <w:rPr>
          <w:sz w:val="22"/>
          <w:szCs w:val="22"/>
          <w:u w:val="single"/>
          <w:lang w:val="sr-Latn-ME"/>
        </w:rPr>
      </w:pPr>
    </w:p>
    <w:p w14:paraId="0D1E42AA" w14:textId="77777777" w:rsidR="0072020E" w:rsidRPr="005474B2" w:rsidRDefault="007A3ECB">
      <w:pPr>
        <w:tabs>
          <w:tab w:val="left" w:pos="540"/>
          <w:tab w:val="left" w:pos="569"/>
        </w:tabs>
        <w:jc w:val="both"/>
        <w:rPr>
          <w:b/>
          <w:bCs/>
          <w:sz w:val="22"/>
          <w:szCs w:val="22"/>
          <w:lang w:val="sr-Latn-ME"/>
        </w:rPr>
      </w:pPr>
      <w:r w:rsidRPr="005474B2">
        <w:rPr>
          <w:sz w:val="22"/>
          <w:szCs w:val="22"/>
          <w:u w:val="single"/>
          <w:lang w:val="sr-Latn-ME"/>
        </w:rPr>
        <w:t xml:space="preserve">Dojenje </w:t>
      </w:r>
    </w:p>
    <w:p w14:paraId="5CF03B17" w14:textId="77777777" w:rsidR="00227BDB" w:rsidRPr="005474B2" w:rsidRDefault="00227BDB">
      <w:pPr>
        <w:tabs>
          <w:tab w:val="left" w:pos="540"/>
          <w:tab w:val="left" w:pos="569"/>
        </w:tabs>
        <w:ind w:left="540" w:hanging="540"/>
        <w:jc w:val="both"/>
        <w:rPr>
          <w:b/>
          <w:bCs/>
          <w:sz w:val="22"/>
          <w:szCs w:val="22"/>
          <w:lang w:val="sr-Latn-ME"/>
        </w:rPr>
      </w:pPr>
    </w:p>
    <w:p w14:paraId="0717B833" w14:textId="2197F21E" w:rsidR="007D7CE1" w:rsidRPr="005474B2" w:rsidRDefault="007D7CE1">
      <w:pPr>
        <w:tabs>
          <w:tab w:val="left" w:pos="284"/>
        </w:tabs>
        <w:jc w:val="both"/>
        <w:rPr>
          <w:sz w:val="22"/>
          <w:szCs w:val="22"/>
          <w:lang w:val="sr-Latn-ME"/>
        </w:rPr>
      </w:pPr>
      <w:r w:rsidRPr="005474B2">
        <w:rPr>
          <w:sz w:val="22"/>
          <w:szCs w:val="22"/>
          <w:lang w:val="sr-Latn-ME"/>
        </w:rPr>
        <w:t>Nije poznato da li se sekukinumab izlučuje u majčino ml</w:t>
      </w:r>
      <w:r w:rsidR="00A23A61" w:rsidRPr="005474B2">
        <w:rPr>
          <w:sz w:val="22"/>
          <w:szCs w:val="22"/>
          <w:lang w:val="sr-Latn-ME"/>
        </w:rPr>
        <w:t>ij</w:t>
      </w:r>
      <w:r w:rsidRPr="005474B2">
        <w:rPr>
          <w:sz w:val="22"/>
          <w:szCs w:val="22"/>
          <w:lang w:val="sr-Latn-ME"/>
        </w:rPr>
        <w:t>eko. Imunoglobulini se izlučuju u majčino ml</w:t>
      </w:r>
      <w:r w:rsidR="00A23A61" w:rsidRPr="005474B2">
        <w:rPr>
          <w:sz w:val="22"/>
          <w:szCs w:val="22"/>
          <w:lang w:val="sr-Latn-ME"/>
        </w:rPr>
        <w:t>ij</w:t>
      </w:r>
      <w:r w:rsidRPr="005474B2">
        <w:rPr>
          <w:sz w:val="22"/>
          <w:szCs w:val="22"/>
          <w:lang w:val="sr-Latn-ME"/>
        </w:rPr>
        <w:t xml:space="preserve">eko i nije poznato da li se sekukinumab sistemski resorbuje nakon gutanja. Zbog mogućih neželjenih reakcija sekukinumaba kod odojčadi, odluku o prekidu dojenja tokom </w:t>
      </w:r>
      <w:r w:rsidR="009A4880" w:rsidRPr="005474B2">
        <w:rPr>
          <w:sz w:val="22"/>
          <w:szCs w:val="22"/>
          <w:lang w:val="sr-Latn-ME"/>
        </w:rPr>
        <w:t>liječ</w:t>
      </w:r>
      <w:r w:rsidRPr="005474B2">
        <w:rPr>
          <w:sz w:val="22"/>
          <w:szCs w:val="22"/>
          <w:lang w:val="sr-Latn-ME"/>
        </w:rPr>
        <w:t xml:space="preserve">enja i do 20 </w:t>
      </w:r>
      <w:r w:rsidR="009A4880" w:rsidRPr="005474B2">
        <w:rPr>
          <w:sz w:val="22"/>
          <w:szCs w:val="22"/>
          <w:lang w:val="sr-Latn-ME"/>
        </w:rPr>
        <w:t>nedjelj</w:t>
      </w:r>
      <w:r w:rsidRPr="005474B2">
        <w:rPr>
          <w:sz w:val="22"/>
          <w:szCs w:val="22"/>
          <w:lang w:val="sr-Latn-ME"/>
        </w:rPr>
        <w:t xml:space="preserve">a nakon </w:t>
      </w:r>
      <w:r w:rsidR="009A4880" w:rsidRPr="005474B2">
        <w:rPr>
          <w:sz w:val="22"/>
          <w:szCs w:val="22"/>
          <w:lang w:val="sr-Latn-ME"/>
        </w:rPr>
        <w:t>liječ</w:t>
      </w:r>
      <w:r w:rsidRPr="005474B2">
        <w:rPr>
          <w:sz w:val="22"/>
          <w:szCs w:val="22"/>
          <w:lang w:val="sr-Latn-ME"/>
        </w:rPr>
        <w:t xml:space="preserve">enja ili o prekidu terapije </w:t>
      </w:r>
      <w:r w:rsidR="009A4880" w:rsidRPr="005474B2">
        <w:rPr>
          <w:sz w:val="22"/>
          <w:szCs w:val="22"/>
          <w:lang w:val="sr-Latn-ME"/>
        </w:rPr>
        <w:t>lijekom</w:t>
      </w:r>
      <w:r w:rsidRPr="005474B2">
        <w:rPr>
          <w:sz w:val="22"/>
          <w:szCs w:val="22"/>
          <w:lang w:val="sr-Latn-ME"/>
        </w:rPr>
        <w:t xml:space="preserve"> Cosentyx treba don</w:t>
      </w:r>
      <w:r w:rsidR="00741E41" w:rsidRPr="005474B2">
        <w:rPr>
          <w:sz w:val="22"/>
          <w:szCs w:val="22"/>
          <w:lang w:val="sr-Latn-ME"/>
        </w:rPr>
        <w:t>ij</w:t>
      </w:r>
      <w:r w:rsidRPr="005474B2">
        <w:rPr>
          <w:sz w:val="22"/>
          <w:szCs w:val="22"/>
          <w:lang w:val="sr-Latn-ME"/>
        </w:rPr>
        <w:t>eti uzimajući u obzir korist dojenja za d</w:t>
      </w:r>
      <w:r w:rsidR="00741E41" w:rsidRPr="005474B2">
        <w:rPr>
          <w:sz w:val="22"/>
          <w:szCs w:val="22"/>
          <w:lang w:val="sr-Latn-ME"/>
        </w:rPr>
        <w:t>ij</w:t>
      </w:r>
      <w:r w:rsidRPr="005474B2">
        <w:rPr>
          <w:sz w:val="22"/>
          <w:szCs w:val="22"/>
          <w:lang w:val="sr-Latn-ME"/>
        </w:rPr>
        <w:t xml:space="preserve">ete i korist terapije </w:t>
      </w:r>
      <w:r w:rsidR="00822251" w:rsidRPr="005474B2">
        <w:rPr>
          <w:sz w:val="22"/>
          <w:szCs w:val="22"/>
          <w:lang w:val="sr-Latn-ME"/>
        </w:rPr>
        <w:t>z</w:t>
      </w:r>
      <w:r w:rsidRPr="005474B2">
        <w:rPr>
          <w:sz w:val="22"/>
          <w:szCs w:val="22"/>
          <w:lang w:val="sr-Latn-ME"/>
        </w:rPr>
        <w:t>a ženu.</w:t>
      </w:r>
    </w:p>
    <w:p w14:paraId="34024403" w14:textId="77777777" w:rsidR="007D7CE1" w:rsidRPr="005474B2" w:rsidRDefault="007D7CE1">
      <w:pPr>
        <w:tabs>
          <w:tab w:val="left" w:pos="540"/>
          <w:tab w:val="left" w:pos="569"/>
        </w:tabs>
        <w:ind w:left="540" w:hanging="540"/>
        <w:jc w:val="both"/>
        <w:rPr>
          <w:b/>
          <w:bCs/>
          <w:sz w:val="22"/>
          <w:szCs w:val="22"/>
          <w:lang w:val="sr-Latn-ME"/>
        </w:rPr>
      </w:pPr>
    </w:p>
    <w:p w14:paraId="55F7E581" w14:textId="77777777" w:rsidR="0072020E" w:rsidRPr="005474B2" w:rsidRDefault="0072020E">
      <w:pPr>
        <w:tabs>
          <w:tab w:val="left" w:pos="540"/>
          <w:tab w:val="left" w:pos="569"/>
        </w:tabs>
        <w:ind w:left="540" w:hanging="540"/>
        <w:jc w:val="both"/>
        <w:rPr>
          <w:b/>
          <w:bCs/>
          <w:sz w:val="22"/>
          <w:szCs w:val="22"/>
          <w:lang w:val="sr-Latn-ME"/>
        </w:rPr>
      </w:pPr>
      <w:r w:rsidRPr="005474B2">
        <w:rPr>
          <w:b/>
          <w:bCs/>
          <w:sz w:val="22"/>
          <w:szCs w:val="22"/>
          <w:lang w:val="sr-Latn-ME"/>
        </w:rPr>
        <w:t xml:space="preserve">4.7. </w:t>
      </w:r>
      <w:r w:rsidR="00480FB1" w:rsidRPr="005474B2">
        <w:rPr>
          <w:b/>
          <w:bCs/>
          <w:sz w:val="22"/>
          <w:szCs w:val="22"/>
          <w:lang w:val="sr-Latn-ME"/>
        </w:rPr>
        <w:tab/>
      </w:r>
      <w:r w:rsidRPr="005474B2">
        <w:rPr>
          <w:b/>
          <w:bCs/>
          <w:sz w:val="22"/>
          <w:szCs w:val="22"/>
          <w:lang w:val="sr-Latn-ME"/>
        </w:rPr>
        <w:t xml:space="preserve">Uticaj na </w:t>
      </w:r>
      <w:r w:rsidR="002031B3" w:rsidRPr="005474B2">
        <w:rPr>
          <w:b/>
          <w:bCs/>
          <w:sz w:val="22"/>
          <w:szCs w:val="22"/>
          <w:lang w:val="sr-Latn-ME"/>
        </w:rPr>
        <w:t xml:space="preserve">sposobnost </w:t>
      </w:r>
      <w:r w:rsidR="00F34554" w:rsidRPr="005474B2">
        <w:rPr>
          <w:b/>
          <w:bCs/>
          <w:sz w:val="22"/>
          <w:szCs w:val="22"/>
          <w:lang w:val="sr-Latn-ME"/>
        </w:rPr>
        <w:t>upravljanja vozili</w:t>
      </w:r>
      <w:r w:rsidRPr="005474B2">
        <w:rPr>
          <w:b/>
          <w:bCs/>
          <w:sz w:val="22"/>
          <w:szCs w:val="22"/>
          <w:lang w:val="sr-Latn-ME"/>
        </w:rPr>
        <w:t>m</w:t>
      </w:r>
      <w:r w:rsidR="00F34554" w:rsidRPr="005474B2">
        <w:rPr>
          <w:b/>
          <w:bCs/>
          <w:sz w:val="22"/>
          <w:szCs w:val="22"/>
          <w:lang w:val="sr-Latn-ME"/>
        </w:rPr>
        <w:t>a</w:t>
      </w:r>
      <w:r w:rsidRPr="005474B2">
        <w:rPr>
          <w:b/>
          <w:bCs/>
          <w:sz w:val="22"/>
          <w:szCs w:val="22"/>
          <w:lang w:val="sr-Latn-ME"/>
        </w:rPr>
        <w:t xml:space="preserve"> i </w:t>
      </w:r>
      <w:r w:rsidR="000D3449" w:rsidRPr="005474B2">
        <w:rPr>
          <w:b/>
          <w:bCs/>
          <w:sz w:val="22"/>
          <w:szCs w:val="22"/>
          <w:lang w:val="sr-Latn-ME"/>
        </w:rPr>
        <w:t xml:space="preserve">rukovanje </w:t>
      </w:r>
      <w:r w:rsidRPr="005474B2">
        <w:rPr>
          <w:b/>
          <w:bCs/>
          <w:sz w:val="22"/>
          <w:szCs w:val="22"/>
          <w:lang w:val="sr-Latn-ME"/>
        </w:rPr>
        <w:t>mašinama</w:t>
      </w:r>
    </w:p>
    <w:p w14:paraId="222C6B78" w14:textId="77777777" w:rsidR="0072020E" w:rsidRPr="005474B2" w:rsidRDefault="0072020E">
      <w:pPr>
        <w:tabs>
          <w:tab w:val="left" w:pos="540"/>
          <w:tab w:val="left" w:pos="569"/>
        </w:tabs>
        <w:jc w:val="both"/>
        <w:rPr>
          <w:b/>
          <w:bCs/>
          <w:sz w:val="22"/>
          <w:szCs w:val="22"/>
          <w:lang w:val="sr-Latn-ME"/>
        </w:rPr>
      </w:pPr>
    </w:p>
    <w:p w14:paraId="1D2399C3" w14:textId="6E299088" w:rsidR="007D7CE1" w:rsidRPr="005474B2" w:rsidRDefault="003559B7">
      <w:pPr>
        <w:tabs>
          <w:tab w:val="left" w:pos="284"/>
        </w:tabs>
        <w:jc w:val="both"/>
        <w:rPr>
          <w:sz w:val="22"/>
          <w:szCs w:val="22"/>
          <w:lang w:val="sr-Latn-ME"/>
        </w:rPr>
      </w:pPr>
      <w:r w:rsidRPr="005474B2">
        <w:rPr>
          <w:sz w:val="22"/>
          <w:szCs w:val="22"/>
          <w:lang w:val="sr-Latn-ME"/>
        </w:rPr>
        <w:t xml:space="preserve">Lijek </w:t>
      </w:r>
      <w:r w:rsidR="007D7CE1" w:rsidRPr="005474B2">
        <w:rPr>
          <w:sz w:val="22"/>
          <w:szCs w:val="22"/>
          <w:lang w:val="sr-Latn-ME"/>
        </w:rPr>
        <w:t xml:space="preserve">Cosentyx nema ili ima zanemarljiv uticaj na sposobnost upravljanja vozilima i rukovanja mašinama. </w:t>
      </w:r>
    </w:p>
    <w:p w14:paraId="47F53820" w14:textId="3DCF7922" w:rsidR="00A62164" w:rsidRPr="005474B2" w:rsidRDefault="00A62164">
      <w:pPr>
        <w:tabs>
          <w:tab w:val="left" w:pos="540"/>
          <w:tab w:val="left" w:pos="569"/>
        </w:tabs>
        <w:jc w:val="both"/>
        <w:rPr>
          <w:b/>
          <w:bCs/>
          <w:sz w:val="22"/>
          <w:szCs w:val="22"/>
          <w:lang w:val="sr-Latn-ME"/>
        </w:rPr>
      </w:pPr>
    </w:p>
    <w:p w14:paraId="02F8E9F4"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4.8. </w:t>
      </w:r>
      <w:r w:rsidR="00480FB1" w:rsidRPr="005474B2">
        <w:rPr>
          <w:b/>
          <w:bCs/>
          <w:sz w:val="22"/>
          <w:szCs w:val="22"/>
          <w:lang w:val="sr-Latn-ME"/>
        </w:rPr>
        <w:tab/>
      </w:r>
      <w:r w:rsidRPr="005474B2">
        <w:rPr>
          <w:b/>
          <w:bCs/>
          <w:sz w:val="22"/>
          <w:szCs w:val="22"/>
          <w:lang w:val="sr-Latn-ME"/>
        </w:rPr>
        <w:t>Neželjena dejstva</w:t>
      </w:r>
    </w:p>
    <w:p w14:paraId="2233F1A9" w14:textId="77777777" w:rsidR="007D7CE1" w:rsidRPr="005474B2" w:rsidRDefault="007D7CE1">
      <w:pPr>
        <w:tabs>
          <w:tab w:val="left" w:pos="540"/>
          <w:tab w:val="left" w:pos="569"/>
        </w:tabs>
        <w:jc w:val="both"/>
        <w:rPr>
          <w:b/>
          <w:bCs/>
          <w:sz w:val="22"/>
          <w:szCs w:val="22"/>
          <w:lang w:val="sr-Latn-ME"/>
        </w:rPr>
      </w:pPr>
    </w:p>
    <w:p w14:paraId="3DCAA6D4" w14:textId="77777777" w:rsidR="007D7CE1" w:rsidRPr="005474B2" w:rsidRDefault="007D7CE1">
      <w:pPr>
        <w:shd w:val="clear" w:color="auto" w:fill="FFFFFF"/>
        <w:tabs>
          <w:tab w:val="left" w:pos="284"/>
        </w:tabs>
        <w:jc w:val="both"/>
        <w:rPr>
          <w:color w:val="000000"/>
          <w:sz w:val="22"/>
          <w:szCs w:val="22"/>
          <w:u w:val="single"/>
          <w:lang w:val="sr-Latn-ME"/>
        </w:rPr>
      </w:pPr>
      <w:r w:rsidRPr="005474B2">
        <w:rPr>
          <w:color w:val="000000"/>
          <w:sz w:val="22"/>
          <w:szCs w:val="22"/>
          <w:u w:val="single"/>
          <w:lang w:val="sr-Latn-ME"/>
        </w:rPr>
        <w:t>Sažetak bezb</w:t>
      </w:r>
      <w:r w:rsidR="00A23A61" w:rsidRPr="005474B2">
        <w:rPr>
          <w:color w:val="000000"/>
          <w:sz w:val="22"/>
          <w:szCs w:val="22"/>
          <w:u w:val="single"/>
          <w:lang w:val="sr-Latn-ME"/>
        </w:rPr>
        <w:t>j</w:t>
      </w:r>
      <w:r w:rsidRPr="005474B2">
        <w:rPr>
          <w:color w:val="000000"/>
          <w:sz w:val="22"/>
          <w:szCs w:val="22"/>
          <w:u w:val="single"/>
          <w:lang w:val="sr-Latn-ME"/>
        </w:rPr>
        <w:t>ednosnog profila</w:t>
      </w:r>
    </w:p>
    <w:p w14:paraId="226EF9F8" w14:textId="77777777" w:rsidR="007D7CE1" w:rsidRPr="005474B2" w:rsidRDefault="007D7CE1">
      <w:pPr>
        <w:shd w:val="clear" w:color="auto" w:fill="FFFFFF"/>
        <w:tabs>
          <w:tab w:val="left" w:pos="284"/>
        </w:tabs>
        <w:jc w:val="both"/>
        <w:rPr>
          <w:color w:val="000000"/>
          <w:sz w:val="22"/>
          <w:szCs w:val="22"/>
          <w:lang w:val="sr-Latn-ME"/>
        </w:rPr>
      </w:pPr>
    </w:p>
    <w:p w14:paraId="1678689A" w14:textId="1C66C7BB" w:rsidR="007D7CE1" w:rsidRPr="005474B2" w:rsidRDefault="007D7CE1">
      <w:pPr>
        <w:shd w:val="clear" w:color="auto" w:fill="FFFFFF"/>
        <w:tabs>
          <w:tab w:val="left" w:pos="284"/>
        </w:tabs>
        <w:jc w:val="both"/>
        <w:rPr>
          <w:color w:val="000000"/>
          <w:sz w:val="22"/>
          <w:szCs w:val="22"/>
          <w:lang w:val="sr-Latn-ME"/>
        </w:rPr>
      </w:pPr>
      <w:r w:rsidRPr="005474B2">
        <w:rPr>
          <w:color w:val="000000"/>
          <w:sz w:val="22"/>
          <w:szCs w:val="22"/>
          <w:lang w:val="sr-Latn-ME"/>
        </w:rPr>
        <w:t>Najčešće prijavljene neželjene reakcije su infekcije gornjeg d</w:t>
      </w:r>
      <w:r w:rsidR="00A23A61" w:rsidRPr="005474B2">
        <w:rPr>
          <w:color w:val="000000"/>
          <w:sz w:val="22"/>
          <w:szCs w:val="22"/>
          <w:lang w:val="sr-Latn-ME"/>
        </w:rPr>
        <w:t>ij</w:t>
      </w:r>
      <w:r w:rsidRPr="005474B2">
        <w:rPr>
          <w:color w:val="000000"/>
          <w:sz w:val="22"/>
          <w:szCs w:val="22"/>
          <w:lang w:val="sr-Latn-ME"/>
        </w:rPr>
        <w:t xml:space="preserve">ela respiratornog trakta </w:t>
      </w:r>
      <w:r w:rsidR="00E35D59" w:rsidRPr="005474B2">
        <w:rPr>
          <w:color w:val="000000"/>
          <w:sz w:val="22"/>
          <w:szCs w:val="22"/>
          <w:lang w:val="sr-Latn-ME"/>
        </w:rPr>
        <w:t>(17</w:t>
      </w:r>
      <w:r w:rsidR="006554BD" w:rsidRPr="005474B2">
        <w:rPr>
          <w:color w:val="000000"/>
          <w:sz w:val="22"/>
          <w:szCs w:val="22"/>
          <w:lang w:val="sr-Latn-ME"/>
        </w:rPr>
        <w:t>,</w:t>
      </w:r>
      <w:r w:rsidR="00CA4EF7" w:rsidRPr="005474B2">
        <w:rPr>
          <w:color w:val="000000"/>
          <w:sz w:val="22"/>
          <w:szCs w:val="22"/>
          <w:lang w:val="sr-Latn-ME"/>
        </w:rPr>
        <w:t>1</w:t>
      </w:r>
      <w:r w:rsidR="00E35D59" w:rsidRPr="005474B2">
        <w:rPr>
          <w:color w:val="000000"/>
          <w:sz w:val="22"/>
          <w:szCs w:val="22"/>
          <w:lang w:val="sr-Latn-ME"/>
        </w:rPr>
        <w:t xml:space="preserve">%)  </w:t>
      </w:r>
      <w:r w:rsidRPr="005474B2">
        <w:rPr>
          <w:color w:val="000000"/>
          <w:sz w:val="22"/>
          <w:szCs w:val="22"/>
          <w:lang w:val="sr-Latn-ME"/>
        </w:rPr>
        <w:t xml:space="preserve">(najčešće nazofaringitis, rinitis). </w:t>
      </w:r>
    </w:p>
    <w:p w14:paraId="245196B1" w14:textId="77777777" w:rsidR="007D7CE1" w:rsidRPr="005474B2" w:rsidRDefault="007D7CE1">
      <w:pPr>
        <w:shd w:val="clear" w:color="auto" w:fill="FFFFFF"/>
        <w:tabs>
          <w:tab w:val="left" w:pos="284"/>
        </w:tabs>
        <w:jc w:val="both"/>
        <w:rPr>
          <w:color w:val="000000"/>
          <w:sz w:val="22"/>
          <w:szCs w:val="22"/>
          <w:lang w:val="sr-Latn-ME"/>
        </w:rPr>
      </w:pPr>
      <w:r w:rsidRPr="005474B2">
        <w:rPr>
          <w:color w:val="000000"/>
          <w:sz w:val="22"/>
          <w:szCs w:val="22"/>
          <w:lang w:val="sr-Latn-ME"/>
        </w:rPr>
        <w:t xml:space="preserve">  </w:t>
      </w:r>
    </w:p>
    <w:p w14:paraId="690EC75C" w14:textId="77777777" w:rsidR="007D7CE1" w:rsidRPr="005474B2" w:rsidRDefault="007D7CE1">
      <w:pPr>
        <w:shd w:val="clear" w:color="auto" w:fill="FFFFFF"/>
        <w:tabs>
          <w:tab w:val="left" w:pos="284"/>
        </w:tabs>
        <w:jc w:val="both"/>
        <w:rPr>
          <w:color w:val="000000"/>
          <w:sz w:val="22"/>
          <w:szCs w:val="22"/>
          <w:u w:val="single"/>
          <w:lang w:val="sr-Latn-ME"/>
        </w:rPr>
      </w:pPr>
      <w:r w:rsidRPr="005474B2">
        <w:rPr>
          <w:color w:val="000000"/>
          <w:sz w:val="22"/>
          <w:szCs w:val="22"/>
          <w:u w:val="single"/>
          <w:lang w:val="sr-Latn-ME"/>
        </w:rPr>
        <w:t xml:space="preserve">Tabelarni prikaz neželjenih reakcija </w:t>
      </w:r>
    </w:p>
    <w:p w14:paraId="77030410" w14:textId="77777777" w:rsidR="007D7CE1" w:rsidRPr="005474B2" w:rsidRDefault="007D7CE1">
      <w:pPr>
        <w:shd w:val="clear" w:color="auto" w:fill="FFFFFF"/>
        <w:tabs>
          <w:tab w:val="left" w:pos="284"/>
        </w:tabs>
        <w:jc w:val="both"/>
        <w:rPr>
          <w:color w:val="000000"/>
          <w:sz w:val="22"/>
          <w:szCs w:val="22"/>
          <w:u w:val="single"/>
          <w:lang w:val="sr-Latn-ME"/>
        </w:rPr>
      </w:pPr>
    </w:p>
    <w:p w14:paraId="49BFCC61" w14:textId="2FE15EB1" w:rsidR="007D7CE1" w:rsidRPr="005474B2" w:rsidRDefault="007D7CE1">
      <w:pPr>
        <w:tabs>
          <w:tab w:val="left" w:pos="284"/>
        </w:tabs>
        <w:jc w:val="both"/>
        <w:rPr>
          <w:color w:val="000000"/>
          <w:sz w:val="22"/>
          <w:szCs w:val="22"/>
          <w:lang w:val="sr-Latn-ME"/>
        </w:rPr>
      </w:pPr>
      <w:r w:rsidRPr="005474B2">
        <w:rPr>
          <w:color w:val="000000"/>
          <w:sz w:val="22"/>
          <w:szCs w:val="22"/>
          <w:lang w:val="sr-Latn-ME"/>
        </w:rPr>
        <w:t xml:space="preserve">Neželjene reakcije u kliničkim ispitivanjima kao i iz prijava nakon stavljanja </w:t>
      </w:r>
      <w:r w:rsidR="009A4880" w:rsidRPr="005474B2">
        <w:rPr>
          <w:color w:val="000000"/>
          <w:sz w:val="22"/>
          <w:szCs w:val="22"/>
          <w:lang w:val="sr-Latn-ME"/>
        </w:rPr>
        <w:t>lijeka</w:t>
      </w:r>
      <w:r w:rsidRPr="005474B2">
        <w:rPr>
          <w:color w:val="000000"/>
          <w:sz w:val="22"/>
          <w:szCs w:val="22"/>
          <w:lang w:val="sr-Latn-ME"/>
        </w:rPr>
        <w:t xml:space="preserve"> u promet (Tabela </w:t>
      </w:r>
      <w:r w:rsidR="00D0596D" w:rsidRPr="005474B2">
        <w:rPr>
          <w:color w:val="000000"/>
          <w:sz w:val="22"/>
          <w:szCs w:val="22"/>
          <w:lang w:val="sr-Latn-ME"/>
        </w:rPr>
        <w:t>3</w:t>
      </w:r>
      <w:r w:rsidRPr="005474B2">
        <w:rPr>
          <w:color w:val="000000"/>
          <w:sz w:val="22"/>
          <w:szCs w:val="22"/>
          <w:lang w:val="sr-Latn-ME"/>
        </w:rPr>
        <w:t>) navedene su prema MedDRA klasifikaciji sistema organa. Unutar svake klase sistema organa, neželjene reakcije su poređane prema učestalosti, pri čemu su najčešće reakcije navedene prve. Unutar svake grupe učestalosti, neželjene reakcije su predstavljene prema opadajućoj ozbiljnosti. Dodatno, odgovarajuća kategorija učestalosti za svaku neželjenu reakciju definisana je na sl</w:t>
      </w:r>
      <w:r w:rsidR="00355AF4" w:rsidRPr="005474B2">
        <w:rPr>
          <w:color w:val="000000"/>
          <w:sz w:val="22"/>
          <w:szCs w:val="22"/>
          <w:lang w:val="sr-Latn-ME"/>
        </w:rPr>
        <w:t>j</w:t>
      </w:r>
      <w:r w:rsidRPr="005474B2">
        <w:rPr>
          <w:color w:val="000000"/>
          <w:sz w:val="22"/>
          <w:szCs w:val="22"/>
          <w:lang w:val="sr-Latn-ME"/>
        </w:rPr>
        <w:t>edeći način: veoma često (≥1/10), često (≥1/100 do &lt;1/10), povremeno (≥1/1000 do &lt;1/100), r</w:t>
      </w:r>
      <w:r w:rsidR="00A23A61" w:rsidRPr="005474B2">
        <w:rPr>
          <w:color w:val="000000"/>
          <w:sz w:val="22"/>
          <w:szCs w:val="22"/>
          <w:lang w:val="sr-Latn-ME"/>
        </w:rPr>
        <w:t>ij</w:t>
      </w:r>
      <w:r w:rsidRPr="005474B2">
        <w:rPr>
          <w:color w:val="000000"/>
          <w:sz w:val="22"/>
          <w:szCs w:val="22"/>
          <w:lang w:val="sr-Latn-ME"/>
        </w:rPr>
        <w:t>etko (≥1/10000 do &lt;1/1000), veoma r</w:t>
      </w:r>
      <w:r w:rsidR="00A23A61" w:rsidRPr="005474B2">
        <w:rPr>
          <w:color w:val="000000"/>
          <w:sz w:val="22"/>
          <w:szCs w:val="22"/>
          <w:lang w:val="sr-Latn-ME"/>
        </w:rPr>
        <w:t>ij</w:t>
      </w:r>
      <w:r w:rsidRPr="005474B2">
        <w:rPr>
          <w:color w:val="000000"/>
          <w:sz w:val="22"/>
          <w:szCs w:val="22"/>
          <w:lang w:val="sr-Latn-ME"/>
        </w:rPr>
        <w:t>etko (&lt;1/10000) i nepoznato (ne može se proc</w:t>
      </w:r>
      <w:r w:rsidR="00A23A61" w:rsidRPr="005474B2">
        <w:rPr>
          <w:color w:val="000000"/>
          <w:sz w:val="22"/>
          <w:szCs w:val="22"/>
          <w:lang w:val="sr-Latn-ME"/>
        </w:rPr>
        <w:t>ij</w:t>
      </w:r>
      <w:r w:rsidRPr="005474B2">
        <w:rPr>
          <w:color w:val="000000"/>
          <w:sz w:val="22"/>
          <w:szCs w:val="22"/>
          <w:lang w:val="sr-Latn-ME"/>
        </w:rPr>
        <w:t>eniti na osnovu dostupnih podataka).</w:t>
      </w:r>
    </w:p>
    <w:p w14:paraId="5E1074BC" w14:textId="77777777" w:rsidR="007D7CE1" w:rsidRPr="005474B2" w:rsidRDefault="007D7CE1">
      <w:pPr>
        <w:tabs>
          <w:tab w:val="left" w:pos="540"/>
          <w:tab w:val="left" w:pos="569"/>
        </w:tabs>
        <w:jc w:val="both"/>
        <w:rPr>
          <w:b/>
          <w:bCs/>
          <w:sz w:val="22"/>
          <w:szCs w:val="22"/>
          <w:lang w:val="sr-Latn-ME"/>
        </w:rPr>
      </w:pPr>
    </w:p>
    <w:p w14:paraId="385B45C9" w14:textId="331EBB74" w:rsidR="007D7CE1" w:rsidRPr="005474B2" w:rsidRDefault="007D7CE1">
      <w:pPr>
        <w:shd w:val="clear" w:color="auto" w:fill="FFFFFF"/>
        <w:tabs>
          <w:tab w:val="left" w:pos="284"/>
        </w:tabs>
        <w:jc w:val="both"/>
        <w:rPr>
          <w:color w:val="000000"/>
          <w:sz w:val="22"/>
          <w:szCs w:val="22"/>
          <w:lang w:val="sr-Latn-ME"/>
        </w:rPr>
      </w:pPr>
      <w:r w:rsidRPr="005474B2">
        <w:rPr>
          <w:color w:val="000000"/>
          <w:sz w:val="22"/>
          <w:szCs w:val="22"/>
          <w:lang w:val="sr-Latn-ME"/>
        </w:rPr>
        <w:t xml:space="preserve">Više od </w:t>
      </w:r>
      <w:r w:rsidR="00CA4EF7" w:rsidRPr="005474B2">
        <w:rPr>
          <w:color w:val="000000"/>
          <w:sz w:val="22"/>
          <w:szCs w:val="22"/>
          <w:lang w:val="sr-Latn-ME"/>
        </w:rPr>
        <w:t xml:space="preserve">20 </w:t>
      </w:r>
      <w:r w:rsidRPr="005474B2">
        <w:rPr>
          <w:color w:val="000000"/>
          <w:sz w:val="22"/>
          <w:szCs w:val="22"/>
          <w:lang w:val="sr-Latn-ME"/>
        </w:rPr>
        <w:t xml:space="preserve">000 pacijenata je bilo </w:t>
      </w:r>
      <w:r w:rsidR="009A4880" w:rsidRPr="005474B2">
        <w:rPr>
          <w:color w:val="000000"/>
          <w:sz w:val="22"/>
          <w:szCs w:val="22"/>
          <w:lang w:val="sr-Latn-ME"/>
        </w:rPr>
        <w:t>liječ</w:t>
      </w:r>
      <w:r w:rsidRPr="005474B2">
        <w:rPr>
          <w:color w:val="000000"/>
          <w:sz w:val="22"/>
          <w:szCs w:val="22"/>
          <w:lang w:val="sr-Latn-ME"/>
        </w:rPr>
        <w:t>eno sekukinumabom u sl</w:t>
      </w:r>
      <w:r w:rsidR="00A23A61" w:rsidRPr="005474B2">
        <w:rPr>
          <w:color w:val="000000"/>
          <w:sz w:val="22"/>
          <w:szCs w:val="22"/>
          <w:lang w:val="sr-Latn-ME"/>
        </w:rPr>
        <w:t>ij</w:t>
      </w:r>
      <w:r w:rsidRPr="005474B2">
        <w:rPr>
          <w:color w:val="000000"/>
          <w:sz w:val="22"/>
          <w:szCs w:val="22"/>
          <w:lang w:val="sr-Latn-ME"/>
        </w:rPr>
        <w:t>epim i otvorenim kliničkim ispitivanjima za brojne indikacije (plak psorijaza, psorijazni artritis, aksijalni spondiloartritis</w:t>
      </w:r>
      <w:r w:rsidR="00CA4EF7" w:rsidRPr="005474B2">
        <w:rPr>
          <w:color w:val="000000"/>
          <w:sz w:val="22"/>
          <w:szCs w:val="22"/>
          <w:lang w:val="bs-Latn-BA"/>
        </w:rPr>
        <w:t>, gnojno zapaljenje znojnih žl</w:t>
      </w:r>
      <w:r w:rsidR="0060463D" w:rsidRPr="005474B2">
        <w:rPr>
          <w:color w:val="000000"/>
          <w:sz w:val="22"/>
          <w:szCs w:val="22"/>
          <w:lang w:val="bs-Latn-BA"/>
        </w:rPr>
        <w:t>ij</w:t>
      </w:r>
      <w:r w:rsidR="00CA4EF7" w:rsidRPr="005474B2">
        <w:rPr>
          <w:color w:val="000000"/>
          <w:sz w:val="22"/>
          <w:szCs w:val="22"/>
          <w:lang w:val="bs-Latn-BA"/>
        </w:rPr>
        <w:t>ezda (</w:t>
      </w:r>
      <w:r w:rsidR="00CA4EF7" w:rsidRPr="005474B2">
        <w:rPr>
          <w:i/>
          <w:iCs/>
          <w:color w:val="000000"/>
          <w:sz w:val="22"/>
          <w:szCs w:val="22"/>
          <w:lang w:val="bs-Latn-BA"/>
        </w:rPr>
        <w:t>Hidradenitis suppurativa</w:t>
      </w:r>
      <w:r w:rsidR="00CA4EF7" w:rsidRPr="005474B2">
        <w:rPr>
          <w:color w:val="000000"/>
          <w:sz w:val="22"/>
          <w:szCs w:val="22"/>
          <w:lang w:val="bs-Latn-BA"/>
        </w:rPr>
        <w:t>)</w:t>
      </w:r>
      <w:r w:rsidRPr="005474B2">
        <w:rPr>
          <w:color w:val="000000"/>
          <w:sz w:val="22"/>
          <w:szCs w:val="22"/>
          <w:lang w:val="sr-Latn-ME"/>
        </w:rPr>
        <w:t xml:space="preserve"> i druga autoimuna stanja), što predstavlja izloženost </w:t>
      </w:r>
      <w:r w:rsidR="00CA4EF7" w:rsidRPr="005474B2">
        <w:rPr>
          <w:color w:val="000000"/>
          <w:sz w:val="22"/>
          <w:szCs w:val="22"/>
          <w:lang w:val="hr-HR"/>
        </w:rPr>
        <w:t>34 908 </w:t>
      </w:r>
      <w:r w:rsidRPr="005474B2">
        <w:rPr>
          <w:color w:val="000000"/>
          <w:sz w:val="22"/>
          <w:szCs w:val="22"/>
          <w:lang w:val="sr-Latn-ME"/>
        </w:rPr>
        <w:t xml:space="preserve">pacijent-godina. Od toga, više od </w:t>
      </w:r>
      <w:r w:rsidR="00CA4EF7" w:rsidRPr="005474B2">
        <w:rPr>
          <w:color w:val="000000"/>
          <w:sz w:val="22"/>
          <w:szCs w:val="22"/>
          <w:lang w:val="sr-Latn-ME"/>
        </w:rPr>
        <w:t>14 000</w:t>
      </w:r>
      <w:r w:rsidRPr="005474B2">
        <w:rPr>
          <w:color w:val="000000"/>
          <w:sz w:val="22"/>
          <w:szCs w:val="22"/>
          <w:lang w:val="sr-Latn-ME"/>
        </w:rPr>
        <w:t xml:space="preserve"> pacijenata je bilo izloženo sekukinumabu najmanje godinu dana. Bezb</w:t>
      </w:r>
      <w:r w:rsidR="00A23A61" w:rsidRPr="005474B2">
        <w:rPr>
          <w:color w:val="000000"/>
          <w:sz w:val="22"/>
          <w:szCs w:val="22"/>
          <w:lang w:val="sr-Latn-ME"/>
        </w:rPr>
        <w:t>j</w:t>
      </w:r>
      <w:r w:rsidRPr="005474B2">
        <w:rPr>
          <w:color w:val="000000"/>
          <w:sz w:val="22"/>
          <w:szCs w:val="22"/>
          <w:lang w:val="sr-Latn-ME"/>
        </w:rPr>
        <w:t>ednosni profil sekukinumaba je konzistentan kod svih indikacija.</w:t>
      </w:r>
    </w:p>
    <w:p w14:paraId="76201B02" w14:textId="77777777" w:rsidR="007D7CE1" w:rsidRPr="005474B2" w:rsidRDefault="007D7CE1">
      <w:pPr>
        <w:tabs>
          <w:tab w:val="left" w:pos="284"/>
        </w:tabs>
        <w:jc w:val="both"/>
        <w:rPr>
          <w:color w:val="000000"/>
          <w:sz w:val="22"/>
          <w:szCs w:val="22"/>
          <w:lang w:val="sr-Latn-ME"/>
        </w:rPr>
      </w:pPr>
    </w:p>
    <w:p w14:paraId="7C6C3981" w14:textId="73FA6A90" w:rsidR="007D7CE1" w:rsidRPr="005474B2" w:rsidRDefault="007D7CE1">
      <w:pPr>
        <w:shd w:val="clear" w:color="auto" w:fill="FFFFFF"/>
        <w:tabs>
          <w:tab w:val="left" w:pos="284"/>
        </w:tabs>
        <w:ind w:left="1304" w:hanging="1304"/>
        <w:jc w:val="both"/>
        <w:rPr>
          <w:b/>
          <w:bCs/>
          <w:sz w:val="22"/>
          <w:szCs w:val="22"/>
          <w:lang w:val="sr-Latn-ME"/>
        </w:rPr>
      </w:pPr>
      <w:r w:rsidRPr="005474B2">
        <w:rPr>
          <w:b/>
          <w:color w:val="000000"/>
          <w:sz w:val="22"/>
          <w:szCs w:val="22"/>
          <w:lang w:val="sr-Latn-ME"/>
        </w:rPr>
        <w:t xml:space="preserve">Tabela </w:t>
      </w:r>
      <w:r w:rsidR="00AB478E" w:rsidRPr="005474B2">
        <w:rPr>
          <w:b/>
          <w:color w:val="000000"/>
          <w:sz w:val="22"/>
          <w:szCs w:val="22"/>
          <w:lang w:val="sr-Latn-ME"/>
        </w:rPr>
        <w:t>3</w:t>
      </w:r>
      <w:r w:rsidRPr="005474B2">
        <w:rPr>
          <w:color w:val="000000"/>
          <w:sz w:val="22"/>
          <w:szCs w:val="22"/>
          <w:lang w:val="sr-Latn-ME"/>
        </w:rPr>
        <w:tab/>
      </w:r>
      <w:r w:rsidR="006554BD" w:rsidRPr="005474B2">
        <w:rPr>
          <w:b/>
          <w:color w:val="000000"/>
          <w:sz w:val="22"/>
          <w:szCs w:val="22"/>
          <w:lang w:val="sr-Latn-ME"/>
        </w:rPr>
        <w:t>Prikaz</w:t>
      </w:r>
      <w:r w:rsidRPr="005474B2">
        <w:rPr>
          <w:b/>
          <w:color w:val="000000"/>
          <w:sz w:val="22"/>
          <w:szCs w:val="22"/>
          <w:lang w:val="sr-Latn-ME"/>
        </w:rPr>
        <w:t xml:space="preserve"> neželjenih reakcija </w:t>
      </w:r>
      <w:r w:rsidR="003559B7" w:rsidRPr="005474B2">
        <w:rPr>
          <w:b/>
          <w:color w:val="000000"/>
          <w:sz w:val="22"/>
          <w:szCs w:val="22"/>
          <w:lang w:val="sr-Latn-ME"/>
        </w:rPr>
        <w:t xml:space="preserve">zabilježenih </w:t>
      </w:r>
      <w:r w:rsidRPr="005474B2">
        <w:rPr>
          <w:b/>
          <w:color w:val="000000"/>
          <w:sz w:val="22"/>
          <w:szCs w:val="22"/>
          <w:lang w:val="sr-Latn-ME"/>
        </w:rPr>
        <w:t>u kliničkim ispitivanjima</w:t>
      </w:r>
      <w:r w:rsidRPr="005474B2">
        <w:rPr>
          <w:b/>
          <w:color w:val="000000"/>
          <w:sz w:val="22"/>
          <w:szCs w:val="22"/>
          <w:vertAlign w:val="superscript"/>
          <w:lang w:val="sr-Latn-ME"/>
        </w:rPr>
        <w:t>1)</w:t>
      </w:r>
      <w:r w:rsidRPr="005474B2">
        <w:rPr>
          <w:b/>
          <w:color w:val="000000"/>
          <w:sz w:val="22"/>
          <w:szCs w:val="22"/>
          <w:lang w:val="sr-Latn-ME"/>
        </w:rPr>
        <w:t xml:space="preserve"> i iz iskustva nakon stavljanja </w:t>
      </w:r>
      <w:r w:rsidR="009A4880" w:rsidRPr="005474B2">
        <w:rPr>
          <w:b/>
          <w:color w:val="000000"/>
          <w:sz w:val="22"/>
          <w:szCs w:val="22"/>
          <w:lang w:val="sr-Latn-ME"/>
        </w:rPr>
        <w:t>lijeka</w:t>
      </w:r>
      <w:r w:rsidRPr="005474B2">
        <w:rPr>
          <w:b/>
          <w:color w:val="000000"/>
          <w:sz w:val="22"/>
          <w:szCs w:val="22"/>
          <w:lang w:val="sr-Latn-ME"/>
        </w:rPr>
        <w:t xml:space="preserve"> u promet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2489"/>
        <w:gridCol w:w="4656"/>
      </w:tblGrid>
      <w:tr w:rsidR="007D7CE1" w:rsidRPr="0009637B" w14:paraId="52A0DF34" w14:textId="77777777" w:rsidTr="00A2781E">
        <w:trPr>
          <w:jc w:val="center"/>
        </w:trPr>
        <w:tc>
          <w:tcPr>
            <w:tcW w:w="2489" w:type="dxa"/>
            <w:shd w:val="clear" w:color="auto" w:fill="auto"/>
          </w:tcPr>
          <w:p w14:paraId="5EE6FBC1" w14:textId="77777777" w:rsidR="007D7CE1" w:rsidRPr="005474B2" w:rsidRDefault="007D7CE1">
            <w:pPr>
              <w:widowControl w:val="0"/>
              <w:autoSpaceDE w:val="0"/>
              <w:autoSpaceDN w:val="0"/>
              <w:adjustRightInd w:val="0"/>
              <w:jc w:val="both"/>
              <w:rPr>
                <w:b/>
                <w:sz w:val="22"/>
                <w:szCs w:val="22"/>
                <w:lang w:val="sr-Latn-ME"/>
              </w:rPr>
            </w:pPr>
            <w:r w:rsidRPr="005474B2">
              <w:rPr>
                <w:b/>
                <w:sz w:val="22"/>
                <w:szCs w:val="22"/>
                <w:lang w:val="sr-Latn-ME"/>
              </w:rPr>
              <w:t>Klasa sistema organa</w:t>
            </w:r>
          </w:p>
        </w:tc>
        <w:tc>
          <w:tcPr>
            <w:tcW w:w="2489" w:type="dxa"/>
            <w:shd w:val="clear" w:color="auto" w:fill="auto"/>
          </w:tcPr>
          <w:p w14:paraId="5E54F88C" w14:textId="77777777" w:rsidR="007D7CE1" w:rsidRPr="005474B2" w:rsidRDefault="007D7CE1">
            <w:pPr>
              <w:widowControl w:val="0"/>
              <w:autoSpaceDE w:val="0"/>
              <w:autoSpaceDN w:val="0"/>
              <w:adjustRightInd w:val="0"/>
              <w:jc w:val="both"/>
              <w:rPr>
                <w:b/>
                <w:sz w:val="22"/>
                <w:szCs w:val="22"/>
                <w:lang w:val="sr-Latn-ME"/>
              </w:rPr>
            </w:pPr>
            <w:r w:rsidRPr="005474B2">
              <w:rPr>
                <w:b/>
                <w:color w:val="000000"/>
                <w:sz w:val="22"/>
                <w:szCs w:val="22"/>
                <w:lang w:val="sr-Latn-ME"/>
              </w:rPr>
              <w:t>Učestalost</w:t>
            </w:r>
          </w:p>
        </w:tc>
        <w:tc>
          <w:tcPr>
            <w:tcW w:w="4656" w:type="dxa"/>
            <w:shd w:val="clear" w:color="auto" w:fill="auto"/>
          </w:tcPr>
          <w:p w14:paraId="7CD0001A" w14:textId="77777777" w:rsidR="007D7CE1" w:rsidRPr="005474B2" w:rsidRDefault="007D7CE1">
            <w:pPr>
              <w:widowControl w:val="0"/>
              <w:autoSpaceDE w:val="0"/>
              <w:autoSpaceDN w:val="0"/>
              <w:adjustRightInd w:val="0"/>
              <w:jc w:val="both"/>
              <w:rPr>
                <w:b/>
                <w:sz w:val="22"/>
                <w:szCs w:val="22"/>
                <w:lang w:val="sr-Latn-ME"/>
              </w:rPr>
            </w:pPr>
            <w:r w:rsidRPr="005474B2">
              <w:rPr>
                <w:b/>
                <w:color w:val="000000"/>
                <w:sz w:val="22"/>
                <w:szCs w:val="22"/>
                <w:lang w:val="sr-Latn-ME"/>
              </w:rPr>
              <w:t>Neželjena reakcija</w:t>
            </w:r>
          </w:p>
        </w:tc>
      </w:tr>
      <w:tr w:rsidR="007D7CE1" w:rsidRPr="0009637B" w14:paraId="33199731" w14:textId="77777777" w:rsidTr="00A2781E">
        <w:trPr>
          <w:jc w:val="center"/>
        </w:trPr>
        <w:tc>
          <w:tcPr>
            <w:tcW w:w="2489" w:type="dxa"/>
            <w:vMerge w:val="restart"/>
            <w:shd w:val="clear" w:color="auto" w:fill="auto"/>
          </w:tcPr>
          <w:p w14:paraId="009FAE2D" w14:textId="77777777" w:rsidR="007D7CE1" w:rsidRPr="005474B2" w:rsidRDefault="007D7CE1" w:rsidP="005474B2">
            <w:pPr>
              <w:widowControl w:val="0"/>
              <w:autoSpaceDE w:val="0"/>
              <w:autoSpaceDN w:val="0"/>
              <w:adjustRightInd w:val="0"/>
              <w:jc w:val="both"/>
              <w:rPr>
                <w:sz w:val="22"/>
                <w:szCs w:val="22"/>
                <w:lang w:val="sr-Latn-ME"/>
              </w:rPr>
            </w:pPr>
            <w:r w:rsidRPr="005474B2">
              <w:rPr>
                <w:sz w:val="22"/>
                <w:szCs w:val="22"/>
                <w:lang w:val="sr-Latn-ME"/>
              </w:rPr>
              <w:t>Infekcije i infestacije</w:t>
            </w:r>
          </w:p>
        </w:tc>
        <w:tc>
          <w:tcPr>
            <w:tcW w:w="2489" w:type="dxa"/>
            <w:shd w:val="clear" w:color="auto" w:fill="auto"/>
          </w:tcPr>
          <w:p w14:paraId="08E9B77D"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veoma često</w:t>
            </w:r>
          </w:p>
        </w:tc>
        <w:tc>
          <w:tcPr>
            <w:tcW w:w="4656" w:type="dxa"/>
            <w:shd w:val="clear" w:color="auto" w:fill="auto"/>
          </w:tcPr>
          <w:p w14:paraId="0930E04D" w14:textId="3973E8F2"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infekcije gornjih d</w:t>
            </w:r>
            <w:r w:rsidR="00EC420D" w:rsidRPr="005474B2">
              <w:rPr>
                <w:sz w:val="22"/>
                <w:szCs w:val="22"/>
                <w:lang w:val="sr-Latn-ME"/>
              </w:rPr>
              <w:t>j</w:t>
            </w:r>
            <w:r w:rsidRPr="005474B2">
              <w:rPr>
                <w:sz w:val="22"/>
                <w:szCs w:val="22"/>
                <w:lang w:val="sr-Latn-ME"/>
              </w:rPr>
              <w:t>elova respiratornog trakta</w:t>
            </w:r>
          </w:p>
        </w:tc>
      </w:tr>
      <w:tr w:rsidR="00160418" w:rsidRPr="0009637B" w14:paraId="2D024F36" w14:textId="77777777" w:rsidTr="00A2781E">
        <w:trPr>
          <w:jc w:val="center"/>
        </w:trPr>
        <w:tc>
          <w:tcPr>
            <w:tcW w:w="2489" w:type="dxa"/>
            <w:vMerge/>
            <w:shd w:val="clear" w:color="auto" w:fill="auto"/>
          </w:tcPr>
          <w:p w14:paraId="77CA113F" w14:textId="77777777" w:rsidR="00160418" w:rsidRPr="005474B2" w:rsidRDefault="00160418" w:rsidP="005474B2">
            <w:pPr>
              <w:widowControl w:val="0"/>
              <w:autoSpaceDE w:val="0"/>
              <w:autoSpaceDN w:val="0"/>
              <w:adjustRightInd w:val="0"/>
              <w:jc w:val="both"/>
              <w:rPr>
                <w:sz w:val="22"/>
                <w:szCs w:val="22"/>
                <w:lang w:val="sr-Latn-ME"/>
              </w:rPr>
            </w:pPr>
          </w:p>
        </w:tc>
        <w:tc>
          <w:tcPr>
            <w:tcW w:w="2489" w:type="dxa"/>
            <w:shd w:val="clear" w:color="auto" w:fill="auto"/>
          </w:tcPr>
          <w:p w14:paraId="1E04894C" w14:textId="77777777" w:rsidR="00160418" w:rsidRPr="005474B2" w:rsidRDefault="00160418" w:rsidP="0009637B">
            <w:pPr>
              <w:widowControl w:val="0"/>
              <w:autoSpaceDE w:val="0"/>
              <w:autoSpaceDN w:val="0"/>
              <w:adjustRightInd w:val="0"/>
              <w:jc w:val="both"/>
              <w:rPr>
                <w:sz w:val="22"/>
                <w:szCs w:val="22"/>
                <w:lang w:val="sr-Latn-ME"/>
              </w:rPr>
            </w:pPr>
            <w:r w:rsidRPr="005474B2">
              <w:rPr>
                <w:sz w:val="22"/>
                <w:szCs w:val="22"/>
                <w:lang w:val="sr-Latn-ME"/>
              </w:rPr>
              <w:t>često</w:t>
            </w:r>
          </w:p>
        </w:tc>
        <w:tc>
          <w:tcPr>
            <w:tcW w:w="4656" w:type="dxa"/>
            <w:shd w:val="clear" w:color="auto" w:fill="auto"/>
          </w:tcPr>
          <w:p w14:paraId="2F13FDF4" w14:textId="77777777" w:rsidR="00160418" w:rsidRPr="005474B2" w:rsidRDefault="00160418" w:rsidP="0009637B">
            <w:pPr>
              <w:widowControl w:val="0"/>
              <w:autoSpaceDE w:val="0"/>
              <w:autoSpaceDN w:val="0"/>
              <w:adjustRightInd w:val="0"/>
              <w:jc w:val="both"/>
              <w:rPr>
                <w:sz w:val="22"/>
                <w:szCs w:val="22"/>
                <w:lang w:val="sr-Latn-ME"/>
              </w:rPr>
            </w:pPr>
            <w:r w:rsidRPr="005474B2">
              <w:rPr>
                <w:sz w:val="22"/>
                <w:szCs w:val="22"/>
                <w:lang w:val="sr-Latn-ME"/>
              </w:rPr>
              <w:t>oralni herpes</w:t>
            </w:r>
          </w:p>
        </w:tc>
      </w:tr>
      <w:tr w:rsidR="00CA4EF7" w:rsidRPr="0009637B" w14:paraId="3104E261" w14:textId="77777777" w:rsidTr="00A2781E">
        <w:trPr>
          <w:trHeight w:val="85"/>
          <w:jc w:val="center"/>
        </w:trPr>
        <w:tc>
          <w:tcPr>
            <w:tcW w:w="2489" w:type="dxa"/>
            <w:vMerge/>
            <w:shd w:val="clear" w:color="auto" w:fill="auto"/>
          </w:tcPr>
          <w:p w14:paraId="17A6AC36" w14:textId="77777777" w:rsidR="00CA4EF7" w:rsidRPr="005474B2" w:rsidRDefault="00CA4EF7" w:rsidP="005474B2">
            <w:pPr>
              <w:widowControl w:val="0"/>
              <w:autoSpaceDE w:val="0"/>
              <w:autoSpaceDN w:val="0"/>
              <w:adjustRightInd w:val="0"/>
              <w:jc w:val="both"/>
              <w:rPr>
                <w:sz w:val="22"/>
                <w:szCs w:val="22"/>
                <w:lang w:val="sr-Latn-ME"/>
              </w:rPr>
            </w:pPr>
          </w:p>
        </w:tc>
        <w:tc>
          <w:tcPr>
            <w:tcW w:w="2489" w:type="dxa"/>
            <w:vMerge w:val="restart"/>
            <w:shd w:val="clear" w:color="auto" w:fill="auto"/>
          </w:tcPr>
          <w:p w14:paraId="70295673" w14:textId="77777777" w:rsidR="00CA4EF7" w:rsidRPr="005474B2" w:rsidRDefault="00CA4EF7" w:rsidP="0009637B">
            <w:pPr>
              <w:widowControl w:val="0"/>
              <w:autoSpaceDE w:val="0"/>
              <w:autoSpaceDN w:val="0"/>
              <w:adjustRightInd w:val="0"/>
              <w:jc w:val="both"/>
              <w:rPr>
                <w:sz w:val="22"/>
                <w:szCs w:val="22"/>
                <w:lang w:val="sr-Latn-ME"/>
              </w:rPr>
            </w:pPr>
            <w:r w:rsidRPr="005474B2">
              <w:rPr>
                <w:sz w:val="22"/>
                <w:szCs w:val="22"/>
                <w:lang w:val="sr-Latn-ME"/>
              </w:rPr>
              <w:t>povremeno</w:t>
            </w:r>
          </w:p>
        </w:tc>
        <w:tc>
          <w:tcPr>
            <w:tcW w:w="4656" w:type="dxa"/>
            <w:shd w:val="clear" w:color="auto" w:fill="auto"/>
          </w:tcPr>
          <w:p w14:paraId="7CE67AE0" w14:textId="77777777" w:rsidR="00CA4EF7" w:rsidRPr="005474B2" w:rsidRDefault="00CA4EF7" w:rsidP="0009637B">
            <w:pPr>
              <w:widowControl w:val="0"/>
              <w:autoSpaceDE w:val="0"/>
              <w:autoSpaceDN w:val="0"/>
              <w:adjustRightInd w:val="0"/>
              <w:jc w:val="both"/>
              <w:rPr>
                <w:sz w:val="22"/>
                <w:szCs w:val="22"/>
                <w:lang w:val="sr-Latn-ME"/>
              </w:rPr>
            </w:pPr>
            <w:r w:rsidRPr="005474B2">
              <w:rPr>
                <w:sz w:val="22"/>
                <w:szCs w:val="22"/>
                <w:lang w:val="sr-Latn-ME"/>
              </w:rPr>
              <w:t>oralna kandidijaza</w:t>
            </w:r>
          </w:p>
        </w:tc>
      </w:tr>
      <w:tr w:rsidR="00CA4EF7" w:rsidRPr="0009637B" w14:paraId="52A180D3" w14:textId="77777777" w:rsidTr="00A2781E">
        <w:trPr>
          <w:trHeight w:val="92"/>
          <w:jc w:val="center"/>
        </w:trPr>
        <w:tc>
          <w:tcPr>
            <w:tcW w:w="2489" w:type="dxa"/>
            <w:vMerge/>
            <w:shd w:val="clear" w:color="auto" w:fill="auto"/>
          </w:tcPr>
          <w:p w14:paraId="236D7895" w14:textId="77777777" w:rsidR="00CA4EF7" w:rsidRPr="005474B2" w:rsidRDefault="00CA4EF7" w:rsidP="005474B2">
            <w:pPr>
              <w:widowControl w:val="0"/>
              <w:autoSpaceDE w:val="0"/>
              <w:autoSpaceDN w:val="0"/>
              <w:adjustRightInd w:val="0"/>
              <w:jc w:val="both"/>
              <w:rPr>
                <w:sz w:val="22"/>
                <w:szCs w:val="22"/>
                <w:lang w:val="sr-Latn-ME"/>
              </w:rPr>
            </w:pPr>
          </w:p>
        </w:tc>
        <w:tc>
          <w:tcPr>
            <w:tcW w:w="2489" w:type="dxa"/>
            <w:vMerge/>
            <w:shd w:val="clear" w:color="auto" w:fill="auto"/>
          </w:tcPr>
          <w:p w14:paraId="39B7C1B3" w14:textId="77777777" w:rsidR="00CA4EF7" w:rsidRPr="005474B2" w:rsidRDefault="00CA4EF7">
            <w:pPr>
              <w:widowControl w:val="0"/>
              <w:autoSpaceDE w:val="0"/>
              <w:autoSpaceDN w:val="0"/>
              <w:adjustRightInd w:val="0"/>
              <w:jc w:val="both"/>
              <w:rPr>
                <w:sz w:val="22"/>
                <w:szCs w:val="22"/>
                <w:lang w:val="sr-Latn-ME"/>
              </w:rPr>
            </w:pPr>
          </w:p>
        </w:tc>
        <w:tc>
          <w:tcPr>
            <w:tcW w:w="4656" w:type="dxa"/>
            <w:shd w:val="clear" w:color="auto" w:fill="auto"/>
          </w:tcPr>
          <w:p w14:paraId="598EB423" w14:textId="77777777" w:rsidR="00CA4EF7" w:rsidRPr="005474B2" w:rsidRDefault="00CA4EF7">
            <w:pPr>
              <w:widowControl w:val="0"/>
              <w:autoSpaceDE w:val="0"/>
              <w:autoSpaceDN w:val="0"/>
              <w:adjustRightInd w:val="0"/>
              <w:jc w:val="both"/>
              <w:rPr>
                <w:sz w:val="22"/>
                <w:szCs w:val="22"/>
                <w:lang w:val="sr-Latn-ME"/>
              </w:rPr>
            </w:pPr>
            <w:r w:rsidRPr="005474B2">
              <w:rPr>
                <w:sz w:val="22"/>
                <w:szCs w:val="22"/>
                <w:lang w:val="sr-Latn-ME"/>
              </w:rPr>
              <w:t>upala spoljašnjeg uva</w:t>
            </w:r>
          </w:p>
        </w:tc>
      </w:tr>
      <w:tr w:rsidR="00CA4EF7" w:rsidRPr="0009637B" w14:paraId="31D814A9" w14:textId="77777777" w:rsidTr="00A2781E">
        <w:trPr>
          <w:trHeight w:val="91"/>
          <w:jc w:val="center"/>
        </w:trPr>
        <w:tc>
          <w:tcPr>
            <w:tcW w:w="2489" w:type="dxa"/>
            <w:vMerge/>
            <w:shd w:val="clear" w:color="auto" w:fill="auto"/>
          </w:tcPr>
          <w:p w14:paraId="18D7FDE4" w14:textId="77777777" w:rsidR="00CA4EF7" w:rsidRPr="005474B2" w:rsidRDefault="00CA4EF7" w:rsidP="005474B2">
            <w:pPr>
              <w:widowControl w:val="0"/>
              <w:autoSpaceDE w:val="0"/>
              <w:autoSpaceDN w:val="0"/>
              <w:adjustRightInd w:val="0"/>
              <w:jc w:val="both"/>
              <w:rPr>
                <w:sz w:val="22"/>
                <w:szCs w:val="22"/>
                <w:lang w:val="sr-Latn-ME"/>
              </w:rPr>
            </w:pPr>
          </w:p>
        </w:tc>
        <w:tc>
          <w:tcPr>
            <w:tcW w:w="2489" w:type="dxa"/>
            <w:vMerge/>
            <w:shd w:val="clear" w:color="auto" w:fill="auto"/>
          </w:tcPr>
          <w:p w14:paraId="3133C223" w14:textId="77777777" w:rsidR="00CA4EF7" w:rsidRPr="005474B2" w:rsidRDefault="00CA4EF7">
            <w:pPr>
              <w:widowControl w:val="0"/>
              <w:autoSpaceDE w:val="0"/>
              <w:autoSpaceDN w:val="0"/>
              <w:adjustRightInd w:val="0"/>
              <w:jc w:val="both"/>
              <w:rPr>
                <w:sz w:val="22"/>
                <w:szCs w:val="22"/>
                <w:lang w:val="sr-Latn-ME"/>
              </w:rPr>
            </w:pPr>
          </w:p>
        </w:tc>
        <w:tc>
          <w:tcPr>
            <w:tcW w:w="4656" w:type="dxa"/>
            <w:shd w:val="clear" w:color="auto" w:fill="auto"/>
          </w:tcPr>
          <w:p w14:paraId="29AB75EF" w14:textId="77777777" w:rsidR="00CA4EF7" w:rsidRPr="005474B2" w:rsidRDefault="00CA4EF7">
            <w:pPr>
              <w:widowControl w:val="0"/>
              <w:autoSpaceDE w:val="0"/>
              <w:autoSpaceDN w:val="0"/>
              <w:adjustRightInd w:val="0"/>
              <w:jc w:val="both"/>
              <w:rPr>
                <w:sz w:val="22"/>
                <w:szCs w:val="22"/>
                <w:lang w:val="sr-Latn-ME"/>
              </w:rPr>
            </w:pPr>
            <w:r w:rsidRPr="005474B2">
              <w:rPr>
                <w:sz w:val="22"/>
                <w:szCs w:val="22"/>
                <w:lang w:val="sr-Latn-ME"/>
              </w:rPr>
              <w:t>infekcije donjeg dijela respiratornog trakta</w:t>
            </w:r>
          </w:p>
        </w:tc>
      </w:tr>
      <w:tr w:rsidR="00CA4EF7" w:rsidRPr="0009637B" w14:paraId="6A16B004" w14:textId="77777777" w:rsidTr="00A2781E">
        <w:trPr>
          <w:trHeight w:val="91"/>
          <w:jc w:val="center"/>
        </w:trPr>
        <w:tc>
          <w:tcPr>
            <w:tcW w:w="2489" w:type="dxa"/>
            <w:vMerge/>
            <w:shd w:val="clear" w:color="auto" w:fill="auto"/>
          </w:tcPr>
          <w:p w14:paraId="112133D6" w14:textId="77777777" w:rsidR="00CA4EF7" w:rsidRPr="005474B2" w:rsidRDefault="00CA4EF7" w:rsidP="005474B2">
            <w:pPr>
              <w:widowControl w:val="0"/>
              <w:autoSpaceDE w:val="0"/>
              <w:autoSpaceDN w:val="0"/>
              <w:adjustRightInd w:val="0"/>
              <w:jc w:val="both"/>
              <w:rPr>
                <w:sz w:val="22"/>
                <w:szCs w:val="22"/>
                <w:lang w:val="sr-Latn-ME"/>
              </w:rPr>
            </w:pPr>
          </w:p>
        </w:tc>
        <w:tc>
          <w:tcPr>
            <w:tcW w:w="2489" w:type="dxa"/>
            <w:vMerge/>
            <w:shd w:val="clear" w:color="auto" w:fill="auto"/>
          </w:tcPr>
          <w:p w14:paraId="41CE53A3" w14:textId="77777777" w:rsidR="00CA4EF7" w:rsidRPr="005474B2" w:rsidRDefault="00CA4EF7">
            <w:pPr>
              <w:widowControl w:val="0"/>
              <w:autoSpaceDE w:val="0"/>
              <w:autoSpaceDN w:val="0"/>
              <w:adjustRightInd w:val="0"/>
              <w:jc w:val="both"/>
              <w:rPr>
                <w:sz w:val="22"/>
                <w:szCs w:val="22"/>
                <w:lang w:val="sr-Latn-ME"/>
              </w:rPr>
            </w:pPr>
          </w:p>
        </w:tc>
        <w:tc>
          <w:tcPr>
            <w:tcW w:w="4656" w:type="dxa"/>
            <w:shd w:val="clear" w:color="auto" w:fill="auto"/>
          </w:tcPr>
          <w:p w14:paraId="236B6537" w14:textId="2D0823BD" w:rsidR="00CA4EF7" w:rsidRPr="005474B2" w:rsidRDefault="00CA4EF7">
            <w:pPr>
              <w:widowControl w:val="0"/>
              <w:autoSpaceDE w:val="0"/>
              <w:autoSpaceDN w:val="0"/>
              <w:adjustRightInd w:val="0"/>
              <w:jc w:val="both"/>
              <w:rPr>
                <w:i/>
                <w:iCs/>
                <w:sz w:val="22"/>
                <w:szCs w:val="22"/>
                <w:lang w:val="sr-Latn-ME"/>
              </w:rPr>
            </w:pPr>
            <w:r w:rsidRPr="005474B2">
              <w:rPr>
                <w:i/>
                <w:iCs/>
                <w:sz w:val="22"/>
                <w:szCs w:val="22"/>
                <w:lang w:val="sr-Latn-ME"/>
              </w:rPr>
              <w:t>tinea pedis</w:t>
            </w:r>
          </w:p>
        </w:tc>
      </w:tr>
      <w:tr w:rsidR="007D7CE1" w:rsidRPr="0009637B" w14:paraId="12BF1435" w14:textId="77777777" w:rsidTr="00A2781E">
        <w:trPr>
          <w:trHeight w:val="85"/>
          <w:jc w:val="center"/>
        </w:trPr>
        <w:tc>
          <w:tcPr>
            <w:tcW w:w="2489" w:type="dxa"/>
            <w:vMerge/>
            <w:shd w:val="clear" w:color="auto" w:fill="auto"/>
          </w:tcPr>
          <w:p w14:paraId="499D7222" w14:textId="77777777" w:rsidR="007D7CE1" w:rsidRPr="005474B2" w:rsidRDefault="007D7CE1" w:rsidP="005474B2">
            <w:pPr>
              <w:widowControl w:val="0"/>
              <w:autoSpaceDE w:val="0"/>
              <w:autoSpaceDN w:val="0"/>
              <w:adjustRightInd w:val="0"/>
              <w:jc w:val="both"/>
              <w:rPr>
                <w:sz w:val="22"/>
                <w:szCs w:val="22"/>
                <w:lang w:val="sr-Latn-ME"/>
              </w:rPr>
            </w:pPr>
          </w:p>
        </w:tc>
        <w:tc>
          <w:tcPr>
            <w:tcW w:w="2489" w:type="dxa"/>
            <w:shd w:val="clear" w:color="auto" w:fill="auto"/>
          </w:tcPr>
          <w:p w14:paraId="38305AEB"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nepoznato</w:t>
            </w:r>
          </w:p>
        </w:tc>
        <w:tc>
          <w:tcPr>
            <w:tcW w:w="4656" w:type="dxa"/>
            <w:shd w:val="clear" w:color="auto" w:fill="auto"/>
          </w:tcPr>
          <w:p w14:paraId="321CB7AC"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mukokutana kandidijaza (uključujući ezofagealnu kandidijazu)</w:t>
            </w:r>
          </w:p>
        </w:tc>
      </w:tr>
      <w:tr w:rsidR="007D7CE1" w:rsidRPr="0009637B" w14:paraId="38881668" w14:textId="77777777" w:rsidTr="00A2781E">
        <w:trPr>
          <w:jc w:val="center"/>
        </w:trPr>
        <w:tc>
          <w:tcPr>
            <w:tcW w:w="2489" w:type="dxa"/>
            <w:shd w:val="clear" w:color="auto" w:fill="auto"/>
          </w:tcPr>
          <w:p w14:paraId="4776FD1C" w14:textId="77777777" w:rsidR="007D7CE1" w:rsidRPr="005474B2" w:rsidRDefault="007D7CE1" w:rsidP="005474B2">
            <w:pPr>
              <w:widowControl w:val="0"/>
              <w:autoSpaceDE w:val="0"/>
              <w:autoSpaceDN w:val="0"/>
              <w:adjustRightInd w:val="0"/>
              <w:jc w:val="both"/>
              <w:rPr>
                <w:sz w:val="22"/>
                <w:szCs w:val="22"/>
                <w:lang w:val="sr-Latn-ME"/>
              </w:rPr>
            </w:pPr>
            <w:r w:rsidRPr="005474B2">
              <w:rPr>
                <w:sz w:val="22"/>
                <w:szCs w:val="22"/>
                <w:lang w:val="sr-Latn-ME"/>
              </w:rPr>
              <w:t>Poremećaji krvi i limfnog sistema</w:t>
            </w:r>
          </w:p>
        </w:tc>
        <w:tc>
          <w:tcPr>
            <w:tcW w:w="2489" w:type="dxa"/>
            <w:shd w:val="clear" w:color="auto" w:fill="auto"/>
          </w:tcPr>
          <w:p w14:paraId="3AD8FC6E"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povremeno</w:t>
            </w:r>
          </w:p>
        </w:tc>
        <w:tc>
          <w:tcPr>
            <w:tcW w:w="4656" w:type="dxa"/>
            <w:shd w:val="clear" w:color="auto" w:fill="auto"/>
          </w:tcPr>
          <w:p w14:paraId="3158D8F6"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neutropenija</w:t>
            </w:r>
          </w:p>
        </w:tc>
      </w:tr>
      <w:tr w:rsidR="008224E7" w:rsidRPr="0009637B" w14:paraId="79AAB4E7" w14:textId="77777777" w:rsidTr="008224E7">
        <w:trPr>
          <w:trHeight w:val="231"/>
          <w:jc w:val="center"/>
        </w:trPr>
        <w:tc>
          <w:tcPr>
            <w:tcW w:w="2489" w:type="dxa"/>
            <w:vMerge w:val="restart"/>
            <w:shd w:val="clear" w:color="auto" w:fill="auto"/>
          </w:tcPr>
          <w:p w14:paraId="57D060BB" w14:textId="38313BFB" w:rsidR="008224E7" w:rsidRPr="005474B2" w:rsidRDefault="008224E7" w:rsidP="005474B2">
            <w:pPr>
              <w:widowControl w:val="0"/>
              <w:autoSpaceDE w:val="0"/>
              <w:autoSpaceDN w:val="0"/>
              <w:adjustRightInd w:val="0"/>
              <w:jc w:val="both"/>
              <w:rPr>
                <w:sz w:val="22"/>
                <w:szCs w:val="22"/>
                <w:lang w:val="sr-Latn-ME"/>
              </w:rPr>
            </w:pPr>
            <w:r w:rsidRPr="005474B2">
              <w:rPr>
                <w:sz w:val="22"/>
                <w:szCs w:val="22"/>
                <w:lang w:val="sr-Latn-ME"/>
              </w:rPr>
              <w:t>Poremećaji imunog sistema</w:t>
            </w:r>
          </w:p>
        </w:tc>
        <w:tc>
          <w:tcPr>
            <w:tcW w:w="2489" w:type="dxa"/>
            <w:vMerge w:val="restart"/>
            <w:shd w:val="clear" w:color="auto" w:fill="auto"/>
          </w:tcPr>
          <w:p w14:paraId="701BD4AD"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rijetko</w:t>
            </w:r>
          </w:p>
        </w:tc>
        <w:tc>
          <w:tcPr>
            <w:tcW w:w="4656" w:type="dxa"/>
            <w:shd w:val="clear" w:color="auto" w:fill="auto"/>
          </w:tcPr>
          <w:p w14:paraId="76BADC84"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anafilaktičke reakcije</w:t>
            </w:r>
          </w:p>
        </w:tc>
      </w:tr>
      <w:tr w:rsidR="008224E7" w:rsidRPr="0009637B" w14:paraId="36ECE53E" w14:textId="77777777" w:rsidTr="00A2781E">
        <w:trPr>
          <w:trHeight w:val="231"/>
          <w:jc w:val="center"/>
        </w:trPr>
        <w:tc>
          <w:tcPr>
            <w:tcW w:w="2489" w:type="dxa"/>
            <w:vMerge/>
            <w:shd w:val="clear" w:color="auto" w:fill="auto"/>
          </w:tcPr>
          <w:p w14:paraId="49987C66" w14:textId="77777777" w:rsidR="008224E7" w:rsidRPr="005474B2" w:rsidRDefault="008224E7" w:rsidP="005474B2">
            <w:pPr>
              <w:widowControl w:val="0"/>
              <w:autoSpaceDE w:val="0"/>
              <w:autoSpaceDN w:val="0"/>
              <w:adjustRightInd w:val="0"/>
              <w:jc w:val="both"/>
              <w:rPr>
                <w:sz w:val="22"/>
                <w:szCs w:val="22"/>
                <w:lang w:val="sr-Latn-ME"/>
              </w:rPr>
            </w:pPr>
          </w:p>
        </w:tc>
        <w:tc>
          <w:tcPr>
            <w:tcW w:w="2489" w:type="dxa"/>
            <w:vMerge/>
            <w:shd w:val="clear" w:color="auto" w:fill="auto"/>
          </w:tcPr>
          <w:p w14:paraId="79E93A34" w14:textId="77777777" w:rsidR="008224E7" w:rsidRPr="005474B2" w:rsidRDefault="008224E7" w:rsidP="0009637B">
            <w:pPr>
              <w:widowControl w:val="0"/>
              <w:autoSpaceDE w:val="0"/>
              <w:autoSpaceDN w:val="0"/>
              <w:adjustRightInd w:val="0"/>
              <w:jc w:val="both"/>
              <w:rPr>
                <w:sz w:val="22"/>
                <w:szCs w:val="22"/>
                <w:lang w:val="sr-Latn-ME"/>
              </w:rPr>
            </w:pPr>
          </w:p>
        </w:tc>
        <w:tc>
          <w:tcPr>
            <w:tcW w:w="4656" w:type="dxa"/>
            <w:shd w:val="clear" w:color="auto" w:fill="auto"/>
          </w:tcPr>
          <w:p w14:paraId="036AE557" w14:textId="43EA0C95" w:rsidR="008224E7" w:rsidRPr="005474B2" w:rsidRDefault="008224E7" w:rsidP="0009637B">
            <w:pPr>
              <w:widowControl w:val="0"/>
              <w:autoSpaceDE w:val="0"/>
              <w:autoSpaceDN w:val="0"/>
              <w:adjustRightInd w:val="0"/>
              <w:jc w:val="both"/>
              <w:rPr>
                <w:sz w:val="22"/>
                <w:szCs w:val="22"/>
                <w:lang w:val="sr-Latn-ME"/>
              </w:rPr>
            </w:pPr>
            <w:r>
              <w:rPr>
                <w:sz w:val="22"/>
                <w:szCs w:val="22"/>
                <w:lang w:val="sr-Latn-ME"/>
              </w:rPr>
              <w:t>angioedem</w:t>
            </w:r>
          </w:p>
        </w:tc>
      </w:tr>
      <w:tr w:rsidR="007D7CE1" w:rsidRPr="0009637B" w14:paraId="30089F24" w14:textId="77777777" w:rsidTr="00A2781E">
        <w:trPr>
          <w:jc w:val="center"/>
        </w:trPr>
        <w:tc>
          <w:tcPr>
            <w:tcW w:w="2489" w:type="dxa"/>
            <w:shd w:val="clear" w:color="auto" w:fill="auto"/>
          </w:tcPr>
          <w:p w14:paraId="24EAF2FD" w14:textId="77777777" w:rsidR="007D7CE1" w:rsidRPr="005474B2" w:rsidRDefault="007D7CE1" w:rsidP="005474B2">
            <w:pPr>
              <w:widowControl w:val="0"/>
              <w:autoSpaceDE w:val="0"/>
              <w:autoSpaceDN w:val="0"/>
              <w:adjustRightInd w:val="0"/>
              <w:jc w:val="both"/>
              <w:rPr>
                <w:sz w:val="22"/>
                <w:szCs w:val="22"/>
                <w:lang w:val="sr-Latn-ME"/>
              </w:rPr>
            </w:pPr>
            <w:r w:rsidRPr="005474B2">
              <w:rPr>
                <w:sz w:val="22"/>
                <w:szCs w:val="22"/>
                <w:lang w:val="sr-Latn-ME"/>
              </w:rPr>
              <w:t>Poremećaji nervnog sistema</w:t>
            </w:r>
          </w:p>
        </w:tc>
        <w:tc>
          <w:tcPr>
            <w:tcW w:w="2489" w:type="dxa"/>
            <w:shd w:val="clear" w:color="auto" w:fill="auto"/>
          </w:tcPr>
          <w:p w14:paraId="64788B21"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često</w:t>
            </w:r>
          </w:p>
        </w:tc>
        <w:tc>
          <w:tcPr>
            <w:tcW w:w="4656" w:type="dxa"/>
            <w:shd w:val="clear" w:color="auto" w:fill="auto"/>
          </w:tcPr>
          <w:p w14:paraId="7F7E6C2B"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glavobolja</w:t>
            </w:r>
          </w:p>
        </w:tc>
      </w:tr>
      <w:tr w:rsidR="007D7CE1" w:rsidRPr="0009637B" w14:paraId="316188D7" w14:textId="77777777" w:rsidTr="00A2781E">
        <w:trPr>
          <w:jc w:val="center"/>
        </w:trPr>
        <w:tc>
          <w:tcPr>
            <w:tcW w:w="2489" w:type="dxa"/>
            <w:shd w:val="clear" w:color="auto" w:fill="auto"/>
          </w:tcPr>
          <w:p w14:paraId="55CDE2BF" w14:textId="77777777" w:rsidR="007D7CE1" w:rsidRPr="005474B2" w:rsidRDefault="007D7CE1" w:rsidP="005474B2">
            <w:pPr>
              <w:widowControl w:val="0"/>
              <w:autoSpaceDE w:val="0"/>
              <w:autoSpaceDN w:val="0"/>
              <w:adjustRightInd w:val="0"/>
              <w:jc w:val="both"/>
              <w:rPr>
                <w:sz w:val="22"/>
                <w:szCs w:val="22"/>
                <w:lang w:val="sr-Latn-ME"/>
              </w:rPr>
            </w:pPr>
            <w:r w:rsidRPr="005474B2">
              <w:rPr>
                <w:sz w:val="22"/>
                <w:szCs w:val="22"/>
                <w:lang w:val="sr-Latn-ME"/>
              </w:rPr>
              <w:t>Poremećaji oka</w:t>
            </w:r>
          </w:p>
        </w:tc>
        <w:tc>
          <w:tcPr>
            <w:tcW w:w="2489" w:type="dxa"/>
            <w:shd w:val="clear" w:color="auto" w:fill="auto"/>
          </w:tcPr>
          <w:p w14:paraId="56809BD7"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povremeno</w:t>
            </w:r>
          </w:p>
        </w:tc>
        <w:tc>
          <w:tcPr>
            <w:tcW w:w="4656" w:type="dxa"/>
            <w:shd w:val="clear" w:color="auto" w:fill="auto"/>
          </w:tcPr>
          <w:p w14:paraId="1EE77ADF"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konjunktivitis</w:t>
            </w:r>
          </w:p>
        </w:tc>
      </w:tr>
      <w:tr w:rsidR="007D7CE1" w:rsidRPr="0009637B" w14:paraId="1574DAAD" w14:textId="77777777" w:rsidTr="00A2781E">
        <w:trPr>
          <w:jc w:val="center"/>
        </w:trPr>
        <w:tc>
          <w:tcPr>
            <w:tcW w:w="2489" w:type="dxa"/>
            <w:shd w:val="clear" w:color="auto" w:fill="auto"/>
          </w:tcPr>
          <w:p w14:paraId="05CB730E" w14:textId="77777777" w:rsidR="007D7CE1" w:rsidRPr="005474B2" w:rsidRDefault="007D7CE1" w:rsidP="005474B2">
            <w:pPr>
              <w:widowControl w:val="0"/>
              <w:autoSpaceDE w:val="0"/>
              <w:autoSpaceDN w:val="0"/>
              <w:adjustRightInd w:val="0"/>
              <w:jc w:val="both"/>
              <w:rPr>
                <w:sz w:val="22"/>
                <w:szCs w:val="22"/>
                <w:lang w:val="sr-Latn-ME"/>
              </w:rPr>
            </w:pPr>
            <w:r w:rsidRPr="005474B2">
              <w:rPr>
                <w:sz w:val="22"/>
                <w:szCs w:val="22"/>
                <w:lang w:val="sr-Latn-ME"/>
              </w:rPr>
              <w:t>Respiratorni, torakalni i medijastinalni poremećaji</w:t>
            </w:r>
          </w:p>
        </w:tc>
        <w:tc>
          <w:tcPr>
            <w:tcW w:w="2489" w:type="dxa"/>
            <w:shd w:val="clear" w:color="auto" w:fill="auto"/>
          </w:tcPr>
          <w:p w14:paraId="6909967B"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često</w:t>
            </w:r>
          </w:p>
        </w:tc>
        <w:tc>
          <w:tcPr>
            <w:tcW w:w="4656" w:type="dxa"/>
            <w:shd w:val="clear" w:color="auto" w:fill="auto"/>
          </w:tcPr>
          <w:p w14:paraId="2FDEE7F1"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rinoreja</w:t>
            </w:r>
          </w:p>
        </w:tc>
      </w:tr>
      <w:tr w:rsidR="008224E7" w:rsidRPr="0009637B" w14:paraId="5FA0B768" w14:textId="77777777" w:rsidTr="00A2781E">
        <w:trPr>
          <w:trHeight w:val="183"/>
          <w:jc w:val="center"/>
        </w:trPr>
        <w:tc>
          <w:tcPr>
            <w:tcW w:w="2489" w:type="dxa"/>
            <w:vMerge w:val="restart"/>
            <w:shd w:val="clear" w:color="auto" w:fill="auto"/>
          </w:tcPr>
          <w:p w14:paraId="3EF5D552" w14:textId="77777777" w:rsidR="008224E7" w:rsidRPr="005474B2" w:rsidRDefault="008224E7" w:rsidP="005474B2">
            <w:pPr>
              <w:widowControl w:val="0"/>
              <w:autoSpaceDE w:val="0"/>
              <w:autoSpaceDN w:val="0"/>
              <w:adjustRightInd w:val="0"/>
              <w:jc w:val="both"/>
              <w:rPr>
                <w:sz w:val="22"/>
                <w:szCs w:val="22"/>
                <w:lang w:val="sr-Latn-ME"/>
              </w:rPr>
            </w:pPr>
            <w:r w:rsidRPr="005474B2">
              <w:rPr>
                <w:sz w:val="22"/>
                <w:szCs w:val="22"/>
                <w:lang w:val="sr-Latn-ME"/>
              </w:rPr>
              <w:t>Gastrointestinalni poremećaji</w:t>
            </w:r>
          </w:p>
        </w:tc>
        <w:tc>
          <w:tcPr>
            <w:tcW w:w="2489" w:type="dxa"/>
            <w:vMerge w:val="restart"/>
            <w:shd w:val="clear" w:color="auto" w:fill="auto"/>
          </w:tcPr>
          <w:p w14:paraId="622C9DF0"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često</w:t>
            </w:r>
          </w:p>
          <w:p w14:paraId="780586A6" w14:textId="4DC104E5" w:rsidR="008224E7" w:rsidRPr="005474B2" w:rsidRDefault="008224E7" w:rsidP="0009637B">
            <w:pPr>
              <w:widowControl w:val="0"/>
              <w:autoSpaceDE w:val="0"/>
              <w:autoSpaceDN w:val="0"/>
              <w:adjustRightInd w:val="0"/>
              <w:jc w:val="both"/>
              <w:rPr>
                <w:sz w:val="22"/>
                <w:szCs w:val="22"/>
                <w:lang w:val="sr-Latn-ME"/>
              </w:rPr>
            </w:pPr>
          </w:p>
        </w:tc>
        <w:tc>
          <w:tcPr>
            <w:tcW w:w="4656" w:type="dxa"/>
            <w:shd w:val="clear" w:color="auto" w:fill="auto"/>
          </w:tcPr>
          <w:p w14:paraId="070B82AC"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dijareja</w:t>
            </w:r>
          </w:p>
        </w:tc>
      </w:tr>
      <w:tr w:rsidR="008224E7" w:rsidRPr="0009637B" w14:paraId="1595E7A9" w14:textId="77777777" w:rsidTr="00A2781E">
        <w:trPr>
          <w:trHeight w:val="183"/>
          <w:jc w:val="center"/>
        </w:trPr>
        <w:tc>
          <w:tcPr>
            <w:tcW w:w="2489" w:type="dxa"/>
            <w:vMerge/>
            <w:shd w:val="clear" w:color="auto" w:fill="auto"/>
          </w:tcPr>
          <w:p w14:paraId="33A8F017" w14:textId="77777777" w:rsidR="008224E7" w:rsidRPr="005474B2" w:rsidRDefault="008224E7" w:rsidP="005474B2">
            <w:pPr>
              <w:widowControl w:val="0"/>
              <w:autoSpaceDE w:val="0"/>
              <w:autoSpaceDN w:val="0"/>
              <w:adjustRightInd w:val="0"/>
              <w:jc w:val="both"/>
              <w:rPr>
                <w:sz w:val="22"/>
                <w:szCs w:val="22"/>
                <w:lang w:val="sr-Latn-ME"/>
              </w:rPr>
            </w:pPr>
          </w:p>
        </w:tc>
        <w:tc>
          <w:tcPr>
            <w:tcW w:w="2489" w:type="dxa"/>
            <w:vMerge/>
            <w:shd w:val="clear" w:color="auto" w:fill="auto"/>
          </w:tcPr>
          <w:p w14:paraId="730F7DFD" w14:textId="3B3E5AC2" w:rsidR="008224E7" w:rsidRPr="005474B2" w:rsidRDefault="008224E7" w:rsidP="0009637B">
            <w:pPr>
              <w:widowControl w:val="0"/>
              <w:autoSpaceDE w:val="0"/>
              <w:autoSpaceDN w:val="0"/>
              <w:adjustRightInd w:val="0"/>
              <w:jc w:val="both"/>
              <w:rPr>
                <w:sz w:val="22"/>
                <w:szCs w:val="22"/>
                <w:lang w:val="sr-Latn-ME"/>
              </w:rPr>
            </w:pPr>
          </w:p>
        </w:tc>
        <w:tc>
          <w:tcPr>
            <w:tcW w:w="4656" w:type="dxa"/>
            <w:shd w:val="clear" w:color="auto" w:fill="auto"/>
          </w:tcPr>
          <w:p w14:paraId="346158BC"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mučnina</w:t>
            </w:r>
          </w:p>
        </w:tc>
      </w:tr>
      <w:tr w:rsidR="007D7CE1" w:rsidRPr="0009637B" w14:paraId="726C7B92" w14:textId="77777777" w:rsidTr="00A2781E">
        <w:trPr>
          <w:trHeight w:val="182"/>
          <w:jc w:val="center"/>
        </w:trPr>
        <w:tc>
          <w:tcPr>
            <w:tcW w:w="2489" w:type="dxa"/>
            <w:vMerge/>
            <w:shd w:val="clear" w:color="auto" w:fill="auto"/>
          </w:tcPr>
          <w:p w14:paraId="32E4FD30" w14:textId="77777777" w:rsidR="007D7CE1" w:rsidRPr="005474B2" w:rsidRDefault="007D7CE1" w:rsidP="005474B2">
            <w:pPr>
              <w:widowControl w:val="0"/>
              <w:autoSpaceDE w:val="0"/>
              <w:autoSpaceDN w:val="0"/>
              <w:adjustRightInd w:val="0"/>
              <w:jc w:val="both"/>
              <w:rPr>
                <w:sz w:val="22"/>
                <w:szCs w:val="22"/>
                <w:lang w:val="sr-Latn-ME"/>
              </w:rPr>
            </w:pPr>
          </w:p>
        </w:tc>
        <w:tc>
          <w:tcPr>
            <w:tcW w:w="2489" w:type="dxa"/>
            <w:shd w:val="clear" w:color="auto" w:fill="auto"/>
          </w:tcPr>
          <w:p w14:paraId="15D1D629"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povremeno</w:t>
            </w:r>
          </w:p>
        </w:tc>
        <w:tc>
          <w:tcPr>
            <w:tcW w:w="4656" w:type="dxa"/>
            <w:shd w:val="clear" w:color="auto" w:fill="auto"/>
          </w:tcPr>
          <w:p w14:paraId="2E118D75" w14:textId="34FE572A"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zapaljenska bolest cr</w:t>
            </w:r>
            <w:r w:rsidR="00A23A61" w:rsidRPr="005474B2">
              <w:rPr>
                <w:sz w:val="22"/>
                <w:szCs w:val="22"/>
                <w:lang w:val="sr-Latn-ME"/>
              </w:rPr>
              <w:t>ij</w:t>
            </w:r>
            <w:r w:rsidRPr="005474B2">
              <w:rPr>
                <w:sz w:val="22"/>
                <w:szCs w:val="22"/>
                <w:lang w:val="sr-Latn-ME"/>
              </w:rPr>
              <w:t>eva</w:t>
            </w:r>
            <w:r w:rsidR="00D77CBC">
              <w:rPr>
                <w:sz w:val="22"/>
                <w:szCs w:val="22"/>
                <w:lang w:val="sr-Latn-ME"/>
              </w:rPr>
              <w:t xml:space="preserve"> </w:t>
            </w:r>
            <w:r w:rsidR="00D77CBC" w:rsidRPr="00B01731">
              <w:rPr>
                <w:sz w:val="22"/>
                <w:szCs w:val="22"/>
                <w:lang w:val="sr-Latn-ME"/>
              </w:rPr>
              <w:t xml:space="preserve">(engl. </w:t>
            </w:r>
            <w:r w:rsidR="00D77CBC" w:rsidRPr="005C6AF4">
              <w:rPr>
                <w:i/>
                <w:iCs/>
                <w:sz w:val="22"/>
                <w:szCs w:val="22"/>
                <w:lang w:val="sr-Latn-ME"/>
              </w:rPr>
              <w:t>Inflamatory Bowel  Disease</w:t>
            </w:r>
            <w:r w:rsidR="00D77CBC" w:rsidRPr="00B01731">
              <w:rPr>
                <w:sz w:val="22"/>
                <w:szCs w:val="22"/>
                <w:lang w:val="sr-Latn-ME"/>
              </w:rPr>
              <w:t xml:space="preserve"> – IBD)</w:t>
            </w:r>
          </w:p>
        </w:tc>
      </w:tr>
      <w:tr w:rsidR="008224E7" w:rsidRPr="0009637B" w14:paraId="38A57425" w14:textId="77777777" w:rsidTr="00A2781E">
        <w:trPr>
          <w:trHeight w:val="159"/>
          <w:jc w:val="center"/>
        </w:trPr>
        <w:tc>
          <w:tcPr>
            <w:tcW w:w="2489" w:type="dxa"/>
            <w:vMerge w:val="restart"/>
            <w:shd w:val="clear" w:color="auto" w:fill="auto"/>
          </w:tcPr>
          <w:p w14:paraId="3486AA24" w14:textId="44949F6F" w:rsidR="008224E7" w:rsidRPr="005474B2" w:rsidRDefault="008224E7" w:rsidP="005474B2">
            <w:pPr>
              <w:widowControl w:val="0"/>
              <w:autoSpaceDE w:val="0"/>
              <w:autoSpaceDN w:val="0"/>
              <w:adjustRightInd w:val="0"/>
              <w:jc w:val="both"/>
              <w:rPr>
                <w:sz w:val="22"/>
                <w:szCs w:val="22"/>
                <w:lang w:val="sr-Latn-ME"/>
              </w:rPr>
            </w:pPr>
            <w:r w:rsidRPr="005474B2">
              <w:rPr>
                <w:sz w:val="22"/>
                <w:szCs w:val="22"/>
                <w:lang w:val="sr-Latn-ME"/>
              </w:rPr>
              <w:t>Poremećaji kože i potkožnog tkiva</w:t>
            </w:r>
          </w:p>
        </w:tc>
        <w:tc>
          <w:tcPr>
            <w:tcW w:w="2489" w:type="dxa"/>
            <w:shd w:val="clear" w:color="auto" w:fill="auto"/>
          </w:tcPr>
          <w:p w14:paraId="2D39F202" w14:textId="24D15757" w:rsidR="008224E7" w:rsidRPr="005474B2" w:rsidRDefault="008224E7" w:rsidP="0009637B">
            <w:pPr>
              <w:widowControl w:val="0"/>
              <w:autoSpaceDE w:val="0"/>
              <w:autoSpaceDN w:val="0"/>
              <w:adjustRightInd w:val="0"/>
              <w:jc w:val="both"/>
              <w:rPr>
                <w:sz w:val="22"/>
                <w:szCs w:val="22"/>
                <w:lang w:val="sr-Latn-ME"/>
              </w:rPr>
            </w:pPr>
            <w:r>
              <w:rPr>
                <w:sz w:val="22"/>
                <w:szCs w:val="22"/>
                <w:lang w:val="sr-Latn-ME"/>
              </w:rPr>
              <w:t>često</w:t>
            </w:r>
          </w:p>
        </w:tc>
        <w:tc>
          <w:tcPr>
            <w:tcW w:w="4656" w:type="dxa"/>
            <w:shd w:val="clear" w:color="auto" w:fill="auto"/>
          </w:tcPr>
          <w:p w14:paraId="230602C8" w14:textId="231CDB18" w:rsidR="008224E7" w:rsidRPr="005474B2" w:rsidRDefault="008224E7" w:rsidP="0009637B">
            <w:pPr>
              <w:widowControl w:val="0"/>
              <w:autoSpaceDE w:val="0"/>
              <w:autoSpaceDN w:val="0"/>
              <w:adjustRightInd w:val="0"/>
              <w:jc w:val="both"/>
              <w:rPr>
                <w:sz w:val="22"/>
                <w:szCs w:val="22"/>
                <w:lang w:val="sr-Latn-ME"/>
              </w:rPr>
            </w:pPr>
            <w:r>
              <w:rPr>
                <w:sz w:val="22"/>
                <w:szCs w:val="22"/>
                <w:lang w:val="sr-Latn-ME"/>
              </w:rPr>
              <w:t>ekcem</w:t>
            </w:r>
          </w:p>
        </w:tc>
      </w:tr>
      <w:tr w:rsidR="008224E7" w:rsidRPr="0009637B" w14:paraId="76A7A8DE" w14:textId="77777777" w:rsidTr="00A2781E">
        <w:trPr>
          <w:trHeight w:val="159"/>
          <w:jc w:val="center"/>
        </w:trPr>
        <w:tc>
          <w:tcPr>
            <w:tcW w:w="2489" w:type="dxa"/>
            <w:vMerge/>
            <w:shd w:val="clear" w:color="auto" w:fill="auto"/>
          </w:tcPr>
          <w:p w14:paraId="46CD877A" w14:textId="373342C0" w:rsidR="008224E7" w:rsidRPr="005474B2" w:rsidRDefault="008224E7" w:rsidP="005474B2">
            <w:pPr>
              <w:widowControl w:val="0"/>
              <w:autoSpaceDE w:val="0"/>
              <w:autoSpaceDN w:val="0"/>
              <w:adjustRightInd w:val="0"/>
              <w:jc w:val="both"/>
              <w:rPr>
                <w:sz w:val="22"/>
                <w:szCs w:val="22"/>
                <w:lang w:val="sr-Latn-ME"/>
              </w:rPr>
            </w:pPr>
          </w:p>
        </w:tc>
        <w:tc>
          <w:tcPr>
            <w:tcW w:w="2489" w:type="dxa"/>
            <w:vMerge w:val="restart"/>
            <w:shd w:val="clear" w:color="auto" w:fill="auto"/>
          </w:tcPr>
          <w:p w14:paraId="55D31B7A"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povremeno</w:t>
            </w:r>
          </w:p>
        </w:tc>
        <w:tc>
          <w:tcPr>
            <w:tcW w:w="4656" w:type="dxa"/>
            <w:shd w:val="clear" w:color="auto" w:fill="auto"/>
          </w:tcPr>
          <w:p w14:paraId="1ED1EE17"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urtikarija</w:t>
            </w:r>
          </w:p>
        </w:tc>
      </w:tr>
      <w:tr w:rsidR="008224E7" w:rsidRPr="0009637B" w14:paraId="4B97EA01" w14:textId="77777777" w:rsidTr="00A2781E">
        <w:trPr>
          <w:trHeight w:val="159"/>
          <w:jc w:val="center"/>
        </w:trPr>
        <w:tc>
          <w:tcPr>
            <w:tcW w:w="2489" w:type="dxa"/>
            <w:vMerge/>
            <w:shd w:val="clear" w:color="auto" w:fill="auto"/>
          </w:tcPr>
          <w:p w14:paraId="4D727E33" w14:textId="77777777" w:rsidR="008224E7" w:rsidRPr="005474B2" w:rsidRDefault="008224E7" w:rsidP="005474B2">
            <w:pPr>
              <w:widowControl w:val="0"/>
              <w:autoSpaceDE w:val="0"/>
              <w:autoSpaceDN w:val="0"/>
              <w:adjustRightInd w:val="0"/>
              <w:jc w:val="both"/>
              <w:rPr>
                <w:sz w:val="22"/>
                <w:szCs w:val="22"/>
                <w:lang w:val="sr-Latn-ME"/>
              </w:rPr>
            </w:pPr>
          </w:p>
        </w:tc>
        <w:tc>
          <w:tcPr>
            <w:tcW w:w="2489" w:type="dxa"/>
            <w:vMerge/>
            <w:shd w:val="clear" w:color="auto" w:fill="auto"/>
          </w:tcPr>
          <w:p w14:paraId="3C603F59" w14:textId="77777777" w:rsidR="008224E7" w:rsidRPr="005474B2" w:rsidRDefault="008224E7">
            <w:pPr>
              <w:widowControl w:val="0"/>
              <w:autoSpaceDE w:val="0"/>
              <w:autoSpaceDN w:val="0"/>
              <w:adjustRightInd w:val="0"/>
              <w:jc w:val="both"/>
              <w:rPr>
                <w:sz w:val="22"/>
                <w:szCs w:val="22"/>
                <w:lang w:val="sr-Latn-ME"/>
              </w:rPr>
            </w:pPr>
          </w:p>
        </w:tc>
        <w:tc>
          <w:tcPr>
            <w:tcW w:w="4656" w:type="dxa"/>
            <w:shd w:val="clear" w:color="auto" w:fill="auto"/>
          </w:tcPr>
          <w:p w14:paraId="536B047C" w14:textId="0DF69524" w:rsidR="008224E7" w:rsidRPr="005474B2" w:rsidRDefault="008224E7">
            <w:pPr>
              <w:widowControl w:val="0"/>
              <w:autoSpaceDE w:val="0"/>
              <w:autoSpaceDN w:val="0"/>
              <w:adjustRightInd w:val="0"/>
              <w:jc w:val="both"/>
              <w:rPr>
                <w:sz w:val="22"/>
                <w:szCs w:val="22"/>
                <w:lang w:val="sr-Latn-ME"/>
              </w:rPr>
            </w:pPr>
            <w:r w:rsidRPr="005474B2">
              <w:rPr>
                <w:sz w:val="22"/>
                <w:szCs w:val="22"/>
                <w:lang w:val="sr-Latn-ME"/>
              </w:rPr>
              <w:t>dishidrotični ekcem</w:t>
            </w:r>
          </w:p>
        </w:tc>
      </w:tr>
      <w:tr w:rsidR="008224E7" w:rsidRPr="0009637B" w14:paraId="4D4F9CCC" w14:textId="77777777" w:rsidTr="00A2781E">
        <w:trPr>
          <w:trHeight w:val="159"/>
          <w:jc w:val="center"/>
        </w:trPr>
        <w:tc>
          <w:tcPr>
            <w:tcW w:w="2489" w:type="dxa"/>
            <w:vMerge/>
            <w:shd w:val="clear" w:color="auto" w:fill="auto"/>
          </w:tcPr>
          <w:p w14:paraId="1906358D" w14:textId="77777777" w:rsidR="008224E7" w:rsidRPr="005474B2" w:rsidRDefault="008224E7" w:rsidP="005474B2">
            <w:pPr>
              <w:widowControl w:val="0"/>
              <w:autoSpaceDE w:val="0"/>
              <w:autoSpaceDN w:val="0"/>
              <w:adjustRightInd w:val="0"/>
              <w:jc w:val="both"/>
              <w:rPr>
                <w:sz w:val="22"/>
                <w:szCs w:val="22"/>
                <w:lang w:val="sr-Latn-ME"/>
              </w:rPr>
            </w:pPr>
          </w:p>
        </w:tc>
        <w:tc>
          <w:tcPr>
            <w:tcW w:w="2489" w:type="dxa"/>
            <w:vMerge w:val="restart"/>
            <w:shd w:val="clear" w:color="auto" w:fill="auto"/>
          </w:tcPr>
          <w:p w14:paraId="1E412117"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rijetko</w:t>
            </w:r>
          </w:p>
        </w:tc>
        <w:tc>
          <w:tcPr>
            <w:tcW w:w="4656" w:type="dxa"/>
            <w:shd w:val="clear" w:color="auto" w:fill="auto"/>
          </w:tcPr>
          <w:p w14:paraId="439F320B" w14:textId="77777777"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eksfolijativni dermatitis</w:t>
            </w:r>
            <w:r w:rsidRPr="005474B2">
              <w:rPr>
                <w:sz w:val="22"/>
                <w:szCs w:val="22"/>
                <w:vertAlign w:val="superscript"/>
                <w:lang w:val="sr-Latn-ME"/>
              </w:rPr>
              <w:t>2)</w:t>
            </w:r>
          </w:p>
        </w:tc>
      </w:tr>
      <w:tr w:rsidR="008224E7" w:rsidRPr="0009637B" w14:paraId="4063FAB9" w14:textId="77777777" w:rsidTr="00A2781E">
        <w:trPr>
          <w:trHeight w:val="159"/>
          <w:jc w:val="center"/>
        </w:trPr>
        <w:tc>
          <w:tcPr>
            <w:tcW w:w="2489" w:type="dxa"/>
            <w:vMerge/>
            <w:shd w:val="clear" w:color="auto" w:fill="auto"/>
          </w:tcPr>
          <w:p w14:paraId="665B6F22" w14:textId="77777777" w:rsidR="008224E7" w:rsidRPr="005474B2" w:rsidRDefault="008224E7" w:rsidP="005474B2">
            <w:pPr>
              <w:widowControl w:val="0"/>
              <w:autoSpaceDE w:val="0"/>
              <w:autoSpaceDN w:val="0"/>
              <w:adjustRightInd w:val="0"/>
              <w:jc w:val="both"/>
              <w:rPr>
                <w:sz w:val="22"/>
                <w:szCs w:val="22"/>
                <w:lang w:val="sr-Latn-ME"/>
              </w:rPr>
            </w:pPr>
          </w:p>
        </w:tc>
        <w:tc>
          <w:tcPr>
            <w:tcW w:w="2489" w:type="dxa"/>
            <w:vMerge/>
            <w:shd w:val="clear" w:color="auto" w:fill="auto"/>
          </w:tcPr>
          <w:p w14:paraId="5CC346FD" w14:textId="77777777" w:rsidR="008224E7" w:rsidRPr="005474B2" w:rsidRDefault="008224E7">
            <w:pPr>
              <w:widowControl w:val="0"/>
              <w:autoSpaceDE w:val="0"/>
              <w:autoSpaceDN w:val="0"/>
              <w:adjustRightInd w:val="0"/>
              <w:jc w:val="both"/>
              <w:rPr>
                <w:sz w:val="22"/>
                <w:szCs w:val="22"/>
                <w:lang w:val="sr-Latn-ME"/>
              </w:rPr>
            </w:pPr>
          </w:p>
        </w:tc>
        <w:tc>
          <w:tcPr>
            <w:tcW w:w="4656" w:type="dxa"/>
            <w:shd w:val="clear" w:color="auto" w:fill="auto"/>
          </w:tcPr>
          <w:p w14:paraId="4A87375E" w14:textId="757388BA" w:rsidR="008224E7" w:rsidRPr="005474B2" w:rsidRDefault="008224E7">
            <w:pPr>
              <w:widowControl w:val="0"/>
              <w:autoSpaceDE w:val="0"/>
              <w:autoSpaceDN w:val="0"/>
              <w:adjustRightInd w:val="0"/>
              <w:jc w:val="both"/>
              <w:rPr>
                <w:sz w:val="22"/>
                <w:szCs w:val="22"/>
                <w:lang w:val="sr-Latn-ME"/>
              </w:rPr>
            </w:pPr>
            <w:r w:rsidRPr="005474B2">
              <w:rPr>
                <w:sz w:val="22"/>
                <w:szCs w:val="22"/>
                <w:lang w:val="sr-Latn-ME"/>
              </w:rPr>
              <w:t>hipersenzitivni vaskulitis</w:t>
            </w:r>
          </w:p>
        </w:tc>
      </w:tr>
      <w:tr w:rsidR="008224E7" w:rsidRPr="0009637B" w14:paraId="354D306C" w14:textId="77777777" w:rsidTr="00A2781E">
        <w:trPr>
          <w:trHeight w:val="159"/>
          <w:jc w:val="center"/>
        </w:trPr>
        <w:tc>
          <w:tcPr>
            <w:tcW w:w="2489" w:type="dxa"/>
            <w:vMerge/>
            <w:shd w:val="clear" w:color="auto" w:fill="auto"/>
          </w:tcPr>
          <w:p w14:paraId="6D1B14A1" w14:textId="77777777" w:rsidR="008224E7" w:rsidRPr="005474B2" w:rsidRDefault="008224E7" w:rsidP="005474B2">
            <w:pPr>
              <w:widowControl w:val="0"/>
              <w:autoSpaceDE w:val="0"/>
              <w:autoSpaceDN w:val="0"/>
              <w:adjustRightInd w:val="0"/>
              <w:jc w:val="both"/>
              <w:rPr>
                <w:sz w:val="22"/>
                <w:szCs w:val="22"/>
                <w:lang w:val="sr-Latn-ME"/>
              </w:rPr>
            </w:pPr>
          </w:p>
        </w:tc>
        <w:tc>
          <w:tcPr>
            <w:tcW w:w="2489" w:type="dxa"/>
            <w:shd w:val="clear" w:color="auto" w:fill="auto"/>
          </w:tcPr>
          <w:p w14:paraId="42F360DF" w14:textId="0F2D5565" w:rsidR="008224E7" w:rsidRPr="005474B2" w:rsidRDefault="008224E7" w:rsidP="0009637B">
            <w:pPr>
              <w:widowControl w:val="0"/>
              <w:autoSpaceDE w:val="0"/>
              <w:autoSpaceDN w:val="0"/>
              <w:adjustRightInd w:val="0"/>
              <w:jc w:val="both"/>
              <w:rPr>
                <w:sz w:val="22"/>
                <w:szCs w:val="22"/>
                <w:lang w:val="sr-Latn-ME"/>
              </w:rPr>
            </w:pPr>
            <w:r w:rsidRPr="005474B2">
              <w:rPr>
                <w:sz w:val="22"/>
                <w:szCs w:val="22"/>
                <w:lang w:val="sr-Latn-ME"/>
              </w:rPr>
              <w:t>nepoznato</w:t>
            </w:r>
          </w:p>
        </w:tc>
        <w:tc>
          <w:tcPr>
            <w:tcW w:w="4656" w:type="dxa"/>
            <w:shd w:val="clear" w:color="auto" w:fill="auto"/>
          </w:tcPr>
          <w:p w14:paraId="0DD81292" w14:textId="33D06CA1" w:rsidR="008224E7" w:rsidRPr="005474B2" w:rsidRDefault="008224E7" w:rsidP="0009637B">
            <w:pPr>
              <w:widowControl w:val="0"/>
              <w:autoSpaceDE w:val="0"/>
              <w:autoSpaceDN w:val="0"/>
              <w:adjustRightInd w:val="0"/>
              <w:jc w:val="both"/>
              <w:rPr>
                <w:i/>
                <w:iCs/>
                <w:sz w:val="22"/>
                <w:szCs w:val="22"/>
                <w:lang w:val="sr-Latn-ME"/>
              </w:rPr>
            </w:pPr>
            <w:r w:rsidRPr="005474B2">
              <w:rPr>
                <w:i/>
                <w:iCs/>
                <w:sz w:val="22"/>
                <w:szCs w:val="22"/>
                <w:lang w:val="hr-HR"/>
              </w:rPr>
              <w:t>pyoderma gangrenosum</w:t>
            </w:r>
          </w:p>
        </w:tc>
      </w:tr>
      <w:tr w:rsidR="007D7CE1" w:rsidRPr="0009637B" w14:paraId="0020C536" w14:textId="77777777" w:rsidTr="00A2781E">
        <w:trPr>
          <w:trHeight w:val="159"/>
          <w:jc w:val="center"/>
        </w:trPr>
        <w:tc>
          <w:tcPr>
            <w:tcW w:w="2489" w:type="dxa"/>
            <w:shd w:val="clear" w:color="auto" w:fill="auto"/>
          </w:tcPr>
          <w:p w14:paraId="023F1EEC" w14:textId="77777777" w:rsidR="007D7CE1" w:rsidRPr="005474B2" w:rsidRDefault="007D7CE1" w:rsidP="005474B2">
            <w:pPr>
              <w:widowControl w:val="0"/>
              <w:autoSpaceDE w:val="0"/>
              <w:autoSpaceDN w:val="0"/>
              <w:adjustRightInd w:val="0"/>
              <w:jc w:val="both"/>
              <w:rPr>
                <w:sz w:val="22"/>
                <w:szCs w:val="22"/>
                <w:lang w:val="sr-Latn-ME"/>
              </w:rPr>
            </w:pPr>
            <w:r w:rsidRPr="005474B2">
              <w:rPr>
                <w:sz w:val="22"/>
                <w:szCs w:val="22"/>
                <w:lang w:val="sr-Latn-ME"/>
              </w:rPr>
              <w:t>Opšti poremećaji i reakcije na m</w:t>
            </w:r>
            <w:r w:rsidR="00A23A61" w:rsidRPr="005474B2">
              <w:rPr>
                <w:sz w:val="22"/>
                <w:szCs w:val="22"/>
                <w:lang w:val="sr-Latn-ME"/>
              </w:rPr>
              <w:t>j</w:t>
            </w:r>
            <w:r w:rsidRPr="005474B2">
              <w:rPr>
                <w:sz w:val="22"/>
                <w:szCs w:val="22"/>
                <w:lang w:val="sr-Latn-ME"/>
              </w:rPr>
              <w:t xml:space="preserve">estu </w:t>
            </w:r>
            <w:r w:rsidR="009A4880" w:rsidRPr="005474B2">
              <w:rPr>
                <w:sz w:val="22"/>
                <w:szCs w:val="22"/>
                <w:lang w:val="sr-Latn-ME"/>
              </w:rPr>
              <w:t>primjene</w:t>
            </w:r>
          </w:p>
        </w:tc>
        <w:tc>
          <w:tcPr>
            <w:tcW w:w="2489" w:type="dxa"/>
            <w:shd w:val="clear" w:color="auto" w:fill="auto"/>
          </w:tcPr>
          <w:p w14:paraId="4A91EAEC"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često</w:t>
            </w:r>
          </w:p>
        </w:tc>
        <w:tc>
          <w:tcPr>
            <w:tcW w:w="4656" w:type="dxa"/>
            <w:shd w:val="clear" w:color="auto" w:fill="auto"/>
          </w:tcPr>
          <w:p w14:paraId="5AEE3980"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lang w:val="sr-Latn-ME"/>
              </w:rPr>
              <w:t>umor</w:t>
            </w:r>
          </w:p>
        </w:tc>
      </w:tr>
      <w:tr w:rsidR="007D7CE1" w:rsidRPr="0009637B" w14:paraId="67BED9F6" w14:textId="77777777" w:rsidTr="00A2781E">
        <w:trPr>
          <w:jc w:val="center"/>
        </w:trPr>
        <w:tc>
          <w:tcPr>
            <w:tcW w:w="9634" w:type="dxa"/>
            <w:gridSpan w:val="3"/>
            <w:shd w:val="clear" w:color="auto" w:fill="auto"/>
          </w:tcPr>
          <w:p w14:paraId="043A56B4" w14:textId="6CC52582" w:rsidR="007D7CE1" w:rsidRPr="005474B2" w:rsidRDefault="007D7CE1" w:rsidP="0009637B">
            <w:pPr>
              <w:widowControl w:val="0"/>
              <w:autoSpaceDE w:val="0"/>
              <w:autoSpaceDN w:val="0"/>
              <w:adjustRightInd w:val="0"/>
              <w:jc w:val="both"/>
              <w:rPr>
                <w:sz w:val="22"/>
                <w:szCs w:val="22"/>
                <w:lang w:val="sr-Latn-ME"/>
              </w:rPr>
            </w:pPr>
            <w:r w:rsidRPr="005474B2">
              <w:rPr>
                <w:sz w:val="22"/>
                <w:szCs w:val="22"/>
                <w:vertAlign w:val="superscript"/>
                <w:lang w:val="sr-Latn-ME"/>
              </w:rPr>
              <w:t>1)</w:t>
            </w:r>
            <w:r w:rsidRPr="005474B2">
              <w:rPr>
                <w:sz w:val="22"/>
                <w:szCs w:val="22"/>
                <w:lang w:val="sr-Latn-ME"/>
              </w:rPr>
              <w:t xml:space="preserve"> Placebo kontrolisane kliničke studije (faza III) kod pacijenata sa plak psorijazom, PsA, AS</w:t>
            </w:r>
            <w:r w:rsidR="00CA4EF7" w:rsidRPr="005474B2">
              <w:rPr>
                <w:sz w:val="22"/>
                <w:szCs w:val="22"/>
                <w:lang w:val="sr-Latn-ME"/>
              </w:rPr>
              <w:t xml:space="preserve">, </w:t>
            </w:r>
            <w:r w:rsidRPr="005474B2">
              <w:rPr>
                <w:sz w:val="22"/>
                <w:szCs w:val="22"/>
                <w:lang w:val="sr-Latn-ME"/>
              </w:rPr>
              <w:t xml:space="preserve">nr-AxSpA </w:t>
            </w:r>
            <w:r w:rsidR="00757C78" w:rsidRPr="005474B2">
              <w:rPr>
                <w:sz w:val="22"/>
                <w:szCs w:val="22"/>
                <w:lang w:val="sr-Latn-ME"/>
              </w:rPr>
              <w:t xml:space="preserve">i </w:t>
            </w:r>
            <w:r w:rsidR="00757C78" w:rsidRPr="005474B2">
              <w:rPr>
                <w:sz w:val="22"/>
                <w:szCs w:val="22"/>
                <w:lang w:val="sr-Latn-ME"/>
              </w:rPr>
              <w:lastRenderedPageBreak/>
              <w:t xml:space="preserve">HS </w:t>
            </w:r>
            <w:r w:rsidRPr="005474B2">
              <w:rPr>
                <w:sz w:val="22"/>
                <w:szCs w:val="22"/>
                <w:lang w:val="sr-Latn-ME"/>
              </w:rPr>
              <w:t xml:space="preserve">izloženih dozama od 300 mg, 150 mg, 75 mg ili placebu tokom 12 </w:t>
            </w:r>
            <w:r w:rsidR="009A4880" w:rsidRPr="005474B2">
              <w:rPr>
                <w:sz w:val="22"/>
                <w:szCs w:val="22"/>
                <w:lang w:val="sr-Latn-ME"/>
              </w:rPr>
              <w:t>nedjelj</w:t>
            </w:r>
            <w:r w:rsidRPr="005474B2">
              <w:rPr>
                <w:sz w:val="22"/>
                <w:szCs w:val="22"/>
                <w:lang w:val="sr-Latn-ME"/>
              </w:rPr>
              <w:t xml:space="preserve">a (psorijaza) ili 16 </w:t>
            </w:r>
            <w:r w:rsidR="009A4880" w:rsidRPr="005474B2">
              <w:rPr>
                <w:sz w:val="22"/>
                <w:szCs w:val="22"/>
                <w:lang w:val="sr-Latn-ME"/>
              </w:rPr>
              <w:t>nedjelj</w:t>
            </w:r>
            <w:r w:rsidRPr="005474B2">
              <w:rPr>
                <w:sz w:val="22"/>
                <w:szCs w:val="22"/>
                <w:lang w:val="sr-Latn-ME"/>
              </w:rPr>
              <w:t>a (PsA, AS</w:t>
            </w:r>
            <w:r w:rsidR="00757C78" w:rsidRPr="005474B2">
              <w:rPr>
                <w:sz w:val="22"/>
                <w:szCs w:val="22"/>
                <w:lang w:val="sr-Latn-ME"/>
              </w:rPr>
              <w:t xml:space="preserve">, </w:t>
            </w:r>
            <w:r w:rsidRPr="005474B2">
              <w:rPr>
                <w:sz w:val="22"/>
                <w:szCs w:val="22"/>
                <w:lang w:val="sr-Latn-ME"/>
              </w:rPr>
              <w:t>nr-axSpA</w:t>
            </w:r>
            <w:r w:rsidR="00757C78" w:rsidRPr="005474B2">
              <w:rPr>
                <w:sz w:val="22"/>
                <w:szCs w:val="22"/>
                <w:lang w:val="sr-Latn-ME"/>
              </w:rPr>
              <w:t xml:space="preserve"> i HS</w:t>
            </w:r>
            <w:r w:rsidRPr="005474B2">
              <w:rPr>
                <w:sz w:val="22"/>
                <w:szCs w:val="22"/>
                <w:lang w:val="sr-Latn-ME"/>
              </w:rPr>
              <w:t xml:space="preserve">) </w:t>
            </w:r>
            <w:r w:rsidR="009A4880" w:rsidRPr="005474B2">
              <w:rPr>
                <w:sz w:val="22"/>
                <w:szCs w:val="22"/>
                <w:lang w:val="sr-Latn-ME"/>
              </w:rPr>
              <w:t>liječ</w:t>
            </w:r>
            <w:r w:rsidRPr="005474B2">
              <w:rPr>
                <w:sz w:val="22"/>
                <w:szCs w:val="22"/>
                <w:lang w:val="sr-Latn-ME"/>
              </w:rPr>
              <w:t>enja</w:t>
            </w:r>
          </w:p>
          <w:p w14:paraId="4D1CDFB4" w14:textId="77777777" w:rsidR="007D7CE1" w:rsidRPr="005474B2" w:rsidRDefault="007D7CE1" w:rsidP="0009637B">
            <w:pPr>
              <w:widowControl w:val="0"/>
              <w:autoSpaceDE w:val="0"/>
              <w:autoSpaceDN w:val="0"/>
              <w:adjustRightInd w:val="0"/>
              <w:jc w:val="both"/>
              <w:rPr>
                <w:sz w:val="22"/>
                <w:szCs w:val="22"/>
                <w:lang w:val="sr-Latn-ME"/>
              </w:rPr>
            </w:pPr>
            <w:r w:rsidRPr="005474B2">
              <w:rPr>
                <w:sz w:val="22"/>
                <w:szCs w:val="22"/>
                <w:vertAlign w:val="superscript"/>
                <w:lang w:val="sr-Latn-ME"/>
              </w:rPr>
              <w:t>2)</w:t>
            </w:r>
            <w:r w:rsidR="00A23A61" w:rsidRPr="005474B2">
              <w:rPr>
                <w:sz w:val="22"/>
                <w:szCs w:val="22"/>
                <w:lang w:val="sr-Latn-ME"/>
              </w:rPr>
              <w:t xml:space="preserve"> Zabi</w:t>
            </w:r>
            <w:r w:rsidRPr="005474B2">
              <w:rPr>
                <w:sz w:val="22"/>
                <w:szCs w:val="22"/>
                <w:lang w:val="sr-Latn-ME"/>
              </w:rPr>
              <w:t>l</w:t>
            </w:r>
            <w:r w:rsidR="00A23A61" w:rsidRPr="005474B2">
              <w:rPr>
                <w:sz w:val="22"/>
                <w:szCs w:val="22"/>
                <w:lang w:val="sr-Latn-ME"/>
              </w:rPr>
              <w:t>j</w:t>
            </w:r>
            <w:r w:rsidRPr="005474B2">
              <w:rPr>
                <w:sz w:val="22"/>
                <w:szCs w:val="22"/>
                <w:lang w:val="sr-Latn-ME"/>
              </w:rPr>
              <w:t>eženi su slučajevi kod pacijenata sa dijagnozom psorijaze</w:t>
            </w:r>
          </w:p>
        </w:tc>
      </w:tr>
    </w:tbl>
    <w:p w14:paraId="58CBF7FE" w14:textId="77777777" w:rsidR="00E1152F" w:rsidRDefault="00E1152F" w:rsidP="0009637B">
      <w:pPr>
        <w:jc w:val="both"/>
        <w:rPr>
          <w:sz w:val="22"/>
          <w:szCs w:val="22"/>
          <w:u w:val="single"/>
          <w:lang w:val="sr-Latn-ME"/>
        </w:rPr>
      </w:pPr>
    </w:p>
    <w:p w14:paraId="20EE0CD3" w14:textId="77DC483B" w:rsidR="007D7CE1" w:rsidRPr="005474B2" w:rsidRDefault="007D7CE1" w:rsidP="0009637B">
      <w:pPr>
        <w:jc w:val="both"/>
        <w:rPr>
          <w:sz w:val="22"/>
          <w:szCs w:val="22"/>
          <w:u w:val="single"/>
          <w:lang w:val="sr-Latn-ME"/>
        </w:rPr>
      </w:pPr>
      <w:r w:rsidRPr="005474B2">
        <w:rPr>
          <w:sz w:val="22"/>
          <w:szCs w:val="22"/>
          <w:u w:val="single"/>
          <w:lang w:val="sr-Latn-ME"/>
        </w:rPr>
        <w:t>Opis izabranih neželjenih dejstava</w:t>
      </w:r>
    </w:p>
    <w:p w14:paraId="676EAC2E" w14:textId="77777777" w:rsidR="007D7CE1" w:rsidRPr="005474B2" w:rsidRDefault="007D7CE1" w:rsidP="0009637B">
      <w:pPr>
        <w:jc w:val="both"/>
        <w:rPr>
          <w:sz w:val="22"/>
          <w:szCs w:val="22"/>
          <w:u w:val="single"/>
          <w:lang w:val="sr-Latn-ME"/>
        </w:rPr>
      </w:pPr>
    </w:p>
    <w:p w14:paraId="1BD03D06" w14:textId="77777777" w:rsidR="007D7CE1" w:rsidRPr="005474B2" w:rsidRDefault="007D7CE1">
      <w:pPr>
        <w:autoSpaceDE w:val="0"/>
        <w:autoSpaceDN w:val="0"/>
        <w:adjustRightInd w:val="0"/>
        <w:jc w:val="both"/>
        <w:rPr>
          <w:iCs/>
          <w:sz w:val="22"/>
          <w:szCs w:val="22"/>
          <w:u w:val="single"/>
          <w:lang w:val="sr-Latn-ME"/>
        </w:rPr>
      </w:pPr>
      <w:r w:rsidRPr="005474B2">
        <w:rPr>
          <w:i/>
          <w:iCs/>
          <w:sz w:val="22"/>
          <w:szCs w:val="22"/>
          <w:u w:val="single"/>
          <w:lang w:val="sr-Latn-ME"/>
        </w:rPr>
        <w:t>Infekcije</w:t>
      </w:r>
    </w:p>
    <w:p w14:paraId="1EC1E0A1" w14:textId="6407F606" w:rsidR="007D7CE1" w:rsidRPr="005474B2" w:rsidRDefault="007D7CE1">
      <w:pPr>
        <w:autoSpaceDE w:val="0"/>
        <w:autoSpaceDN w:val="0"/>
        <w:adjustRightInd w:val="0"/>
        <w:jc w:val="both"/>
        <w:rPr>
          <w:iCs/>
          <w:sz w:val="22"/>
          <w:szCs w:val="22"/>
          <w:lang w:val="sr-Latn-ME"/>
        </w:rPr>
      </w:pPr>
      <w:r w:rsidRPr="005474B2">
        <w:rPr>
          <w:iCs/>
          <w:sz w:val="22"/>
          <w:szCs w:val="22"/>
          <w:lang w:val="sr-Latn-ME"/>
        </w:rPr>
        <w:t>U placebo kontrolisanom periodu kliničkih studija sa plak psorijazom  (ukupno 1382 pacijen</w:t>
      </w:r>
      <w:r w:rsidR="00AE4815" w:rsidRPr="005474B2">
        <w:rPr>
          <w:iCs/>
          <w:sz w:val="22"/>
          <w:szCs w:val="22"/>
          <w:lang w:val="sr-Latn-ME"/>
        </w:rPr>
        <w:t>a</w:t>
      </w:r>
      <w:r w:rsidRPr="005474B2">
        <w:rPr>
          <w:iCs/>
          <w:sz w:val="22"/>
          <w:szCs w:val="22"/>
          <w:lang w:val="sr-Latn-ME"/>
        </w:rPr>
        <w:t xml:space="preserve">ta na terapiji sekukinumabom i 694 pacijenta na placebu do 12 </w:t>
      </w:r>
      <w:r w:rsidR="009A4880" w:rsidRPr="005474B2">
        <w:rPr>
          <w:iCs/>
          <w:sz w:val="22"/>
          <w:szCs w:val="22"/>
          <w:lang w:val="sr-Latn-ME"/>
        </w:rPr>
        <w:t>nedjelj</w:t>
      </w:r>
      <w:r w:rsidRPr="005474B2">
        <w:rPr>
          <w:iCs/>
          <w:sz w:val="22"/>
          <w:szCs w:val="22"/>
          <w:lang w:val="sr-Latn-ME"/>
        </w:rPr>
        <w:t xml:space="preserve">a), infekcije su prijavljene kod 28,7% pacijenata na terapiji sekukinumabom u poređenju sa 18,9% pacijenata koji su primali placebo. Većina infekcija su bile blage do </w:t>
      </w:r>
      <w:r w:rsidR="009A4880" w:rsidRPr="005474B2">
        <w:rPr>
          <w:iCs/>
          <w:sz w:val="22"/>
          <w:szCs w:val="22"/>
          <w:lang w:val="sr-Latn-ME"/>
        </w:rPr>
        <w:t>umjeren</w:t>
      </w:r>
      <w:r w:rsidRPr="005474B2">
        <w:rPr>
          <w:iCs/>
          <w:sz w:val="22"/>
          <w:szCs w:val="22"/>
          <w:lang w:val="sr-Latn-ME"/>
        </w:rPr>
        <w:t>e infekcije gornjih d</w:t>
      </w:r>
      <w:r w:rsidR="00A23A61" w:rsidRPr="005474B2">
        <w:rPr>
          <w:iCs/>
          <w:sz w:val="22"/>
          <w:szCs w:val="22"/>
          <w:lang w:val="sr-Latn-ME"/>
        </w:rPr>
        <w:t>j</w:t>
      </w:r>
      <w:r w:rsidRPr="005474B2">
        <w:rPr>
          <w:iCs/>
          <w:sz w:val="22"/>
          <w:szCs w:val="22"/>
          <w:lang w:val="sr-Latn-ME"/>
        </w:rPr>
        <w:t>elova respiratornog trakta koje ni</w:t>
      </w:r>
      <w:r w:rsidR="00746619" w:rsidRPr="005474B2">
        <w:rPr>
          <w:iCs/>
          <w:sz w:val="22"/>
          <w:szCs w:val="22"/>
          <w:lang w:val="sr-Latn-ME"/>
        </w:rPr>
        <w:t>je</w:t>
      </w:r>
      <w:r w:rsidRPr="005474B2">
        <w:rPr>
          <w:iCs/>
          <w:sz w:val="22"/>
          <w:szCs w:val="22"/>
          <w:lang w:val="sr-Latn-ME"/>
        </w:rPr>
        <w:t xml:space="preserve">su bile ozbiljne, kao što je nazofaringitis, zbog kojih nije bilo neophodno prekinuti </w:t>
      </w:r>
      <w:r w:rsidR="009A4880" w:rsidRPr="005474B2">
        <w:rPr>
          <w:iCs/>
          <w:sz w:val="22"/>
          <w:szCs w:val="22"/>
          <w:lang w:val="sr-Latn-ME"/>
        </w:rPr>
        <w:t>liječ</w:t>
      </w:r>
      <w:r w:rsidRPr="005474B2">
        <w:rPr>
          <w:iCs/>
          <w:sz w:val="22"/>
          <w:szCs w:val="22"/>
          <w:lang w:val="sr-Latn-ME"/>
        </w:rPr>
        <w:t>enje. Zab</w:t>
      </w:r>
      <w:r w:rsidR="00A23A61" w:rsidRPr="005474B2">
        <w:rPr>
          <w:iCs/>
          <w:sz w:val="22"/>
          <w:szCs w:val="22"/>
          <w:lang w:val="sr-Latn-ME"/>
        </w:rPr>
        <w:t>i</w:t>
      </w:r>
      <w:r w:rsidRPr="005474B2">
        <w:rPr>
          <w:iCs/>
          <w:sz w:val="22"/>
          <w:szCs w:val="22"/>
          <w:lang w:val="sr-Latn-ME"/>
        </w:rPr>
        <w:t>l</w:t>
      </w:r>
      <w:r w:rsidR="00A23A61" w:rsidRPr="005474B2">
        <w:rPr>
          <w:iCs/>
          <w:sz w:val="22"/>
          <w:szCs w:val="22"/>
          <w:lang w:val="sr-Latn-ME"/>
        </w:rPr>
        <w:t>j</w:t>
      </w:r>
      <w:r w:rsidRPr="005474B2">
        <w:rPr>
          <w:iCs/>
          <w:sz w:val="22"/>
          <w:szCs w:val="22"/>
          <w:lang w:val="sr-Latn-ME"/>
        </w:rPr>
        <w:t xml:space="preserve">ežen je povećan broj slučajeva mukozne ili kutane kandidijaze, u skladu sa mehanizmom dejstva, ali su ovi slučajevi bili blage ili </w:t>
      </w:r>
      <w:r w:rsidR="009A4880" w:rsidRPr="005474B2">
        <w:rPr>
          <w:iCs/>
          <w:sz w:val="22"/>
          <w:szCs w:val="22"/>
          <w:lang w:val="sr-Latn-ME"/>
        </w:rPr>
        <w:t>umjeren</w:t>
      </w:r>
      <w:r w:rsidRPr="005474B2">
        <w:rPr>
          <w:iCs/>
          <w:sz w:val="22"/>
          <w:szCs w:val="22"/>
          <w:lang w:val="sr-Latn-ME"/>
        </w:rPr>
        <w:t>e težine, ni</w:t>
      </w:r>
      <w:r w:rsidR="00746619" w:rsidRPr="005474B2">
        <w:rPr>
          <w:iCs/>
          <w:sz w:val="22"/>
          <w:szCs w:val="22"/>
          <w:lang w:val="sr-Latn-ME"/>
        </w:rPr>
        <w:t>je</w:t>
      </w:r>
      <w:r w:rsidRPr="005474B2">
        <w:rPr>
          <w:iCs/>
          <w:sz w:val="22"/>
          <w:szCs w:val="22"/>
          <w:lang w:val="sr-Latn-ME"/>
        </w:rPr>
        <w:t xml:space="preserve">su bili ozbiljni, odgovarali su na standardno </w:t>
      </w:r>
      <w:r w:rsidR="009A4880" w:rsidRPr="005474B2">
        <w:rPr>
          <w:iCs/>
          <w:sz w:val="22"/>
          <w:szCs w:val="22"/>
          <w:lang w:val="sr-Latn-ME"/>
        </w:rPr>
        <w:t>liječ</w:t>
      </w:r>
      <w:r w:rsidRPr="005474B2">
        <w:rPr>
          <w:iCs/>
          <w:sz w:val="22"/>
          <w:szCs w:val="22"/>
          <w:lang w:val="sr-Latn-ME"/>
        </w:rPr>
        <w:t xml:space="preserve">enje i nije bilo potrebno prekidati </w:t>
      </w:r>
      <w:r w:rsidR="009A4880" w:rsidRPr="005474B2">
        <w:rPr>
          <w:iCs/>
          <w:sz w:val="22"/>
          <w:szCs w:val="22"/>
          <w:lang w:val="sr-Latn-ME"/>
        </w:rPr>
        <w:t>liječ</w:t>
      </w:r>
      <w:r w:rsidRPr="005474B2">
        <w:rPr>
          <w:iCs/>
          <w:sz w:val="22"/>
          <w:szCs w:val="22"/>
          <w:lang w:val="sr-Latn-ME"/>
        </w:rPr>
        <w:t>enje. Ozbiljne infekcije su se pojavile kod 0,14% pacijenata na terapiji sekukinumabom i kod 0,3% pacijenata na placebu (</w:t>
      </w:r>
      <w:r w:rsidR="009A4880" w:rsidRPr="005474B2">
        <w:rPr>
          <w:iCs/>
          <w:sz w:val="22"/>
          <w:szCs w:val="22"/>
          <w:lang w:val="sr-Latn-ME"/>
        </w:rPr>
        <w:t>vidjet</w:t>
      </w:r>
      <w:r w:rsidRPr="005474B2">
        <w:rPr>
          <w:iCs/>
          <w:sz w:val="22"/>
          <w:szCs w:val="22"/>
          <w:lang w:val="sr-Latn-ME"/>
        </w:rPr>
        <w:t xml:space="preserve">i </w:t>
      </w:r>
      <w:r w:rsidR="00A742B5" w:rsidRPr="005474B2">
        <w:rPr>
          <w:iCs/>
          <w:sz w:val="22"/>
          <w:szCs w:val="22"/>
          <w:lang w:val="sr-Latn-ME"/>
        </w:rPr>
        <w:t xml:space="preserve">dio </w:t>
      </w:r>
      <w:r w:rsidRPr="005474B2">
        <w:rPr>
          <w:iCs/>
          <w:sz w:val="22"/>
          <w:szCs w:val="22"/>
          <w:lang w:val="sr-Latn-ME"/>
        </w:rPr>
        <w:t>4.4)</w:t>
      </w:r>
    </w:p>
    <w:p w14:paraId="0ED344FA" w14:textId="77777777" w:rsidR="007D7CE1" w:rsidRPr="005474B2" w:rsidRDefault="007D7CE1">
      <w:pPr>
        <w:autoSpaceDE w:val="0"/>
        <w:autoSpaceDN w:val="0"/>
        <w:adjustRightInd w:val="0"/>
        <w:jc w:val="both"/>
        <w:rPr>
          <w:iCs/>
          <w:sz w:val="22"/>
          <w:szCs w:val="22"/>
          <w:lang w:val="sr-Latn-ME"/>
        </w:rPr>
      </w:pPr>
    </w:p>
    <w:p w14:paraId="5A09DF0B" w14:textId="77777777" w:rsidR="007D7CE1" w:rsidRPr="005474B2" w:rsidRDefault="007D7CE1">
      <w:pPr>
        <w:autoSpaceDE w:val="0"/>
        <w:autoSpaceDN w:val="0"/>
        <w:adjustRightInd w:val="0"/>
        <w:jc w:val="both"/>
        <w:rPr>
          <w:iCs/>
          <w:sz w:val="22"/>
          <w:szCs w:val="22"/>
          <w:lang w:val="sr-Latn-ME"/>
        </w:rPr>
      </w:pPr>
      <w:r w:rsidRPr="005474B2">
        <w:rPr>
          <w:iCs/>
          <w:sz w:val="22"/>
          <w:szCs w:val="22"/>
          <w:lang w:val="sr-Latn-ME"/>
        </w:rPr>
        <w:t>Tokom c</w:t>
      </w:r>
      <w:r w:rsidR="00A23A61" w:rsidRPr="005474B2">
        <w:rPr>
          <w:iCs/>
          <w:sz w:val="22"/>
          <w:szCs w:val="22"/>
          <w:lang w:val="sr-Latn-ME"/>
        </w:rPr>
        <w:t>ij</w:t>
      </w:r>
      <w:r w:rsidRPr="005474B2">
        <w:rPr>
          <w:iCs/>
          <w:sz w:val="22"/>
          <w:szCs w:val="22"/>
          <w:lang w:val="sr-Latn-ME"/>
        </w:rPr>
        <w:t xml:space="preserve">elog perioda </w:t>
      </w:r>
      <w:r w:rsidR="009A4880" w:rsidRPr="005474B2">
        <w:rPr>
          <w:iCs/>
          <w:sz w:val="22"/>
          <w:szCs w:val="22"/>
          <w:lang w:val="sr-Latn-ME"/>
        </w:rPr>
        <w:t>liječ</w:t>
      </w:r>
      <w:r w:rsidRPr="005474B2">
        <w:rPr>
          <w:iCs/>
          <w:sz w:val="22"/>
          <w:szCs w:val="22"/>
          <w:lang w:val="sr-Latn-ME"/>
        </w:rPr>
        <w:t xml:space="preserve">enja (ukupno 3430 pacijenata na terapiji sekukinumabom do 52 </w:t>
      </w:r>
      <w:r w:rsidR="009A4880" w:rsidRPr="005474B2">
        <w:rPr>
          <w:iCs/>
          <w:sz w:val="22"/>
          <w:szCs w:val="22"/>
          <w:lang w:val="sr-Latn-ME"/>
        </w:rPr>
        <w:t>nedjelj</w:t>
      </w:r>
      <w:r w:rsidRPr="005474B2">
        <w:rPr>
          <w:iCs/>
          <w:sz w:val="22"/>
          <w:szCs w:val="22"/>
          <w:lang w:val="sr-Latn-ME"/>
        </w:rPr>
        <w:t xml:space="preserve">e za većinu pacijenata), infekcije su prijavljene kod 47,5% pacijenata na terapiji sekukinumabom (0,9 po pacijent-godini praćenja). Ozbiljne infekcije su prijavljene kod 1,2% pacijenata na terapiji sekukinumabom (0,015 po  pacijent-godini praćenja). </w:t>
      </w:r>
    </w:p>
    <w:p w14:paraId="47BE99FD" w14:textId="77777777" w:rsidR="007D7CE1" w:rsidRPr="005474B2" w:rsidRDefault="007D7CE1">
      <w:pPr>
        <w:autoSpaceDE w:val="0"/>
        <w:autoSpaceDN w:val="0"/>
        <w:adjustRightInd w:val="0"/>
        <w:jc w:val="both"/>
        <w:rPr>
          <w:iCs/>
          <w:sz w:val="22"/>
          <w:szCs w:val="22"/>
          <w:lang w:val="sr-Latn-ME"/>
        </w:rPr>
      </w:pPr>
    </w:p>
    <w:p w14:paraId="76265573" w14:textId="15C86F53" w:rsidR="007D7CE1" w:rsidRPr="005474B2" w:rsidRDefault="007D7CE1">
      <w:pPr>
        <w:autoSpaceDE w:val="0"/>
        <w:autoSpaceDN w:val="0"/>
        <w:adjustRightInd w:val="0"/>
        <w:jc w:val="both"/>
        <w:rPr>
          <w:iCs/>
          <w:sz w:val="22"/>
          <w:szCs w:val="22"/>
          <w:lang w:val="sr-Latn-ME"/>
        </w:rPr>
      </w:pPr>
      <w:r w:rsidRPr="005474B2">
        <w:rPr>
          <w:iCs/>
          <w:sz w:val="22"/>
          <w:szCs w:val="22"/>
          <w:lang w:val="sr-Latn-ME"/>
        </w:rPr>
        <w:t xml:space="preserve">Stopa infekcija uočenih u kliničkim studijama sa psorijaznim artritisom i aksijalnim spondiloartritisom (ankilozirajući spondilitis i neradiografski aksijalni spondiloartritis) je bila slična onoj koja je uočena u studijama sa psorijazom. </w:t>
      </w:r>
    </w:p>
    <w:p w14:paraId="37A9151D" w14:textId="2A37872B" w:rsidR="007D7CE1" w:rsidRPr="005474B2" w:rsidRDefault="007D7CE1">
      <w:pPr>
        <w:autoSpaceDE w:val="0"/>
        <w:autoSpaceDN w:val="0"/>
        <w:adjustRightInd w:val="0"/>
        <w:jc w:val="both"/>
        <w:rPr>
          <w:i/>
          <w:iCs/>
          <w:sz w:val="22"/>
          <w:szCs w:val="22"/>
          <w:lang w:val="sr-Latn-ME"/>
        </w:rPr>
      </w:pPr>
    </w:p>
    <w:p w14:paraId="4A6B7EB1" w14:textId="2295E22A" w:rsidR="00757C78" w:rsidRPr="005474B2" w:rsidRDefault="00757C78" w:rsidP="005474B2">
      <w:pPr>
        <w:autoSpaceDE w:val="0"/>
        <w:autoSpaceDN w:val="0"/>
        <w:adjustRightInd w:val="0"/>
        <w:jc w:val="both"/>
        <w:rPr>
          <w:sz w:val="22"/>
          <w:szCs w:val="22"/>
          <w:lang w:val="hr-HR"/>
        </w:rPr>
      </w:pPr>
      <w:r w:rsidRPr="005474B2">
        <w:rPr>
          <w:sz w:val="22"/>
          <w:szCs w:val="22"/>
          <w:lang w:val="hr-HR"/>
        </w:rPr>
        <w:t>Pacijenti sa gnojnim zapaljenjem znojnih žl</w:t>
      </w:r>
      <w:r w:rsidR="0060463D" w:rsidRPr="005474B2">
        <w:rPr>
          <w:sz w:val="22"/>
          <w:szCs w:val="22"/>
          <w:lang w:val="hr-HR"/>
        </w:rPr>
        <w:t>ij</w:t>
      </w:r>
      <w:r w:rsidRPr="005474B2">
        <w:rPr>
          <w:sz w:val="22"/>
          <w:szCs w:val="22"/>
          <w:lang w:val="hr-HR"/>
        </w:rPr>
        <w:t>ezda (</w:t>
      </w:r>
      <w:r w:rsidRPr="005474B2">
        <w:rPr>
          <w:i/>
          <w:iCs/>
          <w:sz w:val="22"/>
          <w:szCs w:val="22"/>
          <w:lang w:val="hr-HR"/>
        </w:rPr>
        <w:t>Hidradenitis suppurativa</w:t>
      </w:r>
      <w:r w:rsidRPr="005474B2">
        <w:rPr>
          <w:sz w:val="22"/>
          <w:szCs w:val="22"/>
          <w:lang w:val="hr-HR"/>
        </w:rPr>
        <w:t>) su podložniji infekcijama. U placebom kontrolisanom periodu kliničkih ispitivanja gnojnog zapaljenja znojnih žl</w:t>
      </w:r>
      <w:r w:rsidR="0060463D" w:rsidRPr="005474B2">
        <w:rPr>
          <w:sz w:val="22"/>
          <w:szCs w:val="22"/>
          <w:lang w:val="hr-HR"/>
        </w:rPr>
        <w:t>ij</w:t>
      </w:r>
      <w:r w:rsidRPr="005474B2">
        <w:rPr>
          <w:sz w:val="22"/>
          <w:szCs w:val="22"/>
          <w:lang w:val="hr-HR"/>
        </w:rPr>
        <w:t>ezda (</w:t>
      </w:r>
      <w:r w:rsidRPr="005474B2">
        <w:rPr>
          <w:i/>
          <w:iCs/>
          <w:sz w:val="22"/>
          <w:szCs w:val="22"/>
          <w:lang w:val="hr-HR"/>
        </w:rPr>
        <w:t>Hidradenitis suppurativa</w:t>
      </w:r>
      <w:r w:rsidRPr="005474B2">
        <w:rPr>
          <w:sz w:val="22"/>
          <w:szCs w:val="22"/>
          <w:lang w:val="hr-HR"/>
        </w:rPr>
        <w:t>) (ukupno 721 pacijent l</w:t>
      </w:r>
      <w:r w:rsidR="0060463D" w:rsidRPr="005474B2">
        <w:rPr>
          <w:sz w:val="22"/>
          <w:szCs w:val="22"/>
          <w:lang w:val="hr-HR"/>
        </w:rPr>
        <w:t>ij</w:t>
      </w:r>
      <w:r w:rsidRPr="005474B2">
        <w:rPr>
          <w:sz w:val="22"/>
          <w:szCs w:val="22"/>
          <w:lang w:val="hr-HR"/>
        </w:rPr>
        <w:t>ečen sekukinumabom i 363 pacijenta koji su primali placebo do 16 ned</w:t>
      </w:r>
      <w:r w:rsidR="0060463D" w:rsidRPr="005474B2">
        <w:rPr>
          <w:sz w:val="22"/>
          <w:szCs w:val="22"/>
          <w:lang w:val="hr-HR"/>
        </w:rPr>
        <w:t>j</w:t>
      </w:r>
      <w:r w:rsidRPr="005474B2">
        <w:rPr>
          <w:sz w:val="22"/>
          <w:szCs w:val="22"/>
          <w:lang w:val="hr-HR"/>
        </w:rPr>
        <w:t>elje), infekcije su bile brojnije u odnosu na one prim</w:t>
      </w:r>
      <w:r w:rsidR="0060463D" w:rsidRPr="005474B2">
        <w:rPr>
          <w:sz w:val="22"/>
          <w:szCs w:val="22"/>
          <w:lang w:val="hr-HR"/>
        </w:rPr>
        <w:t>ij</w:t>
      </w:r>
      <w:r w:rsidRPr="005474B2">
        <w:rPr>
          <w:sz w:val="22"/>
          <w:szCs w:val="22"/>
          <w:lang w:val="hr-HR"/>
        </w:rPr>
        <w:t>ećene u ispitivanjima psorijaze (30,7% pacijenata l</w:t>
      </w:r>
      <w:r w:rsidR="0060463D" w:rsidRPr="005474B2">
        <w:rPr>
          <w:sz w:val="22"/>
          <w:szCs w:val="22"/>
          <w:lang w:val="hr-HR"/>
        </w:rPr>
        <w:t>ij</w:t>
      </w:r>
      <w:r w:rsidRPr="005474B2">
        <w:rPr>
          <w:sz w:val="22"/>
          <w:szCs w:val="22"/>
          <w:lang w:val="hr-HR"/>
        </w:rPr>
        <w:t>ečenih sekukinumabom u poređenju sa 31,7% pacijenta koji su primali placebo). Većina njih nije bila ozbiljna, bila je blage ili um</w:t>
      </w:r>
      <w:r w:rsidR="0060463D" w:rsidRPr="005474B2">
        <w:rPr>
          <w:sz w:val="22"/>
          <w:szCs w:val="22"/>
          <w:lang w:val="hr-HR"/>
        </w:rPr>
        <w:t>j</w:t>
      </w:r>
      <w:r w:rsidRPr="005474B2">
        <w:rPr>
          <w:sz w:val="22"/>
          <w:szCs w:val="22"/>
          <w:lang w:val="hr-HR"/>
        </w:rPr>
        <w:t>erene težine i nije zaht</w:t>
      </w:r>
      <w:r w:rsidR="0060463D" w:rsidRPr="005474B2">
        <w:rPr>
          <w:sz w:val="22"/>
          <w:szCs w:val="22"/>
          <w:lang w:val="hr-HR"/>
        </w:rPr>
        <w:t>ij</w:t>
      </w:r>
      <w:r w:rsidRPr="005474B2">
        <w:rPr>
          <w:sz w:val="22"/>
          <w:szCs w:val="22"/>
          <w:lang w:val="hr-HR"/>
        </w:rPr>
        <w:t>evala trajni ili privremeni prekid l</w:t>
      </w:r>
      <w:r w:rsidR="0060463D" w:rsidRPr="005474B2">
        <w:rPr>
          <w:sz w:val="22"/>
          <w:szCs w:val="22"/>
          <w:lang w:val="hr-HR"/>
        </w:rPr>
        <w:t>ij</w:t>
      </w:r>
      <w:r w:rsidRPr="005474B2">
        <w:rPr>
          <w:sz w:val="22"/>
          <w:szCs w:val="22"/>
          <w:lang w:val="hr-HR"/>
        </w:rPr>
        <w:t>ečenja.</w:t>
      </w:r>
    </w:p>
    <w:p w14:paraId="2F4956E9" w14:textId="77777777" w:rsidR="00757C78" w:rsidRPr="005474B2" w:rsidRDefault="00757C78" w:rsidP="0009637B">
      <w:pPr>
        <w:autoSpaceDE w:val="0"/>
        <w:autoSpaceDN w:val="0"/>
        <w:adjustRightInd w:val="0"/>
        <w:jc w:val="both"/>
        <w:rPr>
          <w:i/>
          <w:iCs/>
          <w:sz w:val="22"/>
          <w:szCs w:val="22"/>
          <w:lang w:val="sr-Latn-ME"/>
        </w:rPr>
      </w:pPr>
    </w:p>
    <w:p w14:paraId="6C9BC895" w14:textId="77777777" w:rsidR="007D7CE1" w:rsidRPr="005474B2" w:rsidRDefault="007D7CE1" w:rsidP="0009637B">
      <w:pPr>
        <w:autoSpaceDE w:val="0"/>
        <w:autoSpaceDN w:val="0"/>
        <w:adjustRightInd w:val="0"/>
        <w:jc w:val="both"/>
        <w:rPr>
          <w:i/>
          <w:iCs/>
          <w:sz w:val="22"/>
          <w:szCs w:val="22"/>
          <w:u w:val="single"/>
          <w:lang w:val="sr-Latn-ME"/>
        </w:rPr>
      </w:pPr>
      <w:r w:rsidRPr="005474B2">
        <w:rPr>
          <w:i/>
          <w:iCs/>
          <w:sz w:val="22"/>
          <w:szCs w:val="22"/>
          <w:u w:val="single"/>
          <w:lang w:val="sr-Latn-ME"/>
        </w:rPr>
        <w:t>Neutropenija</w:t>
      </w:r>
    </w:p>
    <w:p w14:paraId="2F6AEE2C" w14:textId="130FF892" w:rsidR="007D7CE1" w:rsidRPr="005474B2" w:rsidRDefault="007D7CE1">
      <w:pPr>
        <w:tabs>
          <w:tab w:val="left" w:pos="284"/>
        </w:tabs>
        <w:jc w:val="both"/>
        <w:rPr>
          <w:iCs/>
          <w:sz w:val="22"/>
          <w:szCs w:val="22"/>
          <w:lang w:val="sr-Latn-ME"/>
        </w:rPr>
      </w:pPr>
      <w:r w:rsidRPr="005474B2">
        <w:rPr>
          <w:iCs/>
          <w:sz w:val="22"/>
          <w:szCs w:val="22"/>
          <w:lang w:val="sr-Latn-ME"/>
        </w:rPr>
        <w:t>U kliničkim ispitivanjima faze III sa psorijazom, neutropenija je češće uočena uz sekukinumab nego uz placebo, ali je većina slučajeva bila blaga, prolazna i reverzibilna. Neutropenija &lt;1,0-0,5x10</w:t>
      </w:r>
      <w:r w:rsidRPr="005474B2">
        <w:rPr>
          <w:iCs/>
          <w:sz w:val="22"/>
          <w:szCs w:val="22"/>
          <w:vertAlign w:val="superscript"/>
          <w:lang w:val="sr-Latn-ME"/>
        </w:rPr>
        <w:t>9</w:t>
      </w:r>
      <w:r w:rsidRPr="005474B2">
        <w:rPr>
          <w:iCs/>
          <w:sz w:val="22"/>
          <w:szCs w:val="22"/>
          <w:lang w:val="sr-Latn-ME"/>
        </w:rPr>
        <w:t>/</w:t>
      </w:r>
      <w:r w:rsidR="00A742B5" w:rsidRPr="005474B2">
        <w:rPr>
          <w:iCs/>
          <w:sz w:val="22"/>
          <w:szCs w:val="22"/>
          <w:lang w:val="sr-Latn-ME"/>
        </w:rPr>
        <w:t>l</w:t>
      </w:r>
      <w:r w:rsidRPr="005474B2">
        <w:rPr>
          <w:iCs/>
          <w:sz w:val="22"/>
          <w:szCs w:val="22"/>
          <w:lang w:val="sr-Latn-ME"/>
        </w:rPr>
        <w:t xml:space="preserve"> (CTCAE stepena 3) prijavljena je kod 18 od 3430 (0,5%) pacijenata na sekukinumabu, nezavisno od doze i bez vremenske povezanosti sa infekcijama u 15 od 18 slučajeva. Nije bilo prijavljenih slučajeva ozbiljnije neutropenije. Infekcije koje ni</w:t>
      </w:r>
      <w:r w:rsidR="00746619" w:rsidRPr="005474B2">
        <w:rPr>
          <w:iCs/>
          <w:sz w:val="22"/>
          <w:szCs w:val="22"/>
          <w:lang w:val="sr-Latn-ME"/>
        </w:rPr>
        <w:t>je</w:t>
      </w:r>
      <w:r w:rsidRPr="005474B2">
        <w:rPr>
          <w:iCs/>
          <w:sz w:val="22"/>
          <w:szCs w:val="22"/>
          <w:lang w:val="sr-Latn-ME"/>
        </w:rPr>
        <w:t>su bile ozbiljne sa uobičajenim odgovorom na standardnu terapiju i koje ni</w:t>
      </w:r>
      <w:r w:rsidR="00746619" w:rsidRPr="005474B2">
        <w:rPr>
          <w:iCs/>
          <w:sz w:val="22"/>
          <w:szCs w:val="22"/>
          <w:lang w:val="sr-Latn-ME"/>
        </w:rPr>
        <w:t>je</w:t>
      </w:r>
      <w:r w:rsidRPr="005474B2">
        <w:rPr>
          <w:iCs/>
          <w:sz w:val="22"/>
          <w:szCs w:val="22"/>
          <w:lang w:val="sr-Latn-ME"/>
        </w:rPr>
        <w:t>su zaht</w:t>
      </w:r>
      <w:r w:rsidR="00A23A61" w:rsidRPr="005474B2">
        <w:rPr>
          <w:iCs/>
          <w:sz w:val="22"/>
          <w:szCs w:val="22"/>
          <w:lang w:val="sr-Latn-ME"/>
        </w:rPr>
        <w:t>ij</w:t>
      </w:r>
      <w:r w:rsidRPr="005474B2">
        <w:rPr>
          <w:iCs/>
          <w:sz w:val="22"/>
          <w:szCs w:val="22"/>
          <w:lang w:val="sr-Latn-ME"/>
        </w:rPr>
        <w:t>evale prekid terapije sekukinumabom su prijavljene u preostala 3 slučaja.</w:t>
      </w:r>
    </w:p>
    <w:p w14:paraId="343FD325" w14:textId="77777777" w:rsidR="007D7CE1" w:rsidRPr="005474B2" w:rsidRDefault="007D7CE1">
      <w:pPr>
        <w:tabs>
          <w:tab w:val="left" w:pos="284"/>
        </w:tabs>
        <w:jc w:val="both"/>
        <w:rPr>
          <w:iCs/>
          <w:sz w:val="22"/>
          <w:szCs w:val="22"/>
          <w:lang w:val="sr-Latn-ME"/>
        </w:rPr>
      </w:pPr>
    </w:p>
    <w:p w14:paraId="0F93FF05" w14:textId="4C581B58" w:rsidR="007D7CE1" w:rsidRPr="005474B2" w:rsidRDefault="007D7CE1">
      <w:pPr>
        <w:autoSpaceDE w:val="0"/>
        <w:autoSpaceDN w:val="0"/>
        <w:adjustRightInd w:val="0"/>
        <w:jc w:val="both"/>
        <w:rPr>
          <w:iCs/>
          <w:sz w:val="22"/>
          <w:szCs w:val="22"/>
          <w:lang w:val="sr-Latn-ME"/>
        </w:rPr>
      </w:pPr>
      <w:r w:rsidRPr="005474B2">
        <w:rPr>
          <w:iCs/>
          <w:sz w:val="22"/>
          <w:szCs w:val="22"/>
          <w:lang w:val="sr-Latn-ME"/>
        </w:rPr>
        <w:t xml:space="preserve">Učestalost neutropenije kod </w:t>
      </w:r>
      <w:r w:rsidR="00D77CBC">
        <w:rPr>
          <w:iCs/>
          <w:sz w:val="22"/>
          <w:szCs w:val="22"/>
          <w:lang w:val="sr-Latn-ME"/>
        </w:rPr>
        <w:t xml:space="preserve">pacijenata sa </w:t>
      </w:r>
      <w:r w:rsidRPr="005474B2">
        <w:rPr>
          <w:iCs/>
          <w:sz w:val="22"/>
          <w:szCs w:val="22"/>
          <w:lang w:val="sr-Latn-ME"/>
        </w:rPr>
        <w:t>psorijazn</w:t>
      </w:r>
      <w:r w:rsidR="00D77CBC">
        <w:rPr>
          <w:iCs/>
          <w:sz w:val="22"/>
          <w:szCs w:val="22"/>
          <w:lang w:val="sr-Latn-ME"/>
        </w:rPr>
        <w:t>im</w:t>
      </w:r>
      <w:r w:rsidRPr="005474B2">
        <w:rPr>
          <w:iCs/>
          <w:sz w:val="22"/>
          <w:szCs w:val="22"/>
          <w:lang w:val="sr-Latn-ME"/>
        </w:rPr>
        <w:t xml:space="preserve"> artritis</w:t>
      </w:r>
      <w:r w:rsidR="00D77CBC">
        <w:rPr>
          <w:iCs/>
          <w:sz w:val="22"/>
          <w:szCs w:val="22"/>
          <w:lang w:val="sr-Latn-ME"/>
        </w:rPr>
        <w:t>om</w:t>
      </w:r>
      <w:r w:rsidRPr="005474B2">
        <w:rPr>
          <w:iCs/>
          <w:sz w:val="22"/>
          <w:szCs w:val="22"/>
          <w:lang w:val="sr-Latn-ME"/>
        </w:rPr>
        <w:t xml:space="preserve"> i aksijaln</w:t>
      </w:r>
      <w:r w:rsidR="00D77CBC">
        <w:rPr>
          <w:iCs/>
          <w:sz w:val="22"/>
          <w:szCs w:val="22"/>
          <w:lang w:val="sr-Latn-ME"/>
        </w:rPr>
        <w:t>im</w:t>
      </w:r>
      <w:r w:rsidRPr="005474B2">
        <w:rPr>
          <w:iCs/>
          <w:sz w:val="22"/>
          <w:szCs w:val="22"/>
          <w:lang w:val="sr-Latn-ME"/>
        </w:rPr>
        <w:t xml:space="preserve"> spondiloartritis</w:t>
      </w:r>
      <w:r w:rsidR="00D77CBC">
        <w:rPr>
          <w:iCs/>
          <w:sz w:val="22"/>
          <w:szCs w:val="22"/>
          <w:lang w:val="sr-Latn-ME"/>
        </w:rPr>
        <w:t>om</w:t>
      </w:r>
      <w:r w:rsidRPr="005474B2">
        <w:rPr>
          <w:iCs/>
          <w:sz w:val="22"/>
          <w:szCs w:val="22"/>
          <w:lang w:val="sr-Latn-ME"/>
        </w:rPr>
        <w:t xml:space="preserve"> (ankilozirajući spondilitis i neradiografski aksijalni spondiloartritis) </w:t>
      </w:r>
      <w:proofErr w:type="spellStart"/>
      <w:r w:rsidR="00E1152F" w:rsidRPr="0094361C">
        <w:rPr>
          <w:rFonts w:ascii="TimesNewRomanPS-ItalicMT CE;Tim" w:hAnsi="TimesNewRomanPS-ItalicMT CE;Tim" w:cs="TimesNewRomanPS-ItalicMT CE;Tim"/>
          <w:iCs/>
          <w:szCs w:val="22"/>
        </w:rPr>
        <w:t>i</w:t>
      </w:r>
      <w:proofErr w:type="spellEnd"/>
      <w:r w:rsidR="00E1152F" w:rsidRPr="0094361C">
        <w:rPr>
          <w:rFonts w:ascii="TimesNewRomanPS-ItalicMT CE;Tim" w:hAnsi="TimesNewRomanPS-ItalicMT CE;Tim" w:cs="TimesNewRomanPS-ItalicMT CE;Tim"/>
          <w:iCs/>
          <w:szCs w:val="22"/>
        </w:rPr>
        <w:t xml:space="preserve"> </w:t>
      </w:r>
      <w:proofErr w:type="spellStart"/>
      <w:r w:rsidR="00E1152F" w:rsidRPr="0094361C">
        <w:rPr>
          <w:rFonts w:ascii="TimesNewRomanPS-ItalicMT CE;Tim" w:hAnsi="TimesNewRomanPS-ItalicMT CE;Tim" w:cs="TimesNewRomanPS-ItalicMT CE;Tim"/>
          <w:iCs/>
          <w:szCs w:val="22"/>
        </w:rPr>
        <w:t>gnojnim</w:t>
      </w:r>
      <w:proofErr w:type="spellEnd"/>
      <w:r w:rsidR="00E1152F" w:rsidRPr="0094361C">
        <w:rPr>
          <w:rFonts w:ascii="TimesNewRomanPS-ItalicMT CE;Tim" w:hAnsi="TimesNewRomanPS-ItalicMT CE;Tim" w:cs="TimesNewRomanPS-ItalicMT CE;Tim"/>
          <w:iCs/>
          <w:szCs w:val="22"/>
        </w:rPr>
        <w:t xml:space="preserve"> </w:t>
      </w:r>
      <w:proofErr w:type="spellStart"/>
      <w:r w:rsidR="00E1152F" w:rsidRPr="0094361C">
        <w:rPr>
          <w:rFonts w:ascii="TimesNewRomanPS-ItalicMT CE;Tim" w:hAnsi="TimesNewRomanPS-ItalicMT CE;Tim" w:cs="TimesNewRomanPS-ItalicMT CE;Tim"/>
          <w:iCs/>
          <w:szCs w:val="22"/>
        </w:rPr>
        <w:t>zapaljenjem</w:t>
      </w:r>
      <w:proofErr w:type="spellEnd"/>
      <w:r w:rsidR="00E1152F" w:rsidRPr="0094361C">
        <w:rPr>
          <w:rFonts w:ascii="TimesNewRomanPS-ItalicMT CE;Tim" w:hAnsi="TimesNewRomanPS-ItalicMT CE;Tim" w:cs="TimesNewRomanPS-ItalicMT CE;Tim"/>
          <w:iCs/>
          <w:szCs w:val="22"/>
        </w:rPr>
        <w:t xml:space="preserve"> </w:t>
      </w:r>
      <w:proofErr w:type="spellStart"/>
      <w:r w:rsidR="00E1152F" w:rsidRPr="0094361C">
        <w:rPr>
          <w:rFonts w:ascii="TimesNewRomanPS-ItalicMT CE;Tim" w:hAnsi="TimesNewRomanPS-ItalicMT CE;Tim" w:cs="TimesNewRomanPS-ItalicMT CE;Tim"/>
          <w:iCs/>
          <w:szCs w:val="22"/>
        </w:rPr>
        <w:t>znojnih</w:t>
      </w:r>
      <w:proofErr w:type="spellEnd"/>
      <w:r w:rsidR="00E1152F" w:rsidRPr="0094361C">
        <w:rPr>
          <w:rFonts w:ascii="TimesNewRomanPS-ItalicMT CE;Tim" w:hAnsi="TimesNewRomanPS-ItalicMT CE;Tim" w:cs="TimesNewRomanPS-ItalicMT CE;Tim"/>
          <w:iCs/>
          <w:szCs w:val="22"/>
        </w:rPr>
        <w:t xml:space="preserve"> </w:t>
      </w:r>
      <w:proofErr w:type="spellStart"/>
      <w:r w:rsidR="00E1152F" w:rsidRPr="0094361C">
        <w:rPr>
          <w:rFonts w:ascii="TimesNewRomanPS-ItalicMT CE;Tim" w:hAnsi="TimesNewRomanPS-ItalicMT CE;Tim" w:cs="TimesNewRomanPS-ItalicMT CE;Tim"/>
          <w:iCs/>
          <w:szCs w:val="22"/>
        </w:rPr>
        <w:t>žl</w:t>
      </w:r>
      <w:r w:rsidR="00D77CBC">
        <w:rPr>
          <w:rFonts w:ascii="TimesNewRomanPS-ItalicMT CE;Tim" w:hAnsi="TimesNewRomanPS-ItalicMT CE;Tim" w:cs="TimesNewRomanPS-ItalicMT CE;Tim"/>
          <w:iCs/>
          <w:szCs w:val="22"/>
        </w:rPr>
        <w:t>ij</w:t>
      </w:r>
      <w:r w:rsidR="00E1152F" w:rsidRPr="0094361C">
        <w:rPr>
          <w:rFonts w:ascii="TimesNewRomanPS-ItalicMT CE;Tim" w:hAnsi="TimesNewRomanPS-ItalicMT CE;Tim" w:cs="TimesNewRomanPS-ItalicMT CE;Tim"/>
          <w:iCs/>
          <w:szCs w:val="22"/>
        </w:rPr>
        <w:t>ezda</w:t>
      </w:r>
      <w:proofErr w:type="spellEnd"/>
      <w:r w:rsidR="00D77CBC">
        <w:rPr>
          <w:rFonts w:ascii="TimesNewRomanPS-ItalicMT CE;Tim" w:hAnsi="TimesNewRomanPS-ItalicMT CE;Tim" w:cs="TimesNewRomanPS-ItalicMT CE;Tim"/>
          <w:iCs/>
          <w:szCs w:val="22"/>
        </w:rPr>
        <w:t xml:space="preserve"> </w:t>
      </w:r>
      <w:r w:rsidR="00D77CBC" w:rsidRPr="00D77CBC">
        <w:rPr>
          <w:rFonts w:ascii="TimesNewRomanPS-ItalicMT CE;Tim" w:hAnsi="TimesNewRomanPS-ItalicMT CE;Tim" w:cs="TimesNewRomanPS-ItalicMT CE;Tim"/>
          <w:iCs/>
          <w:szCs w:val="22"/>
        </w:rPr>
        <w:t>(</w:t>
      </w:r>
      <w:r w:rsidR="00D77CBC" w:rsidRPr="005474B2">
        <w:rPr>
          <w:rFonts w:ascii="TimesNewRomanPS-ItalicMT CE;Tim" w:hAnsi="TimesNewRomanPS-ItalicMT CE;Tim" w:cs="TimesNewRomanPS-ItalicMT CE;Tim"/>
          <w:i/>
          <w:szCs w:val="22"/>
        </w:rPr>
        <w:t xml:space="preserve">Hidradenitis </w:t>
      </w:r>
      <w:proofErr w:type="spellStart"/>
      <w:r w:rsidR="00D77CBC" w:rsidRPr="005474B2">
        <w:rPr>
          <w:rFonts w:ascii="TimesNewRomanPS-ItalicMT CE;Tim" w:hAnsi="TimesNewRomanPS-ItalicMT CE;Tim" w:cs="TimesNewRomanPS-ItalicMT CE;Tim"/>
          <w:i/>
          <w:szCs w:val="22"/>
        </w:rPr>
        <w:t>suppurativa</w:t>
      </w:r>
      <w:proofErr w:type="spellEnd"/>
      <w:r w:rsidR="00D77CBC">
        <w:rPr>
          <w:rFonts w:ascii="TimesNewRomanPS-ItalicMT CE;Tim" w:hAnsi="TimesNewRomanPS-ItalicMT CE;Tim" w:cs="TimesNewRomanPS-ItalicMT CE;Tim"/>
          <w:iCs/>
          <w:szCs w:val="22"/>
        </w:rPr>
        <w:t>)</w:t>
      </w:r>
      <w:r w:rsidR="00E1152F" w:rsidRPr="00E1152F">
        <w:rPr>
          <w:iCs/>
          <w:sz w:val="22"/>
          <w:szCs w:val="22"/>
          <w:lang w:val="sr-Latn-ME"/>
        </w:rPr>
        <w:t xml:space="preserve"> </w:t>
      </w:r>
      <w:r w:rsidRPr="005474B2">
        <w:rPr>
          <w:iCs/>
          <w:sz w:val="22"/>
          <w:szCs w:val="22"/>
          <w:lang w:val="sr-Latn-ME"/>
        </w:rPr>
        <w:t>je slična kao kod psorijaze.</w:t>
      </w:r>
    </w:p>
    <w:p w14:paraId="3BAB2EB8" w14:textId="77777777" w:rsidR="007D7CE1" w:rsidRPr="005474B2" w:rsidRDefault="007D7CE1">
      <w:pPr>
        <w:tabs>
          <w:tab w:val="left" w:pos="284"/>
        </w:tabs>
        <w:jc w:val="both"/>
        <w:rPr>
          <w:iCs/>
          <w:sz w:val="22"/>
          <w:szCs w:val="22"/>
          <w:lang w:val="sr-Latn-ME"/>
        </w:rPr>
      </w:pPr>
    </w:p>
    <w:p w14:paraId="312C22C2" w14:textId="621EF790" w:rsidR="007D7CE1" w:rsidRPr="005474B2" w:rsidRDefault="007D7CE1">
      <w:pPr>
        <w:tabs>
          <w:tab w:val="left" w:pos="284"/>
        </w:tabs>
        <w:jc w:val="both"/>
        <w:rPr>
          <w:iCs/>
          <w:sz w:val="22"/>
          <w:szCs w:val="22"/>
          <w:lang w:val="sr-Latn-ME"/>
        </w:rPr>
      </w:pPr>
      <w:r w:rsidRPr="005474B2">
        <w:rPr>
          <w:iCs/>
          <w:sz w:val="22"/>
          <w:szCs w:val="22"/>
          <w:lang w:val="sr-Latn-ME"/>
        </w:rPr>
        <w:t>Prijavljeni su r</w:t>
      </w:r>
      <w:r w:rsidR="00A23A61" w:rsidRPr="005474B2">
        <w:rPr>
          <w:iCs/>
          <w:sz w:val="22"/>
          <w:szCs w:val="22"/>
          <w:lang w:val="sr-Latn-ME"/>
        </w:rPr>
        <w:t>ij</w:t>
      </w:r>
      <w:r w:rsidRPr="005474B2">
        <w:rPr>
          <w:iCs/>
          <w:sz w:val="22"/>
          <w:szCs w:val="22"/>
          <w:lang w:val="sr-Latn-ME"/>
        </w:rPr>
        <w:t>etki slučajevi neutropenije &lt;0,5x10</w:t>
      </w:r>
      <w:r w:rsidRPr="005474B2">
        <w:rPr>
          <w:iCs/>
          <w:sz w:val="22"/>
          <w:szCs w:val="22"/>
          <w:vertAlign w:val="superscript"/>
          <w:lang w:val="sr-Latn-ME"/>
        </w:rPr>
        <w:t>9</w:t>
      </w:r>
      <w:r w:rsidRPr="005474B2">
        <w:rPr>
          <w:iCs/>
          <w:sz w:val="22"/>
          <w:szCs w:val="22"/>
          <w:lang w:val="sr-Latn-ME"/>
        </w:rPr>
        <w:t>/</w:t>
      </w:r>
      <w:r w:rsidR="00A742B5" w:rsidRPr="005474B2">
        <w:rPr>
          <w:iCs/>
          <w:sz w:val="22"/>
          <w:szCs w:val="22"/>
          <w:lang w:val="sr-Latn-ME"/>
        </w:rPr>
        <w:t>l</w:t>
      </w:r>
      <w:r w:rsidRPr="005474B2">
        <w:rPr>
          <w:iCs/>
          <w:sz w:val="22"/>
          <w:szCs w:val="22"/>
          <w:lang w:val="sr-Latn-ME"/>
        </w:rPr>
        <w:t xml:space="preserve"> (CTCAE stepena 4).</w:t>
      </w:r>
    </w:p>
    <w:p w14:paraId="053E451F" w14:textId="77777777" w:rsidR="007D7CE1" w:rsidRPr="005474B2" w:rsidRDefault="007D7CE1">
      <w:pPr>
        <w:tabs>
          <w:tab w:val="left" w:pos="284"/>
        </w:tabs>
        <w:jc w:val="both"/>
        <w:rPr>
          <w:iCs/>
          <w:sz w:val="22"/>
          <w:szCs w:val="22"/>
          <w:lang w:val="sr-Latn-ME"/>
        </w:rPr>
      </w:pPr>
    </w:p>
    <w:p w14:paraId="1708D7ED" w14:textId="77777777" w:rsidR="007D7CE1" w:rsidRPr="005474B2" w:rsidRDefault="007D7CE1">
      <w:pPr>
        <w:tabs>
          <w:tab w:val="left" w:pos="284"/>
        </w:tabs>
        <w:jc w:val="both"/>
        <w:rPr>
          <w:iCs/>
          <w:sz w:val="22"/>
          <w:szCs w:val="22"/>
          <w:u w:val="single"/>
          <w:lang w:val="sr-Latn-ME"/>
        </w:rPr>
      </w:pPr>
      <w:r w:rsidRPr="005474B2">
        <w:rPr>
          <w:i/>
          <w:iCs/>
          <w:sz w:val="22"/>
          <w:szCs w:val="22"/>
          <w:u w:val="single"/>
          <w:lang w:val="sr-Latn-ME"/>
        </w:rPr>
        <w:t>Imunogenost</w:t>
      </w:r>
    </w:p>
    <w:p w14:paraId="49505B7D" w14:textId="6B1DDEBA" w:rsidR="007D7CE1" w:rsidRPr="005474B2" w:rsidRDefault="007D7CE1">
      <w:pPr>
        <w:autoSpaceDE w:val="0"/>
        <w:autoSpaceDN w:val="0"/>
        <w:adjustRightInd w:val="0"/>
        <w:jc w:val="both"/>
        <w:rPr>
          <w:iCs/>
          <w:sz w:val="22"/>
          <w:szCs w:val="22"/>
          <w:lang w:val="sr-Latn-ME"/>
        </w:rPr>
      </w:pPr>
      <w:r w:rsidRPr="005474B2">
        <w:rPr>
          <w:iCs/>
          <w:sz w:val="22"/>
          <w:szCs w:val="22"/>
          <w:lang w:val="sr-Latn-ME"/>
        </w:rPr>
        <w:t>U kliničkim studijama sa psorijazom, psorijaznim artritisom</w:t>
      </w:r>
      <w:r w:rsidR="00D77CBC">
        <w:rPr>
          <w:iCs/>
          <w:sz w:val="22"/>
          <w:szCs w:val="22"/>
          <w:lang w:val="sr-Latn-ME"/>
        </w:rPr>
        <w:t xml:space="preserve">, </w:t>
      </w:r>
      <w:r w:rsidRPr="005474B2">
        <w:rPr>
          <w:iCs/>
          <w:sz w:val="22"/>
          <w:szCs w:val="22"/>
          <w:lang w:val="sr-Latn-ME"/>
        </w:rPr>
        <w:t>aksijalnim spondiloartritisom (ankilozirajući spondilitis i neradiografski aksijalni spondiloartritis)</w:t>
      </w:r>
      <w:r w:rsidR="00E1152F">
        <w:rPr>
          <w:rFonts w:ascii="TimesNewRomanPS-ItalicMT CE" w:hAnsi="TimesNewRomanPS-ItalicMT CE" w:cs="TimesNewRomanPS-ItalicMT CE"/>
          <w:iCs/>
          <w:szCs w:val="22"/>
          <w:lang w:val="bs-Latn-BA"/>
        </w:rPr>
        <w:t xml:space="preserve"> </w:t>
      </w:r>
      <w:proofErr w:type="spellStart"/>
      <w:r w:rsidR="00E1152F" w:rsidRPr="0094361C">
        <w:rPr>
          <w:rFonts w:ascii="TimesNewRomanPS-ItalicMT CE" w:hAnsi="TimesNewRomanPS-ItalicMT CE" w:cs="TimesNewRomanPS-ItalicMT CE"/>
          <w:iCs/>
          <w:szCs w:val="22"/>
        </w:rPr>
        <w:t>i</w:t>
      </w:r>
      <w:proofErr w:type="spellEnd"/>
      <w:r w:rsidR="00E1152F" w:rsidRPr="0094361C">
        <w:rPr>
          <w:rFonts w:ascii="TimesNewRomanPS-ItalicMT CE" w:hAnsi="TimesNewRomanPS-ItalicMT CE" w:cs="TimesNewRomanPS-ItalicMT CE"/>
          <w:iCs/>
          <w:szCs w:val="22"/>
        </w:rPr>
        <w:t xml:space="preserve"> </w:t>
      </w:r>
      <w:proofErr w:type="spellStart"/>
      <w:r w:rsidR="00E1152F" w:rsidRPr="0094361C">
        <w:rPr>
          <w:rFonts w:ascii="TimesNewRomanPS-ItalicMT CE" w:hAnsi="TimesNewRomanPS-ItalicMT CE" w:cs="TimesNewRomanPS-ItalicMT CE"/>
          <w:iCs/>
          <w:szCs w:val="22"/>
        </w:rPr>
        <w:t>gnojnim</w:t>
      </w:r>
      <w:proofErr w:type="spellEnd"/>
      <w:r w:rsidR="00E1152F" w:rsidRPr="0094361C">
        <w:rPr>
          <w:rFonts w:ascii="TimesNewRomanPS-ItalicMT CE" w:hAnsi="TimesNewRomanPS-ItalicMT CE" w:cs="TimesNewRomanPS-ItalicMT CE"/>
          <w:iCs/>
          <w:szCs w:val="22"/>
        </w:rPr>
        <w:t xml:space="preserve"> </w:t>
      </w:r>
      <w:proofErr w:type="spellStart"/>
      <w:r w:rsidR="00E1152F" w:rsidRPr="0094361C">
        <w:rPr>
          <w:rFonts w:ascii="TimesNewRomanPS-ItalicMT CE" w:hAnsi="TimesNewRomanPS-ItalicMT CE" w:cs="TimesNewRomanPS-ItalicMT CE"/>
          <w:iCs/>
          <w:szCs w:val="22"/>
        </w:rPr>
        <w:t>zapaljenjem</w:t>
      </w:r>
      <w:proofErr w:type="spellEnd"/>
      <w:r w:rsidR="00E1152F" w:rsidRPr="0094361C">
        <w:rPr>
          <w:rFonts w:ascii="TimesNewRomanPS-ItalicMT CE" w:hAnsi="TimesNewRomanPS-ItalicMT CE" w:cs="TimesNewRomanPS-ItalicMT CE"/>
          <w:iCs/>
          <w:szCs w:val="22"/>
        </w:rPr>
        <w:t xml:space="preserve"> </w:t>
      </w:r>
      <w:proofErr w:type="spellStart"/>
      <w:r w:rsidR="00E1152F" w:rsidRPr="0094361C">
        <w:rPr>
          <w:rFonts w:ascii="TimesNewRomanPS-ItalicMT CE" w:hAnsi="TimesNewRomanPS-ItalicMT CE" w:cs="TimesNewRomanPS-ItalicMT CE"/>
          <w:iCs/>
          <w:szCs w:val="22"/>
        </w:rPr>
        <w:t>znojnih</w:t>
      </w:r>
      <w:proofErr w:type="spellEnd"/>
      <w:r w:rsidR="00E1152F" w:rsidRPr="0094361C">
        <w:rPr>
          <w:rFonts w:ascii="TimesNewRomanPS-ItalicMT CE" w:hAnsi="TimesNewRomanPS-ItalicMT CE" w:cs="TimesNewRomanPS-ItalicMT CE"/>
          <w:iCs/>
          <w:szCs w:val="22"/>
        </w:rPr>
        <w:t xml:space="preserve"> </w:t>
      </w:r>
      <w:proofErr w:type="spellStart"/>
      <w:r w:rsidR="00E1152F" w:rsidRPr="0094361C">
        <w:rPr>
          <w:rFonts w:ascii="TimesNewRomanPS-ItalicMT CE" w:hAnsi="TimesNewRomanPS-ItalicMT CE" w:cs="TimesNewRomanPS-ItalicMT CE"/>
          <w:iCs/>
          <w:szCs w:val="22"/>
        </w:rPr>
        <w:t>žl</w:t>
      </w:r>
      <w:r w:rsidR="00D77CBC">
        <w:rPr>
          <w:rFonts w:ascii="TimesNewRomanPS-ItalicMT CE" w:hAnsi="TimesNewRomanPS-ItalicMT CE" w:cs="TimesNewRomanPS-ItalicMT CE"/>
          <w:iCs/>
          <w:szCs w:val="22"/>
        </w:rPr>
        <w:t>ij</w:t>
      </w:r>
      <w:r w:rsidR="00E1152F" w:rsidRPr="0094361C">
        <w:rPr>
          <w:rFonts w:ascii="TimesNewRomanPS-ItalicMT CE" w:hAnsi="TimesNewRomanPS-ItalicMT CE" w:cs="TimesNewRomanPS-ItalicMT CE"/>
          <w:iCs/>
          <w:szCs w:val="22"/>
        </w:rPr>
        <w:t>ezda</w:t>
      </w:r>
      <w:proofErr w:type="spellEnd"/>
      <w:r w:rsidR="00D77CBC">
        <w:rPr>
          <w:rFonts w:ascii="TimesNewRomanPS-ItalicMT CE" w:hAnsi="TimesNewRomanPS-ItalicMT CE" w:cs="TimesNewRomanPS-ItalicMT CE"/>
          <w:iCs/>
          <w:szCs w:val="22"/>
        </w:rPr>
        <w:t xml:space="preserve"> </w:t>
      </w:r>
      <w:r w:rsidR="00D77CBC" w:rsidRPr="006F6808">
        <w:rPr>
          <w:iCs/>
          <w:sz w:val="22"/>
          <w:szCs w:val="22"/>
        </w:rPr>
        <w:t>(</w:t>
      </w:r>
      <w:r w:rsidR="00D77CBC" w:rsidRPr="006F6808">
        <w:rPr>
          <w:i/>
          <w:iCs/>
          <w:sz w:val="22"/>
          <w:szCs w:val="22"/>
        </w:rPr>
        <w:t xml:space="preserve">Hidradenitis </w:t>
      </w:r>
      <w:proofErr w:type="spellStart"/>
      <w:r w:rsidR="00D77CBC" w:rsidRPr="006F6808">
        <w:rPr>
          <w:i/>
          <w:iCs/>
          <w:sz w:val="22"/>
          <w:szCs w:val="22"/>
        </w:rPr>
        <w:t>suppurativa</w:t>
      </w:r>
      <w:proofErr w:type="spellEnd"/>
      <w:r w:rsidR="00D77CBC" w:rsidRPr="006F6808">
        <w:rPr>
          <w:iCs/>
          <w:sz w:val="22"/>
          <w:szCs w:val="22"/>
        </w:rPr>
        <w:t>)</w:t>
      </w:r>
      <w:r w:rsidRPr="005474B2">
        <w:rPr>
          <w:iCs/>
          <w:sz w:val="22"/>
          <w:szCs w:val="22"/>
          <w:lang w:val="sr-Latn-ME"/>
        </w:rPr>
        <w:t>, manje od 1% pacijenata na terapiji sekukinumabom je razvilo antit</w:t>
      </w:r>
      <w:r w:rsidR="00BB1FCC" w:rsidRPr="005474B2">
        <w:rPr>
          <w:iCs/>
          <w:sz w:val="22"/>
          <w:szCs w:val="22"/>
          <w:lang w:val="sr-Latn-ME"/>
        </w:rPr>
        <w:t>ij</w:t>
      </w:r>
      <w:r w:rsidRPr="005474B2">
        <w:rPr>
          <w:iCs/>
          <w:sz w:val="22"/>
          <w:szCs w:val="22"/>
          <w:lang w:val="sr-Latn-ME"/>
        </w:rPr>
        <w:t xml:space="preserve">ela na sekukinumab do 52. </w:t>
      </w:r>
      <w:r w:rsidR="009A4880" w:rsidRPr="005474B2">
        <w:rPr>
          <w:iCs/>
          <w:sz w:val="22"/>
          <w:szCs w:val="22"/>
          <w:lang w:val="sr-Latn-ME"/>
        </w:rPr>
        <w:t>nedjelj</w:t>
      </w:r>
      <w:r w:rsidRPr="005474B2">
        <w:rPr>
          <w:iCs/>
          <w:sz w:val="22"/>
          <w:szCs w:val="22"/>
          <w:lang w:val="sr-Latn-ME"/>
        </w:rPr>
        <w:t xml:space="preserve">e </w:t>
      </w:r>
      <w:r w:rsidR="009A4880" w:rsidRPr="005474B2">
        <w:rPr>
          <w:iCs/>
          <w:sz w:val="22"/>
          <w:szCs w:val="22"/>
          <w:lang w:val="sr-Latn-ME"/>
        </w:rPr>
        <w:t>liječ</w:t>
      </w:r>
      <w:r w:rsidRPr="005474B2">
        <w:rPr>
          <w:iCs/>
          <w:sz w:val="22"/>
          <w:szCs w:val="22"/>
          <w:lang w:val="sr-Latn-ME"/>
        </w:rPr>
        <w:t>enja. Oko polovine antit</w:t>
      </w:r>
      <w:r w:rsidR="00BB1FCC" w:rsidRPr="005474B2">
        <w:rPr>
          <w:iCs/>
          <w:sz w:val="22"/>
          <w:szCs w:val="22"/>
          <w:lang w:val="sr-Latn-ME"/>
        </w:rPr>
        <w:t>ij</w:t>
      </w:r>
      <w:r w:rsidRPr="005474B2">
        <w:rPr>
          <w:iCs/>
          <w:sz w:val="22"/>
          <w:szCs w:val="22"/>
          <w:lang w:val="sr-Latn-ME"/>
        </w:rPr>
        <w:t>ela koja su se javila tokom terapije su bila neutrališuća, ali to nije bilo povezano sa efikasnošću ili farmakokinetičkim nepravilnostima.</w:t>
      </w:r>
    </w:p>
    <w:p w14:paraId="2AD2B3B0" w14:textId="77777777" w:rsidR="007D7CE1" w:rsidRPr="005474B2" w:rsidRDefault="007D7CE1">
      <w:pPr>
        <w:tabs>
          <w:tab w:val="left" w:pos="284"/>
        </w:tabs>
        <w:jc w:val="both"/>
        <w:rPr>
          <w:noProof/>
          <w:sz w:val="22"/>
          <w:szCs w:val="22"/>
          <w:u w:val="single"/>
          <w:lang w:val="sr-Latn-ME"/>
        </w:rPr>
      </w:pPr>
    </w:p>
    <w:p w14:paraId="70442247" w14:textId="77777777" w:rsidR="007D7CE1" w:rsidRPr="005474B2" w:rsidRDefault="007D7CE1">
      <w:pPr>
        <w:keepNext/>
        <w:widowControl w:val="0"/>
        <w:jc w:val="both"/>
        <w:rPr>
          <w:rFonts w:eastAsia="MS Mincho"/>
          <w:sz w:val="22"/>
          <w:szCs w:val="22"/>
          <w:u w:val="single"/>
          <w:lang w:val="sr-Latn-ME"/>
        </w:rPr>
      </w:pPr>
      <w:r w:rsidRPr="005474B2">
        <w:rPr>
          <w:rFonts w:eastAsia="MS Mincho"/>
          <w:sz w:val="22"/>
          <w:szCs w:val="22"/>
          <w:u w:val="single"/>
          <w:lang w:val="sr-Latn-ME"/>
        </w:rPr>
        <w:lastRenderedPageBreak/>
        <w:t>Pedijatrijska populacija</w:t>
      </w:r>
    </w:p>
    <w:p w14:paraId="00E3F89B" w14:textId="77777777" w:rsidR="007D7CE1" w:rsidRPr="005474B2" w:rsidRDefault="007D7CE1">
      <w:pPr>
        <w:keepNext/>
        <w:widowControl w:val="0"/>
        <w:jc w:val="both"/>
        <w:rPr>
          <w:rFonts w:eastAsia="MS Mincho"/>
          <w:sz w:val="22"/>
          <w:szCs w:val="22"/>
          <w:lang w:val="sr-Latn-ME"/>
        </w:rPr>
      </w:pPr>
    </w:p>
    <w:p w14:paraId="44C4FAB2" w14:textId="240347EB" w:rsidR="007D7CE1" w:rsidRPr="005474B2" w:rsidRDefault="007D7CE1">
      <w:pPr>
        <w:keepNext/>
        <w:jc w:val="both"/>
        <w:rPr>
          <w:rFonts w:eastAsia="MS Mincho"/>
          <w:i/>
          <w:color w:val="000000"/>
          <w:sz w:val="22"/>
          <w:szCs w:val="22"/>
          <w:u w:val="single"/>
          <w:lang w:val="sr-Latn-ME"/>
        </w:rPr>
      </w:pPr>
      <w:r w:rsidRPr="005474B2">
        <w:rPr>
          <w:rFonts w:eastAsia="MS Mincho"/>
          <w:i/>
          <w:color w:val="000000"/>
          <w:sz w:val="22"/>
          <w:szCs w:val="22"/>
          <w:u w:val="single"/>
          <w:lang w:val="sr-Latn-ME"/>
        </w:rPr>
        <w:t>Neželjena dejstva kod pedijatrijskih bolesnika uzrasta od 6 i više godina s</w:t>
      </w:r>
      <w:r w:rsidR="00D77CBC">
        <w:rPr>
          <w:rFonts w:eastAsia="MS Mincho"/>
          <w:i/>
          <w:color w:val="000000"/>
          <w:sz w:val="22"/>
          <w:szCs w:val="22"/>
          <w:u w:val="single"/>
          <w:lang w:val="sr-Latn-ME"/>
        </w:rPr>
        <w:t>a</w:t>
      </w:r>
      <w:r w:rsidRPr="005474B2">
        <w:rPr>
          <w:rFonts w:eastAsia="MS Mincho"/>
          <w:i/>
          <w:color w:val="000000"/>
          <w:sz w:val="22"/>
          <w:szCs w:val="22"/>
          <w:u w:val="single"/>
          <w:lang w:val="sr-Latn-ME"/>
        </w:rPr>
        <w:t xml:space="preserve"> plak psorijazom</w:t>
      </w:r>
    </w:p>
    <w:p w14:paraId="53D254D5" w14:textId="41DB03EB" w:rsidR="007D7CE1" w:rsidRPr="005474B2" w:rsidRDefault="009A4880">
      <w:pPr>
        <w:widowControl w:val="0"/>
        <w:jc w:val="both"/>
        <w:rPr>
          <w:rFonts w:eastAsia="MS Mincho"/>
          <w:color w:val="000000"/>
          <w:sz w:val="22"/>
          <w:szCs w:val="22"/>
          <w:lang w:val="sr-Latn-ME"/>
        </w:rPr>
      </w:pPr>
      <w:r w:rsidRPr="005474B2">
        <w:rPr>
          <w:rFonts w:eastAsia="MS Mincho"/>
          <w:color w:val="000000"/>
          <w:sz w:val="22"/>
          <w:szCs w:val="22"/>
          <w:lang w:val="sr-Latn-ME"/>
        </w:rPr>
        <w:t>Bezbjednost</w:t>
      </w:r>
      <w:r w:rsidR="007D7CE1" w:rsidRPr="005474B2">
        <w:rPr>
          <w:rFonts w:eastAsia="MS Mincho"/>
          <w:color w:val="000000"/>
          <w:sz w:val="22"/>
          <w:szCs w:val="22"/>
          <w:lang w:val="sr-Latn-ME"/>
        </w:rPr>
        <w:t xml:space="preserve"> sekukinumaba proc</w:t>
      </w:r>
      <w:r w:rsidR="00BB1FCC" w:rsidRPr="005474B2">
        <w:rPr>
          <w:rFonts w:eastAsia="MS Mincho"/>
          <w:color w:val="000000"/>
          <w:sz w:val="22"/>
          <w:szCs w:val="22"/>
          <w:lang w:val="sr-Latn-ME"/>
        </w:rPr>
        <w:t>ij</w:t>
      </w:r>
      <w:r w:rsidR="007D7CE1" w:rsidRPr="005474B2">
        <w:rPr>
          <w:rFonts w:eastAsia="MS Mincho"/>
          <w:color w:val="000000"/>
          <w:sz w:val="22"/>
          <w:szCs w:val="22"/>
          <w:lang w:val="sr-Latn-ME"/>
        </w:rPr>
        <w:t>enjivana je u dv</w:t>
      </w:r>
      <w:r w:rsidR="004429DA" w:rsidRPr="005474B2">
        <w:rPr>
          <w:rFonts w:eastAsia="MS Mincho"/>
          <w:color w:val="000000"/>
          <w:sz w:val="22"/>
          <w:szCs w:val="22"/>
          <w:lang w:val="sr-Latn-ME"/>
        </w:rPr>
        <w:t>e</w:t>
      </w:r>
      <w:r w:rsidR="007D7CE1" w:rsidRPr="005474B2">
        <w:rPr>
          <w:rFonts w:eastAsia="MS Mincho"/>
          <w:color w:val="000000"/>
          <w:sz w:val="22"/>
          <w:szCs w:val="22"/>
          <w:lang w:val="sr-Latn-ME"/>
        </w:rPr>
        <w:t xml:space="preserve"> </w:t>
      </w:r>
      <w:r w:rsidR="004429DA" w:rsidRPr="005474B2">
        <w:rPr>
          <w:rFonts w:eastAsia="MS Mincho"/>
          <w:color w:val="000000"/>
          <w:sz w:val="22"/>
          <w:szCs w:val="22"/>
          <w:lang w:val="sr-Latn-ME"/>
        </w:rPr>
        <w:t xml:space="preserve">studije </w:t>
      </w:r>
      <w:r w:rsidR="007D7CE1" w:rsidRPr="005474B2">
        <w:rPr>
          <w:rFonts w:eastAsia="MS Mincho"/>
          <w:color w:val="000000"/>
          <w:sz w:val="22"/>
          <w:szCs w:val="22"/>
          <w:lang w:val="sr-Latn-ME"/>
        </w:rPr>
        <w:t>faze III kod pedijatrijskih bolesnika sa plak psorijazom. Prv</w:t>
      </w:r>
      <w:r w:rsidR="004429DA" w:rsidRPr="005474B2">
        <w:rPr>
          <w:rFonts w:eastAsia="MS Mincho"/>
          <w:color w:val="000000"/>
          <w:sz w:val="22"/>
          <w:szCs w:val="22"/>
          <w:lang w:val="sr-Latn-ME"/>
        </w:rPr>
        <w:t>a</w:t>
      </w:r>
      <w:r w:rsidR="007D7CE1" w:rsidRPr="005474B2">
        <w:rPr>
          <w:rFonts w:eastAsia="MS Mincho"/>
          <w:color w:val="000000"/>
          <w:sz w:val="22"/>
          <w:szCs w:val="22"/>
          <w:lang w:val="sr-Latn-ME"/>
        </w:rPr>
        <w:t xml:space="preserve"> </w:t>
      </w:r>
      <w:r w:rsidR="004429DA" w:rsidRPr="005474B2">
        <w:rPr>
          <w:rFonts w:eastAsia="MS Mincho"/>
          <w:color w:val="000000"/>
          <w:sz w:val="22"/>
          <w:szCs w:val="22"/>
          <w:lang w:val="sr-Latn-ME"/>
        </w:rPr>
        <w:t xml:space="preserve">studija </w:t>
      </w:r>
      <w:r w:rsidR="007D7CE1" w:rsidRPr="005474B2">
        <w:rPr>
          <w:rFonts w:eastAsia="MS Mincho"/>
          <w:color w:val="000000"/>
          <w:sz w:val="22"/>
          <w:szCs w:val="22"/>
          <w:lang w:val="sr-Latn-ME"/>
        </w:rPr>
        <w:t>(pedijatrijsk</w:t>
      </w:r>
      <w:r w:rsidR="00D77CBC">
        <w:rPr>
          <w:rFonts w:eastAsia="MS Mincho"/>
          <w:color w:val="000000"/>
          <w:sz w:val="22"/>
          <w:szCs w:val="22"/>
          <w:lang w:val="sr-Latn-ME"/>
        </w:rPr>
        <w:t>o</w:t>
      </w:r>
      <w:r w:rsidR="007D7CE1" w:rsidRPr="005474B2">
        <w:rPr>
          <w:rFonts w:eastAsia="MS Mincho"/>
          <w:color w:val="000000"/>
          <w:sz w:val="22"/>
          <w:szCs w:val="22"/>
          <w:lang w:val="sr-Latn-ME"/>
        </w:rPr>
        <w:t xml:space="preserve"> </w:t>
      </w:r>
      <w:r w:rsidR="00D77CBC">
        <w:rPr>
          <w:rFonts w:eastAsia="MS Mincho"/>
          <w:color w:val="000000"/>
          <w:sz w:val="22"/>
          <w:szCs w:val="22"/>
          <w:lang w:val="sr-Latn-ME"/>
        </w:rPr>
        <w:t>ispitivanje</w:t>
      </w:r>
      <w:r w:rsidR="004429DA" w:rsidRPr="005474B2">
        <w:rPr>
          <w:rFonts w:eastAsia="MS Mincho"/>
          <w:color w:val="000000"/>
          <w:sz w:val="22"/>
          <w:szCs w:val="22"/>
          <w:lang w:val="sr-Latn-ME"/>
        </w:rPr>
        <w:t> </w:t>
      </w:r>
      <w:r w:rsidR="007D7CE1" w:rsidRPr="005474B2">
        <w:rPr>
          <w:rFonts w:eastAsia="MS Mincho"/>
          <w:color w:val="000000"/>
          <w:sz w:val="22"/>
          <w:szCs w:val="22"/>
          <w:lang w:val="sr-Latn-ME"/>
        </w:rPr>
        <w:t>1) je bil</w:t>
      </w:r>
      <w:r w:rsidR="001B764A" w:rsidRPr="005474B2">
        <w:rPr>
          <w:rFonts w:eastAsia="MS Mincho"/>
          <w:color w:val="000000"/>
          <w:sz w:val="22"/>
          <w:szCs w:val="22"/>
          <w:lang w:val="sr-Latn-ME"/>
        </w:rPr>
        <w:t>a</w:t>
      </w:r>
      <w:r w:rsidR="007D7CE1" w:rsidRPr="005474B2">
        <w:rPr>
          <w:rFonts w:eastAsia="MS Mincho"/>
          <w:color w:val="000000"/>
          <w:sz w:val="22"/>
          <w:szCs w:val="22"/>
          <w:lang w:val="sr-Latn-ME"/>
        </w:rPr>
        <w:t xml:space="preserve"> dvostruko sl</w:t>
      </w:r>
      <w:r w:rsidR="00A23A61" w:rsidRPr="005474B2">
        <w:rPr>
          <w:rFonts w:eastAsia="MS Mincho"/>
          <w:color w:val="000000"/>
          <w:sz w:val="22"/>
          <w:szCs w:val="22"/>
          <w:lang w:val="sr-Latn-ME"/>
        </w:rPr>
        <w:t>ij</w:t>
      </w:r>
      <w:r w:rsidR="007D7CE1" w:rsidRPr="005474B2">
        <w:rPr>
          <w:rFonts w:eastAsia="MS Mincho"/>
          <w:color w:val="000000"/>
          <w:sz w:val="22"/>
          <w:szCs w:val="22"/>
          <w:lang w:val="sr-Latn-ME"/>
        </w:rPr>
        <w:t>ep</w:t>
      </w:r>
      <w:r w:rsidR="001B764A" w:rsidRPr="005474B2">
        <w:rPr>
          <w:rFonts w:eastAsia="MS Mincho"/>
          <w:color w:val="000000"/>
          <w:sz w:val="22"/>
          <w:szCs w:val="22"/>
          <w:lang w:val="sr-Latn-ME"/>
        </w:rPr>
        <w:t>a</w:t>
      </w:r>
      <w:r w:rsidR="007D7CE1" w:rsidRPr="005474B2">
        <w:rPr>
          <w:rFonts w:eastAsia="MS Mincho"/>
          <w:color w:val="000000"/>
          <w:sz w:val="22"/>
          <w:szCs w:val="22"/>
          <w:lang w:val="sr-Latn-ME"/>
        </w:rPr>
        <w:t>, placebom kontrolisan</w:t>
      </w:r>
      <w:r w:rsidR="00D77CBC">
        <w:rPr>
          <w:rFonts w:eastAsia="MS Mincho"/>
          <w:color w:val="000000"/>
          <w:sz w:val="22"/>
          <w:szCs w:val="22"/>
          <w:lang w:val="sr-Latn-ME"/>
        </w:rPr>
        <w:t>o</w:t>
      </w:r>
      <w:r w:rsidR="007D7CE1" w:rsidRPr="005474B2">
        <w:rPr>
          <w:rFonts w:eastAsia="MS Mincho"/>
          <w:color w:val="000000"/>
          <w:sz w:val="22"/>
          <w:szCs w:val="22"/>
          <w:lang w:val="sr-Latn-ME"/>
        </w:rPr>
        <w:t xml:space="preserve"> </w:t>
      </w:r>
      <w:r w:rsidR="00D77CBC">
        <w:rPr>
          <w:rFonts w:eastAsia="MS Mincho"/>
          <w:color w:val="000000"/>
          <w:sz w:val="22"/>
          <w:szCs w:val="22"/>
          <w:lang w:val="sr-Latn-ME"/>
        </w:rPr>
        <w:t>ispitivanje</w:t>
      </w:r>
      <w:r w:rsidR="004429DA" w:rsidRPr="005474B2">
        <w:rPr>
          <w:rFonts w:eastAsia="MS Mincho"/>
          <w:color w:val="000000"/>
          <w:sz w:val="22"/>
          <w:szCs w:val="22"/>
          <w:lang w:val="sr-Latn-ME"/>
        </w:rPr>
        <w:t xml:space="preserve"> </w:t>
      </w:r>
      <w:r w:rsidR="007D7CE1" w:rsidRPr="005474B2">
        <w:rPr>
          <w:rFonts w:eastAsia="MS Mincho"/>
          <w:color w:val="000000"/>
          <w:sz w:val="22"/>
          <w:szCs w:val="22"/>
          <w:lang w:val="sr-Latn-ME"/>
        </w:rPr>
        <w:t>na 162 pacijenata uzrasta od 6 do manje od 18 godina s</w:t>
      </w:r>
      <w:r w:rsidR="00D77CBC">
        <w:rPr>
          <w:rFonts w:eastAsia="MS Mincho"/>
          <w:color w:val="000000"/>
          <w:sz w:val="22"/>
          <w:szCs w:val="22"/>
          <w:lang w:val="sr-Latn-ME"/>
        </w:rPr>
        <w:t>a</w:t>
      </w:r>
      <w:r w:rsidR="007D7CE1" w:rsidRPr="005474B2">
        <w:rPr>
          <w:rFonts w:eastAsia="MS Mincho"/>
          <w:color w:val="000000"/>
          <w:sz w:val="22"/>
          <w:szCs w:val="22"/>
          <w:lang w:val="sr-Latn-ME"/>
        </w:rPr>
        <w:t xml:space="preserve"> teškom plak psorijazom. Drug</w:t>
      </w:r>
      <w:r w:rsidR="00D77CBC">
        <w:rPr>
          <w:rFonts w:eastAsia="MS Mincho"/>
          <w:color w:val="000000"/>
          <w:sz w:val="22"/>
          <w:szCs w:val="22"/>
          <w:lang w:val="sr-Latn-ME"/>
        </w:rPr>
        <w:t>o</w:t>
      </w:r>
      <w:r w:rsidR="007D7CE1" w:rsidRPr="005474B2">
        <w:rPr>
          <w:rFonts w:eastAsia="MS Mincho"/>
          <w:color w:val="000000"/>
          <w:sz w:val="22"/>
          <w:szCs w:val="22"/>
          <w:lang w:val="sr-Latn-ME"/>
        </w:rPr>
        <w:t xml:space="preserve"> </w:t>
      </w:r>
      <w:r w:rsidR="00D77CBC">
        <w:rPr>
          <w:rFonts w:eastAsia="MS Mincho"/>
          <w:color w:val="000000"/>
          <w:sz w:val="22"/>
          <w:szCs w:val="22"/>
          <w:lang w:val="sr-Latn-ME"/>
        </w:rPr>
        <w:t>ispitivanje</w:t>
      </w:r>
      <w:r w:rsidR="004429DA" w:rsidRPr="005474B2">
        <w:rPr>
          <w:rFonts w:eastAsia="MS Mincho"/>
          <w:color w:val="000000"/>
          <w:sz w:val="22"/>
          <w:szCs w:val="22"/>
          <w:lang w:val="sr-Latn-ME"/>
        </w:rPr>
        <w:t xml:space="preserve"> </w:t>
      </w:r>
      <w:r w:rsidR="007D7CE1" w:rsidRPr="005474B2">
        <w:rPr>
          <w:rFonts w:eastAsia="MS Mincho"/>
          <w:color w:val="000000"/>
          <w:sz w:val="22"/>
          <w:szCs w:val="22"/>
          <w:lang w:val="sr-Latn-ME"/>
        </w:rPr>
        <w:t>(pedijatrijsk</w:t>
      </w:r>
      <w:r w:rsidR="00D77CBC">
        <w:rPr>
          <w:rFonts w:eastAsia="MS Mincho"/>
          <w:color w:val="000000"/>
          <w:sz w:val="22"/>
          <w:szCs w:val="22"/>
          <w:lang w:val="sr-Latn-ME"/>
        </w:rPr>
        <w:t>o</w:t>
      </w:r>
      <w:r w:rsidR="007D7CE1" w:rsidRPr="005474B2">
        <w:rPr>
          <w:rFonts w:eastAsia="MS Mincho"/>
          <w:color w:val="000000"/>
          <w:sz w:val="22"/>
          <w:szCs w:val="22"/>
          <w:lang w:val="sr-Latn-ME"/>
        </w:rPr>
        <w:t xml:space="preserve"> </w:t>
      </w:r>
      <w:r w:rsidR="00D77CBC">
        <w:rPr>
          <w:rFonts w:eastAsia="MS Mincho"/>
          <w:color w:val="000000"/>
          <w:sz w:val="22"/>
          <w:szCs w:val="22"/>
          <w:lang w:val="sr-Latn-ME"/>
        </w:rPr>
        <w:t>ispitivanje</w:t>
      </w:r>
      <w:r w:rsidR="004429DA" w:rsidRPr="005474B2">
        <w:rPr>
          <w:rFonts w:eastAsia="MS Mincho"/>
          <w:color w:val="000000"/>
          <w:sz w:val="22"/>
          <w:szCs w:val="22"/>
          <w:lang w:val="sr-Latn-ME"/>
        </w:rPr>
        <w:t> </w:t>
      </w:r>
      <w:r w:rsidR="007D7CE1" w:rsidRPr="005474B2">
        <w:rPr>
          <w:rFonts w:eastAsia="MS Mincho"/>
          <w:color w:val="000000"/>
          <w:sz w:val="22"/>
          <w:szCs w:val="22"/>
          <w:lang w:val="sr-Latn-ME"/>
        </w:rPr>
        <w:t xml:space="preserve">2) je otvoreno ispitivanje na 84 pacijenta uzrasta od 6 do manje od 18 godina s </w:t>
      </w:r>
      <w:r w:rsidRPr="005474B2">
        <w:rPr>
          <w:rFonts w:eastAsia="MS Mincho"/>
          <w:color w:val="000000"/>
          <w:sz w:val="22"/>
          <w:szCs w:val="22"/>
          <w:lang w:val="sr-Latn-ME"/>
        </w:rPr>
        <w:t>umjeren</w:t>
      </w:r>
      <w:r w:rsidR="007D7CE1" w:rsidRPr="005474B2">
        <w:rPr>
          <w:rFonts w:eastAsia="MS Mincho"/>
          <w:color w:val="000000"/>
          <w:sz w:val="22"/>
          <w:szCs w:val="22"/>
          <w:lang w:val="sr-Latn-ME"/>
        </w:rPr>
        <w:t>om do teškom plak psorijazom. Bezb</w:t>
      </w:r>
      <w:r w:rsidR="00A23A61" w:rsidRPr="005474B2">
        <w:rPr>
          <w:rFonts w:eastAsia="MS Mincho"/>
          <w:color w:val="000000"/>
          <w:sz w:val="22"/>
          <w:szCs w:val="22"/>
          <w:lang w:val="sr-Latn-ME"/>
        </w:rPr>
        <w:t>j</w:t>
      </w:r>
      <w:r w:rsidR="007D7CE1" w:rsidRPr="005474B2">
        <w:rPr>
          <w:rFonts w:eastAsia="MS Mincho"/>
          <w:color w:val="000000"/>
          <w:sz w:val="22"/>
          <w:szCs w:val="22"/>
          <w:lang w:val="sr-Latn-ME"/>
        </w:rPr>
        <w:t>ednosni profil prijavljen u t</w:t>
      </w:r>
      <w:r w:rsidR="00D77CBC">
        <w:rPr>
          <w:rFonts w:eastAsia="MS Mincho"/>
          <w:color w:val="000000"/>
          <w:sz w:val="22"/>
          <w:szCs w:val="22"/>
          <w:lang w:val="sr-Latn-ME"/>
        </w:rPr>
        <w:t>a</w:t>
      </w:r>
      <w:r w:rsidR="007D7CE1" w:rsidRPr="005474B2">
        <w:rPr>
          <w:rFonts w:eastAsia="MS Mincho"/>
          <w:color w:val="000000"/>
          <w:sz w:val="22"/>
          <w:szCs w:val="22"/>
          <w:lang w:val="sr-Latn-ME"/>
        </w:rPr>
        <w:t xml:space="preserve"> dv</w:t>
      </w:r>
      <w:r w:rsidR="00D77CBC">
        <w:rPr>
          <w:rFonts w:eastAsia="MS Mincho"/>
          <w:color w:val="000000"/>
          <w:sz w:val="22"/>
          <w:szCs w:val="22"/>
          <w:lang w:val="sr-Latn-ME"/>
        </w:rPr>
        <w:t>a</w:t>
      </w:r>
      <w:r w:rsidR="007D7CE1" w:rsidRPr="005474B2">
        <w:rPr>
          <w:rFonts w:eastAsia="MS Mincho"/>
          <w:color w:val="000000"/>
          <w:sz w:val="22"/>
          <w:szCs w:val="22"/>
          <w:lang w:val="sr-Latn-ME"/>
        </w:rPr>
        <w:t xml:space="preserve"> </w:t>
      </w:r>
      <w:r w:rsidR="00D77CBC">
        <w:rPr>
          <w:rFonts w:eastAsia="MS Mincho"/>
          <w:color w:val="000000"/>
          <w:sz w:val="22"/>
          <w:szCs w:val="22"/>
          <w:lang w:val="sr-Latn-ME"/>
        </w:rPr>
        <w:t>ispitivanja</w:t>
      </w:r>
      <w:r w:rsidR="004429DA" w:rsidRPr="005474B2">
        <w:rPr>
          <w:rFonts w:eastAsia="MS Mincho"/>
          <w:color w:val="000000"/>
          <w:sz w:val="22"/>
          <w:szCs w:val="22"/>
          <w:lang w:val="sr-Latn-ME"/>
        </w:rPr>
        <w:t xml:space="preserve"> </w:t>
      </w:r>
      <w:r w:rsidR="007D7CE1" w:rsidRPr="005474B2">
        <w:rPr>
          <w:rFonts w:eastAsia="MS Mincho"/>
          <w:color w:val="000000"/>
          <w:sz w:val="22"/>
          <w:szCs w:val="22"/>
          <w:lang w:val="sr-Latn-ME"/>
        </w:rPr>
        <w:t>je bio u skladu sa bezb</w:t>
      </w:r>
      <w:r w:rsidR="00A23A61" w:rsidRPr="005474B2">
        <w:rPr>
          <w:rFonts w:eastAsia="MS Mincho"/>
          <w:color w:val="000000"/>
          <w:sz w:val="22"/>
          <w:szCs w:val="22"/>
          <w:lang w:val="sr-Latn-ME"/>
        </w:rPr>
        <w:t>j</w:t>
      </w:r>
      <w:r w:rsidR="007D7CE1" w:rsidRPr="005474B2">
        <w:rPr>
          <w:rFonts w:eastAsia="MS Mincho"/>
          <w:color w:val="000000"/>
          <w:sz w:val="22"/>
          <w:szCs w:val="22"/>
          <w:lang w:val="sr-Latn-ME"/>
        </w:rPr>
        <w:t>ednosnim profilom prijavljenim kod odraslih pacijenata s</w:t>
      </w:r>
      <w:r w:rsidR="00D77CBC">
        <w:rPr>
          <w:rFonts w:eastAsia="MS Mincho"/>
          <w:color w:val="000000"/>
          <w:sz w:val="22"/>
          <w:szCs w:val="22"/>
          <w:lang w:val="sr-Latn-ME"/>
        </w:rPr>
        <w:t>a</w:t>
      </w:r>
      <w:r w:rsidR="007D7CE1" w:rsidRPr="005474B2">
        <w:rPr>
          <w:rFonts w:eastAsia="MS Mincho"/>
          <w:color w:val="000000"/>
          <w:sz w:val="22"/>
          <w:szCs w:val="22"/>
          <w:lang w:val="sr-Latn-ME"/>
        </w:rPr>
        <w:t xml:space="preserve"> plak psorijazom.</w:t>
      </w:r>
    </w:p>
    <w:p w14:paraId="470D5056" w14:textId="247C33D3" w:rsidR="007D7CE1" w:rsidRPr="005474B2" w:rsidRDefault="007D7CE1">
      <w:pPr>
        <w:spacing w:after="200"/>
        <w:jc w:val="both"/>
        <w:rPr>
          <w:rFonts w:eastAsia="Calibri"/>
          <w:sz w:val="22"/>
          <w:szCs w:val="22"/>
          <w:u w:val="single"/>
          <w:lang w:val="sr-Latn-ME"/>
        </w:rPr>
      </w:pPr>
    </w:p>
    <w:p w14:paraId="0F6390C5" w14:textId="77777777" w:rsidR="00AB478E" w:rsidRPr="005474B2" w:rsidRDefault="00AB478E" w:rsidP="005474B2">
      <w:pPr>
        <w:widowControl w:val="0"/>
        <w:jc w:val="both"/>
        <w:rPr>
          <w:rFonts w:eastAsia="Calibri"/>
          <w:i/>
          <w:iCs/>
          <w:sz w:val="22"/>
          <w:szCs w:val="22"/>
          <w:u w:val="single"/>
        </w:rPr>
      </w:pPr>
      <w:bookmarkStart w:id="7" w:name="_Hlk108536863"/>
      <w:proofErr w:type="spellStart"/>
      <w:r w:rsidRPr="005474B2">
        <w:rPr>
          <w:rFonts w:eastAsia="Calibri"/>
          <w:i/>
          <w:iCs/>
          <w:sz w:val="22"/>
          <w:szCs w:val="22"/>
          <w:u w:val="single"/>
        </w:rPr>
        <w:t>Neželjena</w:t>
      </w:r>
      <w:proofErr w:type="spellEnd"/>
      <w:r w:rsidRPr="005474B2">
        <w:rPr>
          <w:rFonts w:eastAsia="Calibri"/>
          <w:i/>
          <w:iCs/>
          <w:sz w:val="22"/>
          <w:szCs w:val="22"/>
          <w:u w:val="single"/>
        </w:rPr>
        <w:t xml:space="preserve"> </w:t>
      </w:r>
      <w:proofErr w:type="spellStart"/>
      <w:r w:rsidRPr="005474B2">
        <w:rPr>
          <w:rFonts w:eastAsia="Calibri"/>
          <w:i/>
          <w:iCs/>
          <w:sz w:val="22"/>
          <w:szCs w:val="22"/>
          <w:u w:val="single"/>
        </w:rPr>
        <w:t>dejstva</w:t>
      </w:r>
      <w:proofErr w:type="spellEnd"/>
      <w:r w:rsidRPr="005474B2">
        <w:rPr>
          <w:rFonts w:eastAsia="Calibri"/>
          <w:i/>
          <w:iCs/>
          <w:sz w:val="22"/>
          <w:szCs w:val="22"/>
          <w:u w:val="single"/>
        </w:rPr>
        <w:t xml:space="preserve"> </w:t>
      </w:r>
      <w:proofErr w:type="spellStart"/>
      <w:r w:rsidRPr="005474B2">
        <w:rPr>
          <w:rFonts w:eastAsia="Calibri"/>
          <w:i/>
          <w:iCs/>
          <w:sz w:val="22"/>
          <w:szCs w:val="22"/>
          <w:u w:val="single"/>
        </w:rPr>
        <w:t>kod</w:t>
      </w:r>
      <w:proofErr w:type="spellEnd"/>
      <w:r w:rsidRPr="005474B2">
        <w:rPr>
          <w:rFonts w:eastAsia="Calibri"/>
          <w:i/>
          <w:iCs/>
          <w:sz w:val="22"/>
          <w:szCs w:val="22"/>
          <w:u w:val="single"/>
        </w:rPr>
        <w:t xml:space="preserve"> </w:t>
      </w:r>
      <w:proofErr w:type="spellStart"/>
      <w:r w:rsidRPr="005474B2">
        <w:rPr>
          <w:rFonts w:eastAsia="Calibri"/>
          <w:i/>
          <w:iCs/>
          <w:sz w:val="22"/>
          <w:szCs w:val="22"/>
          <w:u w:val="single"/>
        </w:rPr>
        <w:t>pedijatrijskih</w:t>
      </w:r>
      <w:proofErr w:type="spellEnd"/>
      <w:r w:rsidRPr="005474B2">
        <w:rPr>
          <w:rFonts w:eastAsia="Calibri"/>
          <w:i/>
          <w:iCs/>
          <w:sz w:val="22"/>
          <w:szCs w:val="22"/>
          <w:u w:val="single"/>
        </w:rPr>
        <w:t xml:space="preserve"> </w:t>
      </w:r>
      <w:proofErr w:type="spellStart"/>
      <w:r w:rsidRPr="005474B2">
        <w:rPr>
          <w:rFonts w:eastAsia="Calibri"/>
          <w:i/>
          <w:iCs/>
          <w:sz w:val="22"/>
          <w:szCs w:val="22"/>
          <w:u w:val="single"/>
        </w:rPr>
        <w:t>pacijenata</w:t>
      </w:r>
      <w:proofErr w:type="spellEnd"/>
      <w:r w:rsidRPr="005474B2">
        <w:rPr>
          <w:rFonts w:eastAsia="Calibri"/>
          <w:i/>
          <w:iCs/>
          <w:sz w:val="22"/>
          <w:szCs w:val="22"/>
          <w:u w:val="single"/>
        </w:rPr>
        <w:t xml:space="preserve"> </w:t>
      </w:r>
      <w:proofErr w:type="spellStart"/>
      <w:r w:rsidRPr="005474B2">
        <w:rPr>
          <w:rFonts w:eastAsia="Calibri"/>
          <w:i/>
          <w:iCs/>
          <w:sz w:val="22"/>
          <w:szCs w:val="22"/>
          <w:u w:val="single"/>
        </w:rPr>
        <w:t>sa</w:t>
      </w:r>
      <w:proofErr w:type="spellEnd"/>
      <w:r w:rsidRPr="005474B2">
        <w:rPr>
          <w:rFonts w:eastAsia="Calibri"/>
          <w:i/>
          <w:iCs/>
          <w:sz w:val="22"/>
          <w:szCs w:val="22"/>
          <w:u w:val="single"/>
        </w:rPr>
        <w:t xml:space="preserve"> JIA</w:t>
      </w:r>
    </w:p>
    <w:p w14:paraId="79B57E53" w14:textId="77777777" w:rsidR="00AB478E" w:rsidRPr="0009637B" w:rsidRDefault="00AB478E" w:rsidP="005474B2">
      <w:pPr>
        <w:widowControl w:val="0"/>
        <w:jc w:val="both"/>
        <w:rPr>
          <w:rFonts w:eastAsia="Calibri"/>
          <w:sz w:val="22"/>
          <w:szCs w:val="22"/>
        </w:rPr>
      </w:pPr>
      <w:proofErr w:type="spellStart"/>
      <w:r w:rsidRPr="0009637B">
        <w:rPr>
          <w:rFonts w:eastAsia="Calibri"/>
          <w:sz w:val="22"/>
          <w:szCs w:val="22"/>
        </w:rPr>
        <w:t>Bezbjednost</w:t>
      </w:r>
      <w:proofErr w:type="spellEnd"/>
      <w:r w:rsidRPr="0009637B">
        <w:rPr>
          <w:rFonts w:eastAsia="Calibri"/>
          <w:sz w:val="22"/>
          <w:szCs w:val="22"/>
        </w:rPr>
        <w:t xml:space="preserve"> </w:t>
      </w:r>
      <w:proofErr w:type="spellStart"/>
      <w:r w:rsidRPr="0009637B">
        <w:rPr>
          <w:rFonts w:eastAsia="Calibri"/>
          <w:sz w:val="22"/>
          <w:szCs w:val="22"/>
        </w:rPr>
        <w:t>sekukinumaba</w:t>
      </w:r>
      <w:proofErr w:type="spellEnd"/>
      <w:r w:rsidRPr="0009637B">
        <w:rPr>
          <w:rFonts w:eastAsia="Calibri"/>
          <w:sz w:val="22"/>
          <w:szCs w:val="22"/>
        </w:rPr>
        <w:t xml:space="preserve"> je </w:t>
      </w:r>
      <w:proofErr w:type="spellStart"/>
      <w:r w:rsidRPr="0009637B">
        <w:rPr>
          <w:rFonts w:eastAsia="Calibri"/>
          <w:sz w:val="22"/>
          <w:szCs w:val="22"/>
        </w:rPr>
        <w:t>takođe</w:t>
      </w:r>
      <w:proofErr w:type="spellEnd"/>
      <w:r w:rsidRPr="0009637B">
        <w:rPr>
          <w:rFonts w:eastAsia="Calibri"/>
          <w:sz w:val="22"/>
          <w:szCs w:val="22"/>
        </w:rPr>
        <w:t xml:space="preserve"> </w:t>
      </w:r>
      <w:proofErr w:type="spellStart"/>
      <w:r w:rsidRPr="0009637B">
        <w:rPr>
          <w:rFonts w:eastAsia="Calibri"/>
          <w:sz w:val="22"/>
          <w:szCs w:val="22"/>
        </w:rPr>
        <w:t>procjenjivana</w:t>
      </w:r>
      <w:proofErr w:type="spellEnd"/>
      <w:r w:rsidRPr="0009637B">
        <w:rPr>
          <w:rFonts w:eastAsia="Calibri"/>
          <w:sz w:val="22"/>
          <w:szCs w:val="22"/>
        </w:rPr>
        <w:t xml:space="preserve"> </w:t>
      </w:r>
      <w:proofErr w:type="spellStart"/>
      <w:r w:rsidRPr="0009637B">
        <w:rPr>
          <w:rFonts w:eastAsia="Calibri"/>
          <w:sz w:val="22"/>
          <w:szCs w:val="22"/>
        </w:rPr>
        <w:t>i</w:t>
      </w:r>
      <w:proofErr w:type="spellEnd"/>
      <w:r w:rsidRPr="0009637B">
        <w:rPr>
          <w:rFonts w:eastAsia="Calibri"/>
          <w:sz w:val="22"/>
          <w:szCs w:val="22"/>
        </w:rPr>
        <w:t xml:space="preserve"> u </w:t>
      </w:r>
      <w:proofErr w:type="spellStart"/>
      <w:r w:rsidRPr="0009637B">
        <w:rPr>
          <w:rFonts w:eastAsia="Calibri"/>
          <w:sz w:val="22"/>
          <w:szCs w:val="22"/>
        </w:rPr>
        <w:t>ispitivanju</w:t>
      </w:r>
      <w:proofErr w:type="spellEnd"/>
      <w:r w:rsidRPr="0009637B">
        <w:rPr>
          <w:rFonts w:eastAsia="Calibri"/>
          <w:sz w:val="22"/>
          <w:szCs w:val="22"/>
        </w:rPr>
        <w:t xml:space="preserve"> </w:t>
      </w:r>
      <w:proofErr w:type="spellStart"/>
      <w:r w:rsidRPr="0009637B">
        <w:rPr>
          <w:rFonts w:eastAsia="Calibri"/>
          <w:sz w:val="22"/>
          <w:szCs w:val="22"/>
        </w:rPr>
        <w:t>faze</w:t>
      </w:r>
      <w:proofErr w:type="spellEnd"/>
      <w:r w:rsidRPr="0009637B">
        <w:rPr>
          <w:rFonts w:eastAsia="Calibri"/>
          <w:sz w:val="22"/>
          <w:szCs w:val="22"/>
        </w:rPr>
        <w:t xml:space="preserve"> III </w:t>
      </w:r>
      <w:proofErr w:type="spellStart"/>
      <w:r w:rsidRPr="0009637B">
        <w:rPr>
          <w:rFonts w:eastAsia="Calibri"/>
          <w:sz w:val="22"/>
          <w:szCs w:val="22"/>
        </w:rPr>
        <w:t>na</w:t>
      </w:r>
      <w:proofErr w:type="spellEnd"/>
      <w:r w:rsidRPr="0009637B">
        <w:rPr>
          <w:rFonts w:eastAsia="Calibri"/>
          <w:sz w:val="22"/>
          <w:szCs w:val="22"/>
        </w:rPr>
        <w:t xml:space="preserve"> 86 </w:t>
      </w:r>
      <w:proofErr w:type="spellStart"/>
      <w:r w:rsidRPr="0009637B">
        <w:rPr>
          <w:rFonts w:eastAsia="Calibri"/>
          <w:sz w:val="22"/>
          <w:szCs w:val="22"/>
        </w:rPr>
        <w:t>pacijenata</w:t>
      </w:r>
      <w:proofErr w:type="spellEnd"/>
      <w:r w:rsidRPr="0009637B">
        <w:rPr>
          <w:rFonts w:eastAsia="Calibri"/>
          <w:sz w:val="22"/>
          <w:szCs w:val="22"/>
        </w:rPr>
        <w:t xml:space="preserve"> </w:t>
      </w:r>
      <w:proofErr w:type="spellStart"/>
      <w:r w:rsidRPr="0009637B">
        <w:rPr>
          <w:rFonts w:eastAsia="Calibri"/>
          <w:sz w:val="22"/>
          <w:szCs w:val="22"/>
        </w:rPr>
        <w:t>sa</w:t>
      </w:r>
      <w:proofErr w:type="spellEnd"/>
      <w:r w:rsidRPr="0009637B">
        <w:rPr>
          <w:rFonts w:eastAsia="Calibri"/>
          <w:sz w:val="22"/>
          <w:szCs w:val="22"/>
        </w:rPr>
        <w:t xml:space="preserve"> </w:t>
      </w:r>
      <w:proofErr w:type="spellStart"/>
      <w:r w:rsidRPr="0009637B">
        <w:rPr>
          <w:rFonts w:eastAsia="Calibri"/>
          <w:sz w:val="22"/>
          <w:szCs w:val="22"/>
        </w:rPr>
        <w:t>juvenilnim</w:t>
      </w:r>
      <w:proofErr w:type="spellEnd"/>
      <w:r w:rsidRPr="0009637B">
        <w:rPr>
          <w:rFonts w:eastAsia="Calibri"/>
          <w:sz w:val="22"/>
          <w:szCs w:val="22"/>
        </w:rPr>
        <w:t xml:space="preserve"> </w:t>
      </w:r>
      <w:proofErr w:type="spellStart"/>
      <w:r w:rsidRPr="0009637B">
        <w:rPr>
          <w:rFonts w:eastAsia="Calibri"/>
          <w:sz w:val="22"/>
          <w:szCs w:val="22"/>
        </w:rPr>
        <w:t>idiopatskim</w:t>
      </w:r>
      <w:proofErr w:type="spellEnd"/>
      <w:r w:rsidRPr="0009637B">
        <w:rPr>
          <w:rFonts w:eastAsia="Calibri"/>
          <w:sz w:val="22"/>
          <w:szCs w:val="22"/>
        </w:rPr>
        <w:t xml:space="preserve"> </w:t>
      </w:r>
      <w:proofErr w:type="spellStart"/>
      <w:r w:rsidRPr="0009637B">
        <w:rPr>
          <w:rFonts w:eastAsia="Calibri"/>
          <w:sz w:val="22"/>
          <w:szCs w:val="22"/>
        </w:rPr>
        <w:t>artritisom</w:t>
      </w:r>
      <w:proofErr w:type="spellEnd"/>
      <w:r w:rsidRPr="0009637B">
        <w:rPr>
          <w:rFonts w:eastAsia="Calibri"/>
          <w:sz w:val="22"/>
          <w:szCs w:val="22"/>
        </w:rPr>
        <w:t xml:space="preserve"> </w:t>
      </w:r>
      <w:proofErr w:type="spellStart"/>
      <w:r w:rsidRPr="0009637B">
        <w:rPr>
          <w:rFonts w:eastAsia="Calibri"/>
          <w:sz w:val="22"/>
          <w:szCs w:val="22"/>
        </w:rPr>
        <w:t>sa</w:t>
      </w:r>
      <w:proofErr w:type="spellEnd"/>
      <w:r w:rsidRPr="0009637B">
        <w:rPr>
          <w:rFonts w:eastAsia="Calibri"/>
          <w:sz w:val="22"/>
          <w:szCs w:val="22"/>
        </w:rPr>
        <w:t xml:space="preserve"> ERA </w:t>
      </w:r>
      <w:proofErr w:type="spellStart"/>
      <w:r w:rsidRPr="0009637B">
        <w:rPr>
          <w:rFonts w:eastAsia="Calibri"/>
          <w:sz w:val="22"/>
          <w:szCs w:val="22"/>
        </w:rPr>
        <w:t>i</w:t>
      </w:r>
      <w:proofErr w:type="spellEnd"/>
      <w:r w:rsidRPr="0009637B">
        <w:rPr>
          <w:rFonts w:eastAsia="Calibri"/>
          <w:sz w:val="22"/>
          <w:szCs w:val="22"/>
        </w:rPr>
        <w:t xml:space="preserve"> </w:t>
      </w:r>
      <w:proofErr w:type="spellStart"/>
      <w:r w:rsidRPr="0009637B">
        <w:rPr>
          <w:rFonts w:eastAsia="Calibri"/>
          <w:sz w:val="22"/>
          <w:szCs w:val="22"/>
        </w:rPr>
        <w:t>JPsA</w:t>
      </w:r>
      <w:proofErr w:type="spellEnd"/>
      <w:r w:rsidRPr="0009637B">
        <w:rPr>
          <w:rFonts w:eastAsia="Calibri"/>
          <w:sz w:val="22"/>
          <w:szCs w:val="22"/>
        </w:rPr>
        <w:t xml:space="preserve"> </w:t>
      </w:r>
      <w:proofErr w:type="spellStart"/>
      <w:r w:rsidRPr="0009637B">
        <w:rPr>
          <w:rFonts w:eastAsia="Calibri"/>
          <w:sz w:val="22"/>
          <w:szCs w:val="22"/>
        </w:rPr>
        <w:t>uzrasta</w:t>
      </w:r>
      <w:proofErr w:type="spellEnd"/>
      <w:r w:rsidRPr="0009637B">
        <w:rPr>
          <w:rFonts w:eastAsia="Calibri"/>
          <w:sz w:val="22"/>
          <w:szCs w:val="22"/>
        </w:rPr>
        <w:t xml:space="preserve"> od 2 do </w:t>
      </w:r>
      <w:proofErr w:type="spellStart"/>
      <w:r w:rsidRPr="0009637B">
        <w:rPr>
          <w:rFonts w:eastAsia="Calibri"/>
          <w:sz w:val="22"/>
          <w:szCs w:val="22"/>
        </w:rPr>
        <w:t>manje</w:t>
      </w:r>
      <w:proofErr w:type="spellEnd"/>
      <w:r w:rsidRPr="0009637B">
        <w:rPr>
          <w:rFonts w:eastAsia="Calibri"/>
          <w:sz w:val="22"/>
          <w:szCs w:val="22"/>
        </w:rPr>
        <w:t xml:space="preserve"> od 18 </w:t>
      </w:r>
      <w:proofErr w:type="spellStart"/>
      <w:r w:rsidRPr="0009637B">
        <w:rPr>
          <w:rFonts w:eastAsia="Calibri"/>
          <w:sz w:val="22"/>
          <w:szCs w:val="22"/>
        </w:rPr>
        <w:t>godina</w:t>
      </w:r>
      <w:proofErr w:type="spellEnd"/>
      <w:r w:rsidRPr="0009637B">
        <w:rPr>
          <w:rFonts w:eastAsia="Calibri"/>
          <w:sz w:val="22"/>
          <w:szCs w:val="22"/>
        </w:rPr>
        <w:t xml:space="preserve">. </w:t>
      </w:r>
      <w:proofErr w:type="spellStart"/>
      <w:r w:rsidRPr="0009637B">
        <w:rPr>
          <w:rFonts w:eastAsia="Calibri"/>
          <w:sz w:val="22"/>
          <w:szCs w:val="22"/>
        </w:rPr>
        <w:t>Bezbjednosni</w:t>
      </w:r>
      <w:proofErr w:type="spellEnd"/>
      <w:r w:rsidRPr="0009637B">
        <w:rPr>
          <w:rFonts w:eastAsia="Calibri"/>
          <w:sz w:val="22"/>
          <w:szCs w:val="22"/>
        </w:rPr>
        <w:t xml:space="preserve"> </w:t>
      </w:r>
      <w:proofErr w:type="spellStart"/>
      <w:r w:rsidRPr="0009637B">
        <w:rPr>
          <w:rFonts w:eastAsia="Calibri"/>
          <w:sz w:val="22"/>
          <w:szCs w:val="22"/>
        </w:rPr>
        <w:t>profil</w:t>
      </w:r>
      <w:proofErr w:type="spellEnd"/>
      <w:r w:rsidRPr="0009637B">
        <w:rPr>
          <w:rFonts w:eastAsia="Calibri"/>
          <w:sz w:val="22"/>
          <w:szCs w:val="22"/>
        </w:rPr>
        <w:t xml:space="preserve"> </w:t>
      </w:r>
      <w:proofErr w:type="spellStart"/>
      <w:r w:rsidRPr="0009637B">
        <w:rPr>
          <w:rFonts w:eastAsia="Calibri"/>
          <w:sz w:val="22"/>
          <w:szCs w:val="22"/>
        </w:rPr>
        <w:t>prijavljen</w:t>
      </w:r>
      <w:proofErr w:type="spellEnd"/>
      <w:r w:rsidRPr="0009637B">
        <w:rPr>
          <w:rFonts w:eastAsia="Calibri"/>
          <w:sz w:val="22"/>
          <w:szCs w:val="22"/>
        </w:rPr>
        <w:t xml:space="preserve"> u tom </w:t>
      </w:r>
      <w:proofErr w:type="spellStart"/>
      <w:r w:rsidRPr="0009637B">
        <w:rPr>
          <w:rFonts w:eastAsia="Calibri"/>
          <w:sz w:val="22"/>
          <w:szCs w:val="22"/>
        </w:rPr>
        <w:t>ispitivanju</w:t>
      </w:r>
      <w:proofErr w:type="spellEnd"/>
      <w:r w:rsidRPr="0009637B">
        <w:rPr>
          <w:rFonts w:eastAsia="Calibri"/>
          <w:sz w:val="22"/>
          <w:szCs w:val="22"/>
        </w:rPr>
        <w:t xml:space="preserve"> je bio u </w:t>
      </w:r>
      <w:proofErr w:type="spellStart"/>
      <w:r w:rsidRPr="0009637B">
        <w:rPr>
          <w:rFonts w:eastAsia="Calibri"/>
          <w:sz w:val="22"/>
          <w:szCs w:val="22"/>
        </w:rPr>
        <w:t>skladu</w:t>
      </w:r>
      <w:proofErr w:type="spellEnd"/>
      <w:r w:rsidRPr="0009637B">
        <w:rPr>
          <w:rFonts w:eastAsia="Calibri"/>
          <w:sz w:val="22"/>
          <w:szCs w:val="22"/>
        </w:rPr>
        <w:t xml:space="preserve"> </w:t>
      </w:r>
      <w:proofErr w:type="spellStart"/>
      <w:r w:rsidRPr="0009637B">
        <w:rPr>
          <w:rFonts w:eastAsia="Calibri"/>
          <w:sz w:val="22"/>
          <w:szCs w:val="22"/>
        </w:rPr>
        <w:t>sa</w:t>
      </w:r>
      <w:proofErr w:type="spellEnd"/>
      <w:r w:rsidRPr="0009637B">
        <w:rPr>
          <w:rFonts w:eastAsia="Calibri"/>
          <w:sz w:val="22"/>
          <w:szCs w:val="22"/>
        </w:rPr>
        <w:t xml:space="preserve"> </w:t>
      </w:r>
      <w:proofErr w:type="spellStart"/>
      <w:r w:rsidRPr="0009637B">
        <w:rPr>
          <w:rFonts w:eastAsia="Calibri"/>
          <w:sz w:val="22"/>
          <w:szCs w:val="22"/>
        </w:rPr>
        <w:t>bezbjednosnim</w:t>
      </w:r>
      <w:proofErr w:type="spellEnd"/>
      <w:r w:rsidRPr="0009637B">
        <w:rPr>
          <w:rFonts w:eastAsia="Calibri"/>
          <w:sz w:val="22"/>
          <w:szCs w:val="22"/>
        </w:rPr>
        <w:t xml:space="preserve"> </w:t>
      </w:r>
      <w:proofErr w:type="spellStart"/>
      <w:r w:rsidRPr="0009637B">
        <w:rPr>
          <w:rFonts w:eastAsia="Calibri"/>
          <w:sz w:val="22"/>
          <w:szCs w:val="22"/>
        </w:rPr>
        <w:t>profilom</w:t>
      </w:r>
      <w:proofErr w:type="spellEnd"/>
      <w:r w:rsidRPr="0009637B">
        <w:rPr>
          <w:rFonts w:eastAsia="Calibri"/>
          <w:sz w:val="22"/>
          <w:szCs w:val="22"/>
        </w:rPr>
        <w:t xml:space="preserve"> </w:t>
      </w:r>
      <w:proofErr w:type="spellStart"/>
      <w:r w:rsidRPr="0009637B">
        <w:rPr>
          <w:rFonts w:eastAsia="Calibri"/>
          <w:sz w:val="22"/>
          <w:szCs w:val="22"/>
        </w:rPr>
        <w:t>prijavljenim</w:t>
      </w:r>
      <w:proofErr w:type="spellEnd"/>
      <w:r w:rsidRPr="0009637B">
        <w:rPr>
          <w:rFonts w:eastAsia="Calibri"/>
          <w:sz w:val="22"/>
          <w:szCs w:val="22"/>
        </w:rPr>
        <w:t xml:space="preserve"> </w:t>
      </w:r>
      <w:proofErr w:type="spellStart"/>
      <w:r w:rsidRPr="0009637B">
        <w:rPr>
          <w:rFonts w:eastAsia="Calibri"/>
          <w:sz w:val="22"/>
          <w:szCs w:val="22"/>
        </w:rPr>
        <w:t>kod</w:t>
      </w:r>
      <w:proofErr w:type="spellEnd"/>
      <w:r w:rsidRPr="0009637B">
        <w:rPr>
          <w:rFonts w:eastAsia="Calibri"/>
          <w:sz w:val="22"/>
          <w:szCs w:val="22"/>
        </w:rPr>
        <w:t xml:space="preserve"> </w:t>
      </w:r>
      <w:proofErr w:type="spellStart"/>
      <w:r w:rsidRPr="0009637B">
        <w:rPr>
          <w:rFonts w:eastAsia="Calibri"/>
          <w:sz w:val="22"/>
          <w:szCs w:val="22"/>
        </w:rPr>
        <w:t>odraslih</w:t>
      </w:r>
      <w:proofErr w:type="spellEnd"/>
      <w:r w:rsidRPr="0009637B">
        <w:rPr>
          <w:rFonts w:eastAsia="Calibri"/>
          <w:sz w:val="22"/>
          <w:szCs w:val="22"/>
        </w:rPr>
        <w:t xml:space="preserve"> </w:t>
      </w:r>
      <w:proofErr w:type="spellStart"/>
      <w:r w:rsidRPr="0009637B">
        <w:rPr>
          <w:rFonts w:eastAsia="Calibri"/>
          <w:sz w:val="22"/>
          <w:szCs w:val="22"/>
        </w:rPr>
        <w:t>pacijenata</w:t>
      </w:r>
      <w:proofErr w:type="spellEnd"/>
      <w:r w:rsidRPr="0009637B">
        <w:rPr>
          <w:rFonts w:eastAsia="Calibri"/>
          <w:sz w:val="22"/>
          <w:szCs w:val="22"/>
        </w:rPr>
        <w:t>.</w:t>
      </w:r>
    </w:p>
    <w:bookmarkEnd w:id="7"/>
    <w:p w14:paraId="4BDCE198" w14:textId="77777777" w:rsidR="00AB478E" w:rsidRPr="005474B2" w:rsidRDefault="00AB478E" w:rsidP="0009637B">
      <w:pPr>
        <w:spacing w:after="200"/>
        <w:jc w:val="both"/>
        <w:rPr>
          <w:rFonts w:eastAsia="Calibri"/>
          <w:sz w:val="22"/>
          <w:szCs w:val="22"/>
          <w:lang w:val="sr-Latn-ME"/>
        </w:rPr>
      </w:pPr>
    </w:p>
    <w:p w14:paraId="64CFCEBA" w14:textId="77777777" w:rsidR="005A23D2" w:rsidRPr="005474B2" w:rsidRDefault="005A23D2" w:rsidP="0009637B">
      <w:pPr>
        <w:spacing w:after="200"/>
        <w:jc w:val="both"/>
        <w:rPr>
          <w:rFonts w:eastAsia="Calibri"/>
          <w:sz w:val="22"/>
          <w:szCs w:val="22"/>
          <w:u w:val="single"/>
          <w:lang w:val="sr-Latn-ME"/>
        </w:rPr>
      </w:pPr>
      <w:r w:rsidRPr="005474B2">
        <w:rPr>
          <w:rFonts w:eastAsia="Calibri"/>
          <w:sz w:val="22"/>
          <w:szCs w:val="22"/>
          <w:u w:val="single"/>
          <w:lang w:val="sr-Latn-ME"/>
        </w:rPr>
        <w:t>Prijavljivanje sumnji na neželjena dejstva</w:t>
      </w:r>
    </w:p>
    <w:p w14:paraId="4D95CDB2" w14:textId="77777777" w:rsidR="000F7BCE" w:rsidRPr="005474B2" w:rsidRDefault="000F7BCE">
      <w:pPr>
        <w:spacing w:after="200"/>
        <w:jc w:val="both"/>
        <w:rPr>
          <w:rFonts w:eastAsia="Calibri"/>
          <w:sz w:val="22"/>
          <w:szCs w:val="22"/>
          <w:lang w:val="sr-Latn-ME"/>
        </w:rPr>
      </w:pPr>
      <w:r w:rsidRPr="005474B2">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70105F3" w14:textId="77777777" w:rsidR="000F7BCE" w:rsidRPr="005474B2" w:rsidRDefault="000F7BCE">
      <w:pPr>
        <w:pStyle w:val="NoSpacing"/>
        <w:jc w:val="both"/>
        <w:rPr>
          <w:rFonts w:eastAsia="Calibri"/>
          <w:sz w:val="22"/>
          <w:szCs w:val="22"/>
          <w:lang w:val="sr-Latn-ME"/>
        </w:rPr>
      </w:pPr>
      <w:r w:rsidRPr="005474B2">
        <w:rPr>
          <w:rFonts w:eastAsia="Calibri"/>
          <w:sz w:val="22"/>
          <w:szCs w:val="22"/>
          <w:lang w:val="sr-Latn-ME"/>
        </w:rPr>
        <w:t xml:space="preserve">Institut za ljekove i medicinska sredstva </w:t>
      </w:r>
    </w:p>
    <w:p w14:paraId="4D4DFE6A" w14:textId="77777777" w:rsidR="000F7BCE" w:rsidRPr="005474B2" w:rsidRDefault="000F7BCE">
      <w:pPr>
        <w:pStyle w:val="NoSpacing"/>
        <w:jc w:val="both"/>
        <w:rPr>
          <w:rFonts w:eastAsia="Calibri"/>
          <w:sz w:val="22"/>
          <w:szCs w:val="22"/>
          <w:lang w:val="sr-Latn-ME"/>
        </w:rPr>
      </w:pPr>
      <w:r w:rsidRPr="005474B2">
        <w:rPr>
          <w:rFonts w:eastAsia="Calibri"/>
          <w:sz w:val="22"/>
          <w:szCs w:val="22"/>
          <w:lang w:val="sr-Latn-ME"/>
        </w:rPr>
        <w:t>Odjeljenje za farmakovigilancu</w:t>
      </w:r>
    </w:p>
    <w:p w14:paraId="4425F8C2" w14:textId="77777777" w:rsidR="000F7BCE" w:rsidRPr="005474B2" w:rsidRDefault="000F7BCE">
      <w:pPr>
        <w:pStyle w:val="NoSpacing"/>
        <w:jc w:val="both"/>
        <w:rPr>
          <w:rFonts w:eastAsia="Calibri"/>
          <w:sz w:val="22"/>
          <w:szCs w:val="22"/>
          <w:lang w:val="sr-Latn-ME"/>
        </w:rPr>
      </w:pPr>
      <w:r w:rsidRPr="005474B2">
        <w:rPr>
          <w:rFonts w:eastAsia="Calibri"/>
          <w:sz w:val="22"/>
          <w:szCs w:val="22"/>
          <w:lang w:val="sr-Latn-ME"/>
        </w:rPr>
        <w:t>Bulevar Ivana Crnojevića 64a, 81000 Podgorica</w:t>
      </w:r>
    </w:p>
    <w:p w14:paraId="7FC4F28E" w14:textId="77777777" w:rsidR="000F7BCE" w:rsidRPr="005474B2" w:rsidRDefault="000F7BCE">
      <w:pPr>
        <w:pStyle w:val="NoSpacing"/>
        <w:jc w:val="both"/>
        <w:rPr>
          <w:rFonts w:eastAsia="Calibri"/>
          <w:sz w:val="22"/>
          <w:szCs w:val="22"/>
          <w:lang w:val="sr-Latn-ME"/>
        </w:rPr>
      </w:pPr>
    </w:p>
    <w:p w14:paraId="419A27C0" w14:textId="77777777" w:rsidR="000F7BCE" w:rsidRPr="005474B2" w:rsidRDefault="000F7BCE">
      <w:pPr>
        <w:pStyle w:val="NoSpacing"/>
        <w:jc w:val="both"/>
        <w:rPr>
          <w:rFonts w:eastAsia="Calibri"/>
          <w:sz w:val="22"/>
          <w:szCs w:val="22"/>
          <w:lang w:val="sr-Latn-ME"/>
        </w:rPr>
      </w:pPr>
      <w:r w:rsidRPr="005474B2">
        <w:rPr>
          <w:rFonts w:eastAsia="Calibri"/>
          <w:sz w:val="22"/>
          <w:szCs w:val="22"/>
          <w:lang w:val="sr-Latn-ME"/>
        </w:rPr>
        <w:t>tel: +382 (0) 20 310 280</w:t>
      </w:r>
    </w:p>
    <w:p w14:paraId="51F3B575" w14:textId="77777777" w:rsidR="000F7BCE" w:rsidRPr="005474B2" w:rsidRDefault="000F7BCE">
      <w:pPr>
        <w:pStyle w:val="NoSpacing"/>
        <w:jc w:val="both"/>
        <w:rPr>
          <w:rFonts w:eastAsia="Calibri"/>
          <w:sz w:val="22"/>
          <w:szCs w:val="22"/>
          <w:lang w:val="sr-Latn-ME"/>
        </w:rPr>
      </w:pPr>
      <w:r w:rsidRPr="005474B2">
        <w:rPr>
          <w:rFonts w:eastAsia="Calibri"/>
          <w:sz w:val="22"/>
          <w:szCs w:val="22"/>
          <w:lang w:val="sr-Latn-ME"/>
        </w:rPr>
        <w:t>fax: +382 (0) 20 310 581</w:t>
      </w:r>
    </w:p>
    <w:p w14:paraId="0D853900" w14:textId="77777777" w:rsidR="000F7BCE" w:rsidRPr="005474B2" w:rsidRDefault="00204B20">
      <w:pPr>
        <w:pStyle w:val="NoSpacing"/>
        <w:jc w:val="both"/>
        <w:rPr>
          <w:rFonts w:eastAsia="Calibri"/>
          <w:sz w:val="22"/>
          <w:szCs w:val="22"/>
          <w:lang w:val="sr-Latn-ME"/>
        </w:rPr>
      </w:pPr>
      <w:hyperlink r:id="rId8" w:history="1">
        <w:r w:rsidR="000F7BCE" w:rsidRPr="005474B2">
          <w:rPr>
            <w:rStyle w:val="Hyperlink"/>
            <w:rFonts w:eastAsia="Calibri"/>
            <w:sz w:val="22"/>
            <w:szCs w:val="22"/>
            <w:lang w:val="sr-Latn-ME"/>
          </w:rPr>
          <w:t>www.cinmed.me</w:t>
        </w:r>
      </w:hyperlink>
    </w:p>
    <w:p w14:paraId="4AE87344" w14:textId="77777777" w:rsidR="000F7BCE" w:rsidRPr="005474B2" w:rsidRDefault="00204B20">
      <w:pPr>
        <w:pStyle w:val="NoSpacing"/>
        <w:jc w:val="both"/>
        <w:rPr>
          <w:rFonts w:eastAsia="Calibri"/>
          <w:color w:val="0000FF"/>
          <w:sz w:val="22"/>
          <w:szCs w:val="22"/>
          <w:u w:val="single"/>
          <w:lang w:val="sr-Latn-ME"/>
        </w:rPr>
      </w:pPr>
      <w:hyperlink r:id="rId9" w:history="1">
        <w:r w:rsidR="000F7BCE" w:rsidRPr="005474B2">
          <w:rPr>
            <w:rStyle w:val="Hyperlink"/>
            <w:rFonts w:eastAsia="Calibri"/>
            <w:sz w:val="22"/>
            <w:szCs w:val="22"/>
            <w:lang w:val="sr-Latn-ME"/>
          </w:rPr>
          <w:t>nezeljenadejstva@cinmed.me</w:t>
        </w:r>
      </w:hyperlink>
    </w:p>
    <w:p w14:paraId="529ACF5E" w14:textId="71B6AA57" w:rsidR="000F7BCE" w:rsidRPr="005474B2" w:rsidRDefault="000F7BCE">
      <w:pPr>
        <w:pStyle w:val="NoSpacing"/>
        <w:jc w:val="both"/>
        <w:rPr>
          <w:rFonts w:eastAsia="Calibri"/>
          <w:sz w:val="22"/>
          <w:szCs w:val="22"/>
          <w:lang w:val="sr-Latn-ME"/>
        </w:rPr>
      </w:pPr>
      <w:r w:rsidRPr="005474B2">
        <w:rPr>
          <w:rFonts w:eastAsia="Calibri"/>
          <w:sz w:val="22"/>
          <w:szCs w:val="22"/>
          <w:lang w:val="sr-Latn-ME"/>
        </w:rPr>
        <w:t>putem IS zdravstvene zaštite</w:t>
      </w:r>
    </w:p>
    <w:p w14:paraId="07B1C12C" w14:textId="77777777" w:rsidR="00114691" w:rsidRPr="005474B2" w:rsidRDefault="00114691">
      <w:pPr>
        <w:pStyle w:val="NoSpacing"/>
        <w:jc w:val="both"/>
        <w:rPr>
          <w:rFonts w:eastAsia="Calibri"/>
          <w:sz w:val="22"/>
          <w:szCs w:val="22"/>
          <w:lang w:val="sr-Latn-ME"/>
        </w:rPr>
      </w:pPr>
    </w:p>
    <w:p w14:paraId="33596453" w14:textId="77777777" w:rsidR="001C45EC" w:rsidRPr="0009637B" w:rsidRDefault="001C45EC">
      <w:pPr>
        <w:pStyle w:val="NoSpacing"/>
        <w:jc w:val="both"/>
        <w:rPr>
          <w:rFonts w:eastAsia="Calibri"/>
          <w:sz w:val="22"/>
          <w:szCs w:val="22"/>
          <w:lang w:val="sr-Latn-RS"/>
        </w:rPr>
      </w:pPr>
      <w:r w:rsidRPr="0009637B">
        <w:rPr>
          <w:rFonts w:eastAsia="Calibri"/>
          <w:sz w:val="22"/>
          <w:szCs w:val="22"/>
          <w:lang w:val="sr-Latn-RS"/>
        </w:rPr>
        <w:t>QR kod za online prijavu sumnje na neželjeno dejstvo lijeka:</w:t>
      </w:r>
    </w:p>
    <w:p w14:paraId="076A8EA3" w14:textId="77777777" w:rsidR="001C45EC" w:rsidRPr="0009637B" w:rsidRDefault="001C45EC">
      <w:pPr>
        <w:pStyle w:val="NoSpacing"/>
        <w:jc w:val="both"/>
        <w:rPr>
          <w:rFonts w:eastAsia="Calibri"/>
          <w:sz w:val="22"/>
          <w:szCs w:val="22"/>
          <w:lang w:val="sr-Latn-RS"/>
        </w:rPr>
      </w:pPr>
    </w:p>
    <w:p w14:paraId="1DEEA576" w14:textId="50C6E2C4" w:rsidR="001C45EC" w:rsidRPr="0009637B" w:rsidRDefault="001C45EC">
      <w:pPr>
        <w:pStyle w:val="NoSpacing"/>
        <w:jc w:val="both"/>
        <w:rPr>
          <w:rFonts w:eastAsia="Calibri"/>
          <w:sz w:val="22"/>
          <w:szCs w:val="22"/>
          <w:lang w:val="sr-Latn-RS"/>
        </w:rPr>
      </w:pPr>
      <w:r w:rsidRPr="005474B2">
        <w:rPr>
          <w:noProof/>
          <w:sz w:val="22"/>
          <w:szCs w:val="22"/>
        </w:rPr>
        <w:drawing>
          <wp:inline distT="0" distB="0" distL="0" distR="0" wp14:anchorId="100F3B0F" wp14:editId="438141D2">
            <wp:extent cx="967740" cy="967740"/>
            <wp:effectExtent l="0" t="0" r="3810" b="3810"/>
            <wp:docPr id="14" name="Picture 14"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674E53B7" w14:textId="77777777" w:rsidR="001C45EC" w:rsidRPr="0009637B" w:rsidRDefault="001C45EC">
      <w:pPr>
        <w:tabs>
          <w:tab w:val="left" w:pos="540"/>
          <w:tab w:val="left" w:pos="569"/>
        </w:tabs>
        <w:jc w:val="both"/>
        <w:rPr>
          <w:b/>
          <w:bCs/>
          <w:sz w:val="22"/>
          <w:szCs w:val="22"/>
        </w:rPr>
      </w:pPr>
    </w:p>
    <w:p w14:paraId="6DA3F385" w14:textId="77777777" w:rsidR="00836B35" w:rsidRPr="005474B2" w:rsidRDefault="00836B35">
      <w:pPr>
        <w:tabs>
          <w:tab w:val="left" w:pos="540"/>
          <w:tab w:val="left" w:pos="569"/>
        </w:tabs>
        <w:jc w:val="both"/>
        <w:rPr>
          <w:b/>
          <w:bCs/>
          <w:sz w:val="22"/>
          <w:szCs w:val="22"/>
          <w:lang w:val="sr-Latn-ME"/>
        </w:rPr>
      </w:pPr>
    </w:p>
    <w:p w14:paraId="45C215AD" w14:textId="77777777" w:rsidR="00CD6F02"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4.9. </w:t>
      </w:r>
      <w:r w:rsidR="00480FB1" w:rsidRPr="005474B2">
        <w:rPr>
          <w:b/>
          <w:bCs/>
          <w:sz w:val="22"/>
          <w:szCs w:val="22"/>
          <w:lang w:val="sr-Latn-ME"/>
        </w:rPr>
        <w:tab/>
      </w:r>
      <w:r w:rsidRPr="005474B2">
        <w:rPr>
          <w:b/>
          <w:bCs/>
          <w:sz w:val="22"/>
          <w:szCs w:val="22"/>
          <w:lang w:val="sr-Latn-ME"/>
        </w:rPr>
        <w:t>Predoziranje</w:t>
      </w:r>
      <w:r w:rsidR="002846DB" w:rsidRPr="005474B2">
        <w:rPr>
          <w:b/>
          <w:bCs/>
          <w:sz w:val="22"/>
          <w:szCs w:val="22"/>
          <w:lang w:val="sr-Latn-ME"/>
        </w:rPr>
        <w:t xml:space="preserve"> </w:t>
      </w:r>
    </w:p>
    <w:p w14:paraId="41C6581A" w14:textId="77777777" w:rsidR="00CD6F02" w:rsidRPr="005474B2" w:rsidRDefault="00CD6F02">
      <w:pPr>
        <w:tabs>
          <w:tab w:val="left" w:pos="540"/>
          <w:tab w:val="left" w:pos="569"/>
        </w:tabs>
        <w:jc w:val="both"/>
        <w:rPr>
          <w:b/>
          <w:bCs/>
          <w:sz w:val="22"/>
          <w:szCs w:val="22"/>
          <w:lang w:val="sr-Latn-ME"/>
        </w:rPr>
      </w:pPr>
    </w:p>
    <w:p w14:paraId="712EB782" w14:textId="487406D2" w:rsidR="007D7CE1" w:rsidRPr="005474B2" w:rsidRDefault="007D7CE1">
      <w:pPr>
        <w:tabs>
          <w:tab w:val="left" w:pos="284"/>
        </w:tabs>
        <w:jc w:val="both"/>
        <w:rPr>
          <w:sz w:val="22"/>
          <w:szCs w:val="22"/>
          <w:lang w:val="sr-Latn-ME"/>
        </w:rPr>
      </w:pPr>
      <w:r w:rsidRPr="005474B2">
        <w:rPr>
          <w:sz w:val="22"/>
          <w:szCs w:val="22"/>
          <w:lang w:val="sr-Latn-ME"/>
        </w:rPr>
        <w:t>Doze do 30 mg/kg (oko 2000 do 3000 mg) su bile prim</w:t>
      </w:r>
      <w:r w:rsidR="00A23A61" w:rsidRPr="005474B2">
        <w:rPr>
          <w:sz w:val="22"/>
          <w:szCs w:val="22"/>
          <w:lang w:val="sr-Latn-ME"/>
        </w:rPr>
        <w:t>j</w:t>
      </w:r>
      <w:r w:rsidRPr="005474B2">
        <w:rPr>
          <w:sz w:val="22"/>
          <w:szCs w:val="22"/>
          <w:lang w:val="sr-Latn-ME"/>
        </w:rPr>
        <w:t xml:space="preserve">enjivane intravenski u kliničkim ispitivanjima bez dozno-zavisne toksičnosti. U slučaju predoziranja, preporučuje se praćenje pojave bilo kojih znakova ili simptoma neželjenih reakcija kod pacijenta i </w:t>
      </w:r>
      <w:r w:rsidR="00E15173" w:rsidRPr="005474B2">
        <w:rPr>
          <w:sz w:val="22"/>
          <w:szCs w:val="22"/>
          <w:lang w:val="sr-Latn-ME"/>
        </w:rPr>
        <w:t xml:space="preserve">hitno </w:t>
      </w:r>
      <w:r w:rsidRPr="005474B2">
        <w:rPr>
          <w:sz w:val="22"/>
          <w:szCs w:val="22"/>
          <w:lang w:val="sr-Latn-ME"/>
        </w:rPr>
        <w:t xml:space="preserve">započinjanje odgovarajućeg simptomatskog </w:t>
      </w:r>
      <w:r w:rsidR="009A4880" w:rsidRPr="005474B2">
        <w:rPr>
          <w:sz w:val="22"/>
          <w:szCs w:val="22"/>
          <w:lang w:val="sr-Latn-ME"/>
        </w:rPr>
        <w:t>liječ</w:t>
      </w:r>
      <w:r w:rsidRPr="005474B2">
        <w:rPr>
          <w:sz w:val="22"/>
          <w:szCs w:val="22"/>
          <w:lang w:val="sr-Latn-ME"/>
        </w:rPr>
        <w:t>enja.</w:t>
      </w:r>
    </w:p>
    <w:p w14:paraId="134A88CD" w14:textId="77777777" w:rsidR="00114691" w:rsidRPr="005474B2" w:rsidRDefault="00114691">
      <w:pPr>
        <w:tabs>
          <w:tab w:val="left" w:pos="284"/>
        </w:tabs>
        <w:jc w:val="both"/>
        <w:rPr>
          <w:sz w:val="22"/>
          <w:szCs w:val="22"/>
          <w:lang w:val="sr-Latn-ME"/>
        </w:rPr>
      </w:pPr>
    </w:p>
    <w:p w14:paraId="2842DCCE" w14:textId="77777777" w:rsidR="00227BDB" w:rsidRPr="005474B2" w:rsidRDefault="00227BDB">
      <w:pPr>
        <w:tabs>
          <w:tab w:val="left" w:pos="540"/>
          <w:tab w:val="left" w:pos="569"/>
        </w:tabs>
        <w:jc w:val="both"/>
        <w:rPr>
          <w:b/>
          <w:bCs/>
          <w:sz w:val="22"/>
          <w:szCs w:val="22"/>
          <w:lang w:val="sr-Latn-ME"/>
        </w:rPr>
      </w:pPr>
    </w:p>
    <w:p w14:paraId="281D97F0"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5. </w:t>
      </w:r>
      <w:r w:rsidR="00480FB1" w:rsidRPr="005474B2">
        <w:rPr>
          <w:b/>
          <w:bCs/>
          <w:sz w:val="22"/>
          <w:szCs w:val="22"/>
          <w:lang w:val="sr-Latn-ME"/>
        </w:rPr>
        <w:tab/>
      </w:r>
      <w:r w:rsidRPr="005474B2">
        <w:rPr>
          <w:b/>
          <w:bCs/>
          <w:sz w:val="22"/>
          <w:szCs w:val="22"/>
          <w:lang w:val="sr-Latn-ME"/>
        </w:rPr>
        <w:t>FARMAKOLOŠK</w:t>
      </w:r>
      <w:r w:rsidR="000D425A" w:rsidRPr="005474B2">
        <w:rPr>
          <w:b/>
          <w:bCs/>
          <w:sz w:val="22"/>
          <w:szCs w:val="22"/>
          <w:lang w:val="sr-Latn-ME"/>
        </w:rPr>
        <w:t>I</w:t>
      </w:r>
      <w:r w:rsidRPr="005474B2">
        <w:rPr>
          <w:b/>
          <w:bCs/>
          <w:sz w:val="22"/>
          <w:szCs w:val="22"/>
          <w:lang w:val="sr-Latn-ME"/>
        </w:rPr>
        <w:t xml:space="preserve"> PODACI</w:t>
      </w:r>
    </w:p>
    <w:p w14:paraId="125AA882" w14:textId="77777777" w:rsidR="0072020E" w:rsidRPr="005474B2" w:rsidRDefault="0072020E">
      <w:pPr>
        <w:tabs>
          <w:tab w:val="left" w:pos="540"/>
          <w:tab w:val="left" w:pos="569"/>
        </w:tabs>
        <w:jc w:val="both"/>
        <w:rPr>
          <w:b/>
          <w:bCs/>
          <w:sz w:val="22"/>
          <w:szCs w:val="22"/>
          <w:lang w:val="sr-Latn-ME"/>
        </w:rPr>
      </w:pPr>
    </w:p>
    <w:p w14:paraId="3AFF404B"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5.1. </w:t>
      </w:r>
      <w:r w:rsidR="00480FB1" w:rsidRPr="005474B2">
        <w:rPr>
          <w:b/>
          <w:bCs/>
          <w:sz w:val="22"/>
          <w:szCs w:val="22"/>
          <w:lang w:val="sr-Latn-ME"/>
        </w:rPr>
        <w:tab/>
      </w:r>
      <w:r w:rsidRPr="005474B2">
        <w:rPr>
          <w:b/>
          <w:bCs/>
          <w:sz w:val="22"/>
          <w:szCs w:val="22"/>
          <w:lang w:val="sr-Latn-ME"/>
        </w:rPr>
        <w:t>Farmakodinamski podaci</w:t>
      </w:r>
      <w:r w:rsidR="003A7059" w:rsidRPr="005474B2">
        <w:rPr>
          <w:b/>
          <w:bCs/>
          <w:sz w:val="22"/>
          <w:szCs w:val="22"/>
          <w:lang w:val="sr-Latn-ME"/>
        </w:rPr>
        <w:t xml:space="preserve"> </w:t>
      </w:r>
    </w:p>
    <w:p w14:paraId="6D525882" w14:textId="77777777" w:rsidR="00F45F77" w:rsidRPr="005474B2" w:rsidRDefault="00F45F77">
      <w:pPr>
        <w:tabs>
          <w:tab w:val="left" w:pos="540"/>
          <w:tab w:val="left" w:pos="569"/>
        </w:tabs>
        <w:jc w:val="both"/>
        <w:rPr>
          <w:b/>
          <w:bCs/>
          <w:sz w:val="22"/>
          <w:szCs w:val="22"/>
          <w:lang w:val="sr-Latn-ME"/>
        </w:rPr>
      </w:pPr>
    </w:p>
    <w:p w14:paraId="0B1A5636" w14:textId="70323EE9" w:rsidR="0072020E" w:rsidRPr="005474B2" w:rsidRDefault="0072020E">
      <w:pPr>
        <w:autoSpaceDE w:val="0"/>
        <w:autoSpaceDN w:val="0"/>
        <w:adjustRightInd w:val="0"/>
        <w:jc w:val="both"/>
        <w:rPr>
          <w:sz w:val="22"/>
          <w:szCs w:val="22"/>
          <w:lang w:val="sr-Latn-ME"/>
        </w:rPr>
      </w:pPr>
      <w:r w:rsidRPr="005474B2">
        <w:rPr>
          <w:bCs/>
          <w:sz w:val="22"/>
          <w:szCs w:val="22"/>
          <w:lang w:val="sr-Latn-ME"/>
        </w:rPr>
        <w:t>Farmakoterapijska grupa:</w:t>
      </w:r>
      <w:r w:rsidR="007D7CE1" w:rsidRPr="005474B2">
        <w:rPr>
          <w:bCs/>
          <w:sz w:val="22"/>
          <w:szCs w:val="22"/>
          <w:lang w:val="sr-Latn-ME"/>
        </w:rPr>
        <w:t xml:space="preserve"> </w:t>
      </w:r>
      <w:r w:rsidR="007D7CE1" w:rsidRPr="005474B2">
        <w:rPr>
          <w:sz w:val="22"/>
          <w:szCs w:val="22"/>
          <w:lang w:val="sr-Latn-ME"/>
        </w:rPr>
        <w:t>Imunosupresivi</w:t>
      </w:r>
      <w:r w:rsidR="00D77CBC">
        <w:rPr>
          <w:sz w:val="22"/>
          <w:szCs w:val="22"/>
          <w:lang w:val="sr-Latn-ME"/>
        </w:rPr>
        <w:t>,</w:t>
      </w:r>
      <w:r w:rsidR="007D7CE1" w:rsidRPr="005474B2">
        <w:rPr>
          <w:sz w:val="22"/>
          <w:szCs w:val="22"/>
          <w:lang w:val="sr-Latn-ME"/>
        </w:rPr>
        <w:t xml:space="preserve"> </w:t>
      </w:r>
      <w:r w:rsidR="00D77CBC">
        <w:rPr>
          <w:sz w:val="22"/>
          <w:szCs w:val="22"/>
          <w:lang w:val="sr-Latn-ME"/>
        </w:rPr>
        <w:t>i</w:t>
      </w:r>
      <w:r w:rsidR="007D7CE1" w:rsidRPr="005474B2">
        <w:rPr>
          <w:sz w:val="22"/>
          <w:szCs w:val="22"/>
          <w:lang w:val="sr-Latn-ME"/>
        </w:rPr>
        <w:t>nhibitori interleukina</w:t>
      </w:r>
    </w:p>
    <w:p w14:paraId="0C6A0726" w14:textId="77777777" w:rsidR="0072020E" w:rsidRPr="005474B2" w:rsidRDefault="0072020E">
      <w:pPr>
        <w:tabs>
          <w:tab w:val="left" w:pos="540"/>
          <w:tab w:val="left" w:pos="569"/>
        </w:tabs>
        <w:jc w:val="both"/>
        <w:rPr>
          <w:bCs/>
          <w:sz w:val="22"/>
          <w:szCs w:val="22"/>
          <w:lang w:val="sr-Latn-ME"/>
        </w:rPr>
      </w:pPr>
    </w:p>
    <w:p w14:paraId="5AA0F2C0" w14:textId="77777777" w:rsidR="0072020E" w:rsidRPr="005474B2" w:rsidRDefault="0072020E">
      <w:pPr>
        <w:tabs>
          <w:tab w:val="left" w:pos="540"/>
          <w:tab w:val="left" w:pos="569"/>
        </w:tabs>
        <w:jc w:val="both"/>
        <w:rPr>
          <w:bCs/>
          <w:sz w:val="22"/>
          <w:szCs w:val="22"/>
          <w:lang w:val="sr-Latn-ME"/>
        </w:rPr>
      </w:pPr>
      <w:r w:rsidRPr="005474B2">
        <w:rPr>
          <w:bCs/>
          <w:sz w:val="22"/>
          <w:szCs w:val="22"/>
          <w:lang w:val="sr-Latn-ME"/>
        </w:rPr>
        <w:t>ATC kod:</w:t>
      </w:r>
      <w:r w:rsidR="007D7CE1" w:rsidRPr="005474B2">
        <w:rPr>
          <w:sz w:val="22"/>
          <w:szCs w:val="22"/>
          <w:lang w:val="sr-Latn-ME"/>
        </w:rPr>
        <w:t xml:space="preserve"> L04AC10</w:t>
      </w:r>
    </w:p>
    <w:p w14:paraId="6B8DA78F" w14:textId="77777777" w:rsidR="002E37A5" w:rsidRPr="005474B2" w:rsidRDefault="002E37A5">
      <w:pPr>
        <w:tabs>
          <w:tab w:val="left" w:pos="540"/>
          <w:tab w:val="left" w:pos="569"/>
        </w:tabs>
        <w:jc w:val="both"/>
        <w:rPr>
          <w:b/>
          <w:bCs/>
          <w:sz w:val="22"/>
          <w:szCs w:val="22"/>
          <w:lang w:val="sr-Latn-ME"/>
        </w:rPr>
      </w:pPr>
    </w:p>
    <w:p w14:paraId="346203CC" w14:textId="77777777" w:rsidR="007D7CE1" w:rsidRPr="005474B2" w:rsidRDefault="007D7CE1">
      <w:pPr>
        <w:autoSpaceDE w:val="0"/>
        <w:autoSpaceDN w:val="0"/>
        <w:adjustRightInd w:val="0"/>
        <w:jc w:val="both"/>
        <w:rPr>
          <w:sz w:val="22"/>
          <w:szCs w:val="22"/>
          <w:u w:val="single"/>
          <w:lang w:val="sr-Latn-ME"/>
        </w:rPr>
      </w:pPr>
      <w:r w:rsidRPr="005474B2">
        <w:rPr>
          <w:sz w:val="22"/>
          <w:szCs w:val="22"/>
          <w:u w:val="single"/>
          <w:lang w:val="sr-Latn-ME"/>
        </w:rPr>
        <w:t>Mehanizam dejstva</w:t>
      </w:r>
    </w:p>
    <w:p w14:paraId="2F3883D9" w14:textId="77777777" w:rsidR="007D7CE1" w:rsidRPr="005474B2" w:rsidRDefault="007D7CE1">
      <w:pPr>
        <w:autoSpaceDE w:val="0"/>
        <w:autoSpaceDN w:val="0"/>
        <w:adjustRightInd w:val="0"/>
        <w:jc w:val="both"/>
        <w:rPr>
          <w:sz w:val="22"/>
          <w:szCs w:val="22"/>
          <w:u w:val="single"/>
          <w:lang w:val="sr-Latn-ME"/>
        </w:rPr>
      </w:pPr>
    </w:p>
    <w:p w14:paraId="2626F466" w14:textId="069BE012" w:rsidR="007D7CE1" w:rsidRPr="005474B2" w:rsidRDefault="007D7CE1">
      <w:pPr>
        <w:autoSpaceDE w:val="0"/>
        <w:autoSpaceDN w:val="0"/>
        <w:adjustRightInd w:val="0"/>
        <w:jc w:val="both"/>
        <w:rPr>
          <w:sz w:val="22"/>
          <w:szCs w:val="22"/>
          <w:lang w:val="sr-Latn-ME"/>
        </w:rPr>
      </w:pPr>
      <w:r w:rsidRPr="005474B2">
        <w:rPr>
          <w:sz w:val="22"/>
          <w:szCs w:val="22"/>
          <w:lang w:val="sr-Latn-ME"/>
        </w:rPr>
        <w:t>Sekukinumab je potpuno humano IgG1/κ monoklonsko antit</w:t>
      </w:r>
      <w:r w:rsidR="00A23A61" w:rsidRPr="005474B2">
        <w:rPr>
          <w:sz w:val="22"/>
          <w:szCs w:val="22"/>
          <w:lang w:val="sr-Latn-ME"/>
        </w:rPr>
        <w:t>ij</w:t>
      </w:r>
      <w:r w:rsidRPr="005474B2">
        <w:rPr>
          <w:sz w:val="22"/>
          <w:szCs w:val="22"/>
          <w:lang w:val="sr-Latn-ME"/>
        </w:rPr>
        <w:t>elo koje se selektivno vezuje i neutrališe proinflamatorni citokin interleukin 17A (IL-17A). Sekukinumab d</w:t>
      </w:r>
      <w:r w:rsidR="00A23A61" w:rsidRPr="005474B2">
        <w:rPr>
          <w:sz w:val="22"/>
          <w:szCs w:val="22"/>
          <w:lang w:val="sr-Latn-ME"/>
        </w:rPr>
        <w:t>j</w:t>
      </w:r>
      <w:r w:rsidRPr="005474B2">
        <w:rPr>
          <w:sz w:val="22"/>
          <w:szCs w:val="22"/>
          <w:lang w:val="sr-Latn-ME"/>
        </w:rPr>
        <w:t>eluje tako što se usm</w:t>
      </w:r>
      <w:r w:rsidR="000E4039" w:rsidRPr="005474B2">
        <w:rPr>
          <w:sz w:val="22"/>
          <w:szCs w:val="22"/>
          <w:lang w:val="sr-Latn-ME"/>
        </w:rPr>
        <w:t>j</w:t>
      </w:r>
      <w:r w:rsidRPr="005474B2">
        <w:rPr>
          <w:sz w:val="22"/>
          <w:szCs w:val="22"/>
          <w:lang w:val="sr-Latn-ME"/>
        </w:rPr>
        <w:t>erava na IL-17A i inhibira interakciju između njega i receptora za IL-17, koji je prisutan na različitim tipovima ćelija, uključujući keratinocite. Kao rezultat, sekukinumab inhibira oslobađanje proinflamatornih citokina, hemokina i medijatora oštećenja tkiva i smanjuje uticaj IL-17A na razvoj autoimunih i zapaljenskih bolesti. Klinički značajni nivoi sekukinumaba dolaze do kože i smanjuju lokalne indikatore zapaljenja. Direktna po</w:t>
      </w:r>
      <w:r w:rsidR="009A4880" w:rsidRPr="005474B2">
        <w:rPr>
          <w:sz w:val="22"/>
          <w:szCs w:val="22"/>
          <w:lang w:val="sr-Latn-ME"/>
        </w:rPr>
        <w:t>sljedi</w:t>
      </w:r>
      <w:r w:rsidRPr="005474B2">
        <w:rPr>
          <w:sz w:val="22"/>
          <w:szCs w:val="22"/>
          <w:lang w:val="sr-Latn-ME"/>
        </w:rPr>
        <w:t xml:space="preserve">ca </w:t>
      </w:r>
      <w:r w:rsidR="009A4880" w:rsidRPr="005474B2">
        <w:rPr>
          <w:sz w:val="22"/>
          <w:szCs w:val="22"/>
          <w:lang w:val="sr-Latn-ME"/>
        </w:rPr>
        <w:t>liječ</w:t>
      </w:r>
      <w:r w:rsidRPr="005474B2">
        <w:rPr>
          <w:sz w:val="22"/>
          <w:szCs w:val="22"/>
          <w:lang w:val="sr-Latn-ME"/>
        </w:rPr>
        <w:t xml:space="preserve">enja sekukinumabom je smanjenje eritema, zadebljanja i ljuštenja prisutnih kod lezija plak psorijaze. </w:t>
      </w:r>
    </w:p>
    <w:p w14:paraId="3F7ABB5B" w14:textId="77777777" w:rsidR="007D7CE1" w:rsidRPr="005474B2" w:rsidRDefault="007D7CE1">
      <w:pPr>
        <w:autoSpaceDE w:val="0"/>
        <w:autoSpaceDN w:val="0"/>
        <w:adjustRightInd w:val="0"/>
        <w:jc w:val="both"/>
        <w:rPr>
          <w:sz w:val="22"/>
          <w:szCs w:val="22"/>
          <w:lang w:val="sr-Latn-ME"/>
        </w:rPr>
      </w:pPr>
    </w:p>
    <w:p w14:paraId="627264C7" w14:textId="079B9CD4" w:rsidR="007D7CE1" w:rsidRPr="005474B2" w:rsidRDefault="007D7CE1">
      <w:pPr>
        <w:autoSpaceDE w:val="0"/>
        <w:autoSpaceDN w:val="0"/>
        <w:adjustRightInd w:val="0"/>
        <w:jc w:val="both"/>
        <w:rPr>
          <w:sz w:val="22"/>
          <w:szCs w:val="22"/>
          <w:lang w:val="sr-Latn-ME"/>
        </w:rPr>
      </w:pPr>
      <w:r w:rsidRPr="005474B2">
        <w:rPr>
          <w:sz w:val="22"/>
          <w:szCs w:val="22"/>
          <w:lang w:val="sr-Latn-ME"/>
        </w:rPr>
        <w:t>IL-17A je citokin koji se prirodno javlja i uključen je u normalne zapaljenske i imunološke odgovore. IL-17A ima ključnu ulogu u patogenezi plak psorijaze</w:t>
      </w:r>
      <w:r w:rsidR="00757C78" w:rsidRPr="005474B2">
        <w:rPr>
          <w:sz w:val="22"/>
          <w:szCs w:val="22"/>
          <w:lang w:val="bs-Latn-BA"/>
        </w:rPr>
        <w:t xml:space="preserve">, gnojnog zapaljenja znojnih </w:t>
      </w:r>
      <w:r w:rsidR="009E0DE1" w:rsidRPr="005474B2">
        <w:rPr>
          <w:sz w:val="22"/>
          <w:szCs w:val="22"/>
          <w:lang w:val="bs-Latn-BA"/>
        </w:rPr>
        <w:t>žlijezd</w:t>
      </w:r>
      <w:r w:rsidR="00757C78" w:rsidRPr="005474B2">
        <w:rPr>
          <w:sz w:val="22"/>
          <w:szCs w:val="22"/>
          <w:lang w:val="bs-Latn-BA"/>
        </w:rPr>
        <w:t>a (</w:t>
      </w:r>
      <w:r w:rsidR="00757C78" w:rsidRPr="005474B2">
        <w:rPr>
          <w:i/>
          <w:iCs/>
          <w:sz w:val="22"/>
          <w:szCs w:val="22"/>
          <w:lang w:val="bs-Latn-BA"/>
        </w:rPr>
        <w:t>Hidradenitis suppurativa</w:t>
      </w:r>
      <w:r w:rsidR="00757C78" w:rsidRPr="005474B2">
        <w:rPr>
          <w:sz w:val="22"/>
          <w:szCs w:val="22"/>
          <w:lang w:val="bs-Latn-BA"/>
        </w:rPr>
        <w:t>)</w:t>
      </w:r>
      <w:r w:rsidRPr="005474B2">
        <w:rPr>
          <w:sz w:val="22"/>
          <w:szCs w:val="22"/>
          <w:lang w:val="sr-Latn-ME"/>
        </w:rPr>
        <w:t xml:space="preserve">psorijaznog artritisa i aksijalnog spondiloartritisa (ankilozirajući spondilitis i neradiografski aksijalni spondiloartritis) i nivo mu je povećan u koži sa lezijama za razliku od kože bez lezija kod pacijenata sa plak psorijazom i u sinovijalnom tkivu pacijenata sa psorijaznim artritisom. </w:t>
      </w:r>
      <w:r w:rsidR="00757C78" w:rsidRPr="005474B2">
        <w:rPr>
          <w:sz w:val="22"/>
          <w:szCs w:val="22"/>
          <w:lang w:val="hr-HR"/>
        </w:rPr>
        <w:t>Nivo IL</w:t>
      </w:r>
      <w:r w:rsidR="00757C78" w:rsidRPr="005474B2">
        <w:rPr>
          <w:sz w:val="22"/>
          <w:szCs w:val="22"/>
          <w:lang w:val="hr-HR"/>
        </w:rPr>
        <w:noBreakHyphen/>
        <w:t>17A je takođe povećan u lezijama uzrokovanim gnojnim zapaljenjem znojnih žl</w:t>
      </w:r>
      <w:r w:rsidR="0060463D" w:rsidRPr="005474B2">
        <w:rPr>
          <w:sz w:val="22"/>
          <w:szCs w:val="22"/>
          <w:lang w:val="hr-HR"/>
        </w:rPr>
        <w:t>ij</w:t>
      </w:r>
      <w:r w:rsidR="00757C78" w:rsidRPr="005474B2">
        <w:rPr>
          <w:sz w:val="22"/>
          <w:szCs w:val="22"/>
          <w:lang w:val="hr-HR"/>
        </w:rPr>
        <w:t>ezda (</w:t>
      </w:r>
      <w:r w:rsidR="00757C78" w:rsidRPr="005474B2">
        <w:rPr>
          <w:i/>
          <w:iCs/>
          <w:sz w:val="22"/>
          <w:szCs w:val="22"/>
          <w:lang w:val="hr-HR"/>
        </w:rPr>
        <w:t>Hidradenitis suppurativa</w:t>
      </w:r>
      <w:r w:rsidR="00757C78" w:rsidRPr="005474B2">
        <w:rPr>
          <w:sz w:val="22"/>
          <w:szCs w:val="22"/>
          <w:lang w:val="hr-HR"/>
        </w:rPr>
        <w:t>), a prim</w:t>
      </w:r>
      <w:r w:rsidR="0060463D" w:rsidRPr="005474B2">
        <w:rPr>
          <w:sz w:val="22"/>
          <w:szCs w:val="22"/>
          <w:lang w:val="hr-HR"/>
        </w:rPr>
        <w:t>ij</w:t>
      </w:r>
      <w:r w:rsidR="00757C78" w:rsidRPr="005474B2">
        <w:rPr>
          <w:sz w:val="22"/>
          <w:szCs w:val="22"/>
          <w:lang w:val="hr-HR"/>
        </w:rPr>
        <w:t>ećeni su i povišeni nivoi IL</w:t>
      </w:r>
      <w:r w:rsidR="00757C78" w:rsidRPr="005474B2">
        <w:rPr>
          <w:sz w:val="22"/>
          <w:szCs w:val="22"/>
          <w:lang w:val="hr-HR"/>
        </w:rPr>
        <w:noBreakHyphen/>
        <w:t xml:space="preserve">17A u serumu ovih pacijenata. </w:t>
      </w:r>
      <w:r w:rsidRPr="005474B2">
        <w:rPr>
          <w:sz w:val="22"/>
          <w:szCs w:val="22"/>
          <w:lang w:val="sr-Latn-ME"/>
        </w:rPr>
        <w:t xml:space="preserve">Učestalost ćelija koje proizvode IL-17 je takođe značajno viša u subhondrijalnoj </w:t>
      </w:r>
      <w:r w:rsidR="000E4039" w:rsidRPr="005474B2">
        <w:rPr>
          <w:sz w:val="22"/>
          <w:szCs w:val="22"/>
          <w:lang w:val="sr-Latn-ME"/>
        </w:rPr>
        <w:t>kostnoj</w:t>
      </w:r>
      <w:r w:rsidRPr="005474B2">
        <w:rPr>
          <w:sz w:val="22"/>
          <w:szCs w:val="22"/>
          <w:lang w:val="sr-Latn-ME"/>
        </w:rPr>
        <w:t xml:space="preserve"> srži fasetnih zglobova pacijenata sa ankilozirajućim spondilitisom. Povećani broj limfocita koji proizvode IL-17A je takođe pronađen kod pacijenata sa neradiografskim aksijalnim spondiloartritisom. Inhibicija IL-17A se pokazala efektivnom u terapiji ankilozirajućeg spondilitisa, čime je uspostavljena ključna uloga ovog citokina u aksijalnom spondiloartritisu.</w:t>
      </w:r>
    </w:p>
    <w:p w14:paraId="59911483" w14:textId="77777777" w:rsidR="007D7CE1" w:rsidRPr="005474B2" w:rsidRDefault="007D7CE1">
      <w:pPr>
        <w:autoSpaceDE w:val="0"/>
        <w:autoSpaceDN w:val="0"/>
        <w:adjustRightInd w:val="0"/>
        <w:jc w:val="both"/>
        <w:rPr>
          <w:b/>
          <w:sz w:val="22"/>
          <w:szCs w:val="22"/>
          <w:lang w:val="sr-Latn-ME"/>
        </w:rPr>
      </w:pPr>
    </w:p>
    <w:p w14:paraId="460F6793" w14:textId="77777777" w:rsidR="00A62164" w:rsidRPr="005474B2" w:rsidRDefault="00A62164">
      <w:pPr>
        <w:autoSpaceDE w:val="0"/>
        <w:autoSpaceDN w:val="0"/>
        <w:adjustRightInd w:val="0"/>
        <w:jc w:val="both"/>
        <w:rPr>
          <w:sz w:val="22"/>
          <w:szCs w:val="22"/>
          <w:u w:val="single"/>
          <w:lang w:val="sr-Latn-ME"/>
        </w:rPr>
      </w:pPr>
    </w:p>
    <w:p w14:paraId="7D7B3889" w14:textId="77777777" w:rsidR="00A62164" w:rsidRPr="005474B2" w:rsidRDefault="00A62164">
      <w:pPr>
        <w:autoSpaceDE w:val="0"/>
        <w:autoSpaceDN w:val="0"/>
        <w:adjustRightInd w:val="0"/>
        <w:jc w:val="both"/>
        <w:rPr>
          <w:sz w:val="22"/>
          <w:szCs w:val="22"/>
          <w:u w:val="single"/>
          <w:lang w:val="sr-Latn-ME"/>
        </w:rPr>
      </w:pPr>
    </w:p>
    <w:p w14:paraId="0521F6F4" w14:textId="77777777" w:rsidR="00A62164" w:rsidRPr="005474B2" w:rsidRDefault="00A62164">
      <w:pPr>
        <w:autoSpaceDE w:val="0"/>
        <w:autoSpaceDN w:val="0"/>
        <w:adjustRightInd w:val="0"/>
        <w:jc w:val="both"/>
        <w:rPr>
          <w:sz w:val="22"/>
          <w:szCs w:val="22"/>
          <w:u w:val="single"/>
          <w:lang w:val="sr-Latn-ME"/>
        </w:rPr>
      </w:pPr>
    </w:p>
    <w:p w14:paraId="2DCCC6D9" w14:textId="7F01DA55" w:rsidR="007D7CE1" w:rsidRPr="005474B2" w:rsidRDefault="007D7CE1">
      <w:pPr>
        <w:autoSpaceDE w:val="0"/>
        <w:autoSpaceDN w:val="0"/>
        <w:adjustRightInd w:val="0"/>
        <w:jc w:val="both"/>
        <w:rPr>
          <w:sz w:val="22"/>
          <w:szCs w:val="22"/>
          <w:u w:val="single"/>
          <w:lang w:val="sr-Latn-ME"/>
        </w:rPr>
      </w:pPr>
      <w:r w:rsidRPr="005474B2">
        <w:rPr>
          <w:sz w:val="22"/>
          <w:szCs w:val="22"/>
          <w:u w:val="single"/>
          <w:lang w:val="sr-Latn-ME"/>
        </w:rPr>
        <w:t>Farmakodinamski efekti</w:t>
      </w:r>
    </w:p>
    <w:p w14:paraId="23F543D5" w14:textId="77777777" w:rsidR="007D7CE1" w:rsidRPr="005474B2" w:rsidRDefault="007D7CE1">
      <w:pPr>
        <w:autoSpaceDE w:val="0"/>
        <w:autoSpaceDN w:val="0"/>
        <w:adjustRightInd w:val="0"/>
        <w:jc w:val="both"/>
        <w:rPr>
          <w:sz w:val="22"/>
          <w:szCs w:val="22"/>
          <w:u w:val="single"/>
          <w:lang w:val="sr-Latn-ME"/>
        </w:rPr>
      </w:pPr>
    </w:p>
    <w:p w14:paraId="1338036B" w14:textId="744C3C7B" w:rsidR="007D7CE1" w:rsidRPr="005474B2" w:rsidRDefault="007D7CE1">
      <w:pPr>
        <w:autoSpaceDE w:val="0"/>
        <w:autoSpaceDN w:val="0"/>
        <w:adjustRightInd w:val="0"/>
        <w:jc w:val="both"/>
        <w:rPr>
          <w:sz w:val="22"/>
          <w:szCs w:val="22"/>
          <w:lang w:val="sr-Latn-ME"/>
        </w:rPr>
      </w:pPr>
      <w:r w:rsidRPr="005474B2">
        <w:rPr>
          <w:sz w:val="22"/>
          <w:szCs w:val="22"/>
          <w:lang w:val="sr-Latn-ME"/>
        </w:rPr>
        <w:t>Nivoi ukupnog IL-17A u serumu (slobodan i IL-17A vezan za sekukinumab) su u početku povećani kod pacijenata koji primaju sekukinumab. Nakon toga dolazi do sporog snižavanja usl</w:t>
      </w:r>
      <w:r w:rsidR="00A23A61" w:rsidRPr="005474B2">
        <w:rPr>
          <w:sz w:val="22"/>
          <w:szCs w:val="22"/>
          <w:lang w:val="sr-Latn-ME"/>
        </w:rPr>
        <w:t>j</w:t>
      </w:r>
      <w:r w:rsidRPr="005474B2">
        <w:rPr>
          <w:sz w:val="22"/>
          <w:szCs w:val="22"/>
          <w:lang w:val="sr-Latn-ME"/>
        </w:rPr>
        <w:t>ed smanjenog klirensa IL-17A koji je vezan za sekukinumab, što ukazuje da sekukinumab selektivno vezuje slobodan IL-17A, koji igra ključnu ulogu u patogenezi plak psorijaze.</w:t>
      </w:r>
    </w:p>
    <w:p w14:paraId="66E7ECD2" w14:textId="77777777" w:rsidR="007D7CE1" w:rsidRPr="005474B2" w:rsidRDefault="007D7CE1">
      <w:pPr>
        <w:autoSpaceDE w:val="0"/>
        <w:autoSpaceDN w:val="0"/>
        <w:adjustRightInd w:val="0"/>
        <w:jc w:val="both"/>
        <w:rPr>
          <w:sz w:val="22"/>
          <w:szCs w:val="22"/>
          <w:lang w:val="sr-Latn-ME"/>
        </w:rPr>
      </w:pPr>
    </w:p>
    <w:p w14:paraId="6A752308" w14:textId="77777777" w:rsidR="007D7CE1" w:rsidRPr="005474B2" w:rsidRDefault="007D7CE1">
      <w:pPr>
        <w:autoSpaceDE w:val="0"/>
        <w:autoSpaceDN w:val="0"/>
        <w:adjustRightInd w:val="0"/>
        <w:jc w:val="both"/>
        <w:rPr>
          <w:sz w:val="22"/>
          <w:szCs w:val="22"/>
          <w:lang w:val="sr-Latn-ME"/>
        </w:rPr>
      </w:pPr>
      <w:r w:rsidRPr="005474B2">
        <w:rPr>
          <w:sz w:val="22"/>
          <w:szCs w:val="22"/>
          <w:lang w:val="sr-Latn-ME"/>
        </w:rPr>
        <w:t>U ispitivanju sa sekukinumabom, infiltrirani epidermalni neutrofili i različiti markeri povezani sa neutrofilima koji su povišeni u kožnim lezijama kod pacijenata sa plak psorijazom su značajno sniženi nakon jedne do dv</w:t>
      </w:r>
      <w:r w:rsidR="00A23A61" w:rsidRPr="005474B2">
        <w:rPr>
          <w:sz w:val="22"/>
          <w:szCs w:val="22"/>
          <w:lang w:val="sr-Latn-ME"/>
        </w:rPr>
        <w:t>ij</w:t>
      </w:r>
      <w:r w:rsidRPr="005474B2">
        <w:rPr>
          <w:sz w:val="22"/>
          <w:szCs w:val="22"/>
          <w:lang w:val="sr-Latn-ME"/>
        </w:rPr>
        <w:t xml:space="preserve">e </w:t>
      </w:r>
      <w:r w:rsidR="009A4880" w:rsidRPr="005474B2">
        <w:rPr>
          <w:sz w:val="22"/>
          <w:szCs w:val="22"/>
          <w:lang w:val="sr-Latn-ME"/>
        </w:rPr>
        <w:t>nedjelj</w:t>
      </w:r>
      <w:r w:rsidRPr="005474B2">
        <w:rPr>
          <w:sz w:val="22"/>
          <w:szCs w:val="22"/>
          <w:lang w:val="sr-Latn-ME"/>
        </w:rPr>
        <w:t xml:space="preserve">e </w:t>
      </w:r>
      <w:r w:rsidR="009A4880" w:rsidRPr="005474B2">
        <w:rPr>
          <w:sz w:val="22"/>
          <w:szCs w:val="22"/>
          <w:lang w:val="sr-Latn-ME"/>
        </w:rPr>
        <w:t>liječ</w:t>
      </w:r>
      <w:r w:rsidRPr="005474B2">
        <w:rPr>
          <w:sz w:val="22"/>
          <w:szCs w:val="22"/>
          <w:lang w:val="sr-Latn-ME"/>
        </w:rPr>
        <w:t>enja.</w:t>
      </w:r>
    </w:p>
    <w:p w14:paraId="2ACDD594" w14:textId="77777777" w:rsidR="007D7CE1" w:rsidRPr="005474B2" w:rsidRDefault="007D7CE1">
      <w:pPr>
        <w:autoSpaceDE w:val="0"/>
        <w:autoSpaceDN w:val="0"/>
        <w:adjustRightInd w:val="0"/>
        <w:jc w:val="both"/>
        <w:rPr>
          <w:sz w:val="22"/>
          <w:szCs w:val="22"/>
          <w:lang w:val="sr-Latn-ME"/>
        </w:rPr>
      </w:pPr>
    </w:p>
    <w:p w14:paraId="35876948" w14:textId="77777777"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Pokazano je da sekukinumab snižava (u toku 1 do 2 </w:t>
      </w:r>
      <w:r w:rsidR="009A4880" w:rsidRPr="005474B2">
        <w:rPr>
          <w:sz w:val="22"/>
          <w:szCs w:val="22"/>
          <w:lang w:val="sr-Latn-ME"/>
        </w:rPr>
        <w:t>nedjelj</w:t>
      </w:r>
      <w:r w:rsidRPr="005474B2">
        <w:rPr>
          <w:sz w:val="22"/>
          <w:szCs w:val="22"/>
          <w:lang w:val="sr-Latn-ME"/>
        </w:rPr>
        <w:t xml:space="preserve">e </w:t>
      </w:r>
      <w:r w:rsidR="009A4880" w:rsidRPr="005474B2">
        <w:rPr>
          <w:sz w:val="22"/>
          <w:szCs w:val="22"/>
          <w:lang w:val="sr-Latn-ME"/>
        </w:rPr>
        <w:t>liječ</w:t>
      </w:r>
      <w:r w:rsidRPr="005474B2">
        <w:rPr>
          <w:sz w:val="22"/>
          <w:szCs w:val="22"/>
          <w:lang w:val="sr-Latn-ME"/>
        </w:rPr>
        <w:t xml:space="preserve">enja) nivoe C-reaktivnog proteina, koji je marker zapaljenja. </w:t>
      </w:r>
    </w:p>
    <w:p w14:paraId="26DEB2D2" w14:textId="77777777" w:rsidR="007D7CE1" w:rsidRPr="005474B2" w:rsidRDefault="007D7CE1">
      <w:pPr>
        <w:autoSpaceDE w:val="0"/>
        <w:autoSpaceDN w:val="0"/>
        <w:adjustRightInd w:val="0"/>
        <w:jc w:val="both"/>
        <w:rPr>
          <w:sz w:val="22"/>
          <w:szCs w:val="22"/>
          <w:lang w:val="sr-Latn-ME"/>
        </w:rPr>
      </w:pPr>
    </w:p>
    <w:p w14:paraId="487ED697" w14:textId="77777777" w:rsidR="007D7CE1" w:rsidRPr="005474B2" w:rsidRDefault="007D7CE1">
      <w:pPr>
        <w:autoSpaceDE w:val="0"/>
        <w:autoSpaceDN w:val="0"/>
        <w:adjustRightInd w:val="0"/>
        <w:jc w:val="both"/>
        <w:rPr>
          <w:sz w:val="22"/>
          <w:szCs w:val="22"/>
          <w:u w:val="single"/>
          <w:lang w:val="sr-Latn-ME"/>
        </w:rPr>
      </w:pPr>
      <w:r w:rsidRPr="005474B2">
        <w:rPr>
          <w:sz w:val="22"/>
          <w:szCs w:val="22"/>
          <w:u w:val="single"/>
          <w:lang w:val="sr-Latn-ME"/>
        </w:rPr>
        <w:t xml:space="preserve">Klinička efikasnost i </w:t>
      </w:r>
      <w:r w:rsidR="009A4880" w:rsidRPr="005474B2">
        <w:rPr>
          <w:sz w:val="22"/>
          <w:szCs w:val="22"/>
          <w:u w:val="single"/>
          <w:lang w:val="sr-Latn-ME"/>
        </w:rPr>
        <w:t>bezbjednost</w:t>
      </w:r>
    </w:p>
    <w:p w14:paraId="44FB3074" w14:textId="77777777" w:rsidR="007D7CE1" w:rsidRPr="005474B2" w:rsidRDefault="007D7CE1">
      <w:pPr>
        <w:autoSpaceDE w:val="0"/>
        <w:autoSpaceDN w:val="0"/>
        <w:adjustRightInd w:val="0"/>
        <w:jc w:val="both"/>
        <w:rPr>
          <w:sz w:val="22"/>
          <w:szCs w:val="22"/>
          <w:u w:val="single"/>
          <w:lang w:val="sr-Latn-ME"/>
        </w:rPr>
      </w:pPr>
    </w:p>
    <w:p w14:paraId="737EA48F" w14:textId="77777777" w:rsidR="007D7CE1" w:rsidRPr="005474B2" w:rsidRDefault="007D7CE1">
      <w:pPr>
        <w:autoSpaceDE w:val="0"/>
        <w:autoSpaceDN w:val="0"/>
        <w:adjustRightInd w:val="0"/>
        <w:jc w:val="both"/>
        <w:rPr>
          <w:sz w:val="22"/>
          <w:szCs w:val="22"/>
          <w:lang w:val="sr-Latn-ME"/>
        </w:rPr>
      </w:pPr>
      <w:r w:rsidRPr="005474B2">
        <w:rPr>
          <w:i/>
          <w:sz w:val="22"/>
          <w:szCs w:val="22"/>
          <w:u w:val="single"/>
          <w:lang w:val="sr-Latn-ME"/>
        </w:rPr>
        <w:t>Plak psorijaza kod odraslih</w:t>
      </w:r>
    </w:p>
    <w:p w14:paraId="5C7BFAA8" w14:textId="668E304F"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Efikasnost i </w:t>
      </w:r>
      <w:r w:rsidR="009A4880" w:rsidRPr="005474B2">
        <w:rPr>
          <w:sz w:val="22"/>
          <w:szCs w:val="22"/>
          <w:lang w:val="sr-Latn-ME"/>
        </w:rPr>
        <w:t>bezbjednost</w:t>
      </w:r>
      <w:r w:rsidRPr="005474B2">
        <w:rPr>
          <w:sz w:val="22"/>
          <w:szCs w:val="22"/>
          <w:lang w:val="sr-Latn-ME"/>
        </w:rPr>
        <w:t xml:space="preserve"> </w:t>
      </w:r>
      <w:r w:rsidRPr="005474B2">
        <w:rPr>
          <w:iCs/>
          <w:sz w:val="22"/>
          <w:szCs w:val="22"/>
          <w:lang w:val="sr-Latn-ME"/>
        </w:rPr>
        <w:t>sekukinumaba</w:t>
      </w:r>
      <w:r w:rsidRPr="005474B2">
        <w:rPr>
          <w:sz w:val="22"/>
          <w:szCs w:val="22"/>
          <w:lang w:val="sr-Latn-ME"/>
        </w:rPr>
        <w:t xml:space="preserve"> su proc</w:t>
      </w:r>
      <w:r w:rsidR="00A23A61" w:rsidRPr="005474B2">
        <w:rPr>
          <w:sz w:val="22"/>
          <w:szCs w:val="22"/>
          <w:lang w:val="sr-Latn-ME"/>
        </w:rPr>
        <w:t>j</w:t>
      </w:r>
      <w:r w:rsidRPr="005474B2">
        <w:rPr>
          <w:sz w:val="22"/>
          <w:szCs w:val="22"/>
          <w:lang w:val="sr-Latn-ME"/>
        </w:rPr>
        <w:t>enjivane u četiri randomizovane, dvostruko sl</w:t>
      </w:r>
      <w:r w:rsidR="00A23A61" w:rsidRPr="005474B2">
        <w:rPr>
          <w:sz w:val="22"/>
          <w:szCs w:val="22"/>
          <w:lang w:val="sr-Latn-ME"/>
        </w:rPr>
        <w:t>ij</w:t>
      </w:r>
      <w:r w:rsidRPr="005474B2">
        <w:rPr>
          <w:sz w:val="22"/>
          <w:szCs w:val="22"/>
          <w:lang w:val="sr-Latn-ME"/>
        </w:rPr>
        <w:t xml:space="preserve">epe, placebo kontrolisane studije faze III kod pacijenata sa </w:t>
      </w:r>
      <w:r w:rsidR="009A4880" w:rsidRPr="005474B2">
        <w:rPr>
          <w:sz w:val="22"/>
          <w:szCs w:val="22"/>
          <w:lang w:val="sr-Latn-ME"/>
        </w:rPr>
        <w:t>umjeren</w:t>
      </w:r>
      <w:r w:rsidRPr="005474B2">
        <w:rPr>
          <w:sz w:val="22"/>
          <w:szCs w:val="22"/>
          <w:lang w:val="sr-Latn-ME"/>
        </w:rPr>
        <w:t xml:space="preserve">om do teškom plak psorijazom koji su bili kandidati za fototerapiju ili sistemsku terapiju [ERASURE, FIXTURE, FEATURE, JUNCTURE]. Efikasnost i </w:t>
      </w:r>
      <w:r w:rsidR="009A4880" w:rsidRPr="005474B2">
        <w:rPr>
          <w:sz w:val="22"/>
          <w:szCs w:val="22"/>
          <w:lang w:val="sr-Latn-ME"/>
        </w:rPr>
        <w:t>bezbjednost</w:t>
      </w:r>
      <w:r w:rsidRPr="005474B2">
        <w:rPr>
          <w:sz w:val="22"/>
          <w:szCs w:val="22"/>
          <w:lang w:val="sr-Latn-ME"/>
        </w:rPr>
        <w:t xml:space="preserve"> </w:t>
      </w:r>
      <w:r w:rsidRPr="005474B2">
        <w:rPr>
          <w:iCs/>
          <w:sz w:val="22"/>
          <w:szCs w:val="22"/>
          <w:lang w:val="sr-Latn-ME"/>
        </w:rPr>
        <w:t>sekukinumaba</w:t>
      </w:r>
      <w:r w:rsidRPr="005474B2">
        <w:rPr>
          <w:sz w:val="22"/>
          <w:szCs w:val="22"/>
          <w:lang w:val="sr-Latn-ME"/>
        </w:rPr>
        <w:t xml:space="preserve"> u dozama od 150 mg i 300 mg proc</w:t>
      </w:r>
      <w:r w:rsidR="00A23A61" w:rsidRPr="005474B2">
        <w:rPr>
          <w:sz w:val="22"/>
          <w:szCs w:val="22"/>
          <w:lang w:val="sr-Latn-ME"/>
        </w:rPr>
        <w:t>j</w:t>
      </w:r>
      <w:r w:rsidRPr="005474B2">
        <w:rPr>
          <w:sz w:val="22"/>
          <w:szCs w:val="22"/>
          <w:lang w:val="sr-Latn-ME"/>
        </w:rPr>
        <w:t>enjivane su u odnosu ili na placebo ili na etanercept. Dodatno, jedn</w:t>
      </w:r>
      <w:r w:rsidR="004429DA" w:rsidRPr="005474B2">
        <w:rPr>
          <w:sz w:val="22"/>
          <w:szCs w:val="22"/>
          <w:lang w:val="sr-Latn-ME"/>
        </w:rPr>
        <w:t>a</w:t>
      </w:r>
      <w:r w:rsidRPr="005474B2">
        <w:rPr>
          <w:sz w:val="22"/>
          <w:szCs w:val="22"/>
          <w:lang w:val="sr-Latn-ME"/>
        </w:rPr>
        <w:t xml:space="preserve"> </w:t>
      </w:r>
      <w:r w:rsidR="004429DA" w:rsidRPr="005474B2">
        <w:rPr>
          <w:sz w:val="22"/>
          <w:szCs w:val="22"/>
          <w:lang w:val="sr-Latn-ME"/>
        </w:rPr>
        <w:t xml:space="preserve">studija </w:t>
      </w:r>
      <w:r w:rsidRPr="005474B2">
        <w:rPr>
          <w:sz w:val="22"/>
          <w:szCs w:val="22"/>
          <w:lang w:val="sr-Latn-ME"/>
        </w:rPr>
        <w:t>je proc</w:t>
      </w:r>
      <w:r w:rsidR="00A23A61" w:rsidRPr="005474B2">
        <w:rPr>
          <w:sz w:val="22"/>
          <w:szCs w:val="22"/>
          <w:lang w:val="sr-Latn-ME"/>
        </w:rPr>
        <w:t>j</w:t>
      </w:r>
      <w:r w:rsidRPr="005474B2">
        <w:rPr>
          <w:sz w:val="22"/>
          <w:szCs w:val="22"/>
          <w:lang w:val="sr-Latn-ME"/>
        </w:rPr>
        <w:t>enjival</w:t>
      </w:r>
      <w:r w:rsidR="004429DA" w:rsidRPr="005474B2">
        <w:rPr>
          <w:sz w:val="22"/>
          <w:szCs w:val="22"/>
          <w:lang w:val="sr-Latn-ME"/>
        </w:rPr>
        <w:t>a</w:t>
      </w:r>
      <w:r w:rsidRPr="005474B2">
        <w:rPr>
          <w:sz w:val="22"/>
          <w:szCs w:val="22"/>
          <w:lang w:val="sr-Latn-ME"/>
        </w:rPr>
        <w:t xml:space="preserve"> režim hroničnog </w:t>
      </w:r>
      <w:r w:rsidR="009A4880" w:rsidRPr="005474B2">
        <w:rPr>
          <w:sz w:val="22"/>
          <w:szCs w:val="22"/>
          <w:lang w:val="sr-Latn-ME"/>
        </w:rPr>
        <w:t>liječ</w:t>
      </w:r>
      <w:r w:rsidRPr="005474B2">
        <w:rPr>
          <w:sz w:val="22"/>
          <w:szCs w:val="22"/>
          <w:lang w:val="sr-Latn-ME"/>
        </w:rPr>
        <w:t xml:space="preserve">enja u odnosu na režim „ponovnog </w:t>
      </w:r>
      <w:r w:rsidR="009A4880" w:rsidRPr="005474B2">
        <w:rPr>
          <w:sz w:val="22"/>
          <w:szCs w:val="22"/>
          <w:lang w:val="sr-Latn-ME"/>
        </w:rPr>
        <w:t>liječ</w:t>
      </w:r>
      <w:r w:rsidRPr="005474B2">
        <w:rPr>
          <w:sz w:val="22"/>
          <w:szCs w:val="22"/>
          <w:lang w:val="sr-Latn-ME"/>
        </w:rPr>
        <w:t>enja po potrebi“ [SCULPTURE].</w:t>
      </w:r>
    </w:p>
    <w:p w14:paraId="1B4BF0DA" w14:textId="77777777" w:rsidR="007D7CE1" w:rsidRPr="005474B2" w:rsidRDefault="007D7CE1">
      <w:pPr>
        <w:autoSpaceDE w:val="0"/>
        <w:autoSpaceDN w:val="0"/>
        <w:adjustRightInd w:val="0"/>
        <w:jc w:val="both"/>
        <w:rPr>
          <w:sz w:val="22"/>
          <w:szCs w:val="22"/>
          <w:lang w:val="sr-Latn-ME"/>
        </w:rPr>
      </w:pPr>
    </w:p>
    <w:p w14:paraId="4B638B4D" w14:textId="710FE8F8"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Od 2403 pacijenta koji su bili uključeni u placebo kontrolisane studije, 79% nije prethodno primalo biološku terapiju, kod 45% je </w:t>
      </w:r>
      <w:r w:rsidR="009A4880" w:rsidRPr="005474B2">
        <w:rPr>
          <w:sz w:val="22"/>
          <w:szCs w:val="22"/>
          <w:lang w:val="sr-Latn-ME"/>
        </w:rPr>
        <w:t>liječ</w:t>
      </w:r>
      <w:r w:rsidRPr="005474B2">
        <w:rPr>
          <w:sz w:val="22"/>
          <w:szCs w:val="22"/>
          <w:lang w:val="sr-Latn-ME"/>
        </w:rPr>
        <w:t>enje nebiološkim l</w:t>
      </w:r>
      <w:r w:rsidR="000E4039" w:rsidRPr="005474B2">
        <w:rPr>
          <w:sz w:val="22"/>
          <w:szCs w:val="22"/>
          <w:lang w:val="sr-Latn-ME"/>
        </w:rPr>
        <w:t>j</w:t>
      </w:r>
      <w:r w:rsidRPr="005474B2">
        <w:rPr>
          <w:sz w:val="22"/>
          <w:szCs w:val="22"/>
          <w:lang w:val="sr-Latn-ME"/>
        </w:rPr>
        <w:t>ekovima bilo neusp</w:t>
      </w:r>
      <w:r w:rsidR="00A23A61" w:rsidRPr="005474B2">
        <w:rPr>
          <w:sz w:val="22"/>
          <w:szCs w:val="22"/>
          <w:lang w:val="sr-Latn-ME"/>
        </w:rPr>
        <w:t>j</w:t>
      </w:r>
      <w:r w:rsidRPr="005474B2">
        <w:rPr>
          <w:sz w:val="22"/>
          <w:szCs w:val="22"/>
          <w:lang w:val="sr-Latn-ME"/>
        </w:rPr>
        <w:t xml:space="preserve">ešno, a kod 8% je </w:t>
      </w:r>
      <w:r w:rsidR="009A4880" w:rsidRPr="005474B2">
        <w:rPr>
          <w:sz w:val="22"/>
          <w:szCs w:val="22"/>
          <w:lang w:val="sr-Latn-ME"/>
        </w:rPr>
        <w:t>liječ</w:t>
      </w:r>
      <w:r w:rsidRPr="005474B2">
        <w:rPr>
          <w:sz w:val="22"/>
          <w:szCs w:val="22"/>
          <w:lang w:val="sr-Latn-ME"/>
        </w:rPr>
        <w:t>enje biološkim l</w:t>
      </w:r>
      <w:r w:rsidR="00A23A61" w:rsidRPr="005474B2">
        <w:rPr>
          <w:sz w:val="22"/>
          <w:szCs w:val="22"/>
          <w:lang w:val="sr-Latn-ME"/>
        </w:rPr>
        <w:t>j</w:t>
      </w:r>
      <w:r w:rsidRPr="005474B2">
        <w:rPr>
          <w:sz w:val="22"/>
          <w:szCs w:val="22"/>
          <w:lang w:val="sr-Latn-ME"/>
        </w:rPr>
        <w:t>ekovima bilo neusp</w:t>
      </w:r>
      <w:r w:rsidR="00A23A61" w:rsidRPr="005474B2">
        <w:rPr>
          <w:sz w:val="22"/>
          <w:szCs w:val="22"/>
          <w:lang w:val="sr-Latn-ME"/>
        </w:rPr>
        <w:t>j</w:t>
      </w:r>
      <w:r w:rsidRPr="005474B2">
        <w:rPr>
          <w:sz w:val="22"/>
          <w:szCs w:val="22"/>
          <w:lang w:val="sr-Latn-ME"/>
        </w:rPr>
        <w:t xml:space="preserve">ešno (kod 6% je </w:t>
      </w:r>
      <w:r w:rsidR="009A4880" w:rsidRPr="005474B2">
        <w:rPr>
          <w:sz w:val="22"/>
          <w:szCs w:val="22"/>
          <w:lang w:val="sr-Latn-ME"/>
        </w:rPr>
        <w:t>liječ</w:t>
      </w:r>
      <w:r w:rsidRPr="005474B2">
        <w:rPr>
          <w:sz w:val="22"/>
          <w:szCs w:val="22"/>
          <w:lang w:val="sr-Latn-ME"/>
        </w:rPr>
        <w:t>enje anti-TNF-om bilo neusp</w:t>
      </w:r>
      <w:r w:rsidR="000E4039" w:rsidRPr="005474B2">
        <w:rPr>
          <w:sz w:val="22"/>
          <w:szCs w:val="22"/>
          <w:lang w:val="sr-Latn-ME"/>
        </w:rPr>
        <w:t>j</w:t>
      </w:r>
      <w:r w:rsidRPr="005474B2">
        <w:rPr>
          <w:sz w:val="22"/>
          <w:szCs w:val="22"/>
          <w:lang w:val="sr-Latn-ME"/>
        </w:rPr>
        <w:t xml:space="preserve">ešno, a kod 2% </w:t>
      </w:r>
      <w:r w:rsidR="009A4880" w:rsidRPr="005474B2">
        <w:rPr>
          <w:sz w:val="22"/>
          <w:szCs w:val="22"/>
          <w:lang w:val="sr-Latn-ME"/>
        </w:rPr>
        <w:t>liječ</w:t>
      </w:r>
      <w:r w:rsidRPr="005474B2">
        <w:rPr>
          <w:sz w:val="22"/>
          <w:szCs w:val="22"/>
          <w:lang w:val="sr-Latn-ME"/>
        </w:rPr>
        <w:t xml:space="preserve">enje anti-p40). Oko 15 do 25% pacijenata u </w:t>
      </w:r>
      <w:r w:rsidR="000E4039" w:rsidRPr="005474B2">
        <w:rPr>
          <w:sz w:val="22"/>
          <w:szCs w:val="22"/>
          <w:lang w:val="sr-Latn-ME"/>
        </w:rPr>
        <w:t xml:space="preserve">ispitivanjima faze </w:t>
      </w:r>
      <w:r w:rsidRPr="005474B2">
        <w:rPr>
          <w:sz w:val="22"/>
          <w:szCs w:val="22"/>
          <w:lang w:val="sr-Latn-ME"/>
        </w:rPr>
        <w:t>III je na početku imalo psorijazni artritis (PsA).</w:t>
      </w:r>
    </w:p>
    <w:p w14:paraId="44E3D3FA" w14:textId="77777777" w:rsidR="007D7CE1" w:rsidRPr="005474B2" w:rsidRDefault="007D7CE1">
      <w:pPr>
        <w:autoSpaceDE w:val="0"/>
        <w:autoSpaceDN w:val="0"/>
        <w:adjustRightInd w:val="0"/>
        <w:jc w:val="both"/>
        <w:rPr>
          <w:sz w:val="22"/>
          <w:szCs w:val="22"/>
          <w:lang w:val="sr-Latn-ME"/>
        </w:rPr>
      </w:pPr>
    </w:p>
    <w:p w14:paraId="7347F0D7" w14:textId="4120ED9A" w:rsidR="007D7CE1" w:rsidRPr="005474B2" w:rsidRDefault="007D7CE1">
      <w:pPr>
        <w:autoSpaceDE w:val="0"/>
        <w:autoSpaceDN w:val="0"/>
        <w:adjustRightInd w:val="0"/>
        <w:jc w:val="both"/>
        <w:rPr>
          <w:sz w:val="22"/>
          <w:szCs w:val="22"/>
          <w:lang w:val="sr-Latn-ME"/>
        </w:rPr>
      </w:pPr>
      <w:r w:rsidRPr="005474B2">
        <w:rPr>
          <w:sz w:val="22"/>
          <w:szCs w:val="22"/>
          <w:lang w:val="sr-Latn-ME"/>
        </w:rPr>
        <w:t>Studija 1 sa psorijazom (ERASURE) proc</w:t>
      </w:r>
      <w:r w:rsidR="00A23A61" w:rsidRPr="005474B2">
        <w:rPr>
          <w:sz w:val="22"/>
          <w:szCs w:val="22"/>
          <w:lang w:val="sr-Latn-ME"/>
        </w:rPr>
        <w:t>j</w:t>
      </w:r>
      <w:r w:rsidRPr="005474B2">
        <w:rPr>
          <w:sz w:val="22"/>
          <w:szCs w:val="22"/>
          <w:lang w:val="sr-Latn-ME"/>
        </w:rPr>
        <w:t xml:space="preserve">enjivala je 738 pacijenata. Pacijenti randomizovani na </w:t>
      </w:r>
      <w:r w:rsidRPr="005474B2">
        <w:rPr>
          <w:iCs/>
          <w:sz w:val="22"/>
          <w:szCs w:val="22"/>
          <w:lang w:val="sr-Latn-ME"/>
        </w:rPr>
        <w:t>sekukinumab</w:t>
      </w:r>
      <w:r w:rsidRPr="005474B2">
        <w:rPr>
          <w:sz w:val="22"/>
          <w:szCs w:val="22"/>
          <w:lang w:val="sr-Latn-ME"/>
        </w:rPr>
        <w:t xml:space="preserve"> primali su doze od 150 mg ili 300 mg u 0</w:t>
      </w:r>
      <w:r w:rsidR="00A742B5" w:rsidRPr="005474B2">
        <w:rPr>
          <w:sz w:val="22"/>
          <w:szCs w:val="22"/>
          <w:lang w:val="sr-Latn-ME"/>
        </w:rPr>
        <w:t>.</w:t>
      </w:r>
      <w:r w:rsidRPr="005474B2">
        <w:rPr>
          <w:sz w:val="22"/>
          <w:szCs w:val="22"/>
          <w:lang w:val="sr-Latn-ME"/>
        </w:rPr>
        <w:t>, 1</w:t>
      </w:r>
      <w:r w:rsidR="00A742B5" w:rsidRPr="005474B2">
        <w:rPr>
          <w:sz w:val="22"/>
          <w:szCs w:val="22"/>
          <w:lang w:val="sr-Latn-ME"/>
        </w:rPr>
        <w:t>.</w:t>
      </w:r>
      <w:r w:rsidRPr="005474B2">
        <w:rPr>
          <w:sz w:val="22"/>
          <w:szCs w:val="22"/>
          <w:lang w:val="sr-Latn-ME"/>
        </w:rPr>
        <w:t>, 2</w:t>
      </w:r>
      <w:r w:rsidR="00A742B5" w:rsidRPr="005474B2">
        <w:rPr>
          <w:sz w:val="22"/>
          <w:szCs w:val="22"/>
          <w:lang w:val="sr-Latn-ME"/>
        </w:rPr>
        <w:t>.</w:t>
      </w:r>
      <w:r w:rsidRPr="005474B2">
        <w:rPr>
          <w:sz w:val="22"/>
          <w:szCs w:val="22"/>
          <w:lang w:val="sr-Latn-ME"/>
        </w:rPr>
        <w:t xml:space="preserve">, 3. i 4. </w:t>
      </w:r>
      <w:r w:rsidR="009A4880" w:rsidRPr="005474B2">
        <w:rPr>
          <w:sz w:val="22"/>
          <w:szCs w:val="22"/>
          <w:lang w:val="sr-Latn-ME"/>
        </w:rPr>
        <w:t>nedjelj</w:t>
      </w:r>
      <w:r w:rsidRPr="005474B2">
        <w:rPr>
          <w:sz w:val="22"/>
          <w:szCs w:val="22"/>
          <w:lang w:val="sr-Latn-ME"/>
        </w:rPr>
        <w:t xml:space="preserve">i, nakon čega je </w:t>
      </w:r>
      <w:r w:rsidR="009A4880" w:rsidRPr="005474B2">
        <w:rPr>
          <w:sz w:val="22"/>
          <w:szCs w:val="22"/>
          <w:lang w:val="sr-Latn-ME"/>
        </w:rPr>
        <w:t>slijedi</w:t>
      </w:r>
      <w:r w:rsidRPr="005474B2">
        <w:rPr>
          <w:sz w:val="22"/>
          <w:szCs w:val="22"/>
          <w:lang w:val="sr-Latn-ME"/>
        </w:rPr>
        <w:t xml:space="preserve">la ista doza svakog </w:t>
      </w:r>
      <w:r w:rsidR="009A4880" w:rsidRPr="005474B2">
        <w:rPr>
          <w:sz w:val="22"/>
          <w:szCs w:val="22"/>
          <w:lang w:val="sr-Latn-ME"/>
        </w:rPr>
        <w:t>mjesec</w:t>
      </w:r>
      <w:r w:rsidRPr="005474B2">
        <w:rPr>
          <w:sz w:val="22"/>
          <w:szCs w:val="22"/>
          <w:lang w:val="sr-Latn-ME"/>
        </w:rPr>
        <w:t>a. Studija 2 sa psorijazom (FIXTURE) je proc</w:t>
      </w:r>
      <w:r w:rsidR="00A23A61" w:rsidRPr="005474B2">
        <w:rPr>
          <w:sz w:val="22"/>
          <w:szCs w:val="22"/>
          <w:lang w:val="sr-Latn-ME"/>
        </w:rPr>
        <w:t>j</w:t>
      </w:r>
      <w:r w:rsidRPr="005474B2">
        <w:rPr>
          <w:sz w:val="22"/>
          <w:szCs w:val="22"/>
          <w:lang w:val="sr-Latn-ME"/>
        </w:rPr>
        <w:t xml:space="preserve">enjivala 1306 pacijenata. Pacijenti randomizovani </w:t>
      </w:r>
      <w:r w:rsidR="000E4039" w:rsidRPr="005474B2">
        <w:rPr>
          <w:sz w:val="22"/>
          <w:szCs w:val="22"/>
          <w:lang w:val="sr-Latn-ME"/>
        </w:rPr>
        <w:t xml:space="preserve">na </w:t>
      </w:r>
      <w:r w:rsidRPr="005474B2">
        <w:rPr>
          <w:iCs/>
          <w:sz w:val="22"/>
          <w:szCs w:val="22"/>
          <w:lang w:val="sr-Latn-ME"/>
        </w:rPr>
        <w:t>sekukinumab</w:t>
      </w:r>
      <w:r w:rsidRPr="005474B2">
        <w:rPr>
          <w:sz w:val="22"/>
          <w:szCs w:val="22"/>
          <w:lang w:val="sr-Latn-ME"/>
        </w:rPr>
        <w:t xml:space="preserve"> primali su doze od 150 mg ili 300 mg u 0</w:t>
      </w:r>
      <w:r w:rsidR="00A742B5" w:rsidRPr="005474B2">
        <w:rPr>
          <w:sz w:val="22"/>
          <w:szCs w:val="22"/>
          <w:lang w:val="sr-Latn-ME"/>
        </w:rPr>
        <w:t>.</w:t>
      </w:r>
      <w:r w:rsidRPr="005474B2">
        <w:rPr>
          <w:sz w:val="22"/>
          <w:szCs w:val="22"/>
          <w:lang w:val="sr-Latn-ME"/>
        </w:rPr>
        <w:t>, 1</w:t>
      </w:r>
      <w:r w:rsidR="00A742B5" w:rsidRPr="005474B2">
        <w:rPr>
          <w:sz w:val="22"/>
          <w:szCs w:val="22"/>
          <w:lang w:val="sr-Latn-ME"/>
        </w:rPr>
        <w:t>.</w:t>
      </w:r>
      <w:r w:rsidRPr="005474B2">
        <w:rPr>
          <w:sz w:val="22"/>
          <w:szCs w:val="22"/>
          <w:lang w:val="sr-Latn-ME"/>
        </w:rPr>
        <w:t>, 2</w:t>
      </w:r>
      <w:r w:rsidR="00A742B5" w:rsidRPr="005474B2">
        <w:rPr>
          <w:sz w:val="22"/>
          <w:szCs w:val="22"/>
          <w:lang w:val="sr-Latn-ME"/>
        </w:rPr>
        <w:t>.</w:t>
      </w:r>
      <w:r w:rsidRPr="005474B2">
        <w:rPr>
          <w:sz w:val="22"/>
          <w:szCs w:val="22"/>
          <w:lang w:val="sr-Latn-ME"/>
        </w:rPr>
        <w:t xml:space="preserve">, 3. i 4. </w:t>
      </w:r>
      <w:r w:rsidR="009A4880" w:rsidRPr="005474B2">
        <w:rPr>
          <w:sz w:val="22"/>
          <w:szCs w:val="22"/>
          <w:lang w:val="sr-Latn-ME"/>
        </w:rPr>
        <w:t>nedjelj</w:t>
      </w:r>
      <w:r w:rsidRPr="005474B2">
        <w:rPr>
          <w:sz w:val="22"/>
          <w:szCs w:val="22"/>
          <w:lang w:val="sr-Latn-ME"/>
        </w:rPr>
        <w:t xml:space="preserve">i, nakon čega je </w:t>
      </w:r>
      <w:r w:rsidR="009A4880" w:rsidRPr="005474B2">
        <w:rPr>
          <w:sz w:val="22"/>
          <w:szCs w:val="22"/>
          <w:lang w:val="sr-Latn-ME"/>
        </w:rPr>
        <w:t>slijedi</w:t>
      </w:r>
      <w:r w:rsidRPr="005474B2">
        <w:rPr>
          <w:sz w:val="22"/>
          <w:szCs w:val="22"/>
          <w:lang w:val="sr-Latn-ME"/>
        </w:rPr>
        <w:t xml:space="preserve">la ista doza svakog </w:t>
      </w:r>
      <w:r w:rsidR="009A4880" w:rsidRPr="005474B2">
        <w:rPr>
          <w:sz w:val="22"/>
          <w:szCs w:val="22"/>
          <w:lang w:val="sr-Latn-ME"/>
        </w:rPr>
        <w:t>mjesec</w:t>
      </w:r>
      <w:r w:rsidRPr="005474B2">
        <w:rPr>
          <w:sz w:val="22"/>
          <w:szCs w:val="22"/>
          <w:lang w:val="sr-Latn-ME"/>
        </w:rPr>
        <w:t xml:space="preserve">a. Pacijenti randomizovani na etanercept su primali dozu od 50 mg dva puta </w:t>
      </w:r>
      <w:r w:rsidR="009A4880" w:rsidRPr="005474B2">
        <w:rPr>
          <w:sz w:val="22"/>
          <w:szCs w:val="22"/>
          <w:lang w:val="sr-Latn-ME"/>
        </w:rPr>
        <w:t>nedjelj</w:t>
      </w:r>
      <w:r w:rsidRPr="005474B2">
        <w:rPr>
          <w:sz w:val="22"/>
          <w:szCs w:val="22"/>
          <w:lang w:val="sr-Latn-ME"/>
        </w:rPr>
        <w:t xml:space="preserve">no tokom 12 </w:t>
      </w:r>
      <w:r w:rsidR="009A4880" w:rsidRPr="005474B2">
        <w:rPr>
          <w:sz w:val="22"/>
          <w:szCs w:val="22"/>
          <w:lang w:val="sr-Latn-ME"/>
        </w:rPr>
        <w:t>nedjelj</w:t>
      </w:r>
      <w:r w:rsidRPr="005474B2">
        <w:rPr>
          <w:sz w:val="22"/>
          <w:szCs w:val="22"/>
          <w:lang w:val="sr-Latn-ME"/>
        </w:rPr>
        <w:t xml:space="preserve">a, nakon čega su dobijali 50 mg svake </w:t>
      </w:r>
      <w:r w:rsidR="009A4880" w:rsidRPr="005474B2">
        <w:rPr>
          <w:sz w:val="22"/>
          <w:szCs w:val="22"/>
          <w:lang w:val="sr-Latn-ME"/>
        </w:rPr>
        <w:t>nedjelj</w:t>
      </w:r>
      <w:r w:rsidRPr="005474B2">
        <w:rPr>
          <w:sz w:val="22"/>
          <w:szCs w:val="22"/>
          <w:lang w:val="sr-Latn-ME"/>
        </w:rPr>
        <w:t>e. I u studiji 1 i u studiji 2, pacijenti randomizovani na placebo koji ni</w:t>
      </w:r>
      <w:r w:rsidR="00746619" w:rsidRPr="005474B2">
        <w:rPr>
          <w:sz w:val="22"/>
          <w:szCs w:val="22"/>
          <w:lang w:val="sr-Latn-ME"/>
        </w:rPr>
        <w:t>je</w:t>
      </w:r>
      <w:r w:rsidRPr="005474B2">
        <w:rPr>
          <w:sz w:val="22"/>
          <w:szCs w:val="22"/>
          <w:lang w:val="sr-Latn-ME"/>
        </w:rPr>
        <w:t xml:space="preserve">su postigli odgovor u 12. </w:t>
      </w:r>
      <w:r w:rsidR="009A4880" w:rsidRPr="005474B2">
        <w:rPr>
          <w:sz w:val="22"/>
          <w:szCs w:val="22"/>
          <w:lang w:val="sr-Latn-ME"/>
        </w:rPr>
        <w:t>nedjelj</w:t>
      </w:r>
      <w:r w:rsidRPr="005474B2">
        <w:rPr>
          <w:sz w:val="22"/>
          <w:szCs w:val="22"/>
          <w:lang w:val="sr-Latn-ME"/>
        </w:rPr>
        <w:t xml:space="preserve">i su prelazili </w:t>
      </w:r>
      <w:r w:rsidR="00850EBC" w:rsidRPr="005474B2">
        <w:rPr>
          <w:sz w:val="22"/>
          <w:szCs w:val="22"/>
          <w:lang w:val="sr-Latn-ME"/>
        </w:rPr>
        <w:t xml:space="preserve">na </w:t>
      </w:r>
      <w:r w:rsidRPr="005474B2">
        <w:rPr>
          <w:iCs/>
          <w:sz w:val="22"/>
          <w:szCs w:val="22"/>
          <w:lang w:val="sr-Latn-ME"/>
        </w:rPr>
        <w:t>sekukinumab</w:t>
      </w:r>
      <w:r w:rsidRPr="005474B2">
        <w:rPr>
          <w:sz w:val="22"/>
          <w:szCs w:val="22"/>
          <w:lang w:val="sr-Latn-ME"/>
        </w:rPr>
        <w:t xml:space="preserve"> (ili 150 mg ili 300 mg) u 12</w:t>
      </w:r>
      <w:r w:rsidR="00A742B5" w:rsidRPr="005474B2">
        <w:rPr>
          <w:sz w:val="22"/>
          <w:szCs w:val="22"/>
          <w:lang w:val="sr-Latn-ME"/>
        </w:rPr>
        <w:t>.</w:t>
      </w:r>
      <w:r w:rsidRPr="005474B2">
        <w:rPr>
          <w:sz w:val="22"/>
          <w:szCs w:val="22"/>
          <w:lang w:val="sr-Latn-ME"/>
        </w:rPr>
        <w:t>, 13</w:t>
      </w:r>
      <w:r w:rsidR="00A742B5" w:rsidRPr="005474B2">
        <w:rPr>
          <w:sz w:val="22"/>
          <w:szCs w:val="22"/>
          <w:lang w:val="sr-Latn-ME"/>
        </w:rPr>
        <w:t>.</w:t>
      </w:r>
      <w:r w:rsidRPr="005474B2">
        <w:rPr>
          <w:sz w:val="22"/>
          <w:szCs w:val="22"/>
          <w:lang w:val="sr-Latn-ME"/>
        </w:rPr>
        <w:t xml:space="preserve">, 14. i 15. </w:t>
      </w:r>
      <w:r w:rsidR="009A4880" w:rsidRPr="005474B2">
        <w:rPr>
          <w:sz w:val="22"/>
          <w:szCs w:val="22"/>
          <w:lang w:val="sr-Latn-ME"/>
        </w:rPr>
        <w:t>nedjelj</w:t>
      </w:r>
      <w:r w:rsidRPr="005474B2">
        <w:rPr>
          <w:sz w:val="22"/>
          <w:szCs w:val="22"/>
          <w:lang w:val="sr-Latn-ME"/>
        </w:rPr>
        <w:t xml:space="preserve">i, nakon čega je </w:t>
      </w:r>
      <w:r w:rsidR="009A4880" w:rsidRPr="005474B2">
        <w:rPr>
          <w:sz w:val="22"/>
          <w:szCs w:val="22"/>
          <w:lang w:val="sr-Latn-ME"/>
        </w:rPr>
        <w:t>slijedi</w:t>
      </w:r>
      <w:r w:rsidRPr="005474B2">
        <w:rPr>
          <w:sz w:val="22"/>
          <w:szCs w:val="22"/>
          <w:lang w:val="sr-Latn-ME"/>
        </w:rPr>
        <w:t xml:space="preserve">la ista doza svakog </w:t>
      </w:r>
      <w:r w:rsidR="009A4880" w:rsidRPr="005474B2">
        <w:rPr>
          <w:sz w:val="22"/>
          <w:szCs w:val="22"/>
          <w:lang w:val="sr-Latn-ME"/>
        </w:rPr>
        <w:t>mjesec</w:t>
      </w:r>
      <w:r w:rsidRPr="005474B2">
        <w:rPr>
          <w:sz w:val="22"/>
          <w:szCs w:val="22"/>
          <w:lang w:val="sr-Latn-ME"/>
        </w:rPr>
        <w:t xml:space="preserve">a počevši od 16. </w:t>
      </w:r>
      <w:r w:rsidR="009A4880" w:rsidRPr="005474B2">
        <w:rPr>
          <w:sz w:val="22"/>
          <w:szCs w:val="22"/>
          <w:lang w:val="sr-Latn-ME"/>
        </w:rPr>
        <w:t>nedjelj</w:t>
      </w:r>
      <w:r w:rsidRPr="005474B2">
        <w:rPr>
          <w:sz w:val="22"/>
          <w:szCs w:val="22"/>
          <w:lang w:val="sr-Latn-ME"/>
        </w:rPr>
        <w:t xml:space="preserve">e. Svi pacijenti su praćeni do 52. </w:t>
      </w:r>
      <w:r w:rsidR="009A4880" w:rsidRPr="005474B2">
        <w:rPr>
          <w:sz w:val="22"/>
          <w:szCs w:val="22"/>
          <w:lang w:val="sr-Latn-ME"/>
        </w:rPr>
        <w:t>nedjelj</w:t>
      </w:r>
      <w:r w:rsidRPr="005474B2">
        <w:rPr>
          <w:sz w:val="22"/>
          <w:szCs w:val="22"/>
          <w:lang w:val="sr-Latn-ME"/>
        </w:rPr>
        <w:t xml:space="preserve">e nakon prve </w:t>
      </w:r>
      <w:r w:rsidR="009A4880" w:rsidRPr="005474B2">
        <w:rPr>
          <w:sz w:val="22"/>
          <w:szCs w:val="22"/>
          <w:lang w:val="sr-Latn-ME"/>
        </w:rPr>
        <w:t>primjene</w:t>
      </w:r>
      <w:r w:rsidRPr="005474B2">
        <w:rPr>
          <w:sz w:val="22"/>
          <w:szCs w:val="22"/>
          <w:lang w:val="sr-Latn-ME"/>
        </w:rPr>
        <w:t xml:space="preserve"> ispitivane terapije.</w:t>
      </w:r>
    </w:p>
    <w:p w14:paraId="29EF4BD6" w14:textId="77777777" w:rsidR="007D7CE1" w:rsidRPr="005474B2" w:rsidRDefault="007D7CE1">
      <w:pPr>
        <w:autoSpaceDE w:val="0"/>
        <w:autoSpaceDN w:val="0"/>
        <w:adjustRightInd w:val="0"/>
        <w:jc w:val="both"/>
        <w:rPr>
          <w:sz w:val="22"/>
          <w:szCs w:val="22"/>
          <w:lang w:val="sr-Latn-ME"/>
        </w:rPr>
      </w:pPr>
    </w:p>
    <w:p w14:paraId="5C3D2197" w14:textId="374C4A7E" w:rsidR="007D7CE1" w:rsidRPr="005474B2" w:rsidRDefault="007D7CE1">
      <w:pPr>
        <w:autoSpaceDE w:val="0"/>
        <w:autoSpaceDN w:val="0"/>
        <w:adjustRightInd w:val="0"/>
        <w:jc w:val="both"/>
        <w:rPr>
          <w:sz w:val="22"/>
          <w:szCs w:val="22"/>
          <w:lang w:val="sr-Latn-ME"/>
        </w:rPr>
      </w:pPr>
      <w:r w:rsidRPr="005474B2">
        <w:rPr>
          <w:sz w:val="22"/>
          <w:szCs w:val="22"/>
          <w:lang w:val="sr-Latn-ME"/>
        </w:rPr>
        <w:t>Studija 3 sa psorijazom (FEATURE) je proc</w:t>
      </w:r>
      <w:r w:rsidR="000E4039" w:rsidRPr="005474B2">
        <w:rPr>
          <w:sz w:val="22"/>
          <w:szCs w:val="22"/>
          <w:lang w:val="sr-Latn-ME"/>
        </w:rPr>
        <w:t>j</w:t>
      </w:r>
      <w:r w:rsidRPr="005474B2">
        <w:rPr>
          <w:sz w:val="22"/>
          <w:szCs w:val="22"/>
          <w:lang w:val="sr-Latn-ME"/>
        </w:rPr>
        <w:t xml:space="preserve">enjivala 177 pacijenata uz korišćenje napunjenog injekcionog šprica u poređenju sa placebom nakon 12 </w:t>
      </w:r>
      <w:r w:rsidR="009A4880" w:rsidRPr="005474B2">
        <w:rPr>
          <w:sz w:val="22"/>
          <w:szCs w:val="22"/>
          <w:lang w:val="sr-Latn-ME"/>
        </w:rPr>
        <w:t>nedjelj</w:t>
      </w:r>
      <w:r w:rsidRPr="005474B2">
        <w:rPr>
          <w:sz w:val="22"/>
          <w:szCs w:val="22"/>
          <w:lang w:val="sr-Latn-ME"/>
        </w:rPr>
        <w:t xml:space="preserve">a </w:t>
      </w:r>
      <w:r w:rsidR="009A4880" w:rsidRPr="005474B2">
        <w:rPr>
          <w:sz w:val="22"/>
          <w:szCs w:val="22"/>
          <w:lang w:val="sr-Latn-ME"/>
        </w:rPr>
        <w:t>liječ</w:t>
      </w:r>
      <w:r w:rsidRPr="005474B2">
        <w:rPr>
          <w:sz w:val="22"/>
          <w:szCs w:val="22"/>
          <w:lang w:val="sr-Latn-ME"/>
        </w:rPr>
        <w:t xml:space="preserve">enja radi </w:t>
      </w:r>
      <w:r w:rsidR="00A23A61" w:rsidRPr="005474B2">
        <w:rPr>
          <w:sz w:val="22"/>
          <w:szCs w:val="22"/>
          <w:lang w:val="sr-Latn-ME"/>
        </w:rPr>
        <w:t>procjene</w:t>
      </w:r>
      <w:r w:rsidRPr="005474B2">
        <w:rPr>
          <w:sz w:val="22"/>
          <w:szCs w:val="22"/>
          <w:lang w:val="sr-Latn-ME"/>
        </w:rPr>
        <w:t xml:space="preserve"> efikasnosti, podnošljivosti i mogućnosti samo</w:t>
      </w:r>
      <w:r w:rsidR="009A4880" w:rsidRPr="005474B2">
        <w:rPr>
          <w:sz w:val="22"/>
          <w:szCs w:val="22"/>
          <w:lang w:val="sr-Latn-ME"/>
        </w:rPr>
        <w:t>primjene</w:t>
      </w:r>
      <w:r w:rsidRPr="005474B2">
        <w:rPr>
          <w:sz w:val="22"/>
          <w:szCs w:val="22"/>
          <w:lang w:val="sr-Latn-ME"/>
        </w:rPr>
        <w:t xml:space="preserve"> </w:t>
      </w:r>
      <w:r w:rsidRPr="005474B2">
        <w:rPr>
          <w:iCs/>
          <w:sz w:val="22"/>
          <w:szCs w:val="22"/>
          <w:lang w:val="sr-Latn-ME"/>
        </w:rPr>
        <w:t>sekukinumaba</w:t>
      </w:r>
      <w:r w:rsidRPr="005474B2">
        <w:rPr>
          <w:sz w:val="22"/>
          <w:szCs w:val="22"/>
          <w:lang w:val="sr-Latn-ME"/>
        </w:rPr>
        <w:t xml:space="preserve"> pomoću napunjenog injekcionog šprica. Studija 4 sa psorijazom  (JUNCTURE)  je proc</w:t>
      </w:r>
      <w:r w:rsidR="000E4039" w:rsidRPr="005474B2">
        <w:rPr>
          <w:sz w:val="22"/>
          <w:szCs w:val="22"/>
          <w:lang w:val="sr-Latn-ME"/>
        </w:rPr>
        <w:t>j</w:t>
      </w:r>
      <w:r w:rsidRPr="005474B2">
        <w:rPr>
          <w:sz w:val="22"/>
          <w:szCs w:val="22"/>
          <w:lang w:val="sr-Latn-ME"/>
        </w:rPr>
        <w:t xml:space="preserve">enjivala 182 pacijenata uz korišćenje napunjenog injekcionog pena u poređenju sa placebom nakon 12 </w:t>
      </w:r>
      <w:r w:rsidR="009A4880" w:rsidRPr="005474B2">
        <w:rPr>
          <w:sz w:val="22"/>
          <w:szCs w:val="22"/>
          <w:lang w:val="sr-Latn-ME"/>
        </w:rPr>
        <w:t>nedjelj</w:t>
      </w:r>
      <w:r w:rsidRPr="005474B2">
        <w:rPr>
          <w:sz w:val="22"/>
          <w:szCs w:val="22"/>
          <w:lang w:val="sr-Latn-ME"/>
        </w:rPr>
        <w:t xml:space="preserve">a </w:t>
      </w:r>
      <w:r w:rsidR="009A4880" w:rsidRPr="005474B2">
        <w:rPr>
          <w:sz w:val="22"/>
          <w:szCs w:val="22"/>
          <w:lang w:val="sr-Latn-ME"/>
        </w:rPr>
        <w:t>liječ</w:t>
      </w:r>
      <w:r w:rsidRPr="005474B2">
        <w:rPr>
          <w:sz w:val="22"/>
          <w:szCs w:val="22"/>
          <w:lang w:val="sr-Latn-ME"/>
        </w:rPr>
        <w:t>enja radi proc</w:t>
      </w:r>
      <w:r w:rsidR="00A23A61" w:rsidRPr="005474B2">
        <w:rPr>
          <w:sz w:val="22"/>
          <w:szCs w:val="22"/>
          <w:lang w:val="sr-Latn-ME"/>
        </w:rPr>
        <w:t>j</w:t>
      </w:r>
      <w:r w:rsidRPr="005474B2">
        <w:rPr>
          <w:sz w:val="22"/>
          <w:szCs w:val="22"/>
          <w:lang w:val="sr-Latn-ME"/>
        </w:rPr>
        <w:t xml:space="preserve">ene </w:t>
      </w:r>
      <w:r w:rsidR="009A4880" w:rsidRPr="005474B2">
        <w:rPr>
          <w:sz w:val="22"/>
          <w:szCs w:val="22"/>
          <w:lang w:val="sr-Latn-ME"/>
        </w:rPr>
        <w:t>bezbjednost</w:t>
      </w:r>
      <w:r w:rsidRPr="005474B2">
        <w:rPr>
          <w:sz w:val="22"/>
          <w:szCs w:val="22"/>
          <w:lang w:val="sr-Latn-ME"/>
        </w:rPr>
        <w:t>i, podnošljivosti i mogućnosti samo</w:t>
      </w:r>
      <w:r w:rsidR="009A4880" w:rsidRPr="005474B2">
        <w:rPr>
          <w:sz w:val="22"/>
          <w:szCs w:val="22"/>
          <w:lang w:val="sr-Latn-ME"/>
        </w:rPr>
        <w:t>primjene</w:t>
      </w:r>
      <w:r w:rsidRPr="005474B2">
        <w:rPr>
          <w:sz w:val="22"/>
          <w:szCs w:val="22"/>
          <w:lang w:val="sr-Latn-ME"/>
        </w:rPr>
        <w:t xml:space="preserve"> </w:t>
      </w:r>
      <w:r w:rsidRPr="005474B2">
        <w:rPr>
          <w:iCs/>
          <w:sz w:val="22"/>
          <w:szCs w:val="22"/>
          <w:lang w:val="sr-Latn-ME"/>
        </w:rPr>
        <w:t>sekukinumaba</w:t>
      </w:r>
      <w:r w:rsidRPr="005474B2">
        <w:rPr>
          <w:sz w:val="22"/>
          <w:szCs w:val="22"/>
          <w:lang w:val="sr-Latn-ME"/>
        </w:rPr>
        <w:t xml:space="preserve"> pomoću napunjenog injekcionog pena. I u studiji 3 i u studiji 4, pacijenti randomizovani </w:t>
      </w:r>
      <w:r w:rsidR="000E4039" w:rsidRPr="005474B2">
        <w:rPr>
          <w:sz w:val="22"/>
          <w:szCs w:val="22"/>
          <w:lang w:val="sr-Latn-ME"/>
        </w:rPr>
        <w:t xml:space="preserve">na </w:t>
      </w:r>
      <w:r w:rsidRPr="005474B2">
        <w:rPr>
          <w:iCs/>
          <w:sz w:val="22"/>
          <w:szCs w:val="22"/>
          <w:lang w:val="sr-Latn-ME"/>
        </w:rPr>
        <w:t>sekukinumab</w:t>
      </w:r>
      <w:r w:rsidRPr="005474B2">
        <w:rPr>
          <w:sz w:val="22"/>
          <w:szCs w:val="22"/>
          <w:lang w:val="sr-Latn-ME"/>
        </w:rPr>
        <w:t xml:space="preserve"> primali su doze od 150 mg ili 300 mg u 0</w:t>
      </w:r>
      <w:r w:rsidR="00A742B5" w:rsidRPr="005474B2">
        <w:rPr>
          <w:sz w:val="22"/>
          <w:szCs w:val="22"/>
          <w:lang w:val="sr-Latn-ME"/>
        </w:rPr>
        <w:t>.</w:t>
      </w:r>
      <w:r w:rsidRPr="005474B2">
        <w:rPr>
          <w:sz w:val="22"/>
          <w:szCs w:val="22"/>
          <w:lang w:val="sr-Latn-ME"/>
        </w:rPr>
        <w:t>, 1</w:t>
      </w:r>
      <w:r w:rsidR="00A742B5" w:rsidRPr="005474B2">
        <w:rPr>
          <w:sz w:val="22"/>
          <w:szCs w:val="22"/>
          <w:lang w:val="sr-Latn-ME"/>
        </w:rPr>
        <w:t>.</w:t>
      </w:r>
      <w:r w:rsidRPr="005474B2">
        <w:rPr>
          <w:sz w:val="22"/>
          <w:szCs w:val="22"/>
          <w:lang w:val="sr-Latn-ME"/>
        </w:rPr>
        <w:t>, 2</w:t>
      </w:r>
      <w:r w:rsidR="00A742B5" w:rsidRPr="005474B2">
        <w:rPr>
          <w:sz w:val="22"/>
          <w:szCs w:val="22"/>
          <w:lang w:val="sr-Latn-ME"/>
        </w:rPr>
        <w:t>.</w:t>
      </w:r>
      <w:r w:rsidRPr="005474B2">
        <w:rPr>
          <w:sz w:val="22"/>
          <w:szCs w:val="22"/>
          <w:lang w:val="sr-Latn-ME"/>
        </w:rPr>
        <w:t xml:space="preserve">, 3. i 4. </w:t>
      </w:r>
      <w:r w:rsidR="009A4880" w:rsidRPr="005474B2">
        <w:rPr>
          <w:sz w:val="22"/>
          <w:szCs w:val="22"/>
          <w:lang w:val="sr-Latn-ME"/>
        </w:rPr>
        <w:t>nedjelj</w:t>
      </w:r>
      <w:r w:rsidRPr="005474B2">
        <w:rPr>
          <w:sz w:val="22"/>
          <w:szCs w:val="22"/>
          <w:lang w:val="sr-Latn-ME"/>
        </w:rPr>
        <w:t xml:space="preserve">i, nakon čega je </w:t>
      </w:r>
      <w:r w:rsidR="009A4880" w:rsidRPr="005474B2">
        <w:rPr>
          <w:sz w:val="22"/>
          <w:szCs w:val="22"/>
          <w:lang w:val="sr-Latn-ME"/>
        </w:rPr>
        <w:t>slijedi</w:t>
      </w:r>
      <w:r w:rsidRPr="005474B2">
        <w:rPr>
          <w:sz w:val="22"/>
          <w:szCs w:val="22"/>
          <w:lang w:val="sr-Latn-ME"/>
        </w:rPr>
        <w:t xml:space="preserve">la ista doza svakog </w:t>
      </w:r>
      <w:r w:rsidR="009A4880" w:rsidRPr="005474B2">
        <w:rPr>
          <w:sz w:val="22"/>
          <w:szCs w:val="22"/>
          <w:lang w:val="sr-Latn-ME"/>
        </w:rPr>
        <w:t>mjesec</w:t>
      </w:r>
      <w:r w:rsidRPr="005474B2">
        <w:rPr>
          <w:sz w:val="22"/>
          <w:szCs w:val="22"/>
          <w:lang w:val="sr-Latn-ME"/>
        </w:rPr>
        <w:t>a. Pacijenti su takođe randomizovani da primaju placebo u 0</w:t>
      </w:r>
      <w:r w:rsidR="00D03735" w:rsidRPr="005474B2">
        <w:rPr>
          <w:sz w:val="22"/>
          <w:szCs w:val="22"/>
          <w:lang w:val="sr-Latn-ME"/>
        </w:rPr>
        <w:t>.</w:t>
      </w:r>
      <w:r w:rsidRPr="005474B2">
        <w:rPr>
          <w:sz w:val="22"/>
          <w:szCs w:val="22"/>
          <w:lang w:val="sr-Latn-ME"/>
        </w:rPr>
        <w:t>, 1</w:t>
      </w:r>
      <w:r w:rsidR="00D03735" w:rsidRPr="005474B2">
        <w:rPr>
          <w:sz w:val="22"/>
          <w:szCs w:val="22"/>
          <w:lang w:val="sr-Latn-ME"/>
        </w:rPr>
        <w:t>.</w:t>
      </w:r>
      <w:r w:rsidRPr="005474B2">
        <w:rPr>
          <w:sz w:val="22"/>
          <w:szCs w:val="22"/>
          <w:lang w:val="sr-Latn-ME"/>
        </w:rPr>
        <w:t>, 2</w:t>
      </w:r>
      <w:r w:rsidR="00D03735" w:rsidRPr="005474B2">
        <w:rPr>
          <w:sz w:val="22"/>
          <w:szCs w:val="22"/>
          <w:lang w:val="sr-Latn-ME"/>
        </w:rPr>
        <w:t>.</w:t>
      </w:r>
      <w:r w:rsidRPr="005474B2">
        <w:rPr>
          <w:sz w:val="22"/>
          <w:szCs w:val="22"/>
          <w:lang w:val="sr-Latn-ME"/>
        </w:rPr>
        <w:t xml:space="preserve">, 3. i 4. </w:t>
      </w:r>
      <w:r w:rsidR="009A4880" w:rsidRPr="005474B2">
        <w:rPr>
          <w:sz w:val="22"/>
          <w:szCs w:val="22"/>
          <w:lang w:val="sr-Latn-ME"/>
        </w:rPr>
        <w:t>nedjelj</w:t>
      </w:r>
      <w:r w:rsidRPr="005474B2">
        <w:rPr>
          <w:sz w:val="22"/>
          <w:szCs w:val="22"/>
          <w:lang w:val="sr-Latn-ME"/>
        </w:rPr>
        <w:t>i</w:t>
      </w:r>
      <w:r w:rsidR="00850EBC" w:rsidRPr="005474B2">
        <w:rPr>
          <w:sz w:val="22"/>
          <w:szCs w:val="22"/>
          <w:lang w:val="sr-Latn-ME"/>
        </w:rPr>
        <w:t>,</w:t>
      </w:r>
      <w:r w:rsidRPr="005474B2">
        <w:rPr>
          <w:sz w:val="22"/>
          <w:szCs w:val="22"/>
          <w:lang w:val="sr-Latn-ME"/>
        </w:rPr>
        <w:t xml:space="preserve"> nakon čega je </w:t>
      </w:r>
      <w:r w:rsidR="009A4880" w:rsidRPr="005474B2">
        <w:rPr>
          <w:sz w:val="22"/>
          <w:szCs w:val="22"/>
          <w:lang w:val="sr-Latn-ME"/>
        </w:rPr>
        <w:t>slijedi</w:t>
      </w:r>
      <w:r w:rsidRPr="005474B2">
        <w:rPr>
          <w:sz w:val="22"/>
          <w:szCs w:val="22"/>
          <w:lang w:val="sr-Latn-ME"/>
        </w:rPr>
        <w:t xml:space="preserve">la ista doza svakog </w:t>
      </w:r>
      <w:r w:rsidR="009A4880" w:rsidRPr="005474B2">
        <w:rPr>
          <w:sz w:val="22"/>
          <w:szCs w:val="22"/>
          <w:lang w:val="sr-Latn-ME"/>
        </w:rPr>
        <w:t>mjesec</w:t>
      </w:r>
      <w:r w:rsidRPr="005474B2">
        <w:rPr>
          <w:sz w:val="22"/>
          <w:szCs w:val="22"/>
          <w:lang w:val="sr-Latn-ME"/>
        </w:rPr>
        <w:t xml:space="preserve">a. </w:t>
      </w:r>
    </w:p>
    <w:p w14:paraId="303E7752" w14:textId="77777777" w:rsidR="007D7CE1" w:rsidRPr="005474B2" w:rsidRDefault="007D7CE1">
      <w:pPr>
        <w:autoSpaceDE w:val="0"/>
        <w:autoSpaceDN w:val="0"/>
        <w:adjustRightInd w:val="0"/>
        <w:jc w:val="both"/>
        <w:rPr>
          <w:sz w:val="22"/>
          <w:szCs w:val="22"/>
          <w:lang w:val="sr-Latn-ME"/>
        </w:rPr>
      </w:pPr>
    </w:p>
    <w:p w14:paraId="677459FB" w14:textId="68889125" w:rsidR="007D7CE1" w:rsidRPr="005474B2" w:rsidRDefault="007D7CE1">
      <w:pPr>
        <w:autoSpaceDE w:val="0"/>
        <w:autoSpaceDN w:val="0"/>
        <w:adjustRightInd w:val="0"/>
        <w:jc w:val="both"/>
        <w:rPr>
          <w:sz w:val="22"/>
          <w:szCs w:val="22"/>
          <w:lang w:val="sr-Latn-ME"/>
        </w:rPr>
      </w:pPr>
      <w:r w:rsidRPr="005474B2">
        <w:rPr>
          <w:sz w:val="22"/>
          <w:szCs w:val="22"/>
          <w:lang w:val="sr-Latn-ME"/>
        </w:rPr>
        <w:t>Studija 5 sa psorijazom (SCULPTURE) je proc</w:t>
      </w:r>
      <w:r w:rsidR="000E4039" w:rsidRPr="005474B2">
        <w:rPr>
          <w:sz w:val="22"/>
          <w:szCs w:val="22"/>
          <w:lang w:val="sr-Latn-ME"/>
        </w:rPr>
        <w:t>j</w:t>
      </w:r>
      <w:r w:rsidRPr="005474B2">
        <w:rPr>
          <w:sz w:val="22"/>
          <w:szCs w:val="22"/>
          <w:lang w:val="sr-Latn-ME"/>
        </w:rPr>
        <w:t xml:space="preserve">enjivala 966 pacijenata. Svi pacijenti su primali </w:t>
      </w:r>
      <w:r w:rsidRPr="005474B2">
        <w:rPr>
          <w:iCs/>
          <w:sz w:val="22"/>
          <w:szCs w:val="22"/>
          <w:lang w:val="sr-Latn-ME"/>
        </w:rPr>
        <w:t xml:space="preserve">sekukinumab </w:t>
      </w:r>
      <w:r w:rsidRPr="005474B2">
        <w:rPr>
          <w:sz w:val="22"/>
          <w:szCs w:val="22"/>
          <w:lang w:val="sr-Latn-ME"/>
        </w:rPr>
        <w:t xml:space="preserve"> u dozi 150 mg ili 300 mg u 0</w:t>
      </w:r>
      <w:r w:rsidR="00D03735" w:rsidRPr="005474B2">
        <w:rPr>
          <w:sz w:val="22"/>
          <w:szCs w:val="22"/>
          <w:lang w:val="sr-Latn-ME"/>
        </w:rPr>
        <w:t>.</w:t>
      </w:r>
      <w:r w:rsidRPr="005474B2">
        <w:rPr>
          <w:sz w:val="22"/>
          <w:szCs w:val="22"/>
          <w:lang w:val="sr-Latn-ME"/>
        </w:rPr>
        <w:t>, 1</w:t>
      </w:r>
      <w:r w:rsidR="00D03735" w:rsidRPr="005474B2">
        <w:rPr>
          <w:sz w:val="22"/>
          <w:szCs w:val="22"/>
          <w:lang w:val="sr-Latn-ME"/>
        </w:rPr>
        <w:t>.</w:t>
      </w:r>
      <w:r w:rsidRPr="005474B2">
        <w:rPr>
          <w:sz w:val="22"/>
          <w:szCs w:val="22"/>
          <w:lang w:val="sr-Latn-ME"/>
        </w:rPr>
        <w:t>, 2</w:t>
      </w:r>
      <w:r w:rsidR="00D03735" w:rsidRPr="005474B2">
        <w:rPr>
          <w:sz w:val="22"/>
          <w:szCs w:val="22"/>
          <w:lang w:val="sr-Latn-ME"/>
        </w:rPr>
        <w:t>.</w:t>
      </w:r>
      <w:r w:rsidRPr="005474B2">
        <w:rPr>
          <w:sz w:val="22"/>
          <w:szCs w:val="22"/>
          <w:lang w:val="sr-Latn-ME"/>
        </w:rPr>
        <w:t>, 3</w:t>
      </w:r>
      <w:r w:rsidR="00D03735" w:rsidRPr="005474B2">
        <w:rPr>
          <w:sz w:val="22"/>
          <w:szCs w:val="22"/>
          <w:lang w:val="sr-Latn-ME"/>
        </w:rPr>
        <w:t>.</w:t>
      </w:r>
      <w:r w:rsidRPr="005474B2">
        <w:rPr>
          <w:sz w:val="22"/>
          <w:szCs w:val="22"/>
          <w:lang w:val="sr-Latn-ME"/>
        </w:rPr>
        <w:t>, 4</w:t>
      </w:r>
      <w:r w:rsidR="00D03735" w:rsidRPr="005474B2">
        <w:rPr>
          <w:sz w:val="22"/>
          <w:szCs w:val="22"/>
          <w:lang w:val="sr-Latn-ME"/>
        </w:rPr>
        <w:t>.</w:t>
      </w:r>
      <w:r w:rsidRPr="005474B2">
        <w:rPr>
          <w:sz w:val="22"/>
          <w:szCs w:val="22"/>
          <w:lang w:val="sr-Latn-ME"/>
        </w:rPr>
        <w:t xml:space="preserve">, 8. i 12. </w:t>
      </w:r>
      <w:r w:rsidR="009A4880" w:rsidRPr="005474B2">
        <w:rPr>
          <w:sz w:val="22"/>
          <w:szCs w:val="22"/>
          <w:lang w:val="sr-Latn-ME"/>
        </w:rPr>
        <w:t>nedjelj</w:t>
      </w:r>
      <w:r w:rsidRPr="005474B2">
        <w:rPr>
          <w:sz w:val="22"/>
          <w:szCs w:val="22"/>
          <w:lang w:val="sr-Latn-ME"/>
        </w:rPr>
        <w:t xml:space="preserve">i i zatim su bili randomizovani na režim održavanja u istoj dozi svakog </w:t>
      </w:r>
      <w:r w:rsidR="009A4880" w:rsidRPr="005474B2">
        <w:rPr>
          <w:sz w:val="22"/>
          <w:szCs w:val="22"/>
          <w:lang w:val="sr-Latn-ME"/>
        </w:rPr>
        <w:t>mjesec</w:t>
      </w:r>
      <w:r w:rsidRPr="005474B2">
        <w:rPr>
          <w:sz w:val="22"/>
          <w:szCs w:val="22"/>
          <w:lang w:val="sr-Latn-ME"/>
        </w:rPr>
        <w:t xml:space="preserve">a počevši od 12. </w:t>
      </w:r>
      <w:r w:rsidR="009A4880" w:rsidRPr="005474B2">
        <w:rPr>
          <w:sz w:val="22"/>
          <w:szCs w:val="22"/>
          <w:lang w:val="sr-Latn-ME"/>
        </w:rPr>
        <w:t>nedjelj</w:t>
      </w:r>
      <w:r w:rsidRPr="005474B2">
        <w:rPr>
          <w:sz w:val="22"/>
          <w:szCs w:val="22"/>
          <w:lang w:val="sr-Latn-ME"/>
        </w:rPr>
        <w:t xml:space="preserve">e ili režim „ponovnog </w:t>
      </w:r>
      <w:r w:rsidR="009A4880" w:rsidRPr="005474B2">
        <w:rPr>
          <w:sz w:val="22"/>
          <w:szCs w:val="22"/>
          <w:lang w:val="sr-Latn-ME"/>
        </w:rPr>
        <w:t>liječ</w:t>
      </w:r>
      <w:r w:rsidRPr="005474B2">
        <w:rPr>
          <w:sz w:val="22"/>
          <w:szCs w:val="22"/>
          <w:lang w:val="sr-Latn-ME"/>
        </w:rPr>
        <w:t xml:space="preserve">enja po potrebi“ istom dozom. Pacijenti randomizovani na „ponovno </w:t>
      </w:r>
      <w:r w:rsidR="009A4880" w:rsidRPr="005474B2">
        <w:rPr>
          <w:sz w:val="22"/>
          <w:szCs w:val="22"/>
          <w:lang w:val="sr-Latn-ME"/>
        </w:rPr>
        <w:t>liječ</w:t>
      </w:r>
      <w:r w:rsidRPr="005474B2">
        <w:rPr>
          <w:sz w:val="22"/>
          <w:szCs w:val="22"/>
          <w:lang w:val="sr-Latn-ME"/>
        </w:rPr>
        <w:t>enje po potrebi“ ni</w:t>
      </w:r>
      <w:r w:rsidR="00746619" w:rsidRPr="005474B2">
        <w:rPr>
          <w:sz w:val="22"/>
          <w:szCs w:val="22"/>
          <w:lang w:val="sr-Latn-ME"/>
        </w:rPr>
        <w:t>je</w:t>
      </w:r>
      <w:r w:rsidRPr="005474B2">
        <w:rPr>
          <w:sz w:val="22"/>
          <w:szCs w:val="22"/>
          <w:lang w:val="sr-Latn-ME"/>
        </w:rPr>
        <w:t xml:space="preserve">su postigli odgovarajuće održavanje odgovora i zbog toga se preporučuje fiksni </w:t>
      </w:r>
      <w:r w:rsidR="009A4880" w:rsidRPr="005474B2">
        <w:rPr>
          <w:sz w:val="22"/>
          <w:szCs w:val="22"/>
          <w:lang w:val="sr-Latn-ME"/>
        </w:rPr>
        <w:t>mjeseč</w:t>
      </w:r>
      <w:r w:rsidRPr="005474B2">
        <w:rPr>
          <w:sz w:val="22"/>
          <w:szCs w:val="22"/>
          <w:lang w:val="sr-Latn-ME"/>
        </w:rPr>
        <w:t>ni režim održavanja.</w:t>
      </w:r>
    </w:p>
    <w:p w14:paraId="5A353040" w14:textId="77777777" w:rsidR="00C21EC1" w:rsidRPr="005474B2" w:rsidRDefault="00C21EC1">
      <w:pPr>
        <w:autoSpaceDE w:val="0"/>
        <w:autoSpaceDN w:val="0"/>
        <w:adjustRightInd w:val="0"/>
        <w:jc w:val="both"/>
        <w:rPr>
          <w:sz w:val="22"/>
          <w:szCs w:val="22"/>
          <w:lang w:val="sr-Latn-ME"/>
        </w:rPr>
      </w:pPr>
    </w:p>
    <w:p w14:paraId="04211111" w14:textId="7ADD072A" w:rsidR="007D7CE1" w:rsidRPr="005474B2" w:rsidRDefault="007D7CE1">
      <w:pPr>
        <w:autoSpaceDE w:val="0"/>
        <w:autoSpaceDN w:val="0"/>
        <w:adjustRightInd w:val="0"/>
        <w:jc w:val="both"/>
        <w:rPr>
          <w:sz w:val="22"/>
          <w:szCs w:val="22"/>
          <w:lang w:val="sr-Latn-ME"/>
        </w:rPr>
      </w:pPr>
      <w:r w:rsidRPr="005474B2">
        <w:rPr>
          <w:sz w:val="22"/>
          <w:szCs w:val="22"/>
          <w:lang w:val="sr-Latn-ME"/>
        </w:rPr>
        <w:t>Koprimarni paramet</w:t>
      </w:r>
      <w:r w:rsidR="000E4039" w:rsidRPr="005474B2">
        <w:rPr>
          <w:sz w:val="22"/>
          <w:szCs w:val="22"/>
          <w:lang w:val="sr-Latn-ME"/>
        </w:rPr>
        <w:t>ri</w:t>
      </w:r>
      <w:r w:rsidRPr="005474B2">
        <w:rPr>
          <w:sz w:val="22"/>
          <w:szCs w:val="22"/>
          <w:lang w:val="sr-Latn-ME"/>
        </w:rPr>
        <w:t xml:space="preserve"> praćenja efikasnosti u placebo i aktivno kontrolisanim studijama su bili procenat pacijenata koji su postigli PASI 75 odgovor i IGA mod 2011 odgovor „čista“ ili „gotovo čista“ u poređenju sa placebom u 12. </w:t>
      </w:r>
      <w:r w:rsidR="009A4880" w:rsidRPr="005474B2">
        <w:rPr>
          <w:sz w:val="22"/>
          <w:szCs w:val="22"/>
          <w:lang w:val="sr-Latn-ME"/>
        </w:rPr>
        <w:t>nedjelj</w:t>
      </w:r>
      <w:r w:rsidRPr="005474B2">
        <w:rPr>
          <w:sz w:val="22"/>
          <w:szCs w:val="22"/>
          <w:lang w:val="sr-Latn-ME"/>
        </w:rPr>
        <w:t>i (</w:t>
      </w:r>
      <w:r w:rsidR="009A4880" w:rsidRPr="005474B2">
        <w:rPr>
          <w:sz w:val="22"/>
          <w:szCs w:val="22"/>
          <w:lang w:val="sr-Latn-ME"/>
        </w:rPr>
        <w:t>vidjet</w:t>
      </w:r>
      <w:r w:rsidRPr="005474B2">
        <w:rPr>
          <w:sz w:val="22"/>
          <w:szCs w:val="22"/>
          <w:lang w:val="sr-Latn-ME"/>
        </w:rPr>
        <w:t xml:space="preserve">i </w:t>
      </w:r>
      <w:r w:rsidR="00850EBC" w:rsidRPr="005474B2">
        <w:rPr>
          <w:sz w:val="22"/>
          <w:szCs w:val="22"/>
          <w:lang w:val="sr-Latn-ME"/>
        </w:rPr>
        <w:t xml:space="preserve">Tabele </w:t>
      </w:r>
      <w:r w:rsidR="00C21EC1" w:rsidRPr="005474B2">
        <w:rPr>
          <w:sz w:val="22"/>
          <w:szCs w:val="22"/>
          <w:lang w:val="sr-Latn-ME"/>
        </w:rPr>
        <w:t>4</w:t>
      </w:r>
      <w:r w:rsidR="00D03735" w:rsidRPr="005474B2">
        <w:rPr>
          <w:sz w:val="22"/>
          <w:szCs w:val="22"/>
          <w:lang w:val="sr-Latn-ME"/>
        </w:rPr>
        <w:t xml:space="preserve"> </w:t>
      </w:r>
      <w:r w:rsidRPr="005474B2">
        <w:rPr>
          <w:sz w:val="22"/>
          <w:szCs w:val="22"/>
          <w:lang w:val="sr-Latn-ME"/>
        </w:rPr>
        <w:t xml:space="preserve">i </w:t>
      </w:r>
      <w:r w:rsidR="00C21EC1" w:rsidRPr="005474B2">
        <w:rPr>
          <w:sz w:val="22"/>
          <w:szCs w:val="22"/>
          <w:lang w:val="sr-Latn-ME"/>
        </w:rPr>
        <w:t>5</w:t>
      </w:r>
      <w:r w:rsidRPr="005474B2">
        <w:rPr>
          <w:sz w:val="22"/>
          <w:szCs w:val="22"/>
          <w:lang w:val="sr-Latn-ME"/>
        </w:rPr>
        <w:t xml:space="preserve">). Doza od 300 mg je omogućila poboljšano očišćenje kože, posebno za „čistu“ ili „gotovo čistu“ kožu kao parametar praćenja efikasnosti, tj. odgovore PASI 90, PASI 100 i IGA mod 2011 0 ili 1 u svim studijama, pri čemu su najbolji efekti uočeni u 16. </w:t>
      </w:r>
      <w:r w:rsidR="009A4880" w:rsidRPr="005474B2">
        <w:rPr>
          <w:sz w:val="22"/>
          <w:szCs w:val="22"/>
          <w:lang w:val="sr-Latn-ME"/>
        </w:rPr>
        <w:t>nedjelj</w:t>
      </w:r>
      <w:r w:rsidRPr="005474B2">
        <w:rPr>
          <w:sz w:val="22"/>
          <w:szCs w:val="22"/>
          <w:lang w:val="sr-Latn-ME"/>
        </w:rPr>
        <w:t xml:space="preserve">i, pa se zbog toga preporučuje ova doza. </w:t>
      </w:r>
    </w:p>
    <w:p w14:paraId="03987041" w14:textId="77777777" w:rsidR="007D7CE1" w:rsidRPr="005474B2" w:rsidRDefault="007D7CE1">
      <w:pPr>
        <w:autoSpaceDE w:val="0"/>
        <w:autoSpaceDN w:val="0"/>
        <w:adjustRightInd w:val="0"/>
        <w:jc w:val="both"/>
        <w:rPr>
          <w:sz w:val="22"/>
          <w:szCs w:val="22"/>
          <w:lang w:val="sr-Latn-ME"/>
        </w:rPr>
      </w:pPr>
    </w:p>
    <w:p w14:paraId="0A170E23" w14:textId="5C47867C" w:rsidR="007D7CE1" w:rsidRPr="005474B2" w:rsidRDefault="007D7CE1">
      <w:pPr>
        <w:keepNext/>
        <w:widowControl w:val="0"/>
        <w:ind w:left="1134" w:hanging="1134"/>
        <w:jc w:val="both"/>
        <w:outlineLvl w:val="5"/>
        <w:rPr>
          <w:rFonts w:eastAsia="MS Gothic"/>
          <w:b/>
          <w:sz w:val="22"/>
          <w:szCs w:val="22"/>
          <w:lang w:val="sr-Latn-ME"/>
        </w:rPr>
      </w:pPr>
      <w:r w:rsidRPr="005474B2">
        <w:rPr>
          <w:rFonts w:eastAsia="MS Gothic"/>
          <w:b/>
          <w:sz w:val="22"/>
          <w:szCs w:val="22"/>
          <w:lang w:val="sr-Latn-ME"/>
        </w:rPr>
        <w:t>Tabela </w:t>
      </w:r>
      <w:r w:rsidR="008C6DC8" w:rsidRPr="005474B2">
        <w:rPr>
          <w:rFonts w:eastAsia="MS Gothic"/>
          <w:b/>
          <w:sz w:val="22"/>
          <w:szCs w:val="22"/>
          <w:lang w:val="sr-Latn-ME"/>
        </w:rPr>
        <w:t>4</w:t>
      </w:r>
      <w:r w:rsidRPr="005474B2">
        <w:rPr>
          <w:rFonts w:eastAsia="MS Gothic"/>
          <w:b/>
          <w:sz w:val="22"/>
          <w:szCs w:val="22"/>
          <w:lang w:val="sr-Latn-ME"/>
        </w:rPr>
        <w:tab/>
        <w:t>Sažetak kliničkih odgovora PASI 50/75/90/100 i IGA⃰ mod 2011 „čista“ ili „gotovo čista“ u Studiji 1, 3 i 4 sa psorijazom (ERASURE, FEATURE i JUNCTURE)</w:t>
      </w:r>
    </w:p>
    <w:p w14:paraId="318601BF" w14:textId="77777777" w:rsidR="007D7CE1" w:rsidRPr="005474B2" w:rsidRDefault="007D7CE1">
      <w:pPr>
        <w:tabs>
          <w:tab w:val="left" w:pos="540"/>
          <w:tab w:val="left" w:pos="569"/>
        </w:tabs>
        <w:jc w:val="both"/>
        <w:rPr>
          <w:b/>
          <w:bCs/>
          <w:sz w:val="22"/>
          <w:szCs w:val="22"/>
          <w:lang w:val="sr-Latn-ME"/>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268"/>
        <w:gridCol w:w="900"/>
        <w:gridCol w:w="93"/>
        <w:gridCol w:w="897"/>
        <w:gridCol w:w="990"/>
        <w:gridCol w:w="900"/>
        <w:gridCol w:w="900"/>
        <w:gridCol w:w="957"/>
        <w:gridCol w:w="992"/>
      </w:tblGrid>
      <w:tr w:rsidR="007D7CE1" w:rsidRPr="0009637B" w14:paraId="42AF7674" w14:textId="77777777" w:rsidTr="007D7CE1">
        <w:tc>
          <w:tcPr>
            <w:tcW w:w="2268" w:type="dxa"/>
            <w:tcBorders>
              <w:top w:val="single" w:sz="4" w:space="0" w:color="auto"/>
              <w:bottom w:val="single" w:sz="4" w:space="0" w:color="auto"/>
            </w:tcBorders>
            <w:shd w:val="clear" w:color="auto" w:fill="auto"/>
          </w:tcPr>
          <w:p w14:paraId="7CFDDC97" w14:textId="77777777" w:rsidR="007D7CE1" w:rsidRPr="005474B2" w:rsidRDefault="007D7CE1">
            <w:pPr>
              <w:keepNext/>
              <w:widowControl w:val="0"/>
              <w:jc w:val="both"/>
              <w:rPr>
                <w:rFonts w:eastAsia="MS Mincho"/>
                <w:b/>
                <w:sz w:val="22"/>
                <w:szCs w:val="22"/>
                <w:lang w:val="sr-Latn-ME"/>
              </w:rPr>
            </w:pPr>
          </w:p>
        </w:tc>
        <w:tc>
          <w:tcPr>
            <w:tcW w:w="2880" w:type="dxa"/>
            <w:gridSpan w:val="4"/>
            <w:tcBorders>
              <w:top w:val="single" w:sz="4" w:space="0" w:color="auto"/>
              <w:bottom w:val="single" w:sz="4" w:space="0" w:color="auto"/>
            </w:tcBorders>
            <w:shd w:val="clear" w:color="auto" w:fill="auto"/>
          </w:tcPr>
          <w:p w14:paraId="320495C0" w14:textId="172143E5"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12. </w:t>
            </w:r>
            <w:r w:rsidR="009A4880" w:rsidRPr="005474B2">
              <w:rPr>
                <w:rFonts w:eastAsia="MS Mincho"/>
                <w:b/>
                <w:sz w:val="22"/>
                <w:szCs w:val="22"/>
                <w:lang w:val="sr-Latn-ME"/>
              </w:rPr>
              <w:t>nedjelj</w:t>
            </w:r>
            <w:r w:rsidRPr="005474B2">
              <w:rPr>
                <w:rFonts w:eastAsia="MS Mincho"/>
                <w:b/>
                <w:sz w:val="22"/>
                <w:szCs w:val="22"/>
                <w:lang w:val="sr-Latn-ME"/>
              </w:rPr>
              <w:t>a</w:t>
            </w:r>
          </w:p>
        </w:tc>
        <w:tc>
          <w:tcPr>
            <w:tcW w:w="1800" w:type="dxa"/>
            <w:gridSpan w:val="2"/>
            <w:tcBorders>
              <w:top w:val="single" w:sz="4" w:space="0" w:color="auto"/>
              <w:bottom w:val="single" w:sz="4" w:space="0" w:color="auto"/>
            </w:tcBorders>
            <w:shd w:val="clear" w:color="auto" w:fill="auto"/>
          </w:tcPr>
          <w:p w14:paraId="74F1BB31" w14:textId="77777777"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16. </w:t>
            </w:r>
            <w:r w:rsidR="009A4880" w:rsidRPr="005474B2">
              <w:rPr>
                <w:rFonts w:eastAsia="MS Mincho"/>
                <w:b/>
                <w:sz w:val="22"/>
                <w:szCs w:val="22"/>
                <w:lang w:val="sr-Latn-ME"/>
              </w:rPr>
              <w:t>nedjelj</w:t>
            </w:r>
            <w:r w:rsidRPr="005474B2">
              <w:rPr>
                <w:rFonts w:eastAsia="MS Mincho"/>
                <w:b/>
                <w:sz w:val="22"/>
                <w:szCs w:val="22"/>
                <w:lang w:val="sr-Latn-ME"/>
              </w:rPr>
              <w:t>a</w:t>
            </w:r>
          </w:p>
        </w:tc>
        <w:tc>
          <w:tcPr>
            <w:tcW w:w="1949" w:type="dxa"/>
            <w:gridSpan w:val="2"/>
            <w:tcBorders>
              <w:top w:val="single" w:sz="4" w:space="0" w:color="auto"/>
              <w:bottom w:val="single" w:sz="4" w:space="0" w:color="auto"/>
            </w:tcBorders>
            <w:shd w:val="clear" w:color="auto" w:fill="auto"/>
          </w:tcPr>
          <w:p w14:paraId="78A73BD6" w14:textId="77777777"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52. </w:t>
            </w:r>
            <w:r w:rsidR="009A4880" w:rsidRPr="005474B2">
              <w:rPr>
                <w:rFonts w:eastAsia="MS Mincho"/>
                <w:b/>
                <w:sz w:val="22"/>
                <w:szCs w:val="22"/>
                <w:lang w:val="sr-Latn-ME"/>
              </w:rPr>
              <w:t>nedjelj</w:t>
            </w:r>
            <w:r w:rsidRPr="005474B2">
              <w:rPr>
                <w:rFonts w:eastAsia="MS Mincho"/>
                <w:b/>
                <w:sz w:val="22"/>
                <w:szCs w:val="22"/>
                <w:lang w:val="sr-Latn-ME"/>
              </w:rPr>
              <w:t>a</w:t>
            </w:r>
          </w:p>
        </w:tc>
      </w:tr>
      <w:tr w:rsidR="007D7CE1" w:rsidRPr="0009637B" w14:paraId="0D1DAD50" w14:textId="77777777" w:rsidTr="00A2781E">
        <w:tc>
          <w:tcPr>
            <w:tcW w:w="2268" w:type="dxa"/>
            <w:tcBorders>
              <w:top w:val="single" w:sz="4" w:space="0" w:color="auto"/>
            </w:tcBorders>
            <w:shd w:val="clear" w:color="auto" w:fill="auto"/>
          </w:tcPr>
          <w:p w14:paraId="606027C4" w14:textId="77777777" w:rsidR="007D7CE1" w:rsidRPr="005474B2" w:rsidRDefault="007D7CE1" w:rsidP="0009637B">
            <w:pPr>
              <w:keepNext/>
              <w:widowControl w:val="0"/>
              <w:jc w:val="both"/>
              <w:rPr>
                <w:rFonts w:eastAsia="MS Mincho"/>
                <w:b/>
                <w:sz w:val="22"/>
                <w:szCs w:val="22"/>
                <w:lang w:val="sr-Latn-ME"/>
              </w:rPr>
            </w:pPr>
          </w:p>
        </w:tc>
        <w:tc>
          <w:tcPr>
            <w:tcW w:w="993" w:type="dxa"/>
            <w:gridSpan w:val="2"/>
            <w:tcBorders>
              <w:top w:val="single" w:sz="4" w:space="0" w:color="auto"/>
            </w:tcBorders>
            <w:shd w:val="clear" w:color="auto" w:fill="auto"/>
          </w:tcPr>
          <w:p w14:paraId="63E26C0F" w14:textId="77777777" w:rsidR="007D7CE1" w:rsidRPr="005474B2" w:rsidRDefault="007D7CE1" w:rsidP="0009637B">
            <w:pPr>
              <w:keepNext/>
              <w:widowControl w:val="0"/>
              <w:jc w:val="both"/>
              <w:rPr>
                <w:rFonts w:eastAsia="MS Mincho"/>
                <w:b/>
                <w:sz w:val="22"/>
                <w:szCs w:val="22"/>
                <w:lang w:val="sr-Latn-ME"/>
              </w:rPr>
            </w:pPr>
            <w:r w:rsidRPr="005474B2">
              <w:rPr>
                <w:rFonts w:eastAsia="MS Mincho"/>
                <w:b/>
                <w:sz w:val="22"/>
                <w:szCs w:val="22"/>
                <w:lang w:val="sr-Latn-ME"/>
              </w:rPr>
              <w:t>Placebo</w:t>
            </w:r>
          </w:p>
        </w:tc>
        <w:tc>
          <w:tcPr>
            <w:tcW w:w="897" w:type="dxa"/>
            <w:tcBorders>
              <w:top w:val="single" w:sz="4" w:space="0" w:color="auto"/>
            </w:tcBorders>
            <w:shd w:val="clear" w:color="auto" w:fill="auto"/>
          </w:tcPr>
          <w:p w14:paraId="00585DD6" w14:textId="77777777"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150 mg</w:t>
            </w:r>
          </w:p>
        </w:tc>
        <w:tc>
          <w:tcPr>
            <w:tcW w:w="990" w:type="dxa"/>
            <w:tcBorders>
              <w:top w:val="single" w:sz="4" w:space="0" w:color="auto"/>
            </w:tcBorders>
            <w:shd w:val="clear" w:color="auto" w:fill="auto"/>
          </w:tcPr>
          <w:p w14:paraId="59147ACF" w14:textId="77777777"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300 mg</w:t>
            </w:r>
          </w:p>
        </w:tc>
        <w:tc>
          <w:tcPr>
            <w:tcW w:w="900" w:type="dxa"/>
            <w:tcBorders>
              <w:top w:val="single" w:sz="4" w:space="0" w:color="auto"/>
            </w:tcBorders>
            <w:shd w:val="clear" w:color="auto" w:fill="auto"/>
          </w:tcPr>
          <w:p w14:paraId="01B84D84" w14:textId="77777777"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150 mg</w:t>
            </w:r>
          </w:p>
        </w:tc>
        <w:tc>
          <w:tcPr>
            <w:tcW w:w="900" w:type="dxa"/>
            <w:tcBorders>
              <w:top w:val="single" w:sz="4" w:space="0" w:color="auto"/>
            </w:tcBorders>
            <w:shd w:val="clear" w:color="auto" w:fill="auto"/>
          </w:tcPr>
          <w:p w14:paraId="16827B8D" w14:textId="77777777"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300 mg</w:t>
            </w:r>
          </w:p>
        </w:tc>
        <w:tc>
          <w:tcPr>
            <w:tcW w:w="957" w:type="dxa"/>
            <w:tcBorders>
              <w:top w:val="single" w:sz="4" w:space="0" w:color="auto"/>
            </w:tcBorders>
            <w:shd w:val="clear" w:color="auto" w:fill="auto"/>
          </w:tcPr>
          <w:p w14:paraId="26CA855A" w14:textId="77777777"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150 mg</w:t>
            </w:r>
          </w:p>
        </w:tc>
        <w:tc>
          <w:tcPr>
            <w:tcW w:w="992" w:type="dxa"/>
            <w:tcBorders>
              <w:top w:val="single" w:sz="4" w:space="0" w:color="auto"/>
            </w:tcBorders>
            <w:shd w:val="clear" w:color="auto" w:fill="auto"/>
          </w:tcPr>
          <w:p w14:paraId="426A8FDB" w14:textId="77777777" w:rsidR="007D7CE1" w:rsidRPr="005474B2" w:rsidRDefault="007D7CE1">
            <w:pPr>
              <w:keepNext/>
              <w:widowControl w:val="0"/>
              <w:jc w:val="both"/>
              <w:rPr>
                <w:rFonts w:eastAsia="MS Mincho"/>
                <w:b/>
                <w:sz w:val="22"/>
                <w:szCs w:val="22"/>
                <w:lang w:val="sr-Latn-ME"/>
              </w:rPr>
            </w:pPr>
            <w:r w:rsidRPr="005474B2">
              <w:rPr>
                <w:rFonts w:eastAsia="MS Mincho"/>
                <w:b/>
                <w:sz w:val="22"/>
                <w:szCs w:val="22"/>
                <w:lang w:val="sr-Latn-ME"/>
              </w:rPr>
              <w:t>300 mg</w:t>
            </w:r>
          </w:p>
        </w:tc>
      </w:tr>
      <w:tr w:rsidR="007D7CE1" w:rsidRPr="0009637B" w14:paraId="64DD8933" w14:textId="77777777" w:rsidTr="007D7CE1">
        <w:tc>
          <w:tcPr>
            <w:tcW w:w="8897" w:type="dxa"/>
            <w:gridSpan w:val="9"/>
            <w:tcBorders>
              <w:top w:val="single" w:sz="4" w:space="0" w:color="auto"/>
            </w:tcBorders>
            <w:shd w:val="clear" w:color="auto" w:fill="auto"/>
          </w:tcPr>
          <w:p w14:paraId="468E86FE" w14:textId="77777777" w:rsidR="007D7CE1" w:rsidRPr="005474B2" w:rsidRDefault="007D7CE1" w:rsidP="0009637B">
            <w:pPr>
              <w:keepNext/>
              <w:widowControl w:val="0"/>
              <w:jc w:val="both"/>
              <w:rPr>
                <w:rFonts w:eastAsia="MS Mincho"/>
                <w:b/>
                <w:sz w:val="22"/>
                <w:szCs w:val="22"/>
                <w:u w:val="single"/>
                <w:lang w:val="sr-Latn-ME"/>
              </w:rPr>
            </w:pPr>
            <w:r w:rsidRPr="005474B2">
              <w:rPr>
                <w:rFonts w:eastAsia="MS Mincho"/>
                <w:b/>
                <w:sz w:val="22"/>
                <w:szCs w:val="22"/>
                <w:u w:val="single"/>
                <w:lang w:val="sr-Latn-ME"/>
              </w:rPr>
              <w:t>Studija 1</w:t>
            </w:r>
          </w:p>
        </w:tc>
      </w:tr>
      <w:tr w:rsidR="007D7CE1" w:rsidRPr="0009637B" w14:paraId="6B756CE5" w14:textId="77777777" w:rsidTr="007D7CE1">
        <w:tc>
          <w:tcPr>
            <w:tcW w:w="2268" w:type="dxa"/>
            <w:tcBorders>
              <w:top w:val="single" w:sz="4" w:space="0" w:color="auto"/>
            </w:tcBorders>
            <w:shd w:val="clear" w:color="auto" w:fill="auto"/>
          </w:tcPr>
          <w:p w14:paraId="21E55BF2"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Broj pacijenata</w:t>
            </w:r>
          </w:p>
        </w:tc>
        <w:tc>
          <w:tcPr>
            <w:tcW w:w="900" w:type="dxa"/>
            <w:tcBorders>
              <w:top w:val="single" w:sz="4" w:space="0" w:color="auto"/>
            </w:tcBorders>
            <w:shd w:val="clear" w:color="auto" w:fill="auto"/>
          </w:tcPr>
          <w:p w14:paraId="77051466"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246</w:t>
            </w:r>
          </w:p>
        </w:tc>
        <w:tc>
          <w:tcPr>
            <w:tcW w:w="990" w:type="dxa"/>
            <w:gridSpan w:val="2"/>
            <w:tcBorders>
              <w:top w:val="single" w:sz="4" w:space="0" w:color="auto"/>
            </w:tcBorders>
            <w:shd w:val="clear" w:color="auto" w:fill="auto"/>
          </w:tcPr>
          <w:p w14:paraId="18EC83D2"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244</w:t>
            </w:r>
          </w:p>
        </w:tc>
        <w:tc>
          <w:tcPr>
            <w:tcW w:w="990" w:type="dxa"/>
            <w:tcBorders>
              <w:top w:val="single" w:sz="4" w:space="0" w:color="auto"/>
            </w:tcBorders>
            <w:shd w:val="clear" w:color="auto" w:fill="auto"/>
          </w:tcPr>
          <w:p w14:paraId="4489BF05"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245</w:t>
            </w:r>
          </w:p>
        </w:tc>
        <w:tc>
          <w:tcPr>
            <w:tcW w:w="900" w:type="dxa"/>
            <w:tcBorders>
              <w:top w:val="single" w:sz="4" w:space="0" w:color="auto"/>
            </w:tcBorders>
            <w:shd w:val="clear" w:color="auto" w:fill="auto"/>
          </w:tcPr>
          <w:p w14:paraId="7371F15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244</w:t>
            </w:r>
          </w:p>
        </w:tc>
        <w:tc>
          <w:tcPr>
            <w:tcW w:w="900" w:type="dxa"/>
            <w:tcBorders>
              <w:top w:val="single" w:sz="4" w:space="0" w:color="auto"/>
            </w:tcBorders>
            <w:shd w:val="clear" w:color="auto" w:fill="auto"/>
          </w:tcPr>
          <w:p w14:paraId="75447E3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245</w:t>
            </w:r>
          </w:p>
        </w:tc>
        <w:tc>
          <w:tcPr>
            <w:tcW w:w="957" w:type="dxa"/>
            <w:tcBorders>
              <w:top w:val="single" w:sz="4" w:space="0" w:color="auto"/>
            </w:tcBorders>
            <w:shd w:val="clear" w:color="auto" w:fill="auto"/>
          </w:tcPr>
          <w:p w14:paraId="5FAB7F5D"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244</w:t>
            </w:r>
          </w:p>
        </w:tc>
        <w:tc>
          <w:tcPr>
            <w:tcW w:w="992" w:type="dxa"/>
            <w:tcBorders>
              <w:top w:val="single" w:sz="4" w:space="0" w:color="auto"/>
            </w:tcBorders>
            <w:shd w:val="clear" w:color="auto" w:fill="auto"/>
          </w:tcPr>
          <w:p w14:paraId="5141FC35"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245</w:t>
            </w:r>
          </w:p>
        </w:tc>
      </w:tr>
      <w:tr w:rsidR="007D7CE1" w:rsidRPr="0009637B" w14:paraId="481136A9" w14:textId="77777777" w:rsidTr="007D7CE1">
        <w:tc>
          <w:tcPr>
            <w:tcW w:w="2268" w:type="dxa"/>
            <w:shd w:val="clear" w:color="auto" w:fill="auto"/>
          </w:tcPr>
          <w:p w14:paraId="12DF7FC3"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50 n (%)</w:t>
            </w:r>
          </w:p>
        </w:tc>
        <w:tc>
          <w:tcPr>
            <w:tcW w:w="900" w:type="dxa"/>
            <w:shd w:val="clear" w:color="auto" w:fill="auto"/>
          </w:tcPr>
          <w:p w14:paraId="233504FA"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22 (8,9%)</w:t>
            </w:r>
          </w:p>
        </w:tc>
        <w:tc>
          <w:tcPr>
            <w:tcW w:w="990" w:type="dxa"/>
            <w:gridSpan w:val="2"/>
            <w:shd w:val="clear" w:color="auto" w:fill="auto"/>
          </w:tcPr>
          <w:p w14:paraId="440CB9F2"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203 (83,5%)</w:t>
            </w:r>
          </w:p>
        </w:tc>
        <w:tc>
          <w:tcPr>
            <w:tcW w:w="990" w:type="dxa"/>
            <w:shd w:val="clear" w:color="auto" w:fill="auto"/>
          </w:tcPr>
          <w:p w14:paraId="37464B90"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222 (90,6%)</w:t>
            </w:r>
          </w:p>
        </w:tc>
        <w:tc>
          <w:tcPr>
            <w:tcW w:w="900" w:type="dxa"/>
            <w:shd w:val="clear" w:color="auto" w:fill="auto"/>
          </w:tcPr>
          <w:p w14:paraId="1ECD943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212 (87,2%)</w:t>
            </w:r>
          </w:p>
        </w:tc>
        <w:tc>
          <w:tcPr>
            <w:tcW w:w="900" w:type="dxa"/>
            <w:shd w:val="clear" w:color="auto" w:fill="auto"/>
          </w:tcPr>
          <w:p w14:paraId="4FBB4DE8"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224 (91,4%)</w:t>
            </w:r>
          </w:p>
        </w:tc>
        <w:tc>
          <w:tcPr>
            <w:tcW w:w="957" w:type="dxa"/>
            <w:shd w:val="clear" w:color="auto" w:fill="auto"/>
          </w:tcPr>
          <w:p w14:paraId="5FA88DE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187 (77%)</w:t>
            </w:r>
          </w:p>
        </w:tc>
        <w:tc>
          <w:tcPr>
            <w:tcW w:w="992" w:type="dxa"/>
            <w:shd w:val="clear" w:color="auto" w:fill="auto"/>
          </w:tcPr>
          <w:p w14:paraId="6058C1D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207 (84,5%)</w:t>
            </w:r>
          </w:p>
        </w:tc>
      </w:tr>
      <w:tr w:rsidR="007D7CE1" w:rsidRPr="0009637B" w14:paraId="1BBA15C1" w14:textId="77777777" w:rsidTr="007D7CE1">
        <w:tc>
          <w:tcPr>
            <w:tcW w:w="2268" w:type="dxa"/>
            <w:shd w:val="clear" w:color="auto" w:fill="auto"/>
          </w:tcPr>
          <w:p w14:paraId="576ADE44"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75 n (%)</w:t>
            </w:r>
          </w:p>
        </w:tc>
        <w:tc>
          <w:tcPr>
            <w:tcW w:w="900" w:type="dxa"/>
            <w:shd w:val="clear" w:color="auto" w:fill="auto"/>
          </w:tcPr>
          <w:p w14:paraId="39DDAD9F"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11 (4,5%)</w:t>
            </w:r>
          </w:p>
        </w:tc>
        <w:tc>
          <w:tcPr>
            <w:tcW w:w="990" w:type="dxa"/>
            <w:gridSpan w:val="2"/>
            <w:shd w:val="clear" w:color="auto" w:fill="auto"/>
          </w:tcPr>
          <w:p w14:paraId="085A7B3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174 (71,6%)</w:t>
            </w:r>
            <w:r w:rsidRPr="005474B2">
              <w:rPr>
                <w:rFonts w:eastAsia="MS Mincho"/>
                <w:i/>
                <w:sz w:val="22"/>
                <w:szCs w:val="22"/>
                <w:lang w:val="sr-Latn-ME"/>
              </w:rPr>
              <w:t>**</w:t>
            </w:r>
          </w:p>
        </w:tc>
        <w:tc>
          <w:tcPr>
            <w:tcW w:w="990" w:type="dxa"/>
            <w:shd w:val="clear" w:color="auto" w:fill="auto"/>
          </w:tcPr>
          <w:p w14:paraId="1235A74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200 (81,6%)</w:t>
            </w:r>
            <w:r w:rsidRPr="005474B2">
              <w:rPr>
                <w:rFonts w:eastAsia="MS Mincho"/>
                <w:i/>
                <w:sz w:val="22"/>
                <w:szCs w:val="22"/>
                <w:lang w:val="sr-Latn-ME"/>
              </w:rPr>
              <w:t>**</w:t>
            </w:r>
          </w:p>
        </w:tc>
        <w:tc>
          <w:tcPr>
            <w:tcW w:w="900" w:type="dxa"/>
            <w:shd w:val="clear" w:color="auto" w:fill="auto"/>
          </w:tcPr>
          <w:p w14:paraId="2F5F0E69"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188 (77,4%)</w:t>
            </w:r>
          </w:p>
        </w:tc>
        <w:tc>
          <w:tcPr>
            <w:tcW w:w="900" w:type="dxa"/>
            <w:shd w:val="clear" w:color="auto" w:fill="auto"/>
          </w:tcPr>
          <w:p w14:paraId="6CB88DC9"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211 (86,1%)</w:t>
            </w:r>
          </w:p>
        </w:tc>
        <w:tc>
          <w:tcPr>
            <w:tcW w:w="957" w:type="dxa"/>
            <w:shd w:val="clear" w:color="auto" w:fill="auto"/>
          </w:tcPr>
          <w:p w14:paraId="7F244855"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146 (60,1%)</w:t>
            </w:r>
          </w:p>
        </w:tc>
        <w:tc>
          <w:tcPr>
            <w:tcW w:w="992" w:type="dxa"/>
            <w:shd w:val="clear" w:color="auto" w:fill="auto"/>
          </w:tcPr>
          <w:p w14:paraId="2DF7EFDF"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182 (74,3%)</w:t>
            </w:r>
          </w:p>
        </w:tc>
      </w:tr>
      <w:tr w:rsidR="007D7CE1" w:rsidRPr="0009637B" w14:paraId="3DF90CCF" w14:textId="77777777" w:rsidTr="007D7CE1">
        <w:tc>
          <w:tcPr>
            <w:tcW w:w="2268" w:type="dxa"/>
            <w:shd w:val="clear" w:color="auto" w:fill="auto"/>
          </w:tcPr>
          <w:p w14:paraId="4CE15B7D"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90 n (%)</w:t>
            </w:r>
          </w:p>
        </w:tc>
        <w:tc>
          <w:tcPr>
            <w:tcW w:w="900" w:type="dxa"/>
            <w:shd w:val="clear" w:color="auto" w:fill="auto"/>
          </w:tcPr>
          <w:p w14:paraId="7C7FA419"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3 (1,2%)</w:t>
            </w:r>
          </w:p>
        </w:tc>
        <w:tc>
          <w:tcPr>
            <w:tcW w:w="990" w:type="dxa"/>
            <w:gridSpan w:val="2"/>
            <w:shd w:val="clear" w:color="auto" w:fill="auto"/>
          </w:tcPr>
          <w:p w14:paraId="47C73D2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95 (39,1%)</w:t>
            </w:r>
            <w:r w:rsidRPr="005474B2">
              <w:rPr>
                <w:rFonts w:eastAsia="MS Mincho"/>
                <w:i/>
                <w:sz w:val="22"/>
                <w:szCs w:val="22"/>
                <w:lang w:val="sr-Latn-ME"/>
              </w:rPr>
              <w:t>**</w:t>
            </w:r>
          </w:p>
        </w:tc>
        <w:tc>
          <w:tcPr>
            <w:tcW w:w="990" w:type="dxa"/>
            <w:shd w:val="clear" w:color="auto" w:fill="auto"/>
          </w:tcPr>
          <w:p w14:paraId="4182EF58"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145 (59,2%)</w:t>
            </w:r>
            <w:r w:rsidRPr="005474B2">
              <w:rPr>
                <w:rFonts w:eastAsia="MS Mincho"/>
                <w:i/>
                <w:sz w:val="22"/>
                <w:szCs w:val="22"/>
                <w:lang w:val="sr-Latn-ME"/>
              </w:rPr>
              <w:t>**</w:t>
            </w:r>
          </w:p>
        </w:tc>
        <w:tc>
          <w:tcPr>
            <w:tcW w:w="900" w:type="dxa"/>
            <w:shd w:val="clear" w:color="auto" w:fill="auto"/>
          </w:tcPr>
          <w:p w14:paraId="5724D072"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130 (53,5%)</w:t>
            </w:r>
          </w:p>
        </w:tc>
        <w:tc>
          <w:tcPr>
            <w:tcW w:w="900" w:type="dxa"/>
            <w:shd w:val="clear" w:color="auto" w:fill="auto"/>
          </w:tcPr>
          <w:p w14:paraId="3A5D7836"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171 (69,8%)</w:t>
            </w:r>
          </w:p>
        </w:tc>
        <w:tc>
          <w:tcPr>
            <w:tcW w:w="957" w:type="dxa"/>
            <w:shd w:val="clear" w:color="auto" w:fill="auto"/>
          </w:tcPr>
          <w:p w14:paraId="2ED97E71"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88 (36,2%)</w:t>
            </w:r>
          </w:p>
        </w:tc>
        <w:tc>
          <w:tcPr>
            <w:tcW w:w="992" w:type="dxa"/>
            <w:shd w:val="clear" w:color="auto" w:fill="auto"/>
          </w:tcPr>
          <w:p w14:paraId="68D4922F"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147 (60,0%)</w:t>
            </w:r>
          </w:p>
        </w:tc>
      </w:tr>
      <w:tr w:rsidR="007D7CE1" w:rsidRPr="0009637B" w14:paraId="7EA681EE" w14:textId="77777777" w:rsidTr="007D7CE1">
        <w:tc>
          <w:tcPr>
            <w:tcW w:w="2268" w:type="dxa"/>
            <w:shd w:val="clear" w:color="auto" w:fill="auto"/>
          </w:tcPr>
          <w:p w14:paraId="166D4515"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100 n (%)</w:t>
            </w:r>
          </w:p>
        </w:tc>
        <w:tc>
          <w:tcPr>
            <w:tcW w:w="900" w:type="dxa"/>
            <w:shd w:val="clear" w:color="auto" w:fill="auto"/>
          </w:tcPr>
          <w:p w14:paraId="78FFEEF9"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2 (0,8%)</w:t>
            </w:r>
          </w:p>
        </w:tc>
        <w:tc>
          <w:tcPr>
            <w:tcW w:w="990" w:type="dxa"/>
            <w:gridSpan w:val="2"/>
            <w:shd w:val="clear" w:color="auto" w:fill="auto"/>
          </w:tcPr>
          <w:p w14:paraId="0D7FB71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31 (12,8%)</w:t>
            </w:r>
          </w:p>
        </w:tc>
        <w:tc>
          <w:tcPr>
            <w:tcW w:w="990" w:type="dxa"/>
            <w:shd w:val="clear" w:color="auto" w:fill="auto"/>
          </w:tcPr>
          <w:p w14:paraId="779F2E0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70 (28,6%)</w:t>
            </w:r>
          </w:p>
        </w:tc>
        <w:tc>
          <w:tcPr>
            <w:tcW w:w="900" w:type="dxa"/>
            <w:shd w:val="clear" w:color="auto" w:fill="auto"/>
          </w:tcPr>
          <w:p w14:paraId="30B6232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51 (21,0%)</w:t>
            </w:r>
          </w:p>
        </w:tc>
        <w:tc>
          <w:tcPr>
            <w:tcW w:w="900" w:type="dxa"/>
            <w:shd w:val="clear" w:color="auto" w:fill="auto"/>
          </w:tcPr>
          <w:p w14:paraId="567064C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102 (41,6%)</w:t>
            </w:r>
          </w:p>
        </w:tc>
        <w:tc>
          <w:tcPr>
            <w:tcW w:w="957" w:type="dxa"/>
            <w:shd w:val="clear" w:color="auto" w:fill="auto"/>
          </w:tcPr>
          <w:p w14:paraId="30D690DD"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49 (20,2%)</w:t>
            </w:r>
          </w:p>
        </w:tc>
        <w:tc>
          <w:tcPr>
            <w:tcW w:w="992" w:type="dxa"/>
            <w:shd w:val="clear" w:color="auto" w:fill="auto"/>
          </w:tcPr>
          <w:p w14:paraId="32804A13"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96 (39,2%)</w:t>
            </w:r>
          </w:p>
        </w:tc>
      </w:tr>
      <w:tr w:rsidR="007D7CE1" w:rsidRPr="0009637B" w14:paraId="5103B6C9" w14:textId="77777777" w:rsidTr="007D7CE1">
        <w:tc>
          <w:tcPr>
            <w:tcW w:w="2268" w:type="dxa"/>
            <w:shd w:val="clear" w:color="auto" w:fill="auto"/>
          </w:tcPr>
          <w:p w14:paraId="54D38F28"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IGA mod 2011 „čista“ ili „gotovo čista“ n (%)</w:t>
            </w:r>
          </w:p>
        </w:tc>
        <w:tc>
          <w:tcPr>
            <w:tcW w:w="900" w:type="dxa"/>
            <w:shd w:val="clear" w:color="auto" w:fill="auto"/>
          </w:tcPr>
          <w:p w14:paraId="5327C992"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6 (2,40%)</w:t>
            </w:r>
          </w:p>
        </w:tc>
        <w:tc>
          <w:tcPr>
            <w:tcW w:w="990" w:type="dxa"/>
            <w:gridSpan w:val="2"/>
            <w:shd w:val="clear" w:color="auto" w:fill="auto"/>
          </w:tcPr>
          <w:p w14:paraId="386CD04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125 (51,2%)</w:t>
            </w:r>
            <w:r w:rsidRPr="005474B2">
              <w:rPr>
                <w:rFonts w:eastAsia="MS Mincho"/>
                <w:i/>
                <w:sz w:val="22"/>
                <w:szCs w:val="22"/>
                <w:lang w:val="sr-Latn-ME"/>
              </w:rPr>
              <w:t>**</w:t>
            </w:r>
          </w:p>
        </w:tc>
        <w:tc>
          <w:tcPr>
            <w:tcW w:w="990" w:type="dxa"/>
            <w:shd w:val="clear" w:color="auto" w:fill="auto"/>
          </w:tcPr>
          <w:p w14:paraId="417F701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160 (65,3%)</w:t>
            </w:r>
            <w:r w:rsidRPr="005474B2">
              <w:rPr>
                <w:rFonts w:eastAsia="MS Mincho"/>
                <w:i/>
                <w:sz w:val="22"/>
                <w:szCs w:val="22"/>
                <w:lang w:val="sr-Latn-ME"/>
              </w:rPr>
              <w:t>**</w:t>
            </w:r>
          </w:p>
        </w:tc>
        <w:tc>
          <w:tcPr>
            <w:tcW w:w="900" w:type="dxa"/>
            <w:shd w:val="clear" w:color="auto" w:fill="auto"/>
          </w:tcPr>
          <w:p w14:paraId="50FBE79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142 (58,2%)</w:t>
            </w:r>
          </w:p>
        </w:tc>
        <w:tc>
          <w:tcPr>
            <w:tcW w:w="900" w:type="dxa"/>
            <w:shd w:val="clear" w:color="auto" w:fill="auto"/>
          </w:tcPr>
          <w:p w14:paraId="6AF05F66"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180 (73,5%)</w:t>
            </w:r>
          </w:p>
        </w:tc>
        <w:tc>
          <w:tcPr>
            <w:tcW w:w="957" w:type="dxa"/>
            <w:shd w:val="clear" w:color="auto" w:fill="auto"/>
          </w:tcPr>
          <w:p w14:paraId="2288BA3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101 (41,4%)</w:t>
            </w:r>
          </w:p>
        </w:tc>
        <w:tc>
          <w:tcPr>
            <w:tcW w:w="992" w:type="dxa"/>
            <w:shd w:val="clear" w:color="auto" w:fill="auto"/>
          </w:tcPr>
          <w:p w14:paraId="725C10F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148 (60,4%)</w:t>
            </w:r>
          </w:p>
        </w:tc>
      </w:tr>
      <w:tr w:rsidR="007D7CE1" w:rsidRPr="0009637B" w14:paraId="7EA53ECC" w14:textId="77777777" w:rsidTr="007D7CE1">
        <w:tc>
          <w:tcPr>
            <w:tcW w:w="8897" w:type="dxa"/>
            <w:gridSpan w:val="9"/>
            <w:shd w:val="clear" w:color="auto" w:fill="auto"/>
          </w:tcPr>
          <w:p w14:paraId="16881BF5" w14:textId="77777777" w:rsidR="007D7CE1" w:rsidRPr="005474B2" w:rsidRDefault="007D7CE1" w:rsidP="0009637B">
            <w:pPr>
              <w:keepNext/>
              <w:widowControl w:val="0"/>
              <w:jc w:val="both"/>
              <w:rPr>
                <w:rFonts w:eastAsia="MS Mincho"/>
                <w:sz w:val="22"/>
                <w:szCs w:val="22"/>
                <w:u w:val="single"/>
                <w:lang w:val="sr-Latn-ME"/>
              </w:rPr>
            </w:pPr>
            <w:r w:rsidRPr="005474B2">
              <w:rPr>
                <w:rFonts w:eastAsia="MS Mincho"/>
                <w:b/>
                <w:sz w:val="22"/>
                <w:szCs w:val="22"/>
                <w:u w:val="single"/>
                <w:lang w:val="sr-Latn-ME"/>
              </w:rPr>
              <w:t>Studija 3</w:t>
            </w:r>
          </w:p>
        </w:tc>
      </w:tr>
      <w:tr w:rsidR="007D7CE1" w:rsidRPr="0009637B" w14:paraId="5A1BA7C8" w14:textId="77777777" w:rsidTr="007D7CE1">
        <w:tc>
          <w:tcPr>
            <w:tcW w:w="2268" w:type="dxa"/>
            <w:shd w:val="clear" w:color="auto" w:fill="auto"/>
          </w:tcPr>
          <w:p w14:paraId="24670C2D"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 xml:space="preserve">Broj pacijenata </w:t>
            </w:r>
          </w:p>
        </w:tc>
        <w:tc>
          <w:tcPr>
            <w:tcW w:w="900" w:type="dxa"/>
            <w:shd w:val="clear" w:color="auto" w:fill="auto"/>
          </w:tcPr>
          <w:p w14:paraId="204ADBC3"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59</w:t>
            </w:r>
          </w:p>
        </w:tc>
        <w:tc>
          <w:tcPr>
            <w:tcW w:w="990" w:type="dxa"/>
            <w:gridSpan w:val="2"/>
            <w:shd w:val="clear" w:color="auto" w:fill="auto"/>
          </w:tcPr>
          <w:p w14:paraId="72DD914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59</w:t>
            </w:r>
          </w:p>
        </w:tc>
        <w:tc>
          <w:tcPr>
            <w:tcW w:w="990" w:type="dxa"/>
            <w:shd w:val="clear" w:color="auto" w:fill="auto"/>
          </w:tcPr>
          <w:p w14:paraId="391ADE35"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58</w:t>
            </w:r>
          </w:p>
        </w:tc>
        <w:tc>
          <w:tcPr>
            <w:tcW w:w="900" w:type="dxa"/>
            <w:shd w:val="clear" w:color="auto" w:fill="auto"/>
          </w:tcPr>
          <w:p w14:paraId="56CB5E82"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52F59776"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32C07BD6"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1D5B7EC9"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5213E3D3" w14:textId="77777777" w:rsidTr="007D7CE1">
        <w:tc>
          <w:tcPr>
            <w:tcW w:w="2268" w:type="dxa"/>
            <w:shd w:val="clear" w:color="auto" w:fill="auto"/>
          </w:tcPr>
          <w:p w14:paraId="7200776C"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50 n (%)</w:t>
            </w:r>
          </w:p>
        </w:tc>
        <w:tc>
          <w:tcPr>
            <w:tcW w:w="900" w:type="dxa"/>
            <w:shd w:val="clear" w:color="auto" w:fill="auto"/>
          </w:tcPr>
          <w:p w14:paraId="16F26D49"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3 (5,1%)</w:t>
            </w:r>
          </w:p>
        </w:tc>
        <w:tc>
          <w:tcPr>
            <w:tcW w:w="990" w:type="dxa"/>
            <w:gridSpan w:val="2"/>
            <w:shd w:val="clear" w:color="auto" w:fill="auto"/>
          </w:tcPr>
          <w:p w14:paraId="6D57578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51 (86,4%)</w:t>
            </w:r>
          </w:p>
        </w:tc>
        <w:tc>
          <w:tcPr>
            <w:tcW w:w="990" w:type="dxa"/>
            <w:shd w:val="clear" w:color="auto" w:fill="auto"/>
          </w:tcPr>
          <w:p w14:paraId="4AC5668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51 (87,9%)</w:t>
            </w:r>
          </w:p>
        </w:tc>
        <w:tc>
          <w:tcPr>
            <w:tcW w:w="900" w:type="dxa"/>
            <w:shd w:val="clear" w:color="auto" w:fill="auto"/>
          </w:tcPr>
          <w:p w14:paraId="11FB2163"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6A3C8C5C"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2FE18482"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79A535F5"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3B18A30B" w14:textId="77777777" w:rsidTr="007D7CE1">
        <w:tc>
          <w:tcPr>
            <w:tcW w:w="2268" w:type="dxa"/>
            <w:shd w:val="clear" w:color="auto" w:fill="auto"/>
          </w:tcPr>
          <w:p w14:paraId="6017FE2D"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75 n (%)</w:t>
            </w:r>
          </w:p>
        </w:tc>
        <w:tc>
          <w:tcPr>
            <w:tcW w:w="900" w:type="dxa"/>
            <w:shd w:val="clear" w:color="auto" w:fill="auto"/>
          </w:tcPr>
          <w:p w14:paraId="137EED1A"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0 (0,0%)</w:t>
            </w:r>
          </w:p>
        </w:tc>
        <w:tc>
          <w:tcPr>
            <w:tcW w:w="990" w:type="dxa"/>
            <w:gridSpan w:val="2"/>
            <w:shd w:val="clear" w:color="auto" w:fill="auto"/>
          </w:tcPr>
          <w:p w14:paraId="075AAF61"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41 (69,5%)</w:t>
            </w:r>
            <w:r w:rsidRPr="005474B2">
              <w:rPr>
                <w:rFonts w:eastAsia="MS Mincho"/>
                <w:i/>
                <w:sz w:val="22"/>
                <w:szCs w:val="22"/>
                <w:lang w:val="sr-Latn-ME"/>
              </w:rPr>
              <w:t>**</w:t>
            </w:r>
          </w:p>
        </w:tc>
        <w:tc>
          <w:tcPr>
            <w:tcW w:w="990" w:type="dxa"/>
            <w:shd w:val="clear" w:color="auto" w:fill="auto"/>
          </w:tcPr>
          <w:p w14:paraId="3D06C0C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44 (75,9%)</w:t>
            </w:r>
            <w:r w:rsidRPr="005474B2">
              <w:rPr>
                <w:rFonts w:eastAsia="MS Mincho"/>
                <w:i/>
                <w:sz w:val="22"/>
                <w:szCs w:val="22"/>
                <w:lang w:val="sr-Latn-ME"/>
              </w:rPr>
              <w:t>**</w:t>
            </w:r>
          </w:p>
        </w:tc>
        <w:tc>
          <w:tcPr>
            <w:tcW w:w="900" w:type="dxa"/>
            <w:shd w:val="clear" w:color="auto" w:fill="auto"/>
          </w:tcPr>
          <w:p w14:paraId="471F6AE3"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1B546E51"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1118E9D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03CF19AD"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51CB1992" w14:textId="77777777" w:rsidTr="007D7CE1">
        <w:tc>
          <w:tcPr>
            <w:tcW w:w="2268" w:type="dxa"/>
            <w:shd w:val="clear" w:color="auto" w:fill="auto"/>
          </w:tcPr>
          <w:p w14:paraId="3B33A261"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90 n (%)</w:t>
            </w:r>
          </w:p>
        </w:tc>
        <w:tc>
          <w:tcPr>
            <w:tcW w:w="900" w:type="dxa"/>
            <w:shd w:val="clear" w:color="auto" w:fill="auto"/>
          </w:tcPr>
          <w:p w14:paraId="46E944B8"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0 (0,0%)</w:t>
            </w:r>
          </w:p>
        </w:tc>
        <w:tc>
          <w:tcPr>
            <w:tcW w:w="990" w:type="dxa"/>
            <w:gridSpan w:val="2"/>
            <w:shd w:val="clear" w:color="auto" w:fill="auto"/>
          </w:tcPr>
          <w:p w14:paraId="7DFE2CB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27 (45,8%)</w:t>
            </w:r>
          </w:p>
        </w:tc>
        <w:tc>
          <w:tcPr>
            <w:tcW w:w="990" w:type="dxa"/>
            <w:shd w:val="clear" w:color="auto" w:fill="auto"/>
          </w:tcPr>
          <w:p w14:paraId="1B07766D"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35 (60,3%)</w:t>
            </w:r>
          </w:p>
        </w:tc>
        <w:tc>
          <w:tcPr>
            <w:tcW w:w="900" w:type="dxa"/>
            <w:shd w:val="clear" w:color="auto" w:fill="auto"/>
          </w:tcPr>
          <w:p w14:paraId="085701C0"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0CEAE78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2AC142DF"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532F1F28"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7A1B3F06" w14:textId="77777777" w:rsidTr="007D7CE1">
        <w:tc>
          <w:tcPr>
            <w:tcW w:w="2268" w:type="dxa"/>
            <w:shd w:val="clear" w:color="auto" w:fill="auto"/>
          </w:tcPr>
          <w:p w14:paraId="77A0E049"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100 n (%)</w:t>
            </w:r>
          </w:p>
        </w:tc>
        <w:tc>
          <w:tcPr>
            <w:tcW w:w="900" w:type="dxa"/>
            <w:shd w:val="clear" w:color="auto" w:fill="auto"/>
          </w:tcPr>
          <w:p w14:paraId="71C94016"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0 (0,0%)</w:t>
            </w:r>
          </w:p>
        </w:tc>
        <w:tc>
          <w:tcPr>
            <w:tcW w:w="990" w:type="dxa"/>
            <w:gridSpan w:val="2"/>
            <w:shd w:val="clear" w:color="auto" w:fill="auto"/>
          </w:tcPr>
          <w:p w14:paraId="50AC77A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5</w:t>
            </w:r>
          </w:p>
          <w:p w14:paraId="03778F5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(8,5%)</w:t>
            </w:r>
          </w:p>
        </w:tc>
        <w:tc>
          <w:tcPr>
            <w:tcW w:w="990" w:type="dxa"/>
            <w:shd w:val="clear" w:color="auto" w:fill="auto"/>
          </w:tcPr>
          <w:p w14:paraId="1CC313F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25 (43,1%)</w:t>
            </w:r>
          </w:p>
        </w:tc>
        <w:tc>
          <w:tcPr>
            <w:tcW w:w="900" w:type="dxa"/>
            <w:shd w:val="clear" w:color="auto" w:fill="auto"/>
          </w:tcPr>
          <w:p w14:paraId="02E19AE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2400AE9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4937B24D"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78C008B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4133B86F" w14:textId="77777777" w:rsidTr="007D7CE1">
        <w:tc>
          <w:tcPr>
            <w:tcW w:w="2268" w:type="dxa"/>
            <w:shd w:val="clear" w:color="auto" w:fill="auto"/>
          </w:tcPr>
          <w:p w14:paraId="024DD4C6"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IGA mod 2011 „čista“ ili „gotovo čista“ n (%)</w:t>
            </w:r>
          </w:p>
        </w:tc>
        <w:tc>
          <w:tcPr>
            <w:tcW w:w="900" w:type="dxa"/>
            <w:shd w:val="clear" w:color="auto" w:fill="auto"/>
          </w:tcPr>
          <w:p w14:paraId="7EE872B0"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0 (0,0%)</w:t>
            </w:r>
          </w:p>
        </w:tc>
        <w:tc>
          <w:tcPr>
            <w:tcW w:w="990" w:type="dxa"/>
            <w:gridSpan w:val="2"/>
            <w:shd w:val="clear" w:color="auto" w:fill="auto"/>
          </w:tcPr>
          <w:p w14:paraId="3684C413"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31 (52,5%)</w:t>
            </w:r>
            <w:r w:rsidRPr="005474B2">
              <w:rPr>
                <w:rFonts w:eastAsia="MS Mincho"/>
                <w:i/>
                <w:sz w:val="22"/>
                <w:szCs w:val="22"/>
                <w:lang w:val="sr-Latn-ME"/>
              </w:rPr>
              <w:t>**</w:t>
            </w:r>
          </w:p>
        </w:tc>
        <w:tc>
          <w:tcPr>
            <w:tcW w:w="990" w:type="dxa"/>
            <w:shd w:val="clear" w:color="auto" w:fill="auto"/>
          </w:tcPr>
          <w:p w14:paraId="1E62DA4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40 (69,0%)</w:t>
            </w:r>
            <w:r w:rsidRPr="005474B2">
              <w:rPr>
                <w:rFonts w:eastAsia="MS Mincho"/>
                <w:i/>
                <w:sz w:val="22"/>
                <w:szCs w:val="22"/>
                <w:lang w:val="sr-Latn-ME"/>
              </w:rPr>
              <w:t>**</w:t>
            </w:r>
          </w:p>
        </w:tc>
        <w:tc>
          <w:tcPr>
            <w:tcW w:w="900" w:type="dxa"/>
            <w:shd w:val="clear" w:color="auto" w:fill="auto"/>
          </w:tcPr>
          <w:p w14:paraId="515DAE2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11EF5435"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257E2BA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745D7A8F"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7E179BC1" w14:textId="77777777" w:rsidTr="007D7CE1">
        <w:tc>
          <w:tcPr>
            <w:tcW w:w="8897" w:type="dxa"/>
            <w:gridSpan w:val="9"/>
            <w:shd w:val="clear" w:color="auto" w:fill="auto"/>
          </w:tcPr>
          <w:p w14:paraId="78375728" w14:textId="77777777" w:rsidR="007D7CE1" w:rsidRPr="005474B2" w:rsidRDefault="007D7CE1" w:rsidP="0009637B">
            <w:pPr>
              <w:keepNext/>
              <w:widowControl w:val="0"/>
              <w:jc w:val="both"/>
              <w:rPr>
                <w:rFonts w:eastAsia="MS Mincho"/>
                <w:sz w:val="22"/>
                <w:szCs w:val="22"/>
                <w:u w:val="single"/>
                <w:lang w:val="sr-Latn-ME"/>
              </w:rPr>
            </w:pPr>
            <w:r w:rsidRPr="005474B2">
              <w:rPr>
                <w:rFonts w:eastAsia="MS Mincho"/>
                <w:b/>
                <w:sz w:val="22"/>
                <w:szCs w:val="22"/>
                <w:u w:val="single"/>
                <w:lang w:val="sr-Latn-ME"/>
              </w:rPr>
              <w:t>Studija 4</w:t>
            </w:r>
          </w:p>
        </w:tc>
      </w:tr>
      <w:tr w:rsidR="007D7CE1" w:rsidRPr="0009637B" w14:paraId="54E53666" w14:textId="77777777" w:rsidTr="007D7CE1">
        <w:tc>
          <w:tcPr>
            <w:tcW w:w="2268" w:type="dxa"/>
            <w:shd w:val="clear" w:color="auto" w:fill="auto"/>
          </w:tcPr>
          <w:p w14:paraId="6ABF2FA0"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 xml:space="preserve">Broj pacijenata </w:t>
            </w:r>
          </w:p>
        </w:tc>
        <w:tc>
          <w:tcPr>
            <w:tcW w:w="900" w:type="dxa"/>
            <w:shd w:val="clear" w:color="auto" w:fill="auto"/>
          </w:tcPr>
          <w:p w14:paraId="4392F859"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61</w:t>
            </w:r>
          </w:p>
        </w:tc>
        <w:tc>
          <w:tcPr>
            <w:tcW w:w="990" w:type="dxa"/>
            <w:gridSpan w:val="2"/>
            <w:shd w:val="clear" w:color="auto" w:fill="auto"/>
          </w:tcPr>
          <w:p w14:paraId="784E4565"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60</w:t>
            </w:r>
          </w:p>
        </w:tc>
        <w:tc>
          <w:tcPr>
            <w:tcW w:w="990" w:type="dxa"/>
            <w:shd w:val="clear" w:color="auto" w:fill="auto"/>
          </w:tcPr>
          <w:p w14:paraId="6DC93670"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60</w:t>
            </w:r>
          </w:p>
        </w:tc>
        <w:tc>
          <w:tcPr>
            <w:tcW w:w="900" w:type="dxa"/>
            <w:shd w:val="clear" w:color="auto" w:fill="auto"/>
          </w:tcPr>
          <w:p w14:paraId="5B3A658A"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6A564CE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0BD117BB"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6F88244B"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1194561D" w14:textId="77777777" w:rsidTr="007D7CE1">
        <w:tc>
          <w:tcPr>
            <w:tcW w:w="2268" w:type="dxa"/>
            <w:shd w:val="clear" w:color="auto" w:fill="auto"/>
          </w:tcPr>
          <w:p w14:paraId="7864C948"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50 n (%)</w:t>
            </w:r>
          </w:p>
        </w:tc>
        <w:tc>
          <w:tcPr>
            <w:tcW w:w="900" w:type="dxa"/>
            <w:shd w:val="clear" w:color="auto" w:fill="auto"/>
          </w:tcPr>
          <w:p w14:paraId="4D8AD461"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5 (8,2%)</w:t>
            </w:r>
          </w:p>
        </w:tc>
        <w:tc>
          <w:tcPr>
            <w:tcW w:w="990" w:type="dxa"/>
            <w:gridSpan w:val="2"/>
            <w:shd w:val="clear" w:color="auto" w:fill="auto"/>
          </w:tcPr>
          <w:p w14:paraId="6202659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48 (80,0%)</w:t>
            </w:r>
          </w:p>
        </w:tc>
        <w:tc>
          <w:tcPr>
            <w:tcW w:w="990" w:type="dxa"/>
            <w:shd w:val="clear" w:color="auto" w:fill="auto"/>
          </w:tcPr>
          <w:p w14:paraId="10FFBE8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58 (96,7%)</w:t>
            </w:r>
          </w:p>
        </w:tc>
        <w:tc>
          <w:tcPr>
            <w:tcW w:w="900" w:type="dxa"/>
            <w:shd w:val="clear" w:color="auto" w:fill="auto"/>
          </w:tcPr>
          <w:p w14:paraId="3E3CF9C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44469AEF"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63B2AEA5"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58E2D86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55163140" w14:textId="77777777" w:rsidTr="007D7CE1">
        <w:tc>
          <w:tcPr>
            <w:tcW w:w="2268" w:type="dxa"/>
            <w:shd w:val="clear" w:color="auto" w:fill="auto"/>
          </w:tcPr>
          <w:p w14:paraId="02B84B97"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75 n (%)</w:t>
            </w:r>
          </w:p>
        </w:tc>
        <w:tc>
          <w:tcPr>
            <w:tcW w:w="900" w:type="dxa"/>
            <w:shd w:val="clear" w:color="auto" w:fill="auto"/>
          </w:tcPr>
          <w:p w14:paraId="7338840B"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2 (3,3%)</w:t>
            </w:r>
          </w:p>
        </w:tc>
        <w:tc>
          <w:tcPr>
            <w:tcW w:w="990" w:type="dxa"/>
            <w:gridSpan w:val="2"/>
            <w:shd w:val="clear" w:color="auto" w:fill="auto"/>
          </w:tcPr>
          <w:p w14:paraId="5A2E8FEF"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43 (71,7%)</w:t>
            </w:r>
            <w:r w:rsidRPr="005474B2">
              <w:rPr>
                <w:rFonts w:eastAsia="MS Mincho"/>
                <w:i/>
                <w:sz w:val="22"/>
                <w:szCs w:val="22"/>
                <w:lang w:val="sr-Latn-ME"/>
              </w:rPr>
              <w:t>**</w:t>
            </w:r>
          </w:p>
        </w:tc>
        <w:tc>
          <w:tcPr>
            <w:tcW w:w="990" w:type="dxa"/>
            <w:shd w:val="clear" w:color="auto" w:fill="auto"/>
          </w:tcPr>
          <w:p w14:paraId="4754B0FF"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52 (86,7%)</w:t>
            </w:r>
            <w:r w:rsidRPr="005474B2">
              <w:rPr>
                <w:rFonts w:eastAsia="MS Mincho"/>
                <w:i/>
                <w:sz w:val="22"/>
                <w:szCs w:val="22"/>
                <w:lang w:val="sr-Latn-ME"/>
              </w:rPr>
              <w:t>**</w:t>
            </w:r>
          </w:p>
        </w:tc>
        <w:tc>
          <w:tcPr>
            <w:tcW w:w="900" w:type="dxa"/>
            <w:shd w:val="clear" w:color="auto" w:fill="auto"/>
          </w:tcPr>
          <w:p w14:paraId="1716F311"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66779124"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1407F43D"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103179B1"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6BDBAF88" w14:textId="77777777" w:rsidTr="007D7CE1">
        <w:tc>
          <w:tcPr>
            <w:tcW w:w="2268" w:type="dxa"/>
            <w:shd w:val="clear" w:color="auto" w:fill="auto"/>
          </w:tcPr>
          <w:p w14:paraId="4F6C35B2"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90 n (%)</w:t>
            </w:r>
          </w:p>
        </w:tc>
        <w:tc>
          <w:tcPr>
            <w:tcW w:w="900" w:type="dxa"/>
            <w:shd w:val="clear" w:color="auto" w:fill="auto"/>
          </w:tcPr>
          <w:p w14:paraId="0554D884"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0 (0,0%)</w:t>
            </w:r>
          </w:p>
        </w:tc>
        <w:tc>
          <w:tcPr>
            <w:tcW w:w="990" w:type="dxa"/>
            <w:gridSpan w:val="2"/>
            <w:shd w:val="clear" w:color="auto" w:fill="auto"/>
          </w:tcPr>
          <w:p w14:paraId="2302F42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24 (40,0%)</w:t>
            </w:r>
          </w:p>
        </w:tc>
        <w:tc>
          <w:tcPr>
            <w:tcW w:w="990" w:type="dxa"/>
            <w:shd w:val="clear" w:color="auto" w:fill="auto"/>
          </w:tcPr>
          <w:p w14:paraId="435E535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33 (55,0%)</w:t>
            </w:r>
          </w:p>
        </w:tc>
        <w:tc>
          <w:tcPr>
            <w:tcW w:w="900" w:type="dxa"/>
            <w:shd w:val="clear" w:color="auto" w:fill="auto"/>
          </w:tcPr>
          <w:p w14:paraId="14B0072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400F0EC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1CB6B732"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289EB6E8"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78357907" w14:textId="77777777" w:rsidTr="007D7CE1">
        <w:tc>
          <w:tcPr>
            <w:tcW w:w="2268" w:type="dxa"/>
            <w:shd w:val="clear" w:color="auto" w:fill="auto"/>
          </w:tcPr>
          <w:p w14:paraId="65E9D8A9"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PASI 100 n(%)</w:t>
            </w:r>
          </w:p>
        </w:tc>
        <w:tc>
          <w:tcPr>
            <w:tcW w:w="900" w:type="dxa"/>
            <w:shd w:val="clear" w:color="auto" w:fill="auto"/>
          </w:tcPr>
          <w:p w14:paraId="5729A6BB"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0 (0,0%)</w:t>
            </w:r>
          </w:p>
        </w:tc>
        <w:tc>
          <w:tcPr>
            <w:tcW w:w="990" w:type="dxa"/>
            <w:gridSpan w:val="2"/>
            <w:shd w:val="clear" w:color="auto" w:fill="auto"/>
          </w:tcPr>
          <w:p w14:paraId="73EE3DE1"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10 (16,7%)</w:t>
            </w:r>
          </w:p>
        </w:tc>
        <w:tc>
          <w:tcPr>
            <w:tcW w:w="990" w:type="dxa"/>
            <w:shd w:val="clear" w:color="auto" w:fill="auto"/>
          </w:tcPr>
          <w:p w14:paraId="15C8DACD"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16 (26,7%)</w:t>
            </w:r>
          </w:p>
        </w:tc>
        <w:tc>
          <w:tcPr>
            <w:tcW w:w="900" w:type="dxa"/>
            <w:shd w:val="clear" w:color="auto" w:fill="auto"/>
          </w:tcPr>
          <w:p w14:paraId="557E99E7"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74E30BE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454DA192"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4E3C3E79"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6C47AEFD" w14:textId="77777777" w:rsidTr="007D7CE1">
        <w:tc>
          <w:tcPr>
            <w:tcW w:w="2268" w:type="dxa"/>
            <w:shd w:val="clear" w:color="auto" w:fill="auto"/>
          </w:tcPr>
          <w:p w14:paraId="3670EFEA"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Odgovor IGA mod 2011 „čista“ ili „gotovo čista“ n (%)</w:t>
            </w:r>
          </w:p>
        </w:tc>
        <w:tc>
          <w:tcPr>
            <w:tcW w:w="900" w:type="dxa"/>
            <w:shd w:val="clear" w:color="auto" w:fill="auto"/>
          </w:tcPr>
          <w:p w14:paraId="25B0ACEA"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0 (0,0%)</w:t>
            </w:r>
          </w:p>
        </w:tc>
        <w:tc>
          <w:tcPr>
            <w:tcW w:w="990" w:type="dxa"/>
            <w:gridSpan w:val="2"/>
            <w:shd w:val="clear" w:color="auto" w:fill="auto"/>
          </w:tcPr>
          <w:p w14:paraId="05E65CBC"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32 (53,3%)</w:t>
            </w:r>
            <w:r w:rsidRPr="005474B2">
              <w:rPr>
                <w:rFonts w:eastAsia="MS Mincho"/>
                <w:i/>
                <w:sz w:val="22"/>
                <w:szCs w:val="22"/>
                <w:lang w:val="sr-Latn-ME"/>
              </w:rPr>
              <w:t>**</w:t>
            </w:r>
          </w:p>
        </w:tc>
        <w:tc>
          <w:tcPr>
            <w:tcW w:w="990" w:type="dxa"/>
            <w:shd w:val="clear" w:color="auto" w:fill="auto"/>
          </w:tcPr>
          <w:p w14:paraId="718055F6"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t>44 (73,3%)</w:t>
            </w:r>
            <w:r w:rsidRPr="005474B2">
              <w:rPr>
                <w:rFonts w:eastAsia="MS Mincho"/>
                <w:i/>
                <w:sz w:val="22"/>
                <w:szCs w:val="22"/>
                <w:lang w:val="sr-Latn-ME"/>
              </w:rPr>
              <w:t>**</w:t>
            </w:r>
          </w:p>
        </w:tc>
        <w:tc>
          <w:tcPr>
            <w:tcW w:w="900" w:type="dxa"/>
            <w:shd w:val="clear" w:color="auto" w:fill="auto"/>
          </w:tcPr>
          <w:p w14:paraId="636EAB03"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00" w:type="dxa"/>
            <w:shd w:val="clear" w:color="auto" w:fill="auto"/>
          </w:tcPr>
          <w:p w14:paraId="27A37A9E"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57" w:type="dxa"/>
            <w:shd w:val="clear" w:color="auto" w:fill="auto"/>
          </w:tcPr>
          <w:p w14:paraId="45A3C1C9"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c>
          <w:tcPr>
            <w:tcW w:w="992" w:type="dxa"/>
            <w:shd w:val="clear" w:color="auto" w:fill="auto"/>
          </w:tcPr>
          <w:p w14:paraId="364E1350"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noBreakHyphen/>
            </w:r>
          </w:p>
        </w:tc>
      </w:tr>
      <w:tr w:rsidR="007D7CE1" w:rsidRPr="0009637B" w14:paraId="4905F0A2" w14:textId="77777777" w:rsidTr="007D7CE1">
        <w:tc>
          <w:tcPr>
            <w:tcW w:w="8897" w:type="dxa"/>
            <w:gridSpan w:val="9"/>
            <w:shd w:val="clear" w:color="auto" w:fill="auto"/>
          </w:tcPr>
          <w:p w14:paraId="15111254" w14:textId="4A28AE61"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 IGA mod 2011 je skala od 5 kategorija koja uključuje oc</w:t>
            </w:r>
            <w:r w:rsidR="000E4039" w:rsidRPr="005474B2">
              <w:rPr>
                <w:rFonts w:eastAsia="MS Mincho"/>
                <w:sz w:val="22"/>
                <w:szCs w:val="22"/>
                <w:lang w:val="sr-Latn-ME"/>
              </w:rPr>
              <w:t>j</w:t>
            </w:r>
            <w:r w:rsidRPr="005474B2">
              <w:rPr>
                <w:rFonts w:eastAsia="MS Mincho"/>
                <w:sz w:val="22"/>
                <w:szCs w:val="22"/>
                <w:lang w:val="sr-Latn-ME"/>
              </w:rPr>
              <w:t xml:space="preserve">ene „0 = čista“, „1 = gotovo čista“, „2 = blaga“, „3 = </w:t>
            </w:r>
            <w:r w:rsidR="009A4880" w:rsidRPr="005474B2">
              <w:rPr>
                <w:rFonts w:eastAsia="MS Mincho"/>
                <w:sz w:val="22"/>
                <w:szCs w:val="22"/>
                <w:lang w:val="sr-Latn-ME"/>
              </w:rPr>
              <w:t>umjeren</w:t>
            </w:r>
            <w:r w:rsidRPr="005474B2">
              <w:rPr>
                <w:rFonts w:eastAsia="MS Mincho"/>
                <w:sz w:val="22"/>
                <w:szCs w:val="22"/>
                <w:lang w:val="sr-Latn-ME"/>
              </w:rPr>
              <w:t>a“ ili „4 = teška“ i označava ukupnu proc</w:t>
            </w:r>
            <w:r w:rsidR="00A23A61" w:rsidRPr="005474B2">
              <w:rPr>
                <w:rFonts w:eastAsia="MS Mincho"/>
                <w:sz w:val="22"/>
                <w:szCs w:val="22"/>
                <w:lang w:val="sr-Latn-ME"/>
              </w:rPr>
              <w:t>j</w:t>
            </w:r>
            <w:r w:rsidRPr="005474B2">
              <w:rPr>
                <w:rFonts w:eastAsia="MS Mincho"/>
                <w:sz w:val="22"/>
                <w:szCs w:val="22"/>
                <w:lang w:val="sr-Latn-ME"/>
              </w:rPr>
              <w:t xml:space="preserve">enu težine psorijaze od strane </w:t>
            </w:r>
            <w:r w:rsidR="009A4880" w:rsidRPr="005474B2">
              <w:rPr>
                <w:rFonts w:eastAsia="MS Mincho"/>
                <w:sz w:val="22"/>
                <w:szCs w:val="22"/>
                <w:lang w:val="sr-Latn-ME"/>
              </w:rPr>
              <w:t>ljekar</w:t>
            </w:r>
            <w:r w:rsidRPr="005474B2">
              <w:rPr>
                <w:rFonts w:eastAsia="MS Mincho"/>
                <w:sz w:val="22"/>
                <w:szCs w:val="22"/>
                <w:lang w:val="sr-Latn-ME"/>
              </w:rPr>
              <w:t>a sa fokusom na zadebljanja, eritem i ljuštenje. Usp</w:t>
            </w:r>
            <w:r w:rsidR="000E4039" w:rsidRPr="005474B2">
              <w:rPr>
                <w:rFonts w:eastAsia="MS Mincho"/>
                <w:sz w:val="22"/>
                <w:szCs w:val="22"/>
                <w:lang w:val="sr-Latn-ME"/>
              </w:rPr>
              <w:t>j</w:t>
            </w:r>
            <w:r w:rsidRPr="005474B2">
              <w:rPr>
                <w:rFonts w:eastAsia="MS Mincho"/>
                <w:sz w:val="22"/>
                <w:szCs w:val="22"/>
                <w:lang w:val="sr-Latn-ME"/>
              </w:rPr>
              <w:t xml:space="preserve">eh </w:t>
            </w:r>
            <w:r w:rsidR="009A4880" w:rsidRPr="005474B2">
              <w:rPr>
                <w:rFonts w:eastAsia="MS Mincho"/>
                <w:sz w:val="22"/>
                <w:szCs w:val="22"/>
                <w:lang w:val="sr-Latn-ME"/>
              </w:rPr>
              <w:t>liječ</w:t>
            </w:r>
            <w:r w:rsidRPr="005474B2">
              <w:rPr>
                <w:rFonts w:eastAsia="MS Mincho"/>
                <w:sz w:val="22"/>
                <w:szCs w:val="22"/>
                <w:lang w:val="sr-Latn-ME"/>
              </w:rPr>
              <w:t>enja „čista“ ili „gotovo čista“ značio je da nema znakova psorijaze ili normalnu do ružičastu boju lezija, bez zadebljanja plaka i bez ili sa minimalnim fokalnim ljuštenjem.</w:t>
            </w:r>
          </w:p>
          <w:p w14:paraId="4AF8E214" w14:textId="77777777" w:rsidR="007D7CE1" w:rsidRPr="005474B2" w:rsidRDefault="007D7CE1" w:rsidP="0009637B">
            <w:pPr>
              <w:keepNext/>
              <w:widowControl w:val="0"/>
              <w:jc w:val="both"/>
              <w:rPr>
                <w:rFonts w:eastAsia="MS Mincho"/>
                <w:sz w:val="22"/>
                <w:szCs w:val="22"/>
                <w:lang w:val="sr-Latn-ME"/>
              </w:rPr>
            </w:pPr>
            <w:r w:rsidRPr="005474B2">
              <w:rPr>
                <w:rFonts w:eastAsia="MS Mincho"/>
                <w:sz w:val="22"/>
                <w:szCs w:val="22"/>
                <w:lang w:val="sr-Latn-ME"/>
              </w:rPr>
              <w:t>** p vr</w:t>
            </w:r>
            <w:r w:rsidR="00A23A61" w:rsidRPr="005474B2">
              <w:rPr>
                <w:rFonts w:eastAsia="MS Mincho"/>
                <w:sz w:val="22"/>
                <w:szCs w:val="22"/>
                <w:lang w:val="sr-Latn-ME"/>
              </w:rPr>
              <w:t>ij</w:t>
            </w:r>
            <w:r w:rsidRPr="005474B2">
              <w:rPr>
                <w:rFonts w:eastAsia="MS Mincho"/>
                <w:sz w:val="22"/>
                <w:szCs w:val="22"/>
                <w:lang w:val="sr-Latn-ME"/>
              </w:rPr>
              <w:t>ednosti u odnosu na placebo i prilagođeno za mnogostrukost: p&lt;0,0001.</w:t>
            </w:r>
          </w:p>
        </w:tc>
      </w:tr>
    </w:tbl>
    <w:p w14:paraId="03ED48C1" w14:textId="77777777" w:rsidR="007D7CE1" w:rsidRPr="005474B2" w:rsidRDefault="007D7CE1" w:rsidP="0009637B">
      <w:pPr>
        <w:tabs>
          <w:tab w:val="left" w:pos="540"/>
          <w:tab w:val="left" w:pos="569"/>
        </w:tabs>
        <w:jc w:val="both"/>
        <w:rPr>
          <w:b/>
          <w:bCs/>
          <w:sz w:val="22"/>
          <w:szCs w:val="22"/>
          <w:lang w:val="sr-Latn-ME"/>
        </w:rPr>
      </w:pPr>
    </w:p>
    <w:p w14:paraId="1323E359" w14:textId="77777777" w:rsidR="00A62164" w:rsidRPr="005474B2" w:rsidRDefault="00A62164" w:rsidP="0009637B">
      <w:pPr>
        <w:keepNext/>
        <w:keepLines/>
        <w:widowControl w:val="0"/>
        <w:ind w:left="1134" w:hanging="1134"/>
        <w:jc w:val="both"/>
        <w:outlineLvl w:val="5"/>
        <w:rPr>
          <w:rFonts w:eastAsia="MS Gothic"/>
          <w:b/>
          <w:sz w:val="22"/>
          <w:szCs w:val="22"/>
          <w:lang w:val="sr-Latn-ME"/>
        </w:rPr>
      </w:pPr>
    </w:p>
    <w:p w14:paraId="1088A5A8" w14:textId="77777777" w:rsidR="00A62164" w:rsidRPr="005474B2" w:rsidRDefault="00A62164" w:rsidP="0009637B">
      <w:pPr>
        <w:keepNext/>
        <w:keepLines/>
        <w:widowControl w:val="0"/>
        <w:ind w:left="1134" w:hanging="1134"/>
        <w:jc w:val="both"/>
        <w:outlineLvl w:val="5"/>
        <w:rPr>
          <w:rFonts w:eastAsia="MS Gothic"/>
          <w:b/>
          <w:sz w:val="22"/>
          <w:szCs w:val="22"/>
          <w:lang w:val="sr-Latn-ME"/>
        </w:rPr>
      </w:pPr>
    </w:p>
    <w:p w14:paraId="410CB5AE" w14:textId="2D263C8C" w:rsidR="007D7CE1" w:rsidRPr="005474B2" w:rsidRDefault="007D7CE1">
      <w:pPr>
        <w:keepNext/>
        <w:keepLines/>
        <w:widowControl w:val="0"/>
        <w:ind w:left="1134" w:hanging="1134"/>
        <w:jc w:val="both"/>
        <w:outlineLvl w:val="5"/>
        <w:rPr>
          <w:rFonts w:eastAsia="MS Gothic"/>
          <w:b/>
          <w:sz w:val="22"/>
          <w:szCs w:val="22"/>
          <w:lang w:val="sr-Latn-ME"/>
        </w:rPr>
      </w:pPr>
      <w:r w:rsidRPr="005474B2">
        <w:rPr>
          <w:rFonts w:eastAsia="MS Gothic"/>
          <w:b/>
          <w:sz w:val="22"/>
          <w:szCs w:val="22"/>
          <w:lang w:val="sr-Latn-ME"/>
        </w:rPr>
        <w:t>Tabela </w:t>
      </w:r>
      <w:r w:rsidR="008C6DC8" w:rsidRPr="005474B2">
        <w:rPr>
          <w:rFonts w:eastAsia="MS Gothic"/>
          <w:b/>
          <w:sz w:val="22"/>
          <w:szCs w:val="22"/>
          <w:lang w:val="sr-Latn-ME"/>
        </w:rPr>
        <w:t>5</w:t>
      </w:r>
      <w:r w:rsidRPr="005474B2">
        <w:rPr>
          <w:rFonts w:eastAsia="MS Gothic"/>
          <w:b/>
          <w:sz w:val="22"/>
          <w:szCs w:val="22"/>
          <w:lang w:val="sr-Latn-ME"/>
        </w:rPr>
        <w:tab/>
        <w:t>Sažetak kliničkih odgovora u Studiji 2 sa psorijazom (FIXTURE)</w:t>
      </w:r>
    </w:p>
    <w:p w14:paraId="1FA2BC70" w14:textId="77777777" w:rsidR="007D7CE1" w:rsidRPr="005474B2" w:rsidRDefault="007D7CE1">
      <w:pPr>
        <w:autoSpaceDE w:val="0"/>
        <w:autoSpaceDN w:val="0"/>
        <w:adjustRightInd w:val="0"/>
        <w:jc w:val="both"/>
        <w:rPr>
          <w:sz w:val="22"/>
          <w:szCs w:val="22"/>
          <w:lang w:val="sr-Latn-ME"/>
        </w:rPr>
      </w:pPr>
    </w:p>
    <w:tbl>
      <w:tblPr>
        <w:tblW w:w="9811" w:type="dxa"/>
        <w:tblBorders>
          <w:top w:val="single" w:sz="4" w:space="0" w:color="auto"/>
          <w:bottom w:val="single" w:sz="4" w:space="0" w:color="auto"/>
        </w:tblBorders>
        <w:tblLayout w:type="fixed"/>
        <w:tblLook w:val="0000" w:firstRow="0" w:lastRow="0" w:firstColumn="0" w:lastColumn="0" w:noHBand="0" w:noVBand="0"/>
      </w:tblPr>
      <w:tblGrid>
        <w:gridCol w:w="1125"/>
        <w:gridCol w:w="985"/>
        <w:gridCol w:w="586"/>
        <w:gridCol w:w="803"/>
        <w:gridCol w:w="1001"/>
        <w:gridCol w:w="771"/>
        <w:gridCol w:w="803"/>
        <w:gridCol w:w="1065"/>
        <w:gridCol w:w="803"/>
        <w:gridCol w:w="803"/>
        <w:gridCol w:w="1066"/>
      </w:tblGrid>
      <w:tr w:rsidR="007D7CE1" w:rsidRPr="0009637B" w14:paraId="0550D115" w14:textId="77777777" w:rsidTr="00A62164">
        <w:trPr>
          <w:trHeight w:val="247"/>
          <w:tblHeader/>
        </w:trPr>
        <w:tc>
          <w:tcPr>
            <w:tcW w:w="1125" w:type="dxa"/>
            <w:tcBorders>
              <w:top w:val="single" w:sz="4" w:space="0" w:color="auto"/>
              <w:bottom w:val="single" w:sz="4" w:space="0" w:color="auto"/>
            </w:tcBorders>
            <w:shd w:val="clear" w:color="auto" w:fill="auto"/>
          </w:tcPr>
          <w:p w14:paraId="4123E190" w14:textId="77777777" w:rsidR="007D7CE1" w:rsidRPr="005474B2" w:rsidRDefault="007D7CE1">
            <w:pPr>
              <w:keepNext/>
              <w:keepLines/>
              <w:widowControl w:val="0"/>
              <w:jc w:val="both"/>
              <w:rPr>
                <w:rFonts w:eastAsia="MS Mincho"/>
                <w:b/>
                <w:sz w:val="22"/>
                <w:szCs w:val="22"/>
                <w:lang w:val="sr-Latn-ME"/>
              </w:rPr>
            </w:pPr>
          </w:p>
        </w:tc>
        <w:tc>
          <w:tcPr>
            <w:tcW w:w="3375" w:type="dxa"/>
            <w:gridSpan w:val="4"/>
            <w:tcBorders>
              <w:top w:val="single" w:sz="4" w:space="0" w:color="auto"/>
              <w:bottom w:val="single" w:sz="4" w:space="0" w:color="auto"/>
            </w:tcBorders>
            <w:shd w:val="clear" w:color="auto" w:fill="auto"/>
          </w:tcPr>
          <w:p w14:paraId="18913917"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12. </w:t>
            </w:r>
            <w:r w:rsidR="009A4880" w:rsidRPr="005474B2">
              <w:rPr>
                <w:rFonts w:eastAsia="MS Mincho"/>
                <w:b/>
                <w:sz w:val="22"/>
                <w:szCs w:val="22"/>
                <w:lang w:val="sr-Latn-ME"/>
              </w:rPr>
              <w:t>nedjelj</w:t>
            </w:r>
            <w:r w:rsidRPr="005474B2">
              <w:rPr>
                <w:rFonts w:eastAsia="MS Mincho"/>
                <w:b/>
                <w:sz w:val="22"/>
                <w:szCs w:val="22"/>
                <w:lang w:val="sr-Latn-ME"/>
              </w:rPr>
              <w:t>a</w:t>
            </w:r>
          </w:p>
        </w:tc>
        <w:tc>
          <w:tcPr>
            <w:tcW w:w="2639" w:type="dxa"/>
            <w:gridSpan w:val="3"/>
            <w:tcBorders>
              <w:top w:val="single" w:sz="4" w:space="0" w:color="auto"/>
              <w:bottom w:val="single" w:sz="4" w:space="0" w:color="auto"/>
            </w:tcBorders>
            <w:shd w:val="clear" w:color="auto" w:fill="auto"/>
          </w:tcPr>
          <w:p w14:paraId="1647F0CA"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 xml:space="preserve">16. </w:t>
            </w:r>
            <w:r w:rsidR="009A4880" w:rsidRPr="005474B2">
              <w:rPr>
                <w:rFonts w:eastAsia="MS Mincho"/>
                <w:b/>
                <w:sz w:val="22"/>
                <w:szCs w:val="22"/>
                <w:lang w:val="sr-Latn-ME"/>
              </w:rPr>
              <w:t>nedjelj</w:t>
            </w:r>
            <w:r w:rsidRPr="005474B2">
              <w:rPr>
                <w:rFonts w:eastAsia="MS Mincho"/>
                <w:b/>
                <w:sz w:val="22"/>
                <w:szCs w:val="22"/>
                <w:lang w:val="sr-Latn-ME"/>
              </w:rPr>
              <w:t>a</w:t>
            </w:r>
          </w:p>
        </w:tc>
        <w:tc>
          <w:tcPr>
            <w:tcW w:w="2672" w:type="dxa"/>
            <w:gridSpan w:val="3"/>
            <w:tcBorders>
              <w:top w:val="single" w:sz="4" w:space="0" w:color="auto"/>
              <w:bottom w:val="single" w:sz="4" w:space="0" w:color="auto"/>
            </w:tcBorders>
          </w:tcPr>
          <w:p w14:paraId="60ED2928"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 xml:space="preserve">52. </w:t>
            </w:r>
            <w:r w:rsidR="009A4880" w:rsidRPr="005474B2">
              <w:rPr>
                <w:rFonts w:eastAsia="MS Mincho"/>
                <w:b/>
                <w:sz w:val="22"/>
                <w:szCs w:val="22"/>
                <w:lang w:val="sr-Latn-ME"/>
              </w:rPr>
              <w:t>nedjelj</w:t>
            </w:r>
            <w:r w:rsidRPr="005474B2">
              <w:rPr>
                <w:rFonts w:eastAsia="MS Mincho"/>
                <w:b/>
                <w:sz w:val="22"/>
                <w:szCs w:val="22"/>
                <w:lang w:val="sr-Latn-ME"/>
              </w:rPr>
              <w:t>a</w:t>
            </w:r>
          </w:p>
        </w:tc>
      </w:tr>
      <w:tr w:rsidR="007D7CE1" w:rsidRPr="0009637B" w14:paraId="288F9624" w14:textId="77777777" w:rsidTr="00A62164">
        <w:trPr>
          <w:trHeight w:val="505"/>
          <w:tblHeader/>
        </w:trPr>
        <w:tc>
          <w:tcPr>
            <w:tcW w:w="1125" w:type="dxa"/>
            <w:tcBorders>
              <w:top w:val="single" w:sz="4" w:space="0" w:color="auto"/>
            </w:tcBorders>
            <w:shd w:val="clear" w:color="auto" w:fill="auto"/>
          </w:tcPr>
          <w:p w14:paraId="0871B52D" w14:textId="77777777" w:rsidR="007D7CE1" w:rsidRPr="005474B2" w:rsidRDefault="007D7CE1" w:rsidP="0009637B">
            <w:pPr>
              <w:keepNext/>
              <w:keepLines/>
              <w:widowControl w:val="0"/>
              <w:jc w:val="both"/>
              <w:rPr>
                <w:rFonts w:eastAsia="MS Mincho"/>
                <w:b/>
                <w:sz w:val="22"/>
                <w:szCs w:val="22"/>
                <w:lang w:val="sr-Latn-ME"/>
              </w:rPr>
            </w:pPr>
          </w:p>
        </w:tc>
        <w:tc>
          <w:tcPr>
            <w:tcW w:w="985" w:type="dxa"/>
            <w:tcBorders>
              <w:top w:val="single" w:sz="4" w:space="0" w:color="auto"/>
            </w:tcBorders>
            <w:shd w:val="clear" w:color="auto" w:fill="auto"/>
          </w:tcPr>
          <w:p w14:paraId="0D4028B6" w14:textId="77777777" w:rsidR="007D7CE1" w:rsidRPr="005474B2" w:rsidRDefault="007D7CE1" w:rsidP="0009637B">
            <w:pPr>
              <w:keepNext/>
              <w:keepLines/>
              <w:widowControl w:val="0"/>
              <w:jc w:val="both"/>
              <w:rPr>
                <w:rFonts w:eastAsia="MS Mincho"/>
                <w:b/>
                <w:sz w:val="22"/>
                <w:szCs w:val="22"/>
                <w:lang w:val="sr-Latn-ME"/>
              </w:rPr>
            </w:pPr>
            <w:r w:rsidRPr="005474B2">
              <w:rPr>
                <w:rFonts w:eastAsia="MS Mincho"/>
                <w:b/>
                <w:sz w:val="22"/>
                <w:szCs w:val="22"/>
                <w:lang w:val="sr-Latn-ME"/>
              </w:rPr>
              <w:t>Placebo</w:t>
            </w:r>
          </w:p>
        </w:tc>
        <w:tc>
          <w:tcPr>
            <w:tcW w:w="586" w:type="dxa"/>
            <w:tcBorders>
              <w:top w:val="single" w:sz="4" w:space="0" w:color="auto"/>
            </w:tcBorders>
            <w:shd w:val="clear" w:color="auto" w:fill="auto"/>
          </w:tcPr>
          <w:p w14:paraId="71668BC8"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150 mg</w:t>
            </w:r>
          </w:p>
        </w:tc>
        <w:tc>
          <w:tcPr>
            <w:tcW w:w="803" w:type="dxa"/>
            <w:tcBorders>
              <w:top w:val="single" w:sz="4" w:space="0" w:color="auto"/>
            </w:tcBorders>
            <w:shd w:val="clear" w:color="auto" w:fill="auto"/>
          </w:tcPr>
          <w:p w14:paraId="060D644E"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 xml:space="preserve">300 mg </w:t>
            </w:r>
          </w:p>
        </w:tc>
        <w:tc>
          <w:tcPr>
            <w:tcW w:w="1000" w:type="dxa"/>
            <w:tcBorders>
              <w:top w:val="single" w:sz="4" w:space="0" w:color="auto"/>
            </w:tcBorders>
          </w:tcPr>
          <w:p w14:paraId="4ACDC67F"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Etanercept</w:t>
            </w:r>
          </w:p>
        </w:tc>
        <w:tc>
          <w:tcPr>
            <w:tcW w:w="771" w:type="dxa"/>
            <w:tcBorders>
              <w:top w:val="single" w:sz="4" w:space="0" w:color="auto"/>
            </w:tcBorders>
            <w:shd w:val="clear" w:color="auto" w:fill="auto"/>
          </w:tcPr>
          <w:p w14:paraId="5344DEE3"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150 mg</w:t>
            </w:r>
          </w:p>
        </w:tc>
        <w:tc>
          <w:tcPr>
            <w:tcW w:w="803" w:type="dxa"/>
            <w:tcBorders>
              <w:top w:val="single" w:sz="4" w:space="0" w:color="auto"/>
            </w:tcBorders>
            <w:shd w:val="clear" w:color="auto" w:fill="auto"/>
          </w:tcPr>
          <w:p w14:paraId="142781C2"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 xml:space="preserve">300 mg </w:t>
            </w:r>
          </w:p>
        </w:tc>
        <w:tc>
          <w:tcPr>
            <w:tcW w:w="1064" w:type="dxa"/>
            <w:tcBorders>
              <w:top w:val="single" w:sz="4" w:space="0" w:color="auto"/>
            </w:tcBorders>
          </w:tcPr>
          <w:p w14:paraId="4AA9BA68"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Etanercept</w:t>
            </w:r>
          </w:p>
        </w:tc>
        <w:tc>
          <w:tcPr>
            <w:tcW w:w="803" w:type="dxa"/>
            <w:tcBorders>
              <w:top w:val="single" w:sz="4" w:space="0" w:color="auto"/>
            </w:tcBorders>
          </w:tcPr>
          <w:p w14:paraId="6C60F3D5"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150 mg</w:t>
            </w:r>
          </w:p>
        </w:tc>
        <w:tc>
          <w:tcPr>
            <w:tcW w:w="803" w:type="dxa"/>
            <w:tcBorders>
              <w:top w:val="single" w:sz="4" w:space="0" w:color="auto"/>
            </w:tcBorders>
            <w:shd w:val="clear" w:color="auto" w:fill="auto"/>
          </w:tcPr>
          <w:p w14:paraId="5E771A3A"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 xml:space="preserve">300 mg </w:t>
            </w:r>
          </w:p>
        </w:tc>
        <w:tc>
          <w:tcPr>
            <w:tcW w:w="1064" w:type="dxa"/>
            <w:tcBorders>
              <w:top w:val="single" w:sz="4" w:space="0" w:color="auto"/>
            </w:tcBorders>
            <w:shd w:val="clear" w:color="auto" w:fill="auto"/>
          </w:tcPr>
          <w:p w14:paraId="1A3619FC"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Etanercept</w:t>
            </w:r>
          </w:p>
        </w:tc>
      </w:tr>
      <w:tr w:rsidR="007D7CE1" w:rsidRPr="0009637B" w14:paraId="472AF001" w14:textId="77777777" w:rsidTr="00A62164">
        <w:trPr>
          <w:trHeight w:val="505"/>
        </w:trPr>
        <w:tc>
          <w:tcPr>
            <w:tcW w:w="1125" w:type="dxa"/>
            <w:tcBorders>
              <w:top w:val="single" w:sz="4" w:space="0" w:color="auto"/>
            </w:tcBorders>
            <w:shd w:val="clear" w:color="auto" w:fill="auto"/>
          </w:tcPr>
          <w:p w14:paraId="277FA265"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Broj pacijenata</w:t>
            </w:r>
          </w:p>
        </w:tc>
        <w:tc>
          <w:tcPr>
            <w:tcW w:w="985" w:type="dxa"/>
            <w:tcBorders>
              <w:top w:val="single" w:sz="4" w:space="0" w:color="auto"/>
            </w:tcBorders>
            <w:shd w:val="clear" w:color="auto" w:fill="auto"/>
          </w:tcPr>
          <w:p w14:paraId="6685C2D2"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324</w:t>
            </w:r>
          </w:p>
        </w:tc>
        <w:tc>
          <w:tcPr>
            <w:tcW w:w="586" w:type="dxa"/>
            <w:tcBorders>
              <w:top w:val="single" w:sz="4" w:space="0" w:color="auto"/>
            </w:tcBorders>
            <w:shd w:val="clear" w:color="auto" w:fill="auto"/>
          </w:tcPr>
          <w:p w14:paraId="348FF31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327</w:t>
            </w:r>
          </w:p>
        </w:tc>
        <w:tc>
          <w:tcPr>
            <w:tcW w:w="803" w:type="dxa"/>
            <w:tcBorders>
              <w:top w:val="single" w:sz="4" w:space="0" w:color="auto"/>
            </w:tcBorders>
            <w:shd w:val="clear" w:color="auto" w:fill="auto"/>
          </w:tcPr>
          <w:p w14:paraId="116D9C6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323</w:t>
            </w:r>
          </w:p>
        </w:tc>
        <w:tc>
          <w:tcPr>
            <w:tcW w:w="1000" w:type="dxa"/>
            <w:tcBorders>
              <w:top w:val="single" w:sz="4" w:space="0" w:color="auto"/>
            </w:tcBorders>
          </w:tcPr>
          <w:p w14:paraId="351646EE"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323</w:t>
            </w:r>
          </w:p>
        </w:tc>
        <w:tc>
          <w:tcPr>
            <w:tcW w:w="771" w:type="dxa"/>
            <w:tcBorders>
              <w:top w:val="single" w:sz="4" w:space="0" w:color="auto"/>
            </w:tcBorders>
            <w:shd w:val="clear" w:color="auto" w:fill="auto"/>
          </w:tcPr>
          <w:p w14:paraId="32ABE9AF"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327</w:t>
            </w:r>
          </w:p>
        </w:tc>
        <w:tc>
          <w:tcPr>
            <w:tcW w:w="803" w:type="dxa"/>
            <w:tcBorders>
              <w:top w:val="single" w:sz="4" w:space="0" w:color="auto"/>
            </w:tcBorders>
            <w:shd w:val="clear" w:color="auto" w:fill="auto"/>
          </w:tcPr>
          <w:p w14:paraId="0830B485"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323</w:t>
            </w:r>
          </w:p>
        </w:tc>
        <w:tc>
          <w:tcPr>
            <w:tcW w:w="1064" w:type="dxa"/>
            <w:tcBorders>
              <w:top w:val="single" w:sz="4" w:space="0" w:color="auto"/>
            </w:tcBorders>
          </w:tcPr>
          <w:p w14:paraId="4F8A12E7"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323</w:t>
            </w:r>
          </w:p>
        </w:tc>
        <w:tc>
          <w:tcPr>
            <w:tcW w:w="803" w:type="dxa"/>
            <w:tcBorders>
              <w:top w:val="single" w:sz="4" w:space="0" w:color="auto"/>
            </w:tcBorders>
          </w:tcPr>
          <w:p w14:paraId="7F0417C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327</w:t>
            </w:r>
          </w:p>
        </w:tc>
        <w:tc>
          <w:tcPr>
            <w:tcW w:w="803" w:type="dxa"/>
            <w:tcBorders>
              <w:top w:val="single" w:sz="4" w:space="0" w:color="auto"/>
            </w:tcBorders>
            <w:shd w:val="clear" w:color="auto" w:fill="auto"/>
          </w:tcPr>
          <w:p w14:paraId="5B115B2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323</w:t>
            </w:r>
          </w:p>
        </w:tc>
        <w:tc>
          <w:tcPr>
            <w:tcW w:w="1064" w:type="dxa"/>
            <w:tcBorders>
              <w:top w:val="single" w:sz="4" w:space="0" w:color="auto"/>
            </w:tcBorders>
            <w:shd w:val="clear" w:color="auto" w:fill="auto"/>
          </w:tcPr>
          <w:p w14:paraId="43E1C40D"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323</w:t>
            </w:r>
          </w:p>
        </w:tc>
      </w:tr>
      <w:tr w:rsidR="007D7CE1" w:rsidRPr="0009637B" w14:paraId="742FFCEB" w14:textId="77777777" w:rsidTr="00A62164">
        <w:trPr>
          <w:trHeight w:val="763"/>
        </w:trPr>
        <w:tc>
          <w:tcPr>
            <w:tcW w:w="1125" w:type="dxa"/>
            <w:shd w:val="clear" w:color="auto" w:fill="auto"/>
          </w:tcPr>
          <w:p w14:paraId="55462290"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PASI 50 n (%)</w:t>
            </w:r>
          </w:p>
        </w:tc>
        <w:tc>
          <w:tcPr>
            <w:tcW w:w="985" w:type="dxa"/>
            <w:shd w:val="clear" w:color="auto" w:fill="auto"/>
          </w:tcPr>
          <w:p w14:paraId="7EA8E419"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49 (15,1%)</w:t>
            </w:r>
          </w:p>
        </w:tc>
        <w:tc>
          <w:tcPr>
            <w:tcW w:w="586" w:type="dxa"/>
            <w:shd w:val="clear" w:color="auto" w:fill="auto"/>
          </w:tcPr>
          <w:p w14:paraId="3043819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266 (81,3%)</w:t>
            </w:r>
          </w:p>
        </w:tc>
        <w:tc>
          <w:tcPr>
            <w:tcW w:w="803" w:type="dxa"/>
            <w:shd w:val="clear" w:color="auto" w:fill="auto"/>
          </w:tcPr>
          <w:p w14:paraId="28CFC7C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296 (91,6%)</w:t>
            </w:r>
          </w:p>
        </w:tc>
        <w:tc>
          <w:tcPr>
            <w:tcW w:w="1000" w:type="dxa"/>
          </w:tcPr>
          <w:p w14:paraId="463057DD"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226 (70,0%)</w:t>
            </w:r>
          </w:p>
        </w:tc>
        <w:tc>
          <w:tcPr>
            <w:tcW w:w="771" w:type="dxa"/>
            <w:shd w:val="clear" w:color="auto" w:fill="auto"/>
          </w:tcPr>
          <w:p w14:paraId="47A79E1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290 (88,7%)</w:t>
            </w:r>
          </w:p>
        </w:tc>
        <w:tc>
          <w:tcPr>
            <w:tcW w:w="803" w:type="dxa"/>
            <w:shd w:val="clear" w:color="auto" w:fill="auto"/>
          </w:tcPr>
          <w:p w14:paraId="0467B16B"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302 (93,5%)</w:t>
            </w:r>
          </w:p>
        </w:tc>
        <w:tc>
          <w:tcPr>
            <w:tcW w:w="1064" w:type="dxa"/>
          </w:tcPr>
          <w:p w14:paraId="190E150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257 (79,6%)</w:t>
            </w:r>
          </w:p>
        </w:tc>
        <w:tc>
          <w:tcPr>
            <w:tcW w:w="803" w:type="dxa"/>
          </w:tcPr>
          <w:p w14:paraId="4C49D8D4"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249 (76,1%)</w:t>
            </w:r>
          </w:p>
        </w:tc>
        <w:tc>
          <w:tcPr>
            <w:tcW w:w="803" w:type="dxa"/>
            <w:shd w:val="clear" w:color="auto" w:fill="auto"/>
          </w:tcPr>
          <w:p w14:paraId="48101FB2"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274 (84,8%)</w:t>
            </w:r>
          </w:p>
        </w:tc>
        <w:tc>
          <w:tcPr>
            <w:tcW w:w="1064" w:type="dxa"/>
            <w:shd w:val="clear" w:color="auto" w:fill="auto"/>
          </w:tcPr>
          <w:p w14:paraId="2D9CD1F9"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234 (72,4%)</w:t>
            </w:r>
          </w:p>
        </w:tc>
      </w:tr>
      <w:tr w:rsidR="007D7CE1" w:rsidRPr="0009637B" w14:paraId="5D2C3A0F" w14:textId="77777777" w:rsidTr="00A62164">
        <w:trPr>
          <w:trHeight w:val="1010"/>
        </w:trPr>
        <w:tc>
          <w:tcPr>
            <w:tcW w:w="1125" w:type="dxa"/>
            <w:shd w:val="clear" w:color="auto" w:fill="auto"/>
          </w:tcPr>
          <w:p w14:paraId="7006BDCD"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PASI 75 n (%)</w:t>
            </w:r>
          </w:p>
        </w:tc>
        <w:tc>
          <w:tcPr>
            <w:tcW w:w="985" w:type="dxa"/>
            <w:shd w:val="clear" w:color="auto" w:fill="auto"/>
          </w:tcPr>
          <w:p w14:paraId="4DAC5A2E"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16 (4,9%)</w:t>
            </w:r>
          </w:p>
        </w:tc>
        <w:tc>
          <w:tcPr>
            <w:tcW w:w="586" w:type="dxa"/>
            <w:shd w:val="clear" w:color="auto" w:fill="auto"/>
          </w:tcPr>
          <w:p w14:paraId="680C8886"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219 (67,0%)</w:t>
            </w:r>
            <w:r w:rsidRPr="005474B2">
              <w:rPr>
                <w:rFonts w:eastAsia="MS Mincho"/>
                <w:i/>
                <w:sz w:val="22"/>
                <w:szCs w:val="22"/>
                <w:lang w:val="sr-Latn-ME"/>
              </w:rPr>
              <w:t>**</w:t>
            </w:r>
          </w:p>
        </w:tc>
        <w:tc>
          <w:tcPr>
            <w:tcW w:w="803" w:type="dxa"/>
            <w:shd w:val="clear" w:color="auto" w:fill="auto"/>
          </w:tcPr>
          <w:p w14:paraId="43DE7983"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249 (77,1%)</w:t>
            </w:r>
            <w:r w:rsidRPr="005474B2">
              <w:rPr>
                <w:rFonts w:eastAsia="MS Mincho"/>
                <w:i/>
                <w:sz w:val="22"/>
                <w:szCs w:val="22"/>
                <w:lang w:val="sr-Latn-ME"/>
              </w:rPr>
              <w:t>**</w:t>
            </w:r>
          </w:p>
        </w:tc>
        <w:tc>
          <w:tcPr>
            <w:tcW w:w="1000" w:type="dxa"/>
          </w:tcPr>
          <w:p w14:paraId="48E8619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142 (44,0%)</w:t>
            </w:r>
          </w:p>
        </w:tc>
        <w:tc>
          <w:tcPr>
            <w:tcW w:w="771" w:type="dxa"/>
            <w:shd w:val="clear" w:color="auto" w:fill="auto"/>
          </w:tcPr>
          <w:p w14:paraId="15F4D73E"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247 (75,5%)</w:t>
            </w:r>
          </w:p>
        </w:tc>
        <w:tc>
          <w:tcPr>
            <w:tcW w:w="803" w:type="dxa"/>
            <w:shd w:val="clear" w:color="auto" w:fill="auto"/>
          </w:tcPr>
          <w:p w14:paraId="6CF222E3"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280 (86,7%)</w:t>
            </w:r>
          </w:p>
        </w:tc>
        <w:tc>
          <w:tcPr>
            <w:tcW w:w="1064" w:type="dxa"/>
          </w:tcPr>
          <w:p w14:paraId="2031559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189 (58,5%)</w:t>
            </w:r>
          </w:p>
        </w:tc>
        <w:tc>
          <w:tcPr>
            <w:tcW w:w="803" w:type="dxa"/>
          </w:tcPr>
          <w:p w14:paraId="1FADC79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215 (65,7%)</w:t>
            </w:r>
          </w:p>
        </w:tc>
        <w:tc>
          <w:tcPr>
            <w:tcW w:w="803" w:type="dxa"/>
            <w:shd w:val="clear" w:color="auto" w:fill="auto"/>
          </w:tcPr>
          <w:p w14:paraId="68CED31B"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254 (78,6%)</w:t>
            </w:r>
          </w:p>
        </w:tc>
        <w:tc>
          <w:tcPr>
            <w:tcW w:w="1064" w:type="dxa"/>
            <w:shd w:val="clear" w:color="auto" w:fill="auto"/>
          </w:tcPr>
          <w:p w14:paraId="6185982F"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179 (55,4%)</w:t>
            </w:r>
          </w:p>
        </w:tc>
      </w:tr>
      <w:tr w:rsidR="007D7CE1" w:rsidRPr="0009637B" w14:paraId="2DF85F76" w14:textId="77777777" w:rsidTr="00A62164">
        <w:trPr>
          <w:trHeight w:val="763"/>
        </w:trPr>
        <w:tc>
          <w:tcPr>
            <w:tcW w:w="1125" w:type="dxa"/>
            <w:shd w:val="clear" w:color="auto" w:fill="auto"/>
          </w:tcPr>
          <w:p w14:paraId="04BC3C60"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PASI 90 n (%)</w:t>
            </w:r>
          </w:p>
        </w:tc>
        <w:tc>
          <w:tcPr>
            <w:tcW w:w="985" w:type="dxa"/>
            <w:shd w:val="clear" w:color="auto" w:fill="auto"/>
          </w:tcPr>
          <w:p w14:paraId="4464EA12"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5 (1,5%)</w:t>
            </w:r>
          </w:p>
        </w:tc>
        <w:tc>
          <w:tcPr>
            <w:tcW w:w="586" w:type="dxa"/>
            <w:shd w:val="clear" w:color="auto" w:fill="auto"/>
          </w:tcPr>
          <w:p w14:paraId="6E747B0B"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137 (41,9%)</w:t>
            </w:r>
          </w:p>
        </w:tc>
        <w:tc>
          <w:tcPr>
            <w:tcW w:w="803" w:type="dxa"/>
            <w:shd w:val="clear" w:color="auto" w:fill="auto"/>
          </w:tcPr>
          <w:p w14:paraId="05A1524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175 (54,2%)</w:t>
            </w:r>
          </w:p>
        </w:tc>
        <w:tc>
          <w:tcPr>
            <w:tcW w:w="1000" w:type="dxa"/>
          </w:tcPr>
          <w:p w14:paraId="18DE3C3F"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67 (20,7%)</w:t>
            </w:r>
          </w:p>
        </w:tc>
        <w:tc>
          <w:tcPr>
            <w:tcW w:w="771" w:type="dxa"/>
            <w:shd w:val="clear" w:color="auto" w:fill="auto"/>
          </w:tcPr>
          <w:p w14:paraId="20B9F72F"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176 (53,8%)</w:t>
            </w:r>
          </w:p>
        </w:tc>
        <w:tc>
          <w:tcPr>
            <w:tcW w:w="803" w:type="dxa"/>
            <w:shd w:val="clear" w:color="auto" w:fill="auto"/>
          </w:tcPr>
          <w:p w14:paraId="194C85B1"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234 (72,4%)</w:t>
            </w:r>
          </w:p>
        </w:tc>
        <w:tc>
          <w:tcPr>
            <w:tcW w:w="1064" w:type="dxa"/>
          </w:tcPr>
          <w:p w14:paraId="27B192F2"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101 (31,3%)</w:t>
            </w:r>
          </w:p>
        </w:tc>
        <w:tc>
          <w:tcPr>
            <w:tcW w:w="803" w:type="dxa"/>
          </w:tcPr>
          <w:p w14:paraId="625F17DE"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147 (45,0%)</w:t>
            </w:r>
          </w:p>
        </w:tc>
        <w:tc>
          <w:tcPr>
            <w:tcW w:w="803" w:type="dxa"/>
            <w:shd w:val="clear" w:color="auto" w:fill="auto"/>
          </w:tcPr>
          <w:p w14:paraId="75238433"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210 (65,0%)</w:t>
            </w:r>
          </w:p>
        </w:tc>
        <w:tc>
          <w:tcPr>
            <w:tcW w:w="1064" w:type="dxa"/>
            <w:shd w:val="clear" w:color="auto" w:fill="auto"/>
          </w:tcPr>
          <w:p w14:paraId="6E938F96"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108 (33,4%)</w:t>
            </w:r>
          </w:p>
        </w:tc>
      </w:tr>
      <w:tr w:rsidR="007D7CE1" w:rsidRPr="0009637B" w14:paraId="49F15C47" w14:textId="77777777" w:rsidTr="00A62164">
        <w:trPr>
          <w:trHeight w:val="763"/>
        </w:trPr>
        <w:tc>
          <w:tcPr>
            <w:tcW w:w="1125" w:type="dxa"/>
            <w:shd w:val="clear" w:color="auto" w:fill="auto"/>
          </w:tcPr>
          <w:p w14:paraId="2C72EFFC"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PASI 100 n (%)</w:t>
            </w:r>
          </w:p>
        </w:tc>
        <w:tc>
          <w:tcPr>
            <w:tcW w:w="985" w:type="dxa"/>
            <w:shd w:val="clear" w:color="auto" w:fill="auto"/>
          </w:tcPr>
          <w:p w14:paraId="506D6047"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0 (0%)</w:t>
            </w:r>
          </w:p>
        </w:tc>
        <w:tc>
          <w:tcPr>
            <w:tcW w:w="586" w:type="dxa"/>
            <w:shd w:val="clear" w:color="auto" w:fill="auto"/>
          </w:tcPr>
          <w:p w14:paraId="0F135372"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47 (14,4%)</w:t>
            </w:r>
          </w:p>
        </w:tc>
        <w:tc>
          <w:tcPr>
            <w:tcW w:w="803" w:type="dxa"/>
            <w:shd w:val="clear" w:color="auto" w:fill="auto"/>
          </w:tcPr>
          <w:p w14:paraId="7374F31C"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78 (24,1%)</w:t>
            </w:r>
          </w:p>
        </w:tc>
        <w:tc>
          <w:tcPr>
            <w:tcW w:w="1000" w:type="dxa"/>
          </w:tcPr>
          <w:p w14:paraId="689F69F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14 (4,3%)</w:t>
            </w:r>
          </w:p>
        </w:tc>
        <w:tc>
          <w:tcPr>
            <w:tcW w:w="771" w:type="dxa"/>
            <w:shd w:val="clear" w:color="auto" w:fill="auto"/>
          </w:tcPr>
          <w:p w14:paraId="46B00443"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84 (25,7%)</w:t>
            </w:r>
          </w:p>
        </w:tc>
        <w:tc>
          <w:tcPr>
            <w:tcW w:w="803" w:type="dxa"/>
            <w:shd w:val="clear" w:color="auto" w:fill="auto"/>
          </w:tcPr>
          <w:p w14:paraId="69A063A4"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119 (36,8%)</w:t>
            </w:r>
          </w:p>
        </w:tc>
        <w:tc>
          <w:tcPr>
            <w:tcW w:w="1064" w:type="dxa"/>
          </w:tcPr>
          <w:p w14:paraId="491B7A9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24 (7,4%)</w:t>
            </w:r>
          </w:p>
        </w:tc>
        <w:tc>
          <w:tcPr>
            <w:tcW w:w="803" w:type="dxa"/>
          </w:tcPr>
          <w:p w14:paraId="3E3B0843"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65 (19,9%)</w:t>
            </w:r>
          </w:p>
        </w:tc>
        <w:tc>
          <w:tcPr>
            <w:tcW w:w="803" w:type="dxa"/>
            <w:shd w:val="clear" w:color="auto" w:fill="auto"/>
          </w:tcPr>
          <w:p w14:paraId="79B8D385"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117 (36,2%)</w:t>
            </w:r>
          </w:p>
        </w:tc>
        <w:tc>
          <w:tcPr>
            <w:tcW w:w="1064" w:type="dxa"/>
            <w:shd w:val="clear" w:color="auto" w:fill="auto"/>
          </w:tcPr>
          <w:p w14:paraId="429785B6"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32 (9,9%)</w:t>
            </w:r>
          </w:p>
        </w:tc>
      </w:tr>
      <w:tr w:rsidR="007D7CE1" w:rsidRPr="0009637B" w14:paraId="449CB188" w14:textId="77777777" w:rsidTr="00A62164">
        <w:trPr>
          <w:trHeight w:val="1762"/>
        </w:trPr>
        <w:tc>
          <w:tcPr>
            <w:tcW w:w="1125" w:type="dxa"/>
            <w:shd w:val="clear" w:color="auto" w:fill="auto"/>
          </w:tcPr>
          <w:p w14:paraId="4B6DDC5F"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IGA mod 2011 „čista“ ili „gotovo čista“ n (%)</w:t>
            </w:r>
          </w:p>
        </w:tc>
        <w:tc>
          <w:tcPr>
            <w:tcW w:w="985" w:type="dxa"/>
            <w:shd w:val="clear" w:color="auto" w:fill="auto"/>
          </w:tcPr>
          <w:p w14:paraId="50ABF46A"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9 (2,8%)</w:t>
            </w:r>
          </w:p>
        </w:tc>
        <w:tc>
          <w:tcPr>
            <w:tcW w:w="586" w:type="dxa"/>
            <w:shd w:val="clear" w:color="auto" w:fill="auto"/>
          </w:tcPr>
          <w:p w14:paraId="6FCC606B"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167 (51,1%)</w:t>
            </w:r>
            <w:r w:rsidRPr="005474B2">
              <w:rPr>
                <w:rFonts w:eastAsia="MS Mincho"/>
                <w:i/>
                <w:sz w:val="22"/>
                <w:szCs w:val="22"/>
                <w:lang w:val="sr-Latn-ME"/>
              </w:rPr>
              <w:t>**</w:t>
            </w:r>
          </w:p>
        </w:tc>
        <w:tc>
          <w:tcPr>
            <w:tcW w:w="803" w:type="dxa"/>
            <w:shd w:val="clear" w:color="auto" w:fill="auto"/>
          </w:tcPr>
          <w:p w14:paraId="0E9BE7E1"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202 (62,5%)</w:t>
            </w:r>
            <w:r w:rsidRPr="005474B2">
              <w:rPr>
                <w:rFonts w:eastAsia="MS Mincho"/>
                <w:i/>
                <w:sz w:val="22"/>
                <w:szCs w:val="22"/>
                <w:lang w:val="sr-Latn-ME"/>
              </w:rPr>
              <w:t>**</w:t>
            </w:r>
          </w:p>
        </w:tc>
        <w:tc>
          <w:tcPr>
            <w:tcW w:w="1000" w:type="dxa"/>
          </w:tcPr>
          <w:p w14:paraId="0E1B51B9"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88 (27,2%)</w:t>
            </w:r>
          </w:p>
        </w:tc>
        <w:tc>
          <w:tcPr>
            <w:tcW w:w="771" w:type="dxa"/>
            <w:shd w:val="clear" w:color="auto" w:fill="auto"/>
          </w:tcPr>
          <w:p w14:paraId="491AD569"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200 (61,2%)</w:t>
            </w:r>
          </w:p>
        </w:tc>
        <w:tc>
          <w:tcPr>
            <w:tcW w:w="803" w:type="dxa"/>
            <w:shd w:val="clear" w:color="auto" w:fill="auto"/>
          </w:tcPr>
          <w:p w14:paraId="257A079F"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244 (75,5%)</w:t>
            </w:r>
          </w:p>
        </w:tc>
        <w:tc>
          <w:tcPr>
            <w:tcW w:w="1064" w:type="dxa"/>
          </w:tcPr>
          <w:p w14:paraId="55831682"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127 (39,3%)</w:t>
            </w:r>
          </w:p>
        </w:tc>
        <w:tc>
          <w:tcPr>
            <w:tcW w:w="803" w:type="dxa"/>
          </w:tcPr>
          <w:p w14:paraId="21035876"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168 (51,4%)</w:t>
            </w:r>
          </w:p>
        </w:tc>
        <w:tc>
          <w:tcPr>
            <w:tcW w:w="803" w:type="dxa"/>
            <w:shd w:val="clear" w:color="auto" w:fill="auto"/>
          </w:tcPr>
          <w:p w14:paraId="18657B8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219 (67,8%)</w:t>
            </w:r>
          </w:p>
        </w:tc>
        <w:tc>
          <w:tcPr>
            <w:tcW w:w="1064" w:type="dxa"/>
            <w:shd w:val="clear" w:color="auto" w:fill="auto"/>
          </w:tcPr>
          <w:p w14:paraId="08411A5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120 (37,2%)</w:t>
            </w:r>
          </w:p>
        </w:tc>
      </w:tr>
    </w:tbl>
    <w:p w14:paraId="4A538925" w14:textId="77777777" w:rsidR="007D7CE1" w:rsidRPr="005474B2" w:rsidRDefault="007D7CE1" w:rsidP="0009637B">
      <w:pPr>
        <w:autoSpaceDE w:val="0"/>
        <w:autoSpaceDN w:val="0"/>
        <w:adjustRightInd w:val="0"/>
        <w:jc w:val="both"/>
        <w:rPr>
          <w:sz w:val="22"/>
          <w:szCs w:val="22"/>
          <w:lang w:val="sr-Latn-ME"/>
        </w:rPr>
      </w:pPr>
      <w:r w:rsidRPr="005474B2">
        <w:rPr>
          <w:sz w:val="22"/>
          <w:szCs w:val="22"/>
          <w:lang w:val="sr-Latn-ME"/>
        </w:rPr>
        <w:t>** p vr</w:t>
      </w:r>
      <w:r w:rsidR="00A233FB" w:rsidRPr="005474B2">
        <w:rPr>
          <w:sz w:val="22"/>
          <w:szCs w:val="22"/>
          <w:lang w:val="sr-Latn-ME"/>
        </w:rPr>
        <w:t>ij</w:t>
      </w:r>
      <w:r w:rsidRPr="005474B2">
        <w:rPr>
          <w:sz w:val="22"/>
          <w:szCs w:val="22"/>
          <w:lang w:val="sr-Latn-ME"/>
        </w:rPr>
        <w:t>ednosti u odnosu na etanercept: p=0,0250</w:t>
      </w:r>
    </w:p>
    <w:p w14:paraId="01C12903" w14:textId="77777777" w:rsidR="007D7CE1" w:rsidRPr="005474B2" w:rsidRDefault="007D7CE1" w:rsidP="0009637B">
      <w:pPr>
        <w:jc w:val="both"/>
        <w:rPr>
          <w:sz w:val="22"/>
          <w:szCs w:val="22"/>
          <w:lang w:val="sr-Latn-ME"/>
        </w:rPr>
      </w:pPr>
    </w:p>
    <w:p w14:paraId="6A4F0006" w14:textId="577AF0B6" w:rsidR="007D7CE1" w:rsidRPr="005474B2" w:rsidRDefault="007D7CE1">
      <w:pPr>
        <w:widowControl w:val="0"/>
        <w:jc w:val="both"/>
        <w:rPr>
          <w:rFonts w:eastAsia="MS Mincho"/>
          <w:sz w:val="22"/>
          <w:szCs w:val="22"/>
          <w:lang w:val="sr-Latn-ME"/>
        </w:rPr>
      </w:pPr>
      <w:r w:rsidRPr="005474B2">
        <w:rPr>
          <w:rFonts w:eastAsia="MS Mincho"/>
          <w:sz w:val="22"/>
          <w:szCs w:val="22"/>
          <w:lang w:val="sr-Latn-ME"/>
        </w:rPr>
        <w:t>U dodatnoj studiji sa psorijazom (CLEAR) proc</w:t>
      </w:r>
      <w:r w:rsidR="000E4039" w:rsidRPr="005474B2">
        <w:rPr>
          <w:rFonts w:eastAsia="MS Mincho"/>
          <w:sz w:val="22"/>
          <w:szCs w:val="22"/>
          <w:lang w:val="sr-Latn-ME"/>
        </w:rPr>
        <w:t>j</w:t>
      </w:r>
      <w:r w:rsidRPr="005474B2">
        <w:rPr>
          <w:rFonts w:eastAsia="MS Mincho"/>
          <w:sz w:val="22"/>
          <w:szCs w:val="22"/>
          <w:lang w:val="sr-Latn-ME"/>
        </w:rPr>
        <w:t>enjivano je 676 pacijenata. Sekukinumab 300 mg je postigao primarne i sekundarne parametre praćenja pokazujući superiornost u odnosu na ustekinumab na osnovu PASI 90 odgovora u 16. </w:t>
      </w:r>
      <w:r w:rsidR="009A4880" w:rsidRPr="005474B2">
        <w:rPr>
          <w:rFonts w:eastAsia="MS Mincho"/>
          <w:sz w:val="22"/>
          <w:szCs w:val="22"/>
          <w:lang w:val="sr-Latn-ME"/>
        </w:rPr>
        <w:t>nedjelj</w:t>
      </w:r>
      <w:r w:rsidRPr="005474B2">
        <w:rPr>
          <w:rFonts w:eastAsia="MS Mincho"/>
          <w:sz w:val="22"/>
          <w:szCs w:val="22"/>
          <w:lang w:val="sr-Latn-ME"/>
        </w:rPr>
        <w:t>i (primarni parametar praćenja), brzine pojave PASI 75 odgovora u 4. </w:t>
      </w:r>
      <w:r w:rsidR="009A4880" w:rsidRPr="005474B2">
        <w:rPr>
          <w:rFonts w:eastAsia="MS Mincho"/>
          <w:sz w:val="22"/>
          <w:szCs w:val="22"/>
          <w:lang w:val="sr-Latn-ME"/>
        </w:rPr>
        <w:t>nedjelj</w:t>
      </w:r>
      <w:r w:rsidRPr="005474B2">
        <w:rPr>
          <w:rFonts w:eastAsia="MS Mincho"/>
          <w:sz w:val="22"/>
          <w:szCs w:val="22"/>
          <w:lang w:val="sr-Latn-ME"/>
        </w:rPr>
        <w:t xml:space="preserve">i i dugoročni PASI 90 odgovor u 52. </w:t>
      </w:r>
      <w:r w:rsidR="009A4880" w:rsidRPr="005474B2">
        <w:rPr>
          <w:rFonts w:eastAsia="MS Mincho"/>
          <w:sz w:val="22"/>
          <w:szCs w:val="22"/>
          <w:lang w:val="sr-Latn-ME"/>
        </w:rPr>
        <w:t>nedjelj</w:t>
      </w:r>
      <w:r w:rsidRPr="005474B2">
        <w:rPr>
          <w:rFonts w:eastAsia="MS Mincho"/>
          <w:sz w:val="22"/>
          <w:szCs w:val="22"/>
          <w:lang w:val="sr-Latn-ME"/>
        </w:rPr>
        <w:t>i. Veća efikasnost za sekukinumab u poređenju sa  ustekinumabom za parametre PASI 75/90/100 i IGA mod 2011 odgovor 0 ili 1 („čista“ ili „skoro čista“) je rano uočena i trajala je do 52. </w:t>
      </w:r>
      <w:r w:rsidR="009A4880" w:rsidRPr="005474B2">
        <w:rPr>
          <w:rFonts w:eastAsia="MS Mincho"/>
          <w:sz w:val="22"/>
          <w:szCs w:val="22"/>
          <w:lang w:val="sr-Latn-ME"/>
        </w:rPr>
        <w:t>nedjelj</w:t>
      </w:r>
      <w:r w:rsidRPr="005474B2">
        <w:rPr>
          <w:rFonts w:eastAsia="MS Mincho"/>
          <w:sz w:val="22"/>
          <w:szCs w:val="22"/>
          <w:lang w:val="sr-Latn-ME"/>
        </w:rPr>
        <w:t>e.</w:t>
      </w:r>
      <w:r w:rsidR="00757C78" w:rsidRPr="005474B2">
        <w:rPr>
          <w:rFonts w:eastAsia="MS Mincho"/>
          <w:sz w:val="22"/>
          <w:szCs w:val="22"/>
          <w:lang w:val="sr-Latn-ME"/>
        </w:rPr>
        <w:t xml:space="preserve"> (Tabela 6)</w:t>
      </w:r>
    </w:p>
    <w:p w14:paraId="73C0DF43" w14:textId="77777777" w:rsidR="007D7CE1" w:rsidRPr="005474B2" w:rsidRDefault="007D7CE1">
      <w:pPr>
        <w:widowControl w:val="0"/>
        <w:jc w:val="both"/>
        <w:rPr>
          <w:rFonts w:eastAsia="MS Mincho"/>
          <w:sz w:val="22"/>
          <w:szCs w:val="22"/>
          <w:lang w:val="sr-Latn-ME"/>
        </w:rPr>
      </w:pPr>
    </w:p>
    <w:p w14:paraId="49421290" w14:textId="2EED8BA5" w:rsidR="007D7CE1" w:rsidRPr="005474B2" w:rsidRDefault="007D7CE1">
      <w:pPr>
        <w:keepNext/>
        <w:keepLines/>
        <w:jc w:val="both"/>
        <w:outlineLvl w:val="5"/>
        <w:rPr>
          <w:rFonts w:eastAsia="MS Gothic"/>
          <w:b/>
          <w:sz w:val="22"/>
          <w:szCs w:val="22"/>
          <w:lang w:val="sr-Latn-ME"/>
        </w:rPr>
      </w:pPr>
      <w:r w:rsidRPr="005474B2">
        <w:rPr>
          <w:rFonts w:eastAsia="MS Gothic"/>
          <w:b/>
          <w:sz w:val="22"/>
          <w:szCs w:val="22"/>
          <w:lang w:val="sr-Latn-ME"/>
        </w:rPr>
        <w:t>Tabela </w:t>
      </w:r>
      <w:r w:rsidR="008C6DC8" w:rsidRPr="005474B2">
        <w:rPr>
          <w:rFonts w:eastAsia="MS Gothic"/>
          <w:b/>
          <w:sz w:val="22"/>
          <w:szCs w:val="22"/>
          <w:lang w:val="sr-Latn-ME"/>
        </w:rPr>
        <w:t>6</w:t>
      </w:r>
      <w:r w:rsidRPr="005474B2">
        <w:rPr>
          <w:rFonts w:eastAsia="MS Gothic"/>
          <w:b/>
          <w:sz w:val="22"/>
          <w:szCs w:val="22"/>
          <w:lang w:val="sr-Latn-ME"/>
        </w:rPr>
        <w:tab/>
        <w:t>Sažetak kliničkog odgovora u CLEAR studiji</w:t>
      </w:r>
    </w:p>
    <w:p w14:paraId="06CEF6A8" w14:textId="77777777" w:rsidR="007D7CE1" w:rsidRPr="005474B2" w:rsidRDefault="007D7CE1">
      <w:pPr>
        <w:tabs>
          <w:tab w:val="left" w:pos="540"/>
          <w:tab w:val="left" w:pos="569"/>
        </w:tabs>
        <w:jc w:val="both"/>
        <w:rPr>
          <w:b/>
          <w:bCs/>
          <w:sz w:val="22"/>
          <w:szCs w:val="22"/>
          <w:lang w:val="sr-Latn-ME"/>
        </w:rPr>
      </w:pPr>
    </w:p>
    <w:tbl>
      <w:tblPr>
        <w:tblW w:w="9889" w:type="dxa"/>
        <w:tblBorders>
          <w:top w:val="single" w:sz="4" w:space="0" w:color="auto"/>
          <w:bottom w:val="single" w:sz="4" w:space="0" w:color="auto"/>
        </w:tblBorders>
        <w:tblLayout w:type="fixed"/>
        <w:tblLook w:val="0000" w:firstRow="0" w:lastRow="0" w:firstColumn="0" w:lastColumn="0" w:noHBand="0" w:noVBand="0"/>
      </w:tblPr>
      <w:tblGrid>
        <w:gridCol w:w="1538"/>
        <w:gridCol w:w="1581"/>
        <w:gridCol w:w="1559"/>
        <w:gridCol w:w="959"/>
        <w:gridCol w:w="1417"/>
        <w:gridCol w:w="1276"/>
        <w:gridCol w:w="1559"/>
      </w:tblGrid>
      <w:tr w:rsidR="007D7CE1" w:rsidRPr="0009637B" w14:paraId="12B91AFC" w14:textId="77777777" w:rsidTr="00A2781E">
        <w:trPr>
          <w:trHeight w:val="216"/>
          <w:tblHeader/>
        </w:trPr>
        <w:tc>
          <w:tcPr>
            <w:tcW w:w="1538" w:type="dxa"/>
            <w:tcBorders>
              <w:top w:val="single" w:sz="4" w:space="0" w:color="auto"/>
            </w:tcBorders>
            <w:shd w:val="clear" w:color="auto" w:fill="auto"/>
          </w:tcPr>
          <w:p w14:paraId="4CD9446D" w14:textId="77777777" w:rsidR="007D7CE1" w:rsidRPr="005474B2" w:rsidRDefault="007D7CE1">
            <w:pPr>
              <w:keepNext/>
              <w:keepLines/>
              <w:widowControl w:val="0"/>
              <w:jc w:val="both"/>
              <w:rPr>
                <w:rFonts w:eastAsia="MS Mincho"/>
                <w:b/>
                <w:sz w:val="22"/>
                <w:szCs w:val="22"/>
                <w:lang w:val="sr-Latn-ME"/>
              </w:rPr>
            </w:pPr>
          </w:p>
        </w:tc>
        <w:tc>
          <w:tcPr>
            <w:tcW w:w="3140" w:type="dxa"/>
            <w:gridSpan w:val="2"/>
            <w:tcBorders>
              <w:top w:val="single" w:sz="4" w:space="0" w:color="auto"/>
            </w:tcBorders>
            <w:shd w:val="clear" w:color="auto" w:fill="auto"/>
            <w:vAlign w:val="center"/>
          </w:tcPr>
          <w:p w14:paraId="4622E8AE"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4. </w:t>
            </w:r>
            <w:r w:rsidR="009A4880" w:rsidRPr="005474B2">
              <w:rPr>
                <w:rFonts w:eastAsia="MS Mincho"/>
                <w:b/>
                <w:sz w:val="22"/>
                <w:szCs w:val="22"/>
                <w:lang w:val="sr-Latn-ME"/>
              </w:rPr>
              <w:t>nedjelj</w:t>
            </w:r>
            <w:r w:rsidRPr="005474B2">
              <w:rPr>
                <w:rFonts w:eastAsia="MS Mincho"/>
                <w:b/>
                <w:sz w:val="22"/>
                <w:szCs w:val="22"/>
                <w:lang w:val="sr-Latn-ME"/>
              </w:rPr>
              <w:t>a</w:t>
            </w:r>
          </w:p>
        </w:tc>
        <w:tc>
          <w:tcPr>
            <w:tcW w:w="2376" w:type="dxa"/>
            <w:gridSpan w:val="2"/>
            <w:tcBorders>
              <w:top w:val="single" w:sz="4" w:space="0" w:color="auto"/>
            </w:tcBorders>
            <w:shd w:val="clear" w:color="auto" w:fill="auto"/>
            <w:vAlign w:val="center"/>
          </w:tcPr>
          <w:p w14:paraId="4445484E"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16. </w:t>
            </w:r>
            <w:r w:rsidR="009A4880" w:rsidRPr="005474B2">
              <w:rPr>
                <w:rFonts w:eastAsia="MS Mincho"/>
                <w:b/>
                <w:sz w:val="22"/>
                <w:szCs w:val="22"/>
                <w:lang w:val="sr-Latn-ME"/>
              </w:rPr>
              <w:t>nedjelj</w:t>
            </w:r>
            <w:r w:rsidRPr="005474B2">
              <w:rPr>
                <w:rFonts w:eastAsia="MS Mincho"/>
                <w:b/>
                <w:sz w:val="22"/>
                <w:szCs w:val="22"/>
                <w:lang w:val="sr-Latn-ME"/>
              </w:rPr>
              <w:t>a</w:t>
            </w:r>
          </w:p>
        </w:tc>
        <w:tc>
          <w:tcPr>
            <w:tcW w:w="2835" w:type="dxa"/>
            <w:gridSpan w:val="2"/>
            <w:tcBorders>
              <w:top w:val="single" w:sz="4" w:space="0" w:color="auto"/>
            </w:tcBorders>
          </w:tcPr>
          <w:p w14:paraId="30F3C429"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 xml:space="preserve">52. </w:t>
            </w:r>
            <w:r w:rsidR="009A4880" w:rsidRPr="005474B2">
              <w:rPr>
                <w:rFonts w:eastAsia="MS Mincho"/>
                <w:b/>
                <w:sz w:val="22"/>
                <w:szCs w:val="22"/>
                <w:lang w:val="sr-Latn-ME"/>
              </w:rPr>
              <w:t>nedjelj</w:t>
            </w:r>
            <w:r w:rsidRPr="005474B2">
              <w:rPr>
                <w:rFonts w:eastAsia="MS Mincho"/>
                <w:b/>
                <w:sz w:val="22"/>
                <w:szCs w:val="22"/>
                <w:lang w:val="sr-Latn-ME"/>
              </w:rPr>
              <w:t>a</w:t>
            </w:r>
          </w:p>
        </w:tc>
      </w:tr>
      <w:tr w:rsidR="007D7CE1" w:rsidRPr="0009637B" w14:paraId="3A3E5F27" w14:textId="77777777" w:rsidTr="00A2781E">
        <w:trPr>
          <w:trHeight w:val="434"/>
          <w:tblHeader/>
        </w:trPr>
        <w:tc>
          <w:tcPr>
            <w:tcW w:w="1538" w:type="dxa"/>
            <w:tcBorders>
              <w:top w:val="single" w:sz="4" w:space="0" w:color="auto"/>
            </w:tcBorders>
            <w:shd w:val="clear" w:color="auto" w:fill="auto"/>
          </w:tcPr>
          <w:p w14:paraId="624CF0F7" w14:textId="77777777" w:rsidR="007D7CE1" w:rsidRPr="005474B2" w:rsidRDefault="007D7CE1" w:rsidP="0009637B">
            <w:pPr>
              <w:keepNext/>
              <w:keepLines/>
              <w:widowControl w:val="0"/>
              <w:jc w:val="both"/>
              <w:rPr>
                <w:rFonts w:eastAsia="MS Mincho"/>
                <w:b/>
                <w:sz w:val="22"/>
                <w:szCs w:val="22"/>
                <w:lang w:val="sr-Latn-ME"/>
              </w:rPr>
            </w:pPr>
          </w:p>
        </w:tc>
        <w:tc>
          <w:tcPr>
            <w:tcW w:w="1581" w:type="dxa"/>
            <w:tcBorders>
              <w:top w:val="single" w:sz="4" w:space="0" w:color="auto"/>
            </w:tcBorders>
            <w:shd w:val="clear" w:color="auto" w:fill="auto"/>
          </w:tcPr>
          <w:p w14:paraId="3CC50F25" w14:textId="77777777" w:rsidR="007D7CE1" w:rsidRPr="005474B2" w:rsidRDefault="007D7CE1" w:rsidP="0009637B">
            <w:pPr>
              <w:keepNext/>
              <w:keepLines/>
              <w:widowControl w:val="0"/>
              <w:jc w:val="both"/>
              <w:rPr>
                <w:rFonts w:eastAsia="MS Mincho"/>
                <w:b/>
                <w:sz w:val="22"/>
                <w:szCs w:val="22"/>
                <w:lang w:val="sr-Latn-ME"/>
              </w:rPr>
            </w:pPr>
            <w:r w:rsidRPr="005474B2">
              <w:rPr>
                <w:rFonts w:eastAsia="MS Mincho"/>
                <w:b/>
                <w:sz w:val="22"/>
                <w:szCs w:val="22"/>
                <w:lang w:val="sr-Latn-ME"/>
              </w:rPr>
              <w:t>sekukinumab 300 mg</w:t>
            </w:r>
          </w:p>
        </w:tc>
        <w:tc>
          <w:tcPr>
            <w:tcW w:w="1559" w:type="dxa"/>
            <w:tcBorders>
              <w:top w:val="single" w:sz="4" w:space="0" w:color="auto"/>
            </w:tcBorders>
            <w:shd w:val="clear" w:color="auto" w:fill="auto"/>
          </w:tcPr>
          <w:p w14:paraId="6EE2C8FE"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ustekinumab*</w:t>
            </w:r>
          </w:p>
        </w:tc>
        <w:tc>
          <w:tcPr>
            <w:tcW w:w="959" w:type="dxa"/>
            <w:tcBorders>
              <w:top w:val="single" w:sz="4" w:space="0" w:color="auto"/>
            </w:tcBorders>
            <w:shd w:val="clear" w:color="auto" w:fill="auto"/>
          </w:tcPr>
          <w:p w14:paraId="0D45AE37"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sekukinumab 300 mg</w:t>
            </w:r>
          </w:p>
        </w:tc>
        <w:tc>
          <w:tcPr>
            <w:tcW w:w="1417" w:type="dxa"/>
            <w:tcBorders>
              <w:top w:val="single" w:sz="4" w:space="0" w:color="auto"/>
            </w:tcBorders>
            <w:shd w:val="clear" w:color="auto" w:fill="auto"/>
          </w:tcPr>
          <w:p w14:paraId="453923DC"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ustekinumab*</w:t>
            </w:r>
          </w:p>
        </w:tc>
        <w:tc>
          <w:tcPr>
            <w:tcW w:w="1276" w:type="dxa"/>
            <w:tcBorders>
              <w:top w:val="single" w:sz="4" w:space="0" w:color="auto"/>
            </w:tcBorders>
          </w:tcPr>
          <w:p w14:paraId="3C218B62"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sekukinumab 300 mg</w:t>
            </w:r>
          </w:p>
        </w:tc>
        <w:tc>
          <w:tcPr>
            <w:tcW w:w="1559" w:type="dxa"/>
            <w:tcBorders>
              <w:top w:val="single" w:sz="4" w:space="0" w:color="auto"/>
            </w:tcBorders>
          </w:tcPr>
          <w:p w14:paraId="6DED0DFC" w14:textId="77777777" w:rsidR="007D7CE1" w:rsidRPr="005474B2" w:rsidRDefault="007D7CE1">
            <w:pPr>
              <w:keepNext/>
              <w:keepLines/>
              <w:widowControl w:val="0"/>
              <w:jc w:val="both"/>
              <w:rPr>
                <w:rFonts w:eastAsia="MS Mincho"/>
                <w:b/>
                <w:sz w:val="22"/>
                <w:szCs w:val="22"/>
                <w:lang w:val="sr-Latn-ME"/>
              </w:rPr>
            </w:pPr>
            <w:r w:rsidRPr="005474B2">
              <w:rPr>
                <w:rFonts w:eastAsia="MS Mincho"/>
                <w:b/>
                <w:sz w:val="22"/>
                <w:szCs w:val="22"/>
                <w:lang w:val="sr-Latn-ME"/>
              </w:rPr>
              <w:t>ustekinumab*</w:t>
            </w:r>
          </w:p>
        </w:tc>
      </w:tr>
      <w:tr w:rsidR="007D7CE1" w:rsidRPr="0009637B" w14:paraId="5002B288" w14:textId="77777777" w:rsidTr="00A2781E">
        <w:trPr>
          <w:trHeight w:val="216"/>
        </w:trPr>
        <w:tc>
          <w:tcPr>
            <w:tcW w:w="1538" w:type="dxa"/>
            <w:tcBorders>
              <w:top w:val="single" w:sz="4" w:space="0" w:color="auto"/>
            </w:tcBorders>
            <w:shd w:val="clear" w:color="auto" w:fill="auto"/>
          </w:tcPr>
          <w:p w14:paraId="05D53682"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Broj pacijenata</w:t>
            </w:r>
          </w:p>
        </w:tc>
        <w:tc>
          <w:tcPr>
            <w:tcW w:w="1581" w:type="dxa"/>
            <w:tcBorders>
              <w:top w:val="single" w:sz="4" w:space="0" w:color="auto"/>
            </w:tcBorders>
            <w:shd w:val="clear" w:color="auto" w:fill="auto"/>
          </w:tcPr>
          <w:p w14:paraId="5F98DCCF"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334</w:t>
            </w:r>
          </w:p>
        </w:tc>
        <w:tc>
          <w:tcPr>
            <w:tcW w:w="1559" w:type="dxa"/>
            <w:tcBorders>
              <w:top w:val="single" w:sz="4" w:space="0" w:color="auto"/>
            </w:tcBorders>
            <w:shd w:val="clear" w:color="auto" w:fill="auto"/>
          </w:tcPr>
          <w:p w14:paraId="065BEB43"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335</w:t>
            </w:r>
          </w:p>
        </w:tc>
        <w:tc>
          <w:tcPr>
            <w:tcW w:w="959" w:type="dxa"/>
            <w:tcBorders>
              <w:top w:val="single" w:sz="4" w:space="0" w:color="auto"/>
            </w:tcBorders>
            <w:shd w:val="clear" w:color="auto" w:fill="auto"/>
          </w:tcPr>
          <w:p w14:paraId="0F5D18B3"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334</w:t>
            </w:r>
          </w:p>
        </w:tc>
        <w:tc>
          <w:tcPr>
            <w:tcW w:w="1417" w:type="dxa"/>
            <w:tcBorders>
              <w:top w:val="single" w:sz="4" w:space="0" w:color="auto"/>
            </w:tcBorders>
            <w:shd w:val="clear" w:color="auto" w:fill="auto"/>
          </w:tcPr>
          <w:p w14:paraId="018936B7" w14:textId="77777777" w:rsidR="007D7CE1" w:rsidRPr="005474B2" w:rsidRDefault="007D7CE1">
            <w:pPr>
              <w:keepNext/>
              <w:keepLines/>
              <w:widowControl w:val="0"/>
              <w:tabs>
                <w:tab w:val="left" w:pos="1150"/>
              </w:tabs>
              <w:jc w:val="both"/>
              <w:rPr>
                <w:rFonts w:eastAsia="MS Mincho"/>
                <w:sz w:val="22"/>
                <w:szCs w:val="22"/>
                <w:lang w:val="sr-Latn-ME"/>
              </w:rPr>
            </w:pPr>
            <w:r w:rsidRPr="005474B2">
              <w:rPr>
                <w:rFonts w:eastAsia="MS Mincho"/>
                <w:sz w:val="22"/>
                <w:szCs w:val="22"/>
                <w:lang w:val="sr-Latn-ME"/>
              </w:rPr>
              <w:t>335</w:t>
            </w:r>
          </w:p>
        </w:tc>
        <w:tc>
          <w:tcPr>
            <w:tcW w:w="1276" w:type="dxa"/>
            <w:tcBorders>
              <w:top w:val="single" w:sz="4" w:space="0" w:color="auto"/>
            </w:tcBorders>
          </w:tcPr>
          <w:p w14:paraId="0804B9FD" w14:textId="77777777" w:rsidR="007D7CE1" w:rsidRPr="005474B2" w:rsidRDefault="007D7CE1">
            <w:pPr>
              <w:keepNext/>
              <w:keepLines/>
              <w:widowControl w:val="0"/>
              <w:tabs>
                <w:tab w:val="left" w:pos="1150"/>
              </w:tabs>
              <w:jc w:val="both"/>
              <w:rPr>
                <w:rFonts w:eastAsia="MS Mincho"/>
                <w:sz w:val="22"/>
                <w:szCs w:val="22"/>
                <w:lang w:val="sr-Latn-ME"/>
              </w:rPr>
            </w:pPr>
            <w:r w:rsidRPr="005474B2">
              <w:rPr>
                <w:rFonts w:eastAsia="MS Mincho"/>
                <w:sz w:val="22"/>
                <w:szCs w:val="22"/>
                <w:lang w:val="sr-Latn-ME"/>
              </w:rPr>
              <w:t>334</w:t>
            </w:r>
          </w:p>
        </w:tc>
        <w:tc>
          <w:tcPr>
            <w:tcW w:w="1559" w:type="dxa"/>
            <w:tcBorders>
              <w:top w:val="single" w:sz="4" w:space="0" w:color="auto"/>
            </w:tcBorders>
          </w:tcPr>
          <w:p w14:paraId="385FD888" w14:textId="77777777" w:rsidR="007D7CE1" w:rsidRPr="005474B2" w:rsidRDefault="007D7CE1">
            <w:pPr>
              <w:keepNext/>
              <w:keepLines/>
              <w:widowControl w:val="0"/>
              <w:tabs>
                <w:tab w:val="left" w:pos="1150"/>
              </w:tabs>
              <w:jc w:val="both"/>
              <w:rPr>
                <w:rFonts w:eastAsia="MS Mincho"/>
                <w:sz w:val="22"/>
                <w:szCs w:val="22"/>
                <w:lang w:val="sr-Latn-ME"/>
              </w:rPr>
            </w:pPr>
            <w:r w:rsidRPr="005474B2">
              <w:rPr>
                <w:rFonts w:eastAsia="MS Mincho"/>
                <w:sz w:val="22"/>
                <w:szCs w:val="22"/>
                <w:lang w:val="sr-Latn-ME"/>
              </w:rPr>
              <w:t>335</w:t>
            </w:r>
          </w:p>
        </w:tc>
      </w:tr>
      <w:tr w:rsidR="007D7CE1" w:rsidRPr="0009637B" w14:paraId="08741D4A" w14:textId="77777777" w:rsidTr="00A2781E">
        <w:trPr>
          <w:trHeight w:val="506"/>
        </w:trPr>
        <w:tc>
          <w:tcPr>
            <w:tcW w:w="1538" w:type="dxa"/>
            <w:shd w:val="clear" w:color="auto" w:fill="auto"/>
          </w:tcPr>
          <w:p w14:paraId="1287FAC1"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PASI 75 n (%)</w:t>
            </w:r>
          </w:p>
        </w:tc>
        <w:tc>
          <w:tcPr>
            <w:tcW w:w="1581" w:type="dxa"/>
            <w:shd w:val="clear" w:color="auto" w:fill="auto"/>
          </w:tcPr>
          <w:p w14:paraId="05AB6E72" w14:textId="77777777" w:rsidR="007D7CE1" w:rsidRPr="005474B2" w:rsidRDefault="007D7CE1" w:rsidP="0009637B">
            <w:pPr>
              <w:keepNext/>
              <w:keepLines/>
              <w:widowControl w:val="0"/>
              <w:tabs>
                <w:tab w:val="left" w:pos="284"/>
              </w:tabs>
              <w:spacing w:before="40" w:after="20"/>
              <w:jc w:val="both"/>
              <w:rPr>
                <w:rFonts w:eastAsia="MS Mincho"/>
                <w:sz w:val="22"/>
                <w:szCs w:val="22"/>
                <w:lang w:val="sr-Latn-ME"/>
              </w:rPr>
            </w:pPr>
            <w:r w:rsidRPr="005474B2">
              <w:rPr>
                <w:rFonts w:eastAsia="MS Mincho"/>
                <w:sz w:val="22"/>
                <w:szCs w:val="22"/>
                <w:lang w:val="sr-Latn-ME"/>
              </w:rPr>
              <w:t>166 (49,7%)**</w:t>
            </w:r>
          </w:p>
        </w:tc>
        <w:tc>
          <w:tcPr>
            <w:tcW w:w="1559" w:type="dxa"/>
            <w:shd w:val="clear" w:color="auto" w:fill="auto"/>
          </w:tcPr>
          <w:p w14:paraId="1CB8C4F6"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69 (20,6%)</w:t>
            </w:r>
          </w:p>
        </w:tc>
        <w:tc>
          <w:tcPr>
            <w:tcW w:w="959" w:type="dxa"/>
            <w:shd w:val="clear" w:color="auto" w:fill="auto"/>
          </w:tcPr>
          <w:p w14:paraId="7768D806"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311 (93,1%)</w:t>
            </w:r>
          </w:p>
        </w:tc>
        <w:tc>
          <w:tcPr>
            <w:tcW w:w="1417" w:type="dxa"/>
            <w:shd w:val="clear" w:color="auto" w:fill="auto"/>
          </w:tcPr>
          <w:p w14:paraId="0C344309"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276 (82,4%)</w:t>
            </w:r>
          </w:p>
        </w:tc>
        <w:tc>
          <w:tcPr>
            <w:tcW w:w="1276" w:type="dxa"/>
          </w:tcPr>
          <w:p w14:paraId="4BFC76A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306 (91,6%)</w:t>
            </w:r>
          </w:p>
        </w:tc>
        <w:tc>
          <w:tcPr>
            <w:tcW w:w="1559" w:type="dxa"/>
          </w:tcPr>
          <w:p w14:paraId="2F5FC77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262 (78,2%)</w:t>
            </w:r>
          </w:p>
        </w:tc>
      </w:tr>
      <w:tr w:rsidR="007D7CE1" w:rsidRPr="0009637B" w14:paraId="000BCD77" w14:textId="77777777" w:rsidTr="00A2781E">
        <w:trPr>
          <w:trHeight w:val="506"/>
        </w:trPr>
        <w:tc>
          <w:tcPr>
            <w:tcW w:w="1538" w:type="dxa"/>
            <w:shd w:val="clear" w:color="auto" w:fill="auto"/>
          </w:tcPr>
          <w:p w14:paraId="6994596D"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PASI 90 n (%)</w:t>
            </w:r>
          </w:p>
        </w:tc>
        <w:tc>
          <w:tcPr>
            <w:tcW w:w="1581" w:type="dxa"/>
            <w:shd w:val="clear" w:color="auto" w:fill="auto"/>
          </w:tcPr>
          <w:p w14:paraId="7B37979D"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70 (21,0%)</w:t>
            </w:r>
          </w:p>
        </w:tc>
        <w:tc>
          <w:tcPr>
            <w:tcW w:w="1559" w:type="dxa"/>
            <w:shd w:val="clear" w:color="auto" w:fill="auto"/>
          </w:tcPr>
          <w:p w14:paraId="1EC06D41"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18 (5,4%)</w:t>
            </w:r>
          </w:p>
        </w:tc>
        <w:tc>
          <w:tcPr>
            <w:tcW w:w="959" w:type="dxa"/>
            <w:shd w:val="clear" w:color="auto" w:fill="auto"/>
          </w:tcPr>
          <w:p w14:paraId="572C1CF8" w14:textId="77777777" w:rsidR="007D7CE1" w:rsidRPr="005474B2" w:rsidRDefault="007D7CE1">
            <w:pPr>
              <w:keepNext/>
              <w:keepLines/>
              <w:widowControl w:val="0"/>
              <w:tabs>
                <w:tab w:val="left" w:pos="284"/>
              </w:tabs>
              <w:spacing w:before="40" w:after="20"/>
              <w:jc w:val="both"/>
              <w:rPr>
                <w:rFonts w:eastAsia="MS Mincho"/>
                <w:sz w:val="22"/>
                <w:szCs w:val="22"/>
                <w:lang w:val="sr-Latn-ME"/>
              </w:rPr>
            </w:pPr>
            <w:r w:rsidRPr="005474B2">
              <w:rPr>
                <w:rFonts w:eastAsia="MS Mincho"/>
                <w:sz w:val="22"/>
                <w:szCs w:val="22"/>
                <w:lang w:val="sr-Latn-ME"/>
              </w:rPr>
              <w:t>264 (79,0%)**</w:t>
            </w:r>
          </w:p>
        </w:tc>
        <w:tc>
          <w:tcPr>
            <w:tcW w:w="1417" w:type="dxa"/>
            <w:shd w:val="clear" w:color="auto" w:fill="auto"/>
          </w:tcPr>
          <w:p w14:paraId="5260457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192 (57,3%)</w:t>
            </w:r>
          </w:p>
        </w:tc>
        <w:tc>
          <w:tcPr>
            <w:tcW w:w="1276" w:type="dxa"/>
          </w:tcPr>
          <w:p w14:paraId="5254B061"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250 (74,9%)***</w:t>
            </w:r>
          </w:p>
        </w:tc>
        <w:tc>
          <w:tcPr>
            <w:tcW w:w="1559" w:type="dxa"/>
          </w:tcPr>
          <w:p w14:paraId="15FF5926"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203 (60,6%)</w:t>
            </w:r>
          </w:p>
        </w:tc>
      </w:tr>
      <w:tr w:rsidR="007D7CE1" w:rsidRPr="0009637B" w14:paraId="2B3908EC" w14:textId="77777777" w:rsidTr="00A2781E">
        <w:trPr>
          <w:trHeight w:val="216"/>
        </w:trPr>
        <w:tc>
          <w:tcPr>
            <w:tcW w:w="1538" w:type="dxa"/>
            <w:shd w:val="clear" w:color="auto" w:fill="auto"/>
          </w:tcPr>
          <w:p w14:paraId="5FD60CB8"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PASI 100 n (%)</w:t>
            </w:r>
          </w:p>
        </w:tc>
        <w:tc>
          <w:tcPr>
            <w:tcW w:w="1581" w:type="dxa"/>
            <w:shd w:val="clear" w:color="auto" w:fill="auto"/>
          </w:tcPr>
          <w:p w14:paraId="31B2DB6B"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14 (4,2%)</w:t>
            </w:r>
          </w:p>
        </w:tc>
        <w:tc>
          <w:tcPr>
            <w:tcW w:w="1559" w:type="dxa"/>
            <w:shd w:val="clear" w:color="auto" w:fill="auto"/>
          </w:tcPr>
          <w:p w14:paraId="3598608D"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3 (0,9%)</w:t>
            </w:r>
          </w:p>
        </w:tc>
        <w:tc>
          <w:tcPr>
            <w:tcW w:w="959" w:type="dxa"/>
            <w:shd w:val="clear" w:color="auto" w:fill="auto"/>
          </w:tcPr>
          <w:p w14:paraId="31BCE26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148 (44,3%)</w:t>
            </w:r>
          </w:p>
        </w:tc>
        <w:tc>
          <w:tcPr>
            <w:tcW w:w="1417" w:type="dxa"/>
            <w:shd w:val="clear" w:color="auto" w:fill="auto"/>
          </w:tcPr>
          <w:p w14:paraId="364679D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95 (28,4%)</w:t>
            </w:r>
          </w:p>
        </w:tc>
        <w:tc>
          <w:tcPr>
            <w:tcW w:w="1276" w:type="dxa"/>
          </w:tcPr>
          <w:p w14:paraId="48BBE5B9"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150 (44,9%)</w:t>
            </w:r>
          </w:p>
        </w:tc>
        <w:tc>
          <w:tcPr>
            <w:tcW w:w="1559" w:type="dxa"/>
          </w:tcPr>
          <w:p w14:paraId="6B68B6C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123 (36,7%)</w:t>
            </w:r>
          </w:p>
        </w:tc>
      </w:tr>
      <w:tr w:rsidR="007D7CE1" w:rsidRPr="0009637B" w14:paraId="6B27859B" w14:textId="77777777" w:rsidTr="00A2781E">
        <w:trPr>
          <w:trHeight w:val="680"/>
        </w:trPr>
        <w:tc>
          <w:tcPr>
            <w:tcW w:w="1538" w:type="dxa"/>
            <w:shd w:val="clear" w:color="auto" w:fill="auto"/>
          </w:tcPr>
          <w:p w14:paraId="46181FB9"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Odgovor IGA mod 2011 „čista“ ili „skoro čista“ n (%)</w:t>
            </w:r>
          </w:p>
        </w:tc>
        <w:tc>
          <w:tcPr>
            <w:tcW w:w="1581" w:type="dxa"/>
            <w:shd w:val="clear" w:color="auto" w:fill="auto"/>
          </w:tcPr>
          <w:p w14:paraId="2685DBD1"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128 (38,3%)</w:t>
            </w:r>
          </w:p>
        </w:tc>
        <w:tc>
          <w:tcPr>
            <w:tcW w:w="1559" w:type="dxa"/>
            <w:shd w:val="clear" w:color="auto" w:fill="auto"/>
          </w:tcPr>
          <w:p w14:paraId="784EB212"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41 (12,2%)</w:t>
            </w:r>
          </w:p>
        </w:tc>
        <w:tc>
          <w:tcPr>
            <w:tcW w:w="959" w:type="dxa"/>
            <w:shd w:val="clear" w:color="auto" w:fill="auto"/>
          </w:tcPr>
          <w:p w14:paraId="7E1251E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278 (83,2%)</w:t>
            </w:r>
          </w:p>
        </w:tc>
        <w:tc>
          <w:tcPr>
            <w:tcW w:w="1417" w:type="dxa"/>
            <w:shd w:val="clear" w:color="auto" w:fill="auto"/>
          </w:tcPr>
          <w:p w14:paraId="1FDBE99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226 (67,5%)</w:t>
            </w:r>
          </w:p>
        </w:tc>
        <w:tc>
          <w:tcPr>
            <w:tcW w:w="1276" w:type="dxa"/>
          </w:tcPr>
          <w:p w14:paraId="529D69B9"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261 (78,1%)</w:t>
            </w:r>
          </w:p>
        </w:tc>
        <w:tc>
          <w:tcPr>
            <w:tcW w:w="1559" w:type="dxa"/>
          </w:tcPr>
          <w:p w14:paraId="7BEDC18F"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213 (63,6%)</w:t>
            </w:r>
          </w:p>
        </w:tc>
      </w:tr>
    </w:tbl>
    <w:p w14:paraId="663D727C" w14:textId="0C3F5515" w:rsidR="007D7CE1" w:rsidRPr="005474B2" w:rsidRDefault="007D7CE1" w:rsidP="0009637B">
      <w:pPr>
        <w:widowControl w:val="0"/>
        <w:jc w:val="both"/>
        <w:rPr>
          <w:rFonts w:eastAsia="MS Mincho"/>
          <w:sz w:val="22"/>
          <w:szCs w:val="22"/>
          <w:lang w:val="sr-Latn-ME"/>
        </w:rPr>
      </w:pPr>
      <w:r w:rsidRPr="005474B2">
        <w:rPr>
          <w:rFonts w:eastAsia="MS Mincho"/>
          <w:sz w:val="22"/>
          <w:szCs w:val="22"/>
          <w:lang w:val="sr-Latn-ME"/>
        </w:rPr>
        <w:t>* pacijenti na terap</w:t>
      </w:r>
      <w:r w:rsidR="000E4039" w:rsidRPr="005474B2">
        <w:rPr>
          <w:rFonts w:eastAsia="MS Mincho"/>
          <w:sz w:val="22"/>
          <w:szCs w:val="22"/>
          <w:lang w:val="sr-Latn-ME"/>
        </w:rPr>
        <w:t>i</w:t>
      </w:r>
      <w:r w:rsidRPr="005474B2">
        <w:rPr>
          <w:rFonts w:eastAsia="MS Mincho"/>
          <w:sz w:val="22"/>
          <w:szCs w:val="22"/>
          <w:lang w:val="sr-Latn-ME"/>
        </w:rPr>
        <w:t>ji sekukinumabom primili su doze od 300 mg u 0., 1., 2., 3. i 4. </w:t>
      </w:r>
      <w:r w:rsidR="009A4880" w:rsidRPr="005474B2">
        <w:rPr>
          <w:rFonts w:eastAsia="MS Mincho"/>
          <w:sz w:val="22"/>
          <w:szCs w:val="22"/>
          <w:lang w:val="sr-Latn-ME"/>
        </w:rPr>
        <w:t>nedjelj</w:t>
      </w:r>
      <w:r w:rsidRPr="005474B2">
        <w:rPr>
          <w:rFonts w:eastAsia="MS Mincho"/>
          <w:sz w:val="22"/>
          <w:szCs w:val="22"/>
          <w:lang w:val="sr-Latn-ME"/>
        </w:rPr>
        <w:t xml:space="preserve">i, nakon čega su primili iste doze na svake 4 </w:t>
      </w:r>
      <w:r w:rsidR="009A4880" w:rsidRPr="005474B2">
        <w:rPr>
          <w:rFonts w:eastAsia="MS Mincho"/>
          <w:sz w:val="22"/>
          <w:szCs w:val="22"/>
          <w:lang w:val="sr-Latn-ME"/>
        </w:rPr>
        <w:t>nedjelj</w:t>
      </w:r>
      <w:r w:rsidRPr="005474B2">
        <w:rPr>
          <w:rFonts w:eastAsia="MS Mincho"/>
          <w:sz w:val="22"/>
          <w:szCs w:val="22"/>
          <w:lang w:val="sr-Latn-ME"/>
        </w:rPr>
        <w:t xml:space="preserve">e do 52. </w:t>
      </w:r>
      <w:r w:rsidR="009A4880" w:rsidRPr="005474B2">
        <w:rPr>
          <w:rFonts w:eastAsia="MS Mincho"/>
          <w:sz w:val="22"/>
          <w:szCs w:val="22"/>
          <w:lang w:val="sr-Latn-ME"/>
        </w:rPr>
        <w:t>nedjelj</w:t>
      </w:r>
      <w:r w:rsidRPr="005474B2">
        <w:rPr>
          <w:rFonts w:eastAsia="MS Mincho"/>
          <w:sz w:val="22"/>
          <w:szCs w:val="22"/>
          <w:lang w:val="sr-Latn-ME"/>
        </w:rPr>
        <w:t>e. Pacijenti na terap</w:t>
      </w:r>
      <w:r w:rsidR="000E4039" w:rsidRPr="005474B2">
        <w:rPr>
          <w:rFonts w:eastAsia="MS Mincho"/>
          <w:sz w:val="22"/>
          <w:szCs w:val="22"/>
          <w:lang w:val="sr-Latn-ME"/>
        </w:rPr>
        <w:t>i</w:t>
      </w:r>
      <w:r w:rsidRPr="005474B2">
        <w:rPr>
          <w:rFonts w:eastAsia="MS Mincho"/>
          <w:sz w:val="22"/>
          <w:szCs w:val="22"/>
          <w:lang w:val="sr-Latn-ME"/>
        </w:rPr>
        <w:t>ji ustekinumabom primili su 45 mg ili 90 mg u 0. i 4. </w:t>
      </w:r>
      <w:r w:rsidR="009A4880" w:rsidRPr="005474B2">
        <w:rPr>
          <w:rFonts w:eastAsia="MS Mincho"/>
          <w:sz w:val="22"/>
          <w:szCs w:val="22"/>
          <w:lang w:val="sr-Latn-ME"/>
        </w:rPr>
        <w:t>nedjelj</w:t>
      </w:r>
      <w:r w:rsidRPr="005474B2">
        <w:rPr>
          <w:rFonts w:eastAsia="MS Mincho"/>
          <w:sz w:val="22"/>
          <w:szCs w:val="22"/>
          <w:lang w:val="sr-Latn-ME"/>
        </w:rPr>
        <w:t xml:space="preserve">i, zatim na svakih 12 </w:t>
      </w:r>
      <w:r w:rsidR="009A4880" w:rsidRPr="005474B2">
        <w:rPr>
          <w:rFonts w:eastAsia="MS Mincho"/>
          <w:sz w:val="22"/>
          <w:szCs w:val="22"/>
          <w:lang w:val="sr-Latn-ME"/>
        </w:rPr>
        <w:t>nedjelj</w:t>
      </w:r>
      <w:r w:rsidRPr="005474B2">
        <w:rPr>
          <w:rFonts w:eastAsia="MS Mincho"/>
          <w:sz w:val="22"/>
          <w:szCs w:val="22"/>
          <w:lang w:val="sr-Latn-ME"/>
        </w:rPr>
        <w:t xml:space="preserve">a do 52. </w:t>
      </w:r>
      <w:r w:rsidR="009A4880" w:rsidRPr="005474B2">
        <w:rPr>
          <w:rFonts w:eastAsia="MS Mincho"/>
          <w:sz w:val="22"/>
          <w:szCs w:val="22"/>
          <w:lang w:val="sr-Latn-ME"/>
        </w:rPr>
        <w:t>nedjelj</w:t>
      </w:r>
      <w:r w:rsidRPr="005474B2">
        <w:rPr>
          <w:rFonts w:eastAsia="MS Mincho"/>
          <w:sz w:val="22"/>
          <w:szCs w:val="22"/>
          <w:lang w:val="sr-Latn-ME"/>
        </w:rPr>
        <w:t>e (doziranje po t</w:t>
      </w:r>
      <w:r w:rsidR="000E4039" w:rsidRPr="005474B2">
        <w:rPr>
          <w:rFonts w:eastAsia="MS Mincho"/>
          <w:sz w:val="22"/>
          <w:szCs w:val="22"/>
          <w:lang w:val="sr-Latn-ME"/>
        </w:rPr>
        <w:t>j</w:t>
      </w:r>
      <w:r w:rsidRPr="005474B2">
        <w:rPr>
          <w:rFonts w:eastAsia="MS Mincho"/>
          <w:sz w:val="22"/>
          <w:szCs w:val="22"/>
          <w:lang w:val="sr-Latn-ME"/>
        </w:rPr>
        <w:t>elesnoj masi prema odobrenom doziranju)</w:t>
      </w:r>
    </w:p>
    <w:p w14:paraId="5E5DDD88" w14:textId="77777777" w:rsidR="007D7CE1" w:rsidRPr="005474B2" w:rsidRDefault="007D7CE1" w:rsidP="0009637B">
      <w:pPr>
        <w:widowControl w:val="0"/>
        <w:jc w:val="both"/>
        <w:rPr>
          <w:rFonts w:eastAsia="MS Mincho"/>
          <w:sz w:val="22"/>
          <w:szCs w:val="22"/>
          <w:lang w:val="sr-Latn-ME"/>
        </w:rPr>
      </w:pPr>
      <w:r w:rsidRPr="005474B2">
        <w:rPr>
          <w:rFonts w:eastAsia="MS Mincho"/>
          <w:sz w:val="22"/>
          <w:szCs w:val="22"/>
          <w:lang w:val="sr-Latn-ME"/>
        </w:rPr>
        <w:t>** p vr</w:t>
      </w:r>
      <w:r w:rsidR="00A233FB" w:rsidRPr="005474B2">
        <w:rPr>
          <w:rFonts w:eastAsia="MS Mincho"/>
          <w:sz w:val="22"/>
          <w:szCs w:val="22"/>
          <w:lang w:val="sr-Latn-ME"/>
        </w:rPr>
        <w:t>ij</w:t>
      </w:r>
      <w:r w:rsidRPr="005474B2">
        <w:rPr>
          <w:rFonts w:eastAsia="MS Mincho"/>
          <w:sz w:val="22"/>
          <w:szCs w:val="22"/>
          <w:lang w:val="sr-Latn-ME"/>
        </w:rPr>
        <w:t xml:space="preserve">ednosti u odnosu na ustekinumab: p&lt;0,0001 za primarni parametar praćenja PASI 90 u 16. </w:t>
      </w:r>
      <w:r w:rsidR="009A4880" w:rsidRPr="005474B2">
        <w:rPr>
          <w:rFonts w:eastAsia="MS Mincho"/>
          <w:sz w:val="22"/>
          <w:szCs w:val="22"/>
          <w:lang w:val="sr-Latn-ME"/>
        </w:rPr>
        <w:t>nedjelj</w:t>
      </w:r>
      <w:r w:rsidRPr="005474B2">
        <w:rPr>
          <w:rFonts w:eastAsia="MS Mincho"/>
          <w:sz w:val="22"/>
          <w:szCs w:val="22"/>
          <w:lang w:val="sr-Latn-ME"/>
        </w:rPr>
        <w:t xml:space="preserve">i i sekundarni parametar praćenja PASI 75 u 4. </w:t>
      </w:r>
      <w:r w:rsidR="009A4880" w:rsidRPr="005474B2">
        <w:rPr>
          <w:rFonts w:eastAsia="MS Mincho"/>
          <w:sz w:val="22"/>
          <w:szCs w:val="22"/>
          <w:lang w:val="sr-Latn-ME"/>
        </w:rPr>
        <w:t>nedjelj</w:t>
      </w:r>
      <w:r w:rsidRPr="005474B2">
        <w:rPr>
          <w:rFonts w:eastAsia="MS Mincho"/>
          <w:sz w:val="22"/>
          <w:szCs w:val="22"/>
          <w:lang w:val="sr-Latn-ME"/>
        </w:rPr>
        <w:t>i</w:t>
      </w:r>
    </w:p>
    <w:p w14:paraId="5208861E" w14:textId="77777777" w:rsidR="007D7CE1" w:rsidRPr="005474B2" w:rsidRDefault="007D7CE1">
      <w:pPr>
        <w:widowControl w:val="0"/>
        <w:jc w:val="both"/>
        <w:rPr>
          <w:rFonts w:eastAsia="MS Mincho"/>
          <w:sz w:val="22"/>
          <w:szCs w:val="22"/>
          <w:lang w:val="sr-Latn-ME"/>
        </w:rPr>
      </w:pPr>
      <w:r w:rsidRPr="005474B2">
        <w:rPr>
          <w:rFonts w:eastAsia="MS Mincho"/>
          <w:sz w:val="22"/>
          <w:szCs w:val="22"/>
          <w:lang w:val="sr-Latn-ME"/>
        </w:rPr>
        <w:t>*** p vr</w:t>
      </w:r>
      <w:r w:rsidR="00A233FB" w:rsidRPr="005474B2">
        <w:rPr>
          <w:rFonts w:eastAsia="MS Mincho"/>
          <w:sz w:val="22"/>
          <w:szCs w:val="22"/>
          <w:lang w:val="sr-Latn-ME"/>
        </w:rPr>
        <w:t>ij</w:t>
      </w:r>
      <w:r w:rsidRPr="005474B2">
        <w:rPr>
          <w:rFonts w:eastAsia="MS Mincho"/>
          <w:sz w:val="22"/>
          <w:szCs w:val="22"/>
          <w:lang w:val="sr-Latn-ME"/>
        </w:rPr>
        <w:t xml:space="preserve">ednosti u odnosu na ustekinumab: p=0,0001 za sekundarni parametar praćenja PASI 90 u 52. </w:t>
      </w:r>
      <w:r w:rsidR="009A4880" w:rsidRPr="005474B2">
        <w:rPr>
          <w:rFonts w:eastAsia="MS Mincho"/>
          <w:sz w:val="22"/>
          <w:szCs w:val="22"/>
          <w:lang w:val="sr-Latn-ME"/>
        </w:rPr>
        <w:t>nedjelj</w:t>
      </w:r>
      <w:r w:rsidRPr="005474B2">
        <w:rPr>
          <w:rFonts w:eastAsia="MS Mincho"/>
          <w:sz w:val="22"/>
          <w:szCs w:val="22"/>
          <w:lang w:val="sr-Latn-ME"/>
        </w:rPr>
        <w:t>i</w:t>
      </w:r>
    </w:p>
    <w:p w14:paraId="2C0E1354" w14:textId="77777777" w:rsidR="007D7CE1" w:rsidRPr="005474B2" w:rsidRDefault="007D7CE1">
      <w:pPr>
        <w:widowControl w:val="0"/>
        <w:jc w:val="both"/>
        <w:rPr>
          <w:rFonts w:eastAsia="MS Mincho"/>
          <w:sz w:val="22"/>
          <w:szCs w:val="22"/>
          <w:lang w:val="sr-Latn-ME"/>
        </w:rPr>
      </w:pPr>
    </w:p>
    <w:p w14:paraId="33083C9B" w14:textId="7EBBA662" w:rsidR="007D7CE1" w:rsidRPr="005474B2" w:rsidRDefault="007D7CE1">
      <w:pPr>
        <w:jc w:val="both"/>
        <w:rPr>
          <w:sz w:val="22"/>
          <w:szCs w:val="22"/>
          <w:lang w:val="sr-Latn-ME"/>
        </w:rPr>
      </w:pPr>
      <w:r w:rsidRPr="005474B2">
        <w:rPr>
          <w:iCs/>
          <w:sz w:val="22"/>
          <w:szCs w:val="22"/>
          <w:lang w:val="sr-Latn-ME"/>
        </w:rPr>
        <w:t xml:space="preserve">Sekukinumab </w:t>
      </w:r>
      <w:r w:rsidRPr="005474B2">
        <w:rPr>
          <w:sz w:val="22"/>
          <w:szCs w:val="22"/>
          <w:lang w:val="sr-Latn-ME"/>
        </w:rPr>
        <w:t>je bio efikasan kod pacijenata koji prethodno ni</w:t>
      </w:r>
      <w:r w:rsidR="00746619" w:rsidRPr="005474B2">
        <w:rPr>
          <w:sz w:val="22"/>
          <w:szCs w:val="22"/>
          <w:lang w:val="sr-Latn-ME"/>
        </w:rPr>
        <w:t>je</w:t>
      </w:r>
      <w:r w:rsidRPr="005474B2">
        <w:rPr>
          <w:sz w:val="22"/>
          <w:szCs w:val="22"/>
          <w:lang w:val="sr-Latn-ME"/>
        </w:rPr>
        <w:t>su primali sistemsku terapiju, koji ni</w:t>
      </w:r>
      <w:r w:rsidR="00746619" w:rsidRPr="005474B2">
        <w:rPr>
          <w:sz w:val="22"/>
          <w:szCs w:val="22"/>
          <w:lang w:val="sr-Latn-ME"/>
        </w:rPr>
        <w:t>je</w:t>
      </w:r>
      <w:r w:rsidRPr="005474B2">
        <w:rPr>
          <w:sz w:val="22"/>
          <w:szCs w:val="22"/>
          <w:lang w:val="sr-Latn-ME"/>
        </w:rPr>
        <w:t>su primali biološku terapiju, kao i kod pacijenata koji su bili izloženi biološkoj/anti-TNF terapiji i kod kojih je biološka/anti-TNF terapija bila neusp</w:t>
      </w:r>
      <w:r w:rsidR="000E4039" w:rsidRPr="005474B2">
        <w:rPr>
          <w:sz w:val="22"/>
          <w:szCs w:val="22"/>
          <w:lang w:val="sr-Latn-ME"/>
        </w:rPr>
        <w:t>j</w:t>
      </w:r>
      <w:r w:rsidRPr="005474B2">
        <w:rPr>
          <w:sz w:val="22"/>
          <w:szCs w:val="22"/>
          <w:lang w:val="sr-Latn-ME"/>
        </w:rPr>
        <w:t>ešna. Poboljšanja PASI 75 odgovora kod pacijen</w:t>
      </w:r>
      <w:r w:rsidR="000E4039" w:rsidRPr="005474B2">
        <w:rPr>
          <w:sz w:val="22"/>
          <w:szCs w:val="22"/>
          <w:lang w:val="sr-Latn-ME"/>
        </w:rPr>
        <w:t>a</w:t>
      </w:r>
      <w:r w:rsidRPr="005474B2">
        <w:rPr>
          <w:sz w:val="22"/>
          <w:szCs w:val="22"/>
          <w:lang w:val="sr-Latn-ME"/>
        </w:rPr>
        <w:t>ta sa istovremenim psorijaznim artritisom na početku su bila slična onima u ukupnoj populaciji sa plak psorijazom.</w:t>
      </w:r>
    </w:p>
    <w:p w14:paraId="5E09DDE6" w14:textId="77777777" w:rsidR="007D7CE1" w:rsidRPr="005474B2" w:rsidRDefault="007D7CE1">
      <w:pPr>
        <w:jc w:val="both"/>
        <w:rPr>
          <w:sz w:val="22"/>
          <w:szCs w:val="22"/>
          <w:lang w:val="sr-Latn-ME"/>
        </w:rPr>
      </w:pPr>
    </w:p>
    <w:p w14:paraId="3B92A75B" w14:textId="77777777" w:rsidR="007D7CE1" w:rsidRPr="005474B2" w:rsidRDefault="007D7CE1">
      <w:pPr>
        <w:jc w:val="both"/>
        <w:rPr>
          <w:sz w:val="22"/>
          <w:szCs w:val="22"/>
          <w:lang w:val="sr-Latn-ME"/>
        </w:rPr>
      </w:pPr>
      <w:r w:rsidRPr="005474B2">
        <w:rPr>
          <w:sz w:val="22"/>
          <w:szCs w:val="22"/>
          <w:lang w:val="sr-Latn-ME"/>
        </w:rPr>
        <w:t xml:space="preserve">Sekukinumab je bio povezan sa brzim nastupanjem dejstva uz sniženje od 50% srednje </w:t>
      </w:r>
      <w:r w:rsidR="00A233FB" w:rsidRPr="005474B2">
        <w:rPr>
          <w:sz w:val="22"/>
          <w:szCs w:val="22"/>
          <w:lang w:val="sr-Latn-ME"/>
        </w:rPr>
        <w:t>vrijednosti</w:t>
      </w:r>
      <w:r w:rsidRPr="005474B2">
        <w:rPr>
          <w:sz w:val="22"/>
          <w:szCs w:val="22"/>
          <w:lang w:val="sr-Latn-ME"/>
        </w:rPr>
        <w:t xml:space="preserve"> PASI odgovora do 3. </w:t>
      </w:r>
      <w:r w:rsidR="009A4880" w:rsidRPr="005474B2">
        <w:rPr>
          <w:sz w:val="22"/>
          <w:szCs w:val="22"/>
          <w:lang w:val="sr-Latn-ME"/>
        </w:rPr>
        <w:t>nedjelj</w:t>
      </w:r>
      <w:r w:rsidRPr="005474B2">
        <w:rPr>
          <w:sz w:val="22"/>
          <w:szCs w:val="22"/>
          <w:lang w:val="sr-Latn-ME"/>
        </w:rPr>
        <w:t>e za dozu od 300 mg.</w:t>
      </w:r>
    </w:p>
    <w:p w14:paraId="042B2FFE" w14:textId="77777777" w:rsidR="007D7CE1" w:rsidRPr="005474B2" w:rsidRDefault="007D7CE1">
      <w:pPr>
        <w:jc w:val="both"/>
        <w:rPr>
          <w:sz w:val="22"/>
          <w:szCs w:val="22"/>
          <w:lang w:val="sr-Latn-ME"/>
        </w:rPr>
      </w:pPr>
    </w:p>
    <w:p w14:paraId="07DCE643" w14:textId="77777777" w:rsidR="007D7CE1" w:rsidRPr="005474B2" w:rsidRDefault="007D7CE1">
      <w:pPr>
        <w:keepNext/>
        <w:widowControl w:val="0"/>
        <w:ind w:left="1134" w:hanging="1134"/>
        <w:jc w:val="both"/>
        <w:outlineLvl w:val="6"/>
        <w:rPr>
          <w:b/>
          <w:sz w:val="22"/>
          <w:szCs w:val="22"/>
          <w:lang w:val="sr-Latn-ME"/>
        </w:rPr>
      </w:pPr>
      <w:r w:rsidRPr="005474B2">
        <w:rPr>
          <w:b/>
          <w:sz w:val="22"/>
          <w:szCs w:val="22"/>
          <w:lang w:val="sr-Latn-ME"/>
        </w:rPr>
        <w:t>Slika 1</w:t>
      </w:r>
      <w:r w:rsidRPr="005474B2">
        <w:rPr>
          <w:b/>
          <w:sz w:val="22"/>
          <w:szCs w:val="22"/>
          <w:lang w:val="sr-Latn-ME"/>
        </w:rPr>
        <w:tab/>
        <w:t>Vremenski tok procentualne prom</w:t>
      </w:r>
      <w:r w:rsidR="00A233FB" w:rsidRPr="005474B2">
        <w:rPr>
          <w:b/>
          <w:sz w:val="22"/>
          <w:szCs w:val="22"/>
          <w:lang w:val="sr-Latn-ME"/>
        </w:rPr>
        <w:t>j</w:t>
      </w:r>
      <w:r w:rsidRPr="005474B2">
        <w:rPr>
          <w:b/>
          <w:sz w:val="22"/>
          <w:szCs w:val="22"/>
          <w:lang w:val="sr-Latn-ME"/>
        </w:rPr>
        <w:t xml:space="preserve">ene srednje </w:t>
      </w:r>
      <w:r w:rsidR="00A233FB" w:rsidRPr="005474B2">
        <w:rPr>
          <w:b/>
          <w:sz w:val="22"/>
          <w:szCs w:val="22"/>
          <w:lang w:val="sr-Latn-ME"/>
        </w:rPr>
        <w:t>vrijednosti</w:t>
      </w:r>
      <w:r w:rsidRPr="005474B2">
        <w:rPr>
          <w:b/>
          <w:sz w:val="22"/>
          <w:szCs w:val="22"/>
          <w:lang w:val="sr-Latn-ME"/>
        </w:rPr>
        <w:t xml:space="preserve"> PASI u odnosu na početnu </w:t>
      </w:r>
      <w:r w:rsidR="00C41FCA" w:rsidRPr="005474B2">
        <w:rPr>
          <w:b/>
          <w:sz w:val="22"/>
          <w:szCs w:val="22"/>
          <w:lang w:val="sr-Latn-ME"/>
        </w:rPr>
        <w:t>vrijednost</w:t>
      </w:r>
      <w:r w:rsidRPr="005474B2">
        <w:rPr>
          <w:b/>
          <w:sz w:val="22"/>
          <w:szCs w:val="22"/>
          <w:lang w:val="sr-Latn-ME"/>
        </w:rPr>
        <w:t xml:space="preserve"> u Studiji 1 (ERASURE)</w:t>
      </w:r>
    </w:p>
    <w:p w14:paraId="407A5AA7" w14:textId="77777777" w:rsidR="007D7CE1" w:rsidRPr="005474B2" w:rsidRDefault="007D7CE1">
      <w:pPr>
        <w:tabs>
          <w:tab w:val="left" w:pos="540"/>
          <w:tab w:val="left" w:pos="569"/>
        </w:tabs>
        <w:jc w:val="both"/>
        <w:rPr>
          <w:b/>
          <w:sz w:val="22"/>
          <w:szCs w:val="22"/>
          <w:lang w:val="sr-Latn-ME"/>
        </w:rPr>
      </w:pPr>
    </w:p>
    <w:p w14:paraId="30F488FE" w14:textId="1F4D5F3D" w:rsidR="007D7CE1" w:rsidRPr="005474B2" w:rsidRDefault="00A77E2A">
      <w:pPr>
        <w:widowControl w:val="0"/>
        <w:tabs>
          <w:tab w:val="left" w:pos="284"/>
        </w:tabs>
        <w:adjustRightInd w:val="0"/>
        <w:jc w:val="both"/>
        <w:rPr>
          <w:rFonts w:eastAsia="MS Mincho"/>
          <w:sz w:val="22"/>
          <w:szCs w:val="22"/>
          <w:lang w:val="sr-Latn-ME"/>
        </w:rPr>
      </w:pPr>
      <w:r w:rsidRPr="005474B2">
        <w:rPr>
          <w:rFonts w:eastAsia="MS Mincho"/>
          <w:noProof/>
          <w:sz w:val="22"/>
          <w:szCs w:val="22"/>
        </w:rPr>
        <mc:AlternateContent>
          <mc:Choice Requires="wps">
            <w:drawing>
              <wp:anchor distT="0" distB="0" distL="114300" distR="114300" simplePos="0" relativeHeight="251666432" behindDoc="0" locked="0" layoutInCell="1" allowOverlap="1" wp14:anchorId="6E3863AC" wp14:editId="0F94CAD3">
                <wp:simplePos x="0" y="0"/>
                <wp:positionH relativeFrom="margin">
                  <wp:align>left</wp:align>
                </wp:positionH>
                <wp:positionV relativeFrom="paragraph">
                  <wp:posOffset>957532</wp:posOffset>
                </wp:positionV>
                <wp:extent cx="1866138" cy="448694"/>
                <wp:effectExtent l="3810" t="0" r="24130" b="24130"/>
                <wp:wrapNone/>
                <wp:docPr id="5" name="Text Box 5"/>
                <wp:cNvGraphicFramePr/>
                <a:graphic xmlns:a="http://schemas.openxmlformats.org/drawingml/2006/main">
                  <a:graphicData uri="http://schemas.microsoft.com/office/word/2010/wordprocessingShape">
                    <wps:wsp>
                      <wps:cNvSpPr txBox="1"/>
                      <wps:spPr>
                        <a:xfrm rot="16200000">
                          <a:off x="0" y="0"/>
                          <a:ext cx="1866138" cy="448694"/>
                        </a:xfrm>
                        <a:prstGeom prst="rect">
                          <a:avLst/>
                        </a:prstGeom>
                        <a:solidFill>
                          <a:sysClr val="window" lastClr="FFFFFF"/>
                        </a:solidFill>
                        <a:ln w="6350">
                          <a:solidFill>
                            <a:sysClr val="window" lastClr="FFFFFF"/>
                          </a:solidFill>
                        </a:ln>
                      </wps:spPr>
                      <wps:txbx>
                        <w:txbxContent>
                          <w:p w14:paraId="2E4A6055" w14:textId="77777777" w:rsidR="003D0030" w:rsidRPr="00140BE2" w:rsidRDefault="003D0030" w:rsidP="00A77E2A">
                            <w:pPr>
                              <w:rPr>
                                <w:sz w:val="20"/>
                                <w:szCs w:val="20"/>
                                <w:lang w:val="sr-Latn-RS"/>
                              </w:rPr>
                            </w:pPr>
                            <w:r w:rsidRPr="00140BE2">
                              <w:rPr>
                                <w:sz w:val="20"/>
                                <w:szCs w:val="20"/>
                                <w:lang w:val="sr-Latn-RS"/>
                              </w:rPr>
                              <w:t>PASI % promjena u odnosu na početnu vrijednost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3863AC" id="_x0000_t202" coordsize="21600,21600" o:spt="202" path="m,l,21600r21600,l21600,xe">
                <v:stroke joinstyle="miter"/>
                <v:path gradientshapeok="t" o:connecttype="rect"/>
              </v:shapetype>
              <v:shape id="Text Box 5" o:spid="_x0000_s1026" type="#_x0000_t202" style="position:absolute;left:0;text-align:left;margin-left:0;margin-top:75.4pt;width:146.95pt;height:35.35pt;rotation:-9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" fillcolor="window" strokecolor="window" strokeweight=".5pt">
                <v:textbox>
                  <w:txbxContent>
                    <w:p w14:paraId="2E4A6055" w14:textId="77777777" w:rsidR="003D0030" w:rsidRPr="00140BE2" w:rsidRDefault="003D0030" w:rsidP="00A77E2A">
                      <w:pPr>
                        <w:rPr>
                          <w:sz w:val="20"/>
                          <w:szCs w:val="20"/>
                          <w:lang w:val="sr-Latn-RS"/>
                        </w:rPr>
                      </w:pPr>
                      <w:r w:rsidRPr="00140BE2">
                        <w:rPr>
                          <w:sz w:val="20"/>
                          <w:szCs w:val="20"/>
                          <w:lang w:val="sr-Latn-RS"/>
                        </w:rPr>
                        <w:t>PASI % promjena u odnosu na početnu vrijednost</w:t>
                      </w:r>
                    </w:p>
                  </w:txbxContent>
                </v:textbox>
                <w10:wrap anchorx="margin"/>
              </v:shape>
            </w:pict>
          </mc:Fallback>
        </mc:AlternateContent>
      </w:r>
      <w:r w:rsidR="007D7CE1" w:rsidRPr="005474B2">
        <w:rPr>
          <w:rFonts w:eastAsia="MS Mincho"/>
          <w:noProof/>
          <w:sz w:val="22"/>
          <w:szCs w:val="22"/>
          <w:lang w:val="sr-Latn-ME"/>
        </w:rPr>
        <w:t xml:space="preserve">                  </w:t>
      </w:r>
      <w:r w:rsidR="007D7CE1" w:rsidRPr="005474B2">
        <w:rPr>
          <w:rFonts w:eastAsia="MS Mincho"/>
          <w:noProof/>
          <w:sz w:val="22"/>
          <w:szCs w:val="22"/>
        </w:rPr>
        <w:drawing>
          <wp:inline distT="0" distB="0" distL="0" distR="0" wp14:anchorId="5874FEE2" wp14:editId="1B6311A6">
            <wp:extent cx="4387850" cy="2258695"/>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l="6087" b="16170"/>
                    <a:stretch>
                      <a:fillRect/>
                    </a:stretch>
                  </pic:blipFill>
                  <pic:spPr bwMode="auto">
                    <a:xfrm>
                      <a:off x="0" y="0"/>
                      <a:ext cx="4387850" cy="2258695"/>
                    </a:xfrm>
                    <a:prstGeom prst="rect">
                      <a:avLst/>
                    </a:prstGeom>
                    <a:noFill/>
                    <a:ln w="9525">
                      <a:noFill/>
                      <a:miter lim="800000"/>
                      <a:headEnd/>
                      <a:tailEnd/>
                    </a:ln>
                  </pic:spPr>
                </pic:pic>
              </a:graphicData>
            </a:graphic>
          </wp:inline>
        </w:drawing>
      </w:r>
    </w:p>
    <w:p w14:paraId="30384753" w14:textId="77777777" w:rsidR="007D7CE1" w:rsidRPr="005474B2" w:rsidRDefault="007D7CE1">
      <w:pPr>
        <w:jc w:val="both"/>
        <w:rPr>
          <w:sz w:val="22"/>
          <w:szCs w:val="22"/>
          <w:lang w:val="sr-Latn-ME"/>
        </w:rPr>
      </w:pPr>
    </w:p>
    <w:p w14:paraId="7A1506D4" w14:textId="77777777" w:rsidR="007D7CE1" w:rsidRPr="005474B2" w:rsidRDefault="009A4880" w:rsidP="005474B2">
      <w:pPr>
        <w:tabs>
          <w:tab w:val="left" w:pos="284"/>
        </w:tabs>
        <w:jc w:val="both"/>
        <w:rPr>
          <w:sz w:val="22"/>
          <w:szCs w:val="22"/>
          <w:lang w:val="sr-Latn-ME"/>
        </w:rPr>
      </w:pPr>
      <w:r w:rsidRPr="005474B2">
        <w:rPr>
          <w:sz w:val="22"/>
          <w:szCs w:val="22"/>
          <w:lang w:val="sr-Latn-ME"/>
        </w:rPr>
        <w:t>Nedjelj</w:t>
      </w:r>
      <w:r w:rsidR="007D7CE1" w:rsidRPr="005474B2">
        <w:rPr>
          <w:sz w:val="22"/>
          <w:szCs w:val="22"/>
          <w:lang w:val="sr-Latn-ME"/>
        </w:rPr>
        <w:t xml:space="preserve">e </w:t>
      </w:r>
      <w:r w:rsidRPr="005474B2">
        <w:rPr>
          <w:sz w:val="22"/>
          <w:szCs w:val="22"/>
          <w:lang w:val="sr-Latn-ME"/>
        </w:rPr>
        <w:t>liječ</w:t>
      </w:r>
      <w:r w:rsidR="007D7CE1" w:rsidRPr="005474B2">
        <w:rPr>
          <w:sz w:val="22"/>
          <w:szCs w:val="22"/>
          <w:lang w:val="sr-Latn-ME"/>
        </w:rPr>
        <w:t>enja</w:t>
      </w:r>
    </w:p>
    <w:p w14:paraId="13B3DE64" w14:textId="77777777" w:rsidR="007D7CE1" w:rsidRPr="005474B2" w:rsidRDefault="007D7CE1" w:rsidP="005474B2">
      <w:pPr>
        <w:tabs>
          <w:tab w:val="left" w:pos="284"/>
        </w:tabs>
        <w:jc w:val="both"/>
        <w:rPr>
          <w:sz w:val="22"/>
          <w:szCs w:val="22"/>
          <w:lang w:val="sr-Latn-ME"/>
        </w:rPr>
      </w:pPr>
      <w:r w:rsidRPr="005474B2">
        <w:rPr>
          <w:rFonts w:eastAsia="MS Mincho"/>
          <w:i/>
          <w:sz w:val="22"/>
          <w:szCs w:val="22"/>
          <w:lang w:val="sr-Latn-ME"/>
        </w:rPr>
        <w:t>n = broj proc</w:t>
      </w:r>
      <w:r w:rsidR="00A233FB" w:rsidRPr="005474B2">
        <w:rPr>
          <w:rFonts w:eastAsia="MS Mincho"/>
          <w:i/>
          <w:sz w:val="22"/>
          <w:szCs w:val="22"/>
          <w:lang w:val="sr-Latn-ME"/>
        </w:rPr>
        <w:t>ij</w:t>
      </w:r>
      <w:r w:rsidRPr="005474B2">
        <w:rPr>
          <w:rFonts w:eastAsia="MS Mincho"/>
          <w:i/>
          <w:sz w:val="22"/>
          <w:szCs w:val="22"/>
          <w:lang w:val="sr-Latn-ME"/>
        </w:rPr>
        <w:t>enjenih pacijenata</w:t>
      </w:r>
    </w:p>
    <w:p w14:paraId="7667610A" w14:textId="77777777" w:rsidR="007D7CE1" w:rsidRPr="005474B2" w:rsidRDefault="007D7CE1" w:rsidP="0009637B">
      <w:pPr>
        <w:jc w:val="both"/>
        <w:rPr>
          <w:sz w:val="22"/>
          <w:szCs w:val="22"/>
          <w:lang w:val="sr-Latn-ME"/>
        </w:rPr>
      </w:pPr>
    </w:p>
    <w:p w14:paraId="7702BE1B" w14:textId="77777777" w:rsidR="007D7CE1" w:rsidRPr="005474B2" w:rsidRDefault="007D7CE1" w:rsidP="0009637B">
      <w:pPr>
        <w:jc w:val="both"/>
        <w:rPr>
          <w:sz w:val="22"/>
          <w:szCs w:val="22"/>
          <w:lang w:val="sr-Latn-ME"/>
        </w:rPr>
      </w:pPr>
    </w:p>
    <w:p w14:paraId="3F440D37" w14:textId="77777777" w:rsidR="007D7CE1" w:rsidRPr="005474B2" w:rsidRDefault="007D7CE1" w:rsidP="0009637B">
      <w:pPr>
        <w:tabs>
          <w:tab w:val="left" w:pos="540"/>
          <w:tab w:val="left" w:pos="569"/>
        </w:tabs>
        <w:jc w:val="both"/>
        <w:rPr>
          <w:b/>
          <w:bCs/>
          <w:sz w:val="22"/>
          <w:szCs w:val="22"/>
          <w:lang w:val="sr-Latn-ME"/>
        </w:rPr>
      </w:pPr>
      <w:r w:rsidRPr="005474B2">
        <w:rPr>
          <w:sz w:val="22"/>
          <w:szCs w:val="22"/>
          <w:lang w:val="sr-Latn-ME"/>
        </w:rPr>
        <w:t xml:space="preserve">         ●</w:t>
      </w:r>
      <w:r w:rsidRPr="005474B2">
        <w:rPr>
          <w:sz w:val="22"/>
          <w:szCs w:val="22"/>
          <w:lang w:val="sr-Latn-ME"/>
        </w:rPr>
        <w:tab/>
      </w:r>
      <w:r w:rsidRPr="005474B2">
        <w:rPr>
          <w:iCs/>
          <w:sz w:val="22"/>
          <w:szCs w:val="22"/>
          <w:lang w:val="sr-Latn-ME"/>
        </w:rPr>
        <w:t>sekukinumab</w:t>
      </w:r>
      <w:r w:rsidRPr="005474B2">
        <w:rPr>
          <w:sz w:val="22"/>
          <w:szCs w:val="22"/>
          <w:lang w:val="sr-Latn-ME"/>
        </w:rPr>
        <w:t xml:space="preserve"> 150 mg (n=243)</w:t>
      </w:r>
      <w:r w:rsidRPr="005474B2">
        <w:rPr>
          <w:sz w:val="22"/>
          <w:szCs w:val="22"/>
          <w:lang w:val="sr-Latn-ME"/>
        </w:rPr>
        <w:tab/>
        <w:t xml:space="preserve">  ○ </w:t>
      </w:r>
      <w:r w:rsidRPr="005474B2">
        <w:rPr>
          <w:iCs/>
          <w:sz w:val="22"/>
          <w:szCs w:val="22"/>
          <w:lang w:val="sr-Latn-ME"/>
        </w:rPr>
        <w:t>sekukinumab</w:t>
      </w:r>
      <w:r w:rsidRPr="005474B2">
        <w:rPr>
          <w:sz w:val="22"/>
          <w:szCs w:val="22"/>
          <w:lang w:val="sr-Latn-ME"/>
        </w:rPr>
        <w:t xml:space="preserve"> 300 mg (n=245) </w:t>
      </w:r>
      <w:r w:rsidRPr="005474B2">
        <w:rPr>
          <w:sz w:val="22"/>
          <w:szCs w:val="22"/>
          <w:lang w:val="sr-Latn-ME"/>
        </w:rPr>
        <w:tab/>
        <w:t xml:space="preserve">  □ Placebo (n=245)       </w:t>
      </w:r>
    </w:p>
    <w:p w14:paraId="30BBD71D" w14:textId="77777777" w:rsidR="007D7CE1" w:rsidRPr="005474B2" w:rsidRDefault="007D7CE1">
      <w:pPr>
        <w:tabs>
          <w:tab w:val="left" w:pos="540"/>
          <w:tab w:val="left" w:pos="569"/>
        </w:tabs>
        <w:jc w:val="both"/>
        <w:rPr>
          <w:b/>
          <w:bCs/>
          <w:sz w:val="22"/>
          <w:szCs w:val="22"/>
          <w:lang w:val="sr-Latn-ME"/>
        </w:rPr>
      </w:pPr>
    </w:p>
    <w:p w14:paraId="31384F19" w14:textId="77777777" w:rsidR="007D7CE1" w:rsidRPr="005474B2" w:rsidRDefault="007D7CE1">
      <w:pPr>
        <w:keepNext/>
        <w:widowControl w:val="0"/>
        <w:tabs>
          <w:tab w:val="left" w:pos="567"/>
        </w:tabs>
        <w:autoSpaceDE w:val="0"/>
        <w:autoSpaceDN w:val="0"/>
        <w:adjustRightInd w:val="0"/>
        <w:ind w:right="-17"/>
        <w:jc w:val="both"/>
        <w:rPr>
          <w:rFonts w:eastAsia="MS Mincho"/>
          <w:i/>
          <w:sz w:val="22"/>
          <w:szCs w:val="22"/>
          <w:lang w:val="sr-Latn-ME"/>
        </w:rPr>
      </w:pPr>
      <w:r w:rsidRPr="005474B2">
        <w:rPr>
          <w:rFonts w:eastAsia="MS Mincho"/>
          <w:i/>
          <w:sz w:val="22"/>
          <w:szCs w:val="22"/>
          <w:lang w:val="sr-Latn-ME"/>
        </w:rPr>
        <w:t>Posebne lokacije/oblici plak psorijaze</w:t>
      </w:r>
    </w:p>
    <w:p w14:paraId="583F4A92" w14:textId="77777777" w:rsidR="007D7CE1" w:rsidRPr="005474B2" w:rsidRDefault="007D7CE1">
      <w:pPr>
        <w:tabs>
          <w:tab w:val="left" w:pos="284"/>
        </w:tabs>
        <w:jc w:val="both"/>
        <w:rPr>
          <w:rFonts w:eastAsia="MS Mincho"/>
          <w:sz w:val="22"/>
          <w:szCs w:val="22"/>
          <w:lang w:val="sr-Latn-ME"/>
        </w:rPr>
      </w:pPr>
      <w:r w:rsidRPr="005474B2">
        <w:rPr>
          <w:rFonts w:eastAsia="MS Mincho"/>
          <w:sz w:val="22"/>
          <w:szCs w:val="22"/>
          <w:lang w:val="sr-Latn-ME"/>
        </w:rPr>
        <w:t>U dv</w:t>
      </w:r>
      <w:r w:rsidR="00A233FB" w:rsidRPr="005474B2">
        <w:rPr>
          <w:rFonts w:eastAsia="MS Mincho"/>
          <w:sz w:val="22"/>
          <w:szCs w:val="22"/>
          <w:lang w:val="sr-Latn-ME"/>
        </w:rPr>
        <w:t>ij</w:t>
      </w:r>
      <w:r w:rsidRPr="005474B2">
        <w:rPr>
          <w:rFonts w:eastAsia="MS Mincho"/>
          <w:sz w:val="22"/>
          <w:szCs w:val="22"/>
          <w:lang w:val="sr-Latn-ME"/>
        </w:rPr>
        <w:t>e dodatne placebo kontrolisane studije, poboljšanje je uočeno i u psorijazi noktiju (TRANSFIGURE, 198 pacijenata) i u palmoplantarnoj plak psorijazi (GESTURE, 205 pacijenata). U TRANSFIGURE studiji, sekukinumab je bio superioran u odnosu na placebo u 16. </w:t>
      </w:r>
      <w:r w:rsidR="009A4880" w:rsidRPr="005474B2">
        <w:rPr>
          <w:rFonts w:eastAsia="MS Mincho"/>
          <w:sz w:val="22"/>
          <w:szCs w:val="22"/>
          <w:lang w:val="sr-Latn-ME"/>
        </w:rPr>
        <w:t>nedjelj</w:t>
      </w:r>
      <w:r w:rsidRPr="005474B2">
        <w:rPr>
          <w:rFonts w:eastAsia="MS Mincho"/>
          <w:sz w:val="22"/>
          <w:szCs w:val="22"/>
          <w:lang w:val="sr-Latn-ME"/>
        </w:rPr>
        <w:t>i (46,1% za 300 mg, 38,4% za 150 mg i 11,7% za placebo) što je pokazano značajnim poboljšanjem u odnosu na početnu vr</w:t>
      </w:r>
      <w:r w:rsidR="00C41FCA" w:rsidRPr="005474B2">
        <w:rPr>
          <w:rFonts w:eastAsia="MS Mincho"/>
          <w:sz w:val="22"/>
          <w:szCs w:val="22"/>
          <w:lang w:val="sr-Latn-ME"/>
        </w:rPr>
        <w:t>ij</w:t>
      </w:r>
      <w:r w:rsidRPr="005474B2">
        <w:rPr>
          <w:rFonts w:eastAsia="MS Mincho"/>
          <w:sz w:val="22"/>
          <w:szCs w:val="22"/>
          <w:lang w:val="sr-Latn-ME"/>
        </w:rPr>
        <w:t xml:space="preserve">ednost prema indeksu težine psorijaze noktiju (NAPSI %, engl. </w:t>
      </w:r>
      <w:r w:rsidRPr="005474B2">
        <w:rPr>
          <w:rFonts w:eastAsia="MS Mincho"/>
          <w:i/>
          <w:sz w:val="22"/>
          <w:szCs w:val="22"/>
          <w:lang w:val="sr-Latn-ME"/>
        </w:rPr>
        <w:t>Nail Psoriasis Severity Index</w:t>
      </w:r>
      <w:r w:rsidRPr="005474B2">
        <w:rPr>
          <w:rFonts w:eastAsia="MS Mincho"/>
          <w:sz w:val="22"/>
          <w:szCs w:val="22"/>
          <w:lang w:val="sr-Latn-ME"/>
        </w:rPr>
        <w:t xml:space="preserve">) za pacijente sa </w:t>
      </w:r>
      <w:r w:rsidR="009A4880" w:rsidRPr="005474B2">
        <w:rPr>
          <w:rFonts w:eastAsia="MS Mincho"/>
          <w:sz w:val="22"/>
          <w:szCs w:val="22"/>
          <w:lang w:val="sr-Latn-ME"/>
        </w:rPr>
        <w:t>umjeren</w:t>
      </w:r>
      <w:r w:rsidRPr="005474B2">
        <w:rPr>
          <w:rFonts w:eastAsia="MS Mincho"/>
          <w:sz w:val="22"/>
          <w:szCs w:val="22"/>
          <w:lang w:val="sr-Latn-ME"/>
        </w:rPr>
        <w:t>om do teškom plak psorijazom kod kojih su zahvaćeni nokti. U GESTURE studji, sekukinumab je bio superioran u odnosu na  placebo u 16. </w:t>
      </w:r>
      <w:r w:rsidR="009A4880" w:rsidRPr="005474B2">
        <w:rPr>
          <w:rFonts w:eastAsia="MS Mincho"/>
          <w:sz w:val="22"/>
          <w:szCs w:val="22"/>
          <w:lang w:val="sr-Latn-ME"/>
        </w:rPr>
        <w:t>nedjelj</w:t>
      </w:r>
      <w:r w:rsidRPr="005474B2">
        <w:rPr>
          <w:rFonts w:eastAsia="MS Mincho"/>
          <w:sz w:val="22"/>
          <w:szCs w:val="22"/>
          <w:lang w:val="sr-Latn-ME"/>
        </w:rPr>
        <w:t xml:space="preserve">i (33,3% za 300 mg, 22,1% za 150 mg, i 1,5% za placebo) što je pokazano značajnim poboljšanjem ppIGA 0 ili 1 odgovora (“čista” ili “skoro čista”) za pacijente sa </w:t>
      </w:r>
      <w:r w:rsidR="009A4880" w:rsidRPr="005474B2">
        <w:rPr>
          <w:rFonts w:eastAsia="MS Mincho"/>
          <w:sz w:val="22"/>
          <w:szCs w:val="22"/>
          <w:lang w:val="sr-Latn-ME"/>
        </w:rPr>
        <w:t>umjeren</w:t>
      </w:r>
      <w:r w:rsidRPr="005474B2">
        <w:rPr>
          <w:rFonts w:eastAsia="MS Mincho"/>
          <w:sz w:val="22"/>
          <w:szCs w:val="22"/>
          <w:lang w:val="sr-Latn-ME"/>
        </w:rPr>
        <w:t>om do teškom palmoplantarnom plak psorijazom.</w:t>
      </w:r>
    </w:p>
    <w:p w14:paraId="0F1CB0BD" w14:textId="77777777" w:rsidR="007D7CE1" w:rsidRPr="005474B2" w:rsidRDefault="007D7CE1">
      <w:pPr>
        <w:tabs>
          <w:tab w:val="left" w:pos="284"/>
        </w:tabs>
        <w:jc w:val="both"/>
        <w:rPr>
          <w:rFonts w:eastAsia="MS Mincho"/>
          <w:sz w:val="22"/>
          <w:szCs w:val="22"/>
          <w:lang w:val="sr-Latn-ME"/>
        </w:rPr>
      </w:pPr>
    </w:p>
    <w:p w14:paraId="5AB4F323" w14:textId="552509C3" w:rsidR="007D7CE1" w:rsidRPr="005474B2" w:rsidRDefault="007D7CE1">
      <w:pPr>
        <w:tabs>
          <w:tab w:val="left" w:pos="284"/>
        </w:tabs>
        <w:jc w:val="both"/>
        <w:rPr>
          <w:sz w:val="22"/>
          <w:szCs w:val="22"/>
          <w:lang w:val="sr-Latn-ME"/>
        </w:rPr>
      </w:pPr>
      <w:r w:rsidRPr="005474B2">
        <w:rPr>
          <w:rFonts w:eastAsia="MS Mincho"/>
          <w:sz w:val="22"/>
          <w:szCs w:val="22"/>
          <w:lang w:val="sr-Latn-ME"/>
        </w:rPr>
        <w:t>Placebo kontrolisana studija proc</w:t>
      </w:r>
      <w:r w:rsidR="00C41FCA" w:rsidRPr="005474B2">
        <w:rPr>
          <w:rFonts w:eastAsia="MS Mincho"/>
          <w:sz w:val="22"/>
          <w:szCs w:val="22"/>
          <w:lang w:val="sr-Latn-ME"/>
        </w:rPr>
        <w:t>j</w:t>
      </w:r>
      <w:r w:rsidRPr="005474B2">
        <w:rPr>
          <w:rFonts w:eastAsia="MS Mincho"/>
          <w:sz w:val="22"/>
          <w:szCs w:val="22"/>
          <w:lang w:val="sr-Latn-ME"/>
        </w:rPr>
        <w:t xml:space="preserve">enjivala je 102 pacijenta sa </w:t>
      </w:r>
      <w:r w:rsidR="009A4880" w:rsidRPr="005474B2">
        <w:rPr>
          <w:sz w:val="22"/>
          <w:szCs w:val="22"/>
          <w:lang w:val="sr-Latn-ME"/>
        </w:rPr>
        <w:t>umjeren</w:t>
      </w:r>
      <w:r w:rsidRPr="005474B2">
        <w:rPr>
          <w:sz w:val="22"/>
          <w:szCs w:val="22"/>
          <w:lang w:val="sr-Latn-ME"/>
        </w:rPr>
        <w:t xml:space="preserve">om do teškom psorijazom skalpa, definisanom Indeksom ozbiljnosti psorijaze skalpa (PSSI, eng. </w:t>
      </w:r>
      <w:r w:rsidRPr="005474B2">
        <w:rPr>
          <w:i/>
          <w:sz w:val="22"/>
          <w:szCs w:val="22"/>
          <w:lang w:val="sr-Latn-ME"/>
        </w:rPr>
        <w:t>Psoriasis Scalp Severity Index</w:t>
      </w:r>
      <w:r w:rsidRPr="005474B2">
        <w:rPr>
          <w:sz w:val="22"/>
          <w:szCs w:val="22"/>
          <w:lang w:val="sr-Latn-ME"/>
        </w:rPr>
        <w:t>) ≥12, IGA mod 2011 skalp samo skorom 3 ili većim i najmanje 30% površine skalpa da je zahvaćeno. Sekukinumab u dozi od 300 mg bio je superioran u odnosu na placebo u 12.</w:t>
      </w:r>
      <w:r w:rsidR="00EE28D5" w:rsidRPr="005474B2">
        <w:rPr>
          <w:sz w:val="22"/>
          <w:szCs w:val="22"/>
          <w:lang w:val="sr-Latn-ME"/>
        </w:rPr>
        <w:t xml:space="preserve"> </w:t>
      </w:r>
      <w:r w:rsidR="009A4880" w:rsidRPr="005474B2">
        <w:rPr>
          <w:sz w:val="22"/>
          <w:szCs w:val="22"/>
          <w:lang w:val="sr-Latn-ME"/>
        </w:rPr>
        <w:t>nedjelj</w:t>
      </w:r>
      <w:r w:rsidRPr="005474B2">
        <w:rPr>
          <w:sz w:val="22"/>
          <w:szCs w:val="22"/>
          <w:lang w:val="sr-Latn-ME"/>
        </w:rPr>
        <w:t>i, prema proc</w:t>
      </w:r>
      <w:r w:rsidR="00C41FCA" w:rsidRPr="005474B2">
        <w:rPr>
          <w:sz w:val="22"/>
          <w:szCs w:val="22"/>
          <w:lang w:val="sr-Latn-ME"/>
        </w:rPr>
        <w:t>j</w:t>
      </w:r>
      <w:r w:rsidRPr="005474B2">
        <w:rPr>
          <w:sz w:val="22"/>
          <w:szCs w:val="22"/>
          <w:lang w:val="sr-Latn-ME"/>
        </w:rPr>
        <w:t xml:space="preserve">eni sa značajnim poboljšanjem u odnosu na početak </w:t>
      </w:r>
      <w:r w:rsidR="0069697C" w:rsidRPr="005474B2">
        <w:rPr>
          <w:sz w:val="22"/>
          <w:szCs w:val="22"/>
          <w:lang w:val="sr-Latn-ME"/>
        </w:rPr>
        <w:t xml:space="preserve">i </w:t>
      </w:r>
      <w:r w:rsidRPr="005474B2">
        <w:rPr>
          <w:sz w:val="22"/>
          <w:szCs w:val="22"/>
          <w:lang w:val="sr-Latn-ME"/>
        </w:rPr>
        <w:t>u PSSI 90 odgovor</w:t>
      </w:r>
      <w:r w:rsidR="00EE28D5" w:rsidRPr="005474B2">
        <w:rPr>
          <w:sz w:val="22"/>
          <w:szCs w:val="22"/>
          <w:lang w:val="sr-Latn-ME"/>
        </w:rPr>
        <w:t>u</w:t>
      </w:r>
      <w:r w:rsidRPr="005474B2">
        <w:rPr>
          <w:sz w:val="22"/>
          <w:szCs w:val="22"/>
          <w:lang w:val="sr-Latn-ME"/>
        </w:rPr>
        <w:t xml:space="preserve"> (52,9% u odnosu na 2,0%) i </w:t>
      </w:r>
      <w:r w:rsidR="00EE28D5" w:rsidRPr="005474B2">
        <w:rPr>
          <w:sz w:val="22"/>
          <w:szCs w:val="22"/>
          <w:lang w:val="sr-Latn-ME"/>
        </w:rPr>
        <w:t xml:space="preserve">u </w:t>
      </w:r>
      <w:r w:rsidRPr="005474B2">
        <w:rPr>
          <w:sz w:val="22"/>
          <w:szCs w:val="22"/>
          <w:lang w:val="sr-Latn-ME"/>
        </w:rPr>
        <w:t>IGA mod 2011 odgovor</w:t>
      </w:r>
      <w:r w:rsidR="00EE28D5" w:rsidRPr="005474B2">
        <w:rPr>
          <w:sz w:val="22"/>
          <w:szCs w:val="22"/>
          <w:lang w:val="sr-Latn-ME"/>
        </w:rPr>
        <w:t>u</w:t>
      </w:r>
      <w:r w:rsidRPr="005474B2">
        <w:rPr>
          <w:sz w:val="22"/>
          <w:szCs w:val="22"/>
          <w:lang w:val="sr-Latn-ME"/>
        </w:rPr>
        <w:t xml:space="preserve"> samo skalpa 0 ili 1 (56,9% u odnosu na 5,9%). Poboljšanje kod oba parametra praćenja je održano za sekukinumab kod pacijenata koji su nastavili terapiju do 24. </w:t>
      </w:r>
      <w:r w:rsidR="009A4880" w:rsidRPr="005474B2">
        <w:rPr>
          <w:sz w:val="22"/>
          <w:szCs w:val="22"/>
          <w:lang w:val="sr-Latn-ME"/>
        </w:rPr>
        <w:t>nedjelj</w:t>
      </w:r>
      <w:r w:rsidRPr="005474B2">
        <w:rPr>
          <w:sz w:val="22"/>
          <w:szCs w:val="22"/>
          <w:lang w:val="sr-Latn-ME"/>
        </w:rPr>
        <w:t>e.</w:t>
      </w:r>
    </w:p>
    <w:p w14:paraId="6AE0738F" w14:textId="77777777" w:rsidR="007D7CE1" w:rsidRPr="005474B2" w:rsidRDefault="007D7CE1">
      <w:pPr>
        <w:tabs>
          <w:tab w:val="left" w:pos="284"/>
        </w:tabs>
        <w:jc w:val="both"/>
        <w:rPr>
          <w:sz w:val="22"/>
          <w:szCs w:val="22"/>
          <w:lang w:val="sr-Latn-ME"/>
        </w:rPr>
      </w:pPr>
    </w:p>
    <w:p w14:paraId="3FBE19BA" w14:textId="77777777" w:rsidR="007D7CE1" w:rsidRPr="005474B2" w:rsidRDefault="007D7CE1">
      <w:pPr>
        <w:jc w:val="both"/>
        <w:rPr>
          <w:i/>
          <w:sz w:val="22"/>
          <w:szCs w:val="22"/>
          <w:lang w:val="sr-Latn-ME"/>
        </w:rPr>
      </w:pPr>
      <w:r w:rsidRPr="005474B2">
        <w:rPr>
          <w:i/>
          <w:sz w:val="22"/>
          <w:szCs w:val="22"/>
          <w:lang w:val="sr-Latn-ME"/>
        </w:rPr>
        <w:t>Kvalitet života/ishodi koje su prijavili pacijenti</w:t>
      </w:r>
    </w:p>
    <w:p w14:paraId="7AEDDA3F" w14:textId="08F467DE" w:rsidR="007D7CE1" w:rsidRPr="005474B2" w:rsidRDefault="007D7CE1">
      <w:pPr>
        <w:jc w:val="both"/>
        <w:rPr>
          <w:sz w:val="22"/>
          <w:szCs w:val="22"/>
          <w:lang w:val="sr-Latn-ME"/>
        </w:rPr>
      </w:pPr>
      <w:r w:rsidRPr="005474B2">
        <w:rPr>
          <w:sz w:val="22"/>
          <w:szCs w:val="22"/>
          <w:lang w:val="sr-Latn-ME"/>
        </w:rPr>
        <w:t xml:space="preserve">Statistički značajna poboljšanja u 12. </w:t>
      </w:r>
      <w:r w:rsidR="009A4880" w:rsidRPr="005474B2">
        <w:rPr>
          <w:sz w:val="22"/>
          <w:szCs w:val="22"/>
          <w:lang w:val="sr-Latn-ME"/>
        </w:rPr>
        <w:t>nedjelj</w:t>
      </w:r>
      <w:r w:rsidRPr="005474B2">
        <w:rPr>
          <w:sz w:val="22"/>
          <w:szCs w:val="22"/>
          <w:lang w:val="sr-Latn-ME"/>
        </w:rPr>
        <w:t xml:space="preserve">i  (Studije 1-4) u odnosu na početne </w:t>
      </w:r>
      <w:r w:rsidR="00A233FB" w:rsidRPr="005474B2">
        <w:rPr>
          <w:sz w:val="22"/>
          <w:szCs w:val="22"/>
          <w:lang w:val="sr-Latn-ME"/>
        </w:rPr>
        <w:t>vrijednosti</w:t>
      </w:r>
      <w:r w:rsidRPr="005474B2">
        <w:rPr>
          <w:sz w:val="22"/>
          <w:szCs w:val="22"/>
          <w:lang w:val="sr-Latn-ME"/>
        </w:rPr>
        <w:t xml:space="preserve"> u poređenju sa placebom su pokazane DLQI indeksom (Dermatološki indeks kvaliteta života, engl. </w:t>
      </w:r>
      <w:r w:rsidRPr="005474B2">
        <w:rPr>
          <w:i/>
          <w:sz w:val="22"/>
          <w:szCs w:val="22"/>
          <w:lang w:val="sr-Latn-ME"/>
        </w:rPr>
        <w:t>Dermatology Life Quality Index</w:t>
      </w:r>
      <w:r w:rsidRPr="005474B2">
        <w:rPr>
          <w:sz w:val="22"/>
          <w:szCs w:val="22"/>
          <w:lang w:val="sr-Latn-ME"/>
        </w:rPr>
        <w:t>). Srednja smanjenja (</w:t>
      </w:r>
      <w:r w:rsidR="00EC7F04" w:rsidRPr="005474B2">
        <w:rPr>
          <w:sz w:val="22"/>
          <w:szCs w:val="22"/>
          <w:lang w:val="sr-Latn-ME"/>
        </w:rPr>
        <w:t>poboljšanja</w:t>
      </w:r>
      <w:r w:rsidRPr="005474B2">
        <w:rPr>
          <w:sz w:val="22"/>
          <w:szCs w:val="22"/>
          <w:lang w:val="sr-Latn-ME"/>
        </w:rPr>
        <w:t xml:space="preserve">) u DLQI u odnosu na početne </w:t>
      </w:r>
      <w:r w:rsidR="00A233FB" w:rsidRPr="005474B2">
        <w:rPr>
          <w:sz w:val="22"/>
          <w:szCs w:val="22"/>
          <w:lang w:val="sr-Latn-ME"/>
        </w:rPr>
        <w:t>vrijednosti</w:t>
      </w:r>
      <w:r w:rsidRPr="005474B2">
        <w:rPr>
          <w:sz w:val="22"/>
          <w:szCs w:val="22"/>
          <w:lang w:val="sr-Latn-ME"/>
        </w:rPr>
        <w:t xml:space="preserve"> su bila u rasponu između -10,4 i -11,6 sa sekukinumabom 300 mg, od -7,7 do -10,1 sa sekukinumabom 150 mg u odnosu na -1,1 do -1,9 za placebo u 12. </w:t>
      </w:r>
      <w:r w:rsidR="009A4880" w:rsidRPr="005474B2">
        <w:rPr>
          <w:sz w:val="22"/>
          <w:szCs w:val="22"/>
          <w:lang w:val="sr-Latn-ME"/>
        </w:rPr>
        <w:t>nedjelj</w:t>
      </w:r>
      <w:r w:rsidRPr="005474B2">
        <w:rPr>
          <w:sz w:val="22"/>
          <w:szCs w:val="22"/>
          <w:lang w:val="sr-Latn-ME"/>
        </w:rPr>
        <w:t xml:space="preserve">i. Ova poboljšanja su se održala tokom 52 </w:t>
      </w:r>
      <w:r w:rsidR="009A4880" w:rsidRPr="005474B2">
        <w:rPr>
          <w:sz w:val="22"/>
          <w:szCs w:val="22"/>
          <w:lang w:val="sr-Latn-ME"/>
        </w:rPr>
        <w:t>nedjelj</w:t>
      </w:r>
      <w:r w:rsidRPr="005474B2">
        <w:rPr>
          <w:sz w:val="22"/>
          <w:szCs w:val="22"/>
          <w:lang w:val="sr-Latn-ME"/>
        </w:rPr>
        <w:t xml:space="preserve">e (Studija 1 i 2). </w:t>
      </w:r>
    </w:p>
    <w:p w14:paraId="11DA8F63" w14:textId="77777777" w:rsidR="007D7CE1" w:rsidRPr="005474B2" w:rsidRDefault="007D7CE1">
      <w:pPr>
        <w:jc w:val="both"/>
        <w:rPr>
          <w:sz w:val="22"/>
          <w:szCs w:val="22"/>
          <w:lang w:val="sr-Latn-ME"/>
        </w:rPr>
      </w:pPr>
    </w:p>
    <w:p w14:paraId="08BB7D0B" w14:textId="66C71E33" w:rsidR="007D7CE1" w:rsidRPr="005474B2" w:rsidRDefault="007D7CE1">
      <w:pPr>
        <w:jc w:val="both"/>
        <w:rPr>
          <w:sz w:val="22"/>
          <w:szCs w:val="22"/>
          <w:lang w:val="sr-Latn-ME"/>
        </w:rPr>
      </w:pPr>
      <w:r w:rsidRPr="005474B2">
        <w:rPr>
          <w:sz w:val="22"/>
          <w:szCs w:val="22"/>
          <w:lang w:val="sr-Latn-ME"/>
        </w:rPr>
        <w:t xml:space="preserve">Četrdeset procenata učesnika u Studiji 1 i 2 su popunili Dnevnik </w:t>
      </w:r>
      <w:r w:rsidR="00A77E2A" w:rsidRPr="005474B2">
        <w:rPr>
          <w:sz w:val="22"/>
          <w:szCs w:val="22"/>
          <w:lang w:val="sr-Latn-ME"/>
        </w:rPr>
        <w:t>s</w:t>
      </w:r>
      <w:r w:rsidRPr="005474B2">
        <w:rPr>
          <w:sz w:val="22"/>
          <w:szCs w:val="22"/>
          <w:lang w:val="sr-Latn-ME"/>
        </w:rPr>
        <w:t xml:space="preserve">imptoma </w:t>
      </w:r>
      <w:r w:rsidR="00A77E2A" w:rsidRPr="005474B2">
        <w:rPr>
          <w:sz w:val="22"/>
          <w:szCs w:val="22"/>
          <w:lang w:val="sr-Latn-ME"/>
        </w:rPr>
        <w:t>p</w:t>
      </w:r>
      <w:r w:rsidRPr="005474B2">
        <w:rPr>
          <w:sz w:val="22"/>
          <w:szCs w:val="22"/>
          <w:lang w:val="sr-Latn-ME"/>
        </w:rPr>
        <w:t>sorijaze (</w:t>
      </w:r>
      <w:r w:rsidR="00A77E2A" w:rsidRPr="005474B2">
        <w:rPr>
          <w:sz w:val="22"/>
          <w:szCs w:val="22"/>
          <w:lang w:val="sr-Latn-ME"/>
        </w:rPr>
        <w:t xml:space="preserve">engl. </w:t>
      </w:r>
      <w:r w:rsidRPr="005474B2">
        <w:rPr>
          <w:i/>
          <w:sz w:val="22"/>
          <w:szCs w:val="22"/>
          <w:lang w:val="sr-Latn-ME"/>
        </w:rPr>
        <w:t>Psoriasis Symptom Diary</w:t>
      </w:r>
      <w:r w:rsidRPr="005474B2">
        <w:rPr>
          <w:i/>
          <w:sz w:val="22"/>
          <w:szCs w:val="22"/>
          <w:vertAlign w:val="superscript"/>
          <w:lang w:val="sr-Latn-ME"/>
        </w:rPr>
        <w:t>©</w:t>
      </w:r>
      <w:r w:rsidRPr="005474B2">
        <w:rPr>
          <w:sz w:val="22"/>
          <w:szCs w:val="22"/>
          <w:lang w:val="sr-Latn-ME"/>
        </w:rPr>
        <w:t xml:space="preserve">). Za učesnike koji su popunili dnevnik u svakom od ovih ispitivanja, dokazana su statistički značajna poboljšanja u 12. </w:t>
      </w:r>
      <w:r w:rsidR="009A4880" w:rsidRPr="005474B2">
        <w:rPr>
          <w:sz w:val="22"/>
          <w:szCs w:val="22"/>
          <w:lang w:val="sr-Latn-ME"/>
        </w:rPr>
        <w:t>nedjelj</w:t>
      </w:r>
      <w:r w:rsidRPr="005474B2">
        <w:rPr>
          <w:sz w:val="22"/>
          <w:szCs w:val="22"/>
          <w:lang w:val="sr-Latn-ME"/>
        </w:rPr>
        <w:t xml:space="preserve">i u odnosu na početne </w:t>
      </w:r>
      <w:r w:rsidR="00A233FB" w:rsidRPr="005474B2">
        <w:rPr>
          <w:sz w:val="22"/>
          <w:szCs w:val="22"/>
          <w:lang w:val="sr-Latn-ME"/>
        </w:rPr>
        <w:t>vrijednosti</w:t>
      </w:r>
      <w:r w:rsidRPr="005474B2">
        <w:rPr>
          <w:sz w:val="22"/>
          <w:szCs w:val="22"/>
          <w:lang w:val="sr-Latn-ME"/>
        </w:rPr>
        <w:t xml:space="preserve"> u poređenju sa placebom u znacima i simptomima svraba, bola i ljuštenja koje su prijavili pacijenti.</w:t>
      </w:r>
    </w:p>
    <w:p w14:paraId="1BB8CBB1" w14:textId="77777777" w:rsidR="007D7CE1" w:rsidRPr="005474B2" w:rsidRDefault="007D7CE1">
      <w:pPr>
        <w:jc w:val="both"/>
        <w:rPr>
          <w:sz w:val="22"/>
          <w:szCs w:val="22"/>
          <w:lang w:val="sr-Latn-ME"/>
        </w:rPr>
      </w:pPr>
    </w:p>
    <w:p w14:paraId="1B6AFDB9" w14:textId="09473C74" w:rsidR="007D7CE1" w:rsidRPr="005474B2" w:rsidRDefault="007D7CE1">
      <w:pPr>
        <w:jc w:val="both"/>
        <w:rPr>
          <w:sz w:val="22"/>
          <w:szCs w:val="22"/>
          <w:lang w:val="sr-Latn-ME"/>
        </w:rPr>
      </w:pPr>
      <w:r w:rsidRPr="005474B2">
        <w:rPr>
          <w:sz w:val="22"/>
          <w:szCs w:val="22"/>
          <w:lang w:val="sr-Latn-ME"/>
        </w:rPr>
        <w:t xml:space="preserve">Statistički značajna poboljšanja u 4. </w:t>
      </w:r>
      <w:r w:rsidR="009A4880" w:rsidRPr="005474B2">
        <w:rPr>
          <w:sz w:val="22"/>
          <w:szCs w:val="22"/>
          <w:lang w:val="sr-Latn-ME"/>
        </w:rPr>
        <w:t>nedjelj</w:t>
      </w:r>
      <w:r w:rsidRPr="005474B2">
        <w:rPr>
          <w:sz w:val="22"/>
          <w:szCs w:val="22"/>
          <w:lang w:val="sr-Latn-ME"/>
        </w:rPr>
        <w:t xml:space="preserve">i u odnosu na početne </w:t>
      </w:r>
      <w:r w:rsidR="00A233FB" w:rsidRPr="005474B2">
        <w:rPr>
          <w:sz w:val="22"/>
          <w:szCs w:val="22"/>
          <w:lang w:val="sr-Latn-ME"/>
        </w:rPr>
        <w:t>vrijednosti</w:t>
      </w:r>
      <w:r w:rsidRPr="005474B2">
        <w:rPr>
          <w:sz w:val="22"/>
          <w:szCs w:val="22"/>
          <w:lang w:val="sr-Latn-ME"/>
        </w:rPr>
        <w:t xml:space="preserve"> kod pacijenata </w:t>
      </w:r>
      <w:r w:rsidR="009A4880" w:rsidRPr="005474B2">
        <w:rPr>
          <w:sz w:val="22"/>
          <w:szCs w:val="22"/>
          <w:lang w:val="sr-Latn-ME"/>
        </w:rPr>
        <w:t>liječ</w:t>
      </w:r>
      <w:r w:rsidRPr="005474B2">
        <w:rPr>
          <w:sz w:val="22"/>
          <w:szCs w:val="22"/>
          <w:lang w:val="sr-Latn-ME"/>
        </w:rPr>
        <w:t xml:space="preserve">enih sekukinumabom u poređenju sa pacijentima </w:t>
      </w:r>
      <w:r w:rsidR="009A4880" w:rsidRPr="005474B2">
        <w:rPr>
          <w:sz w:val="22"/>
          <w:szCs w:val="22"/>
          <w:lang w:val="sr-Latn-ME"/>
        </w:rPr>
        <w:t>liječ</w:t>
      </w:r>
      <w:r w:rsidRPr="005474B2">
        <w:rPr>
          <w:sz w:val="22"/>
          <w:szCs w:val="22"/>
          <w:lang w:val="sr-Latn-ME"/>
        </w:rPr>
        <w:t>enim ustekinumabom (CLEAR) pokazana su DLQI indeksom  i ova poboljšanja su se održala do 52</w:t>
      </w:r>
      <w:r w:rsidR="00EC7F04" w:rsidRPr="005474B2">
        <w:rPr>
          <w:sz w:val="22"/>
          <w:szCs w:val="22"/>
          <w:lang w:val="sr-Latn-ME"/>
        </w:rPr>
        <w:t>.</w:t>
      </w:r>
      <w:r w:rsidRPr="005474B2">
        <w:rPr>
          <w:sz w:val="22"/>
          <w:szCs w:val="22"/>
          <w:lang w:val="sr-Latn-ME"/>
        </w:rPr>
        <w:t xml:space="preserve"> </w:t>
      </w:r>
      <w:r w:rsidR="009A4880" w:rsidRPr="005474B2">
        <w:rPr>
          <w:sz w:val="22"/>
          <w:szCs w:val="22"/>
          <w:lang w:val="sr-Latn-ME"/>
        </w:rPr>
        <w:t>nedjelj</w:t>
      </w:r>
      <w:r w:rsidRPr="005474B2">
        <w:rPr>
          <w:sz w:val="22"/>
          <w:szCs w:val="22"/>
          <w:lang w:val="sr-Latn-ME"/>
        </w:rPr>
        <w:t>e.</w:t>
      </w:r>
    </w:p>
    <w:p w14:paraId="7294736D" w14:textId="77777777" w:rsidR="007D7CE1" w:rsidRPr="005474B2" w:rsidRDefault="007D7CE1">
      <w:pPr>
        <w:jc w:val="both"/>
        <w:rPr>
          <w:sz w:val="22"/>
          <w:szCs w:val="22"/>
          <w:lang w:val="sr-Latn-ME"/>
        </w:rPr>
      </w:pPr>
    </w:p>
    <w:p w14:paraId="441D18E7" w14:textId="0E218575" w:rsidR="007D7CE1" w:rsidRPr="005474B2" w:rsidRDefault="007D7CE1">
      <w:pPr>
        <w:jc w:val="both"/>
        <w:rPr>
          <w:sz w:val="22"/>
          <w:szCs w:val="22"/>
          <w:lang w:val="sr-Latn-ME"/>
        </w:rPr>
      </w:pPr>
      <w:r w:rsidRPr="005474B2">
        <w:rPr>
          <w:sz w:val="22"/>
          <w:szCs w:val="22"/>
          <w:lang w:val="sr-Latn-ME"/>
        </w:rPr>
        <w:t>Statistički znač</w:t>
      </w:r>
      <w:r w:rsidR="00C41FCA" w:rsidRPr="005474B2">
        <w:rPr>
          <w:sz w:val="22"/>
          <w:szCs w:val="22"/>
          <w:lang w:val="sr-Latn-ME"/>
        </w:rPr>
        <w:t>ajna poboljšanja simp</w:t>
      </w:r>
      <w:r w:rsidRPr="005474B2">
        <w:rPr>
          <w:sz w:val="22"/>
          <w:szCs w:val="22"/>
          <w:lang w:val="sr-Latn-ME"/>
        </w:rPr>
        <w:t>t</w:t>
      </w:r>
      <w:r w:rsidR="00C41FCA" w:rsidRPr="005474B2">
        <w:rPr>
          <w:sz w:val="22"/>
          <w:szCs w:val="22"/>
          <w:lang w:val="sr-Latn-ME"/>
        </w:rPr>
        <w:t>o</w:t>
      </w:r>
      <w:r w:rsidRPr="005474B2">
        <w:rPr>
          <w:sz w:val="22"/>
          <w:szCs w:val="22"/>
          <w:lang w:val="sr-Latn-ME"/>
        </w:rPr>
        <w:t xml:space="preserve">ma i znakova svraba, bola i perutanja koje su prijavljivali pacijenti u 16. </w:t>
      </w:r>
      <w:r w:rsidR="009A4880" w:rsidRPr="005474B2">
        <w:rPr>
          <w:sz w:val="22"/>
          <w:szCs w:val="22"/>
          <w:lang w:val="sr-Latn-ME"/>
        </w:rPr>
        <w:t>nedjelj</w:t>
      </w:r>
      <w:r w:rsidRPr="005474B2">
        <w:rPr>
          <w:sz w:val="22"/>
          <w:szCs w:val="22"/>
          <w:lang w:val="sr-Latn-ME"/>
        </w:rPr>
        <w:t xml:space="preserve">i i 52. </w:t>
      </w:r>
      <w:r w:rsidR="009A4880" w:rsidRPr="005474B2">
        <w:rPr>
          <w:sz w:val="22"/>
          <w:szCs w:val="22"/>
          <w:lang w:val="sr-Latn-ME"/>
        </w:rPr>
        <w:t>nedjelj</w:t>
      </w:r>
      <w:r w:rsidRPr="005474B2">
        <w:rPr>
          <w:sz w:val="22"/>
          <w:szCs w:val="22"/>
          <w:lang w:val="sr-Latn-ME"/>
        </w:rPr>
        <w:t xml:space="preserve">i (CLEAR) pokazana su Dnevnikom </w:t>
      </w:r>
      <w:r w:rsidR="00A77E2A" w:rsidRPr="005474B2">
        <w:rPr>
          <w:sz w:val="22"/>
          <w:szCs w:val="22"/>
          <w:lang w:val="sr-Latn-ME"/>
        </w:rPr>
        <w:t>s</w:t>
      </w:r>
      <w:r w:rsidRPr="005474B2">
        <w:rPr>
          <w:sz w:val="22"/>
          <w:szCs w:val="22"/>
          <w:lang w:val="sr-Latn-ME"/>
        </w:rPr>
        <w:t xml:space="preserve">imptoma </w:t>
      </w:r>
      <w:r w:rsidR="00A77E2A" w:rsidRPr="005474B2">
        <w:rPr>
          <w:sz w:val="22"/>
          <w:szCs w:val="22"/>
          <w:lang w:val="sr-Latn-ME"/>
        </w:rPr>
        <w:t>p</w:t>
      </w:r>
      <w:r w:rsidRPr="005474B2">
        <w:rPr>
          <w:sz w:val="22"/>
          <w:szCs w:val="22"/>
          <w:lang w:val="sr-Latn-ME"/>
        </w:rPr>
        <w:t xml:space="preserve">sorijaze (engl. </w:t>
      </w:r>
      <w:r w:rsidRPr="005474B2">
        <w:rPr>
          <w:i/>
          <w:sz w:val="22"/>
          <w:szCs w:val="22"/>
          <w:lang w:val="sr-Latn-ME"/>
        </w:rPr>
        <w:t>Psoriasis Symptom Diary</w:t>
      </w:r>
      <w:r w:rsidRPr="005474B2">
        <w:rPr>
          <w:i/>
          <w:sz w:val="22"/>
          <w:szCs w:val="22"/>
          <w:vertAlign w:val="superscript"/>
          <w:lang w:val="sr-Latn-ME"/>
        </w:rPr>
        <w:t>©</w:t>
      </w:r>
      <w:r w:rsidRPr="005474B2">
        <w:rPr>
          <w:sz w:val="22"/>
          <w:szCs w:val="22"/>
          <w:lang w:val="sr-Latn-ME"/>
        </w:rPr>
        <w:t xml:space="preserve">) kod pacijenata </w:t>
      </w:r>
      <w:r w:rsidR="009A4880" w:rsidRPr="005474B2">
        <w:rPr>
          <w:sz w:val="22"/>
          <w:szCs w:val="22"/>
          <w:lang w:val="sr-Latn-ME"/>
        </w:rPr>
        <w:t>liječ</w:t>
      </w:r>
      <w:r w:rsidRPr="005474B2">
        <w:rPr>
          <w:sz w:val="22"/>
          <w:szCs w:val="22"/>
          <w:lang w:val="sr-Latn-ME"/>
        </w:rPr>
        <w:t>eni</w:t>
      </w:r>
      <w:r w:rsidR="00A77E2A" w:rsidRPr="005474B2">
        <w:rPr>
          <w:sz w:val="22"/>
          <w:szCs w:val="22"/>
          <w:lang w:val="sr-Latn-ME"/>
        </w:rPr>
        <w:t>m</w:t>
      </w:r>
      <w:r w:rsidRPr="005474B2">
        <w:rPr>
          <w:sz w:val="22"/>
          <w:szCs w:val="22"/>
          <w:lang w:val="sr-Latn-ME"/>
        </w:rPr>
        <w:t xml:space="preserve"> sekukinumabom u poređenju sa pacijentima </w:t>
      </w:r>
      <w:r w:rsidR="009A4880" w:rsidRPr="005474B2">
        <w:rPr>
          <w:sz w:val="22"/>
          <w:szCs w:val="22"/>
          <w:lang w:val="sr-Latn-ME"/>
        </w:rPr>
        <w:t>liječ</w:t>
      </w:r>
      <w:r w:rsidRPr="005474B2">
        <w:rPr>
          <w:sz w:val="22"/>
          <w:szCs w:val="22"/>
          <w:lang w:val="sr-Latn-ME"/>
        </w:rPr>
        <w:t>eni</w:t>
      </w:r>
      <w:r w:rsidR="00A77E2A" w:rsidRPr="005474B2">
        <w:rPr>
          <w:sz w:val="22"/>
          <w:szCs w:val="22"/>
          <w:lang w:val="sr-Latn-ME"/>
        </w:rPr>
        <w:t>m</w:t>
      </w:r>
      <w:r w:rsidRPr="005474B2">
        <w:rPr>
          <w:sz w:val="22"/>
          <w:szCs w:val="22"/>
          <w:lang w:val="sr-Latn-ME"/>
        </w:rPr>
        <w:t xml:space="preserve"> ustekinumabom.</w:t>
      </w:r>
    </w:p>
    <w:p w14:paraId="2B513CF2" w14:textId="77777777" w:rsidR="007D7CE1" w:rsidRPr="005474B2" w:rsidRDefault="007D7CE1">
      <w:pPr>
        <w:jc w:val="both"/>
        <w:rPr>
          <w:sz w:val="22"/>
          <w:szCs w:val="22"/>
          <w:lang w:val="sr-Latn-ME"/>
        </w:rPr>
      </w:pPr>
    </w:p>
    <w:p w14:paraId="669BE063" w14:textId="234163F3" w:rsidR="007D7CE1" w:rsidRPr="005474B2" w:rsidRDefault="007D7CE1">
      <w:pPr>
        <w:jc w:val="both"/>
        <w:rPr>
          <w:sz w:val="22"/>
          <w:szCs w:val="22"/>
          <w:lang w:val="sr-Latn-ME"/>
        </w:rPr>
      </w:pPr>
      <w:r w:rsidRPr="005474B2">
        <w:rPr>
          <w:sz w:val="22"/>
          <w:szCs w:val="22"/>
          <w:lang w:val="sr-Latn-ME"/>
        </w:rPr>
        <w:t>Statističk</w:t>
      </w:r>
      <w:r w:rsidR="00E10979" w:rsidRPr="005474B2">
        <w:rPr>
          <w:sz w:val="22"/>
          <w:szCs w:val="22"/>
          <w:lang w:val="sr-Latn-ME"/>
        </w:rPr>
        <w:t>i</w:t>
      </w:r>
      <w:r w:rsidRPr="005474B2">
        <w:rPr>
          <w:sz w:val="22"/>
          <w:szCs w:val="22"/>
          <w:lang w:val="sr-Latn-ME"/>
        </w:rPr>
        <w:t xml:space="preserve"> značajna poboljšanja (smanjenja) u 12. </w:t>
      </w:r>
      <w:r w:rsidR="009A4880" w:rsidRPr="005474B2">
        <w:rPr>
          <w:sz w:val="22"/>
          <w:szCs w:val="22"/>
          <w:lang w:val="sr-Latn-ME"/>
        </w:rPr>
        <w:t>nedjelj</w:t>
      </w:r>
      <w:r w:rsidRPr="005474B2">
        <w:rPr>
          <w:sz w:val="22"/>
          <w:szCs w:val="22"/>
          <w:lang w:val="sr-Latn-ME"/>
        </w:rPr>
        <w:t xml:space="preserve">i u odnosu na početne </w:t>
      </w:r>
      <w:r w:rsidR="00A233FB" w:rsidRPr="005474B2">
        <w:rPr>
          <w:sz w:val="22"/>
          <w:szCs w:val="22"/>
          <w:lang w:val="sr-Latn-ME"/>
        </w:rPr>
        <w:t>vrijednosti</w:t>
      </w:r>
      <w:r w:rsidRPr="005474B2">
        <w:rPr>
          <w:sz w:val="22"/>
          <w:szCs w:val="22"/>
          <w:lang w:val="sr-Latn-ME"/>
        </w:rPr>
        <w:t xml:space="preserve"> u ispitivanjima psorijaze skalpa pokazana su za simptome i znakove svraba skalpa, bola i perutanja koje su prijavljivali pacijenti u poređenju sa placebom.</w:t>
      </w:r>
    </w:p>
    <w:p w14:paraId="04FC12F4" w14:textId="1DF5CB66" w:rsidR="007D7CE1" w:rsidRPr="005474B2" w:rsidRDefault="007D7CE1">
      <w:pPr>
        <w:jc w:val="both"/>
        <w:rPr>
          <w:sz w:val="22"/>
          <w:szCs w:val="22"/>
          <w:lang w:val="sr-Latn-ME"/>
        </w:rPr>
      </w:pPr>
    </w:p>
    <w:p w14:paraId="4DE19144" w14:textId="77777777" w:rsidR="00852324" w:rsidRPr="005474B2" w:rsidRDefault="00852324">
      <w:pPr>
        <w:pStyle w:val="Text"/>
        <w:keepNext/>
        <w:keepLines/>
        <w:spacing w:before="0"/>
        <w:rPr>
          <w:i/>
          <w:iCs/>
          <w:sz w:val="22"/>
          <w:szCs w:val="22"/>
          <w:lang w:val="sr-Latn-ME"/>
        </w:rPr>
      </w:pPr>
      <w:r w:rsidRPr="005474B2">
        <w:rPr>
          <w:i/>
          <w:iCs/>
          <w:sz w:val="22"/>
          <w:szCs w:val="22"/>
          <w:lang w:val="sr-Latn-ME"/>
        </w:rPr>
        <w:t>Fleksibilnost doziranja kod plak psorijaze</w:t>
      </w:r>
    </w:p>
    <w:p w14:paraId="618EC46E" w14:textId="74FF24EE" w:rsidR="00852324" w:rsidRPr="005474B2" w:rsidRDefault="00852324">
      <w:pPr>
        <w:pStyle w:val="Text"/>
        <w:keepNext/>
        <w:keepLines/>
        <w:spacing w:before="0"/>
        <w:rPr>
          <w:sz w:val="22"/>
          <w:szCs w:val="22"/>
          <w:lang w:val="sr-Latn-ME"/>
        </w:rPr>
      </w:pPr>
      <w:r w:rsidRPr="005474B2">
        <w:rPr>
          <w:sz w:val="22"/>
          <w:szCs w:val="22"/>
          <w:lang w:val="sr-Latn-ME"/>
        </w:rPr>
        <w:t>Randomizovan</w:t>
      </w:r>
      <w:r w:rsidR="005D1FCD">
        <w:rPr>
          <w:sz w:val="22"/>
          <w:szCs w:val="22"/>
          <w:lang w:val="sr-Latn-ME"/>
        </w:rPr>
        <w:t>o</w:t>
      </w:r>
      <w:r w:rsidRPr="005474B2">
        <w:rPr>
          <w:sz w:val="22"/>
          <w:szCs w:val="22"/>
          <w:lang w:val="sr-Latn-ME"/>
        </w:rPr>
        <w:t>, dvostruko slijep</w:t>
      </w:r>
      <w:r w:rsidR="005D1FCD">
        <w:rPr>
          <w:sz w:val="22"/>
          <w:szCs w:val="22"/>
          <w:lang w:val="sr-Latn-ME"/>
        </w:rPr>
        <w:t>o</w:t>
      </w:r>
      <w:r w:rsidRPr="005474B2">
        <w:rPr>
          <w:sz w:val="22"/>
          <w:szCs w:val="22"/>
          <w:lang w:val="sr-Latn-ME"/>
        </w:rPr>
        <w:t>, multicentričn</w:t>
      </w:r>
      <w:r w:rsidR="005D1FCD">
        <w:rPr>
          <w:sz w:val="22"/>
          <w:szCs w:val="22"/>
          <w:lang w:val="sr-Latn-ME"/>
        </w:rPr>
        <w:t>o</w:t>
      </w:r>
      <w:r w:rsidRPr="005474B2">
        <w:rPr>
          <w:sz w:val="22"/>
          <w:szCs w:val="22"/>
          <w:lang w:val="sr-Latn-ME"/>
        </w:rPr>
        <w:t xml:space="preserve"> </w:t>
      </w:r>
      <w:r w:rsidR="005D1FCD">
        <w:rPr>
          <w:sz w:val="22"/>
          <w:szCs w:val="22"/>
          <w:lang w:val="sr-Latn-ME"/>
        </w:rPr>
        <w:t>ispitivanje</w:t>
      </w:r>
      <w:r w:rsidR="004429DA" w:rsidRPr="005474B2">
        <w:rPr>
          <w:sz w:val="22"/>
          <w:szCs w:val="22"/>
          <w:lang w:val="sr-Latn-ME"/>
        </w:rPr>
        <w:t xml:space="preserve"> </w:t>
      </w:r>
      <w:r w:rsidRPr="005474B2">
        <w:rPr>
          <w:sz w:val="22"/>
          <w:szCs w:val="22"/>
          <w:lang w:val="sr-Latn-ME"/>
        </w:rPr>
        <w:t>je procjenjival</w:t>
      </w:r>
      <w:r w:rsidR="005D1FCD">
        <w:rPr>
          <w:sz w:val="22"/>
          <w:szCs w:val="22"/>
          <w:lang w:val="sr-Latn-ME"/>
        </w:rPr>
        <w:t>o</w:t>
      </w:r>
      <w:r w:rsidRPr="005474B2">
        <w:rPr>
          <w:sz w:val="22"/>
          <w:szCs w:val="22"/>
          <w:lang w:val="sr-Latn-ME"/>
        </w:rPr>
        <w:t xml:space="preserve"> dva režima doziranja </w:t>
      </w:r>
      <w:r w:rsidR="00A77E2A" w:rsidRPr="005474B2">
        <w:rPr>
          <w:sz w:val="22"/>
          <w:szCs w:val="22"/>
          <w:lang w:val="sr-Latn-ME"/>
        </w:rPr>
        <w:t xml:space="preserve">primjenom </w:t>
      </w:r>
      <w:r w:rsidRPr="005474B2">
        <w:rPr>
          <w:sz w:val="22"/>
          <w:szCs w:val="22"/>
          <w:lang w:val="sr-Latn-ME"/>
        </w:rPr>
        <w:t>doze održavanja (</w:t>
      </w:r>
      <w:r w:rsidR="00A77E2A" w:rsidRPr="005474B2">
        <w:rPr>
          <w:sz w:val="22"/>
          <w:szCs w:val="22"/>
          <w:lang w:val="sr-Latn-ME"/>
        </w:rPr>
        <w:t xml:space="preserve">doza od </w:t>
      </w:r>
      <w:r w:rsidRPr="005474B2">
        <w:rPr>
          <w:sz w:val="22"/>
          <w:szCs w:val="22"/>
          <w:lang w:val="sr-Latn-ME"/>
        </w:rPr>
        <w:t>300 mg svake 2 nedjelje [Q2W] i 300 mg svake 4 nedjelje [Q4W]), primijenjene pomoću 150 mg napunjenog injekcionog šprica kod 331 pacijenta tjelesne težine ≥90 kg sa umjerenom do teškom plak psorijazom. Pacijenti su bili randomizovani u odnosu 1:1 kako slijedi:</w:t>
      </w:r>
    </w:p>
    <w:p w14:paraId="3D128AED" w14:textId="1EA432E0" w:rsidR="00852324" w:rsidRPr="005474B2" w:rsidRDefault="00852324">
      <w:pPr>
        <w:pStyle w:val="ListParagraph"/>
        <w:numPr>
          <w:ilvl w:val="0"/>
          <w:numId w:val="12"/>
        </w:numPr>
        <w:autoSpaceDE/>
        <w:autoSpaceDN/>
        <w:adjustRightInd/>
        <w:ind w:left="567" w:hanging="567"/>
        <w:contextualSpacing/>
        <w:jc w:val="both"/>
        <w:rPr>
          <w:sz w:val="22"/>
          <w:szCs w:val="22"/>
          <w:lang w:val="sr-Latn-ME"/>
        </w:rPr>
      </w:pPr>
      <w:r w:rsidRPr="005474B2">
        <w:rPr>
          <w:sz w:val="22"/>
          <w:szCs w:val="22"/>
          <w:lang w:val="sr-Latn-ME"/>
        </w:rPr>
        <w:t>sekukinumab u dozi od 300 mg u 0</w:t>
      </w:r>
      <w:r w:rsidR="00D03735" w:rsidRPr="005474B2">
        <w:rPr>
          <w:sz w:val="22"/>
          <w:szCs w:val="22"/>
          <w:lang w:val="sr-Latn-ME"/>
        </w:rPr>
        <w:t>.</w:t>
      </w:r>
      <w:r w:rsidRPr="005474B2">
        <w:rPr>
          <w:sz w:val="22"/>
          <w:szCs w:val="22"/>
          <w:lang w:val="sr-Latn-ME"/>
        </w:rPr>
        <w:t>, 1</w:t>
      </w:r>
      <w:r w:rsidR="00D03735" w:rsidRPr="005474B2">
        <w:rPr>
          <w:sz w:val="22"/>
          <w:szCs w:val="22"/>
          <w:lang w:val="sr-Latn-ME"/>
        </w:rPr>
        <w:t>.</w:t>
      </w:r>
      <w:r w:rsidRPr="005474B2">
        <w:rPr>
          <w:sz w:val="22"/>
          <w:szCs w:val="22"/>
          <w:lang w:val="sr-Latn-ME"/>
        </w:rPr>
        <w:t>, 2</w:t>
      </w:r>
      <w:r w:rsidR="00D03735" w:rsidRPr="005474B2">
        <w:rPr>
          <w:sz w:val="22"/>
          <w:szCs w:val="22"/>
          <w:lang w:val="sr-Latn-ME"/>
        </w:rPr>
        <w:t>.</w:t>
      </w:r>
      <w:r w:rsidRPr="005474B2">
        <w:rPr>
          <w:sz w:val="22"/>
          <w:szCs w:val="22"/>
          <w:lang w:val="sr-Latn-ME"/>
        </w:rPr>
        <w:t xml:space="preserve">, 3, i 4. nedjelji, </w:t>
      </w:r>
      <w:r w:rsidR="00A77E2A" w:rsidRPr="005474B2">
        <w:rPr>
          <w:sz w:val="22"/>
          <w:szCs w:val="22"/>
          <w:lang w:val="sr-Latn-ME"/>
        </w:rPr>
        <w:t>nakon čega je sl</w:t>
      </w:r>
      <w:r w:rsidR="00EC7F04" w:rsidRPr="005474B2">
        <w:rPr>
          <w:sz w:val="22"/>
          <w:szCs w:val="22"/>
          <w:lang w:val="sr-Latn-ME"/>
        </w:rPr>
        <w:t>ij</w:t>
      </w:r>
      <w:r w:rsidR="00A77E2A" w:rsidRPr="005474B2">
        <w:rPr>
          <w:sz w:val="22"/>
          <w:szCs w:val="22"/>
          <w:lang w:val="sr-Latn-ME"/>
        </w:rPr>
        <w:t>edila</w:t>
      </w:r>
      <w:r w:rsidRPr="005474B2">
        <w:rPr>
          <w:sz w:val="22"/>
          <w:szCs w:val="22"/>
          <w:lang w:val="sr-Latn-ME"/>
        </w:rPr>
        <w:t xml:space="preserve"> ist</w:t>
      </w:r>
      <w:r w:rsidR="00A77E2A" w:rsidRPr="005474B2">
        <w:rPr>
          <w:sz w:val="22"/>
          <w:szCs w:val="22"/>
          <w:lang w:val="sr-Latn-ME"/>
        </w:rPr>
        <w:t>a</w:t>
      </w:r>
      <w:r w:rsidRPr="005474B2">
        <w:rPr>
          <w:sz w:val="22"/>
          <w:szCs w:val="22"/>
          <w:lang w:val="sr-Latn-ME"/>
        </w:rPr>
        <w:t xml:space="preserve"> doz</w:t>
      </w:r>
      <w:r w:rsidR="00A77E2A" w:rsidRPr="005474B2">
        <w:rPr>
          <w:sz w:val="22"/>
          <w:szCs w:val="22"/>
          <w:lang w:val="sr-Latn-ME"/>
        </w:rPr>
        <w:t>a</w:t>
      </w:r>
      <w:r w:rsidRPr="005474B2">
        <w:rPr>
          <w:sz w:val="22"/>
          <w:szCs w:val="22"/>
          <w:lang w:val="sr-Latn-ME"/>
        </w:rPr>
        <w:t xml:space="preserve"> svake 2 nedjelje (Q2W) do 52. nedjelje (n=165)</w:t>
      </w:r>
      <w:r w:rsidR="00EC7F04" w:rsidRPr="005474B2">
        <w:rPr>
          <w:sz w:val="22"/>
          <w:szCs w:val="22"/>
          <w:lang w:val="sr-Latn-ME"/>
        </w:rPr>
        <w:t>;</w:t>
      </w:r>
    </w:p>
    <w:p w14:paraId="0B686D35" w14:textId="4E8D511F" w:rsidR="00852324" w:rsidRPr="005474B2" w:rsidRDefault="00852324">
      <w:pPr>
        <w:numPr>
          <w:ilvl w:val="1"/>
          <w:numId w:val="13"/>
        </w:numPr>
        <w:tabs>
          <w:tab w:val="left" w:pos="708"/>
        </w:tabs>
        <w:ind w:left="567" w:hanging="567"/>
        <w:jc w:val="both"/>
        <w:rPr>
          <w:sz w:val="22"/>
          <w:szCs w:val="22"/>
          <w:lang w:val="sr-Latn-ME"/>
        </w:rPr>
      </w:pPr>
      <w:r w:rsidRPr="005474B2">
        <w:rPr>
          <w:sz w:val="22"/>
          <w:szCs w:val="22"/>
          <w:lang w:val="sr-Latn-ME"/>
        </w:rPr>
        <w:t>sekukinumab u dozi od 300 mg u 0</w:t>
      </w:r>
      <w:r w:rsidR="00D03735" w:rsidRPr="005474B2">
        <w:rPr>
          <w:sz w:val="22"/>
          <w:szCs w:val="22"/>
          <w:lang w:val="sr-Latn-ME"/>
        </w:rPr>
        <w:t>.</w:t>
      </w:r>
      <w:r w:rsidRPr="005474B2">
        <w:rPr>
          <w:sz w:val="22"/>
          <w:szCs w:val="22"/>
          <w:lang w:val="sr-Latn-ME"/>
        </w:rPr>
        <w:t>, 1</w:t>
      </w:r>
      <w:r w:rsidR="00D03735" w:rsidRPr="005474B2">
        <w:rPr>
          <w:sz w:val="22"/>
          <w:szCs w:val="22"/>
          <w:lang w:val="sr-Latn-ME"/>
        </w:rPr>
        <w:t>.</w:t>
      </w:r>
      <w:r w:rsidRPr="005474B2">
        <w:rPr>
          <w:sz w:val="22"/>
          <w:szCs w:val="22"/>
          <w:lang w:val="sr-Latn-ME"/>
        </w:rPr>
        <w:t>, 2</w:t>
      </w:r>
      <w:r w:rsidR="00D03735" w:rsidRPr="005474B2">
        <w:rPr>
          <w:sz w:val="22"/>
          <w:szCs w:val="22"/>
          <w:lang w:val="sr-Latn-ME"/>
        </w:rPr>
        <w:t>.</w:t>
      </w:r>
      <w:r w:rsidRPr="005474B2">
        <w:rPr>
          <w:sz w:val="22"/>
          <w:szCs w:val="22"/>
          <w:lang w:val="sr-Latn-ME"/>
        </w:rPr>
        <w:t xml:space="preserve">, 3, i 4. nedjelji, </w:t>
      </w:r>
      <w:r w:rsidR="00A77E2A" w:rsidRPr="005474B2">
        <w:rPr>
          <w:sz w:val="22"/>
          <w:szCs w:val="22"/>
          <w:lang w:val="sr-Latn-ME"/>
        </w:rPr>
        <w:t>nakon čega je sl</w:t>
      </w:r>
      <w:r w:rsidR="00EC7F04" w:rsidRPr="005474B2">
        <w:rPr>
          <w:sz w:val="22"/>
          <w:szCs w:val="22"/>
          <w:lang w:val="sr-Latn-ME"/>
        </w:rPr>
        <w:t>ij</w:t>
      </w:r>
      <w:r w:rsidR="00A77E2A" w:rsidRPr="005474B2">
        <w:rPr>
          <w:sz w:val="22"/>
          <w:szCs w:val="22"/>
          <w:lang w:val="sr-Latn-ME"/>
        </w:rPr>
        <w:t>edila</w:t>
      </w:r>
      <w:r w:rsidRPr="005474B2">
        <w:rPr>
          <w:sz w:val="22"/>
          <w:szCs w:val="22"/>
          <w:lang w:val="sr-Latn-ME"/>
        </w:rPr>
        <w:t xml:space="preserve"> ist</w:t>
      </w:r>
      <w:r w:rsidR="00A77E2A" w:rsidRPr="005474B2">
        <w:rPr>
          <w:sz w:val="22"/>
          <w:szCs w:val="22"/>
          <w:lang w:val="sr-Latn-ME"/>
        </w:rPr>
        <w:t>a</w:t>
      </w:r>
      <w:r w:rsidRPr="005474B2">
        <w:rPr>
          <w:sz w:val="22"/>
          <w:szCs w:val="22"/>
          <w:lang w:val="sr-Latn-ME"/>
        </w:rPr>
        <w:t xml:space="preserve"> doz</w:t>
      </w:r>
      <w:r w:rsidR="00A77E2A" w:rsidRPr="005474B2">
        <w:rPr>
          <w:sz w:val="22"/>
          <w:szCs w:val="22"/>
          <w:lang w:val="sr-Latn-ME"/>
        </w:rPr>
        <w:t>a</w:t>
      </w:r>
      <w:r w:rsidRPr="005474B2">
        <w:rPr>
          <w:sz w:val="22"/>
          <w:szCs w:val="22"/>
          <w:lang w:val="sr-Latn-ME"/>
        </w:rPr>
        <w:t xml:space="preserve"> svake 4 nedjelje (Q4W) do 16. nedjelje (n=166).</w:t>
      </w:r>
    </w:p>
    <w:p w14:paraId="40324C31" w14:textId="6AE75E98" w:rsidR="00852324" w:rsidRPr="005474B2" w:rsidRDefault="00852324">
      <w:pPr>
        <w:pStyle w:val="Text"/>
        <w:widowControl w:val="0"/>
        <w:numPr>
          <w:ilvl w:val="1"/>
          <w:numId w:val="14"/>
        </w:numPr>
        <w:spacing w:before="0"/>
        <w:ind w:left="1134" w:hanging="567"/>
        <w:rPr>
          <w:sz w:val="22"/>
          <w:szCs w:val="22"/>
          <w:lang w:val="sr-Latn-ME"/>
        </w:rPr>
      </w:pPr>
      <w:r w:rsidRPr="005474B2">
        <w:rPr>
          <w:sz w:val="22"/>
          <w:szCs w:val="22"/>
          <w:lang w:val="sr-Latn-ME"/>
        </w:rPr>
        <w:lastRenderedPageBreak/>
        <w:t xml:space="preserve">Pacijenti randomizovani na primanje sekukinumaba u dozi od 300 mg Q4W </w:t>
      </w:r>
      <w:r w:rsidR="00A77E2A" w:rsidRPr="005474B2">
        <w:rPr>
          <w:sz w:val="22"/>
          <w:szCs w:val="22"/>
          <w:lang w:val="sr-Latn-ME"/>
        </w:rPr>
        <w:t>kod kojih je postignut</w:t>
      </w:r>
      <w:r w:rsidRPr="005474B2">
        <w:rPr>
          <w:sz w:val="22"/>
          <w:szCs w:val="22"/>
          <w:lang w:val="sr-Latn-ME"/>
        </w:rPr>
        <w:t xml:space="preserve"> odgovor PASI 90 u 16. nedjelji su nastavili da primaju isti režim doziranja do 52. nedjelje. Pacijenti randomizovani na primanje sekukinumaba u dozi od 300 mg Q4W koji ni</w:t>
      </w:r>
      <w:r w:rsidR="00746619" w:rsidRPr="005474B2">
        <w:rPr>
          <w:sz w:val="22"/>
          <w:szCs w:val="22"/>
          <w:lang w:val="sr-Latn-ME"/>
        </w:rPr>
        <w:t>je</w:t>
      </w:r>
      <w:r w:rsidRPr="005474B2">
        <w:rPr>
          <w:sz w:val="22"/>
          <w:szCs w:val="22"/>
          <w:lang w:val="sr-Latn-ME"/>
        </w:rPr>
        <w:t>su imali odgovor PASI 90 u 16. nedjelji su ili nastavili da primaju isti režim doziranja, ili su bili preraspodijeljeni na primanje sekukinumaba u dozi od 300 mg Q2W do 52. nedjelje.</w:t>
      </w:r>
    </w:p>
    <w:p w14:paraId="64A1C7A5" w14:textId="77777777" w:rsidR="00852324" w:rsidRPr="005474B2" w:rsidRDefault="00852324">
      <w:pPr>
        <w:pStyle w:val="Text"/>
        <w:widowControl w:val="0"/>
        <w:spacing w:before="0"/>
        <w:rPr>
          <w:sz w:val="22"/>
          <w:szCs w:val="22"/>
          <w:lang w:val="sr-Latn-ME"/>
        </w:rPr>
      </w:pPr>
    </w:p>
    <w:p w14:paraId="2D74E899" w14:textId="774EA523" w:rsidR="00852324" w:rsidRPr="005474B2" w:rsidRDefault="00852324">
      <w:pPr>
        <w:pStyle w:val="Text"/>
        <w:widowControl w:val="0"/>
        <w:spacing w:before="0"/>
        <w:rPr>
          <w:sz w:val="22"/>
          <w:szCs w:val="22"/>
          <w:lang w:val="sr-Latn-ME"/>
        </w:rPr>
      </w:pPr>
      <w:r w:rsidRPr="005474B2">
        <w:rPr>
          <w:sz w:val="22"/>
          <w:szCs w:val="22"/>
          <w:lang w:val="sr-Latn-ME"/>
        </w:rPr>
        <w:t xml:space="preserve">Sveukupno, procenat odgovora u pogledu efikasnosti u grupi liječenoj svake 2 nedjelje je bio </w:t>
      </w:r>
      <w:r w:rsidR="00A77E2A" w:rsidRPr="005474B2">
        <w:rPr>
          <w:sz w:val="22"/>
          <w:szCs w:val="22"/>
          <w:lang w:val="sr-Latn-ME"/>
        </w:rPr>
        <w:t>veći</w:t>
      </w:r>
      <w:r w:rsidRPr="005474B2">
        <w:rPr>
          <w:sz w:val="22"/>
          <w:szCs w:val="22"/>
          <w:lang w:val="sr-Latn-ME"/>
        </w:rPr>
        <w:t xml:space="preserve"> nego u  grupi </w:t>
      </w:r>
      <w:r w:rsidR="00A77E2A" w:rsidRPr="005474B2">
        <w:rPr>
          <w:sz w:val="22"/>
          <w:szCs w:val="22"/>
          <w:lang w:val="sr-Latn-ME"/>
        </w:rPr>
        <w:t>koja je bila na režimu doziranja</w:t>
      </w:r>
      <w:r w:rsidRPr="005474B2">
        <w:rPr>
          <w:sz w:val="22"/>
          <w:szCs w:val="22"/>
          <w:lang w:val="sr-Latn-ME"/>
        </w:rPr>
        <w:t xml:space="preserve"> svake 4 nedjelje (Tabela </w:t>
      </w:r>
      <w:r w:rsidR="008C6DC8" w:rsidRPr="005474B2">
        <w:rPr>
          <w:sz w:val="22"/>
          <w:szCs w:val="22"/>
          <w:lang w:val="sr-Latn-ME"/>
        </w:rPr>
        <w:t>7</w:t>
      </w:r>
      <w:r w:rsidRPr="005474B2">
        <w:rPr>
          <w:sz w:val="22"/>
          <w:szCs w:val="22"/>
          <w:lang w:val="sr-Latn-ME"/>
        </w:rPr>
        <w:t>).</w:t>
      </w:r>
    </w:p>
    <w:p w14:paraId="790BFF62" w14:textId="77777777" w:rsidR="00852324" w:rsidRPr="005474B2" w:rsidRDefault="00852324">
      <w:pPr>
        <w:jc w:val="both"/>
        <w:rPr>
          <w:sz w:val="22"/>
          <w:szCs w:val="22"/>
          <w:lang w:val="sr-Latn-ME"/>
        </w:rPr>
      </w:pPr>
    </w:p>
    <w:p w14:paraId="5C514F95" w14:textId="1F222E1F" w:rsidR="00852324" w:rsidRPr="005474B2" w:rsidRDefault="00852324">
      <w:pPr>
        <w:jc w:val="both"/>
        <w:rPr>
          <w:b/>
          <w:bCs/>
          <w:sz w:val="22"/>
          <w:szCs w:val="22"/>
          <w:lang w:val="sr-Latn-ME"/>
        </w:rPr>
      </w:pPr>
      <w:r w:rsidRPr="005474B2">
        <w:rPr>
          <w:b/>
          <w:bCs/>
          <w:sz w:val="22"/>
          <w:szCs w:val="22"/>
          <w:lang w:val="sr-Latn-ME"/>
        </w:rPr>
        <w:t xml:space="preserve">Tabela </w:t>
      </w:r>
      <w:r w:rsidR="008C6DC8" w:rsidRPr="005474B2">
        <w:rPr>
          <w:b/>
          <w:bCs/>
          <w:sz w:val="22"/>
          <w:szCs w:val="22"/>
          <w:lang w:val="sr-Latn-ME"/>
        </w:rPr>
        <w:t>7</w:t>
      </w:r>
      <w:r w:rsidRPr="005474B2">
        <w:rPr>
          <w:b/>
          <w:bCs/>
          <w:sz w:val="22"/>
          <w:szCs w:val="22"/>
          <w:lang w:val="sr-Latn-ME"/>
        </w:rPr>
        <w:tab/>
        <w:t xml:space="preserve">Sažetak kliničkog odgovora u ispitivanju fleksibilnosti doziranja kod plak </w:t>
      </w:r>
      <w:r w:rsidR="00E10979" w:rsidRPr="005474B2">
        <w:rPr>
          <w:b/>
          <w:bCs/>
          <w:sz w:val="22"/>
          <w:szCs w:val="22"/>
          <w:lang w:val="sr-Latn-ME"/>
        </w:rPr>
        <w:t xml:space="preserve"> </w:t>
      </w:r>
      <w:r w:rsidRPr="005474B2">
        <w:rPr>
          <w:b/>
          <w:bCs/>
          <w:sz w:val="22"/>
          <w:szCs w:val="22"/>
          <w:lang w:val="sr-Latn-ME"/>
        </w:rPr>
        <w:t>psorijaze*</w:t>
      </w:r>
    </w:p>
    <w:p w14:paraId="7988D933" w14:textId="1E8EAE20" w:rsidR="00852324" w:rsidRPr="005474B2" w:rsidRDefault="00852324">
      <w:pPr>
        <w:jc w:val="both"/>
        <w:rPr>
          <w:sz w:val="22"/>
          <w:szCs w:val="22"/>
          <w:lang w:val="sr-Latn-ME"/>
        </w:rPr>
      </w:pPr>
    </w:p>
    <w:tbl>
      <w:tblPr>
        <w:tblStyle w:val="TableGrid1"/>
        <w:tblW w:w="9630" w:type="dxa"/>
        <w:tblInd w:w="0" w:type="dxa"/>
        <w:tblLayout w:type="fixed"/>
        <w:tblLook w:val="04A0" w:firstRow="1" w:lastRow="0" w:firstColumn="1" w:lastColumn="0" w:noHBand="0" w:noVBand="1"/>
      </w:tblPr>
      <w:tblGrid>
        <w:gridCol w:w="1976"/>
        <w:gridCol w:w="1913"/>
        <w:gridCol w:w="1914"/>
        <w:gridCol w:w="1913"/>
        <w:gridCol w:w="1914"/>
      </w:tblGrid>
      <w:tr w:rsidR="00852324" w:rsidRPr="0009637B" w14:paraId="61990EA0" w14:textId="77777777" w:rsidTr="0042255C">
        <w:trPr>
          <w:cantSplit/>
        </w:trPr>
        <w:tc>
          <w:tcPr>
            <w:tcW w:w="1975" w:type="dxa"/>
            <w:vMerge w:val="restart"/>
            <w:tcBorders>
              <w:top w:val="single" w:sz="4" w:space="0" w:color="auto"/>
              <w:left w:val="single" w:sz="4" w:space="0" w:color="auto"/>
              <w:bottom w:val="single" w:sz="4" w:space="0" w:color="auto"/>
              <w:right w:val="single" w:sz="4" w:space="0" w:color="auto"/>
            </w:tcBorders>
          </w:tcPr>
          <w:p w14:paraId="494A7052" w14:textId="77777777" w:rsidR="00852324" w:rsidRPr="005474B2" w:rsidRDefault="00852324" w:rsidP="005474B2">
            <w:pPr>
              <w:jc w:val="both"/>
              <w:rPr>
                <w:rFonts w:ascii="Times New Roman" w:eastAsia="MS Mincho" w:hAnsi="Times New Roman" w:cs="Times New Roman"/>
                <w:sz w:val="22"/>
                <w:szCs w:val="22"/>
                <w:lang w:val="sr-Latn-ME" w:eastAsia="zh-CN"/>
              </w:rPr>
            </w:pPr>
          </w:p>
        </w:tc>
        <w:tc>
          <w:tcPr>
            <w:tcW w:w="3825" w:type="dxa"/>
            <w:gridSpan w:val="2"/>
            <w:tcBorders>
              <w:top w:val="single" w:sz="4" w:space="0" w:color="auto"/>
              <w:left w:val="single" w:sz="4" w:space="0" w:color="auto"/>
              <w:bottom w:val="single" w:sz="4" w:space="0" w:color="auto"/>
              <w:right w:val="single" w:sz="4" w:space="0" w:color="auto"/>
            </w:tcBorders>
            <w:vAlign w:val="center"/>
            <w:hideMark/>
          </w:tcPr>
          <w:p w14:paraId="47C3D414" w14:textId="77777777" w:rsidR="00852324" w:rsidRPr="005474B2" w:rsidRDefault="00852324" w:rsidP="005474B2">
            <w:pPr>
              <w:jc w:val="both"/>
              <w:rPr>
                <w:rFonts w:ascii="Times New Roman" w:eastAsia="MS Mincho" w:hAnsi="Times New Roman" w:cs="Times New Roman"/>
                <w:b/>
                <w:sz w:val="22"/>
                <w:szCs w:val="22"/>
                <w:lang w:val="sr-Latn-ME" w:eastAsia="zh-CN"/>
              </w:rPr>
            </w:pPr>
            <w:r w:rsidRPr="005474B2">
              <w:rPr>
                <w:rFonts w:ascii="Times New Roman" w:eastAsia="MS Mincho" w:hAnsi="Times New Roman" w:cs="Times New Roman"/>
                <w:b/>
                <w:sz w:val="22"/>
                <w:szCs w:val="22"/>
                <w:lang w:val="sr-Latn-ME" w:eastAsia="zh-CN"/>
              </w:rPr>
              <w:t>16. nedjelja</w:t>
            </w:r>
          </w:p>
        </w:tc>
        <w:tc>
          <w:tcPr>
            <w:tcW w:w="3825" w:type="dxa"/>
            <w:gridSpan w:val="2"/>
            <w:tcBorders>
              <w:top w:val="single" w:sz="4" w:space="0" w:color="auto"/>
              <w:left w:val="single" w:sz="4" w:space="0" w:color="auto"/>
              <w:bottom w:val="single" w:sz="4" w:space="0" w:color="auto"/>
              <w:right w:val="single" w:sz="4" w:space="0" w:color="auto"/>
            </w:tcBorders>
            <w:vAlign w:val="center"/>
            <w:hideMark/>
          </w:tcPr>
          <w:p w14:paraId="3EABD862" w14:textId="77777777" w:rsidR="00852324" w:rsidRPr="005474B2" w:rsidRDefault="00852324" w:rsidP="005474B2">
            <w:pPr>
              <w:jc w:val="both"/>
              <w:rPr>
                <w:rFonts w:ascii="Times New Roman" w:eastAsia="MS Mincho" w:hAnsi="Times New Roman" w:cs="Times New Roman"/>
                <w:b/>
                <w:sz w:val="22"/>
                <w:szCs w:val="22"/>
                <w:lang w:val="sr-Latn-ME" w:eastAsia="zh-CN"/>
              </w:rPr>
            </w:pPr>
            <w:r w:rsidRPr="005474B2">
              <w:rPr>
                <w:rFonts w:ascii="Times New Roman" w:eastAsia="MS Mincho" w:hAnsi="Times New Roman" w:cs="Times New Roman"/>
                <w:b/>
                <w:sz w:val="22"/>
                <w:szCs w:val="22"/>
                <w:lang w:val="sr-Latn-ME" w:eastAsia="zh-CN"/>
              </w:rPr>
              <w:t>52. nedjelja</w:t>
            </w:r>
          </w:p>
        </w:tc>
      </w:tr>
      <w:tr w:rsidR="00852324" w:rsidRPr="0009637B" w14:paraId="7F3BCCE1" w14:textId="77777777" w:rsidTr="0042255C">
        <w:trPr>
          <w:cantSplit/>
        </w:trPr>
        <w:tc>
          <w:tcPr>
            <w:tcW w:w="9625" w:type="dxa"/>
            <w:vMerge/>
            <w:tcBorders>
              <w:top w:val="single" w:sz="4" w:space="0" w:color="auto"/>
              <w:left w:val="single" w:sz="4" w:space="0" w:color="auto"/>
              <w:bottom w:val="single" w:sz="4" w:space="0" w:color="auto"/>
              <w:right w:val="single" w:sz="4" w:space="0" w:color="auto"/>
            </w:tcBorders>
            <w:vAlign w:val="center"/>
            <w:hideMark/>
          </w:tcPr>
          <w:p w14:paraId="47D306F6" w14:textId="77777777" w:rsidR="00852324" w:rsidRPr="005474B2" w:rsidRDefault="00852324" w:rsidP="005474B2">
            <w:pPr>
              <w:tabs>
                <w:tab w:val="left" w:pos="567"/>
              </w:tabs>
              <w:jc w:val="both"/>
              <w:rPr>
                <w:rFonts w:ascii="Times New Roman" w:eastAsia="MS Mincho" w:hAnsi="Times New Roman" w:cs="Times New Roman"/>
                <w:sz w:val="22"/>
                <w:szCs w:val="22"/>
                <w:lang w:val="sr-Latn-ME" w:eastAsia="zh-CN"/>
              </w:rPr>
            </w:pPr>
          </w:p>
        </w:tc>
        <w:tc>
          <w:tcPr>
            <w:tcW w:w="1912" w:type="dxa"/>
            <w:tcBorders>
              <w:top w:val="single" w:sz="4" w:space="0" w:color="auto"/>
              <w:left w:val="single" w:sz="4" w:space="0" w:color="auto"/>
              <w:bottom w:val="single" w:sz="4" w:space="0" w:color="auto"/>
              <w:right w:val="single" w:sz="4" w:space="0" w:color="auto"/>
            </w:tcBorders>
            <w:hideMark/>
          </w:tcPr>
          <w:p w14:paraId="05BEE85B" w14:textId="77777777" w:rsidR="00852324" w:rsidRPr="005474B2" w:rsidRDefault="00852324" w:rsidP="005474B2">
            <w:pPr>
              <w:jc w:val="both"/>
              <w:rPr>
                <w:rFonts w:ascii="Times New Roman" w:eastAsia="MS Mincho" w:hAnsi="Times New Roman" w:cs="Times New Roman"/>
                <w:b/>
                <w:sz w:val="22"/>
                <w:szCs w:val="22"/>
                <w:lang w:val="sr-Latn-ME" w:eastAsia="zh-CN"/>
              </w:rPr>
            </w:pPr>
            <w:r w:rsidRPr="005474B2">
              <w:rPr>
                <w:rFonts w:ascii="Times New Roman" w:eastAsia="MS Mincho" w:hAnsi="Times New Roman" w:cs="Times New Roman"/>
                <w:b/>
                <w:sz w:val="22"/>
                <w:szCs w:val="22"/>
                <w:lang w:val="sr-Latn-ME" w:eastAsia="zh-CN"/>
              </w:rPr>
              <w:t>sekukinumab 300 mg Q2W</w:t>
            </w:r>
          </w:p>
        </w:tc>
        <w:tc>
          <w:tcPr>
            <w:tcW w:w="1913" w:type="dxa"/>
            <w:tcBorders>
              <w:top w:val="single" w:sz="4" w:space="0" w:color="auto"/>
              <w:left w:val="single" w:sz="4" w:space="0" w:color="auto"/>
              <w:bottom w:val="single" w:sz="4" w:space="0" w:color="auto"/>
              <w:right w:val="single" w:sz="4" w:space="0" w:color="auto"/>
            </w:tcBorders>
            <w:hideMark/>
          </w:tcPr>
          <w:p w14:paraId="07E4AE7F" w14:textId="77777777" w:rsidR="00852324" w:rsidRPr="005474B2" w:rsidRDefault="00852324" w:rsidP="005474B2">
            <w:pPr>
              <w:jc w:val="both"/>
              <w:rPr>
                <w:rFonts w:ascii="Times New Roman" w:eastAsia="MS Mincho" w:hAnsi="Times New Roman" w:cs="Times New Roman"/>
                <w:b/>
                <w:sz w:val="22"/>
                <w:szCs w:val="22"/>
                <w:lang w:val="sr-Latn-ME" w:eastAsia="zh-CN"/>
              </w:rPr>
            </w:pPr>
            <w:r w:rsidRPr="005474B2">
              <w:rPr>
                <w:rFonts w:ascii="Times New Roman" w:eastAsia="MS Mincho" w:hAnsi="Times New Roman" w:cs="Times New Roman"/>
                <w:b/>
                <w:sz w:val="22"/>
                <w:szCs w:val="22"/>
                <w:lang w:val="sr-Latn-ME" w:eastAsia="zh-CN"/>
              </w:rPr>
              <w:t>sekukinumab 300 mg Q4W</w:t>
            </w:r>
          </w:p>
        </w:tc>
        <w:tc>
          <w:tcPr>
            <w:tcW w:w="1912" w:type="dxa"/>
            <w:tcBorders>
              <w:top w:val="single" w:sz="4" w:space="0" w:color="auto"/>
              <w:left w:val="single" w:sz="4" w:space="0" w:color="auto"/>
              <w:bottom w:val="single" w:sz="4" w:space="0" w:color="auto"/>
              <w:right w:val="single" w:sz="4" w:space="0" w:color="auto"/>
            </w:tcBorders>
            <w:hideMark/>
          </w:tcPr>
          <w:p w14:paraId="6B0703E5" w14:textId="77777777" w:rsidR="00852324" w:rsidRPr="005474B2" w:rsidRDefault="00852324" w:rsidP="005474B2">
            <w:pPr>
              <w:jc w:val="both"/>
              <w:rPr>
                <w:rFonts w:ascii="Times New Roman" w:eastAsia="MS Mincho" w:hAnsi="Times New Roman" w:cs="Times New Roman"/>
                <w:b/>
                <w:sz w:val="22"/>
                <w:szCs w:val="22"/>
                <w:lang w:val="sr-Latn-ME" w:eastAsia="zh-CN"/>
              </w:rPr>
            </w:pPr>
            <w:r w:rsidRPr="005474B2">
              <w:rPr>
                <w:rFonts w:ascii="Times New Roman" w:eastAsia="MS Mincho" w:hAnsi="Times New Roman" w:cs="Times New Roman"/>
                <w:b/>
                <w:sz w:val="22"/>
                <w:szCs w:val="22"/>
                <w:lang w:val="sr-Latn-ME" w:eastAsia="zh-CN"/>
              </w:rPr>
              <w:t>sekukinumab 300 mg Q2W</w:t>
            </w:r>
          </w:p>
        </w:tc>
        <w:tc>
          <w:tcPr>
            <w:tcW w:w="1913" w:type="dxa"/>
            <w:tcBorders>
              <w:top w:val="single" w:sz="4" w:space="0" w:color="auto"/>
              <w:left w:val="single" w:sz="4" w:space="0" w:color="auto"/>
              <w:bottom w:val="single" w:sz="4" w:space="0" w:color="auto"/>
              <w:right w:val="single" w:sz="4" w:space="0" w:color="auto"/>
            </w:tcBorders>
          </w:tcPr>
          <w:p w14:paraId="072D4628" w14:textId="77777777" w:rsidR="00852324" w:rsidRPr="005474B2" w:rsidRDefault="00852324" w:rsidP="005474B2">
            <w:pPr>
              <w:jc w:val="both"/>
              <w:rPr>
                <w:rFonts w:ascii="Times New Roman" w:eastAsia="MS Mincho" w:hAnsi="Times New Roman" w:cs="Times New Roman"/>
                <w:b/>
                <w:strike/>
                <w:sz w:val="22"/>
                <w:szCs w:val="22"/>
                <w:lang w:val="sr-Latn-ME" w:eastAsia="zh-CN"/>
              </w:rPr>
            </w:pPr>
            <w:r w:rsidRPr="005474B2">
              <w:rPr>
                <w:rFonts w:ascii="Times New Roman" w:eastAsia="MS Mincho" w:hAnsi="Times New Roman" w:cs="Times New Roman"/>
                <w:b/>
                <w:sz w:val="22"/>
                <w:szCs w:val="22"/>
                <w:lang w:val="sr-Latn-ME" w:eastAsia="zh-CN"/>
              </w:rPr>
              <w:t>sekukinumab 300 mg Q4W</w:t>
            </w:r>
            <w:r w:rsidRPr="005474B2">
              <w:rPr>
                <w:rFonts w:ascii="Times New Roman" w:eastAsia="MS Mincho" w:hAnsi="Times New Roman" w:cs="Times New Roman"/>
                <w:sz w:val="22"/>
                <w:szCs w:val="22"/>
                <w:vertAlign w:val="superscript"/>
                <w:lang w:val="sr-Latn-ME" w:eastAsia="zh-CN"/>
              </w:rPr>
              <w:t>1</w:t>
            </w:r>
          </w:p>
          <w:p w14:paraId="6EE9179D" w14:textId="77777777" w:rsidR="00852324" w:rsidRPr="005474B2" w:rsidRDefault="00852324" w:rsidP="005474B2">
            <w:pPr>
              <w:jc w:val="both"/>
              <w:rPr>
                <w:rFonts w:ascii="Times New Roman" w:eastAsia="MS Mincho" w:hAnsi="Times New Roman" w:cs="Times New Roman"/>
                <w:b/>
                <w:sz w:val="22"/>
                <w:szCs w:val="22"/>
                <w:lang w:val="sr-Latn-ME" w:eastAsia="zh-CN"/>
              </w:rPr>
            </w:pPr>
          </w:p>
        </w:tc>
      </w:tr>
      <w:tr w:rsidR="00852324" w:rsidRPr="0009637B" w14:paraId="7782215C" w14:textId="77777777" w:rsidTr="0042255C">
        <w:trPr>
          <w:cantSplit/>
        </w:trPr>
        <w:tc>
          <w:tcPr>
            <w:tcW w:w="1975" w:type="dxa"/>
            <w:tcBorders>
              <w:top w:val="single" w:sz="4" w:space="0" w:color="auto"/>
              <w:left w:val="single" w:sz="4" w:space="0" w:color="auto"/>
              <w:bottom w:val="single" w:sz="4" w:space="0" w:color="auto"/>
              <w:right w:val="single" w:sz="4" w:space="0" w:color="auto"/>
            </w:tcBorders>
            <w:hideMark/>
          </w:tcPr>
          <w:p w14:paraId="342FD4D7"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Broj pacijenata</w:t>
            </w:r>
          </w:p>
        </w:tc>
        <w:tc>
          <w:tcPr>
            <w:tcW w:w="1912" w:type="dxa"/>
            <w:tcBorders>
              <w:top w:val="single" w:sz="4" w:space="0" w:color="auto"/>
              <w:left w:val="single" w:sz="4" w:space="0" w:color="auto"/>
              <w:bottom w:val="single" w:sz="4" w:space="0" w:color="auto"/>
              <w:right w:val="single" w:sz="4" w:space="0" w:color="auto"/>
            </w:tcBorders>
            <w:hideMark/>
          </w:tcPr>
          <w:p w14:paraId="2A0514BF"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165</w:t>
            </w:r>
          </w:p>
        </w:tc>
        <w:tc>
          <w:tcPr>
            <w:tcW w:w="1913" w:type="dxa"/>
            <w:tcBorders>
              <w:top w:val="single" w:sz="4" w:space="0" w:color="auto"/>
              <w:left w:val="single" w:sz="4" w:space="0" w:color="auto"/>
              <w:bottom w:val="single" w:sz="4" w:space="0" w:color="auto"/>
              <w:right w:val="single" w:sz="4" w:space="0" w:color="auto"/>
            </w:tcBorders>
            <w:hideMark/>
          </w:tcPr>
          <w:p w14:paraId="1FF9B8A8"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166</w:t>
            </w:r>
          </w:p>
        </w:tc>
        <w:tc>
          <w:tcPr>
            <w:tcW w:w="1912" w:type="dxa"/>
            <w:tcBorders>
              <w:top w:val="single" w:sz="4" w:space="0" w:color="auto"/>
              <w:left w:val="single" w:sz="4" w:space="0" w:color="auto"/>
              <w:bottom w:val="single" w:sz="4" w:space="0" w:color="auto"/>
              <w:right w:val="single" w:sz="4" w:space="0" w:color="auto"/>
            </w:tcBorders>
            <w:hideMark/>
          </w:tcPr>
          <w:p w14:paraId="4A2DD3A1"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165</w:t>
            </w:r>
          </w:p>
        </w:tc>
        <w:tc>
          <w:tcPr>
            <w:tcW w:w="1913" w:type="dxa"/>
            <w:tcBorders>
              <w:top w:val="single" w:sz="4" w:space="0" w:color="auto"/>
              <w:left w:val="single" w:sz="4" w:space="0" w:color="auto"/>
              <w:bottom w:val="single" w:sz="4" w:space="0" w:color="auto"/>
              <w:right w:val="single" w:sz="4" w:space="0" w:color="auto"/>
            </w:tcBorders>
            <w:hideMark/>
          </w:tcPr>
          <w:p w14:paraId="5B1CB615" w14:textId="77777777" w:rsidR="00852324" w:rsidRPr="005474B2" w:rsidRDefault="00852324" w:rsidP="005474B2">
            <w:pPr>
              <w:jc w:val="both"/>
              <w:rPr>
                <w:rFonts w:ascii="Times New Roman" w:eastAsia="MS Mincho" w:hAnsi="Times New Roman" w:cs="Times New Roman"/>
                <w:strike/>
                <w:sz w:val="22"/>
                <w:szCs w:val="22"/>
                <w:lang w:val="sr-Latn-ME" w:eastAsia="zh-CN"/>
              </w:rPr>
            </w:pPr>
            <w:r w:rsidRPr="005474B2">
              <w:rPr>
                <w:rFonts w:ascii="Times New Roman" w:eastAsia="MS Mincho" w:hAnsi="Times New Roman" w:cs="Times New Roman"/>
                <w:sz w:val="22"/>
                <w:szCs w:val="22"/>
                <w:lang w:val="sr-Latn-ME" w:eastAsia="zh-CN"/>
              </w:rPr>
              <w:t>83</w:t>
            </w:r>
          </w:p>
        </w:tc>
      </w:tr>
      <w:tr w:rsidR="00852324" w:rsidRPr="0009637B" w14:paraId="68D6F3AA" w14:textId="77777777" w:rsidTr="0042255C">
        <w:trPr>
          <w:cantSplit/>
        </w:trPr>
        <w:tc>
          <w:tcPr>
            <w:tcW w:w="1975" w:type="dxa"/>
            <w:tcBorders>
              <w:top w:val="single" w:sz="4" w:space="0" w:color="auto"/>
              <w:left w:val="single" w:sz="4" w:space="0" w:color="auto"/>
              <w:bottom w:val="single" w:sz="4" w:space="0" w:color="auto"/>
              <w:right w:val="single" w:sz="4" w:space="0" w:color="auto"/>
            </w:tcBorders>
            <w:hideMark/>
          </w:tcPr>
          <w:p w14:paraId="5646CF8A"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Odgovor PASI 90 n (%)</w:t>
            </w:r>
          </w:p>
        </w:tc>
        <w:tc>
          <w:tcPr>
            <w:tcW w:w="1912" w:type="dxa"/>
            <w:tcBorders>
              <w:top w:val="single" w:sz="4" w:space="0" w:color="auto"/>
              <w:left w:val="single" w:sz="4" w:space="0" w:color="auto"/>
              <w:bottom w:val="single" w:sz="4" w:space="0" w:color="auto"/>
              <w:right w:val="single" w:sz="4" w:space="0" w:color="auto"/>
            </w:tcBorders>
            <w:hideMark/>
          </w:tcPr>
          <w:p w14:paraId="7594CA8E"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121 (73,2%) **</w:t>
            </w:r>
          </w:p>
        </w:tc>
        <w:tc>
          <w:tcPr>
            <w:tcW w:w="1913" w:type="dxa"/>
            <w:tcBorders>
              <w:top w:val="single" w:sz="4" w:space="0" w:color="auto"/>
              <w:left w:val="single" w:sz="4" w:space="0" w:color="auto"/>
              <w:bottom w:val="single" w:sz="4" w:space="0" w:color="auto"/>
              <w:right w:val="single" w:sz="4" w:space="0" w:color="auto"/>
            </w:tcBorders>
            <w:hideMark/>
          </w:tcPr>
          <w:p w14:paraId="682B993A"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92 (55,5%)</w:t>
            </w:r>
          </w:p>
        </w:tc>
        <w:tc>
          <w:tcPr>
            <w:tcW w:w="1912" w:type="dxa"/>
            <w:tcBorders>
              <w:top w:val="single" w:sz="4" w:space="0" w:color="auto"/>
              <w:left w:val="single" w:sz="4" w:space="0" w:color="auto"/>
              <w:bottom w:val="single" w:sz="4" w:space="0" w:color="auto"/>
              <w:right w:val="single" w:sz="4" w:space="0" w:color="auto"/>
            </w:tcBorders>
            <w:hideMark/>
          </w:tcPr>
          <w:p w14:paraId="6BA238C8"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126 (76,4%)</w:t>
            </w:r>
          </w:p>
        </w:tc>
        <w:tc>
          <w:tcPr>
            <w:tcW w:w="1913" w:type="dxa"/>
            <w:tcBorders>
              <w:top w:val="single" w:sz="4" w:space="0" w:color="auto"/>
              <w:left w:val="single" w:sz="4" w:space="0" w:color="auto"/>
              <w:bottom w:val="single" w:sz="4" w:space="0" w:color="auto"/>
              <w:right w:val="single" w:sz="4" w:space="0" w:color="auto"/>
            </w:tcBorders>
            <w:hideMark/>
          </w:tcPr>
          <w:p w14:paraId="49695461"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44 (52,4%)</w:t>
            </w:r>
          </w:p>
        </w:tc>
      </w:tr>
      <w:tr w:rsidR="00852324" w:rsidRPr="0009637B" w14:paraId="4791F326" w14:textId="77777777" w:rsidTr="0042255C">
        <w:trPr>
          <w:cantSplit/>
        </w:trPr>
        <w:tc>
          <w:tcPr>
            <w:tcW w:w="1975" w:type="dxa"/>
            <w:tcBorders>
              <w:top w:val="single" w:sz="4" w:space="0" w:color="auto"/>
              <w:left w:val="single" w:sz="4" w:space="0" w:color="auto"/>
              <w:bottom w:val="single" w:sz="4" w:space="0" w:color="auto"/>
              <w:right w:val="single" w:sz="4" w:space="0" w:color="auto"/>
            </w:tcBorders>
            <w:hideMark/>
          </w:tcPr>
          <w:p w14:paraId="194EA637"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Odgovor IGA mod 2011 „čista“ ili „gotovo čista“ n (%)</w:t>
            </w:r>
          </w:p>
        </w:tc>
        <w:tc>
          <w:tcPr>
            <w:tcW w:w="1912" w:type="dxa"/>
            <w:tcBorders>
              <w:top w:val="single" w:sz="4" w:space="0" w:color="auto"/>
              <w:left w:val="single" w:sz="4" w:space="0" w:color="auto"/>
              <w:bottom w:val="single" w:sz="4" w:space="0" w:color="auto"/>
              <w:right w:val="single" w:sz="4" w:space="0" w:color="auto"/>
            </w:tcBorders>
            <w:hideMark/>
          </w:tcPr>
          <w:p w14:paraId="794B3D35"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122 (74,2%)</w:t>
            </w:r>
            <w:r w:rsidRPr="005474B2">
              <w:rPr>
                <w:rFonts w:ascii="Times New Roman" w:eastAsia="MS Mincho" w:hAnsi="Times New Roman" w:cs="Times New Roman"/>
                <w:sz w:val="22"/>
                <w:szCs w:val="22"/>
                <w:vertAlign w:val="superscript"/>
                <w:lang w:val="sr-Latn-ME" w:eastAsia="zh-CN"/>
              </w:rPr>
              <w:t>2</w:t>
            </w:r>
          </w:p>
        </w:tc>
        <w:tc>
          <w:tcPr>
            <w:tcW w:w="1913" w:type="dxa"/>
            <w:tcBorders>
              <w:top w:val="single" w:sz="4" w:space="0" w:color="auto"/>
              <w:left w:val="single" w:sz="4" w:space="0" w:color="auto"/>
              <w:bottom w:val="single" w:sz="4" w:space="0" w:color="auto"/>
              <w:right w:val="single" w:sz="4" w:space="0" w:color="auto"/>
            </w:tcBorders>
            <w:hideMark/>
          </w:tcPr>
          <w:p w14:paraId="5678010E"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109 (65,9%)</w:t>
            </w:r>
            <w:r w:rsidRPr="005474B2">
              <w:rPr>
                <w:rFonts w:ascii="Times New Roman" w:eastAsia="MS Mincho" w:hAnsi="Times New Roman" w:cs="Times New Roman"/>
                <w:sz w:val="22"/>
                <w:szCs w:val="22"/>
                <w:vertAlign w:val="superscript"/>
                <w:lang w:val="sr-Latn-ME" w:eastAsia="zh-CN"/>
              </w:rPr>
              <w:t>2</w:t>
            </w:r>
          </w:p>
        </w:tc>
        <w:tc>
          <w:tcPr>
            <w:tcW w:w="1912" w:type="dxa"/>
            <w:tcBorders>
              <w:top w:val="single" w:sz="4" w:space="0" w:color="auto"/>
              <w:left w:val="single" w:sz="4" w:space="0" w:color="auto"/>
              <w:bottom w:val="single" w:sz="4" w:space="0" w:color="auto"/>
              <w:right w:val="single" w:sz="4" w:space="0" w:color="auto"/>
            </w:tcBorders>
            <w:hideMark/>
          </w:tcPr>
          <w:p w14:paraId="54CD5804"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125 (75,9%)</w:t>
            </w:r>
          </w:p>
        </w:tc>
        <w:tc>
          <w:tcPr>
            <w:tcW w:w="1913" w:type="dxa"/>
            <w:tcBorders>
              <w:top w:val="single" w:sz="4" w:space="0" w:color="auto"/>
              <w:left w:val="single" w:sz="4" w:space="0" w:color="auto"/>
              <w:bottom w:val="single" w:sz="4" w:space="0" w:color="auto"/>
              <w:right w:val="single" w:sz="4" w:space="0" w:color="auto"/>
            </w:tcBorders>
            <w:hideMark/>
          </w:tcPr>
          <w:p w14:paraId="64B67ACD"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46 (55,6%)</w:t>
            </w:r>
          </w:p>
        </w:tc>
      </w:tr>
      <w:tr w:rsidR="00852324" w:rsidRPr="0009637B" w14:paraId="40949249" w14:textId="77777777" w:rsidTr="0042255C">
        <w:trPr>
          <w:cantSplit/>
        </w:trPr>
        <w:tc>
          <w:tcPr>
            <w:tcW w:w="9625" w:type="dxa"/>
            <w:gridSpan w:val="5"/>
            <w:tcBorders>
              <w:top w:val="single" w:sz="4" w:space="0" w:color="auto"/>
              <w:left w:val="single" w:sz="4" w:space="0" w:color="auto"/>
              <w:bottom w:val="single" w:sz="4" w:space="0" w:color="auto"/>
              <w:right w:val="single" w:sz="4" w:space="0" w:color="auto"/>
            </w:tcBorders>
            <w:hideMark/>
          </w:tcPr>
          <w:p w14:paraId="4529C921" w14:textId="77777777" w:rsidR="00852324" w:rsidRPr="005474B2" w:rsidRDefault="00852324" w:rsidP="005474B2">
            <w:pPr>
              <w:jc w:val="both"/>
              <w:rPr>
                <w:rFonts w:ascii="Times New Roman" w:hAnsi="Times New Roman" w:cs="Times New Roman"/>
                <w:sz w:val="22"/>
                <w:szCs w:val="22"/>
                <w:lang w:val="sr-Latn-ME"/>
              </w:rPr>
            </w:pPr>
            <w:r w:rsidRPr="005474B2">
              <w:rPr>
                <w:rFonts w:ascii="Times New Roman" w:hAnsi="Times New Roman" w:cs="Times New Roman"/>
                <w:sz w:val="22"/>
                <w:szCs w:val="22"/>
                <w:lang w:val="sr-Latn-ME"/>
              </w:rPr>
              <w:t>* Višestruka imputacija</w:t>
            </w:r>
          </w:p>
          <w:p w14:paraId="6F15C609"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vertAlign w:val="superscript"/>
                <w:lang w:val="sr-Latn-ME" w:eastAsia="zh-CN"/>
              </w:rPr>
              <w:t>1</w:t>
            </w:r>
            <w:r w:rsidRPr="005474B2">
              <w:rPr>
                <w:rFonts w:ascii="Times New Roman" w:eastAsia="MS Mincho" w:hAnsi="Times New Roman" w:cs="Times New Roman"/>
                <w:sz w:val="22"/>
                <w:szCs w:val="22"/>
                <w:lang w:val="sr-Latn-ME" w:eastAsia="zh-CN"/>
              </w:rPr>
              <w:t xml:space="preserve"> 300 mg Q4W: pacijenti kontinuirano liječeni dozom od 300 mg Q4W bez obzira na status odgovora PASI 90 u 16. nedjelji; 43 pacijenta su imala odgovor PASI 90 u 16. nedjelji i 40 pacijenata nije imalo odgovor PASI 90 u 16. nedjelji</w:t>
            </w:r>
          </w:p>
          <w:p w14:paraId="315B3950" w14:textId="2E067CE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lang w:val="sr-Latn-ME" w:eastAsia="zh-CN"/>
              </w:rPr>
              <w:t xml:space="preserve">** Jednostrana p vrijednost = 0,0003 za mjeru primarnog </w:t>
            </w:r>
            <w:r w:rsidR="00A77E2A" w:rsidRPr="005474B2">
              <w:rPr>
                <w:rFonts w:ascii="Times New Roman" w:eastAsia="MS Mincho" w:hAnsi="Times New Roman" w:cs="Times New Roman"/>
                <w:sz w:val="22"/>
                <w:szCs w:val="22"/>
                <w:lang w:val="sr-Latn-ME" w:eastAsia="zh-CN"/>
              </w:rPr>
              <w:t>parametra praćenja</w:t>
            </w:r>
            <w:r w:rsidRPr="005474B2">
              <w:rPr>
                <w:rFonts w:ascii="Times New Roman" w:eastAsia="MS Mincho" w:hAnsi="Times New Roman" w:cs="Times New Roman"/>
                <w:sz w:val="22"/>
                <w:szCs w:val="22"/>
                <w:lang w:val="sr-Latn-ME" w:eastAsia="zh-CN"/>
              </w:rPr>
              <w:t xml:space="preserve"> PASI 90 u 16. nedjelji</w:t>
            </w:r>
          </w:p>
          <w:p w14:paraId="13B27739" w14:textId="77777777" w:rsidR="00852324" w:rsidRPr="005474B2" w:rsidRDefault="00852324" w:rsidP="005474B2">
            <w:pPr>
              <w:jc w:val="both"/>
              <w:rPr>
                <w:rFonts w:ascii="Times New Roman" w:eastAsia="MS Mincho" w:hAnsi="Times New Roman" w:cs="Times New Roman"/>
                <w:sz w:val="22"/>
                <w:szCs w:val="22"/>
                <w:lang w:val="sr-Latn-ME" w:eastAsia="zh-CN"/>
              </w:rPr>
            </w:pPr>
            <w:r w:rsidRPr="005474B2">
              <w:rPr>
                <w:rFonts w:ascii="Times New Roman" w:eastAsia="MS Mincho" w:hAnsi="Times New Roman" w:cs="Times New Roman"/>
                <w:sz w:val="22"/>
                <w:szCs w:val="22"/>
                <w:vertAlign w:val="superscript"/>
                <w:lang w:val="sr-Latn-ME" w:eastAsia="zh-CN"/>
              </w:rPr>
              <w:t>2</w:t>
            </w:r>
            <w:r w:rsidRPr="005474B2">
              <w:rPr>
                <w:rFonts w:ascii="Times New Roman" w:eastAsia="MS Mincho" w:hAnsi="Times New Roman" w:cs="Times New Roman"/>
                <w:sz w:val="22"/>
                <w:szCs w:val="22"/>
                <w:lang w:val="sr-Latn-ME" w:eastAsia="zh-CN"/>
              </w:rPr>
              <w:t xml:space="preserve"> Nije statistički značajno</w:t>
            </w:r>
          </w:p>
        </w:tc>
      </w:tr>
    </w:tbl>
    <w:p w14:paraId="62BAB34D" w14:textId="6826FBAE" w:rsidR="00852324" w:rsidRPr="005474B2" w:rsidRDefault="00852324" w:rsidP="0009637B">
      <w:pPr>
        <w:jc w:val="both"/>
        <w:rPr>
          <w:sz w:val="22"/>
          <w:szCs w:val="22"/>
          <w:lang w:val="sr-Latn-ME"/>
        </w:rPr>
      </w:pPr>
    </w:p>
    <w:p w14:paraId="03351F04" w14:textId="1C408DCC" w:rsidR="00852324" w:rsidRPr="005474B2" w:rsidRDefault="00852324" w:rsidP="0009637B">
      <w:pPr>
        <w:tabs>
          <w:tab w:val="left" w:pos="284"/>
        </w:tabs>
        <w:jc w:val="both"/>
        <w:rPr>
          <w:sz w:val="22"/>
          <w:szCs w:val="22"/>
          <w:lang w:val="sr-Latn-ME"/>
        </w:rPr>
      </w:pPr>
      <w:r w:rsidRPr="005474B2">
        <w:rPr>
          <w:sz w:val="22"/>
          <w:szCs w:val="22"/>
          <w:lang w:val="sr-Latn-ME"/>
        </w:rPr>
        <w:t>Kod pacijenata koji ni</w:t>
      </w:r>
      <w:r w:rsidR="00746619" w:rsidRPr="005474B2">
        <w:rPr>
          <w:sz w:val="22"/>
          <w:szCs w:val="22"/>
          <w:lang w:val="sr-Latn-ME"/>
        </w:rPr>
        <w:t>je</w:t>
      </w:r>
      <w:r w:rsidRPr="005474B2">
        <w:rPr>
          <w:sz w:val="22"/>
          <w:szCs w:val="22"/>
          <w:lang w:val="sr-Latn-ME"/>
        </w:rPr>
        <w:t xml:space="preserve">su </w:t>
      </w:r>
      <w:r w:rsidR="00950703" w:rsidRPr="005474B2">
        <w:rPr>
          <w:sz w:val="22"/>
          <w:szCs w:val="22"/>
          <w:lang w:val="sr-Latn-ME"/>
        </w:rPr>
        <w:t>postigli</w:t>
      </w:r>
      <w:r w:rsidRPr="005474B2">
        <w:rPr>
          <w:sz w:val="22"/>
          <w:szCs w:val="22"/>
          <w:lang w:val="sr-Latn-ME"/>
        </w:rPr>
        <w:t xml:space="preserve"> odgovor PASI 90 u 16. nedjelji, a kojima je povećana doza sekukinumab</w:t>
      </w:r>
      <w:r w:rsidR="00EC7F04" w:rsidRPr="005474B2">
        <w:rPr>
          <w:sz w:val="22"/>
          <w:szCs w:val="22"/>
          <w:lang w:val="sr-Latn-ME"/>
        </w:rPr>
        <w:t>a na</w:t>
      </w:r>
      <w:r w:rsidRPr="005474B2">
        <w:rPr>
          <w:sz w:val="22"/>
          <w:szCs w:val="22"/>
          <w:lang w:val="sr-Latn-ME"/>
        </w:rPr>
        <w:t xml:space="preserve"> 300 mg Q2W, procenat odgovora PASI 90 je bio bolji u odnosu na one koji su ostali na režimu doziranja sekukinumab 300 mg Q4W, dok je procenat odgovora IGA mod 2011 0/1 ostao stabilan tokom vremena u obje terapijske grupe.</w:t>
      </w:r>
    </w:p>
    <w:p w14:paraId="27F37C13" w14:textId="77777777" w:rsidR="00852324" w:rsidRPr="005474B2" w:rsidRDefault="00852324">
      <w:pPr>
        <w:tabs>
          <w:tab w:val="left" w:pos="284"/>
        </w:tabs>
        <w:jc w:val="both"/>
        <w:rPr>
          <w:sz w:val="22"/>
          <w:szCs w:val="22"/>
          <w:lang w:val="sr-Latn-ME"/>
        </w:rPr>
      </w:pPr>
    </w:p>
    <w:p w14:paraId="42EBB168" w14:textId="30C3AF5E" w:rsidR="00852324" w:rsidRPr="005474B2" w:rsidRDefault="00852324">
      <w:pPr>
        <w:tabs>
          <w:tab w:val="left" w:pos="284"/>
        </w:tabs>
        <w:jc w:val="both"/>
        <w:rPr>
          <w:sz w:val="22"/>
          <w:szCs w:val="22"/>
          <w:lang w:val="sr-Latn-ME"/>
        </w:rPr>
      </w:pPr>
      <w:r w:rsidRPr="005474B2">
        <w:rPr>
          <w:sz w:val="22"/>
          <w:szCs w:val="22"/>
          <w:lang w:val="sr-Latn-ME"/>
        </w:rPr>
        <w:t>Bezbjednosni profili dva režima doziranja, lijek</w:t>
      </w:r>
      <w:r w:rsidR="00822251" w:rsidRPr="005474B2">
        <w:rPr>
          <w:sz w:val="22"/>
          <w:szCs w:val="22"/>
          <w:lang w:val="sr-Latn-ME"/>
        </w:rPr>
        <w:t>a</w:t>
      </w:r>
      <w:r w:rsidRPr="005474B2">
        <w:rPr>
          <w:sz w:val="22"/>
          <w:szCs w:val="22"/>
          <w:lang w:val="sr-Latn-ME"/>
        </w:rPr>
        <w:t xml:space="preserve"> Cosentyx u dozi 300 mg primijenjen</w:t>
      </w:r>
      <w:r w:rsidR="00822251" w:rsidRPr="005474B2">
        <w:rPr>
          <w:sz w:val="22"/>
          <w:szCs w:val="22"/>
          <w:lang w:val="sr-Latn-ME"/>
        </w:rPr>
        <w:t>og</w:t>
      </w:r>
      <w:r w:rsidRPr="005474B2">
        <w:rPr>
          <w:sz w:val="22"/>
          <w:szCs w:val="22"/>
          <w:lang w:val="sr-Latn-ME"/>
        </w:rPr>
        <w:t xml:space="preserve"> svake 4 nedjelje i lijek</w:t>
      </w:r>
      <w:r w:rsidR="00822251" w:rsidRPr="005474B2">
        <w:rPr>
          <w:sz w:val="22"/>
          <w:szCs w:val="22"/>
          <w:lang w:val="sr-Latn-ME"/>
        </w:rPr>
        <w:t>a</w:t>
      </w:r>
      <w:r w:rsidRPr="005474B2">
        <w:rPr>
          <w:sz w:val="22"/>
          <w:szCs w:val="22"/>
          <w:lang w:val="sr-Latn-ME"/>
        </w:rPr>
        <w:t xml:space="preserve"> Cosentyx u dozi 300 mg primijenjen</w:t>
      </w:r>
      <w:r w:rsidR="00822251" w:rsidRPr="005474B2">
        <w:rPr>
          <w:sz w:val="22"/>
          <w:szCs w:val="22"/>
          <w:lang w:val="sr-Latn-ME"/>
        </w:rPr>
        <w:t>og</w:t>
      </w:r>
      <w:r w:rsidRPr="005474B2">
        <w:rPr>
          <w:sz w:val="22"/>
          <w:szCs w:val="22"/>
          <w:lang w:val="sr-Latn-ME"/>
        </w:rPr>
        <w:t xml:space="preserve"> svake 2 nedjelje, kod pacijenata tjelesne težine ≥90 kg su bili uporedivi i konzistentni sa bezbjednosnim profilom prijavljenim kod pacijenata sa psorijazom.</w:t>
      </w:r>
    </w:p>
    <w:p w14:paraId="5E2B6C22" w14:textId="5578236C" w:rsidR="00A62164" w:rsidRPr="005474B2" w:rsidRDefault="00A62164">
      <w:pPr>
        <w:tabs>
          <w:tab w:val="left" w:pos="284"/>
        </w:tabs>
        <w:jc w:val="both"/>
        <w:rPr>
          <w:color w:val="000000"/>
          <w:sz w:val="22"/>
          <w:szCs w:val="22"/>
          <w:lang w:val="sr-Latn-ME"/>
        </w:rPr>
      </w:pPr>
    </w:p>
    <w:p w14:paraId="074C4C27" w14:textId="1C3CD339" w:rsidR="006911D2" w:rsidRPr="005474B2" w:rsidRDefault="006911D2" w:rsidP="005474B2">
      <w:pPr>
        <w:spacing w:line="240" w:lineRule="atLeast"/>
        <w:jc w:val="both"/>
        <w:rPr>
          <w:bCs/>
          <w:i/>
          <w:iCs/>
          <w:sz w:val="22"/>
          <w:szCs w:val="22"/>
          <w:u w:val="single"/>
          <w:lang w:val="hr-HR"/>
        </w:rPr>
      </w:pPr>
      <w:r w:rsidRPr="005474B2">
        <w:rPr>
          <w:bCs/>
          <w:i/>
          <w:iCs/>
          <w:sz w:val="22"/>
          <w:szCs w:val="22"/>
          <w:u w:val="single"/>
          <w:lang w:val="hr-HR"/>
        </w:rPr>
        <w:t>Gnojno zapaljenje znojnih žl</w:t>
      </w:r>
      <w:r w:rsidR="0060463D" w:rsidRPr="005474B2">
        <w:rPr>
          <w:bCs/>
          <w:i/>
          <w:iCs/>
          <w:sz w:val="22"/>
          <w:szCs w:val="22"/>
          <w:u w:val="single"/>
          <w:lang w:val="hr-HR"/>
        </w:rPr>
        <w:t>ij</w:t>
      </w:r>
      <w:r w:rsidRPr="005474B2">
        <w:rPr>
          <w:bCs/>
          <w:i/>
          <w:iCs/>
          <w:sz w:val="22"/>
          <w:szCs w:val="22"/>
          <w:u w:val="single"/>
          <w:lang w:val="hr-HR"/>
        </w:rPr>
        <w:t>ezda (Hidradenitis suppurativa, HS)</w:t>
      </w:r>
    </w:p>
    <w:p w14:paraId="15121789" w14:textId="26532388" w:rsidR="006911D2" w:rsidRPr="005474B2" w:rsidRDefault="006911D2" w:rsidP="005474B2">
      <w:pPr>
        <w:spacing w:line="240" w:lineRule="atLeast"/>
        <w:jc w:val="both"/>
        <w:rPr>
          <w:bCs/>
          <w:sz w:val="22"/>
          <w:szCs w:val="22"/>
          <w:lang w:val="hr-HR"/>
        </w:rPr>
      </w:pPr>
      <w:r w:rsidRPr="005474B2">
        <w:rPr>
          <w:bCs/>
          <w:sz w:val="22"/>
          <w:szCs w:val="22"/>
          <w:lang w:val="hr-HR"/>
        </w:rPr>
        <w:t>Bezb</w:t>
      </w:r>
      <w:r w:rsidR="0060463D" w:rsidRPr="005474B2">
        <w:rPr>
          <w:bCs/>
          <w:sz w:val="22"/>
          <w:szCs w:val="22"/>
          <w:lang w:val="hr-HR"/>
        </w:rPr>
        <w:t>j</w:t>
      </w:r>
      <w:r w:rsidRPr="005474B2">
        <w:rPr>
          <w:bCs/>
          <w:sz w:val="22"/>
          <w:szCs w:val="22"/>
          <w:lang w:val="hr-HR"/>
        </w:rPr>
        <w:t>ednost i efikasnost sekukinumaba su proc</w:t>
      </w:r>
      <w:r w:rsidR="0060463D" w:rsidRPr="005474B2">
        <w:rPr>
          <w:bCs/>
          <w:sz w:val="22"/>
          <w:szCs w:val="22"/>
          <w:lang w:val="hr-HR"/>
        </w:rPr>
        <w:t>j</w:t>
      </w:r>
      <w:r w:rsidRPr="005474B2">
        <w:rPr>
          <w:bCs/>
          <w:sz w:val="22"/>
          <w:szCs w:val="22"/>
          <w:lang w:val="hr-HR"/>
        </w:rPr>
        <w:t>enjivani kod 1084 pacijenta u dva randomizovana, dvostruko sl</w:t>
      </w:r>
      <w:r w:rsidR="0060463D" w:rsidRPr="005474B2">
        <w:rPr>
          <w:bCs/>
          <w:sz w:val="22"/>
          <w:szCs w:val="22"/>
          <w:lang w:val="hr-HR"/>
        </w:rPr>
        <w:t>ij</w:t>
      </w:r>
      <w:r w:rsidRPr="005474B2">
        <w:rPr>
          <w:bCs/>
          <w:sz w:val="22"/>
          <w:szCs w:val="22"/>
          <w:lang w:val="hr-HR"/>
        </w:rPr>
        <w:t>epa, placebom kontrolisana ispitivanja faze III kod odraslih pacijenata sa um</w:t>
      </w:r>
      <w:r w:rsidR="0060463D" w:rsidRPr="005474B2">
        <w:rPr>
          <w:bCs/>
          <w:sz w:val="22"/>
          <w:szCs w:val="22"/>
          <w:lang w:val="hr-HR"/>
        </w:rPr>
        <w:t>j</w:t>
      </w:r>
      <w:r w:rsidRPr="005474B2">
        <w:rPr>
          <w:bCs/>
          <w:sz w:val="22"/>
          <w:szCs w:val="22"/>
          <w:lang w:val="hr-HR"/>
        </w:rPr>
        <w:t>erenim do teškim gnojnim zapaljenjem znojnih žl</w:t>
      </w:r>
      <w:r w:rsidR="0060463D" w:rsidRPr="005474B2">
        <w:rPr>
          <w:bCs/>
          <w:sz w:val="22"/>
          <w:szCs w:val="22"/>
          <w:lang w:val="hr-HR"/>
        </w:rPr>
        <w:t>ij</w:t>
      </w:r>
      <w:r w:rsidRPr="005474B2">
        <w:rPr>
          <w:bCs/>
          <w:sz w:val="22"/>
          <w:szCs w:val="22"/>
          <w:lang w:val="hr-HR"/>
        </w:rPr>
        <w:t>ezda (</w:t>
      </w:r>
      <w:r w:rsidRPr="005474B2">
        <w:rPr>
          <w:bCs/>
          <w:i/>
          <w:iCs/>
          <w:sz w:val="22"/>
          <w:szCs w:val="22"/>
          <w:lang w:val="hr-HR"/>
        </w:rPr>
        <w:t xml:space="preserve">Hidradenitis suppurativa, </w:t>
      </w:r>
      <w:r w:rsidRPr="005474B2">
        <w:rPr>
          <w:bCs/>
          <w:sz w:val="22"/>
          <w:szCs w:val="22"/>
          <w:lang w:val="hr-HR"/>
        </w:rPr>
        <w:t>HS) koji su bili kandidati za  biološku terapiju. Pacijenti su na početku morali da imaju najmanje pet zapaljenskih lezija koje zahvataju najmanje dva anatomska područja. U 1. ispitivanju (SUNSHINE), 4,6% pacijenata je imalo Hurley stadijum I, 61,4% Hurley stadijum II i 34,0% Hurley stadijum III, a u 2. ispitivanju (SUNRISE), 2,8% pacijenata je imalo Hurley stadijum I, 56,7% Hurley stadijum II i 40,5% Hurley stadijum III. Procenat pacijenata sa t</w:t>
      </w:r>
      <w:r w:rsidR="0060463D" w:rsidRPr="005474B2">
        <w:rPr>
          <w:bCs/>
          <w:sz w:val="22"/>
          <w:szCs w:val="22"/>
          <w:lang w:val="hr-HR"/>
        </w:rPr>
        <w:t>j</w:t>
      </w:r>
      <w:r w:rsidRPr="005474B2">
        <w:rPr>
          <w:bCs/>
          <w:sz w:val="22"/>
          <w:szCs w:val="22"/>
          <w:lang w:val="hr-HR"/>
        </w:rPr>
        <w:t>elesnom masom ≥90 kg bio je 54,7% u SUNSINE  i 50,8% u SUNRISE ispitivanju. Pacijenti u ovim ispitivanjima su imali dijagnozu um</w:t>
      </w:r>
      <w:r w:rsidR="0060463D" w:rsidRPr="005474B2">
        <w:rPr>
          <w:bCs/>
          <w:sz w:val="22"/>
          <w:szCs w:val="22"/>
          <w:lang w:val="hr-HR"/>
        </w:rPr>
        <w:t>j</w:t>
      </w:r>
      <w:r w:rsidRPr="005474B2">
        <w:rPr>
          <w:bCs/>
          <w:sz w:val="22"/>
          <w:szCs w:val="22"/>
          <w:lang w:val="hr-HR"/>
        </w:rPr>
        <w:t>erenog do teškog HS u pros</w:t>
      </w:r>
      <w:r w:rsidR="0060463D" w:rsidRPr="005474B2">
        <w:rPr>
          <w:bCs/>
          <w:sz w:val="22"/>
          <w:szCs w:val="22"/>
          <w:lang w:val="hr-HR"/>
        </w:rPr>
        <w:t>j</w:t>
      </w:r>
      <w:r w:rsidRPr="005474B2">
        <w:rPr>
          <w:bCs/>
          <w:sz w:val="22"/>
          <w:szCs w:val="22"/>
          <w:lang w:val="hr-HR"/>
        </w:rPr>
        <w:t>eku 7,3 godine i 56,3% učesnika u ispitivanjima su bile žene.</w:t>
      </w:r>
    </w:p>
    <w:p w14:paraId="721DB26A" w14:textId="77777777" w:rsidR="006911D2" w:rsidRPr="005474B2" w:rsidRDefault="006911D2" w:rsidP="005474B2">
      <w:pPr>
        <w:spacing w:line="240" w:lineRule="atLeast"/>
        <w:jc w:val="both"/>
        <w:rPr>
          <w:bCs/>
          <w:sz w:val="22"/>
          <w:szCs w:val="22"/>
          <w:lang w:val="hr-HR"/>
        </w:rPr>
      </w:pPr>
    </w:p>
    <w:p w14:paraId="78528FEE" w14:textId="4D4274EC" w:rsidR="006911D2" w:rsidRPr="005474B2" w:rsidRDefault="006911D2" w:rsidP="005474B2">
      <w:pPr>
        <w:spacing w:line="240" w:lineRule="atLeast"/>
        <w:jc w:val="both"/>
        <w:rPr>
          <w:bCs/>
          <w:sz w:val="22"/>
          <w:szCs w:val="22"/>
          <w:lang w:val="hr-HR"/>
        </w:rPr>
      </w:pPr>
      <w:r w:rsidRPr="005474B2">
        <w:rPr>
          <w:bCs/>
          <w:sz w:val="22"/>
          <w:szCs w:val="22"/>
          <w:lang w:val="hr-HR"/>
        </w:rPr>
        <w:t>U SUNSINE ispitivanju 23,8% pacijenata je bilo prethodno l</w:t>
      </w:r>
      <w:r w:rsidR="0060463D" w:rsidRPr="005474B2">
        <w:rPr>
          <w:bCs/>
          <w:sz w:val="22"/>
          <w:szCs w:val="22"/>
          <w:lang w:val="hr-HR"/>
        </w:rPr>
        <w:t>ij</w:t>
      </w:r>
      <w:r w:rsidRPr="005474B2">
        <w:rPr>
          <w:bCs/>
          <w:sz w:val="22"/>
          <w:szCs w:val="22"/>
          <w:lang w:val="hr-HR"/>
        </w:rPr>
        <w:t>ečeno biološkom terapijom, a u SUNRISE ispitivanju 23,2%. U 1. HS ispitivanju, 82,3% pacijenata je prethodno l</w:t>
      </w:r>
      <w:r w:rsidR="0060463D" w:rsidRPr="005474B2">
        <w:rPr>
          <w:bCs/>
          <w:sz w:val="22"/>
          <w:szCs w:val="22"/>
          <w:lang w:val="hr-HR"/>
        </w:rPr>
        <w:t>ij</w:t>
      </w:r>
      <w:r w:rsidRPr="005474B2">
        <w:rPr>
          <w:bCs/>
          <w:sz w:val="22"/>
          <w:szCs w:val="22"/>
          <w:lang w:val="hr-HR"/>
        </w:rPr>
        <w:t>ečeno sistemskim antibiotikom, odnosno 83,6% u 2. HS ispitivanju.</w:t>
      </w:r>
    </w:p>
    <w:p w14:paraId="12688E62" w14:textId="77777777" w:rsidR="006911D2" w:rsidRPr="005474B2" w:rsidRDefault="006911D2" w:rsidP="005474B2">
      <w:pPr>
        <w:spacing w:line="240" w:lineRule="atLeast"/>
        <w:jc w:val="both"/>
        <w:rPr>
          <w:bCs/>
          <w:sz w:val="22"/>
          <w:szCs w:val="22"/>
          <w:lang w:val="hr-HR"/>
        </w:rPr>
      </w:pPr>
    </w:p>
    <w:p w14:paraId="502AEEE3" w14:textId="7B38A795" w:rsidR="006911D2" w:rsidRPr="005474B2" w:rsidRDefault="006911D2" w:rsidP="005474B2">
      <w:pPr>
        <w:spacing w:line="240" w:lineRule="atLeast"/>
        <w:jc w:val="both"/>
        <w:rPr>
          <w:bCs/>
          <w:sz w:val="22"/>
          <w:szCs w:val="22"/>
          <w:lang w:val="hr-HR"/>
        </w:rPr>
      </w:pPr>
      <w:r w:rsidRPr="005474B2">
        <w:rPr>
          <w:bCs/>
          <w:sz w:val="22"/>
          <w:szCs w:val="22"/>
          <w:lang w:val="hr-HR"/>
        </w:rPr>
        <w:lastRenderedPageBreak/>
        <w:t>1. HS ispitivanje je proc</w:t>
      </w:r>
      <w:r w:rsidR="0060463D" w:rsidRPr="005474B2">
        <w:rPr>
          <w:bCs/>
          <w:sz w:val="22"/>
          <w:szCs w:val="22"/>
          <w:lang w:val="hr-HR"/>
        </w:rPr>
        <w:t>j</w:t>
      </w:r>
      <w:r w:rsidRPr="005474B2">
        <w:rPr>
          <w:bCs/>
          <w:sz w:val="22"/>
          <w:szCs w:val="22"/>
          <w:lang w:val="hr-HR"/>
        </w:rPr>
        <w:t>enjivalo 541 pacijenata, a 2. HS ispitivanje 543</w:t>
      </w:r>
      <w:r w:rsidR="0009637B">
        <w:rPr>
          <w:bCs/>
          <w:sz w:val="22"/>
          <w:szCs w:val="22"/>
          <w:lang w:val="hr-HR"/>
        </w:rPr>
        <w:t xml:space="preserve"> pacijenata</w:t>
      </w:r>
      <w:r w:rsidRPr="005474B2">
        <w:rPr>
          <w:bCs/>
          <w:sz w:val="22"/>
          <w:szCs w:val="22"/>
          <w:lang w:val="hr-HR"/>
        </w:rPr>
        <w:t>, od kojih je 12,8%, odnosno 10,7% istovremeno primalo stabilnu dozu antibiotika. U oba ispitivanja, pacijenti koji su bili randomizovani na sekukinumab su primali dozu od 300 mg supkutano u 0</w:t>
      </w:r>
      <w:r w:rsidR="005D4CF6">
        <w:rPr>
          <w:bCs/>
          <w:sz w:val="22"/>
          <w:szCs w:val="22"/>
          <w:lang w:val="hr-HR"/>
        </w:rPr>
        <w:t>.</w:t>
      </w:r>
      <w:r w:rsidRPr="005474B2">
        <w:rPr>
          <w:bCs/>
          <w:sz w:val="22"/>
          <w:szCs w:val="22"/>
          <w:lang w:val="hr-HR"/>
        </w:rPr>
        <w:t>, 1</w:t>
      </w:r>
      <w:r w:rsidR="005D4CF6">
        <w:rPr>
          <w:bCs/>
          <w:sz w:val="22"/>
          <w:szCs w:val="22"/>
          <w:lang w:val="hr-HR"/>
        </w:rPr>
        <w:t>.</w:t>
      </w:r>
      <w:r w:rsidRPr="005474B2">
        <w:rPr>
          <w:bCs/>
          <w:sz w:val="22"/>
          <w:szCs w:val="22"/>
          <w:lang w:val="hr-HR"/>
        </w:rPr>
        <w:t>, 2</w:t>
      </w:r>
      <w:r w:rsidR="005D4CF6">
        <w:rPr>
          <w:bCs/>
          <w:sz w:val="22"/>
          <w:szCs w:val="22"/>
          <w:lang w:val="hr-HR"/>
        </w:rPr>
        <w:t>.</w:t>
      </w:r>
      <w:r w:rsidRPr="005474B2">
        <w:rPr>
          <w:bCs/>
          <w:sz w:val="22"/>
          <w:szCs w:val="22"/>
          <w:lang w:val="hr-HR"/>
        </w:rPr>
        <w:t>, 3. i 4. ned</w:t>
      </w:r>
      <w:r w:rsidR="0060463D" w:rsidRPr="005474B2">
        <w:rPr>
          <w:bCs/>
          <w:sz w:val="22"/>
          <w:szCs w:val="22"/>
          <w:lang w:val="hr-HR"/>
        </w:rPr>
        <w:t>j</w:t>
      </w:r>
      <w:r w:rsidRPr="005474B2">
        <w:rPr>
          <w:bCs/>
          <w:sz w:val="22"/>
          <w:szCs w:val="22"/>
          <w:lang w:val="hr-HR"/>
        </w:rPr>
        <w:t>elji, nakon čega je usl</w:t>
      </w:r>
      <w:r w:rsidR="0060463D" w:rsidRPr="005474B2">
        <w:rPr>
          <w:bCs/>
          <w:sz w:val="22"/>
          <w:szCs w:val="22"/>
          <w:lang w:val="hr-HR"/>
        </w:rPr>
        <w:t>ij</w:t>
      </w:r>
      <w:r w:rsidRPr="005474B2">
        <w:rPr>
          <w:bCs/>
          <w:sz w:val="22"/>
          <w:szCs w:val="22"/>
          <w:lang w:val="hr-HR"/>
        </w:rPr>
        <w:t>edila doza od  300 mg svake 2 ned</w:t>
      </w:r>
      <w:r w:rsidR="0060463D" w:rsidRPr="005474B2">
        <w:rPr>
          <w:bCs/>
          <w:sz w:val="22"/>
          <w:szCs w:val="22"/>
          <w:lang w:val="hr-HR"/>
        </w:rPr>
        <w:t>j</w:t>
      </w:r>
      <w:r w:rsidRPr="005474B2">
        <w:rPr>
          <w:bCs/>
          <w:sz w:val="22"/>
          <w:szCs w:val="22"/>
          <w:lang w:val="hr-HR"/>
        </w:rPr>
        <w:t>elje (Q2W) ili svake 4 ned</w:t>
      </w:r>
      <w:r w:rsidR="0060463D" w:rsidRPr="005474B2">
        <w:rPr>
          <w:bCs/>
          <w:sz w:val="22"/>
          <w:szCs w:val="22"/>
          <w:lang w:val="hr-HR"/>
        </w:rPr>
        <w:t>j</w:t>
      </w:r>
      <w:r w:rsidRPr="005474B2">
        <w:rPr>
          <w:bCs/>
          <w:sz w:val="22"/>
          <w:szCs w:val="22"/>
          <w:lang w:val="hr-HR"/>
        </w:rPr>
        <w:t>elje (Q4W). U 16. ned</w:t>
      </w:r>
      <w:r w:rsidR="0060463D" w:rsidRPr="005474B2">
        <w:rPr>
          <w:bCs/>
          <w:sz w:val="22"/>
          <w:szCs w:val="22"/>
          <w:lang w:val="hr-HR"/>
        </w:rPr>
        <w:t>j</w:t>
      </w:r>
      <w:r w:rsidRPr="005474B2">
        <w:rPr>
          <w:bCs/>
          <w:sz w:val="22"/>
          <w:szCs w:val="22"/>
          <w:lang w:val="hr-HR"/>
        </w:rPr>
        <w:t>elji, pacijenti koji su bili randomizovani na primanje placeba su prešli na sekukinumab u dozi od 300 mg u 16., 17., 18., 19. i 20. ned</w:t>
      </w:r>
      <w:r w:rsidR="0060463D" w:rsidRPr="005474B2">
        <w:rPr>
          <w:bCs/>
          <w:sz w:val="22"/>
          <w:szCs w:val="22"/>
          <w:lang w:val="hr-HR"/>
        </w:rPr>
        <w:t>j</w:t>
      </w:r>
      <w:r w:rsidRPr="005474B2">
        <w:rPr>
          <w:bCs/>
          <w:sz w:val="22"/>
          <w:szCs w:val="22"/>
          <w:lang w:val="hr-HR"/>
        </w:rPr>
        <w:t>elji, nakon čega je usledio ili sekukinumab u dozi od 300 mg Q2W ili sekukinumab u dozi od 300 mg Q4W.</w:t>
      </w:r>
    </w:p>
    <w:p w14:paraId="1A1B5787" w14:textId="77777777" w:rsidR="006911D2" w:rsidRPr="005474B2" w:rsidRDefault="006911D2" w:rsidP="005474B2">
      <w:pPr>
        <w:spacing w:line="240" w:lineRule="atLeast"/>
        <w:jc w:val="both"/>
        <w:rPr>
          <w:bCs/>
          <w:sz w:val="22"/>
          <w:szCs w:val="22"/>
          <w:lang w:val="hr-HR"/>
        </w:rPr>
      </w:pPr>
    </w:p>
    <w:p w14:paraId="25F9A073" w14:textId="0FA9B18E" w:rsidR="006911D2" w:rsidRPr="005474B2" w:rsidRDefault="0009637B" w:rsidP="005474B2">
      <w:pPr>
        <w:spacing w:line="240" w:lineRule="atLeast"/>
        <w:jc w:val="both"/>
        <w:rPr>
          <w:sz w:val="22"/>
          <w:szCs w:val="22"/>
          <w:lang w:val="hr-HR"/>
        </w:rPr>
      </w:pPr>
      <w:r w:rsidRPr="005C20C7">
        <w:rPr>
          <w:bCs/>
          <w:sz w:val="22"/>
          <w:szCs w:val="22"/>
          <w:lang w:val="hr-HR"/>
        </w:rPr>
        <w:t>Primarni parametar praćenja</w:t>
      </w:r>
      <w:r>
        <w:rPr>
          <w:bCs/>
          <w:sz w:val="22"/>
          <w:szCs w:val="22"/>
          <w:lang w:val="hr-HR"/>
        </w:rPr>
        <w:t xml:space="preserve"> </w:t>
      </w:r>
      <w:r w:rsidR="006911D2" w:rsidRPr="005474B2">
        <w:rPr>
          <w:bCs/>
          <w:sz w:val="22"/>
          <w:szCs w:val="22"/>
          <w:lang w:val="hr-HR"/>
        </w:rPr>
        <w:t>u oba ispitivanja je bio procenat pacijenata koji su postigli klinički odgovor na gnojno zapaljenje znojnih žl</w:t>
      </w:r>
      <w:r w:rsidR="0060463D" w:rsidRPr="005474B2">
        <w:rPr>
          <w:bCs/>
          <w:sz w:val="22"/>
          <w:szCs w:val="22"/>
          <w:lang w:val="hr-HR"/>
        </w:rPr>
        <w:t>ij</w:t>
      </w:r>
      <w:r w:rsidR="006911D2" w:rsidRPr="005474B2">
        <w:rPr>
          <w:bCs/>
          <w:sz w:val="22"/>
          <w:szCs w:val="22"/>
          <w:lang w:val="hr-HR"/>
        </w:rPr>
        <w:t xml:space="preserve">ezda (engl. </w:t>
      </w:r>
      <w:r w:rsidR="006911D2" w:rsidRPr="005474B2">
        <w:rPr>
          <w:bCs/>
          <w:i/>
          <w:iCs/>
          <w:sz w:val="22"/>
          <w:szCs w:val="22"/>
          <w:lang w:val="hr-HR"/>
        </w:rPr>
        <w:t>Hidradenitis Suppurativa Clinical Response</w:t>
      </w:r>
      <w:r w:rsidR="006911D2" w:rsidRPr="005474B2">
        <w:rPr>
          <w:bCs/>
          <w:sz w:val="22"/>
          <w:szCs w:val="22"/>
          <w:lang w:val="hr-HR"/>
        </w:rPr>
        <w:t>, HiSCR), definisan kao smanjenje broja apscesa i upalnih nodula za najmanje 50%, bez povećanja broja apscesa i/ili bez povećanja broja drenirajućih fistula u odnosu na početnu vr</w:t>
      </w:r>
      <w:r w:rsidR="0060463D" w:rsidRPr="005474B2">
        <w:rPr>
          <w:bCs/>
          <w:sz w:val="22"/>
          <w:szCs w:val="22"/>
          <w:lang w:val="hr-HR"/>
        </w:rPr>
        <w:t>ij</w:t>
      </w:r>
      <w:r w:rsidR="006911D2" w:rsidRPr="005474B2">
        <w:rPr>
          <w:bCs/>
          <w:sz w:val="22"/>
          <w:szCs w:val="22"/>
          <w:lang w:val="hr-HR"/>
        </w:rPr>
        <w:t>ednost (HiSCR50) u 16. ned</w:t>
      </w:r>
      <w:r w:rsidR="0060463D" w:rsidRPr="005474B2">
        <w:rPr>
          <w:bCs/>
          <w:sz w:val="22"/>
          <w:szCs w:val="22"/>
          <w:lang w:val="hr-HR"/>
        </w:rPr>
        <w:t>j</w:t>
      </w:r>
      <w:r w:rsidR="006911D2" w:rsidRPr="005474B2">
        <w:rPr>
          <w:bCs/>
          <w:sz w:val="22"/>
          <w:szCs w:val="22"/>
          <w:lang w:val="hr-HR"/>
        </w:rPr>
        <w:t>elji. Smanjenje bola na koži uzrokovanog gnojnim zapaljenjem znojnih žl</w:t>
      </w:r>
      <w:r w:rsidR="0060463D" w:rsidRPr="005474B2">
        <w:rPr>
          <w:bCs/>
          <w:sz w:val="22"/>
          <w:szCs w:val="22"/>
          <w:lang w:val="hr-HR"/>
        </w:rPr>
        <w:t>ij</w:t>
      </w:r>
      <w:r w:rsidR="006911D2" w:rsidRPr="005474B2">
        <w:rPr>
          <w:bCs/>
          <w:sz w:val="22"/>
          <w:szCs w:val="22"/>
          <w:lang w:val="hr-HR"/>
        </w:rPr>
        <w:t>ezda,  proc</w:t>
      </w:r>
      <w:r w:rsidR="0060463D" w:rsidRPr="005474B2">
        <w:rPr>
          <w:bCs/>
          <w:sz w:val="22"/>
          <w:szCs w:val="22"/>
          <w:lang w:val="hr-HR"/>
        </w:rPr>
        <w:t>j</w:t>
      </w:r>
      <w:r w:rsidR="006911D2" w:rsidRPr="005474B2">
        <w:rPr>
          <w:bCs/>
          <w:sz w:val="22"/>
          <w:szCs w:val="22"/>
          <w:lang w:val="hr-HR"/>
        </w:rPr>
        <w:t xml:space="preserve">enjivalo se kao </w:t>
      </w:r>
      <w:r w:rsidRPr="005C20C7">
        <w:rPr>
          <w:bCs/>
          <w:sz w:val="22"/>
          <w:szCs w:val="22"/>
          <w:lang w:val="hr-HR"/>
        </w:rPr>
        <w:t>sekundarni parametar praćenja</w:t>
      </w:r>
      <w:r w:rsidR="006911D2" w:rsidRPr="005474B2">
        <w:rPr>
          <w:bCs/>
          <w:sz w:val="22"/>
          <w:szCs w:val="22"/>
          <w:lang w:val="hr-HR"/>
        </w:rPr>
        <w:t xml:space="preserve"> na objedinjenim podacima 1. i 2. ispitivanja upotrebom</w:t>
      </w:r>
      <w:r w:rsidR="006911D2" w:rsidRPr="005474B2">
        <w:rPr>
          <w:sz w:val="22"/>
          <w:szCs w:val="22"/>
          <w:lang w:val="hr-HR"/>
        </w:rPr>
        <w:t xml:space="preserve"> brojčane l</w:t>
      </w:r>
      <w:r w:rsidR="0060463D" w:rsidRPr="005474B2">
        <w:rPr>
          <w:sz w:val="22"/>
          <w:szCs w:val="22"/>
          <w:lang w:val="hr-HR"/>
        </w:rPr>
        <w:t>j</w:t>
      </w:r>
      <w:r w:rsidR="006911D2" w:rsidRPr="005474B2">
        <w:rPr>
          <w:sz w:val="22"/>
          <w:szCs w:val="22"/>
          <w:lang w:val="hr-HR"/>
        </w:rPr>
        <w:t>estvice o</w:t>
      </w:r>
      <w:r w:rsidR="0060463D" w:rsidRPr="005474B2">
        <w:rPr>
          <w:sz w:val="22"/>
          <w:szCs w:val="22"/>
          <w:lang w:val="hr-HR"/>
        </w:rPr>
        <w:t>j</w:t>
      </w:r>
      <w:r w:rsidR="006911D2" w:rsidRPr="005474B2">
        <w:rPr>
          <w:sz w:val="22"/>
          <w:szCs w:val="22"/>
          <w:lang w:val="hr-HR"/>
        </w:rPr>
        <w:t xml:space="preserve">cenjivanja (engl. </w:t>
      </w:r>
      <w:r w:rsidR="006911D2" w:rsidRPr="005474B2">
        <w:rPr>
          <w:i/>
          <w:iCs/>
          <w:sz w:val="22"/>
          <w:szCs w:val="22"/>
          <w:lang w:val="hr-HR"/>
        </w:rPr>
        <w:t>Numerical Rating Scale</w:t>
      </w:r>
      <w:r w:rsidR="006911D2" w:rsidRPr="005474B2">
        <w:rPr>
          <w:sz w:val="22"/>
          <w:szCs w:val="22"/>
          <w:lang w:val="hr-HR"/>
        </w:rPr>
        <w:t>, NRS) kod pacijenata koji su pri uključivanju u ispitivanje imali početni rezultat od 3 ili više.</w:t>
      </w:r>
    </w:p>
    <w:p w14:paraId="748D1D69" w14:textId="77777777" w:rsidR="006911D2" w:rsidRPr="005474B2" w:rsidRDefault="006911D2" w:rsidP="005474B2">
      <w:pPr>
        <w:spacing w:line="240" w:lineRule="atLeast"/>
        <w:jc w:val="both"/>
        <w:rPr>
          <w:sz w:val="22"/>
          <w:szCs w:val="22"/>
          <w:lang w:val="hr-HR"/>
        </w:rPr>
      </w:pPr>
    </w:p>
    <w:p w14:paraId="64AE49D7" w14:textId="7C0D3E18" w:rsidR="006911D2" w:rsidRPr="005474B2" w:rsidRDefault="006911D2" w:rsidP="005474B2">
      <w:pPr>
        <w:spacing w:line="240" w:lineRule="atLeast"/>
        <w:jc w:val="both"/>
        <w:rPr>
          <w:sz w:val="22"/>
          <w:szCs w:val="22"/>
        </w:rPr>
      </w:pPr>
      <w:r w:rsidRPr="005474B2">
        <w:rPr>
          <w:sz w:val="22"/>
          <w:szCs w:val="22"/>
          <w:lang w:val="hr-HR"/>
        </w:rPr>
        <w:t>U 1. i 2.  ispitivanju, veći procenat pacijenata l</w:t>
      </w:r>
      <w:r w:rsidR="0060463D" w:rsidRPr="005474B2">
        <w:rPr>
          <w:sz w:val="22"/>
          <w:szCs w:val="22"/>
          <w:lang w:val="hr-HR"/>
        </w:rPr>
        <w:t>ij</w:t>
      </w:r>
      <w:r w:rsidRPr="005474B2">
        <w:rPr>
          <w:sz w:val="22"/>
          <w:szCs w:val="22"/>
          <w:lang w:val="hr-HR"/>
        </w:rPr>
        <w:t>ečenih sekukinumabom u dozi od 300 mg Q2W je u 16. ned</w:t>
      </w:r>
      <w:r w:rsidR="0060463D" w:rsidRPr="005474B2">
        <w:rPr>
          <w:sz w:val="22"/>
          <w:szCs w:val="22"/>
          <w:lang w:val="hr-HR"/>
        </w:rPr>
        <w:t>j</w:t>
      </w:r>
      <w:r w:rsidRPr="005474B2">
        <w:rPr>
          <w:sz w:val="22"/>
          <w:szCs w:val="22"/>
          <w:lang w:val="hr-HR"/>
        </w:rPr>
        <w:t>elji postigao je odgovor HiSCR50 sa smanjenjem broja apscesa i upalnih nodula (AN) u poređenju sa placebom. U 2. ispitivanju, razlika između odgovora HiSCR50 i broja AN</w:t>
      </w:r>
      <w:r w:rsidRPr="005474B2">
        <w:rPr>
          <w:sz w:val="22"/>
          <w:szCs w:val="22"/>
          <w:lang w:val="hr-HR"/>
        </w:rPr>
        <w:noBreakHyphen/>
        <w:t xml:space="preserve">a je uočena i pri režimu doziranja sekukinumaba u dozi od 300 mg Q4W. U grupi koja je primala sekukinumab u dozi od 300 mg Q2W u 1. ispitivanju i u grupi koja je primala sekukinumab u dozi od 300 mg Q4W u 2. ispitivanju, </w:t>
      </w:r>
      <w:proofErr w:type="spellStart"/>
      <w:r w:rsidRPr="005474B2">
        <w:rPr>
          <w:sz w:val="22"/>
          <w:szCs w:val="22"/>
        </w:rPr>
        <w:t>niži</w:t>
      </w:r>
      <w:proofErr w:type="spellEnd"/>
      <w:r w:rsidRPr="005474B2">
        <w:rPr>
          <w:sz w:val="22"/>
          <w:szCs w:val="22"/>
        </w:rPr>
        <w:t xml:space="preserve"> </w:t>
      </w:r>
      <w:proofErr w:type="spellStart"/>
      <w:r w:rsidRPr="005474B2">
        <w:rPr>
          <w:sz w:val="22"/>
          <w:szCs w:val="22"/>
        </w:rPr>
        <w:t>procenat</w:t>
      </w:r>
      <w:proofErr w:type="spellEnd"/>
      <w:r w:rsidRPr="005474B2">
        <w:rPr>
          <w:sz w:val="22"/>
          <w:szCs w:val="22"/>
        </w:rPr>
        <w:t xml:space="preserve"> </w:t>
      </w:r>
      <w:proofErr w:type="spellStart"/>
      <w:r w:rsidRPr="005474B2">
        <w:rPr>
          <w:sz w:val="22"/>
          <w:szCs w:val="22"/>
        </w:rPr>
        <w:t>pacijenata</w:t>
      </w:r>
      <w:proofErr w:type="spellEnd"/>
      <w:r w:rsidRPr="005474B2">
        <w:rPr>
          <w:sz w:val="22"/>
          <w:szCs w:val="22"/>
        </w:rPr>
        <w:t xml:space="preserve"> je </w:t>
      </w:r>
      <w:proofErr w:type="spellStart"/>
      <w:r w:rsidRPr="005474B2">
        <w:rPr>
          <w:sz w:val="22"/>
          <w:szCs w:val="22"/>
        </w:rPr>
        <w:t>imao</w:t>
      </w:r>
      <w:proofErr w:type="spellEnd"/>
      <w:r w:rsidRPr="005474B2">
        <w:rPr>
          <w:sz w:val="22"/>
          <w:szCs w:val="22"/>
        </w:rPr>
        <w:t xml:space="preserve"> </w:t>
      </w:r>
      <w:proofErr w:type="spellStart"/>
      <w:r w:rsidRPr="005474B2">
        <w:rPr>
          <w:sz w:val="22"/>
          <w:szCs w:val="22"/>
        </w:rPr>
        <w:t>pogoršanje</w:t>
      </w:r>
      <w:proofErr w:type="spellEnd"/>
      <w:r w:rsidRPr="005474B2">
        <w:rPr>
          <w:sz w:val="22"/>
          <w:szCs w:val="22"/>
        </w:rPr>
        <w:t xml:space="preserve"> </w:t>
      </w:r>
      <w:proofErr w:type="spellStart"/>
      <w:r w:rsidRPr="005474B2">
        <w:rPr>
          <w:sz w:val="22"/>
          <w:szCs w:val="22"/>
        </w:rPr>
        <w:t>bolesti</w:t>
      </w:r>
      <w:proofErr w:type="spellEnd"/>
      <w:r w:rsidRPr="005474B2">
        <w:rPr>
          <w:sz w:val="22"/>
          <w:szCs w:val="22"/>
        </w:rPr>
        <w:t xml:space="preserve"> u </w:t>
      </w:r>
      <w:proofErr w:type="spellStart"/>
      <w:r w:rsidRPr="005474B2">
        <w:rPr>
          <w:sz w:val="22"/>
          <w:szCs w:val="22"/>
        </w:rPr>
        <w:t>poređenju</w:t>
      </w:r>
      <w:proofErr w:type="spellEnd"/>
      <w:r w:rsidRPr="005474B2">
        <w:rPr>
          <w:sz w:val="22"/>
          <w:szCs w:val="22"/>
        </w:rPr>
        <w:t xml:space="preserve"> </w:t>
      </w:r>
      <w:proofErr w:type="spellStart"/>
      <w:r w:rsidRPr="005474B2">
        <w:rPr>
          <w:sz w:val="22"/>
          <w:szCs w:val="22"/>
        </w:rPr>
        <w:t>sa</w:t>
      </w:r>
      <w:proofErr w:type="spellEnd"/>
      <w:r w:rsidRPr="005474B2">
        <w:rPr>
          <w:sz w:val="22"/>
          <w:szCs w:val="22"/>
        </w:rPr>
        <w:t xml:space="preserve"> placebo do 16. </w:t>
      </w:r>
      <w:proofErr w:type="spellStart"/>
      <w:r w:rsidRPr="005474B2">
        <w:rPr>
          <w:sz w:val="22"/>
          <w:szCs w:val="22"/>
        </w:rPr>
        <w:t>ned</w:t>
      </w:r>
      <w:r w:rsidR="0060463D" w:rsidRPr="005474B2">
        <w:rPr>
          <w:sz w:val="22"/>
          <w:szCs w:val="22"/>
        </w:rPr>
        <w:t>j</w:t>
      </w:r>
      <w:r w:rsidRPr="005474B2">
        <w:rPr>
          <w:sz w:val="22"/>
          <w:szCs w:val="22"/>
        </w:rPr>
        <w:t>elje</w:t>
      </w:r>
      <w:proofErr w:type="spellEnd"/>
      <w:r w:rsidRPr="005474B2">
        <w:rPr>
          <w:sz w:val="22"/>
          <w:szCs w:val="22"/>
        </w:rPr>
        <w:t>.</w:t>
      </w:r>
      <w:r w:rsidRPr="005474B2">
        <w:rPr>
          <w:sz w:val="22"/>
          <w:szCs w:val="22"/>
          <w:lang w:val="hr-HR"/>
        </w:rPr>
        <w:t xml:space="preserve"> Veći procenaat pacijenata l</w:t>
      </w:r>
      <w:r w:rsidR="0060463D" w:rsidRPr="005474B2">
        <w:rPr>
          <w:sz w:val="22"/>
          <w:szCs w:val="22"/>
          <w:lang w:val="hr-HR"/>
        </w:rPr>
        <w:t>ij</w:t>
      </w:r>
      <w:r w:rsidRPr="005474B2">
        <w:rPr>
          <w:sz w:val="22"/>
          <w:szCs w:val="22"/>
          <w:lang w:val="hr-HR"/>
        </w:rPr>
        <w:t>ečenih sekukinumabom u dozi od 300 mg Q2W (objedinjeni podaci) je u 16. ned</w:t>
      </w:r>
      <w:r w:rsidR="0060463D" w:rsidRPr="005474B2">
        <w:rPr>
          <w:sz w:val="22"/>
          <w:szCs w:val="22"/>
          <w:lang w:val="hr-HR"/>
        </w:rPr>
        <w:t>j</w:t>
      </w:r>
      <w:r w:rsidRPr="005474B2">
        <w:rPr>
          <w:sz w:val="22"/>
          <w:szCs w:val="22"/>
          <w:lang w:val="hr-HR"/>
        </w:rPr>
        <w:t>elji doživ</w:t>
      </w:r>
      <w:r w:rsidR="005D4CF6">
        <w:rPr>
          <w:sz w:val="22"/>
          <w:szCs w:val="22"/>
          <w:lang w:val="hr-HR"/>
        </w:rPr>
        <w:t>i</w:t>
      </w:r>
      <w:r w:rsidRPr="005474B2">
        <w:rPr>
          <w:sz w:val="22"/>
          <w:szCs w:val="22"/>
          <w:lang w:val="hr-HR"/>
        </w:rPr>
        <w:t>o klinički relevantno smanjenje bola kože uzrokovanog gnojnim zapaljenjem znojnih žl</w:t>
      </w:r>
      <w:r w:rsidR="0060463D" w:rsidRPr="005474B2">
        <w:rPr>
          <w:sz w:val="22"/>
          <w:szCs w:val="22"/>
          <w:lang w:val="hr-HR"/>
        </w:rPr>
        <w:t>ij</w:t>
      </w:r>
      <w:r w:rsidRPr="005474B2">
        <w:rPr>
          <w:sz w:val="22"/>
          <w:szCs w:val="22"/>
          <w:lang w:val="hr-HR"/>
        </w:rPr>
        <w:t>ezda (</w:t>
      </w:r>
      <w:r w:rsidRPr="005474B2">
        <w:rPr>
          <w:i/>
          <w:iCs/>
          <w:sz w:val="22"/>
          <w:szCs w:val="22"/>
          <w:lang w:val="hr-HR"/>
        </w:rPr>
        <w:t>Hidradenitis suppurativa</w:t>
      </w:r>
      <w:r w:rsidRPr="005474B2">
        <w:rPr>
          <w:sz w:val="22"/>
          <w:szCs w:val="22"/>
          <w:lang w:val="hr-HR"/>
        </w:rPr>
        <w:t>) u poređenju sa placebom. (Tabela 8).</w:t>
      </w:r>
    </w:p>
    <w:p w14:paraId="0D53B153" w14:textId="77777777" w:rsidR="006911D2" w:rsidRPr="005474B2" w:rsidRDefault="006911D2" w:rsidP="005474B2">
      <w:pPr>
        <w:spacing w:line="240" w:lineRule="atLeast"/>
        <w:jc w:val="both"/>
        <w:rPr>
          <w:sz w:val="22"/>
          <w:szCs w:val="22"/>
          <w:lang w:val="it-IT"/>
        </w:rPr>
      </w:pPr>
    </w:p>
    <w:p w14:paraId="5EC66610" w14:textId="0FFD6E66" w:rsidR="006911D2" w:rsidRPr="005474B2" w:rsidRDefault="006911D2" w:rsidP="005474B2">
      <w:pPr>
        <w:spacing w:line="240" w:lineRule="atLeast"/>
        <w:jc w:val="both"/>
        <w:rPr>
          <w:sz w:val="22"/>
          <w:szCs w:val="22"/>
          <w:lang w:val="hr-HR"/>
        </w:rPr>
      </w:pPr>
      <w:r w:rsidRPr="005474B2">
        <w:rPr>
          <w:b/>
          <w:sz w:val="22"/>
          <w:szCs w:val="22"/>
          <w:lang w:val="hr-HR"/>
        </w:rPr>
        <w:t>Tabela 8</w:t>
      </w:r>
      <w:r w:rsidRPr="005474B2">
        <w:rPr>
          <w:b/>
          <w:sz w:val="22"/>
          <w:szCs w:val="22"/>
          <w:lang w:val="hr-HR"/>
        </w:rPr>
        <w:tab/>
      </w:r>
      <w:r w:rsidRPr="005474B2">
        <w:rPr>
          <w:b/>
          <w:sz w:val="22"/>
          <w:szCs w:val="22"/>
          <w:lang w:val="hr-HR"/>
        </w:rPr>
        <w:tab/>
        <w:t xml:space="preserve">Klinički odgovor u 1. i 2. </w:t>
      </w:r>
      <w:r w:rsidR="005D4CF6">
        <w:rPr>
          <w:b/>
          <w:sz w:val="22"/>
          <w:szCs w:val="22"/>
          <w:lang w:val="hr-HR"/>
        </w:rPr>
        <w:t xml:space="preserve">HS </w:t>
      </w:r>
      <w:r w:rsidRPr="005474B2">
        <w:rPr>
          <w:b/>
          <w:sz w:val="22"/>
          <w:szCs w:val="22"/>
          <w:lang w:val="hr-HR"/>
        </w:rPr>
        <w:t>ispitivanju u 16. ned</w:t>
      </w:r>
      <w:r w:rsidR="0060463D" w:rsidRPr="005474B2">
        <w:rPr>
          <w:b/>
          <w:sz w:val="22"/>
          <w:szCs w:val="22"/>
          <w:lang w:val="hr-HR"/>
        </w:rPr>
        <w:t>j</w:t>
      </w:r>
      <w:r w:rsidRPr="005474B2">
        <w:rPr>
          <w:b/>
          <w:sz w:val="22"/>
          <w:szCs w:val="22"/>
          <w:lang w:val="hr-HR"/>
        </w:rPr>
        <w:t>elji</w:t>
      </w:r>
      <w:r w:rsidRPr="005474B2">
        <w:rPr>
          <w:b/>
          <w:sz w:val="22"/>
          <w:szCs w:val="22"/>
          <w:vertAlign w:val="superscript"/>
          <w:lang w:val="hr-HR"/>
        </w:rPr>
        <w:t>1</w:t>
      </w:r>
    </w:p>
    <w:p w14:paraId="7C465464" w14:textId="77777777" w:rsidR="006911D2" w:rsidRPr="005474B2" w:rsidRDefault="006911D2" w:rsidP="005474B2">
      <w:pPr>
        <w:spacing w:line="240" w:lineRule="atLeast"/>
        <w:jc w:val="both"/>
        <w:rPr>
          <w:sz w:val="22"/>
          <w:szCs w:val="22"/>
          <w:lang w:val="hr-HR"/>
        </w:rPr>
      </w:pPr>
    </w:p>
    <w:tbl>
      <w:tblPr>
        <w:tblStyle w:val="TableGrid"/>
        <w:tblW w:w="0" w:type="auto"/>
        <w:tblLook w:val="04A0" w:firstRow="1" w:lastRow="0" w:firstColumn="1" w:lastColumn="0" w:noHBand="0" w:noVBand="1"/>
      </w:tblPr>
      <w:tblGrid>
        <w:gridCol w:w="2238"/>
        <w:gridCol w:w="1018"/>
        <w:gridCol w:w="1134"/>
        <w:gridCol w:w="1155"/>
        <w:gridCol w:w="1108"/>
        <w:gridCol w:w="1204"/>
        <w:gridCol w:w="1204"/>
      </w:tblGrid>
      <w:tr w:rsidR="006911D2" w:rsidRPr="0009637B" w14:paraId="63E39C3F" w14:textId="77777777" w:rsidTr="00295602">
        <w:trPr>
          <w:cantSplit/>
        </w:trPr>
        <w:tc>
          <w:tcPr>
            <w:tcW w:w="2238" w:type="dxa"/>
            <w:tcBorders>
              <w:top w:val="single" w:sz="4" w:space="0" w:color="auto"/>
              <w:left w:val="single" w:sz="4" w:space="0" w:color="auto"/>
              <w:bottom w:val="single" w:sz="4" w:space="0" w:color="auto"/>
              <w:right w:val="single" w:sz="4" w:space="0" w:color="auto"/>
            </w:tcBorders>
          </w:tcPr>
          <w:p w14:paraId="312085B4" w14:textId="77777777" w:rsidR="006911D2" w:rsidRPr="005474B2" w:rsidRDefault="006911D2" w:rsidP="005474B2">
            <w:pPr>
              <w:spacing w:line="240" w:lineRule="atLeast"/>
              <w:jc w:val="both"/>
              <w:rPr>
                <w:sz w:val="22"/>
                <w:szCs w:val="22"/>
                <w:lang w:val="hr-HR"/>
              </w:rPr>
            </w:pPr>
          </w:p>
        </w:tc>
        <w:tc>
          <w:tcPr>
            <w:tcW w:w="3307" w:type="dxa"/>
            <w:gridSpan w:val="3"/>
            <w:tcBorders>
              <w:top w:val="single" w:sz="4" w:space="0" w:color="auto"/>
              <w:left w:val="single" w:sz="4" w:space="0" w:color="auto"/>
              <w:bottom w:val="single" w:sz="4" w:space="0" w:color="auto"/>
              <w:right w:val="single" w:sz="4" w:space="0" w:color="auto"/>
            </w:tcBorders>
            <w:hideMark/>
          </w:tcPr>
          <w:p w14:paraId="47B60A28" w14:textId="77777777" w:rsidR="006911D2" w:rsidRPr="005474B2" w:rsidRDefault="006911D2" w:rsidP="005474B2">
            <w:pPr>
              <w:spacing w:line="240" w:lineRule="atLeast"/>
              <w:jc w:val="both"/>
              <w:rPr>
                <w:b/>
                <w:bCs/>
                <w:sz w:val="22"/>
                <w:szCs w:val="22"/>
                <w:lang w:val="hr-HR"/>
              </w:rPr>
            </w:pPr>
            <w:r w:rsidRPr="005474B2">
              <w:rPr>
                <w:b/>
                <w:bCs/>
                <w:sz w:val="22"/>
                <w:szCs w:val="22"/>
                <w:lang w:val="hr-HR"/>
              </w:rPr>
              <w:t xml:space="preserve">1. ispitivanje </w:t>
            </w:r>
          </w:p>
        </w:tc>
        <w:tc>
          <w:tcPr>
            <w:tcW w:w="3516" w:type="dxa"/>
            <w:gridSpan w:val="3"/>
            <w:tcBorders>
              <w:top w:val="single" w:sz="4" w:space="0" w:color="auto"/>
              <w:left w:val="single" w:sz="4" w:space="0" w:color="auto"/>
              <w:bottom w:val="single" w:sz="4" w:space="0" w:color="auto"/>
              <w:right w:val="single" w:sz="4" w:space="0" w:color="auto"/>
            </w:tcBorders>
            <w:hideMark/>
          </w:tcPr>
          <w:p w14:paraId="2DB06A1D" w14:textId="77777777" w:rsidR="006911D2" w:rsidRPr="005474B2" w:rsidRDefault="006911D2" w:rsidP="005474B2">
            <w:pPr>
              <w:spacing w:line="240" w:lineRule="atLeast"/>
              <w:jc w:val="both"/>
              <w:rPr>
                <w:b/>
                <w:sz w:val="22"/>
                <w:szCs w:val="22"/>
                <w:lang w:val="hr-HR"/>
              </w:rPr>
            </w:pPr>
            <w:r w:rsidRPr="005474B2">
              <w:rPr>
                <w:b/>
                <w:bCs/>
                <w:sz w:val="22"/>
                <w:szCs w:val="22"/>
                <w:lang w:val="hr-HR"/>
              </w:rPr>
              <w:t xml:space="preserve">2. ispitivanje </w:t>
            </w:r>
          </w:p>
        </w:tc>
      </w:tr>
      <w:tr w:rsidR="006911D2" w:rsidRPr="0009637B" w14:paraId="10FA09C6" w14:textId="77777777" w:rsidTr="00295602">
        <w:trPr>
          <w:cantSplit/>
        </w:trPr>
        <w:tc>
          <w:tcPr>
            <w:tcW w:w="2238" w:type="dxa"/>
            <w:tcBorders>
              <w:top w:val="single" w:sz="4" w:space="0" w:color="auto"/>
              <w:left w:val="single" w:sz="4" w:space="0" w:color="auto"/>
              <w:bottom w:val="single" w:sz="4" w:space="0" w:color="auto"/>
              <w:right w:val="single" w:sz="4" w:space="0" w:color="auto"/>
            </w:tcBorders>
          </w:tcPr>
          <w:p w14:paraId="2DEE0231" w14:textId="77777777" w:rsidR="006911D2" w:rsidRPr="005474B2" w:rsidRDefault="006911D2" w:rsidP="005474B2">
            <w:pPr>
              <w:spacing w:line="240" w:lineRule="atLeast"/>
              <w:jc w:val="both"/>
              <w:rPr>
                <w:sz w:val="22"/>
                <w:szCs w:val="22"/>
                <w:lang w:val="hr-HR"/>
              </w:rPr>
            </w:pPr>
          </w:p>
        </w:tc>
        <w:tc>
          <w:tcPr>
            <w:tcW w:w="1018" w:type="dxa"/>
            <w:tcBorders>
              <w:top w:val="single" w:sz="4" w:space="0" w:color="auto"/>
              <w:left w:val="single" w:sz="4" w:space="0" w:color="auto"/>
              <w:bottom w:val="single" w:sz="4" w:space="0" w:color="auto"/>
              <w:right w:val="single" w:sz="4" w:space="0" w:color="auto"/>
            </w:tcBorders>
            <w:hideMark/>
          </w:tcPr>
          <w:p w14:paraId="1ED6DB75" w14:textId="77777777" w:rsidR="006911D2" w:rsidRPr="005474B2" w:rsidRDefault="006911D2" w:rsidP="005474B2">
            <w:pPr>
              <w:spacing w:line="240" w:lineRule="atLeast"/>
              <w:jc w:val="both"/>
              <w:rPr>
                <w:sz w:val="22"/>
                <w:szCs w:val="22"/>
                <w:lang w:val="hr-HR"/>
              </w:rPr>
            </w:pPr>
            <w:r w:rsidRPr="005474B2">
              <w:rPr>
                <w:sz w:val="22"/>
                <w:szCs w:val="22"/>
                <w:lang w:val="hr-HR"/>
              </w:rPr>
              <w:t>Placebo</w:t>
            </w:r>
          </w:p>
        </w:tc>
        <w:tc>
          <w:tcPr>
            <w:tcW w:w="1134" w:type="dxa"/>
            <w:tcBorders>
              <w:top w:val="single" w:sz="4" w:space="0" w:color="auto"/>
              <w:left w:val="single" w:sz="4" w:space="0" w:color="auto"/>
              <w:bottom w:val="single" w:sz="4" w:space="0" w:color="auto"/>
              <w:right w:val="single" w:sz="4" w:space="0" w:color="auto"/>
            </w:tcBorders>
            <w:hideMark/>
          </w:tcPr>
          <w:p w14:paraId="33ADE02F" w14:textId="77777777" w:rsidR="006911D2" w:rsidRPr="005474B2" w:rsidRDefault="006911D2" w:rsidP="005474B2">
            <w:pPr>
              <w:spacing w:line="240" w:lineRule="atLeast"/>
              <w:jc w:val="both"/>
              <w:rPr>
                <w:sz w:val="22"/>
                <w:szCs w:val="22"/>
                <w:lang w:val="hr-HR"/>
              </w:rPr>
            </w:pPr>
            <w:r w:rsidRPr="005474B2">
              <w:rPr>
                <w:sz w:val="22"/>
                <w:szCs w:val="22"/>
                <w:lang w:val="hr-HR"/>
              </w:rPr>
              <w:t>300 mg Q4W</w:t>
            </w:r>
          </w:p>
        </w:tc>
        <w:tc>
          <w:tcPr>
            <w:tcW w:w="1155" w:type="dxa"/>
            <w:tcBorders>
              <w:top w:val="single" w:sz="4" w:space="0" w:color="auto"/>
              <w:left w:val="single" w:sz="4" w:space="0" w:color="auto"/>
              <w:bottom w:val="single" w:sz="4" w:space="0" w:color="auto"/>
              <w:right w:val="single" w:sz="4" w:space="0" w:color="auto"/>
            </w:tcBorders>
            <w:hideMark/>
          </w:tcPr>
          <w:p w14:paraId="307E4C42" w14:textId="77777777" w:rsidR="006911D2" w:rsidRPr="005474B2" w:rsidRDefault="006911D2" w:rsidP="005474B2">
            <w:pPr>
              <w:spacing w:line="240" w:lineRule="atLeast"/>
              <w:jc w:val="both"/>
              <w:rPr>
                <w:sz w:val="22"/>
                <w:szCs w:val="22"/>
                <w:lang w:val="hr-HR"/>
              </w:rPr>
            </w:pPr>
            <w:r w:rsidRPr="005474B2">
              <w:rPr>
                <w:sz w:val="22"/>
                <w:szCs w:val="22"/>
                <w:lang w:val="hr-HR"/>
              </w:rPr>
              <w:t>300 mg Q2W</w:t>
            </w:r>
          </w:p>
        </w:tc>
        <w:tc>
          <w:tcPr>
            <w:tcW w:w="1108" w:type="dxa"/>
            <w:tcBorders>
              <w:top w:val="single" w:sz="4" w:space="0" w:color="auto"/>
              <w:left w:val="single" w:sz="4" w:space="0" w:color="auto"/>
              <w:bottom w:val="single" w:sz="4" w:space="0" w:color="auto"/>
              <w:right w:val="single" w:sz="4" w:space="0" w:color="auto"/>
            </w:tcBorders>
            <w:hideMark/>
          </w:tcPr>
          <w:p w14:paraId="78404A01" w14:textId="77777777" w:rsidR="006911D2" w:rsidRPr="005474B2" w:rsidRDefault="006911D2" w:rsidP="005474B2">
            <w:pPr>
              <w:spacing w:line="240" w:lineRule="atLeast"/>
              <w:jc w:val="both"/>
              <w:rPr>
                <w:sz w:val="22"/>
                <w:szCs w:val="22"/>
                <w:lang w:val="hr-HR"/>
              </w:rPr>
            </w:pPr>
            <w:r w:rsidRPr="005474B2">
              <w:rPr>
                <w:sz w:val="22"/>
                <w:szCs w:val="22"/>
                <w:lang w:val="hr-HR"/>
              </w:rPr>
              <w:t>Placebo</w:t>
            </w:r>
          </w:p>
        </w:tc>
        <w:tc>
          <w:tcPr>
            <w:tcW w:w="1204" w:type="dxa"/>
            <w:tcBorders>
              <w:top w:val="single" w:sz="4" w:space="0" w:color="auto"/>
              <w:left w:val="single" w:sz="4" w:space="0" w:color="auto"/>
              <w:bottom w:val="single" w:sz="4" w:space="0" w:color="auto"/>
              <w:right w:val="single" w:sz="4" w:space="0" w:color="auto"/>
            </w:tcBorders>
            <w:hideMark/>
          </w:tcPr>
          <w:p w14:paraId="5563F3E2" w14:textId="77777777" w:rsidR="006911D2" w:rsidRPr="005474B2" w:rsidRDefault="006911D2" w:rsidP="005474B2">
            <w:pPr>
              <w:spacing w:line="240" w:lineRule="atLeast"/>
              <w:jc w:val="both"/>
              <w:rPr>
                <w:sz w:val="22"/>
                <w:szCs w:val="22"/>
                <w:lang w:val="hr-HR"/>
              </w:rPr>
            </w:pPr>
            <w:r w:rsidRPr="005474B2">
              <w:rPr>
                <w:sz w:val="22"/>
                <w:szCs w:val="22"/>
                <w:lang w:val="hr-HR"/>
              </w:rPr>
              <w:t>300 mg Q4W</w:t>
            </w:r>
          </w:p>
        </w:tc>
        <w:tc>
          <w:tcPr>
            <w:tcW w:w="1204" w:type="dxa"/>
            <w:tcBorders>
              <w:top w:val="single" w:sz="4" w:space="0" w:color="auto"/>
              <w:left w:val="single" w:sz="4" w:space="0" w:color="auto"/>
              <w:bottom w:val="single" w:sz="4" w:space="0" w:color="auto"/>
              <w:right w:val="single" w:sz="4" w:space="0" w:color="auto"/>
            </w:tcBorders>
            <w:hideMark/>
          </w:tcPr>
          <w:p w14:paraId="7690181D" w14:textId="77777777" w:rsidR="006911D2" w:rsidRPr="005474B2" w:rsidRDefault="006911D2" w:rsidP="005474B2">
            <w:pPr>
              <w:spacing w:line="240" w:lineRule="atLeast"/>
              <w:jc w:val="both"/>
              <w:rPr>
                <w:sz w:val="22"/>
                <w:szCs w:val="22"/>
                <w:lang w:val="hr-HR"/>
              </w:rPr>
            </w:pPr>
            <w:r w:rsidRPr="005474B2">
              <w:rPr>
                <w:sz w:val="22"/>
                <w:szCs w:val="22"/>
                <w:lang w:val="hr-HR"/>
              </w:rPr>
              <w:t>300 mg Q2W</w:t>
            </w:r>
          </w:p>
        </w:tc>
      </w:tr>
      <w:tr w:rsidR="006911D2" w:rsidRPr="0009637B" w14:paraId="0A83A1F0" w14:textId="77777777" w:rsidTr="00295602">
        <w:trPr>
          <w:cantSplit/>
        </w:trPr>
        <w:tc>
          <w:tcPr>
            <w:tcW w:w="2238" w:type="dxa"/>
            <w:tcBorders>
              <w:top w:val="single" w:sz="4" w:space="0" w:color="auto"/>
              <w:left w:val="single" w:sz="4" w:space="0" w:color="auto"/>
              <w:bottom w:val="single" w:sz="4" w:space="0" w:color="auto"/>
              <w:right w:val="single" w:sz="4" w:space="0" w:color="auto"/>
            </w:tcBorders>
            <w:hideMark/>
          </w:tcPr>
          <w:p w14:paraId="6355A082" w14:textId="77777777" w:rsidR="006911D2" w:rsidRPr="005474B2" w:rsidRDefault="006911D2" w:rsidP="005474B2">
            <w:pPr>
              <w:spacing w:line="240" w:lineRule="atLeast"/>
              <w:jc w:val="both"/>
              <w:rPr>
                <w:b/>
                <w:sz w:val="22"/>
                <w:szCs w:val="22"/>
                <w:lang w:val="hr-HR"/>
              </w:rPr>
            </w:pPr>
            <w:r w:rsidRPr="005474B2">
              <w:rPr>
                <w:b/>
                <w:sz w:val="22"/>
                <w:szCs w:val="22"/>
                <w:lang w:val="hr-HR"/>
              </w:rPr>
              <w:t>Broj randomizovanih pacijenata</w:t>
            </w:r>
          </w:p>
        </w:tc>
        <w:tc>
          <w:tcPr>
            <w:tcW w:w="1018" w:type="dxa"/>
            <w:tcBorders>
              <w:top w:val="single" w:sz="4" w:space="0" w:color="auto"/>
              <w:left w:val="single" w:sz="4" w:space="0" w:color="auto"/>
              <w:bottom w:val="single" w:sz="4" w:space="0" w:color="auto"/>
              <w:right w:val="single" w:sz="4" w:space="0" w:color="auto"/>
            </w:tcBorders>
            <w:hideMark/>
          </w:tcPr>
          <w:p w14:paraId="66FB822D" w14:textId="77777777" w:rsidR="006911D2" w:rsidRPr="005474B2" w:rsidRDefault="006911D2" w:rsidP="005474B2">
            <w:pPr>
              <w:spacing w:line="240" w:lineRule="atLeast"/>
              <w:jc w:val="both"/>
              <w:rPr>
                <w:sz w:val="22"/>
                <w:szCs w:val="22"/>
                <w:lang w:val="hr-HR"/>
              </w:rPr>
            </w:pPr>
            <w:r w:rsidRPr="005474B2">
              <w:rPr>
                <w:sz w:val="22"/>
                <w:szCs w:val="22"/>
                <w:lang w:val="hr-HR"/>
              </w:rPr>
              <w:t>180</w:t>
            </w:r>
          </w:p>
        </w:tc>
        <w:tc>
          <w:tcPr>
            <w:tcW w:w="1134" w:type="dxa"/>
            <w:tcBorders>
              <w:top w:val="single" w:sz="4" w:space="0" w:color="auto"/>
              <w:left w:val="single" w:sz="4" w:space="0" w:color="auto"/>
              <w:bottom w:val="single" w:sz="4" w:space="0" w:color="auto"/>
              <w:right w:val="single" w:sz="4" w:space="0" w:color="auto"/>
            </w:tcBorders>
            <w:hideMark/>
          </w:tcPr>
          <w:p w14:paraId="59BDE837" w14:textId="77777777" w:rsidR="006911D2" w:rsidRPr="005474B2" w:rsidRDefault="006911D2" w:rsidP="005474B2">
            <w:pPr>
              <w:spacing w:line="240" w:lineRule="atLeast"/>
              <w:jc w:val="both"/>
              <w:rPr>
                <w:sz w:val="22"/>
                <w:szCs w:val="22"/>
                <w:lang w:val="hr-HR"/>
              </w:rPr>
            </w:pPr>
            <w:r w:rsidRPr="005474B2">
              <w:rPr>
                <w:sz w:val="22"/>
                <w:szCs w:val="22"/>
                <w:lang w:val="hr-HR"/>
              </w:rPr>
              <w:t>180</w:t>
            </w:r>
          </w:p>
        </w:tc>
        <w:tc>
          <w:tcPr>
            <w:tcW w:w="1155" w:type="dxa"/>
            <w:tcBorders>
              <w:top w:val="single" w:sz="4" w:space="0" w:color="auto"/>
              <w:left w:val="single" w:sz="4" w:space="0" w:color="auto"/>
              <w:bottom w:val="single" w:sz="4" w:space="0" w:color="auto"/>
              <w:right w:val="single" w:sz="4" w:space="0" w:color="auto"/>
            </w:tcBorders>
            <w:hideMark/>
          </w:tcPr>
          <w:p w14:paraId="65826716" w14:textId="77777777" w:rsidR="006911D2" w:rsidRPr="005474B2" w:rsidRDefault="006911D2" w:rsidP="005474B2">
            <w:pPr>
              <w:spacing w:line="240" w:lineRule="atLeast"/>
              <w:jc w:val="both"/>
              <w:rPr>
                <w:sz w:val="22"/>
                <w:szCs w:val="22"/>
                <w:lang w:val="hr-HR"/>
              </w:rPr>
            </w:pPr>
            <w:r w:rsidRPr="005474B2">
              <w:rPr>
                <w:sz w:val="22"/>
                <w:szCs w:val="22"/>
                <w:lang w:val="hr-HR"/>
              </w:rPr>
              <w:t>181</w:t>
            </w:r>
          </w:p>
        </w:tc>
        <w:tc>
          <w:tcPr>
            <w:tcW w:w="1108" w:type="dxa"/>
            <w:tcBorders>
              <w:top w:val="single" w:sz="4" w:space="0" w:color="auto"/>
              <w:left w:val="single" w:sz="4" w:space="0" w:color="auto"/>
              <w:bottom w:val="single" w:sz="4" w:space="0" w:color="auto"/>
              <w:right w:val="single" w:sz="4" w:space="0" w:color="auto"/>
            </w:tcBorders>
            <w:hideMark/>
          </w:tcPr>
          <w:p w14:paraId="56B9A06A" w14:textId="77777777" w:rsidR="006911D2" w:rsidRPr="005474B2" w:rsidRDefault="006911D2" w:rsidP="005474B2">
            <w:pPr>
              <w:spacing w:line="240" w:lineRule="atLeast"/>
              <w:jc w:val="both"/>
              <w:rPr>
                <w:sz w:val="22"/>
                <w:szCs w:val="22"/>
                <w:lang w:val="hr-HR"/>
              </w:rPr>
            </w:pPr>
            <w:r w:rsidRPr="005474B2">
              <w:rPr>
                <w:sz w:val="22"/>
                <w:szCs w:val="22"/>
                <w:lang w:val="hr-HR"/>
              </w:rPr>
              <w:t>183</w:t>
            </w:r>
          </w:p>
        </w:tc>
        <w:tc>
          <w:tcPr>
            <w:tcW w:w="1204" w:type="dxa"/>
            <w:tcBorders>
              <w:top w:val="single" w:sz="4" w:space="0" w:color="auto"/>
              <w:left w:val="single" w:sz="4" w:space="0" w:color="auto"/>
              <w:bottom w:val="single" w:sz="4" w:space="0" w:color="auto"/>
              <w:right w:val="single" w:sz="4" w:space="0" w:color="auto"/>
            </w:tcBorders>
            <w:hideMark/>
          </w:tcPr>
          <w:p w14:paraId="2A4BF227" w14:textId="77777777" w:rsidR="006911D2" w:rsidRPr="005474B2" w:rsidRDefault="006911D2" w:rsidP="005474B2">
            <w:pPr>
              <w:spacing w:line="240" w:lineRule="atLeast"/>
              <w:jc w:val="both"/>
              <w:rPr>
                <w:sz w:val="22"/>
                <w:szCs w:val="22"/>
                <w:lang w:val="hr-HR"/>
              </w:rPr>
            </w:pPr>
            <w:r w:rsidRPr="005474B2">
              <w:rPr>
                <w:sz w:val="22"/>
                <w:szCs w:val="22"/>
                <w:lang w:val="hr-HR"/>
              </w:rPr>
              <w:t>180</w:t>
            </w:r>
          </w:p>
        </w:tc>
        <w:tc>
          <w:tcPr>
            <w:tcW w:w="1204" w:type="dxa"/>
            <w:tcBorders>
              <w:top w:val="single" w:sz="4" w:space="0" w:color="auto"/>
              <w:left w:val="single" w:sz="4" w:space="0" w:color="auto"/>
              <w:bottom w:val="single" w:sz="4" w:space="0" w:color="auto"/>
              <w:right w:val="single" w:sz="4" w:space="0" w:color="auto"/>
            </w:tcBorders>
            <w:hideMark/>
          </w:tcPr>
          <w:p w14:paraId="3E958E5F" w14:textId="77777777" w:rsidR="006911D2" w:rsidRPr="005474B2" w:rsidRDefault="006911D2" w:rsidP="005474B2">
            <w:pPr>
              <w:spacing w:line="240" w:lineRule="atLeast"/>
              <w:jc w:val="both"/>
              <w:rPr>
                <w:sz w:val="22"/>
                <w:szCs w:val="22"/>
                <w:lang w:val="hr-HR"/>
              </w:rPr>
            </w:pPr>
            <w:r w:rsidRPr="005474B2">
              <w:rPr>
                <w:sz w:val="22"/>
                <w:szCs w:val="22"/>
                <w:lang w:val="hr-HR"/>
              </w:rPr>
              <w:t>180</w:t>
            </w:r>
          </w:p>
        </w:tc>
      </w:tr>
      <w:tr w:rsidR="006911D2" w:rsidRPr="0009637B" w14:paraId="0D54B940" w14:textId="77777777" w:rsidTr="00295602">
        <w:trPr>
          <w:cantSplit/>
        </w:trPr>
        <w:tc>
          <w:tcPr>
            <w:tcW w:w="2238" w:type="dxa"/>
            <w:tcBorders>
              <w:top w:val="single" w:sz="4" w:space="0" w:color="auto"/>
              <w:left w:val="single" w:sz="4" w:space="0" w:color="auto"/>
              <w:bottom w:val="single" w:sz="4" w:space="0" w:color="auto"/>
              <w:right w:val="single" w:sz="4" w:space="0" w:color="auto"/>
            </w:tcBorders>
            <w:hideMark/>
          </w:tcPr>
          <w:p w14:paraId="76E83C57" w14:textId="77777777" w:rsidR="006911D2" w:rsidRPr="005474B2" w:rsidRDefault="006911D2" w:rsidP="005474B2">
            <w:pPr>
              <w:spacing w:line="240" w:lineRule="atLeast"/>
              <w:jc w:val="both"/>
              <w:rPr>
                <w:sz w:val="22"/>
                <w:szCs w:val="22"/>
                <w:lang w:val="hr-HR"/>
              </w:rPr>
            </w:pPr>
            <w:r w:rsidRPr="005474B2">
              <w:rPr>
                <w:sz w:val="22"/>
                <w:szCs w:val="22"/>
                <w:lang w:val="hr-HR"/>
              </w:rPr>
              <w:t>HiSCR50, n (%)</w:t>
            </w:r>
          </w:p>
        </w:tc>
        <w:tc>
          <w:tcPr>
            <w:tcW w:w="1018" w:type="dxa"/>
            <w:tcBorders>
              <w:top w:val="single" w:sz="4" w:space="0" w:color="auto"/>
              <w:left w:val="single" w:sz="4" w:space="0" w:color="auto"/>
              <w:bottom w:val="single" w:sz="4" w:space="0" w:color="auto"/>
              <w:right w:val="single" w:sz="4" w:space="0" w:color="auto"/>
            </w:tcBorders>
            <w:hideMark/>
          </w:tcPr>
          <w:p w14:paraId="465FD2BC" w14:textId="77777777" w:rsidR="006911D2" w:rsidRPr="005474B2" w:rsidRDefault="006911D2" w:rsidP="005474B2">
            <w:pPr>
              <w:spacing w:line="240" w:lineRule="atLeast"/>
              <w:jc w:val="both"/>
              <w:rPr>
                <w:sz w:val="22"/>
                <w:szCs w:val="22"/>
                <w:lang w:val="hr-HR"/>
              </w:rPr>
            </w:pPr>
            <w:r w:rsidRPr="005474B2">
              <w:rPr>
                <w:sz w:val="22"/>
                <w:szCs w:val="22"/>
                <w:lang w:val="hr-HR"/>
              </w:rPr>
              <w:t>61</w:t>
            </w:r>
          </w:p>
          <w:p w14:paraId="65245D52" w14:textId="77777777" w:rsidR="006911D2" w:rsidRPr="005474B2" w:rsidRDefault="006911D2" w:rsidP="005474B2">
            <w:pPr>
              <w:spacing w:line="240" w:lineRule="atLeast"/>
              <w:jc w:val="both"/>
              <w:rPr>
                <w:sz w:val="22"/>
                <w:szCs w:val="22"/>
                <w:lang w:val="hr-HR"/>
              </w:rPr>
            </w:pPr>
            <w:r w:rsidRPr="005474B2">
              <w:rPr>
                <w:sz w:val="22"/>
                <w:szCs w:val="22"/>
                <w:lang w:val="hr-HR"/>
              </w:rPr>
              <w:t>(33,7)</w:t>
            </w:r>
          </w:p>
        </w:tc>
        <w:tc>
          <w:tcPr>
            <w:tcW w:w="1134" w:type="dxa"/>
            <w:tcBorders>
              <w:top w:val="single" w:sz="4" w:space="0" w:color="auto"/>
              <w:left w:val="single" w:sz="4" w:space="0" w:color="auto"/>
              <w:bottom w:val="single" w:sz="4" w:space="0" w:color="auto"/>
              <w:right w:val="single" w:sz="4" w:space="0" w:color="auto"/>
            </w:tcBorders>
            <w:hideMark/>
          </w:tcPr>
          <w:p w14:paraId="3F1D09A0" w14:textId="77777777" w:rsidR="006911D2" w:rsidRPr="005474B2" w:rsidRDefault="006911D2" w:rsidP="005474B2">
            <w:pPr>
              <w:spacing w:line="240" w:lineRule="atLeast"/>
              <w:jc w:val="both"/>
              <w:rPr>
                <w:sz w:val="22"/>
                <w:szCs w:val="22"/>
                <w:lang w:val="hr-HR"/>
              </w:rPr>
            </w:pPr>
            <w:r w:rsidRPr="005474B2">
              <w:rPr>
                <w:sz w:val="22"/>
                <w:szCs w:val="22"/>
                <w:lang w:val="hr-HR"/>
              </w:rPr>
              <w:t>75</w:t>
            </w:r>
          </w:p>
          <w:p w14:paraId="58071C1C" w14:textId="77777777" w:rsidR="006911D2" w:rsidRPr="005474B2" w:rsidRDefault="006911D2" w:rsidP="005474B2">
            <w:pPr>
              <w:spacing w:line="240" w:lineRule="atLeast"/>
              <w:jc w:val="both"/>
              <w:rPr>
                <w:sz w:val="22"/>
                <w:szCs w:val="22"/>
                <w:lang w:val="hr-HR"/>
              </w:rPr>
            </w:pPr>
            <w:r w:rsidRPr="005474B2">
              <w:rPr>
                <w:sz w:val="22"/>
                <w:szCs w:val="22"/>
                <w:lang w:val="hr-HR"/>
              </w:rPr>
              <w:t>(41,8)</w:t>
            </w:r>
          </w:p>
        </w:tc>
        <w:tc>
          <w:tcPr>
            <w:tcW w:w="1155" w:type="dxa"/>
            <w:tcBorders>
              <w:top w:val="single" w:sz="4" w:space="0" w:color="auto"/>
              <w:left w:val="single" w:sz="4" w:space="0" w:color="auto"/>
              <w:bottom w:val="single" w:sz="4" w:space="0" w:color="auto"/>
              <w:right w:val="single" w:sz="4" w:space="0" w:color="auto"/>
            </w:tcBorders>
            <w:hideMark/>
          </w:tcPr>
          <w:p w14:paraId="23CE47F9" w14:textId="77777777" w:rsidR="006911D2" w:rsidRPr="005474B2" w:rsidRDefault="006911D2" w:rsidP="005474B2">
            <w:pPr>
              <w:spacing w:line="240" w:lineRule="atLeast"/>
              <w:jc w:val="both"/>
              <w:rPr>
                <w:sz w:val="22"/>
                <w:szCs w:val="22"/>
                <w:lang w:val="hr-HR"/>
              </w:rPr>
            </w:pPr>
            <w:r w:rsidRPr="005474B2">
              <w:rPr>
                <w:sz w:val="22"/>
                <w:szCs w:val="22"/>
                <w:lang w:val="hr-HR"/>
              </w:rPr>
              <w:t>82</w:t>
            </w:r>
          </w:p>
          <w:p w14:paraId="3BABE137" w14:textId="77777777" w:rsidR="006911D2" w:rsidRPr="005474B2" w:rsidRDefault="006911D2" w:rsidP="005474B2">
            <w:pPr>
              <w:spacing w:line="240" w:lineRule="atLeast"/>
              <w:jc w:val="both"/>
              <w:rPr>
                <w:sz w:val="22"/>
                <w:szCs w:val="22"/>
                <w:lang w:val="hr-HR"/>
              </w:rPr>
            </w:pPr>
            <w:r w:rsidRPr="005474B2">
              <w:rPr>
                <w:sz w:val="22"/>
                <w:szCs w:val="22"/>
                <w:lang w:val="hr-HR"/>
              </w:rPr>
              <w:t>(45,0*)</w:t>
            </w:r>
          </w:p>
        </w:tc>
        <w:tc>
          <w:tcPr>
            <w:tcW w:w="1108" w:type="dxa"/>
            <w:tcBorders>
              <w:top w:val="single" w:sz="4" w:space="0" w:color="auto"/>
              <w:left w:val="single" w:sz="4" w:space="0" w:color="auto"/>
              <w:bottom w:val="single" w:sz="4" w:space="0" w:color="auto"/>
              <w:right w:val="single" w:sz="4" w:space="0" w:color="auto"/>
            </w:tcBorders>
            <w:hideMark/>
          </w:tcPr>
          <w:p w14:paraId="4BEBD8F1" w14:textId="77777777" w:rsidR="006911D2" w:rsidRPr="005474B2" w:rsidRDefault="006911D2" w:rsidP="005474B2">
            <w:pPr>
              <w:spacing w:line="240" w:lineRule="atLeast"/>
              <w:jc w:val="both"/>
              <w:rPr>
                <w:sz w:val="22"/>
                <w:szCs w:val="22"/>
                <w:lang w:val="hr-HR"/>
              </w:rPr>
            </w:pPr>
            <w:r w:rsidRPr="005474B2">
              <w:rPr>
                <w:sz w:val="22"/>
                <w:szCs w:val="22"/>
                <w:lang w:val="hr-HR"/>
              </w:rPr>
              <w:t>57</w:t>
            </w:r>
          </w:p>
          <w:p w14:paraId="31EE66D9" w14:textId="77777777" w:rsidR="006911D2" w:rsidRPr="005474B2" w:rsidRDefault="006911D2" w:rsidP="005474B2">
            <w:pPr>
              <w:spacing w:line="240" w:lineRule="atLeast"/>
              <w:jc w:val="both"/>
              <w:rPr>
                <w:sz w:val="22"/>
                <w:szCs w:val="22"/>
                <w:lang w:val="hr-HR"/>
              </w:rPr>
            </w:pPr>
            <w:r w:rsidRPr="005474B2">
              <w:rPr>
                <w:sz w:val="22"/>
                <w:szCs w:val="22"/>
                <w:lang w:val="hr-HR"/>
              </w:rPr>
              <w:t>(31,2)</w:t>
            </w:r>
          </w:p>
        </w:tc>
        <w:tc>
          <w:tcPr>
            <w:tcW w:w="1204" w:type="dxa"/>
            <w:tcBorders>
              <w:top w:val="single" w:sz="4" w:space="0" w:color="auto"/>
              <w:left w:val="single" w:sz="4" w:space="0" w:color="auto"/>
              <w:bottom w:val="single" w:sz="4" w:space="0" w:color="auto"/>
              <w:right w:val="single" w:sz="4" w:space="0" w:color="auto"/>
            </w:tcBorders>
            <w:hideMark/>
          </w:tcPr>
          <w:p w14:paraId="21EC6FBF" w14:textId="77777777" w:rsidR="006911D2" w:rsidRPr="005474B2" w:rsidRDefault="006911D2" w:rsidP="005474B2">
            <w:pPr>
              <w:spacing w:line="240" w:lineRule="atLeast"/>
              <w:jc w:val="both"/>
              <w:rPr>
                <w:sz w:val="22"/>
                <w:szCs w:val="22"/>
                <w:lang w:val="hr-HR"/>
              </w:rPr>
            </w:pPr>
            <w:r w:rsidRPr="005474B2">
              <w:rPr>
                <w:sz w:val="22"/>
                <w:szCs w:val="22"/>
                <w:lang w:val="hr-HR"/>
              </w:rPr>
              <w:t>83</w:t>
            </w:r>
          </w:p>
          <w:p w14:paraId="0687AEDC" w14:textId="77777777" w:rsidR="006911D2" w:rsidRPr="005474B2" w:rsidRDefault="006911D2" w:rsidP="005474B2">
            <w:pPr>
              <w:spacing w:line="240" w:lineRule="atLeast"/>
              <w:jc w:val="both"/>
              <w:rPr>
                <w:sz w:val="22"/>
                <w:szCs w:val="22"/>
                <w:lang w:val="hr-HR"/>
              </w:rPr>
            </w:pPr>
            <w:r w:rsidRPr="005474B2">
              <w:rPr>
                <w:sz w:val="22"/>
                <w:szCs w:val="22"/>
                <w:lang w:val="hr-HR"/>
              </w:rPr>
              <w:t>(46,1*)</w:t>
            </w:r>
          </w:p>
        </w:tc>
        <w:tc>
          <w:tcPr>
            <w:tcW w:w="1204" w:type="dxa"/>
            <w:tcBorders>
              <w:top w:val="single" w:sz="4" w:space="0" w:color="auto"/>
              <w:left w:val="single" w:sz="4" w:space="0" w:color="auto"/>
              <w:bottom w:val="single" w:sz="4" w:space="0" w:color="auto"/>
              <w:right w:val="single" w:sz="4" w:space="0" w:color="auto"/>
            </w:tcBorders>
            <w:hideMark/>
          </w:tcPr>
          <w:p w14:paraId="1E4BD171" w14:textId="77777777" w:rsidR="006911D2" w:rsidRPr="005474B2" w:rsidRDefault="006911D2" w:rsidP="005474B2">
            <w:pPr>
              <w:spacing w:line="240" w:lineRule="atLeast"/>
              <w:jc w:val="both"/>
              <w:rPr>
                <w:sz w:val="22"/>
                <w:szCs w:val="22"/>
                <w:lang w:val="hr-HR"/>
              </w:rPr>
            </w:pPr>
            <w:r w:rsidRPr="005474B2">
              <w:rPr>
                <w:sz w:val="22"/>
                <w:szCs w:val="22"/>
                <w:lang w:val="hr-HR"/>
              </w:rPr>
              <w:t>76</w:t>
            </w:r>
          </w:p>
          <w:p w14:paraId="5DAE9345" w14:textId="77777777" w:rsidR="006911D2" w:rsidRPr="005474B2" w:rsidRDefault="006911D2" w:rsidP="005474B2">
            <w:pPr>
              <w:spacing w:line="240" w:lineRule="atLeast"/>
              <w:jc w:val="both"/>
              <w:rPr>
                <w:sz w:val="22"/>
                <w:szCs w:val="22"/>
                <w:lang w:val="hr-HR"/>
              </w:rPr>
            </w:pPr>
            <w:r w:rsidRPr="005474B2">
              <w:rPr>
                <w:sz w:val="22"/>
                <w:szCs w:val="22"/>
                <w:lang w:val="hr-HR"/>
              </w:rPr>
              <w:t>(42,3*)</w:t>
            </w:r>
          </w:p>
        </w:tc>
      </w:tr>
      <w:tr w:rsidR="006911D2" w:rsidRPr="0009637B" w14:paraId="718D8170" w14:textId="77777777" w:rsidTr="00295602">
        <w:trPr>
          <w:cantSplit/>
        </w:trPr>
        <w:tc>
          <w:tcPr>
            <w:tcW w:w="2238" w:type="dxa"/>
            <w:tcBorders>
              <w:top w:val="single" w:sz="4" w:space="0" w:color="auto"/>
              <w:left w:val="single" w:sz="4" w:space="0" w:color="auto"/>
              <w:bottom w:val="single" w:sz="4" w:space="0" w:color="auto"/>
              <w:right w:val="single" w:sz="4" w:space="0" w:color="auto"/>
            </w:tcBorders>
            <w:hideMark/>
          </w:tcPr>
          <w:p w14:paraId="06539768" w14:textId="406E87A1" w:rsidR="006911D2" w:rsidRPr="005474B2" w:rsidRDefault="006911D2" w:rsidP="005474B2">
            <w:pPr>
              <w:spacing w:line="240" w:lineRule="atLeast"/>
              <w:jc w:val="both"/>
              <w:rPr>
                <w:sz w:val="22"/>
                <w:szCs w:val="22"/>
                <w:lang w:val="hr-HR"/>
              </w:rPr>
            </w:pPr>
            <w:r w:rsidRPr="005474B2">
              <w:rPr>
                <w:sz w:val="22"/>
                <w:szCs w:val="22"/>
                <w:lang w:val="hr-HR"/>
              </w:rPr>
              <w:t>Broj AN</w:t>
            </w:r>
            <w:r w:rsidRPr="005474B2">
              <w:rPr>
                <w:sz w:val="22"/>
                <w:szCs w:val="22"/>
                <w:lang w:val="hr-HR"/>
              </w:rPr>
              <w:noBreakHyphen/>
              <w:t>a, srednja vr</w:t>
            </w:r>
            <w:r w:rsidR="0060463D" w:rsidRPr="005474B2">
              <w:rPr>
                <w:sz w:val="22"/>
                <w:szCs w:val="22"/>
                <w:lang w:val="hr-HR"/>
              </w:rPr>
              <w:t>ij</w:t>
            </w:r>
            <w:r w:rsidRPr="005474B2">
              <w:rPr>
                <w:sz w:val="22"/>
                <w:szCs w:val="22"/>
                <w:lang w:val="hr-HR"/>
              </w:rPr>
              <w:t>ednost % prom</w:t>
            </w:r>
            <w:r w:rsidR="0060463D" w:rsidRPr="005474B2">
              <w:rPr>
                <w:sz w:val="22"/>
                <w:szCs w:val="22"/>
                <w:lang w:val="hr-HR"/>
              </w:rPr>
              <w:t>j</w:t>
            </w:r>
            <w:r w:rsidRPr="005474B2">
              <w:rPr>
                <w:sz w:val="22"/>
                <w:szCs w:val="22"/>
                <w:lang w:val="hr-HR"/>
              </w:rPr>
              <w:t>ene od početne vr</w:t>
            </w:r>
            <w:r w:rsidR="0060463D" w:rsidRPr="005474B2">
              <w:rPr>
                <w:sz w:val="22"/>
                <w:szCs w:val="22"/>
                <w:lang w:val="hr-HR"/>
              </w:rPr>
              <w:t>ij</w:t>
            </w:r>
            <w:r w:rsidRPr="005474B2">
              <w:rPr>
                <w:sz w:val="22"/>
                <w:szCs w:val="22"/>
                <w:lang w:val="hr-HR"/>
              </w:rPr>
              <w:t>ednosti</w:t>
            </w:r>
          </w:p>
        </w:tc>
        <w:tc>
          <w:tcPr>
            <w:tcW w:w="1018" w:type="dxa"/>
            <w:tcBorders>
              <w:top w:val="single" w:sz="4" w:space="0" w:color="auto"/>
              <w:left w:val="single" w:sz="4" w:space="0" w:color="auto"/>
              <w:bottom w:val="single" w:sz="4" w:space="0" w:color="auto"/>
              <w:right w:val="single" w:sz="4" w:space="0" w:color="auto"/>
            </w:tcBorders>
            <w:hideMark/>
          </w:tcPr>
          <w:p w14:paraId="4FE42B60" w14:textId="77777777" w:rsidR="006911D2" w:rsidRPr="005474B2" w:rsidRDefault="006911D2" w:rsidP="005474B2">
            <w:pPr>
              <w:spacing w:line="240" w:lineRule="atLeast"/>
              <w:jc w:val="both"/>
              <w:rPr>
                <w:sz w:val="22"/>
                <w:szCs w:val="22"/>
                <w:lang w:val="hr-HR"/>
              </w:rPr>
            </w:pPr>
            <w:r w:rsidRPr="005474B2">
              <w:rPr>
                <w:sz w:val="22"/>
                <w:szCs w:val="22"/>
                <w:lang w:val="hr-HR"/>
              </w:rPr>
              <w:noBreakHyphen/>
              <w:t>24,3</w:t>
            </w:r>
          </w:p>
        </w:tc>
        <w:tc>
          <w:tcPr>
            <w:tcW w:w="1134" w:type="dxa"/>
            <w:tcBorders>
              <w:top w:val="single" w:sz="4" w:space="0" w:color="auto"/>
              <w:left w:val="single" w:sz="4" w:space="0" w:color="auto"/>
              <w:bottom w:val="single" w:sz="4" w:space="0" w:color="auto"/>
              <w:right w:val="single" w:sz="4" w:space="0" w:color="auto"/>
            </w:tcBorders>
            <w:hideMark/>
          </w:tcPr>
          <w:p w14:paraId="7F60DD5C" w14:textId="77777777" w:rsidR="006911D2" w:rsidRPr="005474B2" w:rsidRDefault="006911D2" w:rsidP="005474B2">
            <w:pPr>
              <w:spacing w:line="240" w:lineRule="atLeast"/>
              <w:jc w:val="both"/>
              <w:rPr>
                <w:sz w:val="22"/>
                <w:szCs w:val="22"/>
                <w:lang w:val="hr-HR"/>
              </w:rPr>
            </w:pPr>
            <w:r w:rsidRPr="005474B2">
              <w:rPr>
                <w:sz w:val="22"/>
                <w:szCs w:val="22"/>
                <w:lang w:val="hr-HR"/>
              </w:rPr>
              <w:noBreakHyphen/>
              <w:t>42,4</w:t>
            </w:r>
          </w:p>
        </w:tc>
        <w:tc>
          <w:tcPr>
            <w:tcW w:w="1155" w:type="dxa"/>
            <w:tcBorders>
              <w:top w:val="single" w:sz="4" w:space="0" w:color="auto"/>
              <w:left w:val="single" w:sz="4" w:space="0" w:color="auto"/>
              <w:bottom w:val="single" w:sz="4" w:space="0" w:color="auto"/>
              <w:right w:val="single" w:sz="4" w:space="0" w:color="auto"/>
            </w:tcBorders>
            <w:hideMark/>
          </w:tcPr>
          <w:p w14:paraId="42190A4F" w14:textId="77777777" w:rsidR="006911D2" w:rsidRPr="005474B2" w:rsidRDefault="006911D2" w:rsidP="005474B2">
            <w:pPr>
              <w:spacing w:line="240" w:lineRule="atLeast"/>
              <w:jc w:val="both"/>
              <w:rPr>
                <w:sz w:val="22"/>
                <w:szCs w:val="22"/>
                <w:lang w:val="hr-HR"/>
              </w:rPr>
            </w:pPr>
            <w:r w:rsidRPr="005474B2">
              <w:rPr>
                <w:sz w:val="22"/>
                <w:szCs w:val="22"/>
                <w:lang w:val="hr-HR"/>
              </w:rPr>
              <w:noBreakHyphen/>
              <w:t>46,8*</w:t>
            </w:r>
          </w:p>
        </w:tc>
        <w:tc>
          <w:tcPr>
            <w:tcW w:w="1108" w:type="dxa"/>
            <w:tcBorders>
              <w:top w:val="single" w:sz="4" w:space="0" w:color="auto"/>
              <w:left w:val="single" w:sz="4" w:space="0" w:color="auto"/>
              <w:bottom w:val="single" w:sz="4" w:space="0" w:color="auto"/>
              <w:right w:val="single" w:sz="4" w:space="0" w:color="auto"/>
            </w:tcBorders>
            <w:hideMark/>
          </w:tcPr>
          <w:p w14:paraId="55AD4427" w14:textId="77777777" w:rsidR="006911D2" w:rsidRPr="005474B2" w:rsidRDefault="006911D2" w:rsidP="005474B2">
            <w:pPr>
              <w:spacing w:line="240" w:lineRule="atLeast"/>
              <w:jc w:val="both"/>
              <w:rPr>
                <w:sz w:val="22"/>
                <w:szCs w:val="22"/>
                <w:lang w:val="hr-HR"/>
              </w:rPr>
            </w:pPr>
            <w:r w:rsidRPr="005474B2">
              <w:rPr>
                <w:sz w:val="22"/>
                <w:szCs w:val="22"/>
                <w:lang w:val="hr-HR"/>
              </w:rPr>
              <w:noBreakHyphen/>
              <w:t>22,4</w:t>
            </w:r>
          </w:p>
        </w:tc>
        <w:tc>
          <w:tcPr>
            <w:tcW w:w="1204" w:type="dxa"/>
            <w:tcBorders>
              <w:top w:val="single" w:sz="4" w:space="0" w:color="auto"/>
              <w:left w:val="single" w:sz="4" w:space="0" w:color="auto"/>
              <w:bottom w:val="single" w:sz="4" w:space="0" w:color="auto"/>
              <w:right w:val="single" w:sz="4" w:space="0" w:color="auto"/>
            </w:tcBorders>
            <w:hideMark/>
          </w:tcPr>
          <w:p w14:paraId="731C62A2" w14:textId="77777777" w:rsidR="006911D2" w:rsidRPr="005474B2" w:rsidRDefault="006911D2" w:rsidP="005474B2">
            <w:pPr>
              <w:spacing w:line="240" w:lineRule="atLeast"/>
              <w:jc w:val="both"/>
              <w:rPr>
                <w:sz w:val="22"/>
                <w:szCs w:val="22"/>
                <w:lang w:val="hr-HR"/>
              </w:rPr>
            </w:pPr>
            <w:r w:rsidRPr="005474B2">
              <w:rPr>
                <w:sz w:val="22"/>
                <w:szCs w:val="22"/>
                <w:lang w:val="hr-HR"/>
              </w:rPr>
              <w:noBreakHyphen/>
              <w:t>45,5*</w:t>
            </w:r>
          </w:p>
        </w:tc>
        <w:tc>
          <w:tcPr>
            <w:tcW w:w="1204" w:type="dxa"/>
            <w:tcBorders>
              <w:top w:val="single" w:sz="4" w:space="0" w:color="auto"/>
              <w:left w:val="single" w:sz="4" w:space="0" w:color="auto"/>
              <w:bottom w:val="single" w:sz="4" w:space="0" w:color="auto"/>
              <w:right w:val="single" w:sz="4" w:space="0" w:color="auto"/>
            </w:tcBorders>
            <w:hideMark/>
          </w:tcPr>
          <w:p w14:paraId="2300D238" w14:textId="77777777" w:rsidR="006911D2" w:rsidRPr="005474B2" w:rsidRDefault="006911D2" w:rsidP="005474B2">
            <w:pPr>
              <w:spacing w:line="240" w:lineRule="atLeast"/>
              <w:jc w:val="both"/>
              <w:rPr>
                <w:sz w:val="22"/>
                <w:szCs w:val="22"/>
                <w:lang w:val="hr-HR"/>
              </w:rPr>
            </w:pPr>
            <w:r w:rsidRPr="005474B2">
              <w:rPr>
                <w:sz w:val="22"/>
                <w:szCs w:val="22"/>
                <w:lang w:val="hr-HR"/>
              </w:rPr>
              <w:noBreakHyphen/>
              <w:t>39,3*</w:t>
            </w:r>
          </w:p>
        </w:tc>
      </w:tr>
      <w:tr w:rsidR="006911D2" w:rsidRPr="0009637B" w14:paraId="1D17347A" w14:textId="77777777" w:rsidTr="00295602">
        <w:trPr>
          <w:cantSplit/>
        </w:trPr>
        <w:tc>
          <w:tcPr>
            <w:tcW w:w="2238" w:type="dxa"/>
            <w:tcBorders>
              <w:top w:val="single" w:sz="4" w:space="0" w:color="auto"/>
              <w:left w:val="single" w:sz="4" w:space="0" w:color="auto"/>
              <w:bottom w:val="single" w:sz="4" w:space="0" w:color="auto"/>
              <w:right w:val="single" w:sz="4" w:space="0" w:color="auto"/>
            </w:tcBorders>
            <w:hideMark/>
          </w:tcPr>
          <w:p w14:paraId="5CAB9062" w14:textId="77777777" w:rsidR="006911D2" w:rsidRPr="005474B2" w:rsidRDefault="006911D2" w:rsidP="005474B2">
            <w:pPr>
              <w:spacing w:line="240" w:lineRule="atLeast"/>
              <w:jc w:val="both"/>
              <w:rPr>
                <w:sz w:val="22"/>
                <w:szCs w:val="22"/>
                <w:lang w:val="hr-HR"/>
              </w:rPr>
            </w:pPr>
            <w:r w:rsidRPr="005474B2">
              <w:rPr>
                <w:sz w:val="22"/>
                <w:szCs w:val="22"/>
                <w:lang w:val="hr-HR"/>
              </w:rPr>
              <w:t>Pogoršanje bolesti, n (%)</w:t>
            </w:r>
          </w:p>
        </w:tc>
        <w:tc>
          <w:tcPr>
            <w:tcW w:w="1018" w:type="dxa"/>
            <w:tcBorders>
              <w:top w:val="single" w:sz="4" w:space="0" w:color="auto"/>
              <w:left w:val="single" w:sz="4" w:space="0" w:color="auto"/>
              <w:bottom w:val="single" w:sz="4" w:space="0" w:color="auto"/>
              <w:right w:val="single" w:sz="4" w:space="0" w:color="auto"/>
            </w:tcBorders>
            <w:hideMark/>
          </w:tcPr>
          <w:p w14:paraId="3CCEF29E" w14:textId="77777777" w:rsidR="006911D2" w:rsidRPr="005474B2" w:rsidRDefault="006911D2" w:rsidP="005474B2">
            <w:pPr>
              <w:spacing w:line="240" w:lineRule="atLeast"/>
              <w:jc w:val="both"/>
              <w:rPr>
                <w:sz w:val="22"/>
                <w:szCs w:val="22"/>
                <w:lang w:val="hr-HR"/>
              </w:rPr>
            </w:pPr>
            <w:r w:rsidRPr="005474B2">
              <w:rPr>
                <w:sz w:val="22"/>
                <w:szCs w:val="22"/>
                <w:lang w:val="hr-HR"/>
              </w:rPr>
              <w:t>52</w:t>
            </w:r>
          </w:p>
          <w:p w14:paraId="6A3E6A44" w14:textId="77777777" w:rsidR="006911D2" w:rsidRPr="005474B2" w:rsidRDefault="006911D2" w:rsidP="005474B2">
            <w:pPr>
              <w:spacing w:line="240" w:lineRule="atLeast"/>
              <w:jc w:val="both"/>
              <w:rPr>
                <w:sz w:val="22"/>
                <w:szCs w:val="22"/>
                <w:lang w:val="hr-HR"/>
              </w:rPr>
            </w:pPr>
            <w:r w:rsidRPr="005474B2">
              <w:rPr>
                <w:sz w:val="22"/>
                <w:szCs w:val="22"/>
                <w:lang w:val="hr-HR"/>
              </w:rPr>
              <w:t>(29,0)</w:t>
            </w:r>
          </w:p>
        </w:tc>
        <w:tc>
          <w:tcPr>
            <w:tcW w:w="1134" w:type="dxa"/>
            <w:tcBorders>
              <w:top w:val="single" w:sz="4" w:space="0" w:color="auto"/>
              <w:left w:val="single" w:sz="4" w:space="0" w:color="auto"/>
              <w:bottom w:val="single" w:sz="4" w:space="0" w:color="auto"/>
              <w:right w:val="single" w:sz="4" w:space="0" w:color="auto"/>
            </w:tcBorders>
            <w:hideMark/>
          </w:tcPr>
          <w:p w14:paraId="777FAEDB" w14:textId="77777777" w:rsidR="006911D2" w:rsidRPr="005474B2" w:rsidRDefault="006911D2" w:rsidP="005474B2">
            <w:pPr>
              <w:spacing w:line="240" w:lineRule="atLeast"/>
              <w:jc w:val="both"/>
              <w:rPr>
                <w:sz w:val="22"/>
                <w:szCs w:val="22"/>
                <w:lang w:val="hr-HR"/>
              </w:rPr>
            </w:pPr>
            <w:r w:rsidRPr="005474B2">
              <w:rPr>
                <w:sz w:val="22"/>
                <w:szCs w:val="22"/>
                <w:lang w:val="hr-HR"/>
              </w:rPr>
              <w:t>42</w:t>
            </w:r>
          </w:p>
          <w:p w14:paraId="786406EF" w14:textId="77777777" w:rsidR="006911D2" w:rsidRPr="005474B2" w:rsidRDefault="006911D2" w:rsidP="005474B2">
            <w:pPr>
              <w:spacing w:line="240" w:lineRule="atLeast"/>
              <w:jc w:val="both"/>
              <w:rPr>
                <w:sz w:val="22"/>
                <w:szCs w:val="22"/>
                <w:lang w:val="hr-HR"/>
              </w:rPr>
            </w:pPr>
            <w:r w:rsidRPr="005474B2">
              <w:rPr>
                <w:sz w:val="22"/>
                <w:szCs w:val="22"/>
                <w:lang w:val="hr-HR"/>
              </w:rPr>
              <w:t>(23,2)</w:t>
            </w:r>
          </w:p>
        </w:tc>
        <w:tc>
          <w:tcPr>
            <w:tcW w:w="1155" w:type="dxa"/>
            <w:tcBorders>
              <w:top w:val="single" w:sz="4" w:space="0" w:color="auto"/>
              <w:left w:val="single" w:sz="4" w:space="0" w:color="auto"/>
              <w:bottom w:val="single" w:sz="4" w:space="0" w:color="auto"/>
              <w:right w:val="single" w:sz="4" w:space="0" w:color="auto"/>
            </w:tcBorders>
            <w:hideMark/>
          </w:tcPr>
          <w:p w14:paraId="306AF6F0" w14:textId="77777777" w:rsidR="006911D2" w:rsidRPr="005474B2" w:rsidRDefault="006911D2" w:rsidP="005474B2">
            <w:pPr>
              <w:spacing w:line="240" w:lineRule="atLeast"/>
              <w:jc w:val="both"/>
              <w:rPr>
                <w:sz w:val="22"/>
                <w:szCs w:val="22"/>
                <w:lang w:val="hr-HR"/>
              </w:rPr>
            </w:pPr>
            <w:r w:rsidRPr="005474B2">
              <w:rPr>
                <w:sz w:val="22"/>
                <w:szCs w:val="22"/>
                <w:lang w:val="hr-HR"/>
              </w:rPr>
              <w:t>28</w:t>
            </w:r>
          </w:p>
          <w:p w14:paraId="12900F43" w14:textId="77777777" w:rsidR="006911D2" w:rsidRPr="005474B2" w:rsidRDefault="006911D2" w:rsidP="005474B2">
            <w:pPr>
              <w:spacing w:line="240" w:lineRule="atLeast"/>
              <w:jc w:val="both"/>
              <w:rPr>
                <w:sz w:val="22"/>
                <w:szCs w:val="22"/>
                <w:lang w:val="hr-HR"/>
              </w:rPr>
            </w:pPr>
            <w:r w:rsidRPr="005474B2">
              <w:rPr>
                <w:sz w:val="22"/>
                <w:szCs w:val="22"/>
                <w:lang w:val="hr-HR"/>
              </w:rPr>
              <w:t>(15,4*)</w:t>
            </w:r>
          </w:p>
        </w:tc>
        <w:tc>
          <w:tcPr>
            <w:tcW w:w="1108" w:type="dxa"/>
            <w:tcBorders>
              <w:top w:val="single" w:sz="4" w:space="0" w:color="auto"/>
              <w:left w:val="single" w:sz="4" w:space="0" w:color="auto"/>
              <w:bottom w:val="single" w:sz="4" w:space="0" w:color="auto"/>
              <w:right w:val="single" w:sz="4" w:space="0" w:color="auto"/>
            </w:tcBorders>
            <w:hideMark/>
          </w:tcPr>
          <w:p w14:paraId="3BA6280D" w14:textId="77777777" w:rsidR="006911D2" w:rsidRPr="005474B2" w:rsidRDefault="006911D2" w:rsidP="005474B2">
            <w:pPr>
              <w:spacing w:line="240" w:lineRule="atLeast"/>
              <w:jc w:val="both"/>
              <w:rPr>
                <w:sz w:val="22"/>
                <w:szCs w:val="22"/>
                <w:lang w:val="hr-HR"/>
              </w:rPr>
            </w:pPr>
            <w:r w:rsidRPr="005474B2">
              <w:rPr>
                <w:sz w:val="22"/>
                <w:szCs w:val="22"/>
                <w:lang w:val="hr-HR"/>
              </w:rPr>
              <w:t>50</w:t>
            </w:r>
          </w:p>
          <w:p w14:paraId="705B42BA" w14:textId="77777777" w:rsidR="006911D2" w:rsidRPr="005474B2" w:rsidRDefault="006911D2" w:rsidP="005474B2">
            <w:pPr>
              <w:spacing w:line="240" w:lineRule="atLeast"/>
              <w:jc w:val="both"/>
              <w:rPr>
                <w:sz w:val="22"/>
                <w:szCs w:val="22"/>
                <w:lang w:val="hr-HR"/>
              </w:rPr>
            </w:pPr>
            <w:r w:rsidRPr="005474B2">
              <w:rPr>
                <w:sz w:val="22"/>
                <w:szCs w:val="22"/>
                <w:lang w:val="hr-HR"/>
              </w:rPr>
              <w:t>(27,0)</w:t>
            </w:r>
          </w:p>
        </w:tc>
        <w:tc>
          <w:tcPr>
            <w:tcW w:w="1204" w:type="dxa"/>
            <w:tcBorders>
              <w:top w:val="single" w:sz="4" w:space="0" w:color="auto"/>
              <w:left w:val="single" w:sz="4" w:space="0" w:color="auto"/>
              <w:bottom w:val="single" w:sz="4" w:space="0" w:color="auto"/>
              <w:right w:val="single" w:sz="4" w:space="0" w:color="auto"/>
            </w:tcBorders>
            <w:hideMark/>
          </w:tcPr>
          <w:p w14:paraId="781BC8C3" w14:textId="77777777" w:rsidR="006911D2" w:rsidRPr="005474B2" w:rsidRDefault="006911D2" w:rsidP="005474B2">
            <w:pPr>
              <w:spacing w:line="240" w:lineRule="atLeast"/>
              <w:jc w:val="both"/>
              <w:rPr>
                <w:sz w:val="22"/>
                <w:szCs w:val="22"/>
                <w:lang w:val="hr-HR"/>
              </w:rPr>
            </w:pPr>
            <w:r w:rsidRPr="005474B2">
              <w:rPr>
                <w:sz w:val="22"/>
                <w:szCs w:val="22"/>
                <w:lang w:val="hr-HR"/>
              </w:rPr>
              <w:t>28</w:t>
            </w:r>
          </w:p>
          <w:p w14:paraId="5CF1CFF5" w14:textId="77777777" w:rsidR="006911D2" w:rsidRPr="005474B2" w:rsidRDefault="006911D2" w:rsidP="005474B2">
            <w:pPr>
              <w:spacing w:line="240" w:lineRule="atLeast"/>
              <w:jc w:val="both"/>
              <w:rPr>
                <w:sz w:val="22"/>
                <w:szCs w:val="22"/>
                <w:lang w:val="hr-HR"/>
              </w:rPr>
            </w:pPr>
            <w:r w:rsidRPr="005474B2">
              <w:rPr>
                <w:sz w:val="22"/>
                <w:szCs w:val="22"/>
                <w:lang w:val="hr-HR"/>
              </w:rPr>
              <w:t>(15,6*)</w:t>
            </w:r>
          </w:p>
        </w:tc>
        <w:tc>
          <w:tcPr>
            <w:tcW w:w="1204" w:type="dxa"/>
            <w:tcBorders>
              <w:top w:val="single" w:sz="4" w:space="0" w:color="auto"/>
              <w:left w:val="single" w:sz="4" w:space="0" w:color="auto"/>
              <w:bottom w:val="single" w:sz="4" w:space="0" w:color="auto"/>
              <w:right w:val="single" w:sz="4" w:space="0" w:color="auto"/>
            </w:tcBorders>
            <w:hideMark/>
          </w:tcPr>
          <w:p w14:paraId="43C3D23B" w14:textId="77777777" w:rsidR="006911D2" w:rsidRPr="005474B2" w:rsidRDefault="006911D2" w:rsidP="005474B2">
            <w:pPr>
              <w:spacing w:line="240" w:lineRule="atLeast"/>
              <w:jc w:val="both"/>
              <w:rPr>
                <w:sz w:val="22"/>
                <w:szCs w:val="22"/>
                <w:lang w:val="hr-HR"/>
              </w:rPr>
            </w:pPr>
            <w:r w:rsidRPr="005474B2">
              <w:rPr>
                <w:sz w:val="22"/>
                <w:szCs w:val="22"/>
                <w:lang w:val="hr-HR"/>
              </w:rPr>
              <w:t>36</w:t>
            </w:r>
          </w:p>
          <w:p w14:paraId="4A64EE4F" w14:textId="77777777" w:rsidR="006911D2" w:rsidRPr="005474B2" w:rsidRDefault="006911D2" w:rsidP="005474B2">
            <w:pPr>
              <w:spacing w:line="240" w:lineRule="atLeast"/>
              <w:jc w:val="both"/>
              <w:rPr>
                <w:sz w:val="22"/>
                <w:szCs w:val="22"/>
                <w:lang w:val="hr-HR"/>
              </w:rPr>
            </w:pPr>
            <w:r w:rsidRPr="005474B2">
              <w:rPr>
                <w:sz w:val="22"/>
                <w:szCs w:val="22"/>
                <w:lang w:val="hr-HR"/>
              </w:rPr>
              <w:t>(20,1)</w:t>
            </w:r>
          </w:p>
        </w:tc>
      </w:tr>
      <w:tr w:rsidR="006911D2" w:rsidRPr="0009637B" w14:paraId="1EED1203" w14:textId="77777777" w:rsidTr="00295602">
        <w:trPr>
          <w:cantSplit/>
        </w:trPr>
        <w:tc>
          <w:tcPr>
            <w:tcW w:w="2238" w:type="dxa"/>
            <w:tcBorders>
              <w:top w:val="single" w:sz="4" w:space="0" w:color="auto"/>
              <w:left w:val="single" w:sz="4" w:space="0" w:color="auto"/>
              <w:bottom w:val="single" w:sz="4" w:space="0" w:color="auto"/>
              <w:right w:val="single" w:sz="4" w:space="0" w:color="auto"/>
            </w:tcBorders>
          </w:tcPr>
          <w:p w14:paraId="1E44F5C1" w14:textId="77777777" w:rsidR="006911D2" w:rsidRPr="005474B2" w:rsidRDefault="006911D2" w:rsidP="005474B2">
            <w:pPr>
              <w:spacing w:line="240" w:lineRule="atLeast"/>
              <w:jc w:val="both"/>
              <w:rPr>
                <w:sz w:val="22"/>
                <w:szCs w:val="22"/>
                <w:lang w:val="hr-HR"/>
              </w:rPr>
            </w:pPr>
          </w:p>
        </w:tc>
        <w:tc>
          <w:tcPr>
            <w:tcW w:w="6823" w:type="dxa"/>
            <w:gridSpan w:val="6"/>
            <w:tcBorders>
              <w:top w:val="single" w:sz="4" w:space="0" w:color="auto"/>
              <w:left w:val="single" w:sz="4" w:space="0" w:color="auto"/>
              <w:bottom w:val="single" w:sz="4" w:space="0" w:color="auto"/>
              <w:right w:val="single" w:sz="4" w:space="0" w:color="auto"/>
            </w:tcBorders>
            <w:hideMark/>
          </w:tcPr>
          <w:p w14:paraId="5694A0E3" w14:textId="77777777" w:rsidR="006911D2" w:rsidRPr="005474B2" w:rsidRDefault="006911D2" w:rsidP="005474B2">
            <w:pPr>
              <w:spacing w:line="240" w:lineRule="atLeast"/>
              <w:jc w:val="both"/>
              <w:rPr>
                <w:sz w:val="22"/>
                <w:szCs w:val="22"/>
                <w:lang w:val="hr-HR"/>
              </w:rPr>
            </w:pPr>
            <w:r w:rsidRPr="005474B2">
              <w:rPr>
                <w:b/>
                <w:sz w:val="22"/>
                <w:szCs w:val="22"/>
                <w:lang w:val="hr-HR"/>
              </w:rPr>
              <w:t>Objedinjeni podaci (</w:t>
            </w:r>
            <w:r w:rsidRPr="005474B2">
              <w:rPr>
                <w:b/>
                <w:bCs/>
                <w:sz w:val="22"/>
                <w:szCs w:val="22"/>
                <w:lang w:val="hr-HR"/>
              </w:rPr>
              <w:t>1. i 2. HS ispitivanje</w:t>
            </w:r>
            <w:r w:rsidRPr="005474B2">
              <w:rPr>
                <w:b/>
                <w:sz w:val="22"/>
                <w:szCs w:val="22"/>
                <w:lang w:val="hr-HR"/>
              </w:rPr>
              <w:t>)</w:t>
            </w:r>
          </w:p>
        </w:tc>
      </w:tr>
      <w:tr w:rsidR="006911D2" w:rsidRPr="0009637B" w14:paraId="1197679D" w14:textId="77777777" w:rsidTr="00295602">
        <w:trPr>
          <w:cantSplit/>
        </w:trPr>
        <w:tc>
          <w:tcPr>
            <w:tcW w:w="2238" w:type="dxa"/>
            <w:tcBorders>
              <w:top w:val="single" w:sz="4" w:space="0" w:color="auto"/>
              <w:left w:val="single" w:sz="4" w:space="0" w:color="auto"/>
              <w:bottom w:val="single" w:sz="4" w:space="0" w:color="auto"/>
              <w:right w:val="single" w:sz="4" w:space="0" w:color="auto"/>
            </w:tcBorders>
          </w:tcPr>
          <w:p w14:paraId="07D8C600" w14:textId="77777777" w:rsidR="006911D2" w:rsidRPr="005474B2" w:rsidRDefault="006911D2" w:rsidP="005474B2">
            <w:pPr>
              <w:spacing w:line="240" w:lineRule="atLeast"/>
              <w:jc w:val="both"/>
              <w:rPr>
                <w:sz w:val="22"/>
                <w:szCs w:val="22"/>
                <w:lang w:val="hr-HR"/>
              </w:rPr>
            </w:pPr>
          </w:p>
        </w:tc>
        <w:tc>
          <w:tcPr>
            <w:tcW w:w="2152" w:type="dxa"/>
            <w:gridSpan w:val="2"/>
            <w:tcBorders>
              <w:top w:val="single" w:sz="4" w:space="0" w:color="auto"/>
              <w:left w:val="single" w:sz="4" w:space="0" w:color="auto"/>
              <w:bottom w:val="single" w:sz="4" w:space="0" w:color="auto"/>
              <w:right w:val="single" w:sz="4" w:space="0" w:color="auto"/>
            </w:tcBorders>
            <w:hideMark/>
          </w:tcPr>
          <w:p w14:paraId="2230975D" w14:textId="77777777" w:rsidR="006911D2" w:rsidRPr="005474B2" w:rsidRDefault="006911D2" w:rsidP="005474B2">
            <w:pPr>
              <w:spacing w:line="240" w:lineRule="atLeast"/>
              <w:jc w:val="both"/>
              <w:rPr>
                <w:sz w:val="22"/>
                <w:szCs w:val="22"/>
                <w:lang w:val="hr-HR"/>
              </w:rPr>
            </w:pPr>
            <w:r w:rsidRPr="005474B2">
              <w:rPr>
                <w:sz w:val="22"/>
                <w:szCs w:val="22"/>
                <w:lang w:val="hr-HR"/>
              </w:rPr>
              <w:t>Placebo</w:t>
            </w:r>
          </w:p>
        </w:tc>
        <w:tc>
          <w:tcPr>
            <w:tcW w:w="2263" w:type="dxa"/>
            <w:gridSpan w:val="2"/>
            <w:tcBorders>
              <w:top w:val="single" w:sz="4" w:space="0" w:color="auto"/>
              <w:left w:val="single" w:sz="4" w:space="0" w:color="auto"/>
              <w:bottom w:val="single" w:sz="4" w:space="0" w:color="auto"/>
              <w:right w:val="single" w:sz="4" w:space="0" w:color="auto"/>
            </w:tcBorders>
            <w:hideMark/>
          </w:tcPr>
          <w:p w14:paraId="3D2B8874" w14:textId="77777777" w:rsidR="006911D2" w:rsidRPr="005474B2" w:rsidRDefault="006911D2" w:rsidP="005474B2">
            <w:pPr>
              <w:spacing w:line="240" w:lineRule="atLeast"/>
              <w:jc w:val="both"/>
              <w:rPr>
                <w:sz w:val="22"/>
                <w:szCs w:val="22"/>
                <w:lang w:val="hr-HR"/>
              </w:rPr>
            </w:pPr>
            <w:r w:rsidRPr="005474B2">
              <w:rPr>
                <w:sz w:val="22"/>
                <w:szCs w:val="22"/>
                <w:lang w:val="hr-HR"/>
              </w:rPr>
              <w:t>300 mg Q4W</w:t>
            </w:r>
          </w:p>
        </w:tc>
        <w:tc>
          <w:tcPr>
            <w:tcW w:w="2408" w:type="dxa"/>
            <w:gridSpan w:val="2"/>
            <w:tcBorders>
              <w:top w:val="single" w:sz="4" w:space="0" w:color="auto"/>
              <w:left w:val="single" w:sz="4" w:space="0" w:color="auto"/>
              <w:bottom w:val="single" w:sz="4" w:space="0" w:color="auto"/>
              <w:right w:val="single" w:sz="4" w:space="0" w:color="auto"/>
            </w:tcBorders>
            <w:hideMark/>
          </w:tcPr>
          <w:p w14:paraId="4A1E906C" w14:textId="77777777" w:rsidR="006911D2" w:rsidRPr="005474B2" w:rsidRDefault="006911D2" w:rsidP="005474B2">
            <w:pPr>
              <w:spacing w:line="240" w:lineRule="atLeast"/>
              <w:jc w:val="both"/>
              <w:rPr>
                <w:sz w:val="22"/>
                <w:szCs w:val="22"/>
                <w:lang w:val="hr-HR"/>
              </w:rPr>
            </w:pPr>
            <w:r w:rsidRPr="005474B2">
              <w:rPr>
                <w:sz w:val="22"/>
                <w:szCs w:val="22"/>
                <w:lang w:val="hr-HR"/>
              </w:rPr>
              <w:t>300 mg Q2W</w:t>
            </w:r>
          </w:p>
        </w:tc>
      </w:tr>
      <w:tr w:rsidR="006911D2" w:rsidRPr="0009637B" w14:paraId="75927D55" w14:textId="77777777" w:rsidTr="00295602">
        <w:trPr>
          <w:cantSplit/>
        </w:trPr>
        <w:tc>
          <w:tcPr>
            <w:tcW w:w="2238" w:type="dxa"/>
            <w:tcBorders>
              <w:top w:val="single" w:sz="4" w:space="0" w:color="auto"/>
              <w:left w:val="single" w:sz="4" w:space="0" w:color="auto"/>
              <w:bottom w:val="single" w:sz="4" w:space="0" w:color="auto"/>
              <w:right w:val="single" w:sz="4" w:space="0" w:color="auto"/>
            </w:tcBorders>
            <w:hideMark/>
          </w:tcPr>
          <w:p w14:paraId="786EA67B" w14:textId="77777777" w:rsidR="006911D2" w:rsidRPr="005474B2" w:rsidRDefault="006911D2" w:rsidP="005474B2">
            <w:pPr>
              <w:spacing w:line="240" w:lineRule="atLeast"/>
              <w:jc w:val="both"/>
              <w:rPr>
                <w:sz w:val="22"/>
                <w:szCs w:val="22"/>
                <w:lang w:val="hr-HR"/>
              </w:rPr>
            </w:pPr>
            <w:r w:rsidRPr="005474B2">
              <w:rPr>
                <w:b/>
                <w:sz w:val="22"/>
                <w:szCs w:val="22"/>
                <w:lang w:val="hr-HR"/>
              </w:rPr>
              <w:t>Broj pacijenata sa NRS ≥3 na početku</w:t>
            </w:r>
          </w:p>
        </w:tc>
        <w:tc>
          <w:tcPr>
            <w:tcW w:w="2152" w:type="dxa"/>
            <w:gridSpan w:val="2"/>
            <w:tcBorders>
              <w:top w:val="single" w:sz="4" w:space="0" w:color="auto"/>
              <w:left w:val="single" w:sz="4" w:space="0" w:color="auto"/>
              <w:bottom w:val="single" w:sz="4" w:space="0" w:color="auto"/>
              <w:right w:val="single" w:sz="4" w:space="0" w:color="auto"/>
            </w:tcBorders>
            <w:hideMark/>
          </w:tcPr>
          <w:p w14:paraId="47F5C295" w14:textId="77777777" w:rsidR="006911D2" w:rsidRPr="005474B2" w:rsidRDefault="006911D2" w:rsidP="005474B2">
            <w:pPr>
              <w:spacing w:line="240" w:lineRule="atLeast"/>
              <w:jc w:val="both"/>
              <w:rPr>
                <w:sz w:val="22"/>
                <w:szCs w:val="22"/>
                <w:lang w:val="hr-HR"/>
              </w:rPr>
            </w:pPr>
            <w:r w:rsidRPr="005474B2">
              <w:rPr>
                <w:sz w:val="22"/>
                <w:szCs w:val="22"/>
                <w:lang w:val="hr-HR"/>
              </w:rPr>
              <w:t>251</w:t>
            </w:r>
          </w:p>
        </w:tc>
        <w:tc>
          <w:tcPr>
            <w:tcW w:w="2263" w:type="dxa"/>
            <w:gridSpan w:val="2"/>
            <w:tcBorders>
              <w:top w:val="single" w:sz="4" w:space="0" w:color="auto"/>
              <w:left w:val="single" w:sz="4" w:space="0" w:color="auto"/>
              <w:bottom w:val="single" w:sz="4" w:space="0" w:color="auto"/>
              <w:right w:val="single" w:sz="4" w:space="0" w:color="auto"/>
            </w:tcBorders>
            <w:hideMark/>
          </w:tcPr>
          <w:p w14:paraId="3A369862" w14:textId="77777777" w:rsidR="006911D2" w:rsidRPr="005474B2" w:rsidRDefault="006911D2" w:rsidP="005474B2">
            <w:pPr>
              <w:spacing w:line="240" w:lineRule="atLeast"/>
              <w:jc w:val="both"/>
              <w:rPr>
                <w:sz w:val="22"/>
                <w:szCs w:val="22"/>
                <w:lang w:val="hr-HR"/>
              </w:rPr>
            </w:pPr>
            <w:r w:rsidRPr="005474B2">
              <w:rPr>
                <w:sz w:val="22"/>
                <w:szCs w:val="22"/>
                <w:lang w:val="hr-HR"/>
              </w:rPr>
              <w:t>252</w:t>
            </w:r>
          </w:p>
        </w:tc>
        <w:tc>
          <w:tcPr>
            <w:tcW w:w="2408" w:type="dxa"/>
            <w:gridSpan w:val="2"/>
            <w:tcBorders>
              <w:top w:val="single" w:sz="4" w:space="0" w:color="auto"/>
              <w:left w:val="single" w:sz="4" w:space="0" w:color="auto"/>
              <w:bottom w:val="single" w:sz="4" w:space="0" w:color="auto"/>
              <w:right w:val="single" w:sz="4" w:space="0" w:color="auto"/>
            </w:tcBorders>
            <w:hideMark/>
          </w:tcPr>
          <w:p w14:paraId="5B80C1AA" w14:textId="77777777" w:rsidR="006911D2" w:rsidRPr="005474B2" w:rsidRDefault="006911D2" w:rsidP="005474B2">
            <w:pPr>
              <w:spacing w:line="240" w:lineRule="atLeast"/>
              <w:jc w:val="both"/>
              <w:rPr>
                <w:sz w:val="22"/>
                <w:szCs w:val="22"/>
                <w:lang w:val="hr-HR"/>
              </w:rPr>
            </w:pPr>
            <w:r w:rsidRPr="005474B2">
              <w:rPr>
                <w:sz w:val="22"/>
                <w:szCs w:val="22"/>
                <w:lang w:val="hr-HR"/>
              </w:rPr>
              <w:t>266</w:t>
            </w:r>
          </w:p>
        </w:tc>
      </w:tr>
      <w:tr w:rsidR="006911D2" w:rsidRPr="0009637B" w14:paraId="358ABC7D" w14:textId="77777777" w:rsidTr="00295602">
        <w:trPr>
          <w:cantSplit/>
        </w:trPr>
        <w:tc>
          <w:tcPr>
            <w:tcW w:w="2238" w:type="dxa"/>
            <w:tcBorders>
              <w:top w:val="single" w:sz="4" w:space="0" w:color="auto"/>
              <w:left w:val="single" w:sz="4" w:space="0" w:color="auto"/>
              <w:bottom w:val="single" w:sz="4" w:space="0" w:color="auto"/>
              <w:right w:val="single" w:sz="4" w:space="0" w:color="auto"/>
            </w:tcBorders>
            <w:hideMark/>
          </w:tcPr>
          <w:p w14:paraId="0FDF1946" w14:textId="77777777" w:rsidR="006911D2" w:rsidRPr="005474B2" w:rsidRDefault="006911D2" w:rsidP="005474B2">
            <w:pPr>
              <w:spacing w:line="240" w:lineRule="atLeast"/>
              <w:jc w:val="both"/>
              <w:rPr>
                <w:sz w:val="22"/>
                <w:szCs w:val="22"/>
                <w:lang w:val="hr-HR"/>
              </w:rPr>
            </w:pPr>
            <w:r w:rsidRPr="005474B2">
              <w:rPr>
                <w:sz w:val="22"/>
                <w:szCs w:val="22"/>
                <w:lang w:val="hr-HR"/>
              </w:rPr>
              <w:t>Smanjenje bola kože  ≥30%, odgovor NRS30, n (%)</w:t>
            </w:r>
          </w:p>
        </w:tc>
        <w:tc>
          <w:tcPr>
            <w:tcW w:w="2152" w:type="dxa"/>
            <w:gridSpan w:val="2"/>
            <w:tcBorders>
              <w:top w:val="single" w:sz="4" w:space="0" w:color="auto"/>
              <w:left w:val="single" w:sz="4" w:space="0" w:color="auto"/>
              <w:bottom w:val="single" w:sz="4" w:space="0" w:color="auto"/>
              <w:right w:val="single" w:sz="4" w:space="0" w:color="auto"/>
            </w:tcBorders>
            <w:hideMark/>
          </w:tcPr>
          <w:p w14:paraId="7CD93B69" w14:textId="77777777" w:rsidR="006911D2" w:rsidRPr="005474B2" w:rsidRDefault="006911D2" w:rsidP="005474B2">
            <w:pPr>
              <w:spacing w:line="240" w:lineRule="atLeast"/>
              <w:jc w:val="both"/>
              <w:rPr>
                <w:sz w:val="22"/>
                <w:szCs w:val="22"/>
                <w:lang w:val="hr-HR"/>
              </w:rPr>
            </w:pPr>
            <w:r w:rsidRPr="005474B2">
              <w:rPr>
                <w:sz w:val="22"/>
                <w:szCs w:val="22"/>
                <w:lang w:val="hr-HR"/>
              </w:rPr>
              <w:t>58 (23,0)</w:t>
            </w:r>
          </w:p>
        </w:tc>
        <w:tc>
          <w:tcPr>
            <w:tcW w:w="2263" w:type="dxa"/>
            <w:gridSpan w:val="2"/>
            <w:tcBorders>
              <w:top w:val="single" w:sz="4" w:space="0" w:color="auto"/>
              <w:left w:val="single" w:sz="4" w:space="0" w:color="auto"/>
              <w:bottom w:val="single" w:sz="4" w:space="0" w:color="auto"/>
              <w:right w:val="single" w:sz="4" w:space="0" w:color="auto"/>
            </w:tcBorders>
            <w:hideMark/>
          </w:tcPr>
          <w:p w14:paraId="34C9390F" w14:textId="77777777" w:rsidR="006911D2" w:rsidRPr="005474B2" w:rsidRDefault="006911D2" w:rsidP="005474B2">
            <w:pPr>
              <w:spacing w:line="240" w:lineRule="atLeast"/>
              <w:jc w:val="both"/>
              <w:rPr>
                <w:sz w:val="22"/>
                <w:szCs w:val="22"/>
                <w:lang w:val="hr-HR"/>
              </w:rPr>
            </w:pPr>
            <w:r w:rsidRPr="005474B2">
              <w:rPr>
                <w:sz w:val="22"/>
                <w:szCs w:val="22"/>
                <w:lang w:val="hr-HR"/>
              </w:rPr>
              <w:t>84 (33,5)</w:t>
            </w:r>
          </w:p>
        </w:tc>
        <w:tc>
          <w:tcPr>
            <w:tcW w:w="2408" w:type="dxa"/>
            <w:gridSpan w:val="2"/>
            <w:tcBorders>
              <w:top w:val="single" w:sz="4" w:space="0" w:color="auto"/>
              <w:left w:val="single" w:sz="4" w:space="0" w:color="auto"/>
              <w:bottom w:val="single" w:sz="4" w:space="0" w:color="auto"/>
              <w:right w:val="single" w:sz="4" w:space="0" w:color="auto"/>
            </w:tcBorders>
            <w:hideMark/>
          </w:tcPr>
          <w:p w14:paraId="269ECF7D" w14:textId="77777777" w:rsidR="006911D2" w:rsidRPr="005474B2" w:rsidRDefault="006911D2" w:rsidP="005474B2">
            <w:pPr>
              <w:spacing w:line="240" w:lineRule="atLeast"/>
              <w:jc w:val="both"/>
              <w:rPr>
                <w:sz w:val="22"/>
                <w:szCs w:val="22"/>
                <w:lang w:val="hr-HR"/>
              </w:rPr>
            </w:pPr>
            <w:r w:rsidRPr="005474B2">
              <w:rPr>
                <w:sz w:val="22"/>
                <w:szCs w:val="22"/>
                <w:lang w:val="hr-HR"/>
              </w:rPr>
              <w:t>97 (36,6*)</w:t>
            </w:r>
          </w:p>
        </w:tc>
      </w:tr>
      <w:tr w:rsidR="006911D2" w:rsidRPr="0009637B" w14:paraId="4EAF4FF1" w14:textId="77777777" w:rsidTr="00295602">
        <w:trPr>
          <w:cantSplit/>
        </w:trPr>
        <w:tc>
          <w:tcPr>
            <w:tcW w:w="9061" w:type="dxa"/>
            <w:gridSpan w:val="7"/>
            <w:tcBorders>
              <w:top w:val="single" w:sz="4" w:space="0" w:color="auto"/>
              <w:left w:val="single" w:sz="4" w:space="0" w:color="auto"/>
              <w:bottom w:val="single" w:sz="4" w:space="0" w:color="auto"/>
              <w:right w:val="single" w:sz="4" w:space="0" w:color="auto"/>
            </w:tcBorders>
            <w:hideMark/>
          </w:tcPr>
          <w:p w14:paraId="266DC53A" w14:textId="77777777" w:rsidR="006911D2" w:rsidRPr="005474B2" w:rsidRDefault="006911D2" w:rsidP="005474B2">
            <w:pPr>
              <w:spacing w:line="240" w:lineRule="atLeast"/>
              <w:jc w:val="both"/>
              <w:rPr>
                <w:sz w:val="22"/>
                <w:szCs w:val="22"/>
                <w:lang w:val="hr-HR"/>
              </w:rPr>
            </w:pPr>
            <w:r w:rsidRPr="005474B2">
              <w:rPr>
                <w:sz w:val="22"/>
                <w:szCs w:val="22"/>
                <w:vertAlign w:val="superscript"/>
                <w:lang w:val="hr-HR"/>
              </w:rPr>
              <w:t>1</w:t>
            </w:r>
            <w:r w:rsidRPr="005474B2">
              <w:rPr>
                <w:sz w:val="22"/>
                <w:szCs w:val="22"/>
                <w:lang w:val="hr-HR"/>
              </w:rPr>
              <w:t xml:space="preserve"> Za rukovanje podacima koji nedostaju koristila se višestruka imputacija</w:t>
            </w:r>
          </w:p>
          <w:p w14:paraId="5C34164A" w14:textId="54F64EDF" w:rsidR="006911D2" w:rsidRPr="005474B2" w:rsidRDefault="006911D2" w:rsidP="005474B2">
            <w:pPr>
              <w:spacing w:line="240" w:lineRule="atLeast"/>
              <w:jc w:val="both"/>
              <w:rPr>
                <w:sz w:val="22"/>
                <w:szCs w:val="22"/>
                <w:lang w:val="hr-HR"/>
              </w:rPr>
            </w:pPr>
            <w:r w:rsidRPr="005474B2">
              <w:rPr>
                <w:sz w:val="22"/>
                <w:szCs w:val="22"/>
                <w:lang w:val="hr-HR"/>
              </w:rPr>
              <w:t>n: Zaokruženi pros</w:t>
            </w:r>
            <w:r w:rsidR="0060463D" w:rsidRPr="005474B2">
              <w:rPr>
                <w:sz w:val="22"/>
                <w:szCs w:val="22"/>
                <w:lang w:val="hr-HR"/>
              </w:rPr>
              <w:t>j</w:t>
            </w:r>
            <w:r w:rsidRPr="005474B2">
              <w:rPr>
                <w:sz w:val="22"/>
                <w:szCs w:val="22"/>
                <w:lang w:val="hr-HR"/>
              </w:rPr>
              <w:t>ečni broj ispitanika s odgovorima u 100 imputacija</w:t>
            </w:r>
          </w:p>
          <w:p w14:paraId="5547F504" w14:textId="50EAE131" w:rsidR="006911D2" w:rsidRPr="005474B2" w:rsidRDefault="006911D2" w:rsidP="005474B2">
            <w:pPr>
              <w:spacing w:line="240" w:lineRule="atLeast"/>
              <w:jc w:val="both"/>
              <w:rPr>
                <w:sz w:val="22"/>
                <w:szCs w:val="22"/>
                <w:lang w:val="hr-HR"/>
              </w:rPr>
            </w:pPr>
            <w:r w:rsidRPr="005474B2">
              <w:rPr>
                <w:sz w:val="22"/>
                <w:szCs w:val="22"/>
                <w:lang w:val="hr-HR"/>
              </w:rPr>
              <w:t>*Statistički značajno naspram placeba na osnovu unapr</w:t>
            </w:r>
            <w:r w:rsidR="0009637B">
              <w:rPr>
                <w:sz w:val="22"/>
                <w:szCs w:val="22"/>
                <w:lang w:val="hr-HR"/>
              </w:rPr>
              <w:t>ij</w:t>
            </w:r>
            <w:r w:rsidRPr="005474B2">
              <w:rPr>
                <w:sz w:val="22"/>
                <w:szCs w:val="22"/>
                <w:lang w:val="hr-HR"/>
              </w:rPr>
              <w:t>ed definisane hijerarhije sa ukupnim alfa=0,05</w:t>
            </w:r>
          </w:p>
          <w:p w14:paraId="448F7604" w14:textId="717D65F6" w:rsidR="006911D2" w:rsidRPr="005474B2" w:rsidRDefault="006911D2" w:rsidP="005474B2">
            <w:pPr>
              <w:spacing w:line="240" w:lineRule="atLeast"/>
              <w:jc w:val="both"/>
              <w:rPr>
                <w:sz w:val="22"/>
                <w:szCs w:val="22"/>
                <w:lang w:val="hr-HR"/>
              </w:rPr>
            </w:pPr>
            <w:r w:rsidRPr="005474B2">
              <w:rPr>
                <w:sz w:val="22"/>
                <w:szCs w:val="22"/>
                <w:lang w:val="hr-HR"/>
              </w:rPr>
              <w:t xml:space="preserve">AN: apsces i zapaljenski noduli; HiSCR: </w:t>
            </w:r>
            <w:r w:rsidRPr="005474B2">
              <w:rPr>
                <w:bCs/>
                <w:sz w:val="22"/>
                <w:szCs w:val="22"/>
                <w:lang w:val="hr-HR"/>
              </w:rPr>
              <w:t>klinički odgovor gnojnog zapaljenja znojnih žl</w:t>
            </w:r>
            <w:r w:rsidR="0060463D" w:rsidRPr="005474B2">
              <w:rPr>
                <w:bCs/>
                <w:sz w:val="22"/>
                <w:szCs w:val="22"/>
                <w:lang w:val="hr-HR"/>
              </w:rPr>
              <w:t>ij</w:t>
            </w:r>
            <w:r w:rsidRPr="005474B2">
              <w:rPr>
                <w:bCs/>
                <w:sz w:val="22"/>
                <w:szCs w:val="22"/>
                <w:lang w:val="hr-HR"/>
              </w:rPr>
              <w:t xml:space="preserve">ezda </w:t>
            </w:r>
            <w:r w:rsidRPr="005474B2">
              <w:rPr>
                <w:bCs/>
                <w:i/>
                <w:iCs/>
                <w:sz w:val="22"/>
                <w:szCs w:val="22"/>
                <w:lang w:val="hr-HR"/>
              </w:rPr>
              <w:t>Hidradenitis suppurativa</w:t>
            </w:r>
            <w:r w:rsidRPr="005474B2">
              <w:rPr>
                <w:sz w:val="22"/>
                <w:szCs w:val="22"/>
                <w:lang w:val="hr-HR"/>
              </w:rPr>
              <w:t>; NRS: brojčana l</w:t>
            </w:r>
            <w:r w:rsidR="0060463D" w:rsidRPr="005474B2">
              <w:rPr>
                <w:sz w:val="22"/>
                <w:szCs w:val="22"/>
                <w:lang w:val="hr-HR"/>
              </w:rPr>
              <w:t>j</w:t>
            </w:r>
            <w:r w:rsidRPr="005474B2">
              <w:rPr>
                <w:sz w:val="22"/>
                <w:szCs w:val="22"/>
                <w:lang w:val="hr-HR"/>
              </w:rPr>
              <w:t>estvica oc</w:t>
            </w:r>
            <w:r w:rsidR="0060463D" w:rsidRPr="005474B2">
              <w:rPr>
                <w:sz w:val="22"/>
                <w:szCs w:val="22"/>
                <w:lang w:val="hr-HR"/>
              </w:rPr>
              <w:t>j</w:t>
            </w:r>
            <w:r w:rsidRPr="005474B2">
              <w:rPr>
                <w:sz w:val="22"/>
                <w:szCs w:val="22"/>
                <w:lang w:val="hr-HR"/>
              </w:rPr>
              <w:t>enjivanja</w:t>
            </w:r>
            <w:r w:rsidR="0009637B">
              <w:rPr>
                <w:sz w:val="22"/>
                <w:szCs w:val="22"/>
                <w:lang w:val="hr-HR"/>
              </w:rPr>
              <w:t xml:space="preserve"> </w:t>
            </w:r>
            <w:r w:rsidR="0009637B" w:rsidRPr="005C20C7">
              <w:rPr>
                <w:sz w:val="22"/>
                <w:szCs w:val="22"/>
                <w:lang w:val="hr-HR"/>
              </w:rPr>
              <w:t xml:space="preserve">(engl. </w:t>
            </w:r>
            <w:r w:rsidR="0009637B" w:rsidRPr="005C20C7">
              <w:rPr>
                <w:i/>
                <w:sz w:val="22"/>
                <w:szCs w:val="22"/>
                <w:lang w:val="sr-Latn-CS" w:eastAsia="sr-Latn-ME"/>
              </w:rPr>
              <w:t>Numerical Rating Scale</w:t>
            </w:r>
            <w:r w:rsidR="0009637B" w:rsidRPr="005C20C7">
              <w:rPr>
                <w:sz w:val="22"/>
                <w:szCs w:val="22"/>
                <w:lang w:val="hr-HR"/>
              </w:rPr>
              <w:t>)</w:t>
            </w:r>
          </w:p>
        </w:tc>
      </w:tr>
    </w:tbl>
    <w:p w14:paraId="369ABE3F" w14:textId="77777777" w:rsidR="006911D2" w:rsidRPr="005474B2" w:rsidRDefault="006911D2" w:rsidP="005474B2">
      <w:pPr>
        <w:spacing w:line="240" w:lineRule="atLeast"/>
        <w:jc w:val="both"/>
        <w:rPr>
          <w:sz w:val="22"/>
          <w:szCs w:val="22"/>
          <w:lang w:val="hr-HR"/>
        </w:rPr>
      </w:pPr>
    </w:p>
    <w:p w14:paraId="69814DBA" w14:textId="58D514A2" w:rsidR="006911D2" w:rsidRPr="005474B2" w:rsidRDefault="006911D2" w:rsidP="005474B2">
      <w:pPr>
        <w:spacing w:line="240" w:lineRule="atLeast"/>
        <w:jc w:val="both"/>
        <w:rPr>
          <w:bCs/>
          <w:sz w:val="22"/>
          <w:szCs w:val="22"/>
        </w:rPr>
      </w:pPr>
      <w:r w:rsidRPr="005474B2">
        <w:rPr>
          <w:bCs/>
          <w:sz w:val="22"/>
          <w:szCs w:val="22"/>
          <w:lang w:val="hr-HR"/>
        </w:rPr>
        <w:t xml:space="preserve">U oba ispitivanja, </w:t>
      </w:r>
      <w:proofErr w:type="spellStart"/>
      <w:r w:rsidRPr="005474B2">
        <w:rPr>
          <w:bCs/>
          <w:sz w:val="22"/>
          <w:szCs w:val="22"/>
        </w:rPr>
        <w:t>d</w:t>
      </w:r>
      <w:r w:rsidR="0060463D" w:rsidRPr="005474B2">
        <w:rPr>
          <w:bCs/>
          <w:sz w:val="22"/>
          <w:szCs w:val="22"/>
        </w:rPr>
        <w:t>j</w:t>
      </w:r>
      <w:r w:rsidRPr="005474B2">
        <w:rPr>
          <w:bCs/>
          <w:sz w:val="22"/>
          <w:szCs w:val="22"/>
        </w:rPr>
        <w:t>elovanje</w:t>
      </w:r>
      <w:proofErr w:type="spellEnd"/>
      <w:r w:rsidRPr="005474B2">
        <w:rPr>
          <w:bCs/>
          <w:sz w:val="22"/>
          <w:szCs w:val="22"/>
        </w:rPr>
        <w:t xml:space="preserve"> </w:t>
      </w:r>
      <w:proofErr w:type="spellStart"/>
      <w:r w:rsidRPr="005474B2">
        <w:rPr>
          <w:bCs/>
          <w:sz w:val="22"/>
          <w:szCs w:val="22"/>
        </w:rPr>
        <w:t>sekukinumaba</w:t>
      </w:r>
      <w:proofErr w:type="spellEnd"/>
      <w:r w:rsidRPr="005474B2">
        <w:rPr>
          <w:bCs/>
          <w:sz w:val="22"/>
          <w:szCs w:val="22"/>
        </w:rPr>
        <w:t xml:space="preserve"> je </w:t>
      </w:r>
      <w:proofErr w:type="spellStart"/>
      <w:r w:rsidRPr="005474B2">
        <w:rPr>
          <w:bCs/>
          <w:sz w:val="22"/>
          <w:szCs w:val="22"/>
        </w:rPr>
        <w:t>nastupilo</w:t>
      </w:r>
      <w:proofErr w:type="spellEnd"/>
      <w:r w:rsidRPr="005474B2">
        <w:rPr>
          <w:bCs/>
          <w:sz w:val="22"/>
          <w:szCs w:val="22"/>
        </w:rPr>
        <w:t xml:space="preserve"> </w:t>
      </w:r>
      <w:proofErr w:type="spellStart"/>
      <w:r w:rsidRPr="005474B2">
        <w:rPr>
          <w:bCs/>
          <w:sz w:val="22"/>
          <w:szCs w:val="22"/>
        </w:rPr>
        <w:t>već</w:t>
      </w:r>
      <w:proofErr w:type="spellEnd"/>
      <w:r w:rsidRPr="005474B2">
        <w:rPr>
          <w:bCs/>
          <w:sz w:val="22"/>
          <w:szCs w:val="22"/>
        </w:rPr>
        <w:t xml:space="preserve"> u 2. </w:t>
      </w:r>
      <w:proofErr w:type="spellStart"/>
      <w:r w:rsidRPr="005474B2">
        <w:rPr>
          <w:bCs/>
          <w:sz w:val="22"/>
          <w:szCs w:val="22"/>
        </w:rPr>
        <w:t>ned</w:t>
      </w:r>
      <w:r w:rsidR="0060463D" w:rsidRPr="005474B2">
        <w:rPr>
          <w:bCs/>
          <w:sz w:val="22"/>
          <w:szCs w:val="22"/>
        </w:rPr>
        <w:t>j</w:t>
      </w:r>
      <w:r w:rsidRPr="005474B2">
        <w:rPr>
          <w:bCs/>
          <w:sz w:val="22"/>
          <w:szCs w:val="22"/>
        </w:rPr>
        <w:t>elji</w:t>
      </w:r>
      <w:proofErr w:type="spellEnd"/>
      <w:r w:rsidRPr="005474B2">
        <w:rPr>
          <w:bCs/>
          <w:sz w:val="22"/>
          <w:szCs w:val="22"/>
          <w:lang w:val="hr-HR"/>
        </w:rPr>
        <w:t xml:space="preserve">, </w:t>
      </w:r>
      <w:r w:rsidR="0009637B">
        <w:rPr>
          <w:bCs/>
          <w:sz w:val="22"/>
          <w:szCs w:val="22"/>
          <w:lang w:val="hr-HR"/>
        </w:rPr>
        <w:t>efikasnost</w:t>
      </w:r>
      <w:r w:rsidRPr="005474B2">
        <w:rPr>
          <w:bCs/>
          <w:sz w:val="22"/>
          <w:szCs w:val="22"/>
          <w:lang w:val="hr-HR"/>
        </w:rPr>
        <w:t>se progresivno povećaval</w:t>
      </w:r>
      <w:r w:rsidR="0009637B">
        <w:rPr>
          <w:bCs/>
          <w:sz w:val="22"/>
          <w:szCs w:val="22"/>
          <w:lang w:val="hr-HR"/>
        </w:rPr>
        <w:t>a</w:t>
      </w:r>
      <w:r w:rsidRPr="005474B2">
        <w:rPr>
          <w:bCs/>
          <w:sz w:val="22"/>
          <w:szCs w:val="22"/>
          <w:lang w:val="hr-HR"/>
        </w:rPr>
        <w:t xml:space="preserve"> do 16. ned</w:t>
      </w:r>
      <w:r w:rsidR="0060463D" w:rsidRPr="005474B2">
        <w:rPr>
          <w:bCs/>
          <w:sz w:val="22"/>
          <w:szCs w:val="22"/>
          <w:lang w:val="hr-HR"/>
        </w:rPr>
        <w:t>j</w:t>
      </w:r>
      <w:r w:rsidRPr="005474B2">
        <w:rPr>
          <w:bCs/>
          <w:sz w:val="22"/>
          <w:szCs w:val="22"/>
          <w:lang w:val="hr-HR"/>
        </w:rPr>
        <w:t>elje i bil</w:t>
      </w:r>
      <w:r w:rsidR="0009637B">
        <w:rPr>
          <w:bCs/>
          <w:sz w:val="22"/>
          <w:szCs w:val="22"/>
          <w:lang w:val="hr-HR"/>
        </w:rPr>
        <w:t>a</w:t>
      </w:r>
      <w:r w:rsidRPr="005474B2">
        <w:rPr>
          <w:bCs/>
          <w:sz w:val="22"/>
          <w:szCs w:val="22"/>
          <w:lang w:val="hr-HR"/>
        </w:rPr>
        <w:t xml:space="preserve"> je održan</w:t>
      </w:r>
      <w:r w:rsidR="0009637B">
        <w:rPr>
          <w:bCs/>
          <w:sz w:val="22"/>
          <w:szCs w:val="22"/>
          <w:lang w:val="hr-HR"/>
        </w:rPr>
        <w:t>a</w:t>
      </w:r>
      <w:r w:rsidRPr="005474B2">
        <w:rPr>
          <w:bCs/>
          <w:sz w:val="22"/>
          <w:szCs w:val="22"/>
          <w:lang w:val="hr-HR"/>
        </w:rPr>
        <w:t xml:space="preserve"> do 52. ned</w:t>
      </w:r>
      <w:r w:rsidR="0060463D" w:rsidRPr="005474B2">
        <w:rPr>
          <w:bCs/>
          <w:sz w:val="22"/>
          <w:szCs w:val="22"/>
          <w:lang w:val="hr-HR"/>
        </w:rPr>
        <w:t>j</w:t>
      </w:r>
      <w:r w:rsidRPr="005474B2">
        <w:rPr>
          <w:bCs/>
          <w:sz w:val="22"/>
          <w:szCs w:val="22"/>
          <w:lang w:val="hr-HR"/>
        </w:rPr>
        <w:t>elje.</w:t>
      </w:r>
    </w:p>
    <w:p w14:paraId="208FC66B" w14:textId="77777777" w:rsidR="006911D2" w:rsidRPr="005474B2" w:rsidRDefault="006911D2" w:rsidP="005474B2">
      <w:pPr>
        <w:spacing w:line="240" w:lineRule="atLeast"/>
        <w:jc w:val="both"/>
        <w:rPr>
          <w:bCs/>
          <w:sz w:val="22"/>
          <w:szCs w:val="22"/>
          <w:lang w:val="hr-HR"/>
        </w:rPr>
      </w:pPr>
    </w:p>
    <w:p w14:paraId="46BBB549" w14:textId="6D4B423E" w:rsidR="006911D2" w:rsidRPr="005474B2" w:rsidRDefault="006911D2" w:rsidP="005474B2">
      <w:pPr>
        <w:spacing w:line="240" w:lineRule="atLeast"/>
        <w:jc w:val="both"/>
        <w:rPr>
          <w:bCs/>
          <w:sz w:val="22"/>
          <w:szCs w:val="22"/>
          <w:lang w:val="hr-HR"/>
        </w:rPr>
      </w:pPr>
      <w:r w:rsidRPr="005474B2">
        <w:rPr>
          <w:bCs/>
          <w:sz w:val="22"/>
          <w:szCs w:val="22"/>
          <w:lang w:val="hr-HR"/>
        </w:rPr>
        <w:t>Poboljšanja su prim</w:t>
      </w:r>
      <w:r w:rsidR="0060463D" w:rsidRPr="005474B2">
        <w:rPr>
          <w:bCs/>
          <w:sz w:val="22"/>
          <w:szCs w:val="22"/>
          <w:lang w:val="hr-HR"/>
        </w:rPr>
        <w:t>ij</w:t>
      </w:r>
      <w:r w:rsidRPr="005474B2">
        <w:rPr>
          <w:bCs/>
          <w:sz w:val="22"/>
          <w:szCs w:val="22"/>
          <w:lang w:val="hr-HR"/>
        </w:rPr>
        <w:t xml:space="preserve">ećena za </w:t>
      </w:r>
      <w:r w:rsidR="0009637B" w:rsidRPr="005C20C7">
        <w:rPr>
          <w:bCs/>
          <w:sz w:val="22"/>
          <w:szCs w:val="22"/>
          <w:lang w:val="hr-HR"/>
        </w:rPr>
        <w:t>primarni parametar praćenja</w:t>
      </w:r>
      <w:r w:rsidRPr="005474B2">
        <w:rPr>
          <w:bCs/>
          <w:sz w:val="22"/>
          <w:szCs w:val="22"/>
          <w:lang w:val="hr-HR"/>
        </w:rPr>
        <w:t xml:space="preserve"> i ključne </w:t>
      </w:r>
      <w:r w:rsidR="0009637B" w:rsidRPr="005C20C7">
        <w:rPr>
          <w:bCs/>
          <w:sz w:val="22"/>
          <w:szCs w:val="22"/>
          <w:lang w:val="hr-HR"/>
        </w:rPr>
        <w:t>sekundarne parametre praćenja</w:t>
      </w:r>
      <w:r w:rsidRPr="005474B2">
        <w:rPr>
          <w:bCs/>
          <w:sz w:val="22"/>
          <w:szCs w:val="22"/>
          <w:lang w:val="hr-HR"/>
        </w:rPr>
        <w:t xml:space="preserve"> kod pacijenata sa HS nevezano za prethodno ili istovremeno l</w:t>
      </w:r>
      <w:r w:rsidR="0060463D" w:rsidRPr="005474B2">
        <w:rPr>
          <w:bCs/>
          <w:sz w:val="22"/>
          <w:szCs w:val="22"/>
          <w:lang w:val="hr-HR"/>
        </w:rPr>
        <w:t>ij</w:t>
      </w:r>
      <w:r w:rsidRPr="005474B2">
        <w:rPr>
          <w:bCs/>
          <w:sz w:val="22"/>
          <w:szCs w:val="22"/>
          <w:lang w:val="hr-HR"/>
        </w:rPr>
        <w:t>ečenje antibioticima.</w:t>
      </w:r>
    </w:p>
    <w:p w14:paraId="2A269720" w14:textId="77777777" w:rsidR="006911D2" w:rsidRPr="005474B2" w:rsidRDefault="006911D2" w:rsidP="005474B2">
      <w:pPr>
        <w:spacing w:line="240" w:lineRule="atLeast"/>
        <w:jc w:val="both"/>
        <w:rPr>
          <w:bCs/>
          <w:sz w:val="22"/>
          <w:szCs w:val="22"/>
          <w:lang w:val="hr-HR"/>
        </w:rPr>
      </w:pPr>
    </w:p>
    <w:p w14:paraId="258065CB" w14:textId="4B55E027" w:rsidR="006911D2" w:rsidRPr="005474B2" w:rsidRDefault="006911D2" w:rsidP="005474B2">
      <w:pPr>
        <w:spacing w:line="240" w:lineRule="atLeast"/>
        <w:jc w:val="both"/>
        <w:rPr>
          <w:bCs/>
          <w:sz w:val="22"/>
          <w:szCs w:val="22"/>
          <w:lang w:val="hr-HR"/>
        </w:rPr>
      </w:pPr>
      <w:r w:rsidRPr="005474B2">
        <w:rPr>
          <w:bCs/>
          <w:sz w:val="22"/>
          <w:szCs w:val="22"/>
          <w:lang w:val="hr-HR"/>
        </w:rPr>
        <w:t>Odgovori HiSCR50 su se poboljšali u 16. ned</w:t>
      </w:r>
      <w:r w:rsidR="0060463D" w:rsidRPr="005474B2">
        <w:rPr>
          <w:bCs/>
          <w:sz w:val="22"/>
          <w:szCs w:val="22"/>
          <w:lang w:val="hr-HR"/>
        </w:rPr>
        <w:t>j</w:t>
      </w:r>
      <w:r w:rsidRPr="005474B2">
        <w:rPr>
          <w:bCs/>
          <w:sz w:val="22"/>
          <w:szCs w:val="22"/>
          <w:lang w:val="hr-HR"/>
        </w:rPr>
        <w:t>elji i u kod pacijenata koji ni</w:t>
      </w:r>
      <w:r w:rsidR="0009637B">
        <w:rPr>
          <w:bCs/>
          <w:sz w:val="22"/>
          <w:szCs w:val="22"/>
          <w:lang w:val="hr-HR"/>
        </w:rPr>
        <w:t>je</w:t>
      </w:r>
      <w:r w:rsidRPr="005474B2">
        <w:rPr>
          <w:bCs/>
          <w:sz w:val="22"/>
          <w:szCs w:val="22"/>
          <w:lang w:val="hr-HR"/>
        </w:rPr>
        <w:t>su prethodno primali biološku terapiju i kod onih koji su joj bili izloženi.</w:t>
      </w:r>
    </w:p>
    <w:p w14:paraId="49CDD4F1" w14:textId="77777777" w:rsidR="006911D2" w:rsidRPr="005474B2" w:rsidRDefault="006911D2" w:rsidP="005474B2">
      <w:pPr>
        <w:spacing w:line="240" w:lineRule="atLeast"/>
        <w:jc w:val="both"/>
        <w:rPr>
          <w:bCs/>
          <w:sz w:val="22"/>
          <w:szCs w:val="22"/>
          <w:lang w:val="hr-HR"/>
        </w:rPr>
      </w:pPr>
    </w:p>
    <w:p w14:paraId="786F043A" w14:textId="7B3944A6" w:rsidR="006911D2" w:rsidRPr="005474B2" w:rsidRDefault="006911D2" w:rsidP="005474B2">
      <w:pPr>
        <w:spacing w:line="240" w:lineRule="atLeast"/>
        <w:jc w:val="both"/>
        <w:rPr>
          <w:bCs/>
          <w:sz w:val="22"/>
          <w:szCs w:val="22"/>
        </w:rPr>
      </w:pPr>
      <w:r w:rsidRPr="005474B2">
        <w:rPr>
          <w:bCs/>
          <w:sz w:val="22"/>
          <w:szCs w:val="22"/>
          <w:lang w:val="hr-HR"/>
        </w:rPr>
        <w:t>U poređenju sa placebom, u 16. ned</w:t>
      </w:r>
      <w:r w:rsidR="0060463D" w:rsidRPr="005474B2">
        <w:rPr>
          <w:bCs/>
          <w:sz w:val="22"/>
          <w:szCs w:val="22"/>
          <w:lang w:val="hr-HR"/>
        </w:rPr>
        <w:t>j</w:t>
      </w:r>
      <w:r w:rsidRPr="005474B2">
        <w:rPr>
          <w:bCs/>
          <w:sz w:val="22"/>
          <w:szCs w:val="22"/>
          <w:lang w:val="hr-HR"/>
        </w:rPr>
        <w:t xml:space="preserve">elji </w:t>
      </w:r>
      <w:bookmarkStart w:id="8" w:name="_Hlk137488435"/>
      <w:proofErr w:type="spellStart"/>
      <w:r w:rsidRPr="005474B2">
        <w:rPr>
          <w:bCs/>
          <w:sz w:val="22"/>
          <w:szCs w:val="22"/>
        </w:rPr>
        <w:t>su</w:t>
      </w:r>
      <w:proofErr w:type="spellEnd"/>
      <w:r w:rsidRPr="005474B2">
        <w:rPr>
          <w:bCs/>
          <w:sz w:val="22"/>
          <w:szCs w:val="22"/>
        </w:rPr>
        <w:t xml:space="preserve"> </w:t>
      </w:r>
      <w:proofErr w:type="spellStart"/>
      <w:r w:rsidRPr="005474B2">
        <w:rPr>
          <w:bCs/>
          <w:sz w:val="22"/>
          <w:szCs w:val="22"/>
        </w:rPr>
        <w:t>dokazana</w:t>
      </w:r>
      <w:proofErr w:type="spellEnd"/>
      <w:r w:rsidRPr="005474B2">
        <w:rPr>
          <w:bCs/>
          <w:sz w:val="22"/>
          <w:szCs w:val="22"/>
        </w:rPr>
        <w:t xml:space="preserve"> </w:t>
      </w:r>
      <w:proofErr w:type="spellStart"/>
      <w:r w:rsidRPr="005474B2">
        <w:rPr>
          <w:bCs/>
          <w:sz w:val="22"/>
          <w:szCs w:val="22"/>
        </w:rPr>
        <w:t>veća</w:t>
      </w:r>
      <w:proofErr w:type="spellEnd"/>
      <w:r w:rsidRPr="005474B2">
        <w:rPr>
          <w:bCs/>
          <w:sz w:val="22"/>
          <w:szCs w:val="22"/>
        </w:rPr>
        <w:t xml:space="preserve"> </w:t>
      </w:r>
      <w:proofErr w:type="spellStart"/>
      <w:r w:rsidRPr="005474B2">
        <w:rPr>
          <w:bCs/>
          <w:sz w:val="22"/>
          <w:szCs w:val="22"/>
        </w:rPr>
        <w:t>pobol</w:t>
      </w:r>
      <w:r w:rsidR="0060463D" w:rsidRPr="005474B2">
        <w:rPr>
          <w:bCs/>
          <w:sz w:val="22"/>
          <w:szCs w:val="22"/>
        </w:rPr>
        <w:t>j</w:t>
      </w:r>
      <w:r w:rsidRPr="005474B2">
        <w:rPr>
          <w:bCs/>
          <w:sz w:val="22"/>
          <w:szCs w:val="22"/>
        </w:rPr>
        <w:t>šanja</w:t>
      </w:r>
      <w:proofErr w:type="spellEnd"/>
      <w:r w:rsidRPr="005474B2">
        <w:rPr>
          <w:bCs/>
          <w:sz w:val="22"/>
          <w:szCs w:val="22"/>
        </w:rPr>
        <w:t xml:space="preserve"> </w:t>
      </w:r>
      <w:proofErr w:type="spellStart"/>
      <w:r w:rsidRPr="005474B2">
        <w:rPr>
          <w:bCs/>
          <w:sz w:val="22"/>
          <w:szCs w:val="22"/>
        </w:rPr>
        <w:t>kvaliteta</w:t>
      </w:r>
      <w:proofErr w:type="spellEnd"/>
      <w:r w:rsidRPr="005474B2">
        <w:rPr>
          <w:bCs/>
          <w:sz w:val="22"/>
          <w:szCs w:val="22"/>
        </w:rPr>
        <w:t xml:space="preserve"> </w:t>
      </w:r>
      <w:proofErr w:type="spellStart"/>
      <w:r w:rsidRPr="005474B2">
        <w:rPr>
          <w:bCs/>
          <w:sz w:val="22"/>
          <w:szCs w:val="22"/>
        </w:rPr>
        <w:t>života</w:t>
      </w:r>
      <w:proofErr w:type="spellEnd"/>
      <w:r w:rsidRPr="005474B2">
        <w:rPr>
          <w:bCs/>
          <w:sz w:val="22"/>
          <w:szCs w:val="22"/>
        </w:rPr>
        <w:t xml:space="preserve"> </w:t>
      </w:r>
      <w:proofErr w:type="spellStart"/>
      <w:r w:rsidRPr="005474B2">
        <w:rPr>
          <w:bCs/>
          <w:sz w:val="22"/>
          <w:szCs w:val="22"/>
        </w:rPr>
        <w:t>m</w:t>
      </w:r>
      <w:r w:rsidR="0060463D" w:rsidRPr="005474B2">
        <w:rPr>
          <w:bCs/>
          <w:sz w:val="22"/>
          <w:szCs w:val="22"/>
        </w:rPr>
        <w:t>j</w:t>
      </w:r>
      <w:r w:rsidRPr="005474B2">
        <w:rPr>
          <w:bCs/>
          <w:sz w:val="22"/>
          <w:szCs w:val="22"/>
        </w:rPr>
        <w:t>erena</w:t>
      </w:r>
      <w:bookmarkEnd w:id="8"/>
      <w:proofErr w:type="spellEnd"/>
      <w:r w:rsidRPr="005474B2">
        <w:rPr>
          <w:bCs/>
          <w:sz w:val="22"/>
          <w:szCs w:val="22"/>
        </w:rPr>
        <w:t xml:space="preserve"> </w:t>
      </w:r>
      <w:r w:rsidRPr="005474B2">
        <w:rPr>
          <w:bCs/>
          <w:sz w:val="22"/>
          <w:szCs w:val="22"/>
          <w:lang w:val="hr-HR"/>
        </w:rPr>
        <w:t xml:space="preserve"> </w:t>
      </w:r>
      <w:r w:rsidRPr="005474B2">
        <w:rPr>
          <w:sz w:val="22"/>
          <w:szCs w:val="22"/>
          <w:lang w:val="hr-HR"/>
        </w:rPr>
        <w:t>Dermatološkim indeksom kvaliteta života.</w:t>
      </w:r>
    </w:p>
    <w:p w14:paraId="7CF3C2EB" w14:textId="77777777" w:rsidR="006911D2" w:rsidRPr="005474B2" w:rsidRDefault="006911D2" w:rsidP="0009637B">
      <w:pPr>
        <w:tabs>
          <w:tab w:val="left" w:pos="284"/>
        </w:tabs>
        <w:jc w:val="both"/>
        <w:rPr>
          <w:color w:val="000000"/>
          <w:sz w:val="22"/>
          <w:szCs w:val="22"/>
          <w:lang w:val="sr-Latn-ME"/>
        </w:rPr>
      </w:pPr>
    </w:p>
    <w:p w14:paraId="556FDE13" w14:textId="77777777" w:rsidR="007D7CE1" w:rsidRPr="005474B2" w:rsidRDefault="007D7CE1" w:rsidP="0009637B">
      <w:pPr>
        <w:jc w:val="both"/>
        <w:rPr>
          <w:sz w:val="22"/>
          <w:szCs w:val="22"/>
          <w:lang w:val="sr-Latn-ME"/>
        </w:rPr>
      </w:pPr>
      <w:r w:rsidRPr="005474B2">
        <w:rPr>
          <w:i/>
          <w:sz w:val="22"/>
          <w:szCs w:val="22"/>
          <w:u w:val="single"/>
          <w:lang w:val="sr-Latn-ME"/>
        </w:rPr>
        <w:t>Psorijazni artritis</w:t>
      </w:r>
    </w:p>
    <w:p w14:paraId="3FA76B06" w14:textId="788EA541" w:rsidR="007D7CE1" w:rsidRPr="005474B2" w:rsidRDefault="009A4880">
      <w:pPr>
        <w:jc w:val="both"/>
        <w:rPr>
          <w:sz w:val="22"/>
          <w:szCs w:val="22"/>
          <w:lang w:val="sr-Latn-ME"/>
        </w:rPr>
      </w:pPr>
      <w:r w:rsidRPr="005474B2">
        <w:rPr>
          <w:sz w:val="22"/>
          <w:szCs w:val="22"/>
          <w:lang w:val="sr-Latn-ME"/>
        </w:rPr>
        <w:t>Bezbjednost</w:t>
      </w:r>
      <w:r w:rsidR="007D7CE1" w:rsidRPr="005474B2">
        <w:rPr>
          <w:sz w:val="22"/>
          <w:szCs w:val="22"/>
          <w:lang w:val="sr-Latn-ME"/>
        </w:rPr>
        <w:t xml:space="preserve"> i efikasnost </w:t>
      </w:r>
      <w:r w:rsidR="007D7CE1" w:rsidRPr="005474B2">
        <w:rPr>
          <w:iCs/>
          <w:sz w:val="22"/>
          <w:szCs w:val="22"/>
          <w:lang w:val="sr-Latn-ME"/>
        </w:rPr>
        <w:t>sekukinumaba</w:t>
      </w:r>
      <w:r w:rsidR="007D7CE1" w:rsidRPr="005474B2">
        <w:rPr>
          <w:sz w:val="22"/>
          <w:szCs w:val="22"/>
          <w:lang w:val="sr-Latn-ME"/>
        </w:rPr>
        <w:t xml:space="preserve"> su </w:t>
      </w:r>
      <w:r w:rsidR="00A23A61" w:rsidRPr="005474B2">
        <w:rPr>
          <w:sz w:val="22"/>
          <w:szCs w:val="22"/>
          <w:lang w:val="sr-Latn-ME"/>
        </w:rPr>
        <w:t>procjenjivane</w:t>
      </w:r>
      <w:r w:rsidR="007D7CE1" w:rsidRPr="005474B2">
        <w:rPr>
          <w:sz w:val="22"/>
          <w:szCs w:val="22"/>
          <w:lang w:val="sr-Latn-ME"/>
        </w:rPr>
        <w:t xml:space="preserve"> kod 1999 pacijenata u tri randomizovane, dvostruko sl</w:t>
      </w:r>
      <w:r w:rsidR="00C41FCA" w:rsidRPr="005474B2">
        <w:rPr>
          <w:sz w:val="22"/>
          <w:szCs w:val="22"/>
          <w:lang w:val="sr-Latn-ME"/>
        </w:rPr>
        <w:t>ij</w:t>
      </w:r>
      <w:r w:rsidR="007D7CE1" w:rsidRPr="005474B2">
        <w:rPr>
          <w:sz w:val="22"/>
          <w:szCs w:val="22"/>
          <w:lang w:val="sr-Latn-ME"/>
        </w:rPr>
        <w:t>epe, placebo kontrolisane studije faze III kod pacijenata sa aktivnim psorijaznim artritisom (≥3 otečena i ≥3 os</w:t>
      </w:r>
      <w:r w:rsidR="00E228A4" w:rsidRPr="005474B2">
        <w:rPr>
          <w:sz w:val="22"/>
          <w:szCs w:val="22"/>
          <w:lang w:val="sr-Latn-ME"/>
        </w:rPr>
        <w:t>j</w:t>
      </w:r>
      <w:r w:rsidR="007D7CE1" w:rsidRPr="005474B2">
        <w:rPr>
          <w:sz w:val="22"/>
          <w:szCs w:val="22"/>
          <w:lang w:val="sr-Latn-ME"/>
        </w:rPr>
        <w:t xml:space="preserve">etljiva zgloba) uprkos </w:t>
      </w:r>
      <w:r w:rsidRPr="005474B2">
        <w:rPr>
          <w:sz w:val="22"/>
          <w:szCs w:val="22"/>
          <w:lang w:val="sr-Latn-ME"/>
        </w:rPr>
        <w:t>liječ</w:t>
      </w:r>
      <w:r w:rsidR="007D7CE1" w:rsidRPr="005474B2">
        <w:rPr>
          <w:sz w:val="22"/>
          <w:szCs w:val="22"/>
          <w:lang w:val="sr-Latn-ME"/>
        </w:rPr>
        <w:t>enju nesteroidnim antiinflamator</w:t>
      </w:r>
      <w:r w:rsidR="00E228A4" w:rsidRPr="005474B2">
        <w:rPr>
          <w:sz w:val="22"/>
          <w:szCs w:val="22"/>
          <w:lang w:val="sr-Latn-ME"/>
        </w:rPr>
        <w:t>nim ljekovima</w:t>
      </w:r>
      <w:r w:rsidR="007D7CE1" w:rsidRPr="005474B2">
        <w:rPr>
          <w:sz w:val="22"/>
          <w:szCs w:val="22"/>
          <w:lang w:val="sr-Latn-ME"/>
        </w:rPr>
        <w:t xml:space="preserve"> (NSAIL), kortikosteroidima i antireumatskim l</w:t>
      </w:r>
      <w:r w:rsidR="00E228A4" w:rsidRPr="005474B2">
        <w:rPr>
          <w:sz w:val="22"/>
          <w:szCs w:val="22"/>
          <w:lang w:val="sr-Latn-ME"/>
        </w:rPr>
        <w:t>j</w:t>
      </w:r>
      <w:r w:rsidR="007D7CE1" w:rsidRPr="005474B2">
        <w:rPr>
          <w:sz w:val="22"/>
          <w:szCs w:val="22"/>
          <w:lang w:val="sr-Latn-ME"/>
        </w:rPr>
        <w:t>ekovima koji modifikuju tok bolest</w:t>
      </w:r>
      <w:r w:rsidR="00E228A4" w:rsidRPr="005474B2">
        <w:rPr>
          <w:sz w:val="22"/>
          <w:szCs w:val="22"/>
          <w:lang w:val="sr-Latn-ME"/>
        </w:rPr>
        <w:t>i</w:t>
      </w:r>
      <w:r w:rsidR="007D7CE1" w:rsidRPr="005474B2">
        <w:rPr>
          <w:sz w:val="22"/>
          <w:szCs w:val="22"/>
          <w:lang w:val="sr-Latn-ME"/>
        </w:rPr>
        <w:t xml:space="preserve"> (DMARD). Pacijenti sa svim podtipovima PsA su bili uključeni u ove studije, uključujući poliartrikularni artritis bez dokaza o reumatioidnim čvorovima, spondilitis sa perifernim artritisom, asimetrični periferni artritis, zahvaćenost distalnih interfalangealnih zglobova i artritis mutilans. Pacijenti u ovim ispitivanjima su imali dijagnozu PsA najmanje pet godina. Većina pacijenata je takođe imala aktivne psorijazne kožne lezije ili zab</w:t>
      </w:r>
      <w:r w:rsidR="00C41FCA" w:rsidRPr="005474B2">
        <w:rPr>
          <w:sz w:val="22"/>
          <w:szCs w:val="22"/>
          <w:lang w:val="sr-Latn-ME"/>
        </w:rPr>
        <w:t>i</w:t>
      </w:r>
      <w:r w:rsidR="007D7CE1" w:rsidRPr="005474B2">
        <w:rPr>
          <w:sz w:val="22"/>
          <w:szCs w:val="22"/>
          <w:lang w:val="sr-Latn-ME"/>
        </w:rPr>
        <w:t>l</w:t>
      </w:r>
      <w:r w:rsidR="00C41FCA" w:rsidRPr="005474B2">
        <w:rPr>
          <w:sz w:val="22"/>
          <w:szCs w:val="22"/>
          <w:lang w:val="sr-Latn-ME"/>
        </w:rPr>
        <w:t>j</w:t>
      </w:r>
      <w:r w:rsidR="007D7CE1" w:rsidRPr="005474B2">
        <w:rPr>
          <w:sz w:val="22"/>
          <w:szCs w:val="22"/>
          <w:lang w:val="sr-Latn-ME"/>
        </w:rPr>
        <w:t xml:space="preserve">eženu psorijazu u anamnezi. Preko 61%, odnosno 42% pacijenata sa PsA su na početku imali entezitis odnosno daktilitis. U svim ispitivanjima, primarni parametar praćenja efikasnosti je bio ACR 20 (Američki koledž za reumatologiju, engl. </w:t>
      </w:r>
      <w:r w:rsidR="007D7CE1" w:rsidRPr="005474B2">
        <w:rPr>
          <w:i/>
          <w:sz w:val="22"/>
          <w:szCs w:val="22"/>
          <w:lang w:val="sr-Latn-ME"/>
        </w:rPr>
        <w:t>American College of Rheumatology</w:t>
      </w:r>
      <w:r w:rsidR="007D7CE1" w:rsidRPr="005474B2">
        <w:rPr>
          <w:sz w:val="22"/>
          <w:szCs w:val="22"/>
          <w:lang w:val="sr-Latn-ME"/>
        </w:rPr>
        <w:t xml:space="preserve">). Za studiju 1 sa psorijaznim astritisom (PsA studija 1) i Studiju 2 sa psorijaznim artritisom (PsA studija 2), primarni parametar praćenja efikasnosti bio je u 24-oj </w:t>
      </w:r>
      <w:r w:rsidRPr="005474B2">
        <w:rPr>
          <w:sz w:val="22"/>
          <w:szCs w:val="22"/>
          <w:lang w:val="sr-Latn-ME"/>
        </w:rPr>
        <w:t>nedjelj</w:t>
      </w:r>
      <w:r w:rsidR="007D7CE1" w:rsidRPr="005474B2">
        <w:rPr>
          <w:sz w:val="22"/>
          <w:szCs w:val="22"/>
          <w:lang w:val="sr-Latn-ME"/>
        </w:rPr>
        <w:t xml:space="preserve">i. Za studiju 3 sa psorijaznim artritisom (PsA studija 3) primarni parametar praćenja efikasnosti bio je u 16-oj </w:t>
      </w:r>
      <w:r w:rsidRPr="005474B2">
        <w:rPr>
          <w:sz w:val="22"/>
          <w:szCs w:val="22"/>
          <w:lang w:val="sr-Latn-ME"/>
        </w:rPr>
        <w:t>nedjelj</w:t>
      </w:r>
      <w:r w:rsidR="007D7CE1" w:rsidRPr="005474B2">
        <w:rPr>
          <w:sz w:val="22"/>
          <w:szCs w:val="22"/>
          <w:lang w:val="sr-Latn-ME"/>
        </w:rPr>
        <w:t xml:space="preserve">i sa sekundarnim parametrom praćenja efikasnosti, </w:t>
      </w:r>
      <w:r w:rsidR="00A233FB" w:rsidRPr="005474B2">
        <w:rPr>
          <w:sz w:val="22"/>
          <w:szCs w:val="22"/>
          <w:lang w:val="sr-Latn-ME"/>
        </w:rPr>
        <w:t>promjena</w:t>
      </w:r>
      <w:r w:rsidR="007D7CE1" w:rsidRPr="005474B2">
        <w:rPr>
          <w:sz w:val="22"/>
          <w:szCs w:val="22"/>
          <w:lang w:val="sr-Latn-ME"/>
        </w:rPr>
        <w:t xml:space="preserve"> modifikovanog ukupnog Šarp skora (mTSS) u odnosu na početnu </w:t>
      </w:r>
      <w:r w:rsidR="00C41FCA" w:rsidRPr="005474B2">
        <w:rPr>
          <w:sz w:val="22"/>
          <w:szCs w:val="22"/>
          <w:lang w:val="sr-Latn-ME"/>
        </w:rPr>
        <w:t>vrijednost</w:t>
      </w:r>
      <w:r w:rsidR="007D7CE1" w:rsidRPr="005474B2">
        <w:rPr>
          <w:sz w:val="22"/>
          <w:szCs w:val="22"/>
          <w:lang w:val="sr-Latn-ME"/>
        </w:rPr>
        <w:t xml:space="preserve">, u 24-oj </w:t>
      </w:r>
      <w:r w:rsidRPr="005474B2">
        <w:rPr>
          <w:sz w:val="22"/>
          <w:szCs w:val="22"/>
          <w:lang w:val="sr-Latn-ME"/>
        </w:rPr>
        <w:t>nedjelj</w:t>
      </w:r>
      <w:r w:rsidR="007D7CE1" w:rsidRPr="005474B2">
        <w:rPr>
          <w:sz w:val="22"/>
          <w:szCs w:val="22"/>
          <w:lang w:val="sr-Latn-ME"/>
        </w:rPr>
        <w:t xml:space="preserve">i. </w:t>
      </w:r>
    </w:p>
    <w:p w14:paraId="14C1A325" w14:textId="77777777" w:rsidR="007D7CE1" w:rsidRPr="005474B2" w:rsidRDefault="007D7CE1">
      <w:pPr>
        <w:jc w:val="both"/>
        <w:rPr>
          <w:sz w:val="22"/>
          <w:szCs w:val="22"/>
          <w:lang w:val="sr-Latn-ME"/>
        </w:rPr>
      </w:pPr>
    </w:p>
    <w:p w14:paraId="639C6D60" w14:textId="77777777" w:rsidR="007D7CE1" w:rsidRPr="005474B2" w:rsidRDefault="007D7CE1">
      <w:pPr>
        <w:jc w:val="both"/>
        <w:rPr>
          <w:sz w:val="22"/>
          <w:szCs w:val="22"/>
          <w:lang w:val="sr-Latn-ME"/>
        </w:rPr>
      </w:pPr>
      <w:r w:rsidRPr="005474B2">
        <w:rPr>
          <w:sz w:val="22"/>
          <w:szCs w:val="22"/>
          <w:lang w:val="sr-Latn-ME"/>
        </w:rPr>
        <w:t xml:space="preserve">U PsA studiji 1, PsA studiji 2 i PsA studiji 3, 29%, 35% odnosno 30% pacijenata su prethodno </w:t>
      </w:r>
      <w:r w:rsidR="009A4880" w:rsidRPr="005474B2">
        <w:rPr>
          <w:sz w:val="22"/>
          <w:szCs w:val="22"/>
          <w:lang w:val="sr-Latn-ME"/>
        </w:rPr>
        <w:t>liječ</w:t>
      </w:r>
      <w:r w:rsidRPr="005474B2">
        <w:rPr>
          <w:sz w:val="22"/>
          <w:szCs w:val="22"/>
          <w:lang w:val="sr-Latn-ME"/>
        </w:rPr>
        <w:t>eni anti-TNFα l</w:t>
      </w:r>
      <w:r w:rsidR="00C41FCA" w:rsidRPr="005474B2">
        <w:rPr>
          <w:sz w:val="22"/>
          <w:szCs w:val="22"/>
          <w:lang w:val="sr-Latn-ME"/>
        </w:rPr>
        <w:t>j</w:t>
      </w:r>
      <w:r w:rsidRPr="005474B2">
        <w:rPr>
          <w:sz w:val="22"/>
          <w:szCs w:val="22"/>
          <w:lang w:val="sr-Latn-ME"/>
        </w:rPr>
        <w:t>ekovima i prekinuli su terapiju anti-TNFα l</w:t>
      </w:r>
      <w:r w:rsidR="00C41FCA" w:rsidRPr="005474B2">
        <w:rPr>
          <w:sz w:val="22"/>
          <w:szCs w:val="22"/>
          <w:lang w:val="sr-Latn-ME"/>
        </w:rPr>
        <w:t>j</w:t>
      </w:r>
      <w:r w:rsidRPr="005474B2">
        <w:rPr>
          <w:sz w:val="22"/>
          <w:szCs w:val="22"/>
          <w:lang w:val="sr-Latn-ME"/>
        </w:rPr>
        <w:t>ekovima ili zbog nedostatka efikasnosti ili zbog intolerancije (pacijenti sa neodgovarajućim odgovorom na anti-TNFα, odnosno anti-TNFα-IR pacijenti).</w:t>
      </w:r>
    </w:p>
    <w:p w14:paraId="031CD8CA" w14:textId="77777777" w:rsidR="007D7CE1" w:rsidRPr="005474B2" w:rsidRDefault="007D7CE1">
      <w:pPr>
        <w:jc w:val="both"/>
        <w:rPr>
          <w:sz w:val="22"/>
          <w:szCs w:val="22"/>
          <w:lang w:val="sr-Latn-ME"/>
        </w:rPr>
      </w:pPr>
    </w:p>
    <w:p w14:paraId="04B579DB" w14:textId="1670BD28" w:rsidR="007D7CE1" w:rsidRPr="005474B2" w:rsidRDefault="007D7CE1">
      <w:pPr>
        <w:jc w:val="both"/>
        <w:rPr>
          <w:sz w:val="22"/>
          <w:szCs w:val="22"/>
          <w:lang w:val="sr-Latn-ME"/>
        </w:rPr>
      </w:pPr>
      <w:r w:rsidRPr="005474B2">
        <w:rPr>
          <w:sz w:val="22"/>
          <w:szCs w:val="22"/>
          <w:lang w:val="sr-Latn-ME"/>
        </w:rPr>
        <w:t>PsA studija 1 (FUTURE 1) proc</w:t>
      </w:r>
      <w:r w:rsidR="00E228A4" w:rsidRPr="005474B2">
        <w:rPr>
          <w:sz w:val="22"/>
          <w:szCs w:val="22"/>
          <w:lang w:val="sr-Latn-ME"/>
        </w:rPr>
        <w:t>j</w:t>
      </w:r>
      <w:r w:rsidRPr="005474B2">
        <w:rPr>
          <w:sz w:val="22"/>
          <w:szCs w:val="22"/>
          <w:lang w:val="sr-Latn-ME"/>
        </w:rPr>
        <w:t xml:space="preserve">enjivala je 606 pacijenata, od kojih je 60,7% istovremeno primalo MTX. Pacijenti randomizovani na </w:t>
      </w:r>
      <w:r w:rsidRPr="005474B2">
        <w:rPr>
          <w:iCs/>
          <w:sz w:val="22"/>
          <w:szCs w:val="22"/>
          <w:lang w:val="sr-Latn-ME"/>
        </w:rPr>
        <w:t>sekukinumab</w:t>
      </w:r>
      <w:r w:rsidRPr="005474B2">
        <w:rPr>
          <w:sz w:val="22"/>
          <w:szCs w:val="22"/>
          <w:lang w:val="sr-Latn-ME"/>
        </w:rPr>
        <w:t xml:space="preserve"> su primali 10 mg/kg intravenski u 0, 2. i 4. </w:t>
      </w:r>
      <w:r w:rsidR="009A4880" w:rsidRPr="005474B2">
        <w:rPr>
          <w:sz w:val="22"/>
          <w:szCs w:val="22"/>
          <w:lang w:val="sr-Latn-ME"/>
        </w:rPr>
        <w:t>nedjelj</w:t>
      </w:r>
      <w:r w:rsidRPr="005474B2">
        <w:rPr>
          <w:sz w:val="22"/>
          <w:szCs w:val="22"/>
          <w:lang w:val="sr-Latn-ME"/>
        </w:rPr>
        <w:t>i, nakon čega su dobijali 75 mg ili 150 mg su</w:t>
      </w:r>
      <w:r w:rsidR="00801863" w:rsidRPr="005474B2">
        <w:rPr>
          <w:sz w:val="22"/>
          <w:szCs w:val="22"/>
          <w:lang w:val="sr-Latn-ME"/>
        </w:rPr>
        <w:t>b</w:t>
      </w:r>
      <w:r w:rsidRPr="005474B2">
        <w:rPr>
          <w:sz w:val="22"/>
          <w:szCs w:val="22"/>
          <w:lang w:val="sr-Latn-ME"/>
        </w:rPr>
        <w:t xml:space="preserve">kutano svakog </w:t>
      </w:r>
      <w:r w:rsidR="009A4880" w:rsidRPr="005474B2">
        <w:rPr>
          <w:sz w:val="22"/>
          <w:szCs w:val="22"/>
          <w:lang w:val="sr-Latn-ME"/>
        </w:rPr>
        <w:t>mjesec</w:t>
      </w:r>
      <w:r w:rsidRPr="005474B2">
        <w:rPr>
          <w:sz w:val="22"/>
          <w:szCs w:val="22"/>
          <w:lang w:val="sr-Latn-ME"/>
        </w:rPr>
        <w:t xml:space="preserve">a počevši od 8. </w:t>
      </w:r>
      <w:r w:rsidR="009A4880" w:rsidRPr="005474B2">
        <w:rPr>
          <w:sz w:val="22"/>
          <w:szCs w:val="22"/>
          <w:lang w:val="sr-Latn-ME"/>
        </w:rPr>
        <w:t>nedjelj</w:t>
      </w:r>
      <w:r w:rsidRPr="005474B2">
        <w:rPr>
          <w:sz w:val="22"/>
          <w:szCs w:val="22"/>
          <w:lang w:val="sr-Latn-ME"/>
        </w:rPr>
        <w:t>e. Pacijenti randomizovani na placebo koji ni</w:t>
      </w:r>
      <w:r w:rsidR="00746619" w:rsidRPr="005474B2">
        <w:rPr>
          <w:sz w:val="22"/>
          <w:szCs w:val="22"/>
          <w:lang w:val="sr-Latn-ME"/>
        </w:rPr>
        <w:t>je</w:t>
      </w:r>
      <w:r w:rsidRPr="005474B2">
        <w:rPr>
          <w:sz w:val="22"/>
          <w:szCs w:val="22"/>
          <w:lang w:val="sr-Latn-ME"/>
        </w:rPr>
        <w:t xml:space="preserve">su odgovorili u 16. </w:t>
      </w:r>
      <w:r w:rsidR="009A4880" w:rsidRPr="005474B2">
        <w:rPr>
          <w:sz w:val="22"/>
          <w:szCs w:val="22"/>
          <w:lang w:val="sr-Latn-ME"/>
        </w:rPr>
        <w:t>nedjelj</w:t>
      </w:r>
      <w:r w:rsidRPr="005474B2">
        <w:rPr>
          <w:sz w:val="22"/>
          <w:szCs w:val="22"/>
          <w:lang w:val="sr-Latn-ME"/>
        </w:rPr>
        <w:t xml:space="preserve">i (ranija </w:t>
      </w:r>
      <w:r w:rsidR="009A4880" w:rsidRPr="005474B2">
        <w:rPr>
          <w:sz w:val="22"/>
          <w:szCs w:val="22"/>
          <w:lang w:val="sr-Latn-ME"/>
        </w:rPr>
        <w:t>primjena</w:t>
      </w:r>
      <w:r w:rsidRPr="005474B2">
        <w:rPr>
          <w:sz w:val="22"/>
          <w:szCs w:val="22"/>
          <w:lang w:val="sr-Latn-ME"/>
        </w:rPr>
        <w:t xml:space="preserve"> </w:t>
      </w:r>
      <w:r w:rsidRPr="005474B2">
        <w:rPr>
          <w:iCs/>
          <w:sz w:val="22"/>
          <w:szCs w:val="22"/>
          <w:lang w:val="sr-Latn-ME"/>
        </w:rPr>
        <w:t>sekukinumaba</w:t>
      </w:r>
      <w:r w:rsidRPr="005474B2">
        <w:rPr>
          <w:sz w:val="22"/>
          <w:szCs w:val="22"/>
          <w:lang w:val="sr-Latn-ME"/>
        </w:rPr>
        <w:t xml:space="preserve">) i ostali pacijenti na placebu u 24. </w:t>
      </w:r>
      <w:r w:rsidR="009A4880" w:rsidRPr="005474B2">
        <w:rPr>
          <w:sz w:val="22"/>
          <w:szCs w:val="22"/>
          <w:lang w:val="sr-Latn-ME"/>
        </w:rPr>
        <w:t>nedjelj</w:t>
      </w:r>
      <w:r w:rsidRPr="005474B2">
        <w:rPr>
          <w:sz w:val="22"/>
          <w:szCs w:val="22"/>
          <w:lang w:val="sr-Latn-ME"/>
        </w:rPr>
        <w:t xml:space="preserve">i su prebačeni da primaju </w:t>
      </w:r>
      <w:r w:rsidRPr="005474B2">
        <w:rPr>
          <w:iCs/>
          <w:sz w:val="22"/>
          <w:szCs w:val="22"/>
          <w:lang w:val="sr-Latn-ME"/>
        </w:rPr>
        <w:t>sekukinumab</w:t>
      </w:r>
      <w:r w:rsidRPr="005474B2">
        <w:rPr>
          <w:sz w:val="22"/>
          <w:szCs w:val="22"/>
          <w:lang w:val="sr-Latn-ME"/>
        </w:rPr>
        <w:t xml:space="preserve"> (bilo 75 mg ili 150 mg su</w:t>
      </w:r>
      <w:r w:rsidR="00801863" w:rsidRPr="005474B2">
        <w:rPr>
          <w:sz w:val="22"/>
          <w:szCs w:val="22"/>
          <w:lang w:val="sr-Latn-ME"/>
        </w:rPr>
        <w:t>b</w:t>
      </w:r>
      <w:r w:rsidRPr="005474B2">
        <w:rPr>
          <w:sz w:val="22"/>
          <w:szCs w:val="22"/>
          <w:lang w:val="sr-Latn-ME"/>
        </w:rPr>
        <w:t>kutano)</w:t>
      </w:r>
      <w:r w:rsidR="00EC7F04" w:rsidRPr="005474B2">
        <w:rPr>
          <w:sz w:val="22"/>
          <w:szCs w:val="22"/>
          <w:lang w:val="sr-Latn-ME"/>
        </w:rPr>
        <w:t>,</w:t>
      </w:r>
      <w:r w:rsidRPr="005474B2">
        <w:rPr>
          <w:sz w:val="22"/>
          <w:szCs w:val="22"/>
          <w:lang w:val="sr-Latn-ME"/>
        </w:rPr>
        <w:t xml:space="preserve"> nakon čega su dobijali istu dozu svakog </w:t>
      </w:r>
      <w:r w:rsidR="009A4880" w:rsidRPr="005474B2">
        <w:rPr>
          <w:sz w:val="22"/>
          <w:szCs w:val="22"/>
          <w:lang w:val="sr-Latn-ME"/>
        </w:rPr>
        <w:t>mjesec</w:t>
      </w:r>
      <w:r w:rsidRPr="005474B2">
        <w:rPr>
          <w:sz w:val="22"/>
          <w:szCs w:val="22"/>
          <w:lang w:val="sr-Latn-ME"/>
        </w:rPr>
        <w:t xml:space="preserve">a. </w:t>
      </w:r>
    </w:p>
    <w:p w14:paraId="41106A14" w14:textId="77777777" w:rsidR="007D7CE1" w:rsidRPr="005474B2" w:rsidRDefault="007D7CE1">
      <w:pPr>
        <w:jc w:val="both"/>
        <w:rPr>
          <w:sz w:val="22"/>
          <w:szCs w:val="22"/>
          <w:lang w:val="sr-Latn-ME"/>
        </w:rPr>
      </w:pPr>
    </w:p>
    <w:p w14:paraId="2DC24F7C" w14:textId="2F1A2E36" w:rsidR="007D7CE1" w:rsidRPr="005474B2" w:rsidRDefault="007D7CE1">
      <w:pPr>
        <w:jc w:val="both"/>
        <w:rPr>
          <w:sz w:val="22"/>
          <w:szCs w:val="22"/>
          <w:lang w:val="sr-Latn-ME"/>
        </w:rPr>
      </w:pPr>
      <w:r w:rsidRPr="005474B2">
        <w:rPr>
          <w:sz w:val="22"/>
          <w:szCs w:val="22"/>
          <w:lang w:val="sr-Latn-ME"/>
        </w:rPr>
        <w:t>PsA studija 2 (FUTURE 2) je proc</w:t>
      </w:r>
      <w:r w:rsidR="00E228A4" w:rsidRPr="005474B2">
        <w:rPr>
          <w:sz w:val="22"/>
          <w:szCs w:val="22"/>
          <w:lang w:val="sr-Latn-ME"/>
        </w:rPr>
        <w:t>j</w:t>
      </w:r>
      <w:r w:rsidRPr="005474B2">
        <w:rPr>
          <w:sz w:val="22"/>
          <w:szCs w:val="22"/>
          <w:lang w:val="sr-Latn-ME"/>
        </w:rPr>
        <w:t xml:space="preserve">enjivala 397 pacijenata, od kojih je 46,6% istovremeno primalo MTX. Pacijenti randomizovani na </w:t>
      </w:r>
      <w:r w:rsidRPr="005474B2">
        <w:rPr>
          <w:iCs/>
          <w:sz w:val="22"/>
          <w:szCs w:val="22"/>
          <w:lang w:val="sr-Latn-ME"/>
        </w:rPr>
        <w:t>sekukinumab</w:t>
      </w:r>
      <w:r w:rsidRPr="005474B2">
        <w:rPr>
          <w:sz w:val="22"/>
          <w:szCs w:val="22"/>
          <w:lang w:val="sr-Latn-ME"/>
        </w:rPr>
        <w:t xml:space="preserve"> su primali 75 mg, 150 mg ili 300 mg su</w:t>
      </w:r>
      <w:r w:rsidR="00801863" w:rsidRPr="005474B2">
        <w:rPr>
          <w:sz w:val="22"/>
          <w:szCs w:val="22"/>
          <w:lang w:val="sr-Latn-ME"/>
        </w:rPr>
        <w:t>b</w:t>
      </w:r>
      <w:r w:rsidRPr="005474B2">
        <w:rPr>
          <w:sz w:val="22"/>
          <w:szCs w:val="22"/>
          <w:lang w:val="sr-Latn-ME"/>
        </w:rPr>
        <w:t xml:space="preserve">kutano u 0, 1, 2, 3 i 4. </w:t>
      </w:r>
      <w:r w:rsidR="009A4880" w:rsidRPr="005474B2">
        <w:rPr>
          <w:sz w:val="22"/>
          <w:szCs w:val="22"/>
          <w:lang w:val="sr-Latn-ME"/>
        </w:rPr>
        <w:t>nedjelj</w:t>
      </w:r>
      <w:r w:rsidRPr="005474B2">
        <w:rPr>
          <w:sz w:val="22"/>
          <w:szCs w:val="22"/>
          <w:lang w:val="sr-Latn-ME"/>
        </w:rPr>
        <w:t xml:space="preserve">i, nakon čega su dobijali istu dozu svakog </w:t>
      </w:r>
      <w:r w:rsidR="009A4880" w:rsidRPr="005474B2">
        <w:rPr>
          <w:sz w:val="22"/>
          <w:szCs w:val="22"/>
          <w:lang w:val="sr-Latn-ME"/>
        </w:rPr>
        <w:t>mjesec</w:t>
      </w:r>
      <w:r w:rsidRPr="005474B2">
        <w:rPr>
          <w:sz w:val="22"/>
          <w:szCs w:val="22"/>
          <w:lang w:val="sr-Latn-ME"/>
        </w:rPr>
        <w:t>a. Pacijenti randomizovani na placebo koji ni</w:t>
      </w:r>
      <w:r w:rsidR="00746619" w:rsidRPr="005474B2">
        <w:rPr>
          <w:sz w:val="22"/>
          <w:szCs w:val="22"/>
          <w:lang w:val="sr-Latn-ME"/>
        </w:rPr>
        <w:t>je</w:t>
      </w:r>
      <w:r w:rsidRPr="005474B2">
        <w:rPr>
          <w:sz w:val="22"/>
          <w:szCs w:val="22"/>
          <w:lang w:val="sr-Latn-ME"/>
        </w:rPr>
        <w:t xml:space="preserve">su odgovorili u 16. </w:t>
      </w:r>
      <w:r w:rsidR="009A4880" w:rsidRPr="005474B2">
        <w:rPr>
          <w:sz w:val="22"/>
          <w:szCs w:val="22"/>
          <w:lang w:val="sr-Latn-ME"/>
        </w:rPr>
        <w:t>nedjelj</w:t>
      </w:r>
      <w:r w:rsidRPr="005474B2">
        <w:rPr>
          <w:sz w:val="22"/>
          <w:szCs w:val="22"/>
          <w:lang w:val="sr-Latn-ME"/>
        </w:rPr>
        <w:t xml:space="preserve">i (ranija </w:t>
      </w:r>
      <w:r w:rsidR="009A4880" w:rsidRPr="005474B2">
        <w:rPr>
          <w:sz w:val="22"/>
          <w:szCs w:val="22"/>
          <w:lang w:val="sr-Latn-ME"/>
        </w:rPr>
        <w:t>primjena</w:t>
      </w:r>
      <w:r w:rsidRPr="005474B2">
        <w:rPr>
          <w:sz w:val="22"/>
          <w:szCs w:val="22"/>
          <w:lang w:val="sr-Latn-ME"/>
        </w:rPr>
        <w:t xml:space="preserve"> </w:t>
      </w:r>
      <w:r w:rsidRPr="005474B2">
        <w:rPr>
          <w:iCs/>
          <w:sz w:val="22"/>
          <w:szCs w:val="22"/>
          <w:lang w:val="sr-Latn-ME"/>
        </w:rPr>
        <w:t>sekukinumaba</w:t>
      </w:r>
      <w:r w:rsidRPr="005474B2">
        <w:rPr>
          <w:sz w:val="22"/>
          <w:szCs w:val="22"/>
          <w:lang w:val="sr-Latn-ME"/>
        </w:rPr>
        <w:t xml:space="preserve">) su prebačeni da primaju </w:t>
      </w:r>
      <w:r w:rsidR="00E228A4" w:rsidRPr="005474B2">
        <w:rPr>
          <w:sz w:val="22"/>
          <w:szCs w:val="22"/>
          <w:lang w:val="sr-Latn-ME"/>
        </w:rPr>
        <w:t>sekukinumab</w:t>
      </w:r>
      <w:r w:rsidRPr="005474B2">
        <w:rPr>
          <w:sz w:val="22"/>
          <w:szCs w:val="22"/>
          <w:lang w:val="sr-Latn-ME"/>
        </w:rPr>
        <w:t xml:space="preserve"> (150 mg ili 300 mg su</w:t>
      </w:r>
      <w:r w:rsidR="00801863" w:rsidRPr="005474B2">
        <w:rPr>
          <w:sz w:val="22"/>
          <w:szCs w:val="22"/>
          <w:lang w:val="sr-Latn-ME"/>
        </w:rPr>
        <w:t>b</w:t>
      </w:r>
      <w:r w:rsidRPr="005474B2">
        <w:rPr>
          <w:sz w:val="22"/>
          <w:szCs w:val="22"/>
          <w:lang w:val="sr-Latn-ME"/>
        </w:rPr>
        <w:t xml:space="preserve">kutano) u 16. </w:t>
      </w:r>
      <w:r w:rsidR="009A4880" w:rsidRPr="005474B2">
        <w:rPr>
          <w:sz w:val="22"/>
          <w:szCs w:val="22"/>
          <w:lang w:val="sr-Latn-ME"/>
        </w:rPr>
        <w:t>nedjelj</w:t>
      </w:r>
      <w:r w:rsidRPr="005474B2">
        <w:rPr>
          <w:sz w:val="22"/>
          <w:szCs w:val="22"/>
          <w:lang w:val="sr-Latn-ME"/>
        </w:rPr>
        <w:t xml:space="preserve">i, praćeno istom dozom svakog </w:t>
      </w:r>
      <w:r w:rsidR="009A4880" w:rsidRPr="005474B2">
        <w:rPr>
          <w:sz w:val="22"/>
          <w:szCs w:val="22"/>
          <w:lang w:val="sr-Latn-ME"/>
        </w:rPr>
        <w:t>mjesec</w:t>
      </w:r>
      <w:r w:rsidRPr="005474B2">
        <w:rPr>
          <w:sz w:val="22"/>
          <w:szCs w:val="22"/>
          <w:lang w:val="sr-Latn-ME"/>
        </w:rPr>
        <w:t xml:space="preserve">a. Pacijenti randomizovani na placebo koji su odgovorili u 16. </w:t>
      </w:r>
      <w:r w:rsidR="009A4880" w:rsidRPr="005474B2">
        <w:rPr>
          <w:sz w:val="22"/>
          <w:szCs w:val="22"/>
          <w:lang w:val="sr-Latn-ME"/>
        </w:rPr>
        <w:t>nedjelj</w:t>
      </w:r>
      <w:r w:rsidRPr="005474B2">
        <w:rPr>
          <w:sz w:val="22"/>
          <w:szCs w:val="22"/>
          <w:lang w:val="sr-Latn-ME"/>
        </w:rPr>
        <w:t xml:space="preserve">i, u 24. </w:t>
      </w:r>
      <w:r w:rsidR="009A4880" w:rsidRPr="005474B2">
        <w:rPr>
          <w:sz w:val="22"/>
          <w:szCs w:val="22"/>
          <w:lang w:val="sr-Latn-ME"/>
        </w:rPr>
        <w:t>nedjelj</w:t>
      </w:r>
      <w:r w:rsidRPr="005474B2">
        <w:rPr>
          <w:sz w:val="22"/>
          <w:szCs w:val="22"/>
          <w:lang w:val="sr-Latn-ME"/>
        </w:rPr>
        <w:t xml:space="preserve">i su prešli na </w:t>
      </w:r>
      <w:r w:rsidRPr="005474B2">
        <w:rPr>
          <w:iCs/>
          <w:sz w:val="22"/>
          <w:szCs w:val="22"/>
          <w:lang w:val="sr-Latn-ME"/>
        </w:rPr>
        <w:t>sekukinumab</w:t>
      </w:r>
      <w:r w:rsidRPr="005474B2">
        <w:rPr>
          <w:sz w:val="22"/>
          <w:szCs w:val="22"/>
          <w:lang w:val="sr-Latn-ME"/>
        </w:rPr>
        <w:t xml:space="preserve"> (150 mg ili 300 mg su</w:t>
      </w:r>
      <w:r w:rsidR="00801863" w:rsidRPr="005474B2">
        <w:rPr>
          <w:sz w:val="22"/>
          <w:szCs w:val="22"/>
          <w:lang w:val="sr-Latn-ME"/>
        </w:rPr>
        <w:t>b</w:t>
      </w:r>
      <w:r w:rsidRPr="005474B2">
        <w:rPr>
          <w:sz w:val="22"/>
          <w:szCs w:val="22"/>
          <w:lang w:val="sr-Latn-ME"/>
        </w:rPr>
        <w:t>kutano)</w:t>
      </w:r>
      <w:r w:rsidR="00EC7F04" w:rsidRPr="005474B2">
        <w:rPr>
          <w:sz w:val="22"/>
          <w:szCs w:val="22"/>
          <w:lang w:val="sr-Latn-ME"/>
        </w:rPr>
        <w:t>,</w:t>
      </w:r>
      <w:r w:rsidRPr="005474B2">
        <w:rPr>
          <w:sz w:val="22"/>
          <w:szCs w:val="22"/>
          <w:lang w:val="sr-Latn-ME"/>
        </w:rPr>
        <w:t xml:space="preserve"> nakon čega su dobijali istu dozu svakog </w:t>
      </w:r>
      <w:r w:rsidR="009A4880" w:rsidRPr="005474B2">
        <w:rPr>
          <w:sz w:val="22"/>
          <w:szCs w:val="22"/>
          <w:lang w:val="sr-Latn-ME"/>
        </w:rPr>
        <w:t>mjesec</w:t>
      </w:r>
      <w:r w:rsidRPr="005474B2">
        <w:rPr>
          <w:sz w:val="22"/>
          <w:szCs w:val="22"/>
          <w:lang w:val="sr-Latn-ME"/>
        </w:rPr>
        <w:t>a.</w:t>
      </w:r>
    </w:p>
    <w:p w14:paraId="12700484" w14:textId="77777777" w:rsidR="007D7CE1" w:rsidRPr="005474B2" w:rsidRDefault="007D7CE1">
      <w:pPr>
        <w:jc w:val="both"/>
        <w:rPr>
          <w:sz w:val="22"/>
          <w:szCs w:val="22"/>
          <w:lang w:val="sr-Latn-ME"/>
        </w:rPr>
      </w:pPr>
    </w:p>
    <w:p w14:paraId="6E6A05D4" w14:textId="31C08045" w:rsidR="007D7CE1" w:rsidRPr="005474B2" w:rsidRDefault="007D7CE1">
      <w:pPr>
        <w:widowControl w:val="0"/>
        <w:tabs>
          <w:tab w:val="left" w:pos="284"/>
        </w:tabs>
        <w:autoSpaceDE w:val="0"/>
        <w:autoSpaceDN w:val="0"/>
        <w:adjustRightInd w:val="0"/>
        <w:jc w:val="both"/>
        <w:rPr>
          <w:sz w:val="22"/>
          <w:szCs w:val="22"/>
          <w:lang w:val="sr-Latn-ME"/>
        </w:rPr>
      </w:pPr>
      <w:r w:rsidRPr="005474B2">
        <w:rPr>
          <w:sz w:val="22"/>
          <w:szCs w:val="22"/>
          <w:lang w:val="sr-Latn-ME"/>
        </w:rPr>
        <w:t>PsA studija 3 (FUTURE 5) je proc</w:t>
      </w:r>
      <w:r w:rsidR="00C41FCA" w:rsidRPr="005474B2">
        <w:rPr>
          <w:sz w:val="22"/>
          <w:szCs w:val="22"/>
          <w:lang w:val="sr-Latn-ME"/>
        </w:rPr>
        <w:t>j</w:t>
      </w:r>
      <w:r w:rsidRPr="005474B2">
        <w:rPr>
          <w:sz w:val="22"/>
          <w:szCs w:val="22"/>
          <w:lang w:val="sr-Latn-ME"/>
        </w:rPr>
        <w:t xml:space="preserve">enjivala 996 pacijenata, od kojih je 50,1% istovremeno primalo MTX. Pacijenti koji su bili randomizovani na </w:t>
      </w:r>
      <w:r w:rsidRPr="005474B2">
        <w:rPr>
          <w:iCs/>
          <w:sz w:val="22"/>
          <w:szCs w:val="22"/>
          <w:lang w:val="sr-Latn-ME"/>
        </w:rPr>
        <w:t>sekukinumab</w:t>
      </w:r>
      <w:r w:rsidRPr="005474B2">
        <w:rPr>
          <w:sz w:val="22"/>
          <w:szCs w:val="22"/>
          <w:lang w:val="sr-Latn-ME"/>
        </w:rPr>
        <w:t xml:space="preserve"> su primali 150 mg, 300 mg ili placebo su</w:t>
      </w:r>
      <w:r w:rsidR="00801863" w:rsidRPr="005474B2">
        <w:rPr>
          <w:sz w:val="22"/>
          <w:szCs w:val="22"/>
          <w:lang w:val="sr-Latn-ME"/>
        </w:rPr>
        <w:t>b</w:t>
      </w:r>
      <w:r w:rsidRPr="005474B2">
        <w:rPr>
          <w:sz w:val="22"/>
          <w:szCs w:val="22"/>
          <w:lang w:val="sr-Latn-ME"/>
        </w:rPr>
        <w:t xml:space="preserve">kutano u 0, 1, 2, 3. i 4. </w:t>
      </w:r>
      <w:r w:rsidR="009A4880" w:rsidRPr="005474B2">
        <w:rPr>
          <w:sz w:val="22"/>
          <w:szCs w:val="22"/>
          <w:lang w:val="sr-Latn-ME"/>
        </w:rPr>
        <w:t>nedjelj</w:t>
      </w:r>
      <w:r w:rsidRPr="005474B2">
        <w:rPr>
          <w:sz w:val="22"/>
          <w:szCs w:val="22"/>
          <w:lang w:val="sr-Latn-ME"/>
        </w:rPr>
        <w:t xml:space="preserve">i, nakon čega su dobijali istu dozu svakoga </w:t>
      </w:r>
      <w:r w:rsidR="009A4880" w:rsidRPr="005474B2">
        <w:rPr>
          <w:sz w:val="22"/>
          <w:szCs w:val="22"/>
          <w:lang w:val="sr-Latn-ME"/>
        </w:rPr>
        <w:t>mjesec</w:t>
      </w:r>
      <w:r w:rsidRPr="005474B2">
        <w:rPr>
          <w:sz w:val="22"/>
          <w:szCs w:val="22"/>
          <w:lang w:val="sr-Latn-ME"/>
        </w:rPr>
        <w:t xml:space="preserve">a, ili jednom </w:t>
      </w:r>
      <w:r w:rsidR="009A4880" w:rsidRPr="005474B2">
        <w:rPr>
          <w:sz w:val="22"/>
          <w:szCs w:val="22"/>
          <w:lang w:val="sr-Latn-ME"/>
        </w:rPr>
        <w:t>mjeseč</w:t>
      </w:r>
      <w:r w:rsidRPr="005474B2">
        <w:rPr>
          <w:sz w:val="22"/>
          <w:szCs w:val="22"/>
          <w:lang w:val="sr-Latn-ME"/>
        </w:rPr>
        <w:t xml:space="preserve">no injekciju </w:t>
      </w:r>
      <w:r w:rsidRPr="005474B2">
        <w:rPr>
          <w:iCs/>
          <w:sz w:val="22"/>
          <w:szCs w:val="22"/>
          <w:lang w:val="sr-Latn-ME"/>
        </w:rPr>
        <w:t>sekukinumaba</w:t>
      </w:r>
      <w:r w:rsidRPr="005474B2">
        <w:rPr>
          <w:sz w:val="22"/>
          <w:szCs w:val="22"/>
          <w:lang w:val="sr-Latn-ME"/>
        </w:rPr>
        <w:t xml:space="preserve"> 150 mg (bez početnog doziranja). Pacijenti randomizovani na placebo koji ni</w:t>
      </w:r>
      <w:r w:rsidR="00746619" w:rsidRPr="005474B2">
        <w:rPr>
          <w:sz w:val="22"/>
          <w:szCs w:val="22"/>
          <w:lang w:val="sr-Latn-ME"/>
        </w:rPr>
        <w:t>je</w:t>
      </w:r>
      <w:r w:rsidRPr="005474B2">
        <w:rPr>
          <w:sz w:val="22"/>
          <w:szCs w:val="22"/>
          <w:lang w:val="sr-Latn-ME"/>
        </w:rPr>
        <w:t xml:space="preserve">su odgovorili u 16. </w:t>
      </w:r>
      <w:r w:rsidR="009A4880" w:rsidRPr="005474B2">
        <w:rPr>
          <w:sz w:val="22"/>
          <w:szCs w:val="22"/>
          <w:lang w:val="sr-Latn-ME"/>
        </w:rPr>
        <w:t>nedjelj</w:t>
      </w:r>
      <w:r w:rsidRPr="005474B2">
        <w:rPr>
          <w:sz w:val="22"/>
          <w:szCs w:val="22"/>
          <w:lang w:val="sr-Latn-ME"/>
        </w:rPr>
        <w:t xml:space="preserve">i (ranija </w:t>
      </w:r>
      <w:r w:rsidR="009A4880" w:rsidRPr="005474B2">
        <w:rPr>
          <w:sz w:val="22"/>
          <w:szCs w:val="22"/>
          <w:lang w:val="sr-Latn-ME"/>
        </w:rPr>
        <w:t>primjena</w:t>
      </w:r>
      <w:r w:rsidRPr="005474B2">
        <w:rPr>
          <w:sz w:val="22"/>
          <w:szCs w:val="22"/>
          <w:lang w:val="sr-Latn-ME"/>
        </w:rPr>
        <w:t xml:space="preserve"> </w:t>
      </w:r>
      <w:r w:rsidRPr="005474B2">
        <w:rPr>
          <w:iCs/>
          <w:sz w:val="22"/>
          <w:szCs w:val="22"/>
          <w:lang w:val="sr-Latn-ME"/>
        </w:rPr>
        <w:t>sekukinumaba</w:t>
      </w:r>
      <w:r w:rsidRPr="005474B2">
        <w:rPr>
          <w:sz w:val="22"/>
          <w:szCs w:val="22"/>
          <w:lang w:val="sr-Latn-ME"/>
        </w:rPr>
        <w:t xml:space="preserve">) su prebačeni da primaju </w:t>
      </w:r>
      <w:r w:rsidRPr="005474B2">
        <w:rPr>
          <w:iCs/>
          <w:sz w:val="22"/>
          <w:szCs w:val="22"/>
          <w:lang w:val="sr-Latn-ME"/>
        </w:rPr>
        <w:t>sekukinumab</w:t>
      </w:r>
      <w:r w:rsidRPr="005474B2">
        <w:rPr>
          <w:sz w:val="22"/>
          <w:szCs w:val="22"/>
          <w:lang w:val="sr-Latn-ME"/>
        </w:rPr>
        <w:t xml:space="preserve"> (ili 150 mg ili 300 mg su</w:t>
      </w:r>
      <w:r w:rsidR="00801863" w:rsidRPr="005474B2">
        <w:rPr>
          <w:sz w:val="22"/>
          <w:szCs w:val="22"/>
          <w:lang w:val="sr-Latn-ME"/>
        </w:rPr>
        <w:t>b</w:t>
      </w:r>
      <w:r w:rsidRPr="005474B2">
        <w:rPr>
          <w:sz w:val="22"/>
          <w:szCs w:val="22"/>
          <w:lang w:val="sr-Latn-ME"/>
        </w:rPr>
        <w:t xml:space="preserve">kutano) u 16. </w:t>
      </w:r>
      <w:r w:rsidR="009A4880" w:rsidRPr="005474B2">
        <w:rPr>
          <w:sz w:val="22"/>
          <w:szCs w:val="22"/>
          <w:lang w:val="sr-Latn-ME"/>
        </w:rPr>
        <w:t>nedjelj</w:t>
      </w:r>
      <w:r w:rsidRPr="005474B2">
        <w:rPr>
          <w:sz w:val="22"/>
          <w:szCs w:val="22"/>
          <w:lang w:val="sr-Latn-ME"/>
        </w:rPr>
        <w:t xml:space="preserve">i, praćeno istom dozom svakog </w:t>
      </w:r>
      <w:r w:rsidR="009A4880" w:rsidRPr="005474B2">
        <w:rPr>
          <w:sz w:val="22"/>
          <w:szCs w:val="22"/>
          <w:lang w:val="sr-Latn-ME"/>
        </w:rPr>
        <w:t>mjesec</w:t>
      </w:r>
      <w:r w:rsidRPr="005474B2">
        <w:rPr>
          <w:sz w:val="22"/>
          <w:szCs w:val="22"/>
          <w:lang w:val="sr-Latn-ME"/>
        </w:rPr>
        <w:t xml:space="preserve">a. Pacijenti randomizovani na placebo koji su odgovorili u 16. </w:t>
      </w:r>
      <w:r w:rsidR="009A4880" w:rsidRPr="005474B2">
        <w:rPr>
          <w:sz w:val="22"/>
          <w:szCs w:val="22"/>
          <w:lang w:val="sr-Latn-ME"/>
        </w:rPr>
        <w:t>nedjelj</w:t>
      </w:r>
      <w:r w:rsidRPr="005474B2">
        <w:rPr>
          <w:sz w:val="22"/>
          <w:szCs w:val="22"/>
          <w:lang w:val="sr-Latn-ME"/>
        </w:rPr>
        <w:t xml:space="preserve">i, u 24. </w:t>
      </w:r>
      <w:r w:rsidR="009A4880" w:rsidRPr="005474B2">
        <w:rPr>
          <w:sz w:val="22"/>
          <w:szCs w:val="22"/>
          <w:lang w:val="sr-Latn-ME"/>
        </w:rPr>
        <w:t>nedjelj</w:t>
      </w:r>
      <w:r w:rsidRPr="005474B2">
        <w:rPr>
          <w:sz w:val="22"/>
          <w:szCs w:val="22"/>
          <w:lang w:val="sr-Latn-ME"/>
        </w:rPr>
        <w:t xml:space="preserve">i su prešli da primaju </w:t>
      </w:r>
      <w:r w:rsidRPr="005474B2">
        <w:rPr>
          <w:iCs/>
          <w:sz w:val="22"/>
          <w:szCs w:val="22"/>
          <w:lang w:val="sr-Latn-ME"/>
        </w:rPr>
        <w:t>sekukinumab</w:t>
      </w:r>
      <w:r w:rsidRPr="005474B2">
        <w:rPr>
          <w:sz w:val="22"/>
          <w:szCs w:val="22"/>
          <w:lang w:val="sr-Latn-ME"/>
        </w:rPr>
        <w:t xml:space="preserve"> (ili 150 mg ili 300 mg su</w:t>
      </w:r>
      <w:r w:rsidR="00801863" w:rsidRPr="005474B2">
        <w:rPr>
          <w:sz w:val="22"/>
          <w:szCs w:val="22"/>
          <w:lang w:val="sr-Latn-ME"/>
        </w:rPr>
        <w:t>b</w:t>
      </w:r>
      <w:r w:rsidRPr="005474B2">
        <w:rPr>
          <w:sz w:val="22"/>
          <w:szCs w:val="22"/>
          <w:lang w:val="sr-Latn-ME"/>
        </w:rPr>
        <w:t xml:space="preserve">kutano) nakon čega su dobijali istu dozu svakog </w:t>
      </w:r>
      <w:r w:rsidR="009A4880" w:rsidRPr="005474B2">
        <w:rPr>
          <w:sz w:val="22"/>
          <w:szCs w:val="22"/>
          <w:lang w:val="sr-Latn-ME"/>
        </w:rPr>
        <w:t>mjesec</w:t>
      </w:r>
      <w:r w:rsidRPr="005474B2">
        <w:rPr>
          <w:sz w:val="22"/>
          <w:szCs w:val="22"/>
          <w:lang w:val="sr-Latn-ME"/>
        </w:rPr>
        <w:t>a.</w:t>
      </w:r>
    </w:p>
    <w:p w14:paraId="746E99F6" w14:textId="77777777" w:rsidR="007D7CE1" w:rsidRPr="005474B2" w:rsidRDefault="007D7CE1">
      <w:pPr>
        <w:jc w:val="both"/>
        <w:rPr>
          <w:sz w:val="22"/>
          <w:szCs w:val="22"/>
          <w:lang w:val="sr-Latn-ME"/>
        </w:rPr>
      </w:pPr>
    </w:p>
    <w:p w14:paraId="1B1B6553" w14:textId="77777777" w:rsidR="007D7CE1" w:rsidRPr="005474B2" w:rsidRDefault="007D7CE1">
      <w:pPr>
        <w:jc w:val="both"/>
        <w:rPr>
          <w:i/>
          <w:sz w:val="22"/>
          <w:szCs w:val="22"/>
          <w:lang w:val="sr-Latn-ME"/>
        </w:rPr>
      </w:pPr>
      <w:r w:rsidRPr="005474B2">
        <w:rPr>
          <w:i/>
          <w:sz w:val="22"/>
          <w:szCs w:val="22"/>
          <w:lang w:val="sr-Latn-ME"/>
        </w:rPr>
        <w:t>Znaci i simptomi</w:t>
      </w:r>
    </w:p>
    <w:p w14:paraId="050ADE99" w14:textId="386CE93C" w:rsidR="007D7CE1" w:rsidRPr="005474B2" w:rsidRDefault="007D7CE1">
      <w:pPr>
        <w:jc w:val="both"/>
        <w:rPr>
          <w:sz w:val="22"/>
          <w:szCs w:val="22"/>
          <w:lang w:val="sr-Latn-ME"/>
        </w:rPr>
      </w:pPr>
      <w:r w:rsidRPr="005474B2">
        <w:rPr>
          <w:sz w:val="22"/>
          <w:szCs w:val="22"/>
          <w:lang w:val="sr-Latn-ME"/>
        </w:rPr>
        <w:lastRenderedPageBreak/>
        <w:t xml:space="preserve">Terapija </w:t>
      </w:r>
      <w:r w:rsidRPr="005474B2">
        <w:rPr>
          <w:iCs/>
          <w:sz w:val="22"/>
          <w:szCs w:val="22"/>
          <w:lang w:val="sr-Latn-ME"/>
        </w:rPr>
        <w:t>sekukinumab</w:t>
      </w:r>
      <w:r w:rsidR="00E228A4" w:rsidRPr="005474B2">
        <w:rPr>
          <w:iCs/>
          <w:sz w:val="22"/>
          <w:szCs w:val="22"/>
          <w:lang w:val="sr-Latn-ME"/>
        </w:rPr>
        <w:t>om</w:t>
      </w:r>
      <w:r w:rsidRPr="005474B2">
        <w:rPr>
          <w:sz w:val="22"/>
          <w:szCs w:val="22"/>
          <w:lang w:val="sr-Latn-ME"/>
        </w:rPr>
        <w:t xml:space="preserve"> ima</w:t>
      </w:r>
      <w:r w:rsidR="000929AB" w:rsidRPr="005474B2">
        <w:rPr>
          <w:sz w:val="22"/>
          <w:szCs w:val="22"/>
          <w:lang w:val="sr-Latn-ME"/>
        </w:rPr>
        <w:t>la je</w:t>
      </w:r>
      <w:r w:rsidRPr="005474B2">
        <w:rPr>
          <w:sz w:val="22"/>
          <w:szCs w:val="22"/>
          <w:lang w:val="sr-Latn-ME"/>
        </w:rPr>
        <w:t xml:space="preserve"> za rezultat značajno poboljšanje u m</w:t>
      </w:r>
      <w:r w:rsidR="00E228A4" w:rsidRPr="005474B2">
        <w:rPr>
          <w:sz w:val="22"/>
          <w:szCs w:val="22"/>
          <w:lang w:val="sr-Latn-ME"/>
        </w:rPr>
        <w:t>j</w:t>
      </w:r>
      <w:r w:rsidRPr="005474B2">
        <w:rPr>
          <w:sz w:val="22"/>
          <w:szCs w:val="22"/>
          <w:lang w:val="sr-Latn-ME"/>
        </w:rPr>
        <w:t xml:space="preserve">erama aktivnosti bolesti u poređenju sa placebom u 16. i 24. </w:t>
      </w:r>
      <w:r w:rsidR="009A4880" w:rsidRPr="005474B2">
        <w:rPr>
          <w:sz w:val="22"/>
          <w:szCs w:val="22"/>
          <w:lang w:val="sr-Latn-ME"/>
        </w:rPr>
        <w:t>nedjelj</w:t>
      </w:r>
      <w:r w:rsidRPr="005474B2">
        <w:rPr>
          <w:sz w:val="22"/>
          <w:szCs w:val="22"/>
          <w:lang w:val="sr-Latn-ME"/>
        </w:rPr>
        <w:t>i (</w:t>
      </w:r>
      <w:r w:rsidR="009A4880" w:rsidRPr="005474B2">
        <w:rPr>
          <w:sz w:val="22"/>
          <w:szCs w:val="22"/>
          <w:lang w:val="sr-Latn-ME"/>
        </w:rPr>
        <w:t>vidjet</w:t>
      </w:r>
      <w:r w:rsidRPr="005474B2">
        <w:rPr>
          <w:sz w:val="22"/>
          <w:szCs w:val="22"/>
          <w:lang w:val="sr-Latn-ME"/>
        </w:rPr>
        <w:t xml:space="preserve">i Tabelu </w:t>
      </w:r>
      <w:r w:rsidR="006911D2" w:rsidRPr="005474B2">
        <w:rPr>
          <w:sz w:val="22"/>
          <w:szCs w:val="22"/>
          <w:lang w:val="sr-Latn-ME"/>
        </w:rPr>
        <w:t>9</w:t>
      </w:r>
      <w:r w:rsidRPr="005474B2">
        <w:rPr>
          <w:sz w:val="22"/>
          <w:szCs w:val="22"/>
          <w:lang w:val="sr-Latn-ME"/>
        </w:rPr>
        <w:t>).</w:t>
      </w:r>
    </w:p>
    <w:p w14:paraId="0D0A44F7" w14:textId="77777777" w:rsidR="007D7CE1" w:rsidRPr="005474B2" w:rsidRDefault="007D7CE1">
      <w:pPr>
        <w:jc w:val="both"/>
        <w:rPr>
          <w:sz w:val="22"/>
          <w:szCs w:val="22"/>
          <w:lang w:val="sr-Latn-ME"/>
        </w:rPr>
      </w:pPr>
    </w:p>
    <w:p w14:paraId="5E045FBE" w14:textId="453C7B70" w:rsidR="007D7CE1" w:rsidRPr="005474B2" w:rsidRDefault="007D7CE1">
      <w:pPr>
        <w:keepNext/>
        <w:keepLines/>
        <w:widowControl w:val="0"/>
        <w:jc w:val="both"/>
        <w:outlineLvl w:val="5"/>
        <w:rPr>
          <w:rFonts w:eastAsia="MS Gothic"/>
          <w:b/>
          <w:sz w:val="22"/>
          <w:szCs w:val="22"/>
          <w:lang w:val="sr-Latn-ME"/>
        </w:rPr>
      </w:pPr>
      <w:r w:rsidRPr="005474B2">
        <w:rPr>
          <w:rFonts w:eastAsia="MS Gothic"/>
          <w:b/>
          <w:sz w:val="22"/>
          <w:szCs w:val="22"/>
          <w:lang w:val="sr-Latn-ME"/>
        </w:rPr>
        <w:t>Tabela </w:t>
      </w:r>
      <w:r w:rsidR="006911D2" w:rsidRPr="005474B2">
        <w:rPr>
          <w:rFonts w:eastAsia="MS Gothic"/>
          <w:b/>
          <w:sz w:val="22"/>
          <w:szCs w:val="22"/>
          <w:lang w:val="sr-Latn-ME"/>
        </w:rPr>
        <w:t>9</w:t>
      </w:r>
      <w:r w:rsidRPr="005474B2">
        <w:rPr>
          <w:rFonts w:eastAsia="MS Gothic"/>
          <w:b/>
          <w:sz w:val="22"/>
          <w:szCs w:val="22"/>
          <w:lang w:val="sr-Latn-ME"/>
        </w:rPr>
        <w:tab/>
        <w:t xml:space="preserve">Klinički odgovor u PsA studiji 2 i PsA studiji 3 u 16. </w:t>
      </w:r>
      <w:r w:rsidR="009A4880" w:rsidRPr="005474B2">
        <w:rPr>
          <w:rFonts w:eastAsia="MS Gothic"/>
          <w:b/>
          <w:sz w:val="22"/>
          <w:szCs w:val="22"/>
          <w:lang w:val="sr-Latn-ME"/>
        </w:rPr>
        <w:t>nedjelj</w:t>
      </w:r>
      <w:r w:rsidRPr="005474B2">
        <w:rPr>
          <w:rFonts w:eastAsia="MS Gothic"/>
          <w:b/>
          <w:sz w:val="22"/>
          <w:szCs w:val="22"/>
          <w:lang w:val="sr-Latn-ME"/>
        </w:rPr>
        <w:t>i i u 24. </w:t>
      </w:r>
      <w:r w:rsidR="009A4880" w:rsidRPr="005474B2">
        <w:rPr>
          <w:rFonts w:eastAsia="MS Gothic"/>
          <w:b/>
          <w:sz w:val="22"/>
          <w:szCs w:val="22"/>
          <w:lang w:val="sr-Latn-ME"/>
        </w:rPr>
        <w:t>nedjelj</w:t>
      </w:r>
      <w:r w:rsidRPr="005474B2">
        <w:rPr>
          <w:rFonts w:eastAsia="MS Gothic"/>
          <w:b/>
          <w:sz w:val="22"/>
          <w:szCs w:val="22"/>
          <w:lang w:val="sr-Latn-ME"/>
        </w:rPr>
        <w:t>i</w:t>
      </w:r>
    </w:p>
    <w:p w14:paraId="68D9D5B6" w14:textId="77777777" w:rsidR="007D7CE1" w:rsidRPr="005474B2" w:rsidRDefault="007D7CE1">
      <w:pPr>
        <w:tabs>
          <w:tab w:val="left" w:pos="540"/>
          <w:tab w:val="left" w:pos="569"/>
        </w:tabs>
        <w:jc w:val="both"/>
        <w:rPr>
          <w:b/>
          <w:bCs/>
          <w:sz w:val="22"/>
          <w:szCs w:val="22"/>
          <w:lang w:val="sr-Latn-ME"/>
        </w:rPr>
      </w:pPr>
    </w:p>
    <w:tbl>
      <w:tblPr>
        <w:tblW w:w="9464"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088"/>
        <w:gridCol w:w="1086"/>
        <w:gridCol w:w="1302"/>
        <w:gridCol w:w="1301"/>
        <w:gridCol w:w="1078"/>
        <w:gridCol w:w="1302"/>
        <w:gridCol w:w="1307"/>
      </w:tblGrid>
      <w:tr w:rsidR="007D7CE1" w:rsidRPr="0009637B" w14:paraId="34162463" w14:textId="77777777" w:rsidTr="007D7CE1">
        <w:tc>
          <w:tcPr>
            <w:tcW w:w="2088" w:type="dxa"/>
            <w:tcBorders>
              <w:top w:val="single" w:sz="8" w:space="0" w:color="000000"/>
              <w:right w:val="single" w:sz="8" w:space="0" w:color="000000"/>
            </w:tcBorders>
            <w:shd w:val="clear" w:color="auto" w:fill="auto"/>
          </w:tcPr>
          <w:p w14:paraId="07E89138" w14:textId="77777777" w:rsidR="007D7CE1" w:rsidRPr="005474B2" w:rsidRDefault="007D7CE1">
            <w:pPr>
              <w:keepNext/>
              <w:keepLines/>
              <w:widowControl w:val="0"/>
              <w:jc w:val="both"/>
              <w:rPr>
                <w:rFonts w:eastAsia="MS Mincho"/>
                <w:b/>
                <w:bCs/>
                <w:sz w:val="22"/>
                <w:szCs w:val="22"/>
                <w:lang w:val="sr-Latn-ME"/>
              </w:rPr>
            </w:pPr>
          </w:p>
        </w:tc>
        <w:tc>
          <w:tcPr>
            <w:tcW w:w="3689" w:type="dxa"/>
            <w:gridSpan w:val="3"/>
            <w:tcBorders>
              <w:left w:val="single" w:sz="8" w:space="0" w:color="000000"/>
            </w:tcBorders>
            <w:shd w:val="clear" w:color="auto" w:fill="auto"/>
          </w:tcPr>
          <w:p w14:paraId="0017CC9E" w14:textId="77777777" w:rsidR="007D7CE1" w:rsidRPr="005474B2" w:rsidRDefault="007D7CE1" w:rsidP="005474B2">
            <w:pPr>
              <w:keepNext/>
              <w:keepLines/>
              <w:widowControl w:val="0"/>
              <w:tabs>
                <w:tab w:val="left" w:pos="284"/>
              </w:tabs>
              <w:jc w:val="both"/>
              <w:rPr>
                <w:b/>
                <w:bCs/>
                <w:sz w:val="22"/>
                <w:szCs w:val="22"/>
                <w:lang w:val="sr-Latn-ME"/>
              </w:rPr>
            </w:pPr>
            <w:r w:rsidRPr="005474B2">
              <w:rPr>
                <w:b/>
                <w:bCs/>
                <w:sz w:val="22"/>
                <w:szCs w:val="22"/>
                <w:lang w:val="sr-Latn-ME"/>
              </w:rPr>
              <w:t>PsA studija 2</w:t>
            </w:r>
          </w:p>
        </w:tc>
        <w:tc>
          <w:tcPr>
            <w:tcW w:w="3687" w:type="dxa"/>
            <w:gridSpan w:val="3"/>
          </w:tcPr>
          <w:p w14:paraId="2C117083" w14:textId="77777777" w:rsidR="007D7CE1" w:rsidRPr="005474B2" w:rsidRDefault="007D7CE1" w:rsidP="005474B2">
            <w:pPr>
              <w:keepNext/>
              <w:keepLines/>
              <w:widowControl w:val="0"/>
              <w:tabs>
                <w:tab w:val="left" w:pos="284"/>
              </w:tabs>
              <w:jc w:val="both"/>
              <w:rPr>
                <w:b/>
                <w:bCs/>
                <w:sz w:val="22"/>
                <w:szCs w:val="22"/>
                <w:lang w:val="sr-Latn-ME"/>
              </w:rPr>
            </w:pPr>
            <w:r w:rsidRPr="005474B2">
              <w:rPr>
                <w:b/>
                <w:bCs/>
                <w:sz w:val="22"/>
                <w:szCs w:val="22"/>
                <w:lang w:val="sr-Latn-ME"/>
              </w:rPr>
              <w:t>PsA studija 3</w:t>
            </w:r>
          </w:p>
        </w:tc>
      </w:tr>
      <w:tr w:rsidR="007D7CE1" w:rsidRPr="0009637B" w14:paraId="17772745" w14:textId="77777777" w:rsidTr="007D7CE1">
        <w:tc>
          <w:tcPr>
            <w:tcW w:w="2088" w:type="dxa"/>
            <w:tcBorders>
              <w:top w:val="single" w:sz="8" w:space="0" w:color="000000"/>
              <w:left w:val="single" w:sz="8" w:space="0" w:color="000000"/>
              <w:bottom w:val="single" w:sz="8" w:space="0" w:color="000000"/>
              <w:right w:val="single" w:sz="8" w:space="0" w:color="000000"/>
            </w:tcBorders>
            <w:shd w:val="clear" w:color="auto" w:fill="auto"/>
          </w:tcPr>
          <w:p w14:paraId="507EC66D" w14:textId="77777777" w:rsidR="007D7CE1" w:rsidRPr="005474B2" w:rsidRDefault="007D7CE1" w:rsidP="0009637B">
            <w:pPr>
              <w:keepNext/>
              <w:keepLines/>
              <w:widowControl w:val="0"/>
              <w:jc w:val="both"/>
              <w:rPr>
                <w:rFonts w:eastAsia="MS Mincho"/>
                <w:b/>
                <w:bCs/>
                <w:sz w:val="22"/>
                <w:szCs w:val="22"/>
                <w:lang w:val="sr-Latn-ME"/>
              </w:rPr>
            </w:pPr>
          </w:p>
        </w:tc>
        <w:tc>
          <w:tcPr>
            <w:tcW w:w="1086" w:type="dxa"/>
            <w:tcBorders>
              <w:top w:val="single" w:sz="8" w:space="0" w:color="000000"/>
              <w:left w:val="single" w:sz="8" w:space="0" w:color="000000"/>
              <w:bottom w:val="single" w:sz="8" w:space="0" w:color="000000"/>
            </w:tcBorders>
            <w:shd w:val="clear" w:color="auto" w:fill="auto"/>
          </w:tcPr>
          <w:p w14:paraId="2A8F22FC"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Placebo</w:t>
            </w:r>
          </w:p>
        </w:tc>
        <w:tc>
          <w:tcPr>
            <w:tcW w:w="1302" w:type="dxa"/>
            <w:tcBorders>
              <w:top w:val="single" w:sz="8" w:space="0" w:color="000000"/>
              <w:bottom w:val="single" w:sz="8" w:space="0" w:color="000000"/>
            </w:tcBorders>
            <w:shd w:val="clear" w:color="auto" w:fill="auto"/>
          </w:tcPr>
          <w:p w14:paraId="503DD9CA"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150 mg</w:t>
            </w:r>
            <w:r w:rsidRPr="005474B2">
              <w:rPr>
                <w:b/>
                <w:sz w:val="22"/>
                <w:szCs w:val="22"/>
                <w:vertAlign w:val="superscript"/>
                <w:lang w:val="sr-Latn-ME"/>
              </w:rPr>
              <w:t>1</w:t>
            </w:r>
          </w:p>
        </w:tc>
        <w:tc>
          <w:tcPr>
            <w:tcW w:w="1301" w:type="dxa"/>
            <w:tcBorders>
              <w:top w:val="single" w:sz="8" w:space="0" w:color="000000"/>
              <w:bottom w:val="single" w:sz="8" w:space="0" w:color="000000"/>
              <w:right w:val="single" w:sz="8" w:space="0" w:color="000000"/>
            </w:tcBorders>
            <w:shd w:val="clear" w:color="auto" w:fill="auto"/>
          </w:tcPr>
          <w:p w14:paraId="6FD8F5B8"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300 mg</w:t>
            </w:r>
            <w:r w:rsidRPr="005474B2">
              <w:rPr>
                <w:b/>
                <w:sz w:val="22"/>
                <w:szCs w:val="22"/>
                <w:vertAlign w:val="superscript"/>
                <w:lang w:val="sr-Latn-ME"/>
              </w:rPr>
              <w:t>1</w:t>
            </w:r>
          </w:p>
        </w:tc>
        <w:tc>
          <w:tcPr>
            <w:tcW w:w="1078" w:type="dxa"/>
            <w:tcBorders>
              <w:top w:val="single" w:sz="8" w:space="0" w:color="000000"/>
              <w:bottom w:val="single" w:sz="8" w:space="0" w:color="000000"/>
              <w:right w:val="nil"/>
            </w:tcBorders>
          </w:tcPr>
          <w:p w14:paraId="71577DCA"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Placebo</w:t>
            </w:r>
          </w:p>
        </w:tc>
        <w:tc>
          <w:tcPr>
            <w:tcW w:w="1302" w:type="dxa"/>
            <w:tcBorders>
              <w:top w:val="single" w:sz="8" w:space="0" w:color="000000"/>
              <w:left w:val="nil"/>
              <w:bottom w:val="single" w:sz="8" w:space="0" w:color="000000"/>
              <w:right w:val="nil"/>
            </w:tcBorders>
          </w:tcPr>
          <w:p w14:paraId="4481A897"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150 mg</w:t>
            </w:r>
            <w:r w:rsidRPr="005474B2">
              <w:rPr>
                <w:b/>
                <w:sz w:val="22"/>
                <w:szCs w:val="22"/>
                <w:vertAlign w:val="superscript"/>
                <w:lang w:val="sr-Latn-ME"/>
              </w:rPr>
              <w:t>1</w:t>
            </w:r>
          </w:p>
        </w:tc>
        <w:tc>
          <w:tcPr>
            <w:tcW w:w="1307" w:type="dxa"/>
            <w:tcBorders>
              <w:top w:val="single" w:sz="8" w:space="0" w:color="000000"/>
              <w:left w:val="nil"/>
              <w:bottom w:val="single" w:sz="8" w:space="0" w:color="000000"/>
              <w:right w:val="single" w:sz="8" w:space="0" w:color="000000"/>
            </w:tcBorders>
          </w:tcPr>
          <w:p w14:paraId="3D2D8C96"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300 mg</w:t>
            </w:r>
            <w:r w:rsidRPr="005474B2">
              <w:rPr>
                <w:b/>
                <w:sz w:val="22"/>
                <w:szCs w:val="22"/>
                <w:vertAlign w:val="superscript"/>
                <w:lang w:val="sr-Latn-ME"/>
              </w:rPr>
              <w:t>1</w:t>
            </w:r>
          </w:p>
        </w:tc>
      </w:tr>
      <w:tr w:rsidR="007D7CE1" w:rsidRPr="0009637B" w14:paraId="556C446B" w14:textId="77777777" w:rsidTr="007D7CE1">
        <w:trPr>
          <w:trHeight w:val="542"/>
        </w:trPr>
        <w:tc>
          <w:tcPr>
            <w:tcW w:w="2088" w:type="dxa"/>
            <w:tcBorders>
              <w:bottom w:val="single" w:sz="8" w:space="0" w:color="000000"/>
              <w:right w:val="single" w:sz="8" w:space="0" w:color="000000"/>
            </w:tcBorders>
            <w:shd w:val="clear" w:color="auto" w:fill="auto"/>
          </w:tcPr>
          <w:p w14:paraId="512A2E33"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Broj randomizovanih pacijenata</w:t>
            </w:r>
          </w:p>
        </w:tc>
        <w:tc>
          <w:tcPr>
            <w:tcW w:w="1086" w:type="dxa"/>
            <w:tcBorders>
              <w:left w:val="single" w:sz="8" w:space="0" w:color="000000"/>
              <w:bottom w:val="single" w:sz="8" w:space="0" w:color="000000"/>
            </w:tcBorders>
            <w:shd w:val="clear" w:color="auto" w:fill="auto"/>
          </w:tcPr>
          <w:p w14:paraId="5A3B33D7"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98</w:t>
            </w:r>
          </w:p>
        </w:tc>
        <w:tc>
          <w:tcPr>
            <w:tcW w:w="1302" w:type="dxa"/>
            <w:tcBorders>
              <w:bottom w:val="single" w:sz="8" w:space="0" w:color="000000"/>
            </w:tcBorders>
            <w:shd w:val="clear" w:color="auto" w:fill="auto"/>
          </w:tcPr>
          <w:p w14:paraId="2C40ACBA"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100</w:t>
            </w:r>
          </w:p>
        </w:tc>
        <w:tc>
          <w:tcPr>
            <w:tcW w:w="1301" w:type="dxa"/>
            <w:tcBorders>
              <w:top w:val="single" w:sz="8" w:space="0" w:color="000000"/>
              <w:bottom w:val="single" w:sz="8" w:space="0" w:color="000000"/>
              <w:right w:val="single" w:sz="8" w:space="0" w:color="auto"/>
            </w:tcBorders>
            <w:shd w:val="clear" w:color="auto" w:fill="auto"/>
          </w:tcPr>
          <w:p w14:paraId="482F2B72"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100</w:t>
            </w:r>
          </w:p>
        </w:tc>
        <w:tc>
          <w:tcPr>
            <w:tcW w:w="1078" w:type="dxa"/>
            <w:tcBorders>
              <w:left w:val="single" w:sz="8" w:space="0" w:color="auto"/>
              <w:bottom w:val="single" w:sz="8" w:space="0" w:color="000000"/>
              <w:right w:val="nil"/>
            </w:tcBorders>
          </w:tcPr>
          <w:p w14:paraId="54A28004"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332</w:t>
            </w:r>
          </w:p>
        </w:tc>
        <w:tc>
          <w:tcPr>
            <w:tcW w:w="1302" w:type="dxa"/>
            <w:tcBorders>
              <w:left w:val="nil"/>
              <w:bottom w:val="single" w:sz="8" w:space="0" w:color="000000"/>
              <w:right w:val="nil"/>
            </w:tcBorders>
          </w:tcPr>
          <w:p w14:paraId="7915FDDB"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220</w:t>
            </w:r>
          </w:p>
        </w:tc>
        <w:tc>
          <w:tcPr>
            <w:tcW w:w="1307" w:type="dxa"/>
            <w:tcBorders>
              <w:left w:val="nil"/>
              <w:bottom w:val="single" w:sz="8" w:space="0" w:color="000000"/>
            </w:tcBorders>
          </w:tcPr>
          <w:p w14:paraId="5BB8A3AE"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222</w:t>
            </w:r>
          </w:p>
        </w:tc>
      </w:tr>
      <w:tr w:rsidR="007D7CE1" w:rsidRPr="0009637B" w14:paraId="178BB468" w14:textId="77777777" w:rsidTr="007D7CE1">
        <w:trPr>
          <w:trHeight w:val="198"/>
        </w:trPr>
        <w:tc>
          <w:tcPr>
            <w:tcW w:w="2088" w:type="dxa"/>
            <w:tcBorders>
              <w:top w:val="single" w:sz="8" w:space="0" w:color="000000"/>
              <w:left w:val="single" w:sz="8" w:space="0" w:color="000000"/>
              <w:bottom w:val="nil"/>
              <w:right w:val="single" w:sz="8" w:space="0" w:color="000000"/>
            </w:tcBorders>
            <w:shd w:val="clear" w:color="auto" w:fill="auto"/>
          </w:tcPr>
          <w:p w14:paraId="3589A087"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ACR20 odgovor</w:t>
            </w:r>
          </w:p>
          <w:p w14:paraId="7BE024D8"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n (%)</w:t>
            </w:r>
          </w:p>
        </w:tc>
        <w:tc>
          <w:tcPr>
            <w:tcW w:w="1086" w:type="dxa"/>
            <w:tcBorders>
              <w:top w:val="single" w:sz="8" w:space="0" w:color="000000"/>
              <w:left w:val="single" w:sz="8" w:space="0" w:color="000000"/>
              <w:bottom w:val="nil"/>
            </w:tcBorders>
            <w:shd w:val="clear" w:color="auto" w:fill="auto"/>
          </w:tcPr>
          <w:p w14:paraId="60F26F73" w14:textId="77777777" w:rsidR="007D7CE1" w:rsidRPr="005474B2" w:rsidRDefault="007D7CE1">
            <w:pPr>
              <w:jc w:val="both"/>
              <w:rPr>
                <w:rFonts w:eastAsia="MS Mincho"/>
                <w:sz w:val="22"/>
                <w:szCs w:val="22"/>
                <w:lang w:val="sr-Latn-ME"/>
              </w:rPr>
            </w:pPr>
          </w:p>
        </w:tc>
        <w:tc>
          <w:tcPr>
            <w:tcW w:w="1302" w:type="dxa"/>
            <w:tcBorders>
              <w:top w:val="single" w:sz="8" w:space="0" w:color="000000"/>
              <w:bottom w:val="nil"/>
            </w:tcBorders>
            <w:shd w:val="clear" w:color="auto" w:fill="auto"/>
          </w:tcPr>
          <w:p w14:paraId="4FAA67B7" w14:textId="77777777" w:rsidR="007D7CE1" w:rsidRPr="005474B2" w:rsidRDefault="007D7CE1">
            <w:pPr>
              <w:jc w:val="both"/>
              <w:rPr>
                <w:rFonts w:eastAsia="MS Mincho"/>
                <w:sz w:val="22"/>
                <w:szCs w:val="22"/>
                <w:lang w:val="sr-Latn-ME"/>
              </w:rPr>
            </w:pPr>
          </w:p>
        </w:tc>
        <w:tc>
          <w:tcPr>
            <w:tcW w:w="1301" w:type="dxa"/>
            <w:tcBorders>
              <w:top w:val="single" w:sz="8" w:space="0" w:color="000000"/>
              <w:bottom w:val="nil"/>
              <w:right w:val="single" w:sz="8" w:space="0" w:color="000000"/>
            </w:tcBorders>
            <w:shd w:val="clear" w:color="auto" w:fill="auto"/>
          </w:tcPr>
          <w:p w14:paraId="5759C89F" w14:textId="77777777" w:rsidR="007D7CE1" w:rsidRPr="005474B2" w:rsidRDefault="007D7CE1">
            <w:pPr>
              <w:jc w:val="both"/>
              <w:rPr>
                <w:rFonts w:eastAsia="MS Mincho"/>
                <w:sz w:val="22"/>
                <w:szCs w:val="22"/>
                <w:lang w:val="sr-Latn-ME"/>
              </w:rPr>
            </w:pPr>
          </w:p>
        </w:tc>
        <w:tc>
          <w:tcPr>
            <w:tcW w:w="1078" w:type="dxa"/>
            <w:tcBorders>
              <w:top w:val="single" w:sz="8" w:space="0" w:color="000000"/>
              <w:bottom w:val="nil"/>
              <w:right w:val="nil"/>
            </w:tcBorders>
          </w:tcPr>
          <w:p w14:paraId="2A72603E" w14:textId="77777777" w:rsidR="007D7CE1" w:rsidRPr="005474B2" w:rsidRDefault="007D7CE1">
            <w:pPr>
              <w:jc w:val="both"/>
              <w:rPr>
                <w:rFonts w:eastAsia="MS Mincho"/>
                <w:sz w:val="22"/>
                <w:szCs w:val="22"/>
                <w:lang w:val="sr-Latn-ME"/>
              </w:rPr>
            </w:pPr>
          </w:p>
        </w:tc>
        <w:tc>
          <w:tcPr>
            <w:tcW w:w="1302" w:type="dxa"/>
            <w:tcBorders>
              <w:top w:val="single" w:sz="8" w:space="0" w:color="000000"/>
              <w:left w:val="nil"/>
              <w:bottom w:val="nil"/>
              <w:right w:val="nil"/>
            </w:tcBorders>
          </w:tcPr>
          <w:p w14:paraId="00E2F442" w14:textId="77777777" w:rsidR="007D7CE1" w:rsidRPr="005474B2" w:rsidRDefault="007D7CE1">
            <w:pPr>
              <w:jc w:val="both"/>
              <w:rPr>
                <w:rFonts w:eastAsia="MS Mincho"/>
                <w:sz w:val="22"/>
                <w:szCs w:val="22"/>
                <w:lang w:val="sr-Latn-ME"/>
              </w:rPr>
            </w:pPr>
          </w:p>
        </w:tc>
        <w:tc>
          <w:tcPr>
            <w:tcW w:w="1307" w:type="dxa"/>
            <w:tcBorders>
              <w:top w:val="single" w:sz="8" w:space="0" w:color="000000"/>
              <w:left w:val="nil"/>
              <w:bottom w:val="nil"/>
              <w:right w:val="single" w:sz="8" w:space="0" w:color="000000"/>
            </w:tcBorders>
          </w:tcPr>
          <w:p w14:paraId="1DC13144" w14:textId="77777777" w:rsidR="007D7CE1" w:rsidRPr="005474B2" w:rsidRDefault="007D7CE1">
            <w:pPr>
              <w:jc w:val="both"/>
              <w:rPr>
                <w:rFonts w:eastAsia="MS Mincho"/>
                <w:sz w:val="22"/>
                <w:szCs w:val="22"/>
                <w:lang w:val="sr-Latn-ME"/>
              </w:rPr>
            </w:pPr>
          </w:p>
        </w:tc>
      </w:tr>
      <w:tr w:rsidR="007D7CE1" w:rsidRPr="0009637B" w14:paraId="448568C4" w14:textId="77777777" w:rsidTr="007D7CE1">
        <w:trPr>
          <w:trHeight w:val="198"/>
        </w:trPr>
        <w:tc>
          <w:tcPr>
            <w:tcW w:w="2088" w:type="dxa"/>
            <w:tcBorders>
              <w:top w:val="nil"/>
              <w:left w:val="single" w:sz="8" w:space="0" w:color="000000"/>
              <w:bottom w:val="nil"/>
              <w:right w:val="single" w:sz="8" w:space="0" w:color="000000"/>
            </w:tcBorders>
            <w:shd w:val="clear" w:color="auto" w:fill="auto"/>
          </w:tcPr>
          <w:p w14:paraId="6594A952" w14:textId="77777777" w:rsidR="007D7CE1" w:rsidRPr="005474B2" w:rsidDel="007237E9"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16.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top w:val="nil"/>
              <w:left w:val="single" w:sz="8" w:space="0" w:color="000000"/>
              <w:bottom w:val="nil"/>
            </w:tcBorders>
            <w:shd w:val="clear" w:color="auto" w:fill="auto"/>
          </w:tcPr>
          <w:p w14:paraId="1330A571"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18</w:t>
            </w:r>
          </w:p>
          <w:p w14:paraId="4C479865" w14:textId="77777777" w:rsidR="007D7CE1" w:rsidRPr="005474B2" w:rsidRDefault="007D7CE1">
            <w:pPr>
              <w:jc w:val="both"/>
              <w:rPr>
                <w:rFonts w:eastAsia="MS Mincho"/>
                <w:sz w:val="22"/>
                <w:szCs w:val="22"/>
                <w:lang w:val="sr-Latn-ME"/>
              </w:rPr>
            </w:pPr>
            <w:r w:rsidRPr="005474B2">
              <w:rPr>
                <w:rFonts w:eastAsia="MS Mincho"/>
                <w:sz w:val="22"/>
                <w:szCs w:val="22"/>
                <w:lang w:val="sr-Latn-ME"/>
              </w:rPr>
              <w:t>(18,4%)</w:t>
            </w:r>
          </w:p>
        </w:tc>
        <w:tc>
          <w:tcPr>
            <w:tcW w:w="1302" w:type="dxa"/>
            <w:tcBorders>
              <w:top w:val="nil"/>
              <w:bottom w:val="nil"/>
            </w:tcBorders>
            <w:shd w:val="clear" w:color="auto" w:fill="auto"/>
          </w:tcPr>
          <w:p w14:paraId="71AE4B4E" w14:textId="77777777" w:rsidR="007D7CE1" w:rsidRPr="005474B2" w:rsidRDefault="007D7CE1">
            <w:pPr>
              <w:jc w:val="both"/>
              <w:rPr>
                <w:rFonts w:eastAsia="MS Mincho"/>
                <w:sz w:val="22"/>
                <w:szCs w:val="22"/>
                <w:lang w:val="sr-Latn-ME"/>
              </w:rPr>
            </w:pPr>
            <w:r w:rsidRPr="005474B2">
              <w:rPr>
                <w:rFonts w:eastAsia="MS Mincho"/>
                <w:sz w:val="22"/>
                <w:szCs w:val="22"/>
                <w:lang w:val="sr-Latn-ME"/>
              </w:rPr>
              <w:t>60</w:t>
            </w:r>
          </w:p>
          <w:p w14:paraId="468BEFC3" w14:textId="77777777" w:rsidR="007D7CE1" w:rsidRPr="005474B2" w:rsidRDefault="007D7CE1">
            <w:pPr>
              <w:jc w:val="both"/>
              <w:rPr>
                <w:rFonts w:eastAsia="MS Mincho"/>
                <w:sz w:val="22"/>
                <w:szCs w:val="22"/>
                <w:lang w:val="sr-Latn-ME"/>
              </w:rPr>
            </w:pPr>
            <w:r w:rsidRPr="005474B2">
              <w:rPr>
                <w:rFonts w:eastAsia="MS Mincho"/>
                <w:sz w:val="22"/>
                <w:szCs w:val="22"/>
                <w:lang w:val="sr-Latn-ME"/>
              </w:rPr>
              <w:t>(60,0%***)</w:t>
            </w:r>
          </w:p>
        </w:tc>
        <w:tc>
          <w:tcPr>
            <w:tcW w:w="1301" w:type="dxa"/>
            <w:tcBorders>
              <w:top w:val="nil"/>
              <w:bottom w:val="nil"/>
              <w:right w:val="single" w:sz="8" w:space="0" w:color="000000"/>
            </w:tcBorders>
            <w:shd w:val="clear" w:color="auto" w:fill="auto"/>
          </w:tcPr>
          <w:p w14:paraId="0179F292" w14:textId="77777777" w:rsidR="007D7CE1" w:rsidRPr="005474B2" w:rsidRDefault="007D7CE1">
            <w:pPr>
              <w:jc w:val="both"/>
              <w:rPr>
                <w:rFonts w:eastAsia="MS Mincho"/>
                <w:sz w:val="22"/>
                <w:szCs w:val="22"/>
                <w:lang w:val="sr-Latn-ME"/>
              </w:rPr>
            </w:pPr>
            <w:r w:rsidRPr="005474B2">
              <w:rPr>
                <w:rFonts w:eastAsia="MS Mincho"/>
                <w:sz w:val="22"/>
                <w:szCs w:val="22"/>
                <w:lang w:val="sr-Latn-ME"/>
              </w:rPr>
              <w:t>57</w:t>
            </w:r>
          </w:p>
          <w:p w14:paraId="3E5B7FA4" w14:textId="77777777" w:rsidR="007D7CE1" w:rsidRPr="005474B2" w:rsidRDefault="007D7CE1">
            <w:pPr>
              <w:jc w:val="both"/>
              <w:rPr>
                <w:rFonts w:eastAsia="MS Mincho"/>
                <w:sz w:val="22"/>
                <w:szCs w:val="22"/>
                <w:lang w:val="sr-Latn-ME"/>
              </w:rPr>
            </w:pPr>
            <w:r w:rsidRPr="005474B2">
              <w:rPr>
                <w:rFonts w:eastAsia="MS Mincho"/>
                <w:sz w:val="22"/>
                <w:szCs w:val="22"/>
                <w:lang w:val="sr-Latn-ME"/>
              </w:rPr>
              <w:t>(57,0%***)</w:t>
            </w:r>
          </w:p>
        </w:tc>
        <w:tc>
          <w:tcPr>
            <w:tcW w:w="1078" w:type="dxa"/>
            <w:tcBorders>
              <w:top w:val="nil"/>
              <w:bottom w:val="nil"/>
              <w:right w:val="nil"/>
            </w:tcBorders>
          </w:tcPr>
          <w:p w14:paraId="573C7DAF" w14:textId="77777777" w:rsidR="007D7CE1" w:rsidRPr="005474B2" w:rsidRDefault="007D7CE1">
            <w:pPr>
              <w:jc w:val="both"/>
              <w:rPr>
                <w:rFonts w:eastAsia="MS Mincho"/>
                <w:sz w:val="22"/>
                <w:szCs w:val="22"/>
                <w:lang w:val="sr-Latn-ME"/>
              </w:rPr>
            </w:pPr>
            <w:r w:rsidRPr="005474B2">
              <w:rPr>
                <w:rFonts w:eastAsia="MS Mincho"/>
                <w:sz w:val="22"/>
                <w:szCs w:val="22"/>
                <w:lang w:val="sr-Latn-ME"/>
              </w:rPr>
              <w:t>91</w:t>
            </w:r>
            <w:r w:rsidRPr="005474B2">
              <w:rPr>
                <w:rFonts w:eastAsia="MS Mincho"/>
                <w:sz w:val="22"/>
                <w:szCs w:val="22"/>
                <w:vertAlign w:val="superscript"/>
                <w:lang w:val="sr-Latn-ME"/>
              </w:rPr>
              <w:t>◊</w:t>
            </w:r>
          </w:p>
          <w:p w14:paraId="46AE9657" w14:textId="77777777" w:rsidR="007D7CE1" w:rsidRPr="005474B2" w:rsidRDefault="007D7CE1">
            <w:pPr>
              <w:jc w:val="both"/>
              <w:rPr>
                <w:rFonts w:eastAsia="MS Mincho"/>
                <w:sz w:val="22"/>
                <w:szCs w:val="22"/>
                <w:lang w:val="sr-Latn-ME"/>
              </w:rPr>
            </w:pPr>
            <w:r w:rsidRPr="005474B2">
              <w:rPr>
                <w:rFonts w:eastAsia="MS Mincho"/>
                <w:sz w:val="22"/>
                <w:szCs w:val="22"/>
                <w:lang w:val="sr-Latn-ME"/>
              </w:rPr>
              <w:t>(27,4%)</w:t>
            </w:r>
          </w:p>
        </w:tc>
        <w:tc>
          <w:tcPr>
            <w:tcW w:w="1302" w:type="dxa"/>
            <w:tcBorders>
              <w:top w:val="nil"/>
              <w:left w:val="nil"/>
              <w:bottom w:val="nil"/>
              <w:right w:val="nil"/>
            </w:tcBorders>
          </w:tcPr>
          <w:p w14:paraId="32CA536F" w14:textId="77777777" w:rsidR="007D7CE1" w:rsidRPr="005474B2" w:rsidRDefault="007D7CE1">
            <w:pPr>
              <w:jc w:val="both"/>
              <w:rPr>
                <w:rFonts w:eastAsia="MS Mincho"/>
                <w:sz w:val="22"/>
                <w:szCs w:val="22"/>
                <w:lang w:val="sr-Latn-ME"/>
              </w:rPr>
            </w:pPr>
            <w:r w:rsidRPr="005474B2">
              <w:rPr>
                <w:rFonts w:eastAsia="MS Mincho"/>
                <w:sz w:val="22"/>
                <w:szCs w:val="22"/>
                <w:lang w:val="sr-Latn-ME"/>
              </w:rPr>
              <w:t>122</w:t>
            </w:r>
            <w:r w:rsidRPr="005474B2">
              <w:rPr>
                <w:rFonts w:eastAsia="MS Mincho"/>
                <w:sz w:val="22"/>
                <w:szCs w:val="22"/>
                <w:vertAlign w:val="superscript"/>
                <w:lang w:val="sr-Latn-ME"/>
              </w:rPr>
              <w:t>◊</w:t>
            </w:r>
          </w:p>
          <w:p w14:paraId="16EF9C46" w14:textId="77777777" w:rsidR="007D7CE1" w:rsidRPr="005474B2" w:rsidRDefault="007D7CE1">
            <w:pPr>
              <w:jc w:val="both"/>
              <w:rPr>
                <w:rFonts w:eastAsia="MS Mincho"/>
                <w:sz w:val="22"/>
                <w:szCs w:val="22"/>
                <w:lang w:val="sr-Latn-ME"/>
              </w:rPr>
            </w:pPr>
            <w:r w:rsidRPr="005474B2">
              <w:rPr>
                <w:rFonts w:eastAsia="MS Mincho"/>
                <w:sz w:val="22"/>
                <w:szCs w:val="22"/>
                <w:lang w:val="sr-Latn-ME"/>
              </w:rPr>
              <w:t>(55,5%***)</w:t>
            </w:r>
          </w:p>
        </w:tc>
        <w:tc>
          <w:tcPr>
            <w:tcW w:w="1307" w:type="dxa"/>
            <w:tcBorders>
              <w:top w:val="nil"/>
              <w:left w:val="nil"/>
              <w:bottom w:val="nil"/>
              <w:right w:val="single" w:sz="8" w:space="0" w:color="000000"/>
            </w:tcBorders>
          </w:tcPr>
          <w:p w14:paraId="014ADFD5" w14:textId="77777777" w:rsidR="007D7CE1" w:rsidRPr="005474B2" w:rsidRDefault="007D7CE1">
            <w:pPr>
              <w:jc w:val="both"/>
              <w:rPr>
                <w:rFonts w:eastAsia="MS Mincho"/>
                <w:sz w:val="22"/>
                <w:szCs w:val="22"/>
                <w:vertAlign w:val="superscript"/>
                <w:lang w:val="sr-Latn-ME"/>
              </w:rPr>
            </w:pPr>
            <w:r w:rsidRPr="005474B2">
              <w:rPr>
                <w:rFonts w:eastAsia="MS Mincho"/>
                <w:sz w:val="22"/>
                <w:szCs w:val="22"/>
                <w:lang w:val="sr-Latn-ME"/>
              </w:rPr>
              <w:t>139</w:t>
            </w:r>
            <w:r w:rsidRPr="005474B2">
              <w:rPr>
                <w:rFonts w:eastAsia="MS Mincho"/>
                <w:sz w:val="22"/>
                <w:szCs w:val="22"/>
                <w:vertAlign w:val="superscript"/>
                <w:lang w:val="sr-Latn-ME"/>
              </w:rPr>
              <w:t>◊</w:t>
            </w:r>
          </w:p>
          <w:p w14:paraId="30799CE9" w14:textId="77777777" w:rsidR="007D7CE1" w:rsidRPr="005474B2" w:rsidRDefault="007D7CE1">
            <w:pPr>
              <w:jc w:val="both"/>
              <w:rPr>
                <w:rFonts w:eastAsia="MS Mincho"/>
                <w:sz w:val="22"/>
                <w:szCs w:val="22"/>
                <w:lang w:val="sr-Latn-ME"/>
              </w:rPr>
            </w:pPr>
            <w:r w:rsidRPr="005474B2">
              <w:rPr>
                <w:rFonts w:eastAsia="MS Mincho"/>
                <w:sz w:val="22"/>
                <w:szCs w:val="22"/>
                <w:lang w:val="sr-Latn-ME"/>
              </w:rPr>
              <w:t>(62,6%***)</w:t>
            </w:r>
          </w:p>
        </w:tc>
      </w:tr>
      <w:tr w:rsidR="007D7CE1" w:rsidRPr="0009637B" w14:paraId="2A9B50BA" w14:textId="77777777" w:rsidTr="007D7CE1">
        <w:trPr>
          <w:trHeight w:val="198"/>
        </w:trPr>
        <w:tc>
          <w:tcPr>
            <w:tcW w:w="2088" w:type="dxa"/>
            <w:tcBorders>
              <w:top w:val="nil"/>
              <w:left w:val="single" w:sz="8" w:space="0" w:color="000000"/>
              <w:bottom w:val="single" w:sz="4" w:space="0" w:color="auto"/>
              <w:right w:val="single" w:sz="8" w:space="0" w:color="000000"/>
            </w:tcBorders>
            <w:shd w:val="clear" w:color="auto" w:fill="auto"/>
          </w:tcPr>
          <w:p w14:paraId="4D110F8A"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24.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top w:val="nil"/>
              <w:left w:val="single" w:sz="8" w:space="0" w:color="000000"/>
              <w:bottom w:val="single" w:sz="4" w:space="0" w:color="auto"/>
            </w:tcBorders>
            <w:shd w:val="clear" w:color="auto" w:fill="auto"/>
          </w:tcPr>
          <w:p w14:paraId="228E0BAF"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15</w:t>
            </w:r>
            <w:r w:rsidRPr="005474B2">
              <w:rPr>
                <w:rFonts w:eastAsia="MS Mincho"/>
                <w:sz w:val="22"/>
                <w:szCs w:val="22"/>
                <w:vertAlign w:val="superscript"/>
                <w:lang w:val="sr-Latn-ME"/>
              </w:rPr>
              <w:t>◊</w:t>
            </w:r>
          </w:p>
          <w:p w14:paraId="3E62F74A"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(15,3%)</w:t>
            </w:r>
          </w:p>
        </w:tc>
        <w:tc>
          <w:tcPr>
            <w:tcW w:w="1302" w:type="dxa"/>
            <w:tcBorders>
              <w:top w:val="nil"/>
              <w:bottom w:val="single" w:sz="4" w:space="0" w:color="auto"/>
            </w:tcBorders>
            <w:shd w:val="clear" w:color="auto" w:fill="auto"/>
          </w:tcPr>
          <w:p w14:paraId="75B5ACFE" w14:textId="77777777" w:rsidR="007D7CE1" w:rsidRPr="005474B2" w:rsidRDefault="007D7CE1">
            <w:pPr>
              <w:jc w:val="both"/>
              <w:rPr>
                <w:rFonts w:eastAsia="MS Mincho"/>
                <w:sz w:val="22"/>
                <w:szCs w:val="22"/>
                <w:lang w:val="sr-Latn-ME"/>
              </w:rPr>
            </w:pPr>
            <w:r w:rsidRPr="005474B2">
              <w:rPr>
                <w:rFonts w:eastAsia="MS Mincho"/>
                <w:sz w:val="22"/>
                <w:szCs w:val="22"/>
                <w:lang w:val="sr-Latn-ME"/>
              </w:rPr>
              <w:t>51</w:t>
            </w:r>
            <w:r w:rsidRPr="005474B2">
              <w:rPr>
                <w:rFonts w:eastAsia="MS Mincho"/>
                <w:sz w:val="22"/>
                <w:szCs w:val="22"/>
                <w:vertAlign w:val="superscript"/>
                <w:lang w:val="sr-Latn-ME"/>
              </w:rPr>
              <w:t>◊</w:t>
            </w:r>
          </w:p>
          <w:p w14:paraId="55BA87AE"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(51,0%***)</w:t>
            </w:r>
          </w:p>
        </w:tc>
        <w:tc>
          <w:tcPr>
            <w:tcW w:w="1301" w:type="dxa"/>
            <w:tcBorders>
              <w:top w:val="nil"/>
              <w:bottom w:val="single" w:sz="4" w:space="0" w:color="auto"/>
              <w:right w:val="single" w:sz="8" w:space="0" w:color="000000"/>
            </w:tcBorders>
            <w:shd w:val="clear" w:color="auto" w:fill="auto"/>
          </w:tcPr>
          <w:p w14:paraId="6FF3FE57" w14:textId="77777777" w:rsidR="007D7CE1" w:rsidRPr="005474B2" w:rsidRDefault="007D7CE1">
            <w:pPr>
              <w:jc w:val="both"/>
              <w:rPr>
                <w:rFonts w:eastAsia="MS Mincho"/>
                <w:sz w:val="22"/>
                <w:szCs w:val="22"/>
                <w:lang w:val="sr-Latn-ME"/>
              </w:rPr>
            </w:pPr>
            <w:r w:rsidRPr="005474B2">
              <w:rPr>
                <w:rFonts w:eastAsia="MS Mincho"/>
                <w:sz w:val="22"/>
                <w:szCs w:val="22"/>
                <w:lang w:val="sr-Latn-ME"/>
              </w:rPr>
              <w:t>54</w:t>
            </w:r>
            <w:r w:rsidRPr="005474B2">
              <w:rPr>
                <w:rFonts w:eastAsia="MS Mincho"/>
                <w:sz w:val="22"/>
                <w:szCs w:val="22"/>
                <w:vertAlign w:val="superscript"/>
                <w:lang w:val="sr-Latn-ME"/>
              </w:rPr>
              <w:t>◊</w:t>
            </w:r>
          </w:p>
          <w:p w14:paraId="7E715187"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(54,0%***)</w:t>
            </w:r>
          </w:p>
        </w:tc>
        <w:tc>
          <w:tcPr>
            <w:tcW w:w="1078" w:type="dxa"/>
            <w:tcBorders>
              <w:top w:val="nil"/>
              <w:bottom w:val="single" w:sz="4" w:space="0" w:color="auto"/>
              <w:right w:val="nil"/>
            </w:tcBorders>
          </w:tcPr>
          <w:p w14:paraId="5C51A70C" w14:textId="77777777" w:rsidR="007D7CE1" w:rsidRPr="005474B2" w:rsidRDefault="007D7CE1">
            <w:pPr>
              <w:jc w:val="both"/>
              <w:rPr>
                <w:rFonts w:eastAsia="MS Mincho"/>
                <w:sz w:val="22"/>
                <w:szCs w:val="22"/>
                <w:lang w:val="sr-Latn-ME"/>
              </w:rPr>
            </w:pPr>
            <w:r w:rsidRPr="005474B2">
              <w:rPr>
                <w:rFonts w:eastAsia="MS Mincho"/>
                <w:sz w:val="22"/>
                <w:szCs w:val="22"/>
                <w:lang w:val="sr-Latn-ME"/>
              </w:rPr>
              <w:t>78</w:t>
            </w:r>
          </w:p>
          <w:p w14:paraId="43824CB4" w14:textId="77777777" w:rsidR="007D7CE1" w:rsidRPr="005474B2" w:rsidRDefault="007D7CE1">
            <w:pPr>
              <w:jc w:val="both"/>
              <w:rPr>
                <w:rFonts w:eastAsia="MS Mincho"/>
                <w:sz w:val="22"/>
                <w:szCs w:val="22"/>
                <w:lang w:val="sr-Latn-ME"/>
              </w:rPr>
            </w:pPr>
            <w:r w:rsidRPr="005474B2">
              <w:rPr>
                <w:rFonts w:eastAsia="MS Mincho"/>
                <w:sz w:val="22"/>
                <w:szCs w:val="22"/>
                <w:lang w:val="sr-Latn-ME"/>
              </w:rPr>
              <w:t>(23,5%)</w:t>
            </w:r>
          </w:p>
        </w:tc>
        <w:tc>
          <w:tcPr>
            <w:tcW w:w="1302" w:type="dxa"/>
            <w:tcBorders>
              <w:top w:val="nil"/>
              <w:left w:val="nil"/>
              <w:bottom w:val="single" w:sz="4" w:space="0" w:color="auto"/>
              <w:right w:val="nil"/>
            </w:tcBorders>
          </w:tcPr>
          <w:p w14:paraId="78C56AF5" w14:textId="77777777" w:rsidR="007D7CE1" w:rsidRPr="005474B2" w:rsidRDefault="007D7CE1">
            <w:pPr>
              <w:jc w:val="both"/>
              <w:rPr>
                <w:rFonts w:eastAsia="MS Mincho"/>
                <w:sz w:val="22"/>
                <w:szCs w:val="22"/>
                <w:lang w:val="sr-Latn-ME"/>
              </w:rPr>
            </w:pPr>
            <w:r w:rsidRPr="005474B2">
              <w:rPr>
                <w:rFonts w:eastAsia="MS Mincho"/>
                <w:sz w:val="22"/>
                <w:szCs w:val="22"/>
                <w:lang w:val="sr-Latn-ME"/>
              </w:rPr>
              <w:t>117</w:t>
            </w:r>
          </w:p>
          <w:p w14:paraId="48A5237A" w14:textId="77777777" w:rsidR="007D7CE1" w:rsidRPr="005474B2" w:rsidRDefault="007D7CE1">
            <w:pPr>
              <w:jc w:val="both"/>
              <w:rPr>
                <w:rFonts w:eastAsia="MS Mincho"/>
                <w:sz w:val="22"/>
                <w:szCs w:val="22"/>
                <w:lang w:val="sr-Latn-ME"/>
              </w:rPr>
            </w:pPr>
            <w:r w:rsidRPr="005474B2">
              <w:rPr>
                <w:rFonts w:eastAsia="MS Mincho"/>
                <w:sz w:val="22"/>
                <w:szCs w:val="22"/>
                <w:lang w:val="sr-Latn-ME"/>
              </w:rPr>
              <w:t>(53,2%***)</w:t>
            </w:r>
          </w:p>
        </w:tc>
        <w:tc>
          <w:tcPr>
            <w:tcW w:w="1307" w:type="dxa"/>
            <w:tcBorders>
              <w:top w:val="nil"/>
              <w:left w:val="nil"/>
              <w:bottom w:val="single" w:sz="4" w:space="0" w:color="auto"/>
              <w:right w:val="single" w:sz="8" w:space="0" w:color="000000"/>
            </w:tcBorders>
          </w:tcPr>
          <w:p w14:paraId="024EDD82" w14:textId="77777777" w:rsidR="007D7CE1" w:rsidRPr="005474B2" w:rsidRDefault="007D7CE1">
            <w:pPr>
              <w:jc w:val="both"/>
              <w:rPr>
                <w:rFonts w:eastAsia="MS Mincho"/>
                <w:sz w:val="22"/>
                <w:szCs w:val="22"/>
                <w:lang w:val="sr-Latn-ME"/>
              </w:rPr>
            </w:pPr>
            <w:r w:rsidRPr="005474B2">
              <w:rPr>
                <w:rFonts w:eastAsia="MS Mincho"/>
                <w:sz w:val="22"/>
                <w:szCs w:val="22"/>
                <w:lang w:val="sr-Latn-ME"/>
              </w:rPr>
              <w:t>141</w:t>
            </w:r>
          </w:p>
          <w:p w14:paraId="26948411" w14:textId="77777777" w:rsidR="007D7CE1" w:rsidRPr="005474B2" w:rsidRDefault="007D7CE1">
            <w:pPr>
              <w:jc w:val="both"/>
              <w:rPr>
                <w:rFonts w:eastAsia="MS Mincho"/>
                <w:sz w:val="22"/>
                <w:szCs w:val="22"/>
                <w:lang w:val="sr-Latn-ME"/>
              </w:rPr>
            </w:pPr>
            <w:r w:rsidRPr="005474B2">
              <w:rPr>
                <w:rFonts w:eastAsia="MS Mincho"/>
                <w:sz w:val="22"/>
                <w:szCs w:val="22"/>
                <w:lang w:val="sr-Latn-ME"/>
              </w:rPr>
              <w:t>(63,5%***)</w:t>
            </w:r>
          </w:p>
        </w:tc>
      </w:tr>
      <w:tr w:rsidR="007D7CE1" w:rsidRPr="0009637B" w14:paraId="5788319C" w14:textId="77777777" w:rsidTr="007D7CE1">
        <w:trPr>
          <w:trHeight w:val="194"/>
        </w:trPr>
        <w:tc>
          <w:tcPr>
            <w:tcW w:w="2088" w:type="dxa"/>
            <w:tcBorders>
              <w:top w:val="single" w:sz="4" w:space="0" w:color="auto"/>
              <w:right w:val="single" w:sz="8" w:space="0" w:color="000000"/>
            </w:tcBorders>
            <w:shd w:val="clear" w:color="auto" w:fill="auto"/>
          </w:tcPr>
          <w:p w14:paraId="2374C42B"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ACR50 odgovor</w:t>
            </w:r>
          </w:p>
          <w:p w14:paraId="51965BDE"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n (%)</w:t>
            </w:r>
          </w:p>
        </w:tc>
        <w:tc>
          <w:tcPr>
            <w:tcW w:w="1086" w:type="dxa"/>
            <w:tcBorders>
              <w:top w:val="single" w:sz="4" w:space="0" w:color="auto"/>
              <w:left w:val="single" w:sz="8" w:space="0" w:color="000000"/>
            </w:tcBorders>
            <w:shd w:val="clear" w:color="auto" w:fill="auto"/>
          </w:tcPr>
          <w:p w14:paraId="104F40F9" w14:textId="77777777" w:rsidR="007D7CE1" w:rsidRPr="005474B2" w:rsidRDefault="007D7CE1">
            <w:pPr>
              <w:jc w:val="both"/>
              <w:rPr>
                <w:rFonts w:eastAsia="MS Mincho"/>
                <w:sz w:val="22"/>
                <w:szCs w:val="22"/>
                <w:lang w:val="sr-Latn-ME"/>
              </w:rPr>
            </w:pPr>
          </w:p>
        </w:tc>
        <w:tc>
          <w:tcPr>
            <w:tcW w:w="1302" w:type="dxa"/>
            <w:tcBorders>
              <w:top w:val="single" w:sz="4" w:space="0" w:color="auto"/>
            </w:tcBorders>
            <w:shd w:val="clear" w:color="auto" w:fill="auto"/>
          </w:tcPr>
          <w:p w14:paraId="4B7C4475" w14:textId="77777777" w:rsidR="007D7CE1" w:rsidRPr="005474B2" w:rsidRDefault="007D7CE1">
            <w:pPr>
              <w:jc w:val="both"/>
              <w:rPr>
                <w:rFonts w:eastAsia="MS Mincho"/>
                <w:sz w:val="22"/>
                <w:szCs w:val="22"/>
                <w:lang w:val="sr-Latn-ME"/>
              </w:rPr>
            </w:pPr>
          </w:p>
        </w:tc>
        <w:tc>
          <w:tcPr>
            <w:tcW w:w="1301" w:type="dxa"/>
            <w:tcBorders>
              <w:top w:val="single" w:sz="4" w:space="0" w:color="auto"/>
              <w:right w:val="single" w:sz="8" w:space="0" w:color="auto"/>
            </w:tcBorders>
            <w:shd w:val="clear" w:color="auto" w:fill="auto"/>
          </w:tcPr>
          <w:p w14:paraId="795B1896" w14:textId="77777777" w:rsidR="007D7CE1" w:rsidRPr="005474B2" w:rsidRDefault="007D7CE1">
            <w:pPr>
              <w:jc w:val="both"/>
              <w:rPr>
                <w:rFonts w:eastAsia="MS Mincho"/>
                <w:sz w:val="22"/>
                <w:szCs w:val="22"/>
                <w:lang w:val="sr-Latn-ME"/>
              </w:rPr>
            </w:pPr>
          </w:p>
        </w:tc>
        <w:tc>
          <w:tcPr>
            <w:tcW w:w="1078" w:type="dxa"/>
            <w:tcBorders>
              <w:top w:val="single" w:sz="4" w:space="0" w:color="auto"/>
              <w:left w:val="single" w:sz="8" w:space="0" w:color="auto"/>
            </w:tcBorders>
          </w:tcPr>
          <w:p w14:paraId="36CB3BC3" w14:textId="77777777" w:rsidR="007D7CE1" w:rsidRPr="005474B2" w:rsidRDefault="007D7CE1">
            <w:pPr>
              <w:jc w:val="both"/>
              <w:rPr>
                <w:rFonts w:eastAsia="MS Mincho"/>
                <w:sz w:val="22"/>
                <w:szCs w:val="22"/>
                <w:lang w:val="sr-Latn-ME"/>
              </w:rPr>
            </w:pPr>
          </w:p>
        </w:tc>
        <w:tc>
          <w:tcPr>
            <w:tcW w:w="1302" w:type="dxa"/>
            <w:tcBorders>
              <w:top w:val="single" w:sz="4" w:space="0" w:color="auto"/>
            </w:tcBorders>
          </w:tcPr>
          <w:p w14:paraId="2DC078B0" w14:textId="77777777" w:rsidR="007D7CE1" w:rsidRPr="005474B2" w:rsidRDefault="007D7CE1">
            <w:pPr>
              <w:jc w:val="both"/>
              <w:rPr>
                <w:rFonts w:eastAsia="MS Mincho"/>
                <w:sz w:val="22"/>
                <w:szCs w:val="22"/>
                <w:lang w:val="sr-Latn-ME"/>
              </w:rPr>
            </w:pPr>
          </w:p>
        </w:tc>
        <w:tc>
          <w:tcPr>
            <w:tcW w:w="1307" w:type="dxa"/>
            <w:tcBorders>
              <w:top w:val="single" w:sz="4" w:space="0" w:color="auto"/>
            </w:tcBorders>
          </w:tcPr>
          <w:p w14:paraId="4BE2D167" w14:textId="77777777" w:rsidR="007D7CE1" w:rsidRPr="005474B2" w:rsidRDefault="007D7CE1">
            <w:pPr>
              <w:jc w:val="both"/>
              <w:rPr>
                <w:rFonts w:eastAsia="MS Mincho"/>
                <w:sz w:val="22"/>
                <w:szCs w:val="22"/>
                <w:lang w:val="sr-Latn-ME"/>
              </w:rPr>
            </w:pPr>
          </w:p>
        </w:tc>
      </w:tr>
      <w:tr w:rsidR="007D7CE1" w:rsidRPr="0009637B" w14:paraId="4E60214C" w14:textId="77777777" w:rsidTr="007D7CE1">
        <w:trPr>
          <w:trHeight w:val="194"/>
        </w:trPr>
        <w:tc>
          <w:tcPr>
            <w:tcW w:w="2088" w:type="dxa"/>
            <w:tcBorders>
              <w:top w:val="nil"/>
              <w:left w:val="single" w:sz="8" w:space="0" w:color="000000"/>
              <w:bottom w:val="nil"/>
              <w:right w:val="single" w:sz="8" w:space="0" w:color="000000"/>
            </w:tcBorders>
            <w:shd w:val="clear" w:color="auto" w:fill="auto"/>
          </w:tcPr>
          <w:p w14:paraId="1EE41BAB"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16.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left w:val="single" w:sz="8" w:space="0" w:color="000000"/>
            </w:tcBorders>
            <w:shd w:val="clear" w:color="auto" w:fill="auto"/>
          </w:tcPr>
          <w:p w14:paraId="30063B79"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6</w:t>
            </w:r>
          </w:p>
          <w:p w14:paraId="7A246E51" w14:textId="77777777" w:rsidR="007D7CE1" w:rsidRPr="005474B2" w:rsidRDefault="007D7CE1">
            <w:pPr>
              <w:jc w:val="both"/>
              <w:rPr>
                <w:rFonts w:eastAsia="MS Mincho"/>
                <w:sz w:val="22"/>
                <w:szCs w:val="22"/>
                <w:lang w:val="sr-Latn-ME"/>
              </w:rPr>
            </w:pPr>
            <w:r w:rsidRPr="005474B2">
              <w:rPr>
                <w:rFonts w:eastAsia="MS Mincho"/>
                <w:sz w:val="22"/>
                <w:szCs w:val="22"/>
                <w:lang w:val="sr-Latn-ME"/>
              </w:rPr>
              <w:t>(6,1%)</w:t>
            </w:r>
          </w:p>
        </w:tc>
        <w:tc>
          <w:tcPr>
            <w:tcW w:w="1302" w:type="dxa"/>
            <w:shd w:val="clear" w:color="auto" w:fill="auto"/>
          </w:tcPr>
          <w:p w14:paraId="62A8FFB3" w14:textId="77777777" w:rsidR="007D7CE1" w:rsidRPr="005474B2" w:rsidRDefault="007D7CE1">
            <w:pPr>
              <w:jc w:val="both"/>
              <w:rPr>
                <w:rFonts w:eastAsia="MS Mincho"/>
                <w:sz w:val="22"/>
                <w:szCs w:val="22"/>
                <w:lang w:val="sr-Latn-ME"/>
              </w:rPr>
            </w:pPr>
            <w:r w:rsidRPr="005474B2">
              <w:rPr>
                <w:rFonts w:eastAsia="MS Mincho"/>
                <w:sz w:val="22"/>
                <w:szCs w:val="22"/>
                <w:lang w:val="sr-Latn-ME"/>
              </w:rPr>
              <w:t>37</w:t>
            </w:r>
          </w:p>
          <w:p w14:paraId="086673FC" w14:textId="77777777" w:rsidR="007D7CE1" w:rsidRPr="005474B2" w:rsidRDefault="007D7CE1">
            <w:pPr>
              <w:jc w:val="both"/>
              <w:rPr>
                <w:rFonts w:eastAsia="MS Mincho"/>
                <w:sz w:val="22"/>
                <w:szCs w:val="22"/>
                <w:lang w:val="sr-Latn-ME"/>
              </w:rPr>
            </w:pPr>
            <w:r w:rsidRPr="005474B2">
              <w:rPr>
                <w:rFonts w:eastAsia="MS Mincho"/>
                <w:sz w:val="22"/>
                <w:szCs w:val="22"/>
                <w:lang w:val="sr-Latn-ME"/>
              </w:rPr>
              <w:t>(37,0%***)</w:t>
            </w:r>
          </w:p>
        </w:tc>
        <w:tc>
          <w:tcPr>
            <w:tcW w:w="1301" w:type="dxa"/>
            <w:tcBorders>
              <w:right w:val="single" w:sz="8" w:space="0" w:color="auto"/>
            </w:tcBorders>
            <w:shd w:val="clear" w:color="auto" w:fill="auto"/>
          </w:tcPr>
          <w:p w14:paraId="5D7C4AFC" w14:textId="77777777" w:rsidR="007D7CE1" w:rsidRPr="005474B2" w:rsidRDefault="007D7CE1">
            <w:pPr>
              <w:jc w:val="both"/>
              <w:rPr>
                <w:rFonts w:eastAsia="MS Mincho"/>
                <w:sz w:val="22"/>
                <w:szCs w:val="22"/>
                <w:lang w:val="sr-Latn-ME"/>
              </w:rPr>
            </w:pPr>
            <w:r w:rsidRPr="005474B2">
              <w:rPr>
                <w:rFonts w:eastAsia="MS Mincho"/>
                <w:sz w:val="22"/>
                <w:szCs w:val="22"/>
                <w:lang w:val="sr-Latn-ME"/>
              </w:rPr>
              <w:t>35</w:t>
            </w:r>
          </w:p>
          <w:p w14:paraId="0455877B" w14:textId="77777777" w:rsidR="007D7CE1" w:rsidRPr="005474B2" w:rsidRDefault="007D7CE1">
            <w:pPr>
              <w:jc w:val="both"/>
              <w:rPr>
                <w:rFonts w:eastAsia="MS Mincho"/>
                <w:sz w:val="22"/>
                <w:szCs w:val="22"/>
                <w:lang w:val="sr-Latn-ME"/>
              </w:rPr>
            </w:pPr>
            <w:r w:rsidRPr="005474B2">
              <w:rPr>
                <w:rFonts w:eastAsia="MS Mincho"/>
                <w:sz w:val="22"/>
                <w:szCs w:val="22"/>
                <w:lang w:val="sr-Latn-ME"/>
              </w:rPr>
              <w:t>(35,0%***)</w:t>
            </w:r>
          </w:p>
        </w:tc>
        <w:tc>
          <w:tcPr>
            <w:tcW w:w="1078" w:type="dxa"/>
            <w:tcBorders>
              <w:left w:val="single" w:sz="8" w:space="0" w:color="auto"/>
            </w:tcBorders>
          </w:tcPr>
          <w:p w14:paraId="603B3CAB" w14:textId="77777777" w:rsidR="007D7CE1" w:rsidRPr="005474B2" w:rsidRDefault="007D7CE1">
            <w:pPr>
              <w:jc w:val="both"/>
              <w:rPr>
                <w:rFonts w:eastAsia="MS Mincho"/>
                <w:sz w:val="22"/>
                <w:szCs w:val="22"/>
                <w:lang w:val="sr-Latn-ME"/>
              </w:rPr>
            </w:pPr>
            <w:r w:rsidRPr="005474B2">
              <w:rPr>
                <w:rFonts w:eastAsia="MS Mincho"/>
                <w:sz w:val="22"/>
                <w:szCs w:val="22"/>
                <w:lang w:val="sr-Latn-ME"/>
              </w:rPr>
              <w:t>27</w:t>
            </w:r>
          </w:p>
          <w:p w14:paraId="5B9354CB" w14:textId="77777777" w:rsidR="007D7CE1" w:rsidRPr="005474B2" w:rsidRDefault="007D7CE1">
            <w:pPr>
              <w:jc w:val="both"/>
              <w:rPr>
                <w:rFonts w:eastAsia="MS Mincho"/>
                <w:sz w:val="22"/>
                <w:szCs w:val="22"/>
                <w:lang w:val="sr-Latn-ME"/>
              </w:rPr>
            </w:pPr>
            <w:r w:rsidRPr="005474B2">
              <w:rPr>
                <w:rFonts w:eastAsia="MS Mincho"/>
                <w:sz w:val="22"/>
                <w:szCs w:val="22"/>
                <w:lang w:val="sr-Latn-ME"/>
              </w:rPr>
              <w:t>(8,1%)</w:t>
            </w:r>
          </w:p>
        </w:tc>
        <w:tc>
          <w:tcPr>
            <w:tcW w:w="1302" w:type="dxa"/>
          </w:tcPr>
          <w:p w14:paraId="3E28E66F" w14:textId="77777777" w:rsidR="007D7CE1" w:rsidRPr="005474B2" w:rsidRDefault="007D7CE1">
            <w:pPr>
              <w:jc w:val="both"/>
              <w:rPr>
                <w:rFonts w:eastAsia="MS Mincho"/>
                <w:sz w:val="22"/>
                <w:szCs w:val="22"/>
                <w:lang w:val="sr-Latn-ME"/>
              </w:rPr>
            </w:pPr>
            <w:r w:rsidRPr="005474B2">
              <w:rPr>
                <w:rFonts w:eastAsia="MS Mincho"/>
                <w:sz w:val="22"/>
                <w:szCs w:val="22"/>
                <w:lang w:val="sr-Latn-ME"/>
              </w:rPr>
              <w:t>79</w:t>
            </w:r>
          </w:p>
          <w:p w14:paraId="421CFF60" w14:textId="77777777" w:rsidR="007D7CE1" w:rsidRPr="005474B2" w:rsidRDefault="007D7CE1">
            <w:pPr>
              <w:jc w:val="both"/>
              <w:rPr>
                <w:rFonts w:eastAsia="MS Mincho"/>
                <w:sz w:val="22"/>
                <w:szCs w:val="22"/>
                <w:lang w:val="sr-Latn-ME"/>
              </w:rPr>
            </w:pPr>
            <w:r w:rsidRPr="005474B2">
              <w:rPr>
                <w:rFonts w:eastAsia="MS Mincho"/>
                <w:sz w:val="22"/>
                <w:szCs w:val="22"/>
                <w:lang w:val="sr-Latn-ME"/>
              </w:rPr>
              <w:t>(35,9%*)</w:t>
            </w:r>
          </w:p>
        </w:tc>
        <w:tc>
          <w:tcPr>
            <w:tcW w:w="1307" w:type="dxa"/>
          </w:tcPr>
          <w:p w14:paraId="6D7DD18D" w14:textId="77777777" w:rsidR="007D7CE1" w:rsidRPr="005474B2" w:rsidRDefault="007D7CE1">
            <w:pPr>
              <w:jc w:val="both"/>
              <w:rPr>
                <w:rFonts w:eastAsia="MS Mincho"/>
                <w:sz w:val="22"/>
                <w:szCs w:val="22"/>
                <w:lang w:val="sr-Latn-ME"/>
              </w:rPr>
            </w:pPr>
            <w:r w:rsidRPr="005474B2">
              <w:rPr>
                <w:rFonts w:eastAsia="MS Mincho"/>
                <w:sz w:val="22"/>
                <w:szCs w:val="22"/>
                <w:lang w:val="sr-Latn-ME"/>
              </w:rPr>
              <w:t>88</w:t>
            </w:r>
          </w:p>
          <w:p w14:paraId="0EDCF999" w14:textId="77777777" w:rsidR="007D7CE1" w:rsidRPr="005474B2" w:rsidRDefault="007D7CE1">
            <w:pPr>
              <w:jc w:val="both"/>
              <w:rPr>
                <w:rFonts w:eastAsia="MS Mincho"/>
                <w:sz w:val="22"/>
                <w:szCs w:val="22"/>
                <w:lang w:val="sr-Latn-ME"/>
              </w:rPr>
            </w:pPr>
            <w:r w:rsidRPr="005474B2">
              <w:rPr>
                <w:rFonts w:eastAsia="MS Mincho"/>
                <w:sz w:val="22"/>
                <w:szCs w:val="22"/>
                <w:lang w:val="sr-Latn-ME"/>
              </w:rPr>
              <w:t>(39,6%*)</w:t>
            </w:r>
          </w:p>
        </w:tc>
      </w:tr>
      <w:tr w:rsidR="007D7CE1" w:rsidRPr="0009637B" w14:paraId="4504BB51" w14:textId="77777777" w:rsidTr="007D7CE1">
        <w:trPr>
          <w:trHeight w:val="194"/>
        </w:trPr>
        <w:tc>
          <w:tcPr>
            <w:tcW w:w="2088" w:type="dxa"/>
            <w:tcBorders>
              <w:top w:val="nil"/>
              <w:left w:val="single" w:sz="8" w:space="0" w:color="000000"/>
              <w:bottom w:val="single" w:sz="4" w:space="0" w:color="auto"/>
              <w:right w:val="single" w:sz="8" w:space="0" w:color="000000"/>
            </w:tcBorders>
            <w:shd w:val="clear" w:color="auto" w:fill="auto"/>
          </w:tcPr>
          <w:p w14:paraId="58EA3BB9" w14:textId="77777777" w:rsidR="007D7CE1" w:rsidRPr="005474B2" w:rsidRDefault="007D7CE1" w:rsidP="0009637B">
            <w:pPr>
              <w:keepLines/>
              <w:widowControl w:val="0"/>
              <w:ind w:left="180"/>
              <w:jc w:val="both"/>
              <w:rPr>
                <w:rFonts w:eastAsia="MS Mincho"/>
                <w:b/>
                <w:bCs/>
                <w:sz w:val="22"/>
                <w:szCs w:val="22"/>
                <w:lang w:val="sr-Latn-ME"/>
              </w:rPr>
            </w:pPr>
            <w:r w:rsidRPr="005474B2">
              <w:rPr>
                <w:rFonts w:eastAsia="MS Mincho"/>
                <w:b/>
                <w:bCs/>
                <w:sz w:val="22"/>
                <w:szCs w:val="22"/>
                <w:lang w:val="sr-Latn-ME"/>
              </w:rPr>
              <w:t xml:space="preserve">24.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left w:val="single" w:sz="8" w:space="0" w:color="000000"/>
            </w:tcBorders>
            <w:shd w:val="clear" w:color="auto" w:fill="auto"/>
          </w:tcPr>
          <w:p w14:paraId="2D01FD41"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7</w:t>
            </w:r>
          </w:p>
          <w:p w14:paraId="405D604F" w14:textId="77777777" w:rsidR="007D7CE1" w:rsidRPr="005474B2" w:rsidRDefault="007D7CE1">
            <w:pPr>
              <w:keepLines/>
              <w:widowControl w:val="0"/>
              <w:tabs>
                <w:tab w:val="left" w:pos="284"/>
              </w:tabs>
              <w:jc w:val="both"/>
              <w:rPr>
                <w:sz w:val="22"/>
                <w:szCs w:val="22"/>
                <w:lang w:val="sr-Latn-ME"/>
              </w:rPr>
            </w:pPr>
            <w:r w:rsidRPr="005474B2">
              <w:rPr>
                <w:sz w:val="22"/>
                <w:szCs w:val="22"/>
                <w:lang w:val="sr-Latn-ME"/>
              </w:rPr>
              <w:t>(7,1%)</w:t>
            </w:r>
          </w:p>
        </w:tc>
        <w:tc>
          <w:tcPr>
            <w:tcW w:w="1302" w:type="dxa"/>
            <w:shd w:val="clear" w:color="auto" w:fill="auto"/>
          </w:tcPr>
          <w:p w14:paraId="59448B4B" w14:textId="77777777" w:rsidR="007D7CE1" w:rsidRPr="005474B2" w:rsidRDefault="007D7CE1">
            <w:pPr>
              <w:jc w:val="both"/>
              <w:rPr>
                <w:rFonts w:eastAsia="MS Mincho"/>
                <w:sz w:val="22"/>
                <w:szCs w:val="22"/>
                <w:lang w:val="sr-Latn-ME"/>
              </w:rPr>
            </w:pPr>
            <w:r w:rsidRPr="005474B2">
              <w:rPr>
                <w:rFonts w:eastAsia="MS Mincho"/>
                <w:sz w:val="22"/>
                <w:szCs w:val="22"/>
                <w:lang w:val="sr-Latn-ME"/>
              </w:rPr>
              <w:t>35</w:t>
            </w:r>
          </w:p>
          <w:p w14:paraId="35A098DC" w14:textId="77777777" w:rsidR="007D7CE1" w:rsidRPr="005474B2" w:rsidRDefault="007D7CE1">
            <w:pPr>
              <w:jc w:val="both"/>
              <w:rPr>
                <w:rFonts w:eastAsia="MS Mincho"/>
                <w:sz w:val="22"/>
                <w:szCs w:val="22"/>
                <w:lang w:val="sr-Latn-ME"/>
              </w:rPr>
            </w:pPr>
            <w:r w:rsidRPr="005474B2">
              <w:rPr>
                <w:rFonts w:eastAsia="MS Mincho"/>
                <w:sz w:val="22"/>
                <w:szCs w:val="22"/>
                <w:lang w:val="sr-Latn-ME"/>
              </w:rPr>
              <w:t>(35,0%)</w:t>
            </w:r>
          </w:p>
        </w:tc>
        <w:tc>
          <w:tcPr>
            <w:tcW w:w="1301" w:type="dxa"/>
            <w:tcBorders>
              <w:right w:val="single" w:sz="8" w:space="0" w:color="auto"/>
            </w:tcBorders>
            <w:shd w:val="clear" w:color="auto" w:fill="auto"/>
          </w:tcPr>
          <w:p w14:paraId="6D14F6E0" w14:textId="77777777" w:rsidR="007D7CE1" w:rsidRPr="005474B2" w:rsidRDefault="007D7CE1">
            <w:pPr>
              <w:jc w:val="both"/>
              <w:rPr>
                <w:rFonts w:eastAsia="MS Mincho"/>
                <w:sz w:val="22"/>
                <w:szCs w:val="22"/>
                <w:lang w:val="sr-Latn-ME"/>
              </w:rPr>
            </w:pPr>
            <w:r w:rsidRPr="005474B2">
              <w:rPr>
                <w:rFonts w:eastAsia="MS Mincho"/>
                <w:sz w:val="22"/>
                <w:szCs w:val="22"/>
                <w:lang w:val="sr-Latn-ME"/>
              </w:rPr>
              <w:t>35</w:t>
            </w:r>
          </w:p>
          <w:p w14:paraId="584FF01A" w14:textId="77777777" w:rsidR="007D7CE1" w:rsidRPr="005474B2" w:rsidRDefault="007D7CE1">
            <w:pPr>
              <w:jc w:val="both"/>
              <w:rPr>
                <w:rFonts w:eastAsia="MS Mincho"/>
                <w:sz w:val="22"/>
                <w:szCs w:val="22"/>
                <w:lang w:val="sr-Latn-ME"/>
              </w:rPr>
            </w:pPr>
            <w:r w:rsidRPr="005474B2">
              <w:rPr>
                <w:rFonts w:eastAsia="MS Mincho"/>
                <w:sz w:val="22"/>
                <w:szCs w:val="22"/>
                <w:lang w:val="sr-Latn-ME"/>
              </w:rPr>
              <w:t>(35,0%**)</w:t>
            </w:r>
          </w:p>
        </w:tc>
        <w:tc>
          <w:tcPr>
            <w:tcW w:w="1078" w:type="dxa"/>
            <w:tcBorders>
              <w:left w:val="single" w:sz="8" w:space="0" w:color="auto"/>
            </w:tcBorders>
          </w:tcPr>
          <w:p w14:paraId="0DBAF1AF" w14:textId="77777777" w:rsidR="007D7CE1" w:rsidRPr="005474B2" w:rsidRDefault="007D7CE1">
            <w:pPr>
              <w:jc w:val="both"/>
              <w:rPr>
                <w:rFonts w:eastAsia="MS Mincho"/>
                <w:sz w:val="22"/>
                <w:szCs w:val="22"/>
                <w:lang w:val="sr-Latn-ME"/>
              </w:rPr>
            </w:pPr>
            <w:r w:rsidRPr="005474B2">
              <w:rPr>
                <w:rFonts w:eastAsia="MS Mincho"/>
                <w:sz w:val="22"/>
                <w:szCs w:val="22"/>
                <w:lang w:val="sr-Latn-ME"/>
              </w:rPr>
              <w:t>29</w:t>
            </w:r>
          </w:p>
          <w:p w14:paraId="57D6910D" w14:textId="77777777" w:rsidR="007D7CE1" w:rsidRPr="005474B2" w:rsidRDefault="007D7CE1">
            <w:pPr>
              <w:jc w:val="both"/>
              <w:rPr>
                <w:rFonts w:eastAsia="MS Mincho"/>
                <w:sz w:val="22"/>
                <w:szCs w:val="22"/>
                <w:lang w:val="sr-Latn-ME"/>
              </w:rPr>
            </w:pPr>
            <w:r w:rsidRPr="005474B2">
              <w:rPr>
                <w:rFonts w:eastAsia="MS Mincho"/>
                <w:sz w:val="22"/>
                <w:szCs w:val="22"/>
                <w:lang w:val="sr-Latn-ME"/>
              </w:rPr>
              <w:t>(8,7%)</w:t>
            </w:r>
          </w:p>
        </w:tc>
        <w:tc>
          <w:tcPr>
            <w:tcW w:w="1302" w:type="dxa"/>
          </w:tcPr>
          <w:p w14:paraId="5D878EB1" w14:textId="77777777" w:rsidR="007D7CE1" w:rsidRPr="005474B2" w:rsidRDefault="007D7CE1">
            <w:pPr>
              <w:jc w:val="both"/>
              <w:rPr>
                <w:rFonts w:eastAsia="MS Mincho"/>
                <w:sz w:val="22"/>
                <w:szCs w:val="22"/>
                <w:lang w:val="sr-Latn-ME"/>
              </w:rPr>
            </w:pPr>
            <w:r w:rsidRPr="005474B2">
              <w:rPr>
                <w:rFonts w:eastAsia="MS Mincho"/>
                <w:sz w:val="22"/>
                <w:szCs w:val="22"/>
                <w:lang w:val="sr-Latn-ME"/>
              </w:rPr>
              <w:t>86</w:t>
            </w:r>
          </w:p>
          <w:p w14:paraId="3479F684" w14:textId="77777777" w:rsidR="007D7CE1" w:rsidRPr="005474B2" w:rsidRDefault="007D7CE1">
            <w:pPr>
              <w:jc w:val="both"/>
              <w:rPr>
                <w:rFonts w:eastAsia="MS Mincho"/>
                <w:sz w:val="22"/>
                <w:szCs w:val="22"/>
                <w:lang w:val="sr-Latn-ME"/>
              </w:rPr>
            </w:pPr>
            <w:r w:rsidRPr="005474B2">
              <w:rPr>
                <w:rFonts w:eastAsia="MS Mincho"/>
                <w:sz w:val="22"/>
                <w:szCs w:val="22"/>
                <w:lang w:val="sr-Latn-ME"/>
              </w:rPr>
              <w:t>(39,1%***)</w:t>
            </w:r>
          </w:p>
        </w:tc>
        <w:tc>
          <w:tcPr>
            <w:tcW w:w="1307" w:type="dxa"/>
          </w:tcPr>
          <w:p w14:paraId="45F2F41A" w14:textId="77777777" w:rsidR="007D7CE1" w:rsidRPr="005474B2" w:rsidRDefault="007D7CE1">
            <w:pPr>
              <w:jc w:val="both"/>
              <w:rPr>
                <w:rFonts w:eastAsia="MS Mincho"/>
                <w:sz w:val="22"/>
                <w:szCs w:val="22"/>
                <w:lang w:val="sr-Latn-ME"/>
              </w:rPr>
            </w:pPr>
            <w:r w:rsidRPr="005474B2">
              <w:rPr>
                <w:rFonts w:eastAsia="MS Mincho"/>
                <w:sz w:val="22"/>
                <w:szCs w:val="22"/>
                <w:lang w:val="sr-Latn-ME"/>
              </w:rPr>
              <w:t>97</w:t>
            </w:r>
          </w:p>
          <w:p w14:paraId="148B7499" w14:textId="77777777" w:rsidR="007D7CE1" w:rsidRPr="005474B2" w:rsidRDefault="007D7CE1">
            <w:pPr>
              <w:jc w:val="both"/>
              <w:rPr>
                <w:rFonts w:eastAsia="MS Mincho"/>
                <w:sz w:val="22"/>
                <w:szCs w:val="22"/>
                <w:lang w:val="sr-Latn-ME"/>
              </w:rPr>
            </w:pPr>
            <w:r w:rsidRPr="005474B2">
              <w:rPr>
                <w:rFonts w:eastAsia="MS Mincho"/>
                <w:sz w:val="22"/>
                <w:szCs w:val="22"/>
                <w:lang w:val="sr-Latn-ME"/>
              </w:rPr>
              <w:t>(43,7%***)</w:t>
            </w:r>
          </w:p>
        </w:tc>
      </w:tr>
      <w:tr w:rsidR="007D7CE1" w:rsidRPr="0009637B" w14:paraId="1ABA9F33" w14:textId="77777777" w:rsidTr="007D7CE1">
        <w:trPr>
          <w:trHeight w:val="194"/>
        </w:trPr>
        <w:tc>
          <w:tcPr>
            <w:tcW w:w="2088" w:type="dxa"/>
            <w:tcBorders>
              <w:top w:val="single" w:sz="8" w:space="0" w:color="000000"/>
              <w:left w:val="single" w:sz="8" w:space="0" w:color="000000"/>
              <w:bottom w:val="nil"/>
              <w:right w:val="single" w:sz="8" w:space="0" w:color="000000"/>
            </w:tcBorders>
            <w:shd w:val="clear" w:color="auto" w:fill="auto"/>
          </w:tcPr>
          <w:p w14:paraId="6192F2EF"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ACR70 odgovor</w:t>
            </w:r>
          </w:p>
          <w:p w14:paraId="5D7E92DD"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n (%)</w:t>
            </w:r>
          </w:p>
        </w:tc>
        <w:tc>
          <w:tcPr>
            <w:tcW w:w="1086" w:type="dxa"/>
            <w:tcBorders>
              <w:top w:val="single" w:sz="8" w:space="0" w:color="000000"/>
              <w:left w:val="single" w:sz="8" w:space="0" w:color="000000"/>
              <w:bottom w:val="nil"/>
            </w:tcBorders>
            <w:shd w:val="clear" w:color="auto" w:fill="auto"/>
          </w:tcPr>
          <w:p w14:paraId="5BD51288" w14:textId="77777777" w:rsidR="007D7CE1" w:rsidRPr="005474B2" w:rsidRDefault="007D7CE1">
            <w:pPr>
              <w:jc w:val="both"/>
              <w:rPr>
                <w:rFonts w:eastAsia="MS Mincho"/>
                <w:sz w:val="22"/>
                <w:szCs w:val="22"/>
                <w:lang w:val="sr-Latn-ME"/>
              </w:rPr>
            </w:pPr>
          </w:p>
        </w:tc>
        <w:tc>
          <w:tcPr>
            <w:tcW w:w="1302" w:type="dxa"/>
            <w:tcBorders>
              <w:top w:val="single" w:sz="8" w:space="0" w:color="000000"/>
              <w:bottom w:val="nil"/>
            </w:tcBorders>
            <w:shd w:val="clear" w:color="auto" w:fill="auto"/>
          </w:tcPr>
          <w:p w14:paraId="1834DAFA" w14:textId="77777777" w:rsidR="007D7CE1" w:rsidRPr="005474B2" w:rsidRDefault="007D7CE1">
            <w:pPr>
              <w:jc w:val="both"/>
              <w:rPr>
                <w:rFonts w:eastAsia="MS Mincho"/>
                <w:sz w:val="22"/>
                <w:szCs w:val="22"/>
                <w:lang w:val="sr-Latn-ME"/>
              </w:rPr>
            </w:pPr>
          </w:p>
        </w:tc>
        <w:tc>
          <w:tcPr>
            <w:tcW w:w="1301" w:type="dxa"/>
            <w:tcBorders>
              <w:top w:val="single" w:sz="8" w:space="0" w:color="000000"/>
              <w:bottom w:val="nil"/>
              <w:right w:val="single" w:sz="8" w:space="0" w:color="auto"/>
            </w:tcBorders>
            <w:shd w:val="clear" w:color="auto" w:fill="auto"/>
          </w:tcPr>
          <w:p w14:paraId="3EC16E0E" w14:textId="77777777" w:rsidR="007D7CE1" w:rsidRPr="005474B2" w:rsidRDefault="007D7CE1">
            <w:pPr>
              <w:jc w:val="both"/>
              <w:rPr>
                <w:rFonts w:eastAsia="MS Mincho"/>
                <w:sz w:val="22"/>
                <w:szCs w:val="22"/>
                <w:lang w:val="sr-Latn-ME"/>
              </w:rPr>
            </w:pPr>
          </w:p>
        </w:tc>
        <w:tc>
          <w:tcPr>
            <w:tcW w:w="1078" w:type="dxa"/>
            <w:tcBorders>
              <w:top w:val="single" w:sz="8" w:space="0" w:color="000000"/>
              <w:left w:val="single" w:sz="8" w:space="0" w:color="auto"/>
              <w:bottom w:val="nil"/>
              <w:right w:val="nil"/>
            </w:tcBorders>
          </w:tcPr>
          <w:p w14:paraId="1DA7E2A2" w14:textId="77777777" w:rsidR="007D7CE1" w:rsidRPr="005474B2" w:rsidRDefault="007D7CE1">
            <w:pPr>
              <w:jc w:val="both"/>
              <w:rPr>
                <w:rFonts w:eastAsia="MS Mincho"/>
                <w:sz w:val="22"/>
                <w:szCs w:val="22"/>
                <w:lang w:val="sr-Latn-ME"/>
              </w:rPr>
            </w:pPr>
          </w:p>
        </w:tc>
        <w:tc>
          <w:tcPr>
            <w:tcW w:w="1302" w:type="dxa"/>
            <w:tcBorders>
              <w:top w:val="single" w:sz="8" w:space="0" w:color="000000"/>
              <w:left w:val="nil"/>
              <w:bottom w:val="nil"/>
              <w:right w:val="nil"/>
            </w:tcBorders>
          </w:tcPr>
          <w:p w14:paraId="4CAE28A2" w14:textId="77777777" w:rsidR="007D7CE1" w:rsidRPr="005474B2" w:rsidRDefault="007D7CE1">
            <w:pPr>
              <w:jc w:val="both"/>
              <w:rPr>
                <w:rFonts w:eastAsia="MS Mincho"/>
                <w:sz w:val="22"/>
                <w:szCs w:val="22"/>
                <w:lang w:val="sr-Latn-ME"/>
              </w:rPr>
            </w:pPr>
          </w:p>
        </w:tc>
        <w:tc>
          <w:tcPr>
            <w:tcW w:w="1307" w:type="dxa"/>
            <w:tcBorders>
              <w:top w:val="single" w:sz="8" w:space="0" w:color="000000"/>
              <w:left w:val="nil"/>
              <w:bottom w:val="nil"/>
              <w:right w:val="single" w:sz="8" w:space="0" w:color="000000"/>
            </w:tcBorders>
          </w:tcPr>
          <w:p w14:paraId="5059A924" w14:textId="77777777" w:rsidR="007D7CE1" w:rsidRPr="005474B2" w:rsidRDefault="007D7CE1">
            <w:pPr>
              <w:jc w:val="both"/>
              <w:rPr>
                <w:rFonts w:eastAsia="MS Mincho"/>
                <w:sz w:val="22"/>
                <w:szCs w:val="22"/>
                <w:lang w:val="sr-Latn-ME"/>
              </w:rPr>
            </w:pPr>
          </w:p>
        </w:tc>
      </w:tr>
      <w:tr w:rsidR="007D7CE1" w:rsidRPr="0009637B" w14:paraId="7F25207E" w14:textId="77777777" w:rsidTr="007D7CE1">
        <w:trPr>
          <w:trHeight w:val="194"/>
        </w:trPr>
        <w:tc>
          <w:tcPr>
            <w:tcW w:w="2088" w:type="dxa"/>
            <w:tcBorders>
              <w:top w:val="nil"/>
              <w:left w:val="single" w:sz="8" w:space="0" w:color="000000"/>
              <w:bottom w:val="nil"/>
              <w:right w:val="single" w:sz="8" w:space="0" w:color="000000"/>
            </w:tcBorders>
            <w:shd w:val="clear" w:color="auto" w:fill="auto"/>
          </w:tcPr>
          <w:p w14:paraId="047A2832"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16.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top w:val="nil"/>
              <w:left w:val="single" w:sz="8" w:space="0" w:color="000000"/>
              <w:bottom w:val="nil"/>
            </w:tcBorders>
            <w:shd w:val="clear" w:color="auto" w:fill="auto"/>
          </w:tcPr>
          <w:p w14:paraId="5D64B046"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2</w:t>
            </w:r>
          </w:p>
          <w:p w14:paraId="7ACB4A6A" w14:textId="77777777" w:rsidR="007D7CE1" w:rsidRPr="005474B2" w:rsidRDefault="007D7CE1">
            <w:pPr>
              <w:jc w:val="both"/>
              <w:rPr>
                <w:rFonts w:eastAsia="MS Mincho"/>
                <w:sz w:val="22"/>
                <w:szCs w:val="22"/>
                <w:lang w:val="sr-Latn-ME"/>
              </w:rPr>
            </w:pPr>
            <w:r w:rsidRPr="005474B2">
              <w:rPr>
                <w:rFonts w:eastAsia="MS Mincho"/>
                <w:sz w:val="22"/>
                <w:szCs w:val="22"/>
                <w:lang w:val="sr-Latn-ME"/>
              </w:rPr>
              <w:t>(2,0%)</w:t>
            </w:r>
          </w:p>
        </w:tc>
        <w:tc>
          <w:tcPr>
            <w:tcW w:w="1302" w:type="dxa"/>
            <w:tcBorders>
              <w:top w:val="nil"/>
              <w:bottom w:val="nil"/>
            </w:tcBorders>
            <w:shd w:val="clear" w:color="auto" w:fill="auto"/>
          </w:tcPr>
          <w:p w14:paraId="63F2AE4E" w14:textId="77777777" w:rsidR="007D7CE1" w:rsidRPr="005474B2" w:rsidRDefault="007D7CE1">
            <w:pPr>
              <w:jc w:val="both"/>
              <w:rPr>
                <w:rFonts w:eastAsia="MS Mincho"/>
                <w:sz w:val="22"/>
                <w:szCs w:val="22"/>
                <w:lang w:val="sr-Latn-ME"/>
              </w:rPr>
            </w:pPr>
            <w:r w:rsidRPr="005474B2">
              <w:rPr>
                <w:rFonts w:eastAsia="MS Mincho"/>
                <w:sz w:val="22"/>
                <w:szCs w:val="22"/>
                <w:lang w:val="sr-Latn-ME"/>
              </w:rPr>
              <w:t>17</w:t>
            </w:r>
          </w:p>
          <w:p w14:paraId="7015D274" w14:textId="77777777" w:rsidR="007D7CE1" w:rsidRPr="005474B2" w:rsidRDefault="007D7CE1">
            <w:pPr>
              <w:jc w:val="both"/>
              <w:rPr>
                <w:rFonts w:eastAsia="MS Mincho"/>
                <w:sz w:val="22"/>
                <w:szCs w:val="22"/>
                <w:lang w:val="sr-Latn-ME"/>
              </w:rPr>
            </w:pPr>
            <w:r w:rsidRPr="005474B2">
              <w:rPr>
                <w:rFonts w:eastAsia="MS Mincho"/>
                <w:sz w:val="22"/>
                <w:szCs w:val="22"/>
                <w:lang w:val="sr-Latn-ME"/>
              </w:rPr>
              <w:t>(17,0%**)</w:t>
            </w:r>
          </w:p>
        </w:tc>
        <w:tc>
          <w:tcPr>
            <w:tcW w:w="1301" w:type="dxa"/>
            <w:tcBorders>
              <w:top w:val="nil"/>
              <w:bottom w:val="nil"/>
              <w:right w:val="single" w:sz="8" w:space="0" w:color="auto"/>
            </w:tcBorders>
            <w:shd w:val="clear" w:color="auto" w:fill="auto"/>
          </w:tcPr>
          <w:p w14:paraId="1037B078" w14:textId="77777777" w:rsidR="007D7CE1" w:rsidRPr="005474B2" w:rsidRDefault="007D7CE1">
            <w:pPr>
              <w:jc w:val="both"/>
              <w:rPr>
                <w:rFonts w:eastAsia="MS Mincho"/>
                <w:sz w:val="22"/>
                <w:szCs w:val="22"/>
                <w:lang w:val="sr-Latn-ME"/>
              </w:rPr>
            </w:pPr>
            <w:r w:rsidRPr="005474B2">
              <w:rPr>
                <w:rFonts w:eastAsia="MS Mincho"/>
                <w:sz w:val="22"/>
                <w:szCs w:val="22"/>
                <w:lang w:val="sr-Latn-ME"/>
              </w:rPr>
              <w:t>15</w:t>
            </w:r>
          </w:p>
          <w:p w14:paraId="437996AD" w14:textId="77777777" w:rsidR="007D7CE1" w:rsidRPr="005474B2" w:rsidRDefault="007D7CE1">
            <w:pPr>
              <w:jc w:val="both"/>
              <w:rPr>
                <w:rFonts w:eastAsia="MS Mincho"/>
                <w:sz w:val="22"/>
                <w:szCs w:val="22"/>
                <w:lang w:val="sr-Latn-ME"/>
              </w:rPr>
            </w:pPr>
            <w:r w:rsidRPr="005474B2">
              <w:rPr>
                <w:rFonts w:eastAsia="MS Mincho"/>
                <w:sz w:val="22"/>
                <w:szCs w:val="22"/>
                <w:lang w:val="sr-Latn-ME"/>
              </w:rPr>
              <w:t>(15,0%**)</w:t>
            </w:r>
          </w:p>
        </w:tc>
        <w:tc>
          <w:tcPr>
            <w:tcW w:w="1078" w:type="dxa"/>
            <w:tcBorders>
              <w:top w:val="nil"/>
              <w:left w:val="single" w:sz="8" w:space="0" w:color="auto"/>
              <w:bottom w:val="nil"/>
              <w:right w:val="nil"/>
            </w:tcBorders>
          </w:tcPr>
          <w:p w14:paraId="2A9655B2" w14:textId="77777777" w:rsidR="007D7CE1" w:rsidRPr="005474B2" w:rsidRDefault="007D7CE1">
            <w:pPr>
              <w:jc w:val="both"/>
              <w:rPr>
                <w:rFonts w:eastAsia="MS Mincho"/>
                <w:sz w:val="22"/>
                <w:szCs w:val="22"/>
                <w:lang w:val="sr-Latn-ME"/>
              </w:rPr>
            </w:pPr>
            <w:r w:rsidRPr="005474B2">
              <w:rPr>
                <w:rFonts w:eastAsia="MS Mincho"/>
                <w:sz w:val="22"/>
                <w:szCs w:val="22"/>
                <w:lang w:val="sr-Latn-ME"/>
              </w:rPr>
              <w:t>14</w:t>
            </w:r>
          </w:p>
          <w:p w14:paraId="64626840" w14:textId="77777777" w:rsidR="007D7CE1" w:rsidRPr="005474B2" w:rsidRDefault="007D7CE1">
            <w:pPr>
              <w:jc w:val="both"/>
              <w:rPr>
                <w:rFonts w:eastAsia="MS Mincho"/>
                <w:sz w:val="22"/>
                <w:szCs w:val="22"/>
                <w:lang w:val="sr-Latn-ME"/>
              </w:rPr>
            </w:pPr>
            <w:r w:rsidRPr="005474B2">
              <w:rPr>
                <w:rFonts w:eastAsia="MS Mincho"/>
                <w:sz w:val="22"/>
                <w:szCs w:val="22"/>
                <w:lang w:val="sr-Latn-ME"/>
              </w:rPr>
              <w:t>(4,2%)</w:t>
            </w:r>
          </w:p>
        </w:tc>
        <w:tc>
          <w:tcPr>
            <w:tcW w:w="1302" w:type="dxa"/>
            <w:tcBorders>
              <w:top w:val="nil"/>
              <w:left w:val="nil"/>
              <w:bottom w:val="nil"/>
              <w:right w:val="nil"/>
            </w:tcBorders>
          </w:tcPr>
          <w:p w14:paraId="2E46503E" w14:textId="77777777" w:rsidR="007D7CE1" w:rsidRPr="005474B2" w:rsidRDefault="007D7CE1">
            <w:pPr>
              <w:jc w:val="both"/>
              <w:rPr>
                <w:rFonts w:eastAsia="MS Mincho"/>
                <w:sz w:val="22"/>
                <w:szCs w:val="22"/>
                <w:lang w:val="sr-Latn-ME"/>
              </w:rPr>
            </w:pPr>
            <w:r w:rsidRPr="005474B2">
              <w:rPr>
                <w:rFonts w:eastAsia="MS Mincho"/>
                <w:sz w:val="22"/>
                <w:szCs w:val="22"/>
                <w:lang w:val="sr-Latn-ME"/>
              </w:rPr>
              <w:t>40</w:t>
            </w:r>
          </w:p>
          <w:p w14:paraId="5A813110" w14:textId="77777777" w:rsidR="007D7CE1" w:rsidRPr="005474B2" w:rsidRDefault="007D7CE1">
            <w:pPr>
              <w:jc w:val="both"/>
              <w:rPr>
                <w:rFonts w:eastAsia="MS Mincho"/>
                <w:sz w:val="22"/>
                <w:szCs w:val="22"/>
                <w:lang w:val="sr-Latn-ME"/>
              </w:rPr>
            </w:pPr>
            <w:r w:rsidRPr="005474B2">
              <w:rPr>
                <w:rFonts w:eastAsia="MS Mincho"/>
                <w:sz w:val="22"/>
                <w:szCs w:val="22"/>
                <w:lang w:val="sr-Latn-ME"/>
              </w:rPr>
              <w:t>(18,2%***)</w:t>
            </w:r>
          </w:p>
        </w:tc>
        <w:tc>
          <w:tcPr>
            <w:tcW w:w="1307" w:type="dxa"/>
            <w:tcBorders>
              <w:top w:val="nil"/>
              <w:left w:val="nil"/>
              <w:bottom w:val="nil"/>
              <w:right w:val="single" w:sz="8" w:space="0" w:color="000000"/>
            </w:tcBorders>
          </w:tcPr>
          <w:p w14:paraId="29442B26" w14:textId="77777777" w:rsidR="007D7CE1" w:rsidRPr="005474B2" w:rsidRDefault="007D7CE1">
            <w:pPr>
              <w:jc w:val="both"/>
              <w:rPr>
                <w:rFonts w:eastAsia="MS Mincho"/>
                <w:sz w:val="22"/>
                <w:szCs w:val="22"/>
                <w:lang w:val="sr-Latn-ME"/>
              </w:rPr>
            </w:pPr>
            <w:r w:rsidRPr="005474B2">
              <w:rPr>
                <w:rFonts w:eastAsia="MS Mincho"/>
                <w:sz w:val="22"/>
                <w:szCs w:val="22"/>
                <w:lang w:val="sr-Latn-ME"/>
              </w:rPr>
              <w:t>45</w:t>
            </w:r>
          </w:p>
          <w:p w14:paraId="37381FB4" w14:textId="77777777" w:rsidR="007D7CE1" w:rsidRPr="005474B2" w:rsidRDefault="007D7CE1">
            <w:pPr>
              <w:jc w:val="both"/>
              <w:rPr>
                <w:rFonts w:eastAsia="MS Mincho"/>
                <w:sz w:val="22"/>
                <w:szCs w:val="22"/>
                <w:lang w:val="sr-Latn-ME"/>
              </w:rPr>
            </w:pPr>
            <w:r w:rsidRPr="005474B2">
              <w:rPr>
                <w:rFonts w:eastAsia="MS Mincho"/>
                <w:sz w:val="22"/>
                <w:szCs w:val="22"/>
                <w:lang w:val="sr-Latn-ME"/>
              </w:rPr>
              <w:t>(20,3%***)</w:t>
            </w:r>
          </w:p>
        </w:tc>
      </w:tr>
      <w:tr w:rsidR="007D7CE1" w:rsidRPr="0009637B" w14:paraId="761978BF" w14:textId="77777777" w:rsidTr="007D7CE1">
        <w:trPr>
          <w:trHeight w:val="194"/>
        </w:trPr>
        <w:tc>
          <w:tcPr>
            <w:tcW w:w="2088" w:type="dxa"/>
            <w:tcBorders>
              <w:top w:val="nil"/>
              <w:left w:val="single" w:sz="8" w:space="0" w:color="000000"/>
              <w:bottom w:val="single" w:sz="4" w:space="0" w:color="auto"/>
              <w:right w:val="single" w:sz="8" w:space="0" w:color="000000"/>
            </w:tcBorders>
            <w:shd w:val="clear" w:color="auto" w:fill="auto"/>
          </w:tcPr>
          <w:p w14:paraId="4E5C7563" w14:textId="77777777" w:rsidR="007D7CE1" w:rsidRPr="005474B2" w:rsidRDefault="007D7CE1" w:rsidP="0009637B">
            <w:pPr>
              <w:keepLines/>
              <w:widowControl w:val="0"/>
              <w:ind w:left="180"/>
              <w:jc w:val="both"/>
              <w:rPr>
                <w:rFonts w:eastAsia="MS Mincho"/>
                <w:b/>
                <w:bCs/>
                <w:sz w:val="22"/>
                <w:szCs w:val="22"/>
                <w:lang w:val="sr-Latn-ME"/>
              </w:rPr>
            </w:pPr>
            <w:r w:rsidRPr="005474B2">
              <w:rPr>
                <w:rFonts w:eastAsia="MS Mincho"/>
                <w:b/>
                <w:bCs/>
                <w:sz w:val="22"/>
                <w:szCs w:val="22"/>
                <w:lang w:val="sr-Latn-ME"/>
              </w:rPr>
              <w:t xml:space="preserve">24.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top w:val="nil"/>
              <w:left w:val="single" w:sz="8" w:space="0" w:color="000000"/>
              <w:bottom w:val="single" w:sz="4" w:space="0" w:color="auto"/>
            </w:tcBorders>
            <w:shd w:val="clear" w:color="auto" w:fill="auto"/>
          </w:tcPr>
          <w:p w14:paraId="4C103B4B"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1</w:t>
            </w:r>
          </w:p>
          <w:p w14:paraId="25BF8E67" w14:textId="77777777" w:rsidR="007D7CE1" w:rsidRPr="005474B2" w:rsidRDefault="007D7CE1">
            <w:pPr>
              <w:keepLines/>
              <w:widowControl w:val="0"/>
              <w:tabs>
                <w:tab w:val="left" w:pos="284"/>
              </w:tabs>
              <w:jc w:val="both"/>
              <w:rPr>
                <w:sz w:val="22"/>
                <w:szCs w:val="22"/>
                <w:lang w:val="sr-Latn-ME"/>
              </w:rPr>
            </w:pPr>
            <w:r w:rsidRPr="005474B2">
              <w:rPr>
                <w:sz w:val="22"/>
                <w:szCs w:val="22"/>
                <w:lang w:val="sr-Latn-ME"/>
              </w:rPr>
              <w:t>(1,0%)</w:t>
            </w:r>
          </w:p>
        </w:tc>
        <w:tc>
          <w:tcPr>
            <w:tcW w:w="1302" w:type="dxa"/>
            <w:tcBorders>
              <w:top w:val="nil"/>
              <w:bottom w:val="single" w:sz="4" w:space="0" w:color="auto"/>
            </w:tcBorders>
            <w:shd w:val="clear" w:color="auto" w:fill="auto"/>
          </w:tcPr>
          <w:p w14:paraId="40C6DD4F" w14:textId="77777777" w:rsidR="007D7CE1" w:rsidRPr="005474B2" w:rsidRDefault="007D7CE1">
            <w:pPr>
              <w:jc w:val="both"/>
              <w:rPr>
                <w:rFonts w:eastAsia="MS Mincho"/>
                <w:sz w:val="22"/>
                <w:szCs w:val="22"/>
                <w:lang w:val="sr-Latn-ME"/>
              </w:rPr>
            </w:pPr>
            <w:r w:rsidRPr="005474B2">
              <w:rPr>
                <w:rFonts w:eastAsia="MS Mincho"/>
                <w:sz w:val="22"/>
                <w:szCs w:val="22"/>
                <w:lang w:val="sr-Latn-ME"/>
              </w:rPr>
              <w:t>21</w:t>
            </w:r>
          </w:p>
          <w:p w14:paraId="2824FC03" w14:textId="77777777" w:rsidR="007D7CE1" w:rsidRPr="005474B2" w:rsidRDefault="007D7CE1">
            <w:pPr>
              <w:jc w:val="both"/>
              <w:rPr>
                <w:rFonts w:eastAsia="MS Mincho"/>
                <w:sz w:val="22"/>
                <w:szCs w:val="22"/>
                <w:lang w:val="sr-Latn-ME"/>
              </w:rPr>
            </w:pPr>
            <w:r w:rsidRPr="005474B2">
              <w:rPr>
                <w:rFonts w:eastAsia="MS Mincho"/>
                <w:sz w:val="22"/>
                <w:szCs w:val="22"/>
                <w:lang w:val="sr-Latn-ME"/>
              </w:rPr>
              <w:t>(21,0%**)</w:t>
            </w:r>
          </w:p>
        </w:tc>
        <w:tc>
          <w:tcPr>
            <w:tcW w:w="1301" w:type="dxa"/>
            <w:tcBorders>
              <w:top w:val="nil"/>
              <w:bottom w:val="single" w:sz="4" w:space="0" w:color="auto"/>
              <w:right w:val="single" w:sz="8" w:space="0" w:color="auto"/>
            </w:tcBorders>
            <w:shd w:val="clear" w:color="auto" w:fill="auto"/>
          </w:tcPr>
          <w:p w14:paraId="2DE4D08A" w14:textId="77777777" w:rsidR="007D7CE1" w:rsidRPr="005474B2" w:rsidRDefault="007D7CE1">
            <w:pPr>
              <w:jc w:val="both"/>
              <w:rPr>
                <w:rFonts w:eastAsia="MS Mincho"/>
                <w:sz w:val="22"/>
                <w:szCs w:val="22"/>
                <w:lang w:val="sr-Latn-ME"/>
              </w:rPr>
            </w:pPr>
            <w:r w:rsidRPr="005474B2">
              <w:rPr>
                <w:rFonts w:eastAsia="MS Mincho"/>
                <w:sz w:val="22"/>
                <w:szCs w:val="22"/>
                <w:lang w:val="sr-Latn-ME"/>
              </w:rPr>
              <w:t>20</w:t>
            </w:r>
          </w:p>
          <w:p w14:paraId="3E21029E" w14:textId="77777777" w:rsidR="007D7CE1" w:rsidRPr="005474B2" w:rsidRDefault="007D7CE1">
            <w:pPr>
              <w:keepLines/>
              <w:widowControl w:val="0"/>
              <w:tabs>
                <w:tab w:val="left" w:pos="284"/>
              </w:tabs>
              <w:jc w:val="both"/>
              <w:rPr>
                <w:sz w:val="22"/>
                <w:szCs w:val="22"/>
                <w:lang w:val="sr-Latn-ME"/>
              </w:rPr>
            </w:pPr>
            <w:r w:rsidRPr="005474B2">
              <w:rPr>
                <w:sz w:val="22"/>
                <w:szCs w:val="22"/>
                <w:lang w:val="sr-Latn-ME"/>
              </w:rPr>
              <w:t>(20,0%**)</w:t>
            </w:r>
          </w:p>
        </w:tc>
        <w:tc>
          <w:tcPr>
            <w:tcW w:w="1078" w:type="dxa"/>
            <w:tcBorders>
              <w:top w:val="nil"/>
              <w:left w:val="single" w:sz="8" w:space="0" w:color="auto"/>
              <w:bottom w:val="single" w:sz="4" w:space="0" w:color="auto"/>
              <w:right w:val="nil"/>
            </w:tcBorders>
          </w:tcPr>
          <w:p w14:paraId="136E41FD" w14:textId="77777777" w:rsidR="007D7CE1" w:rsidRPr="005474B2" w:rsidRDefault="007D7CE1">
            <w:pPr>
              <w:jc w:val="both"/>
              <w:rPr>
                <w:rFonts w:eastAsia="MS Mincho"/>
                <w:sz w:val="22"/>
                <w:szCs w:val="22"/>
                <w:lang w:val="sr-Latn-ME"/>
              </w:rPr>
            </w:pPr>
            <w:r w:rsidRPr="005474B2">
              <w:rPr>
                <w:rFonts w:eastAsia="MS Mincho"/>
                <w:sz w:val="22"/>
                <w:szCs w:val="22"/>
                <w:lang w:val="sr-Latn-ME"/>
              </w:rPr>
              <w:t>13</w:t>
            </w:r>
          </w:p>
          <w:p w14:paraId="07E6518B" w14:textId="77777777" w:rsidR="007D7CE1" w:rsidRPr="005474B2" w:rsidRDefault="007D7CE1">
            <w:pPr>
              <w:jc w:val="both"/>
              <w:rPr>
                <w:rFonts w:eastAsia="MS Mincho"/>
                <w:sz w:val="22"/>
                <w:szCs w:val="22"/>
                <w:lang w:val="sr-Latn-ME"/>
              </w:rPr>
            </w:pPr>
            <w:r w:rsidRPr="005474B2">
              <w:rPr>
                <w:rFonts w:eastAsia="MS Mincho"/>
                <w:sz w:val="22"/>
                <w:szCs w:val="22"/>
                <w:lang w:val="sr-Latn-ME"/>
              </w:rPr>
              <w:t>(3,9%)</w:t>
            </w:r>
          </w:p>
        </w:tc>
        <w:tc>
          <w:tcPr>
            <w:tcW w:w="1302" w:type="dxa"/>
            <w:tcBorders>
              <w:top w:val="nil"/>
              <w:left w:val="nil"/>
              <w:bottom w:val="single" w:sz="4" w:space="0" w:color="auto"/>
              <w:right w:val="nil"/>
            </w:tcBorders>
          </w:tcPr>
          <w:p w14:paraId="29D2F1AD" w14:textId="77777777" w:rsidR="007D7CE1" w:rsidRPr="005474B2" w:rsidRDefault="007D7CE1">
            <w:pPr>
              <w:jc w:val="both"/>
              <w:rPr>
                <w:rFonts w:eastAsia="MS Mincho"/>
                <w:sz w:val="22"/>
                <w:szCs w:val="22"/>
                <w:lang w:val="sr-Latn-ME"/>
              </w:rPr>
            </w:pPr>
            <w:r w:rsidRPr="005474B2">
              <w:rPr>
                <w:rFonts w:eastAsia="MS Mincho"/>
                <w:sz w:val="22"/>
                <w:szCs w:val="22"/>
                <w:lang w:val="sr-Latn-ME"/>
              </w:rPr>
              <w:t>53</w:t>
            </w:r>
          </w:p>
          <w:p w14:paraId="1C8E4BD2" w14:textId="77777777" w:rsidR="007D7CE1" w:rsidRPr="005474B2" w:rsidRDefault="007D7CE1">
            <w:pPr>
              <w:jc w:val="both"/>
              <w:rPr>
                <w:rFonts w:eastAsia="MS Mincho"/>
                <w:sz w:val="22"/>
                <w:szCs w:val="22"/>
                <w:lang w:val="sr-Latn-ME"/>
              </w:rPr>
            </w:pPr>
            <w:r w:rsidRPr="005474B2">
              <w:rPr>
                <w:rFonts w:eastAsia="MS Mincho"/>
                <w:sz w:val="22"/>
                <w:szCs w:val="22"/>
                <w:lang w:val="sr-Latn-ME"/>
              </w:rPr>
              <w:t>(24,1%***)</w:t>
            </w:r>
          </w:p>
        </w:tc>
        <w:tc>
          <w:tcPr>
            <w:tcW w:w="1307" w:type="dxa"/>
            <w:tcBorders>
              <w:top w:val="nil"/>
              <w:left w:val="nil"/>
              <w:bottom w:val="single" w:sz="4" w:space="0" w:color="auto"/>
              <w:right w:val="single" w:sz="8" w:space="0" w:color="000000"/>
            </w:tcBorders>
          </w:tcPr>
          <w:p w14:paraId="19FF8631" w14:textId="77777777" w:rsidR="007D7CE1" w:rsidRPr="005474B2" w:rsidRDefault="007D7CE1">
            <w:pPr>
              <w:jc w:val="both"/>
              <w:rPr>
                <w:rFonts w:eastAsia="MS Mincho"/>
                <w:sz w:val="22"/>
                <w:szCs w:val="22"/>
                <w:lang w:val="sr-Latn-ME"/>
              </w:rPr>
            </w:pPr>
            <w:r w:rsidRPr="005474B2">
              <w:rPr>
                <w:rFonts w:eastAsia="MS Mincho"/>
                <w:sz w:val="22"/>
                <w:szCs w:val="22"/>
                <w:lang w:val="sr-Latn-ME"/>
              </w:rPr>
              <w:t>57</w:t>
            </w:r>
          </w:p>
          <w:p w14:paraId="7ACBC38A" w14:textId="77777777" w:rsidR="007D7CE1" w:rsidRPr="005474B2" w:rsidRDefault="007D7CE1">
            <w:pPr>
              <w:jc w:val="both"/>
              <w:rPr>
                <w:rFonts w:eastAsia="MS Mincho"/>
                <w:sz w:val="22"/>
                <w:szCs w:val="22"/>
                <w:lang w:val="sr-Latn-ME"/>
              </w:rPr>
            </w:pPr>
            <w:r w:rsidRPr="005474B2">
              <w:rPr>
                <w:rFonts w:eastAsia="MS Mincho"/>
                <w:sz w:val="22"/>
                <w:szCs w:val="22"/>
                <w:lang w:val="sr-Latn-ME"/>
              </w:rPr>
              <w:t>(25,7%***)</w:t>
            </w:r>
          </w:p>
        </w:tc>
      </w:tr>
      <w:tr w:rsidR="007D7CE1" w:rsidRPr="0009637B" w14:paraId="4AAEAE6C" w14:textId="77777777" w:rsidTr="007D7CE1">
        <w:trPr>
          <w:trHeight w:val="195"/>
        </w:trPr>
        <w:tc>
          <w:tcPr>
            <w:tcW w:w="2088" w:type="dxa"/>
            <w:tcBorders>
              <w:top w:val="single" w:sz="4" w:space="0" w:color="auto"/>
              <w:right w:val="single" w:sz="8" w:space="0" w:color="000000"/>
            </w:tcBorders>
            <w:shd w:val="clear" w:color="auto" w:fill="auto"/>
          </w:tcPr>
          <w:p w14:paraId="4A3A1BB7"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DAS28</w:t>
            </w:r>
            <w:r w:rsidRPr="005474B2">
              <w:rPr>
                <w:rFonts w:eastAsia="MS Mincho"/>
                <w:b/>
                <w:bCs/>
                <w:sz w:val="22"/>
                <w:szCs w:val="22"/>
                <w:lang w:val="sr-Latn-ME"/>
              </w:rPr>
              <w:noBreakHyphen/>
              <w:t>CRP</w:t>
            </w:r>
          </w:p>
        </w:tc>
        <w:tc>
          <w:tcPr>
            <w:tcW w:w="1086" w:type="dxa"/>
            <w:tcBorders>
              <w:top w:val="single" w:sz="4" w:space="0" w:color="auto"/>
              <w:left w:val="single" w:sz="8" w:space="0" w:color="000000"/>
            </w:tcBorders>
            <w:shd w:val="clear" w:color="auto" w:fill="auto"/>
          </w:tcPr>
          <w:p w14:paraId="32461DB6" w14:textId="77777777" w:rsidR="007D7CE1" w:rsidRPr="005474B2" w:rsidRDefault="007D7CE1" w:rsidP="0009637B">
            <w:pPr>
              <w:keepNext/>
              <w:keepLines/>
              <w:widowControl w:val="0"/>
              <w:jc w:val="both"/>
              <w:rPr>
                <w:rFonts w:eastAsia="MS Mincho"/>
                <w:sz w:val="22"/>
                <w:szCs w:val="22"/>
                <w:lang w:val="sr-Latn-ME"/>
              </w:rPr>
            </w:pPr>
          </w:p>
        </w:tc>
        <w:tc>
          <w:tcPr>
            <w:tcW w:w="1302" w:type="dxa"/>
            <w:tcBorders>
              <w:top w:val="single" w:sz="4" w:space="0" w:color="auto"/>
            </w:tcBorders>
            <w:shd w:val="clear" w:color="auto" w:fill="auto"/>
          </w:tcPr>
          <w:p w14:paraId="46EEADFA" w14:textId="77777777" w:rsidR="007D7CE1" w:rsidRPr="005474B2" w:rsidRDefault="007D7CE1">
            <w:pPr>
              <w:jc w:val="both"/>
              <w:rPr>
                <w:rFonts w:eastAsia="MS Mincho"/>
                <w:sz w:val="22"/>
                <w:szCs w:val="22"/>
                <w:lang w:val="sr-Latn-ME"/>
              </w:rPr>
            </w:pPr>
          </w:p>
        </w:tc>
        <w:tc>
          <w:tcPr>
            <w:tcW w:w="1301" w:type="dxa"/>
            <w:tcBorders>
              <w:top w:val="single" w:sz="4" w:space="0" w:color="auto"/>
              <w:right w:val="single" w:sz="8" w:space="0" w:color="auto"/>
            </w:tcBorders>
            <w:shd w:val="clear" w:color="auto" w:fill="auto"/>
          </w:tcPr>
          <w:p w14:paraId="4D952803" w14:textId="77777777" w:rsidR="007D7CE1" w:rsidRPr="005474B2" w:rsidRDefault="007D7CE1">
            <w:pPr>
              <w:jc w:val="both"/>
              <w:rPr>
                <w:rFonts w:eastAsia="MS Mincho"/>
                <w:sz w:val="22"/>
                <w:szCs w:val="22"/>
                <w:lang w:val="sr-Latn-ME"/>
              </w:rPr>
            </w:pPr>
          </w:p>
        </w:tc>
        <w:tc>
          <w:tcPr>
            <w:tcW w:w="1078" w:type="dxa"/>
            <w:tcBorders>
              <w:top w:val="single" w:sz="4" w:space="0" w:color="auto"/>
              <w:left w:val="single" w:sz="8" w:space="0" w:color="auto"/>
            </w:tcBorders>
          </w:tcPr>
          <w:p w14:paraId="6E2CCCE9" w14:textId="77777777" w:rsidR="007D7CE1" w:rsidRPr="005474B2" w:rsidRDefault="007D7CE1">
            <w:pPr>
              <w:jc w:val="both"/>
              <w:rPr>
                <w:rFonts w:eastAsia="MS Mincho"/>
                <w:sz w:val="22"/>
                <w:szCs w:val="22"/>
                <w:lang w:val="sr-Latn-ME"/>
              </w:rPr>
            </w:pPr>
          </w:p>
        </w:tc>
        <w:tc>
          <w:tcPr>
            <w:tcW w:w="1302" w:type="dxa"/>
            <w:tcBorders>
              <w:top w:val="single" w:sz="4" w:space="0" w:color="auto"/>
            </w:tcBorders>
          </w:tcPr>
          <w:p w14:paraId="47BDEDF8" w14:textId="77777777" w:rsidR="007D7CE1" w:rsidRPr="005474B2" w:rsidRDefault="007D7CE1">
            <w:pPr>
              <w:jc w:val="both"/>
              <w:rPr>
                <w:rFonts w:eastAsia="MS Mincho"/>
                <w:sz w:val="22"/>
                <w:szCs w:val="22"/>
                <w:lang w:val="sr-Latn-ME"/>
              </w:rPr>
            </w:pPr>
          </w:p>
        </w:tc>
        <w:tc>
          <w:tcPr>
            <w:tcW w:w="1307" w:type="dxa"/>
            <w:tcBorders>
              <w:top w:val="single" w:sz="4" w:space="0" w:color="auto"/>
            </w:tcBorders>
          </w:tcPr>
          <w:p w14:paraId="5C5F2F83" w14:textId="77777777" w:rsidR="007D7CE1" w:rsidRPr="005474B2" w:rsidRDefault="007D7CE1">
            <w:pPr>
              <w:jc w:val="both"/>
              <w:rPr>
                <w:rFonts w:eastAsia="MS Mincho"/>
                <w:sz w:val="22"/>
                <w:szCs w:val="22"/>
                <w:lang w:val="sr-Latn-ME"/>
              </w:rPr>
            </w:pPr>
          </w:p>
        </w:tc>
      </w:tr>
      <w:tr w:rsidR="007D7CE1" w:rsidRPr="0009637B" w14:paraId="27307347" w14:textId="77777777" w:rsidTr="007D7CE1">
        <w:trPr>
          <w:trHeight w:val="195"/>
        </w:trPr>
        <w:tc>
          <w:tcPr>
            <w:tcW w:w="2088" w:type="dxa"/>
            <w:tcBorders>
              <w:top w:val="nil"/>
              <w:left w:val="single" w:sz="8" w:space="0" w:color="000000"/>
              <w:bottom w:val="nil"/>
              <w:right w:val="single" w:sz="8" w:space="0" w:color="000000"/>
            </w:tcBorders>
            <w:shd w:val="clear" w:color="auto" w:fill="auto"/>
          </w:tcPr>
          <w:p w14:paraId="2A664C6A"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16.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left w:val="single" w:sz="8" w:space="0" w:color="000000"/>
            </w:tcBorders>
            <w:shd w:val="clear" w:color="auto" w:fill="auto"/>
          </w:tcPr>
          <w:p w14:paraId="318E368E"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-0,50</w:t>
            </w:r>
          </w:p>
        </w:tc>
        <w:tc>
          <w:tcPr>
            <w:tcW w:w="1302" w:type="dxa"/>
            <w:shd w:val="clear" w:color="auto" w:fill="auto"/>
          </w:tcPr>
          <w:p w14:paraId="37CFBA55" w14:textId="77777777" w:rsidR="007D7CE1" w:rsidRPr="005474B2" w:rsidRDefault="007D7CE1">
            <w:pPr>
              <w:jc w:val="both"/>
              <w:rPr>
                <w:rFonts w:eastAsia="MS Mincho"/>
                <w:sz w:val="22"/>
                <w:szCs w:val="22"/>
                <w:lang w:val="sr-Latn-ME"/>
              </w:rPr>
            </w:pPr>
            <w:r w:rsidRPr="005474B2">
              <w:rPr>
                <w:rFonts w:eastAsia="MS Mincho"/>
                <w:sz w:val="22"/>
                <w:szCs w:val="22"/>
                <w:lang w:val="sr-Latn-ME"/>
              </w:rPr>
              <w:t>-1,45***</w:t>
            </w:r>
          </w:p>
        </w:tc>
        <w:tc>
          <w:tcPr>
            <w:tcW w:w="1301" w:type="dxa"/>
            <w:tcBorders>
              <w:right w:val="single" w:sz="8" w:space="0" w:color="auto"/>
            </w:tcBorders>
            <w:shd w:val="clear" w:color="auto" w:fill="auto"/>
          </w:tcPr>
          <w:p w14:paraId="372C1311" w14:textId="77777777" w:rsidR="007D7CE1" w:rsidRPr="005474B2" w:rsidRDefault="007D7CE1">
            <w:pPr>
              <w:jc w:val="both"/>
              <w:rPr>
                <w:rFonts w:eastAsia="MS Mincho"/>
                <w:sz w:val="22"/>
                <w:szCs w:val="22"/>
                <w:lang w:val="sr-Latn-ME"/>
              </w:rPr>
            </w:pPr>
            <w:r w:rsidRPr="005474B2">
              <w:rPr>
                <w:rFonts w:eastAsia="MS Mincho"/>
                <w:sz w:val="22"/>
                <w:szCs w:val="22"/>
                <w:lang w:val="sr-Latn-ME"/>
              </w:rPr>
              <w:t>-1,51***</w:t>
            </w:r>
          </w:p>
        </w:tc>
        <w:tc>
          <w:tcPr>
            <w:tcW w:w="1078" w:type="dxa"/>
            <w:tcBorders>
              <w:left w:val="single" w:sz="8" w:space="0" w:color="auto"/>
            </w:tcBorders>
          </w:tcPr>
          <w:p w14:paraId="30E431E4" w14:textId="77777777" w:rsidR="007D7CE1" w:rsidRPr="005474B2" w:rsidRDefault="007D7CE1">
            <w:pPr>
              <w:jc w:val="both"/>
              <w:rPr>
                <w:rFonts w:eastAsia="MS Mincho"/>
                <w:sz w:val="22"/>
                <w:szCs w:val="22"/>
                <w:lang w:val="sr-Latn-ME"/>
              </w:rPr>
            </w:pPr>
            <w:r w:rsidRPr="005474B2">
              <w:rPr>
                <w:rFonts w:eastAsia="MS Mincho"/>
                <w:sz w:val="22"/>
                <w:szCs w:val="22"/>
                <w:lang w:val="sr-Latn-ME"/>
              </w:rPr>
              <w:t>-0,63</w:t>
            </w:r>
          </w:p>
        </w:tc>
        <w:tc>
          <w:tcPr>
            <w:tcW w:w="1302" w:type="dxa"/>
          </w:tcPr>
          <w:p w14:paraId="3D5AD2F1" w14:textId="77777777" w:rsidR="007D7CE1" w:rsidRPr="005474B2" w:rsidRDefault="007D7CE1">
            <w:pPr>
              <w:jc w:val="both"/>
              <w:rPr>
                <w:rFonts w:eastAsia="MS Mincho"/>
                <w:sz w:val="22"/>
                <w:szCs w:val="22"/>
                <w:lang w:val="sr-Latn-ME"/>
              </w:rPr>
            </w:pPr>
            <w:r w:rsidRPr="005474B2">
              <w:rPr>
                <w:rFonts w:eastAsia="MS Mincho"/>
                <w:sz w:val="22"/>
                <w:szCs w:val="22"/>
                <w:lang w:val="sr-Latn-ME"/>
              </w:rPr>
              <w:t>-1,29*</w:t>
            </w:r>
          </w:p>
        </w:tc>
        <w:tc>
          <w:tcPr>
            <w:tcW w:w="1307" w:type="dxa"/>
          </w:tcPr>
          <w:p w14:paraId="605B3C98" w14:textId="77777777" w:rsidR="007D7CE1" w:rsidRPr="005474B2" w:rsidRDefault="007D7CE1">
            <w:pPr>
              <w:jc w:val="both"/>
              <w:rPr>
                <w:rFonts w:eastAsia="MS Mincho"/>
                <w:sz w:val="22"/>
                <w:szCs w:val="22"/>
                <w:lang w:val="sr-Latn-ME"/>
              </w:rPr>
            </w:pPr>
            <w:r w:rsidRPr="005474B2">
              <w:rPr>
                <w:rFonts w:eastAsia="MS Mincho"/>
                <w:sz w:val="22"/>
                <w:szCs w:val="22"/>
                <w:lang w:val="sr-Latn-ME"/>
              </w:rPr>
              <w:t>-1,49*</w:t>
            </w:r>
          </w:p>
        </w:tc>
      </w:tr>
      <w:tr w:rsidR="007D7CE1" w:rsidRPr="0009637B" w14:paraId="10D98415" w14:textId="77777777" w:rsidTr="007D7CE1">
        <w:trPr>
          <w:trHeight w:val="195"/>
        </w:trPr>
        <w:tc>
          <w:tcPr>
            <w:tcW w:w="2088" w:type="dxa"/>
            <w:tcBorders>
              <w:top w:val="nil"/>
              <w:left w:val="single" w:sz="8" w:space="0" w:color="000000"/>
              <w:bottom w:val="single" w:sz="4" w:space="0" w:color="auto"/>
              <w:right w:val="single" w:sz="8" w:space="0" w:color="000000"/>
            </w:tcBorders>
            <w:shd w:val="clear" w:color="auto" w:fill="auto"/>
          </w:tcPr>
          <w:p w14:paraId="08C33F64" w14:textId="77777777" w:rsidR="007D7CE1" w:rsidRPr="005474B2" w:rsidRDefault="007D7CE1" w:rsidP="0009637B">
            <w:pPr>
              <w:keepLines/>
              <w:widowControl w:val="0"/>
              <w:ind w:left="180"/>
              <w:jc w:val="both"/>
              <w:rPr>
                <w:rFonts w:eastAsia="MS Mincho"/>
                <w:b/>
                <w:bCs/>
                <w:sz w:val="22"/>
                <w:szCs w:val="22"/>
                <w:lang w:val="sr-Latn-ME"/>
              </w:rPr>
            </w:pPr>
            <w:r w:rsidRPr="005474B2">
              <w:rPr>
                <w:rFonts w:eastAsia="MS Mincho"/>
                <w:b/>
                <w:bCs/>
                <w:sz w:val="22"/>
                <w:szCs w:val="22"/>
                <w:lang w:val="sr-Latn-ME"/>
              </w:rPr>
              <w:t xml:space="preserve">24.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left w:val="single" w:sz="8" w:space="0" w:color="000000"/>
            </w:tcBorders>
            <w:shd w:val="clear" w:color="auto" w:fill="auto"/>
          </w:tcPr>
          <w:p w14:paraId="45639594" w14:textId="77777777" w:rsidR="007D7CE1" w:rsidRPr="005474B2" w:rsidRDefault="007D7CE1" w:rsidP="0009637B">
            <w:pPr>
              <w:keepLines/>
              <w:widowControl w:val="0"/>
              <w:jc w:val="both"/>
              <w:rPr>
                <w:rFonts w:eastAsia="MS Mincho"/>
                <w:sz w:val="22"/>
                <w:szCs w:val="22"/>
                <w:lang w:val="sr-Latn-ME"/>
              </w:rPr>
            </w:pPr>
            <w:r w:rsidRPr="005474B2">
              <w:rPr>
                <w:rFonts w:eastAsia="MS Mincho"/>
                <w:sz w:val="22"/>
                <w:szCs w:val="22"/>
                <w:lang w:val="sr-Latn-ME"/>
              </w:rPr>
              <w:t>-0,96</w:t>
            </w:r>
          </w:p>
        </w:tc>
        <w:tc>
          <w:tcPr>
            <w:tcW w:w="1302" w:type="dxa"/>
            <w:shd w:val="clear" w:color="auto" w:fill="auto"/>
          </w:tcPr>
          <w:p w14:paraId="186E15BA" w14:textId="77777777" w:rsidR="007D7CE1" w:rsidRPr="005474B2" w:rsidRDefault="007D7CE1">
            <w:pPr>
              <w:jc w:val="both"/>
              <w:rPr>
                <w:rFonts w:eastAsia="MS Mincho"/>
                <w:sz w:val="22"/>
                <w:szCs w:val="22"/>
                <w:lang w:val="sr-Latn-ME"/>
              </w:rPr>
            </w:pPr>
            <w:r w:rsidRPr="005474B2">
              <w:rPr>
                <w:rFonts w:eastAsia="MS Mincho"/>
                <w:sz w:val="22"/>
                <w:szCs w:val="22"/>
                <w:lang w:val="sr-Latn-ME"/>
              </w:rPr>
              <w:t>-1,58**</w:t>
            </w:r>
          </w:p>
        </w:tc>
        <w:tc>
          <w:tcPr>
            <w:tcW w:w="1301" w:type="dxa"/>
            <w:tcBorders>
              <w:right w:val="single" w:sz="8" w:space="0" w:color="auto"/>
            </w:tcBorders>
            <w:shd w:val="clear" w:color="auto" w:fill="auto"/>
          </w:tcPr>
          <w:p w14:paraId="52443492" w14:textId="77777777" w:rsidR="007D7CE1" w:rsidRPr="005474B2" w:rsidRDefault="007D7CE1">
            <w:pPr>
              <w:jc w:val="both"/>
              <w:rPr>
                <w:rFonts w:eastAsia="MS Mincho"/>
                <w:sz w:val="22"/>
                <w:szCs w:val="22"/>
                <w:lang w:val="sr-Latn-ME"/>
              </w:rPr>
            </w:pPr>
            <w:r w:rsidRPr="005474B2">
              <w:rPr>
                <w:rFonts w:eastAsia="MS Mincho"/>
                <w:sz w:val="22"/>
                <w:szCs w:val="22"/>
                <w:lang w:val="sr-Latn-ME"/>
              </w:rPr>
              <w:t>-1,61**</w:t>
            </w:r>
          </w:p>
        </w:tc>
        <w:tc>
          <w:tcPr>
            <w:tcW w:w="1078" w:type="dxa"/>
            <w:tcBorders>
              <w:left w:val="single" w:sz="8" w:space="0" w:color="auto"/>
            </w:tcBorders>
          </w:tcPr>
          <w:p w14:paraId="1DA1A121" w14:textId="77777777" w:rsidR="007D7CE1" w:rsidRPr="005474B2" w:rsidRDefault="007D7CE1">
            <w:pPr>
              <w:jc w:val="both"/>
              <w:rPr>
                <w:rFonts w:eastAsia="MS Mincho"/>
                <w:sz w:val="22"/>
                <w:szCs w:val="22"/>
                <w:lang w:val="sr-Latn-ME"/>
              </w:rPr>
            </w:pPr>
            <w:r w:rsidRPr="005474B2">
              <w:rPr>
                <w:rFonts w:eastAsia="MS Mincho"/>
                <w:sz w:val="22"/>
                <w:szCs w:val="22"/>
                <w:lang w:val="sr-Latn-ME"/>
              </w:rPr>
              <w:t>-0,84</w:t>
            </w:r>
          </w:p>
        </w:tc>
        <w:tc>
          <w:tcPr>
            <w:tcW w:w="1302" w:type="dxa"/>
          </w:tcPr>
          <w:p w14:paraId="5CAF2B87" w14:textId="77777777" w:rsidR="007D7CE1" w:rsidRPr="005474B2" w:rsidRDefault="007D7CE1">
            <w:pPr>
              <w:jc w:val="both"/>
              <w:rPr>
                <w:rFonts w:eastAsia="MS Mincho"/>
                <w:sz w:val="22"/>
                <w:szCs w:val="22"/>
                <w:lang w:val="sr-Latn-ME"/>
              </w:rPr>
            </w:pPr>
            <w:r w:rsidRPr="005474B2">
              <w:rPr>
                <w:rFonts w:eastAsia="MS Mincho"/>
                <w:sz w:val="22"/>
                <w:szCs w:val="22"/>
                <w:lang w:val="sr-Latn-ME"/>
              </w:rPr>
              <w:t>-1,57***</w:t>
            </w:r>
          </w:p>
        </w:tc>
        <w:tc>
          <w:tcPr>
            <w:tcW w:w="1307" w:type="dxa"/>
          </w:tcPr>
          <w:p w14:paraId="4725D141" w14:textId="77777777" w:rsidR="007D7CE1" w:rsidRPr="005474B2" w:rsidRDefault="007D7CE1">
            <w:pPr>
              <w:jc w:val="both"/>
              <w:rPr>
                <w:rFonts w:eastAsia="MS Mincho"/>
                <w:sz w:val="22"/>
                <w:szCs w:val="22"/>
                <w:lang w:val="sr-Latn-ME"/>
              </w:rPr>
            </w:pPr>
            <w:r w:rsidRPr="005474B2">
              <w:rPr>
                <w:rFonts w:eastAsia="MS Mincho"/>
                <w:sz w:val="22"/>
                <w:szCs w:val="22"/>
                <w:lang w:val="sr-Latn-ME"/>
              </w:rPr>
              <w:t>-1,68***</w:t>
            </w:r>
          </w:p>
        </w:tc>
      </w:tr>
      <w:tr w:rsidR="007D7CE1" w:rsidRPr="0009637B" w14:paraId="1A32039E" w14:textId="77777777" w:rsidTr="007D7CE1">
        <w:trPr>
          <w:trHeight w:val="290"/>
        </w:trPr>
        <w:tc>
          <w:tcPr>
            <w:tcW w:w="2088" w:type="dxa"/>
            <w:tcBorders>
              <w:top w:val="single" w:sz="8" w:space="0" w:color="000000"/>
              <w:left w:val="single" w:sz="8" w:space="0" w:color="000000"/>
              <w:bottom w:val="single" w:sz="8" w:space="0" w:color="000000"/>
              <w:right w:val="single" w:sz="8" w:space="0" w:color="000000"/>
            </w:tcBorders>
            <w:shd w:val="clear" w:color="auto" w:fill="auto"/>
          </w:tcPr>
          <w:p w14:paraId="03ACC877"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Broj pacijenata sa ≥3% BSA zahvaćenosti kože psorijazom na početku</w:t>
            </w:r>
          </w:p>
        </w:tc>
        <w:tc>
          <w:tcPr>
            <w:tcW w:w="1086" w:type="dxa"/>
            <w:tcBorders>
              <w:top w:val="single" w:sz="8" w:space="0" w:color="000000"/>
              <w:left w:val="single" w:sz="8" w:space="0" w:color="000000"/>
              <w:bottom w:val="single" w:sz="8" w:space="0" w:color="000000"/>
            </w:tcBorders>
            <w:shd w:val="clear" w:color="auto" w:fill="auto"/>
          </w:tcPr>
          <w:p w14:paraId="16931E80" w14:textId="77777777" w:rsidR="007D7CE1" w:rsidRPr="005474B2" w:rsidRDefault="007D7CE1" w:rsidP="0009637B">
            <w:pPr>
              <w:keepNext/>
              <w:keepLines/>
              <w:widowControl w:val="0"/>
              <w:jc w:val="both"/>
              <w:rPr>
                <w:rFonts w:eastAsia="MS Mincho"/>
                <w:sz w:val="22"/>
                <w:szCs w:val="22"/>
                <w:lang w:val="sr-Latn-ME"/>
              </w:rPr>
            </w:pPr>
            <w:r w:rsidRPr="005474B2">
              <w:rPr>
                <w:rFonts w:eastAsia="MS Mincho"/>
                <w:sz w:val="22"/>
                <w:szCs w:val="22"/>
                <w:lang w:val="sr-Latn-ME"/>
              </w:rPr>
              <w:t>43</w:t>
            </w:r>
          </w:p>
          <w:p w14:paraId="2505E0DB"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(43,9%)</w:t>
            </w:r>
          </w:p>
        </w:tc>
        <w:tc>
          <w:tcPr>
            <w:tcW w:w="1302" w:type="dxa"/>
            <w:tcBorders>
              <w:top w:val="single" w:sz="8" w:space="0" w:color="000000"/>
              <w:bottom w:val="single" w:sz="8" w:space="0" w:color="000000"/>
            </w:tcBorders>
            <w:shd w:val="clear" w:color="auto" w:fill="auto"/>
          </w:tcPr>
          <w:p w14:paraId="6D8FE88E"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58</w:t>
            </w:r>
          </w:p>
          <w:p w14:paraId="44D975DD"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(58,0%)</w:t>
            </w:r>
          </w:p>
        </w:tc>
        <w:tc>
          <w:tcPr>
            <w:tcW w:w="1301" w:type="dxa"/>
            <w:tcBorders>
              <w:top w:val="single" w:sz="8" w:space="0" w:color="000000"/>
              <w:bottom w:val="single" w:sz="8" w:space="0" w:color="000000"/>
              <w:right w:val="single" w:sz="8" w:space="0" w:color="auto"/>
            </w:tcBorders>
            <w:shd w:val="clear" w:color="auto" w:fill="auto"/>
          </w:tcPr>
          <w:p w14:paraId="658B76E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41</w:t>
            </w:r>
          </w:p>
          <w:p w14:paraId="325C562E"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(41,0%)</w:t>
            </w:r>
          </w:p>
        </w:tc>
        <w:tc>
          <w:tcPr>
            <w:tcW w:w="1078" w:type="dxa"/>
            <w:tcBorders>
              <w:top w:val="single" w:sz="8" w:space="0" w:color="000000"/>
              <w:left w:val="single" w:sz="8" w:space="0" w:color="auto"/>
              <w:bottom w:val="single" w:sz="8" w:space="0" w:color="000000"/>
              <w:right w:val="nil"/>
            </w:tcBorders>
          </w:tcPr>
          <w:p w14:paraId="1B62DE48"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162</w:t>
            </w:r>
          </w:p>
          <w:p w14:paraId="3AF63325"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(48,8%)</w:t>
            </w:r>
          </w:p>
        </w:tc>
        <w:tc>
          <w:tcPr>
            <w:tcW w:w="1302" w:type="dxa"/>
            <w:tcBorders>
              <w:top w:val="single" w:sz="8" w:space="0" w:color="000000"/>
              <w:left w:val="nil"/>
              <w:bottom w:val="single" w:sz="8" w:space="0" w:color="000000"/>
              <w:right w:val="nil"/>
            </w:tcBorders>
          </w:tcPr>
          <w:p w14:paraId="1214D4C2"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125</w:t>
            </w:r>
          </w:p>
          <w:p w14:paraId="4432C070"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(56,8%)</w:t>
            </w:r>
          </w:p>
        </w:tc>
        <w:tc>
          <w:tcPr>
            <w:tcW w:w="1307" w:type="dxa"/>
            <w:tcBorders>
              <w:top w:val="single" w:sz="8" w:space="0" w:color="000000"/>
              <w:left w:val="nil"/>
              <w:bottom w:val="single" w:sz="8" w:space="0" w:color="000000"/>
              <w:right w:val="single" w:sz="8" w:space="0" w:color="000000"/>
            </w:tcBorders>
          </w:tcPr>
          <w:p w14:paraId="6A0D57BC"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110</w:t>
            </w:r>
          </w:p>
          <w:p w14:paraId="1CEBB957" w14:textId="77777777" w:rsidR="007D7CE1" w:rsidRPr="005474B2" w:rsidRDefault="007D7CE1">
            <w:pPr>
              <w:keepNext/>
              <w:keepLines/>
              <w:widowControl w:val="0"/>
              <w:jc w:val="both"/>
              <w:rPr>
                <w:rFonts w:eastAsia="MS Mincho"/>
                <w:sz w:val="22"/>
                <w:szCs w:val="22"/>
                <w:lang w:val="sr-Latn-ME"/>
              </w:rPr>
            </w:pPr>
            <w:r w:rsidRPr="005474B2">
              <w:rPr>
                <w:rFonts w:eastAsia="MS Mincho"/>
                <w:sz w:val="22"/>
                <w:szCs w:val="22"/>
                <w:lang w:val="sr-Latn-ME"/>
              </w:rPr>
              <w:t>(49,5%)</w:t>
            </w:r>
          </w:p>
        </w:tc>
      </w:tr>
      <w:tr w:rsidR="007D7CE1" w:rsidRPr="0009637B" w14:paraId="0ACDE841" w14:textId="77777777" w:rsidTr="007D7CE1">
        <w:trPr>
          <w:trHeight w:val="290"/>
        </w:trPr>
        <w:tc>
          <w:tcPr>
            <w:tcW w:w="2088" w:type="dxa"/>
            <w:tcBorders>
              <w:right w:val="single" w:sz="8" w:space="0" w:color="000000"/>
            </w:tcBorders>
            <w:shd w:val="clear" w:color="auto" w:fill="auto"/>
          </w:tcPr>
          <w:p w14:paraId="0BC1830B"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PASI 75 odgovor</w:t>
            </w:r>
          </w:p>
          <w:p w14:paraId="19CCEAC8"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n (%)</w:t>
            </w:r>
          </w:p>
        </w:tc>
        <w:tc>
          <w:tcPr>
            <w:tcW w:w="1086" w:type="dxa"/>
            <w:tcBorders>
              <w:left w:val="single" w:sz="8" w:space="0" w:color="000000"/>
            </w:tcBorders>
            <w:shd w:val="clear" w:color="auto" w:fill="auto"/>
          </w:tcPr>
          <w:p w14:paraId="6557AD75" w14:textId="77777777" w:rsidR="007D7CE1" w:rsidRPr="005474B2" w:rsidRDefault="007D7CE1">
            <w:pPr>
              <w:jc w:val="both"/>
              <w:rPr>
                <w:rFonts w:eastAsia="MS Mincho"/>
                <w:sz w:val="22"/>
                <w:szCs w:val="22"/>
                <w:lang w:val="sr-Latn-ME"/>
              </w:rPr>
            </w:pPr>
          </w:p>
        </w:tc>
        <w:tc>
          <w:tcPr>
            <w:tcW w:w="1302" w:type="dxa"/>
            <w:shd w:val="clear" w:color="auto" w:fill="auto"/>
          </w:tcPr>
          <w:p w14:paraId="6FA6412F" w14:textId="77777777" w:rsidR="007D7CE1" w:rsidRPr="005474B2" w:rsidRDefault="007D7CE1">
            <w:pPr>
              <w:jc w:val="both"/>
              <w:rPr>
                <w:rFonts w:eastAsia="MS Mincho"/>
                <w:sz w:val="22"/>
                <w:szCs w:val="22"/>
                <w:lang w:val="sr-Latn-ME"/>
              </w:rPr>
            </w:pPr>
          </w:p>
        </w:tc>
        <w:tc>
          <w:tcPr>
            <w:tcW w:w="1301" w:type="dxa"/>
            <w:tcBorders>
              <w:right w:val="single" w:sz="8" w:space="0" w:color="auto"/>
            </w:tcBorders>
            <w:shd w:val="clear" w:color="auto" w:fill="auto"/>
          </w:tcPr>
          <w:p w14:paraId="581FA68D" w14:textId="77777777" w:rsidR="007D7CE1" w:rsidRPr="005474B2" w:rsidRDefault="007D7CE1">
            <w:pPr>
              <w:jc w:val="both"/>
              <w:rPr>
                <w:rFonts w:eastAsia="MS Mincho"/>
                <w:sz w:val="22"/>
                <w:szCs w:val="22"/>
                <w:lang w:val="sr-Latn-ME"/>
              </w:rPr>
            </w:pPr>
          </w:p>
        </w:tc>
        <w:tc>
          <w:tcPr>
            <w:tcW w:w="1078" w:type="dxa"/>
            <w:tcBorders>
              <w:left w:val="single" w:sz="8" w:space="0" w:color="auto"/>
            </w:tcBorders>
          </w:tcPr>
          <w:p w14:paraId="51456070" w14:textId="77777777" w:rsidR="007D7CE1" w:rsidRPr="005474B2" w:rsidRDefault="007D7CE1">
            <w:pPr>
              <w:jc w:val="both"/>
              <w:rPr>
                <w:rFonts w:eastAsia="MS Mincho"/>
                <w:sz w:val="22"/>
                <w:szCs w:val="22"/>
                <w:lang w:val="sr-Latn-ME"/>
              </w:rPr>
            </w:pPr>
          </w:p>
        </w:tc>
        <w:tc>
          <w:tcPr>
            <w:tcW w:w="1302" w:type="dxa"/>
          </w:tcPr>
          <w:p w14:paraId="6D919422" w14:textId="77777777" w:rsidR="007D7CE1" w:rsidRPr="005474B2" w:rsidRDefault="007D7CE1">
            <w:pPr>
              <w:jc w:val="both"/>
              <w:rPr>
                <w:rFonts w:eastAsia="MS Mincho"/>
                <w:sz w:val="22"/>
                <w:szCs w:val="22"/>
                <w:lang w:val="sr-Latn-ME"/>
              </w:rPr>
            </w:pPr>
          </w:p>
        </w:tc>
        <w:tc>
          <w:tcPr>
            <w:tcW w:w="1307" w:type="dxa"/>
          </w:tcPr>
          <w:p w14:paraId="04ECC854" w14:textId="77777777" w:rsidR="007D7CE1" w:rsidRPr="005474B2" w:rsidRDefault="007D7CE1">
            <w:pPr>
              <w:jc w:val="both"/>
              <w:rPr>
                <w:rFonts w:eastAsia="MS Mincho"/>
                <w:sz w:val="22"/>
                <w:szCs w:val="22"/>
                <w:lang w:val="sr-Latn-ME"/>
              </w:rPr>
            </w:pPr>
          </w:p>
        </w:tc>
      </w:tr>
      <w:tr w:rsidR="007D7CE1" w:rsidRPr="0009637B" w14:paraId="3819126C" w14:textId="77777777" w:rsidTr="007D7CE1">
        <w:trPr>
          <w:trHeight w:val="290"/>
        </w:trPr>
        <w:tc>
          <w:tcPr>
            <w:tcW w:w="2088" w:type="dxa"/>
            <w:tcBorders>
              <w:top w:val="nil"/>
              <w:left w:val="single" w:sz="8" w:space="0" w:color="000000"/>
              <w:bottom w:val="nil"/>
              <w:right w:val="single" w:sz="8" w:space="0" w:color="000000"/>
            </w:tcBorders>
            <w:shd w:val="clear" w:color="auto" w:fill="auto"/>
          </w:tcPr>
          <w:p w14:paraId="1853BFC3"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16.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left w:val="single" w:sz="8" w:space="0" w:color="000000"/>
            </w:tcBorders>
            <w:shd w:val="clear" w:color="auto" w:fill="auto"/>
          </w:tcPr>
          <w:p w14:paraId="5FF04D84"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3</w:t>
            </w:r>
          </w:p>
          <w:p w14:paraId="20DAAB34" w14:textId="77777777" w:rsidR="007D7CE1" w:rsidRPr="005474B2" w:rsidRDefault="007D7CE1">
            <w:pPr>
              <w:jc w:val="both"/>
              <w:rPr>
                <w:rFonts w:eastAsia="MS Mincho"/>
                <w:sz w:val="22"/>
                <w:szCs w:val="22"/>
                <w:lang w:val="sr-Latn-ME"/>
              </w:rPr>
            </w:pPr>
            <w:r w:rsidRPr="005474B2">
              <w:rPr>
                <w:rFonts w:eastAsia="MS Mincho"/>
                <w:sz w:val="22"/>
                <w:szCs w:val="22"/>
                <w:lang w:val="sr-Latn-ME"/>
              </w:rPr>
              <w:t>(7,0%)</w:t>
            </w:r>
          </w:p>
        </w:tc>
        <w:tc>
          <w:tcPr>
            <w:tcW w:w="1302" w:type="dxa"/>
            <w:shd w:val="clear" w:color="auto" w:fill="auto"/>
          </w:tcPr>
          <w:p w14:paraId="7FE6B318" w14:textId="77777777" w:rsidR="007D7CE1" w:rsidRPr="005474B2" w:rsidRDefault="007D7CE1">
            <w:pPr>
              <w:jc w:val="both"/>
              <w:rPr>
                <w:rFonts w:eastAsia="MS Mincho"/>
                <w:sz w:val="22"/>
                <w:szCs w:val="22"/>
                <w:lang w:val="sr-Latn-ME"/>
              </w:rPr>
            </w:pPr>
            <w:r w:rsidRPr="005474B2">
              <w:rPr>
                <w:rFonts w:eastAsia="MS Mincho"/>
                <w:sz w:val="22"/>
                <w:szCs w:val="22"/>
                <w:lang w:val="sr-Latn-ME"/>
              </w:rPr>
              <w:t>33</w:t>
            </w:r>
          </w:p>
          <w:p w14:paraId="50718B51" w14:textId="77777777" w:rsidR="007D7CE1" w:rsidRPr="005474B2" w:rsidRDefault="007D7CE1">
            <w:pPr>
              <w:jc w:val="both"/>
              <w:rPr>
                <w:rFonts w:eastAsia="MS Mincho"/>
                <w:sz w:val="22"/>
                <w:szCs w:val="22"/>
                <w:lang w:val="sr-Latn-ME"/>
              </w:rPr>
            </w:pPr>
            <w:r w:rsidRPr="005474B2">
              <w:rPr>
                <w:rFonts w:eastAsia="MS Mincho"/>
                <w:sz w:val="22"/>
                <w:szCs w:val="22"/>
                <w:lang w:val="sr-Latn-ME"/>
              </w:rPr>
              <w:t>(56,9%***)</w:t>
            </w:r>
          </w:p>
        </w:tc>
        <w:tc>
          <w:tcPr>
            <w:tcW w:w="1301" w:type="dxa"/>
            <w:tcBorders>
              <w:right w:val="single" w:sz="8" w:space="0" w:color="auto"/>
            </w:tcBorders>
            <w:shd w:val="clear" w:color="auto" w:fill="auto"/>
          </w:tcPr>
          <w:p w14:paraId="2EFA75F9" w14:textId="77777777" w:rsidR="007D7CE1" w:rsidRPr="005474B2" w:rsidRDefault="007D7CE1">
            <w:pPr>
              <w:jc w:val="both"/>
              <w:rPr>
                <w:rFonts w:eastAsia="MS Mincho"/>
                <w:sz w:val="22"/>
                <w:szCs w:val="22"/>
                <w:lang w:val="sr-Latn-ME"/>
              </w:rPr>
            </w:pPr>
            <w:r w:rsidRPr="005474B2">
              <w:rPr>
                <w:rFonts w:eastAsia="MS Mincho"/>
                <w:sz w:val="22"/>
                <w:szCs w:val="22"/>
                <w:lang w:val="sr-Latn-ME"/>
              </w:rPr>
              <w:t>27</w:t>
            </w:r>
          </w:p>
          <w:p w14:paraId="598C993D" w14:textId="77777777" w:rsidR="007D7CE1" w:rsidRPr="005474B2" w:rsidRDefault="007D7CE1">
            <w:pPr>
              <w:jc w:val="both"/>
              <w:rPr>
                <w:rFonts w:eastAsia="MS Mincho"/>
                <w:sz w:val="22"/>
                <w:szCs w:val="22"/>
                <w:lang w:val="sr-Latn-ME"/>
              </w:rPr>
            </w:pPr>
            <w:r w:rsidRPr="005474B2">
              <w:rPr>
                <w:rFonts w:eastAsia="MS Mincho"/>
                <w:sz w:val="22"/>
                <w:szCs w:val="22"/>
                <w:lang w:val="sr-Latn-ME"/>
              </w:rPr>
              <w:t>(65,9%***)</w:t>
            </w:r>
          </w:p>
        </w:tc>
        <w:tc>
          <w:tcPr>
            <w:tcW w:w="1078" w:type="dxa"/>
            <w:tcBorders>
              <w:left w:val="single" w:sz="8" w:space="0" w:color="auto"/>
            </w:tcBorders>
          </w:tcPr>
          <w:p w14:paraId="01DF9374" w14:textId="77777777" w:rsidR="007D7CE1" w:rsidRPr="005474B2" w:rsidRDefault="007D7CE1">
            <w:pPr>
              <w:jc w:val="both"/>
              <w:rPr>
                <w:rFonts w:eastAsia="MS Mincho"/>
                <w:sz w:val="22"/>
                <w:szCs w:val="22"/>
                <w:lang w:val="sr-Latn-ME"/>
              </w:rPr>
            </w:pPr>
            <w:r w:rsidRPr="005474B2">
              <w:rPr>
                <w:rFonts w:eastAsia="MS Mincho"/>
                <w:sz w:val="22"/>
                <w:szCs w:val="22"/>
                <w:lang w:val="sr-Latn-ME"/>
              </w:rPr>
              <w:t>20</w:t>
            </w:r>
          </w:p>
          <w:p w14:paraId="792877E5" w14:textId="77777777" w:rsidR="007D7CE1" w:rsidRPr="005474B2" w:rsidRDefault="007D7CE1">
            <w:pPr>
              <w:jc w:val="both"/>
              <w:rPr>
                <w:rFonts w:eastAsia="MS Mincho"/>
                <w:sz w:val="22"/>
                <w:szCs w:val="22"/>
                <w:lang w:val="sr-Latn-ME"/>
              </w:rPr>
            </w:pPr>
            <w:r w:rsidRPr="005474B2">
              <w:rPr>
                <w:rFonts w:eastAsia="MS Mincho"/>
                <w:sz w:val="22"/>
                <w:szCs w:val="22"/>
                <w:lang w:val="sr-Latn-ME"/>
              </w:rPr>
              <w:t>(12,3%)</w:t>
            </w:r>
          </w:p>
        </w:tc>
        <w:tc>
          <w:tcPr>
            <w:tcW w:w="1302" w:type="dxa"/>
          </w:tcPr>
          <w:p w14:paraId="208C7339" w14:textId="77777777" w:rsidR="007D7CE1" w:rsidRPr="005474B2" w:rsidRDefault="007D7CE1">
            <w:pPr>
              <w:jc w:val="both"/>
              <w:rPr>
                <w:rFonts w:eastAsia="MS Mincho"/>
                <w:sz w:val="22"/>
                <w:szCs w:val="22"/>
                <w:lang w:val="sr-Latn-ME"/>
              </w:rPr>
            </w:pPr>
            <w:r w:rsidRPr="005474B2">
              <w:rPr>
                <w:rFonts w:eastAsia="MS Mincho"/>
                <w:sz w:val="22"/>
                <w:szCs w:val="22"/>
                <w:lang w:val="sr-Latn-ME"/>
              </w:rPr>
              <w:t>75</w:t>
            </w:r>
          </w:p>
          <w:p w14:paraId="472D12D2" w14:textId="77777777" w:rsidR="007D7CE1" w:rsidRPr="005474B2" w:rsidRDefault="007D7CE1">
            <w:pPr>
              <w:jc w:val="both"/>
              <w:rPr>
                <w:rFonts w:eastAsia="MS Mincho"/>
                <w:sz w:val="22"/>
                <w:szCs w:val="22"/>
                <w:lang w:val="sr-Latn-ME"/>
              </w:rPr>
            </w:pPr>
            <w:r w:rsidRPr="005474B2">
              <w:rPr>
                <w:rFonts w:eastAsia="MS Mincho"/>
                <w:sz w:val="22"/>
                <w:szCs w:val="22"/>
                <w:lang w:val="sr-Latn-ME"/>
              </w:rPr>
              <w:t>(60,0%*)</w:t>
            </w:r>
          </w:p>
        </w:tc>
        <w:tc>
          <w:tcPr>
            <w:tcW w:w="1307" w:type="dxa"/>
          </w:tcPr>
          <w:p w14:paraId="2737D636" w14:textId="77777777" w:rsidR="007D7CE1" w:rsidRPr="005474B2" w:rsidRDefault="007D7CE1">
            <w:pPr>
              <w:jc w:val="both"/>
              <w:rPr>
                <w:rFonts w:eastAsia="MS Mincho"/>
                <w:sz w:val="22"/>
                <w:szCs w:val="22"/>
                <w:lang w:val="sr-Latn-ME"/>
              </w:rPr>
            </w:pPr>
            <w:r w:rsidRPr="005474B2">
              <w:rPr>
                <w:rFonts w:eastAsia="MS Mincho"/>
                <w:sz w:val="22"/>
                <w:szCs w:val="22"/>
                <w:lang w:val="sr-Latn-ME"/>
              </w:rPr>
              <w:t>77</w:t>
            </w:r>
          </w:p>
          <w:p w14:paraId="242199E1" w14:textId="77777777" w:rsidR="007D7CE1" w:rsidRPr="005474B2" w:rsidRDefault="007D7CE1">
            <w:pPr>
              <w:jc w:val="both"/>
              <w:rPr>
                <w:rFonts w:eastAsia="MS Mincho"/>
                <w:sz w:val="22"/>
                <w:szCs w:val="22"/>
                <w:lang w:val="sr-Latn-ME"/>
              </w:rPr>
            </w:pPr>
            <w:r w:rsidRPr="005474B2">
              <w:rPr>
                <w:rFonts w:eastAsia="MS Mincho"/>
                <w:sz w:val="22"/>
                <w:szCs w:val="22"/>
                <w:lang w:val="sr-Latn-ME"/>
              </w:rPr>
              <w:t>(70,0%*)</w:t>
            </w:r>
          </w:p>
        </w:tc>
      </w:tr>
      <w:tr w:rsidR="007D7CE1" w:rsidRPr="0009637B" w14:paraId="336B0B06" w14:textId="77777777" w:rsidTr="007D7CE1">
        <w:trPr>
          <w:trHeight w:val="290"/>
        </w:trPr>
        <w:tc>
          <w:tcPr>
            <w:tcW w:w="2088" w:type="dxa"/>
            <w:tcBorders>
              <w:top w:val="nil"/>
              <w:left w:val="single" w:sz="8" w:space="0" w:color="000000"/>
              <w:bottom w:val="single" w:sz="4" w:space="0" w:color="auto"/>
              <w:right w:val="single" w:sz="8" w:space="0" w:color="000000"/>
            </w:tcBorders>
            <w:shd w:val="clear" w:color="auto" w:fill="auto"/>
          </w:tcPr>
          <w:p w14:paraId="34E4903A" w14:textId="77777777" w:rsidR="007D7CE1" w:rsidRPr="005474B2" w:rsidRDefault="007D7CE1" w:rsidP="0009637B">
            <w:pPr>
              <w:keepLines/>
              <w:widowControl w:val="0"/>
              <w:ind w:left="180"/>
              <w:jc w:val="both"/>
              <w:rPr>
                <w:rFonts w:eastAsia="MS Mincho"/>
                <w:b/>
                <w:bCs/>
                <w:sz w:val="22"/>
                <w:szCs w:val="22"/>
                <w:lang w:val="sr-Latn-ME"/>
              </w:rPr>
            </w:pPr>
            <w:r w:rsidRPr="005474B2">
              <w:rPr>
                <w:rFonts w:eastAsia="MS Mincho"/>
                <w:b/>
                <w:bCs/>
                <w:sz w:val="22"/>
                <w:szCs w:val="22"/>
                <w:lang w:val="sr-Latn-ME"/>
              </w:rPr>
              <w:t xml:space="preserve">24.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left w:val="single" w:sz="8" w:space="0" w:color="000000"/>
            </w:tcBorders>
            <w:shd w:val="clear" w:color="auto" w:fill="auto"/>
          </w:tcPr>
          <w:p w14:paraId="3F7DD67D"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7</w:t>
            </w:r>
          </w:p>
          <w:p w14:paraId="599A55F2" w14:textId="77777777" w:rsidR="007D7CE1" w:rsidRPr="005474B2" w:rsidRDefault="007D7CE1">
            <w:pPr>
              <w:jc w:val="both"/>
              <w:rPr>
                <w:rFonts w:eastAsia="MS Mincho"/>
                <w:sz w:val="22"/>
                <w:szCs w:val="22"/>
                <w:lang w:val="sr-Latn-ME"/>
              </w:rPr>
            </w:pPr>
            <w:r w:rsidRPr="005474B2">
              <w:rPr>
                <w:rFonts w:eastAsia="MS Mincho"/>
                <w:sz w:val="22"/>
                <w:szCs w:val="22"/>
                <w:lang w:val="sr-Latn-ME"/>
              </w:rPr>
              <w:t>(16,3%)</w:t>
            </w:r>
          </w:p>
        </w:tc>
        <w:tc>
          <w:tcPr>
            <w:tcW w:w="1302" w:type="dxa"/>
            <w:shd w:val="clear" w:color="auto" w:fill="auto"/>
          </w:tcPr>
          <w:p w14:paraId="10E00B45" w14:textId="77777777" w:rsidR="007D7CE1" w:rsidRPr="005474B2" w:rsidRDefault="007D7CE1">
            <w:pPr>
              <w:jc w:val="both"/>
              <w:rPr>
                <w:rFonts w:eastAsia="MS Mincho"/>
                <w:sz w:val="22"/>
                <w:szCs w:val="22"/>
                <w:lang w:val="sr-Latn-ME"/>
              </w:rPr>
            </w:pPr>
            <w:r w:rsidRPr="005474B2">
              <w:rPr>
                <w:rFonts w:eastAsia="MS Mincho"/>
                <w:sz w:val="22"/>
                <w:szCs w:val="22"/>
                <w:lang w:val="sr-Latn-ME"/>
              </w:rPr>
              <w:t>28</w:t>
            </w:r>
          </w:p>
          <w:p w14:paraId="7E1D0E2F" w14:textId="77777777" w:rsidR="007D7CE1" w:rsidRPr="005474B2" w:rsidRDefault="007D7CE1">
            <w:pPr>
              <w:jc w:val="both"/>
              <w:rPr>
                <w:rFonts w:eastAsia="MS Mincho"/>
                <w:sz w:val="22"/>
                <w:szCs w:val="22"/>
                <w:lang w:val="sr-Latn-ME"/>
              </w:rPr>
            </w:pPr>
            <w:r w:rsidRPr="005474B2">
              <w:rPr>
                <w:rFonts w:eastAsia="MS Mincho"/>
                <w:sz w:val="22"/>
                <w:szCs w:val="22"/>
                <w:lang w:val="sr-Latn-ME"/>
              </w:rPr>
              <w:t>(48,3%**)</w:t>
            </w:r>
          </w:p>
        </w:tc>
        <w:tc>
          <w:tcPr>
            <w:tcW w:w="1301" w:type="dxa"/>
            <w:tcBorders>
              <w:right w:val="single" w:sz="8" w:space="0" w:color="auto"/>
            </w:tcBorders>
            <w:shd w:val="clear" w:color="auto" w:fill="auto"/>
          </w:tcPr>
          <w:p w14:paraId="3BB62326" w14:textId="77777777" w:rsidR="007D7CE1" w:rsidRPr="005474B2" w:rsidRDefault="007D7CE1">
            <w:pPr>
              <w:jc w:val="both"/>
              <w:rPr>
                <w:rFonts w:eastAsia="MS Mincho"/>
                <w:sz w:val="22"/>
                <w:szCs w:val="22"/>
                <w:lang w:val="sr-Latn-ME"/>
              </w:rPr>
            </w:pPr>
            <w:r w:rsidRPr="005474B2">
              <w:rPr>
                <w:rFonts w:eastAsia="MS Mincho"/>
                <w:sz w:val="22"/>
                <w:szCs w:val="22"/>
                <w:lang w:val="sr-Latn-ME"/>
              </w:rPr>
              <w:t>26</w:t>
            </w:r>
          </w:p>
          <w:p w14:paraId="556F4F3B" w14:textId="77777777" w:rsidR="007D7CE1" w:rsidRPr="005474B2" w:rsidRDefault="007D7CE1">
            <w:pPr>
              <w:jc w:val="both"/>
              <w:rPr>
                <w:rFonts w:eastAsia="MS Mincho"/>
                <w:sz w:val="22"/>
                <w:szCs w:val="22"/>
                <w:lang w:val="sr-Latn-ME"/>
              </w:rPr>
            </w:pPr>
            <w:r w:rsidRPr="005474B2">
              <w:rPr>
                <w:rFonts w:eastAsia="MS Mincho"/>
                <w:sz w:val="22"/>
                <w:szCs w:val="22"/>
                <w:lang w:val="sr-Latn-ME"/>
              </w:rPr>
              <w:t>(63,4%***)</w:t>
            </w:r>
          </w:p>
        </w:tc>
        <w:tc>
          <w:tcPr>
            <w:tcW w:w="1078" w:type="dxa"/>
            <w:tcBorders>
              <w:left w:val="single" w:sz="8" w:space="0" w:color="auto"/>
            </w:tcBorders>
          </w:tcPr>
          <w:p w14:paraId="2A3F6FE3" w14:textId="77777777" w:rsidR="007D7CE1" w:rsidRPr="005474B2" w:rsidRDefault="007D7CE1">
            <w:pPr>
              <w:jc w:val="both"/>
              <w:rPr>
                <w:rFonts w:eastAsia="MS Mincho"/>
                <w:sz w:val="22"/>
                <w:szCs w:val="22"/>
                <w:lang w:val="sr-Latn-ME"/>
              </w:rPr>
            </w:pPr>
            <w:r w:rsidRPr="005474B2">
              <w:rPr>
                <w:rFonts w:eastAsia="MS Mincho"/>
                <w:sz w:val="22"/>
                <w:szCs w:val="22"/>
                <w:lang w:val="sr-Latn-ME"/>
              </w:rPr>
              <w:t>29</w:t>
            </w:r>
          </w:p>
          <w:p w14:paraId="5EB42F0E" w14:textId="77777777" w:rsidR="007D7CE1" w:rsidRPr="005474B2" w:rsidRDefault="007D7CE1">
            <w:pPr>
              <w:jc w:val="both"/>
              <w:rPr>
                <w:rFonts w:eastAsia="MS Mincho"/>
                <w:sz w:val="22"/>
                <w:szCs w:val="22"/>
                <w:lang w:val="sr-Latn-ME"/>
              </w:rPr>
            </w:pPr>
            <w:r w:rsidRPr="005474B2">
              <w:rPr>
                <w:rFonts w:eastAsia="MS Mincho"/>
                <w:sz w:val="22"/>
                <w:szCs w:val="22"/>
                <w:lang w:val="sr-Latn-ME"/>
              </w:rPr>
              <w:t>(17,9%)</w:t>
            </w:r>
          </w:p>
        </w:tc>
        <w:tc>
          <w:tcPr>
            <w:tcW w:w="1302" w:type="dxa"/>
          </w:tcPr>
          <w:p w14:paraId="417E12E3" w14:textId="77777777" w:rsidR="007D7CE1" w:rsidRPr="005474B2" w:rsidRDefault="007D7CE1">
            <w:pPr>
              <w:jc w:val="both"/>
              <w:rPr>
                <w:rFonts w:eastAsia="MS Mincho"/>
                <w:sz w:val="22"/>
                <w:szCs w:val="22"/>
                <w:lang w:val="sr-Latn-ME"/>
              </w:rPr>
            </w:pPr>
            <w:r w:rsidRPr="005474B2">
              <w:rPr>
                <w:rFonts w:eastAsia="MS Mincho"/>
                <w:sz w:val="22"/>
                <w:szCs w:val="22"/>
                <w:lang w:val="sr-Latn-ME"/>
              </w:rPr>
              <w:t>80</w:t>
            </w:r>
          </w:p>
          <w:p w14:paraId="1CA77066" w14:textId="77777777" w:rsidR="007D7CE1" w:rsidRPr="005474B2" w:rsidRDefault="007D7CE1">
            <w:pPr>
              <w:jc w:val="both"/>
              <w:rPr>
                <w:rFonts w:eastAsia="MS Mincho"/>
                <w:sz w:val="22"/>
                <w:szCs w:val="22"/>
                <w:lang w:val="sr-Latn-ME"/>
              </w:rPr>
            </w:pPr>
            <w:r w:rsidRPr="005474B2">
              <w:rPr>
                <w:rFonts w:eastAsia="MS Mincho"/>
                <w:sz w:val="22"/>
                <w:szCs w:val="22"/>
                <w:lang w:val="sr-Latn-ME"/>
              </w:rPr>
              <w:t>(64,0%***)</w:t>
            </w:r>
          </w:p>
        </w:tc>
        <w:tc>
          <w:tcPr>
            <w:tcW w:w="1307" w:type="dxa"/>
          </w:tcPr>
          <w:p w14:paraId="5E8FBC0A" w14:textId="77777777" w:rsidR="007D7CE1" w:rsidRPr="005474B2" w:rsidRDefault="007D7CE1">
            <w:pPr>
              <w:jc w:val="both"/>
              <w:rPr>
                <w:rFonts w:eastAsia="MS Mincho"/>
                <w:sz w:val="22"/>
                <w:szCs w:val="22"/>
                <w:lang w:val="sr-Latn-ME"/>
              </w:rPr>
            </w:pPr>
            <w:r w:rsidRPr="005474B2">
              <w:rPr>
                <w:rFonts w:eastAsia="MS Mincho"/>
                <w:sz w:val="22"/>
                <w:szCs w:val="22"/>
                <w:lang w:val="sr-Latn-ME"/>
              </w:rPr>
              <w:t>78</w:t>
            </w:r>
          </w:p>
          <w:p w14:paraId="4B2DB44F" w14:textId="77777777" w:rsidR="007D7CE1" w:rsidRPr="005474B2" w:rsidRDefault="007D7CE1">
            <w:pPr>
              <w:jc w:val="both"/>
              <w:rPr>
                <w:rFonts w:eastAsia="MS Mincho"/>
                <w:sz w:val="22"/>
                <w:szCs w:val="22"/>
                <w:lang w:val="sr-Latn-ME"/>
              </w:rPr>
            </w:pPr>
            <w:r w:rsidRPr="005474B2">
              <w:rPr>
                <w:rFonts w:eastAsia="MS Mincho"/>
                <w:sz w:val="22"/>
                <w:szCs w:val="22"/>
                <w:lang w:val="sr-Latn-ME"/>
              </w:rPr>
              <w:t>(70,9%***)</w:t>
            </w:r>
          </w:p>
        </w:tc>
      </w:tr>
      <w:tr w:rsidR="007D7CE1" w:rsidRPr="0009637B" w14:paraId="16FCDBAF" w14:textId="77777777" w:rsidTr="007D7CE1">
        <w:trPr>
          <w:trHeight w:val="290"/>
        </w:trPr>
        <w:tc>
          <w:tcPr>
            <w:tcW w:w="2088" w:type="dxa"/>
            <w:tcBorders>
              <w:top w:val="single" w:sz="8" w:space="0" w:color="000000"/>
              <w:left w:val="single" w:sz="8" w:space="0" w:color="000000"/>
              <w:bottom w:val="nil"/>
              <w:right w:val="single" w:sz="8" w:space="0" w:color="000000"/>
            </w:tcBorders>
            <w:shd w:val="clear" w:color="auto" w:fill="auto"/>
          </w:tcPr>
          <w:p w14:paraId="2C92B43B"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PASI 90 odgovor</w:t>
            </w:r>
          </w:p>
          <w:p w14:paraId="1319071D"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n (%)</w:t>
            </w:r>
          </w:p>
        </w:tc>
        <w:tc>
          <w:tcPr>
            <w:tcW w:w="1086" w:type="dxa"/>
            <w:tcBorders>
              <w:top w:val="single" w:sz="8" w:space="0" w:color="000000"/>
              <w:left w:val="single" w:sz="8" w:space="0" w:color="000000"/>
              <w:bottom w:val="nil"/>
            </w:tcBorders>
            <w:shd w:val="clear" w:color="auto" w:fill="auto"/>
          </w:tcPr>
          <w:p w14:paraId="4232A88B" w14:textId="77777777" w:rsidR="007D7CE1" w:rsidRPr="005474B2" w:rsidRDefault="007D7CE1">
            <w:pPr>
              <w:jc w:val="both"/>
              <w:rPr>
                <w:rFonts w:eastAsia="MS Mincho"/>
                <w:sz w:val="22"/>
                <w:szCs w:val="22"/>
                <w:lang w:val="sr-Latn-ME"/>
              </w:rPr>
            </w:pPr>
          </w:p>
        </w:tc>
        <w:tc>
          <w:tcPr>
            <w:tcW w:w="1302" w:type="dxa"/>
            <w:tcBorders>
              <w:top w:val="single" w:sz="8" w:space="0" w:color="000000"/>
              <w:bottom w:val="nil"/>
            </w:tcBorders>
            <w:shd w:val="clear" w:color="auto" w:fill="auto"/>
          </w:tcPr>
          <w:p w14:paraId="2C78C180" w14:textId="77777777" w:rsidR="007D7CE1" w:rsidRPr="005474B2" w:rsidRDefault="007D7CE1">
            <w:pPr>
              <w:jc w:val="both"/>
              <w:rPr>
                <w:rFonts w:eastAsia="MS Mincho"/>
                <w:sz w:val="22"/>
                <w:szCs w:val="22"/>
                <w:lang w:val="sr-Latn-ME"/>
              </w:rPr>
            </w:pPr>
          </w:p>
        </w:tc>
        <w:tc>
          <w:tcPr>
            <w:tcW w:w="1301" w:type="dxa"/>
            <w:tcBorders>
              <w:top w:val="single" w:sz="8" w:space="0" w:color="000000"/>
              <w:bottom w:val="nil"/>
              <w:right w:val="single" w:sz="8" w:space="0" w:color="auto"/>
            </w:tcBorders>
            <w:shd w:val="clear" w:color="auto" w:fill="auto"/>
          </w:tcPr>
          <w:p w14:paraId="2FA41FA5" w14:textId="77777777" w:rsidR="007D7CE1" w:rsidRPr="005474B2" w:rsidRDefault="007D7CE1">
            <w:pPr>
              <w:jc w:val="both"/>
              <w:rPr>
                <w:rFonts w:eastAsia="MS Mincho"/>
                <w:sz w:val="22"/>
                <w:szCs w:val="22"/>
                <w:lang w:val="sr-Latn-ME"/>
              </w:rPr>
            </w:pPr>
          </w:p>
        </w:tc>
        <w:tc>
          <w:tcPr>
            <w:tcW w:w="1078" w:type="dxa"/>
            <w:tcBorders>
              <w:top w:val="single" w:sz="8" w:space="0" w:color="000000"/>
              <w:left w:val="single" w:sz="8" w:space="0" w:color="auto"/>
              <w:bottom w:val="nil"/>
              <w:right w:val="nil"/>
            </w:tcBorders>
          </w:tcPr>
          <w:p w14:paraId="465ED61B" w14:textId="77777777" w:rsidR="007D7CE1" w:rsidRPr="005474B2" w:rsidRDefault="007D7CE1">
            <w:pPr>
              <w:jc w:val="both"/>
              <w:rPr>
                <w:rFonts w:eastAsia="MS Mincho"/>
                <w:sz w:val="22"/>
                <w:szCs w:val="22"/>
                <w:lang w:val="sr-Latn-ME"/>
              </w:rPr>
            </w:pPr>
          </w:p>
        </w:tc>
        <w:tc>
          <w:tcPr>
            <w:tcW w:w="1302" w:type="dxa"/>
            <w:tcBorders>
              <w:top w:val="single" w:sz="8" w:space="0" w:color="000000"/>
              <w:left w:val="nil"/>
              <w:bottom w:val="nil"/>
              <w:right w:val="nil"/>
            </w:tcBorders>
          </w:tcPr>
          <w:p w14:paraId="3F48A97E" w14:textId="77777777" w:rsidR="007D7CE1" w:rsidRPr="005474B2" w:rsidRDefault="007D7CE1">
            <w:pPr>
              <w:jc w:val="both"/>
              <w:rPr>
                <w:rFonts w:eastAsia="MS Mincho"/>
                <w:sz w:val="22"/>
                <w:szCs w:val="22"/>
                <w:lang w:val="sr-Latn-ME"/>
              </w:rPr>
            </w:pPr>
          </w:p>
        </w:tc>
        <w:tc>
          <w:tcPr>
            <w:tcW w:w="1307" w:type="dxa"/>
            <w:tcBorders>
              <w:top w:val="single" w:sz="8" w:space="0" w:color="000000"/>
              <w:left w:val="nil"/>
              <w:bottom w:val="nil"/>
              <w:right w:val="single" w:sz="8" w:space="0" w:color="000000"/>
            </w:tcBorders>
          </w:tcPr>
          <w:p w14:paraId="619B1EE3" w14:textId="77777777" w:rsidR="007D7CE1" w:rsidRPr="005474B2" w:rsidRDefault="007D7CE1">
            <w:pPr>
              <w:jc w:val="both"/>
              <w:rPr>
                <w:rFonts w:eastAsia="MS Mincho"/>
                <w:sz w:val="22"/>
                <w:szCs w:val="22"/>
                <w:lang w:val="sr-Latn-ME"/>
              </w:rPr>
            </w:pPr>
          </w:p>
        </w:tc>
      </w:tr>
      <w:tr w:rsidR="007D7CE1" w:rsidRPr="0009637B" w14:paraId="17289DC7" w14:textId="77777777" w:rsidTr="007D7CE1">
        <w:trPr>
          <w:trHeight w:val="290"/>
        </w:trPr>
        <w:tc>
          <w:tcPr>
            <w:tcW w:w="2088" w:type="dxa"/>
            <w:tcBorders>
              <w:top w:val="nil"/>
              <w:left w:val="single" w:sz="8" w:space="0" w:color="000000"/>
              <w:bottom w:val="nil"/>
              <w:right w:val="single" w:sz="8" w:space="0" w:color="000000"/>
            </w:tcBorders>
            <w:shd w:val="clear" w:color="auto" w:fill="auto"/>
          </w:tcPr>
          <w:p w14:paraId="7D848DA8"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16.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top w:val="nil"/>
              <w:left w:val="single" w:sz="8" w:space="0" w:color="000000"/>
              <w:bottom w:val="nil"/>
            </w:tcBorders>
            <w:shd w:val="clear" w:color="auto" w:fill="auto"/>
          </w:tcPr>
          <w:p w14:paraId="613B5200"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3</w:t>
            </w:r>
          </w:p>
          <w:p w14:paraId="3BC5C076" w14:textId="77777777" w:rsidR="007D7CE1" w:rsidRPr="005474B2" w:rsidRDefault="007D7CE1">
            <w:pPr>
              <w:jc w:val="both"/>
              <w:rPr>
                <w:rFonts w:eastAsia="MS Mincho"/>
                <w:sz w:val="22"/>
                <w:szCs w:val="22"/>
                <w:lang w:val="sr-Latn-ME"/>
              </w:rPr>
            </w:pPr>
            <w:r w:rsidRPr="005474B2">
              <w:rPr>
                <w:rFonts w:eastAsia="MS Mincho"/>
                <w:sz w:val="22"/>
                <w:szCs w:val="22"/>
                <w:lang w:val="sr-Latn-ME"/>
              </w:rPr>
              <w:t>(7,0%)</w:t>
            </w:r>
          </w:p>
        </w:tc>
        <w:tc>
          <w:tcPr>
            <w:tcW w:w="1302" w:type="dxa"/>
            <w:tcBorders>
              <w:top w:val="nil"/>
              <w:bottom w:val="nil"/>
            </w:tcBorders>
            <w:shd w:val="clear" w:color="auto" w:fill="auto"/>
          </w:tcPr>
          <w:p w14:paraId="2C754F60" w14:textId="77777777" w:rsidR="007D7CE1" w:rsidRPr="005474B2" w:rsidRDefault="007D7CE1">
            <w:pPr>
              <w:jc w:val="both"/>
              <w:rPr>
                <w:rFonts w:eastAsia="MS Mincho"/>
                <w:sz w:val="22"/>
                <w:szCs w:val="22"/>
                <w:lang w:val="sr-Latn-ME"/>
              </w:rPr>
            </w:pPr>
            <w:r w:rsidRPr="005474B2">
              <w:rPr>
                <w:rFonts w:eastAsia="MS Mincho"/>
                <w:sz w:val="22"/>
                <w:szCs w:val="22"/>
                <w:lang w:val="sr-Latn-ME"/>
              </w:rPr>
              <w:t>22</w:t>
            </w:r>
          </w:p>
          <w:p w14:paraId="2B72EDEB" w14:textId="77777777" w:rsidR="007D7CE1" w:rsidRPr="005474B2" w:rsidRDefault="007D7CE1">
            <w:pPr>
              <w:jc w:val="both"/>
              <w:rPr>
                <w:rFonts w:eastAsia="MS Mincho"/>
                <w:sz w:val="22"/>
                <w:szCs w:val="22"/>
                <w:lang w:val="sr-Latn-ME"/>
              </w:rPr>
            </w:pPr>
            <w:r w:rsidRPr="005474B2">
              <w:rPr>
                <w:rFonts w:eastAsia="MS Mincho"/>
                <w:sz w:val="22"/>
                <w:szCs w:val="22"/>
                <w:lang w:val="sr-Latn-ME"/>
              </w:rPr>
              <w:t>(37,9%***)</w:t>
            </w:r>
          </w:p>
        </w:tc>
        <w:tc>
          <w:tcPr>
            <w:tcW w:w="1301" w:type="dxa"/>
            <w:tcBorders>
              <w:top w:val="nil"/>
              <w:bottom w:val="nil"/>
              <w:right w:val="single" w:sz="8" w:space="0" w:color="auto"/>
            </w:tcBorders>
            <w:shd w:val="clear" w:color="auto" w:fill="auto"/>
          </w:tcPr>
          <w:p w14:paraId="731E1441" w14:textId="77777777" w:rsidR="007D7CE1" w:rsidRPr="005474B2" w:rsidRDefault="007D7CE1">
            <w:pPr>
              <w:jc w:val="both"/>
              <w:rPr>
                <w:rFonts w:eastAsia="MS Mincho"/>
                <w:sz w:val="22"/>
                <w:szCs w:val="22"/>
                <w:lang w:val="sr-Latn-ME"/>
              </w:rPr>
            </w:pPr>
            <w:r w:rsidRPr="005474B2">
              <w:rPr>
                <w:rFonts w:eastAsia="MS Mincho"/>
                <w:sz w:val="22"/>
                <w:szCs w:val="22"/>
                <w:lang w:val="sr-Latn-ME"/>
              </w:rPr>
              <w:t>18</w:t>
            </w:r>
          </w:p>
          <w:p w14:paraId="63FBF12E" w14:textId="77777777" w:rsidR="007D7CE1" w:rsidRPr="005474B2" w:rsidRDefault="007D7CE1">
            <w:pPr>
              <w:jc w:val="both"/>
              <w:rPr>
                <w:rFonts w:eastAsia="MS Mincho"/>
                <w:sz w:val="22"/>
                <w:szCs w:val="22"/>
                <w:lang w:val="sr-Latn-ME"/>
              </w:rPr>
            </w:pPr>
            <w:r w:rsidRPr="005474B2">
              <w:rPr>
                <w:rFonts w:eastAsia="MS Mincho"/>
                <w:sz w:val="22"/>
                <w:szCs w:val="22"/>
                <w:lang w:val="sr-Latn-ME"/>
              </w:rPr>
              <w:t>(43,9%***)</w:t>
            </w:r>
          </w:p>
        </w:tc>
        <w:tc>
          <w:tcPr>
            <w:tcW w:w="1078" w:type="dxa"/>
            <w:tcBorders>
              <w:top w:val="nil"/>
              <w:left w:val="single" w:sz="8" w:space="0" w:color="auto"/>
              <w:bottom w:val="nil"/>
              <w:right w:val="nil"/>
            </w:tcBorders>
          </w:tcPr>
          <w:p w14:paraId="53605D62" w14:textId="77777777" w:rsidR="007D7CE1" w:rsidRPr="005474B2" w:rsidRDefault="007D7CE1">
            <w:pPr>
              <w:jc w:val="both"/>
              <w:rPr>
                <w:rFonts w:eastAsia="MS Mincho"/>
                <w:sz w:val="22"/>
                <w:szCs w:val="22"/>
                <w:lang w:val="sr-Latn-ME"/>
              </w:rPr>
            </w:pPr>
            <w:r w:rsidRPr="005474B2">
              <w:rPr>
                <w:rFonts w:eastAsia="MS Mincho"/>
                <w:sz w:val="22"/>
                <w:szCs w:val="22"/>
                <w:lang w:val="sr-Latn-ME"/>
              </w:rPr>
              <w:t>15</w:t>
            </w:r>
          </w:p>
          <w:p w14:paraId="32EB531E" w14:textId="77777777" w:rsidR="007D7CE1" w:rsidRPr="005474B2" w:rsidRDefault="007D7CE1">
            <w:pPr>
              <w:jc w:val="both"/>
              <w:rPr>
                <w:rFonts w:eastAsia="MS Mincho"/>
                <w:sz w:val="22"/>
                <w:szCs w:val="22"/>
                <w:lang w:val="sr-Latn-ME"/>
              </w:rPr>
            </w:pPr>
            <w:r w:rsidRPr="005474B2">
              <w:rPr>
                <w:rFonts w:eastAsia="MS Mincho"/>
                <w:sz w:val="22"/>
                <w:szCs w:val="22"/>
                <w:lang w:val="sr-Latn-ME"/>
              </w:rPr>
              <w:t>(9,3%)</w:t>
            </w:r>
          </w:p>
        </w:tc>
        <w:tc>
          <w:tcPr>
            <w:tcW w:w="1302" w:type="dxa"/>
            <w:tcBorders>
              <w:top w:val="nil"/>
              <w:left w:val="nil"/>
              <w:bottom w:val="nil"/>
              <w:right w:val="nil"/>
            </w:tcBorders>
          </w:tcPr>
          <w:p w14:paraId="08E06990" w14:textId="77777777" w:rsidR="007D7CE1" w:rsidRPr="005474B2" w:rsidRDefault="007D7CE1">
            <w:pPr>
              <w:jc w:val="both"/>
              <w:rPr>
                <w:rFonts w:eastAsia="MS Mincho"/>
                <w:sz w:val="22"/>
                <w:szCs w:val="22"/>
                <w:lang w:val="sr-Latn-ME"/>
              </w:rPr>
            </w:pPr>
            <w:r w:rsidRPr="005474B2">
              <w:rPr>
                <w:rFonts w:eastAsia="MS Mincho"/>
                <w:sz w:val="22"/>
                <w:szCs w:val="22"/>
                <w:lang w:val="sr-Latn-ME"/>
              </w:rPr>
              <w:t>46</w:t>
            </w:r>
          </w:p>
          <w:p w14:paraId="243E6D9D" w14:textId="77777777" w:rsidR="007D7CE1" w:rsidRPr="005474B2" w:rsidRDefault="007D7CE1">
            <w:pPr>
              <w:jc w:val="both"/>
              <w:rPr>
                <w:rFonts w:eastAsia="MS Mincho"/>
                <w:sz w:val="22"/>
                <w:szCs w:val="22"/>
                <w:lang w:val="sr-Latn-ME"/>
              </w:rPr>
            </w:pPr>
            <w:r w:rsidRPr="005474B2">
              <w:rPr>
                <w:rFonts w:eastAsia="MS Mincho"/>
                <w:sz w:val="22"/>
                <w:szCs w:val="22"/>
                <w:lang w:val="sr-Latn-ME"/>
              </w:rPr>
              <w:t>(36,8%*)</w:t>
            </w:r>
          </w:p>
        </w:tc>
        <w:tc>
          <w:tcPr>
            <w:tcW w:w="1307" w:type="dxa"/>
            <w:tcBorders>
              <w:top w:val="nil"/>
              <w:left w:val="nil"/>
              <w:bottom w:val="nil"/>
              <w:right w:val="single" w:sz="8" w:space="0" w:color="000000"/>
            </w:tcBorders>
          </w:tcPr>
          <w:p w14:paraId="09FFF1A3" w14:textId="77777777" w:rsidR="007D7CE1" w:rsidRPr="005474B2" w:rsidRDefault="007D7CE1">
            <w:pPr>
              <w:jc w:val="both"/>
              <w:rPr>
                <w:rFonts w:eastAsia="MS Mincho"/>
                <w:sz w:val="22"/>
                <w:szCs w:val="22"/>
                <w:lang w:val="sr-Latn-ME"/>
              </w:rPr>
            </w:pPr>
            <w:r w:rsidRPr="005474B2">
              <w:rPr>
                <w:rFonts w:eastAsia="MS Mincho"/>
                <w:sz w:val="22"/>
                <w:szCs w:val="22"/>
                <w:lang w:val="sr-Latn-ME"/>
              </w:rPr>
              <w:t>59</w:t>
            </w:r>
          </w:p>
          <w:p w14:paraId="3AE5A646" w14:textId="77777777" w:rsidR="007D7CE1" w:rsidRPr="005474B2" w:rsidRDefault="007D7CE1">
            <w:pPr>
              <w:jc w:val="both"/>
              <w:rPr>
                <w:rFonts w:eastAsia="MS Mincho"/>
                <w:sz w:val="22"/>
                <w:szCs w:val="22"/>
                <w:lang w:val="sr-Latn-ME"/>
              </w:rPr>
            </w:pPr>
            <w:r w:rsidRPr="005474B2">
              <w:rPr>
                <w:rFonts w:eastAsia="MS Mincho"/>
                <w:sz w:val="22"/>
                <w:szCs w:val="22"/>
                <w:lang w:val="sr-Latn-ME"/>
              </w:rPr>
              <w:t>(53,6%*)</w:t>
            </w:r>
          </w:p>
        </w:tc>
      </w:tr>
      <w:tr w:rsidR="007D7CE1" w:rsidRPr="0009637B" w14:paraId="5F4DA23C" w14:textId="77777777" w:rsidTr="007D7CE1">
        <w:trPr>
          <w:trHeight w:val="290"/>
        </w:trPr>
        <w:tc>
          <w:tcPr>
            <w:tcW w:w="2088" w:type="dxa"/>
            <w:tcBorders>
              <w:top w:val="nil"/>
              <w:left w:val="single" w:sz="8" w:space="0" w:color="000000"/>
              <w:bottom w:val="single" w:sz="4" w:space="0" w:color="auto"/>
              <w:right w:val="single" w:sz="8" w:space="0" w:color="000000"/>
            </w:tcBorders>
            <w:shd w:val="clear" w:color="auto" w:fill="auto"/>
          </w:tcPr>
          <w:p w14:paraId="0C39A6AD" w14:textId="77777777" w:rsidR="007D7CE1" w:rsidRPr="005474B2" w:rsidRDefault="007D7CE1" w:rsidP="0009637B">
            <w:pPr>
              <w:keepLines/>
              <w:widowControl w:val="0"/>
              <w:ind w:left="180"/>
              <w:jc w:val="both"/>
              <w:rPr>
                <w:rFonts w:eastAsia="MS Mincho"/>
                <w:b/>
                <w:bCs/>
                <w:sz w:val="22"/>
                <w:szCs w:val="22"/>
                <w:lang w:val="sr-Latn-ME"/>
              </w:rPr>
            </w:pPr>
            <w:r w:rsidRPr="005474B2">
              <w:rPr>
                <w:rFonts w:eastAsia="MS Mincho"/>
                <w:b/>
                <w:bCs/>
                <w:sz w:val="22"/>
                <w:szCs w:val="22"/>
                <w:lang w:val="sr-Latn-ME"/>
              </w:rPr>
              <w:t xml:space="preserve">24.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top w:val="nil"/>
              <w:left w:val="single" w:sz="8" w:space="0" w:color="000000"/>
              <w:bottom w:val="single" w:sz="4" w:space="0" w:color="auto"/>
            </w:tcBorders>
            <w:shd w:val="clear" w:color="auto" w:fill="auto"/>
          </w:tcPr>
          <w:p w14:paraId="1ABBE3FC"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4</w:t>
            </w:r>
          </w:p>
          <w:p w14:paraId="352609AC" w14:textId="77777777" w:rsidR="007D7CE1" w:rsidRPr="005474B2" w:rsidRDefault="007D7CE1">
            <w:pPr>
              <w:jc w:val="both"/>
              <w:rPr>
                <w:rFonts w:eastAsia="MS Mincho"/>
                <w:sz w:val="22"/>
                <w:szCs w:val="22"/>
                <w:lang w:val="sr-Latn-ME"/>
              </w:rPr>
            </w:pPr>
            <w:r w:rsidRPr="005474B2">
              <w:rPr>
                <w:rFonts w:eastAsia="MS Mincho"/>
                <w:sz w:val="22"/>
                <w:szCs w:val="22"/>
                <w:lang w:val="sr-Latn-ME"/>
              </w:rPr>
              <w:t>(9,3%)</w:t>
            </w:r>
          </w:p>
        </w:tc>
        <w:tc>
          <w:tcPr>
            <w:tcW w:w="1302" w:type="dxa"/>
            <w:tcBorders>
              <w:top w:val="nil"/>
              <w:bottom w:val="single" w:sz="4" w:space="0" w:color="auto"/>
            </w:tcBorders>
            <w:shd w:val="clear" w:color="auto" w:fill="auto"/>
          </w:tcPr>
          <w:p w14:paraId="0F4DDE22" w14:textId="77777777" w:rsidR="007D7CE1" w:rsidRPr="005474B2" w:rsidRDefault="007D7CE1">
            <w:pPr>
              <w:jc w:val="both"/>
              <w:rPr>
                <w:rFonts w:eastAsia="MS Mincho"/>
                <w:sz w:val="22"/>
                <w:szCs w:val="22"/>
                <w:lang w:val="sr-Latn-ME"/>
              </w:rPr>
            </w:pPr>
            <w:r w:rsidRPr="005474B2">
              <w:rPr>
                <w:rFonts w:eastAsia="MS Mincho"/>
                <w:sz w:val="22"/>
                <w:szCs w:val="22"/>
                <w:lang w:val="sr-Latn-ME"/>
              </w:rPr>
              <w:t>19</w:t>
            </w:r>
          </w:p>
          <w:p w14:paraId="394F7F3D" w14:textId="77777777" w:rsidR="007D7CE1" w:rsidRPr="005474B2" w:rsidRDefault="007D7CE1">
            <w:pPr>
              <w:jc w:val="both"/>
              <w:rPr>
                <w:rFonts w:eastAsia="MS Mincho"/>
                <w:sz w:val="22"/>
                <w:szCs w:val="22"/>
                <w:lang w:val="sr-Latn-ME"/>
              </w:rPr>
            </w:pPr>
            <w:r w:rsidRPr="005474B2">
              <w:rPr>
                <w:rFonts w:eastAsia="MS Mincho"/>
                <w:sz w:val="22"/>
                <w:szCs w:val="22"/>
                <w:lang w:val="sr-Latn-ME"/>
              </w:rPr>
              <w:t>(32,8%**)</w:t>
            </w:r>
          </w:p>
        </w:tc>
        <w:tc>
          <w:tcPr>
            <w:tcW w:w="1301" w:type="dxa"/>
            <w:tcBorders>
              <w:top w:val="nil"/>
              <w:bottom w:val="single" w:sz="4" w:space="0" w:color="auto"/>
              <w:right w:val="single" w:sz="8" w:space="0" w:color="auto"/>
            </w:tcBorders>
            <w:shd w:val="clear" w:color="auto" w:fill="auto"/>
          </w:tcPr>
          <w:p w14:paraId="39D12C8A" w14:textId="77777777" w:rsidR="007D7CE1" w:rsidRPr="005474B2" w:rsidRDefault="007D7CE1">
            <w:pPr>
              <w:jc w:val="both"/>
              <w:rPr>
                <w:rFonts w:eastAsia="MS Mincho"/>
                <w:sz w:val="22"/>
                <w:szCs w:val="22"/>
                <w:lang w:val="sr-Latn-ME"/>
              </w:rPr>
            </w:pPr>
            <w:r w:rsidRPr="005474B2">
              <w:rPr>
                <w:rFonts w:eastAsia="MS Mincho"/>
                <w:sz w:val="22"/>
                <w:szCs w:val="22"/>
                <w:lang w:val="sr-Latn-ME"/>
              </w:rPr>
              <w:t>20</w:t>
            </w:r>
          </w:p>
          <w:p w14:paraId="28A67AC2" w14:textId="77777777" w:rsidR="007D7CE1" w:rsidRPr="005474B2" w:rsidRDefault="007D7CE1">
            <w:pPr>
              <w:jc w:val="both"/>
              <w:rPr>
                <w:rFonts w:eastAsia="MS Mincho"/>
                <w:sz w:val="22"/>
                <w:szCs w:val="22"/>
                <w:lang w:val="sr-Latn-ME"/>
              </w:rPr>
            </w:pPr>
            <w:r w:rsidRPr="005474B2">
              <w:rPr>
                <w:rFonts w:eastAsia="MS Mincho"/>
                <w:sz w:val="22"/>
                <w:szCs w:val="22"/>
                <w:lang w:val="sr-Latn-ME"/>
              </w:rPr>
              <w:t>(48,8%***)</w:t>
            </w:r>
          </w:p>
        </w:tc>
        <w:tc>
          <w:tcPr>
            <w:tcW w:w="1078" w:type="dxa"/>
            <w:tcBorders>
              <w:top w:val="nil"/>
              <w:left w:val="single" w:sz="8" w:space="0" w:color="auto"/>
              <w:bottom w:val="single" w:sz="4" w:space="0" w:color="auto"/>
              <w:right w:val="nil"/>
            </w:tcBorders>
          </w:tcPr>
          <w:p w14:paraId="15C0290A" w14:textId="77777777" w:rsidR="007D7CE1" w:rsidRPr="005474B2" w:rsidRDefault="007D7CE1">
            <w:pPr>
              <w:jc w:val="both"/>
              <w:rPr>
                <w:rFonts w:eastAsia="MS Mincho"/>
                <w:sz w:val="22"/>
                <w:szCs w:val="22"/>
                <w:lang w:val="sr-Latn-ME"/>
              </w:rPr>
            </w:pPr>
            <w:r w:rsidRPr="005474B2">
              <w:rPr>
                <w:rFonts w:eastAsia="MS Mincho"/>
                <w:sz w:val="22"/>
                <w:szCs w:val="22"/>
                <w:lang w:val="sr-Latn-ME"/>
              </w:rPr>
              <w:t>19</w:t>
            </w:r>
          </w:p>
          <w:p w14:paraId="07F31FD4" w14:textId="77777777" w:rsidR="007D7CE1" w:rsidRPr="005474B2" w:rsidRDefault="007D7CE1">
            <w:pPr>
              <w:jc w:val="both"/>
              <w:rPr>
                <w:rFonts w:eastAsia="MS Mincho"/>
                <w:sz w:val="22"/>
                <w:szCs w:val="22"/>
                <w:lang w:val="sr-Latn-ME"/>
              </w:rPr>
            </w:pPr>
            <w:r w:rsidRPr="005474B2">
              <w:rPr>
                <w:rFonts w:eastAsia="MS Mincho"/>
                <w:sz w:val="22"/>
                <w:szCs w:val="22"/>
                <w:lang w:val="sr-Latn-ME"/>
              </w:rPr>
              <w:t>(11,7%)</w:t>
            </w:r>
          </w:p>
        </w:tc>
        <w:tc>
          <w:tcPr>
            <w:tcW w:w="1302" w:type="dxa"/>
            <w:tcBorders>
              <w:top w:val="nil"/>
              <w:left w:val="nil"/>
              <w:bottom w:val="single" w:sz="4" w:space="0" w:color="auto"/>
              <w:right w:val="nil"/>
            </w:tcBorders>
          </w:tcPr>
          <w:p w14:paraId="1518CE87" w14:textId="77777777" w:rsidR="007D7CE1" w:rsidRPr="005474B2" w:rsidRDefault="007D7CE1">
            <w:pPr>
              <w:jc w:val="both"/>
              <w:rPr>
                <w:rFonts w:eastAsia="MS Mincho"/>
                <w:sz w:val="22"/>
                <w:szCs w:val="22"/>
                <w:lang w:val="sr-Latn-ME"/>
              </w:rPr>
            </w:pPr>
            <w:r w:rsidRPr="005474B2">
              <w:rPr>
                <w:rFonts w:eastAsia="MS Mincho"/>
                <w:sz w:val="22"/>
                <w:szCs w:val="22"/>
                <w:lang w:val="sr-Latn-ME"/>
              </w:rPr>
              <w:t>51</w:t>
            </w:r>
          </w:p>
          <w:p w14:paraId="73B7C198" w14:textId="77777777" w:rsidR="007D7CE1" w:rsidRPr="005474B2" w:rsidRDefault="007D7CE1">
            <w:pPr>
              <w:jc w:val="both"/>
              <w:rPr>
                <w:rFonts w:eastAsia="MS Mincho"/>
                <w:sz w:val="22"/>
                <w:szCs w:val="22"/>
                <w:lang w:val="sr-Latn-ME"/>
              </w:rPr>
            </w:pPr>
            <w:r w:rsidRPr="005474B2">
              <w:rPr>
                <w:rFonts w:eastAsia="MS Mincho"/>
                <w:sz w:val="22"/>
                <w:szCs w:val="22"/>
                <w:lang w:val="sr-Latn-ME"/>
              </w:rPr>
              <w:t>(40,8%***)</w:t>
            </w:r>
          </w:p>
        </w:tc>
        <w:tc>
          <w:tcPr>
            <w:tcW w:w="1307" w:type="dxa"/>
            <w:tcBorders>
              <w:top w:val="nil"/>
              <w:left w:val="nil"/>
              <w:bottom w:val="single" w:sz="4" w:space="0" w:color="auto"/>
              <w:right w:val="single" w:sz="8" w:space="0" w:color="000000"/>
            </w:tcBorders>
          </w:tcPr>
          <w:p w14:paraId="6B8AD908" w14:textId="77777777" w:rsidR="007D7CE1" w:rsidRPr="005474B2" w:rsidRDefault="007D7CE1">
            <w:pPr>
              <w:jc w:val="both"/>
              <w:rPr>
                <w:rFonts w:eastAsia="MS Mincho"/>
                <w:sz w:val="22"/>
                <w:szCs w:val="22"/>
                <w:lang w:val="sr-Latn-ME"/>
              </w:rPr>
            </w:pPr>
            <w:r w:rsidRPr="005474B2">
              <w:rPr>
                <w:rFonts w:eastAsia="MS Mincho"/>
                <w:sz w:val="22"/>
                <w:szCs w:val="22"/>
                <w:lang w:val="sr-Latn-ME"/>
              </w:rPr>
              <w:t>60</w:t>
            </w:r>
          </w:p>
          <w:p w14:paraId="48B4E8A3" w14:textId="77777777" w:rsidR="007D7CE1" w:rsidRPr="005474B2" w:rsidRDefault="007D7CE1">
            <w:pPr>
              <w:jc w:val="both"/>
              <w:rPr>
                <w:rFonts w:eastAsia="MS Mincho"/>
                <w:sz w:val="22"/>
                <w:szCs w:val="22"/>
                <w:lang w:val="sr-Latn-ME"/>
              </w:rPr>
            </w:pPr>
            <w:r w:rsidRPr="005474B2">
              <w:rPr>
                <w:rFonts w:eastAsia="MS Mincho"/>
                <w:sz w:val="22"/>
                <w:szCs w:val="22"/>
                <w:lang w:val="sr-Latn-ME"/>
              </w:rPr>
              <w:t>(54,5%***)</w:t>
            </w:r>
          </w:p>
        </w:tc>
      </w:tr>
      <w:tr w:rsidR="007D7CE1" w:rsidRPr="0009637B" w14:paraId="75D62C40" w14:textId="77777777" w:rsidTr="007D7CE1">
        <w:trPr>
          <w:trHeight w:val="290"/>
        </w:trPr>
        <w:tc>
          <w:tcPr>
            <w:tcW w:w="2088" w:type="dxa"/>
            <w:tcBorders>
              <w:top w:val="single" w:sz="4" w:space="0" w:color="auto"/>
              <w:right w:val="single" w:sz="8" w:space="0" w:color="000000"/>
            </w:tcBorders>
            <w:shd w:val="clear" w:color="auto" w:fill="auto"/>
          </w:tcPr>
          <w:p w14:paraId="4055BCA7" w14:textId="191DF696"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t>Povlačenje daktili</w:t>
            </w:r>
            <w:r w:rsidR="00E228A4" w:rsidRPr="005474B2">
              <w:rPr>
                <w:rFonts w:eastAsia="MS Mincho"/>
                <w:b/>
                <w:bCs/>
                <w:sz w:val="22"/>
                <w:szCs w:val="22"/>
                <w:lang w:val="sr-Latn-ME"/>
              </w:rPr>
              <w:t>ti</w:t>
            </w:r>
            <w:r w:rsidRPr="005474B2">
              <w:rPr>
                <w:rFonts w:eastAsia="MS Mincho"/>
                <w:b/>
                <w:bCs/>
                <w:sz w:val="22"/>
                <w:szCs w:val="22"/>
                <w:lang w:val="sr-Latn-ME"/>
              </w:rPr>
              <w:t>sa n (%) †</w:t>
            </w:r>
          </w:p>
        </w:tc>
        <w:tc>
          <w:tcPr>
            <w:tcW w:w="1086" w:type="dxa"/>
            <w:tcBorders>
              <w:top w:val="single" w:sz="4" w:space="0" w:color="auto"/>
              <w:left w:val="single" w:sz="8" w:space="0" w:color="000000"/>
            </w:tcBorders>
            <w:shd w:val="clear" w:color="auto" w:fill="auto"/>
          </w:tcPr>
          <w:p w14:paraId="343318E0" w14:textId="77777777" w:rsidR="007D7CE1" w:rsidRPr="005474B2" w:rsidRDefault="007D7CE1" w:rsidP="0009637B">
            <w:pPr>
              <w:jc w:val="both"/>
              <w:rPr>
                <w:rFonts w:eastAsia="MS Mincho"/>
                <w:sz w:val="22"/>
                <w:szCs w:val="22"/>
                <w:lang w:val="sr-Latn-ME"/>
              </w:rPr>
            </w:pPr>
          </w:p>
        </w:tc>
        <w:tc>
          <w:tcPr>
            <w:tcW w:w="1302" w:type="dxa"/>
            <w:tcBorders>
              <w:top w:val="single" w:sz="4" w:space="0" w:color="auto"/>
            </w:tcBorders>
            <w:shd w:val="clear" w:color="auto" w:fill="auto"/>
          </w:tcPr>
          <w:p w14:paraId="274E2AC9" w14:textId="77777777" w:rsidR="007D7CE1" w:rsidRPr="005474B2" w:rsidRDefault="007D7CE1">
            <w:pPr>
              <w:jc w:val="both"/>
              <w:rPr>
                <w:rFonts w:eastAsia="MS Mincho"/>
                <w:sz w:val="22"/>
                <w:szCs w:val="22"/>
                <w:lang w:val="sr-Latn-ME"/>
              </w:rPr>
            </w:pPr>
          </w:p>
        </w:tc>
        <w:tc>
          <w:tcPr>
            <w:tcW w:w="1301" w:type="dxa"/>
            <w:tcBorders>
              <w:top w:val="single" w:sz="4" w:space="0" w:color="auto"/>
              <w:right w:val="single" w:sz="8" w:space="0" w:color="auto"/>
            </w:tcBorders>
            <w:shd w:val="clear" w:color="auto" w:fill="auto"/>
          </w:tcPr>
          <w:p w14:paraId="7CCC1996" w14:textId="77777777" w:rsidR="007D7CE1" w:rsidRPr="005474B2" w:rsidRDefault="007D7CE1">
            <w:pPr>
              <w:jc w:val="both"/>
              <w:rPr>
                <w:rFonts w:eastAsia="MS Mincho"/>
                <w:sz w:val="22"/>
                <w:szCs w:val="22"/>
                <w:lang w:val="sr-Latn-ME"/>
              </w:rPr>
            </w:pPr>
          </w:p>
        </w:tc>
        <w:tc>
          <w:tcPr>
            <w:tcW w:w="1078" w:type="dxa"/>
            <w:tcBorders>
              <w:top w:val="single" w:sz="4" w:space="0" w:color="auto"/>
              <w:left w:val="single" w:sz="8" w:space="0" w:color="auto"/>
              <w:right w:val="nil"/>
            </w:tcBorders>
          </w:tcPr>
          <w:p w14:paraId="3CFE9504" w14:textId="77777777" w:rsidR="007D7CE1" w:rsidRPr="005474B2" w:rsidRDefault="007D7CE1">
            <w:pPr>
              <w:jc w:val="both"/>
              <w:rPr>
                <w:rFonts w:eastAsia="MS Mincho"/>
                <w:sz w:val="22"/>
                <w:szCs w:val="22"/>
                <w:lang w:val="sr-Latn-ME"/>
              </w:rPr>
            </w:pPr>
          </w:p>
        </w:tc>
        <w:tc>
          <w:tcPr>
            <w:tcW w:w="1302" w:type="dxa"/>
            <w:tcBorders>
              <w:top w:val="single" w:sz="4" w:space="0" w:color="auto"/>
              <w:left w:val="nil"/>
              <w:bottom w:val="nil"/>
              <w:right w:val="nil"/>
            </w:tcBorders>
          </w:tcPr>
          <w:p w14:paraId="0DA7884F" w14:textId="77777777" w:rsidR="007D7CE1" w:rsidRPr="005474B2" w:rsidRDefault="007D7CE1">
            <w:pPr>
              <w:jc w:val="both"/>
              <w:rPr>
                <w:rFonts w:eastAsia="MS Mincho"/>
                <w:sz w:val="22"/>
                <w:szCs w:val="22"/>
                <w:lang w:val="sr-Latn-ME"/>
              </w:rPr>
            </w:pPr>
          </w:p>
        </w:tc>
        <w:tc>
          <w:tcPr>
            <w:tcW w:w="1307" w:type="dxa"/>
            <w:tcBorders>
              <w:top w:val="single" w:sz="4" w:space="0" w:color="auto"/>
              <w:left w:val="nil"/>
            </w:tcBorders>
          </w:tcPr>
          <w:p w14:paraId="6F24E79C" w14:textId="77777777" w:rsidR="007D7CE1" w:rsidRPr="005474B2" w:rsidRDefault="007D7CE1">
            <w:pPr>
              <w:jc w:val="both"/>
              <w:rPr>
                <w:rFonts w:eastAsia="MS Mincho"/>
                <w:sz w:val="22"/>
                <w:szCs w:val="22"/>
                <w:lang w:val="sr-Latn-ME"/>
              </w:rPr>
            </w:pPr>
          </w:p>
        </w:tc>
      </w:tr>
      <w:tr w:rsidR="007D7CE1" w:rsidRPr="0009637B" w14:paraId="0D6DAC52" w14:textId="77777777" w:rsidTr="007D7CE1">
        <w:trPr>
          <w:trHeight w:val="290"/>
        </w:trPr>
        <w:tc>
          <w:tcPr>
            <w:tcW w:w="2088" w:type="dxa"/>
            <w:tcBorders>
              <w:top w:val="nil"/>
              <w:left w:val="single" w:sz="8" w:space="0" w:color="000000"/>
              <w:bottom w:val="nil"/>
              <w:right w:val="single" w:sz="8" w:space="0" w:color="000000"/>
            </w:tcBorders>
            <w:shd w:val="clear" w:color="auto" w:fill="auto"/>
          </w:tcPr>
          <w:p w14:paraId="346C98B3"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16.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left w:val="single" w:sz="8" w:space="0" w:color="000000"/>
            </w:tcBorders>
            <w:shd w:val="clear" w:color="auto" w:fill="auto"/>
          </w:tcPr>
          <w:p w14:paraId="452AD1D6"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10</w:t>
            </w:r>
          </w:p>
          <w:p w14:paraId="16C0CB2C" w14:textId="77777777" w:rsidR="007D7CE1" w:rsidRPr="005474B2" w:rsidRDefault="007D7CE1">
            <w:pPr>
              <w:jc w:val="both"/>
              <w:rPr>
                <w:rFonts w:eastAsia="MS Mincho"/>
                <w:sz w:val="22"/>
                <w:szCs w:val="22"/>
                <w:lang w:val="sr-Latn-ME"/>
              </w:rPr>
            </w:pPr>
            <w:r w:rsidRPr="005474B2">
              <w:rPr>
                <w:rFonts w:eastAsia="MS Mincho"/>
                <w:sz w:val="22"/>
                <w:szCs w:val="22"/>
                <w:lang w:val="sr-Latn-ME"/>
              </w:rPr>
              <w:t>(37%)</w:t>
            </w:r>
          </w:p>
        </w:tc>
        <w:tc>
          <w:tcPr>
            <w:tcW w:w="1302" w:type="dxa"/>
            <w:shd w:val="clear" w:color="auto" w:fill="auto"/>
          </w:tcPr>
          <w:p w14:paraId="7D3F14F2" w14:textId="77777777" w:rsidR="007D7CE1" w:rsidRPr="005474B2" w:rsidRDefault="007D7CE1">
            <w:pPr>
              <w:jc w:val="both"/>
              <w:rPr>
                <w:rFonts w:eastAsia="MS Mincho"/>
                <w:sz w:val="22"/>
                <w:szCs w:val="22"/>
                <w:lang w:val="sr-Latn-ME"/>
              </w:rPr>
            </w:pPr>
            <w:r w:rsidRPr="005474B2">
              <w:rPr>
                <w:rFonts w:eastAsia="MS Mincho"/>
                <w:sz w:val="22"/>
                <w:szCs w:val="22"/>
                <w:lang w:val="sr-Latn-ME"/>
              </w:rPr>
              <w:t>21</w:t>
            </w:r>
          </w:p>
          <w:p w14:paraId="7813906E" w14:textId="77777777" w:rsidR="007D7CE1" w:rsidRPr="005474B2" w:rsidRDefault="007D7CE1">
            <w:pPr>
              <w:jc w:val="both"/>
              <w:rPr>
                <w:rFonts w:eastAsia="MS Mincho"/>
                <w:sz w:val="22"/>
                <w:szCs w:val="22"/>
                <w:lang w:val="sr-Latn-ME"/>
              </w:rPr>
            </w:pPr>
            <w:r w:rsidRPr="005474B2">
              <w:rPr>
                <w:rFonts w:eastAsia="MS Mincho"/>
                <w:sz w:val="22"/>
                <w:szCs w:val="22"/>
                <w:lang w:val="sr-Latn-ME"/>
              </w:rPr>
              <w:t>(65,6%*)</w:t>
            </w:r>
          </w:p>
        </w:tc>
        <w:tc>
          <w:tcPr>
            <w:tcW w:w="1301" w:type="dxa"/>
            <w:tcBorders>
              <w:right w:val="single" w:sz="8" w:space="0" w:color="auto"/>
            </w:tcBorders>
            <w:shd w:val="clear" w:color="auto" w:fill="auto"/>
          </w:tcPr>
          <w:p w14:paraId="2198CA5E" w14:textId="77777777" w:rsidR="007D7CE1" w:rsidRPr="005474B2" w:rsidRDefault="007D7CE1">
            <w:pPr>
              <w:jc w:val="both"/>
              <w:rPr>
                <w:rFonts w:eastAsia="MS Mincho"/>
                <w:sz w:val="22"/>
                <w:szCs w:val="22"/>
                <w:lang w:val="sr-Latn-ME"/>
              </w:rPr>
            </w:pPr>
            <w:r w:rsidRPr="005474B2">
              <w:rPr>
                <w:rFonts w:eastAsia="MS Mincho"/>
                <w:sz w:val="22"/>
                <w:szCs w:val="22"/>
                <w:lang w:val="sr-Latn-ME"/>
              </w:rPr>
              <w:t>26</w:t>
            </w:r>
          </w:p>
          <w:p w14:paraId="7D983C1B" w14:textId="77777777" w:rsidR="007D7CE1" w:rsidRPr="005474B2" w:rsidRDefault="007D7CE1">
            <w:pPr>
              <w:jc w:val="both"/>
              <w:rPr>
                <w:rFonts w:eastAsia="MS Mincho"/>
                <w:sz w:val="22"/>
                <w:szCs w:val="22"/>
                <w:lang w:val="sr-Latn-ME"/>
              </w:rPr>
            </w:pPr>
            <w:r w:rsidRPr="005474B2">
              <w:rPr>
                <w:rFonts w:eastAsia="MS Mincho"/>
                <w:sz w:val="22"/>
                <w:szCs w:val="22"/>
                <w:lang w:val="sr-Latn-ME"/>
              </w:rPr>
              <w:t>(56,5%)</w:t>
            </w:r>
          </w:p>
        </w:tc>
        <w:tc>
          <w:tcPr>
            <w:tcW w:w="1078" w:type="dxa"/>
            <w:tcBorders>
              <w:left w:val="single" w:sz="8" w:space="0" w:color="auto"/>
              <w:right w:val="nil"/>
            </w:tcBorders>
          </w:tcPr>
          <w:p w14:paraId="5446CE58" w14:textId="77777777" w:rsidR="007D7CE1" w:rsidRPr="005474B2" w:rsidRDefault="007D7CE1">
            <w:pPr>
              <w:jc w:val="both"/>
              <w:rPr>
                <w:rFonts w:eastAsia="MS Mincho"/>
                <w:sz w:val="22"/>
                <w:szCs w:val="22"/>
                <w:lang w:val="sr-Latn-ME"/>
              </w:rPr>
            </w:pPr>
            <w:r w:rsidRPr="005474B2">
              <w:rPr>
                <w:rFonts w:eastAsia="MS Mincho"/>
                <w:sz w:val="22"/>
                <w:szCs w:val="22"/>
                <w:lang w:val="sr-Latn-ME"/>
              </w:rPr>
              <w:t>40</w:t>
            </w:r>
          </w:p>
          <w:p w14:paraId="3B66ED98" w14:textId="77777777" w:rsidR="007D7CE1" w:rsidRPr="005474B2" w:rsidRDefault="007D7CE1">
            <w:pPr>
              <w:jc w:val="both"/>
              <w:rPr>
                <w:rFonts w:eastAsia="MS Mincho"/>
                <w:sz w:val="22"/>
                <w:szCs w:val="22"/>
                <w:lang w:val="sr-Latn-ME"/>
              </w:rPr>
            </w:pPr>
            <w:r w:rsidRPr="005474B2">
              <w:rPr>
                <w:rFonts w:eastAsia="MS Mincho"/>
                <w:sz w:val="22"/>
                <w:szCs w:val="22"/>
                <w:lang w:val="sr-Latn-ME"/>
              </w:rPr>
              <w:t>(32,3%)</w:t>
            </w:r>
          </w:p>
        </w:tc>
        <w:tc>
          <w:tcPr>
            <w:tcW w:w="1302" w:type="dxa"/>
            <w:tcBorders>
              <w:top w:val="nil"/>
              <w:left w:val="nil"/>
            </w:tcBorders>
          </w:tcPr>
          <w:p w14:paraId="76B5C212" w14:textId="77777777" w:rsidR="007D7CE1" w:rsidRPr="005474B2" w:rsidRDefault="007D7CE1">
            <w:pPr>
              <w:jc w:val="both"/>
              <w:rPr>
                <w:rFonts w:eastAsia="MS Mincho"/>
                <w:sz w:val="22"/>
                <w:szCs w:val="22"/>
                <w:lang w:val="sr-Latn-ME"/>
              </w:rPr>
            </w:pPr>
            <w:r w:rsidRPr="005474B2">
              <w:rPr>
                <w:rFonts w:eastAsia="MS Mincho"/>
                <w:sz w:val="22"/>
                <w:szCs w:val="22"/>
                <w:lang w:val="sr-Latn-ME"/>
              </w:rPr>
              <w:t>46</w:t>
            </w:r>
          </w:p>
          <w:p w14:paraId="35E33549" w14:textId="77777777" w:rsidR="007D7CE1" w:rsidRPr="005474B2" w:rsidRDefault="007D7CE1">
            <w:pPr>
              <w:jc w:val="both"/>
              <w:rPr>
                <w:rFonts w:eastAsia="MS Mincho"/>
                <w:sz w:val="22"/>
                <w:szCs w:val="22"/>
                <w:lang w:val="sr-Latn-ME"/>
              </w:rPr>
            </w:pPr>
            <w:r w:rsidRPr="005474B2">
              <w:rPr>
                <w:rFonts w:eastAsia="MS Mincho"/>
                <w:sz w:val="22"/>
                <w:szCs w:val="22"/>
                <w:lang w:val="sr-Latn-ME"/>
              </w:rPr>
              <w:t>(57,5%*)</w:t>
            </w:r>
          </w:p>
        </w:tc>
        <w:tc>
          <w:tcPr>
            <w:tcW w:w="1307" w:type="dxa"/>
          </w:tcPr>
          <w:p w14:paraId="687FF806" w14:textId="77777777" w:rsidR="007D7CE1" w:rsidRPr="005474B2" w:rsidRDefault="007D7CE1">
            <w:pPr>
              <w:jc w:val="both"/>
              <w:rPr>
                <w:rFonts w:eastAsia="MS Mincho"/>
                <w:sz w:val="22"/>
                <w:szCs w:val="22"/>
                <w:lang w:val="sr-Latn-ME"/>
              </w:rPr>
            </w:pPr>
            <w:r w:rsidRPr="005474B2">
              <w:rPr>
                <w:rFonts w:eastAsia="MS Mincho"/>
                <w:sz w:val="22"/>
                <w:szCs w:val="22"/>
                <w:lang w:val="sr-Latn-ME"/>
              </w:rPr>
              <w:t>54</w:t>
            </w:r>
          </w:p>
          <w:p w14:paraId="105AFB77" w14:textId="77777777" w:rsidR="007D7CE1" w:rsidRPr="005474B2" w:rsidRDefault="007D7CE1">
            <w:pPr>
              <w:jc w:val="both"/>
              <w:rPr>
                <w:rFonts w:eastAsia="MS Mincho"/>
                <w:sz w:val="22"/>
                <w:szCs w:val="22"/>
                <w:lang w:val="sr-Latn-ME"/>
              </w:rPr>
            </w:pPr>
            <w:r w:rsidRPr="005474B2">
              <w:rPr>
                <w:rFonts w:eastAsia="MS Mincho"/>
                <w:sz w:val="22"/>
                <w:szCs w:val="22"/>
                <w:lang w:val="sr-Latn-ME"/>
              </w:rPr>
              <w:t>(65,9%*)</w:t>
            </w:r>
          </w:p>
        </w:tc>
      </w:tr>
      <w:tr w:rsidR="007D7CE1" w:rsidRPr="0009637B" w14:paraId="7E00E7FF" w14:textId="77777777" w:rsidTr="007D7CE1">
        <w:trPr>
          <w:trHeight w:val="290"/>
        </w:trPr>
        <w:tc>
          <w:tcPr>
            <w:tcW w:w="2088" w:type="dxa"/>
            <w:tcBorders>
              <w:top w:val="nil"/>
              <w:left w:val="single" w:sz="8" w:space="0" w:color="000000"/>
              <w:bottom w:val="single" w:sz="4" w:space="0" w:color="auto"/>
              <w:right w:val="single" w:sz="8" w:space="0" w:color="000000"/>
            </w:tcBorders>
            <w:shd w:val="clear" w:color="auto" w:fill="auto"/>
          </w:tcPr>
          <w:p w14:paraId="43788015" w14:textId="77777777" w:rsidR="007D7CE1" w:rsidRPr="005474B2" w:rsidRDefault="007D7CE1" w:rsidP="0009637B">
            <w:pPr>
              <w:keepLines/>
              <w:widowControl w:val="0"/>
              <w:ind w:left="180"/>
              <w:jc w:val="both"/>
              <w:rPr>
                <w:rFonts w:eastAsia="MS Mincho"/>
                <w:b/>
                <w:bCs/>
                <w:sz w:val="22"/>
                <w:szCs w:val="22"/>
                <w:lang w:val="sr-Latn-ME"/>
              </w:rPr>
            </w:pPr>
            <w:r w:rsidRPr="005474B2">
              <w:rPr>
                <w:rFonts w:eastAsia="MS Mincho"/>
                <w:b/>
                <w:bCs/>
                <w:sz w:val="22"/>
                <w:szCs w:val="22"/>
                <w:lang w:val="sr-Latn-ME"/>
              </w:rPr>
              <w:t xml:space="preserve">24.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left w:val="single" w:sz="8" w:space="0" w:color="000000"/>
            </w:tcBorders>
            <w:shd w:val="clear" w:color="auto" w:fill="auto"/>
          </w:tcPr>
          <w:p w14:paraId="00D68B9C"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4</w:t>
            </w:r>
          </w:p>
          <w:p w14:paraId="41B69B51" w14:textId="77777777" w:rsidR="007D7CE1" w:rsidRPr="005474B2" w:rsidRDefault="007D7CE1">
            <w:pPr>
              <w:jc w:val="both"/>
              <w:rPr>
                <w:rFonts w:eastAsia="MS Mincho"/>
                <w:sz w:val="22"/>
                <w:szCs w:val="22"/>
                <w:lang w:val="sr-Latn-ME"/>
              </w:rPr>
            </w:pPr>
            <w:r w:rsidRPr="005474B2">
              <w:rPr>
                <w:rFonts w:eastAsia="MS Mincho"/>
                <w:sz w:val="22"/>
                <w:szCs w:val="22"/>
                <w:lang w:val="sr-Latn-ME"/>
              </w:rPr>
              <w:t>(14,8%)</w:t>
            </w:r>
          </w:p>
        </w:tc>
        <w:tc>
          <w:tcPr>
            <w:tcW w:w="1302" w:type="dxa"/>
            <w:shd w:val="clear" w:color="auto" w:fill="auto"/>
          </w:tcPr>
          <w:p w14:paraId="15713C62" w14:textId="77777777" w:rsidR="007D7CE1" w:rsidRPr="005474B2" w:rsidRDefault="007D7CE1">
            <w:pPr>
              <w:jc w:val="both"/>
              <w:rPr>
                <w:rFonts w:eastAsia="MS Mincho"/>
                <w:sz w:val="22"/>
                <w:szCs w:val="22"/>
                <w:lang w:val="sr-Latn-ME"/>
              </w:rPr>
            </w:pPr>
            <w:r w:rsidRPr="005474B2">
              <w:rPr>
                <w:rFonts w:eastAsia="MS Mincho"/>
                <w:sz w:val="22"/>
                <w:szCs w:val="22"/>
                <w:lang w:val="sr-Latn-ME"/>
              </w:rPr>
              <w:t>16</w:t>
            </w:r>
          </w:p>
          <w:p w14:paraId="34264542" w14:textId="77777777" w:rsidR="007D7CE1" w:rsidRPr="005474B2" w:rsidRDefault="007D7CE1">
            <w:pPr>
              <w:jc w:val="both"/>
              <w:rPr>
                <w:rFonts w:eastAsia="MS Mincho"/>
                <w:sz w:val="22"/>
                <w:szCs w:val="22"/>
                <w:lang w:val="sr-Latn-ME"/>
              </w:rPr>
            </w:pPr>
            <w:r w:rsidRPr="005474B2">
              <w:rPr>
                <w:rFonts w:eastAsia="MS Mincho"/>
                <w:sz w:val="22"/>
                <w:szCs w:val="22"/>
                <w:lang w:val="sr-Latn-ME"/>
              </w:rPr>
              <w:t>(50,0%**)</w:t>
            </w:r>
          </w:p>
        </w:tc>
        <w:tc>
          <w:tcPr>
            <w:tcW w:w="1301" w:type="dxa"/>
            <w:tcBorders>
              <w:right w:val="single" w:sz="8" w:space="0" w:color="auto"/>
            </w:tcBorders>
            <w:shd w:val="clear" w:color="auto" w:fill="auto"/>
          </w:tcPr>
          <w:p w14:paraId="3B3BBDA8" w14:textId="77777777" w:rsidR="007D7CE1" w:rsidRPr="005474B2" w:rsidRDefault="007D7CE1">
            <w:pPr>
              <w:jc w:val="both"/>
              <w:rPr>
                <w:rFonts w:eastAsia="MS Mincho"/>
                <w:sz w:val="22"/>
                <w:szCs w:val="22"/>
                <w:lang w:val="sr-Latn-ME"/>
              </w:rPr>
            </w:pPr>
            <w:r w:rsidRPr="005474B2">
              <w:rPr>
                <w:rFonts w:eastAsia="MS Mincho"/>
                <w:sz w:val="22"/>
                <w:szCs w:val="22"/>
                <w:lang w:val="sr-Latn-ME"/>
              </w:rPr>
              <w:t>26</w:t>
            </w:r>
          </w:p>
          <w:p w14:paraId="7DE7B736" w14:textId="77777777" w:rsidR="007D7CE1" w:rsidRPr="005474B2" w:rsidRDefault="007D7CE1">
            <w:pPr>
              <w:jc w:val="both"/>
              <w:rPr>
                <w:rFonts w:eastAsia="MS Mincho"/>
                <w:sz w:val="22"/>
                <w:szCs w:val="22"/>
                <w:lang w:val="sr-Latn-ME"/>
              </w:rPr>
            </w:pPr>
            <w:r w:rsidRPr="005474B2">
              <w:rPr>
                <w:rFonts w:eastAsia="MS Mincho"/>
                <w:sz w:val="22"/>
                <w:szCs w:val="22"/>
                <w:lang w:val="sr-Latn-ME"/>
              </w:rPr>
              <w:t>(56,5%**)</w:t>
            </w:r>
          </w:p>
        </w:tc>
        <w:tc>
          <w:tcPr>
            <w:tcW w:w="1078" w:type="dxa"/>
            <w:tcBorders>
              <w:left w:val="single" w:sz="8" w:space="0" w:color="auto"/>
              <w:right w:val="nil"/>
            </w:tcBorders>
          </w:tcPr>
          <w:p w14:paraId="3D6C8303" w14:textId="77777777" w:rsidR="007D7CE1" w:rsidRPr="005474B2" w:rsidRDefault="007D7CE1">
            <w:pPr>
              <w:jc w:val="both"/>
              <w:rPr>
                <w:rFonts w:eastAsia="MS Mincho"/>
                <w:sz w:val="22"/>
                <w:szCs w:val="22"/>
                <w:lang w:val="sr-Latn-ME"/>
              </w:rPr>
            </w:pPr>
            <w:r w:rsidRPr="005474B2">
              <w:rPr>
                <w:rFonts w:eastAsia="MS Mincho"/>
                <w:sz w:val="22"/>
                <w:szCs w:val="22"/>
                <w:lang w:val="sr-Latn-ME"/>
              </w:rPr>
              <w:t>42</w:t>
            </w:r>
          </w:p>
          <w:p w14:paraId="06EACF41" w14:textId="77777777" w:rsidR="007D7CE1" w:rsidRPr="005474B2" w:rsidRDefault="007D7CE1">
            <w:pPr>
              <w:jc w:val="both"/>
              <w:rPr>
                <w:rFonts w:eastAsia="MS Mincho"/>
                <w:sz w:val="22"/>
                <w:szCs w:val="22"/>
                <w:lang w:val="sr-Latn-ME"/>
              </w:rPr>
            </w:pPr>
            <w:r w:rsidRPr="005474B2">
              <w:rPr>
                <w:rFonts w:eastAsia="MS Mincho"/>
                <w:sz w:val="22"/>
                <w:szCs w:val="22"/>
                <w:lang w:val="sr-Latn-ME"/>
              </w:rPr>
              <w:t>(33,9%)</w:t>
            </w:r>
          </w:p>
        </w:tc>
        <w:tc>
          <w:tcPr>
            <w:tcW w:w="1302" w:type="dxa"/>
            <w:tcBorders>
              <w:left w:val="nil"/>
            </w:tcBorders>
          </w:tcPr>
          <w:p w14:paraId="791D96D3" w14:textId="77777777" w:rsidR="007D7CE1" w:rsidRPr="005474B2" w:rsidRDefault="007D7CE1">
            <w:pPr>
              <w:jc w:val="both"/>
              <w:rPr>
                <w:rFonts w:eastAsia="MS Mincho"/>
                <w:sz w:val="22"/>
                <w:szCs w:val="22"/>
                <w:lang w:val="sr-Latn-ME"/>
              </w:rPr>
            </w:pPr>
            <w:r w:rsidRPr="005474B2">
              <w:rPr>
                <w:rFonts w:eastAsia="MS Mincho"/>
                <w:sz w:val="22"/>
                <w:szCs w:val="22"/>
                <w:lang w:val="sr-Latn-ME"/>
              </w:rPr>
              <w:t>51</w:t>
            </w:r>
          </w:p>
          <w:p w14:paraId="7F300EEA" w14:textId="77777777" w:rsidR="007D7CE1" w:rsidRPr="005474B2" w:rsidRDefault="007D7CE1">
            <w:pPr>
              <w:jc w:val="both"/>
              <w:rPr>
                <w:rFonts w:eastAsia="MS Mincho"/>
                <w:sz w:val="22"/>
                <w:szCs w:val="22"/>
                <w:lang w:val="sr-Latn-ME"/>
              </w:rPr>
            </w:pPr>
            <w:r w:rsidRPr="005474B2">
              <w:rPr>
                <w:rFonts w:eastAsia="MS Mincho"/>
                <w:sz w:val="22"/>
                <w:szCs w:val="22"/>
                <w:lang w:val="sr-Latn-ME"/>
              </w:rPr>
              <w:t>(63,8%***)</w:t>
            </w:r>
          </w:p>
        </w:tc>
        <w:tc>
          <w:tcPr>
            <w:tcW w:w="1307" w:type="dxa"/>
          </w:tcPr>
          <w:p w14:paraId="71B9275B" w14:textId="77777777" w:rsidR="007D7CE1" w:rsidRPr="005474B2" w:rsidRDefault="007D7CE1">
            <w:pPr>
              <w:jc w:val="both"/>
              <w:rPr>
                <w:rFonts w:eastAsia="MS Mincho"/>
                <w:sz w:val="22"/>
                <w:szCs w:val="22"/>
                <w:lang w:val="sr-Latn-ME"/>
              </w:rPr>
            </w:pPr>
            <w:r w:rsidRPr="005474B2">
              <w:rPr>
                <w:rFonts w:eastAsia="MS Mincho"/>
                <w:sz w:val="22"/>
                <w:szCs w:val="22"/>
                <w:lang w:val="sr-Latn-ME"/>
              </w:rPr>
              <w:t>52</w:t>
            </w:r>
          </w:p>
          <w:p w14:paraId="6727D41A" w14:textId="77777777" w:rsidR="007D7CE1" w:rsidRPr="005474B2" w:rsidRDefault="007D7CE1">
            <w:pPr>
              <w:jc w:val="both"/>
              <w:rPr>
                <w:rFonts w:eastAsia="MS Mincho"/>
                <w:sz w:val="22"/>
                <w:szCs w:val="22"/>
                <w:lang w:val="sr-Latn-ME"/>
              </w:rPr>
            </w:pPr>
            <w:r w:rsidRPr="005474B2">
              <w:rPr>
                <w:rFonts w:eastAsia="MS Mincho"/>
                <w:sz w:val="22"/>
                <w:szCs w:val="22"/>
                <w:lang w:val="sr-Latn-ME"/>
              </w:rPr>
              <w:t>(63,4%***)</w:t>
            </w:r>
          </w:p>
        </w:tc>
      </w:tr>
      <w:tr w:rsidR="007D7CE1" w:rsidRPr="0009637B" w14:paraId="2E7EE625" w14:textId="77777777" w:rsidTr="007D7CE1">
        <w:trPr>
          <w:trHeight w:val="290"/>
        </w:trPr>
        <w:tc>
          <w:tcPr>
            <w:tcW w:w="2088" w:type="dxa"/>
            <w:tcBorders>
              <w:top w:val="single" w:sz="8" w:space="0" w:color="000000"/>
              <w:left w:val="single" w:sz="8" w:space="0" w:color="000000"/>
              <w:bottom w:val="nil"/>
              <w:right w:val="single" w:sz="8" w:space="0" w:color="000000"/>
            </w:tcBorders>
            <w:shd w:val="clear" w:color="auto" w:fill="auto"/>
          </w:tcPr>
          <w:p w14:paraId="03D119D3" w14:textId="77777777" w:rsidR="007D7CE1" w:rsidRPr="005474B2" w:rsidRDefault="007D7CE1" w:rsidP="0009637B">
            <w:pPr>
              <w:keepNext/>
              <w:keepLines/>
              <w:widowControl w:val="0"/>
              <w:jc w:val="both"/>
              <w:rPr>
                <w:rFonts w:eastAsia="MS Mincho"/>
                <w:b/>
                <w:bCs/>
                <w:sz w:val="22"/>
                <w:szCs w:val="22"/>
                <w:lang w:val="sr-Latn-ME"/>
              </w:rPr>
            </w:pPr>
            <w:r w:rsidRPr="005474B2">
              <w:rPr>
                <w:rFonts w:eastAsia="MS Mincho"/>
                <w:b/>
                <w:bCs/>
                <w:sz w:val="22"/>
                <w:szCs w:val="22"/>
                <w:lang w:val="sr-Latn-ME"/>
              </w:rPr>
              <w:lastRenderedPageBreak/>
              <w:t>Povlačenje entezitisa n (%) ‡</w:t>
            </w:r>
          </w:p>
        </w:tc>
        <w:tc>
          <w:tcPr>
            <w:tcW w:w="1086" w:type="dxa"/>
            <w:tcBorders>
              <w:top w:val="single" w:sz="8" w:space="0" w:color="000000"/>
              <w:left w:val="single" w:sz="8" w:space="0" w:color="000000"/>
              <w:bottom w:val="nil"/>
            </w:tcBorders>
            <w:shd w:val="clear" w:color="auto" w:fill="auto"/>
          </w:tcPr>
          <w:p w14:paraId="07D8749E" w14:textId="77777777" w:rsidR="007D7CE1" w:rsidRPr="005474B2" w:rsidRDefault="007D7CE1" w:rsidP="0009637B">
            <w:pPr>
              <w:jc w:val="both"/>
              <w:rPr>
                <w:rFonts w:eastAsia="MS Mincho"/>
                <w:sz w:val="22"/>
                <w:szCs w:val="22"/>
                <w:lang w:val="sr-Latn-ME"/>
              </w:rPr>
            </w:pPr>
          </w:p>
        </w:tc>
        <w:tc>
          <w:tcPr>
            <w:tcW w:w="1302" w:type="dxa"/>
            <w:tcBorders>
              <w:top w:val="single" w:sz="8" w:space="0" w:color="000000"/>
              <w:bottom w:val="nil"/>
            </w:tcBorders>
            <w:shd w:val="clear" w:color="auto" w:fill="auto"/>
          </w:tcPr>
          <w:p w14:paraId="15FE9762" w14:textId="77777777" w:rsidR="007D7CE1" w:rsidRPr="005474B2" w:rsidRDefault="007D7CE1">
            <w:pPr>
              <w:jc w:val="both"/>
              <w:rPr>
                <w:rFonts w:eastAsia="MS Mincho"/>
                <w:sz w:val="22"/>
                <w:szCs w:val="22"/>
                <w:lang w:val="sr-Latn-ME"/>
              </w:rPr>
            </w:pPr>
          </w:p>
        </w:tc>
        <w:tc>
          <w:tcPr>
            <w:tcW w:w="1301" w:type="dxa"/>
            <w:tcBorders>
              <w:top w:val="single" w:sz="8" w:space="0" w:color="000000"/>
              <w:bottom w:val="nil"/>
              <w:right w:val="single" w:sz="8" w:space="0" w:color="000000"/>
            </w:tcBorders>
            <w:shd w:val="clear" w:color="auto" w:fill="auto"/>
          </w:tcPr>
          <w:p w14:paraId="6302571A" w14:textId="77777777" w:rsidR="007D7CE1" w:rsidRPr="005474B2" w:rsidRDefault="007D7CE1">
            <w:pPr>
              <w:jc w:val="both"/>
              <w:rPr>
                <w:rFonts w:eastAsia="MS Mincho"/>
                <w:sz w:val="22"/>
                <w:szCs w:val="22"/>
                <w:lang w:val="sr-Latn-ME"/>
              </w:rPr>
            </w:pPr>
          </w:p>
        </w:tc>
        <w:tc>
          <w:tcPr>
            <w:tcW w:w="1078" w:type="dxa"/>
            <w:tcBorders>
              <w:top w:val="single" w:sz="8" w:space="0" w:color="000000"/>
              <w:bottom w:val="nil"/>
              <w:right w:val="nil"/>
            </w:tcBorders>
          </w:tcPr>
          <w:p w14:paraId="6BD46BBE" w14:textId="77777777" w:rsidR="007D7CE1" w:rsidRPr="005474B2" w:rsidRDefault="007D7CE1">
            <w:pPr>
              <w:jc w:val="both"/>
              <w:rPr>
                <w:rFonts w:eastAsia="MS Mincho"/>
                <w:sz w:val="22"/>
                <w:szCs w:val="22"/>
                <w:lang w:val="sr-Latn-ME"/>
              </w:rPr>
            </w:pPr>
          </w:p>
        </w:tc>
        <w:tc>
          <w:tcPr>
            <w:tcW w:w="1302" w:type="dxa"/>
            <w:tcBorders>
              <w:top w:val="single" w:sz="8" w:space="0" w:color="000000"/>
              <w:left w:val="nil"/>
              <w:bottom w:val="nil"/>
              <w:right w:val="nil"/>
            </w:tcBorders>
          </w:tcPr>
          <w:p w14:paraId="4F36360F" w14:textId="77777777" w:rsidR="007D7CE1" w:rsidRPr="005474B2" w:rsidRDefault="007D7CE1">
            <w:pPr>
              <w:jc w:val="both"/>
              <w:rPr>
                <w:rFonts w:eastAsia="MS Mincho"/>
                <w:sz w:val="22"/>
                <w:szCs w:val="22"/>
                <w:lang w:val="sr-Latn-ME"/>
              </w:rPr>
            </w:pPr>
          </w:p>
        </w:tc>
        <w:tc>
          <w:tcPr>
            <w:tcW w:w="1307" w:type="dxa"/>
            <w:tcBorders>
              <w:top w:val="single" w:sz="8" w:space="0" w:color="000000"/>
              <w:left w:val="nil"/>
              <w:bottom w:val="nil"/>
              <w:right w:val="single" w:sz="8" w:space="0" w:color="000000"/>
            </w:tcBorders>
          </w:tcPr>
          <w:p w14:paraId="6DC4B5CA" w14:textId="77777777" w:rsidR="007D7CE1" w:rsidRPr="005474B2" w:rsidRDefault="007D7CE1">
            <w:pPr>
              <w:jc w:val="both"/>
              <w:rPr>
                <w:rFonts w:eastAsia="MS Mincho"/>
                <w:sz w:val="22"/>
                <w:szCs w:val="22"/>
                <w:lang w:val="sr-Latn-ME"/>
              </w:rPr>
            </w:pPr>
          </w:p>
        </w:tc>
      </w:tr>
      <w:tr w:rsidR="007D7CE1" w:rsidRPr="0009637B" w14:paraId="518B8C38" w14:textId="77777777" w:rsidTr="007D7CE1">
        <w:trPr>
          <w:trHeight w:val="290"/>
        </w:trPr>
        <w:tc>
          <w:tcPr>
            <w:tcW w:w="2088" w:type="dxa"/>
            <w:tcBorders>
              <w:top w:val="nil"/>
              <w:left w:val="single" w:sz="8" w:space="0" w:color="000000"/>
              <w:bottom w:val="nil"/>
              <w:right w:val="single" w:sz="8" w:space="0" w:color="000000"/>
            </w:tcBorders>
            <w:shd w:val="clear" w:color="auto" w:fill="auto"/>
          </w:tcPr>
          <w:p w14:paraId="554FD250"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16.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top w:val="nil"/>
              <w:left w:val="single" w:sz="8" w:space="0" w:color="000000"/>
              <w:bottom w:val="nil"/>
            </w:tcBorders>
            <w:shd w:val="clear" w:color="auto" w:fill="auto"/>
          </w:tcPr>
          <w:p w14:paraId="72441BBB"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17</w:t>
            </w:r>
          </w:p>
          <w:p w14:paraId="39E8B884" w14:textId="77777777" w:rsidR="007D7CE1" w:rsidRPr="005474B2" w:rsidRDefault="007D7CE1">
            <w:pPr>
              <w:jc w:val="both"/>
              <w:rPr>
                <w:rFonts w:eastAsia="MS Mincho"/>
                <w:sz w:val="22"/>
                <w:szCs w:val="22"/>
                <w:lang w:val="sr-Latn-ME"/>
              </w:rPr>
            </w:pPr>
            <w:r w:rsidRPr="005474B2">
              <w:rPr>
                <w:rFonts w:eastAsia="MS Mincho"/>
                <w:sz w:val="22"/>
                <w:szCs w:val="22"/>
                <w:lang w:val="sr-Latn-ME"/>
              </w:rPr>
              <w:t>(26,2%)</w:t>
            </w:r>
          </w:p>
        </w:tc>
        <w:tc>
          <w:tcPr>
            <w:tcW w:w="1302" w:type="dxa"/>
            <w:tcBorders>
              <w:top w:val="nil"/>
              <w:bottom w:val="nil"/>
            </w:tcBorders>
            <w:shd w:val="clear" w:color="auto" w:fill="auto"/>
          </w:tcPr>
          <w:p w14:paraId="2FFB62DE" w14:textId="77777777" w:rsidR="007D7CE1" w:rsidRPr="005474B2" w:rsidRDefault="007D7CE1">
            <w:pPr>
              <w:jc w:val="both"/>
              <w:rPr>
                <w:rFonts w:eastAsia="MS Mincho"/>
                <w:sz w:val="22"/>
                <w:szCs w:val="22"/>
                <w:lang w:val="sr-Latn-ME"/>
              </w:rPr>
            </w:pPr>
            <w:r w:rsidRPr="005474B2">
              <w:rPr>
                <w:rFonts w:eastAsia="MS Mincho"/>
                <w:sz w:val="22"/>
                <w:szCs w:val="22"/>
                <w:lang w:val="sr-Latn-ME"/>
              </w:rPr>
              <w:t>32</w:t>
            </w:r>
          </w:p>
          <w:p w14:paraId="5A0C99FE" w14:textId="77777777" w:rsidR="007D7CE1" w:rsidRPr="005474B2" w:rsidRDefault="007D7CE1">
            <w:pPr>
              <w:jc w:val="both"/>
              <w:rPr>
                <w:rFonts w:eastAsia="MS Mincho"/>
                <w:sz w:val="22"/>
                <w:szCs w:val="22"/>
                <w:lang w:val="sr-Latn-ME"/>
              </w:rPr>
            </w:pPr>
            <w:r w:rsidRPr="005474B2">
              <w:rPr>
                <w:rFonts w:eastAsia="MS Mincho"/>
                <w:sz w:val="22"/>
                <w:szCs w:val="22"/>
                <w:lang w:val="sr-Latn-ME"/>
              </w:rPr>
              <w:t>(50,0%**)</w:t>
            </w:r>
          </w:p>
        </w:tc>
        <w:tc>
          <w:tcPr>
            <w:tcW w:w="1301" w:type="dxa"/>
            <w:tcBorders>
              <w:top w:val="nil"/>
              <w:bottom w:val="nil"/>
              <w:right w:val="single" w:sz="8" w:space="0" w:color="000000"/>
            </w:tcBorders>
            <w:shd w:val="clear" w:color="auto" w:fill="auto"/>
          </w:tcPr>
          <w:p w14:paraId="307C79B8" w14:textId="77777777" w:rsidR="007D7CE1" w:rsidRPr="005474B2" w:rsidRDefault="007D7CE1">
            <w:pPr>
              <w:jc w:val="both"/>
              <w:rPr>
                <w:rFonts w:eastAsia="MS Mincho"/>
                <w:sz w:val="22"/>
                <w:szCs w:val="22"/>
                <w:lang w:val="sr-Latn-ME"/>
              </w:rPr>
            </w:pPr>
            <w:r w:rsidRPr="005474B2">
              <w:rPr>
                <w:rFonts w:eastAsia="MS Mincho"/>
                <w:sz w:val="22"/>
                <w:szCs w:val="22"/>
                <w:lang w:val="sr-Latn-ME"/>
              </w:rPr>
              <w:t>32</w:t>
            </w:r>
          </w:p>
          <w:p w14:paraId="32565685" w14:textId="77777777" w:rsidR="007D7CE1" w:rsidRPr="005474B2" w:rsidRDefault="007D7CE1">
            <w:pPr>
              <w:jc w:val="both"/>
              <w:rPr>
                <w:rFonts w:eastAsia="MS Mincho"/>
                <w:sz w:val="22"/>
                <w:szCs w:val="22"/>
                <w:lang w:val="sr-Latn-ME"/>
              </w:rPr>
            </w:pPr>
            <w:r w:rsidRPr="005474B2">
              <w:rPr>
                <w:rFonts w:eastAsia="MS Mincho"/>
                <w:sz w:val="22"/>
                <w:szCs w:val="22"/>
                <w:lang w:val="sr-Latn-ME"/>
              </w:rPr>
              <w:t>(57,1%***)</w:t>
            </w:r>
          </w:p>
        </w:tc>
        <w:tc>
          <w:tcPr>
            <w:tcW w:w="1078" w:type="dxa"/>
            <w:tcBorders>
              <w:top w:val="nil"/>
              <w:bottom w:val="nil"/>
              <w:right w:val="nil"/>
            </w:tcBorders>
          </w:tcPr>
          <w:p w14:paraId="3541FB84" w14:textId="77777777" w:rsidR="007D7CE1" w:rsidRPr="005474B2" w:rsidRDefault="007D7CE1">
            <w:pPr>
              <w:jc w:val="both"/>
              <w:rPr>
                <w:rFonts w:eastAsia="MS Mincho"/>
                <w:sz w:val="22"/>
                <w:szCs w:val="22"/>
                <w:lang w:val="sr-Latn-ME"/>
              </w:rPr>
            </w:pPr>
            <w:r w:rsidRPr="005474B2">
              <w:rPr>
                <w:rFonts w:eastAsia="MS Mincho"/>
                <w:sz w:val="22"/>
                <w:szCs w:val="22"/>
                <w:lang w:val="sr-Latn-ME"/>
              </w:rPr>
              <w:t>68</w:t>
            </w:r>
          </w:p>
          <w:p w14:paraId="3F5AD091" w14:textId="77777777" w:rsidR="007D7CE1" w:rsidRPr="005474B2" w:rsidRDefault="007D7CE1">
            <w:pPr>
              <w:jc w:val="both"/>
              <w:rPr>
                <w:rFonts w:eastAsia="MS Mincho"/>
                <w:sz w:val="22"/>
                <w:szCs w:val="22"/>
                <w:lang w:val="sr-Latn-ME"/>
              </w:rPr>
            </w:pPr>
            <w:r w:rsidRPr="005474B2">
              <w:rPr>
                <w:rFonts w:eastAsia="MS Mincho"/>
                <w:sz w:val="22"/>
                <w:szCs w:val="22"/>
                <w:lang w:val="sr-Latn-ME"/>
              </w:rPr>
              <w:t>(35,4%)</w:t>
            </w:r>
          </w:p>
        </w:tc>
        <w:tc>
          <w:tcPr>
            <w:tcW w:w="1302" w:type="dxa"/>
            <w:tcBorders>
              <w:top w:val="nil"/>
              <w:left w:val="nil"/>
              <w:bottom w:val="nil"/>
              <w:right w:val="nil"/>
            </w:tcBorders>
          </w:tcPr>
          <w:p w14:paraId="1A002DCF" w14:textId="77777777" w:rsidR="007D7CE1" w:rsidRPr="005474B2" w:rsidRDefault="007D7CE1">
            <w:pPr>
              <w:jc w:val="both"/>
              <w:rPr>
                <w:rFonts w:eastAsia="MS Mincho"/>
                <w:sz w:val="22"/>
                <w:szCs w:val="22"/>
                <w:lang w:val="sr-Latn-ME"/>
              </w:rPr>
            </w:pPr>
            <w:r w:rsidRPr="005474B2">
              <w:rPr>
                <w:rFonts w:eastAsia="MS Mincho"/>
                <w:sz w:val="22"/>
                <w:szCs w:val="22"/>
                <w:lang w:val="sr-Latn-ME"/>
              </w:rPr>
              <w:t>77</w:t>
            </w:r>
          </w:p>
          <w:p w14:paraId="13EA1D97" w14:textId="77777777" w:rsidR="007D7CE1" w:rsidRPr="005474B2" w:rsidRDefault="007D7CE1">
            <w:pPr>
              <w:jc w:val="both"/>
              <w:rPr>
                <w:rFonts w:eastAsia="MS Mincho"/>
                <w:sz w:val="22"/>
                <w:szCs w:val="22"/>
                <w:lang w:val="sr-Latn-ME"/>
              </w:rPr>
            </w:pPr>
            <w:r w:rsidRPr="005474B2">
              <w:rPr>
                <w:rFonts w:eastAsia="MS Mincho"/>
                <w:sz w:val="22"/>
                <w:szCs w:val="22"/>
                <w:lang w:val="sr-Latn-ME"/>
              </w:rPr>
              <w:t>(54,6%*)</w:t>
            </w:r>
          </w:p>
        </w:tc>
        <w:tc>
          <w:tcPr>
            <w:tcW w:w="1307" w:type="dxa"/>
            <w:tcBorders>
              <w:top w:val="nil"/>
              <w:left w:val="nil"/>
              <w:bottom w:val="nil"/>
              <w:right w:val="single" w:sz="8" w:space="0" w:color="000000"/>
            </w:tcBorders>
          </w:tcPr>
          <w:p w14:paraId="177DF6F6" w14:textId="77777777" w:rsidR="007D7CE1" w:rsidRPr="005474B2" w:rsidRDefault="007D7CE1">
            <w:pPr>
              <w:jc w:val="both"/>
              <w:rPr>
                <w:rFonts w:eastAsia="MS Mincho"/>
                <w:sz w:val="22"/>
                <w:szCs w:val="22"/>
                <w:lang w:val="sr-Latn-ME"/>
              </w:rPr>
            </w:pPr>
            <w:r w:rsidRPr="005474B2">
              <w:rPr>
                <w:rFonts w:eastAsia="MS Mincho"/>
                <w:sz w:val="22"/>
                <w:szCs w:val="22"/>
                <w:lang w:val="sr-Latn-ME"/>
              </w:rPr>
              <w:t>78</w:t>
            </w:r>
          </w:p>
          <w:p w14:paraId="5677EB52" w14:textId="77777777" w:rsidR="007D7CE1" w:rsidRPr="005474B2" w:rsidRDefault="007D7CE1">
            <w:pPr>
              <w:jc w:val="both"/>
              <w:rPr>
                <w:rFonts w:eastAsia="MS Mincho"/>
                <w:sz w:val="22"/>
                <w:szCs w:val="22"/>
                <w:lang w:val="sr-Latn-ME"/>
              </w:rPr>
            </w:pPr>
            <w:r w:rsidRPr="005474B2">
              <w:rPr>
                <w:rFonts w:eastAsia="MS Mincho"/>
                <w:sz w:val="22"/>
                <w:szCs w:val="22"/>
                <w:lang w:val="sr-Latn-ME"/>
              </w:rPr>
              <w:t>(55,7%*)</w:t>
            </w:r>
          </w:p>
        </w:tc>
      </w:tr>
      <w:tr w:rsidR="007D7CE1" w:rsidRPr="0009637B" w14:paraId="54A632D7" w14:textId="77777777" w:rsidTr="007D7CE1">
        <w:trPr>
          <w:trHeight w:val="290"/>
        </w:trPr>
        <w:tc>
          <w:tcPr>
            <w:tcW w:w="2088" w:type="dxa"/>
            <w:tcBorders>
              <w:top w:val="nil"/>
              <w:left w:val="single" w:sz="8" w:space="0" w:color="000000"/>
              <w:bottom w:val="single" w:sz="4" w:space="0" w:color="auto"/>
              <w:right w:val="single" w:sz="8" w:space="0" w:color="000000"/>
            </w:tcBorders>
            <w:shd w:val="clear" w:color="auto" w:fill="auto"/>
          </w:tcPr>
          <w:p w14:paraId="718F1B9B" w14:textId="77777777" w:rsidR="007D7CE1" w:rsidRPr="005474B2" w:rsidRDefault="007D7CE1" w:rsidP="0009637B">
            <w:pPr>
              <w:keepNext/>
              <w:keepLines/>
              <w:widowControl w:val="0"/>
              <w:ind w:left="180"/>
              <w:jc w:val="both"/>
              <w:rPr>
                <w:rFonts w:eastAsia="MS Mincho"/>
                <w:b/>
                <w:bCs/>
                <w:sz w:val="22"/>
                <w:szCs w:val="22"/>
                <w:lang w:val="sr-Latn-ME"/>
              </w:rPr>
            </w:pPr>
            <w:r w:rsidRPr="005474B2">
              <w:rPr>
                <w:rFonts w:eastAsia="MS Mincho"/>
                <w:b/>
                <w:bCs/>
                <w:sz w:val="22"/>
                <w:szCs w:val="22"/>
                <w:lang w:val="sr-Latn-ME"/>
              </w:rPr>
              <w:t xml:space="preserve">24. </w:t>
            </w:r>
            <w:r w:rsidR="009A4880" w:rsidRPr="005474B2">
              <w:rPr>
                <w:rFonts w:eastAsia="MS Mincho"/>
                <w:b/>
                <w:bCs/>
                <w:sz w:val="22"/>
                <w:szCs w:val="22"/>
                <w:lang w:val="sr-Latn-ME"/>
              </w:rPr>
              <w:t>nedjelj</w:t>
            </w:r>
            <w:r w:rsidRPr="005474B2">
              <w:rPr>
                <w:rFonts w:eastAsia="MS Mincho"/>
                <w:b/>
                <w:bCs/>
                <w:sz w:val="22"/>
                <w:szCs w:val="22"/>
                <w:lang w:val="sr-Latn-ME"/>
              </w:rPr>
              <w:t>a</w:t>
            </w:r>
          </w:p>
        </w:tc>
        <w:tc>
          <w:tcPr>
            <w:tcW w:w="1086" w:type="dxa"/>
            <w:tcBorders>
              <w:top w:val="nil"/>
              <w:left w:val="single" w:sz="8" w:space="0" w:color="000000"/>
              <w:bottom w:val="single" w:sz="4" w:space="0" w:color="auto"/>
            </w:tcBorders>
            <w:shd w:val="clear" w:color="auto" w:fill="auto"/>
          </w:tcPr>
          <w:p w14:paraId="1A22EC4B" w14:textId="77777777" w:rsidR="007D7CE1" w:rsidRPr="005474B2" w:rsidRDefault="007D7CE1" w:rsidP="0009637B">
            <w:pPr>
              <w:jc w:val="both"/>
              <w:rPr>
                <w:rFonts w:eastAsia="MS Mincho"/>
                <w:sz w:val="22"/>
                <w:szCs w:val="22"/>
                <w:lang w:val="sr-Latn-ME"/>
              </w:rPr>
            </w:pPr>
            <w:r w:rsidRPr="005474B2">
              <w:rPr>
                <w:rFonts w:eastAsia="MS Mincho"/>
                <w:sz w:val="22"/>
                <w:szCs w:val="22"/>
                <w:lang w:val="sr-Latn-ME"/>
              </w:rPr>
              <w:t>14</w:t>
            </w:r>
          </w:p>
          <w:p w14:paraId="48CFAAC6" w14:textId="77777777" w:rsidR="007D7CE1" w:rsidRPr="005474B2" w:rsidRDefault="007D7CE1">
            <w:pPr>
              <w:jc w:val="both"/>
              <w:rPr>
                <w:rFonts w:eastAsia="MS Mincho"/>
                <w:sz w:val="22"/>
                <w:szCs w:val="22"/>
                <w:lang w:val="sr-Latn-ME"/>
              </w:rPr>
            </w:pPr>
            <w:r w:rsidRPr="005474B2">
              <w:rPr>
                <w:rFonts w:eastAsia="MS Mincho"/>
                <w:sz w:val="22"/>
                <w:szCs w:val="22"/>
                <w:lang w:val="sr-Latn-ME"/>
              </w:rPr>
              <w:t>(21,5%)</w:t>
            </w:r>
          </w:p>
        </w:tc>
        <w:tc>
          <w:tcPr>
            <w:tcW w:w="1302" w:type="dxa"/>
            <w:tcBorders>
              <w:top w:val="nil"/>
              <w:bottom w:val="single" w:sz="4" w:space="0" w:color="auto"/>
            </w:tcBorders>
            <w:shd w:val="clear" w:color="auto" w:fill="auto"/>
          </w:tcPr>
          <w:p w14:paraId="61D74A3D" w14:textId="77777777" w:rsidR="007D7CE1" w:rsidRPr="005474B2" w:rsidRDefault="007D7CE1">
            <w:pPr>
              <w:jc w:val="both"/>
              <w:rPr>
                <w:rFonts w:eastAsia="MS Mincho"/>
                <w:sz w:val="22"/>
                <w:szCs w:val="22"/>
                <w:lang w:val="sr-Latn-ME"/>
              </w:rPr>
            </w:pPr>
            <w:r w:rsidRPr="005474B2">
              <w:rPr>
                <w:rFonts w:eastAsia="MS Mincho"/>
                <w:sz w:val="22"/>
                <w:szCs w:val="22"/>
                <w:lang w:val="sr-Latn-ME"/>
              </w:rPr>
              <w:t>27</w:t>
            </w:r>
          </w:p>
          <w:p w14:paraId="1B47FDF9" w14:textId="77777777" w:rsidR="007D7CE1" w:rsidRPr="005474B2" w:rsidRDefault="007D7CE1">
            <w:pPr>
              <w:jc w:val="both"/>
              <w:rPr>
                <w:rFonts w:eastAsia="MS Mincho"/>
                <w:sz w:val="22"/>
                <w:szCs w:val="22"/>
                <w:lang w:val="sr-Latn-ME"/>
              </w:rPr>
            </w:pPr>
            <w:r w:rsidRPr="005474B2">
              <w:rPr>
                <w:rFonts w:eastAsia="MS Mincho"/>
                <w:sz w:val="22"/>
                <w:szCs w:val="22"/>
                <w:lang w:val="sr-Latn-ME"/>
              </w:rPr>
              <w:t>(42,2%*)</w:t>
            </w:r>
          </w:p>
        </w:tc>
        <w:tc>
          <w:tcPr>
            <w:tcW w:w="1301" w:type="dxa"/>
            <w:tcBorders>
              <w:top w:val="nil"/>
              <w:bottom w:val="single" w:sz="4" w:space="0" w:color="auto"/>
              <w:right w:val="single" w:sz="8" w:space="0" w:color="000000"/>
            </w:tcBorders>
            <w:shd w:val="clear" w:color="auto" w:fill="auto"/>
          </w:tcPr>
          <w:p w14:paraId="33E6FDF1" w14:textId="77777777" w:rsidR="007D7CE1" w:rsidRPr="005474B2" w:rsidRDefault="007D7CE1">
            <w:pPr>
              <w:jc w:val="both"/>
              <w:rPr>
                <w:rFonts w:eastAsia="MS Mincho"/>
                <w:sz w:val="22"/>
                <w:szCs w:val="22"/>
                <w:lang w:val="sr-Latn-ME"/>
              </w:rPr>
            </w:pPr>
            <w:r w:rsidRPr="005474B2">
              <w:rPr>
                <w:rFonts w:eastAsia="MS Mincho"/>
                <w:sz w:val="22"/>
                <w:szCs w:val="22"/>
                <w:lang w:val="sr-Latn-ME"/>
              </w:rPr>
              <w:t>27</w:t>
            </w:r>
          </w:p>
          <w:p w14:paraId="3FA8E124" w14:textId="77777777" w:rsidR="007D7CE1" w:rsidRPr="005474B2" w:rsidRDefault="007D7CE1">
            <w:pPr>
              <w:jc w:val="both"/>
              <w:rPr>
                <w:rFonts w:eastAsia="MS Mincho"/>
                <w:sz w:val="22"/>
                <w:szCs w:val="22"/>
                <w:lang w:val="sr-Latn-ME"/>
              </w:rPr>
            </w:pPr>
            <w:r w:rsidRPr="005474B2">
              <w:rPr>
                <w:rFonts w:eastAsia="MS Mincho"/>
                <w:sz w:val="22"/>
                <w:szCs w:val="22"/>
                <w:lang w:val="sr-Latn-ME"/>
              </w:rPr>
              <w:t>(48,2%**)</w:t>
            </w:r>
          </w:p>
        </w:tc>
        <w:tc>
          <w:tcPr>
            <w:tcW w:w="1078" w:type="dxa"/>
            <w:tcBorders>
              <w:top w:val="nil"/>
              <w:bottom w:val="single" w:sz="4" w:space="0" w:color="auto"/>
              <w:right w:val="nil"/>
            </w:tcBorders>
          </w:tcPr>
          <w:p w14:paraId="4CD1ECB5" w14:textId="77777777" w:rsidR="007D7CE1" w:rsidRPr="005474B2" w:rsidRDefault="007D7CE1">
            <w:pPr>
              <w:jc w:val="both"/>
              <w:rPr>
                <w:rFonts w:eastAsia="MS Mincho"/>
                <w:sz w:val="22"/>
                <w:szCs w:val="22"/>
                <w:lang w:val="sr-Latn-ME"/>
              </w:rPr>
            </w:pPr>
            <w:r w:rsidRPr="005474B2">
              <w:rPr>
                <w:rFonts w:eastAsia="MS Mincho"/>
                <w:sz w:val="22"/>
                <w:szCs w:val="22"/>
                <w:lang w:val="sr-Latn-ME"/>
              </w:rPr>
              <w:t>66</w:t>
            </w:r>
          </w:p>
          <w:p w14:paraId="2C72B24C" w14:textId="77777777" w:rsidR="007D7CE1" w:rsidRPr="005474B2" w:rsidRDefault="007D7CE1">
            <w:pPr>
              <w:jc w:val="both"/>
              <w:rPr>
                <w:rFonts w:eastAsia="MS Mincho"/>
                <w:sz w:val="22"/>
                <w:szCs w:val="22"/>
                <w:lang w:val="sr-Latn-ME"/>
              </w:rPr>
            </w:pPr>
            <w:r w:rsidRPr="005474B2">
              <w:rPr>
                <w:rFonts w:eastAsia="MS Mincho"/>
                <w:sz w:val="22"/>
                <w:szCs w:val="22"/>
                <w:lang w:val="sr-Latn-ME"/>
              </w:rPr>
              <w:t>(34,4%)</w:t>
            </w:r>
          </w:p>
        </w:tc>
        <w:tc>
          <w:tcPr>
            <w:tcW w:w="1302" w:type="dxa"/>
            <w:tcBorders>
              <w:top w:val="nil"/>
              <w:left w:val="nil"/>
              <w:bottom w:val="single" w:sz="4" w:space="0" w:color="auto"/>
              <w:right w:val="nil"/>
            </w:tcBorders>
          </w:tcPr>
          <w:p w14:paraId="472EDF95" w14:textId="77777777" w:rsidR="007D7CE1" w:rsidRPr="005474B2" w:rsidRDefault="007D7CE1">
            <w:pPr>
              <w:jc w:val="both"/>
              <w:rPr>
                <w:rFonts w:eastAsia="MS Mincho"/>
                <w:sz w:val="22"/>
                <w:szCs w:val="22"/>
                <w:lang w:val="sr-Latn-ME"/>
              </w:rPr>
            </w:pPr>
            <w:r w:rsidRPr="005474B2">
              <w:rPr>
                <w:rFonts w:eastAsia="MS Mincho"/>
                <w:sz w:val="22"/>
                <w:szCs w:val="22"/>
                <w:lang w:val="sr-Latn-ME"/>
              </w:rPr>
              <w:t>77</w:t>
            </w:r>
          </w:p>
          <w:p w14:paraId="6C442607" w14:textId="77777777" w:rsidR="007D7CE1" w:rsidRPr="005474B2" w:rsidRDefault="007D7CE1">
            <w:pPr>
              <w:jc w:val="both"/>
              <w:rPr>
                <w:rFonts w:eastAsia="MS Mincho"/>
                <w:sz w:val="22"/>
                <w:szCs w:val="22"/>
                <w:lang w:val="sr-Latn-ME"/>
              </w:rPr>
            </w:pPr>
            <w:r w:rsidRPr="005474B2">
              <w:rPr>
                <w:rFonts w:eastAsia="MS Mincho"/>
                <w:sz w:val="22"/>
                <w:szCs w:val="22"/>
                <w:lang w:val="sr-Latn-ME"/>
              </w:rPr>
              <w:t>(54,6%***)</w:t>
            </w:r>
          </w:p>
        </w:tc>
        <w:tc>
          <w:tcPr>
            <w:tcW w:w="1307" w:type="dxa"/>
            <w:tcBorders>
              <w:top w:val="nil"/>
              <w:left w:val="nil"/>
              <w:bottom w:val="single" w:sz="4" w:space="0" w:color="auto"/>
              <w:right w:val="single" w:sz="8" w:space="0" w:color="000000"/>
            </w:tcBorders>
          </w:tcPr>
          <w:p w14:paraId="0D73BEA7" w14:textId="77777777" w:rsidR="007D7CE1" w:rsidRPr="005474B2" w:rsidRDefault="007D7CE1">
            <w:pPr>
              <w:jc w:val="both"/>
              <w:rPr>
                <w:rFonts w:eastAsia="MS Mincho"/>
                <w:sz w:val="22"/>
                <w:szCs w:val="22"/>
                <w:lang w:val="sr-Latn-ME"/>
              </w:rPr>
            </w:pPr>
            <w:r w:rsidRPr="005474B2">
              <w:rPr>
                <w:rFonts w:eastAsia="MS Mincho"/>
                <w:sz w:val="22"/>
                <w:szCs w:val="22"/>
                <w:lang w:val="sr-Latn-ME"/>
              </w:rPr>
              <w:t>86</w:t>
            </w:r>
          </w:p>
          <w:p w14:paraId="2C65B38F" w14:textId="77777777" w:rsidR="007D7CE1" w:rsidRPr="005474B2" w:rsidRDefault="007D7CE1">
            <w:pPr>
              <w:jc w:val="both"/>
              <w:rPr>
                <w:rFonts w:eastAsia="MS Mincho"/>
                <w:sz w:val="22"/>
                <w:szCs w:val="22"/>
                <w:lang w:val="sr-Latn-ME"/>
              </w:rPr>
            </w:pPr>
            <w:r w:rsidRPr="005474B2">
              <w:rPr>
                <w:rFonts w:eastAsia="MS Mincho"/>
                <w:sz w:val="22"/>
                <w:szCs w:val="22"/>
                <w:lang w:val="sr-Latn-ME"/>
              </w:rPr>
              <w:t>(61,4%***)</w:t>
            </w:r>
          </w:p>
        </w:tc>
      </w:tr>
      <w:tr w:rsidR="007D7CE1" w:rsidRPr="0009637B" w14:paraId="01C86A25" w14:textId="77777777" w:rsidTr="007D7CE1">
        <w:trPr>
          <w:trHeight w:val="290"/>
        </w:trPr>
        <w:tc>
          <w:tcPr>
            <w:tcW w:w="9464" w:type="dxa"/>
            <w:gridSpan w:val="7"/>
            <w:tcBorders>
              <w:top w:val="single" w:sz="4" w:space="0" w:color="auto"/>
              <w:left w:val="single" w:sz="8" w:space="0" w:color="000000"/>
              <w:bottom w:val="single" w:sz="8" w:space="0" w:color="000000"/>
              <w:right w:val="single" w:sz="8" w:space="0" w:color="000000"/>
            </w:tcBorders>
            <w:shd w:val="clear" w:color="auto" w:fill="auto"/>
          </w:tcPr>
          <w:p w14:paraId="06F93D4C" w14:textId="77777777" w:rsidR="007D7CE1" w:rsidRPr="005474B2" w:rsidRDefault="007D7CE1" w:rsidP="0009637B">
            <w:pPr>
              <w:keepNext/>
              <w:keepLines/>
              <w:tabs>
                <w:tab w:val="left" w:pos="284"/>
              </w:tabs>
              <w:jc w:val="both"/>
              <w:rPr>
                <w:color w:val="000000"/>
                <w:sz w:val="22"/>
                <w:szCs w:val="22"/>
                <w:lang w:val="sr-Latn-ME"/>
              </w:rPr>
            </w:pPr>
            <w:r w:rsidRPr="005474B2">
              <w:rPr>
                <w:color w:val="000000"/>
                <w:sz w:val="22"/>
                <w:szCs w:val="22"/>
                <w:lang w:val="sr-Latn-ME"/>
              </w:rPr>
              <w:t>* p&lt;0,05, ** p&lt;0,01, *** p&lt;0,001; u odnosu na placebo</w:t>
            </w:r>
          </w:p>
          <w:p w14:paraId="22B14243" w14:textId="0B24476E" w:rsidR="007D7CE1" w:rsidRPr="005474B2" w:rsidRDefault="007D7CE1" w:rsidP="0009637B">
            <w:pPr>
              <w:keepNext/>
              <w:keepLines/>
              <w:tabs>
                <w:tab w:val="left" w:pos="284"/>
              </w:tabs>
              <w:jc w:val="both"/>
              <w:rPr>
                <w:color w:val="000000"/>
                <w:sz w:val="22"/>
                <w:szCs w:val="22"/>
                <w:lang w:val="sr-Latn-ME"/>
              </w:rPr>
            </w:pPr>
            <w:r w:rsidRPr="005474B2">
              <w:rPr>
                <w:color w:val="000000"/>
                <w:sz w:val="22"/>
                <w:szCs w:val="22"/>
                <w:lang w:val="sr-Latn-ME"/>
              </w:rPr>
              <w:t>Sve p</w:t>
            </w:r>
            <w:r w:rsidRPr="005474B2">
              <w:rPr>
                <w:color w:val="000000"/>
                <w:sz w:val="22"/>
                <w:szCs w:val="22"/>
                <w:lang w:val="sr-Latn-ME"/>
              </w:rPr>
              <w:noBreakHyphen/>
            </w:r>
            <w:r w:rsidR="00A233FB" w:rsidRPr="005474B2">
              <w:rPr>
                <w:color w:val="000000"/>
                <w:sz w:val="22"/>
                <w:szCs w:val="22"/>
                <w:lang w:val="sr-Latn-ME"/>
              </w:rPr>
              <w:t>vrijednosti</w:t>
            </w:r>
            <w:r w:rsidRPr="005474B2">
              <w:rPr>
                <w:color w:val="000000"/>
                <w:sz w:val="22"/>
                <w:szCs w:val="22"/>
                <w:lang w:val="sr-Latn-ME"/>
              </w:rPr>
              <w:t xml:space="preserve"> su prilagođene za višestruka testiranja na osnovu unapr</w:t>
            </w:r>
            <w:r w:rsidR="00E228A4" w:rsidRPr="005474B2">
              <w:rPr>
                <w:color w:val="000000"/>
                <w:sz w:val="22"/>
                <w:szCs w:val="22"/>
                <w:lang w:val="sr-Latn-ME"/>
              </w:rPr>
              <w:t>ij</w:t>
            </w:r>
            <w:r w:rsidRPr="005474B2">
              <w:rPr>
                <w:color w:val="000000"/>
                <w:sz w:val="22"/>
                <w:szCs w:val="22"/>
                <w:lang w:val="sr-Latn-ME"/>
              </w:rPr>
              <w:t xml:space="preserve">ed definisane hijerarhije, u 24. </w:t>
            </w:r>
            <w:r w:rsidR="009A4880" w:rsidRPr="005474B2">
              <w:rPr>
                <w:color w:val="000000"/>
                <w:sz w:val="22"/>
                <w:szCs w:val="22"/>
                <w:lang w:val="sr-Latn-ME"/>
              </w:rPr>
              <w:t>nedjelj</w:t>
            </w:r>
            <w:r w:rsidRPr="005474B2">
              <w:rPr>
                <w:color w:val="000000"/>
                <w:sz w:val="22"/>
                <w:szCs w:val="22"/>
                <w:lang w:val="sr-Latn-ME"/>
              </w:rPr>
              <w:t xml:space="preserve">i za PsA studiju 2, osim za ACR70, daktilitis i entezitis, koji su bili eksploratorni parametri praćenja, i za sve parametre praćenja u 16. </w:t>
            </w:r>
            <w:r w:rsidR="009A4880" w:rsidRPr="005474B2">
              <w:rPr>
                <w:color w:val="000000"/>
                <w:sz w:val="22"/>
                <w:szCs w:val="22"/>
                <w:lang w:val="sr-Latn-ME"/>
              </w:rPr>
              <w:t>nedjelj</w:t>
            </w:r>
            <w:r w:rsidRPr="005474B2">
              <w:rPr>
                <w:color w:val="000000"/>
                <w:sz w:val="22"/>
                <w:szCs w:val="22"/>
                <w:lang w:val="sr-Latn-ME"/>
              </w:rPr>
              <w:t>i.</w:t>
            </w:r>
          </w:p>
          <w:p w14:paraId="0547B9EB" w14:textId="0E36579B" w:rsidR="007D7CE1" w:rsidRPr="005474B2" w:rsidRDefault="007D7CE1">
            <w:pPr>
              <w:keepNext/>
              <w:keepLines/>
              <w:tabs>
                <w:tab w:val="left" w:pos="284"/>
              </w:tabs>
              <w:jc w:val="both"/>
              <w:rPr>
                <w:color w:val="000000"/>
                <w:sz w:val="22"/>
                <w:szCs w:val="22"/>
                <w:lang w:val="sr-Latn-ME"/>
              </w:rPr>
            </w:pPr>
            <w:r w:rsidRPr="005474B2">
              <w:rPr>
                <w:color w:val="000000"/>
                <w:sz w:val="22"/>
                <w:szCs w:val="22"/>
                <w:lang w:val="sr-Latn-ME"/>
              </w:rPr>
              <w:t>Sve p</w:t>
            </w:r>
            <w:r w:rsidRPr="005474B2">
              <w:rPr>
                <w:color w:val="000000"/>
                <w:sz w:val="22"/>
                <w:szCs w:val="22"/>
                <w:lang w:val="sr-Latn-ME"/>
              </w:rPr>
              <w:noBreakHyphen/>
            </w:r>
            <w:r w:rsidR="00A233FB" w:rsidRPr="005474B2">
              <w:rPr>
                <w:color w:val="000000"/>
                <w:sz w:val="22"/>
                <w:szCs w:val="22"/>
                <w:lang w:val="sr-Latn-ME"/>
              </w:rPr>
              <w:t>vrijednosti</w:t>
            </w:r>
            <w:r w:rsidRPr="005474B2">
              <w:rPr>
                <w:color w:val="000000"/>
                <w:sz w:val="22"/>
                <w:szCs w:val="22"/>
                <w:lang w:val="sr-Latn-ME"/>
              </w:rPr>
              <w:t xml:space="preserve"> su prilagođene za višestruka testiranja na osnovu unapr</w:t>
            </w:r>
            <w:r w:rsidR="00E228A4" w:rsidRPr="005474B2">
              <w:rPr>
                <w:color w:val="000000"/>
                <w:sz w:val="22"/>
                <w:szCs w:val="22"/>
                <w:lang w:val="sr-Latn-ME"/>
              </w:rPr>
              <w:t>ij</w:t>
            </w:r>
            <w:r w:rsidRPr="005474B2">
              <w:rPr>
                <w:color w:val="000000"/>
                <w:sz w:val="22"/>
                <w:szCs w:val="22"/>
                <w:lang w:val="sr-Latn-ME"/>
              </w:rPr>
              <w:t xml:space="preserve">ed definisane hijerarhije, u 16. </w:t>
            </w:r>
            <w:r w:rsidR="009A4880" w:rsidRPr="005474B2">
              <w:rPr>
                <w:color w:val="000000"/>
                <w:sz w:val="22"/>
                <w:szCs w:val="22"/>
                <w:lang w:val="sr-Latn-ME"/>
              </w:rPr>
              <w:t>nedjelj</w:t>
            </w:r>
            <w:r w:rsidRPr="005474B2">
              <w:rPr>
                <w:color w:val="000000"/>
                <w:sz w:val="22"/>
                <w:szCs w:val="22"/>
                <w:lang w:val="sr-Latn-ME"/>
              </w:rPr>
              <w:t xml:space="preserve">i za PsA studiju 3, osim za ACR70 koji je bio eksploratorni parametar praćenja, i za sve parametre praćenja u 24. </w:t>
            </w:r>
            <w:r w:rsidR="009A4880" w:rsidRPr="005474B2">
              <w:rPr>
                <w:color w:val="000000"/>
                <w:sz w:val="22"/>
                <w:szCs w:val="22"/>
                <w:lang w:val="sr-Latn-ME"/>
              </w:rPr>
              <w:t>nedjelj</w:t>
            </w:r>
            <w:r w:rsidRPr="005474B2">
              <w:rPr>
                <w:color w:val="000000"/>
                <w:sz w:val="22"/>
                <w:szCs w:val="22"/>
                <w:lang w:val="sr-Latn-ME"/>
              </w:rPr>
              <w:t>i.</w:t>
            </w:r>
          </w:p>
          <w:p w14:paraId="2BB41AFA" w14:textId="2907F3A9" w:rsidR="007D7CE1" w:rsidRPr="005474B2" w:rsidRDefault="007D7CE1">
            <w:pPr>
              <w:keepNext/>
              <w:keepLines/>
              <w:tabs>
                <w:tab w:val="left" w:pos="284"/>
              </w:tabs>
              <w:jc w:val="both"/>
              <w:rPr>
                <w:color w:val="000000"/>
                <w:sz w:val="22"/>
                <w:szCs w:val="22"/>
                <w:lang w:val="sr-Latn-ME"/>
              </w:rPr>
            </w:pPr>
            <w:r w:rsidRPr="005474B2">
              <w:rPr>
                <w:color w:val="000000"/>
                <w:sz w:val="22"/>
                <w:szCs w:val="22"/>
                <w:lang w:val="sr-Latn-ME"/>
              </w:rPr>
              <w:t>Imputacija pacijenata bez odgovora je upotr</w:t>
            </w:r>
            <w:r w:rsidR="00E228A4" w:rsidRPr="005474B2">
              <w:rPr>
                <w:color w:val="000000"/>
                <w:sz w:val="22"/>
                <w:szCs w:val="22"/>
                <w:lang w:val="sr-Latn-ME"/>
              </w:rPr>
              <w:t>ij</w:t>
            </w:r>
            <w:r w:rsidRPr="005474B2">
              <w:rPr>
                <w:color w:val="000000"/>
                <w:sz w:val="22"/>
                <w:szCs w:val="22"/>
                <w:lang w:val="sr-Latn-ME"/>
              </w:rPr>
              <w:t>ebljena za binarni parametar praćenja koji nedostaje.</w:t>
            </w:r>
          </w:p>
          <w:p w14:paraId="377BC1E9" w14:textId="527660CD" w:rsidR="007D7CE1" w:rsidRPr="005474B2" w:rsidRDefault="007D7CE1">
            <w:pPr>
              <w:jc w:val="both"/>
              <w:rPr>
                <w:rFonts w:eastAsia="MS Mincho"/>
                <w:color w:val="000000"/>
                <w:sz w:val="22"/>
                <w:szCs w:val="22"/>
                <w:lang w:val="sr-Latn-ME"/>
              </w:rPr>
            </w:pPr>
            <w:r w:rsidRPr="005474B2">
              <w:rPr>
                <w:rFonts w:eastAsia="MS Mincho"/>
                <w:color w:val="000000"/>
                <w:sz w:val="22"/>
                <w:szCs w:val="22"/>
                <w:lang w:val="sr-Latn-ME"/>
              </w:rPr>
              <w:t>ACR: Američki koledž za reumatologiju; PASI: Indeks zahvaćenosti kože psorijazom i težine psorijaze; DAS: indeks aktivnosti bolesti; BSA: područje t</w:t>
            </w:r>
            <w:r w:rsidR="00E228A4" w:rsidRPr="005474B2">
              <w:rPr>
                <w:rFonts w:eastAsia="MS Mincho"/>
                <w:color w:val="000000"/>
                <w:sz w:val="22"/>
                <w:szCs w:val="22"/>
                <w:lang w:val="sr-Latn-ME"/>
              </w:rPr>
              <w:t>j</w:t>
            </w:r>
            <w:r w:rsidRPr="005474B2">
              <w:rPr>
                <w:rFonts w:eastAsia="MS Mincho"/>
                <w:color w:val="000000"/>
                <w:sz w:val="22"/>
                <w:szCs w:val="22"/>
                <w:lang w:val="sr-Latn-ME"/>
              </w:rPr>
              <w:t>elesne površine</w:t>
            </w:r>
          </w:p>
          <w:p w14:paraId="21CAE05D" w14:textId="77777777" w:rsidR="007D7CE1" w:rsidRPr="005474B2" w:rsidRDefault="007D7CE1">
            <w:pPr>
              <w:keepLines/>
              <w:tabs>
                <w:tab w:val="left" w:pos="284"/>
              </w:tabs>
              <w:spacing w:before="40" w:after="20"/>
              <w:jc w:val="both"/>
              <w:rPr>
                <w:rFonts w:eastAsia="MS Mincho"/>
                <w:sz w:val="22"/>
                <w:szCs w:val="22"/>
                <w:vertAlign w:val="superscript"/>
                <w:lang w:val="sr-Latn-ME"/>
              </w:rPr>
            </w:pPr>
            <w:r w:rsidRPr="005474B2">
              <w:rPr>
                <w:rFonts w:eastAsia="MS Mincho"/>
                <w:sz w:val="22"/>
                <w:szCs w:val="22"/>
                <w:vertAlign w:val="superscript"/>
                <w:lang w:val="sr-Latn-ME"/>
              </w:rPr>
              <w:t>◊</w:t>
            </w:r>
            <w:r w:rsidRPr="005474B2">
              <w:rPr>
                <w:rFonts w:eastAsia="MS Mincho"/>
                <w:sz w:val="22"/>
                <w:szCs w:val="22"/>
                <w:lang w:val="sr-Latn-ME"/>
              </w:rPr>
              <w:t>Primarni parametar praćenja</w:t>
            </w:r>
          </w:p>
          <w:p w14:paraId="7F0E05A8" w14:textId="509ECC48" w:rsidR="007D7CE1" w:rsidRPr="005474B2" w:rsidRDefault="007D7CE1">
            <w:pPr>
              <w:jc w:val="both"/>
              <w:rPr>
                <w:rFonts w:eastAsia="MS Mincho"/>
                <w:color w:val="000000"/>
                <w:sz w:val="22"/>
                <w:szCs w:val="22"/>
                <w:lang w:val="sr-Latn-ME"/>
              </w:rPr>
            </w:pPr>
            <w:r w:rsidRPr="005474B2">
              <w:rPr>
                <w:rFonts w:eastAsia="MS Mincho"/>
                <w:sz w:val="22"/>
                <w:szCs w:val="22"/>
                <w:vertAlign w:val="superscript"/>
                <w:lang w:val="sr-Latn-ME"/>
              </w:rPr>
              <w:t>1</w:t>
            </w:r>
            <w:r w:rsidRPr="005474B2">
              <w:rPr>
                <w:rFonts w:eastAsia="MS Mincho"/>
                <w:iCs/>
                <w:sz w:val="22"/>
                <w:szCs w:val="22"/>
                <w:lang w:val="sr-Latn-ME"/>
              </w:rPr>
              <w:t>Sekukinumab</w:t>
            </w:r>
            <w:r w:rsidRPr="005474B2">
              <w:rPr>
                <w:rFonts w:eastAsia="MS Mincho"/>
                <w:sz w:val="22"/>
                <w:szCs w:val="22"/>
                <w:lang w:val="sr-Latn-ME"/>
              </w:rPr>
              <w:t xml:space="preserve"> 150 mg ili 300 mg s.c. u 0</w:t>
            </w:r>
            <w:r w:rsidR="00822251" w:rsidRPr="005474B2">
              <w:rPr>
                <w:rFonts w:eastAsia="MS Mincho"/>
                <w:sz w:val="22"/>
                <w:szCs w:val="22"/>
                <w:lang w:val="sr-Latn-ME"/>
              </w:rPr>
              <w:t>.</w:t>
            </w:r>
            <w:r w:rsidRPr="005474B2">
              <w:rPr>
                <w:rFonts w:eastAsia="MS Mincho"/>
                <w:sz w:val="22"/>
                <w:szCs w:val="22"/>
                <w:lang w:val="sr-Latn-ME"/>
              </w:rPr>
              <w:t>, 1</w:t>
            </w:r>
            <w:r w:rsidR="00822251" w:rsidRPr="005474B2">
              <w:rPr>
                <w:rFonts w:eastAsia="MS Mincho"/>
                <w:sz w:val="22"/>
                <w:szCs w:val="22"/>
                <w:lang w:val="sr-Latn-ME"/>
              </w:rPr>
              <w:t>.</w:t>
            </w:r>
            <w:r w:rsidRPr="005474B2">
              <w:rPr>
                <w:rFonts w:eastAsia="MS Mincho"/>
                <w:sz w:val="22"/>
                <w:szCs w:val="22"/>
                <w:lang w:val="sr-Latn-ME"/>
              </w:rPr>
              <w:t>, 2</w:t>
            </w:r>
            <w:r w:rsidR="00822251" w:rsidRPr="005474B2">
              <w:rPr>
                <w:rFonts w:eastAsia="MS Mincho"/>
                <w:sz w:val="22"/>
                <w:szCs w:val="22"/>
                <w:lang w:val="sr-Latn-ME"/>
              </w:rPr>
              <w:t>.</w:t>
            </w:r>
            <w:r w:rsidRPr="005474B2">
              <w:rPr>
                <w:rFonts w:eastAsia="MS Mincho"/>
                <w:sz w:val="22"/>
                <w:szCs w:val="22"/>
                <w:lang w:val="sr-Latn-ME"/>
              </w:rPr>
              <w:t xml:space="preserve">, 3. i 4. </w:t>
            </w:r>
            <w:r w:rsidR="009A4880" w:rsidRPr="005474B2">
              <w:rPr>
                <w:rFonts w:eastAsia="MS Mincho"/>
                <w:sz w:val="22"/>
                <w:szCs w:val="22"/>
                <w:lang w:val="sr-Latn-ME"/>
              </w:rPr>
              <w:t>nedjelj</w:t>
            </w:r>
            <w:r w:rsidRPr="005474B2">
              <w:rPr>
                <w:rFonts w:eastAsia="MS Mincho"/>
                <w:sz w:val="22"/>
                <w:szCs w:val="22"/>
                <w:lang w:val="sr-Latn-ME"/>
              </w:rPr>
              <w:t>i, nakon čega su u</w:t>
            </w:r>
            <w:r w:rsidR="009A4880" w:rsidRPr="005474B2">
              <w:rPr>
                <w:rFonts w:eastAsia="MS Mincho"/>
                <w:sz w:val="22"/>
                <w:szCs w:val="22"/>
                <w:lang w:val="sr-Latn-ME"/>
              </w:rPr>
              <w:t>slijedi</w:t>
            </w:r>
            <w:r w:rsidRPr="005474B2">
              <w:rPr>
                <w:rFonts w:eastAsia="MS Mincho"/>
                <w:sz w:val="22"/>
                <w:szCs w:val="22"/>
                <w:lang w:val="sr-Latn-ME"/>
              </w:rPr>
              <w:t xml:space="preserve">le iste doze svakog </w:t>
            </w:r>
            <w:r w:rsidR="009A4880" w:rsidRPr="005474B2">
              <w:rPr>
                <w:rFonts w:eastAsia="MS Mincho"/>
                <w:sz w:val="22"/>
                <w:szCs w:val="22"/>
                <w:lang w:val="sr-Latn-ME"/>
              </w:rPr>
              <w:t>mjesec</w:t>
            </w:r>
            <w:r w:rsidRPr="005474B2">
              <w:rPr>
                <w:rFonts w:eastAsia="MS Mincho"/>
                <w:sz w:val="22"/>
                <w:szCs w:val="22"/>
                <w:lang w:val="sr-Latn-ME"/>
              </w:rPr>
              <w:t xml:space="preserve">a </w:t>
            </w:r>
          </w:p>
          <w:p w14:paraId="57FBEEDF" w14:textId="77777777" w:rsidR="007D7CE1" w:rsidRPr="005474B2" w:rsidRDefault="007D7CE1">
            <w:pPr>
              <w:keepNext/>
              <w:keepLines/>
              <w:widowControl w:val="0"/>
              <w:tabs>
                <w:tab w:val="left" w:pos="284"/>
              </w:tabs>
              <w:jc w:val="both"/>
              <w:rPr>
                <w:rFonts w:eastAsia="MS Mincho"/>
                <w:color w:val="000000"/>
                <w:sz w:val="22"/>
                <w:szCs w:val="22"/>
                <w:lang w:val="sr-Latn-ME" w:eastAsia="zh-CN"/>
              </w:rPr>
            </w:pPr>
            <w:r w:rsidRPr="005474B2">
              <w:rPr>
                <w:rFonts w:eastAsia="MS Mincho"/>
                <w:color w:val="000000"/>
                <w:sz w:val="22"/>
                <w:szCs w:val="22"/>
                <w:lang w:val="sr-Latn-ME" w:eastAsia="zh-CN"/>
              </w:rPr>
              <w:t>†</w:t>
            </w:r>
            <w:r w:rsidRPr="005474B2">
              <w:rPr>
                <w:rFonts w:eastAsia="MS Mincho"/>
                <w:sz w:val="22"/>
                <w:szCs w:val="22"/>
                <w:lang w:val="sr-Latn-ME" w:eastAsia="zh-CN"/>
              </w:rPr>
              <w:t xml:space="preserve"> </w:t>
            </w:r>
            <w:r w:rsidRPr="005474B2">
              <w:rPr>
                <w:rFonts w:eastAsia="MS Mincho"/>
                <w:color w:val="000000"/>
                <w:sz w:val="22"/>
                <w:szCs w:val="22"/>
                <w:lang w:val="sr-Latn-ME" w:eastAsia="zh-CN"/>
              </w:rPr>
              <w:t>Kod pacijenata sa daktilitisom na početku (n=27, 33, 32, 46 redom za PsA studiju 2 i n=124, 80, 82, redom za PsA studiju 3)</w:t>
            </w:r>
          </w:p>
          <w:p w14:paraId="7707D021" w14:textId="77777777" w:rsidR="007D7CE1" w:rsidRPr="005474B2" w:rsidRDefault="007D7CE1">
            <w:pPr>
              <w:keepNext/>
              <w:keepLines/>
              <w:tabs>
                <w:tab w:val="left" w:pos="284"/>
              </w:tabs>
              <w:jc w:val="both"/>
              <w:rPr>
                <w:color w:val="000000"/>
                <w:sz w:val="22"/>
                <w:szCs w:val="22"/>
                <w:lang w:val="sr-Latn-ME"/>
              </w:rPr>
            </w:pPr>
            <w:r w:rsidRPr="005474B2">
              <w:rPr>
                <w:color w:val="000000"/>
                <w:sz w:val="22"/>
                <w:szCs w:val="22"/>
                <w:lang w:val="sr-Latn-ME"/>
              </w:rPr>
              <w:t>‡Kod pacijenata sa entezitisom na početku (n=65, 64, 56, redom za PsA studiju 2 i n=192, 141, 140, redom za PsA studiju 3)</w:t>
            </w:r>
          </w:p>
        </w:tc>
      </w:tr>
    </w:tbl>
    <w:p w14:paraId="009CAD24" w14:textId="77777777" w:rsidR="007D7CE1" w:rsidRPr="005474B2" w:rsidRDefault="007D7CE1" w:rsidP="0009637B">
      <w:pPr>
        <w:tabs>
          <w:tab w:val="left" w:pos="540"/>
          <w:tab w:val="left" w:pos="569"/>
        </w:tabs>
        <w:jc w:val="both"/>
        <w:rPr>
          <w:b/>
          <w:bCs/>
          <w:sz w:val="22"/>
          <w:szCs w:val="22"/>
          <w:lang w:val="sr-Latn-ME"/>
        </w:rPr>
      </w:pPr>
    </w:p>
    <w:p w14:paraId="15AAEB31" w14:textId="77777777" w:rsidR="007D7CE1" w:rsidRPr="005474B2" w:rsidRDefault="007D7CE1" w:rsidP="0009637B">
      <w:pPr>
        <w:autoSpaceDE w:val="0"/>
        <w:autoSpaceDN w:val="0"/>
        <w:adjustRightInd w:val="0"/>
        <w:jc w:val="both"/>
        <w:rPr>
          <w:sz w:val="22"/>
          <w:szCs w:val="22"/>
          <w:lang w:val="sr-Latn-ME"/>
        </w:rPr>
      </w:pPr>
      <w:r w:rsidRPr="005474B2">
        <w:rPr>
          <w:sz w:val="22"/>
          <w:szCs w:val="22"/>
          <w:lang w:val="sr-Latn-ME"/>
        </w:rPr>
        <w:t xml:space="preserve">Početak dejstva </w:t>
      </w:r>
      <w:r w:rsidRPr="005474B2">
        <w:rPr>
          <w:iCs/>
          <w:sz w:val="22"/>
          <w:szCs w:val="22"/>
          <w:lang w:val="sr-Latn-ME"/>
        </w:rPr>
        <w:t>sekukinumaba</w:t>
      </w:r>
      <w:r w:rsidRPr="005474B2">
        <w:rPr>
          <w:sz w:val="22"/>
          <w:szCs w:val="22"/>
          <w:lang w:val="sr-Latn-ME"/>
        </w:rPr>
        <w:t xml:space="preserve"> je nastupio već u 2. </w:t>
      </w:r>
      <w:r w:rsidR="009A4880" w:rsidRPr="005474B2">
        <w:rPr>
          <w:sz w:val="22"/>
          <w:szCs w:val="22"/>
          <w:lang w:val="sr-Latn-ME"/>
        </w:rPr>
        <w:t>nedjelj</w:t>
      </w:r>
      <w:r w:rsidRPr="005474B2">
        <w:rPr>
          <w:sz w:val="22"/>
          <w:szCs w:val="22"/>
          <w:lang w:val="sr-Latn-ME"/>
        </w:rPr>
        <w:t xml:space="preserve">i. Statistički značajna razlika u ACR 20 u poređenju sa placebom je dostignuta u 3. </w:t>
      </w:r>
      <w:r w:rsidR="009A4880" w:rsidRPr="005474B2">
        <w:rPr>
          <w:sz w:val="22"/>
          <w:szCs w:val="22"/>
          <w:lang w:val="sr-Latn-ME"/>
        </w:rPr>
        <w:t>nedjelj</w:t>
      </w:r>
      <w:r w:rsidRPr="005474B2">
        <w:rPr>
          <w:sz w:val="22"/>
          <w:szCs w:val="22"/>
          <w:lang w:val="sr-Latn-ME"/>
        </w:rPr>
        <w:t xml:space="preserve">i. </w:t>
      </w:r>
    </w:p>
    <w:p w14:paraId="590D683F" w14:textId="77777777" w:rsidR="007D7CE1" w:rsidRPr="005474B2" w:rsidRDefault="007D7CE1">
      <w:pPr>
        <w:autoSpaceDE w:val="0"/>
        <w:autoSpaceDN w:val="0"/>
        <w:adjustRightInd w:val="0"/>
        <w:jc w:val="both"/>
        <w:rPr>
          <w:sz w:val="22"/>
          <w:szCs w:val="22"/>
          <w:lang w:val="sr-Latn-ME"/>
        </w:rPr>
      </w:pPr>
    </w:p>
    <w:p w14:paraId="72652177" w14:textId="1288C425" w:rsidR="007D7CE1" w:rsidRPr="005474B2" w:rsidRDefault="007D7CE1">
      <w:pPr>
        <w:autoSpaceDE w:val="0"/>
        <w:autoSpaceDN w:val="0"/>
        <w:adjustRightInd w:val="0"/>
        <w:jc w:val="both"/>
        <w:rPr>
          <w:sz w:val="22"/>
          <w:szCs w:val="22"/>
          <w:lang w:val="sr-Latn-ME"/>
        </w:rPr>
      </w:pPr>
      <w:r w:rsidRPr="005474B2">
        <w:rPr>
          <w:sz w:val="22"/>
          <w:szCs w:val="22"/>
          <w:lang w:val="sr-Latn-ME"/>
        </w:rPr>
        <w:t>Procenat pacijenata koji su postigli ACR 20 odgovor po pos</w:t>
      </w:r>
      <w:r w:rsidR="00E228A4" w:rsidRPr="005474B2">
        <w:rPr>
          <w:sz w:val="22"/>
          <w:szCs w:val="22"/>
          <w:lang w:val="sr-Latn-ME"/>
        </w:rPr>
        <w:t>j</w:t>
      </w:r>
      <w:r w:rsidRPr="005474B2">
        <w:rPr>
          <w:sz w:val="22"/>
          <w:szCs w:val="22"/>
          <w:lang w:val="sr-Latn-ME"/>
        </w:rPr>
        <w:t xml:space="preserve">eti prikazan je </w:t>
      </w:r>
      <w:r w:rsidR="00E228A4" w:rsidRPr="005474B2">
        <w:rPr>
          <w:sz w:val="22"/>
          <w:szCs w:val="22"/>
          <w:lang w:val="sr-Latn-ME"/>
        </w:rPr>
        <w:t>na</w:t>
      </w:r>
      <w:r w:rsidRPr="005474B2">
        <w:rPr>
          <w:sz w:val="22"/>
          <w:szCs w:val="22"/>
          <w:lang w:val="sr-Latn-ME"/>
        </w:rPr>
        <w:t xml:space="preserve"> Slici 2.</w:t>
      </w:r>
    </w:p>
    <w:p w14:paraId="2CC1C9D1" w14:textId="77777777" w:rsidR="007D7CE1" w:rsidRPr="005474B2" w:rsidRDefault="007D7CE1">
      <w:pPr>
        <w:tabs>
          <w:tab w:val="left" w:pos="540"/>
          <w:tab w:val="left" w:pos="569"/>
        </w:tabs>
        <w:jc w:val="both"/>
        <w:rPr>
          <w:b/>
          <w:bCs/>
          <w:sz w:val="22"/>
          <w:szCs w:val="22"/>
          <w:lang w:val="sr-Latn-ME"/>
        </w:rPr>
      </w:pPr>
    </w:p>
    <w:p w14:paraId="21682CDF" w14:textId="77777777" w:rsidR="007D7CE1" w:rsidRPr="005474B2" w:rsidRDefault="007D7CE1">
      <w:pPr>
        <w:keepNext/>
        <w:widowControl w:val="0"/>
        <w:tabs>
          <w:tab w:val="left" w:pos="567"/>
        </w:tabs>
        <w:jc w:val="both"/>
        <w:outlineLvl w:val="6"/>
        <w:rPr>
          <w:b/>
          <w:sz w:val="22"/>
          <w:szCs w:val="22"/>
          <w:lang w:val="sr-Latn-ME"/>
        </w:rPr>
      </w:pPr>
      <w:r w:rsidRPr="005474B2">
        <w:rPr>
          <w:b/>
          <w:sz w:val="22"/>
          <w:szCs w:val="22"/>
          <w:lang w:val="sr-Latn-ME"/>
        </w:rPr>
        <w:t>Slika 2</w:t>
      </w:r>
      <w:r w:rsidRPr="005474B2">
        <w:rPr>
          <w:b/>
          <w:sz w:val="22"/>
          <w:szCs w:val="22"/>
          <w:lang w:val="sr-Latn-ME"/>
        </w:rPr>
        <w:tab/>
        <w:t>Odgovor ACR 20 u drugom ispitivanju PsA tokom vremena do 52. </w:t>
      </w:r>
      <w:r w:rsidR="009A4880" w:rsidRPr="005474B2">
        <w:rPr>
          <w:b/>
          <w:sz w:val="22"/>
          <w:szCs w:val="22"/>
          <w:lang w:val="sr-Latn-ME"/>
        </w:rPr>
        <w:t>nedjelj</w:t>
      </w:r>
      <w:r w:rsidRPr="005474B2">
        <w:rPr>
          <w:b/>
          <w:sz w:val="22"/>
          <w:szCs w:val="22"/>
          <w:lang w:val="sr-Latn-ME"/>
        </w:rPr>
        <w:t>e</w:t>
      </w:r>
    </w:p>
    <w:p w14:paraId="348E279A" w14:textId="77777777" w:rsidR="007D7CE1" w:rsidRPr="005474B2" w:rsidRDefault="007D7CE1">
      <w:pPr>
        <w:keepNext/>
        <w:widowControl w:val="0"/>
        <w:tabs>
          <w:tab w:val="left" w:pos="567"/>
        </w:tabs>
        <w:jc w:val="both"/>
        <w:outlineLvl w:val="6"/>
        <w:rPr>
          <w:b/>
          <w:sz w:val="22"/>
          <w:szCs w:val="22"/>
          <w:lang w:val="sr-Latn-ME"/>
        </w:rPr>
      </w:pPr>
    </w:p>
    <w:p w14:paraId="4C920873" w14:textId="77777777" w:rsidR="007D7CE1" w:rsidRPr="005474B2" w:rsidRDefault="007D7CE1">
      <w:pPr>
        <w:keepNext/>
        <w:keepLines/>
        <w:widowControl w:val="0"/>
        <w:tabs>
          <w:tab w:val="left" w:pos="567"/>
        </w:tabs>
        <w:jc w:val="both"/>
        <w:outlineLvl w:val="6"/>
        <w:rPr>
          <w:sz w:val="22"/>
          <w:szCs w:val="22"/>
          <w:lang w:val="sr-Latn-ME"/>
        </w:rPr>
      </w:pPr>
    </w:p>
    <w:p w14:paraId="195B04E3" w14:textId="1EBE2BC4" w:rsidR="007D7CE1" w:rsidRPr="005474B2" w:rsidRDefault="00114691">
      <w:pPr>
        <w:keepNext/>
        <w:keepLines/>
        <w:widowControl w:val="0"/>
        <w:jc w:val="both"/>
        <w:rPr>
          <w:rFonts w:eastAsia="MS Mincho"/>
          <w:noProof/>
          <w:sz w:val="22"/>
          <w:szCs w:val="22"/>
          <w:lang w:val="sr-Latn-ME"/>
        </w:rPr>
      </w:pPr>
      <w:r w:rsidRPr="005474B2">
        <w:rPr>
          <w:rFonts w:eastAsia="MS Mincho"/>
          <w:noProof/>
          <w:sz w:val="22"/>
          <w:szCs w:val="22"/>
        </w:rPr>
        <mc:AlternateContent>
          <mc:Choice Requires="wps">
            <w:drawing>
              <wp:anchor distT="0" distB="0" distL="114300" distR="114300" simplePos="0" relativeHeight="251659264" behindDoc="0" locked="0" layoutInCell="1" allowOverlap="1" wp14:anchorId="42A8D636" wp14:editId="0EF5AC2C">
                <wp:simplePos x="0" y="0"/>
                <wp:positionH relativeFrom="page">
                  <wp:align>left</wp:align>
                </wp:positionH>
                <wp:positionV relativeFrom="paragraph">
                  <wp:posOffset>1000512</wp:posOffset>
                </wp:positionV>
                <wp:extent cx="1432190" cy="12896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190" cy="1289685"/>
                        </a:xfrm>
                        <a:prstGeom prst="rect">
                          <a:avLst/>
                        </a:prstGeom>
                        <a:solidFill>
                          <a:srgbClr val="FFFFFF"/>
                        </a:solidFill>
                        <a:ln w="9525">
                          <a:noFill/>
                          <a:miter lim="800000"/>
                          <a:headEnd/>
                          <a:tailEnd/>
                        </a:ln>
                      </wps:spPr>
                      <wps:txbx>
                        <w:txbxContent>
                          <w:p w14:paraId="38C04954" w14:textId="77777777" w:rsidR="003D0030" w:rsidRPr="00EB64A6" w:rsidRDefault="003D0030" w:rsidP="007D7CE1">
                            <w:pPr>
                              <w:jc w:val="center"/>
                              <w:rPr>
                                <w:sz w:val="18"/>
                                <w:szCs w:val="22"/>
                                <w:lang w:val="sr-Latn-RS"/>
                              </w:rPr>
                            </w:pPr>
                            <w:r>
                              <w:rPr>
                                <w:sz w:val="18"/>
                                <w:szCs w:val="22"/>
                                <w:lang w:val="sr-Latn-RS"/>
                              </w:rPr>
                              <w:t>Procenat pacijenata sa odgovorom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A8D636" id="Text Box 10" o:spid="_x0000_s1027" type="#_x0000_t202" style="position:absolute;left:0;text-align:left;margin-left:0;margin-top:78.8pt;width:112.75pt;height:101.5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" stroked="f">
                <v:textbox style="mso-fit-shape-to-text:t">
                  <w:txbxContent>
                    <w:p w14:paraId="38C04954" w14:textId="77777777" w:rsidR="003D0030" w:rsidRPr="00EB64A6" w:rsidRDefault="003D0030" w:rsidP="007D7CE1">
                      <w:pPr>
                        <w:jc w:val="center"/>
                        <w:rPr>
                          <w:sz w:val="18"/>
                          <w:szCs w:val="22"/>
                          <w:lang w:val="sr-Latn-RS"/>
                        </w:rPr>
                      </w:pPr>
                      <w:r>
                        <w:rPr>
                          <w:sz w:val="18"/>
                          <w:szCs w:val="22"/>
                          <w:lang w:val="sr-Latn-RS"/>
                        </w:rPr>
                        <w:t>Procenat pacijenata sa odgovorom</w:t>
                      </w:r>
                    </w:p>
                  </w:txbxContent>
                </v:textbox>
                <w10:wrap anchorx="page"/>
              </v:shape>
            </w:pict>
          </mc:Fallback>
        </mc:AlternateContent>
      </w:r>
      <w:r w:rsidRPr="005474B2">
        <w:rPr>
          <w:rFonts w:eastAsia="MS Mincho"/>
          <w:noProof/>
          <w:sz w:val="22"/>
          <w:szCs w:val="22"/>
          <w:lang w:val="sr-Latn-ME"/>
        </w:rPr>
        <w:t xml:space="preserve">         </w:t>
      </w:r>
      <w:r w:rsidR="007D7CE1" w:rsidRPr="005474B2">
        <w:rPr>
          <w:rFonts w:eastAsia="MS Mincho"/>
          <w:noProof/>
          <w:sz w:val="22"/>
          <w:szCs w:val="22"/>
          <w:lang w:val="sr-Latn-ME"/>
        </w:rPr>
        <w:t xml:space="preserve"> </w:t>
      </w:r>
      <w:r w:rsidR="007D7CE1" w:rsidRPr="005474B2">
        <w:rPr>
          <w:rFonts w:eastAsia="MS Mincho"/>
          <w:noProof/>
          <w:sz w:val="22"/>
          <w:szCs w:val="22"/>
        </w:rPr>
        <w:drawing>
          <wp:inline distT="0" distB="0" distL="0" distR="0" wp14:anchorId="165AC584" wp14:editId="33580D7B">
            <wp:extent cx="4297680" cy="35661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7680" cy="3566160"/>
                    </a:xfrm>
                    <a:prstGeom prst="rect">
                      <a:avLst/>
                    </a:prstGeom>
                    <a:noFill/>
                    <a:ln>
                      <a:noFill/>
                    </a:ln>
                  </pic:spPr>
                </pic:pic>
              </a:graphicData>
            </a:graphic>
          </wp:inline>
        </w:drawing>
      </w:r>
    </w:p>
    <w:p w14:paraId="53D73B86" w14:textId="00A1D0C7" w:rsidR="007D7CE1" w:rsidRPr="005474B2" w:rsidRDefault="00114691">
      <w:pPr>
        <w:tabs>
          <w:tab w:val="left" w:pos="284"/>
        </w:tabs>
        <w:jc w:val="both"/>
        <w:rPr>
          <w:bCs/>
          <w:iCs/>
          <w:sz w:val="22"/>
          <w:szCs w:val="22"/>
          <w:lang w:val="sr-Latn-ME"/>
        </w:rPr>
      </w:pPr>
      <w:r w:rsidRPr="005474B2">
        <w:rPr>
          <w:rFonts w:eastAsia="MS Mincho"/>
          <w:noProof/>
          <w:sz w:val="22"/>
          <w:szCs w:val="22"/>
        </w:rPr>
        <mc:AlternateContent>
          <mc:Choice Requires="wps">
            <w:drawing>
              <wp:anchor distT="0" distB="0" distL="114300" distR="114300" simplePos="0" relativeHeight="251660288" behindDoc="0" locked="0" layoutInCell="1" allowOverlap="1" wp14:anchorId="3289DEA3" wp14:editId="55D48946">
                <wp:simplePos x="0" y="0"/>
                <wp:positionH relativeFrom="column">
                  <wp:posOffset>1500450</wp:posOffset>
                </wp:positionH>
                <wp:positionV relativeFrom="paragraph">
                  <wp:posOffset>8835</wp:posOffset>
                </wp:positionV>
                <wp:extent cx="2154555" cy="229235"/>
                <wp:effectExtent l="0" t="0"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8C8AB" w14:textId="77777777" w:rsidR="003D0030" w:rsidRPr="00EA5F3E" w:rsidRDefault="003D0030" w:rsidP="007D7CE1">
                            <w:pPr>
                              <w:jc w:val="center"/>
                              <w:rPr>
                                <w:sz w:val="20"/>
                                <w:szCs w:val="22"/>
                                <w:lang w:val="sr-Latn-RS"/>
                              </w:rPr>
                            </w:pPr>
                            <w:r>
                              <w:rPr>
                                <w:sz w:val="20"/>
                                <w:szCs w:val="22"/>
                                <w:lang w:val="sr-Latn-RS"/>
                              </w:rPr>
                              <w:t>Vrijeme (nedjelje)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89DEA3" id="Text Box 11" o:spid="_x0000_s1028" type="#_x0000_t202" style="position:absolute;left:0;text-align:left;margin-left:118.15pt;margin-top:.7pt;width:169.65pt;height:1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" stroked="f">
                <v:textbox>
                  <w:txbxContent>
                    <w:p w14:paraId="36F8C8AB" w14:textId="77777777" w:rsidR="003D0030" w:rsidRPr="00EA5F3E" w:rsidRDefault="003D0030" w:rsidP="007D7CE1">
                      <w:pPr>
                        <w:jc w:val="center"/>
                        <w:rPr>
                          <w:sz w:val="20"/>
                          <w:szCs w:val="22"/>
                          <w:lang w:val="sr-Latn-RS"/>
                        </w:rPr>
                      </w:pPr>
                      <w:r>
                        <w:rPr>
                          <w:sz w:val="20"/>
                          <w:szCs w:val="22"/>
                          <w:lang w:val="sr-Latn-RS"/>
                        </w:rPr>
                        <w:t>Vrijeme (nedjelje)</w:t>
                      </w:r>
                    </w:p>
                  </w:txbxContent>
                </v:textbox>
              </v:shape>
            </w:pict>
          </mc:Fallback>
        </mc:AlternateContent>
      </w:r>
    </w:p>
    <w:p w14:paraId="03137354" w14:textId="77777777" w:rsidR="007D7CE1" w:rsidRPr="005474B2" w:rsidRDefault="007D7CE1">
      <w:pPr>
        <w:keepNext/>
        <w:widowControl w:val="0"/>
        <w:tabs>
          <w:tab w:val="left" w:pos="284"/>
        </w:tabs>
        <w:jc w:val="both"/>
        <w:rPr>
          <w:bCs/>
          <w:iCs/>
          <w:sz w:val="22"/>
          <w:szCs w:val="22"/>
          <w:lang w:val="sr-Latn-ME"/>
        </w:rPr>
      </w:pPr>
      <w:r w:rsidRPr="005474B2">
        <w:rPr>
          <w:noProof/>
          <w:sz w:val="22"/>
          <w:szCs w:val="22"/>
        </w:rPr>
        <w:lastRenderedPageBreak/>
        <w:drawing>
          <wp:inline distT="0" distB="0" distL="0" distR="0" wp14:anchorId="5409E7D2" wp14:editId="1B0F4FB6">
            <wp:extent cx="4206240" cy="27432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inline>
        </w:drawing>
      </w:r>
    </w:p>
    <w:p w14:paraId="1C3C035B" w14:textId="77777777" w:rsidR="007D7CE1" w:rsidRPr="005474B2" w:rsidRDefault="007D7CE1">
      <w:pPr>
        <w:keepNext/>
        <w:widowControl w:val="0"/>
        <w:tabs>
          <w:tab w:val="left" w:pos="567"/>
        </w:tabs>
        <w:jc w:val="both"/>
        <w:outlineLvl w:val="6"/>
        <w:rPr>
          <w:b/>
          <w:sz w:val="22"/>
          <w:szCs w:val="22"/>
          <w:lang w:val="sr-Latn-ME"/>
        </w:rPr>
      </w:pPr>
    </w:p>
    <w:p w14:paraId="4559897C" w14:textId="67FAA39D"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Slični odgovori za primarne i ključne sekundarne parametre praćenja efikasnosti su uočeni kod pacijenata sa PsA bez obzira da li su istovremeno bili na terapiji MTX-om ili ne. U PsA studiji 2, u 24. </w:t>
      </w:r>
      <w:r w:rsidR="009A4880" w:rsidRPr="005474B2">
        <w:rPr>
          <w:sz w:val="22"/>
          <w:szCs w:val="22"/>
          <w:lang w:val="sr-Latn-ME"/>
        </w:rPr>
        <w:t>nedjelj</w:t>
      </w:r>
      <w:r w:rsidRPr="005474B2">
        <w:rPr>
          <w:sz w:val="22"/>
          <w:szCs w:val="22"/>
          <w:lang w:val="sr-Latn-ME"/>
        </w:rPr>
        <w:t xml:space="preserve">i, pacijenti na terapiji </w:t>
      </w:r>
      <w:r w:rsidRPr="005474B2">
        <w:rPr>
          <w:iCs/>
          <w:sz w:val="22"/>
          <w:szCs w:val="22"/>
          <w:lang w:val="sr-Latn-ME"/>
        </w:rPr>
        <w:t>sekukinumabom</w:t>
      </w:r>
      <w:r w:rsidRPr="005474B2">
        <w:rPr>
          <w:sz w:val="22"/>
          <w:szCs w:val="22"/>
          <w:lang w:val="sr-Latn-ME"/>
        </w:rPr>
        <w:t xml:space="preserve"> uz istovremenu upotrebu MTX su imali viši ACR 20 odgovor (47,7% i 54,4% za 150 mg i 300 mg redom, u poređenju sa placebom 20,0%) i ACR 50 odgovor (31,8% i 38,6% za 150 mg i 300 mg redom u odnosu na placebo 8,0%). Pacijenti na terapiji </w:t>
      </w:r>
      <w:r w:rsidRPr="005474B2">
        <w:rPr>
          <w:iCs/>
          <w:sz w:val="22"/>
          <w:szCs w:val="22"/>
          <w:lang w:val="sr-Latn-ME"/>
        </w:rPr>
        <w:t>sekukinumabom</w:t>
      </w:r>
      <w:r w:rsidRPr="005474B2">
        <w:rPr>
          <w:sz w:val="22"/>
          <w:szCs w:val="22"/>
          <w:lang w:val="sr-Latn-ME"/>
        </w:rPr>
        <w:t xml:space="preserve"> koji ni</w:t>
      </w:r>
      <w:r w:rsidR="00746619" w:rsidRPr="005474B2">
        <w:rPr>
          <w:sz w:val="22"/>
          <w:szCs w:val="22"/>
          <w:lang w:val="sr-Latn-ME"/>
        </w:rPr>
        <w:t>je</w:t>
      </w:r>
      <w:r w:rsidRPr="005474B2">
        <w:rPr>
          <w:sz w:val="22"/>
          <w:szCs w:val="22"/>
          <w:lang w:val="sr-Latn-ME"/>
        </w:rPr>
        <w:t>su istovremeno primali MTX su imali viši ACR 20 odgovor (53,6% i 53,6% za</w:t>
      </w:r>
      <w:r w:rsidR="005D4CF6">
        <w:rPr>
          <w:sz w:val="22"/>
          <w:szCs w:val="22"/>
          <w:lang w:val="sr-Latn-ME"/>
        </w:rPr>
        <w:t xml:space="preserve"> </w:t>
      </w:r>
      <w:r w:rsidRPr="005474B2">
        <w:rPr>
          <w:sz w:val="22"/>
          <w:szCs w:val="22"/>
          <w:lang w:val="sr-Latn-ME"/>
        </w:rPr>
        <w:t>150 mg i 300 mg, redom, u poređenju sa placebom 10,4%) i ACR 50 odgovor (37,5% i 32,1% za 150 mg i 300 mg, redom, u poređenju sa placebom 6,3%).</w:t>
      </w:r>
    </w:p>
    <w:p w14:paraId="16FC3935" w14:textId="77777777" w:rsidR="007D7CE1" w:rsidRPr="005474B2" w:rsidRDefault="007D7CE1">
      <w:pPr>
        <w:autoSpaceDE w:val="0"/>
        <w:autoSpaceDN w:val="0"/>
        <w:adjustRightInd w:val="0"/>
        <w:jc w:val="both"/>
        <w:rPr>
          <w:sz w:val="22"/>
          <w:szCs w:val="22"/>
          <w:lang w:val="sr-Latn-ME"/>
        </w:rPr>
      </w:pPr>
    </w:p>
    <w:p w14:paraId="652B73F4" w14:textId="74815CE1" w:rsidR="007D7CE1" w:rsidRPr="005474B2" w:rsidRDefault="007D7CE1">
      <w:pPr>
        <w:autoSpaceDE w:val="0"/>
        <w:autoSpaceDN w:val="0"/>
        <w:adjustRightInd w:val="0"/>
        <w:jc w:val="both"/>
        <w:rPr>
          <w:sz w:val="22"/>
          <w:szCs w:val="22"/>
          <w:lang w:val="sr-Latn-ME"/>
        </w:rPr>
      </w:pPr>
      <w:r w:rsidRPr="005474B2">
        <w:rPr>
          <w:sz w:val="22"/>
          <w:szCs w:val="22"/>
          <w:lang w:val="sr-Latn-ME"/>
        </w:rPr>
        <w:t>U PsA studiji 2, i pacijenti koji ni</w:t>
      </w:r>
      <w:r w:rsidR="00746619" w:rsidRPr="005474B2">
        <w:rPr>
          <w:sz w:val="22"/>
          <w:szCs w:val="22"/>
          <w:lang w:val="sr-Latn-ME"/>
        </w:rPr>
        <w:t>je</w:t>
      </w:r>
      <w:r w:rsidRPr="005474B2">
        <w:rPr>
          <w:sz w:val="22"/>
          <w:szCs w:val="22"/>
          <w:lang w:val="sr-Latn-ME"/>
        </w:rPr>
        <w:t xml:space="preserve">su prethodno primali anti-TNFα i anti-TNFα IR pacijenti na terapiji </w:t>
      </w:r>
      <w:r w:rsidRPr="005474B2">
        <w:rPr>
          <w:iCs/>
          <w:sz w:val="22"/>
          <w:szCs w:val="22"/>
          <w:lang w:val="sr-Latn-ME"/>
        </w:rPr>
        <w:t xml:space="preserve">sekukinumabom </w:t>
      </w:r>
      <w:r w:rsidRPr="005474B2">
        <w:rPr>
          <w:sz w:val="22"/>
          <w:szCs w:val="22"/>
          <w:lang w:val="sr-Latn-ME"/>
        </w:rPr>
        <w:t xml:space="preserve">su imali značajno viši ACR 20 odgovor u odnosu na placebo u 24. </w:t>
      </w:r>
      <w:r w:rsidR="009A4880" w:rsidRPr="005474B2">
        <w:rPr>
          <w:sz w:val="22"/>
          <w:szCs w:val="22"/>
          <w:lang w:val="sr-Latn-ME"/>
        </w:rPr>
        <w:t>nedjelj</w:t>
      </w:r>
      <w:r w:rsidRPr="005474B2">
        <w:rPr>
          <w:sz w:val="22"/>
          <w:szCs w:val="22"/>
          <w:lang w:val="sr-Latn-ME"/>
        </w:rPr>
        <w:t>i, sa nešto višim odgovorom u grupi koja nije prethodno primala anti-TNFα terapiju (bez prethodne anti-TNFα terapije: 64% i 58% za 150 mg i 300 mg, redom, u poređenju sa placebom 15,9%; anti TNFα IR: 30% i 46% za 150 mg i 300 mg, redom, u poređenju sa placebom 14,3%). U podgrupi anti-TNFα IR pacijenata, samo je doza od 300 mg pokazala značajno višu stopu ACR 20 odgovora u poređenju sa placebom (p&lt;0,05) i pokazala je klinički značajnu korist u odnosu na 150 mg s obzirom na više sekundarnih parametara efikasnosti. Poboljšanja u PASI 75 odgovoru su uočena u ob</w:t>
      </w:r>
      <w:r w:rsidR="00E228A4" w:rsidRPr="005474B2">
        <w:rPr>
          <w:sz w:val="22"/>
          <w:szCs w:val="22"/>
          <w:lang w:val="sr-Latn-ME"/>
        </w:rPr>
        <w:t>j</w:t>
      </w:r>
      <w:r w:rsidRPr="005474B2">
        <w:rPr>
          <w:sz w:val="22"/>
          <w:szCs w:val="22"/>
          <w:lang w:val="sr-Latn-ME"/>
        </w:rPr>
        <w:t>e podgrupe</w:t>
      </w:r>
      <w:r w:rsidR="000929AB" w:rsidRPr="005474B2">
        <w:rPr>
          <w:sz w:val="22"/>
          <w:szCs w:val="22"/>
          <w:lang w:val="sr-Latn-ME"/>
        </w:rPr>
        <w:t>,</w:t>
      </w:r>
      <w:r w:rsidRPr="005474B2">
        <w:rPr>
          <w:sz w:val="22"/>
          <w:szCs w:val="22"/>
          <w:lang w:val="sr-Latn-ME"/>
        </w:rPr>
        <w:t xml:space="preserve"> i doza od 300 mg je pokazala statistički značajnu korist kod pacijenata sa neadekvatnim odgovorom na anti -TNFα.</w:t>
      </w:r>
    </w:p>
    <w:p w14:paraId="6996BB38" w14:textId="77777777" w:rsidR="007D7CE1" w:rsidRPr="005474B2" w:rsidRDefault="007D7CE1">
      <w:pPr>
        <w:autoSpaceDE w:val="0"/>
        <w:autoSpaceDN w:val="0"/>
        <w:adjustRightInd w:val="0"/>
        <w:jc w:val="both"/>
        <w:rPr>
          <w:sz w:val="22"/>
          <w:szCs w:val="22"/>
          <w:lang w:val="sr-Latn-ME"/>
        </w:rPr>
      </w:pPr>
    </w:p>
    <w:p w14:paraId="56994083" w14:textId="77777777"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Poboljšanja su pokazana u svim komponentama ACR rezultata, uključujući </w:t>
      </w:r>
      <w:r w:rsidR="00C41FCA" w:rsidRPr="005474B2">
        <w:rPr>
          <w:sz w:val="22"/>
          <w:szCs w:val="22"/>
          <w:lang w:val="sr-Latn-ME"/>
        </w:rPr>
        <w:t>procjenu</w:t>
      </w:r>
      <w:r w:rsidRPr="005474B2">
        <w:rPr>
          <w:sz w:val="22"/>
          <w:szCs w:val="22"/>
          <w:lang w:val="sr-Latn-ME"/>
        </w:rPr>
        <w:t xml:space="preserve"> bola od strane pacijenata. U PsA studiji 2, procenat pacijenata koji su postigli odgovor prema modifikovanim kriterijumima odgovora kod PsA (PsARC) bio je veći kod pacijenata na terapiji </w:t>
      </w:r>
      <w:r w:rsidRPr="005474B2">
        <w:rPr>
          <w:iCs/>
          <w:sz w:val="22"/>
          <w:szCs w:val="22"/>
          <w:lang w:val="sr-Latn-ME"/>
        </w:rPr>
        <w:t>sekukinumabom</w:t>
      </w:r>
      <w:r w:rsidRPr="005474B2">
        <w:rPr>
          <w:sz w:val="22"/>
          <w:szCs w:val="22"/>
          <w:lang w:val="sr-Latn-ME"/>
        </w:rPr>
        <w:t xml:space="preserve"> (59,0% i 61,0% za 150 mg i 300 mg, redom) u poređenju sa placebom (26,5%) u 24. </w:t>
      </w:r>
      <w:r w:rsidR="009A4880" w:rsidRPr="005474B2">
        <w:rPr>
          <w:sz w:val="22"/>
          <w:szCs w:val="22"/>
          <w:lang w:val="sr-Latn-ME"/>
        </w:rPr>
        <w:t>nedjelj</w:t>
      </w:r>
      <w:r w:rsidRPr="005474B2">
        <w:rPr>
          <w:sz w:val="22"/>
          <w:szCs w:val="22"/>
          <w:lang w:val="sr-Latn-ME"/>
        </w:rPr>
        <w:t xml:space="preserve">i. </w:t>
      </w:r>
    </w:p>
    <w:p w14:paraId="70F72484" w14:textId="77777777" w:rsidR="00726A15" w:rsidRDefault="00726A15">
      <w:pPr>
        <w:autoSpaceDE w:val="0"/>
        <w:autoSpaceDN w:val="0"/>
        <w:adjustRightInd w:val="0"/>
        <w:jc w:val="both"/>
        <w:rPr>
          <w:sz w:val="22"/>
          <w:szCs w:val="22"/>
          <w:lang w:val="sr-Latn-ME"/>
        </w:rPr>
      </w:pPr>
    </w:p>
    <w:p w14:paraId="2E7C7192" w14:textId="32EE09B5"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U PsA Studiji 1 i PsA Studiji 2, efikasnost je održana do 104. </w:t>
      </w:r>
      <w:r w:rsidR="009A4880" w:rsidRPr="005474B2">
        <w:rPr>
          <w:sz w:val="22"/>
          <w:szCs w:val="22"/>
          <w:lang w:val="sr-Latn-ME"/>
        </w:rPr>
        <w:t>nedjelj</w:t>
      </w:r>
      <w:r w:rsidRPr="005474B2">
        <w:rPr>
          <w:sz w:val="22"/>
          <w:szCs w:val="22"/>
          <w:lang w:val="sr-Latn-ME"/>
        </w:rPr>
        <w:t xml:space="preserve">e. U PsA studiji 2, među 200 pacijenata inicijalno randomizovanih da primaju </w:t>
      </w:r>
      <w:r w:rsidRPr="005474B2">
        <w:rPr>
          <w:iCs/>
          <w:sz w:val="22"/>
          <w:szCs w:val="22"/>
          <w:lang w:val="sr-Latn-ME"/>
        </w:rPr>
        <w:t>sekukinumab</w:t>
      </w:r>
      <w:r w:rsidRPr="005474B2">
        <w:rPr>
          <w:sz w:val="22"/>
          <w:szCs w:val="22"/>
          <w:lang w:val="sr-Latn-ME"/>
        </w:rPr>
        <w:t xml:space="preserve"> 150 mg i 300 mg, 178 (89%) pacijenata je bilo i dalje na </w:t>
      </w:r>
      <w:r w:rsidR="009A4880" w:rsidRPr="005474B2">
        <w:rPr>
          <w:sz w:val="22"/>
          <w:szCs w:val="22"/>
          <w:lang w:val="sr-Latn-ME"/>
        </w:rPr>
        <w:t>liječ</w:t>
      </w:r>
      <w:r w:rsidRPr="005474B2">
        <w:rPr>
          <w:sz w:val="22"/>
          <w:szCs w:val="22"/>
          <w:lang w:val="sr-Latn-ME"/>
        </w:rPr>
        <w:t xml:space="preserve">enju u 52. </w:t>
      </w:r>
      <w:r w:rsidR="009A4880" w:rsidRPr="005474B2">
        <w:rPr>
          <w:sz w:val="22"/>
          <w:szCs w:val="22"/>
          <w:lang w:val="sr-Latn-ME"/>
        </w:rPr>
        <w:t>nedjelj</w:t>
      </w:r>
      <w:r w:rsidRPr="005474B2">
        <w:rPr>
          <w:sz w:val="22"/>
          <w:szCs w:val="22"/>
          <w:lang w:val="sr-Latn-ME"/>
        </w:rPr>
        <w:t xml:space="preserve">i. Od 100 pacijenata randomizovanih da primaju </w:t>
      </w:r>
      <w:r w:rsidRPr="005474B2">
        <w:rPr>
          <w:iCs/>
          <w:sz w:val="22"/>
          <w:szCs w:val="22"/>
          <w:lang w:val="sr-Latn-ME"/>
        </w:rPr>
        <w:t>sekukinumab</w:t>
      </w:r>
      <w:r w:rsidRPr="005474B2">
        <w:rPr>
          <w:sz w:val="22"/>
          <w:szCs w:val="22"/>
          <w:lang w:val="sr-Latn-ME"/>
        </w:rPr>
        <w:t xml:space="preserve"> 150 mg, 64, 39 i 20 su imali ACR 20/50/70 odgovor, redom. Od 100 pacijenata randomizovanih da primaju </w:t>
      </w:r>
      <w:r w:rsidRPr="005474B2">
        <w:rPr>
          <w:iCs/>
          <w:sz w:val="22"/>
          <w:szCs w:val="22"/>
          <w:lang w:val="sr-Latn-ME"/>
        </w:rPr>
        <w:t>sekukinumab</w:t>
      </w:r>
      <w:r w:rsidRPr="005474B2">
        <w:rPr>
          <w:sz w:val="22"/>
          <w:szCs w:val="22"/>
          <w:lang w:val="sr-Latn-ME"/>
        </w:rPr>
        <w:t xml:space="preserve"> 300 mg, 64, 44 i 24 su imali ACR 20/50/70 odgovor, redom.</w:t>
      </w:r>
    </w:p>
    <w:p w14:paraId="771DA9D4" w14:textId="77777777" w:rsidR="007D7CE1" w:rsidRPr="005474B2" w:rsidRDefault="007D7CE1">
      <w:pPr>
        <w:autoSpaceDE w:val="0"/>
        <w:autoSpaceDN w:val="0"/>
        <w:adjustRightInd w:val="0"/>
        <w:jc w:val="both"/>
        <w:rPr>
          <w:sz w:val="22"/>
          <w:szCs w:val="22"/>
          <w:lang w:val="sr-Latn-ME"/>
        </w:rPr>
      </w:pPr>
    </w:p>
    <w:p w14:paraId="48092845" w14:textId="77777777" w:rsidR="007D7CE1" w:rsidRPr="005474B2" w:rsidRDefault="007D7CE1">
      <w:pPr>
        <w:autoSpaceDE w:val="0"/>
        <w:autoSpaceDN w:val="0"/>
        <w:adjustRightInd w:val="0"/>
        <w:jc w:val="both"/>
        <w:rPr>
          <w:sz w:val="22"/>
          <w:szCs w:val="22"/>
          <w:lang w:val="sr-Latn-ME"/>
        </w:rPr>
      </w:pPr>
      <w:r w:rsidRPr="005474B2">
        <w:rPr>
          <w:i/>
          <w:sz w:val="22"/>
          <w:szCs w:val="22"/>
          <w:lang w:val="sr-Latn-ME"/>
        </w:rPr>
        <w:t>Radiografski odgovor</w:t>
      </w:r>
    </w:p>
    <w:p w14:paraId="225ABB75" w14:textId="7462B8FA" w:rsidR="007D7CE1" w:rsidRPr="005474B2" w:rsidRDefault="007D7CE1">
      <w:pPr>
        <w:autoSpaceDE w:val="0"/>
        <w:autoSpaceDN w:val="0"/>
        <w:adjustRightInd w:val="0"/>
        <w:jc w:val="both"/>
        <w:rPr>
          <w:sz w:val="22"/>
          <w:szCs w:val="22"/>
          <w:lang w:val="sr-Latn-ME"/>
        </w:rPr>
      </w:pPr>
      <w:r w:rsidRPr="005474B2">
        <w:rPr>
          <w:sz w:val="22"/>
          <w:szCs w:val="22"/>
          <w:lang w:val="sr-Latn-ME"/>
        </w:rPr>
        <w:t>U PsA studiji 3, proc</w:t>
      </w:r>
      <w:r w:rsidR="00C41FCA" w:rsidRPr="005474B2">
        <w:rPr>
          <w:sz w:val="22"/>
          <w:szCs w:val="22"/>
          <w:lang w:val="sr-Latn-ME"/>
        </w:rPr>
        <w:t>j</w:t>
      </w:r>
      <w:r w:rsidRPr="005474B2">
        <w:rPr>
          <w:sz w:val="22"/>
          <w:szCs w:val="22"/>
          <w:lang w:val="sr-Latn-ME"/>
        </w:rPr>
        <w:t xml:space="preserve">ena inhibicije progresije strukturnih oštećenja izvršena je radiografski i izražena je modifikovanim ukupnim Šarp skorom (mTSS) i njegovim komponentama, Skorom erozije (eng. </w:t>
      </w:r>
      <w:r w:rsidRPr="005474B2">
        <w:rPr>
          <w:i/>
          <w:sz w:val="22"/>
          <w:szCs w:val="22"/>
          <w:lang w:val="sr-Latn-ME"/>
        </w:rPr>
        <w:t xml:space="preserve">Erosion Score, </w:t>
      </w:r>
      <w:r w:rsidRPr="005474B2">
        <w:rPr>
          <w:sz w:val="22"/>
          <w:szCs w:val="22"/>
          <w:lang w:val="sr-Latn-ME"/>
        </w:rPr>
        <w:t xml:space="preserve">ES) i Skorom za sužavanje zglobnog prostora (eng. </w:t>
      </w:r>
      <w:r w:rsidRPr="005474B2">
        <w:rPr>
          <w:i/>
          <w:sz w:val="22"/>
          <w:szCs w:val="22"/>
          <w:lang w:val="sr-Latn-ME"/>
        </w:rPr>
        <w:t>Joint Space Narrowing Score</w:t>
      </w:r>
      <w:r w:rsidRPr="005474B2">
        <w:rPr>
          <w:sz w:val="22"/>
          <w:szCs w:val="22"/>
          <w:lang w:val="sr-Latn-ME"/>
        </w:rPr>
        <w:t xml:space="preserve">, JSN). Radiografije ruku, zglobova i stopala su dobijene na početku, u 16. </w:t>
      </w:r>
      <w:r w:rsidR="009A4880" w:rsidRPr="005474B2">
        <w:rPr>
          <w:sz w:val="22"/>
          <w:szCs w:val="22"/>
          <w:lang w:val="sr-Latn-ME"/>
        </w:rPr>
        <w:t>nedjelj</w:t>
      </w:r>
      <w:r w:rsidRPr="005474B2">
        <w:rPr>
          <w:sz w:val="22"/>
          <w:szCs w:val="22"/>
          <w:lang w:val="sr-Latn-ME"/>
        </w:rPr>
        <w:t xml:space="preserve">i i/ili 24. </w:t>
      </w:r>
      <w:r w:rsidR="009A4880" w:rsidRPr="005474B2">
        <w:rPr>
          <w:sz w:val="22"/>
          <w:szCs w:val="22"/>
          <w:lang w:val="sr-Latn-ME"/>
        </w:rPr>
        <w:t>nedjelj</w:t>
      </w:r>
      <w:r w:rsidRPr="005474B2">
        <w:rPr>
          <w:sz w:val="22"/>
          <w:szCs w:val="22"/>
          <w:lang w:val="sr-Latn-ME"/>
        </w:rPr>
        <w:t>i i oc</w:t>
      </w:r>
      <w:r w:rsidR="00E228A4" w:rsidRPr="005474B2">
        <w:rPr>
          <w:sz w:val="22"/>
          <w:szCs w:val="22"/>
          <w:lang w:val="sr-Latn-ME"/>
        </w:rPr>
        <w:t>j</w:t>
      </w:r>
      <w:r w:rsidRPr="005474B2">
        <w:rPr>
          <w:sz w:val="22"/>
          <w:szCs w:val="22"/>
          <w:lang w:val="sr-Latn-ME"/>
        </w:rPr>
        <w:t>enjivane su nezavisno od najmanje 2 osobe koje ni</w:t>
      </w:r>
      <w:r w:rsidR="00746619" w:rsidRPr="005474B2">
        <w:rPr>
          <w:sz w:val="22"/>
          <w:szCs w:val="22"/>
          <w:lang w:val="sr-Latn-ME"/>
        </w:rPr>
        <w:t>je</w:t>
      </w:r>
      <w:r w:rsidRPr="005474B2">
        <w:rPr>
          <w:sz w:val="22"/>
          <w:szCs w:val="22"/>
          <w:lang w:val="sr-Latn-ME"/>
        </w:rPr>
        <w:t xml:space="preserve">su znale ni terapijsku grupu niti broj vizite. Terapija </w:t>
      </w:r>
      <w:r w:rsidRPr="005474B2">
        <w:rPr>
          <w:iCs/>
          <w:sz w:val="22"/>
          <w:szCs w:val="22"/>
          <w:lang w:val="sr-Latn-ME"/>
        </w:rPr>
        <w:t>sekukinumabom</w:t>
      </w:r>
      <w:r w:rsidRPr="005474B2">
        <w:rPr>
          <w:sz w:val="22"/>
          <w:szCs w:val="22"/>
          <w:lang w:val="sr-Latn-ME"/>
        </w:rPr>
        <w:t xml:space="preserve"> od 150 mg i 300 mg značajno je inhibirala stopu oštećenja perifernih zglobova u poređenju sa terapijom placebom, m</w:t>
      </w:r>
      <w:r w:rsidR="00E228A4" w:rsidRPr="005474B2">
        <w:rPr>
          <w:sz w:val="22"/>
          <w:szCs w:val="22"/>
          <w:lang w:val="sr-Latn-ME"/>
        </w:rPr>
        <w:t>j</w:t>
      </w:r>
      <w:r w:rsidRPr="005474B2">
        <w:rPr>
          <w:sz w:val="22"/>
          <w:szCs w:val="22"/>
          <w:lang w:val="sr-Latn-ME"/>
        </w:rPr>
        <w:t xml:space="preserve">ereno kao </w:t>
      </w:r>
      <w:r w:rsidR="00A233FB" w:rsidRPr="005474B2">
        <w:rPr>
          <w:sz w:val="22"/>
          <w:szCs w:val="22"/>
          <w:lang w:val="sr-Latn-ME"/>
        </w:rPr>
        <w:t>promjena</w:t>
      </w:r>
      <w:r w:rsidRPr="005474B2">
        <w:rPr>
          <w:sz w:val="22"/>
          <w:szCs w:val="22"/>
          <w:lang w:val="sr-Latn-ME"/>
        </w:rPr>
        <w:t xml:space="preserve"> mTSS u odnosu na početne </w:t>
      </w:r>
      <w:r w:rsidR="00A233FB" w:rsidRPr="005474B2">
        <w:rPr>
          <w:sz w:val="22"/>
          <w:szCs w:val="22"/>
          <w:lang w:val="sr-Latn-ME"/>
        </w:rPr>
        <w:t>vrijednosti</w:t>
      </w:r>
      <w:r w:rsidRPr="005474B2">
        <w:rPr>
          <w:sz w:val="22"/>
          <w:szCs w:val="22"/>
          <w:lang w:val="sr-Latn-ME"/>
        </w:rPr>
        <w:t xml:space="preserve"> u 24. </w:t>
      </w:r>
      <w:r w:rsidR="009A4880" w:rsidRPr="005474B2">
        <w:rPr>
          <w:sz w:val="22"/>
          <w:szCs w:val="22"/>
          <w:lang w:val="sr-Latn-ME"/>
        </w:rPr>
        <w:t>nedjelj</w:t>
      </w:r>
      <w:r w:rsidRPr="005474B2">
        <w:rPr>
          <w:sz w:val="22"/>
          <w:szCs w:val="22"/>
          <w:lang w:val="sr-Latn-ME"/>
        </w:rPr>
        <w:t>i (Tabela </w:t>
      </w:r>
      <w:r w:rsidR="00726A15">
        <w:rPr>
          <w:sz w:val="22"/>
          <w:szCs w:val="22"/>
          <w:lang w:val="sr-Latn-ME"/>
        </w:rPr>
        <w:t>10</w:t>
      </w:r>
      <w:r w:rsidRPr="005474B2">
        <w:rPr>
          <w:sz w:val="22"/>
          <w:szCs w:val="22"/>
          <w:lang w:val="sr-Latn-ME"/>
        </w:rPr>
        <w:t xml:space="preserve">). </w:t>
      </w:r>
    </w:p>
    <w:p w14:paraId="0DD6298F" w14:textId="77777777" w:rsidR="007D7CE1" w:rsidRPr="005474B2" w:rsidRDefault="007D7CE1">
      <w:pPr>
        <w:autoSpaceDE w:val="0"/>
        <w:autoSpaceDN w:val="0"/>
        <w:adjustRightInd w:val="0"/>
        <w:jc w:val="both"/>
        <w:rPr>
          <w:sz w:val="22"/>
          <w:szCs w:val="22"/>
          <w:lang w:val="sr-Latn-ME"/>
        </w:rPr>
      </w:pPr>
    </w:p>
    <w:p w14:paraId="6C05134F" w14:textId="0A5F4B5B" w:rsidR="007D7CE1" w:rsidRPr="005474B2" w:rsidRDefault="007D7CE1">
      <w:pPr>
        <w:autoSpaceDE w:val="0"/>
        <w:autoSpaceDN w:val="0"/>
        <w:adjustRightInd w:val="0"/>
        <w:jc w:val="both"/>
        <w:rPr>
          <w:sz w:val="22"/>
          <w:szCs w:val="22"/>
          <w:lang w:val="sr-Latn-ME"/>
        </w:rPr>
      </w:pPr>
      <w:r w:rsidRPr="005474B2">
        <w:rPr>
          <w:sz w:val="22"/>
          <w:szCs w:val="22"/>
          <w:lang w:val="sr-Latn-ME"/>
        </w:rPr>
        <w:t>Inhibicija progresije strukturnih oštećenja je takođe proc</w:t>
      </w:r>
      <w:r w:rsidR="00C41FCA" w:rsidRPr="005474B2">
        <w:rPr>
          <w:sz w:val="22"/>
          <w:szCs w:val="22"/>
          <w:lang w:val="sr-Latn-ME"/>
        </w:rPr>
        <w:t>j</w:t>
      </w:r>
      <w:r w:rsidRPr="005474B2">
        <w:rPr>
          <w:sz w:val="22"/>
          <w:szCs w:val="22"/>
          <w:lang w:val="sr-Latn-ME"/>
        </w:rPr>
        <w:t xml:space="preserve">enjivana  u PsA studiji 1 u 24. i 52. </w:t>
      </w:r>
      <w:r w:rsidR="009A4880" w:rsidRPr="005474B2">
        <w:rPr>
          <w:sz w:val="22"/>
          <w:szCs w:val="22"/>
          <w:lang w:val="sr-Latn-ME"/>
        </w:rPr>
        <w:t>nedjelj</w:t>
      </w:r>
      <w:r w:rsidRPr="005474B2">
        <w:rPr>
          <w:sz w:val="22"/>
          <w:szCs w:val="22"/>
          <w:lang w:val="sr-Latn-ME"/>
        </w:rPr>
        <w:t xml:space="preserve">i, u odnosu na početne </w:t>
      </w:r>
      <w:r w:rsidR="00A233FB" w:rsidRPr="005474B2">
        <w:rPr>
          <w:sz w:val="22"/>
          <w:szCs w:val="22"/>
          <w:lang w:val="sr-Latn-ME"/>
        </w:rPr>
        <w:t>vrijednosti</w:t>
      </w:r>
      <w:r w:rsidRPr="005474B2">
        <w:rPr>
          <w:sz w:val="22"/>
          <w:szCs w:val="22"/>
          <w:lang w:val="sr-Latn-ME"/>
        </w:rPr>
        <w:t xml:space="preserve">. Podaci iz 24. </w:t>
      </w:r>
      <w:r w:rsidR="009A4880" w:rsidRPr="005474B2">
        <w:rPr>
          <w:sz w:val="22"/>
          <w:szCs w:val="22"/>
          <w:lang w:val="sr-Latn-ME"/>
        </w:rPr>
        <w:t>nedjelj</w:t>
      </w:r>
      <w:r w:rsidRPr="005474B2">
        <w:rPr>
          <w:sz w:val="22"/>
          <w:szCs w:val="22"/>
          <w:lang w:val="sr-Latn-ME"/>
        </w:rPr>
        <w:t xml:space="preserve">e su prikazani u Tabeli </w:t>
      </w:r>
      <w:r w:rsidR="006911D2" w:rsidRPr="005474B2">
        <w:rPr>
          <w:sz w:val="22"/>
          <w:szCs w:val="22"/>
          <w:lang w:val="sr-Latn-ME"/>
        </w:rPr>
        <w:t>10</w:t>
      </w:r>
      <w:r w:rsidRPr="005474B2">
        <w:rPr>
          <w:sz w:val="22"/>
          <w:szCs w:val="22"/>
          <w:lang w:val="sr-Latn-ME"/>
        </w:rPr>
        <w:t>.</w:t>
      </w:r>
    </w:p>
    <w:p w14:paraId="19C2BF07" w14:textId="77777777" w:rsidR="007D7CE1" w:rsidRPr="005474B2" w:rsidRDefault="007D7CE1">
      <w:pPr>
        <w:autoSpaceDE w:val="0"/>
        <w:autoSpaceDN w:val="0"/>
        <w:adjustRightInd w:val="0"/>
        <w:jc w:val="both"/>
        <w:rPr>
          <w:sz w:val="22"/>
          <w:szCs w:val="22"/>
          <w:lang w:val="sr-Latn-ME"/>
        </w:rPr>
      </w:pPr>
    </w:p>
    <w:p w14:paraId="5F2736CC" w14:textId="04DA9158" w:rsidR="007D7CE1" w:rsidRPr="005474B2" w:rsidRDefault="007D7CE1">
      <w:pPr>
        <w:keepNext/>
        <w:keepLines/>
        <w:widowControl w:val="0"/>
        <w:spacing w:after="60"/>
        <w:ind w:left="1134" w:hanging="1134"/>
        <w:jc w:val="both"/>
        <w:outlineLvl w:val="5"/>
        <w:rPr>
          <w:rFonts w:eastAsia="MS Gothic"/>
          <w:b/>
          <w:color w:val="000000"/>
          <w:sz w:val="22"/>
          <w:szCs w:val="22"/>
          <w:lang w:val="sr-Latn-ME"/>
        </w:rPr>
      </w:pPr>
      <w:r w:rsidRPr="005474B2">
        <w:rPr>
          <w:rFonts w:eastAsia="MS Gothic"/>
          <w:b/>
          <w:color w:val="000000"/>
          <w:sz w:val="22"/>
          <w:szCs w:val="22"/>
          <w:lang w:val="sr-Latn-ME"/>
        </w:rPr>
        <w:lastRenderedPageBreak/>
        <w:t>Tabela</w:t>
      </w:r>
      <w:r w:rsidR="00E228A4" w:rsidRPr="005474B2">
        <w:rPr>
          <w:rFonts w:eastAsia="MS Gothic"/>
          <w:b/>
          <w:color w:val="000000"/>
          <w:sz w:val="22"/>
          <w:szCs w:val="22"/>
          <w:lang w:val="sr-Latn-ME"/>
        </w:rPr>
        <w:t xml:space="preserve"> </w:t>
      </w:r>
      <w:r w:rsidR="006911D2" w:rsidRPr="005474B2">
        <w:rPr>
          <w:rFonts w:eastAsia="MS Gothic"/>
          <w:b/>
          <w:color w:val="000000"/>
          <w:sz w:val="22"/>
          <w:szCs w:val="22"/>
          <w:lang w:val="sr-Latn-ME"/>
        </w:rPr>
        <w:t>10</w:t>
      </w:r>
      <w:r w:rsidRPr="005474B2">
        <w:rPr>
          <w:rFonts w:eastAsia="MS Gothic"/>
          <w:b/>
          <w:color w:val="000000"/>
          <w:sz w:val="22"/>
          <w:szCs w:val="22"/>
          <w:lang w:val="sr-Latn-ME"/>
        </w:rPr>
        <w:tab/>
      </w:r>
      <w:r w:rsidR="00A233FB" w:rsidRPr="005474B2">
        <w:rPr>
          <w:rFonts w:eastAsia="MS Gothic"/>
          <w:b/>
          <w:color w:val="000000"/>
          <w:sz w:val="22"/>
          <w:szCs w:val="22"/>
          <w:lang w:val="sr-Latn-ME"/>
        </w:rPr>
        <w:t>Promjena</w:t>
      </w:r>
      <w:r w:rsidRPr="005474B2">
        <w:rPr>
          <w:rFonts w:eastAsia="MS Gothic"/>
          <w:b/>
          <w:color w:val="000000"/>
          <w:sz w:val="22"/>
          <w:szCs w:val="22"/>
          <w:lang w:val="sr-Latn-ME"/>
        </w:rPr>
        <w:t xml:space="preserve"> u modifikovanom ukupnom Šarp skoru kod psorijaznog artritisa</w:t>
      </w:r>
    </w:p>
    <w:p w14:paraId="7E6E2658" w14:textId="77777777" w:rsidR="007D7CE1" w:rsidRPr="005474B2" w:rsidRDefault="007D7CE1">
      <w:pPr>
        <w:keepNext/>
        <w:widowControl w:val="0"/>
        <w:tabs>
          <w:tab w:val="left" w:pos="567"/>
        </w:tabs>
        <w:jc w:val="both"/>
        <w:outlineLvl w:val="6"/>
        <w:rPr>
          <w:b/>
          <w:sz w:val="22"/>
          <w:szCs w:val="22"/>
          <w:lang w:val="sr-Latn-ME"/>
        </w:rPr>
      </w:pPr>
    </w:p>
    <w:tbl>
      <w:tblPr>
        <w:tblW w:w="9287"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16"/>
        <w:gridCol w:w="950"/>
        <w:gridCol w:w="1839"/>
        <w:gridCol w:w="1810"/>
        <w:gridCol w:w="1042"/>
        <w:gridCol w:w="1830"/>
      </w:tblGrid>
      <w:tr w:rsidR="007D7CE1" w:rsidRPr="0009637B" w14:paraId="5C7075D3" w14:textId="77777777" w:rsidTr="007D7CE1">
        <w:tc>
          <w:tcPr>
            <w:tcW w:w="1975" w:type="dxa"/>
            <w:tcBorders>
              <w:right w:val="single" w:sz="8" w:space="0" w:color="000000"/>
            </w:tcBorders>
            <w:shd w:val="clear" w:color="auto" w:fill="auto"/>
          </w:tcPr>
          <w:p w14:paraId="62C1EFEF" w14:textId="77777777" w:rsidR="007D7CE1" w:rsidRPr="005474B2" w:rsidRDefault="007D7CE1">
            <w:pPr>
              <w:keepNext/>
              <w:keepLines/>
              <w:widowControl w:val="0"/>
              <w:tabs>
                <w:tab w:val="left" w:pos="284"/>
              </w:tabs>
              <w:jc w:val="both"/>
              <w:rPr>
                <w:b/>
                <w:bCs/>
                <w:color w:val="000000"/>
                <w:sz w:val="22"/>
                <w:szCs w:val="22"/>
                <w:lang w:val="sr-Latn-ME"/>
              </w:rPr>
            </w:pPr>
          </w:p>
        </w:tc>
        <w:tc>
          <w:tcPr>
            <w:tcW w:w="4334" w:type="dxa"/>
            <w:gridSpan w:val="3"/>
            <w:tcBorders>
              <w:top w:val="single" w:sz="8" w:space="0" w:color="000000"/>
              <w:left w:val="single" w:sz="8" w:space="0" w:color="000000"/>
              <w:bottom w:val="nil"/>
              <w:right w:val="single" w:sz="8" w:space="0" w:color="000000"/>
            </w:tcBorders>
          </w:tcPr>
          <w:p w14:paraId="451E884E" w14:textId="77777777" w:rsidR="007D7CE1" w:rsidRPr="005474B2" w:rsidRDefault="007D7CE1" w:rsidP="005474B2">
            <w:pPr>
              <w:keepNext/>
              <w:keepLines/>
              <w:widowControl w:val="0"/>
              <w:tabs>
                <w:tab w:val="left" w:pos="284"/>
              </w:tabs>
              <w:jc w:val="both"/>
              <w:rPr>
                <w:b/>
                <w:bCs/>
                <w:color w:val="000000"/>
                <w:sz w:val="22"/>
                <w:szCs w:val="22"/>
                <w:lang w:val="sr-Latn-ME"/>
              </w:rPr>
            </w:pPr>
            <w:r w:rsidRPr="005474B2">
              <w:rPr>
                <w:b/>
                <w:bCs/>
                <w:color w:val="000000"/>
                <w:sz w:val="22"/>
                <w:szCs w:val="22"/>
                <w:lang w:val="sr-Latn-ME"/>
              </w:rPr>
              <w:t>PsA studija 3</w:t>
            </w:r>
          </w:p>
        </w:tc>
        <w:tc>
          <w:tcPr>
            <w:tcW w:w="2978" w:type="dxa"/>
            <w:gridSpan w:val="2"/>
            <w:tcBorders>
              <w:left w:val="single" w:sz="8" w:space="0" w:color="000000"/>
            </w:tcBorders>
            <w:shd w:val="clear" w:color="auto" w:fill="auto"/>
          </w:tcPr>
          <w:p w14:paraId="3F5FE211" w14:textId="77777777" w:rsidR="007D7CE1" w:rsidRPr="005474B2" w:rsidRDefault="007D7CE1" w:rsidP="005474B2">
            <w:pPr>
              <w:keepNext/>
              <w:keepLines/>
              <w:widowControl w:val="0"/>
              <w:tabs>
                <w:tab w:val="left" w:pos="284"/>
              </w:tabs>
              <w:jc w:val="both"/>
              <w:rPr>
                <w:b/>
                <w:bCs/>
                <w:color w:val="000000"/>
                <w:sz w:val="22"/>
                <w:szCs w:val="22"/>
                <w:lang w:val="sr-Latn-ME"/>
              </w:rPr>
            </w:pPr>
            <w:r w:rsidRPr="005474B2">
              <w:rPr>
                <w:b/>
                <w:bCs/>
                <w:color w:val="000000"/>
                <w:sz w:val="22"/>
                <w:szCs w:val="22"/>
                <w:lang w:val="sr-Latn-ME"/>
              </w:rPr>
              <w:t>PsA studija 1</w:t>
            </w:r>
          </w:p>
        </w:tc>
      </w:tr>
      <w:tr w:rsidR="007D7CE1" w:rsidRPr="0009637B" w14:paraId="53E831DE" w14:textId="77777777" w:rsidTr="007D7CE1">
        <w:tc>
          <w:tcPr>
            <w:tcW w:w="1975" w:type="dxa"/>
            <w:tcBorders>
              <w:right w:val="single" w:sz="8" w:space="0" w:color="000000"/>
            </w:tcBorders>
            <w:shd w:val="clear" w:color="auto" w:fill="auto"/>
          </w:tcPr>
          <w:p w14:paraId="6164FCB6" w14:textId="77777777" w:rsidR="007D7CE1" w:rsidRPr="005474B2" w:rsidRDefault="007D7CE1" w:rsidP="0009637B">
            <w:pPr>
              <w:keepNext/>
              <w:keepLines/>
              <w:widowControl w:val="0"/>
              <w:tabs>
                <w:tab w:val="left" w:pos="284"/>
              </w:tabs>
              <w:jc w:val="both"/>
              <w:rPr>
                <w:b/>
                <w:bCs/>
                <w:color w:val="000000"/>
                <w:sz w:val="22"/>
                <w:szCs w:val="22"/>
                <w:lang w:val="sr-Latn-ME"/>
              </w:rPr>
            </w:pPr>
          </w:p>
        </w:tc>
        <w:tc>
          <w:tcPr>
            <w:tcW w:w="520" w:type="dxa"/>
            <w:tcBorders>
              <w:top w:val="nil"/>
              <w:left w:val="single" w:sz="8" w:space="0" w:color="000000"/>
              <w:bottom w:val="nil"/>
            </w:tcBorders>
          </w:tcPr>
          <w:p w14:paraId="7A3FC2E2" w14:textId="77777777" w:rsidR="007D7CE1" w:rsidRPr="005474B2" w:rsidRDefault="007D7CE1" w:rsidP="0009637B">
            <w:pPr>
              <w:keepNext/>
              <w:keepLines/>
              <w:widowControl w:val="0"/>
              <w:tabs>
                <w:tab w:val="left" w:pos="284"/>
              </w:tabs>
              <w:jc w:val="both"/>
              <w:rPr>
                <w:b/>
                <w:bCs/>
                <w:color w:val="000000"/>
                <w:sz w:val="22"/>
                <w:szCs w:val="22"/>
                <w:lang w:val="sr-Latn-ME"/>
              </w:rPr>
            </w:pPr>
            <w:r w:rsidRPr="005474B2">
              <w:rPr>
                <w:b/>
                <w:bCs/>
                <w:color w:val="000000"/>
                <w:sz w:val="22"/>
                <w:szCs w:val="22"/>
                <w:lang w:val="sr-Latn-ME"/>
              </w:rPr>
              <w:t>Placebo</w:t>
            </w:r>
          </w:p>
          <w:p w14:paraId="7B244019"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n=296</w:t>
            </w:r>
          </w:p>
        </w:tc>
        <w:tc>
          <w:tcPr>
            <w:tcW w:w="1925" w:type="dxa"/>
            <w:tcBorders>
              <w:top w:val="nil"/>
              <w:bottom w:val="nil"/>
            </w:tcBorders>
          </w:tcPr>
          <w:p w14:paraId="38BC03C8"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sekukinumab 150 mg</w:t>
            </w:r>
            <w:r w:rsidRPr="005474B2">
              <w:rPr>
                <w:b/>
                <w:bCs/>
                <w:color w:val="000000"/>
                <w:sz w:val="22"/>
                <w:szCs w:val="22"/>
                <w:vertAlign w:val="superscript"/>
                <w:lang w:val="sr-Latn-ME"/>
              </w:rPr>
              <w:t>1</w:t>
            </w:r>
          </w:p>
          <w:p w14:paraId="1FE9DD82"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n=213</w:t>
            </w:r>
          </w:p>
        </w:tc>
        <w:tc>
          <w:tcPr>
            <w:tcW w:w="1889" w:type="dxa"/>
            <w:tcBorders>
              <w:top w:val="nil"/>
              <w:bottom w:val="nil"/>
              <w:right w:val="single" w:sz="8" w:space="0" w:color="000000"/>
            </w:tcBorders>
          </w:tcPr>
          <w:p w14:paraId="69E39380"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sekukinumab 300 mg</w:t>
            </w:r>
            <w:r w:rsidRPr="005474B2">
              <w:rPr>
                <w:b/>
                <w:bCs/>
                <w:color w:val="000000"/>
                <w:sz w:val="22"/>
                <w:szCs w:val="22"/>
                <w:vertAlign w:val="superscript"/>
                <w:lang w:val="sr-Latn-ME"/>
              </w:rPr>
              <w:t>1</w:t>
            </w:r>
          </w:p>
          <w:p w14:paraId="5A9E7615"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n=217</w:t>
            </w:r>
          </w:p>
        </w:tc>
        <w:tc>
          <w:tcPr>
            <w:tcW w:w="1064" w:type="dxa"/>
            <w:tcBorders>
              <w:left w:val="single" w:sz="8" w:space="0" w:color="000000"/>
            </w:tcBorders>
            <w:shd w:val="clear" w:color="auto" w:fill="auto"/>
          </w:tcPr>
          <w:p w14:paraId="0C24E2A4"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Placebo</w:t>
            </w:r>
          </w:p>
          <w:p w14:paraId="7E176D57"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n=179</w:t>
            </w:r>
          </w:p>
        </w:tc>
        <w:tc>
          <w:tcPr>
            <w:tcW w:w="1914" w:type="dxa"/>
            <w:shd w:val="clear" w:color="auto" w:fill="auto"/>
          </w:tcPr>
          <w:p w14:paraId="63CA928C"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sekukinumab 150 mg</w:t>
            </w:r>
            <w:r w:rsidRPr="005474B2">
              <w:rPr>
                <w:b/>
                <w:bCs/>
                <w:color w:val="000000"/>
                <w:sz w:val="22"/>
                <w:szCs w:val="22"/>
                <w:vertAlign w:val="superscript"/>
                <w:lang w:val="sr-Latn-ME"/>
              </w:rPr>
              <w:t>2</w:t>
            </w:r>
          </w:p>
          <w:p w14:paraId="6D64ED15" w14:textId="77777777" w:rsidR="007D7CE1" w:rsidRPr="005474B2" w:rsidRDefault="007D7CE1">
            <w:pPr>
              <w:keepNext/>
              <w:keepLines/>
              <w:widowControl w:val="0"/>
              <w:tabs>
                <w:tab w:val="left" w:pos="284"/>
              </w:tabs>
              <w:jc w:val="both"/>
              <w:rPr>
                <w:b/>
                <w:bCs/>
                <w:color w:val="000000"/>
                <w:sz w:val="22"/>
                <w:szCs w:val="22"/>
                <w:lang w:val="sr-Latn-ME"/>
              </w:rPr>
            </w:pPr>
            <w:r w:rsidRPr="005474B2">
              <w:rPr>
                <w:b/>
                <w:bCs/>
                <w:color w:val="000000"/>
                <w:sz w:val="22"/>
                <w:szCs w:val="22"/>
                <w:lang w:val="sr-Latn-ME"/>
              </w:rPr>
              <w:t>n=185</w:t>
            </w:r>
          </w:p>
        </w:tc>
      </w:tr>
      <w:tr w:rsidR="007D7CE1" w:rsidRPr="0009637B" w14:paraId="31EC53C5" w14:textId="77777777" w:rsidTr="007D7CE1">
        <w:tc>
          <w:tcPr>
            <w:tcW w:w="9287" w:type="dxa"/>
            <w:gridSpan w:val="6"/>
            <w:tcBorders>
              <w:top w:val="single" w:sz="8" w:space="0" w:color="000000"/>
              <w:left w:val="single" w:sz="8" w:space="0" w:color="000000"/>
              <w:bottom w:val="single" w:sz="8" w:space="0" w:color="000000"/>
              <w:right w:val="single" w:sz="8" w:space="0" w:color="000000"/>
            </w:tcBorders>
          </w:tcPr>
          <w:p w14:paraId="0DCDF994" w14:textId="77777777" w:rsidR="007D7CE1" w:rsidRPr="005474B2" w:rsidRDefault="007D7CE1" w:rsidP="0009637B">
            <w:pPr>
              <w:keepNext/>
              <w:keepLines/>
              <w:widowControl w:val="0"/>
              <w:tabs>
                <w:tab w:val="left" w:pos="284"/>
              </w:tabs>
              <w:autoSpaceDE w:val="0"/>
              <w:autoSpaceDN w:val="0"/>
              <w:adjustRightInd w:val="0"/>
              <w:jc w:val="both"/>
              <w:rPr>
                <w:b/>
                <w:bCs/>
                <w:color w:val="000000"/>
                <w:sz w:val="22"/>
                <w:szCs w:val="22"/>
                <w:lang w:val="sr-Latn-ME"/>
              </w:rPr>
            </w:pPr>
            <w:r w:rsidRPr="005474B2">
              <w:rPr>
                <w:b/>
                <w:bCs/>
                <w:color w:val="000000"/>
                <w:sz w:val="22"/>
                <w:szCs w:val="22"/>
                <w:lang w:val="sr-Latn-ME"/>
              </w:rPr>
              <w:t>Ukupan skor</w:t>
            </w:r>
          </w:p>
        </w:tc>
      </w:tr>
      <w:tr w:rsidR="007D7CE1" w:rsidRPr="0009637B" w14:paraId="4A8A4A20" w14:textId="77777777" w:rsidTr="007D7CE1">
        <w:tc>
          <w:tcPr>
            <w:tcW w:w="1975" w:type="dxa"/>
            <w:tcBorders>
              <w:right w:val="single" w:sz="8" w:space="0" w:color="000000"/>
            </w:tcBorders>
            <w:shd w:val="clear" w:color="auto" w:fill="auto"/>
          </w:tcPr>
          <w:p w14:paraId="52567E76" w14:textId="77777777" w:rsidR="007D7CE1" w:rsidRPr="005474B2" w:rsidRDefault="007D7CE1" w:rsidP="0009637B">
            <w:pPr>
              <w:keepNext/>
              <w:keepLines/>
              <w:widowControl w:val="0"/>
              <w:tabs>
                <w:tab w:val="left" w:pos="284"/>
              </w:tabs>
              <w:jc w:val="both"/>
              <w:rPr>
                <w:b/>
                <w:bCs/>
                <w:color w:val="000000"/>
                <w:sz w:val="22"/>
                <w:szCs w:val="22"/>
                <w:lang w:val="sr-Latn-ME"/>
              </w:rPr>
            </w:pPr>
            <w:r w:rsidRPr="005474B2">
              <w:rPr>
                <w:b/>
                <w:bCs/>
                <w:color w:val="000000"/>
                <w:sz w:val="22"/>
                <w:szCs w:val="22"/>
                <w:lang w:val="sr-Latn-ME"/>
              </w:rPr>
              <w:t xml:space="preserve">Početna </w:t>
            </w:r>
            <w:r w:rsidR="00C41FCA" w:rsidRPr="005474B2">
              <w:rPr>
                <w:b/>
                <w:bCs/>
                <w:color w:val="000000"/>
                <w:sz w:val="22"/>
                <w:szCs w:val="22"/>
                <w:lang w:val="sr-Latn-ME"/>
              </w:rPr>
              <w:t>vrijednost</w:t>
            </w:r>
          </w:p>
          <w:p w14:paraId="5B3E6329" w14:textId="77777777" w:rsidR="007D7CE1" w:rsidRPr="005474B2" w:rsidRDefault="007D7CE1" w:rsidP="0009637B">
            <w:pPr>
              <w:keepNext/>
              <w:keepLines/>
              <w:widowControl w:val="0"/>
              <w:tabs>
                <w:tab w:val="left" w:pos="284"/>
              </w:tabs>
              <w:jc w:val="both"/>
              <w:rPr>
                <w:b/>
                <w:bCs/>
                <w:color w:val="000000"/>
                <w:sz w:val="22"/>
                <w:szCs w:val="22"/>
                <w:lang w:val="sr-Latn-ME"/>
              </w:rPr>
            </w:pPr>
            <w:r w:rsidRPr="005474B2">
              <w:rPr>
                <w:b/>
                <w:bCs/>
                <w:color w:val="000000"/>
                <w:sz w:val="22"/>
                <w:szCs w:val="22"/>
                <w:lang w:val="sr-Latn-ME"/>
              </w:rPr>
              <w:t>(SD)</w:t>
            </w:r>
          </w:p>
        </w:tc>
        <w:tc>
          <w:tcPr>
            <w:tcW w:w="520" w:type="dxa"/>
            <w:tcBorders>
              <w:top w:val="nil"/>
              <w:left w:val="single" w:sz="8" w:space="0" w:color="000000"/>
              <w:bottom w:val="single" w:sz="8" w:space="0" w:color="000000"/>
            </w:tcBorders>
          </w:tcPr>
          <w:p w14:paraId="036F0420"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15,0</w:t>
            </w:r>
          </w:p>
          <w:p w14:paraId="54FDE623"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(38,2)</w:t>
            </w:r>
          </w:p>
        </w:tc>
        <w:tc>
          <w:tcPr>
            <w:tcW w:w="1925" w:type="dxa"/>
            <w:tcBorders>
              <w:top w:val="nil"/>
              <w:bottom w:val="single" w:sz="8" w:space="0" w:color="000000"/>
            </w:tcBorders>
          </w:tcPr>
          <w:p w14:paraId="2B72B47E"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13,5</w:t>
            </w:r>
          </w:p>
          <w:p w14:paraId="6A830F33"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(25,6)</w:t>
            </w:r>
          </w:p>
        </w:tc>
        <w:tc>
          <w:tcPr>
            <w:tcW w:w="1889" w:type="dxa"/>
            <w:tcBorders>
              <w:top w:val="nil"/>
              <w:bottom w:val="single" w:sz="8" w:space="0" w:color="000000"/>
              <w:right w:val="single" w:sz="8" w:space="0" w:color="000000"/>
            </w:tcBorders>
          </w:tcPr>
          <w:p w14:paraId="40EB1808"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12,9</w:t>
            </w:r>
          </w:p>
          <w:p w14:paraId="1605B217"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(23,8)</w:t>
            </w:r>
          </w:p>
        </w:tc>
        <w:tc>
          <w:tcPr>
            <w:tcW w:w="1064" w:type="dxa"/>
            <w:tcBorders>
              <w:left w:val="single" w:sz="8" w:space="0" w:color="000000"/>
            </w:tcBorders>
            <w:shd w:val="clear" w:color="auto" w:fill="auto"/>
          </w:tcPr>
          <w:p w14:paraId="738DE542"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28,4</w:t>
            </w:r>
          </w:p>
          <w:p w14:paraId="25A10B11"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(63,5)</w:t>
            </w:r>
          </w:p>
        </w:tc>
        <w:tc>
          <w:tcPr>
            <w:tcW w:w="1914" w:type="dxa"/>
            <w:shd w:val="clear" w:color="auto" w:fill="auto"/>
          </w:tcPr>
          <w:p w14:paraId="2E3248D8" w14:textId="77777777" w:rsidR="007D7CE1" w:rsidRPr="005474B2" w:rsidRDefault="007D7CE1">
            <w:pPr>
              <w:keepNext/>
              <w:keepLines/>
              <w:widowControl w:val="0"/>
              <w:tabs>
                <w:tab w:val="left" w:pos="284"/>
              </w:tabs>
              <w:autoSpaceDE w:val="0"/>
              <w:autoSpaceDN w:val="0"/>
              <w:adjustRightInd w:val="0"/>
              <w:jc w:val="both"/>
              <w:rPr>
                <w:color w:val="000000"/>
                <w:sz w:val="22"/>
                <w:szCs w:val="22"/>
                <w:lang w:val="sr-Latn-ME"/>
              </w:rPr>
            </w:pPr>
            <w:r w:rsidRPr="005474B2">
              <w:rPr>
                <w:color w:val="000000"/>
                <w:sz w:val="22"/>
                <w:szCs w:val="22"/>
                <w:lang w:val="sr-Latn-ME"/>
              </w:rPr>
              <w:t>22,3</w:t>
            </w:r>
          </w:p>
          <w:p w14:paraId="5A214CC0"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(48,0)</w:t>
            </w:r>
          </w:p>
        </w:tc>
      </w:tr>
      <w:tr w:rsidR="007D7CE1" w:rsidRPr="0009637B" w14:paraId="6A521EC3" w14:textId="77777777" w:rsidTr="007D7CE1">
        <w:tc>
          <w:tcPr>
            <w:tcW w:w="1975" w:type="dxa"/>
            <w:tcBorders>
              <w:top w:val="single" w:sz="8" w:space="0" w:color="000000"/>
              <w:left w:val="single" w:sz="8" w:space="0" w:color="000000"/>
              <w:bottom w:val="single" w:sz="8" w:space="0" w:color="000000"/>
              <w:right w:val="single" w:sz="8" w:space="0" w:color="000000"/>
            </w:tcBorders>
            <w:shd w:val="clear" w:color="auto" w:fill="auto"/>
          </w:tcPr>
          <w:p w14:paraId="364A8870" w14:textId="77777777" w:rsidR="007D7CE1" w:rsidRPr="005474B2" w:rsidRDefault="007D7CE1" w:rsidP="0009637B">
            <w:pPr>
              <w:keepNext/>
              <w:keepLines/>
              <w:widowControl w:val="0"/>
              <w:tabs>
                <w:tab w:val="left" w:pos="284"/>
              </w:tabs>
              <w:jc w:val="both"/>
              <w:rPr>
                <w:b/>
                <w:bCs/>
                <w:color w:val="000000"/>
                <w:sz w:val="22"/>
                <w:szCs w:val="22"/>
                <w:lang w:val="sr-Latn-ME"/>
              </w:rPr>
            </w:pPr>
            <w:r w:rsidRPr="005474B2">
              <w:rPr>
                <w:b/>
                <w:bCs/>
                <w:color w:val="000000"/>
                <w:sz w:val="22"/>
                <w:szCs w:val="22"/>
                <w:lang w:val="sr-Latn-ME"/>
              </w:rPr>
              <w:t xml:space="preserve">Srednja </w:t>
            </w:r>
            <w:r w:rsidR="00C41FCA" w:rsidRPr="005474B2">
              <w:rPr>
                <w:b/>
                <w:bCs/>
                <w:color w:val="000000"/>
                <w:sz w:val="22"/>
                <w:szCs w:val="22"/>
                <w:lang w:val="sr-Latn-ME"/>
              </w:rPr>
              <w:t>vrijednost</w:t>
            </w:r>
            <w:r w:rsidRPr="005474B2">
              <w:rPr>
                <w:b/>
                <w:bCs/>
                <w:color w:val="000000"/>
                <w:sz w:val="22"/>
                <w:szCs w:val="22"/>
                <w:lang w:val="sr-Latn-ME"/>
              </w:rPr>
              <w:t xml:space="preserve"> </w:t>
            </w:r>
            <w:r w:rsidR="00A233FB" w:rsidRPr="005474B2">
              <w:rPr>
                <w:b/>
                <w:bCs/>
                <w:color w:val="000000"/>
                <w:sz w:val="22"/>
                <w:szCs w:val="22"/>
                <w:lang w:val="sr-Latn-ME"/>
              </w:rPr>
              <w:t>promjene</w:t>
            </w:r>
            <w:r w:rsidRPr="005474B2">
              <w:rPr>
                <w:b/>
                <w:bCs/>
                <w:color w:val="000000"/>
                <w:sz w:val="22"/>
                <w:szCs w:val="22"/>
                <w:lang w:val="sr-Latn-ME"/>
              </w:rPr>
              <w:t xml:space="preserve"> u 24. </w:t>
            </w:r>
            <w:r w:rsidR="009A4880" w:rsidRPr="005474B2">
              <w:rPr>
                <w:b/>
                <w:bCs/>
                <w:color w:val="000000"/>
                <w:sz w:val="22"/>
                <w:szCs w:val="22"/>
                <w:lang w:val="sr-Latn-ME"/>
              </w:rPr>
              <w:t>nedjelj</w:t>
            </w:r>
            <w:r w:rsidRPr="005474B2">
              <w:rPr>
                <w:b/>
                <w:bCs/>
                <w:color w:val="000000"/>
                <w:sz w:val="22"/>
                <w:szCs w:val="22"/>
                <w:lang w:val="sr-Latn-ME"/>
              </w:rPr>
              <w:t>i</w:t>
            </w:r>
          </w:p>
        </w:tc>
        <w:tc>
          <w:tcPr>
            <w:tcW w:w="520" w:type="dxa"/>
            <w:tcBorders>
              <w:top w:val="single" w:sz="8" w:space="0" w:color="000000"/>
              <w:left w:val="single" w:sz="8" w:space="0" w:color="000000"/>
              <w:bottom w:val="single" w:sz="8" w:space="0" w:color="000000"/>
            </w:tcBorders>
          </w:tcPr>
          <w:p w14:paraId="64611038" w14:textId="77777777" w:rsidR="007D7CE1" w:rsidRPr="005474B2" w:rsidRDefault="007D7CE1" w:rsidP="0009637B">
            <w:pPr>
              <w:keepNext/>
              <w:keepLines/>
              <w:widowControl w:val="0"/>
              <w:tabs>
                <w:tab w:val="left" w:pos="284"/>
              </w:tabs>
              <w:jc w:val="both"/>
              <w:rPr>
                <w:color w:val="000000"/>
                <w:sz w:val="22"/>
                <w:szCs w:val="22"/>
                <w:lang w:val="sr-Latn-ME"/>
              </w:rPr>
            </w:pPr>
            <w:r w:rsidRPr="005474B2">
              <w:rPr>
                <w:color w:val="000000"/>
                <w:sz w:val="22"/>
                <w:szCs w:val="22"/>
                <w:lang w:val="sr-Latn-ME"/>
              </w:rPr>
              <w:t>0,50</w:t>
            </w:r>
          </w:p>
        </w:tc>
        <w:tc>
          <w:tcPr>
            <w:tcW w:w="1925" w:type="dxa"/>
            <w:tcBorders>
              <w:top w:val="single" w:sz="8" w:space="0" w:color="000000"/>
              <w:bottom w:val="single" w:sz="8" w:space="0" w:color="000000"/>
            </w:tcBorders>
          </w:tcPr>
          <w:p w14:paraId="7AB824E2"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0,13*</w:t>
            </w:r>
          </w:p>
        </w:tc>
        <w:tc>
          <w:tcPr>
            <w:tcW w:w="1889" w:type="dxa"/>
            <w:tcBorders>
              <w:top w:val="single" w:sz="8" w:space="0" w:color="000000"/>
              <w:bottom w:val="single" w:sz="8" w:space="0" w:color="000000"/>
              <w:right w:val="single" w:sz="8" w:space="0" w:color="000000"/>
            </w:tcBorders>
          </w:tcPr>
          <w:p w14:paraId="056BEB90"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0,02*</w:t>
            </w:r>
          </w:p>
        </w:tc>
        <w:tc>
          <w:tcPr>
            <w:tcW w:w="1064" w:type="dxa"/>
            <w:tcBorders>
              <w:top w:val="single" w:sz="8" w:space="0" w:color="000000"/>
              <w:left w:val="single" w:sz="8" w:space="0" w:color="000000"/>
              <w:bottom w:val="single" w:sz="8" w:space="0" w:color="000000"/>
            </w:tcBorders>
            <w:shd w:val="clear" w:color="auto" w:fill="auto"/>
          </w:tcPr>
          <w:p w14:paraId="1838B7BA"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0,57</w:t>
            </w:r>
          </w:p>
        </w:tc>
        <w:tc>
          <w:tcPr>
            <w:tcW w:w="1914" w:type="dxa"/>
            <w:tcBorders>
              <w:top w:val="single" w:sz="8" w:space="0" w:color="000000"/>
              <w:bottom w:val="single" w:sz="8" w:space="0" w:color="000000"/>
              <w:right w:val="single" w:sz="8" w:space="0" w:color="000000"/>
            </w:tcBorders>
            <w:shd w:val="clear" w:color="auto" w:fill="auto"/>
          </w:tcPr>
          <w:p w14:paraId="52ED07D4" w14:textId="77777777"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lang w:val="sr-Latn-ME"/>
              </w:rPr>
              <w:t>0,13*</w:t>
            </w:r>
          </w:p>
        </w:tc>
      </w:tr>
      <w:tr w:rsidR="007D7CE1" w:rsidRPr="0009637B" w14:paraId="5825F4C0" w14:textId="77777777" w:rsidTr="007D7CE1">
        <w:tc>
          <w:tcPr>
            <w:tcW w:w="9287" w:type="dxa"/>
            <w:gridSpan w:val="6"/>
            <w:tcBorders>
              <w:top w:val="single" w:sz="8" w:space="0" w:color="000000"/>
              <w:left w:val="single" w:sz="8" w:space="0" w:color="000000"/>
              <w:bottom w:val="single" w:sz="8" w:space="0" w:color="000000"/>
              <w:right w:val="single" w:sz="8" w:space="0" w:color="000000"/>
            </w:tcBorders>
          </w:tcPr>
          <w:p w14:paraId="6B731B5E" w14:textId="0749B7E4" w:rsidR="007D7CE1" w:rsidRPr="005474B2" w:rsidRDefault="007D7CE1" w:rsidP="0009637B">
            <w:pPr>
              <w:keepNext/>
              <w:keepLines/>
              <w:widowControl w:val="0"/>
              <w:tabs>
                <w:tab w:val="left" w:pos="284"/>
              </w:tabs>
              <w:jc w:val="both"/>
              <w:rPr>
                <w:color w:val="000000"/>
                <w:sz w:val="22"/>
                <w:szCs w:val="22"/>
                <w:lang w:val="sr-Latn-ME"/>
              </w:rPr>
            </w:pPr>
            <w:r w:rsidRPr="005474B2">
              <w:rPr>
                <w:color w:val="000000"/>
                <w:sz w:val="22"/>
                <w:szCs w:val="22"/>
                <w:lang w:val="sr-Latn-ME"/>
              </w:rPr>
              <w:t>*p&lt;0</w:t>
            </w:r>
            <w:r w:rsidR="000929AB" w:rsidRPr="005474B2">
              <w:rPr>
                <w:color w:val="000000"/>
                <w:sz w:val="22"/>
                <w:szCs w:val="22"/>
                <w:lang w:val="sr-Latn-ME"/>
              </w:rPr>
              <w:t>,</w:t>
            </w:r>
            <w:r w:rsidRPr="005474B2">
              <w:rPr>
                <w:color w:val="000000"/>
                <w:sz w:val="22"/>
                <w:szCs w:val="22"/>
                <w:lang w:val="sr-Latn-ME"/>
              </w:rPr>
              <w:t>05 zasnovano na nominalnoj, ali ne i prilagođenoj p-</w:t>
            </w:r>
            <w:r w:rsidR="00A233FB" w:rsidRPr="005474B2">
              <w:rPr>
                <w:color w:val="000000"/>
                <w:sz w:val="22"/>
                <w:szCs w:val="22"/>
                <w:lang w:val="sr-Latn-ME"/>
              </w:rPr>
              <w:t>vrijednosti</w:t>
            </w:r>
          </w:p>
          <w:p w14:paraId="39EDE101" w14:textId="178C62DA" w:rsidR="007D7CE1" w:rsidRPr="005474B2" w:rsidRDefault="007D7CE1" w:rsidP="0009637B">
            <w:pPr>
              <w:keepNext/>
              <w:keepLines/>
              <w:widowControl w:val="0"/>
              <w:tabs>
                <w:tab w:val="left" w:pos="284"/>
              </w:tabs>
              <w:jc w:val="both"/>
              <w:rPr>
                <w:color w:val="000000"/>
                <w:sz w:val="22"/>
                <w:szCs w:val="22"/>
                <w:lang w:val="sr-Latn-ME"/>
              </w:rPr>
            </w:pPr>
            <w:r w:rsidRPr="005474B2">
              <w:rPr>
                <w:color w:val="000000"/>
                <w:sz w:val="22"/>
                <w:szCs w:val="22"/>
                <w:vertAlign w:val="superscript"/>
                <w:lang w:val="sr-Latn-ME"/>
              </w:rPr>
              <w:t>1</w:t>
            </w:r>
            <w:r w:rsidRPr="005474B2">
              <w:rPr>
                <w:color w:val="000000"/>
                <w:sz w:val="22"/>
                <w:szCs w:val="22"/>
                <w:lang w:val="sr-Latn-ME"/>
              </w:rPr>
              <w:t>sekukinumab 150 mg ili 300 mg s.c. u 0</w:t>
            </w:r>
            <w:r w:rsidR="00D03735" w:rsidRPr="005474B2">
              <w:rPr>
                <w:color w:val="000000"/>
                <w:sz w:val="22"/>
                <w:szCs w:val="22"/>
                <w:lang w:val="sr-Latn-ME"/>
              </w:rPr>
              <w:t>.</w:t>
            </w:r>
            <w:r w:rsidRPr="005474B2">
              <w:rPr>
                <w:color w:val="000000"/>
                <w:sz w:val="22"/>
                <w:szCs w:val="22"/>
                <w:lang w:val="sr-Latn-ME"/>
              </w:rPr>
              <w:t>, 1</w:t>
            </w:r>
            <w:r w:rsidR="00D03735" w:rsidRPr="005474B2">
              <w:rPr>
                <w:color w:val="000000"/>
                <w:sz w:val="22"/>
                <w:szCs w:val="22"/>
                <w:lang w:val="sr-Latn-ME"/>
              </w:rPr>
              <w:t>.</w:t>
            </w:r>
            <w:r w:rsidRPr="005474B2">
              <w:rPr>
                <w:color w:val="000000"/>
                <w:sz w:val="22"/>
                <w:szCs w:val="22"/>
                <w:lang w:val="sr-Latn-ME"/>
              </w:rPr>
              <w:t>, 2</w:t>
            </w:r>
            <w:r w:rsidR="00D03735" w:rsidRPr="005474B2">
              <w:rPr>
                <w:color w:val="000000"/>
                <w:sz w:val="22"/>
                <w:szCs w:val="22"/>
                <w:lang w:val="sr-Latn-ME"/>
              </w:rPr>
              <w:t>.</w:t>
            </w:r>
            <w:r w:rsidRPr="005474B2">
              <w:rPr>
                <w:color w:val="000000"/>
                <w:sz w:val="22"/>
                <w:szCs w:val="22"/>
                <w:lang w:val="sr-Latn-ME"/>
              </w:rPr>
              <w:t xml:space="preserve">, 3. i 4. </w:t>
            </w:r>
            <w:r w:rsidR="009A4880" w:rsidRPr="005474B2">
              <w:rPr>
                <w:color w:val="000000"/>
                <w:sz w:val="22"/>
                <w:szCs w:val="22"/>
                <w:lang w:val="sr-Latn-ME"/>
              </w:rPr>
              <w:t>nedjelj</w:t>
            </w:r>
            <w:r w:rsidRPr="005474B2">
              <w:rPr>
                <w:color w:val="000000"/>
                <w:sz w:val="22"/>
                <w:szCs w:val="22"/>
                <w:lang w:val="sr-Latn-ME"/>
              </w:rPr>
              <w:t>i, nakon čega su u</w:t>
            </w:r>
            <w:r w:rsidR="009A4880" w:rsidRPr="005474B2">
              <w:rPr>
                <w:color w:val="000000"/>
                <w:sz w:val="22"/>
                <w:szCs w:val="22"/>
                <w:lang w:val="sr-Latn-ME"/>
              </w:rPr>
              <w:t>slijedi</w:t>
            </w:r>
            <w:r w:rsidRPr="005474B2">
              <w:rPr>
                <w:color w:val="000000"/>
                <w:sz w:val="22"/>
                <w:szCs w:val="22"/>
                <w:lang w:val="sr-Latn-ME"/>
              </w:rPr>
              <w:t xml:space="preserve">le iste doze svakog </w:t>
            </w:r>
            <w:r w:rsidR="009A4880" w:rsidRPr="005474B2">
              <w:rPr>
                <w:color w:val="000000"/>
                <w:sz w:val="22"/>
                <w:szCs w:val="22"/>
                <w:lang w:val="sr-Latn-ME"/>
              </w:rPr>
              <w:t>mjesec</w:t>
            </w:r>
            <w:r w:rsidRPr="005474B2">
              <w:rPr>
                <w:color w:val="000000"/>
                <w:sz w:val="22"/>
                <w:szCs w:val="22"/>
                <w:lang w:val="sr-Latn-ME"/>
              </w:rPr>
              <w:t>a</w:t>
            </w:r>
          </w:p>
          <w:p w14:paraId="75DDC6F1" w14:textId="6AE352F8" w:rsidR="007D7CE1" w:rsidRPr="005474B2" w:rsidRDefault="007D7CE1">
            <w:pPr>
              <w:keepNext/>
              <w:keepLines/>
              <w:widowControl w:val="0"/>
              <w:tabs>
                <w:tab w:val="left" w:pos="284"/>
              </w:tabs>
              <w:jc w:val="both"/>
              <w:rPr>
                <w:color w:val="000000"/>
                <w:sz w:val="22"/>
                <w:szCs w:val="22"/>
                <w:lang w:val="sr-Latn-ME"/>
              </w:rPr>
            </w:pPr>
            <w:r w:rsidRPr="005474B2">
              <w:rPr>
                <w:color w:val="000000"/>
                <w:sz w:val="22"/>
                <w:szCs w:val="22"/>
                <w:vertAlign w:val="superscript"/>
                <w:lang w:val="sr-Latn-ME"/>
              </w:rPr>
              <w:t>2</w:t>
            </w:r>
            <w:r w:rsidRPr="005474B2">
              <w:rPr>
                <w:color w:val="000000"/>
                <w:sz w:val="22"/>
                <w:szCs w:val="22"/>
                <w:lang w:val="sr-Latn-ME"/>
              </w:rPr>
              <w:t>10 mg/kg u 0</w:t>
            </w:r>
            <w:r w:rsidR="00E228A4" w:rsidRPr="005474B2">
              <w:rPr>
                <w:color w:val="000000"/>
                <w:sz w:val="22"/>
                <w:szCs w:val="22"/>
                <w:lang w:val="sr-Latn-ME"/>
              </w:rPr>
              <w:t>.</w:t>
            </w:r>
            <w:r w:rsidRPr="005474B2">
              <w:rPr>
                <w:color w:val="000000"/>
                <w:sz w:val="22"/>
                <w:szCs w:val="22"/>
                <w:lang w:val="sr-Latn-ME"/>
              </w:rPr>
              <w:t xml:space="preserve">, 2. i 4. </w:t>
            </w:r>
            <w:r w:rsidR="009A4880" w:rsidRPr="005474B2">
              <w:rPr>
                <w:color w:val="000000"/>
                <w:sz w:val="22"/>
                <w:szCs w:val="22"/>
                <w:lang w:val="sr-Latn-ME"/>
              </w:rPr>
              <w:t>nedjelj</w:t>
            </w:r>
            <w:r w:rsidRPr="005474B2">
              <w:rPr>
                <w:color w:val="000000"/>
                <w:sz w:val="22"/>
                <w:szCs w:val="22"/>
                <w:lang w:val="sr-Latn-ME"/>
              </w:rPr>
              <w:t>i, nakon čega su u</w:t>
            </w:r>
            <w:r w:rsidR="009A4880" w:rsidRPr="005474B2">
              <w:rPr>
                <w:color w:val="000000"/>
                <w:sz w:val="22"/>
                <w:szCs w:val="22"/>
                <w:lang w:val="sr-Latn-ME"/>
              </w:rPr>
              <w:t>slijedi</w:t>
            </w:r>
            <w:r w:rsidRPr="005474B2">
              <w:rPr>
                <w:color w:val="000000"/>
                <w:sz w:val="22"/>
                <w:szCs w:val="22"/>
                <w:lang w:val="sr-Latn-ME"/>
              </w:rPr>
              <w:t>le su</w:t>
            </w:r>
            <w:r w:rsidR="00801863" w:rsidRPr="005474B2">
              <w:rPr>
                <w:color w:val="000000"/>
                <w:sz w:val="22"/>
                <w:szCs w:val="22"/>
                <w:lang w:val="sr-Latn-ME"/>
              </w:rPr>
              <w:t>b</w:t>
            </w:r>
            <w:r w:rsidRPr="005474B2">
              <w:rPr>
                <w:color w:val="000000"/>
                <w:sz w:val="22"/>
                <w:szCs w:val="22"/>
                <w:lang w:val="sr-Latn-ME"/>
              </w:rPr>
              <w:t>kutane doze od 75 mg ili 150 mg</w:t>
            </w:r>
          </w:p>
        </w:tc>
      </w:tr>
    </w:tbl>
    <w:p w14:paraId="432B447D" w14:textId="77777777" w:rsidR="007D7CE1" w:rsidRPr="005474B2" w:rsidRDefault="007D7CE1" w:rsidP="0009637B">
      <w:pPr>
        <w:keepNext/>
        <w:widowControl w:val="0"/>
        <w:tabs>
          <w:tab w:val="left" w:pos="567"/>
        </w:tabs>
        <w:jc w:val="both"/>
        <w:outlineLvl w:val="6"/>
        <w:rPr>
          <w:b/>
          <w:sz w:val="22"/>
          <w:szCs w:val="22"/>
          <w:lang w:val="sr-Latn-ME"/>
        </w:rPr>
      </w:pPr>
    </w:p>
    <w:p w14:paraId="6DEF47F9" w14:textId="7FB910DF" w:rsidR="007D7CE1" w:rsidRPr="005474B2" w:rsidRDefault="007D7CE1" w:rsidP="0009637B">
      <w:pPr>
        <w:autoSpaceDE w:val="0"/>
        <w:autoSpaceDN w:val="0"/>
        <w:adjustRightInd w:val="0"/>
        <w:jc w:val="both"/>
        <w:rPr>
          <w:sz w:val="22"/>
          <w:szCs w:val="22"/>
          <w:lang w:val="sr-Latn-ME"/>
        </w:rPr>
      </w:pPr>
      <w:r w:rsidRPr="005474B2">
        <w:rPr>
          <w:sz w:val="22"/>
          <w:szCs w:val="22"/>
          <w:lang w:val="sr-Latn-ME"/>
        </w:rPr>
        <w:t xml:space="preserve">U PsA studiji 1, inhibicija strukturnih oštećenja se održala do 52. </w:t>
      </w:r>
      <w:r w:rsidR="009A4880" w:rsidRPr="005474B2">
        <w:rPr>
          <w:sz w:val="22"/>
          <w:szCs w:val="22"/>
          <w:lang w:val="sr-Latn-ME"/>
        </w:rPr>
        <w:t>nedjelj</w:t>
      </w:r>
      <w:r w:rsidRPr="005474B2">
        <w:rPr>
          <w:sz w:val="22"/>
          <w:szCs w:val="22"/>
          <w:lang w:val="sr-Latn-ME"/>
        </w:rPr>
        <w:t>e uz terapiju</w:t>
      </w:r>
      <w:r w:rsidR="00D03735" w:rsidRPr="005474B2">
        <w:rPr>
          <w:sz w:val="22"/>
          <w:szCs w:val="22"/>
          <w:lang w:val="sr-Latn-ME"/>
        </w:rPr>
        <w:t xml:space="preserve"> </w:t>
      </w:r>
      <w:r w:rsidRPr="005474B2">
        <w:rPr>
          <w:sz w:val="22"/>
          <w:szCs w:val="22"/>
          <w:lang w:val="sr-Latn-ME"/>
        </w:rPr>
        <w:t>sekukinumabom.</w:t>
      </w:r>
    </w:p>
    <w:p w14:paraId="0FA91020" w14:textId="77777777" w:rsidR="007D7CE1" w:rsidRPr="005474B2" w:rsidRDefault="007D7CE1">
      <w:pPr>
        <w:autoSpaceDE w:val="0"/>
        <w:autoSpaceDN w:val="0"/>
        <w:adjustRightInd w:val="0"/>
        <w:jc w:val="both"/>
        <w:rPr>
          <w:sz w:val="22"/>
          <w:szCs w:val="22"/>
          <w:lang w:val="sr-Latn-ME"/>
        </w:rPr>
      </w:pPr>
    </w:p>
    <w:p w14:paraId="63DC480E" w14:textId="4AAEACAC"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U PsA studiji </w:t>
      </w:r>
      <w:r w:rsidR="00162123" w:rsidRPr="005474B2">
        <w:rPr>
          <w:sz w:val="22"/>
          <w:szCs w:val="22"/>
          <w:lang w:val="sr-Latn-ME"/>
        </w:rPr>
        <w:t>3</w:t>
      </w:r>
      <w:r w:rsidRPr="005474B2">
        <w:rPr>
          <w:sz w:val="22"/>
          <w:szCs w:val="22"/>
          <w:lang w:val="sr-Latn-ME"/>
        </w:rPr>
        <w:t xml:space="preserve">, procenat pacijenata bez progresije bolesti (definisano kao </w:t>
      </w:r>
      <w:r w:rsidR="00A233FB" w:rsidRPr="005474B2">
        <w:rPr>
          <w:sz w:val="22"/>
          <w:szCs w:val="22"/>
          <w:lang w:val="sr-Latn-ME"/>
        </w:rPr>
        <w:t>promjena</w:t>
      </w:r>
      <w:r w:rsidRPr="005474B2">
        <w:rPr>
          <w:sz w:val="22"/>
          <w:szCs w:val="22"/>
          <w:lang w:val="sr-Latn-ME"/>
        </w:rPr>
        <w:t xml:space="preserve"> u odnosu na početnu </w:t>
      </w:r>
      <w:r w:rsidR="00C41FCA" w:rsidRPr="005474B2">
        <w:rPr>
          <w:sz w:val="22"/>
          <w:szCs w:val="22"/>
          <w:lang w:val="sr-Latn-ME"/>
        </w:rPr>
        <w:t>vrijednost</w:t>
      </w:r>
      <w:r w:rsidRPr="005474B2">
        <w:rPr>
          <w:sz w:val="22"/>
          <w:szCs w:val="22"/>
          <w:lang w:val="sr-Latn-ME"/>
        </w:rPr>
        <w:t xml:space="preserve"> mTSS≤0,5) od randomizacije do 24. </w:t>
      </w:r>
      <w:r w:rsidR="009A4880" w:rsidRPr="005474B2">
        <w:rPr>
          <w:sz w:val="22"/>
          <w:szCs w:val="22"/>
          <w:lang w:val="sr-Latn-ME"/>
        </w:rPr>
        <w:t>nedjelj</w:t>
      </w:r>
      <w:r w:rsidRPr="005474B2">
        <w:rPr>
          <w:sz w:val="22"/>
          <w:szCs w:val="22"/>
          <w:lang w:val="sr-Latn-ME"/>
        </w:rPr>
        <w:t xml:space="preserve">e je bio 80,3% uz sekukinumab 150 mg, 88,5% uz sekukinumab od 300 mg i 73,6% za placebo. Efekat inhibicije strukturnih oštećenja je uočen kod anti-TNFα naivnih i anti-TNFα-IR pacijenata i kod pacijenata </w:t>
      </w:r>
      <w:r w:rsidR="009A4880" w:rsidRPr="005474B2">
        <w:rPr>
          <w:sz w:val="22"/>
          <w:szCs w:val="22"/>
          <w:lang w:val="sr-Latn-ME"/>
        </w:rPr>
        <w:t>liječ</w:t>
      </w:r>
      <w:r w:rsidRPr="005474B2">
        <w:rPr>
          <w:sz w:val="22"/>
          <w:szCs w:val="22"/>
          <w:lang w:val="sr-Latn-ME"/>
        </w:rPr>
        <w:t xml:space="preserve">enih istovremeno sa ili bez MTX. </w:t>
      </w:r>
    </w:p>
    <w:p w14:paraId="14C53647" w14:textId="77777777" w:rsidR="007D7CE1" w:rsidRPr="005474B2" w:rsidRDefault="007D7CE1">
      <w:pPr>
        <w:autoSpaceDE w:val="0"/>
        <w:autoSpaceDN w:val="0"/>
        <w:adjustRightInd w:val="0"/>
        <w:jc w:val="both"/>
        <w:rPr>
          <w:sz w:val="22"/>
          <w:szCs w:val="22"/>
          <w:lang w:val="sr-Latn-ME"/>
        </w:rPr>
      </w:pPr>
    </w:p>
    <w:p w14:paraId="6CBFF890" w14:textId="322050D7"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U PsA studiji 1, procenat pacijenata bez progresije bolesti (definisano kao </w:t>
      </w:r>
      <w:r w:rsidR="00A233FB" w:rsidRPr="005474B2">
        <w:rPr>
          <w:sz w:val="22"/>
          <w:szCs w:val="22"/>
          <w:lang w:val="sr-Latn-ME"/>
        </w:rPr>
        <w:t>promjena</w:t>
      </w:r>
      <w:r w:rsidRPr="005474B2">
        <w:rPr>
          <w:sz w:val="22"/>
          <w:szCs w:val="22"/>
          <w:lang w:val="sr-Latn-ME"/>
        </w:rPr>
        <w:t xml:space="preserve"> u odnosu na početnu </w:t>
      </w:r>
      <w:r w:rsidR="00C41FCA" w:rsidRPr="005474B2">
        <w:rPr>
          <w:sz w:val="22"/>
          <w:szCs w:val="22"/>
          <w:lang w:val="sr-Latn-ME"/>
        </w:rPr>
        <w:t>vrijednost</w:t>
      </w:r>
      <w:r w:rsidRPr="005474B2">
        <w:rPr>
          <w:sz w:val="22"/>
          <w:szCs w:val="22"/>
          <w:lang w:val="sr-Latn-ME"/>
        </w:rPr>
        <w:t xml:space="preserve"> mTSS ≤0,5) od randomizacije do 24. </w:t>
      </w:r>
      <w:r w:rsidR="009A4880" w:rsidRPr="005474B2">
        <w:rPr>
          <w:sz w:val="22"/>
          <w:szCs w:val="22"/>
          <w:lang w:val="sr-Latn-ME"/>
        </w:rPr>
        <w:t>nedjelj</w:t>
      </w:r>
      <w:r w:rsidRPr="005474B2">
        <w:rPr>
          <w:sz w:val="22"/>
          <w:szCs w:val="22"/>
          <w:lang w:val="sr-Latn-ME"/>
        </w:rPr>
        <w:t>e je bio 82,3% uz sekukinumab 10 mg/kg intravensku fazu – 150 mg su</w:t>
      </w:r>
      <w:r w:rsidR="00801863" w:rsidRPr="005474B2">
        <w:rPr>
          <w:sz w:val="22"/>
          <w:szCs w:val="22"/>
          <w:lang w:val="sr-Latn-ME"/>
        </w:rPr>
        <w:t>b</w:t>
      </w:r>
      <w:r w:rsidRPr="005474B2">
        <w:rPr>
          <w:sz w:val="22"/>
          <w:szCs w:val="22"/>
          <w:lang w:val="sr-Latn-ME"/>
        </w:rPr>
        <w:t xml:space="preserve">kutano održavanje i 75,7% kod placeba. Procenat pacijenata bez progresije bolesti od 24. </w:t>
      </w:r>
      <w:r w:rsidR="009A4880" w:rsidRPr="005474B2">
        <w:rPr>
          <w:sz w:val="22"/>
          <w:szCs w:val="22"/>
          <w:lang w:val="sr-Latn-ME"/>
        </w:rPr>
        <w:t>nedjelj</w:t>
      </w:r>
      <w:r w:rsidRPr="005474B2">
        <w:rPr>
          <w:sz w:val="22"/>
          <w:szCs w:val="22"/>
          <w:lang w:val="sr-Latn-ME"/>
        </w:rPr>
        <w:t xml:space="preserve">e do 52. </w:t>
      </w:r>
      <w:r w:rsidR="009A4880" w:rsidRPr="005474B2">
        <w:rPr>
          <w:sz w:val="22"/>
          <w:szCs w:val="22"/>
          <w:lang w:val="sr-Latn-ME"/>
        </w:rPr>
        <w:t>nedjelj</w:t>
      </w:r>
      <w:r w:rsidRPr="005474B2">
        <w:rPr>
          <w:sz w:val="22"/>
          <w:szCs w:val="22"/>
          <w:lang w:val="sr-Latn-ME"/>
        </w:rPr>
        <w:t xml:space="preserve">e uz sekukinumab 10 mg/kg intravensku fazu – nakon koje je </w:t>
      </w:r>
      <w:r w:rsidR="009A4880" w:rsidRPr="005474B2">
        <w:rPr>
          <w:sz w:val="22"/>
          <w:szCs w:val="22"/>
          <w:lang w:val="sr-Latn-ME"/>
        </w:rPr>
        <w:t>slijedi</w:t>
      </w:r>
      <w:r w:rsidRPr="005474B2">
        <w:rPr>
          <w:sz w:val="22"/>
          <w:szCs w:val="22"/>
          <w:lang w:val="sr-Latn-ME"/>
        </w:rPr>
        <w:t>lo 150 mg su</w:t>
      </w:r>
      <w:r w:rsidR="00801863" w:rsidRPr="005474B2">
        <w:rPr>
          <w:sz w:val="22"/>
          <w:szCs w:val="22"/>
          <w:lang w:val="sr-Latn-ME"/>
        </w:rPr>
        <w:t>b</w:t>
      </w:r>
      <w:r w:rsidRPr="005474B2">
        <w:rPr>
          <w:sz w:val="22"/>
          <w:szCs w:val="22"/>
          <w:lang w:val="sr-Latn-ME"/>
        </w:rPr>
        <w:t>kutano održavanje, kao i za pacijente na placebu koji su se prešli na 75 mg ili 150 mg su</w:t>
      </w:r>
      <w:r w:rsidR="00801863" w:rsidRPr="005474B2">
        <w:rPr>
          <w:sz w:val="22"/>
          <w:szCs w:val="22"/>
          <w:lang w:val="sr-Latn-ME"/>
        </w:rPr>
        <w:t>b</w:t>
      </w:r>
      <w:r w:rsidRPr="005474B2">
        <w:rPr>
          <w:sz w:val="22"/>
          <w:szCs w:val="22"/>
          <w:lang w:val="sr-Latn-ME"/>
        </w:rPr>
        <w:t xml:space="preserve">kutane </w:t>
      </w:r>
      <w:r w:rsidR="009A4880" w:rsidRPr="005474B2">
        <w:rPr>
          <w:sz w:val="22"/>
          <w:szCs w:val="22"/>
          <w:lang w:val="sr-Latn-ME"/>
        </w:rPr>
        <w:t>primjene</w:t>
      </w:r>
      <w:r w:rsidRPr="005474B2">
        <w:rPr>
          <w:sz w:val="22"/>
          <w:szCs w:val="22"/>
          <w:lang w:val="sr-Latn-ME"/>
        </w:rPr>
        <w:t xml:space="preserve"> svake 4 </w:t>
      </w:r>
      <w:r w:rsidR="009A4880" w:rsidRPr="005474B2">
        <w:rPr>
          <w:sz w:val="22"/>
          <w:szCs w:val="22"/>
          <w:lang w:val="sr-Latn-ME"/>
        </w:rPr>
        <w:t>nedjelj</w:t>
      </w:r>
      <w:r w:rsidRPr="005474B2">
        <w:rPr>
          <w:sz w:val="22"/>
          <w:szCs w:val="22"/>
          <w:lang w:val="sr-Latn-ME"/>
        </w:rPr>
        <w:t xml:space="preserve">e u 16. </w:t>
      </w:r>
      <w:r w:rsidR="009A4880" w:rsidRPr="005474B2">
        <w:rPr>
          <w:sz w:val="22"/>
          <w:szCs w:val="22"/>
          <w:lang w:val="sr-Latn-ME"/>
        </w:rPr>
        <w:t>nedjelj</w:t>
      </w:r>
      <w:r w:rsidRPr="005474B2">
        <w:rPr>
          <w:sz w:val="22"/>
          <w:szCs w:val="22"/>
          <w:lang w:val="sr-Latn-ME"/>
        </w:rPr>
        <w:t xml:space="preserve">i ili 24. </w:t>
      </w:r>
      <w:r w:rsidR="009A4880" w:rsidRPr="005474B2">
        <w:rPr>
          <w:sz w:val="22"/>
          <w:szCs w:val="22"/>
          <w:lang w:val="sr-Latn-ME"/>
        </w:rPr>
        <w:t>nedjelj</w:t>
      </w:r>
      <w:r w:rsidRPr="005474B2">
        <w:rPr>
          <w:sz w:val="22"/>
          <w:szCs w:val="22"/>
          <w:lang w:val="sr-Latn-ME"/>
        </w:rPr>
        <w:t>i je bio 85,7% odnosno 86,8%.</w:t>
      </w:r>
    </w:p>
    <w:p w14:paraId="1BAFA40D" w14:textId="4E509E60" w:rsidR="007D7CE1" w:rsidRPr="005474B2" w:rsidRDefault="007D7CE1">
      <w:pPr>
        <w:autoSpaceDE w:val="0"/>
        <w:autoSpaceDN w:val="0"/>
        <w:adjustRightInd w:val="0"/>
        <w:jc w:val="both"/>
        <w:rPr>
          <w:sz w:val="22"/>
          <w:szCs w:val="22"/>
          <w:lang w:val="sr-Latn-ME"/>
        </w:rPr>
      </w:pPr>
    </w:p>
    <w:p w14:paraId="0D78229E" w14:textId="77777777" w:rsidR="00AA6D7D" w:rsidRPr="005474B2" w:rsidRDefault="00AA6D7D">
      <w:pPr>
        <w:pStyle w:val="BodyText0"/>
        <w:kinsoku w:val="0"/>
        <w:overflowPunct w:val="0"/>
        <w:jc w:val="both"/>
        <w:rPr>
          <w:i/>
          <w:lang w:val="sr-Latn-ME"/>
        </w:rPr>
      </w:pPr>
      <w:r w:rsidRPr="005474B2">
        <w:rPr>
          <w:i/>
          <w:lang w:val="sr-Latn-ME"/>
        </w:rPr>
        <w:t>Aksijalne manifestacije u PsA</w:t>
      </w:r>
    </w:p>
    <w:p w14:paraId="54D4C656" w14:textId="500681AF" w:rsidR="00AA6D7D" w:rsidRPr="005474B2" w:rsidRDefault="00AA6D7D">
      <w:pPr>
        <w:pStyle w:val="BodyText0"/>
        <w:kinsoku w:val="0"/>
        <w:overflowPunct w:val="0"/>
        <w:jc w:val="both"/>
        <w:rPr>
          <w:lang w:val="sr-Latn-ME"/>
        </w:rPr>
      </w:pPr>
      <w:r w:rsidRPr="005474B2">
        <w:rPr>
          <w:lang w:val="sr-Latn-ME"/>
        </w:rPr>
        <w:t>Randomizovan</w:t>
      </w:r>
      <w:r w:rsidR="00A048C6" w:rsidRPr="005474B2">
        <w:rPr>
          <w:lang w:val="sr-Latn-ME"/>
        </w:rPr>
        <w:t>a</w:t>
      </w:r>
      <w:r w:rsidRPr="005474B2">
        <w:rPr>
          <w:lang w:val="sr-Latn-ME"/>
        </w:rPr>
        <w:t>, dvostruko slijep</w:t>
      </w:r>
      <w:r w:rsidR="00A048C6" w:rsidRPr="005474B2">
        <w:rPr>
          <w:lang w:val="sr-Latn-ME"/>
        </w:rPr>
        <w:t>a</w:t>
      </w:r>
      <w:r w:rsidRPr="005474B2">
        <w:rPr>
          <w:lang w:val="sr-Latn-ME"/>
        </w:rPr>
        <w:t>, placebom kontrolisan</w:t>
      </w:r>
      <w:r w:rsidR="004429DA" w:rsidRPr="005474B2">
        <w:rPr>
          <w:lang w:val="sr-Latn-ME"/>
        </w:rPr>
        <w:t>a</w:t>
      </w:r>
      <w:r w:rsidRPr="005474B2">
        <w:rPr>
          <w:lang w:val="sr-Latn-ME"/>
        </w:rPr>
        <w:t xml:space="preserve"> </w:t>
      </w:r>
      <w:r w:rsidR="004429DA" w:rsidRPr="005474B2">
        <w:rPr>
          <w:lang w:val="sr-Latn-ME"/>
        </w:rPr>
        <w:t xml:space="preserve">studija </w:t>
      </w:r>
      <w:r w:rsidRPr="005474B2">
        <w:rPr>
          <w:lang w:val="sr-Latn-ME"/>
        </w:rPr>
        <w:t>(MAXIMISE) procjenjival</w:t>
      </w:r>
      <w:r w:rsidR="00A048C6" w:rsidRPr="005474B2">
        <w:rPr>
          <w:lang w:val="sr-Latn-ME"/>
        </w:rPr>
        <w:t>a</w:t>
      </w:r>
      <w:r w:rsidRPr="005474B2">
        <w:rPr>
          <w:lang w:val="sr-Latn-ME"/>
        </w:rPr>
        <w:t xml:space="preserve"> je efikasnost sekukinumaba kod 485 PsA pacijenata sa aksijalnim manifestacijama koji prethodno ni</w:t>
      </w:r>
      <w:r w:rsidR="00746619" w:rsidRPr="005474B2">
        <w:rPr>
          <w:lang w:val="sr-Latn-ME"/>
        </w:rPr>
        <w:t>je</w:t>
      </w:r>
      <w:r w:rsidRPr="005474B2">
        <w:rPr>
          <w:lang w:val="sr-Latn-ME"/>
        </w:rPr>
        <w:t>su primali biološku terapiju i ni</w:t>
      </w:r>
      <w:r w:rsidR="00746619" w:rsidRPr="005474B2">
        <w:rPr>
          <w:lang w:val="sr-Latn-ME"/>
        </w:rPr>
        <w:t>je</w:t>
      </w:r>
      <w:r w:rsidRPr="005474B2">
        <w:rPr>
          <w:lang w:val="sr-Latn-ME"/>
        </w:rPr>
        <w:t xml:space="preserve">su imali odgovarajući odgovor na NSAIL. Primarni ishod, poboljšanje od najmanje 20% prema kriterijumima Međunarodnog društva za procjenu spondiloartritisa (engl. </w:t>
      </w:r>
      <w:r w:rsidRPr="005474B2">
        <w:rPr>
          <w:i/>
          <w:lang w:val="sr-Latn-ME"/>
        </w:rPr>
        <w:t xml:space="preserve">Assessment of SpondyloArthritis International Society, </w:t>
      </w:r>
      <w:r w:rsidRPr="005474B2">
        <w:rPr>
          <w:lang w:val="sr-Latn-ME"/>
        </w:rPr>
        <w:t>ASAS 20) postignut je u 12. nedjelji. Liječenje sekukinumabom u dozi od 300 mg i 150 mg u poređenju sa placebom je takođe rezultiralo većim poboljšanjem znakova i simptoma (uključujući smanjenje spinalnog bola u odnosu na početni nivo) i poboljšanje tjelesne funkcije (vidjeti Tabelu </w:t>
      </w:r>
      <w:r w:rsidR="006911D2" w:rsidRPr="005474B2">
        <w:rPr>
          <w:lang w:val="sr-Latn-ME"/>
        </w:rPr>
        <w:t>11</w:t>
      </w:r>
      <w:r w:rsidRPr="005474B2">
        <w:rPr>
          <w:lang w:val="sr-Latn-ME"/>
        </w:rPr>
        <w:t>).</w:t>
      </w:r>
    </w:p>
    <w:p w14:paraId="01C9C144" w14:textId="77777777" w:rsidR="00AA6D7D" w:rsidRPr="005474B2" w:rsidRDefault="00AA6D7D">
      <w:pPr>
        <w:pStyle w:val="BodyText0"/>
        <w:kinsoku w:val="0"/>
        <w:overflowPunct w:val="0"/>
        <w:jc w:val="both"/>
        <w:rPr>
          <w:lang w:val="sr-Latn-ME"/>
        </w:rPr>
      </w:pPr>
    </w:p>
    <w:p w14:paraId="3407F005" w14:textId="24A9F091" w:rsidR="00AA6D7D" w:rsidRPr="005474B2" w:rsidRDefault="00AA6D7D">
      <w:pPr>
        <w:pStyle w:val="BodyText0"/>
        <w:kinsoku w:val="0"/>
        <w:overflowPunct w:val="0"/>
        <w:jc w:val="both"/>
        <w:rPr>
          <w:b/>
          <w:lang w:val="sr-Latn-ME"/>
        </w:rPr>
      </w:pPr>
      <w:r w:rsidRPr="005474B2">
        <w:rPr>
          <w:b/>
          <w:lang w:val="sr-Latn-ME"/>
        </w:rPr>
        <w:t>Tabela </w:t>
      </w:r>
      <w:r w:rsidR="006911D2" w:rsidRPr="005474B2">
        <w:rPr>
          <w:b/>
          <w:lang w:val="sr-Latn-ME"/>
        </w:rPr>
        <w:t>11</w:t>
      </w:r>
      <w:r w:rsidRPr="005474B2">
        <w:rPr>
          <w:b/>
          <w:lang w:val="sr-Latn-ME"/>
        </w:rPr>
        <w:tab/>
        <w:t>Klinički odgovor u MAXIMISE ispitivanju u 12. nedjelji</w:t>
      </w:r>
    </w:p>
    <w:p w14:paraId="2F8FD101" w14:textId="77777777" w:rsidR="00AA6D7D" w:rsidRPr="005474B2" w:rsidRDefault="00AA6D7D">
      <w:pPr>
        <w:pStyle w:val="BodyText0"/>
        <w:jc w:val="both"/>
        <w:rPr>
          <w:lang w:val="sr-Latn-ME"/>
        </w:rPr>
      </w:pPr>
    </w:p>
    <w:tbl>
      <w:tblPr>
        <w:tblStyle w:val="TableGrid"/>
        <w:tblW w:w="4552" w:type="pct"/>
        <w:tblLook w:val="04A0" w:firstRow="1" w:lastRow="0" w:firstColumn="1" w:lastColumn="0" w:noHBand="0" w:noVBand="1"/>
      </w:tblPr>
      <w:tblGrid>
        <w:gridCol w:w="2051"/>
        <w:gridCol w:w="2080"/>
        <w:gridCol w:w="2252"/>
        <w:gridCol w:w="1879"/>
      </w:tblGrid>
      <w:tr w:rsidR="00AA6D7D" w:rsidRPr="0009637B" w14:paraId="7462AEA8" w14:textId="77777777" w:rsidTr="00114691">
        <w:tc>
          <w:tcPr>
            <w:tcW w:w="1241" w:type="pct"/>
          </w:tcPr>
          <w:p w14:paraId="3B51CE08" w14:textId="77777777" w:rsidR="00AA6D7D" w:rsidRPr="005474B2" w:rsidRDefault="00AA6D7D">
            <w:pPr>
              <w:pStyle w:val="BodyText0"/>
              <w:jc w:val="both"/>
              <w:rPr>
                <w:lang w:val="sr-Latn-ME"/>
              </w:rPr>
            </w:pPr>
          </w:p>
        </w:tc>
        <w:tc>
          <w:tcPr>
            <w:tcW w:w="1259" w:type="pct"/>
          </w:tcPr>
          <w:p w14:paraId="4C59EB5D" w14:textId="77777777" w:rsidR="00AA6D7D" w:rsidRPr="005474B2" w:rsidRDefault="00AA6D7D">
            <w:pPr>
              <w:pStyle w:val="BodyText0"/>
              <w:jc w:val="both"/>
              <w:rPr>
                <w:b/>
                <w:lang w:val="sr-Latn-ME"/>
              </w:rPr>
            </w:pPr>
            <w:r w:rsidRPr="005474B2">
              <w:rPr>
                <w:b/>
                <w:lang w:val="sr-Latn-ME"/>
              </w:rPr>
              <w:t>Placebo</w:t>
            </w:r>
          </w:p>
          <w:p w14:paraId="30A71C30" w14:textId="77777777" w:rsidR="00AA6D7D" w:rsidRPr="005474B2" w:rsidRDefault="00AA6D7D">
            <w:pPr>
              <w:pStyle w:val="BodyText0"/>
              <w:jc w:val="both"/>
              <w:rPr>
                <w:b/>
                <w:lang w:val="sr-Latn-ME"/>
              </w:rPr>
            </w:pPr>
            <w:r w:rsidRPr="005474B2">
              <w:rPr>
                <w:b/>
                <w:lang w:val="sr-Latn-ME"/>
              </w:rPr>
              <w:t>(n=164)</w:t>
            </w:r>
          </w:p>
        </w:tc>
        <w:tc>
          <w:tcPr>
            <w:tcW w:w="1363" w:type="pct"/>
          </w:tcPr>
          <w:p w14:paraId="15F12945" w14:textId="77777777" w:rsidR="00AA6D7D" w:rsidRPr="005474B2" w:rsidRDefault="00AA6D7D">
            <w:pPr>
              <w:pStyle w:val="BodyText0"/>
              <w:jc w:val="both"/>
              <w:rPr>
                <w:b/>
                <w:lang w:val="sr-Latn-ME"/>
              </w:rPr>
            </w:pPr>
            <w:r w:rsidRPr="005474B2">
              <w:rPr>
                <w:b/>
                <w:lang w:val="sr-Latn-ME"/>
              </w:rPr>
              <w:t>150 mg</w:t>
            </w:r>
          </w:p>
          <w:p w14:paraId="5FC8E8A6" w14:textId="77777777" w:rsidR="00AA6D7D" w:rsidRPr="005474B2" w:rsidRDefault="00AA6D7D">
            <w:pPr>
              <w:pStyle w:val="BodyText0"/>
              <w:jc w:val="both"/>
              <w:rPr>
                <w:b/>
                <w:lang w:val="sr-Latn-ME"/>
              </w:rPr>
            </w:pPr>
            <w:r w:rsidRPr="005474B2">
              <w:rPr>
                <w:b/>
                <w:lang w:val="sr-Latn-ME"/>
              </w:rPr>
              <w:t>(n=157)</w:t>
            </w:r>
          </w:p>
        </w:tc>
        <w:tc>
          <w:tcPr>
            <w:tcW w:w="1136" w:type="pct"/>
          </w:tcPr>
          <w:p w14:paraId="39920511" w14:textId="77777777" w:rsidR="00AA6D7D" w:rsidRPr="005474B2" w:rsidRDefault="00AA6D7D">
            <w:pPr>
              <w:pStyle w:val="BodyText0"/>
              <w:jc w:val="both"/>
              <w:rPr>
                <w:b/>
                <w:lang w:val="sr-Latn-ME"/>
              </w:rPr>
            </w:pPr>
            <w:r w:rsidRPr="005474B2">
              <w:rPr>
                <w:b/>
                <w:lang w:val="sr-Latn-ME"/>
              </w:rPr>
              <w:t>300 mg</w:t>
            </w:r>
          </w:p>
          <w:p w14:paraId="31D93212" w14:textId="77777777" w:rsidR="00AA6D7D" w:rsidRPr="005474B2" w:rsidRDefault="00AA6D7D">
            <w:pPr>
              <w:pStyle w:val="BodyText0"/>
              <w:jc w:val="both"/>
              <w:rPr>
                <w:b/>
                <w:lang w:val="sr-Latn-ME"/>
              </w:rPr>
            </w:pPr>
            <w:r w:rsidRPr="005474B2">
              <w:rPr>
                <w:b/>
                <w:lang w:val="sr-Latn-ME"/>
              </w:rPr>
              <w:t>(n=164)</w:t>
            </w:r>
          </w:p>
        </w:tc>
      </w:tr>
      <w:tr w:rsidR="00AA6D7D" w:rsidRPr="0009637B" w14:paraId="4B522F2E" w14:textId="77777777" w:rsidTr="00114691">
        <w:tc>
          <w:tcPr>
            <w:tcW w:w="1241" w:type="pct"/>
          </w:tcPr>
          <w:p w14:paraId="08D3663C" w14:textId="77777777" w:rsidR="00AA6D7D" w:rsidRPr="005474B2" w:rsidRDefault="00AA6D7D" w:rsidP="0009637B">
            <w:pPr>
              <w:pStyle w:val="BodyText0"/>
              <w:jc w:val="both"/>
              <w:rPr>
                <w:lang w:val="sr-Latn-ME"/>
              </w:rPr>
            </w:pPr>
            <w:r w:rsidRPr="005474B2">
              <w:rPr>
                <w:lang w:val="sr-Latn-ME"/>
              </w:rPr>
              <w:t>ASAS 20 odgovor, %</w:t>
            </w:r>
          </w:p>
          <w:p w14:paraId="3105C15F" w14:textId="77777777" w:rsidR="00AA6D7D" w:rsidRPr="005474B2" w:rsidRDefault="00AA6D7D" w:rsidP="0009637B">
            <w:pPr>
              <w:pStyle w:val="BodyText0"/>
              <w:jc w:val="both"/>
              <w:rPr>
                <w:lang w:val="sr-Latn-ME"/>
              </w:rPr>
            </w:pPr>
            <w:r w:rsidRPr="005474B2">
              <w:rPr>
                <w:lang w:val="sr-Latn-ME"/>
              </w:rPr>
              <w:t>(95% CI)</w:t>
            </w:r>
          </w:p>
        </w:tc>
        <w:tc>
          <w:tcPr>
            <w:tcW w:w="1259" w:type="pct"/>
          </w:tcPr>
          <w:p w14:paraId="44D82E7B" w14:textId="77777777" w:rsidR="00AA6D7D" w:rsidRPr="005474B2" w:rsidRDefault="00AA6D7D">
            <w:pPr>
              <w:pStyle w:val="BodyText0"/>
              <w:jc w:val="both"/>
              <w:rPr>
                <w:lang w:val="sr-Latn-ME"/>
              </w:rPr>
            </w:pPr>
            <w:r w:rsidRPr="005474B2">
              <w:rPr>
                <w:lang w:val="sr-Latn-ME"/>
              </w:rPr>
              <w:t>31,2 (24,6; 38,7)</w:t>
            </w:r>
          </w:p>
        </w:tc>
        <w:tc>
          <w:tcPr>
            <w:tcW w:w="1363" w:type="pct"/>
          </w:tcPr>
          <w:p w14:paraId="347BFDC6" w14:textId="77777777" w:rsidR="00AA6D7D" w:rsidRPr="005474B2" w:rsidRDefault="00AA6D7D">
            <w:pPr>
              <w:pStyle w:val="BodyText0"/>
              <w:jc w:val="both"/>
              <w:rPr>
                <w:lang w:val="sr-Latn-ME"/>
              </w:rPr>
            </w:pPr>
            <w:r w:rsidRPr="005474B2">
              <w:rPr>
                <w:lang w:val="sr-Latn-ME"/>
              </w:rPr>
              <w:t>66,3 (58,4; 73,3)*</w:t>
            </w:r>
          </w:p>
        </w:tc>
        <w:tc>
          <w:tcPr>
            <w:tcW w:w="1136" w:type="pct"/>
          </w:tcPr>
          <w:p w14:paraId="13C36DA6" w14:textId="77777777" w:rsidR="00AA6D7D" w:rsidRPr="005474B2" w:rsidRDefault="00AA6D7D">
            <w:pPr>
              <w:pStyle w:val="BodyText0"/>
              <w:jc w:val="both"/>
              <w:rPr>
                <w:lang w:val="sr-Latn-ME"/>
              </w:rPr>
            </w:pPr>
            <w:r w:rsidRPr="005474B2">
              <w:rPr>
                <w:lang w:val="sr-Latn-ME"/>
              </w:rPr>
              <w:t>62,9 (55,2; 70,0)*</w:t>
            </w:r>
          </w:p>
        </w:tc>
      </w:tr>
      <w:tr w:rsidR="00AA6D7D" w:rsidRPr="0009637B" w14:paraId="51BBECB8" w14:textId="77777777" w:rsidTr="00114691">
        <w:tc>
          <w:tcPr>
            <w:tcW w:w="1241" w:type="pct"/>
          </w:tcPr>
          <w:p w14:paraId="2AE8C231" w14:textId="77777777" w:rsidR="00AA6D7D" w:rsidRPr="005474B2" w:rsidRDefault="00AA6D7D" w:rsidP="0009637B">
            <w:pPr>
              <w:pStyle w:val="BodyText0"/>
              <w:jc w:val="both"/>
              <w:rPr>
                <w:lang w:val="sr-Latn-ME"/>
              </w:rPr>
            </w:pPr>
            <w:r w:rsidRPr="005474B2">
              <w:rPr>
                <w:lang w:val="sr-Latn-ME"/>
              </w:rPr>
              <w:t>ASAS 40 odgovor, %</w:t>
            </w:r>
          </w:p>
          <w:p w14:paraId="3E6E9A68" w14:textId="77777777" w:rsidR="00AA6D7D" w:rsidRPr="005474B2" w:rsidRDefault="00AA6D7D" w:rsidP="0009637B">
            <w:pPr>
              <w:pStyle w:val="BodyText0"/>
              <w:jc w:val="both"/>
              <w:rPr>
                <w:lang w:val="sr-Latn-ME"/>
              </w:rPr>
            </w:pPr>
            <w:r w:rsidRPr="005474B2">
              <w:rPr>
                <w:lang w:val="sr-Latn-ME"/>
              </w:rPr>
              <w:t>(95% CI)</w:t>
            </w:r>
          </w:p>
        </w:tc>
        <w:tc>
          <w:tcPr>
            <w:tcW w:w="1259" w:type="pct"/>
          </w:tcPr>
          <w:p w14:paraId="342661FF" w14:textId="77777777" w:rsidR="00AA6D7D" w:rsidRPr="005474B2" w:rsidRDefault="00AA6D7D">
            <w:pPr>
              <w:pStyle w:val="BodyText0"/>
              <w:jc w:val="both"/>
              <w:rPr>
                <w:lang w:val="sr-Latn-ME"/>
              </w:rPr>
            </w:pPr>
            <w:r w:rsidRPr="005474B2">
              <w:rPr>
                <w:lang w:val="sr-Latn-ME"/>
              </w:rPr>
              <w:t>12,2 (7,8; 18,4)</w:t>
            </w:r>
          </w:p>
        </w:tc>
        <w:tc>
          <w:tcPr>
            <w:tcW w:w="1363" w:type="pct"/>
          </w:tcPr>
          <w:p w14:paraId="3F8A41CA" w14:textId="77777777" w:rsidR="00AA6D7D" w:rsidRPr="005474B2" w:rsidRDefault="00AA6D7D">
            <w:pPr>
              <w:pStyle w:val="BodyText0"/>
              <w:jc w:val="both"/>
              <w:rPr>
                <w:lang w:val="sr-Latn-ME"/>
              </w:rPr>
            </w:pPr>
            <w:r w:rsidRPr="005474B2">
              <w:rPr>
                <w:lang w:val="sr-Latn-ME"/>
              </w:rPr>
              <w:t>39,5 (32,1; 47,4)**</w:t>
            </w:r>
          </w:p>
        </w:tc>
        <w:tc>
          <w:tcPr>
            <w:tcW w:w="1136" w:type="pct"/>
          </w:tcPr>
          <w:p w14:paraId="360AA72B" w14:textId="77777777" w:rsidR="00AA6D7D" w:rsidRPr="005474B2" w:rsidRDefault="00AA6D7D">
            <w:pPr>
              <w:pStyle w:val="BodyText0"/>
              <w:jc w:val="both"/>
              <w:rPr>
                <w:lang w:val="sr-Latn-ME"/>
              </w:rPr>
            </w:pPr>
            <w:r w:rsidRPr="005474B2">
              <w:rPr>
                <w:lang w:val="sr-Latn-ME"/>
              </w:rPr>
              <w:t>43,6 (36,2; 51,3)**</w:t>
            </w:r>
          </w:p>
        </w:tc>
      </w:tr>
      <w:tr w:rsidR="00AA6D7D" w:rsidRPr="0009637B" w14:paraId="4EBF3978" w14:textId="77777777" w:rsidTr="00114691">
        <w:tc>
          <w:tcPr>
            <w:tcW w:w="1241" w:type="pct"/>
          </w:tcPr>
          <w:p w14:paraId="31752F5A" w14:textId="77777777" w:rsidR="00AA6D7D" w:rsidRPr="005474B2" w:rsidRDefault="00AA6D7D" w:rsidP="0009637B">
            <w:pPr>
              <w:pStyle w:val="BodyText0"/>
              <w:jc w:val="both"/>
              <w:rPr>
                <w:lang w:val="sr-Latn-ME"/>
              </w:rPr>
            </w:pPr>
            <w:r w:rsidRPr="005474B2">
              <w:rPr>
                <w:lang w:val="sr-Latn-ME"/>
              </w:rPr>
              <w:t>BASDAI 50, %</w:t>
            </w:r>
          </w:p>
          <w:p w14:paraId="77A667BC" w14:textId="77777777" w:rsidR="00AA6D7D" w:rsidRPr="005474B2" w:rsidRDefault="00AA6D7D" w:rsidP="0009637B">
            <w:pPr>
              <w:pStyle w:val="BodyText0"/>
              <w:jc w:val="both"/>
              <w:rPr>
                <w:lang w:val="sr-Latn-ME"/>
              </w:rPr>
            </w:pPr>
            <w:r w:rsidRPr="005474B2">
              <w:rPr>
                <w:lang w:val="sr-Latn-ME"/>
              </w:rPr>
              <w:t>(95% CI)</w:t>
            </w:r>
          </w:p>
        </w:tc>
        <w:tc>
          <w:tcPr>
            <w:tcW w:w="1259" w:type="pct"/>
          </w:tcPr>
          <w:p w14:paraId="45E6818C" w14:textId="77777777" w:rsidR="00AA6D7D" w:rsidRPr="005474B2" w:rsidRDefault="00AA6D7D">
            <w:pPr>
              <w:pStyle w:val="BodyText0"/>
              <w:jc w:val="both"/>
              <w:rPr>
                <w:lang w:val="sr-Latn-ME"/>
              </w:rPr>
            </w:pPr>
            <w:r w:rsidRPr="005474B2">
              <w:rPr>
                <w:lang w:val="sr-Latn-ME"/>
              </w:rPr>
              <w:t>9,8 (5,9; 15,6)</w:t>
            </w:r>
          </w:p>
        </w:tc>
        <w:tc>
          <w:tcPr>
            <w:tcW w:w="1363" w:type="pct"/>
          </w:tcPr>
          <w:p w14:paraId="3704A137" w14:textId="77777777" w:rsidR="00AA6D7D" w:rsidRPr="005474B2" w:rsidRDefault="00AA6D7D">
            <w:pPr>
              <w:pStyle w:val="BodyText0"/>
              <w:jc w:val="both"/>
              <w:rPr>
                <w:lang w:val="sr-Latn-ME"/>
              </w:rPr>
            </w:pPr>
            <w:r w:rsidRPr="005474B2">
              <w:rPr>
                <w:lang w:val="sr-Latn-ME"/>
              </w:rPr>
              <w:t>32,7 (25,8; 40,5)**</w:t>
            </w:r>
          </w:p>
        </w:tc>
        <w:tc>
          <w:tcPr>
            <w:tcW w:w="1136" w:type="pct"/>
          </w:tcPr>
          <w:p w14:paraId="47A98E27" w14:textId="77777777" w:rsidR="00AA6D7D" w:rsidRPr="005474B2" w:rsidRDefault="00AA6D7D">
            <w:pPr>
              <w:pStyle w:val="BodyText0"/>
              <w:jc w:val="both"/>
              <w:rPr>
                <w:lang w:val="sr-Latn-ME"/>
              </w:rPr>
            </w:pPr>
            <w:r w:rsidRPr="005474B2">
              <w:rPr>
                <w:lang w:val="sr-Latn-ME"/>
              </w:rPr>
              <w:t>37,4 (30,1; 45,4)**</w:t>
            </w:r>
          </w:p>
        </w:tc>
      </w:tr>
      <w:tr w:rsidR="00AA6D7D" w:rsidRPr="0009637B" w14:paraId="0253127B" w14:textId="77777777" w:rsidTr="00114691">
        <w:tc>
          <w:tcPr>
            <w:tcW w:w="1241" w:type="pct"/>
          </w:tcPr>
          <w:p w14:paraId="190C9F7E" w14:textId="763E64AB" w:rsidR="00AA6D7D" w:rsidRPr="005474B2" w:rsidRDefault="00AA6D7D" w:rsidP="0009637B">
            <w:pPr>
              <w:pStyle w:val="BodyText0"/>
              <w:jc w:val="both"/>
              <w:rPr>
                <w:lang w:val="sr-Latn-ME"/>
              </w:rPr>
            </w:pPr>
            <w:r w:rsidRPr="005474B2">
              <w:rPr>
                <w:lang w:val="sr-Latn-ME"/>
              </w:rPr>
              <w:t>Spinaln</w:t>
            </w:r>
            <w:r w:rsidR="00E228A4" w:rsidRPr="005474B2">
              <w:rPr>
                <w:lang w:val="sr-Latn-ME"/>
              </w:rPr>
              <w:t>i</w:t>
            </w:r>
            <w:r w:rsidRPr="005474B2">
              <w:rPr>
                <w:lang w:val="sr-Latn-ME"/>
              </w:rPr>
              <w:t xml:space="preserve"> bol, VAS</w:t>
            </w:r>
          </w:p>
          <w:p w14:paraId="144F51A9" w14:textId="77777777" w:rsidR="00AA6D7D" w:rsidRPr="005474B2" w:rsidRDefault="00AA6D7D" w:rsidP="0009637B">
            <w:pPr>
              <w:pStyle w:val="BodyText0"/>
              <w:jc w:val="both"/>
              <w:rPr>
                <w:lang w:val="sr-Latn-ME"/>
              </w:rPr>
            </w:pPr>
            <w:r w:rsidRPr="005474B2">
              <w:rPr>
                <w:lang w:val="sr-Latn-ME"/>
              </w:rPr>
              <w:lastRenderedPageBreak/>
              <w:t>(95% CI)</w:t>
            </w:r>
          </w:p>
        </w:tc>
        <w:tc>
          <w:tcPr>
            <w:tcW w:w="1259" w:type="pct"/>
          </w:tcPr>
          <w:p w14:paraId="41FC6C4D" w14:textId="77777777" w:rsidR="00AA6D7D" w:rsidRPr="005474B2" w:rsidRDefault="00AA6D7D">
            <w:pPr>
              <w:pStyle w:val="BodyText0"/>
              <w:jc w:val="both"/>
              <w:rPr>
                <w:lang w:val="sr-Latn-ME"/>
              </w:rPr>
            </w:pPr>
            <w:r w:rsidRPr="005474B2">
              <w:rPr>
                <w:lang w:val="sr-Latn-ME"/>
              </w:rPr>
              <w:lastRenderedPageBreak/>
              <w:t>-13,6 (-17,2; -10,0)</w:t>
            </w:r>
          </w:p>
        </w:tc>
        <w:tc>
          <w:tcPr>
            <w:tcW w:w="1363" w:type="pct"/>
          </w:tcPr>
          <w:p w14:paraId="0BD3B0C0" w14:textId="77777777" w:rsidR="00AA6D7D" w:rsidRPr="005474B2" w:rsidRDefault="00AA6D7D">
            <w:pPr>
              <w:pStyle w:val="BodyText0"/>
              <w:jc w:val="both"/>
              <w:rPr>
                <w:lang w:val="sr-Latn-ME"/>
              </w:rPr>
            </w:pPr>
            <w:r w:rsidRPr="005474B2">
              <w:rPr>
                <w:lang w:val="sr-Latn-ME"/>
              </w:rPr>
              <w:t>-28,5 (-32,2; -24,8)**</w:t>
            </w:r>
          </w:p>
        </w:tc>
        <w:tc>
          <w:tcPr>
            <w:tcW w:w="1136" w:type="pct"/>
          </w:tcPr>
          <w:p w14:paraId="53306301" w14:textId="77777777" w:rsidR="00AA6D7D" w:rsidRPr="005474B2" w:rsidRDefault="00AA6D7D">
            <w:pPr>
              <w:pStyle w:val="BodyText0"/>
              <w:jc w:val="both"/>
              <w:rPr>
                <w:lang w:val="sr-Latn-ME"/>
              </w:rPr>
            </w:pPr>
            <w:r w:rsidRPr="005474B2">
              <w:rPr>
                <w:lang w:val="sr-Latn-ME"/>
              </w:rPr>
              <w:t>-26,5 (-30,1; -</w:t>
            </w:r>
            <w:r w:rsidRPr="005474B2">
              <w:rPr>
                <w:lang w:val="sr-Latn-ME"/>
              </w:rPr>
              <w:lastRenderedPageBreak/>
              <w:t>22,9)**</w:t>
            </w:r>
          </w:p>
        </w:tc>
      </w:tr>
      <w:tr w:rsidR="00AA6D7D" w:rsidRPr="0009637B" w14:paraId="22D0D2CC" w14:textId="77777777" w:rsidTr="00114691">
        <w:tc>
          <w:tcPr>
            <w:tcW w:w="1241" w:type="pct"/>
          </w:tcPr>
          <w:p w14:paraId="47F8A87D" w14:textId="63EFDACA" w:rsidR="00AA6D7D" w:rsidRPr="005474B2" w:rsidRDefault="00AA6D7D" w:rsidP="0009637B">
            <w:pPr>
              <w:pStyle w:val="BodyText0"/>
              <w:jc w:val="both"/>
              <w:rPr>
                <w:lang w:val="sr-Latn-ME"/>
              </w:rPr>
            </w:pPr>
            <w:r w:rsidRPr="005474B2">
              <w:rPr>
                <w:lang w:val="sr-Latn-ME"/>
              </w:rPr>
              <w:lastRenderedPageBreak/>
              <w:t>T</w:t>
            </w:r>
            <w:r w:rsidR="00E228A4" w:rsidRPr="005474B2">
              <w:rPr>
                <w:lang w:val="sr-Latn-ME"/>
              </w:rPr>
              <w:t>j</w:t>
            </w:r>
            <w:r w:rsidRPr="005474B2">
              <w:rPr>
                <w:lang w:val="sr-Latn-ME"/>
              </w:rPr>
              <w:t>elesna funkcija, HAQ-DI</w:t>
            </w:r>
          </w:p>
          <w:p w14:paraId="296498E8" w14:textId="77777777" w:rsidR="00AA6D7D" w:rsidRPr="005474B2" w:rsidRDefault="00AA6D7D" w:rsidP="0009637B">
            <w:pPr>
              <w:pStyle w:val="BodyText0"/>
              <w:jc w:val="both"/>
              <w:rPr>
                <w:lang w:val="sr-Latn-ME"/>
              </w:rPr>
            </w:pPr>
            <w:r w:rsidRPr="005474B2">
              <w:rPr>
                <w:lang w:val="sr-Latn-ME"/>
              </w:rPr>
              <w:t>(95% CI)</w:t>
            </w:r>
          </w:p>
        </w:tc>
        <w:tc>
          <w:tcPr>
            <w:tcW w:w="1259" w:type="pct"/>
          </w:tcPr>
          <w:p w14:paraId="134AD06E" w14:textId="77777777" w:rsidR="00AA6D7D" w:rsidRPr="005474B2" w:rsidRDefault="00AA6D7D">
            <w:pPr>
              <w:pStyle w:val="BodyText0"/>
              <w:jc w:val="both"/>
              <w:rPr>
                <w:lang w:val="sr-Latn-ME"/>
              </w:rPr>
            </w:pPr>
            <w:r w:rsidRPr="005474B2">
              <w:rPr>
                <w:lang w:val="sr-Latn-ME"/>
              </w:rPr>
              <w:t>-0,155 (-0,224; -0,086)</w:t>
            </w:r>
          </w:p>
        </w:tc>
        <w:tc>
          <w:tcPr>
            <w:tcW w:w="1363" w:type="pct"/>
          </w:tcPr>
          <w:p w14:paraId="382ABEC3" w14:textId="77777777" w:rsidR="00AA6D7D" w:rsidRPr="005474B2" w:rsidRDefault="00AA6D7D">
            <w:pPr>
              <w:pStyle w:val="BodyText0"/>
              <w:jc w:val="both"/>
              <w:rPr>
                <w:lang w:val="sr-Latn-ME"/>
              </w:rPr>
            </w:pPr>
            <w:r w:rsidRPr="005474B2">
              <w:rPr>
                <w:lang w:val="sr-Latn-ME"/>
              </w:rPr>
              <w:t xml:space="preserve">-0,330 (-0,401; </w:t>
            </w:r>
            <w:r w:rsidRPr="005474B2">
              <w:rPr>
                <w:lang w:val="sr-Latn-ME"/>
              </w:rPr>
              <w:br/>
              <w:t>-0,259)**</w:t>
            </w:r>
          </w:p>
        </w:tc>
        <w:tc>
          <w:tcPr>
            <w:tcW w:w="1136" w:type="pct"/>
          </w:tcPr>
          <w:p w14:paraId="5AE51E86" w14:textId="77777777" w:rsidR="00AA6D7D" w:rsidRPr="005474B2" w:rsidRDefault="00AA6D7D">
            <w:pPr>
              <w:pStyle w:val="BodyText0"/>
              <w:jc w:val="both"/>
              <w:rPr>
                <w:lang w:val="sr-Latn-ME"/>
              </w:rPr>
            </w:pPr>
            <w:r w:rsidRPr="005474B2">
              <w:rPr>
                <w:lang w:val="sr-Latn-ME"/>
              </w:rPr>
              <w:t xml:space="preserve">-0,389 (-0,458; </w:t>
            </w:r>
            <w:r w:rsidRPr="005474B2">
              <w:rPr>
                <w:lang w:val="sr-Latn-ME"/>
              </w:rPr>
              <w:br/>
              <w:t>-0,320)**</w:t>
            </w:r>
          </w:p>
        </w:tc>
      </w:tr>
      <w:tr w:rsidR="00AA6D7D" w:rsidRPr="0009637B" w14:paraId="44FFF8CB" w14:textId="77777777" w:rsidTr="00114691">
        <w:tc>
          <w:tcPr>
            <w:tcW w:w="5000" w:type="pct"/>
            <w:gridSpan w:val="4"/>
          </w:tcPr>
          <w:p w14:paraId="4033A6F7" w14:textId="77777777" w:rsidR="00AA6D7D" w:rsidRPr="005474B2" w:rsidRDefault="00AA6D7D" w:rsidP="0009637B">
            <w:pPr>
              <w:pStyle w:val="BodyText0"/>
              <w:jc w:val="both"/>
              <w:rPr>
                <w:lang w:val="sr-Latn-ME"/>
              </w:rPr>
            </w:pPr>
            <w:r w:rsidRPr="005474B2">
              <w:rPr>
                <w:lang w:val="sr-Latn-ME"/>
              </w:rPr>
              <w:t>* p&lt;0,0001; u odnosu na placebo koristeći višestruku imputaciju.</w:t>
            </w:r>
          </w:p>
          <w:p w14:paraId="189916D1" w14:textId="77777777" w:rsidR="00AA6D7D" w:rsidRPr="005474B2" w:rsidRDefault="00AA6D7D" w:rsidP="0009637B">
            <w:pPr>
              <w:pStyle w:val="BodyText0"/>
              <w:jc w:val="both"/>
              <w:rPr>
                <w:lang w:val="sr-Latn-ME"/>
              </w:rPr>
            </w:pPr>
            <w:r w:rsidRPr="005474B2">
              <w:rPr>
                <w:lang w:val="sr-Latn-ME"/>
              </w:rPr>
              <w:t>** Poređenje u odnosu na placebo nije bilo prilagođeno za višestrukost.</w:t>
            </w:r>
          </w:p>
          <w:p w14:paraId="440D1589" w14:textId="77777777" w:rsidR="00AA6D7D" w:rsidRPr="005474B2" w:rsidRDefault="00AA6D7D">
            <w:pPr>
              <w:pStyle w:val="BodyText0"/>
              <w:jc w:val="both"/>
              <w:rPr>
                <w:lang w:val="sr-Latn-ME"/>
              </w:rPr>
            </w:pPr>
            <w:r w:rsidRPr="005474B2">
              <w:rPr>
                <w:lang w:val="sr-Latn-ME"/>
              </w:rPr>
              <w:t>ASAS: kriterijumi Međunarodnog društva za procjenu spondiloartritisa; BASDAI: </w:t>
            </w:r>
            <w:r w:rsidRPr="005474B2">
              <w:rPr>
                <w:i/>
                <w:lang w:val="sr-Latn-ME"/>
              </w:rPr>
              <w:t>Bath</w:t>
            </w:r>
            <w:r w:rsidRPr="005474B2">
              <w:rPr>
                <w:lang w:val="sr-Latn-ME"/>
              </w:rPr>
              <w:t xml:space="preserve"> indeks aktivnosti ankilozirajućeg spondilitisa; VAS: vizuelno analogna skala; HAQ-DI: Upitnik za procjenu zdravlja – Indeks onesposobljenosti.</w:t>
            </w:r>
          </w:p>
        </w:tc>
      </w:tr>
    </w:tbl>
    <w:p w14:paraId="2AF85D49" w14:textId="77777777" w:rsidR="00AA6D7D" w:rsidRPr="005474B2" w:rsidRDefault="00AA6D7D" w:rsidP="0009637B">
      <w:pPr>
        <w:pStyle w:val="BodyText0"/>
        <w:jc w:val="both"/>
        <w:rPr>
          <w:lang w:val="sr-Latn-ME"/>
        </w:rPr>
      </w:pPr>
    </w:p>
    <w:p w14:paraId="151F95AF" w14:textId="022A46FB" w:rsidR="00AA6D7D" w:rsidRPr="005474B2" w:rsidRDefault="00AA6D7D" w:rsidP="0009637B">
      <w:pPr>
        <w:pStyle w:val="BodyText0"/>
        <w:kinsoku w:val="0"/>
        <w:overflowPunct w:val="0"/>
        <w:jc w:val="both"/>
        <w:rPr>
          <w:lang w:val="sr-Latn-ME"/>
        </w:rPr>
      </w:pPr>
      <w:r w:rsidRPr="005474B2">
        <w:rPr>
          <w:lang w:val="sr-Latn-ME"/>
        </w:rPr>
        <w:t>Poboljšanja u ASAS 20 i ASAS 40 za ob</w:t>
      </w:r>
      <w:r w:rsidR="00E228A4" w:rsidRPr="005474B2">
        <w:rPr>
          <w:lang w:val="sr-Latn-ME"/>
        </w:rPr>
        <w:t>j</w:t>
      </w:r>
      <w:r w:rsidRPr="005474B2">
        <w:rPr>
          <w:lang w:val="sr-Latn-ME"/>
        </w:rPr>
        <w:t>e doze sekukinumaba uočene su do 4. nedjelje i održale su se do 52. nedjelje.</w:t>
      </w:r>
    </w:p>
    <w:p w14:paraId="05D89827" w14:textId="77777777" w:rsidR="00AA6D7D" w:rsidRPr="005474B2" w:rsidRDefault="00AA6D7D">
      <w:pPr>
        <w:autoSpaceDE w:val="0"/>
        <w:autoSpaceDN w:val="0"/>
        <w:adjustRightInd w:val="0"/>
        <w:jc w:val="both"/>
        <w:rPr>
          <w:sz w:val="22"/>
          <w:szCs w:val="22"/>
          <w:lang w:val="sr-Latn-ME"/>
        </w:rPr>
      </w:pPr>
    </w:p>
    <w:p w14:paraId="3C354464" w14:textId="77777777" w:rsidR="007D7CE1" w:rsidRPr="005474B2" w:rsidRDefault="007D7CE1">
      <w:pPr>
        <w:autoSpaceDE w:val="0"/>
        <w:autoSpaceDN w:val="0"/>
        <w:adjustRightInd w:val="0"/>
        <w:jc w:val="both"/>
        <w:rPr>
          <w:sz w:val="22"/>
          <w:szCs w:val="22"/>
          <w:lang w:val="sr-Latn-ME"/>
        </w:rPr>
      </w:pPr>
      <w:r w:rsidRPr="005474B2">
        <w:rPr>
          <w:i/>
          <w:sz w:val="22"/>
          <w:szCs w:val="22"/>
          <w:lang w:val="sr-Latn-ME"/>
        </w:rPr>
        <w:t>Fizičke funkcije i kvalitet života povezan sa zdravljem</w:t>
      </w:r>
    </w:p>
    <w:p w14:paraId="628D769C" w14:textId="72658BA0" w:rsidR="007D7CE1" w:rsidRPr="005474B2" w:rsidRDefault="007D7CE1">
      <w:pPr>
        <w:autoSpaceDE w:val="0"/>
        <w:autoSpaceDN w:val="0"/>
        <w:adjustRightInd w:val="0"/>
        <w:jc w:val="both"/>
        <w:rPr>
          <w:sz w:val="22"/>
          <w:szCs w:val="22"/>
          <w:lang w:val="sr-Latn-ME"/>
        </w:rPr>
      </w:pPr>
      <w:r w:rsidRPr="005474B2">
        <w:rPr>
          <w:sz w:val="22"/>
          <w:szCs w:val="22"/>
          <w:lang w:val="sr-Latn-ME"/>
        </w:rPr>
        <w:t>U PsA studiji 2 i PsA studiji 3, pacijenti na terapiji sekukinumabom</w:t>
      </w:r>
      <w:r w:rsidR="00E228A4" w:rsidRPr="005474B2">
        <w:rPr>
          <w:sz w:val="22"/>
          <w:szCs w:val="22"/>
          <w:lang w:val="sr-Latn-ME"/>
        </w:rPr>
        <w:t xml:space="preserve"> </w:t>
      </w:r>
      <w:r w:rsidRPr="005474B2">
        <w:rPr>
          <w:sz w:val="22"/>
          <w:szCs w:val="22"/>
          <w:lang w:val="sr-Latn-ME"/>
        </w:rPr>
        <w:t>150 mg (p=0,0555 i p&lt;0,0001) i 300 mg (p=0,0040 i p&lt;0,0001) su pokazali poboljšanje u fizičkim funkcijama u poređenju sa pacijentima na placebu, što je proc</w:t>
      </w:r>
      <w:r w:rsidR="00E228A4" w:rsidRPr="005474B2">
        <w:rPr>
          <w:sz w:val="22"/>
          <w:szCs w:val="22"/>
          <w:lang w:val="sr-Latn-ME"/>
        </w:rPr>
        <w:t>ij</w:t>
      </w:r>
      <w:r w:rsidRPr="005474B2">
        <w:rPr>
          <w:sz w:val="22"/>
          <w:szCs w:val="22"/>
          <w:lang w:val="sr-Latn-ME"/>
        </w:rPr>
        <w:t xml:space="preserve">enjeno Upitnikom za </w:t>
      </w:r>
      <w:r w:rsidR="00C41FCA" w:rsidRPr="005474B2">
        <w:rPr>
          <w:sz w:val="22"/>
          <w:szCs w:val="22"/>
          <w:lang w:val="sr-Latn-ME"/>
        </w:rPr>
        <w:t>procjenu</w:t>
      </w:r>
      <w:r w:rsidRPr="005474B2">
        <w:rPr>
          <w:sz w:val="22"/>
          <w:szCs w:val="22"/>
          <w:lang w:val="sr-Latn-ME"/>
        </w:rPr>
        <w:t xml:space="preserve"> zdravlja – Indeksom onesposobljenosti (HAQ-DI, engl. </w:t>
      </w:r>
      <w:r w:rsidRPr="005474B2">
        <w:rPr>
          <w:i/>
          <w:iCs/>
          <w:sz w:val="22"/>
          <w:szCs w:val="22"/>
          <w:lang w:val="sr-Latn-ME"/>
        </w:rPr>
        <w:t>Health Assessment Questionnaire Disability Index</w:t>
      </w:r>
      <w:r w:rsidRPr="005474B2">
        <w:rPr>
          <w:sz w:val="22"/>
          <w:szCs w:val="22"/>
          <w:lang w:val="sr-Latn-ME"/>
        </w:rPr>
        <w:t xml:space="preserve">) u 24. </w:t>
      </w:r>
      <w:r w:rsidR="009A4880" w:rsidRPr="005474B2">
        <w:rPr>
          <w:sz w:val="22"/>
          <w:szCs w:val="22"/>
          <w:lang w:val="sr-Latn-ME"/>
        </w:rPr>
        <w:t>nedjelj</w:t>
      </w:r>
      <w:r w:rsidRPr="005474B2">
        <w:rPr>
          <w:sz w:val="22"/>
          <w:szCs w:val="22"/>
          <w:lang w:val="sr-Latn-ME"/>
        </w:rPr>
        <w:t xml:space="preserve">i odnosno 16. </w:t>
      </w:r>
      <w:r w:rsidR="009A4880" w:rsidRPr="005474B2">
        <w:rPr>
          <w:sz w:val="22"/>
          <w:szCs w:val="22"/>
          <w:lang w:val="sr-Latn-ME"/>
        </w:rPr>
        <w:t>nedjelj</w:t>
      </w:r>
      <w:r w:rsidRPr="005474B2">
        <w:rPr>
          <w:sz w:val="22"/>
          <w:szCs w:val="22"/>
          <w:lang w:val="sr-Latn-ME"/>
        </w:rPr>
        <w:t>i. Poboljšanja u HAQ DI rezultatu su uočena nezavisno od prethodne izloženosti anti-TNFα. Slični odgovori su uočeni u studiji 1 sa PsA.</w:t>
      </w:r>
    </w:p>
    <w:p w14:paraId="680C270B" w14:textId="77777777" w:rsidR="007D7CE1" w:rsidRPr="005474B2" w:rsidRDefault="007D7CE1">
      <w:pPr>
        <w:autoSpaceDE w:val="0"/>
        <w:autoSpaceDN w:val="0"/>
        <w:adjustRightInd w:val="0"/>
        <w:jc w:val="both"/>
        <w:rPr>
          <w:sz w:val="22"/>
          <w:szCs w:val="22"/>
          <w:lang w:val="sr-Latn-ME"/>
        </w:rPr>
      </w:pPr>
    </w:p>
    <w:p w14:paraId="3542D22C" w14:textId="33310E40"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Pacijenti na terapiji </w:t>
      </w:r>
      <w:r w:rsidR="00C32DC7" w:rsidRPr="005474B2">
        <w:rPr>
          <w:sz w:val="22"/>
          <w:szCs w:val="22"/>
          <w:lang w:val="sr-Latn-ME"/>
        </w:rPr>
        <w:t>sekukinumabom</w:t>
      </w:r>
      <w:r w:rsidRPr="005474B2">
        <w:rPr>
          <w:sz w:val="22"/>
          <w:szCs w:val="22"/>
          <w:lang w:val="sr-Latn-ME"/>
        </w:rPr>
        <w:t xml:space="preserve"> su prijavili značajno poboljšanje kvaliteta života povezanog sa zdravljem m</w:t>
      </w:r>
      <w:r w:rsidR="00E228A4" w:rsidRPr="005474B2">
        <w:rPr>
          <w:sz w:val="22"/>
          <w:szCs w:val="22"/>
          <w:lang w:val="sr-Latn-ME"/>
        </w:rPr>
        <w:t>j</w:t>
      </w:r>
      <w:r w:rsidRPr="005474B2">
        <w:rPr>
          <w:sz w:val="22"/>
          <w:szCs w:val="22"/>
          <w:lang w:val="sr-Latn-ME"/>
        </w:rPr>
        <w:t xml:space="preserve">ereno skorom zbirne komponente fizičkog zdravlja u kratkom Upitniku-36 za </w:t>
      </w:r>
      <w:r w:rsidR="00C41FCA" w:rsidRPr="005474B2">
        <w:rPr>
          <w:sz w:val="22"/>
          <w:szCs w:val="22"/>
          <w:lang w:val="sr-Latn-ME"/>
        </w:rPr>
        <w:t>procjenu</w:t>
      </w:r>
      <w:r w:rsidRPr="005474B2">
        <w:rPr>
          <w:sz w:val="22"/>
          <w:szCs w:val="22"/>
          <w:lang w:val="sr-Latn-ME"/>
        </w:rPr>
        <w:t xml:space="preserve"> zdravlja (SF-36 PCS , engl. </w:t>
      </w:r>
      <w:r w:rsidRPr="005474B2">
        <w:rPr>
          <w:i/>
          <w:iCs/>
          <w:sz w:val="22"/>
          <w:szCs w:val="22"/>
          <w:lang w:val="sr-Latn-ME"/>
        </w:rPr>
        <w:t>Short Form-36 Health Survey Physical Component Summary</w:t>
      </w:r>
      <w:r w:rsidRPr="005474B2">
        <w:rPr>
          <w:sz w:val="22"/>
          <w:szCs w:val="22"/>
          <w:lang w:val="sr-Latn-ME"/>
        </w:rPr>
        <w:t>) (p&lt;0,001). Takođe su pokazana statistički značajna poboljšanja eksploratornih parametara praćenja efikasnosti oc</w:t>
      </w:r>
      <w:r w:rsidR="00E228A4" w:rsidRPr="005474B2">
        <w:rPr>
          <w:sz w:val="22"/>
          <w:szCs w:val="22"/>
          <w:lang w:val="sr-Latn-ME"/>
        </w:rPr>
        <w:t>ij</w:t>
      </w:r>
      <w:r w:rsidRPr="005474B2">
        <w:rPr>
          <w:sz w:val="22"/>
          <w:szCs w:val="22"/>
          <w:lang w:val="sr-Latn-ME"/>
        </w:rPr>
        <w:t xml:space="preserve">enjenih skorom za funkcionalnu </w:t>
      </w:r>
      <w:r w:rsidR="00C41FCA" w:rsidRPr="005474B2">
        <w:rPr>
          <w:sz w:val="22"/>
          <w:szCs w:val="22"/>
          <w:lang w:val="sr-Latn-ME"/>
        </w:rPr>
        <w:t>procjenu</w:t>
      </w:r>
      <w:r w:rsidRPr="005474B2">
        <w:rPr>
          <w:sz w:val="22"/>
          <w:szCs w:val="22"/>
          <w:lang w:val="sr-Latn-ME"/>
        </w:rPr>
        <w:t xml:space="preserve"> umora u hroničnoj terapiji bolesti (FACIT-F, engl. </w:t>
      </w:r>
      <w:r w:rsidRPr="005474B2">
        <w:rPr>
          <w:i/>
          <w:iCs/>
          <w:sz w:val="22"/>
          <w:szCs w:val="22"/>
          <w:lang w:val="sr-Latn-ME"/>
        </w:rPr>
        <w:t>Functional Assessment of Chronic Illness Therapy – Fatigue</w:t>
      </w:r>
      <w:r w:rsidRPr="005474B2">
        <w:rPr>
          <w:sz w:val="22"/>
          <w:szCs w:val="22"/>
          <w:lang w:val="sr-Latn-ME"/>
        </w:rPr>
        <w:t xml:space="preserve">) za 150 mg i 300 mg u poređenju sa placebom (7,97 odnosno 5,97 u odnosu na 1,63) i ova poboljšanja su se održala do 104. </w:t>
      </w:r>
      <w:r w:rsidR="009A4880" w:rsidRPr="005474B2">
        <w:rPr>
          <w:sz w:val="22"/>
          <w:szCs w:val="22"/>
          <w:lang w:val="sr-Latn-ME"/>
        </w:rPr>
        <w:t>nedjelj</w:t>
      </w:r>
      <w:r w:rsidRPr="005474B2">
        <w:rPr>
          <w:sz w:val="22"/>
          <w:szCs w:val="22"/>
          <w:lang w:val="sr-Latn-ME"/>
        </w:rPr>
        <w:t xml:space="preserve">e u PsA studiji 2. </w:t>
      </w:r>
    </w:p>
    <w:p w14:paraId="5F85C184" w14:textId="77777777" w:rsidR="007D7CE1" w:rsidRPr="005474B2" w:rsidRDefault="007D7CE1">
      <w:pPr>
        <w:autoSpaceDE w:val="0"/>
        <w:autoSpaceDN w:val="0"/>
        <w:adjustRightInd w:val="0"/>
        <w:jc w:val="both"/>
        <w:rPr>
          <w:sz w:val="22"/>
          <w:szCs w:val="22"/>
          <w:lang w:val="sr-Latn-ME"/>
        </w:rPr>
      </w:pPr>
    </w:p>
    <w:p w14:paraId="295DD57F" w14:textId="77777777"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Slični odgovori su uočeni u Studiji 1 sa PsA, a efikasnost se održala do 52. </w:t>
      </w:r>
      <w:r w:rsidR="009A4880" w:rsidRPr="005474B2">
        <w:rPr>
          <w:sz w:val="22"/>
          <w:szCs w:val="22"/>
          <w:lang w:val="sr-Latn-ME"/>
        </w:rPr>
        <w:t>nedjelj</w:t>
      </w:r>
      <w:r w:rsidRPr="005474B2">
        <w:rPr>
          <w:sz w:val="22"/>
          <w:szCs w:val="22"/>
          <w:lang w:val="sr-Latn-ME"/>
        </w:rPr>
        <w:t xml:space="preserve">e. </w:t>
      </w:r>
    </w:p>
    <w:p w14:paraId="0FD43C3C" w14:textId="77777777" w:rsidR="007D7CE1" w:rsidRPr="005474B2" w:rsidRDefault="007D7CE1">
      <w:pPr>
        <w:autoSpaceDE w:val="0"/>
        <w:autoSpaceDN w:val="0"/>
        <w:adjustRightInd w:val="0"/>
        <w:jc w:val="both"/>
        <w:rPr>
          <w:sz w:val="22"/>
          <w:szCs w:val="22"/>
          <w:lang w:val="sr-Latn-ME"/>
        </w:rPr>
      </w:pPr>
    </w:p>
    <w:p w14:paraId="5C178E21" w14:textId="77777777" w:rsidR="007D7CE1" w:rsidRPr="005474B2" w:rsidRDefault="007D7CE1">
      <w:pPr>
        <w:autoSpaceDE w:val="0"/>
        <w:autoSpaceDN w:val="0"/>
        <w:adjustRightInd w:val="0"/>
        <w:jc w:val="both"/>
        <w:rPr>
          <w:i/>
          <w:sz w:val="22"/>
          <w:szCs w:val="22"/>
          <w:u w:val="single"/>
          <w:lang w:val="sr-Latn-ME"/>
        </w:rPr>
      </w:pPr>
      <w:r w:rsidRPr="005474B2">
        <w:rPr>
          <w:i/>
          <w:sz w:val="22"/>
          <w:szCs w:val="22"/>
          <w:u w:val="single"/>
          <w:lang w:val="sr-Latn-ME"/>
        </w:rPr>
        <w:t>Aksijalni spondiloartritis (axSpA)</w:t>
      </w:r>
    </w:p>
    <w:p w14:paraId="0EB47B02" w14:textId="77777777" w:rsidR="007D7CE1" w:rsidRPr="005474B2" w:rsidRDefault="007D7CE1">
      <w:pPr>
        <w:autoSpaceDE w:val="0"/>
        <w:autoSpaceDN w:val="0"/>
        <w:adjustRightInd w:val="0"/>
        <w:jc w:val="both"/>
        <w:rPr>
          <w:sz w:val="22"/>
          <w:szCs w:val="22"/>
          <w:lang w:val="sr-Latn-ME"/>
        </w:rPr>
      </w:pPr>
      <w:r w:rsidRPr="005474B2">
        <w:rPr>
          <w:i/>
          <w:sz w:val="22"/>
          <w:szCs w:val="22"/>
          <w:lang w:val="sr-Latn-ME"/>
        </w:rPr>
        <w:t>Ankilozirajući spondilitis (AS)/ Radiografski aksijalni spondiloartritis</w:t>
      </w:r>
    </w:p>
    <w:p w14:paraId="3CDFA83C" w14:textId="1CCA05A0" w:rsidR="007D7CE1" w:rsidRPr="005474B2" w:rsidRDefault="009A4880">
      <w:pPr>
        <w:autoSpaceDE w:val="0"/>
        <w:autoSpaceDN w:val="0"/>
        <w:adjustRightInd w:val="0"/>
        <w:jc w:val="both"/>
        <w:rPr>
          <w:sz w:val="22"/>
          <w:szCs w:val="22"/>
          <w:lang w:val="sr-Latn-ME"/>
        </w:rPr>
      </w:pPr>
      <w:r w:rsidRPr="005474B2">
        <w:rPr>
          <w:sz w:val="22"/>
          <w:szCs w:val="22"/>
          <w:lang w:val="sr-Latn-ME"/>
        </w:rPr>
        <w:t>Bezbjednost</w:t>
      </w:r>
      <w:r w:rsidR="007D7CE1" w:rsidRPr="005474B2">
        <w:rPr>
          <w:sz w:val="22"/>
          <w:szCs w:val="22"/>
          <w:lang w:val="sr-Latn-ME"/>
        </w:rPr>
        <w:t xml:space="preserve"> i efikasnost sekukinumaba su </w:t>
      </w:r>
      <w:r w:rsidR="00A23A61" w:rsidRPr="005474B2">
        <w:rPr>
          <w:sz w:val="22"/>
          <w:szCs w:val="22"/>
          <w:lang w:val="sr-Latn-ME"/>
        </w:rPr>
        <w:t>procjenjivane</w:t>
      </w:r>
      <w:r w:rsidR="007D7CE1" w:rsidRPr="005474B2">
        <w:rPr>
          <w:sz w:val="22"/>
          <w:szCs w:val="22"/>
          <w:lang w:val="sr-Latn-ME"/>
        </w:rPr>
        <w:t xml:space="preserve"> kod 816 pacijenta u tri randomizovane, dvostruko sl</w:t>
      </w:r>
      <w:r w:rsidR="008F70AE" w:rsidRPr="005474B2">
        <w:rPr>
          <w:sz w:val="22"/>
          <w:szCs w:val="22"/>
          <w:lang w:val="sr-Latn-ME"/>
        </w:rPr>
        <w:t>ij</w:t>
      </w:r>
      <w:r w:rsidR="007D7CE1" w:rsidRPr="005474B2">
        <w:rPr>
          <w:sz w:val="22"/>
          <w:szCs w:val="22"/>
          <w:lang w:val="sr-Latn-ME"/>
        </w:rPr>
        <w:t xml:space="preserve">epe, placebo kontrolisane studije faze III kod pacijenata sa aktivnim ankilozirajućim spondilitisom (AS) koji su imali </w:t>
      </w:r>
      <w:r w:rsidR="007D7CE1" w:rsidRPr="005474B2">
        <w:rPr>
          <w:i/>
          <w:sz w:val="22"/>
          <w:szCs w:val="22"/>
          <w:lang w:val="sr-Latn-ME"/>
        </w:rPr>
        <w:t>Bath</w:t>
      </w:r>
      <w:r w:rsidR="007D7CE1" w:rsidRPr="005474B2">
        <w:rPr>
          <w:sz w:val="22"/>
          <w:szCs w:val="22"/>
          <w:lang w:val="sr-Latn-ME"/>
        </w:rPr>
        <w:t xml:space="preserve"> indeks aktivnosti ankilozirajućeg spondilitisa (BASDAI, engl. </w:t>
      </w:r>
      <w:r w:rsidR="007D7CE1" w:rsidRPr="005474B2">
        <w:rPr>
          <w:i/>
          <w:sz w:val="22"/>
          <w:szCs w:val="22"/>
          <w:lang w:val="sr-Latn-ME"/>
        </w:rPr>
        <w:t>Bath Ankylosing Spondylitis Disease Activity Index</w:t>
      </w:r>
      <w:r w:rsidR="007D7CE1" w:rsidRPr="005474B2">
        <w:rPr>
          <w:sz w:val="22"/>
          <w:szCs w:val="22"/>
          <w:lang w:val="sr-Latn-ME"/>
        </w:rPr>
        <w:t xml:space="preserve">) ≥4 uprkos </w:t>
      </w:r>
      <w:r w:rsidRPr="005474B2">
        <w:rPr>
          <w:sz w:val="22"/>
          <w:szCs w:val="22"/>
          <w:lang w:val="sr-Latn-ME"/>
        </w:rPr>
        <w:t>liječ</w:t>
      </w:r>
      <w:r w:rsidR="007D7CE1" w:rsidRPr="005474B2">
        <w:rPr>
          <w:sz w:val="22"/>
          <w:szCs w:val="22"/>
          <w:lang w:val="sr-Latn-ME"/>
        </w:rPr>
        <w:t>enju nesteroidnim antiinflamatornim l</w:t>
      </w:r>
      <w:r w:rsidR="00E228A4" w:rsidRPr="005474B2">
        <w:rPr>
          <w:sz w:val="22"/>
          <w:szCs w:val="22"/>
          <w:lang w:val="sr-Latn-ME"/>
        </w:rPr>
        <w:t>j</w:t>
      </w:r>
      <w:r w:rsidR="007D7CE1" w:rsidRPr="005474B2">
        <w:rPr>
          <w:sz w:val="22"/>
          <w:szCs w:val="22"/>
          <w:lang w:val="sr-Latn-ME"/>
        </w:rPr>
        <w:t>ekovima (NSAIL), kortikosteroidima ili antireumatskim l</w:t>
      </w:r>
      <w:r w:rsidR="008F70AE" w:rsidRPr="005474B2">
        <w:rPr>
          <w:sz w:val="22"/>
          <w:szCs w:val="22"/>
          <w:lang w:val="sr-Latn-ME"/>
        </w:rPr>
        <w:t>j</w:t>
      </w:r>
      <w:r w:rsidR="007D7CE1" w:rsidRPr="005474B2">
        <w:rPr>
          <w:sz w:val="22"/>
          <w:szCs w:val="22"/>
          <w:lang w:val="sr-Latn-ME"/>
        </w:rPr>
        <w:t>ekovima koji modifikuju tok bolesti (DMARD). Pacijenti u studiji 1 sa ankilozirajućim spondilitisom (AS Studija 1) i studiji 2 sa ankilozirajućim spondilitisom (AS Studija 2)</w:t>
      </w:r>
      <w:r w:rsidR="00C145DA" w:rsidRPr="005474B2">
        <w:rPr>
          <w:sz w:val="22"/>
          <w:szCs w:val="22"/>
          <w:lang w:val="sr-Latn-ME"/>
        </w:rPr>
        <w:t xml:space="preserve"> </w:t>
      </w:r>
      <w:r w:rsidR="007D7CE1" w:rsidRPr="005474B2">
        <w:rPr>
          <w:sz w:val="22"/>
          <w:szCs w:val="22"/>
          <w:lang w:val="sr-Latn-ME"/>
        </w:rPr>
        <w:t>su imali dijagnozu AS sa medijanom od 2,7 do 5,8 godina. U ob</w:t>
      </w:r>
      <w:r w:rsidR="008F70AE" w:rsidRPr="005474B2">
        <w:rPr>
          <w:sz w:val="22"/>
          <w:szCs w:val="22"/>
          <w:lang w:val="sr-Latn-ME"/>
        </w:rPr>
        <w:t>j</w:t>
      </w:r>
      <w:r w:rsidR="007D7CE1" w:rsidRPr="005474B2">
        <w:rPr>
          <w:sz w:val="22"/>
          <w:szCs w:val="22"/>
          <w:lang w:val="sr-Latn-ME"/>
        </w:rPr>
        <w:t xml:space="preserve">e studije, primarni parametar praćenja efikasnosti je bio poboljšanje od bar 20% prema kriterijumima Međunarodnog društva za </w:t>
      </w:r>
      <w:r w:rsidR="00C41FCA" w:rsidRPr="005474B2">
        <w:rPr>
          <w:sz w:val="22"/>
          <w:szCs w:val="22"/>
          <w:lang w:val="sr-Latn-ME"/>
        </w:rPr>
        <w:t>procjenu</w:t>
      </w:r>
      <w:r w:rsidR="007D7CE1" w:rsidRPr="005474B2">
        <w:rPr>
          <w:sz w:val="22"/>
          <w:szCs w:val="22"/>
          <w:lang w:val="sr-Latn-ME"/>
        </w:rPr>
        <w:t xml:space="preserve"> spondiloartritisa (ASAS 20, engl. </w:t>
      </w:r>
      <w:r w:rsidR="007D7CE1" w:rsidRPr="005474B2">
        <w:rPr>
          <w:i/>
          <w:iCs/>
          <w:sz w:val="22"/>
          <w:szCs w:val="22"/>
          <w:lang w:val="sr-Latn-ME"/>
        </w:rPr>
        <w:t>Assessment of Spondyloarthritis International Society</w:t>
      </w:r>
      <w:r w:rsidR="007D7CE1" w:rsidRPr="005474B2">
        <w:rPr>
          <w:sz w:val="22"/>
          <w:szCs w:val="22"/>
          <w:lang w:val="sr-Latn-ME"/>
        </w:rPr>
        <w:t xml:space="preserve">) u 16. </w:t>
      </w:r>
      <w:r w:rsidRPr="005474B2">
        <w:rPr>
          <w:sz w:val="22"/>
          <w:szCs w:val="22"/>
          <w:lang w:val="sr-Latn-ME"/>
        </w:rPr>
        <w:t>nedjelj</w:t>
      </w:r>
      <w:r w:rsidR="007D7CE1" w:rsidRPr="005474B2">
        <w:rPr>
          <w:sz w:val="22"/>
          <w:szCs w:val="22"/>
          <w:lang w:val="sr-Latn-ME"/>
        </w:rPr>
        <w:t>i.</w:t>
      </w:r>
    </w:p>
    <w:p w14:paraId="6B45DB96" w14:textId="77777777" w:rsidR="007D7CE1" w:rsidRPr="005474B2" w:rsidRDefault="007D7CE1">
      <w:pPr>
        <w:autoSpaceDE w:val="0"/>
        <w:autoSpaceDN w:val="0"/>
        <w:adjustRightInd w:val="0"/>
        <w:jc w:val="both"/>
        <w:rPr>
          <w:sz w:val="22"/>
          <w:szCs w:val="22"/>
          <w:lang w:val="sr-Latn-ME"/>
        </w:rPr>
      </w:pPr>
    </w:p>
    <w:p w14:paraId="720608DE" w14:textId="0971131C" w:rsidR="007D7CE1" w:rsidRPr="005474B2" w:rsidRDefault="007D7CE1">
      <w:pPr>
        <w:autoSpaceDE w:val="0"/>
        <w:autoSpaceDN w:val="0"/>
        <w:adjustRightInd w:val="0"/>
        <w:jc w:val="both"/>
        <w:rPr>
          <w:sz w:val="22"/>
          <w:szCs w:val="22"/>
          <w:lang w:val="sr-Latn-ME"/>
        </w:rPr>
      </w:pPr>
      <w:r w:rsidRPr="005474B2">
        <w:rPr>
          <w:sz w:val="22"/>
          <w:szCs w:val="22"/>
          <w:lang w:val="sr-Latn-ME"/>
        </w:rPr>
        <w:t>U studiji 1 sa ankilozirajućim spondilitisom (AS Studija 1), studiji 2 sa ankilozirajućim spondilitisom (AS Studija 2) i studiji 3 sa ankilozirajućim spondilitisom (AS Studija 3), 27,0%, 38,8% i 23,5% pacijenata su prethodno bili na terapiji anti-TNFα l</w:t>
      </w:r>
      <w:r w:rsidR="00E228A4" w:rsidRPr="005474B2">
        <w:rPr>
          <w:sz w:val="22"/>
          <w:szCs w:val="22"/>
          <w:lang w:val="sr-Latn-ME"/>
        </w:rPr>
        <w:t>j</w:t>
      </w:r>
      <w:r w:rsidRPr="005474B2">
        <w:rPr>
          <w:sz w:val="22"/>
          <w:szCs w:val="22"/>
          <w:lang w:val="sr-Latn-ME"/>
        </w:rPr>
        <w:t xml:space="preserve">ekovima i prekinuli su </w:t>
      </w:r>
      <w:r w:rsidR="009A4880" w:rsidRPr="005474B2">
        <w:rPr>
          <w:sz w:val="22"/>
          <w:szCs w:val="22"/>
          <w:lang w:val="sr-Latn-ME"/>
        </w:rPr>
        <w:t>primjenu</w:t>
      </w:r>
      <w:r w:rsidRPr="005474B2">
        <w:rPr>
          <w:sz w:val="22"/>
          <w:szCs w:val="22"/>
          <w:lang w:val="sr-Latn-ME"/>
        </w:rPr>
        <w:t xml:space="preserve"> anti-TNFα zbog nedostatka efikasnosti ili zbog intolerancije (anti-TNFα-IR pacijenti). </w:t>
      </w:r>
    </w:p>
    <w:p w14:paraId="6C8F24C2" w14:textId="77777777" w:rsidR="007D7CE1" w:rsidRPr="005474B2" w:rsidRDefault="007D7CE1">
      <w:pPr>
        <w:autoSpaceDE w:val="0"/>
        <w:autoSpaceDN w:val="0"/>
        <w:adjustRightInd w:val="0"/>
        <w:jc w:val="both"/>
        <w:rPr>
          <w:sz w:val="22"/>
          <w:szCs w:val="22"/>
          <w:lang w:val="sr-Latn-ME"/>
        </w:rPr>
      </w:pPr>
    </w:p>
    <w:p w14:paraId="4A8206E9" w14:textId="649F4646" w:rsidR="007D7CE1" w:rsidRPr="005474B2" w:rsidRDefault="007D7CE1">
      <w:pPr>
        <w:autoSpaceDE w:val="0"/>
        <w:autoSpaceDN w:val="0"/>
        <w:adjustRightInd w:val="0"/>
        <w:jc w:val="both"/>
        <w:rPr>
          <w:sz w:val="22"/>
          <w:szCs w:val="22"/>
          <w:lang w:val="sr-Latn-ME"/>
        </w:rPr>
      </w:pPr>
      <w:r w:rsidRPr="005474B2">
        <w:rPr>
          <w:sz w:val="22"/>
          <w:szCs w:val="22"/>
          <w:lang w:val="sr-Latn-ME"/>
        </w:rPr>
        <w:t>AS studija 1 (MEASURE 1) je proc</w:t>
      </w:r>
      <w:r w:rsidR="008F70AE" w:rsidRPr="005474B2">
        <w:rPr>
          <w:sz w:val="22"/>
          <w:szCs w:val="22"/>
          <w:lang w:val="sr-Latn-ME"/>
        </w:rPr>
        <w:t>j</w:t>
      </w:r>
      <w:r w:rsidRPr="005474B2">
        <w:rPr>
          <w:sz w:val="22"/>
          <w:szCs w:val="22"/>
          <w:lang w:val="sr-Latn-ME"/>
        </w:rPr>
        <w:t>enjivala 371 pacijenta, od kojih su 14,8% odnosno 33,4% istovremeno koristili MTX ili sulfasalazin. Pacijenti randomizovani na sekukinumab su primali 10 mg/kg intravenski u 0</w:t>
      </w:r>
      <w:r w:rsidR="00E228A4" w:rsidRPr="005474B2">
        <w:rPr>
          <w:sz w:val="22"/>
          <w:szCs w:val="22"/>
          <w:lang w:val="sr-Latn-ME"/>
        </w:rPr>
        <w:t>.</w:t>
      </w:r>
      <w:r w:rsidRPr="005474B2">
        <w:rPr>
          <w:sz w:val="22"/>
          <w:szCs w:val="22"/>
          <w:lang w:val="sr-Latn-ME"/>
        </w:rPr>
        <w:t xml:space="preserve">, 2. i 4. </w:t>
      </w:r>
      <w:r w:rsidR="009A4880" w:rsidRPr="005474B2">
        <w:rPr>
          <w:sz w:val="22"/>
          <w:szCs w:val="22"/>
          <w:lang w:val="sr-Latn-ME"/>
        </w:rPr>
        <w:t>nedjelj</w:t>
      </w:r>
      <w:r w:rsidRPr="005474B2">
        <w:rPr>
          <w:sz w:val="22"/>
          <w:szCs w:val="22"/>
          <w:lang w:val="sr-Latn-ME"/>
        </w:rPr>
        <w:t>i, nakon čega su primali 75 mg ili 150 mg su</w:t>
      </w:r>
      <w:r w:rsidR="00801863" w:rsidRPr="005474B2">
        <w:rPr>
          <w:sz w:val="22"/>
          <w:szCs w:val="22"/>
          <w:lang w:val="sr-Latn-ME"/>
        </w:rPr>
        <w:t>b</w:t>
      </w:r>
      <w:r w:rsidRPr="005474B2">
        <w:rPr>
          <w:sz w:val="22"/>
          <w:szCs w:val="22"/>
          <w:lang w:val="sr-Latn-ME"/>
        </w:rPr>
        <w:t xml:space="preserve">kutano svakog </w:t>
      </w:r>
      <w:r w:rsidR="009A4880" w:rsidRPr="005474B2">
        <w:rPr>
          <w:sz w:val="22"/>
          <w:szCs w:val="22"/>
          <w:lang w:val="sr-Latn-ME"/>
        </w:rPr>
        <w:t>mjesec</w:t>
      </w:r>
      <w:r w:rsidRPr="005474B2">
        <w:rPr>
          <w:sz w:val="22"/>
          <w:szCs w:val="22"/>
          <w:lang w:val="sr-Latn-ME"/>
        </w:rPr>
        <w:t xml:space="preserve">a počevši od 8. </w:t>
      </w:r>
      <w:r w:rsidR="009A4880" w:rsidRPr="005474B2">
        <w:rPr>
          <w:sz w:val="22"/>
          <w:szCs w:val="22"/>
          <w:lang w:val="sr-Latn-ME"/>
        </w:rPr>
        <w:t>nedjelj</w:t>
      </w:r>
      <w:r w:rsidRPr="005474B2">
        <w:rPr>
          <w:sz w:val="22"/>
          <w:szCs w:val="22"/>
          <w:lang w:val="sr-Latn-ME"/>
        </w:rPr>
        <w:t>e. Pacijenti randomizovani na placebo koji ni</w:t>
      </w:r>
      <w:r w:rsidR="00746619" w:rsidRPr="005474B2">
        <w:rPr>
          <w:sz w:val="22"/>
          <w:szCs w:val="22"/>
          <w:lang w:val="sr-Latn-ME"/>
        </w:rPr>
        <w:t>je</w:t>
      </w:r>
      <w:r w:rsidRPr="005474B2">
        <w:rPr>
          <w:sz w:val="22"/>
          <w:szCs w:val="22"/>
          <w:lang w:val="sr-Latn-ME"/>
        </w:rPr>
        <w:t xml:space="preserve">su odgovorili u 16. </w:t>
      </w:r>
      <w:r w:rsidR="009A4880" w:rsidRPr="005474B2">
        <w:rPr>
          <w:sz w:val="22"/>
          <w:szCs w:val="22"/>
          <w:lang w:val="sr-Latn-ME"/>
        </w:rPr>
        <w:t>nedjelj</w:t>
      </w:r>
      <w:r w:rsidRPr="005474B2">
        <w:rPr>
          <w:sz w:val="22"/>
          <w:szCs w:val="22"/>
          <w:lang w:val="sr-Latn-ME"/>
        </w:rPr>
        <w:t xml:space="preserve">i (ranija </w:t>
      </w:r>
      <w:r w:rsidR="009A4880" w:rsidRPr="005474B2">
        <w:rPr>
          <w:sz w:val="22"/>
          <w:szCs w:val="22"/>
          <w:lang w:val="sr-Latn-ME"/>
        </w:rPr>
        <w:t>primjena</w:t>
      </w:r>
      <w:r w:rsidR="00801863" w:rsidRPr="005474B2">
        <w:rPr>
          <w:sz w:val="22"/>
          <w:szCs w:val="22"/>
          <w:lang w:val="sr-Latn-ME"/>
        </w:rPr>
        <w:t xml:space="preserve"> </w:t>
      </w:r>
      <w:r w:rsidRPr="005474B2">
        <w:rPr>
          <w:sz w:val="22"/>
          <w:szCs w:val="22"/>
          <w:lang w:val="sr-Latn-ME"/>
        </w:rPr>
        <w:t xml:space="preserve">sekukinumaba) i svi ostali pacijenti na placebu, u 24. </w:t>
      </w:r>
      <w:r w:rsidR="009A4880" w:rsidRPr="005474B2">
        <w:rPr>
          <w:sz w:val="22"/>
          <w:szCs w:val="22"/>
          <w:lang w:val="sr-Latn-ME"/>
        </w:rPr>
        <w:t>nedjelj</w:t>
      </w:r>
      <w:r w:rsidRPr="005474B2">
        <w:rPr>
          <w:sz w:val="22"/>
          <w:szCs w:val="22"/>
          <w:lang w:val="sr-Latn-ME"/>
        </w:rPr>
        <w:t>i su prešli na sekukinumab (bilo 75 mg ili 150 mg su</w:t>
      </w:r>
      <w:r w:rsidR="00801863" w:rsidRPr="005474B2">
        <w:rPr>
          <w:sz w:val="22"/>
          <w:szCs w:val="22"/>
          <w:lang w:val="sr-Latn-ME"/>
        </w:rPr>
        <w:t>b</w:t>
      </w:r>
      <w:r w:rsidRPr="005474B2">
        <w:rPr>
          <w:sz w:val="22"/>
          <w:szCs w:val="22"/>
          <w:lang w:val="sr-Latn-ME"/>
        </w:rPr>
        <w:t xml:space="preserve">kutano), nakon čega je </w:t>
      </w:r>
      <w:r w:rsidR="009A4880" w:rsidRPr="005474B2">
        <w:rPr>
          <w:sz w:val="22"/>
          <w:szCs w:val="22"/>
          <w:lang w:val="sr-Latn-ME"/>
        </w:rPr>
        <w:t>slijedi</w:t>
      </w:r>
      <w:r w:rsidRPr="005474B2">
        <w:rPr>
          <w:sz w:val="22"/>
          <w:szCs w:val="22"/>
          <w:lang w:val="sr-Latn-ME"/>
        </w:rPr>
        <w:t xml:space="preserve">la ista doza svakog </w:t>
      </w:r>
      <w:r w:rsidR="009A4880" w:rsidRPr="005474B2">
        <w:rPr>
          <w:sz w:val="22"/>
          <w:szCs w:val="22"/>
          <w:lang w:val="sr-Latn-ME"/>
        </w:rPr>
        <w:t>mjesec</w:t>
      </w:r>
      <w:r w:rsidRPr="005474B2">
        <w:rPr>
          <w:sz w:val="22"/>
          <w:szCs w:val="22"/>
          <w:lang w:val="sr-Latn-ME"/>
        </w:rPr>
        <w:t>a.</w:t>
      </w:r>
    </w:p>
    <w:p w14:paraId="794FE9CA" w14:textId="77777777" w:rsidR="007D7CE1" w:rsidRPr="005474B2" w:rsidRDefault="007D7CE1">
      <w:pPr>
        <w:autoSpaceDE w:val="0"/>
        <w:autoSpaceDN w:val="0"/>
        <w:adjustRightInd w:val="0"/>
        <w:jc w:val="both"/>
        <w:rPr>
          <w:sz w:val="22"/>
          <w:szCs w:val="22"/>
          <w:lang w:val="sr-Latn-ME"/>
        </w:rPr>
      </w:pPr>
      <w:r w:rsidRPr="005474B2">
        <w:rPr>
          <w:sz w:val="22"/>
          <w:szCs w:val="22"/>
          <w:lang w:val="sr-Latn-ME"/>
        </w:rPr>
        <w:t xml:space="preserve"> </w:t>
      </w:r>
    </w:p>
    <w:p w14:paraId="09C8DFB9" w14:textId="7FD2DA02" w:rsidR="007D7CE1" w:rsidRPr="005474B2" w:rsidRDefault="007D7CE1">
      <w:pPr>
        <w:autoSpaceDE w:val="0"/>
        <w:autoSpaceDN w:val="0"/>
        <w:adjustRightInd w:val="0"/>
        <w:jc w:val="both"/>
        <w:rPr>
          <w:sz w:val="22"/>
          <w:szCs w:val="22"/>
          <w:lang w:val="sr-Latn-ME"/>
        </w:rPr>
      </w:pPr>
      <w:r w:rsidRPr="005474B2">
        <w:rPr>
          <w:sz w:val="22"/>
          <w:szCs w:val="22"/>
          <w:lang w:val="sr-Latn-ME"/>
        </w:rPr>
        <w:lastRenderedPageBreak/>
        <w:t>AS studija 2 (MEASURE 2) je proc</w:t>
      </w:r>
      <w:r w:rsidR="008F70AE" w:rsidRPr="005474B2">
        <w:rPr>
          <w:sz w:val="22"/>
          <w:szCs w:val="22"/>
          <w:lang w:val="sr-Latn-ME"/>
        </w:rPr>
        <w:t>j</w:t>
      </w:r>
      <w:r w:rsidRPr="005474B2">
        <w:rPr>
          <w:sz w:val="22"/>
          <w:szCs w:val="22"/>
          <w:lang w:val="sr-Latn-ME"/>
        </w:rPr>
        <w:t>enjivala 219 pacijen</w:t>
      </w:r>
      <w:r w:rsidR="00E228A4" w:rsidRPr="005474B2">
        <w:rPr>
          <w:sz w:val="22"/>
          <w:szCs w:val="22"/>
          <w:lang w:val="sr-Latn-ME"/>
        </w:rPr>
        <w:t>a</w:t>
      </w:r>
      <w:r w:rsidRPr="005474B2">
        <w:rPr>
          <w:sz w:val="22"/>
          <w:szCs w:val="22"/>
          <w:lang w:val="sr-Latn-ME"/>
        </w:rPr>
        <w:t>ta, od kojih su 11,9% odnosno 14,2% istovremeno koristili MTX ili sulfasalazin. Pacijenti randomizovani na sekukinumab su primali 75 mg ili 150 mg su</w:t>
      </w:r>
      <w:r w:rsidR="00801863" w:rsidRPr="005474B2">
        <w:rPr>
          <w:sz w:val="22"/>
          <w:szCs w:val="22"/>
          <w:lang w:val="sr-Latn-ME"/>
        </w:rPr>
        <w:t>b</w:t>
      </w:r>
      <w:r w:rsidRPr="005474B2">
        <w:rPr>
          <w:sz w:val="22"/>
          <w:szCs w:val="22"/>
          <w:lang w:val="sr-Latn-ME"/>
        </w:rPr>
        <w:t>kutano u 0</w:t>
      </w:r>
      <w:r w:rsidR="00E228A4" w:rsidRPr="005474B2">
        <w:rPr>
          <w:sz w:val="22"/>
          <w:szCs w:val="22"/>
          <w:lang w:val="sr-Latn-ME"/>
        </w:rPr>
        <w:t>.</w:t>
      </w:r>
      <w:r w:rsidRPr="005474B2">
        <w:rPr>
          <w:sz w:val="22"/>
          <w:szCs w:val="22"/>
          <w:lang w:val="sr-Latn-ME"/>
        </w:rPr>
        <w:t>, 1</w:t>
      </w:r>
      <w:r w:rsidR="00E228A4" w:rsidRPr="005474B2">
        <w:rPr>
          <w:sz w:val="22"/>
          <w:szCs w:val="22"/>
          <w:lang w:val="sr-Latn-ME"/>
        </w:rPr>
        <w:t>.</w:t>
      </w:r>
      <w:r w:rsidRPr="005474B2">
        <w:rPr>
          <w:sz w:val="22"/>
          <w:szCs w:val="22"/>
          <w:lang w:val="sr-Latn-ME"/>
        </w:rPr>
        <w:t>, 2</w:t>
      </w:r>
      <w:r w:rsidR="00E228A4" w:rsidRPr="005474B2">
        <w:rPr>
          <w:sz w:val="22"/>
          <w:szCs w:val="22"/>
          <w:lang w:val="sr-Latn-ME"/>
        </w:rPr>
        <w:t>.</w:t>
      </w:r>
      <w:r w:rsidRPr="005474B2">
        <w:rPr>
          <w:sz w:val="22"/>
          <w:szCs w:val="22"/>
          <w:lang w:val="sr-Latn-ME"/>
        </w:rPr>
        <w:t>, 3</w:t>
      </w:r>
      <w:r w:rsidR="00E228A4" w:rsidRPr="005474B2">
        <w:rPr>
          <w:sz w:val="22"/>
          <w:szCs w:val="22"/>
          <w:lang w:val="sr-Latn-ME"/>
        </w:rPr>
        <w:t>.</w:t>
      </w:r>
      <w:r w:rsidRPr="005474B2">
        <w:rPr>
          <w:sz w:val="22"/>
          <w:szCs w:val="22"/>
          <w:lang w:val="sr-Latn-ME"/>
        </w:rPr>
        <w:t xml:space="preserve"> i 4. </w:t>
      </w:r>
      <w:r w:rsidR="009A4880" w:rsidRPr="005474B2">
        <w:rPr>
          <w:sz w:val="22"/>
          <w:szCs w:val="22"/>
          <w:lang w:val="sr-Latn-ME"/>
        </w:rPr>
        <w:t>nedjelj</w:t>
      </w:r>
      <w:r w:rsidRPr="005474B2">
        <w:rPr>
          <w:sz w:val="22"/>
          <w:szCs w:val="22"/>
          <w:lang w:val="sr-Latn-ME"/>
        </w:rPr>
        <w:t xml:space="preserve">i, nakon čega su primali istu dozu svakog </w:t>
      </w:r>
      <w:r w:rsidR="009A4880" w:rsidRPr="005474B2">
        <w:rPr>
          <w:sz w:val="22"/>
          <w:szCs w:val="22"/>
          <w:lang w:val="sr-Latn-ME"/>
        </w:rPr>
        <w:t>mjesec</w:t>
      </w:r>
      <w:r w:rsidRPr="005474B2">
        <w:rPr>
          <w:sz w:val="22"/>
          <w:szCs w:val="22"/>
          <w:lang w:val="sr-Latn-ME"/>
        </w:rPr>
        <w:t xml:space="preserve">a. U 16. </w:t>
      </w:r>
      <w:r w:rsidR="009A4880" w:rsidRPr="005474B2">
        <w:rPr>
          <w:sz w:val="22"/>
          <w:szCs w:val="22"/>
          <w:lang w:val="sr-Latn-ME"/>
        </w:rPr>
        <w:t>nedjelj</w:t>
      </w:r>
      <w:r w:rsidRPr="005474B2">
        <w:rPr>
          <w:sz w:val="22"/>
          <w:szCs w:val="22"/>
          <w:lang w:val="sr-Latn-ME"/>
        </w:rPr>
        <w:t xml:space="preserve">i su pacijenti koji su na početku bili randomizovani u placebo grupu ponovo bili randomizovani na </w:t>
      </w:r>
      <w:r w:rsidR="009A4880" w:rsidRPr="005474B2">
        <w:rPr>
          <w:sz w:val="22"/>
          <w:szCs w:val="22"/>
          <w:lang w:val="sr-Latn-ME"/>
        </w:rPr>
        <w:t>primjenu</w:t>
      </w:r>
      <w:r w:rsidRPr="005474B2">
        <w:rPr>
          <w:sz w:val="22"/>
          <w:szCs w:val="22"/>
          <w:lang w:val="sr-Latn-ME"/>
        </w:rPr>
        <w:t xml:space="preserve"> sekukinumaba (bilo 75 mg ili 150 mg su</w:t>
      </w:r>
      <w:r w:rsidR="00801863" w:rsidRPr="005474B2">
        <w:rPr>
          <w:sz w:val="22"/>
          <w:szCs w:val="22"/>
          <w:lang w:val="sr-Latn-ME"/>
        </w:rPr>
        <w:t>b</w:t>
      </w:r>
      <w:r w:rsidRPr="005474B2">
        <w:rPr>
          <w:sz w:val="22"/>
          <w:szCs w:val="22"/>
          <w:lang w:val="sr-Latn-ME"/>
        </w:rPr>
        <w:t xml:space="preserve">kutano) svakog </w:t>
      </w:r>
      <w:r w:rsidR="009A4880" w:rsidRPr="005474B2">
        <w:rPr>
          <w:sz w:val="22"/>
          <w:szCs w:val="22"/>
          <w:lang w:val="sr-Latn-ME"/>
        </w:rPr>
        <w:t>mjesec</w:t>
      </w:r>
      <w:r w:rsidRPr="005474B2">
        <w:rPr>
          <w:sz w:val="22"/>
          <w:szCs w:val="22"/>
          <w:lang w:val="sr-Latn-ME"/>
        </w:rPr>
        <w:t>a.</w:t>
      </w:r>
    </w:p>
    <w:p w14:paraId="7A3B8110" w14:textId="77777777" w:rsidR="007D7CE1" w:rsidRPr="005474B2" w:rsidRDefault="007D7CE1">
      <w:pPr>
        <w:autoSpaceDE w:val="0"/>
        <w:autoSpaceDN w:val="0"/>
        <w:adjustRightInd w:val="0"/>
        <w:jc w:val="both"/>
        <w:rPr>
          <w:sz w:val="22"/>
          <w:szCs w:val="22"/>
          <w:lang w:val="sr-Latn-ME"/>
        </w:rPr>
      </w:pPr>
    </w:p>
    <w:p w14:paraId="57D3403E" w14:textId="2B804A45" w:rsidR="007D7CE1" w:rsidRPr="005474B2" w:rsidRDefault="007D7CE1">
      <w:pPr>
        <w:autoSpaceDE w:val="0"/>
        <w:autoSpaceDN w:val="0"/>
        <w:adjustRightInd w:val="0"/>
        <w:jc w:val="both"/>
        <w:rPr>
          <w:sz w:val="22"/>
          <w:szCs w:val="22"/>
          <w:lang w:val="sr-Latn-ME"/>
        </w:rPr>
      </w:pPr>
      <w:r w:rsidRPr="005474B2">
        <w:rPr>
          <w:sz w:val="22"/>
          <w:szCs w:val="22"/>
          <w:lang w:val="sr-Latn-ME"/>
        </w:rPr>
        <w:t>AS studija 3 (MEASURE 3) je proc</w:t>
      </w:r>
      <w:r w:rsidR="002755A3" w:rsidRPr="005474B2">
        <w:rPr>
          <w:sz w:val="22"/>
          <w:szCs w:val="22"/>
          <w:lang w:val="sr-Latn-ME"/>
        </w:rPr>
        <w:t>j</w:t>
      </w:r>
      <w:r w:rsidRPr="005474B2">
        <w:rPr>
          <w:sz w:val="22"/>
          <w:szCs w:val="22"/>
          <w:lang w:val="sr-Latn-ME"/>
        </w:rPr>
        <w:t>enjivala 226 pacijen</w:t>
      </w:r>
      <w:r w:rsidR="002755A3" w:rsidRPr="005474B2">
        <w:rPr>
          <w:sz w:val="22"/>
          <w:szCs w:val="22"/>
          <w:lang w:val="sr-Latn-ME"/>
        </w:rPr>
        <w:t>a</w:t>
      </w:r>
      <w:r w:rsidRPr="005474B2">
        <w:rPr>
          <w:sz w:val="22"/>
          <w:szCs w:val="22"/>
          <w:lang w:val="sr-Latn-ME"/>
        </w:rPr>
        <w:t>ta, od kojih su 13,3% odnosno 23,5% istovremeno koristili MTX ili sulfasalazin. Pacijenti randomizovani na sekukinumab su primali 10 mg/kg intravenski u 0</w:t>
      </w:r>
      <w:r w:rsidR="00D03735" w:rsidRPr="005474B2">
        <w:rPr>
          <w:sz w:val="22"/>
          <w:szCs w:val="22"/>
          <w:lang w:val="sr-Latn-ME"/>
        </w:rPr>
        <w:t>.</w:t>
      </w:r>
      <w:r w:rsidRPr="005474B2">
        <w:rPr>
          <w:sz w:val="22"/>
          <w:szCs w:val="22"/>
          <w:lang w:val="sr-Latn-ME"/>
        </w:rPr>
        <w:t>, 2</w:t>
      </w:r>
      <w:r w:rsidR="00D03735" w:rsidRPr="005474B2">
        <w:rPr>
          <w:sz w:val="22"/>
          <w:szCs w:val="22"/>
          <w:lang w:val="sr-Latn-ME"/>
        </w:rPr>
        <w:t>.</w:t>
      </w:r>
      <w:r w:rsidRPr="005474B2">
        <w:rPr>
          <w:sz w:val="22"/>
          <w:szCs w:val="22"/>
          <w:lang w:val="sr-Latn-ME"/>
        </w:rPr>
        <w:t xml:space="preserve"> i 4</w:t>
      </w:r>
      <w:r w:rsidR="00D03735" w:rsidRPr="005474B2">
        <w:rPr>
          <w:sz w:val="22"/>
          <w:szCs w:val="22"/>
          <w:lang w:val="sr-Latn-ME"/>
        </w:rPr>
        <w:t>.</w:t>
      </w:r>
      <w:r w:rsidRPr="005474B2">
        <w:rPr>
          <w:sz w:val="22"/>
          <w:szCs w:val="22"/>
          <w:lang w:val="sr-Latn-ME"/>
        </w:rPr>
        <w:t xml:space="preserve"> </w:t>
      </w:r>
      <w:r w:rsidR="009A4880" w:rsidRPr="005474B2">
        <w:rPr>
          <w:sz w:val="22"/>
          <w:szCs w:val="22"/>
          <w:lang w:val="sr-Latn-ME"/>
        </w:rPr>
        <w:t>nedjelj</w:t>
      </w:r>
      <w:r w:rsidRPr="005474B2">
        <w:rPr>
          <w:sz w:val="22"/>
          <w:szCs w:val="22"/>
          <w:lang w:val="sr-Latn-ME"/>
        </w:rPr>
        <w:t>i, nakon čega su primali 150 mg ili 300 mg su</w:t>
      </w:r>
      <w:r w:rsidR="00801863" w:rsidRPr="005474B2">
        <w:rPr>
          <w:sz w:val="22"/>
          <w:szCs w:val="22"/>
          <w:lang w:val="sr-Latn-ME"/>
        </w:rPr>
        <w:t>b</w:t>
      </w:r>
      <w:r w:rsidRPr="005474B2">
        <w:rPr>
          <w:sz w:val="22"/>
          <w:szCs w:val="22"/>
          <w:lang w:val="sr-Latn-ME"/>
        </w:rPr>
        <w:t xml:space="preserve">kutano svakog </w:t>
      </w:r>
      <w:r w:rsidR="009A4880" w:rsidRPr="005474B2">
        <w:rPr>
          <w:sz w:val="22"/>
          <w:szCs w:val="22"/>
          <w:lang w:val="sr-Latn-ME"/>
        </w:rPr>
        <w:t>mjesec</w:t>
      </w:r>
      <w:r w:rsidRPr="005474B2">
        <w:rPr>
          <w:sz w:val="22"/>
          <w:szCs w:val="22"/>
          <w:lang w:val="sr-Latn-ME"/>
        </w:rPr>
        <w:t xml:space="preserve">a. U 16. </w:t>
      </w:r>
      <w:r w:rsidR="009A4880" w:rsidRPr="005474B2">
        <w:rPr>
          <w:sz w:val="22"/>
          <w:szCs w:val="22"/>
          <w:lang w:val="sr-Latn-ME"/>
        </w:rPr>
        <w:t>nedjelj</w:t>
      </w:r>
      <w:r w:rsidRPr="005474B2">
        <w:rPr>
          <w:sz w:val="22"/>
          <w:szCs w:val="22"/>
          <w:lang w:val="sr-Latn-ME"/>
        </w:rPr>
        <w:t xml:space="preserve">i, pacijenti koji su na početku bili randomizovani u placebo grupu su ponovo bili randomizovani na </w:t>
      </w:r>
      <w:r w:rsidR="009A4880" w:rsidRPr="005474B2">
        <w:rPr>
          <w:sz w:val="22"/>
          <w:szCs w:val="22"/>
          <w:lang w:val="sr-Latn-ME"/>
        </w:rPr>
        <w:t>primjenu</w:t>
      </w:r>
      <w:r w:rsidRPr="005474B2">
        <w:rPr>
          <w:sz w:val="22"/>
          <w:szCs w:val="22"/>
          <w:lang w:val="sr-Latn-ME"/>
        </w:rPr>
        <w:t xml:space="preserve"> sekukinumaba (bilo 150 mg ili 300 mg su</w:t>
      </w:r>
      <w:r w:rsidR="00801863" w:rsidRPr="005474B2">
        <w:rPr>
          <w:sz w:val="22"/>
          <w:szCs w:val="22"/>
          <w:lang w:val="sr-Latn-ME"/>
        </w:rPr>
        <w:t>b</w:t>
      </w:r>
      <w:r w:rsidRPr="005474B2">
        <w:rPr>
          <w:sz w:val="22"/>
          <w:szCs w:val="22"/>
          <w:lang w:val="sr-Latn-ME"/>
        </w:rPr>
        <w:t xml:space="preserve">kutano) svakog </w:t>
      </w:r>
      <w:r w:rsidR="009A4880" w:rsidRPr="005474B2">
        <w:rPr>
          <w:sz w:val="22"/>
          <w:szCs w:val="22"/>
          <w:lang w:val="sr-Latn-ME"/>
        </w:rPr>
        <w:t>mjesec</w:t>
      </w:r>
      <w:r w:rsidRPr="005474B2">
        <w:rPr>
          <w:sz w:val="22"/>
          <w:szCs w:val="22"/>
          <w:lang w:val="sr-Latn-ME"/>
        </w:rPr>
        <w:t xml:space="preserve">a. Primarni parametar praćenja studije je bio ASAS 20 u 16. </w:t>
      </w:r>
      <w:r w:rsidR="009A4880" w:rsidRPr="005474B2">
        <w:rPr>
          <w:sz w:val="22"/>
          <w:szCs w:val="22"/>
          <w:lang w:val="sr-Latn-ME"/>
        </w:rPr>
        <w:t>nedjelj</w:t>
      </w:r>
      <w:r w:rsidRPr="005474B2">
        <w:rPr>
          <w:sz w:val="22"/>
          <w:szCs w:val="22"/>
          <w:lang w:val="sr-Latn-ME"/>
        </w:rPr>
        <w:t xml:space="preserve">i. Pacijenti do 52. </w:t>
      </w:r>
      <w:r w:rsidR="009A4880" w:rsidRPr="005474B2">
        <w:rPr>
          <w:sz w:val="22"/>
          <w:szCs w:val="22"/>
          <w:lang w:val="sr-Latn-ME"/>
        </w:rPr>
        <w:t>nedjelj</w:t>
      </w:r>
      <w:r w:rsidRPr="005474B2">
        <w:rPr>
          <w:sz w:val="22"/>
          <w:szCs w:val="22"/>
          <w:lang w:val="sr-Latn-ME"/>
        </w:rPr>
        <w:t>e ni</w:t>
      </w:r>
      <w:r w:rsidR="00746619" w:rsidRPr="005474B2">
        <w:rPr>
          <w:sz w:val="22"/>
          <w:szCs w:val="22"/>
          <w:lang w:val="sr-Latn-ME"/>
        </w:rPr>
        <w:t>je</w:t>
      </w:r>
      <w:r w:rsidRPr="005474B2">
        <w:rPr>
          <w:sz w:val="22"/>
          <w:szCs w:val="22"/>
          <w:lang w:val="sr-Latn-ME"/>
        </w:rPr>
        <w:t xml:space="preserve">su znali koji režim </w:t>
      </w:r>
      <w:r w:rsidR="009A4880" w:rsidRPr="005474B2">
        <w:rPr>
          <w:sz w:val="22"/>
          <w:szCs w:val="22"/>
          <w:lang w:val="sr-Latn-ME"/>
        </w:rPr>
        <w:t>liječ</w:t>
      </w:r>
      <w:r w:rsidRPr="005474B2">
        <w:rPr>
          <w:sz w:val="22"/>
          <w:szCs w:val="22"/>
          <w:lang w:val="sr-Latn-ME"/>
        </w:rPr>
        <w:t xml:space="preserve">enja primaju, a </w:t>
      </w:r>
      <w:r w:rsidR="004429DA" w:rsidRPr="005474B2">
        <w:rPr>
          <w:sz w:val="22"/>
          <w:szCs w:val="22"/>
          <w:lang w:val="sr-Latn-ME"/>
        </w:rPr>
        <w:t xml:space="preserve">studija </w:t>
      </w:r>
      <w:r w:rsidRPr="005474B2">
        <w:rPr>
          <w:sz w:val="22"/>
          <w:szCs w:val="22"/>
          <w:lang w:val="sr-Latn-ME"/>
        </w:rPr>
        <w:t>je nastavljen</w:t>
      </w:r>
      <w:r w:rsidR="004429DA" w:rsidRPr="005474B2">
        <w:rPr>
          <w:sz w:val="22"/>
          <w:szCs w:val="22"/>
          <w:lang w:val="sr-Latn-ME"/>
        </w:rPr>
        <w:t>a</w:t>
      </w:r>
      <w:r w:rsidRPr="005474B2">
        <w:rPr>
          <w:sz w:val="22"/>
          <w:szCs w:val="22"/>
          <w:lang w:val="sr-Latn-ME"/>
        </w:rPr>
        <w:t xml:space="preserve"> do 156. </w:t>
      </w:r>
      <w:r w:rsidR="009A4880" w:rsidRPr="005474B2">
        <w:rPr>
          <w:sz w:val="22"/>
          <w:szCs w:val="22"/>
          <w:lang w:val="sr-Latn-ME"/>
        </w:rPr>
        <w:t>nedjelj</w:t>
      </w:r>
      <w:r w:rsidRPr="005474B2">
        <w:rPr>
          <w:sz w:val="22"/>
          <w:szCs w:val="22"/>
          <w:lang w:val="sr-Latn-ME"/>
        </w:rPr>
        <w:t>e.</w:t>
      </w:r>
    </w:p>
    <w:p w14:paraId="5E54670F" w14:textId="77777777" w:rsidR="007D7CE1" w:rsidRPr="005474B2" w:rsidRDefault="007D7CE1">
      <w:pPr>
        <w:autoSpaceDE w:val="0"/>
        <w:autoSpaceDN w:val="0"/>
        <w:adjustRightInd w:val="0"/>
        <w:jc w:val="both"/>
        <w:rPr>
          <w:sz w:val="22"/>
          <w:szCs w:val="22"/>
          <w:lang w:val="sr-Latn-ME"/>
        </w:rPr>
      </w:pPr>
    </w:p>
    <w:p w14:paraId="670290CD" w14:textId="77777777" w:rsidR="007D7CE1" w:rsidRPr="005474B2" w:rsidRDefault="007D7CE1">
      <w:pPr>
        <w:autoSpaceDE w:val="0"/>
        <w:autoSpaceDN w:val="0"/>
        <w:adjustRightInd w:val="0"/>
        <w:jc w:val="both"/>
        <w:rPr>
          <w:sz w:val="22"/>
          <w:szCs w:val="22"/>
          <w:lang w:val="sr-Latn-ME"/>
        </w:rPr>
      </w:pPr>
      <w:r w:rsidRPr="005474B2">
        <w:rPr>
          <w:i/>
          <w:sz w:val="22"/>
          <w:szCs w:val="22"/>
          <w:lang w:val="sr-Latn-ME"/>
        </w:rPr>
        <w:t>Znaci i simptomi</w:t>
      </w:r>
    </w:p>
    <w:p w14:paraId="6879E6F5" w14:textId="636365E1" w:rsidR="007D7CE1" w:rsidRPr="005474B2" w:rsidRDefault="007D7CE1">
      <w:pPr>
        <w:autoSpaceDE w:val="0"/>
        <w:autoSpaceDN w:val="0"/>
        <w:adjustRightInd w:val="0"/>
        <w:jc w:val="both"/>
        <w:rPr>
          <w:sz w:val="22"/>
          <w:szCs w:val="22"/>
          <w:lang w:val="sr-Latn-ME"/>
        </w:rPr>
      </w:pPr>
      <w:r w:rsidRPr="005474B2">
        <w:rPr>
          <w:sz w:val="22"/>
          <w:szCs w:val="22"/>
          <w:lang w:val="sr-Latn-ME"/>
        </w:rPr>
        <w:t>U AS studiji 2, terapija sekukinumab</w:t>
      </w:r>
      <w:r w:rsidR="002755A3" w:rsidRPr="005474B2">
        <w:rPr>
          <w:sz w:val="22"/>
          <w:szCs w:val="22"/>
          <w:lang w:val="sr-Latn-ME"/>
        </w:rPr>
        <w:t>om</w:t>
      </w:r>
      <w:r w:rsidRPr="005474B2">
        <w:rPr>
          <w:sz w:val="22"/>
          <w:szCs w:val="22"/>
          <w:lang w:val="sr-Latn-ME"/>
        </w:rPr>
        <w:t xml:space="preserve"> 150 mg je pokazala veće poboljšanje u m</w:t>
      </w:r>
      <w:r w:rsidR="008F70AE" w:rsidRPr="005474B2">
        <w:rPr>
          <w:sz w:val="22"/>
          <w:szCs w:val="22"/>
          <w:lang w:val="sr-Latn-ME"/>
        </w:rPr>
        <w:t>j</w:t>
      </w:r>
      <w:r w:rsidRPr="005474B2">
        <w:rPr>
          <w:sz w:val="22"/>
          <w:szCs w:val="22"/>
          <w:lang w:val="sr-Latn-ME"/>
        </w:rPr>
        <w:t xml:space="preserve">erama aktivnosti bolesti u poređenju sa placebom u 16. </w:t>
      </w:r>
      <w:r w:rsidR="009A4880" w:rsidRPr="005474B2">
        <w:rPr>
          <w:sz w:val="22"/>
          <w:szCs w:val="22"/>
          <w:lang w:val="sr-Latn-ME"/>
        </w:rPr>
        <w:t>nedjelj</w:t>
      </w:r>
      <w:r w:rsidRPr="005474B2">
        <w:rPr>
          <w:sz w:val="22"/>
          <w:szCs w:val="22"/>
          <w:lang w:val="sr-Latn-ME"/>
        </w:rPr>
        <w:t>i (</w:t>
      </w:r>
      <w:r w:rsidR="009A4880" w:rsidRPr="005474B2">
        <w:rPr>
          <w:sz w:val="22"/>
          <w:szCs w:val="22"/>
          <w:lang w:val="sr-Latn-ME"/>
        </w:rPr>
        <w:t>vidjet</w:t>
      </w:r>
      <w:r w:rsidRPr="005474B2">
        <w:rPr>
          <w:sz w:val="22"/>
          <w:szCs w:val="22"/>
          <w:lang w:val="sr-Latn-ME"/>
        </w:rPr>
        <w:t xml:space="preserve">i Tabelu </w:t>
      </w:r>
      <w:r w:rsidR="006911D2" w:rsidRPr="005474B2">
        <w:rPr>
          <w:sz w:val="22"/>
          <w:szCs w:val="22"/>
          <w:lang w:val="sr-Latn-ME"/>
        </w:rPr>
        <w:t>12</w:t>
      </w:r>
      <w:r w:rsidRPr="005474B2">
        <w:rPr>
          <w:sz w:val="22"/>
          <w:szCs w:val="22"/>
          <w:lang w:val="sr-Latn-ME"/>
        </w:rPr>
        <w:t>).</w:t>
      </w:r>
    </w:p>
    <w:p w14:paraId="279E20B8" w14:textId="77777777" w:rsidR="007D7CE1" w:rsidRPr="005474B2" w:rsidRDefault="007D7CE1">
      <w:pPr>
        <w:autoSpaceDE w:val="0"/>
        <w:autoSpaceDN w:val="0"/>
        <w:adjustRightInd w:val="0"/>
        <w:jc w:val="both"/>
        <w:rPr>
          <w:sz w:val="22"/>
          <w:szCs w:val="22"/>
          <w:lang w:val="sr-Latn-ME"/>
        </w:rPr>
      </w:pPr>
    </w:p>
    <w:p w14:paraId="7859F2E8" w14:textId="2E4DE9FA" w:rsidR="007D7CE1" w:rsidRPr="005474B2" w:rsidRDefault="007D7CE1">
      <w:pPr>
        <w:keepNext/>
        <w:keepLines/>
        <w:widowControl w:val="0"/>
        <w:jc w:val="both"/>
        <w:rPr>
          <w:b/>
          <w:sz w:val="22"/>
          <w:szCs w:val="22"/>
          <w:lang w:val="sr-Latn-ME"/>
        </w:rPr>
      </w:pPr>
      <w:r w:rsidRPr="005474B2">
        <w:rPr>
          <w:b/>
          <w:sz w:val="22"/>
          <w:szCs w:val="22"/>
          <w:lang w:val="sr-Latn-ME"/>
        </w:rPr>
        <w:t>Tabela </w:t>
      </w:r>
      <w:r w:rsidR="006911D2" w:rsidRPr="005474B2">
        <w:rPr>
          <w:b/>
          <w:sz w:val="22"/>
          <w:szCs w:val="22"/>
          <w:lang w:val="sr-Latn-ME"/>
        </w:rPr>
        <w:t>12</w:t>
      </w:r>
      <w:r w:rsidRPr="005474B2">
        <w:rPr>
          <w:b/>
          <w:sz w:val="22"/>
          <w:szCs w:val="22"/>
          <w:lang w:val="sr-Latn-ME"/>
        </w:rPr>
        <w:tab/>
        <w:t>Klinički odgovor u Studiji 2 AS u 16. </w:t>
      </w:r>
      <w:r w:rsidR="009A4880" w:rsidRPr="005474B2">
        <w:rPr>
          <w:b/>
          <w:sz w:val="22"/>
          <w:szCs w:val="22"/>
          <w:lang w:val="sr-Latn-ME"/>
        </w:rPr>
        <w:t>nedjelj</w:t>
      </w:r>
      <w:r w:rsidRPr="005474B2">
        <w:rPr>
          <w:b/>
          <w:sz w:val="22"/>
          <w:szCs w:val="22"/>
          <w:lang w:val="sr-Latn-ME"/>
        </w:rPr>
        <w:t>i</w:t>
      </w:r>
    </w:p>
    <w:p w14:paraId="2DC893BC" w14:textId="77777777" w:rsidR="007D7CE1" w:rsidRPr="005474B2" w:rsidRDefault="007D7CE1">
      <w:pPr>
        <w:keepNext/>
        <w:widowControl w:val="0"/>
        <w:tabs>
          <w:tab w:val="left" w:pos="567"/>
        </w:tabs>
        <w:jc w:val="both"/>
        <w:outlineLvl w:val="6"/>
        <w:rPr>
          <w:b/>
          <w:sz w:val="22"/>
          <w:szCs w:val="22"/>
          <w:lang w:val="sr-Latn-ME"/>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819"/>
        <w:gridCol w:w="1770"/>
        <w:gridCol w:w="1742"/>
        <w:gridCol w:w="1869"/>
      </w:tblGrid>
      <w:tr w:rsidR="007D7CE1" w:rsidRPr="0009637B" w14:paraId="490A4AB6" w14:textId="77777777" w:rsidTr="007D7CE1">
        <w:trPr>
          <w:cantSplit/>
          <w:trHeight w:val="28"/>
          <w:jc w:val="center"/>
        </w:trPr>
        <w:tc>
          <w:tcPr>
            <w:tcW w:w="3819" w:type="dxa"/>
            <w:shd w:val="clear" w:color="auto" w:fill="auto"/>
            <w:vAlign w:val="bottom"/>
          </w:tcPr>
          <w:p w14:paraId="02D86B0B" w14:textId="77777777" w:rsidR="007D7CE1" w:rsidRPr="005474B2" w:rsidRDefault="007D7CE1">
            <w:pPr>
              <w:keepNext/>
              <w:keepLines/>
              <w:widowControl w:val="0"/>
              <w:tabs>
                <w:tab w:val="left" w:pos="284"/>
              </w:tabs>
              <w:ind w:left="1009" w:hanging="1009"/>
              <w:jc w:val="both"/>
              <w:outlineLvl w:val="0"/>
              <w:rPr>
                <w:b/>
                <w:bCs/>
                <w:sz w:val="22"/>
                <w:szCs w:val="22"/>
                <w:lang w:val="sr-Latn-ME"/>
              </w:rPr>
            </w:pPr>
            <w:r w:rsidRPr="005474B2">
              <w:rPr>
                <w:b/>
                <w:sz w:val="22"/>
                <w:szCs w:val="22"/>
                <w:lang w:val="sr-Latn-ME"/>
              </w:rPr>
              <w:t>Ishod (p-</w:t>
            </w:r>
            <w:r w:rsidR="00C41FCA" w:rsidRPr="005474B2">
              <w:rPr>
                <w:b/>
                <w:sz w:val="22"/>
                <w:szCs w:val="22"/>
                <w:lang w:val="sr-Latn-ME"/>
              </w:rPr>
              <w:t>vrijednost</w:t>
            </w:r>
            <w:r w:rsidRPr="005474B2">
              <w:rPr>
                <w:b/>
                <w:sz w:val="22"/>
                <w:szCs w:val="22"/>
                <w:lang w:val="sr-Latn-ME"/>
              </w:rPr>
              <w:t xml:space="preserve"> u odnosu na placebo)</w:t>
            </w:r>
          </w:p>
        </w:tc>
        <w:tc>
          <w:tcPr>
            <w:tcW w:w="1770" w:type="dxa"/>
            <w:shd w:val="clear" w:color="auto" w:fill="auto"/>
            <w:vAlign w:val="bottom"/>
          </w:tcPr>
          <w:p w14:paraId="438F2D02" w14:textId="77777777" w:rsidR="007D7CE1" w:rsidRPr="005474B2" w:rsidRDefault="007D7CE1">
            <w:pPr>
              <w:keepNext/>
              <w:keepLines/>
              <w:widowControl w:val="0"/>
              <w:tabs>
                <w:tab w:val="left" w:pos="284"/>
              </w:tabs>
              <w:jc w:val="both"/>
              <w:outlineLvl w:val="0"/>
              <w:rPr>
                <w:b/>
                <w:sz w:val="22"/>
                <w:szCs w:val="22"/>
                <w:lang w:val="sr-Latn-ME"/>
              </w:rPr>
            </w:pPr>
            <w:r w:rsidRPr="005474B2">
              <w:rPr>
                <w:b/>
                <w:sz w:val="22"/>
                <w:szCs w:val="22"/>
                <w:lang w:val="sr-Latn-ME"/>
              </w:rPr>
              <w:t>Placebo</w:t>
            </w:r>
          </w:p>
          <w:p w14:paraId="66BE7F6B" w14:textId="77777777" w:rsidR="007D7CE1" w:rsidRPr="005474B2" w:rsidRDefault="007D7CE1">
            <w:pPr>
              <w:keepNext/>
              <w:keepLines/>
              <w:widowControl w:val="0"/>
              <w:tabs>
                <w:tab w:val="left" w:pos="284"/>
              </w:tabs>
              <w:jc w:val="both"/>
              <w:outlineLvl w:val="0"/>
              <w:rPr>
                <w:b/>
                <w:bCs/>
                <w:sz w:val="22"/>
                <w:szCs w:val="22"/>
                <w:lang w:val="sr-Latn-ME"/>
              </w:rPr>
            </w:pPr>
            <w:r w:rsidRPr="005474B2">
              <w:rPr>
                <w:b/>
                <w:sz w:val="22"/>
                <w:szCs w:val="22"/>
                <w:lang w:val="sr-Latn-ME"/>
              </w:rPr>
              <w:t>(n = 74)</w:t>
            </w:r>
          </w:p>
        </w:tc>
        <w:tc>
          <w:tcPr>
            <w:tcW w:w="1742" w:type="dxa"/>
            <w:shd w:val="clear" w:color="auto" w:fill="auto"/>
            <w:vAlign w:val="bottom"/>
          </w:tcPr>
          <w:p w14:paraId="352B069C" w14:textId="77777777" w:rsidR="007D7CE1" w:rsidRPr="005474B2" w:rsidRDefault="007D7CE1">
            <w:pPr>
              <w:keepNext/>
              <w:keepLines/>
              <w:widowControl w:val="0"/>
              <w:tabs>
                <w:tab w:val="left" w:pos="284"/>
              </w:tabs>
              <w:ind w:left="1009" w:hanging="1009"/>
              <w:jc w:val="both"/>
              <w:outlineLvl w:val="0"/>
              <w:rPr>
                <w:b/>
                <w:sz w:val="22"/>
                <w:szCs w:val="22"/>
                <w:lang w:val="sr-Latn-ME"/>
              </w:rPr>
            </w:pPr>
            <w:r w:rsidRPr="005474B2">
              <w:rPr>
                <w:b/>
                <w:sz w:val="22"/>
                <w:szCs w:val="22"/>
                <w:lang w:val="sr-Latn-ME"/>
              </w:rPr>
              <w:t>75 mg</w:t>
            </w:r>
          </w:p>
          <w:p w14:paraId="4EA9673D" w14:textId="77777777" w:rsidR="007D7CE1" w:rsidRPr="005474B2" w:rsidRDefault="007D7CE1">
            <w:pPr>
              <w:keepNext/>
              <w:keepLines/>
              <w:widowControl w:val="0"/>
              <w:tabs>
                <w:tab w:val="left" w:pos="284"/>
              </w:tabs>
              <w:ind w:left="1009" w:hanging="1009"/>
              <w:jc w:val="both"/>
              <w:outlineLvl w:val="0"/>
              <w:rPr>
                <w:b/>
                <w:bCs/>
                <w:sz w:val="22"/>
                <w:szCs w:val="22"/>
                <w:lang w:val="sr-Latn-ME"/>
              </w:rPr>
            </w:pPr>
            <w:r w:rsidRPr="005474B2">
              <w:rPr>
                <w:b/>
                <w:sz w:val="22"/>
                <w:szCs w:val="22"/>
                <w:lang w:val="sr-Latn-ME"/>
              </w:rPr>
              <w:t>(n = 73)</w:t>
            </w:r>
          </w:p>
        </w:tc>
        <w:tc>
          <w:tcPr>
            <w:tcW w:w="1869" w:type="dxa"/>
            <w:shd w:val="clear" w:color="auto" w:fill="auto"/>
            <w:vAlign w:val="bottom"/>
          </w:tcPr>
          <w:p w14:paraId="53EA5D76" w14:textId="77777777" w:rsidR="007D7CE1" w:rsidRPr="005474B2" w:rsidRDefault="007D7CE1">
            <w:pPr>
              <w:keepNext/>
              <w:keepLines/>
              <w:widowControl w:val="0"/>
              <w:tabs>
                <w:tab w:val="left" w:pos="284"/>
              </w:tabs>
              <w:jc w:val="both"/>
              <w:outlineLvl w:val="0"/>
              <w:rPr>
                <w:b/>
                <w:sz w:val="22"/>
                <w:szCs w:val="22"/>
                <w:lang w:val="sr-Latn-ME"/>
              </w:rPr>
            </w:pPr>
            <w:r w:rsidRPr="005474B2">
              <w:rPr>
                <w:b/>
                <w:sz w:val="22"/>
                <w:szCs w:val="22"/>
                <w:lang w:val="sr-Latn-ME"/>
              </w:rPr>
              <w:t>150 mg</w:t>
            </w:r>
          </w:p>
          <w:p w14:paraId="61104A96" w14:textId="77777777" w:rsidR="007D7CE1" w:rsidRPr="005474B2" w:rsidRDefault="007D7CE1">
            <w:pPr>
              <w:keepNext/>
              <w:keepLines/>
              <w:widowControl w:val="0"/>
              <w:tabs>
                <w:tab w:val="left" w:pos="284"/>
              </w:tabs>
              <w:jc w:val="both"/>
              <w:outlineLvl w:val="0"/>
              <w:rPr>
                <w:b/>
                <w:bCs/>
                <w:sz w:val="22"/>
                <w:szCs w:val="22"/>
                <w:lang w:val="sr-Latn-ME"/>
              </w:rPr>
            </w:pPr>
            <w:r w:rsidRPr="005474B2">
              <w:rPr>
                <w:b/>
                <w:sz w:val="22"/>
                <w:szCs w:val="22"/>
                <w:lang w:val="sr-Latn-ME"/>
              </w:rPr>
              <w:t>(n = 72)</w:t>
            </w:r>
          </w:p>
        </w:tc>
      </w:tr>
      <w:tr w:rsidR="007D7CE1" w:rsidRPr="0009637B" w14:paraId="6B23C43F" w14:textId="77777777" w:rsidTr="007D7CE1">
        <w:trPr>
          <w:cantSplit/>
          <w:trHeight w:val="28"/>
          <w:jc w:val="center"/>
        </w:trPr>
        <w:tc>
          <w:tcPr>
            <w:tcW w:w="3819" w:type="dxa"/>
            <w:shd w:val="clear" w:color="auto" w:fill="auto"/>
            <w:vAlign w:val="bottom"/>
          </w:tcPr>
          <w:p w14:paraId="2AE10960" w14:textId="77777777" w:rsidR="007D7CE1" w:rsidRPr="005474B2" w:rsidRDefault="007D7CE1" w:rsidP="0009637B">
            <w:pPr>
              <w:keepNext/>
              <w:keepLines/>
              <w:widowControl w:val="0"/>
              <w:tabs>
                <w:tab w:val="left" w:pos="284"/>
              </w:tabs>
              <w:ind w:left="278"/>
              <w:jc w:val="both"/>
              <w:rPr>
                <w:sz w:val="22"/>
                <w:szCs w:val="22"/>
                <w:lang w:val="sr-Latn-ME"/>
              </w:rPr>
            </w:pPr>
            <w:r w:rsidRPr="005474B2">
              <w:rPr>
                <w:sz w:val="22"/>
                <w:szCs w:val="22"/>
                <w:lang w:val="sr-Latn-ME"/>
              </w:rPr>
              <w:t>Odgovor ASAS 20, %</w:t>
            </w:r>
          </w:p>
        </w:tc>
        <w:tc>
          <w:tcPr>
            <w:tcW w:w="1770" w:type="dxa"/>
            <w:shd w:val="clear" w:color="auto" w:fill="auto"/>
            <w:vAlign w:val="bottom"/>
          </w:tcPr>
          <w:p w14:paraId="163178E0" w14:textId="77777777"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28,4</w:t>
            </w:r>
          </w:p>
        </w:tc>
        <w:tc>
          <w:tcPr>
            <w:tcW w:w="1742" w:type="dxa"/>
            <w:shd w:val="clear" w:color="auto" w:fill="auto"/>
            <w:vAlign w:val="bottom"/>
          </w:tcPr>
          <w:p w14:paraId="02F6EA6B"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41,1</w:t>
            </w:r>
          </w:p>
        </w:tc>
        <w:tc>
          <w:tcPr>
            <w:tcW w:w="1869" w:type="dxa"/>
            <w:shd w:val="clear" w:color="auto" w:fill="auto"/>
            <w:vAlign w:val="bottom"/>
          </w:tcPr>
          <w:p w14:paraId="558BB175"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61,1***</w:t>
            </w:r>
          </w:p>
        </w:tc>
      </w:tr>
      <w:tr w:rsidR="007D7CE1" w:rsidRPr="0009637B" w14:paraId="224F1AA7" w14:textId="77777777" w:rsidTr="007D7CE1">
        <w:trPr>
          <w:cantSplit/>
          <w:trHeight w:val="270"/>
          <w:jc w:val="center"/>
        </w:trPr>
        <w:tc>
          <w:tcPr>
            <w:tcW w:w="3819" w:type="dxa"/>
            <w:shd w:val="clear" w:color="auto" w:fill="auto"/>
            <w:vAlign w:val="bottom"/>
          </w:tcPr>
          <w:p w14:paraId="562CA790" w14:textId="77777777" w:rsidR="007D7CE1" w:rsidRPr="005474B2" w:rsidRDefault="007D7CE1" w:rsidP="0009637B">
            <w:pPr>
              <w:keepNext/>
              <w:keepLines/>
              <w:widowControl w:val="0"/>
              <w:tabs>
                <w:tab w:val="left" w:pos="284"/>
              </w:tabs>
              <w:ind w:left="278"/>
              <w:jc w:val="both"/>
              <w:rPr>
                <w:sz w:val="22"/>
                <w:szCs w:val="22"/>
                <w:lang w:val="sr-Latn-ME"/>
              </w:rPr>
            </w:pPr>
            <w:r w:rsidRPr="005474B2">
              <w:rPr>
                <w:sz w:val="22"/>
                <w:szCs w:val="22"/>
                <w:lang w:val="sr-Latn-ME"/>
              </w:rPr>
              <w:t>Odgovor ASAS 40, %</w:t>
            </w:r>
          </w:p>
        </w:tc>
        <w:tc>
          <w:tcPr>
            <w:tcW w:w="1770" w:type="dxa"/>
            <w:shd w:val="clear" w:color="auto" w:fill="auto"/>
            <w:vAlign w:val="bottom"/>
          </w:tcPr>
          <w:p w14:paraId="0A2510C3" w14:textId="77777777"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10,8</w:t>
            </w:r>
          </w:p>
        </w:tc>
        <w:tc>
          <w:tcPr>
            <w:tcW w:w="1742" w:type="dxa"/>
            <w:shd w:val="clear" w:color="auto" w:fill="auto"/>
            <w:vAlign w:val="bottom"/>
          </w:tcPr>
          <w:p w14:paraId="4B00CD53"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26,0</w:t>
            </w:r>
          </w:p>
        </w:tc>
        <w:tc>
          <w:tcPr>
            <w:tcW w:w="1869" w:type="dxa"/>
            <w:shd w:val="clear" w:color="auto" w:fill="auto"/>
            <w:vAlign w:val="bottom"/>
          </w:tcPr>
          <w:p w14:paraId="78D1C3BD"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36,1***</w:t>
            </w:r>
          </w:p>
        </w:tc>
      </w:tr>
      <w:tr w:rsidR="007D7CE1" w:rsidRPr="0009637B" w14:paraId="6B82F498" w14:textId="77777777" w:rsidTr="007D7CE1">
        <w:trPr>
          <w:cantSplit/>
          <w:trHeight w:val="270"/>
          <w:jc w:val="center"/>
        </w:trPr>
        <w:tc>
          <w:tcPr>
            <w:tcW w:w="3819" w:type="dxa"/>
            <w:shd w:val="clear" w:color="auto" w:fill="auto"/>
            <w:vAlign w:val="bottom"/>
          </w:tcPr>
          <w:p w14:paraId="4FBE4F36" w14:textId="77777777" w:rsidR="007D7CE1" w:rsidRPr="005474B2" w:rsidRDefault="007D7CE1" w:rsidP="0009637B">
            <w:pPr>
              <w:keepNext/>
              <w:keepLines/>
              <w:widowControl w:val="0"/>
              <w:tabs>
                <w:tab w:val="left" w:pos="284"/>
              </w:tabs>
              <w:ind w:left="278"/>
              <w:jc w:val="both"/>
              <w:rPr>
                <w:sz w:val="22"/>
                <w:szCs w:val="22"/>
                <w:lang w:val="sr-Latn-ME"/>
              </w:rPr>
            </w:pPr>
            <w:r w:rsidRPr="005474B2">
              <w:rPr>
                <w:sz w:val="22"/>
                <w:szCs w:val="22"/>
                <w:lang w:val="sr-Latn-ME"/>
              </w:rPr>
              <w:t>hsCRP, (odnos nakon PV</w:t>
            </w:r>
            <w:r w:rsidRPr="005474B2">
              <w:rPr>
                <w:sz w:val="22"/>
                <w:szCs w:val="22"/>
                <w:lang w:val="sr-Latn-ME"/>
              </w:rPr>
              <w:noBreakHyphen/>
              <w:t>a/PV)</w:t>
            </w:r>
          </w:p>
        </w:tc>
        <w:tc>
          <w:tcPr>
            <w:tcW w:w="1770" w:type="dxa"/>
            <w:shd w:val="clear" w:color="auto" w:fill="auto"/>
            <w:vAlign w:val="bottom"/>
          </w:tcPr>
          <w:p w14:paraId="52F19C97" w14:textId="77777777"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1,13</w:t>
            </w:r>
          </w:p>
        </w:tc>
        <w:tc>
          <w:tcPr>
            <w:tcW w:w="1742" w:type="dxa"/>
            <w:shd w:val="clear" w:color="auto" w:fill="auto"/>
            <w:vAlign w:val="bottom"/>
          </w:tcPr>
          <w:p w14:paraId="1A111BC2"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0,61</w:t>
            </w:r>
          </w:p>
        </w:tc>
        <w:tc>
          <w:tcPr>
            <w:tcW w:w="1869" w:type="dxa"/>
            <w:shd w:val="clear" w:color="auto" w:fill="auto"/>
            <w:vAlign w:val="bottom"/>
          </w:tcPr>
          <w:p w14:paraId="1D629F38"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0,55***</w:t>
            </w:r>
          </w:p>
        </w:tc>
      </w:tr>
      <w:tr w:rsidR="007D7CE1" w:rsidRPr="0009637B" w14:paraId="5AF149A3" w14:textId="77777777" w:rsidTr="007D7CE1">
        <w:trPr>
          <w:cantSplit/>
          <w:trHeight w:val="28"/>
          <w:jc w:val="center"/>
        </w:trPr>
        <w:tc>
          <w:tcPr>
            <w:tcW w:w="3819" w:type="dxa"/>
            <w:shd w:val="clear" w:color="auto" w:fill="auto"/>
            <w:vAlign w:val="bottom"/>
          </w:tcPr>
          <w:p w14:paraId="19EE4F7A" w14:textId="77777777" w:rsidR="007D7CE1" w:rsidRPr="005474B2" w:rsidRDefault="007D7CE1" w:rsidP="0009637B">
            <w:pPr>
              <w:keepNext/>
              <w:keepLines/>
              <w:widowControl w:val="0"/>
              <w:tabs>
                <w:tab w:val="left" w:pos="284"/>
              </w:tabs>
              <w:ind w:left="278"/>
              <w:jc w:val="both"/>
              <w:rPr>
                <w:sz w:val="22"/>
                <w:szCs w:val="22"/>
                <w:lang w:val="sr-Latn-ME"/>
              </w:rPr>
            </w:pPr>
            <w:r w:rsidRPr="005474B2">
              <w:rPr>
                <w:sz w:val="22"/>
                <w:szCs w:val="22"/>
                <w:lang w:val="sr-Latn-ME"/>
              </w:rPr>
              <w:t>ASAS 5/6, %</w:t>
            </w:r>
          </w:p>
        </w:tc>
        <w:tc>
          <w:tcPr>
            <w:tcW w:w="1770" w:type="dxa"/>
            <w:shd w:val="clear" w:color="auto" w:fill="auto"/>
            <w:vAlign w:val="bottom"/>
          </w:tcPr>
          <w:p w14:paraId="666BB04B" w14:textId="77777777"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8,1</w:t>
            </w:r>
          </w:p>
        </w:tc>
        <w:tc>
          <w:tcPr>
            <w:tcW w:w="1742" w:type="dxa"/>
            <w:shd w:val="clear" w:color="auto" w:fill="auto"/>
            <w:vAlign w:val="bottom"/>
          </w:tcPr>
          <w:p w14:paraId="4C571732"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34,2</w:t>
            </w:r>
          </w:p>
        </w:tc>
        <w:tc>
          <w:tcPr>
            <w:tcW w:w="1869" w:type="dxa"/>
            <w:shd w:val="clear" w:color="auto" w:fill="auto"/>
            <w:vAlign w:val="bottom"/>
          </w:tcPr>
          <w:p w14:paraId="4421ACDC"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43,1***</w:t>
            </w:r>
          </w:p>
        </w:tc>
      </w:tr>
      <w:tr w:rsidR="007D7CE1" w:rsidRPr="0009637B" w14:paraId="6FFA9A75" w14:textId="77777777" w:rsidTr="007D7CE1">
        <w:trPr>
          <w:cantSplit/>
          <w:trHeight w:val="28"/>
          <w:jc w:val="center"/>
        </w:trPr>
        <w:tc>
          <w:tcPr>
            <w:tcW w:w="3819" w:type="dxa"/>
            <w:shd w:val="clear" w:color="auto" w:fill="auto"/>
            <w:vAlign w:val="bottom"/>
          </w:tcPr>
          <w:p w14:paraId="75A2EA9F" w14:textId="77777777" w:rsidR="007D7CE1" w:rsidRPr="005474B2" w:rsidRDefault="007D7CE1" w:rsidP="0009637B">
            <w:pPr>
              <w:keepNext/>
              <w:keepLines/>
              <w:widowControl w:val="0"/>
              <w:tabs>
                <w:tab w:val="left" w:pos="284"/>
              </w:tabs>
              <w:ind w:left="278"/>
              <w:jc w:val="both"/>
              <w:rPr>
                <w:sz w:val="22"/>
                <w:szCs w:val="22"/>
                <w:lang w:val="sr-Latn-ME"/>
              </w:rPr>
            </w:pPr>
            <w:r w:rsidRPr="005474B2">
              <w:rPr>
                <w:sz w:val="22"/>
                <w:szCs w:val="22"/>
                <w:lang w:val="sr-Latn-ME"/>
              </w:rPr>
              <w:t>ASAS d</w:t>
            </w:r>
            <w:r w:rsidR="008F70AE" w:rsidRPr="005474B2">
              <w:rPr>
                <w:sz w:val="22"/>
                <w:szCs w:val="22"/>
                <w:lang w:val="sr-Latn-ME"/>
              </w:rPr>
              <w:t>j</w:t>
            </w:r>
            <w:r w:rsidRPr="005474B2">
              <w:rPr>
                <w:sz w:val="22"/>
                <w:szCs w:val="22"/>
                <w:lang w:val="sr-Latn-ME"/>
              </w:rPr>
              <w:t>elimična remisija, %</w:t>
            </w:r>
          </w:p>
        </w:tc>
        <w:tc>
          <w:tcPr>
            <w:tcW w:w="1770" w:type="dxa"/>
            <w:shd w:val="clear" w:color="auto" w:fill="auto"/>
            <w:vAlign w:val="bottom"/>
          </w:tcPr>
          <w:p w14:paraId="060FD1FF" w14:textId="77777777"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4,1</w:t>
            </w:r>
          </w:p>
        </w:tc>
        <w:tc>
          <w:tcPr>
            <w:tcW w:w="1742" w:type="dxa"/>
            <w:shd w:val="clear" w:color="auto" w:fill="auto"/>
            <w:vAlign w:val="bottom"/>
          </w:tcPr>
          <w:p w14:paraId="27F7DD69"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15,1</w:t>
            </w:r>
          </w:p>
        </w:tc>
        <w:tc>
          <w:tcPr>
            <w:tcW w:w="1869" w:type="dxa"/>
            <w:shd w:val="clear" w:color="auto" w:fill="auto"/>
            <w:vAlign w:val="bottom"/>
          </w:tcPr>
          <w:p w14:paraId="6AF5BA57"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13,9</w:t>
            </w:r>
          </w:p>
        </w:tc>
      </w:tr>
      <w:tr w:rsidR="007D7CE1" w:rsidRPr="0009637B" w14:paraId="697F14C9" w14:textId="77777777" w:rsidTr="007D7CE1">
        <w:trPr>
          <w:cantSplit/>
          <w:trHeight w:val="28"/>
          <w:jc w:val="center"/>
        </w:trPr>
        <w:tc>
          <w:tcPr>
            <w:tcW w:w="3819" w:type="dxa"/>
            <w:shd w:val="clear" w:color="auto" w:fill="auto"/>
            <w:vAlign w:val="bottom"/>
          </w:tcPr>
          <w:p w14:paraId="7C046845" w14:textId="77777777" w:rsidR="007D7CE1" w:rsidRPr="005474B2" w:rsidRDefault="007D7CE1" w:rsidP="0009637B">
            <w:pPr>
              <w:keepNext/>
              <w:keepLines/>
              <w:widowControl w:val="0"/>
              <w:tabs>
                <w:tab w:val="left" w:pos="284"/>
              </w:tabs>
              <w:ind w:left="278"/>
              <w:jc w:val="both"/>
              <w:rPr>
                <w:sz w:val="22"/>
                <w:szCs w:val="22"/>
                <w:lang w:val="sr-Latn-ME"/>
              </w:rPr>
            </w:pPr>
            <w:r w:rsidRPr="005474B2">
              <w:rPr>
                <w:sz w:val="22"/>
                <w:szCs w:val="22"/>
                <w:lang w:val="sr-Latn-ME"/>
              </w:rPr>
              <w:t>BASDAI 50, %</w:t>
            </w:r>
          </w:p>
        </w:tc>
        <w:tc>
          <w:tcPr>
            <w:tcW w:w="1770" w:type="dxa"/>
            <w:shd w:val="clear" w:color="auto" w:fill="auto"/>
            <w:vAlign w:val="bottom"/>
          </w:tcPr>
          <w:p w14:paraId="50212350" w14:textId="77777777"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10,8</w:t>
            </w:r>
          </w:p>
        </w:tc>
        <w:tc>
          <w:tcPr>
            <w:tcW w:w="1742" w:type="dxa"/>
            <w:shd w:val="clear" w:color="auto" w:fill="auto"/>
            <w:vAlign w:val="bottom"/>
          </w:tcPr>
          <w:p w14:paraId="2254A4D5"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24,7*</w:t>
            </w:r>
          </w:p>
        </w:tc>
        <w:tc>
          <w:tcPr>
            <w:tcW w:w="1869" w:type="dxa"/>
            <w:shd w:val="clear" w:color="auto" w:fill="auto"/>
            <w:vAlign w:val="bottom"/>
          </w:tcPr>
          <w:p w14:paraId="24444105"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30,6**</w:t>
            </w:r>
          </w:p>
        </w:tc>
      </w:tr>
      <w:tr w:rsidR="007D7CE1" w:rsidRPr="0009637B" w14:paraId="6DE6CCD2" w14:textId="77777777" w:rsidTr="007D7CE1">
        <w:trPr>
          <w:cantSplit/>
          <w:trHeight w:val="28"/>
          <w:jc w:val="center"/>
        </w:trPr>
        <w:tc>
          <w:tcPr>
            <w:tcW w:w="3819" w:type="dxa"/>
            <w:shd w:val="clear" w:color="auto" w:fill="auto"/>
            <w:vAlign w:val="bottom"/>
          </w:tcPr>
          <w:p w14:paraId="4B4D5728" w14:textId="77777777" w:rsidR="007D7CE1" w:rsidRPr="005474B2" w:rsidRDefault="007D7CE1" w:rsidP="0009637B">
            <w:pPr>
              <w:keepNext/>
              <w:keepLines/>
              <w:widowControl w:val="0"/>
              <w:tabs>
                <w:tab w:val="left" w:pos="284"/>
              </w:tabs>
              <w:ind w:left="278"/>
              <w:jc w:val="both"/>
              <w:rPr>
                <w:sz w:val="22"/>
                <w:szCs w:val="22"/>
                <w:lang w:val="sr-Latn-ME"/>
              </w:rPr>
            </w:pPr>
            <w:r w:rsidRPr="005474B2">
              <w:rPr>
                <w:sz w:val="22"/>
                <w:szCs w:val="22"/>
                <w:lang w:val="sr-Latn-ME"/>
              </w:rPr>
              <w:t>ASDAS-CRP veliko poboljšanje</w:t>
            </w:r>
          </w:p>
        </w:tc>
        <w:tc>
          <w:tcPr>
            <w:tcW w:w="1770" w:type="dxa"/>
            <w:shd w:val="clear" w:color="auto" w:fill="auto"/>
            <w:vAlign w:val="bottom"/>
          </w:tcPr>
          <w:p w14:paraId="71158833" w14:textId="77777777"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4,1</w:t>
            </w:r>
          </w:p>
        </w:tc>
        <w:tc>
          <w:tcPr>
            <w:tcW w:w="1742" w:type="dxa"/>
            <w:shd w:val="clear" w:color="auto" w:fill="auto"/>
            <w:vAlign w:val="bottom"/>
          </w:tcPr>
          <w:p w14:paraId="6216F13B"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15,1*</w:t>
            </w:r>
          </w:p>
        </w:tc>
        <w:tc>
          <w:tcPr>
            <w:tcW w:w="1869" w:type="dxa"/>
            <w:shd w:val="clear" w:color="auto" w:fill="auto"/>
            <w:vAlign w:val="bottom"/>
          </w:tcPr>
          <w:p w14:paraId="25314312" w14:textId="7777777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25,0***</w:t>
            </w:r>
          </w:p>
        </w:tc>
      </w:tr>
      <w:tr w:rsidR="007D7CE1" w:rsidRPr="0009637B" w14:paraId="3CC0D578" w14:textId="77777777" w:rsidTr="007D7CE1">
        <w:trPr>
          <w:cantSplit/>
          <w:trHeight w:val="416"/>
          <w:jc w:val="center"/>
        </w:trPr>
        <w:tc>
          <w:tcPr>
            <w:tcW w:w="9200" w:type="dxa"/>
            <w:gridSpan w:val="4"/>
            <w:shd w:val="clear" w:color="auto" w:fill="auto"/>
          </w:tcPr>
          <w:p w14:paraId="4A4C98D6" w14:textId="77777777"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 p&lt;0,05, ** p&lt;0,01, *** p&lt;0,001; u odnosu na placebo</w:t>
            </w:r>
          </w:p>
          <w:p w14:paraId="77903004" w14:textId="3A61ACDB" w:rsidR="007D7CE1" w:rsidRPr="005474B2" w:rsidRDefault="007D7CE1" w:rsidP="0009637B">
            <w:pPr>
              <w:keepNext/>
              <w:keepLines/>
              <w:widowControl w:val="0"/>
              <w:tabs>
                <w:tab w:val="left" w:pos="284"/>
              </w:tabs>
              <w:jc w:val="both"/>
              <w:rPr>
                <w:sz w:val="22"/>
                <w:szCs w:val="22"/>
                <w:lang w:val="sr-Latn-ME"/>
              </w:rPr>
            </w:pPr>
            <w:r w:rsidRPr="005474B2">
              <w:rPr>
                <w:sz w:val="22"/>
                <w:szCs w:val="22"/>
                <w:lang w:val="sr-Latn-ME"/>
              </w:rPr>
              <w:t>Sve p-</w:t>
            </w:r>
            <w:r w:rsidR="00A233FB" w:rsidRPr="005474B2">
              <w:rPr>
                <w:sz w:val="22"/>
                <w:szCs w:val="22"/>
                <w:lang w:val="sr-Latn-ME"/>
              </w:rPr>
              <w:t>vrijednosti</w:t>
            </w:r>
            <w:r w:rsidRPr="005474B2">
              <w:rPr>
                <w:sz w:val="22"/>
                <w:szCs w:val="22"/>
                <w:lang w:val="sr-Latn-ME"/>
              </w:rPr>
              <w:t xml:space="preserve"> prilagođene za višestrukost testiranja na osnovu unapr</w:t>
            </w:r>
            <w:r w:rsidR="002755A3" w:rsidRPr="005474B2">
              <w:rPr>
                <w:sz w:val="22"/>
                <w:szCs w:val="22"/>
                <w:lang w:val="sr-Latn-ME"/>
              </w:rPr>
              <w:t>ij</w:t>
            </w:r>
            <w:r w:rsidRPr="005474B2">
              <w:rPr>
                <w:sz w:val="22"/>
                <w:szCs w:val="22"/>
                <w:lang w:val="sr-Latn-ME"/>
              </w:rPr>
              <w:t>ed definisane hijerarhije, osim BASDAI 50 i ASDAS-CRP</w:t>
            </w:r>
          </w:p>
          <w:p w14:paraId="718F0754" w14:textId="40AF8857"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Imputacija pacijenata bez odgovora upotr</w:t>
            </w:r>
            <w:r w:rsidR="002755A3" w:rsidRPr="005474B2">
              <w:rPr>
                <w:sz w:val="22"/>
                <w:szCs w:val="22"/>
                <w:lang w:val="sr-Latn-ME"/>
              </w:rPr>
              <w:t>ij</w:t>
            </w:r>
            <w:r w:rsidRPr="005474B2">
              <w:rPr>
                <w:sz w:val="22"/>
                <w:szCs w:val="22"/>
                <w:lang w:val="sr-Latn-ME"/>
              </w:rPr>
              <w:t>ebljena je za binarni parametar efikasnosti koji nedostaje</w:t>
            </w:r>
            <w:r w:rsidR="002755A3" w:rsidRPr="005474B2">
              <w:rPr>
                <w:sz w:val="22"/>
                <w:szCs w:val="22"/>
                <w:lang w:val="sr-Latn-ME"/>
              </w:rPr>
              <w:t>.</w:t>
            </w:r>
          </w:p>
          <w:p w14:paraId="171927B7" w14:textId="77777777" w:rsidR="007D7CE1" w:rsidRPr="005474B2" w:rsidRDefault="007D7CE1">
            <w:pPr>
              <w:keepNext/>
              <w:keepLines/>
              <w:widowControl w:val="0"/>
              <w:tabs>
                <w:tab w:val="left" w:pos="284"/>
              </w:tabs>
              <w:jc w:val="both"/>
              <w:rPr>
                <w:sz w:val="22"/>
                <w:szCs w:val="22"/>
                <w:lang w:val="sr-Latn-ME"/>
              </w:rPr>
            </w:pPr>
          </w:p>
          <w:p w14:paraId="3B15573F" w14:textId="73AE1513"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 xml:space="preserve">ASAS: kriterijumi Međunarodnog društva za </w:t>
            </w:r>
            <w:r w:rsidR="00C41FCA" w:rsidRPr="005474B2">
              <w:rPr>
                <w:sz w:val="22"/>
                <w:szCs w:val="22"/>
                <w:lang w:val="sr-Latn-ME"/>
              </w:rPr>
              <w:t>procjenu</w:t>
            </w:r>
            <w:r w:rsidRPr="005474B2">
              <w:rPr>
                <w:sz w:val="22"/>
                <w:szCs w:val="22"/>
                <w:lang w:val="sr-Latn-ME"/>
              </w:rPr>
              <w:t xml:space="preserve"> spondiloartritisa; BASDAI: </w:t>
            </w:r>
            <w:r w:rsidRPr="005474B2">
              <w:rPr>
                <w:i/>
                <w:sz w:val="22"/>
                <w:szCs w:val="22"/>
                <w:lang w:val="sr-Latn-ME"/>
              </w:rPr>
              <w:t>Bath</w:t>
            </w:r>
            <w:r w:rsidRPr="005474B2">
              <w:rPr>
                <w:sz w:val="22"/>
                <w:szCs w:val="22"/>
                <w:lang w:val="sr-Latn-ME"/>
              </w:rPr>
              <w:t xml:space="preserve"> indeks aktivnosti ankilozirajućeg spondilitisa; hsCRP: C-reaktivni protein visoke </w:t>
            </w:r>
            <w:r w:rsidR="009A4880" w:rsidRPr="005474B2">
              <w:rPr>
                <w:sz w:val="22"/>
                <w:szCs w:val="22"/>
                <w:lang w:val="sr-Latn-ME"/>
              </w:rPr>
              <w:t>osjetljivost</w:t>
            </w:r>
            <w:r w:rsidRPr="005474B2">
              <w:rPr>
                <w:sz w:val="22"/>
                <w:szCs w:val="22"/>
                <w:lang w:val="sr-Latn-ME"/>
              </w:rPr>
              <w:t xml:space="preserve">i; ASDAS: Rezultat za aktivnost ankilozirajućeg spondilitisa; </w:t>
            </w:r>
            <w:r w:rsidR="002755A3" w:rsidRPr="005474B2">
              <w:rPr>
                <w:sz w:val="22"/>
                <w:szCs w:val="22"/>
                <w:lang w:val="sr-Latn-ME"/>
              </w:rPr>
              <w:t>PV</w:t>
            </w:r>
            <w:r w:rsidRPr="005474B2">
              <w:rPr>
                <w:sz w:val="22"/>
                <w:szCs w:val="22"/>
                <w:lang w:val="sr-Latn-ME"/>
              </w:rPr>
              <w:t xml:space="preserve">: početna </w:t>
            </w:r>
            <w:r w:rsidR="00C41FCA" w:rsidRPr="005474B2">
              <w:rPr>
                <w:sz w:val="22"/>
                <w:szCs w:val="22"/>
                <w:lang w:val="sr-Latn-ME"/>
              </w:rPr>
              <w:t>vrijednost</w:t>
            </w:r>
          </w:p>
        </w:tc>
      </w:tr>
    </w:tbl>
    <w:p w14:paraId="4CCA1E4E" w14:textId="77777777" w:rsidR="007D7CE1" w:rsidRPr="005474B2" w:rsidRDefault="007D7CE1" w:rsidP="0009637B">
      <w:pPr>
        <w:keepNext/>
        <w:widowControl w:val="0"/>
        <w:tabs>
          <w:tab w:val="left" w:pos="567"/>
        </w:tabs>
        <w:jc w:val="both"/>
        <w:outlineLvl w:val="6"/>
        <w:rPr>
          <w:b/>
          <w:sz w:val="22"/>
          <w:szCs w:val="22"/>
          <w:lang w:val="sr-Latn-ME"/>
        </w:rPr>
      </w:pPr>
    </w:p>
    <w:p w14:paraId="00F97BA5" w14:textId="77777777" w:rsidR="007D7CE1" w:rsidRPr="005474B2" w:rsidRDefault="007D7CE1" w:rsidP="0009637B">
      <w:pPr>
        <w:tabs>
          <w:tab w:val="left" w:pos="284"/>
        </w:tabs>
        <w:jc w:val="both"/>
        <w:rPr>
          <w:sz w:val="22"/>
          <w:szCs w:val="22"/>
          <w:lang w:val="sr-Latn-ME"/>
        </w:rPr>
      </w:pPr>
      <w:r w:rsidRPr="005474B2">
        <w:rPr>
          <w:sz w:val="22"/>
          <w:szCs w:val="22"/>
          <w:lang w:val="sr-Latn-ME"/>
        </w:rPr>
        <w:t xml:space="preserve">Početak dejstva sekukinumaba 150 mg je nastupio već u 1. </w:t>
      </w:r>
      <w:r w:rsidR="009A4880" w:rsidRPr="005474B2">
        <w:rPr>
          <w:sz w:val="22"/>
          <w:szCs w:val="22"/>
          <w:lang w:val="sr-Latn-ME"/>
        </w:rPr>
        <w:t>nedjelj</w:t>
      </w:r>
      <w:r w:rsidRPr="005474B2">
        <w:rPr>
          <w:sz w:val="22"/>
          <w:szCs w:val="22"/>
          <w:lang w:val="sr-Latn-ME"/>
        </w:rPr>
        <w:t xml:space="preserve">i za ASAS 20 i u 2. </w:t>
      </w:r>
      <w:r w:rsidR="009A4880" w:rsidRPr="005474B2">
        <w:rPr>
          <w:sz w:val="22"/>
          <w:szCs w:val="22"/>
          <w:lang w:val="sr-Latn-ME"/>
        </w:rPr>
        <w:t>nedjelj</w:t>
      </w:r>
      <w:r w:rsidRPr="005474B2">
        <w:rPr>
          <w:sz w:val="22"/>
          <w:szCs w:val="22"/>
          <w:lang w:val="sr-Latn-ME"/>
        </w:rPr>
        <w:t>i za ASAS 40 (superiorniji u odnosu na placebo) u AS Studiji 2.</w:t>
      </w:r>
    </w:p>
    <w:p w14:paraId="7E090C3B" w14:textId="77777777" w:rsidR="007D7CE1" w:rsidRPr="005474B2" w:rsidRDefault="007D7CE1">
      <w:pPr>
        <w:tabs>
          <w:tab w:val="left" w:pos="284"/>
        </w:tabs>
        <w:jc w:val="both"/>
        <w:rPr>
          <w:sz w:val="22"/>
          <w:szCs w:val="22"/>
          <w:lang w:val="sr-Latn-ME"/>
        </w:rPr>
      </w:pPr>
    </w:p>
    <w:p w14:paraId="3C27227B" w14:textId="6F933940" w:rsidR="007D7CE1" w:rsidRPr="005474B2" w:rsidRDefault="007D7CE1">
      <w:pPr>
        <w:tabs>
          <w:tab w:val="left" w:pos="284"/>
        </w:tabs>
        <w:jc w:val="both"/>
        <w:rPr>
          <w:sz w:val="22"/>
          <w:szCs w:val="22"/>
          <w:lang w:val="sr-Latn-ME"/>
        </w:rPr>
      </w:pPr>
      <w:r w:rsidRPr="005474B2">
        <w:rPr>
          <w:sz w:val="22"/>
          <w:szCs w:val="22"/>
          <w:lang w:val="sr-Latn-ME"/>
        </w:rPr>
        <w:t xml:space="preserve">ASAS 20 odgovori su bili poboljšani u 16. </w:t>
      </w:r>
      <w:r w:rsidR="009A4880" w:rsidRPr="005474B2">
        <w:rPr>
          <w:sz w:val="22"/>
          <w:szCs w:val="22"/>
          <w:lang w:val="sr-Latn-ME"/>
        </w:rPr>
        <w:t>nedjelj</w:t>
      </w:r>
      <w:r w:rsidRPr="005474B2">
        <w:rPr>
          <w:sz w:val="22"/>
          <w:szCs w:val="22"/>
          <w:lang w:val="sr-Latn-ME"/>
        </w:rPr>
        <w:t>i i kod pacijenata koji ni</w:t>
      </w:r>
      <w:r w:rsidR="00746619" w:rsidRPr="005474B2">
        <w:rPr>
          <w:sz w:val="22"/>
          <w:szCs w:val="22"/>
          <w:lang w:val="sr-Latn-ME"/>
        </w:rPr>
        <w:t>je</w:t>
      </w:r>
      <w:r w:rsidRPr="005474B2">
        <w:rPr>
          <w:sz w:val="22"/>
          <w:szCs w:val="22"/>
          <w:lang w:val="sr-Latn-ME"/>
        </w:rPr>
        <w:t>su prethodno primali anti-TNFα terapiju (68,2% u odnosu na 31,1%; p&lt;0,05) i kod anti-TNFα IR pacijenata (50,0% u odnosu na 24,1%; p&lt;0,05) za sekukinumab 150 mg u poređenju sa placebom.</w:t>
      </w:r>
    </w:p>
    <w:p w14:paraId="44628F0B" w14:textId="77777777" w:rsidR="007D7CE1" w:rsidRPr="005474B2" w:rsidRDefault="007D7CE1">
      <w:pPr>
        <w:tabs>
          <w:tab w:val="left" w:pos="284"/>
        </w:tabs>
        <w:jc w:val="both"/>
        <w:rPr>
          <w:sz w:val="22"/>
          <w:szCs w:val="22"/>
          <w:lang w:val="sr-Latn-ME"/>
        </w:rPr>
      </w:pPr>
    </w:p>
    <w:p w14:paraId="141661FB" w14:textId="0D468379" w:rsidR="007D7CE1" w:rsidRPr="005474B2" w:rsidRDefault="007D7CE1">
      <w:pPr>
        <w:tabs>
          <w:tab w:val="left" w:pos="284"/>
        </w:tabs>
        <w:jc w:val="both"/>
        <w:rPr>
          <w:sz w:val="22"/>
          <w:szCs w:val="22"/>
          <w:lang w:val="sr-Latn-ME"/>
        </w:rPr>
      </w:pPr>
      <w:r w:rsidRPr="005474B2">
        <w:rPr>
          <w:sz w:val="22"/>
          <w:szCs w:val="22"/>
          <w:lang w:val="sr-Latn-ME"/>
        </w:rPr>
        <w:t>U AS studiji 1 i AS studiji</w:t>
      </w:r>
      <w:r w:rsidRPr="005474B2" w:rsidDel="003C3D69">
        <w:rPr>
          <w:sz w:val="22"/>
          <w:szCs w:val="22"/>
          <w:lang w:val="sr-Latn-ME"/>
        </w:rPr>
        <w:t xml:space="preserve"> </w:t>
      </w:r>
      <w:r w:rsidRPr="005474B2">
        <w:rPr>
          <w:sz w:val="22"/>
          <w:szCs w:val="22"/>
          <w:lang w:val="sr-Latn-ME"/>
        </w:rPr>
        <w:t xml:space="preserve">2, kod pacijenata na terapiji sekukinumabom (150 mg u AS studiji 2 i oba režima u AS studiji 1) pokazano je značajno poboljšanje znakova i simptoma u 16. </w:t>
      </w:r>
      <w:r w:rsidR="009A4880" w:rsidRPr="005474B2">
        <w:rPr>
          <w:sz w:val="22"/>
          <w:szCs w:val="22"/>
          <w:lang w:val="sr-Latn-ME"/>
        </w:rPr>
        <w:t>nedjelj</w:t>
      </w:r>
      <w:r w:rsidRPr="005474B2">
        <w:rPr>
          <w:sz w:val="22"/>
          <w:szCs w:val="22"/>
          <w:lang w:val="sr-Latn-ME"/>
        </w:rPr>
        <w:t xml:space="preserve">i, sa uporedivom veličinom odgovora i </w:t>
      </w:r>
      <w:r w:rsidR="00F10075" w:rsidRPr="005474B2">
        <w:rPr>
          <w:sz w:val="22"/>
          <w:szCs w:val="22"/>
          <w:lang w:val="sr-Latn-ME"/>
        </w:rPr>
        <w:t xml:space="preserve">efikasnošću </w:t>
      </w:r>
      <w:r w:rsidRPr="005474B2">
        <w:rPr>
          <w:sz w:val="22"/>
          <w:szCs w:val="22"/>
          <w:lang w:val="sr-Latn-ME"/>
        </w:rPr>
        <w:t xml:space="preserve">održanom do 52. </w:t>
      </w:r>
      <w:r w:rsidR="009A4880" w:rsidRPr="005474B2">
        <w:rPr>
          <w:sz w:val="22"/>
          <w:szCs w:val="22"/>
          <w:lang w:val="sr-Latn-ME"/>
        </w:rPr>
        <w:t>nedjelj</w:t>
      </w:r>
      <w:r w:rsidRPr="005474B2">
        <w:rPr>
          <w:sz w:val="22"/>
          <w:szCs w:val="22"/>
          <w:lang w:val="sr-Latn-ME"/>
        </w:rPr>
        <w:t>e i kod pacijenata koji ni</w:t>
      </w:r>
      <w:r w:rsidR="00746619" w:rsidRPr="005474B2">
        <w:rPr>
          <w:sz w:val="22"/>
          <w:szCs w:val="22"/>
          <w:lang w:val="sr-Latn-ME"/>
        </w:rPr>
        <w:t>je</w:t>
      </w:r>
      <w:r w:rsidRPr="005474B2">
        <w:rPr>
          <w:sz w:val="22"/>
          <w:szCs w:val="22"/>
          <w:lang w:val="sr-Latn-ME"/>
        </w:rPr>
        <w:t>su prethodno primali anti-TNFα i kod anti-TNFα IR pacijenata. U AS studiji 2, od 72 pacijenta randomizovan</w:t>
      </w:r>
      <w:r w:rsidR="002755A3" w:rsidRPr="005474B2">
        <w:rPr>
          <w:sz w:val="22"/>
          <w:szCs w:val="22"/>
          <w:lang w:val="sr-Latn-ME"/>
        </w:rPr>
        <w:t>a</w:t>
      </w:r>
      <w:r w:rsidRPr="005474B2">
        <w:rPr>
          <w:sz w:val="22"/>
          <w:szCs w:val="22"/>
          <w:lang w:val="sr-Latn-ME"/>
        </w:rPr>
        <w:t xml:space="preserve"> na sekukinumab 150 mg na početku, 61 (84,7%) pacijent je bio i dalje na </w:t>
      </w:r>
      <w:r w:rsidR="009A4880" w:rsidRPr="005474B2">
        <w:rPr>
          <w:sz w:val="22"/>
          <w:szCs w:val="22"/>
          <w:lang w:val="sr-Latn-ME"/>
        </w:rPr>
        <w:t>liječ</w:t>
      </w:r>
      <w:r w:rsidRPr="005474B2">
        <w:rPr>
          <w:sz w:val="22"/>
          <w:szCs w:val="22"/>
          <w:lang w:val="sr-Latn-ME"/>
        </w:rPr>
        <w:t xml:space="preserve">enju u 52. </w:t>
      </w:r>
      <w:r w:rsidR="009A4880" w:rsidRPr="005474B2">
        <w:rPr>
          <w:sz w:val="22"/>
          <w:szCs w:val="22"/>
          <w:lang w:val="sr-Latn-ME"/>
        </w:rPr>
        <w:t>nedjelj</w:t>
      </w:r>
      <w:r w:rsidRPr="005474B2">
        <w:rPr>
          <w:sz w:val="22"/>
          <w:szCs w:val="22"/>
          <w:lang w:val="sr-Latn-ME"/>
        </w:rPr>
        <w:t>i. Od 72 pacijenta randomizovan</w:t>
      </w:r>
      <w:r w:rsidR="002755A3" w:rsidRPr="005474B2">
        <w:rPr>
          <w:sz w:val="22"/>
          <w:szCs w:val="22"/>
          <w:lang w:val="sr-Latn-ME"/>
        </w:rPr>
        <w:t>a</w:t>
      </w:r>
      <w:r w:rsidRPr="005474B2">
        <w:rPr>
          <w:sz w:val="22"/>
          <w:szCs w:val="22"/>
          <w:lang w:val="sr-Latn-ME"/>
        </w:rPr>
        <w:t xml:space="preserve"> na sekukinumab 150 mg, 45 odnosno 35 su imali ASAS 20/40 odgovor.</w:t>
      </w:r>
    </w:p>
    <w:p w14:paraId="39B98A83" w14:textId="77777777" w:rsidR="007D7CE1" w:rsidRPr="005474B2" w:rsidRDefault="007D7CE1">
      <w:pPr>
        <w:tabs>
          <w:tab w:val="left" w:pos="284"/>
        </w:tabs>
        <w:jc w:val="both"/>
        <w:rPr>
          <w:sz w:val="22"/>
          <w:szCs w:val="22"/>
          <w:lang w:val="sr-Latn-ME"/>
        </w:rPr>
      </w:pPr>
    </w:p>
    <w:p w14:paraId="0CA42C29" w14:textId="6CB9F261" w:rsidR="007D7CE1" w:rsidRPr="005474B2" w:rsidRDefault="007D7CE1">
      <w:pPr>
        <w:tabs>
          <w:tab w:val="left" w:pos="284"/>
        </w:tabs>
        <w:jc w:val="both"/>
        <w:rPr>
          <w:sz w:val="22"/>
          <w:szCs w:val="22"/>
          <w:lang w:val="sr-Latn-ME"/>
        </w:rPr>
      </w:pPr>
      <w:r w:rsidRPr="005474B2">
        <w:rPr>
          <w:sz w:val="22"/>
          <w:szCs w:val="22"/>
          <w:lang w:val="sr-Latn-ME"/>
        </w:rPr>
        <w:t>U AS studiji 3, pacijenti na terapiji sekukinumabom (150 mg i 300 mg) su pokazali poboljšanje znakova i simptoma, i imali su uporedive odgovore u pogledu efikasnosti bez obzira na dozu, koji su bili superiorni u o</w:t>
      </w:r>
      <w:r w:rsidR="005D4CF6">
        <w:rPr>
          <w:sz w:val="22"/>
          <w:szCs w:val="22"/>
          <w:lang w:val="sr-Latn-ME"/>
        </w:rPr>
        <w:t>d</w:t>
      </w:r>
      <w:r w:rsidRPr="005474B2">
        <w:rPr>
          <w:sz w:val="22"/>
          <w:szCs w:val="22"/>
          <w:lang w:val="sr-Latn-ME"/>
        </w:rPr>
        <w:t xml:space="preserve">nosu na placebo grupu u 16. </w:t>
      </w:r>
      <w:r w:rsidR="009A4880" w:rsidRPr="005474B2">
        <w:rPr>
          <w:sz w:val="22"/>
          <w:szCs w:val="22"/>
          <w:lang w:val="sr-Latn-ME"/>
        </w:rPr>
        <w:t>nedjelj</w:t>
      </w:r>
      <w:r w:rsidRPr="005474B2">
        <w:rPr>
          <w:sz w:val="22"/>
          <w:szCs w:val="22"/>
          <w:lang w:val="sr-Latn-ME"/>
        </w:rPr>
        <w:t>i za primarni parametar praćenja studije (ASAS 20). Generalno gledano, stope odgovora u pogledu efikasnosti u grupi koja je primala 300 mg su bile konzistentno veće u poređenju sa grupom koja je primala 150 mg za m</w:t>
      </w:r>
      <w:r w:rsidR="008F70AE" w:rsidRPr="005474B2">
        <w:rPr>
          <w:sz w:val="22"/>
          <w:szCs w:val="22"/>
          <w:lang w:val="sr-Latn-ME"/>
        </w:rPr>
        <w:t>j</w:t>
      </w:r>
      <w:r w:rsidRPr="005474B2">
        <w:rPr>
          <w:sz w:val="22"/>
          <w:szCs w:val="22"/>
          <w:lang w:val="sr-Latn-ME"/>
        </w:rPr>
        <w:t xml:space="preserve">ere sekundarnih ishoda. Tokom maskiranog perioda, ASAS 20 i ASAS 40 su bili 69,7% odnosno 47,6% za 150 mg, i 74,3% odnosno 57,4% za 300 mg u 52. </w:t>
      </w:r>
      <w:r w:rsidR="009A4880" w:rsidRPr="005474B2">
        <w:rPr>
          <w:sz w:val="22"/>
          <w:szCs w:val="22"/>
          <w:lang w:val="sr-Latn-ME"/>
        </w:rPr>
        <w:t>nedjelj</w:t>
      </w:r>
      <w:r w:rsidRPr="005474B2">
        <w:rPr>
          <w:sz w:val="22"/>
          <w:szCs w:val="22"/>
          <w:lang w:val="sr-Latn-ME"/>
        </w:rPr>
        <w:t xml:space="preserve">i. Odgovori ASAS 20 i ASAS 40 su se održali do 156. </w:t>
      </w:r>
      <w:r w:rsidR="009A4880" w:rsidRPr="005474B2">
        <w:rPr>
          <w:sz w:val="22"/>
          <w:szCs w:val="22"/>
          <w:lang w:val="sr-Latn-ME"/>
        </w:rPr>
        <w:t>nedjelj</w:t>
      </w:r>
      <w:r w:rsidRPr="005474B2">
        <w:rPr>
          <w:sz w:val="22"/>
          <w:szCs w:val="22"/>
          <w:lang w:val="sr-Latn-ME"/>
        </w:rPr>
        <w:t>e (69,5% i 47,6% za 150 mg, u odnosu na 74,8% i 55,6% za 300 mg). Veće stope odgovora u korist 300 mg, takođe su prim</w:t>
      </w:r>
      <w:r w:rsidR="008F70AE" w:rsidRPr="005474B2">
        <w:rPr>
          <w:sz w:val="22"/>
          <w:szCs w:val="22"/>
          <w:lang w:val="sr-Latn-ME"/>
        </w:rPr>
        <w:t>ij</w:t>
      </w:r>
      <w:r w:rsidRPr="005474B2">
        <w:rPr>
          <w:sz w:val="22"/>
          <w:szCs w:val="22"/>
          <w:lang w:val="sr-Latn-ME"/>
        </w:rPr>
        <w:t>ećene i za ASAS odgovor d</w:t>
      </w:r>
      <w:r w:rsidR="008F70AE" w:rsidRPr="005474B2">
        <w:rPr>
          <w:sz w:val="22"/>
          <w:szCs w:val="22"/>
          <w:lang w:val="sr-Latn-ME"/>
        </w:rPr>
        <w:t>j</w:t>
      </w:r>
      <w:r w:rsidRPr="005474B2">
        <w:rPr>
          <w:sz w:val="22"/>
          <w:szCs w:val="22"/>
          <w:lang w:val="sr-Latn-ME"/>
        </w:rPr>
        <w:t xml:space="preserve">elimične remisije (ASAS PR) u 16. </w:t>
      </w:r>
      <w:r w:rsidR="009A4880" w:rsidRPr="005474B2">
        <w:rPr>
          <w:sz w:val="22"/>
          <w:szCs w:val="22"/>
          <w:lang w:val="sr-Latn-ME"/>
        </w:rPr>
        <w:t>nedjelj</w:t>
      </w:r>
      <w:r w:rsidRPr="005474B2">
        <w:rPr>
          <w:sz w:val="22"/>
          <w:szCs w:val="22"/>
          <w:lang w:val="sr-Latn-ME"/>
        </w:rPr>
        <w:t xml:space="preserve">i i održale su se do 156. </w:t>
      </w:r>
      <w:r w:rsidR="009A4880" w:rsidRPr="005474B2">
        <w:rPr>
          <w:sz w:val="22"/>
          <w:szCs w:val="22"/>
          <w:lang w:val="sr-Latn-ME"/>
        </w:rPr>
        <w:t>nedjelj</w:t>
      </w:r>
      <w:r w:rsidRPr="005474B2">
        <w:rPr>
          <w:sz w:val="22"/>
          <w:szCs w:val="22"/>
          <w:lang w:val="sr-Latn-ME"/>
        </w:rPr>
        <w:t>e. Veće razlike u stopama odgovora u korist 300 mg u odnosu na 150 mg su prim</w:t>
      </w:r>
      <w:r w:rsidR="008F70AE" w:rsidRPr="005474B2">
        <w:rPr>
          <w:sz w:val="22"/>
          <w:szCs w:val="22"/>
          <w:lang w:val="sr-Latn-ME"/>
        </w:rPr>
        <w:t>ij</w:t>
      </w:r>
      <w:r w:rsidRPr="005474B2">
        <w:rPr>
          <w:sz w:val="22"/>
          <w:szCs w:val="22"/>
          <w:lang w:val="sr-Latn-ME"/>
        </w:rPr>
        <w:t>ećene kod anti-TNFα</w:t>
      </w:r>
      <w:r w:rsidRPr="005474B2">
        <w:rPr>
          <w:sz w:val="22"/>
          <w:szCs w:val="22"/>
          <w:lang w:val="sr-Latn-ME"/>
        </w:rPr>
        <w:noBreakHyphen/>
        <w:t>IR pacijenata (n=36) u poređenju sa anti</w:t>
      </w:r>
      <w:r w:rsidRPr="005474B2">
        <w:rPr>
          <w:sz w:val="22"/>
          <w:szCs w:val="22"/>
          <w:lang w:val="sr-Latn-ME"/>
        </w:rPr>
        <w:noBreakHyphen/>
        <w:t>TNFα naivnim pacijentima (n=114).</w:t>
      </w:r>
    </w:p>
    <w:p w14:paraId="113EDF63" w14:textId="77777777" w:rsidR="007D7CE1" w:rsidRPr="005474B2" w:rsidRDefault="007D7CE1">
      <w:pPr>
        <w:tabs>
          <w:tab w:val="left" w:pos="284"/>
        </w:tabs>
        <w:jc w:val="both"/>
        <w:rPr>
          <w:sz w:val="22"/>
          <w:szCs w:val="22"/>
          <w:lang w:val="sr-Latn-ME"/>
        </w:rPr>
      </w:pPr>
    </w:p>
    <w:p w14:paraId="340C9F2C" w14:textId="154C15EA" w:rsidR="007D7CE1" w:rsidRPr="005474B2" w:rsidRDefault="007D7CE1">
      <w:pPr>
        <w:tabs>
          <w:tab w:val="left" w:pos="284"/>
        </w:tabs>
        <w:jc w:val="both"/>
        <w:rPr>
          <w:iCs/>
          <w:sz w:val="22"/>
          <w:szCs w:val="22"/>
          <w:lang w:val="sr-Latn-ME"/>
        </w:rPr>
      </w:pPr>
      <w:r w:rsidRPr="005474B2">
        <w:rPr>
          <w:iCs/>
          <w:sz w:val="22"/>
          <w:szCs w:val="22"/>
          <w:lang w:val="sr-Latn-ME"/>
        </w:rPr>
        <w:t>Spinalna pokretljivost</w:t>
      </w:r>
      <w:r w:rsidR="005D4CF6">
        <w:rPr>
          <w:iCs/>
          <w:sz w:val="22"/>
          <w:szCs w:val="22"/>
          <w:lang w:val="sr-Latn-ME"/>
        </w:rPr>
        <w:t>:</w:t>
      </w:r>
    </w:p>
    <w:p w14:paraId="63433C64" w14:textId="5A8EC591" w:rsidR="007D7CE1" w:rsidRDefault="007D7CE1">
      <w:pPr>
        <w:tabs>
          <w:tab w:val="left" w:pos="284"/>
        </w:tabs>
        <w:jc w:val="both"/>
        <w:rPr>
          <w:sz w:val="22"/>
          <w:szCs w:val="22"/>
          <w:lang w:val="sr-Latn-ME"/>
        </w:rPr>
      </w:pPr>
      <w:r w:rsidRPr="005474B2">
        <w:rPr>
          <w:sz w:val="22"/>
          <w:szCs w:val="22"/>
          <w:lang w:val="sr-Latn-ME"/>
        </w:rPr>
        <w:t>Pacijenti na terapiji sekukinumabom 150 mg su pokazali poboljšanje u spinalnoj pokretljivosti m</w:t>
      </w:r>
      <w:r w:rsidR="008F70AE" w:rsidRPr="005474B2">
        <w:rPr>
          <w:sz w:val="22"/>
          <w:szCs w:val="22"/>
          <w:lang w:val="sr-Latn-ME"/>
        </w:rPr>
        <w:t>j</w:t>
      </w:r>
      <w:r w:rsidRPr="005474B2">
        <w:rPr>
          <w:sz w:val="22"/>
          <w:szCs w:val="22"/>
          <w:lang w:val="sr-Latn-ME"/>
        </w:rPr>
        <w:t>erenoj prom</w:t>
      </w:r>
      <w:r w:rsidR="008F70AE" w:rsidRPr="005474B2">
        <w:rPr>
          <w:sz w:val="22"/>
          <w:szCs w:val="22"/>
          <w:lang w:val="sr-Latn-ME"/>
        </w:rPr>
        <w:t>j</w:t>
      </w:r>
      <w:r w:rsidRPr="005474B2">
        <w:rPr>
          <w:sz w:val="22"/>
          <w:szCs w:val="22"/>
          <w:lang w:val="sr-Latn-ME"/>
        </w:rPr>
        <w:t xml:space="preserve">enom u odnosu na početne </w:t>
      </w:r>
      <w:r w:rsidR="00A233FB" w:rsidRPr="005474B2">
        <w:rPr>
          <w:sz w:val="22"/>
          <w:szCs w:val="22"/>
          <w:lang w:val="sr-Latn-ME"/>
        </w:rPr>
        <w:t>vrijednosti</w:t>
      </w:r>
      <w:r w:rsidRPr="005474B2">
        <w:rPr>
          <w:sz w:val="22"/>
          <w:szCs w:val="22"/>
          <w:lang w:val="sr-Latn-ME"/>
        </w:rPr>
        <w:t xml:space="preserve"> u BASMI u 16. </w:t>
      </w:r>
      <w:r w:rsidR="009A4880" w:rsidRPr="005474B2">
        <w:rPr>
          <w:sz w:val="22"/>
          <w:szCs w:val="22"/>
          <w:lang w:val="sr-Latn-ME"/>
        </w:rPr>
        <w:t>nedjelj</w:t>
      </w:r>
      <w:r w:rsidRPr="005474B2">
        <w:rPr>
          <w:sz w:val="22"/>
          <w:szCs w:val="22"/>
          <w:lang w:val="sr-Latn-ME"/>
        </w:rPr>
        <w:t xml:space="preserve">i i u prvom ispitivanju AS (-0,40 u odnosu na  -0,12 za placebo; p=0,0114) i u </w:t>
      </w:r>
      <w:r w:rsidR="002755A3" w:rsidRPr="005474B2">
        <w:rPr>
          <w:sz w:val="22"/>
          <w:szCs w:val="22"/>
          <w:lang w:val="sr-Latn-ME"/>
        </w:rPr>
        <w:t>s</w:t>
      </w:r>
      <w:r w:rsidRPr="005474B2">
        <w:rPr>
          <w:sz w:val="22"/>
          <w:szCs w:val="22"/>
          <w:lang w:val="sr-Latn-ME"/>
        </w:rPr>
        <w:t xml:space="preserve">tudiji 2 AS (-0,51 u odnosu na -0,22 za placebo; p=0,0533). Ova poboljšanja su se održala do 52. </w:t>
      </w:r>
      <w:r w:rsidR="009A4880" w:rsidRPr="005474B2">
        <w:rPr>
          <w:sz w:val="22"/>
          <w:szCs w:val="22"/>
          <w:lang w:val="sr-Latn-ME"/>
        </w:rPr>
        <w:t>nedjelj</w:t>
      </w:r>
      <w:r w:rsidRPr="005474B2">
        <w:rPr>
          <w:sz w:val="22"/>
          <w:szCs w:val="22"/>
          <w:lang w:val="sr-Latn-ME"/>
        </w:rPr>
        <w:t>e.</w:t>
      </w:r>
    </w:p>
    <w:p w14:paraId="6A5F26DB" w14:textId="77777777" w:rsidR="00726A15" w:rsidRPr="005474B2" w:rsidRDefault="00726A15">
      <w:pPr>
        <w:tabs>
          <w:tab w:val="left" w:pos="284"/>
        </w:tabs>
        <w:jc w:val="both"/>
        <w:rPr>
          <w:sz w:val="22"/>
          <w:szCs w:val="22"/>
          <w:lang w:val="sr-Latn-ME"/>
        </w:rPr>
      </w:pPr>
    </w:p>
    <w:p w14:paraId="6DCD947F" w14:textId="03E3CD6F" w:rsidR="007D7CE1" w:rsidRPr="005474B2" w:rsidRDefault="007D7CE1">
      <w:pPr>
        <w:tabs>
          <w:tab w:val="left" w:pos="284"/>
        </w:tabs>
        <w:jc w:val="both"/>
        <w:rPr>
          <w:iCs/>
          <w:sz w:val="22"/>
          <w:szCs w:val="22"/>
          <w:lang w:val="sr-Latn-ME"/>
        </w:rPr>
      </w:pPr>
      <w:r w:rsidRPr="005474B2">
        <w:rPr>
          <w:iCs/>
          <w:sz w:val="22"/>
          <w:szCs w:val="22"/>
          <w:lang w:val="sr-Latn-ME"/>
        </w:rPr>
        <w:t>Fizičke funkcije i kvalitet života povezan sa zdravljem</w:t>
      </w:r>
      <w:r w:rsidR="005D4CF6">
        <w:rPr>
          <w:iCs/>
          <w:sz w:val="22"/>
          <w:szCs w:val="22"/>
          <w:lang w:val="sr-Latn-ME"/>
        </w:rPr>
        <w:t>:</w:t>
      </w:r>
    </w:p>
    <w:p w14:paraId="02C6C034" w14:textId="323E2451" w:rsidR="007D7CE1" w:rsidRPr="005474B2" w:rsidRDefault="007D7CE1">
      <w:pPr>
        <w:tabs>
          <w:tab w:val="left" w:pos="284"/>
        </w:tabs>
        <w:jc w:val="both"/>
        <w:rPr>
          <w:sz w:val="22"/>
          <w:szCs w:val="22"/>
          <w:lang w:val="sr-Latn-ME"/>
        </w:rPr>
      </w:pPr>
      <w:r w:rsidRPr="005474B2">
        <w:rPr>
          <w:sz w:val="22"/>
          <w:szCs w:val="22"/>
          <w:lang w:val="sr-Latn-ME"/>
        </w:rPr>
        <w:t>U AS studiji 1 i studiji 2, pacijenti na terapiji sekukinumabom 150 mg su pokazali poboljšanja u kvalitetu života povezanim sa zdravljem m</w:t>
      </w:r>
      <w:r w:rsidR="008F70AE" w:rsidRPr="005474B2">
        <w:rPr>
          <w:sz w:val="22"/>
          <w:szCs w:val="22"/>
          <w:lang w:val="sr-Latn-ME"/>
        </w:rPr>
        <w:t>j</w:t>
      </w:r>
      <w:r w:rsidRPr="005474B2">
        <w:rPr>
          <w:sz w:val="22"/>
          <w:szCs w:val="22"/>
          <w:lang w:val="sr-Latn-ME"/>
        </w:rPr>
        <w:t xml:space="preserve">ereno putem AS Upitnika za kvalitet života (ASQoL , engl. </w:t>
      </w:r>
      <w:r w:rsidRPr="005474B2">
        <w:rPr>
          <w:i/>
          <w:iCs/>
          <w:sz w:val="22"/>
          <w:szCs w:val="22"/>
          <w:lang w:val="sr-Latn-ME"/>
        </w:rPr>
        <w:t>AS Quality of Life Questionnaire</w:t>
      </w:r>
      <w:r w:rsidRPr="005474B2">
        <w:rPr>
          <w:sz w:val="22"/>
          <w:szCs w:val="22"/>
          <w:lang w:val="sr-Latn-ME"/>
        </w:rPr>
        <w:t xml:space="preserve">) (p=0,001) i SF 36 Upitnika ukupne komponente fizičkog zdravlja (SF 36 PCS , engl. </w:t>
      </w:r>
      <w:r w:rsidRPr="005474B2">
        <w:rPr>
          <w:i/>
          <w:iCs/>
          <w:sz w:val="22"/>
          <w:szCs w:val="22"/>
          <w:lang w:val="sr-Latn-ME"/>
        </w:rPr>
        <w:t>SF-36 Physical Component Summary</w:t>
      </w:r>
      <w:r w:rsidRPr="005474B2">
        <w:rPr>
          <w:sz w:val="22"/>
          <w:szCs w:val="22"/>
          <w:lang w:val="sr-Latn-ME"/>
        </w:rPr>
        <w:t>) (p&lt;0,001). Pacijenti na terapiji sekukinumabom 150 mg su takođe pokazali statistički značajna poboljšanja eksploratornih parametara praćenja u fizičkoj funkciji oc</w:t>
      </w:r>
      <w:r w:rsidR="008F70AE" w:rsidRPr="005474B2">
        <w:rPr>
          <w:sz w:val="22"/>
          <w:szCs w:val="22"/>
          <w:lang w:val="sr-Latn-ME"/>
        </w:rPr>
        <w:t>ij</w:t>
      </w:r>
      <w:r w:rsidRPr="005474B2">
        <w:rPr>
          <w:sz w:val="22"/>
          <w:szCs w:val="22"/>
          <w:lang w:val="sr-Latn-ME"/>
        </w:rPr>
        <w:t xml:space="preserve">enjenoj putem </w:t>
      </w:r>
      <w:r w:rsidRPr="005474B2">
        <w:rPr>
          <w:i/>
          <w:sz w:val="22"/>
          <w:szCs w:val="22"/>
          <w:lang w:val="sr-Latn-ME"/>
        </w:rPr>
        <w:t>Bath</w:t>
      </w:r>
      <w:r w:rsidR="002755A3" w:rsidRPr="005474B2">
        <w:rPr>
          <w:sz w:val="22"/>
          <w:szCs w:val="22"/>
          <w:lang w:val="sr-Latn-ME"/>
        </w:rPr>
        <w:t>-</w:t>
      </w:r>
      <w:r w:rsidRPr="005474B2">
        <w:rPr>
          <w:sz w:val="22"/>
          <w:szCs w:val="22"/>
          <w:lang w:val="sr-Latn-ME"/>
        </w:rPr>
        <w:t xml:space="preserve">ovog funkcionalnog indeksa za ankilozirajući spondilitis (BASFI, engl. </w:t>
      </w:r>
      <w:r w:rsidRPr="005474B2">
        <w:rPr>
          <w:i/>
          <w:iCs/>
          <w:sz w:val="22"/>
          <w:szCs w:val="22"/>
          <w:lang w:val="sr-Latn-ME"/>
        </w:rPr>
        <w:t>Bath Ankylosing Spondylitis Functional Index</w:t>
      </w:r>
      <w:r w:rsidRPr="005474B2">
        <w:rPr>
          <w:sz w:val="22"/>
          <w:szCs w:val="22"/>
          <w:lang w:val="sr-Latn-ME"/>
        </w:rPr>
        <w:t>), u poređenju sa placebom (-2,15 u odnosu na -0,68) i u umoru oc</w:t>
      </w:r>
      <w:r w:rsidR="008F70AE" w:rsidRPr="005474B2">
        <w:rPr>
          <w:sz w:val="22"/>
          <w:szCs w:val="22"/>
          <w:lang w:val="sr-Latn-ME"/>
        </w:rPr>
        <w:t>ij</w:t>
      </w:r>
      <w:r w:rsidRPr="005474B2">
        <w:rPr>
          <w:sz w:val="22"/>
          <w:szCs w:val="22"/>
          <w:lang w:val="sr-Latn-ME"/>
        </w:rPr>
        <w:t xml:space="preserve">enjenom putem skale za funkcionalnu </w:t>
      </w:r>
      <w:r w:rsidR="00C41FCA" w:rsidRPr="005474B2">
        <w:rPr>
          <w:sz w:val="22"/>
          <w:szCs w:val="22"/>
          <w:lang w:val="sr-Latn-ME"/>
        </w:rPr>
        <w:t>procjenu</w:t>
      </w:r>
      <w:r w:rsidRPr="005474B2">
        <w:rPr>
          <w:sz w:val="22"/>
          <w:szCs w:val="22"/>
          <w:lang w:val="sr-Latn-ME"/>
        </w:rPr>
        <w:t xml:space="preserve"> umora u hroničnim bolestima (FACIT-Fatigue , engl. </w:t>
      </w:r>
      <w:r w:rsidRPr="005474B2">
        <w:rPr>
          <w:i/>
          <w:sz w:val="22"/>
          <w:szCs w:val="22"/>
          <w:lang w:val="sr-Latn-ME"/>
        </w:rPr>
        <w:t>Functional Assessment of</w:t>
      </w:r>
      <w:r w:rsidRPr="005474B2">
        <w:rPr>
          <w:sz w:val="22"/>
          <w:szCs w:val="22"/>
          <w:lang w:val="sr-Latn-ME"/>
        </w:rPr>
        <w:t xml:space="preserve"> </w:t>
      </w:r>
      <w:r w:rsidRPr="005474B2">
        <w:rPr>
          <w:i/>
          <w:iCs/>
          <w:sz w:val="22"/>
          <w:szCs w:val="22"/>
          <w:lang w:val="sr-Latn-ME"/>
        </w:rPr>
        <w:t>Chronic Illness Therapy – Fatigue</w:t>
      </w:r>
      <w:r w:rsidRPr="005474B2">
        <w:rPr>
          <w:sz w:val="22"/>
          <w:szCs w:val="22"/>
          <w:lang w:val="sr-Latn-ME"/>
        </w:rPr>
        <w:t xml:space="preserve">) u poređenju sa placebom (8,10 u odnosu na 3,30). Ova poboljšanja su se održala do 52. </w:t>
      </w:r>
      <w:r w:rsidR="009A4880" w:rsidRPr="005474B2">
        <w:rPr>
          <w:sz w:val="22"/>
          <w:szCs w:val="22"/>
          <w:lang w:val="sr-Latn-ME"/>
        </w:rPr>
        <w:t>nedjelj</w:t>
      </w:r>
      <w:r w:rsidRPr="005474B2">
        <w:rPr>
          <w:sz w:val="22"/>
          <w:szCs w:val="22"/>
          <w:lang w:val="sr-Latn-ME"/>
        </w:rPr>
        <w:t>e.</w:t>
      </w:r>
    </w:p>
    <w:p w14:paraId="63DC148E" w14:textId="77777777" w:rsidR="007E2F65" w:rsidRPr="005474B2" w:rsidRDefault="007E2F65">
      <w:pPr>
        <w:tabs>
          <w:tab w:val="left" w:pos="284"/>
        </w:tabs>
        <w:jc w:val="both"/>
        <w:rPr>
          <w:sz w:val="22"/>
          <w:szCs w:val="22"/>
          <w:lang w:val="sr-Latn-ME"/>
        </w:rPr>
      </w:pPr>
    </w:p>
    <w:p w14:paraId="1DC84C4E" w14:textId="15040CB2" w:rsidR="007D7CE1" w:rsidRPr="005474B2" w:rsidRDefault="007D7CE1">
      <w:pPr>
        <w:autoSpaceDE w:val="0"/>
        <w:autoSpaceDN w:val="0"/>
        <w:adjustRightInd w:val="0"/>
        <w:jc w:val="both"/>
        <w:rPr>
          <w:i/>
          <w:sz w:val="22"/>
          <w:szCs w:val="22"/>
          <w:lang w:val="sr-Latn-ME"/>
        </w:rPr>
      </w:pPr>
      <w:r w:rsidRPr="005474B2">
        <w:rPr>
          <w:i/>
          <w:sz w:val="22"/>
          <w:szCs w:val="22"/>
          <w:lang w:val="sr-Latn-ME"/>
        </w:rPr>
        <w:t>Neradiografski aksijalni spondiloartritis (nr-axSpA)</w:t>
      </w:r>
    </w:p>
    <w:p w14:paraId="282415C5" w14:textId="01C571B5" w:rsidR="007D7CE1" w:rsidRPr="005474B2" w:rsidRDefault="009A4880">
      <w:pPr>
        <w:widowControl w:val="0"/>
        <w:jc w:val="both"/>
        <w:rPr>
          <w:rFonts w:eastAsia="MS Mincho"/>
          <w:sz w:val="22"/>
          <w:szCs w:val="22"/>
          <w:lang w:val="sr-Latn-ME"/>
        </w:rPr>
      </w:pPr>
      <w:r w:rsidRPr="005474B2">
        <w:rPr>
          <w:rFonts w:eastAsia="MS Mincho"/>
          <w:sz w:val="22"/>
          <w:szCs w:val="22"/>
          <w:lang w:val="sr-Latn-ME"/>
        </w:rPr>
        <w:t>Bezbjednost</w:t>
      </w:r>
      <w:r w:rsidR="007D7CE1" w:rsidRPr="005474B2">
        <w:rPr>
          <w:rFonts w:eastAsia="MS Mincho"/>
          <w:sz w:val="22"/>
          <w:szCs w:val="22"/>
          <w:lang w:val="sr-Latn-ME"/>
        </w:rPr>
        <w:t xml:space="preserve"> i efikasnost sekukinumaba je proc</w:t>
      </w:r>
      <w:r w:rsidR="008F70AE" w:rsidRPr="005474B2">
        <w:rPr>
          <w:rFonts w:eastAsia="MS Mincho"/>
          <w:sz w:val="22"/>
          <w:szCs w:val="22"/>
          <w:lang w:val="sr-Latn-ME"/>
        </w:rPr>
        <w:t>ij</w:t>
      </w:r>
      <w:r w:rsidR="007D7CE1" w:rsidRPr="005474B2">
        <w:rPr>
          <w:rFonts w:eastAsia="MS Mincho"/>
          <w:sz w:val="22"/>
          <w:szCs w:val="22"/>
          <w:lang w:val="sr-Latn-ME"/>
        </w:rPr>
        <w:t>enjena kod 555 pacijenata u randomizovanom, dvostruko sl</w:t>
      </w:r>
      <w:r w:rsidR="008F70AE" w:rsidRPr="005474B2">
        <w:rPr>
          <w:rFonts w:eastAsia="MS Mincho"/>
          <w:sz w:val="22"/>
          <w:szCs w:val="22"/>
          <w:lang w:val="sr-Latn-ME"/>
        </w:rPr>
        <w:t>ij</w:t>
      </w:r>
      <w:r w:rsidR="007D7CE1" w:rsidRPr="005474B2">
        <w:rPr>
          <w:rFonts w:eastAsia="MS Mincho"/>
          <w:sz w:val="22"/>
          <w:szCs w:val="22"/>
          <w:lang w:val="sr-Latn-ME"/>
        </w:rPr>
        <w:t>epom, placebom kontrolisanom kliničkom ispitivanju faze III (PREVENT), koje se sastojalo od dvogodišnje osnovne faze i dvogodišnje faze produžetka, kod pacijen</w:t>
      </w:r>
      <w:r w:rsidR="002755A3" w:rsidRPr="005474B2">
        <w:rPr>
          <w:rFonts w:eastAsia="MS Mincho"/>
          <w:sz w:val="22"/>
          <w:szCs w:val="22"/>
          <w:lang w:val="sr-Latn-ME"/>
        </w:rPr>
        <w:t>a</w:t>
      </w:r>
      <w:r w:rsidR="007D7CE1" w:rsidRPr="005474B2">
        <w:rPr>
          <w:rFonts w:eastAsia="MS Mincho"/>
          <w:sz w:val="22"/>
          <w:szCs w:val="22"/>
          <w:lang w:val="sr-Latn-ME"/>
        </w:rPr>
        <w:t xml:space="preserve">ta sa aktivnim neradiografskim aksijalnim spondiloartritisom (nr-axSpA), koji su ispunjavali ASAS uslov klasifikacije (engl. </w:t>
      </w:r>
      <w:r w:rsidR="007D7CE1" w:rsidRPr="005474B2">
        <w:rPr>
          <w:rFonts w:eastAsia="MS Mincho"/>
          <w:i/>
          <w:sz w:val="22"/>
          <w:szCs w:val="22"/>
          <w:lang w:val="sr-Latn-ME"/>
        </w:rPr>
        <w:t>Assessment of Spondyloarthritis International Society</w:t>
      </w:r>
      <w:r w:rsidR="007D7CE1" w:rsidRPr="005474B2">
        <w:rPr>
          <w:rFonts w:eastAsia="MS Mincho"/>
          <w:sz w:val="22"/>
          <w:szCs w:val="22"/>
          <w:lang w:val="sr-Latn-ME"/>
        </w:rPr>
        <w:t xml:space="preserve">) za aksijalni spondiloartritis (axSpA) bez radiografskih znakova </w:t>
      </w:r>
      <w:r w:rsidR="00A233FB" w:rsidRPr="005474B2">
        <w:rPr>
          <w:rFonts w:eastAsia="MS Mincho"/>
          <w:sz w:val="22"/>
          <w:szCs w:val="22"/>
          <w:lang w:val="sr-Latn-ME"/>
        </w:rPr>
        <w:t>promjena</w:t>
      </w:r>
      <w:r w:rsidR="007D7CE1" w:rsidRPr="005474B2">
        <w:rPr>
          <w:rFonts w:eastAsia="MS Mincho"/>
          <w:sz w:val="22"/>
          <w:szCs w:val="22"/>
          <w:lang w:val="sr-Latn-ME"/>
        </w:rPr>
        <w:t xml:space="preserve"> u sakroilijačnim zglobovima prema modifikovanim </w:t>
      </w:r>
      <w:r w:rsidR="007D7CE1" w:rsidRPr="005474B2">
        <w:rPr>
          <w:rFonts w:eastAsia="MS Mincho"/>
          <w:i/>
          <w:sz w:val="22"/>
          <w:szCs w:val="22"/>
          <w:lang w:val="sr-Latn-ME"/>
        </w:rPr>
        <w:t>New York</w:t>
      </w:r>
      <w:r w:rsidR="007D7CE1" w:rsidRPr="005474B2">
        <w:rPr>
          <w:rFonts w:eastAsia="MS Mincho"/>
          <w:sz w:val="22"/>
          <w:szCs w:val="22"/>
          <w:lang w:val="sr-Latn-ME"/>
        </w:rPr>
        <w:t xml:space="preserve"> kriterijumima za ankilozirajući spondilitis (AS). Pacijenti koji su učestvovali u ispitivanju su imali aktivnu bolest, definisanu prema </w:t>
      </w:r>
      <w:r w:rsidR="007D7CE1" w:rsidRPr="005474B2">
        <w:rPr>
          <w:rFonts w:eastAsia="MS Mincho"/>
          <w:i/>
          <w:sz w:val="22"/>
          <w:szCs w:val="22"/>
          <w:lang w:val="sr-Latn-ME"/>
        </w:rPr>
        <w:t>Bath</w:t>
      </w:r>
      <w:r w:rsidR="007D7CE1" w:rsidRPr="005474B2">
        <w:rPr>
          <w:rFonts w:eastAsia="MS Mincho"/>
          <w:sz w:val="22"/>
          <w:szCs w:val="22"/>
          <w:lang w:val="sr-Latn-ME"/>
        </w:rPr>
        <w:t xml:space="preserve"> indeksu aktivnosti bolesti za ankilozirajući spondilitis (engl. </w:t>
      </w:r>
      <w:r w:rsidR="007D7CE1" w:rsidRPr="005474B2">
        <w:rPr>
          <w:rFonts w:eastAsia="MS Mincho"/>
          <w:i/>
          <w:sz w:val="22"/>
          <w:szCs w:val="22"/>
          <w:lang w:val="sr-Latn-ME"/>
        </w:rPr>
        <w:t>Ankylosing Spondylitis Disease Activity Index</w:t>
      </w:r>
      <w:r w:rsidR="007D7CE1" w:rsidRPr="005474B2">
        <w:rPr>
          <w:rFonts w:eastAsia="MS Mincho"/>
          <w:sz w:val="22"/>
          <w:szCs w:val="22"/>
          <w:lang w:val="sr-Latn-ME"/>
        </w:rPr>
        <w:t>) (BASDAI) ≥4, vizuelno analognom skalom (VAS) za bol u leđima ≥40 (na skali od 0 do 100 mm), uprkos postojećoj ili prethodnoj terapiji nesteroidnim antiinflamatornim ljeko</w:t>
      </w:r>
      <w:r w:rsidR="002755A3" w:rsidRPr="005474B2">
        <w:rPr>
          <w:rFonts w:eastAsia="MS Mincho"/>
          <w:sz w:val="22"/>
          <w:szCs w:val="22"/>
          <w:lang w:val="sr-Latn-ME"/>
        </w:rPr>
        <w:t>vima</w:t>
      </w:r>
      <w:r w:rsidR="007D7CE1" w:rsidRPr="005474B2">
        <w:rPr>
          <w:rFonts w:eastAsia="MS Mincho"/>
          <w:sz w:val="22"/>
          <w:szCs w:val="22"/>
          <w:lang w:val="sr-Latn-ME"/>
        </w:rPr>
        <w:t xml:space="preserve"> (NSAIL) i povišenim </w:t>
      </w:r>
      <w:r w:rsidR="00A233FB" w:rsidRPr="005474B2">
        <w:rPr>
          <w:rFonts w:eastAsia="MS Mincho"/>
          <w:sz w:val="22"/>
          <w:szCs w:val="22"/>
          <w:lang w:val="sr-Latn-ME"/>
        </w:rPr>
        <w:t>vrijednosti</w:t>
      </w:r>
      <w:r w:rsidR="007D7CE1" w:rsidRPr="005474B2">
        <w:rPr>
          <w:rFonts w:eastAsia="MS Mincho"/>
          <w:sz w:val="22"/>
          <w:szCs w:val="22"/>
          <w:lang w:val="sr-Latn-ME"/>
        </w:rPr>
        <w:t>ma C-reaktivnog proteina (CRP-om) i/ili potvrđenom sakroileitisu na magnet</w:t>
      </w:r>
      <w:r w:rsidR="002755A3" w:rsidRPr="005474B2">
        <w:rPr>
          <w:rFonts w:eastAsia="MS Mincho"/>
          <w:sz w:val="22"/>
          <w:szCs w:val="22"/>
          <w:lang w:val="sr-Latn-ME"/>
        </w:rPr>
        <w:t>noj</w:t>
      </w:r>
      <w:r w:rsidR="007D7CE1" w:rsidRPr="005474B2">
        <w:rPr>
          <w:rFonts w:eastAsia="MS Mincho"/>
          <w:sz w:val="22"/>
          <w:szCs w:val="22"/>
          <w:lang w:val="sr-Latn-ME"/>
        </w:rPr>
        <w:t xml:space="preserve"> rezonanci (MR). Pacijenti koji su učestvovali u ovom ispitivanju su imali dijagnozu axSpA srednjeg trajanja od 2,1 do 3,0 godina, a 54% ispitanika su bile žene.</w:t>
      </w:r>
    </w:p>
    <w:p w14:paraId="0B63F159" w14:textId="77777777" w:rsidR="007D7CE1" w:rsidRPr="005474B2" w:rsidRDefault="007D7CE1">
      <w:pPr>
        <w:widowControl w:val="0"/>
        <w:jc w:val="both"/>
        <w:rPr>
          <w:rFonts w:eastAsia="MS Mincho"/>
          <w:sz w:val="22"/>
          <w:szCs w:val="22"/>
          <w:lang w:val="sr-Latn-ME"/>
        </w:rPr>
      </w:pPr>
    </w:p>
    <w:p w14:paraId="142EA173" w14:textId="77DD76AD" w:rsidR="007D7CE1" w:rsidRPr="005474B2" w:rsidRDefault="007D7CE1">
      <w:pPr>
        <w:widowControl w:val="0"/>
        <w:jc w:val="both"/>
        <w:rPr>
          <w:rFonts w:eastAsia="MS Mincho"/>
          <w:sz w:val="22"/>
          <w:szCs w:val="22"/>
          <w:lang w:val="sr-Latn-ME"/>
        </w:rPr>
      </w:pPr>
      <w:r w:rsidRPr="005474B2">
        <w:rPr>
          <w:rFonts w:eastAsia="MS Mincho"/>
          <w:sz w:val="22"/>
          <w:szCs w:val="22"/>
          <w:lang w:val="sr-Latn-ME"/>
        </w:rPr>
        <w:t xml:space="preserve">U ispitivanju PREVENT 9,7% pacijenata je prethodno </w:t>
      </w:r>
      <w:r w:rsidR="009A4880" w:rsidRPr="005474B2">
        <w:rPr>
          <w:rFonts w:eastAsia="MS Mincho"/>
          <w:sz w:val="22"/>
          <w:szCs w:val="22"/>
          <w:lang w:val="sr-Latn-ME"/>
        </w:rPr>
        <w:t>liječ</w:t>
      </w:r>
      <w:r w:rsidRPr="005474B2">
        <w:rPr>
          <w:rFonts w:eastAsia="MS Mincho"/>
          <w:sz w:val="22"/>
          <w:szCs w:val="22"/>
          <w:lang w:val="sr-Latn-ME"/>
        </w:rPr>
        <w:t xml:space="preserve">eno anti-TNFα </w:t>
      </w:r>
      <w:r w:rsidR="009A4880" w:rsidRPr="005474B2">
        <w:rPr>
          <w:rFonts w:eastAsia="MS Mincho"/>
          <w:sz w:val="22"/>
          <w:szCs w:val="22"/>
          <w:lang w:val="sr-Latn-ME"/>
        </w:rPr>
        <w:t>lijekom</w:t>
      </w:r>
      <w:r w:rsidRPr="005474B2">
        <w:rPr>
          <w:rFonts w:eastAsia="MS Mincho"/>
          <w:sz w:val="22"/>
          <w:szCs w:val="22"/>
          <w:lang w:val="sr-Latn-ME"/>
        </w:rPr>
        <w:t xml:space="preserve"> i prekinulo je </w:t>
      </w:r>
      <w:r w:rsidR="009A4880" w:rsidRPr="005474B2">
        <w:rPr>
          <w:rFonts w:eastAsia="MS Mincho"/>
          <w:sz w:val="22"/>
          <w:szCs w:val="22"/>
          <w:lang w:val="sr-Latn-ME"/>
        </w:rPr>
        <w:t>primjenu</w:t>
      </w:r>
      <w:r w:rsidRPr="005474B2">
        <w:rPr>
          <w:rFonts w:eastAsia="MS Mincho"/>
          <w:sz w:val="22"/>
          <w:szCs w:val="22"/>
          <w:lang w:val="sr-Latn-ME"/>
        </w:rPr>
        <w:t xml:space="preserve"> anti-TNFα </w:t>
      </w:r>
      <w:r w:rsidR="009A4880" w:rsidRPr="005474B2">
        <w:rPr>
          <w:rFonts w:eastAsia="MS Mincho"/>
          <w:sz w:val="22"/>
          <w:szCs w:val="22"/>
          <w:lang w:val="sr-Latn-ME"/>
        </w:rPr>
        <w:t>lijeka</w:t>
      </w:r>
      <w:r w:rsidRPr="005474B2">
        <w:rPr>
          <w:rFonts w:eastAsia="MS Mincho"/>
          <w:sz w:val="22"/>
          <w:szCs w:val="22"/>
          <w:lang w:val="sr-Latn-ME"/>
        </w:rPr>
        <w:t xml:space="preserve"> ili zbog nedostatka </w:t>
      </w:r>
      <w:r w:rsidR="002755A3" w:rsidRPr="005474B2">
        <w:rPr>
          <w:rFonts w:eastAsia="MS Mincho"/>
          <w:sz w:val="22"/>
          <w:szCs w:val="22"/>
          <w:lang w:val="sr-Latn-ME"/>
        </w:rPr>
        <w:t>efikasnosti</w:t>
      </w:r>
      <w:r w:rsidRPr="005474B2">
        <w:rPr>
          <w:rFonts w:eastAsia="MS Mincho"/>
          <w:sz w:val="22"/>
          <w:szCs w:val="22"/>
          <w:lang w:val="sr-Latn-ME"/>
        </w:rPr>
        <w:t xml:space="preserve"> ili zbog intolerancije (anti-TNFα-IR pacijenti).</w:t>
      </w:r>
    </w:p>
    <w:p w14:paraId="5BF48281" w14:textId="77777777" w:rsidR="007D7CE1" w:rsidRPr="005474B2" w:rsidRDefault="007D7CE1">
      <w:pPr>
        <w:widowControl w:val="0"/>
        <w:jc w:val="both"/>
        <w:rPr>
          <w:rFonts w:eastAsia="MS Mincho"/>
          <w:sz w:val="22"/>
          <w:szCs w:val="22"/>
          <w:lang w:val="sr-Latn-ME"/>
        </w:rPr>
      </w:pPr>
    </w:p>
    <w:p w14:paraId="4E3F84E0" w14:textId="51CA6AF9" w:rsidR="007D7CE1" w:rsidRPr="005474B2" w:rsidRDefault="007D7CE1">
      <w:pPr>
        <w:widowControl w:val="0"/>
        <w:jc w:val="both"/>
        <w:rPr>
          <w:rFonts w:eastAsia="MS Mincho"/>
          <w:sz w:val="22"/>
          <w:szCs w:val="22"/>
          <w:lang w:val="sr-Latn-ME"/>
        </w:rPr>
      </w:pPr>
      <w:r w:rsidRPr="005474B2">
        <w:rPr>
          <w:rFonts w:eastAsia="MS Mincho"/>
          <w:sz w:val="22"/>
          <w:szCs w:val="22"/>
          <w:lang w:val="sr-Latn-ME"/>
        </w:rPr>
        <w:t>U ispitivanju PREVENT, 9,9% pacijenata je istovremeno uzimalo MTX, a 14,8% sulfasalazin. U dvostruko sl</w:t>
      </w:r>
      <w:r w:rsidR="008F70AE" w:rsidRPr="005474B2">
        <w:rPr>
          <w:rFonts w:eastAsia="MS Mincho"/>
          <w:sz w:val="22"/>
          <w:szCs w:val="22"/>
          <w:lang w:val="sr-Latn-ME"/>
        </w:rPr>
        <w:t>ij</w:t>
      </w:r>
      <w:r w:rsidRPr="005474B2">
        <w:rPr>
          <w:rFonts w:eastAsia="MS Mincho"/>
          <w:sz w:val="22"/>
          <w:szCs w:val="22"/>
          <w:lang w:val="sr-Latn-ME"/>
        </w:rPr>
        <w:t>epom periodu ispitivanja, pacijenti su primali ili placebo ili sekukinumab tokom 52 </w:t>
      </w:r>
      <w:r w:rsidR="009A4880" w:rsidRPr="005474B2">
        <w:rPr>
          <w:rFonts w:eastAsia="MS Mincho"/>
          <w:sz w:val="22"/>
          <w:szCs w:val="22"/>
          <w:lang w:val="sr-Latn-ME"/>
        </w:rPr>
        <w:t>nedjelj</w:t>
      </w:r>
      <w:r w:rsidRPr="005474B2">
        <w:rPr>
          <w:rFonts w:eastAsia="MS Mincho"/>
          <w:sz w:val="22"/>
          <w:szCs w:val="22"/>
          <w:lang w:val="sr-Latn-ME"/>
        </w:rPr>
        <w:t xml:space="preserve">e. Pacijenti koji su bili </w:t>
      </w:r>
      <w:r w:rsidR="002755A3" w:rsidRPr="005474B2">
        <w:rPr>
          <w:rFonts w:eastAsia="MS Mincho"/>
          <w:sz w:val="22"/>
          <w:szCs w:val="22"/>
          <w:lang w:val="sr-Latn-ME"/>
        </w:rPr>
        <w:t>randomizovani</w:t>
      </w:r>
      <w:r w:rsidRPr="005474B2">
        <w:rPr>
          <w:rFonts w:eastAsia="MS Mincho"/>
          <w:sz w:val="22"/>
          <w:szCs w:val="22"/>
          <w:lang w:val="sr-Latn-ME"/>
        </w:rPr>
        <w:t xml:space="preserve"> na sekukinumab, primali su 150 mg su</w:t>
      </w:r>
      <w:r w:rsidR="00801863" w:rsidRPr="005474B2">
        <w:rPr>
          <w:rFonts w:eastAsia="MS Mincho"/>
          <w:sz w:val="22"/>
          <w:szCs w:val="22"/>
          <w:lang w:val="sr-Latn-ME"/>
        </w:rPr>
        <w:t>b</w:t>
      </w:r>
      <w:r w:rsidRPr="005474B2">
        <w:rPr>
          <w:rFonts w:eastAsia="MS Mincho"/>
          <w:sz w:val="22"/>
          <w:szCs w:val="22"/>
          <w:lang w:val="sr-Latn-ME"/>
        </w:rPr>
        <w:t>kutano u 0.</w:t>
      </w:r>
      <w:r w:rsidR="00801863" w:rsidRPr="005474B2">
        <w:rPr>
          <w:rFonts w:eastAsia="MS Mincho"/>
          <w:sz w:val="22"/>
          <w:szCs w:val="22"/>
          <w:lang w:val="sr-Latn-ME"/>
        </w:rPr>
        <w:t>,</w:t>
      </w:r>
      <w:r w:rsidRPr="005474B2">
        <w:rPr>
          <w:rFonts w:eastAsia="MS Mincho"/>
          <w:sz w:val="22"/>
          <w:szCs w:val="22"/>
          <w:lang w:val="sr-Latn-ME"/>
        </w:rPr>
        <w:t xml:space="preserve"> 1.</w:t>
      </w:r>
      <w:r w:rsidR="00801863" w:rsidRPr="005474B2">
        <w:rPr>
          <w:rFonts w:eastAsia="MS Mincho"/>
          <w:sz w:val="22"/>
          <w:szCs w:val="22"/>
          <w:lang w:val="sr-Latn-ME"/>
        </w:rPr>
        <w:t>,</w:t>
      </w:r>
      <w:r w:rsidRPr="005474B2">
        <w:rPr>
          <w:rFonts w:eastAsia="MS Mincho"/>
          <w:sz w:val="22"/>
          <w:szCs w:val="22"/>
          <w:lang w:val="sr-Latn-ME"/>
        </w:rPr>
        <w:t xml:space="preserve"> 2.</w:t>
      </w:r>
      <w:r w:rsidR="00801863" w:rsidRPr="005474B2">
        <w:rPr>
          <w:rFonts w:eastAsia="MS Mincho"/>
          <w:sz w:val="22"/>
          <w:szCs w:val="22"/>
          <w:lang w:val="sr-Latn-ME"/>
        </w:rPr>
        <w:t>,</w:t>
      </w:r>
      <w:r w:rsidRPr="005474B2">
        <w:rPr>
          <w:rFonts w:eastAsia="MS Mincho"/>
          <w:sz w:val="22"/>
          <w:szCs w:val="22"/>
          <w:lang w:val="sr-Latn-ME"/>
        </w:rPr>
        <w:t xml:space="preserve"> 3. i 4. </w:t>
      </w:r>
      <w:r w:rsidR="009A4880" w:rsidRPr="005474B2">
        <w:rPr>
          <w:rFonts w:eastAsia="MS Mincho"/>
          <w:sz w:val="22"/>
          <w:szCs w:val="22"/>
          <w:lang w:val="sr-Latn-ME"/>
        </w:rPr>
        <w:t>nedjelj</w:t>
      </w:r>
      <w:r w:rsidRPr="005474B2">
        <w:rPr>
          <w:rFonts w:eastAsia="MS Mincho"/>
          <w:sz w:val="22"/>
          <w:szCs w:val="22"/>
          <w:lang w:val="sr-Latn-ME"/>
        </w:rPr>
        <w:t xml:space="preserve">i, nakon čega je </w:t>
      </w:r>
      <w:r w:rsidR="009A4880" w:rsidRPr="005474B2">
        <w:rPr>
          <w:rFonts w:eastAsia="MS Mincho"/>
          <w:sz w:val="22"/>
          <w:szCs w:val="22"/>
          <w:lang w:val="sr-Latn-ME"/>
        </w:rPr>
        <w:t>slijedi</w:t>
      </w:r>
      <w:r w:rsidRPr="005474B2">
        <w:rPr>
          <w:rFonts w:eastAsia="MS Mincho"/>
          <w:sz w:val="22"/>
          <w:szCs w:val="22"/>
          <w:lang w:val="sr-Latn-ME"/>
        </w:rPr>
        <w:t xml:space="preserve">la ista doza svakog </w:t>
      </w:r>
      <w:r w:rsidR="009A4880" w:rsidRPr="005474B2">
        <w:rPr>
          <w:rFonts w:eastAsia="MS Mincho"/>
          <w:sz w:val="22"/>
          <w:szCs w:val="22"/>
          <w:lang w:val="sr-Latn-ME"/>
        </w:rPr>
        <w:t>mjesec</w:t>
      </w:r>
      <w:r w:rsidRPr="005474B2">
        <w:rPr>
          <w:rFonts w:eastAsia="MS Mincho"/>
          <w:sz w:val="22"/>
          <w:szCs w:val="22"/>
          <w:lang w:val="sr-Latn-ME"/>
        </w:rPr>
        <w:t xml:space="preserve">a, ili injekciju sekukinumaba 150 mg jednom </w:t>
      </w:r>
      <w:r w:rsidR="009A4880" w:rsidRPr="005474B2">
        <w:rPr>
          <w:rFonts w:eastAsia="MS Mincho"/>
          <w:sz w:val="22"/>
          <w:szCs w:val="22"/>
          <w:lang w:val="sr-Latn-ME"/>
        </w:rPr>
        <w:t>mjeseč</w:t>
      </w:r>
      <w:r w:rsidRPr="005474B2">
        <w:rPr>
          <w:rFonts w:eastAsia="MS Mincho"/>
          <w:sz w:val="22"/>
          <w:szCs w:val="22"/>
          <w:lang w:val="sr-Latn-ME"/>
        </w:rPr>
        <w:t>no. M</w:t>
      </w:r>
      <w:r w:rsidR="008F70AE" w:rsidRPr="005474B2">
        <w:rPr>
          <w:rFonts w:eastAsia="MS Mincho"/>
          <w:sz w:val="22"/>
          <w:szCs w:val="22"/>
          <w:lang w:val="sr-Latn-ME"/>
        </w:rPr>
        <w:t>j</w:t>
      </w:r>
      <w:r w:rsidRPr="005474B2">
        <w:rPr>
          <w:rFonts w:eastAsia="MS Mincho"/>
          <w:sz w:val="22"/>
          <w:szCs w:val="22"/>
          <w:lang w:val="sr-Latn-ME"/>
        </w:rPr>
        <w:t xml:space="preserve">era primarnog </w:t>
      </w:r>
      <w:bookmarkStart w:id="9" w:name="_Hlk164680841"/>
      <w:r w:rsidR="002755A3" w:rsidRPr="005474B2">
        <w:rPr>
          <w:rFonts w:eastAsia="MS Mincho"/>
          <w:sz w:val="22"/>
          <w:szCs w:val="22"/>
          <w:lang w:val="sr-Latn-ME"/>
        </w:rPr>
        <w:t>parametra prać</w:t>
      </w:r>
      <w:r w:rsidR="000E765E" w:rsidRPr="005474B2">
        <w:rPr>
          <w:rFonts w:eastAsia="MS Mincho"/>
          <w:sz w:val="22"/>
          <w:szCs w:val="22"/>
          <w:lang w:val="sr-Latn-ME"/>
        </w:rPr>
        <w:t>e</w:t>
      </w:r>
      <w:r w:rsidR="002755A3" w:rsidRPr="005474B2">
        <w:rPr>
          <w:rFonts w:eastAsia="MS Mincho"/>
          <w:sz w:val="22"/>
          <w:szCs w:val="22"/>
          <w:lang w:val="sr-Latn-ME"/>
        </w:rPr>
        <w:t>nja</w:t>
      </w:r>
      <w:r w:rsidRPr="005474B2">
        <w:rPr>
          <w:rFonts w:eastAsia="MS Mincho"/>
          <w:sz w:val="22"/>
          <w:szCs w:val="22"/>
          <w:lang w:val="sr-Latn-ME"/>
        </w:rPr>
        <w:t xml:space="preserve"> </w:t>
      </w:r>
      <w:bookmarkEnd w:id="9"/>
      <w:r w:rsidRPr="005474B2">
        <w:rPr>
          <w:rFonts w:eastAsia="MS Mincho"/>
          <w:sz w:val="22"/>
          <w:szCs w:val="22"/>
          <w:lang w:val="sr-Latn-ME"/>
        </w:rPr>
        <w:t>je bil</w:t>
      </w:r>
      <w:r w:rsidR="002755A3" w:rsidRPr="005474B2">
        <w:rPr>
          <w:rFonts w:eastAsia="MS Mincho"/>
          <w:sz w:val="22"/>
          <w:szCs w:val="22"/>
          <w:lang w:val="sr-Latn-ME"/>
        </w:rPr>
        <w:t>a</w:t>
      </w:r>
      <w:r w:rsidRPr="005474B2">
        <w:rPr>
          <w:rFonts w:eastAsia="MS Mincho"/>
          <w:sz w:val="22"/>
          <w:szCs w:val="22"/>
          <w:lang w:val="sr-Latn-ME"/>
        </w:rPr>
        <w:t xml:space="preserve"> poboljšanje od najmanje 40% u kriterij</w:t>
      </w:r>
      <w:r w:rsidR="002755A3" w:rsidRPr="005474B2">
        <w:rPr>
          <w:rFonts w:eastAsia="MS Mincho"/>
          <w:sz w:val="22"/>
          <w:szCs w:val="22"/>
          <w:lang w:val="sr-Latn-ME"/>
        </w:rPr>
        <w:t>um</w:t>
      </w:r>
      <w:r w:rsidRPr="005474B2">
        <w:rPr>
          <w:rFonts w:eastAsia="MS Mincho"/>
          <w:sz w:val="22"/>
          <w:szCs w:val="22"/>
          <w:lang w:val="sr-Latn-ME"/>
        </w:rPr>
        <w:t xml:space="preserve">ima Međunarodnog društva za </w:t>
      </w:r>
      <w:r w:rsidR="00C41FCA" w:rsidRPr="005474B2">
        <w:rPr>
          <w:rFonts w:eastAsia="MS Mincho"/>
          <w:sz w:val="22"/>
          <w:szCs w:val="22"/>
          <w:lang w:val="sr-Latn-ME"/>
        </w:rPr>
        <w:t>procjenu</w:t>
      </w:r>
      <w:r w:rsidRPr="005474B2">
        <w:rPr>
          <w:rFonts w:eastAsia="MS Mincho"/>
          <w:sz w:val="22"/>
          <w:szCs w:val="22"/>
          <w:lang w:val="sr-Latn-ME"/>
        </w:rPr>
        <w:t xml:space="preserve"> spondiloartritisa (ASAS 40) u 16. </w:t>
      </w:r>
      <w:r w:rsidR="009A4880" w:rsidRPr="005474B2">
        <w:rPr>
          <w:rFonts w:eastAsia="MS Mincho"/>
          <w:sz w:val="22"/>
          <w:szCs w:val="22"/>
          <w:lang w:val="sr-Latn-ME"/>
        </w:rPr>
        <w:t>nedjelj</w:t>
      </w:r>
      <w:r w:rsidRPr="005474B2">
        <w:rPr>
          <w:rFonts w:eastAsia="MS Mincho"/>
          <w:sz w:val="22"/>
          <w:szCs w:val="22"/>
          <w:lang w:val="sr-Latn-ME"/>
        </w:rPr>
        <w:t>i kod pacijenata koji ranije ni</w:t>
      </w:r>
      <w:r w:rsidR="00746619" w:rsidRPr="005474B2">
        <w:rPr>
          <w:rFonts w:eastAsia="MS Mincho"/>
          <w:sz w:val="22"/>
          <w:szCs w:val="22"/>
          <w:lang w:val="sr-Latn-ME"/>
        </w:rPr>
        <w:t>je</w:t>
      </w:r>
      <w:r w:rsidRPr="005474B2">
        <w:rPr>
          <w:rFonts w:eastAsia="MS Mincho"/>
          <w:sz w:val="22"/>
          <w:szCs w:val="22"/>
          <w:lang w:val="sr-Latn-ME"/>
        </w:rPr>
        <w:t>su uzimali anti-TNFα.</w:t>
      </w:r>
    </w:p>
    <w:p w14:paraId="75D9626F" w14:textId="77777777" w:rsidR="007D7CE1" w:rsidRPr="005474B2" w:rsidRDefault="007D7CE1">
      <w:pPr>
        <w:widowControl w:val="0"/>
        <w:jc w:val="both"/>
        <w:rPr>
          <w:rFonts w:eastAsia="MS Mincho"/>
          <w:sz w:val="22"/>
          <w:szCs w:val="22"/>
          <w:lang w:val="sr-Latn-ME"/>
        </w:rPr>
      </w:pPr>
    </w:p>
    <w:p w14:paraId="2FA22D18" w14:textId="77777777" w:rsidR="007D7CE1" w:rsidRPr="005474B2" w:rsidRDefault="007D7CE1">
      <w:pPr>
        <w:keepNext/>
        <w:widowControl w:val="0"/>
        <w:jc w:val="both"/>
        <w:rPr>
          <w:rFonts w:eastAsia="MS Mincho"/>
          <w:sz w:val="22"/>
          <w:szCs w:val="22"/>
          <w:lang w:val="sr-Latn-ME"/>
        </w:rPr>
      </w:pPr>
      <w:r w:rsidRPr="005474B2">
        <w:rPr>
          <w:rFonts w:eastAsia="MS Mincho"/>
          <w:sz w:val="22"/>
          <w:szCs w:val="22"/>
          <w:lang w:val="sr-Latn-ME"/>
        </w:rPr>
        <w:lastRenderedPageBreak/>
        <w:t>Znaci i simptomi:</w:t>
      </w:r>
    </w:p>
    <w:p w14:paraId="7BA8B36D" w14:textId="514884D8" w:rsidR="007D7CE1" w:rsidRPr="005474B2" w:rsidRDefault="007D7CE1">
      <w:pPr>
        <w:widowControl w:val="0"/>
        <w:jc w:val="both"/>
        <w:rPr>
          <w:rFonts w:eastAsia="MS Mincho"/>
          <w:sz w:val="22"/>
          <w:szCs w:val="22"/>
          <w:lang w:val="sr-Latn-ME"/>
        </w:rPr>
      </w:pPr>
      <w:r w:rsidRPr="005474B2">
        <w:rPr>
          <w:rFonts w:eastAsia="MS Mincho"/>
          <w:sz w:val="22"/>
          <w:szCs w:val="22"/>
          <w:lang w:val="sr-Latn-ME"/>
        </w:rPr>
        <w:t xml:space="preserve">U ispitivanju PREVENT, </w:t>
      </w:r>
      <w:r w:rsidR="009A4880" w:rsidRPr="005474B2">
        <w:rPr>
          <w:rFonts w:eastAsia="MS Mincho"/>
          <w:sz w:val="22"/>
          <w:szCs w:val="22"/>
          <w:lang w:val="sr-Latn-ME"/>
        </w:rPr>
        <w:t>liječ</w:t>
      </w:r>
      <w:r w:rsidRPr="005474B2">
        <w:rPr>
          <w:rFonts w:eastAsia="MS Mincho"/>
          <w:sz w:val="22"/>
          <w:szCs w:val="22"/>
          <w:lang w:val="sr-Latn-ME"/>
        </w:rPr>
        <w:t>enje sekukinumabom 150 mg je dovelo do značajnih poboljšanja u m</w:t>
      </w:r>
      <w:r w:rsidR="002755A3" w:rsidRPr="005474B2">
        <w:rPr>
          <w:rFonts w:eastAsia="MS Mincho"/>
          <w:sz w:val="22"/>
          <w:szCs w:val="22"/>
          <w:lang w:val="sr-Latn-ME"/>
        </w:rPr>
        <w:t>j</w:t>
      </w:r>
      <w:r w:rsidRPr="005474B2">
        <w:rPr>
          <w:rFonts w:eastAsia="MS Mincho"/>
          <w:sz w:val="22"/>
          <w:szCs w:val="22"/>
          <w:lang w:val="sr-Latn-ME"/>
        </w:rPr>
        <w:t>erama aktivnosti bolesti u poređenju sa placebom u 16. </w:t>
      </w:r>
      <w:r w:rsidR="009A4880" w:rsidRPr="005474B2">
        <w:rPr>
          <w:rFonts w:eastAsia="MS Mincho"/>
          <w:sz w:val="22"/>
          <w:szCs w:val="22"/>
          <w:lang w:val="sr-Latn-ME"/>
        </w:rPr>
        <w:t>nedjelj</w:t>
      </w:r>
      <w:r w:rsidRPr="005474B2">
        <w:rPr>
          <w:rFonts w:eastAsia="MS Mincho"/>
          <w:sz w:val="22"/>
          <w:szCs w:val="22"/>
          <w:lang w:val="sr-Latn-ME"/>
        </w:rPr>
        <w:t>i. Ove m</w:t>
      </w:r>
      <w:r w:rsidR="008F70AE" w:rsidRPr="005474B2">
        <w:rPr>
          <w:rFonts w:eastAsia="MS Mincho"/>
          <w:sz w:val="22"/>
          <w:szCs w:val="22"/>
          <w:lang w:val="sr-Latn-ME"/>
        </w:rPr>
        <w:t>j</w:t>
      </w:r>
      <w:r w:rsidRPr="005474B2">
        <w:rPr>
          <w:rFonts w:eastAsia="MS Mincho"/>
          <w:sz w:val="22"/>
          <w:szCs w:val="22"/>
          <w:lang w:val="sr-Latn-ME"/>
        </w:rPr>
        <w:t xml:space="preserve">ere uključuju odgovor ASAS 40, ASAS 5/6, BASDAI rezultat, BASDAI 50, CRP test visoke </w:t>
      </w:r>
      <w:r w:rsidR="009A4880" w:rsidRPr="005474B2">
        <w:rPr>
          <w:rFonts w:eastAsia="MS Mincho"/>
          <w:sz w:val="22"/>
          <w:szCs w:val="22"/>
          <w:lang w:val="sr-Latn-ME"/>
        </w:rPr>
        <w:t>osjetljivost</w:t>
      </w:r>
      <w:r w:rsidRPr="005474B2">
        <w:rPr>
          <w:rFonts w:eastAsia="MS Mincho"/>
          <w:sz w:val="22"/>
          <w:szCs w:val="22"/>
          <w:lang w:val="sr-Latn-ME"/>
        </w:rPr>
        <w:t>i (hsCRP), ASAS 20 i ASAS odgovor d</w:t>
      </w:r>
      <w:r w:rsidR="008F70AE" w:rsidRPr="005474B2">
        <w:rPr>
          <w:rFonts w:eastAsia="MS Mincho"/>
          <w:sz w:val="22"/>
          <w:szCs w:val="22"/>
          <w:lang w:val="sr-Latn-ME"/>
        </w:rPr>
        <w:t>j</w:t>
      </w:r>
      <w:r w:rsidRPr="005474B2">
        <w:rPr>
          <w:rFonts w:eastAsia="MS Mincho"/>
          <w:sz w:val="22"/>
          <w:szCs w:val="22"/>
          <w:lang w:val="sr-Latn-ME"/>
        </w:rPr>
        <w:t>elimične remisije u poređenju sa placebom (Tabela </w:t>
      </w:r>
      <w:r w:rsidR="006911D2" w:rsidRPr="005474B2">
        <w:rPr>
          <w:rFonts w:eastAsia="MS Mincho"/>
          <w:sz w:val="22"/>
          <w:szCs w:val="22"/>
          <w:lang w:val="sr-Latn-ME"/>
        </w:rPr>
        <w:t>13</w:t>
      </w:r>
      <w:r w:rsidRPr="005474B2">
        <w:rPr>
          <w:rFonts w:eastAsia="MS Mincho"/>
          <w:sz w:val="22"/>
          <w:szCs w:val="22"/>
          <w:lang w:val="sr-Latn-ME"/>
        </w:rPr>
        <w:t>). Odgovori su održani do 52. </w:t>
      </w:r>
      <w:r w:rsidR="009A4880" w:rsidRPr="005474B2">
        <w:rPr>
          <w:rFonts w:eastAsia="MS Mincho"/>
          <w:sz w:val="22"/>
          <w:szCs w:val="22"/>
          <w:lang w:val="sr-Latn-ME"/>
        </w:rPr>
        <w:t>nedjelj</w:t>
      </w:r>
      <w:r w:rsidRPr="005474B2">
        <w:rPr>
          <w:rFonts w:eastAsia="MS Mincho"/>
          <w:sz w:val="22"/>
          <w:szCs w:val="22"/>
          <w:lang w:val="sr-Latn-ME"/>
        </w:rPr>
        <w:t>e.</w:t>
      </w:r>
    </w:p>
    <w:p w14:paraId="11F86844" w14:textId="77777777" w:rsidR="007D7CE1" w:rsidRPr="005474B2" w:rsidRDefault="007D7CE1">
      <w:pPr>
        <w:autoSpaceDE w:val="0"/>
        <w:autoSpaceDN w:val="0"/>
        <w:adjustRightInd w:val="0"/>
        <w:jc w:val="both"/>
        <w:rPr>
          <w:sz w:val="22"/>
          <w:szCs w:val="22"/>
          <w:lang w:val="sr-Latn-ME"/>
        </w:rPr>
      </w:pPr>
    </w:p>
    <w:p w14:paraId="01C4C25D" w14:textId="77777777" w:rsidR="007D7CE1" w:rsidRPr="005474B2" w:rsidRDefault="007D7CE1">
      <w:pPr>
        <w:autoSpaceDE w:val="0"/>
        <w:autoSpaceDN w:val="0"/>
        <w:adjustRightInd w:val="0"/>
        <w:jc w:val="both"/>
        <w:rPr>
          <w:sz w:val="22"/>
          <w:szCs w:val="22"/>
          <w:lang w:val="sr-Latn-ME"/>
        </w:rPr>
      </w:pPr>
    </w:p>
    <w:p w14:paraId="74610C19" w14:textId="0B16A366" w:rsidR="007D7CE1" w:rsidRPr="005474B2" w:rsidRDefault="007D7CE1">
      <w:pPr>
        <w:keepNext/>
        <w:keepLines/>
        <w:widowControl w:val="0"/>
        <w:tabs>
          <w:tab w:val="left" w:pos="284"/>
        </w:tabs>
        <w:jc w:val="both"/>
        <w:rPr>
          <w:b/>
          <w:sz w:val="22"/>
          <w:szCs w:val="22"/>
          <w:lang w:val="sr-Latn-ME"/>
        </w:rPr>
      </w:pPr>
      <w:r w:rsidRPr="005474B2">
        <w:rPr>
          <w:b/>
          <w:sz w:val="22"/>
          <w:szCs w:val="22"/>
          <w:lang w:val="sr-Latn-ME"/>
        </w:rPr>
        <w:t>Tabela</w:t>
      </w:r>
      <w:r w:rsidRPr="005474B2">
        <w:rPr>
          <w:rFonts w:eastAsia="MS Mincho"/>
          <w:b/>
          <w:sz w:val="22"/>
          <w:szCs w:val="22"/>
          <w:lang w:val="sr-Latn-ME"/>
        </w:rPr>
        <w:t> </w:t>
      </w:r>
      <w:r w:rsidR="006911D2" w:rsidRPr="005474B2">
        <w:rPr>
          <w:rFonts w:eastAsia="MS Mincho"/>
          <w:b/>
          <w:sz w:val="22"/>
          <w:szCs w:val="22"/>
          <w:lang w:val="sr-Latn-ME"/>
        </w:rPr>
        <w:t>13</w:t>
      </w:r>
      <w:r w:rsidRPr="005474B2">
        <w:rPr>
          <w:rFonts w:eastAsia="MS Mincho"/>
          <w:b/>
          <w:sz w:val="22"/>
          <w:szCs w:val="22"/>
          <w:lang w:val="sr-Latn-ME"/>
        </w:rPr>
        <w:tab/>
        <w:t>Klinički odgovor u ispitivanju PREVENT u 16. </w:t>
      </w:r>
      <w:r w:rsidR="009A4880" w:rsidRPr="005474B2">
        <w:rPr>
          <w:b/>
          <w:sz w:val="22"/>
          <w:szCs w:val="22"/>
          <w:lang w:val="sr-Latn-ME"/>
        </w:rPr>
        <w:t>nedjelj</w:t>
      </w:r>
      <w:r w:rsidRPr="005474B2">
        <w:rPr>
          <w:b/>
          <w:sz w:val="22"/>
          <w:szCs w:val="22"/>
          <w:lang w:val="sr-Latn-ME"/>
        </w:rPr>
        <w:t>i</w:t>
      </w:r>
    </w:p>
    <w:p w14:paraId="4A1A22A1" w14:textId="77777777" w:rsidR="007D7CE1" w:rsidRPr="005474B2" w:rsidRDefault="007D7CE1">
      <w:pPr>
        <w:keepNext/>
        <w:widowControl w:val="0"/>
        <w:tabs>
          <w:tab w:val="left" w:pos="567"/>
        </w:tabs>
        <w:jc w:val="both"/>
        <w:outlineLvl w:val="6"/>
        <w:rPr>
          <w:b/>
          <w:sz w:val="22"/>
          <w:szCs w:val="22"/>
          <w:lang w:val="sr-Latn-ME"/>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01"/>
        <w:gridCol w:w="2294"/>
        <w:gridCol w:w="2295"/>
      </w:tblGrid>
      <w:tr w:rsidR="007D7CE1" w:rsidRPr="0009637B" w14:paraId="045594B6"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F5B85" w14:textId="77777777" w:rsidR="007D7CE1" w:rsidRPr="005474B2" w:rsidRDefault="007D7CE1">
            <w:pPr>
              <w:keepNext/>
              <w:widowControl w:val="0"/>
              <w:tabs>
                <w:tab w:val="left" w:pos="284"/>
              </w:tabs>
              <w:jc w:val="both"/>
              <w:rPr>
                <w:rFonts w:eastAsia="MS Mincho"/>
                <w:b/>
                <w:bCs/>
                <w:sz w:val="22"/>
                <w:szCs w:val="22"/>
                <w:lang w:val="sr-Latn-ME"/>
              </w:rPr>
            </w:pPr>
            <w:r w:rsidRPr="005474B2">
              <w:rPr>
                <w:rFonts w:eastAsia="MS Mincho"/>
                <w:b/>
                <w:sz w:val="22"/>
                <w:szCs w:val="22"/>
                <w:lang w:val="sr-Latn-ME"/>
              </w:rPr>
              <w:t>Ishod (p-</w:t>
            </w:r>
            <w:r w:rsidR="00C41FCA" w:rsidRPr="005474B2">
              <w:rPr>
                <w:rFonts w:eastAsia="MS Mincho"/>
                <w:b/>
                <w:sz w:val="22"/>
                <w:szCs w:val="22"/>
                <w:lang w:val="sr-Latn-ME"/>
              </w:rPr>
              <w:t>vrijednost</w:t>
            </w:r>
            <w:r w:rsidRPr="005474B2">
              <w:rPr>
                <w:rFonts w:eastAsia="MS Mincho"/>
                <w:b/>
                <w:sz w:val="22"/>
                <w:szCs w:val="22"/>
                <w:lang w:val="sr-Latn-ME"/>
              </w:rPr>
              <w:t xml:space="preserve"> u odnosu na placebo)</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56DFC6" w14:textId="77777777" w:rsidR="007D7CE1" w:rsidRPr="005474B2" w:rsidRDefault="007D7CE1" w:rsidP="005474B2">
            <w:pPr>
              <w:keepNext/>
              <w:widowControl w:val="0"/>
              <w:tabs>
                <w:tab w:val="left" w:pos="284"/>
              </w:tabs>
              <w:jc w:val="both"/>
              <w:rPr>
                <w:rFonts w:eastAsia="MS Mincho"/>
                <w:b/>
                <w:bCs/>
                <w:sz w:val="22"/>
                <w:szCs w:val="22"/>
                <w:lang w:val="sr-Latn-ME"/>
              </w:rPr>
            </w:pPr>
            <w:r w:rsidRPr="005474B2">
              <w:rPr>
                <w:rFonts w:eastAsia="MS Mincho"/>
                <w:b/>
                <w:sz w:val="22"/>
                <w:szCs w:val="22"/>
                <w:lang w:val="sr-Latn-ME"/>
              </w:rPr>
              <w:t>Placebo</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37C55" w14:textId="77777777" w:rsidR="007D7CE1" w:rsidRPr="005474B2" w:rsidRDefault="007D7CE1" w:rsidP="005474B2">
            <w:pPr>
              <w:keepNext/>
              <w:widowControl w:val="0"/>
              <w:tabs>
                <w:tab w:val="left" w:pos="284"/>
              </w:tabs>
              <w:jc w:val="both"/>
              <w:rPr>
                <w:rFonts w:eastAsia="MS Mincho"/>
                <w:b/>
                <w:sz w:val="22"/>
                <w:szCs w:val="22"/>
                <w:lang w:val="sr-Latn-ME"/>
              </w:rPr>
            </w:pPr>
            <w:r w:rsidRPr="005474B2">
              <w:rPr>
                <w:rFonts w:eastAsia="MS Mincho"/>
                <w:b/>
                <w:sz w:val="22"/>
                <w:szCs w:val="22"/>
                <w:lang w:val="sr-Latn-ME"/>
              </w:rPr>
              <w:t>150 mg</w:t>
            </w:r>
            <w:r w:rsidRPr="005474B2">
              <w:rPr>
                <w:rFonts w:eastAsia="MS Mincho"/>
                <w:b/>
                <w:sz w:val="22"/>
                <w:szCs w:val="22"/>
                <w:vertAlign w:val="superscript"/>
                <w:lang w:val="sr-Latn-ME"/>
              </w:rPr>
              <w:t>1</w:t>
            </w:r>
          </w:p>
        </w:tc>
      </w:tr>
      <w:tr w:rsidR="007D7CE1" w:rsidRPr="0009637B" w14:paraId="3A38DCEA"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6B6B3" w14:textId="62739A52" w:rsidR="007D7CE1" w:rsidRPr="005474B2" w:rsidRDefault="007D7CE1" w:rsidP="0009637B">
            <w:pPr>
              <w:keepNext/>
              <w:widowControl w:val="0"/>
              <w:tabs>
                <w:tab w:val="left" w:pos="284"/>
              </w:tabs>
              <w:jc w:val="both"/>
              <w:rPr>
                <w:rFonts w:eastAsia="MS Mincho"/>
                <w:b/>
                <w:sz w:val="22"/>
                <w:szCs w:val="22"/>
                <w:lang w:val="sr-Latn-ME"/>
              </w:rPr>
            </w:pPr>
            <w:r w:rsidRPr="005474B2">
              <w:rPr>
                <w:rFonts w:eastAsia="MS Mincho"/>
                <w:b/>
                <w:sz w:val="22"/>
                <w:szCs w:val="22"/>
                <w:lang w:val="sr-Latn-ME"/>
              </w:rPr>
              <w:t>Broj randomizovanih pacijenata koji ranije ni</w:t>
            </w:r>
            <w:r w:rsidR="00746619" w:rsidRPr="005474B2">
              <w:rPr>
                <w:rFonts w:eastAsia="MS Mincho"/>
                <w:b/>
                <w:sz w:val="22"/>
                <w:szCs w:val="22"/>
                <w:lang w:val="sr-Latn-ME"/>
              </w:rPr>
              <w:t>je</w:t>
            </w:r>
            <w:r w:rsidRPr="005474B2">
              <w:rPr>
                <w:rFonts w:eastAsia="MS Mincho"/>
                <w:b/>
                <w:sz w:val="22"/>
                <w:szCs w:val="22"/>
                <w:lang w:val="sr-Latn-ME"/>
              </w:rPr>
              <w:t>su uzimali anti-TNFα</w:t>
            </w:r>
          </w:p>
        </w:tc>
        <w:tc>
          <w:tcPr>
            <w:tcW w:w="2294" w:type="dxa"/>
            <w:tcBorders>
              <w:top w:val="single" w:sz="4" w:space="0" w:color="auto"/>
              <w:left w:val="single" w:sz="4" w:space="0" w:color="auto"/>
              <w:bottom w:val="single" w:sz="4" w:space="0" w:color="auto"/>
              <w:right w:val="single" w:sz="4" w:space="0" w:color="auto"/>
            </w:tcBorders>
            <w:shd w:val="clear" w:color="auto" w:fill="auto"/>
            <w:hideMark/>
          </w:tcPr>
          <w:p w14:paraId="680BCDC9" w14:textId="77777777" w:rsidR="007D7CE1" w:rsidRPr="005474B2" w:rsidRDefault="007D7CE1" w:rsidP="005474B2">
            <w:pPr>
              <w:keepNext/>
              <w:widowControl w:val="0"/>
              <w:tabs>
                <w:tab w:val="left" w:pos="284"/>
              </w:tabs>
              <w:jc w:val="both"/>
              <w:rPr>
                <w:rFonts w:eastAsia="MS Mincho"/>
                <w:b/>
                <w:sz w:val="22"/>
                <w:szCs w:val="22"/>
                <w:lang w:val="sr-Latn-ME"/>
              </w:rPr>
            </w:pPr>
            <w:r w:rsidRPr="005474B2">
              <w:rPr>
                <w:rFonts w:eastAsia="MS Mincho"/>
                <w:b/>
                <w:sz w:val="22"/>
                <w:szCs w:val="22"/>
                <w:lang w:val="sr-Latn-ME"/>
              </w:rPr>
              <w:t>171</w:t>
            </w:r>
          </w:p>
        </w:tc>
        <w:tc>
          <w:tcPr>
            <w:tcW w:w="2295" w:type="dxa"/>
            <w:tcBorders>
              <w:top w:val="single" w:sz="4" w:space="0" w:color="auto"/>
              <w:left w:val="single" w:sz="4" w:space="0" w:color="auto"/>
              <w:bottom w:val="single" w:sz="4" w:space="0" w:color="auto"/>
              <w:right w:val="single" w:sz="4" w:space="0" w:color="auto"/>
            </w:tcBorders>
            <w:shd w:val="clear" w:color="auto" w:fill="auto"/>
            <w:hideMark/>
          </w:tcPr>
          <w:p w14:paraId="27E29347" w14:textId="77777777" w:rsidR="007D7CE1" w:rsidRPr="005474B2" w:rsidRDefault="007D7CE1" w:rsidP="005474B2">
            <w:pPr>
              <w:keepNext/>
              <w:widowControl w:val="0"/>
              <w:tabs>
                <w:tab w:val="left" w:pos="284"/>
              </w:tabs>
              <w:jc w:val="both"/>
              <w:rPr>
                <w:rFonts w:eastAsia="MS Mincho"/>
                <w:b/>
                <w:sz w:val="22"/>
                <w:szCs w:val="22"/>
                <w:lang w:val="sr-Latn-ME"/>
              </w:rPr>
            </w:pPr>
            <w:r w:rsidRPr="005474B2">
              <w:rPr>
                <w:rFonts w:eastAsia="MS Mincho"/>
                <w:b/>
                <w:sz w:val="22"/>
                <w:szCs w:val="22"/>
                <w:lang w:val="sr-Latn-ME"/>
              </w:rPr>
              <w:t>164</w:t>
            </w:r>
          </w:p>
        </w:tc>
      </w:tr>
      <w:tr w:rsidR="007D7CE1" w:rsidRPr="0009637B" w14:paraId="774D7E05"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7FD9D8" w14:textId="77777777" w:rsidR="007D7CE1" w:rsidRPr="005474B2" w:rsidRDefault="007D7CE1" w:rsidP="0009637B">
            <w:pPr>
              <w:keepNext/>
              <w:widowControl w:val="0"/>
              <w:tabs>
                <w:tab w:val="left" w:pos="284"/>
              </w:tabs>
              <w:jc w:val="both"/>
              <w:rPr>
                <w:rFonts w:eastAsia="MS Mincho"/>
                <w:sz w:val="22"/>
                <w:szCs w:val="22"/>
                <w:lang w:val="sr-Latn-ME"/>
              </w:rPr>
            </w:pPr>
            <w:r w:rsidRPr="005474B2">
              <w:rPr>
                <w:rFonts w:eastAsia="MS Mincho"/>
                <w:sz w:val="22"/>
                <w:szCs w:val="22"/>
                <w:lang w:val="sr-Latn-ME"/>
              </w:rPr>
              <w:t>Odgovor ASAS 40,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6DD50F54"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29,2</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21B9FDE2"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41,5*</w:t>
            </w:r>
          </w:p>
        </w:tc>
      </w:tr>
      <w:tr w:rsidR="007D7CE1" w:rsidRPr="0009637B" w14:paraId="6050805E"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E88B7C" w14:textId="77777777" w:rsidR="007D7CE1" w:rsidRPr="005474B2" w:rsidRDefault="007D7CE1" w:rsidP="0009637B">
            <w:pPr>
              <w:keepNext/>
              <w:widowControl w:val="0"/>
              <w:tabs>
                <w:tab w:val="left" w:pos="284"/>
              </w:tabs>
              <w:jc w:val="both"/>
              <w:rPr>
                <w:rFonts w:eastAsia="MS Mincho"/>
                <w:b/>
                <w:sz w:val="22"/>
                <w:szCs w:val="22"/>
                <w:lang w:val="sr-Latn-ME"/>
              </w:rPr>
            </w:pPr>
            <w:r w:rsidRPr="005474B2">
              <w:rPr>
                <w:rFonts w:eastAsia="MS Mincho"/>
                <w:b/>
                <w:sz w:val="22"/>
                <w:szCs w:val="22"/>
                <w:lang w:val="sr-Latn-ME"/>
              </w:rPr>
              <w:t>Ukupni broj randomizovanih pacijenata</w:t>
            </w:r>
          </w:p>
        </w:tc>
        <w:tc>
          <w:tcPr>
            <w:tcW w:w="2294" w:type="dxa"/>
            <w:tcBorders>
              <w:top w:val="single" w:sz="4" w:space="0" w:color="auto"/>
              <w:left w:val="single" w:sz="4" w:space="0" w:color="auto"/>
              <w:bottom w:val="single" w:sz="4" w:space="0" w:color="auto"/>
              <w:right w:val="single" w:sz="4" w:space="0" w:color="auto"/>
            </w:tcBorders>
            <w:shd w:val="clear" w:color="auto" w:fill="auto"/>
            <w:hideMark/>
          </w:tcPr>
          <w:p w14:paraId="5E3C160C" w14:textId="77777777" w:rsidR="007D7CE1" w:rsidRPr="005474B2" w:rsidRDefault="007D7CE1" w:rsidP="005474B2">
            <w:pPr>
              <w:keepNext/>
              <w:widowControl w:val="0"/>
              <w:tabs>
                <w:tab w:val="left" w:pos="284"/>
              </w:tabs>
              <w:jc w:val="both"/>
              <w:rPr>
                <w:rFonts w:eastAsia="MS Mincho"/>
                <w:b/>
                <w:sz w:val="22"/>
                <w:szCs w:val="22"/>
                <w:lang w:val="sr-Latn-ME"/>
              </w:rPr>
            </w:pPr>
            <w:r w:rsidRPr="005474B2">
              <w:rPr>
                <w:rFonts w:eastAsia="MS Mincho"/>
                <w:b/>
                <w:sz w:val="22"/>
                <w:szCs w:val="22"/>
                <w:lang w:val="sr-Latn-ME"/>
              </w:rPr>
              <w:t>186</w:t>
            </w:r>
          </w:p>
        </w:tc>
        <w:tc>
          <w:tcPr>
            <w:tcW w:w="2295" w:type="dxa"/>
            <w:tcBorders>
              <w:top w:val="single" w:sz="4" w:space="0" w:color="auto"/>
              <w:left w:val="single" w:sz="4" w:space="0" w:color="auto"/>
              <w:bottom w:val="single" w:sz="4" w:space="0" w:color="auto"/>
              <w:right w:val="single" w:sz="4" w:space="0" w:color="auto"/>
            </w:tcBorders>
            <w:shd w:val="clear" w:color="auto" w:fill="auto"/>
            <w:hideMark/>
          </w:tcPr>
          <w:p w14:paraId="4226A9E5" w14:textId="77777777" w:rsidR="007D7CE1" w:rsidRPr="005474B2" w:rsidRDefault="007D7CE1" w:rsidP="005474B2">
            <w:pPr>
              <w:keepNext/>
              <w:widowControl w:val="0"/>
              <w:tabs>
                <w:tab w:val="left" w:pos="284"/>
              </w:tabs>
              <w:jc w:val="both"/>
              <w:rPr>
                <w:rFonts w:eastAsia="MS Mincho"/>
                <w:b/>
                <w:sz w:val="22"/>
                <w:szCs w:val="22"/>
                <w:lang w:val="sr-Latn-ME"/>
              </w:rPr>
            </w:pPr>
            <w:r w:rsidRPr="005474B2">
              <w:rPr>
                <w:rFonts w:eastAsia="MS Mincho"/>
                <w:b/>
                <w:sz w:val="22"/>
                <w:szCs w:val="22"/>
                <w:lang w:val="sr-Latn-ME"/>
              </w:rPr>
              <w:t>185</w:t>
            </w:r>
          </w:p>
        </w:tc>
      </w:tr>
      <w:tr w:rsidR="007D7CE1" w:rsidRPr="0009637B" w14:paraId="07BD491D"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0B598F9C" w14:textId="77777777" w:rsidR="007D7CE1" w:rsidRPr="005474B2" w:rsidRDefault="007D7CE1" w:rsidP="0009637B">
            <w:pPr>
              <w:keepNext/>
              <w:widowControl w:val="0"/>
              <w:tabs>
                <w:tab w:val="left" w:pos="284"/>
              </w:tabs>
              <w:jc w:val="both"/>
              <w:rPr>
                <w:rFonts w:eastAsia="MS Mincho"/>
                <w:sz w:val="22"/>
                <w:szCs w:val="22"/>
                <w:lang w:val="sr-Latn-ME"/>
              </w:rPr>
            </w:pPr>
            <w:r w:rsidRPr="005474B2">
              <w:rPr>
                <w:rFonts w:eastAsia="MS Mincho"/>
                <w:sz w:val="22"/>
                <w:szCs w:val="22"/>
                <w:lang w:val="sr-Latn-ME"/>
              </w:rPr>
              <w:t>Odgovor ASAS 40,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05E71803"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28,0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D90D162"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40,0*</w:t>
            </w:r>
          </w:p>
        </w:tc>
      </w:tr>
      <w:tr w:rsidR="007D7CE1" w:rsidRPr="0009637B" w14:paraId="212C7DB6"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03AA8CF8" w14:textId="77777777" w:rsidR="007D7CE1" w:rsidRPr="005474B2" w:rsidRDefault="007D7CE1" w:rsidP="0009637B">
            <w:pPr>
              <w:keepNext/>
              <w:widowControl w:val="0"/>
              <w:tabs>
                <w:tab w:val="left" w:pos="284"/>
              </w:tabs>
              <w:jc w:val="both"/>
              <w:rPr>
                <w:rFonts w:eastAsia="MS Mincho"/>
                <w:sz w:val="22"/>
                <w:szCs w:val="22"/>
                <w:lang w:val="sr-Latn-ME"/>
              </w:rPr>
            </w:pPr>
            <w:r w:rsidRPr="005474B2">
              <w:rPr>
                <w:rFonts w:eastAsia="MS Mincho"/>
                <w:sz w:val="22"/>
                <w:szCs w:val="22"/>
                <w:lang w:val="sr-Latn-ME"/>
              </w:rPr>
              <w:t>ASAS 5/6,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40EEB8BF"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23,7</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21324923"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40,0*</w:t>
            </w:r>
          </w:p>
        </w:tc>
      </w:tr>
      <w:tr w:rsidR="007D7CE1" w:rsidRPr="0009637B" w14:paraId="70DF85CD"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42DF7939" w14:textId="77777777" w:rsidR="007D7CE1" w:rsidRPr="005474B2" w:rsidRDefault="007D7CE1" w:rsidP="0009637B">
            <w:pPr>
              <w:keepNext/>
              <w:widowControl w:val="0"/>
              <w:tabs>
                <w:tab w:val="left" w:pos="284"/>
              </w:tabs>
              <w:jc w:val="both"/>
              <w:rPr>
                <w:rFonts w:eastAsia="MS Mincho"/>
                <w:sz w:val="22"/>
                <w:szCs w:val="22"/>
                <w:lang w:val="sr-Latn-ME"/>
              </w:rPr>
            </w:pPr>
            <w:r w:rsidRPr="005474B2">
              <w:rPr>
                <w:rFonts w:eastAsia="MS Mincho"/>
                <w:sz w:val="22"/>
                <w:szCs w:val="22"/>
                <w:lang w:val="sr-Latn-ME"/>
              </w:rPr>
              <w:t xml:space="preserve">BASDAI, LS srednja </w:t>
            </w:r>
            <w:r w:rsidR="00C41FCA" w:rsidRPr="005474B2">
              <w:rPr>
                <w:rFonts w:eastAsia="MS Mincho"/>
                <w:sz w:val="22"/>
                <w:szCs w:val="22"/>
                <w:lang w:val="sr-Latn-ME"/>
              </w:rPr>
              <w:t>vrijednost</w:t>
            </w:r>
            <w:r w:rsidRPr="005474B2">
              <w:rPr>
                <w:rFonts w:eastAsia="MS Mincho"/>
                <w:sz w:val="22"/>
                <w:szCs w:val="22"/>
                <w:lang w:val="sr-Latn-ME"/>
              </w:rPr>
              <w:t xml:space="preserve"> </w:t>
            </w:r>
            <w:r w:rsidR="00A233FB" w:rsidRPr="005474B2">
              <w:rPr>
                <w:rFonts w:eastAsia="MS Mincho"/>
                <w:sz w:val="22"/>
                <w:szCs w:val="22"/>
                <w:lang w:val="sr-Latn-ME"/>
              </w:rPr>
              <w:t>promjene</w:t>
            </w:r>
            <w:r w:rsidRPr="005474B2">
              <w:rPr>
                <w:rFonts w:eastAsia="MS Mincho"/>
                <w:sz w:val="22"/>
                <w:szCs w:val="22"/>
                <w:lang w:val="sr-Latn-ME"/>
              </w:rPr>
              <w:t xml:space="preserve"> od početnog rezultata</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123A4BD6"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-1,46</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17C1932"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-2,35*</w:t>
            </w:r>
          </w:p>
        </w:tc>
      </w:tr>
      <w:tr w:rsidR="007D7CE1" w:rsidRPr="0009637B" w14:paraId="6474948A"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4A1D063A" w14:textId="77777777" w:rsidR="007D7CE1" w:rsidRPr="005474B2" w:rsidRDefault="007D7CE1" w:rsidP="0009637B">
            <w:pPr>
              <w:keepNext/>
              <w:widowControl w:val="0"/>
              <w:tabs>
                <w:tab w:val="left" w:pos="284"/>
              </w:tabs>
              <w:jc w:val="both"/>
              <w:rPr>
                <w:rFonts w:eastAsia="MS Mincho"/>
                <w:sz w:val="22"/>
                <w:szCs w:val="22"/>
                <w:lang w:val="sr-Latn-ME"/>
              </w:rPr>
            </w:pPr>
            <w:r w:rsidRPr="005474B2">
              <w:rPr>
                <w:rFonts w:eastAsia="MS Mincho"/>
                <w:sz w:val="22"/>
                <w:szCs w:val="22"/>
                <w:lang w:val="sr-Latn-ME"/>
              </w:rPr>
              <w:t>BASDAI 50,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5684C98B"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21,0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F34B79B"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37,3*</w:t>
            </w:r>
          </w:p>
        </w:tc>
      </w:tr>
      <w:tr w:rsidR="007D7CE1" w:rsidRPr="0009637B" w14:paraId="6E120949"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67736D2A" w14:textId="77777777" w:rsidR="007D7CE1" w:rsidRPr="005474B2" w:rsidRDefault="007D7CE1" w:rsidP="0009637B">
            <w:pPr>
              <w:keepNext/>
              <w:widowControl w:val="0"/>
              <w:tabs>
                <w:tab w:val="left" w:pos="284"/>
              </w:tabs>
              <w:jc w:val="both"/>
              <w:rPr>
                <w:rFonts w:eastAsia="MS Mincho"/>
                <w:sz w:val="22"/>
                <w:szCs w:val="22"/>
                <w:lang w:val="sr-Latn-ME"/>
              </w:rPr>
            </w:pPr>
            <w:r w:rsidRPr="005474B2">
              <w:rPr>
                <w:rFonts w:eastAsia="MS Mincho"/>
                <w:sz w:val="22"/>
                <w:szCs w:val="22"/>
                <w:lang w:val="sr-Latn-ME"/>
              </w:rPr>
              <w:t>hsCRP, (raspon nakon PV</w:t>
            </w:r>
            <w:r w:rsidRPr="005474B2">
              <w:rPr>
                <w:rFonts w:eastAsia="MS Mincho"/>
                <w:sz w:val="22"/>
                <w:szCs w:val="22"/>
                <w:lang w:val="sr-Latn-ME"/>
              </w:rPr>
              <w:noBreakHyphen/>
              <w:t>a/PV)</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522FC7D6"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0,91</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E1245F2"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0,64*</w:t>
            </w:r>
          </w:p>
        </w:tc>
      </w:tr>
      <w:tr w:rsidR="007D7CE1" w:rsidRPr="0009637B" w14:paraId="090450B4"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44FB3473" w14:textId="77777777" w:rsidR="007D7CE1" w:rsidRPr="005474B2" w:rsidRDefault="007D7CE1" w:rsidP="0009637B">
            <w:pPr>
              <w:keepNext/>
              <w:widowControl w:val="0"/>
              <w:tabs>
                <w:tab w:val="left" w:pos="284"/>
              </w:tabs>
              <w:jc w:val="both"/>
              <w:rPr>
                <w:rFonts w:eastAsia="MS Mincho"/>
                <w:sz w:val="22"/>
                <w:szCs w:val="22"/>
                <w:lang w:val="sr-Latn-ME"/>
              </w:rPr>
            </w:pPr>
            <w:r w:rsidRPr="005474B2">
              <w:rPr>
                <w:rFonts w:eastAsia="MS Mincho"/>
                <w:sz w:val="22"/>
                <w:szCs w:val="22"/>
                <w:lang w:val="sr-Latn-ME"/>
              </w:rPr>
              <w:t>Odgovor ASAS 20,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7417EE39"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45,7</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551B07BA"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56,8*</w:t>
            </w:r>
          </w:p>
        </w:tc>
      </w:tr>
      <w:tr w:rsidR="007D7CE1" w:rsidRPr="0009637B" w14:paraId="0D005FF0"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0598AC9C" w14:textId="77777777" w:rsidR="007D7CE1" w:rsidRPr="005474B2" w:rsidRDefault="007D7CE1" w:rsidP="0009637B">
            <w:pPr>
              <w:keepNext/>
              <w:widowControl w:val="0"/>
              <w:tabs>
                <w:tab w:val="left" w:pos="284"/>
              </w:tabs>
              <w:jc w:val="both"/>
              <w:rPr>
                <w:rFonts w:eastAsia="MS Mincho"/>
                <w:sz w:val="22"/>
                <w:szCs w:val="22"/>
                <w:lang w:val="sr-Latn-ME"/>
              </w:rPr>
            </w:pPr>
            <w:r w:rsidRPr="005474B2">
              <w:rPr>
                <w:rFonts w:eastAsia="MS Mincho"/>
                <w:sz w:val="22"/>
                <w:szCs w:val="22"/>
                <w:lang w:val="sr-Latn-ME"/>
              </w:rPr>
              <w:t>ASAS d</w:t>
            </w:r>
            <w:r w:rsidR="008F70AE" w:rsidRPr="005474B2">
              <w:rPr>
                <w:rFonts w:eastAsia="MS Mincho"/>
                <w:sz w:val="22"/>
                <w:szCs w:val="22"/>
                <w:lang w:val="sr-Latn-ME"/>
              </w:rPr>
              <w:t>j</w:t>
            </w:r>
            <w:r w:rsidRPr="005474B2">
              <w:rPr>
                <w:rFonts w:eastAsia="MS Mincho"/>
                <w:sz w:val="22"/>
                <w:szCs w:val="22"/>
                <w:lang w:val="sr-Latn-ME"/>
              </w:rPr>
              <w:t>elimična remisija,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4D229E62"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7,0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422FAE8" w14:textId="77777777" w:rsidR="007D7CE1" w:rsidRPr="005474B2" w:rsidRDefault="007D7CE1" w:rsidP="005474B2">
            <w:pPr>
              <w:keepNext/>
              <w:widowControl w:val="0"/>
              <w:tabs>
                <w:tab w:val="left" w:pos="284"/>
              </w:tabs>
              <w:jc w:val="both"/>
              <w:rPr>
                <w:rFonts w:eastAsia="MS Mincho"/>
                <w:sz w:val="22"/>
                <w:szCs w:val="22"/>
                <w:lang w:val="sr-Latn-ME"/>
              </w:rPr>
            </w:pPr>
            <w:r w:rsidRPr="005474B2">
              <w:rPr>
                <w:rFonts w:eastAsia="MS Mincho"/>
                <w:sz w:val="22"/>
                <w:szCs w:val="22"/>
                <w:lang w:val="sr-Latn-ME"/>
              </w:rPr>
              <w:t>21,6*</w:t>
            </w:r>
          </w:p>
        </w:tc>
      </w:tr>
      <w:tr w:rsidR="007D7CE1" w:rsidRPr="0009637B" w14:paraId="3ED9098F" w14:textId="77777777" w:rsidTr="007D7CE1">
        <w:trPr>
          <w:cantSplit/>
          <w:jc w:val="center"/>
        </w:trPr>
        <w:tc>
          <w:tcPr>
            <w:tcW w:w="90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6D42DE" w14:textId="77777777" w:rsidR="007D7CE1" w:rsidRPr="005474B2" w:rsidRDefault="007D7CE1" w:rsidP="0009637B">
            <w:pPr>
              <w:tabs>
                <w:tab w:val="left" w:pos="284"/>
              </w:tabs>
              <w:jc w:val="both"/>
              <w:rPr>
                <w:rFonts w:eastAsia="MS Mincho"/>
                <w:sz w:val="22"/>
                <w:szCs w:val="22"/>
                <w:lang w:val="sr-Latn-ME" w:eastAsia="zh-CN"/>
              </w:rPr>
            </w:pPr>
            <w:r w:rsidRPr="005474B2">
              <w:rPr>
                <w:rFonts w:eastAsia="MS Mincho"/>
                <w:sz w:val="22"/>
                <w:szCs w:val="22"/>
                <w:lang w:val="sr-Latn-ME" w:eastAsia="zh-CN"/>
              </w:rPr>
              <w:t>*p&lt;0,05 u odnosu na placebo</w:t>
            </w:r>
          </w:p>
          <w:p w14:paraId="14AB1FD5" w14:textId="5BE0CF35" w:rsidR="007D7CE1" w:rsidRPr="005474B2" w:rsidRDefault="007D7CE1" w:rsidP="0009637B">
            <w:pPr>
              <w:tabs>
                <w:tab w:val="left" w:pos="284"/>
              </w:tabs>
              <w:jc w:val="both"/>
              <w:rPr>
                <w:rFonts w:eastAsia="MS Mincho"/>
                <w:sz w:val="22"/>
                <w:szCs w:val="22"/>
                <w:lang w:val="sr-Latn-ME" w:eastAsia="zh-CN"/>
              </w:rPr>
            </w:pPr>
            <w:r w:rsidRPr="005474B2">
              <w:rPr>
                <w:rFonts w:eastAsia="MS Mincho"/>
                <w:sz w:val="22"/>
                <w:szCs w:val="22"/>
                <w:lang w:val="sr-Latn-ME" w:eastAsia="zh-CN"/>
              </w:rPr>
              <w:t>Sve p-</w:t>
            </w:r>
            <w:r w:rsidR="00A233FB" w:rsidRPr="005474B2">
              <w:rPr>
                <w:rFonts w:eastAsia="MS Mincho"/>
                <w:sz w:val="22"/>
                <w:szCs w:val="22"/>
                <w:lang w:val="sr-Latn-ME" w:eastAsia="zh-CN"/>
              </w:rPr>
              <w:t>vrijednosti</w:t>
            </w:r>
            <w:r w:rsidRPr="005474B2">
              <w:rPr>
                <w:rFonts w:eastAsia="MS Mincho"/>
                <w:sz w:val="22"/>
                <w:szCs w:val="22"/>
                <w:lang w:val="sr-Latn-ME" w:eastAsia="zh-CN"/>
              </w:rPr>
              <w:t xml:space="preserve"> prilagođene za višestrukost testiranja na osnovu prethodno definisane hijerarhije</w:t>
            </w:r>
            <w:r w:rsidR="000E765E" w:rsidRPr="005474B2">
              <w:rPr>
                <w:rFonts w:eastAsia="MS Mincho"/>
                <w:sz w:val="22"/>
                <w:szCs w:val="22"/>
                <w:lang w:val="sr-Latn-ME" w:eastAsia="zh-CN"/>
              </w:rPr>
              <w:t>.</w:t>
            </w:r>
          </w:p>
          <w:p w14:paraId="03F0F869" w14:textId="28F379E3" w:rsidR="007D7CE1" w:rsidRPr="005474B2" w:rsidRDefault="007D7CE1">
            <w:pPr>
              <w:keepNext/>
              <w:keepLines/>
              <w:widowControl w:val="0"/>
              <w:tabs>
                <w:tab w:val="left" w:pos="284"/>
              </w:tabs>
              <w:jc w:val="both"/>
              <w:rPr>
                <w:sz w:val="22"/>
                <w:szCs w:val="22"/>
                <w:lang w:val="sr-Latn-ME"/>
              </w:rPr>
            </w:pPr>
            <w:r w:rsidRPr="005474B2">
              <w:rPr>
                <w:sz w:val="22"/>
                <w:szCs w:val="22"/>
                <w:lang w:val="sr-Latn-ME"/>
              </w:rPr>
              <w:t xml:space="preserve">Imputacija </w:t>
            </w:r>
            <w:r w:rsidR="002755A3" w:rsidRPr="005474B2">
              <w:rPr>
                <w:sz w:val="22"/>
                <w:szCs w:val="22"/>
                <w:lang w:val="sr-Latn-ME"/>
              </w:rPr>
              <w:t>pacijenata</w:t>
            </w:r>
            <w:r w:rsidRPr="005474B2">
              <w:rPr>
                <w:sz w:val="22"/>
                <w:szCs w:val="22"/>
                <w:lang w:val="sr-Latn-ME"/>
              </w:rPr>
              <w:t xml:space="preserve"> bez odgovora upotr</w:t>
            </w:r>
            <w:r w:rsidR="002755A3" w:rsidRPr="005474B2">
              <w:rPr>
                <w:sz w:val="22"/>
                <w:szCs w:val="22"/>
                <w:lang w:val="sr-Latn-ME"/>
              </w:rPr>
              <w:t>ij</w:t>
            </w:r>
            <w:r w:rsidRPr="005474B2">
              <w:rPr>
                <w:sz w:val="22"/>
                <w:szCs w:val="22"/>
                <w:lang w:val="sr-Latn-ME"/>
              </w:rPr>
              <w:t>ebljena je za binarnu m</w:t>
            </w:r>
            <w:r w:rsidR="008F70AE" w:rsidRPr="005474B2">
              <w:rPr>
                <w:sz w:val="22"/>
                <w:szCs w:val="22"/>
                <w:lang w:val="sr-Latn-ME"/>
              </w:rPr>
              <w:t>j</w:t>
            </w:r>
            <w:r w:rsidRPr="005474B2">
              <w:rPr>
                <w:sz w:val="22"/>
                <w:szCs w:val="22"/>
                <w:lang w:val="sr-Latn-ME"/>
              </w:rPr>
              <w:t>eru ishoda koja nedostaje</w:t>
            </w:r>
            <w:r w:rsidR="002755A3" w:rsidRPr="005474B2">
              <w:rPr>
                <w:sz w:val="22"/>
                <w:szCs w:val="22"/>
                <w:lang w:val="sr-Latn-ME"/>
              </w:rPr>
              <w:t>.</w:t>
            </w:r>
          </w:p>
          <w:p w14:paraId="4E76994E" w14:textId="2F646FDC" w:rsidR="007D7CE1" w:rsidRPr="005474B2" w:rsidRDefault="007D7CE1">
            <w:pPr>
              <w:tabs>
                <w:tab w:val="left" w:pos="284"/>
              </w:tabs>
              <w:jc w:val="both"/>
              <w:rPr>
                <w:rFonts w:eastAsia="MS Mincho"/>
                <w:sz w:val="22"/>
                <w:szCs w:val="22"/>
                <w:lang w:val="sr-Latn-ME"/>
              </w:rPr>
            </w:pPr>
            <w:r w:rsidRPr="005474B2">
              <w:rPr>
                <w:rFonts w:eastAsia="MS Mincho"/>
                <w:sz w:val="22"/>
                <w:szCs w:val="22"/>
                <w:vertAlign w:val="superscript"/>
                <w:lang w:val="sr-Latn-ME"/>
              </w:rPr>
              <w:t>1</w:t>
            </w:r>
            <w:r w:rsidRPr="005474B2">
              <w:rPr>
                <w:rFonts w:eastAsia="MS Mincho"/>
                <w:sz w:val="22"/>
                <w:szCs w:val="22"/>
                <w:lang w:val="sr-Latn-ME"/>
              </w:rPr>
              <w:t>sekukinumab 150 mg s.c. u 0.</w:t>
            </w:r>
            <w:r w:rsidR="00C32DC7" w:rsidRPr="005474B2">
              <w:rPr>
                <w:rFonts w:eastAsia="MS Mincho"/>
                <w:sz w:val="22"/>
                <w:szCs w:val="22"/>
                <w:lang w:val="sr-Latn-ME"/>
              </w:rPr>
              <w:t>,</w:t>
            </w:r>
            <w:r w:rsidRPr="005474B2">
              <w:rPr>
                <w:rFonts w:eastAsia="MS Mincho"/>
                <w:sz w:val="22"/>
                <w:szCs w:val="22"/>
                <w:lang w:val="sr-Latn-ME"/>
              </w:rPr>
              <w:t xml:space="preserve"> 1.</w:t>
            </w:r>
            <w:r w:rsidR="00C32DC7" w:rsidRPr="005474B2">
              <w:rPr>
                <w:rFonts w:eastAsia="MS Mincho"/>
                <w:sz w:val="22"/>
                <w:szCs w:val="22"/>
                <w:lang w:val="sr-Latn-ME"/>
              </w:rPr>
              <w:t>,</w:t>
            </w:r>
            <w:r w:rsidRPr="005474B2">
              <w:rPr>
                <w:rFonts w:eastAsia="MS Mincho"/>
                <w:sz w:val="22"/>
                <w:szCs w:val="22"/>
                <w:lang w:val="sr-Latn-ME"/>
              </w:rPr>
              <w:t xml:space="preserve"> 2.</w:t>
            </w:r>
            <w:r w:rsidR="00C32DC7" w:rsidRPr="005474B2">
              <w:rPr>
                <w:rFonts w:eastAsia="MS Mincho"/>
                <w:sz w:val="22"/>
                <w:szCs w:val="22"/>
                <w:lang w:val="sr-Latn-ME"/>
              </w:rPr>
              <w:t>,</w:t>
            </w:r>
            <w:r w:rsidRPr="005474B2">
              <w:rPr>
                <w:rFonts w:eastAsia="MS Mincho"/>
                <w:sz w:val="22"/>
                <w:szCs w:val="22"/>
                <w:lang w:val="sr-Latn-ME"/>
              </w:rPr>
              <w:t xml:space="preserve"> 3. i 4. </w:t>
            </w:r>
            <w:r w:rsidR="009A4880" w:rsidRPr="005474B2">
              <w:rPr>
                <w:rFonts w:eastAsia="MS Mincho"/>
                <w:sz w:val="22"/>
                <w:szCs w:val="22"/>
                <w:lang w:val="sr-Latn-ME"/>
              </w:rPr>
              <w:t>nedjelj</w:t>
            </w:r>
            <w:r w:rsidRPr="005474B2">
              <w:rPr>
                <w:rFonts w:eastAsia="MS Mincho"/>
                <w:sz w:val="22"/>
                <w:szCs w:val="22"/>
                <w:lang w:val="sr-Latn-ME"/>
              </w:rPr>
              <w:t>i</w:t>
            </w:r>
            <w:r w:rsidR="002755A3" w:rsidRPr="005474B2">
              <w:rPr>
                <w:rFonts w:eastAsia="MS Mincho"/>
                <w:sz w:val="22"/>
                <w:szCs w:val="22"/>
                <w:lang w:val="sr-Latn-ME"/>
              </w:rPr>
              <w:t>,</w:t>
            </w:r>
            <w:r w:rsidRPr="005474B2">
              <w:rPr>
                <w:rFonts w:eastAsia="MS Mincho"/>
                <w:sz w:val="22"/>
                <w:szCs w:val="22"/>
                <w:lang w:val="sr-Latn-ME"/>
              </w:rPr>
              <w:t xml:space="preserve"> nakon čega </w:t>
            </w:r>
            <w:r w:rsidR="009A4880" w:rsidRPr="005474B2">
              <w:rPr>
                <w:rFonts w:eastAsia="MS Mincho"/>
                <w:sz w:val="22"/>
                <w:szCs w:val="22"/>
                <w:lang w:val="sr-Latn-ME"/>
              </w:rPr>
              <w:t>slijedi</w:t>
            </w:r>
            <w:r w:rsidRPr="005474B2">
              <w:rPr>
                <w:rFonts w:eastAsia="MS Mincho"/>
                <w:sz w:val="22"/>
                <w:szCs w:val="22"/>
                <w:lang w:val="sr-Latn-ME"/>
              </w:rPr>
              <w:t xml:space="preserve"> ista doza svakog </w:t>
            </w:r>
            <w:r w:rsidR="009A4880" w:rsidRPr="005474B2">
              <w:rPr>
                <w:rFonts w:eastAsia="MS Mincho"/>
                <w:sz w:val="22"/>
                <w:szCs w:val="22"/>
                <w:lang w:val="sr-Latn-ME"/>
              </w:rPr>
              <w:t>mjesec</w:t>
            </w:r>
            <w:r w:rsidRPr="005474B2">
              <w:rPr>
                <w:rFonts w:eastAsia="MS Mincho"/>
                <w:sz w:val="22"/>
                <w:szCs w:val="22"/>
                <w:lang w:val="sr-Latn-ME"/>
              </w:rPr>
              <w:t>a</w:t>
            </w:r>
          </w:p>
          <w:p w14:paraId="36E411EA" w14:textId="77777777" w:rsidR="007D7CE1" w:rsidRPr="005474B2" w:rsidRDefault="007D7CE1">
            <w:pPr>
              <w:tabs>
                <w:tab w:val="left" w:pos="284"/>
              </w:tabs>
              <w:jc w:val="both"/>
              <w:rPr>
                <w:rFonts w:eastAsia="MS Mincho"/>
                <w:sz w:val="22"/>
                <w:szCs w:val="22"/>
                <w:lang w:val="sr-Latn-ME"/>
              </w:rPr>
            </w:pPr>
          </w:p>
          <w:p w14:paraId="669009E8" w14:textId="65C3BC0F" w:rsidR="007D7CE1" w:rsidRPr="005474B2" w:rsidRDefault="007D7CE1">
            <w:pPr>
              <w:tabs>
                <w:tab w:val="left" w:pos="284"/>
              </w:tabs>
              <w:jc w:val="both"/>
              <w:rPr>
                <w:rFonts w:eastAsia="MS Mincho"/>
                <w:sz w:val="22"/>
                <w:szCs w:val="22"/>
                <w:lang w:val="sr-Latn-ME"/>
              </w:rPr>
            </w:pPr>
            <w:r w:rsidRPr="005474B2">
              <w:rPr>
                <w:rFonts w:eastAsia="MS Mincho"/>
                <w:sz w:val="22"/>
                <w:szCs w:val="22"/>
                <w:lang w:val="sr-Latn-ME"/>
              </w:rPr>
              <w:t>ASAS: kriterij</w:t>
            </w:r>
            <w:r w:rsidR="002755A3" w:rsidRPr="005474B2">
              <w:rPr>
                <w:rFonts w:eastAsia="MS Mincho"/>
                <w:sz w:val="22"/>
                <w:szCs w:val="22"/>
                <w:lang w:val="sr-Latn-ME"/>
              </w:rPr>
              <w:t>um</w:t>
            </w:r>
            <w:r w:rsidRPr="005474B2">
              <w:rPr>
                <w:rFonts w:eastAsia="MS Mincho"/>
                <w:sz w:val="22"/>
                <w:szCs w:val="22"/>
                <w:lang w:val="sr-Latn-ME"/>
              </w:rPr>
              <w:t xml:space="preserve">i Međunarodnog društva za </w:t>
            </w:r>
            <w:r w:rsidR="00C41FCA" w:rsidRPr="005474B2">
              <w:rPr>
                <w:rFonts w:eastAsia="MS Mincho"/>
                <w:sz w:val="22"/>
                <w:szCs w:val="22"/>
                <w:lang w:val="sr-Latn-ME"/>
              </w:rPr>
              <w:t>procjenu</w:t>
            </w:r>
            <w:r w:rsidRPr="005474B2">
              <w:rPr>
                <w:rFonts w:eastAsia="MS Mincho"/>
                <w:sz w:val="22"/>
                <w:szCs w:val="22"/>
                <w:lang w:val="sr-Latn-ME"/>
              </w:rPr>
              <w:t xml:space="preserve"> spondiloartritisa; BASDAI: </w:t>
            </w:r>
            <w:r w:rsidRPr="005474B2">
              <w:rPr>
                <w:rFonts w:eastAsia="MS Mincho"/>
                <w:i/>
                <w:sz w:val="22"/>
                <w:szCs w:val="22"/>
                <w:lang w:val="sr-Latn-ME"/>
              </w:rPr>
              <w:t>Bath</w:t>
            </w:r>
            <w:r w:rsidRPr="005474B2">
              <w:rPr>
                <w:rFonts w:eastAsia="MS Mincho"/>
                <w:sz w:val="22"/>
                <w:szCs w:val="22"/>
                <w:lang w:val="sr-Latn-ME"/>
              </w:rPr>
              <w:t xml:space="preserve"> indeks aktivnosti ankilozirajućeg spondilitisa; hsCRP: test visoke </w:t>
            </w:r>
            <w:r w:rsidR="009A4880" w:rsidRPr="005474B2">
              <w:rPr>
                <w:rFonts w:eastAsia="MS Mincho"/>
                <w:sz w:val="22"/>
                <w:szCs w:val="22"/>
                <w:lang w:val="sr-Latn-ME"/>
              </w:rPr>
              <w:t>osjetljivost</w:t>
            </w:r>
            <w:r w:rsidRPr="005474B2">
              <w:rPr>
                <w:rFonts w:eastAsia="MS Mincho"/>
                <w:sz w:val="22"/>
                <w:szCs w:val="22"/>
                <w:lang w:val="sr-Latn-ME"/>
              </w:rPr>
              <w:t xml:space="preserve">i za C-reaktivni protein; PV: početna </w:t>
            </w:r>
            <w:r w:rsidR="00C41FCA" w:rsidRPr="005474B2">
              <w:rPr>
                <w:rFonts w:eastAsia="MS Mincho"/>
                <w:sz w:val="22"/>
                <w:szCs w:val="22"/>
                <w:lang w:val="sr-Latn-ME"/>
              </w:rPr>
              <w:t>vrijednost</w:t>
            </w:r>
            <w:r w:rsidRPr="005474B2">
              <w:rPr>
                <w:rFonts w:eastAsia="MS Mincho"/>
                <w:sz w:val="22"/>
                <w:szCs w:val="22"/>
                <w:lang w:val="sr-Latn-ME"/>
              </w:rPr>
              <w:t xml:space="preserve">; LS (engl. </w:t>
            </w:r>
            <w:r w:rsidRPr="005474B2">
              <w:rPr>
                <w:rFonts w:eastAsia="MS Mincho"/>
                <w:i/>
                <w:sz w:val="22"/>
                <w:szCs w:val="22"/>
                <w:lang w:val="sr-Latn-ME"/>
              </w:rPr>
              <w:t>least square</w:t>
            </w:r>
            <w:r w:rsidRPr="005474B2">
              <w:rPr>
                <w:rFonts w:eastAsia="MS Mincho"/>
                <w:sz w:val="22"/>
                <w:szCs w:val="22"/>
                <w:lang w:val="sr-Latn-ME"/>
              </w:rPr>
              <w:t xml:space="preserve">) mean: srednja </w:t>
            </w:r>
            <w:r w:rsidR="00C41FCA" w:rsidRPr="005474B2">
              <w:rPr>
                <w:rFonts w:eastAsia="MS Mincho"/>
                <w:sz w:val="22"/>
                <w:szCs w:val="22"/>
                <w:lang w:val="sr-Latn-ME"/>
              </w:rPr>
              <w:t>vrijednost</w:t>
            </w:r>
            <w:r w:rsidRPr="005474B2">
              <w:rPr>
                <w:rFonts w:eastAsia="MS Mincho"/>
                <w:sz w:val="22"/>
                <w:szCs w:val="22"/>
                <w:lang w:val="sr-Latn-ME"/>
              </w:rPr>
              <w:t xml:space="preserve"> dobijena metodom najmanjih kvadrata</w:t>
            </w:r>
          </w:p>
        </w:tc>
      </w:tr>
    </w:tbl>
    <w:p w14:paraId="27508B97" w14:textId="77777777" w:rsidR="007D7CE1" w:rsidRPr="005474B2" w:rsidRDefault="007D7CE1" w:rsidP="0009637B">
      <w:pPr>
        <w:keepNext/>
        <w:widowControl w:val="0"/>
        <w:tabs>
          <w:tab w:val="left" w:pos="567"/>
        </w:tabs>
        <w:jc w:val="both"/>
        <w:outlineLvl w:val="6"/>
        <w:rPr>
          <w:b/>
          <w:sz w:val="22"/>
          <w:szCs w:val="22"/>
          <w:lang w:val="sr-Latn-ME"/>
        </w:rPr>
      </w:pPr>
    </w:p>
    <w:p w14:paraId="5807F51F" w14:textId="1F97C2D2" w:rsidR="007D7CE1" w:rsidRPr="005474B2" w:rsidRDefault="007D7CE1" w:rsidP="0009637B">
      <w:pPr>
        <w:widowControl w:val="0"/>
        <w:jc w:val="both"/>
        <w:rPr>
          <w:rFonts w:eastAsia="MS Mincho"/>
          <w:sz w:val="22"/>
          <w:szCs w:val="22"/>
          <w:lang w:val="sr-Latn-ME"/>
        </w:rPr>
      </w:pPr>
      <w:r w:rsidRPr="005474B2">
        <w:rPr>
          <w:rFonts w:eastAsia="MS Mincho"/>
          <w:sz w:val="22"/>
          <w:szCs w:val="22"/>
          <w:lang w:val="sr-Latn-ME"/>
        </w:rPr>
        <w:t>Početak dejstva sekukinumaba 150 mg se pojavio već u 3. </w:t>
      </w:r>
      <w:r w:rsidR="009A4880" w:rsidRPr="005474B2">
        <w:rPr>
          <w:rFonts w:eastAsia="MS Mincho"/>
          <w:sz w:val="22"/>
          <w:szCs w:val="22"/>
          <w:lang w:val="sr-Latn-ME"/>
        </w:rPr>
        <w:t>nedjelj</w:t>
      </w:r>
      <w:r w:rsidRPr="005474B2">
        <w:rPr>
          <w:rFonts w:eastAsia="MS Mincho"/>
          <w:sz w:val="22"/>
          <w:szCs w:val="22"/>
          <w:lang w:val="sr-Latn-ME"/>
        </w:rPr>
        <w:t>i za ASAS 40 kod pacijenata koji ni</w:t>
      </w:r>
      <w:r w:rsidR="00746619" w:rsidRPr="005474B2">
        <w:rPr>
          <w:rFonts w:eastAsia="MS Mincho"/>
          <w:sz w:val="22"/>
          <w:szCs w:val="22"/>
          <w:lang w:val="sr-Latn-ME"/>
        </w:rPr>
        <w:t>je</w:t>
      </w:r>
      <w:r w:rsidRPr="005474B2">
        <w:rPr>
          <w:rFonts w:eastAsia="MS Mincho"/>
          <w:sz w:val="22"/>
          <w:szCs w:val="22"/>
          <w:lang w:val="sr-Latn-ME"/>
        </w:rPr>
        <w:t>su ranije uzimali anti-TNFα (superioran u odnosu na placebo) u ispitivanju PREVENT. Procenat pacijenata koji su postigli ASAS 40 odgovor među pacijentima koji ni</w:t>
      </w:r>
      <w:r w:rsidR="00746619" w:rsidRPr="005474B2">
        <w:rPr>
          <w:rFonts w:eastAsia="MS Mincho"/>
          <w:sz w:val="22"/>
          <w:szCs w:val="22"/>
          <w:lang w:val="sr-Latn-ME"/>
        </w:rPr>
        <w:t>je</w:t>
      </w:r>
      <w:r w:rsidRPr="005474B2">
        <w:rPr>
          <w:rFonts w:eastAsia="MS Mincho"/>
          <w:sz w:val="22"/>
          <w:szCs w:val="22"/>
          <w:lang w:val="sr-Latn-ME"/>
        </w:rPr>
        <w:t>su ranije uzimali anti-TNFα prikazan je prema pos</w:t>
      </w:r>
      <w:r w:rsidR="002755A3" w:rsidRPr="005474B2">
        <w:rPr>
          <w:rFonts w:eastAsia="MS Mincho"/>
          <w:sz w:val="22"/>
          <w:szCs w:val="22"/>
          <w:lang w:val="sr-Latn-ME"/>
        </w:rPr>
        <w:t>j</w:t>
      </w:r>
      <w:r w:rsidRPr="005474B2">
        <w:rPr>
          <w:rFonts w:eastAsia="MS Mincho"/>
          <w:sz w:val="22"/>
          <w:szCs w:val="22"/>
          <w:lang w:val="sr-Latn-ME"/>
        </w:rPr>
        <w:t>eti na Slici 3.</w:t>
      </w:r>
    </w:p>
    <w:p w14:paraId="44539B3A" w14:textId="77777777" w:rsidR="007D7CE1" w:rsidRPr="005474B2" w:rsidRDefault="007D7CE1">
      <w:pPr>
        <w:widowControl w:val="0"/>
        <w:jc w:val="both"/>
        <w:rPr>
          <w:rFonts w:eastAsia="MS Mincho"/>
          <w:sz w:val="22"/>
          <w:szCs w:val="22"/>
          <w:lang w:val="sr-Latn-ME"/>
        </w:rPr>
      </w:pPr>
    </w:p>
    <w:p w14:paraId="5676C84D" w14:textId="202C9F75" w:rsidR="007D7CE1" w:rsidRPr="005474B2" w:rsidRDefault="007D7CE1">
      <w:pPr>
        <w:keepNext/>
        <w:keepLines/>
        <w:tabs>
          <w:tab w:val="left" w:pos="567"/>
        </w:tabs>
        <w:ind w:left="1134" w:hanging="1134"/>
        <w:jc w:val="both"/>
        <w:outlineLvl w:val="6"/>
        <w:rPr>
          <w:b/>
          <w:sz w:val="22"/>
          <w:szCs w:val="22"/>
          <w:lang w:val="sr-Latn-ME"/>
        </w:rPr>
      </w:pPr>
      <w:r w:rsidRPr="005474B2">
        <w:rPr>
          <w:sz w:val="22"/>
          <w:szCs w:val="22"/>
          <w:lang w:val="sr-Latn-ME"/>
        </w:rPr>
        <w:t>S</w:t>
      </w:r>
      <w:r w:rsidRPr="005474B2">
        <w:rPr>
          <w:b/>
          <w:sz w:val="22"/>
          <w:szCs w:val="22"/>
          <w:lang w:val="sr-Latn-ME"/>
        </w:rPr>
        <w:t>lika </w:t>
      </w:r>
      <w:r w:rsidRPr="005474B2">
        <w:rPr>
          <w:b/>
          <w:noProof/>
          <w:sz w:val="22"/>
          <w:szCs w:val="22"/>
          <w:lang w:val="sr-Latn-ME"/>
        </w:rPr>
        <w:t>3</w:t>
      </w:r>
      <w:r w:rsidRPr="005474B2">
        <w:rPr>
          <w:b/>
          <w:sz w:val="22"/>
          <w:szCs w:val="22"/>
          <w:lang w:val="sr-Latn-ME"/>
        </w:rPr>
        <w:tab/>
        <w:t>ASAS 40 odgovori kod pacijenata koji ni</w:t>
      </w:r>
      <w:r w:rsidR="00746619" w:rsidRPr="005474B2">
        <w:rPr>
          <w:b/>
          <w:sz w:val="22"/>
          <w:szCs w:val="22"/>
          <w:lang w:val="sr-Latn-ME"/>
        </w:rPr>
        <w:t>je</w:t>
      </w:r>
      <w:r w:rsidRPr="005474B2">
        <w:rPr>
          <w:b/>
          <w:sz w:val="22"/>
          <w:szCs w:val="22"/>
          <w:lang w:val="sr-Latn-ME"/>
        </w:rPr>
        <w:t>su ranije uzimali anti-TNFα u ispitivanju PREVENT tokom vremena do 16. </w:t>
      </w:r>
      <w:r w:rsidR="009A4880" w:rsidRPr="005474B2">
        <w:rPr>
          <w:b/>
          <w:sz w:val="22"/>
          <w:szCs w:val="22"/>
          <w:lang w:val="sr-Latn-ME"/>
        </w:rPr>
        <w:t>nedjelj</w:t>
      </w:r>
      <w:r w:rsidRPr="005474B2">
        <w:rPr>
          <w:b/>
          <w:sz w:val="22"/>
          <w:szCs w:val="22"/>
          <w:lang w:val="sr-Latn-ME"/>
        </w:rPr>
        <w:t>e</w:t>
      </w:r>
    </w:p>
    <w:p w14:paraId="25EF0FB6" w14:textId="77777777" w:rsidR="007D7CE1" w:rsidRPr="005474B2" w:rsidRDefault="007D7CE1">
      <w:pPr>
        <w:tabs>
          <w:tab w:val="left" w:pos="284"/>
        </w:tabs>
        <w:jc w:val="both"/>
        <w:rPr>
          <w:sz w:val="22"/>
          <w:szCs w:val="22"/>
          <w:lang w:val="sr-Latn-ME"/>
        </w:rPr>
      </w:pPr>
    </w:p>
    <w:p w14:paraId="5F3A7582" w14:textId="77777777" w:rsidR="007D7CE1" w:rsidRPr="005474B2" w:rsidRDefault="007D7CE1">
      <w:pPr>
        <w:keepNext/>
        <w:widowControl w:val="0"/>
        <w:tabs>
          <w:tab w:val="left" w:pos="567"/>
        </w:tabs>
        <w:jc w:val="both"/>
        <w:outlineLvl w:val="6"/>
        <w:rPr>
          <w:b/>
          <w:sz w:val="22"/>
          <w:szCs w:val="22"/>
          <w:lang w:val="sr-Latn-ME"/>
        </w:rPr>
      </w:pPr>
    </w:p>
    <w:p w14:paraId="60BAE580" w14:textId="77777777" w:rsidR="007D7CE1" w:rsidRPr="005474B2" w:rsidRDefault="007D7CE1">
      <w:pPr>
        <w:keepNext/>
        <w:widowControl w:val="0"/>
        <w:tabs>
          <w:tab w:val="left" w:pos="567"/>
        </w:tabs>
        <w:jc w:val="both"/>
        <w:outlineLvl w:val="6"/>
        <w:rPr>
          <w:b/>
          <w:sz w:val="22"/>
          <w:szCs w:val="22"/>
          <w:lang w:val="sr-Latn-ME"/>
        </w:rPr>
      </w:pPr>
    </w:p>
    <w:p w14:paraId="7D034134" w14:textId="7D909345" w:rsidR="007D7CE1" w:rsidRPr="005474B2" w:rsidRDefault="000662D8">
      <w:pPr>
        <w:keepNext/>
        <w:widowControl w:val="0"/>
        <w:tabs>
          <w:tab w:val="left" w:pos="567"/>
        </w:tabs>
        <w:jc w:val="both"/>
        <w:outlineLvl w:val="6"/>
        <w:rPr>
          <w:b/>
          <w:sz w:val="22"/>
          <w:szCs w:val="22"/>
          <w:lang w:val="sr-Latn-ME"/>
        </w:rPr>
      </w:pPr>
      <w:r w:rsidRPr="005474B2">
        <w:rPr>
          <w:b/>
          <w:noProof/>
          <w:sz w:val="22"/>
          <w:szCs w:val="22"/>
        </w:rPr>
        <mc:AlternateContent>
          <mc:Choice Requires="wps">
            <w:drawing>
              <wp:anchor distT="0" distB="0" distL="114300" distR="114300" simplePos="0" relativeHeight="251662336" behindDoc="0" locked="0" layoutInCell="1" allowOverlap="1" wp14:anchorId="655BE787" wp14:editId="28D29638">
                <wp:simplePos x="0" y="0"/>
                <wp:positionH relativeFrom="column">
                  <wp:posOffset>-96520</wp:posOffset>
                </wp:positionH>
                <wp:positionV relativeFrom="paragraph">
                  <wp:posOffset>164465</wp:posOffset>
                </wp:positionV>
                <wp:extent cx="1092835" cy="586740"/>
                <wp:effectExtent l="0" t="0" r="0" b="635"/>
                <wp:wrapNone/>
                <wp:docPr id="2071" name="Text Box 2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586740"/>
                        </a:xfrm>
                        <a:prstGeom prst="rect">
                          <a:avLst/>
                        </a:prstGeom>
                        <a:solidFill>
                          <a:srgbClr val="FFFFFF"/>
                        </a:solidFill>
                        <a:ln w="9525">
                          <a:noFill/>
                          <a:miter lim="800000"/>
                          <a:headEnd/>
                          <a:tailEnd/>
                        </a:ln>
                      </wps:spPr>
                      <wps:txbx>
                        <w:txbxContent>
                          <w:p w14:paraId="3BEAC2DC" w14:textId="0955311A" w:rsidR="003D0030" w:rsidRPr="0095425A" w:rsidRDefault="003D0030" w:rsidP="007D7CE1">
                            <w:pPr>
                              <w:jc w:val="center"/>
                              <w:rPr>
                                <w:sz w:val="18"/>
                                <w:szCs w:val="22"/>
                              </w:rPr>
                            </w:pPr>
                            <w:r>
                              <w:rPr>
                                <w:sz w:val="18"/>
                                <w:szCs w:val="22"/>
                              </w:rPr>
                              <w:t>Procenat pacijenta koji su postigli</w:t>
                            </w:r>
                            <w:r w:rsidR="000662D8">
                              <w:rPr>
                                <w:sz w:val="18"/>
                                <w:szCs w:val="22"/>
                              </w:rPr>
                              <w:t xml:space="preserve"> terapijski</w:t>
                            </w:r>
                            <w:r>
                              <w:rPr>
                                <w:sz w:val="18"/>
                                <w:szCs w:val="22"/>
                              </w:rPr>
                              <w:t xml:space="preserve"> odgovor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5BE787" id="Text Box 2071" o:spid="_x0000_s1029" type="#_x0000_t202" style="position:absolute;left:0;text-align:left;margin-left:-7.6pt;margin-top:12.95pt;width:86.05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" stroked="f">
                <v:textbox style="mso-fit-shape-to-text:t">
                  <w:txbxContent>
                    <w:p w14:paraId="3BEAC2DC" w14:textId="0955311A" w:rsidR="003D0030" w:rsidRPr="0095425A" w:rsidRDefault="003D0030" w:rsidP="007D7CE1">
                      <w:pPr>
                        <w:jc w:val="center"/>
                        <w:rPr>
                          <w:sz w:val="18"/>
                          <w:szCs w:val="22"/>
                        </w:rPr>
                      </w:pPr>
                      <w:r>
                        <w:rPr>
                          <w:sz w:val="18"/>
                          <w:szCs w:val="22"/>
                        </w:rPr>
                        <w:t>Procenat pacijenta koji su postigli</w:t>
                      </w:r>
                      <w:r w:rsidR="000662D8">
                        <w:rPr>
                          <w:sz w:val="18"/>
                          <w:szCs w:val="22"/>
                        </w:rPr>
                        <w:t xml:space="preserve"> terapijski</w:t>
                      </w:r>
                      <w:r>
                        <w:rPr>
                          <w:sz w:val="18"/>
                          <w:szCs w:val="22"/>
                        </w:rPr>
                        <w:t xml:space="preserve"> odgovor              </w:t>
                      </w:r>
                    </w:p>
                  </w:txbxContent>
                </v:textbox>
              </v:shape>
            </w:pict>
          </mc:Fallback>
        </mc:AlternateContent>
      </w:r>
      <w:r w:rsidR="007D7CE1" w:rsidRPr="005474B2">
        <w:rPr>
          <w:b/>
          <w:noProof/>
          <w:sz w:val="22"/>
          <w:szCs w:val="22"/>
          <w:u w:val="single"/>
        </w:rPr>
        <w:drawing>
          <wp:anchor distT="0" distB="0" distL="114300" distR="114300" simplePos="0" relativeHeight="251663360" behindDoc="0" locked="0" layoutInCell="1" allowOverlap="1" wp14:anchorId="3571CC97" wp14:editId="69C27DAB">
            <wp:simplePos x="0" y="0"/>
            <wp:positionH relativeFrom="margin">
              <wp:align>center</wp:align>
            </wp:positionH>
            <wp:positionV relativeFrom="margin">
              <wp:posOffset>6927</wp:posOffset>
            </wp:positionV>
            <wp:extent cx="4023995" cy="2578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3995" cy="2578735"/>
                    </a:xfrm>
                    <a:prstGeom prst="rect">
                      <a:avLst/>
                    </a:prstGeom>
                    <a:noFill/>
                  </pic:spPr>
                </pic:pic>
              </a:graphicData>
            </a:graphic>
          </wp:anchor>
        </w:drawing>
      </w:r>
    </w:p>
    <w:p w14:paraId="00E962B4" w14:textId="4147E107" w:rsidR="007D7CE1" w:rsidRPr="005474B2" w:rsidRDefault="007D7CE1">
      <w:pPr>
        <w:keepNext/>
        <w:widowControl w:val="0"/>
        <w:tabs>
          <w:tab w:val="left" w:pos="567"/>
        </w:tabs>
        <w:jc w:val="both"/>
        <w:outlineLvl w:val="6"/>
        <w:rPr>
          <w:b/>
          <w:sz w:val="22"/>
          <w:szCs w:val="22"/>
          <w:u w:val="single"/>
          <w:lang w:val="sr-Latn-ME"/>
        </w:rPr>
      </w:pPr>
    </w:p>
    <w:p w14:paraId="147C3BC8" w14:textId="77777777" w:rsidR="007D7CE1" w:rsidRPr="005474B2" w:rsidRDefault="007D7CE1">
      <w:pPr>
        <w:keepNext/>
        <w:widowControl w:val="0"/>
        <w:tabs>
          <w:tab w:val="left" w:pos="567"/>
        </w:tabs>
        <w:jc w:val="both"/>
        <w:outlineLvl w:val="6"/>
        <w:rPr>
          <w:b/>
          <w:sz w:val="22"/>
          <w:szCs w:val="22"/>
          <w:u w:val="single"/>
          <w:lang w:val="sr-Latn-ME"/>
        </w:rPr>
      </w:pPr>
    </w:p>
    <w:p w14:paraId="7D0E1775" w14:textId="77777777" w:rsidR="007D7CE1" w:rsidRPr="005474B2" w:rsidRDefault="007D7CE1">
      <w:pPr>
        <w:keepNext/>
        <w:widowControl w:val="0"/>
        <w:tabs>
          <w:tab w:val="left" w:pos="567"/>
        </w:tabs>
        <w:jc w:val="both"/>
        <w:outlineLvl w:val="6"/>
        <w:rPr>
          <w:b/>
          <w:sz w:val="22"/>
          <w:szCs w:val="22"/>
          <w:u w:val="single"/>
          <w:lang w:val="sr-Latn-ME"/>
        </w:rPr>
      </w:pPr>
    </w:p>
    <w:p w14:paraId="20A6EADD" w14:textId="77777777" w:rsidR="007D7CE1" w:rsidRPr="005474B2" w:rsidRDefault="007D7CE1">
      <w:pPr>
        <w:keepNext/>
        <w:widowControl w:val="0"/>
        <w:tabs>
          <w:tab w:val="left" w:pos="567"/>
        </w:tabs>
        <w:jc w:val="both"/>
        <w:outlineLvl w:val="6"/>
        <w:rPr>
          <w:b/>
          <w:sz w:val="22"/>
          <w:szCs w:val="22"/>
          <w:lang w:val="sr-Latn-ME"/>
        </w:rPr>
      </w:pPr>
    </w:p>
    <w:p w14:paraId="3E8CEC30" w14:textId="77777777" w:rsidR="007D7CE1" w:rsidRPr="005474B2" w:rsidRDefault="007D7CE1">
      <w:pPr>
        <w:keepNext/>
        <w:widowControl w:val="0"/>
        <w:tabs>
          <w:tab w:val="left" w:pos="567"/>
        </w:tabs>
        <w:jc w:val="both"/>
        <w:outlineLvl w:val="6"/>
        <w:rPr>
          <w:b/>
          <w:sz w:val="22"/>
          <w:szCs w:val="22"/>
          <w:lang w:val="sr-Latn-ME"/>
        </w:rPr>
      </w:pPr>
    </w:p>
    <w:p w14:paraId="3F4DC75A" w14:textId="77777777" w:rsidR="007D7CE1" w:rsidRPr="005474B2" w:rsidRDefault="007D7CE1">
      <w:pPr>
        <w:keepNext/>
        <w:widowControl w:val="0"/>
        <w:tabs>
          <w:tab w:val="left" w:pos="567"/>
        </w:tabs>
        <w:jc w:val="both"/>
        <w:outlineLvl w:val="6"/>
        <w:rPr>
          <w:b/>
          <w:sz w:val="22"/>
          <w:szCs w:val="22"/>
          <w:lang w:val="sr-Latn-ME"/>
        </w:rPr>
      </w:pPr>
    </w:p>
    <w:p w14:paraId="25E5A056" w14:textId="77777777" w:rsidR="007D7CE1" w:rsidRPr="005474B2" w:rsidRDefault="007D7CE1">
      <w:pPr>
        <w:keepNext/>
        <w:widowControl w:val="0"/>
        <w:tabs>
          <w:tab w:val="left" w:pos="567"/>
        </w:tabs>
        <w:jc w:val="both"/>
        <w:outlineLvl w:val="6"/>
        <w:rPr>
          <w:b/>
          <w:sz w:val="22"/>
          <w:szCs w:val="22"/>
          <w:lang w:val="sr-Latn-ME"/>
        </w:rPr>
      </w:pPr>
    </w:p>
    <w:p w14:paraId="7544D882" w14:textId="77777777" w:rsidR="007D7CE1" w:rsidRPr="005474B2" w:rsidRDefault="007D7CE1">
      <w:pPr>
        <w:keepNext/>
        <w:widowControl w:val="0"/>
        <w:tabs>
          <w:tab w:val="left" w:pos="567"/>
        </w:tabs>
        <w:jc w:val="both"/>
        <w:outlineLvl w:val="6"/>
        <w:rPr>
          <w:b/>
          <w:sz w:val="22"/>
          <w:szCs w:val="22"/>
          <w:lang w:val="sr-Latn-ME"/>
        </w:rPr>
      </w:pPr>
    </w:p>
    <w:p w14:paraId="6D32E830" w14:textId="77777777" w:rsidR="007D7CE1" w:rsidRPr="005474B2" w:rsidRDefault="007D7CE1">
      <w:pPr>
        <w:keepNext/>
        <w:widowControl w:val="0"/>
        <w:tabs>
          <w:tab w:val="left" w:pos="567"/>
        </w:tabs>
        <w:jc w:val="both"/>
        <w:outlineLvl w:val="6"/>
        <w:rPr>
          <w:b/>
          <w:sz w:val="22"/>
          <w:szCs w:val="22"/>
          <w:lang w:val="sr-Latn-ME"/>
        </w:rPr>
      </w:pPr>
    </w:p>
    <w:p w14:paraId="5502681B" w14:textId="77777777" w:rsidR="007D7CE1" w:rsidRPr="005474B2" w:rsidRDefault="007D7CE1">
      <w:pPr>
        <w:keepNext/>
        <w:widowControl w:val="0"/>
        <w:tabs>
          <w:tab w:val="left" w:pos="567"/>
        </w:tabs>
        <w:jc w:val="both"/>
        <w:outlineLvl w:val="6"/>
        <w:rPr>
          <w:b/>
          <w:sz w:val="22"/>
          <w:szCs w:val="22"/>
          <w:lang w:val="sr-Latn-ME"/>
        </w:rPr>
      </w:pPr>
    </w:p>
    <w:p w14:paraId="5860B896" w14:textId="77777777" w:rsidR="007D7CE1" w:rsidRPr="005474B2" w:rsidRDefault="007D7CE1">
      <w:pPr>
        <w:keepNext/>
        <w:widowControl w:val="0"/>
        <w:tabs>
          <w:tab w:val="left" w:pos="567"/>
        </w:tabs>
        <w:jc w:val="both"/>
        <w:outlineLvl w:val="6"/>
        <w:rPr>
          <w:b/>
          <w:sz w:val="22"/>
          <w:szCs w:val="22"/>
          <w:lang w:val="sr-Latn-ME"/>
        </w:rPr>
      </w:pPr>
    </w:p>
    <w:p w14:paraId="11963819" w14:textId="77777777" w:rsidR="007D7CE1" w:rsidRPr="005474B2" w:rsidRDefault="007D7CE1">
      <w:pPr>
        <w:keepNext/>
        <w:widowControl w:val="0"/>
        <w:tabs>
          <w:tab w:val="left" w:pos="567"/>
        </w:tabs>
        <w:jc w:val="both"/>
        <w:outlineLvl w:val="6"/>
        <w:rPr>
          <w:b/>
          <w:sz w:val="22"/>
          <w:szCs w:val="22"/>
          <w:lang w:val="sr-Latn-ME"/>
        </w:rPr>
      </w:pPr>
    </w:p>
    <w:p w14:paraId="4AF2D63F" w14:textId="77777777" w:rsidR="007D7CE1" w:rsidRPr="005474B2" w:rsidRDefault="007D7CE1">
      <w:pPr>
        <w:keepNext/>
        <w:widowControl w:val="0"/>
        <w:tabs>
          <w:tab w:val="left" w:pos="567"/>
        </w:tabs>
        <w:jc w:val="both"/>
        <w:outlineLvl w:val="6"/>
        <w:rPr>
          <w:b/>
          <w:sz w:val="22"/>
          <w:szCs w:val="22"/>
          <w:lang w:val="sr-Latn-ME"/>
        </w:rPr>
      </w:pPr>
    </w:p>
    <w:p w14:paraId="61120D72" w14:textId="77777777" w:rsidR="007D7CE1" w:rsidRPr="005474B2" w:rsidRDefault="007D7CE1">
      <w:pPr>
        <w:keepNext/>
        <w:widowControl w:val="0"/>
        <w:tabs>
          <w:tab w:val="left" w:pos="567"/>
        </w:tabs>
        <w:jc w:val="both"/>
        <w:outlineLvl w:val="6"/>
        <w:rPr>
          <w:b/>
          <w:sz w:val="22"/>
          <w:szCs w:val="22"/>
          <w:lang w:val="sr-Latn-ME"/>
        </w:rPr>
      </w:pPr>
    </w:p>
    <w:p w14:paraId="0C9AB119" w14:textId="77777777" w:rsidR="007D7CE1" w:rsidRPr="005474B2" w:rsidRDefault="007D7CE1">
      <w:pPr>
        <w:keepNext/>
        <w:widowControl w:val="0"/>
        <w:tabs>
          <w:tab w:val="left" w:pos="567"/>
        </w:tabs>
        <w:jc w:val="both"/>
        <w:outlineLvl w:val="6"/>
        <w:rPr>
          <w:b/>
          <w:sz w:val="22"/>
          <w:szCs w:val="22"/>
          <w:lang w:val="sr-Latn-ME"/>
        </w:rPr>
      </w:pPr>
    </w:p>
    <w:p w14:paraId="2588C807" w14:textId="0F125D31" w:rsidR="007D7CE1" w:rsidRPr="005474B2" w:rsidRDefault="00DD093D">
      <w:pPr>
        <w:keepNext/>
        <w:widowControl w:val="0"/>
        <w:tabs>
          <w:tab w:val="left" w:pos="567"/>
        </w:tabs>
        <w:jc w:val="both"/>
        <w:outlineLvl w:val="6"/>
        <w:rPr>
          <w:b/>
          <w:sz w:val="22"/>
          <w:szCs w:val="22"/>
          <w:lang w:val="sr-Latn-ME"/>
        </w:rPr>
      </w:pPr>
      <w:r w:rsidRPr="005474B2">
        <w:rPr>
          <w:b/>
          <w:noProof/>
          <w:sz w:val="22"/>
          <w:szCs w:val="22"/>
        </w:rPr>
        <w:drawing>
          <wp:anchor distT="0" distB="0" distL="114300" distR="114300" simplePos="0" relativeHeight="251664384" behindDoc="1" locked="0" layoutInCell="1" allowOverlap="1" wp14:anchorId="2BDA995B" wp14:editId="7C39F6C5">
            <wp:simplePos x="0" y="0"/>
            <wp:positionH relativeFrom="column">
              <wp:posOffset>1190553</wp:posOffset>
            </wp:positionH>
            <wp:positionV relativeFrom="paragraph">
              <wp:posOffset>159708</wp:posOffset>
            </wp:positionV>
            <wp:extent cx="3239135" cy="266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9135" cy="266700"/>
                    </a:xfrm>
                    <a:prstGeom prst="rect">
                      <a:avLst/>
                    </a:prstGeom>
                    <a:noFill/>
                  </pic:spPr>
                </pic:pic>
              </a:graphicData>
            </a:graphic>
          </wp:anchor>
        </w:drawing>
      </w:r>
      <w:r w:rsidR="007D7CE1" w:rsidRPr="005474B2">
        <w:rPr>
          <w:b/>
          <w:sz w:val="22"/>
          <w:szCs w:val="22"/>
          <w:lang w:val="sr-Latn-ME"/>
        </w:rPr>
        <w:t xml:space="preserve">                                                                                     Vr</w:t>
      </w:r>
      <w:r w:rsidR="002755A3" w:rsidRPr="005474B2">
        <w:rPr>
          <w:b/>
          <w:sz w:val="22"/>
          <w:szCs w:val="22"/>
          <w:lang w:val="sr-Latn-ME"/>
        </w:rPr>
        <w:t>ij</w:t>
      </w:r>
      <w:r w:rsidR="007D7CE1" w:rsidRPr="005474B2">
        <w:rPr>
          <w:b/>
          <w:sz w:val="22"/>
          <w:szCs w:val="22"/>
          <w:lang w:val="sr-Latn-ME"/>
        </w:rPr>
        <w:t>eme (</w:t>
      </w:r>
      <w:r w:rsidR="009A4880" w:rsidRPr="005474B2">
        <w:rPr>
          <w:b/>
          <w:sz w:val="22"/>
          <w:szCs w:val="22"/>
          <w:lang w:val="sr-Latn-ME"/>
        </w:rPr>
        <w:t>nedjelj</w:t>
      </w:r>
      <w:r w:rsidR="007D7CE1" w:rsidRPr="005474B2">
        <w:rPr>
          <w:b/>
          <w:sz w:val="22"/>
          <w:szCs w:val="22"/>
          <w:lang w:val="sr-Latn-ME"/>
        </w:rPr>
        <w:t>e)</w:t>
      </w:r>
    </w:p>
    <w:p w14:paraId="0B6E7403" w14:textId="77777777" w:rsidR="007D7CE1" w:rsidRPr="005474B2" w:rsidRDefault="007D7CE1">
      <w:pPr>
        <w:keepNext/>
        <w:widowControl w:val="0"/>
        <w:tabs>
          <w:tab w:val="left" w:pos="567"/>
        </w:tabs>
        <w:jc w:val="both"/>
        <w:outlineLvl w:val="6"/>
        <w:rPr>
          <w:b/>
          <w:sz w:val="22"/>
          <w:szCs w:val="22"/>
          <w:u w:val="single"/>
          <w:lang w:val="sr-Latn-ME"/>
        </w:rPr>
      </w:pPr>
      <w:r w:rsidRPr="005474B2">
        <w:rPr>
          <w:b/>
          <w:sz w:val="22"/>
          <w:szCs w:val="22"/>
          <w:lang w:val="sr-Latn-ME"/>
        </w:rPr>
        <w:t xml:space="preserve">                        </w:t>
      </w:r>
    </w:p>
    <w:p w14:paraId="276544CC" w14:textId="77777777" w:rsidR="007D7CE1" w:rsidRPr="005474B2" w:rsidRDefault="007D7CE1">
      <w:pPr>
        <w:keepNext/>
        <w:widowControl w:val="0"/>
        <w:tabs>
          <w:tab w:val="left" w:pos="567"/>
        </w:tabs>
        <w:jc w:val="both"/>
        <w:outlineLvl w:val="6"/>
        <w:rPr>
          <w:b/>
          <w:sz w:val="22"/>
          <w:szCs w:val="22"/>
          <w:lang w:val="sr-Latn-ME"/>
        </w:rPr>
      </w:pPr>
    </w:p>
    <w:p w14:paraId="730D184E" w14:textId="77777777" w:rsidR="007D7CE1" w:rsidRPr="005474B2" w:rsidRDefault="007D7CE1">
      <w:pPr>
        <w:tabs>
          <w:tab w:val="left" w:pos="540"/>
          <w:tab w:val="left" w:pos="569"/>
        </w:tabs>
        <w:jc w:val="both"/>
        <w:rPr>
          <w:b/>
          <w:bCs/>
          <w:sz w:val="22"/>
          <w:szCs w:val="22"/>
          <w:lang w:val="sr-Latn-ME"/>
        </w:rPr>
      </w:pPr>
    </w:p>
    <w:p w14:paraId="586A4C24" w14:textId="77777777" w:rsidR="00DD093D" w:rsidRPr="005474B2" w:rsidRDefault="00DD093D">
      <w:pPr>
        <w:jc w:val="both"/>
        <w:rPr>
          <w:rFonts w:eastAsia="MS Mincho"/>
          <w:sz w:val="22"/>
          <w:szCs w:val="22"/>
          <w:lang w:val="sr-Latn-ME"/>
        </w:rPr>
      </w:pPr>
      <w:r w:rsidRPr="005474B2">
        <w:rPr>
          <w:rFonts w:eastAsia="MS Mincho"/>
          <w:sz w:val="22"/>
          <w:szCs w:val="22"/>
          <w:lang w:val="sr-Latn-ME"/>
        </w:rPr>
        <w:t>ASAS 40 odgovori su se takođe poboljšali u 16. </w:t>
      </w:r>
      <w:r w:rsidR="009A4880" w:rsidRPr="005474B2">
        <w:rPr>
          <w:rFonts w:eastAsia="MS Mincho"/>
          <w:sz w:val="22"/>
          <w:szCs w:val="22"/>
          <w:lang w:val="sr-Latn-ME"/>
        </w:rPr>
        <w:t>nedjelj</w:t>
      </w:r>
      <w:r w:rsidRPr="005474B2">
        <w:rPr>
          <w:rFonts w:eastAsia="MS Mincho"/>
          <w:sz w:val="22"/>
          <w:szCs w:val="22"/>
          <w:lang w:val="sr-Latn-ME"/>
        </w:rPr>
        <w:t>i kod anti-TNFα-IR pacijenata za sekukinumab 150 mg u poređenju sa placebom.</w:t>
      </w:r>
    </w:p>
    <w:p w14:paraId="00F7D8D3" w14:textId="77777777" w:rsidR="00DD093D" w:rsidRPr="005474B2" w:rsidRDefault="00DD093D">
      <w:pPr>
        <w:autoSpaceDE w:val="0"/>
        <w:autoSpaceDN w:val="0"/>
        <w:adjustRightInd w:val="0"/>
        <w:jc w:val="both"/>
        <w:rPr>
          <w:sz w:val="22"/>
          <w:szCs w:val="22"/>
          <w:lang w:val="sr-Latn-ME"/>
        </w:rPr>
      </w:pPr>
    </w:p>
    <w:p w14:paraId="3F45BEAA" w14:textId="1F765563" w:rsidR="00DD093D" w:rsidRPr="005474B2" w:rsidRDefault="00DD093D">
      <w:pPr>
        <w:autoSpaceDE w:val="0"/>
        <w:autoSpaceDN w:val="0"/>
        <w:adjustRightInd w:val="0"/>
        <w:jc w:val="both"/>
        <w:rPr>
          <w:iCs/>
          <w:sz w:val="22"/>
          <w:szCs w:val="22"/>
          <w:lang w:val="sr-Latn-ME"/>
        </w:rPr>
      </w:pPr>
      <w:r w:rsidRPr="005474B2">
        <w:rPr>
          <w:iCs/>
          <w:sz w:val="22"/>
          <w:szCs w:val="22"/>
          <w:lang w:val="sr-Latn-ME"/>
        </w:rPr>
        <w:t>Fizičke funkcije i kvalitet života povezan sa zdravljem</w:t>
      </w:r>
      <w:r w:rsidR="000662D8">
        <w:rPr>
          <w:iCs/>
          <w:sz w:val="22"/>
          <w:szCs w:val="22"/>
          <w:lang w:val="sr-Latn-ME"/>
        </w:rPr>
        <w:t>:</w:t>
      </w:r>
    </w:p>
    <w:p w14:paraId="71B05972" w14:textId="652E8336" w:rsidR="00DD093D" w:rsidRPr="005474B2" w:rsidRDefault="00DD093D">
      <w:pPr>
        <w:jc w:val="both"/>
        <w:rPr>
          <w:rFonts w:eastAsia="MS Mincho"/>
          <w:sz w:val="22"/>
          <w:szCs w:val="22"/>
          <w:lang w:val="sr-Latn-ME"/>
        </w:rPr>
      </w:pPr>
      <w:r w:rsidRPr="005474B2">
        <w:rPr>
          <w:rFonts w:eastAsia="MS Mincho"/>
          <w:sz w:val="22"/>
          <w:szCs w:val="22"/>
          <w:lang w:val="sr-Latn-ME"/>
        </w:rPr>
        <w:t xml:space="preserve">Pacijenti </w:t>
      </w:r>
      <w:r w:rsidR="009A4880" w:rsidRPr="005474B2">
        <w:rPr>
          <w:rFonts w:eastAsia="MS Mincho"/>
          <w:sz w:val="22"/>
          <w:szCs w:val="22"/>
          <w:lang w:val="sr-Latn-ME"/>
        </w:rPr>
        <w:t>liječ</w:t>
      </w:r>
      <w:r w:rsidRPr="005474B2">
        <w:rPr>
          <w:rFonts w:eastAsia="MS Mincho"/>
          <w:sz w:val="22"/>
          <w:szCs w:val="22"/>
          <w:lang w:val="sr-Latn-ME"/>
        </w:rPr>
        <w:t>eni sekukinumabom 150 mg, pokazali su statistički značajna poboljšanja u kvalitetu života do 16. </w:t>
      </w:r>
      <w:r w:rsidR="009A4880" w:rsidRPr="005474B2">
        <w:rPr>
          <w:rFonts w:eastAsia="MS Mincho"/>
          <w:sz w:val="22"/>
          <w:szCs w:val="22"/>
          <w:lang w:val="sr-Latn-ME"/>
        </w:rPr>
        <w:t>nedjelj</w:t>
      </w:r>
      <w:r w:rsidRPr="005474B2">
        <w:rPr>
          <w:rFonts w:eastAsia="MS Mincho"/>
          <w:sz w:val="22"/>
          <w:szCs w:val="22"/>
          <w:lang w:val="sr-Latn-ME"/>
        </w:rPr>
        <w:t>e u poređenju sa pacijentima koji su primali placebo, oc</w:t>
      </w:r>
      <w:r w:rsidR="008F70AE" w:rsidRPr="005474B2">
        <w:rPr>
          <w:rFonts w:eastAsia="MS Mincho"/>
          <w:sz w:val="22"/>
          <w:szCs w:val="22"/>
          <w:lang w:val="sr-Latn-ME"/>
        </w:rPr>
        <w:t>ij</w:t>
      </w:r>
      <w:r w:rsidRPr="005474B2">
        <w:rPr>
          <w:rFonts w:eastAsia="MS Mincho"/>
          <w:sz w:val="22"/>
          <w:szCs w:val="22"/>
          <w:lang w:val="sr-Latn-ME"/>
        </w:rPr>
        <w:t xml:space="preserve">enjeno pomoću BASFI indeksa (engl. </w:t>
      </w:r>
      <w:r w:rsidRPr="005474B2">
        <w:rPr>
          <w:rFonts w:eastAsia="MS Mincho"/>
          <w:i/>
          <w:sz w:val="22"/>
          <w:szCs w:val="22"/>
          <w:lang w:val="sr-Latn-ME"/>
        </w:rPr>
        <w:t>Bath Ankylosing Spondylitis Functional Index</w:t>
      </w:r>
      <w:r w:rsidRPr="005474B2">
        <w:rPr>
          <w:rFonts w:eastAsia="MS Mincho"/>
          <w:sz w:val="22"/>
          <w:szCs w:val="22"/>
          <w:lang w:val="sr-Latn-ME"/>
        </w:rPr>
        <w:t>) (16. </w:t>
      </w:r>
      <w:r w:rsidR="009A4880" w:rsidRPr="005474B2">
        <w:rPr>
          <w:rFonts w:eastAsia="MS Mincho"/>
          <w:sz w:val="22"/>
          <w:szCs w:val="22"/>
          <w:lang w:val="sr-Latn-ME"/>
        </w:rPr>
        <w:t>nedjelj</w:t>
      </w:r>
      <w:r w:rsidRPr="005474B2">
        <w:rPr>
          <w:rFonts w:eastAsia="MS Mincho"/>
          <w:sz w:val="22"/>
          <w:szCs w:val="22"/>
          <w:lang w:val="sr-Latn-ME"/>
        </w:rPr>
        <w:t xml:space="preserve">a: </w:t>
      </w:r>
      <w:r w:rsidRPr="005474B2">
        <w:rPr>
          <w:rFonts w:eastAsia="MS Mincho"/>
          <w:sz w:val="22"/>
          <w:szCs w:val="22"/>
          <w:lang w:val="sr-Latn-ME"/>
        </w:rPr>
        <w:noBreakHyphen/>
        <w:t xml:space="preserve">1,75 u odnosu na </w:t>
      </w:r>
      <w:r w:rsidRPr="005474B2">
        <w:rPr>
          <w:rFonts w:eastAsia="MS Mincho"/>
          <w:sz w:val="22"/>
          <w:szCs w:val="22"/>
          <w:lang w:val="sr-Latn-ME"/>
        </w:rPr>
        <w:noBreakHyphen/>
        <w:t xml:space="preserve">1,01, p&lt;0,05). Pacijenti </w:t>
      </w:r>
      <w:r w:rsidR="009A4880" w:rsidRPr="005474B2">
        <w:rPr>
          <w:rFonts w:eastAsia="MS Mincho"/>
          <w:sz w:val="22"/>
          <w:szCs w:val="22"/>
          <w:lang w:val="sr-Latn-ME"/>
        </w:rPr>
        <w:t>liječ</w:t>
      </w:r>
      <w:r w:rsidRPr="005474B2">
        <w:rPr>
          <w:rFonts w:eastAsia="MS Mincho"/>
          <w:sz w:val="22"/>
          <w:szCs w:val="22"/>
          <w:lang w:val="sr-Latn-ME"/>
        </w:rPr>
        <w:t>eni sekukinumabom prijavili su značajna poboljšanja u kvalitetu života povezanim sa zdravljem u poređenju sa pacijentima koji su primali placebo do 16. </w:t>
      </w:r>
      <w:r w:rsidR="009A4880" w:rsidRPr="005474B2">
        <w:rPr>
          <w:rFonts w:eastAsia="MS Mincho"/>
          <w:sz w:val="22"/>
          <w:szCs w:val="22"/>
          <w:lang w:val="sr-Latn-ME"/>
        </w:rPr>
        <w:t>nedjelj</w:t>
      </w:r>
      <w:r w:rsidRPr="005474B2">
        <w:rPr>
          <w:rFonts w:eastAsia="MS Mincho"/>
          <w:sz w:val="22"/>
          <w:szCs w:val="22"/>
          <w:lang w:val="sr-Latn-ME"/>
        </w:rPr>
        <w:t xml:space="preserve">e, ocijenjeno pomoću ASQoL-a (LS srednja </w:t>
      </w:r>
      <w:r w:rsidR="00C41FCA" w:rsidRPr="005474B2">
        <w:rPr>
          <w:rFonts w:eastAsia="MS Mincho"/>
          <w:sz w:val="22"/>
          <w:szCs w:val="22"/>
          <w:lang w:val="sr-Latn-ME"/>
        </w:rPr>
        <w:t>vrijednost</w:t>
      </w:r>
      <w:r w:rsidRPr="005474B2">
        <w:rPr>
          <w:rFonts w:eastAsia="MS Mincho"/>
          <w:sz w:val="22"/>
          <w:szCs w:val="22"/>
          <w:lang w:val="sr-Latn-ME"/>
        </w:rPr>
        <w:t xml:space="preserve"> </w:t>
      </w:r>
      <w:r w:rsidR="00A233FB" w:rsidRPr="005474B2">
        <w:rPr>
          <w:rFonts w:eastAsia="MS Mincho"/>
          <w:sz w:val="22"/>
          <w:szCs w:val="22"/>
          <w:lang w:val="sr-Latn-ME"/>
        </w:rPr>
        <w:t>promjene</w:t>
      </w:r>
      <w:r w:rsidRPr="005474B2">
        <w:rPr>
          <w:rFonts w:eastAsia="MS Mincho"/>
          <w:sz w:val="22"/>
          <w:szCs w:val="22"/>
          <w:lang w:val="sr-Latn-ME"/>
        </w:rPr>
        <w:t>: 16. </w:t>
      </w:r>
      <w:r w:rsidR="009A4880" w:rsidRPr="005474B2">
        <w:rPr>
          <w:rFonts w:eastAsia="MS Mincho"/>
          <w:sz w:val="22"/>
          <w:szCs w:val="22"/>
          <w:lang w:val="sr-Latn-ME"/>
        </w:rPr>
        <w:t>nedjelj</w:t>
      </w:r>
      <w:r w:rsidRPr="005474B2">
        <w:rPr>
          <w:rFonts w:eastAsia="MS Mincho"/>
          <w:sz w:val="22"/>
          <w:szCs w:val="22"/>
          <w:lang w:val="sr-Latn-ME"/>
        </w:rPr>
        <w:t xml:space="preserve">a: </w:t>
      </w:r>
      <w:r w:rsidRPr="005474B2">
        <w:rPr>
          <w:rFonts w:eastAsia="MS Mincho"/>
          <w:sz w:val="22"/>
          <w:szCs w:val="22"/>
          <w:lang w:val="sr-Latn-ME"/>
        </w:rPr>
        <w:noBreakHyphen/>
        <w:t xml:space="preserve">3,45 u odnosu na </w:t>
      </w:r>
      <w:r w:rsidRPr="005474B2">
        <w:rPr>
          <w:rFonts w:eastAsia="MS Mincho"/>
          <w:sz w:val="22"/>
          <w:szCs w:val="22"/>
          <w:lang w:val="sr-Latn-ME"/>
        </w:rPr>
        <w:noBreakHyphen/>
        <w:t>1,84, p&lt;0,05) i zbirnog skora t</w:t>
      </w:r>
      <w:r w:rsidR="002755A3" w:rsidRPr="005474B2">
        <w:rPr>
          <w:rFonts w:eastAsia="MS Mincho"/>
          <w:sz w:val="22"/>
          <w:szCs w:val="22"/>
          <w:lang w:val="sr-Latn-ME"/>
        </w:rPr>
        <w:t>j</w:t>
      </w:r>
      <w:r w:rsidRPr="005474B2">
        <w:rPr>
          <w:rFonts w:eastAsia="MS Mincho"/>
          <w:sz w:val="22"/>
          <w:szCs w:val="22"/>
          <w:lang w:val="sr-Latn-ME"/>
        </w:rPr>
        <w:t xml:space="preserve">elesne komponente upitnika SF-36 (SF-36 PCS) (LS srednja </w:t>
      </w:r>
      <w:r w:rsidR="00C41FCA" w:rsidRPr="005474B2">
        <w:rPr>
          <w:rFonts w:eastAsia="MS Mincho"/>
          <w:sz w:val="22"/>
          <w:szCs w:val="22"/>
          <w:lang w:val="sr-Latn-ME"/>
        </w:rPr>
        <w:t>vrijednost</w:t>
      </w:r>
      <w:r w:rsidRPr="005474B2">
        <w:rPr>
          <w:rFonts w:eastAsia="MS Mincho"/>
          <w:sz w:val="22"/>
          <w:szCs w:val="22"/>
          <w:lang w:val="sr-Latn-ME"/>
        </w:rPr>
        <w:t xml:space="preserve"> </w:t>
      </w:r>
      <w:r w:rsidR="00A233FB" w:rsidRPr="005474B2">
        <w:rPr>
          <w:rFonts w:eastAsia="MS Mincho"/>
          <w:sz w:val="22"/>
          <w:szCs w:val="22"/>
          <w:lang w:val="sr-Latn-ME"/>
        </w:rPr>
        <w:t>promjene</w:t>
      </w:r>
      <w:r w:rsidRPr="005474B2">
        <w:rPr>
          <w:rFonts w:eastAsia="MS Mincho"/>
          <w:sz w:val="22"/>
          <w:szCs w:val="22"/>
          <w:lang w:val="sr-Latn-ME"/>
        </w:rPr>
        <w:t>: 16. </w:t>
      </w:r>
      <w:r w:rsidR="009A4880" w:rsidRPr="005474B2">
        <w:rPr>
          <w:rFonts w:eastAsia="MS Mincho"/>
          <w:sz w:val="22"/>
          <w:szCs w:val="22"/>
          <w:lang w:val="sr-Latn-ME"/>
        </w:rPr>
        <w:t>nedjelj</w:t>
      </w:r>
      <w:r w:rsidRPr="005474B2">
        <w:rPr>
          <w:rFonts w:eastAsia="MS Mincho"/>
          <w:sz w:val="22"/>
          <w:szCs w:val="22"/>
          <w:lang w:val="sr-Latn-ME"/>
        </w:rPr>
        <w:t>a: 5,71 u odnosu na 2,93, p&lt;0,05). Ova poboljšanja su se održala do 52. </w:t>
      </w:r>
      <w:r w:rsidR="009A4880" w:rsidRPr="005474B2">
        <w:rPr>
          <w:rFonts w:eastAsia="MS Mincho"/>
          <w:sz w:val="22"/>
          <w:szCs w:val="22"/>
          <w:lang w:val="sr-Latn-ME"/>
        </w:rPr>
        <w:t>nedjelj</w:t>
      </w:r>
      <w:r w:rsidRPr="005474B2">
        <w:rPr>
          <w:rFonts w:eastAsia="MS Mincho"/>
          <w:sz w:val="22"/>
          <w:szCs w:val="22"/>
          <w:lang w:val="sr-Latn-ME"/>
        </w:rPr>
        <w:t>e.</w:t>
      </w:r>
    </w:p>
    <w:p w14:paraId="15645FFB" w14:textId="77777777" w:rsidR="00DD093D" w:rsidRPr="005474B2" w:rsidRDefault="00DD093D">
      <w:pPr>
        <w:autoSpaceDE w:val="0"/>
        <w:autoSpaceDN w:val="0"/>
        <w:adjustRightInd w:val="0"/>
        <w:jc w:val="both"/>
        <w:rPr>
          <w:sz w:val="22"/>
          <w:szCs w:val="22"/>
          <w:lang w:val="sr-Latn-ME"/>
        </w:rPr>
      </w:pPr>
    </w:p>
    <w:p w14:paraId="46C2D382"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Spinalna mobilnost:</w:t>
      </w:r>
    </w:p>
    <w:p w14:paraId="3B390C53" w14:textId="0F0EC57D" w:rsidR="00DD093D" w:rsidRPr="005474B2" w:rsidRDefault="00DD093D">
      <w:pPr>
        <w:jc w:val="both"/>
        <w:rPr>
          <w:rFonts w:eastAsia="MS Mincho"/>
          <w:sz w:val="22"/>
          <w:szCs w:val="22"/>
          <w:lang w:val="sr-Latn-ME"/>
        </w:rPr>
      </w:pPr>
      <w:r w:rsidRPr="005474B2">
        <w:rPr>
          <w:rFonts w:eastAsia="MS Mincho"/>
          <w:sz w:val="22"/>
          <w:szCs w:val="22"/>
          <w:lang w:val="sr-Latn-ME"/>
        </w:rPr>
        <w:t xml:space="preserve">Spinalna mobilnost </w:t>
      </w:r>
      <w:r w:rsidR="000E765E" w:rsidRPr="005474B2">
        <w:rPr>
          <w:rFonts w:eastAsia="MS Mincho"/>
          <w:sz w:val="22"/>
          <w:szCs w:val="22"/>
          <w:lang w:val="sr-Latn-ME"/>
        </w:rPr>
        <w:t xml:space="preserve">je bila </w:t>
      </w:r>
      <w:r w:rsidRPr="005474B2">
        <w:rPr>
          <w:rFonts w:eastAsia="MS Mincho"/>
          <w:sz w:val="22"/>
          <w:szCs w:val="22"/>
          <w:lang w:val="sr-Latn-ME"/>
        </w:rPr>
        <w:t>oc</w:t>
      </w:r>
      <w:r w:rsidR="002755A3" w:rsidRPr="005474B2">
        <w:rPr>
          <w:rFonts w:eastAsia="MS Mincho"/>
          <w:sz w:val="22"/>
          <w:szCs w:val="22"/>
          <w:lang w:val="sr-Latn-ME"/>
        </w:rPr>
        <w:t>ij</w:t>
      </w:r>
      <w:r w:rsidRPr="005474B2">
        <w:rPr>
          <w:rFonts w:eastAsia="MS Mincho"/>
          <w:sz w:val="22"/>
          <w:szCs w:val="22"/>
          <w:lang w:val="sr-Latn-ME"/>
        </w:rPr>
        <w:t>enjena pomoću BASMI do 16. </w:t>
      </w:r>
      <w:r w:rsidR="009A4880" w:rsidRPr="005474B2">
        <w:rPr>
          <w:rFonts w:eastAsia="MS Mincho"/>
          <w:sz w:val="22"/>
          <w:szCs w:val="22"/>
          <w:lang w:val="sr-Latn-ME"/>
        </w:rPr>
        <w:t>nedjelj</w:t>
      </w:r>
      <w:r w:rsidRPr="005474B2">
        <w:rPr>
          <w:rFonts w:eastAsia="MS Mincho"/>
          <w:sz w:val="22"/>
          <w:szCs w:val="22"/>
          <w:lang w:val="sr-Latn-ME"/>
        </w:rPr>
        <w:t xml:space="preserve">e. Brojčano veća poboljšanja su pokazana kod pacijenata </w:t>
      </w:r>
      <w:r w:rsidR="009A4880" w:rsidRPr="005474B2">
        <w:rPr>
          <w:rFonts w:eastAsia="MS Mincho"/>
          <w:sz w:val="22"/>
          <w:szCs w:val="22"/>
          <w:lang w:val="sr-Latn-ME"/>
        </w:rPr>
        <w:t>liječ</w:t>
      </w:r>
      <w:r w:rsidRPr="005474B2">
        <w:rPr>
          <w:rFonts w:eastAsia="MS Mincho"/>
          <w:sz w:val="22"/>
          <w:szCs w:val="22"/>
          <w:lang w:val="sr-Latn-ME"/>
        </w:rPr>
        <w:t>enih sekukinumabom u poređenju sa pacijentima kojima je davan placebo u 4.</w:t>
      </w:r>
      <w:r w:rsidR="00C32DC7" w:rsidRPr="005474B2">
        <w:rPr>
          <w:rFonts w:eastAsia="MS Mincho"/>
          <w:sz w:val="22"/>
          <w:szCs w:val="22"/>
          <w:lang w:val="sr-Latn-ME"/>
        </w:rPr>
        <w:t>,</w:t>
      </w:r>
      <w:r w:rsidRPr="005474B2">
        <w:rPr>
          <w:rFonts w:eastAsia="MS Mincho"/>
          <w:sz w:val="22"/>
          <w:szCs w:val="22"/>
          <w:lang w:val="sr-Latn-ME"/>
        </w:rPr>
        <w:t xml:space="preserve"> 8.</w:t>
      </w:r>
      <w:r w:rsidR="00C32DC7" w:rsidRPr="005474B2">
        <w:rPr>
          <w:rFonts w:eastAsia="MS Mincho"/>
          <w:sz w:val="22"/>
          <w:szCs w:val="22"/>
          <w:lang w:val="sr-Latn-ME"/>
        </w:rPr>
        <w:t>,</w:t>
      </w:r>
      <w:r w:rsidRPr="005474B2">
        <w:rPr>
          <w:rFonts w:eastAsia="MS Mincho"/>
          <w:sz w:val="22"/>
          <w:szCs w:val="22"/>
          <w:lang w:val="sr-Latn-ME"/>
        </w:rPr>
        <w:t xml:space="preserve"> 12. i 16. </w:t>
      </w:r>
      <w:r w:rsidR="009A4880" w:rsidRPr="005474B2">
        <w:rPr>
          <w:rFonts w:eastAsia="MS Mincho"/>
          <w:sz w:val="22"/>
          <w:szCs w:val="22"/>
          <w:lang w:val="sr-Latn-ME"/>
        </w:rPr>
        <w:t>nedjelj</w:t>
      </w:r>
      <w:r w:rsidRPr="005474B2">
        <w:rPr>
          <w:rFonts w:eastAsia="MS Mincho"/>
          <w:sz w:val="22"/>
          <w:szCs w:val="22"/>
          <w:lang w:val="sr-Latn-ME"/>
        </w:rPr>
        <w:t>i.</w:t>
      </w:r>
    </w:p>
    <w:p w14:paraId="169AADC9" w14:textId="77777777" w:rsidR="00DD093D" w:rsidRPr="005474B2" w:rsidRDefault="00DD093D">
      <w:pPr>
        <w:widowControl w:val="0"/>
        <w:tabs>
          <w:tab w:val="left" w:pos="284"/>
        </w:tabs>
        <w:autoSpaceDE w:val="0"/>
        <w:autoSpaceDN w:val="0"/>
        <w:adjustRightInd w:val="0"/>
        <w:jc w:val="both"/>
        <w:rPr>
          <w:sz w:val="22"/>
          <w:szCs w:val="22"/>
          <w:lang w:val="sr-Latn-ME"/>
        </w:rPr>
      </w:pPr>
    </w:p>
    <w:p w14:paraId="4709C57F" w14:textId="23B90B2C"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Inhibicija upale na snimcima magnet</w:t>
      </w:r>
      <w:r w:rsidR="002755A3" w:rsidRPr="005474B2">
        <w:rPr>
          <w:rFonts w:eastAsia="MS Mincho"/>
          <w:sz w:val="22"/>
          <w:szCs w:val="22"/>
          <w:lang w:val="sr-Latn-ME"/>
        </w:rPr>
        <w:t>nom</w:t>
      </w:r>
      <w:r w:rsidRPr="005474B2">
        <w:rPr>
          <w:rFonts w:eastAsia="MS Mincho"/>
          <w:sz w:val="22"/>
          <w:szCs w:val="22"/>
          <w:lang w:val="sr-Latn-ME"/>
        </w:rPr>
        <w:t xml:space="preserve"> rezonanc</w:t>
      </w:r>
      <w:r w:rsidR="002755A3" w:rsidRPr="005474B2">
        <w:rPr>
          <w:rFonts w:eastAsia="MS Mincho"/>
          <w:sz w:val="22"/>
          <w:szCs w:val="22"/>
          <w:lang w:val="sr-Latn-ME"/>
        </w:rPr>
        <w:t>om</w:t>
      </w:r>
      <w:r w:rsidRPr="005474B2">
        <w:rPr>
          <w:rFonts w:eastAsia="MS Mincho"/>
          <w:sz w:val="22"/>
          <w:szCs w:val="22"/>
          <w:lang w:val="sr-Latn-ME"/>
        </w:rPr>
        <w:t xml:space="preserve"> (MR):</w:t>
      </w:r>
    </w:p>
    <w:p w14:paraId="5CEA6BEE" w14:textId="77777777" w:rsidR="00DD093D" w:rsidRPr="005474B2" w:rsidRDefault="00DD093D">
      <w:pPr>
        <w:widowControl w:val="0"/>
        <w:tabs>
          <w:tab w:val="left" w:pos="284"/>
        </w:tabs>
        <w:autoSpaceDE w:val="0"/>
        <w:autoSpaceDN w:val="0"/>
        <w:adjustRightInd w:val="0"/>
        <w:jc w:val="both"/>
        <w:rPr>
          <w:sz w:val="22"/>
          <w:szCs w:val="22"/>
          <w:lang w:val="sr-Latn-ME"/>
        </w:rPr>
      </w:pPr>
      <w:r w:rsidRPr="005474B2">
        <w:rPr>
          <w:sz w:val="22"/>
          <w:szCs w:val="22"/>
          <w:lang w:val="sr-Latn-ME"/>
        </w:rPr>
        <w:t>Znaci upale oc</w:t>
      </w:r>
      <w:r w:rsidR="008F70AE" w:rsidRPr="005474B2">
        <w:rPr>
          <w:sz w:val="22"/>
          <w:szCs w:val="22"/>
          <w:lang w:val="sr-Latn-ME"/>
        </w:rPr>
        <w:t>j</w:t>
      </w:r>
      <w:r w:rsidRPr="005474B2">
        <w:rPr>
          <w:sz w:val="22"/>
          <w:szCs w:val="22"/>
          <w:lang w:val="sr-Latn-ME"/>
        </w:rPr>
        <w:t>enjivani su pomoću MR na početku, i u 16. </w:t>
      </w:r>
      <w:r w:rsidR="009A4880" w:rsidRPr="005474B2">
        <w:rPr>
          <w:sz w:val="22"/>
          <w:szCs w:val="22"/>
          <w:lang w:val="sr-Latn-ME"/>
        </w:rPr>
        <w:t>nedjelj</w:t>
      </w:r>
      <w:r w:rsidRPr="005474B2">
        <w:rPr>
          <w:sz w:val="22"/>
          <w:szCs w:val="22"/>
          <w:lang w:val="sr-Latn-ME"/>
        </w:rPr>
        <w:t xml:space="preserve">i i izraženi su kao </w:t>
      </w:r>
      <w:r w:rsidR="00A233FB" w:rsidRPr="005474B2">
        <w:rPr>
          <w:sz w:val="22"/>
          <w:szCs w:val="22"/>
          <w:lang w:val="sr-Latn-ME"/>
        </w:rPr>
        <w:t>promjena</w:t>
      </w:r>
      <w:r w:rsidRPr="005474B2">
        <w:rPr>
          <w:sz w:val="22"/>
          <w:szCs w:val="22"/>
          <w:lang w:val="sr-Latn-ME"/>
        </w:rPr>
        <w:t xml:space="preserve"> od početka u rezultatu za edem u SI zglobovima prema Berlinskoj metodi za sakroilijačne zglobove, rezultatu za ASspiMR i prema Berlinskoj metodi za kičmu. Inhibicija znakova upale u sakroilijačnim zglobovima i kičmi je bila zab</w:t>
      </w:r>
      <w:r w:rsidR="008F70AE" w:rsidRPr="005474B2">
        <w:rPr>
          <w:sz w:val="22"/>
          <w:szCs w:val="22"/>
          <w:lang w:val="sr-Latn-ME"/>
        </w:rPr>
        <w:t>i</w:t>
      </w:r>
      <w:r w:rsidRPr="005474B2">
        <w:rPr>
          <w:sz w:val="22"/>
          <w:szCs w:val="22"/>
          <w:lang w:val="sr-Latn-ME"/>
        </w:rPr>
        <w:t>l</w:t>
      </w:r>
      <w:r w:rsidR="008F70AE" w:rsidRPr="005474B2">
        <w:rPr>
          <w:sz w:val="22"/>
          <w:szCs w:val="22"/>
          <w:lang w:val="sr-Latn-ME"/>
        </w:rPr>
        <w:t>j</w:t>
      </w:r>
      <w:r w:rsidRPr="005474B2">
        <w:rPr>
          <w:sz w:val="22"/>
          <w:szCs w:val="22"/>
          <w:lang w:val="sr-Latn-ME"/>
        </w:rPr>
        <w:t xml:space="preserve">ežena kod pacijenata </w:t>
      </w:r>
      <w:r w:rsidR="009A4880" w:rsidRPr="005474B2">
        <w:rPr>
          <w:sz w:val="22"/>
          <w:szCs w:val="22"/>
          <w:lang w:val="sr-Latn-ME"/>
        </w:rPr>
        <w:t>liječ</w:t>
      </w:r>
      <w:r w:rsidRPr="005474B2">
        <w:rPr>
          <w:sz w:val="22"/>
          <w:szCs w:val="22"/>
          <w:lang w:val="sr-Latn-ME"/>
        </w:rPr>
        <w:t xml:space="preserve">enih sekukinumabom. Srednja </w:t>
      </w:r>
      <w:r w:rsidR="00C41FCA" w:rsidRPr="005474B2">
        <w:rPr>
          <w:sz w:val="22"/>
          <w:szCs w:val="22"/>
          <w:lang w:val="sr-Latn-ME"/>
        </w:rPr>
        <w:t>vrijednost</w:t>
      </w:r>
      <w:r w:rsidRPr="005474B2">
        <w:rPr>
          <w:sz w:val="22"/>
          <w:szCs w:val="22"/>
          <w:lang w:val="sr-Latn-ME"/>
        </w:rPr>
        <w:t xml:space="preserve"> </w:t>
      </w:r>
      <w:r w:rsidR="00A233FB" w:rsidRPr="005474B2">
        <w:rPr>
          <w:sz w:val="22"/>
          <w:szCs w:val="22"/>
          <w:lang w:val="sr-Latn-ME"/>
        </w:rPr>
        <w:t>promjene</w:t>
      </w:r>
      <w:r w:rsidRPr="005474B2">
        <w:rPr>
          <w:sz w:val="22"/>
          <w:szCs w:val="22"/>
          <w:lang w:val="sr-Latn-ME"/>
        </w:rPr>
        <w:t xml:space="preserve"> od početne </w:t>
      </w:r>
      <w:r w:rsidR="00A233FB" w:rsidRPr="005474B2">
        <w:rPr>
          <w:sz w:val="22"/>
          <w:szCs w:val="22"/>
          <w:lang w:val="sr-Latn-ME"/>
        </w:rPr>
        <w:t>vrijednosti</w:t>
      </w:r>
      <w:r w:rsidRPr="005474B2">
        <w:rPr>
          <w:sz w:val="22"/>
          <w:szCs w:val="22"/>
          <w:lang w:val="sr-Latn-ME"/>
        </w:rPr>
        <w:t xml:space="preserve"> u rezultatu za edem u SI zglobovima prema Berlinskoj metodi je bila </w:t>
      </w:r>
      <w:r w:rsidRPr="005474B2">
        <w:rPr>
          <w:sz w:val="22"/>
          <w:szCs w:val="22"/>
          <w:lang w:val="sr-Latn-ME"/>
        </w:rPr>
        <w:noBreakHyphen/>
        <w:t xml:space="preserve">1,68 za pacijente </w:t>
      </w:r>
      <w:r w:rsidR="009A4880" w:rsidRPr="005474B2">
        <w:rPr>
          <w:sz w:val="22"/>
          <w:szCs w:val="22"/>
          <w:lang w:val="sr-Latn-ME"/>
        </w:rPr>
        <w:t>liječ</w:t>
      </w:r>
      <w:r w:rsidRPr="005474B2">
        <w:rPr>
          <w:sz w:val="22"/>
          <w:szCs w:val="22"/>
          <w:lang w:val="sr-Latn-ME"/>
        </w:rPr>
        <w:t xml:space="preserve">ene sekukinumabom 150 mg (n=180) u odnosu na </w:t>
      </w:r>
      <w:r w:rsidRPr="005474B2">
        <w:rPr>
          <w:sz w:val="22"/>
          <w:szCs w:val="22"/>
          <w:lang w:val="sr-Latn-ME"/>
        </w:rPr>
        <w:noBreakHyphen/>
        <w:t>0,39 za pacijente koji su primali placebo (n=174) (p&lt;0,05).</w:t>
      </w:r>
    </w:p>
    <w:p w14:paraId="0D768372" w14:textId="77777777" w:rsidR="00DD093D" w:rsidRPr="005474B2" w:rsidRDefault="00DD093D">
      <w:pPr>
        <w:tabs>
          <w:tab w:val="left" w:pos="284"/>
        </w:tabs>
        <w:jc w:val="both"/>
        <w:rPr>
          <w:sz w:val="22"/>
          <w:szCs w:val="22"/>
          <w:u w:val="single"/>
          <w:lang w:val="sr-Latn-ME"/>
        </w:rPr>
      </w:pPr>
    </w:p>
    <w:p w14:paraId="169D576D" w14:textId="77777777" w:rsidR="00DD093D" w:rsidRPr="005474B2" w:rsidRDefault="00DD093D">
      <w:pPr>
        <w:tabs>
          <w:tab w:val="left" w:pos="284"/>
        </w:tabs>
        <w:jc w:val="both"/>
        <w:rPr>
          <w:sz w:val="22"/>
          <w:szCs w:val="22"/>
          <w:u w:val="single"/>
          <w:lang w:val="sr-Latn-ME"/>
        </w:rPr>
      </w:pPr>
      <w:r w:rsidRPr="005474B2">
        <w:rPr>
          <w:sz w:val="22"/>
          <w:szCs w:val="22"/>
          <w:u w:val="single"/>
          <w:lang w:val="sr-Latn-ME"/>
        </w:rPr>
        <w:t>Pedijatrijska populacija</w:t>
      </w:r>
    </w:p>
    <w:p w14:paraId="2D2FAE1E" w14:textId="77777777" w:rsidR="00DD093D" w:rsidRPr="005474B2" w:rsidRDefault="00DD093D">
      <w:pPr>
        <w:tabs>
          <w:tab w:val="left" w:pos="284"/>
        </w:tabs>
        <w:jc w:val="both"/>
        <w:rPr>
          <w:sz w:val="22"/>
          <w:szCs w:val="22"/>
          <w:lang w:val="sr-Latn-ME"/>
        </w:rPr>
      </w:pPr>
    </w:p>
    <w:p w14:paraId="19376D3F" w14:textId="77777777" w:rsidR="00DD093D" w:rsidRPr="005474B2" w:rsidRDefault="00DD093D">
      <w:pPr>
        <w:keepNext/>
        <w:widowControl w:val="0"/>
        <w:jc w:val="both"/>
        <w:rPr>
          <w:rFonts w:eastAsia="MS Mincho"/>
          <w:i/>
          <w:sz w:val="22"/>
          <w:szCs w:val="22"/>
          <w:u w:val="single"/>
          <w:lang w:val="sr-Latn-ME"/>
        </w:rPr>
      </w:pPr>
      <w:r w:rsidRPr="005474B2">
        <w:rPr>
          <w:rFonts w:eastAsia="MS Mincho"/>
          <w:i/>
          <w:sz w:val="22"/>
          <w:szCs w:val="22"/>
          <w:u w:val="single"/>
          <w:lang w:val="sr-Latn-ME"/>
        </w:rPr>
        <w:t>Plak psorijaza kod d</w:t>
      </w:r>
      <w:r w:rsidR="008F70AE" w:rsidRPr="005474B2">
        <w:rPr>
          <w:rFonts w:eastAsia="MS Mincho"/>
          <w:i/>
          <w:sz w:val="22"/>
          <w:szCs w:val="22"/>
          <w:u w:val="single"/>
          <w:lang w:val="sr-Latn-ME"/>
        </w:rPr>
        <w:t>j</w:t>
      </w:r>
      <w:r w:rsidRPr="005474B2">
        <w:rPr>
          <w:rFonts w:eastAsia="MS Mincho"/>
          <w:i/>
          <w:sz w:val="22"/>
          <w:szCs w:val="22"/>
          <w:u w:val="single"/>
          <w:lang w:val="sr-Latn-ME"/>
        </w:rPr>
        <w:t>ece</w:t>
      </w:r>
    </w:p>
    <w:p w14:paraId="7E66D423" w14:textId="1311E589" w:rsidR="00DD093D" w:rsidRPr="005474B2" w:rsidRDefault="00DD093D">
      <w:pPr>
        <w:widowControl w:val="0"/>
        <w:jc w:val="both"/>
        <w:rPr>
          <w:rFonts w:eastAsia="MS Mincho"/>
          <w:sz w:val="22"/>
          <w:szCs w:val="22"/>
          <w:lang w:val="sr-Latn-ME"/>
        </w:rPr>
      </w:pPr>
      <w:r w:rsidRPr="005474B2">
        <w:rPr>
          <w:rFonts w:eastAsia="MS Mincho"/>
          <w:sz w:val="22"/>
          <w:szCs w:val="22"/>
          <w:lang w:val="sr-Latn-ME"/>
        </w:rPr>
        <w:t>Pokazalo se da sekukinumab poboljšava znake i simptome kao i kvalitet života povezan sa zdravljem kod pedijatrijskih pacijenata uzrasta od 6 i više godina sa plak psorijazom (</w:t>
      </w:r>
      <w:r w:rsidR="009A4880" w:rsidRPr="005474B2">
        <w:rPr>
          <w:rFonts w:eastAsia="MS Mincho"/>
          <w:sz w:val="22"/>
          <w:szCs w:val="22"/>
          <w:lang w:val="sr-Latn-ME"/>
        </w:rPr>
        <w:t>vidjet</w:t>
      </w:r>
      <w:r w:rsidRPr="005474B2">
        <w:rPr>
          <w:rFonts w:eastAsia="MS Mincho"/>
          <w:sz w:val="22"/>
          <w:szCs w:val="22"/>
          <w:lang w:val="sr-Latn-ME"/>
        </w:rPr>
        <w:t>i Tabele </w:t>
      </w:r>
      <w:r w:rsidR="006911D2" w:rsidRPr="005474B2">
        <w:rPr>
          <w:rFonts w:eastAsia="MS Mincho"/>
          <w:sz w:val="22"/>
          <w:szCs w:val="22"/>
          <w:lang w:val="sr-Latn-ME"/>
        </w:rPr>
        <w:t xml:space="preserve">15 </w:t>
      </w:r>
      <w:r w:rsidRPr="005474B2">
        <w:rPr>
          <w:rFonts w:eastAsia="MS Mincho"/>
          <w:sz w:val="22"/>
          <w:szCs w:val="22"/>
          <w:lang w:val="sr-Latn-ME"/>
        </w:rPr>
        <w:t xml:space="preserve">i </w:t>
      </w:r>
      <w:r w:rsidR="006911D2" w:rsidRPr="005474B2">
        <w:rPr>
          <w:rFonts w:eastAsia="MS Mincho"/>
          <w:sz w:val="22"/>
          <w:szCs w:val="22"/>
          <w:lang w:val="sr-Latn-ME"/>
        </w:rPr>
        <w:t>17</w:t>
      </w:r>
      <w:r w:rsidRPr="005474B2">
        <w:rPr>
          <w:rFonts w:eastAsia="MS Mincho"/>
          <w:sz w:val="22"/>
          <w:szCs w:val="22"/>
          <w:lang w:val="sr-Latn-ME"/>
        </w:rPr>
        <w:t>).</w:t>
      </w:r>
    </w:p>
    <w:p w14:paraId="49E54324" w14:textId="77777777" w:rsidR="00DD093D" w:rsidRPr="005474B2" w:rsidRDefault="00DD093D">
      <w:pPr>
        <w:widowControl w:val="0"/>
        <w:jc w:val="both"/>
        <w:rPr>
          <w:rFonts w:eastAsia="MS Mincho"/>
          <w:sz w:val="22"/>
          <w:szCs w:val="22"/>
          <w:lang w:val="sr-Latn-ME"/>
        </w:rPr>
      </w:pPr>
    </w:p>
    <w:p w14:paraId="7B4DA2CD" w14:textId="77777777" w:rsidR="00DD093D" w:rsidRPr="005474B2" w:rsidRDefault="00DD093D">
      <w:pPr>
        <w:keepNext/>
        <w:jc w:val="both"/>
        <w:rPr>
          <w:i/>
          <w:sz w:val="22"/>
          <w:szCs w:val="22"/>
          <w:lang w:val="sr-Latn-ME"/>
        </w:rPr>
      </w:pPr>
      <w:r w:rsidRPr="005474B2">
        <w:rPr>
          <w:i/>
          <w:sz w:val="22"/>
          <w:szCs w:val="22"/>
          <w:lang w:val="sr-Latn-ME"/>
        </w:rPr>
        <w:lastRenderedPageBreak/>
        <w:t>Teška plak psorijaza</w:t>
      </w:r>
    </w:p>
    <w:p w14:paraId="6C6B93CC" w14:textId="12C461CA" w:rsidR="00DD093D" w:rsidRPr="005474B2" w:rsidRDefault="009A4880">
      <w:pPr>
        <w:tabs>
          <w:tab w:val="left" w:pos="284"/>
        </w:tabs>
        <w:jc w:val="both"/>
        <w:rPr>
          <w:sz w:val="22"/>
          <w:szCs w:val="22"/>
          <w:lang w:val="sr-Latn-ME"/>
        </w:rPr>
      </w:pPr>
      <w:r w:rsidRPr="005474B2">
        <w:rPr>
          <w:sz w:val="22"/>
          <w:szCs w:val="22"/>
          <w:lang w:val="sr-Latn-ME"/>
        </w:rPr>
        <w:t>Bezbjednost</w:t>
      </w:r>
      <w:r w:rsidR="00DD093D" w:rsidRPr="005474B2">
        <w:rPr>
          <w:sz w:val="22"/>
          <w:szCs w:val="22"/>
          <w:lang w:val="sr-Latn-ME"/>
        </w:rPr>
        <w:t xml:space="preserve"> i efikasnost sekukinumaba su proc</w:t>
      </w:r>
      <w:r w:rsidR="008F70AE" w:rsidRPr="005474B2">
        <w:rPr>
          <w:sz w:val="22"/>
          <w:szCs w:val="22"/>
          <w:lang w:val="sr-Latn-ME"/>
        </w:rPr>
        <w:t>ij</w:t>
      </w:r>
      <w:r w:rsidR="00DD093D" w:rsidRPr="005474B2">
        <w:rPr>
          <w:sz w:val="22"/>
          <w:szCs w:val="22"/>
          <w:lang w:val="sr-Latn-ME"/>
        </w:rPr>
        <w:t>enjeni u randomizovanom, dvostruko sl</w:t>
      </w:r>
      <w:r w:rsidR="008F70AE" w:rsidRPr="005474B2">
        <w:rPr>
          <w:sz w:val="22"/>
          <w:szCs w:val="22"/>
          <w:lang w:val="sr-Latn-ME"/>
        </w:rPr>
        <w:t>ij</w:t>
      </w:r>
      <w:r w:rsidR="00DD093D" w:rsidRPr="005474B2">
        <w:rPr>
          <w:sz w:val="22"/>
          <w:szCs w:val="22"/>
          <w:lang w:val="sr-Latn-ME"/>
        </w:rPr>
        <w:t>epom, placebom i etanerceptom kontrolisanom ispitivanju faze III kod pedijatrijskih pacijenata uzrasta od 6 do &lt;18 godina sa teškom plak psorijazom, koja je definisana PASI ≥20 skorom, IGA mod 2011. skorom od 4 i zahvaćenošću ≥10% t</w:t>
      </w:r>
      <w:r w:rsidR="008F70AE" w:rsidRPr="005474B2">
        <w:rPr>
          <w:sz w:val="22"/>
          <w:szCs w:val="22"/>
          <w:lang w:val="sr-Latn-ME"/>
        </w:rPr>
        <w:t>j</w:t>
      </w:r>
      <w:r w:rsidR="00DD093D" w:rsidRPr="005474B2">
        <w:rPr>
          <w:sz w:val="22"/>
          <w:szCs w:val="22"/>
          <w:lang w:val="sr-Latn-ME"/>
        </w:rPr>
        <w:t>elesne površine, koji su bili kandidati za sistemsku terapiju. Otprilike 43% pacijenata je prethodno bilo izloženo fototerapiji, 53% konvencionalnoj sistemskoj terapiji, 3% biološkim l</w:t>
      </w:r>
      <w:r w:rsidR="005C2390" w:rsidRPr="005474B2">
        <w:rPr>
          <w:sz w:val="22"/>
          <w:szCs w:val="22"/>
          <w:lang w:val="sr-Latn-ME"/>
        </w:rPr>
        <w:t>j</w:t>
      </w:r>
      <w:r w:rsidR="00DD093D" w:rsidRPr="005474B2">
        <w:rPr>
          <w:sz w:val="22"/>
          <w:szCs w:val="22"/>
          <w:lang w:val="sr-Latn-ME"/>
        </w:rPr>
        <w:t>ekovima, a 9% je istovremeno imalo psorijazni artritis.</w:t>
      </w:r>
    </w:p>
    <w:p w14:paraId="7611E6BA" w14:textId="77777777" w:rsidR="00DD093D" w:rsidRPr="005474B2" w:rsidRDefault="00DD093D">
      <w:pPr>
        <w:tabs>
          <w:tab w:val="left" w:pos="284"/>
        </w:tabs>
        <w:jc w:val="both"/>
        <w:rPr>
          <w:sz w:val="22"/>
          <w:szCs w:val="22"/>
          <w:lang w:val="sr-Latn-ME"/>
        </w:rPr>
      </w:pPr>
    </w:p>
    <w:p w14:paraId="27CD63E2" w14:textId="492A66A3" w:rsidR="00DD093D" w:rsidRPr="005474B2" w:rsidRDefault="000662D8">
      <w:pPr>
        <w:jc w:val="both"/>
        <w:rPr>
          <w:rFonts w:eastAsia="MS Mincho"/>
          <w:sz w:val="22"/>
          <w:szCs w:val="22"/>
          <w:lang w:val="sr-Latn-ME"/>
        </w:rPr>
      </w:pPr>
      <w:r w:rsidRPr="000662D8">
        <w:rPr>
          <w:sz w:val="22"/>
          <w:szCs w:val="22"/>
          <w:lang w:val="sr-Latn-ME"/>
        </w:rPr>
        <w:t xml:space="preserve">Ispitivanje 1 psorijaze kod djece </w:t>
      </w:r>
      <w:r w:rsidR="00DD093D" w:rsidRPr="005474B2">
        <w:rPr>
          <w:sz w:val="22"/>
          <w:szCs w:val="22"/>
          <w:lang w:val="sr-Latn-ME"/>
        </w:rPr>
        <w:t xml:space="preserve">(engl. </w:t>
      </w:r>
      <w:r w:rsidR="00DD093D" w:rsidRPr="005474B2">
        <w:rPr>
          <w:rFonts w:eastAsia="MS Mincho"/>
          <w:i/>
          <w:sz w:val="22"/>
          <w:szCs w:val="22"/>
          <w:lang w:val="sr-Latn-ME"/>
        </w:rPr>
        <w:t>paediatric psoriasis study 1</w:t>
      </w:r>
      <w:r w:rsidR="00DD093D" w:rsidRPr="005474B2">
        <w:rPr>
          <w:rFonts w:eastAsia="MS Mincho"/>
          <w:sz w:val="22"/>
          <w:szCs w:val="22"/>
          <w:lang w:val="sr-Latn-ME"/>
        </w:rPr>
        <w:t>)</w:t>
      </w:r>
      <w:r w:rsidR="00DD093D" w:rsidRPr="005474B2">
        <w:rPr>
          <w:sz w:val="22"/>
          <w:szCs w:val="22"/>
          <w:lang w:val="sr-Latn-ME"/>
        </w:rPr>
        <w:t xml:space="preserve"> oc</w:t>
      </w:r>
      <w:r w:rsidR="008F70AE" w:rsidRPr="005474B2">
        <w:rPr>
          <w:sz w:val="22"/>
          <w:szCs w:val="22"/>
          <w:lang w:val="sr-Latn-ME"/>
        </w:rPr>
        <w:t>j</w:t>
      </w:r>
      <w:r w:rsidR="00DD093D" w:rsidRPr="005474B2">
        <w:rPr>
          <w:sz w:val="22"/>
          <w:szCs w:val="22"/>
          <w:lang w:val="sr-Latn-ME"/>
        </w:rPr>
        <w:t>enjival</w:t>
      </w:r>
      <w:r>
        <w:rPr>
          <w:sz w:val="22"/>
          <w:szCs w:val="22"/>
          <w:lang w:val="sr-Latn-ME"/>
        </w:rPr>
        <w:t>o</w:t>
      </w:r>
      <w:r w:rsidR="00DD093D" w:rsidRPr="005474B2">
        <w:rPr>
          <w:sz w:val="22"/>
          <w:szCs w:val="22"/>
          <w:lang w:val="sr-Latn-ME"/>
        </w:rPr>
        <w:t xml:space="preserve"> je </w:t>
      </w:r>
      <w:r w:rsidR="00DD093D" w:rsidRPr="005474B2">
        <w:rPr>
          <w:rFonts w:eastAsia="MS Mincho"/>
          <w:sz w:val="22"/>
          <w:szCs w:val="22"/>
          <w:lang w:val="sr-Latn-ME"/>
        </w:rPr>
        <w:t>162 pacijenata koji su bili randomizovani da primaju niske doze sekukinumaba (75 mg za t</w:t>
      </w:r>
      <w:r w:rsidR="008F70AE" w:rsidRPr="005474B2">
        <w:rPr>
          <w:rFonts w:eastAsia="MS Mincho"/>
          <w:sz w:val="22"/>
          <w:szCs w:val="22"/>
          <w:lang w:val="sr-Latn-ME"/>
        </w:rPr>
        <w:t>j</w:t>
      </w:r>
      <w:r w:rsidR="00DD093D" w:rsidRPr="005474B2">
        <w:rPr>
          <w:rFonts w:eastAsia="MS Mincho"/>
          <w:sz w:val="22"/>
          <w:szCs w:val="22"/>
          <w:lang w:val="sr-Latn-ME"/>
        </w:rPr>
        <w:t>elesnu težinu &lt;50 kg ili 150 mg za t</w:t>
      </w:r>
      <w:r w:rsidR="008F70AE" w:rsidRPr="005474B2">
        <w:rPr>
          <w:rFonts w:eastAsia="MS Mincho"/>
          <w:sz w:val="22"/>
          <w:szCs w:val="22"/>
          <w:lang w:val="sr-Latn-ME"/>
        </w:rPr>
        <w:t>j</w:t>
      </w:r>
      <w:r w:rsidR="00DD093D" w:rsidRPr="005474B2">
        <w:rPr>
          <w:rFonts w:eastAsia="MS Mincho"/>
          <w:sz w:val="22"/>
          <w:szCs w:val="22"/>
          <w:lang w:val="sr-Latn-ME"/>
        </w:rPr>
        <w:t>elesnu težinu ≥50 kg), visoke doze s</w:t>
      </w:r>
      <w:r w:rsidR="00DD093D" w:rsidRPr="005474B2">
        <w:rPr>
          <w:rFonts w:eastAsia="MS Mincho"/>
          <w:bCs/>
          <w:sz w:val="22"/>
          <w:szCs w:val="22"/>
          <w:lang w:val="sr-Latn-ME"/>
        </w:rPr>
        <w:t>ekukinumaba</w:t>
      </w:r>
      <w:r w:rsidR="00DD093D" w:rsidRPr="005474B2">
        <w:rPr>
          <w:rFonts w:eastAsia="MS Mincho"/>
          <w:sz w:val="22"/>
          <w:szCs w:val="22"/>
          <w:lang w:val="sr-Latn-ME"/>
        </w:rPr>
        <w:t xml:space="preserve"> (75 mg za t</w:t>
      </w:r>
      <w:r w:rsidR="008F70AE" w:rsidRPr="005474B2">
        <w:rPr>
          <w:rFonts w:eastAsia="MS Mincho"/>
          <w:sz w:val="22"/>
          <w:szCs w:val="22"/>
          <w:lang w:val="sr-Latn-ME"/>
        </w:rPr>
        <w:t>j</w:t>
      </w:r>
      <w:r w:rsidR="00DD093D" w:rsidRPr="005474B2">
        <w:rPr>
          <w:rFonts w:eastAsia="MS Mincho"/>
          <w:sz w:val="22"/>
          <w:szCs w:val="22"/>
          <w:lang w:val="sr-Latn-ME"/>
        </w:rPr>
        <w:t>elesnu težinu &lt;25 kg, 150 mg za t</w:t>
      </w:r>
      <w:r w:rsidR="008F70AE" w:rsidRPr="005474B2">
        <w:rPr>
          <w:rFonts w:eastAsia="MS Mincho"/>
          <w:sz w:val="22"/>
          <w:szCs w:val="22"/>
          <w:lang w:val="sr-Latn-ME"/>
        </w:rPr>
        <w:t>j</w:t>
      </w:r>
      <w:r w:rsidR="00DD093D" w:rsidRPr="005474B2">
        <w:rPr>
          <w:rFonts w:eastAsia="MS Mincho"/>
          <w:sz w:val="22"/>
          <w:szCs w:val="22"/>
          <w:lang w:val="sr-Latn-ME"/>
        </w:rPr>
        <w:t>elesnu težinu ≥25 kg i &lt;50 kg, ili 300 mg za t</w:t>
      </w:r>
      <w:r w:rsidR="008F70AE" w:rsidRPr="005474B2">
        <w:rPr>
          <w:rFonts w:eastAsia="MS Mincho"/>
          <w:sz w:val="22"/>
          <w:szCs w:val="22"/>
          <w:lang w:val="sr-Latn-ME"/>
        </w:rPr>
        <w:t>j</w:t>
      </w:r>
      <w:r w:rsidR="00DD093D" w:rsidRPr="005474B2">
        <w:rPr>
          <w:rFonts w:eastAsia="MS Mincho"/>
          <w:sz w:val="22"/>
          <w:szCs w:val="22"/>
          <w:lang w:val="sr-Latn-ME"/>
        </w:rPr>
        <w:t>elesnu težinu ≥50 kg), ili placebo u 0.</w:t>
      </w:r>
      <w:r w:rsidR="00C32DC7" w:rsidRPr="005474B2">
        <w:rPr>
          <w:rFonts w:eastAsia="MS Mincho"/>
          <w:sz w:val="22"/>
          <w:szCs w:val="22"/>
          <w:lang w:val="sr-Latn-ME"/>
        </w:rPr>
        <w:t>,</w:t>
      </w:r>
      <w:r w:rsidR="00DD093D" w:rsidRPr="005474B2">
        <w:rPr>
          <w:rFonts w:eastAsia="MS Mincho"/>
          <w:sz w:val="22"/>
          <w:szCs w:val="22"/>
          <w:lang w:val="sr-Latn-ME"/>
        </w:rPr>
        <w:t xml:space="preserve"> 1.</w:t>
      </w:r>
      <w:r w:rsidR="00C32DC7" w:rsidRPr="005474B2">
        <w:rPr>
          <w:rFonts w:eastAsia="MS Mincho"/>
          <w:sz w:val="22"/>
          <w:szCs w:val="22"/>
          <w:lang w:val="sr-Latn-ME"/>
        </w:rPr>
        <w:t>,</w:t>
      </w:r>
      <w:r w:rsidR="00DD093D" w:rsidRPr="005474B2">
        <w:rPr>
          <w:rFonts w:eastAsia="MS Mincho"/>
          <w:sz w:val="22"/>
          <w:szCs w:val="22"/>
          <w:lang w:val="sr-Latn-ME"/>
        </w:rPr>
        <w:t xml:space="preserve"> 2.</w:t>
      </w:r>
      <w:r w:rsidR="00C32DC7" w:rsidRPr="005474B2">
        <w:rPr>
          <w:rFonts w:eastAsia="MS Mincho"/>
          <w:sz w:val="22"/>
          <w:szCs w:val="22"/>
          <w:lang w:val="sr-Latn-ME"/>
        </w:rPr>
        <w:t>,</w:t>
      </w:r>
      <w:r w:rsidR="00DD093D" w:rsidRPr="005474B2">
        <w:rPr>
          <w:rFonts w:eastAsia="MS Mincho"/>
          <w:sz w:val="22"/>
          <w:szCs w:val="22"/>
          <w:lang w:val="sr-Latn-ME"/>
        </w:rPr>
        <w:t xml:space="preserve"> 3. i 4. </w:t>
      </w:r>
      <w:r w:rsidR="009A4880" w:rsidRPr="005474B2">
        <w:rPr>
          <w:rFonts w:eastAsia="MS Mincho"/>
          <w:sz w:val="22"/>
          <w:szCs w:val="22"/>
          <w:lang w:val="sr-Latn-ME"/>
        </w:rPr>
        <w:t>nedjelj</w:t>
      </w:r>
      <w:r w:rsidR="00DD093D" w:rsidRPr="005474B2">
        <w:rPr>
          <w:rFonts w:eastAsia="MS Mincho"/>
          <w:sz w:val="22"/>
          <w:szCs w:val="22"/>
          <w:lang w:val="sr-Latn-ME"/>
        </w:rPr>
        <w:t xml:space="preserve">i nakon čega je </w:t>
      </w:r>
      <w:r w:rsidR="009A4880" w:rsidRPr="005474B2">
        <w:rPr>
          <w:rFonts w:eastAsia="MS Mincho"/>
          <w:sz w:val="22"/>
          <w:szCs w:val="22"/>
          <w:lang w:val="sr-Latn-ME"/>
        </w:rPr>
        <w:t>slijedi</w:t>
      </w:r>
      <w:r w:rsidR="00DD093D" w:rsidRPr="005474B2">
        <w:rPr>
          <w:rFonts w:eastAsia="MS Mincho"/>
          <w:sz w:val="22"/>
          <w:szCs w:val="22"/>
          <w:lang w:val="sr-Latn-ME"/>
        </w:rPr>
        <w:t>la ista doza svake 4 </w:t>
      </w:r>
      <w:r w:rsidR="009A4880" w:rsidRPr="005474B2">
        <w:rPr>
          <w:rFonts w:eastAsia="MS Mincho"/>
          <w:sz w:val="22"/>
          <w:szCs w:val="22"/>
          <w:lang w:val="sr-Latn-ME"/>
        </w:rPr>
        <w:t>nedjelj</w:t>
      </w:r>
      <w:r w:rsidR="00DD093D" w:rsidRPr="005474B2">
        <w:rPr>
          <w:rFonts w:eastAsia="MS Mincho"/>
          <w:sz w:val="22"/>
          <w:szCs w:val="22"/>
          <w:lang w:val="sr-Latn-ME"/>
        </w:rPr>
        <w:t xml:space="preserve">e, ili etanercept. Pacijenti randomizovani na etanercept su primali 0,8 mg/kg </w:t>
      </w:r>
      <w:r w:rsidR="009A4880" w:rsidRPr="005474B2">
        <w:rPr>
          <w:rFonts w:eastAsia="MS Mincho"/>
          <w:sz w:val="22"/>
          <w:szCs w:val="22"/>
          <w:lang w:val="sr-Latn-ME"/>
        </w:rPr>
        <w:t>nedjelj</w:t>
      </w:r>
      <w:r w:rsidR="00DD093D" w:rsidRPr="005474B2">
        <w:rPr>
          <w:rFonts w:eastAsia="MS Mincho"/>
          <w:sz w:val="22"/>
          <w:szCs w:val="22"/>
          <w:lang w:val="sr-Latn-ME"/>
        </w:rPr>
        <w:t>no (do maksimalno 50 mg). Raspod</w:t>
      </w:r>
      <w:r w:rsidR="00527392" w:rsidRPr="005474B2">
        <w:rPr>
          <w:rFonts w:eastAsia="MS Mincho"/>
          <w:sz w:val="22"/>
          <w:szCs w:val="22"/>
          <w:lang w:val="sr-Latn-ME"/>
        </w:rPr>
        <w:t>j</w:t>
      </w:r>
      <w:r w:rsidR="00DD093D" w:rsidRPr="005474B2">
        <w:rPr>
          <w:rFonts w:eastAsia="MS Mincho"/>
          <w:sz w:val="22"/>
          <w:szCs w:val="22"/>
          <w:lang w:val="sr-Latn-ME"/>
        </w:rPr>
        <w:t>ela pacijenata prema težini i uzrastu kod randomizacije opisana je u Tabeli </w:t>
      </w:r>
      <w:r w:rsidR="006911D2" w:rsidRPr="005474B2">
        <w:rPr>
          <w:rFonts w:eastAsia="MS Mincho"/>
          <w:sz w:val="22"/>
          <w:szCs w:val="22"/>
          <w:lang w:val="sr-Latn-ME"/>
        </w:rPr>
        <w:t>14</w:t>
      </w:r>
      <w:r w:rsidR="00DD093D" w:rsidRPr="005474B2">
        <w:rPr>
          <w:rFonts w:eastAsia="MS Mincho"/>
          <w:sz w:val="22"/>
          <w:szCs w:val="22"/>
          <w:lang w:val="sr-Latn-ME"/>
        </w:rPr>
        <w:t>.</w:t>
      </w:r>
    </w:p>
    <w:p w14:paraId="0D7DA7C0" w14:textId="77777777" w:rsidR="00DD093D" w:rsidRPr="005474B2" w:rsidRDefault="00DD093D">
      <w:pPr>
        <w:jc w:val="both"/>
        <w:rPr>
          <w:rFonts w:eastAsia="MS Mincho"/>
          <w:sz w:val="22"/>
          <w:szCs w:val="22"/>
          <w:lang w:val="sr-Latn-ME"/>
        </w:rPr>
      </w:pPr>
    </w:p>
    <w:p w14:paraId="18121F98" w14:textId="7C3F6A3D" w:rsidR="007D7CE1" w:rsidRPr="005474B2" w:rsidRDefault="00DD093D" w:rsidP="000662D8">
      <w:pPr>
        <w:keepNext/>
        <w:ind w:left="1134" w:hanging="1134"/>
        <w:jc w:val="both"/>
        <w:rPr>
          <w:b/>
          <w:bCs/>
          <w:sz w:val="22"/>
          <w:szCs w:val="22"/>
          <w:lang w:val="sr-Latn-ME"/>
        </w:rPr>
      </w:pPr>
      <w:r w:rsidRPr="005474B2">
        <w:rPr>
          <w:rFonts w:eastAsia="MS Mincho"/>
          <w:b/>
          <w:sz w:val="22"/>
          <w:szCs w:val="22"/>
          <w:lang w:val="sr-Latn-ME"/>
        </w:rPr>
        <w:t>Tabela </w:t>
      </w:r>
      <w:r w:rsidR="006911D2" w:rsidRPr="005474B2">
        <w:rPr>
          <w:rFonts w:eastAsia="MS Mincho"/>
          <w:b/>
          <w:sz w:val="22"/>
          <w:szCs w:val="22"/>
          <w:lang w:val="sr-Latn-ME"/>
        </w:rPr>
        <w:t>14</w:t>
      </w:r>
      <w:r w:rsidRPr="005474B2">
        <w:rPr>
          <w:rFonts w:eastAsia="MS Mincho"/>
          <w:b/>
          <w:sz w:val="22"/>
          <w:szCs w:val="22"/>
          <w:lang w:val="sr-Latn-ME"/>
        </w:rPr>
        <w:tab/>
        <w:t>Raspod</w:t>
      </w:r>
      <w:r w:rsidR="002755A3" w:rsidRPr="005474B2">
        <w:rPr>
          <w:rFonts w:eastAsia="MS Mincho"/>
          <w:b/>
          <w:sz w:val="22"/>
          <w:szCs w:val="22"/>
          <w:lang w:val="sr-Latn-ME"/>
        </w:rPr>
        <w:t>j</w:t>
      </w:r>
      <w:r w:rsidRPr="005474B2">
        <w:rPr>
          <w:rFonts w:eastAsia="MS Mincho"/>
          <w:b/>
          <w:sz w:val="22"/>
          <w:szCs w:val="22"/>
          <w:lang w:val="sr-Latn-ME"/>
        </w:rPr>
        <w:t xml:space="preserve">ela pacijenata prema težini i uzrastu </w:t>
      </w:r>
      <w:r w:rsidR="000662D8" w:rsidRPr="000662D8">
        <w:rPr>
          <w:rFonts w:eastAsia="MS Mincho"/>
          <w:b/>
          <w:sz w:val="22"/>
          <w:szCs w:val="22"/>
          <w:lang w:val="sr-Latn-ME"/>
        </w:rPr>
        <w:t>za ispitivanje 1 psorijaze kod djece</w:t>
      </w:r>
    </w:p>
    <w:tbl>
      <w:tblPr>
        <w:tblStyle w:val="TableGrid"/>
        <w:tblW w:w="9351" w:type="dxa"/>
        <w:tblLayout w:type="fixed"/>
        <w:tblLook w:val="04A0" w:firstRow="1" w:lastRow="0" w:firstColumn="1" w:lastColumn="0" w:noHBand="0" w:noVBand="1"/>
      </w:tblPr>
      <w:tblGrid>
        <w:gridCol w:w="1696"/>
        <w:gridCol w:w="1276"/>
        <w:gridCol w:w="1559"/>
        <w:gridCol w:w="1553"/>
        <w:gridCol w:w="966"/>
        <w:gridCol w:w="1302"/>
        <w:gridCol w:w="999"/>
      </w:tblGrid>
      <w:tr w:rsidR="00DD093D" w:rsidRPr="0009637B" w14:paraId="35573F0C" w14:textId="77777777" w:rsidTr="00905563">
        <w:trPr>
          <w:cantSplit/>
        </w:trPr>
        <w:tc>
          <w:tcPr>
            <w:tcW w:w="1696" w:type="dxa"/>
          </w:tcPr>
          <w:p w14:paraId="0A52DAD8"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Stratumi randomizacije</w:t>
            </w:r>
          </w:p>
        </w:tc>
        <w:tc>
          <w:tcPr>
            <w:tcW w:w="1276" w:type="dxa"/>
          </w:tcPr>
          <w:p w14:paraId="27A25508"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Opis</w:t>
            </w:r>
          </w:p>
        </w:tc>
        <w:tc>
          <w:tcPr>
            <w:tcW w:w="1559" w:type="dxa"/>
          </w:tcPr>
          <w:p w14:paraId="19A4CF1A" w14:textId="77777777" w:rsidR="00DD093D" w:rsidRPr="005474B2" w:rsidRDefault="00DD093D" w:rsidP="005474B2">
            <w:pPr>
              <w:keepNext/>
              <w:tabs>
                <w:tab w:val="left" w:pos="284"/>
              </w:tabs>
              <w:ind w:left="-155" w:right="-109"/>
              <w:jc w:val="both"/>
              <w:rPr>
                <w:b/>
                <w:sz w:val="22"/>
                <w:szCs w:val="22"/>
                <w:lang w:val="sr-Latn-ME" w:eastAsia="en-GB"/>
              </w:rPr>
            </w:pPr>
            <w:r w:rsidRPr="005474B2">
              <w:rPr>
                <w:b/>
                <w:sz w:val="22"/>
                <w:szCs w:val="22"/>
                <w:lang w:val="sr-Latn-ME" w:eastAsia="en-GB"/>
              </w:rPr>
              <w:t>Niska doza sekukinumaba</w:t>
            </w:r>
          </w:p>
          <w:p w14:paraId="62A9DEF3" w14:textId="77777777" w:rsidR="00DD093D" w:rsidRPr="005474B2" w:rsidRDefault="00DD093D" w:rsidP="0009637B">
            <w:pPr>
              <w:keepNext/>
              <w:tabs>
                <w:tab w:val="left" w:pos="284"/>
              </w:tabs>
              <w:jc w:val="both"/>
              <w:rPr>
                <w:b/>
                <w:sz w:val="22"/>
                <w:szCs w:val="22"/>
                <w:lang w:val="sr-Latn-ME" w:eastAsia="en-GB"/>
              </w:rPr>
            </w:pPr>
            <w:r w:rsidRPr="005474B2">
              <w:rPr>
                <w:b/>
                <w:sz w:val="22"/>
                <w:szCs w:val="22"/>
                <w:lang w:val="sr-Latn-ME" w:eastAsia="en-GB"/>
              </w:rPr>
              <w:t>n=40</w:t>
            </w:r>
          </w:p>
        </w:tc>
        <w:tc>
          <w:tcPr>
            <w:tcW w:w="1553" w:type="dxa"/>
          </w:tcPr>
          <w:p w14:paraId="29DB0D8F" w14:textId="77777777" w:rsidR="00DD093D" w:rsidRPr="005474B2" w:rsidRDefault="00DD093D" w:rsidP="0009637B">
            <w:pPr>
              <w:keepNext/>
              <w:tabs>
                <w:tab w:val="left" w:pos="284"/>
              </w:tabs>
              <w:ind w:left="-103" w:right="-109"/>
              <w:jc w:val="both"/>
              <w:rPr>
                <w:b/>
                <w:sz w:val="22"/>
                <w:szCs w:val="22"/>
                <w:lang w:val="sr-Latn-ME" w:eastAsia="en-GB"/>
              </w:rPr>
            </w:pPr>
            <w:r w:rsidRPr="005474B2">
              <w:rPr>
                <w:b/>
                <w:sz w:val="22"/>
                <w:szCs w:val="22"/>
                <w:lang w:val="sr-Latn-ME" w:eastAsia="en-GB"/>
              </w:rPr>
              <w:t>Visoka doza sekukinumaba</w:t>
            </w:r>
          </w:p>
          <w:p w14:paraId="53A3F566"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n=40</w:t>
            </w:r>
          </w:p>
        </w:tc>
        <w:tc>
          <w:tcPr>
            <w:tcW w:w="966" w:type="dxa"/>
          </w:tcPr>
          <w:p w14:paraId="540A2AB6"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Placebo</w:t>
            </w:r>
          </w:p>
          <w:p w14:paraId="25156E19" w14:textId="77777777" w:rsidR="00DD093D" w:rsidRPr="005474B2" w:rsidRDefault="00DD093D">
            <w:pPr>
              <w:keepNext/>
              <w:tabs>
                <w:tab w:val="left" w:pos="284"/>
              </w:tabs>
              <w:jc w:val="both"/>
              <w:rPr>
                <w:b/>
                <w:sz w:val="22"/>
                <w:szCs w:val="22"/>
                <w:lang w:val="sr-Latn-ME" w:eastAsia="en-GB"/>
              </w:rPr>
            </w:pPr>
          </w:p>
          <w:p w14:paraId="422D70BA"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n=41</w:t>
            </w:r>
          </w:p>
        </w:tc>
        <w:tc>
          <w:tcPr>
            <w:tcW w:w="1302" w:type="dxa"/>
          </w:tcPr>
          <w:p w14:paraId="644A5986"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Etanercept</w:t>
            </w:r>
          </w:p>
          <w:p w14:paraId="13594E3D" w14:textId="77777777" w:rsidR="00DD093D" w:rsidRPr="005474B2" w:rsidRDefault="00DD093D">
            <w:pPr>
              <w:keepNext/>
              <w:tabs>
                <w:tab w:val="left" w:pos="284"/>
              </w:tabs>
              <w:jc w:val="both"/>
              <w:rPr>
                <w:b/>
                <w:sz w:val="22"/>
                <w:szCs w:val="22"/>
                <w:lang w:val="sr-Latn-ME" w:eastAsia="en-GB"/>
              </w:rPr>
            </w:pPr>
          </w:p>
          <w:p w14:paraId="641B247E"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n=41</w:t>
            </w:r>
          </w:p>
        </w:tc>
        <w:tc>
          <w:tcPr>
            <w:tcW w:w="999" w:type="dxa"/>
          </w:tcPr>
          <w:p w14:paraId="0053E7AB" w14:textId="77777777" w:rsidR="00DD093D" w:rsidRPr="005474B2" w:rsidRDefault="00DD093D">
            <w:pPr>
              <w:keepNext/>
              <w:tabs>
                <w:tab w:val="left" w:pos="284"/>
              </w:tabs>
              <w:ind w:left="-95" w:right="-100"/>
              <w:jc w:val="both"/>
              <w:rPr>
                <w:b/>
                <w:sz w:val="22"/>
                <w:szCs w:val="22"/>
                <w:lang w:val="sr-Latn-ME" w:eastAsia="en-GB"/>
              </w:rPr>
            </w:pPr>
            <w:r w:rsidRPr="005474B2">
              <w:rPr>
                <w:b/>
                <w:sz w:val="22"/>
                <w:szCs w:val="22"/>
                <w:lang w:val="sr-Latn-ME" w:eastAsia="en-GB"/>
              </w:rPr>
              <w:t>Ukupno</w:t>
            </w:r>
          </w:p>
          <w:p w14:paraId="652569D4" w14:textId="77777777" w:rsidR="005C2390" w:rsidRPr="005474B2" w:rsidRDefault="005C2390">
            <w:pPr>
              <w:keepNext/>
              <w:tabs>
                <w:tab w:val="left" w:pos="284"/>
              </w:tabs>
              <w:ind w:left="-95" w:right="-100"/>
              <w:jc w:val="both"/>
              <w:rPr>
                <w:b/>
                <w:sz w:val="22"/>
                <w:szCs w:val="22"/>
                <w:lang w:val="sr-Latn-ME" w:eastAsia="en-GB"/>
              </w:rPr>
            </w:pPr>
          </w:p>
          <w:p w14:paraId="2DEB4232" w14:textId="5D321390" w:rsidR="00DD093D" w:rsidRPr="005474B2" w:rsidRDefault="00DD093D">
            <w:pPr>
              <w:keepNext/>
              <w:tabs>
                <w:tab w:val="left" w:pos="284"/>
              </w:tabs>
              <w:ind w:left="-95" w:right="-100"/>
              <w:jc w:val="both"/>
              <w:rPr>
                <w:b/>
                <w:sz w:val="22"/>
                <w:szCs w:val="22"/>
                <w:lang w:val="sr-Latn-ME" w:eastAsia="en-GB"/>
              </w:rPr>
            </w:pPr>
            <w:r w:rsidRPr="005474B2">
              <w:rPr>
                <w:b/>
                <w:sz w:val="22"/>
                <w:szCs w:val="22"/>
                <w:lang w:val="sr-Latn-ME" w:eastAsia="en-GB"/>
              </w:rPr>
              <w:t>N=162</w:t>
            </w:r>
          </w:p>
        </w:tc>
      </w:tr>
      <w:tr w:rsidR="00DD093D" w:rsidRPr="0009637B" w14:paraId="0071C571" w14:textId="77777777" w:rsidTr="00905563">
        <w:trPr>
          <w:cantSplit/>
        </w:trPr>
        <w:tc>
          <w:tcPr>
            <w:tcW w:w="1696" w:type="dxa"/>
            <w:vMerge w:val="restart"/>
          </w:tcPr>
          <w:p w14:paraId="6F1A9123" w14:textId="77777777" w:rsidR="00DD093D" w:rsidRPr="005474B2" w:rsidRDefault="00DD093D" w:rsidP="0009637B">
            <w:pPr>
              <w:keepNext/>
              <w:tabs>
                <w:tab w:val="left" w:pos="284"/>
              </w:tabs>
              <w:jc w:val="both"/>
              <w:rPr>
                <w:sz w:val="22"/>
                <w:szCs w:val="22"/>
                <w:lang w:val="sr-Latn-ME" w:eastAsia="en-GB"/>
              </w:rPr>
            </w:pPr>
            <w:r w:rsidRPr="005474B2">
              <w:rPr>
                <w:sz w:val="22"/>
                <w:szCs w:val="22"/>
                <w:lang w:val="sr-Latn-ME" w:eastAsia="en-GB"/>
              </w:rPr>
              <w:t>Uzrast</w:t>
            </w:r>
          </w:p>
        </w:tc>
        <w:tc>
          <w:tcPr>
            <w:tcW w:w="1276" w:type="dxa"/>
          </w:tcPr>
          <w:p w14:paraId="693EED7D" w14:textId="77777777" w:rsidR="00DD093D" w:rsidRPr="005474B2" w:rsidRDefault="00DD093D" w:rsidP="0009637B">
            <w:pPr>
              <w:keepNext/>
              <w:tabs>
                <w:tab w:val="left" w:pos="284"/>
              </w:tabs>
              <w:jc w:val="both"/>
              <w:rPr>
                <w:sz w:val="22"/>
                <w:szCs w:val="22"/>
                <w:lang w:val="sr-Latn-ME" w:eastAsia="en-GB"/>
              </w:rPr>
            </w:pPr>
            <w:r w:rsidRPr="005474B2">
              <w:rPr>
                <w:sz w:val="22"/>
                <w:szCs w:val="22"/>
                <w:lang w:val="sr-Latn-ME" w:eastAsia="en-GB"/>
              </w:rPr>
              <w:t>6-&lt;12 godina</w:t>
            </w:r>
          </w:p>
        </w:tc>
        <w:tc>
          <w:tcPr>
            <w:tcW w:w="1559" w:type="dxa"/>
          </w:tcPr>
          <w:p w14:paraId="2E29C554"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8</w:t>
            </w:r>
          </w:p>
        </w:tc>
        <w:tc>
          <w:tcPr>
            <w:tcW w:w="1553" w:type="dxa"/>
          </w:tcPr>
          <w:p w14:paraId="1383F718"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9</w:t>
            </w:r>
          </w:p>
        </w:tc>
        <w:tc>
          <w:tcPr>
            <w:tcW w:w="966" w:type="dxa"/>
          </w:tcPr>
          <w:p w14:paraId="48AB0373"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10</w:t>
            </w:r>
          </w:p>
        </w:tc>
        <w:tc>
          <w:tcPr>
            <w:tcW w:w="1302" w:type="dxa"/>
          </w:tcPr>
          <w:p w14:paraId="63B0214D"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10</w:t>
            </w:r>
          </w:p>
        </w:tc>
        <w:tc>
          <w:tcPr>
            <w:tcW w:w="999" w:type="dxa"/>
          </w:tcPr>
          <w:p w14:paraId="76FA6E98"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37</w:t>
            </w:r>
          </w:p>
        </w:tc>
      </w:tr>
      <w:tr w:rsidR="00DD093D" w:rsidRPr="0009637B" w14:paraId="722A37A3" w14:textId="77777777" w:rsidTr="00905563">
        <w:trPr>
          <w:cantSplit/>
        </w:trPr>
        <w:tc>
          <w:tcPr>
            <w:tcW w:w="1696" w:type="dxa"/>
            <w:vMerge/>
          </w:tcPr>
          <w:p w14:paraId="27B03C38" w14:textId="77777777" w:rsidR="00DD093D" w:rsidRPr="005474B2" w:rsidRDefault="00DD093D">
            <w:pPr>
              <w:keepNext/>
              <w:tabs>
                <w:tab w:val="left" w:pos="284"/>
              </w:tabs>
              <w:jc w:val="both"/>
              <w:rPr>
                <w:sz w:val="22"/>
                <w:szCs w:val="22"/>
                <w:lang w:val="sr-Latn-ME" w:eastAsia="en-GB"/>
              </w:rPr>
            </w:pPr>
          </w:p>
        </w:tc>
        <w:tc>
          <w:tcPr>
            <w:tcW w:w="1276" w:type="dxa"/>
          </w:tcPr>
          <w:p w14:paraId="2F0304B7"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≥12-&lt;18 </w:t>
            </w:r>
          </w:p>
          <w:p w14:paraId="21D8B3B1"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godina</w:t>
            </w:r>
          </w:p>
        </w:tc>
        <w:tc>
          <w:tcPr>
            <w:tcW w:w="1559" w:type="dxa"/>
          </w:tcPr>
          <w:p w14:paraId="117248E9"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32</w:t>
            </w:r>
          </w:p>
        </w:tc>
        <w:tc>
          <w:tcPr>
            <w:tcW w:w="1553" w:type="dxa"/>
          </w:tcPr>
          <w:p w14:paraId="6863C5EE"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31</w:t>
            </w:r>
          </w:p>
        </w:tc>
        <w:tc>
          <w:tcPr>
            <w:tcW w:w="966" w:type="dxa"/>
          </w:tcPr>
          <w:p w14:paraId="56AD3541"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31</w:t>
            </w:r>
          </w:p>
        </w:tc>
        <w:tc>
          <w:tcPr>
            <w:tcW w:w="1302" w:type="dxa"/>
          </w:tcPr>
          <w:p w14:paraId="4DE0F573"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31</w:t>
            </w:r>
          </w:p>
        </w:tc>
        <w:tc>
          <w:tcPr>
            <w:tcW w:w="999" w:type="dxa"/>
          </w:tcPr>
          <w:p w14:paraId="4A3519C3"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125</w:t>
            </w:r>
          </w:p>
        </w:tc>
      </w:tr>
      <w:tr w:rsidR="00DD093D" w:rsidRPr="0009637B" w14:paraId="69E67BF2" w14:textId="77777777" w:rsidTr="00905563">
        <w:trPr>
          <w:cantSplit/>
        </w:trPr>
        <w:tc>
          <w:tcPr>
            <w:tcW w:w="1696" w:type="dxa"/>
            <w:vMerge w:val="restart"/>
          </w:tcPr>
          <w:p w14:paraId="58A55456" w14:textId="77777777" w:rsidR="00DD093D" w:rsidRPr="005474B2" w:rsidRDefault="00DD093D" w:rsidP="0009637B">
            <w:pPr>
              <w:keepNext/>
              <w:tabs>
                <w:tab w:val="left" w:pos="284"/>
              </w:tabs>
              <w:jc w:val="both"/>
              <w:rPr>
                <w:sz w:val="22"/>
                <w:szCs w:val="22"/>
                <w:lang w:val="sr-Latn-ME" w:eastAsia="en-GB"/>
              </w:rPr>
            </w:pPr>
            <w:r w:rsidRPr="005474B2">
              <w:rPr>
                <w:sz w:val="22"/>
                <w:szCs w:val="22"/>
                <w:lang w:val="sr-Latn-ME" w:eastAsia="en-GB"/>
              </w:rPr>
              <w:t>Težina</w:t>
            </w:r>
          </w:p>
        </w:tc>
        <w:tc>
          <w:tcPr>
            <w:tcW w:w="1276" w:type="dxa"/>
          </w:tcPr>
          <w:p w14:paraId="59A14547" w14:textId="77777777" w:rsidR="00DD093D" w:rsidRPr="005474B2" w:rsidRDefault="00DD093D" w:rsidP="0009637B">
            <w:pPr>
              <w:keepNext/>
              <w:tabs>
                <w:tab w:val="left" w:pos="284"/>
              </w:tabs>
              <w:jc w:val="both"/>
              <w:rPr>
                <w:sz w:val="22"/>
                <w:szCs w:val="22"/>
                <w:lang w:val="sr-Latn-ME" w:eastAsia="en-GB"/>
              </w:rPr>
            </w:pPr>
            <w:r w:rsidRPr="005474B2">
              <w:rPr>
                <w:sz w:val="22"/>
                <w:szCs w:val="22"/>
                <w:lang w:val="sr-Latn-ME" w:eastAsia="en-GB"/>
              </w:rPr>
              <w:t>&lt;25 kg</w:t>
            </w:r>
          </w:p>
        </w:tc>
        <w:tc>
          <w:tcPr>
            <w:tcW w:w="1559" w:type="dxa"/>
          </w:tcPr>
          <w:p w14:paraId="1AEB8D10"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2</w:t>
            </w:r>
          </w:p>
        </w:tc>
        <w:tc>
          <w:tcPr>
            <w:tcW w:w="1553" w:type="dxa"/>
          </w:tcPr>
          <w:p w14:paraId="598F513D"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3</w:t>
            </w:r>
          </w:p>
        </w:tc>
        <w:tc>
          <w:tcPr>
            <w:tcW w:w="966" w:type="dxa"/>
          </w:tcPr>
          <w:p w14:paraId="6A2C745D"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3</w:t>
            </w:r>
          </w:p>
        </w:tc>
        <w:tc>
          <w:tcPr>
            <w:tcW w:w="1302" w:type="dxa"/>
          </w:tcPr>
          <w:p w14:paraId="46790082"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4</w:t>
            </w:r>
          </w:p>
        </w:tc>
        <w:tc>
          <w:tcPr>
            <w:tcW w:w="999" w:type="dxa"/>
          </w:tcPr>
          <w:p w14:paraId="2B154435"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12</w:t>
            </w:r>
          </w:p>
        </w:tc>
      </w:tr>
      <w:tr w:rsidR="00DD093D" w:rsidRPr="0009637B" w14:paraId="1B573F03" w14:textId="77777777" w:rsidTr="00905563">
        <w:trPr>
          <w:cantSplit/>
        </w:trPr>
        <w:tc>
          <w:tcPr>
            <w:tcW w:w="1696" w:type="dxa"/>
            <w:vMerge/>
          </w:tcPr>
          <w:p w14:paraId="4A2DD2D2" w14:textId="77777777" w:rsidR="00DD093D" w:rsidRPr="005474B2" w:rsidRDefault="00DD093D">
            <w:pPr>
              <w:keepNext/>
              <w:tabs>
                <w:tab w:val="left" w:pos="284"/>
              </w:tabs>
              <w:jc w:val="both"/>
              <w:rPr>
                <w:sz w:val="22"/>
                <w:szCs w:val="22"/>
                <w:lang w:val="sr-Latn-ME" w:eastAsia="en-GB"/>
              </w:rPr>
            </w:pPr>
          </w:p>
        </w:tc>
        <w:tc>
          <w:tcPr>
            <w:tcW w:w="1276" w:type="dxa"/>
          </w:tcPr>
          <w:p w14:paraId="5AFDAF4F"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≥25-&lt;50 kg</w:t>
            </w:r>
          </w:p>
        </w:tc>
        <w:tc>
          <w:tcPr>
            <w:tcW w:w="1559" w:type="dxa"/>
          </w:tcPr>
          <w:p w14:paraId="513B4E8D"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17</w:t>
            </w:r>
          </w:p>
        </w:tc>
        <w:tc>
          <w:tcPr>
            <w:tcW w:w="1553" w:type="dxa"/>
          </w:tcPr>
          <w:p w14:paraId="6B4163CB"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15</w:t>
            </w:r>
          </w:p>
        </w:tc>
        <w:tc>
          <w:tcPr>
            <w:tcW w:w="966" w:type="dxa"/>
          </w:tcPr>
          <w:p w14:paraId="469E4427"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17</w:t>
            </w:r>
          </w:p>
        </w:tc>
        <w:tc>
          <w:tcPr>
            <w:tcW w:w="1302" w:type="dxa"/>
          </w:tcPr>
          <w:p w14:paraId="40A96B1A"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16</w:t>
            </w:r>
          </w:p>
        </w:tc>
        <w:tc>
          <w:tcPr>
            <w:tcW w:w="999" w:type="dxa"/>
          </w:tcPr>
          <w:p w14:paraId="3E7EA39B"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65</w:t>
            </w:r>
          </w:p>
        </w:tc>
      </w:tr>
      <w:tr w:rsidR="00DD093D" w:rsidRPr="0009637B" w14:paraId="5F2BEEFB" w14:textId="77777777" w:rsidTr="00905563">
        <w:trPr>
          <w:cantSplit/>
        </w:trPr>
        <w:tc>
          <w:tcPr>
            <w:tcW w:w="1696" w:type="dxa"/>
            <w:vMerge/>
          </w:tcPr>
          <w:p w14:paraId="7D19176D" w14:textId="77777777" w:rsidR="00DD093D" w:rsidRPr="005474B2" w:rsidRDefault="00DD093D">
            <w:pPr>
              <w:tabs>
                <w:tab w:val="left" w:pos="284"/>
              </w:tabs>
              <w:jc w:val="both"/>
              <w:rPr>
                <w:sz w:val="22"/>
                <w:szCs w:val="22"/>
                <w:lang w:val="sr-Latn-ME" w:eastAsia="en-GB"/>
              </w:rPr>
            </w:pPr>
          </w:p>
        </w:tc>
        <w:tc>
          <w:tcPr>
            <w:tcW w:w="1276" w:type="dxa"/>
          </w:tcPr>
          <w:p w14:paraId="46A4996C"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≥50 kg</w:t>
            </w:r>
          </w:p>
        </w:tc>
        <w:tc>
          <w:tcPr>
            <w:tcW w:w="1559" w:type="dxa"/>
          </w:tcPr>
          <w:p w14:paraId="339EA292"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21</w:t>
            </w:r>
          </w:p>
        </w:tc>
        <w:tc>
          <w:tcPr>
            <w:tcW w:w="1553" w:type="dxa"/>
          </w:tcPr>
          <w:p w14:paraId="67CF88D0"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22</w:t>
            </w:r>
          </w:p>
        </w:tc>
        <w:tc>
          <w:tcPr>
            <w:tcW w:w="966" w:type="dxa"/>
          </w:tcPr>
          <w:p w14:paraId="1FC0823C"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21</w:t>
            </w:r>
          </w:p>
        </w:tc>
        <w:tc>
          <w:tcPr>
            <w:tcW w:w="1302" w:type="dxa"/>
          </w:tcPr>
          <w:p w14:paraId="3750F623"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21</w:t>
            </w:r>
          </w:p>
        </w:tc>
        <w:tc>
          <w:tcPr>
            <w:tcW w:w="999" w:type="dxa"/>
          </w:tcPr>
          <w:p w14:paraId="37FF7B5A"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85</w:t>
            </w:r>
          </w:p>
        </w:tc>
      </w:tr>
    </w:tbl>
    <w:p w14:paraId="337BF15F" w14:textId="77777777" w:rsidR="00DD093D" w:rsidRPr="005474B2" w:rsidRDefault="00DD093D" w:rsidP="0009637B">
      <w:pPr>
        <w:tabs>
          <w:tab w:val="left" w:pos="540"/>
          <w:tab w:val="left" w:pos="569"/>
        </w:tabs>
        <w:jc w:val="both"/>
        <w:rPr>
          <w:b/>
          <w:bCs/>
          <w:sz w:val="22"/>
          <w:szCs w:val="22"/>
          <w:lang w:val="sr-Latn-ME"/>
        </w:rPr>
      </w:pPr>
    </w:p>
    <w:p w14:paraId="34E7895A" w14:textId="3233DCF8" w:rsidR="00DD093D" w:rsidRPr="005474B2" w:rsidRDefault="00DD093D" w:rsidP="0009637B">
      <w:pPr>
        <w:jc w:val="both"/>
        <w:rPr>
          <w:rFonts w:eastAsia="MS Mincho"/>
          <w:sz w:val="22"/>
          <w:szCs w:val="22"/>
          <w:lang w:val="sr-Latn-ME"/>
        </w:rPr>
      </w:pPr>
      <w:r w:rsidRPr="005474B2">
        <w:rPr>
          <w:rFonts w:eastAsia="MS Mincho"/>
          <w:sz w:val="22"/>
          <w:szCs w:val="22"/>
          <w:lang w:val="sr-Latn-ME"/>
        </w:rPr>
        <w:t>Pacijenti randomizovani da primaju placebo, a ni</w:t>
      </w:r>
      <w:r w:rsidR="00746619" w:rsidRPr="005474B2">
        <w:rPr>
          <w:rFonts w:eastAsia="MS Mincho"/>
          <w:sz w:val="22"/>
          <w:szCs w:val="22"/>
          <w:lang w:val="sr-Latn-ME"/>
        </w:rPr>
        <w:t>je</w:t>
      </w:r>
      <w:r w:rsidRPr="005474B2">
        <w:rPr>
          <w:rFonts w:eastAsia="MS Mincho"/>
          <w:sz w:val="22"/>
          <w:szCs w:val="22"/>
          <w:lang w:val="sr-Latn-ME"/>
        </w:rPr>
        <w:t>su imali odgovor u 12. </w:t>
      </w:r>
      <w:r w:rsidR="009A4880" w:rsidRPr="005474B2">
        <w:rPr>
          <w:rFonts w:eastAsia="MS Mincho"/>
          <w:sz w:val="22"/>
          <w:szCs w:val="22"/>
          <w:lang w:val="sr-Latn-ME"/>
        </w:rPr>
        <w:t>nedjelj</w:t>
      </w:r>
      <w:r w:rsidRPr="005474B2">
        <w:rPr>
          <w:rFonts w:eastAsia="MS Mincho"/>
          <w:sz w:val="22"/>
          <w:szCs w:val="22"/>
          <w:lang w:val="sr-Latn-ME"/>
        </w:rPr>
        <w:t>i, prebačeni su ili u grupu s</w:t>
      </w:r>
      <w:r w:rsidR="000662D8">
        <w:rPr>
          <w:rFonts w:eastAsia="MS Mincho"/>
          <w:sz w:val="22"/>
          <w:szCs w:val="22"/>
          <w:lang w:val="sr-Latn-ME"/>
        </w:rPr>
        <w:t>a</w:t>
      </w:r>
      <w:r w:rsidRPr="005474B2">
        <w:rPr>
          <w:rFonts w:eastAsia="MS Mincho"/>
          <w:sz w:val="22"/>
          <w:szCs w:val="22"/>
          <w:lang w:val="sr-Latn-ME"/>
        </w:rPr>
        <w:t xml:space="preserve"> niskom dozom sekukinumaba ili u onu s visokom dozom (doza prema pripadajućoj grupi na osnovu t</w:t>
      </w:r>
      <w:r w:rsidR="008F70AE" w:rsidRPr="005474B2">
        <w:rPr>
          <w:rFonts w:eastAsia="MS Mincho"/>
          <w:sz w:val="22"/>
          <w:szCs w:val="22"/>
          <w:lang w:val="sr-Latn-ME"/>
        </w:rPr>
        <w:t>j</w:t>
      </w:r>
      <w:r w:rsidRPr="005474B2">
        <w:rPr>
          <w:rFonts w:eastAsia="MS Mincho"/>
          <w:sz w:val="22"/>
          <w:szCs w:val="22"/>
          <w:lang w:val="sr-Latn-ME"/>
        </w:rPr>
        <w:t>elesne težine) pa su primili ispitivani l</w:t>
      </w:r>
      <w:r w:rsidR="008F70AE" w:rsidRPr="005474B2">
        <w:rPr>
          <w:rFonts w:eastAsia="MS Mincho"/>
          <w:sz w:val="22"/>
          <w:szCs w:val="22"/>
          <w:lang w:val="sr-Latn-ME"/>
        </w:rPr>
        <w:t>ij</w:t>
      </w:r>
      <w:r w:rsidRPr="005474B2">
        <w:rPr>
          <w:rFonts w:eastAsia="MS Mincho"/>
          <w:sz w:val="22"/>
          <w:szCs w:val="22"/>
          <w:lang w:val="sr-Latn-ME"/>
        </w:rPr>
        <w:t>ek u 12.</w:t>
      </w:r>
      <w:r w:rsidR="00C32DC7" w:rsidRPr="005474B2">
        <w:rPr>
          <w:rFonts w:eastAsia="MS Mincho"/>
          <w:sz w:val="22"/>
          <w:szCs w:val="22"/>
          <w:lang w:val="sr-Latn-ME"/>
        </w:rPr>
        <w:t>,</w:t>
      </w:r>
      <w:r w:rsidRPr="005474B2">
        <w:rPr>
          <w:rFonts w:eastAsia="MS Mincho"/>
          <w:sz w:val="22"/>
          <w:szCs w:val="22"/>
          <w:lang w:val="sr-Latn-ME"/>
        </w:rPr>
        <w:t xml:space="preserve"> 13.</w:t>
      </w:r>
      <w:r w:rsidR="00C32DC7" w:rsidRPr="005474B2">
        <w:rPr>
          <w:rFonts w:eastAsia="MS Mincho"/>
          <w:sz w:val="22"/>
          <w:szCs w:val="22"/>
          <w:lang w:val="sr-Latn-ME"/>
        </w:rPr>
        <w:t>,</w:t>
      </w:r>
      <w:r w:rsidRPr="005474B2">
        <w:rPr>
          <w:rFonts w:eastAsia="MS Mincho"/>
          <w:sz w:val="22"/>
          <w:szCs w:val="22"/>
          <w:lang w:val="sr-Latn-ME"/>
        </w:rPr>
        <w:t xml:space="preserve"> 14. i 15. </w:t>
      </w:r>
      <w:r w:rsidR="009A4880" w:rsidRPr="005474B2">
        <w:rPr>
          <w:rFonts w:eastAsia="MS Mincho"/>
          <w:sz w:val="22"/>
          <w:szCs w:val="22"/>
          <w:lang w:val="sr-Latn-ME"/>
        </w:rPr>
        <w:t>nedjelj</w:t>
      </w:r>
      <w:r w:rsidRPr="005474B2">
        <w:rPr>
          <w:rFonts w:eastAsia="MS Mincho"/>
          <w:sz w:val="22"/>
          <w:szCs w:val="22"/>
          <w:lang w:val="sr-Latn-ME"/>
        </w:rPr>
        <w:t xml:space="preserve">i, nakon čega je </w:t>
      </w:r>
      <w:r w:rsidR="009A4880" w:rsidRPr="005474B2">
        <w:rPr>
          <w:rFonts w:eastAsia="MS Mincho"/>
          <w:sz w:val="22"/>
          <w:szCs w:val="22"/>
          <w:lang w:val="sr-Latn-ME"/>
        </w:rPr>
        <w:t>slijedi</w:t>
      </w:r>
      <w:r w:rsidRPr="005474B2">
        <w:rPr>
          <w:rFonts w:eastAsia="MS Mincho"/>
          <w:sz w:val="22"/>
          <w:szCs w:val="22"/>
          <w:lang w:val="sr-Latn-ME"/>
        </w:rPr>
        <w:t>la ista doza svake 4 </w:t>
      </w:r>
      <w:r w:rsidR="009A4880" w:rsidRPr="005474B2">
        <w:rPr>
          <w:rFonts w:eastAsia="MS Mincho"/>
          <w:sz w:val="22"/>
          <w:szCs w:val="22"/>
          <w:lang w:val="sr-Latn-ME"/>
        </w:rPr>
        <w:t>nedjelj</w:t>
      </w:r>
      <w:r w:rsidRPr="005474B2">
        <w:rPr>
          <w:rFonts w:eastAsia="MS Mincho"/>
          <w:sz w:val="22"/>
          <w:szCs w:val="22"/>
          <w:lang w:val="sr-Latn-ME"/>
        </w:rPr>
        <w:t>e počevši od 16. </w:t>
      </w:r>
      <w:r w:rsidR="009A4880" w:rsidRPr="005474B2">
        <w:rPr>
          <w:rFonts w:eastAsia="MS Mincho"/>
          <w:sz w:val="22"/>
          <w:szCs w:val="22"/>
          <w:lang w:val="sr-Latn-ME"/>
        </w:rPr>
        <w:t>nedjelj</w:t>
      </w:r>
      <w:r w:rsidRPr="005474B2">
        <w:rPr>
          <w:rFonts w:eastAsia="MS Mincho"/>
          <w:sz w:val="22"/>
          <w:szCs w:val="22"/>
          <w:lang w:val="sr-Latn-ME"/>
        </w:rPr>
        <w:t>e. M</w:t>
      </w:r>
      <w:r w:rsidR="00527392" w:rsidRPr="005474B2">
        <w:rPr>
          <w:rFonts w:eastAsia="MS Mincho"/>
          <w:sz w:val="22"/>
          <w:szCs w:val="22"/>
          <w:lang w:val="sr-Latn-ME"/>
        </w:rPr>
        <w:t>j</w:t>
      </w:r>
      <w:r w:rsidRPr="005474B2">
        <w:rPr>
          <w:rFonts w:eastAsia="MS Mincho"/>
          <w:sz w:val="22"/>
          <w:szCs w:val="22"/>
          <w:lang w:val="sr-Latn-ME"/>
        </w:rPr>
        <w:t xml:space="preserve">ere koprimarnih ishoda bile su </w:t>
      </w:r>
      <w:r w:rsidR="008F70AE" w:rsidRPr="005474B2">
        <w:rPr>
          <w:rFonts w:eastAsia="MS Mincho"/>
          <w:sz w:val="22"/>
          <w:szCs w:val="22"/>
          <w:lang w:val="sr-Latn-ME"/>
        </w:rPr>
        <w:t>udio</w:t>
      </w:r>
      <w:r w:rsidRPr="005474B2">
        <w:rPr>
          <w:rFonts w:eastAsia="MS Mincho"/>
          <w:sz w:val="22"/>
          <w:szCs w:val="22"/>
          <w:lang w:val="sr-Latn-ME"/>
        </w:rPr>
        <w:t xml:space="preserve"> pacijenata koji su postigli odgovor PASI 75 i odgovor IGA mod 2011 „čista“ ili „gotovo čista“ (0 ili 1) u 12. </w:t>
      </w:r>
      <w:r w:rsidR="009A4880" w:rsidRPr="005474B2">
        <w:rPr>
          <w:rFonts w:eastAsia="MS Mincho"/>
          <w:sz w:val="22"/>
          <w:szCs w:val="22"/>
          <w:lang w:val="sr-Latn-ME"/>
        </w:rPr>
        <w:t>nedjelj</w:t>
      </w:r>
      <w:r w:rsidRPr="005474B2">
        <w:rPr>
          <w:rFonts w:eastAsia="MS Mincho"/>
          <w:sz w:val="22"/>
          <w:szCs w:val="22"/>
          <w:lang w:val="sr-Latn-ME"/>
        </w:rPr>
        <w:t>i.</w:t>
      </w:r>
    </w:p>
    <w:p w14:paraId="318D123F" w14:textId="77777777" w:rsidR="00DD093D" w:rsidRPr="005474B2" w:rsidRDefault="00DD093D">
      <w:pPr>
        <w:jc w:val="both"/>
        <w:rPr>
          <w:rFonts w:eastAsia="MS Mincho"/>
          <w:sz w:val="22"/>
          <w:szCs w:val="22"/>
          <w:lang w:val="sr-Latn-ME"/>
        </w:rPr>
      </w:pPr>
    </w:p>
    <w:p w14:paraId="0C01B87B" w14:textId="03640188" w:rsidR="00DD093D" w:rsidRPr="005474B2" w:rsidRDefault="00DD093D">
      <w:pPr>
        <w:jc w:val="both"/>
        <w:rPr>
          <w:rFonts w:eastAsia="MS Mincho"/>
          <w:bCs/>
          <w:color w:val="000000"/>
          <w:sz w:val="22"/>
          <w:szCs w:val="22"/>
          <w:lang w:val="sr-Latn-ME"/>
        </w:rPr>
      </w:pPr>
      <w:r w:rsidRPr="005474B2">
        <w:rPr>
          <w:rFonts w:eastAsia="MS Mincho"/>
          <w:color w:val="000000"/>
          <w:sz w:val="22"/>
          <w:szCs w:val="22"/>
          <w:lang w:val="sr-Latn-ME"/>
        </w:rPr>
        <w:t>Tokom 12</w:t>
      </w:r>
      <w:r w:rsidRPr="005474B2">
        <w:rPr>
          <w:rFonts w:eastAsia="MS Mincho"/>
          <w:color w:val="000000"/>
          <w:sz w:val="22"/>
          <w:szCs w:val="22"/>
          <w:lang w:val="sr-Latn-ME"/>
        </w:rPr>
        <w:noBreakHyphen/>
      </w:r>
      <w:r w:rsidR="009A4880" w:rsidRPr="005474B2">
        <w:rPr>
          <w:rFonts w:eastAsia="MS Mincho"/>
          <w:color w:val="000000"/>
          <w:sz w:val="22"/>
          <w:szCs w:val="22"/>
          <w:lang w:val="sr-Latn-ME"/>
        </w:rPr>
        <w:t>nedjelj</w:t>
      </w:r>
      <w:r w:rsidRPr="005474B2">
        <w:rPr>
          <w:rFonts w:eastAsia="MS Mincho"/>
          <w:color w:val="000000"/>
          <w:sz w:val="22"/>
          <w:szCs w:val="22"/>
          <w:lang w:val="sr-Latn-ME"/>
        </w:rPr>
        <w:t>nog placebom kontrolisanog perioda, efikasnost i niske i visoke doze sekukinumaba bila je uporediva za m</w:t>
      </w:r>
      <w:r w:rsidR="008F70AE" w:rsidRPr="005474B2">
        <w:rPr>
          <w:rFonts w:eastAsia="MS Mincho"/>
          <w:color w:val="000000"/>
          <w:sz w:val="22"/>
          <w:szCs w:val="22"/>
          <w:lang w:val="sr-Latn-ME"/>
        </w:rPr>
        <w:t>j</w:t>
      </w:r>
      <w:r w:rsidRPr="005474B2">
        <w:rPr>
          <w:rFonts w:eastAsia="MS Mincho"/>
          <w:color w:val="000000"/>
          <w:sz w:val="22"/>
          <w:szCs w:val="22"/>
          <w:lang w:val="sr-Latn-ME"/>
        </w:rPr>
        <w:t xml:space="preserve">ere koprimarnih ishoda. </w:t>
      </w:r>
      <w:r w:rsidR="00A23A61" w:rsidRPr="005474B2">
        <w:rPr>
          <w:rFonts w:eastAsia="MS Mincho"/>
          <w:color w:val="000000"/>
          <w:sz w:val="22"/>
          <w:szCs w:val="22"/>
          <w:lang w:val="sr-Latn-ME"/>
        </w:rPr>
        <w:t>Procjene</w:t>
      </w:r>
      <w:r w:rsidRPr="005474B2">
        <w:rPr>
          <w:rFonts w:eastAsia="MS Mincho"/>
          <w:color w:val="000000"/>
          <w:sz w:val="22"/>
          <w:szCs w:val="22"/>
          <w:lang w:val="sr-Latn-ME"/>
        </w:rPr>
        <w:t xml:space="preserve"> odnosa izgleda u korist ob</w:t>
      </w:r>
      <w:r w:rsidR="00527392" w:rsidRPr="005474B2">
        <w:rPr>
          <w:rFonts w:eastAsia="MS Mincho"/>
          <w:color w:val="000000"/>
          <w:sz w:val="22"/>
          <w:szCs w:val="22"/>
          <w:lang w:val="sr-Latn-ME"/>
        </w:rPr>
        <w:t>j</w:t>
      </w:r>
      <w:r w:rsidRPr="005474B2">
        <w:rPr>
          <w:rFonts w:eastAsia="MS Mincho"/>
          <w:color w:val="000000"/>
          <w:sz w:val="22"/>
          <w:szCs w:val="22"/>
          <w:lang w:val="sr-Latn-ME"/>
        </w:rPr>
        <w:t xml:space="preserve">e doze sekukinumaba su bile statistički značajne i za odgovor </w:t>
      </w:r>
      <w:r w:rsidRPr="005474B2">
        <w:rPr>
          <w:rFonts w:eastAsia="MS Mincho"/>
          <w:bCs/>
          <w:color w:val="000000"/>
          <w:sz w:val="22"/>
          <w:szCs w:val="22"/>
          <w:lang w:val="sr-Latn-ME"/>
        </w:rPr>
        <w:t>PASI 75 i za odgovor IGA mod 2011 0 ili 1.</w:t>
      </w:r>
    </w:p>
    <w:p w14:paraId="390F0600" w14:textId="77777777" w:rsidR="00DD093D" w:rsidRPr="005474B2" w:rsidRDefault="00DD093D">
      <w:pPr>
        <w:jc w:val="both"/>
        <w:rPr>
          <w:rFonts w:eastAsia="MS Mincho"/>
          <w:sz w:val="22"/>
          <w:szCs w:val="22"/>
          <w:lang w:val="sr-Latn-ME"/>
        </w:rPr>
      </w:pPr>
    </w:p>
    <w:p w14:paraId="1065F423" w14:textId="2E8D4680" w:rsidR="00DD093D" w:rsidRPr="005474B2" w:rsidRDefault="00DD093D">
      <w:pPr>
        <w:jc w:val="both"/>
        <w:rPr>
          <w:rFonts w:eastAsia="MS Mincho"/>
          <w:sz w:val="22"/>
          <w:szCs w:val="22"/>
          <w:lang w:val="sr-Latn-ME"/>
        </w:rPr>
      </w:pPr>
      <w:r w:rsidRPr="005474B2">
        <w:rPr>
          <w:rFonts w:eastAsia="MS Mincho"/>
          <w:bCs/>
          <w:sz w:val="22"/>
          <w:szCs w:val="22"/>
          <w:lang w:val="sr-Latn-ME"/>
        </w:rPr>
        <w:t xml:space="preserve">Svi pacijenti su bili praćeni u cilju utvrđivanja efikasnosti i </w:t>
      </w:r>
      <w:r w:rsidR="009A4880" w:rsidRPr="005474B2">
        <w:rPr>
          <w:rFonts w:eastAsia="MS Mincho"/>
          <w:bCs/>
          <w:sz w:val="22"/>
          <w:szCs w:val="22"/>
          <w:lang w:val="sr-Latn-ME"/>
        </w:rPr>
        <w:t>bezbjednost</w:t>
      </w:r>
      <w:r w:rsidRPr="005474B2">
        <w:rPr>
          <w:rFonts w:eastAsia="MS Mincho"/>
          <w:bCs/>
          <w:sz w:val="22"/>
          <w:szCs w:val="22"/>
          <w:lang w:val="sr-Latn-ME"/>
        </w:rPr>
        <w:t>i tokom 52 </w:t>
      </w:r>
      <w:r w:rsidR="009A4880" w:rsidRPr="005474B2">
        <w:rPr>
          <w:rFonts w:eastAsia="MS Mincho"/>
          <w:bCs/>
          <w:sz w:val="22"/>
          <w:szCs w:val="22"/>
          <w:lang w:val="sr-Latn-ME"/>
        </w:rPr>
        <w:t>nedjelj</w:t>
      </w:r>
      <w:r w:rsidRPr="005474B2">
        <w:rPr>
          <w:rFonts w:eastAsia="MS Mincho"/>
          <w:bCs/>
          <w:sz w:val="22"/>
          <w:szCs w:val="22"/>
          <w:lang w:val="sr-Latn-ME"/>
        </w:rPr>
        <w:t xml:space="preserve">e nakon prve doze. </w:t>
      </w:r>
      <w:r w:rsidR="008F70AE" w:rsidRPr="005474B2">
        <w:rPr>
          <w:rFonts w:eastAsia="MS Mincho"/>
          <w:bCs/>
          <w:sz w:val="22"/>
          <w:szCs w:val="22"/>
          <w:lang w:val="sr-Latn-ME"/>
        </w:rPr>
        <w:t>Udio</w:t>
      </w:r>
      <w:r w:rsidRPr="005474B2">
        <w:rPr>
          <w:rFonts w:eastAsia="MS Mincho"/>
          <w:bCs/>
          <w:sz w:val="22"/>
          <w:szCs w:val="22"/>
          <w:lang w:val="sr-Latn-ME"/>
        </w:rPr>
        <w:t xml:space="preserve"> pacijenata koji su postigli odgovore P</w:t>
      </w:r>
      <w:r w:rsidRPr="005474B2">
        <w:rPr>
          <w:rFonts w:eastAsia="MS Mincho"/>
          <w:sz w:val="22"/>
          <w:szCs w:val="22"/>
          <w:lang w:val="sr-Latn-ME"/>
        </w:rPr>
        <w:t>ASI 75 i IGA mod 2011 „čista“ ili „gotovo čista“ (0 ili 1) pokazao je razdvajanje između terapijskih grupa sa sekukinumabom i placebom u prvoj pos</w:t>
      </w:r>
      <w:r w:rsidR="00AE14A3" w:rsidRPr="005474B2">
        <w:rPr>
          <w:rFonts w:eastAsia="MS Mincho"/>
          <w:sz w:val="22"/>
          <w:szCs w:val="22"/>
          <w:lang w:val="sr-Latn-ME"/>
        </w:rPr>
        <w:t>j</w:t>
      </w:r>
      <w:r w:rsidRPr="005474B2">
        <w:rPr>
          <w:rFonts w:eastAsia="MS Mincho"/>
          <w:sz w:val="22"/>
          <w:szCs w:val="22"/>
          <w:lang w:val="sr-Latn-ME"/>
        </w:rPr>
        <w:t>eti nakon početne, u 4. </w:t>
      </w:r>
      <w:r w:rsidR="009A4880" w:rsidRPr="005474B2">
        <w:rPr>
          <w:rFonts w:eastAsia="MS Mincho"/>
          <w:sz w:val="22"/>
          <w:szCs w:val="22"/>
          <w:lang w:val="sr-Latn-ME"/>
        </w:rPr>
        <w:t>nedjelj</w:t>
      </w:r>
      <w:r w:rsidRPr="005474B2">
        <w:rPr>
          <w:rFonts w:eastAsia="MS Mincho"/>
          <w:sz w:val="22"/>
          <w:szCs w:val="22"/>
          <w:lang w:val="sr-Latn-ME"/>
        </w:rPr>
        <w:t>i, a ta razlika je postala istaknutija u 12. </w:t>
      </w:r>
      <w:r w:rsidR="009A4880" w:rsidRPr="005474B2">
        <w:rPr>
          <w:rFonts w:eastAsia="MS Mincho"/>
          <w:sz w:val="22"/>
          <w:szCs w:val="22"/>
          <w:lang w:val="sr-Latn-ME"/>
        </w:rPr>
        <w:t>nedjelj</w:t>
      </w:r>
      <w:r w:rsidRPr="005474B2">
        <w:rPr>
          <w:rFonts w:eastAsia="MS Mincho"/>
          <w:sz w:val="22"/>
          <w:szCs w:val="22"/>
          <w:lang w:val="sr-Latn-ME"/>
        </w:rPr>
        <w:t>i. Odgovor je održan tokom c</w:t>
      </w:r>
      <w:r w:rsidR="000538E6" w:rsidRPr="005474B2">
        <w:rPr>
          <w:rFonts w:eastAsia="MS Mincho"/>
          <w:sz w:val="22"/>
          <w:szCs w:val="22"/>
          <w:lang w:val="sr-Latn-ME"/>
        </w:rPr>
        <w:t>ij</w:t>
      </w:r>
      <w:r w:rsidRPr="005474B2">
        <w:rPr>
          <w:rFonts w:eastAsia="MS Mincho"/>
          <w:sz w:val="22"/>
          <w:szCs w:val="22"/>
          <w:lang w:val="sr-Latn-ME"/>
        </w:rPr>
        <w:t>elog 52</w:t>
      </w:r>
      <w:r w:rsidRPr="005474B2">
        <w:rPr>
          <w:rFonts w:eastAsia="MS Mincho"/>
          <w:sz w:val="22"/>
          <w:szCs w:val="22"/>
          <w:lang w:val="sr-Latn-ME"/>
        </w:rPr>
        <w:noBreakHyphen/>
      </w:r>
      <w:r w:rsidR="009A4880" w:rsidRPr="005474B2">
        <w:rPr>
          <w:rFonts w:eastAsia="MS Mincho"/>
          <w:sz w:val="22"/>
          <w:szCs w:val="22"/>
          <w:lang w:val="sr-Latn-ME"/>
        </w:rPr>
        <w:t>nedjelj</w:t>
      </w:r>
      <w:r w:rsidRPr="005474B2">
        <w:rPr>
          <w:rFonts w:eastAsia="MS Mincho"/>
          <w:sz w:val="22"/>
          <w:szCs w:val="22"/>
          <w:lang w:val="sr-Latn-ME"/>
        </w:rPr>
        <w:t>nog perioda (</w:t>
      </w:r>
      <w:r w:rsidR="009A4880" w:rsidRPr="005474B2">
        <w:rPr>
          <w:rFonts w:eastAsia="MS Mincho"/>
          <w:sz w:val="22"/>
          <w:szCs w:val="22"/>
          <w:lang w:val="sr-Latn-ME"/>
        </w:rPr>
        <w:t>vidjet</w:t>
      </w:r>
      <w:r w:rsidRPr="005474B2">
        <w:rPr>
          <w:rFonts w:eastAsia="MS Mincho"/>
          <w:sz w:val="22"/>
          <w:szCs w:val="22"/>
          <w:lang w:val="sr-Latn-ME"/>
        </w:rPr>
        <w:t>i Tabelu </w:t>
      </w:r>
      <w:r w:rsidR="000662D8">
        <w:rPr>
          <w:rFonts w:eastAsia="MS Mincho"/>
          <w:sz w:val="22"/>
          <w:szCs w:val="22"/>
          <w:lang w:val="sr-Latn-ME"/>
        </w:rPr>
        <w:t>15</w:t>
      </w:r>
      <w:r w:rsidRPr="005474B2">
        <w:rPr>
          <w:rFonts w:eastAsia="MS Mincho"/>
          <w:sz w:val="22"/>
          <w:szCs w:val="22"/>
          <w:lang w:val="sr-Latn-ME"/>
        </w:rPr>
        <w:t xml:space="preserve">). Poboljšanje stopa odgovora PASI 50, 90, 100 i rezultati indeksa dermatološkog kvaliteta života </w:t>
      </w:r>
      <w:r w:rsidR="008F70AE" w:rsidRPr="005474B2">
        <w:rPr>
          <w:rFonts w:eastAsia="MS Mincho"/>
          <w:sz w:val="22"/>
          <w:szCs w:val="22"/>
          <w:lang w:val="sr-Latn-ME"/>
        </w:rPr>
        <w:t>djece</w:t>
      </w:r>
      <w:r w:rsidRPr="005474B2">
        <w:rPr>
          <w:rFonts w:eastAsia="MS Mincho"/>
          <w:sz w:val="22"/>
          <w:szCs w:val="22"/>
          <w:lang w:val="sr-Latn-ME"/>
        </w:rPr>
        <w:t xml:space="preserve"> (engl. </w:t>
      </w:r>
      <w:r w:rsidRPr="005474B2">
        <w:rPr>
          <w:rFonts w:eastAsia="MS Mincho"/>
          <w:i/>
          <w:sz w:val="22"/>
          <w:szCs w:val="22"/>
          <w:lang w:val="sr-Latn-ME"/>
        </w:rPr>
        <w:t>Children’s Dermatology Life Quality Index</w:t>
      </w:r>
      <w:r w:rsidRPr="005474B2">
        <w:rPr>
          <w:rFonts w:eastAsia="MS Mincho"/>
          <w:sz w:val="22"/>
          <w:szCs w:val="22"/>
          <w:lang w:val="sr-Latn-ME"/>
        </w:rPr>
        <w:t>, CDLQI) 0 ili 1 takođe su se održali tokom 52</w:t>
      </w:r>
      <w:r w:rsidRPr="005474B2">
        <w:rPr>
          <w:rFonts w:eastAsia="MS Mincho"/>
          <w:sz w:val="22"/>
          <w:szCs w:val="22"/>
          <w:lang w:val="sr-Latn-ME"/>
        </w:rPr>
        <w:noBreakHyphen/>
      </w:r>
      <w:r w:rsidR="009A4880" w:rsidRPr="005474B2">
        <w:rPr>
          <w:rFonts w:eastAsia="MS Mincho"/>
          <w:sz w:val="22"/>
          <w:szCs w:val="22"/>
          <w:lang w:val="sr-Latn-ME"/>
        </w:rPr>
        <w:t>nedjelj</w:t>
      </w:r>
      <w:r w:rsidRPr="005474B2">
        <w:rPr>
          <w:rFonts w:eastAsia="MS Mincho"/>
          <w:sz w:val="22"/>
          <w:szCs w:val="22"/>
          <w:lang w:val="sr-Latn-ME"/>
        </w:rPr>
        <w:t>nog perioda.</w:t>
      </w:r>
    </w:p>
    <w:p w14:paraId="325396CB" w14:textId="77777777" w:rsidR="00DD093D" w:rsidRPr="005474B2" w:rsidRDefault="00DD093D">
      <w:pPr>
        <w:jc w:val="both"/>
        <w:rPr>
          <w:rFonts w:eastAsia="MS Mincho"/>
          <w:color w:val="000000"/>
          <w:sz w:val="22"/>
          <w:szCs w:val="22"/>
          <w:lang w:val="sr-Latn-ME"/>
        </w:rPr>
      </w:pPr>
    </w:p>
    <w:p w14:paraId="4BCCA670" w14:textId="46E0834F" w:rsidR="00DD093D" w:rsidRPr="005474B2" w:rsidRDefault="00DD093D">
      <w:pPr>
        <w:jc w:val="both"/>
        <w:rPr>
          <w:rFonts w:eastAsia="MS Mincho"/>
          <w:color w:val="000000"/>
          <w:sz w:val="22"/>
          <w:szCs w:val="22"/>
          <w:lang w:val="sr-Latn-ME"/>
        </w:rPr>
      </w:pPr>
      <w:r w:rsidRPr="005474B2">
        <w:rPr>
          <w:rFonts w:eastAsia="MS Mincho"/>
          <w:color w:val="000000"/>
          <w:sz w:val="22"/>
          <w:szCs w:val="22"/>
          <w:lang w:val="sr-Latn-ME"/>
        </w:rPr>
        <w:t>Uz to, stope odgovora PASI 75, IGA 0 ili 1, PASI 90 u 12. i 52. </w:t>
      </w:r>
      <w:r w:rsidR="009A4880" w:rsidRPr="005474B2">
        <w:rPr>
          <w:rFonts w:eastAsia="MS Mincho"/>
          <w:color w:val="000000"/>
          <w:sz w:val="22"/>
          <w:szCs w:val="22"/>
          <w:lang w:val="sr-Latn-ME"/>
        </w:rPr>
        <w:t>nedjelj</w:t>
      </w:r>
      <w:r w:rsidRPr="005474B2">
        <w:rPr>
          <w:rFonts w:eastAsia="MS Mincho"/>
          <w:color w:val="000000"/>
          <w:sz w:val="22"/>
          <w:szCs w:val="22"/>
          <w:lang w:val="sr-Latn-ME"/>
        </w:rPr>
        <w:t>i za ob</w:t>
      </w:r>
      <w:r w:rsidR="000538E6" w:rsidRPr="005474B2">
        <w:rPr>
          <w:rFonts w:eastAsia="MS Mincho"/>
          <w:color w:val="000000"/>
          <w:sz w:val="22"/>
          <w:szCs w:val="22"/>
          <w:lang w:val="sr-Latn-ME"/>
        </w:rPr>
        <w:t>j</w:t>
      </w:r>
      <w:r w:rsidRPr="005474B2">
        <w:rPr>
          <w:rFonts w:eastAsia="MS Mincho"/>
          <w:color w:val="000000"/>
          <w:sz w:val="22"/>
          <w:szCs w:val="22"/>
          <w:lang w:val="sr-Latn-ME"/>
        </w:rPr>
        <w:t xml:space="preserve">e grupe sa sekukinumabom, u niskoj i visokoj dozi, bile su više od stopa za pacijente </w:t>
      </w:r>
      <w:r w:rsidR="009A4880" w:rsidRPr="005474B2">
        <w:rPr>
          <w:rFonts w:eastAsia="MS Mincho"/>
          <w:color w:val="000000"/>
          <w:sz w:val="22"/>
          <w:szCs w:val="22"/>
          <w:lang w:val="sr-Latn-ME"/>
        </w:rPr>
        <w:t>liječ</w:t>
      </w:r>
      <w:r w:rsidRPr="005474B2">
        <w:rPr>
          <w:rFonts w:eastAsia="MS Mincho"/>
          <w:color w:val="000000"/>
          <w:sz w:val="22"/>
          <w:szCs w:val="22"/>
          <w:lang w:val="sr-Latn-ME"/>
        </w:rPr>
        <w:t>ene etanerceptom (</w:t>
      </w:r>
      <w:r w:rsidR="009A4880" w:rsidRPr="005474B2">
        <w:rPr>
          <w:rFonts w:eastAsia="MS Mincho"/>
          <w:color w:val="000000"/>
          <w:sz w:val="22"/>
          <w:szCs w:val="22"/>
          <w:lang w:val="sr-Latn-ME"/>
        </w:rPr>
        <w:t>vidjet</w:t>
      </w:r>
      <w:r w:rsidRPr="005474B2">
        <w:rPr>
          <w:rFonts w:eastAsia="MS Mincho"/>
          <w:color w:val="000000"/>
          <w:sz w:val="22"/>
          <w:szCs w:val="22"/>
          <w:lang w:val="sr-Latn-ME"/>
        </w:rPr>
        <w:t>i Tabelu </w:t>
      </w:r>
      <w:r w:rsidR="006911D2" w:rsidRPr="005474B2">
        <w:rPr>
          <w:rFonts w:eastAsia="MS Mincho"/>
          <w:color w:val="000000"/>
          <w:sz w:val="22"/>
          <w:szCs w:val="22"/>
          <w:lang w:val="sr-Latn-ME"/>
        </w:rPr>
        <w:t>15</w:t>
      </w:r>
      <w:r w:rsidRPr="005474B2">
        <w:rPr>
          <w:rFonts w:eastAsia="MS Mincho"/>
          <w:color w:val="000000"/>
          <w:sz w:val="22"/>
          <w:szCs w:val="22"/>
          <w:lang w:val="sr-Latn-ME"/>
        </w:rPr>
        <w:t>).</w:t>
      </w:r>
    </w:p>
    <w:p w14:paraId="0519F57A" w14:textId="77777777" w:rsidR="00DD093D" w:rsidRPr="005474B2" w:rsidRDefault="00DD093D">
      <w:pPr>
        <w:jc w:val="both"/>
        <w:rPr>
          <w:rFonts w:eastAsia="MS Mincho"/>
          <w:color w:val="000000"/>
          <w:sz w:val="22"/>
          <w:szCs w:val="22"/>
          <w:lang w:val="sr-Latn-ME"/>
        </w:rPr>
      </w:pPr>
    </w:p>
    <w:p w14:paraId="4FEAF42E" w14:textId="3D4576D4" w:rsidR="00DD093D" w:rsidRPr="005474B2" w:rsidRDefault="00DD093D">
      <w:pPr>
        <w:tabs>
          <w:tab w:val="left" w:pos="284"/>
        </w:tabs>
        <w:jc w:val="both"/>
        <w:rPr>
          <w:rFonts w:eastAsia="MS Mincho"/>
          <w:color w:val="000000"/>
          <w:sz w:val="22"/>
          <w:szCs w:val="22"/>
          <w:lang w:val="sr-Latn-ME"/>
        </w:rPr>
      </w:pPr>
      <w:r w:rsidRPr="005474B2">
        <w:rPr>
          <w:bCs/>
          <w:color w:val="000000"/>
          <w:sz w:val="22"/>
          <w:szCs w:val="22"/>
          <w:lang w:val="sr-Latn-ME"/>
        </w:rPr>
        <w:t>Nakon 12. </w:t>
      </w:r>
      <w:r w:rsidR="009A4880" w:rsidRPr="005474B2">
        <w:rPr>
          <w:bCs/>
          <w:color w:val="000000"/>
          <w:sz w:val="22"/>
          <w:szCs w:val="22"/>
          <w:lang w:val="sr-Latn-ME"/>
        </w:rPr>
        <w:t>nedjelj</w:t>
      </w:r>
      <w:r w:rsidRPr="005474B2">
        <w:rPr>
          <w:bCs/>
          <w:color w:val="000000"/>
          <w:sz w:val="22"/>
          <w:szCs w:val="22"/>
          <w:lang w:val="sr-Latn-ME"/>
        </w:rPr>
        <w:t>e</w:t>
      </w:r>
      <w:r w:rsidR="00AE14A3" w:rsidRPr="005474B2">
        <w:rPr>
          <w:bCs/>
          <w:color w:val="000000"/>
          <w:sz w:val="22"/>
          <w:szCs w:val="22"/>
          <w:lang w:val="sr-Latn-ME"/>
        </w:rPr>
        <w:t>,</w:t>
      </w:r>
      <w:r w:rsidRPr="005474B2">
        <w:rPr>
          <w:bCs/>
          <w:color w:val="000000"/>
          <w:sz w:val="22"/>
          <w:szCs w:val="22"/>
          <w:lang w:val="sr-Latn-ME"/>
        </w:rPr>
        <w:t xml:space="preserve"> efikasnost i niske i visoke doze sekukinumaba je bila uporediva</w:t>
      </w:r>
      <w:r w:rsidR="00AE14A3" w:rsidRPr="005474B2">
        <w:rPr>
          <w:bCs/>
          <w:color w:val="000000"/>
          <w:sz w:val="22"/>
          <w:szCs w:val="22"/>
          <w:lang w:val="sr-Latn-ME"/>
        </w:rPr>
        <w:t>,</w:t>
      </w:r>
      <w:r w:rsidRPr="005474B2">
        <w:rPr>
          <w:bCs/>
          <w:color w:val="000000"/>
          <w:sz w:val="22"/>
          <w:szCs w:val="22"/>
          <w:lang w:val="sr-Latn-ME"/>
        </w:rPr>
        <w:t xml:space="preserve"> iako je efikasnost visoke doze bila viša za pacijente</w:t>
      </w:r>
      <w:r w:rsidRPr="005474B2">
        <w:rPr>
          <w:color w:val="000000"/>
          <w:sz w:val="22"/>
          <w:szCs w:val="22"/>
          <w:lang w:val="sr-Latn-ME"/>
        </w:rPr>
        <w:t xml:space="preserve"> ≥50 kg. Bezb</w:t>
      </w:r>
      <w:r w:rsidR="008F70AE" w:rsidRPr="005474B2">
        <w:rPr>
          <w:color w:val="000000"/>
          <w:sz w:val="22"/>
          <w:szCs w:val="22"/>
          <w:lang w:val="sr-Latn-ME"/>
        </w:rPr>
        <w:t>j</w:t>
      </w:r>
      <w:r w:rsidRPr="005474B2">
        <w:rPr>
          <w:color w:val="000000"/>
          <w:sz w:val="22"/>
          <w:szCs w:val="22"/>
          <w:lang w:val="sr-Latn-ME"/>
        </w:rPr>
        <w:t xml:space="preserve">ednosni profili niske doze i visoke doze su bili uporedivi i u skladu sa </w:t>
      </w:r>
      <w:r w:rsidR="008F70AE" w:rsidRPr="005474B2">
        <w:rPr>
          <w:color w:val="000000"/>
          <w:sz w:val="22"/>
          <w:szCs w:val="22"/>
          <w:lang w:val="sr-Latn-ME"/>
        </w:rPr>
        <w:t>bezbjednosni</w:t>
      </w:r>
      <w:r w:rsidRPr="005474B2">
        <w:rPr>
          <w:color w:val="000000"/>
          <w:sz w:val="22"/>
          <w:szCs w:val="22"/>
          <w:lang w:val="sr-Latn-ME"/>
        </w:rPr>
        <w:t>m profilom kod odraslih.</w:t>
      </w:r>
    </w:p>
    <w:p w14:paraId="03A65EA8" w14:textId="77777777" w:rsidR="00DD093D" w:rsidRPr="005474B2" w:rsidRDefault="00DD093D">
      <w:pPr>
        <w:tabs>
          <w:tab w:val="left" w:pos="284"/>
        </w:tabs>
        <w:jc w:val="both"/>
        <w:rPr>
          <w:sz w:val="22"/>
          <w:szCs w:val="22"/>
          <w:lang w:val="sr-Latn-ME"/>
        </w:rPr>
      </w:pPr>
    </w:p>
    <w:p w14:paraId="208A139F" w14:textId="40A79145" w:rsidR="00DD093D" w:rsidRPr="005474B2" w:rsidRDefault="00DD093D">
      <w:pPr>
        <w:tabs>
          <w:tab w:val="left" w:pos="540"/>
          <w:tab w:val="left" w:pos="569"/>
        </w:tabs>
        <w:jc w:val="both"/>
        <w:rPr>
          <w:b/>
          <w:sz w:val="22"/>
          <w:szCs w:val="22"/>
          <w:lang w:val="sr-Latn-ME"/>
        </w:rPr>
      </w:pPr>
      <w:r w:rsidRPr="005474B2">
        <w:rPr>
          <w:b/>
          <w:sz w:val="22"/>
          <w:szCs w:val="22"/>
          <w:lang w:val="sr-Latn-ME"/>
        </w:rPr>
        <w:t>Tabela </w:t>
      </w:r>
      <w:r w:rsidR="006911D2" w:rsidRPr="005474B2">
        <w:rPr>
          <w:b/>
          <w:sz w:val="22"/>
          <w:szCs w:val="22"/>
          <w:lang w:val="sr-Latn-ME"/>
        </w:rPr>
        <w:t>15</w:t>
      </w:r>
      <w:r w:rsidRPr="005474B2">
        <w:rPr>
          <w:b/>
          <w:sz w:val="22"/>
          <w:szCs w:val="22"/>
          <w:lang w:val="sr-Latn-ME"/>
        </w:rPr>
        <w:tab/>
        <w:t>Sažetak kliničkog odgovora kod teške pedijatrijske psorijaze u 12. i 52. </w:t>
      </w:r>
      <w:r w:rsidR="009A4880" w:rsidRPr="005474B2">
        <w:rPr>
          <w:b/>
          <w:sz w:val="22"/>
          <w:szCs w:val="22"/>
          <w:lang w:val="sr-Latn-ME"/>
        </w:rPr>
        <w:t>nedjelj</w:t>
      </w:r>
      <w:r w:rsidRPr="005474B2">
        <w:rPr>
          <w:b/>
          <w:sz w:val="22"/>
          <w:szCs w:val="22"/>
          <w:lang w:val="sr-Latn-ME"/>
        </w:rPr>
        <w:t>i (</w:t>
      </w:r>
      <w:r w:rsidR="004429DA" w:rsidRPr="005474B2">
        <w:rPr>
          <w:b/>
          <w:sz w:val="22"/>
          <w:szCs w:val="22"/>
          <w:lang w:val="sr-Latn-ME"/>
        </w:rPr>
        <w:t xml:space="preserve">studija </w:t>
      </w:r>
      <w:r w:rsidRPr="005474B2">
        <w:rPr>
          <w:b/>
          <w:sz w:val="22"/>
          <w:szCs w:val="22"/>
          <w:lang w:val="sr-Latn-ME"/>
        </w:rPr>
        <w:t xml:space="preserve">1 </w:t>
      </w:r>
      <w:r w:rsidR="004429DA" w:rsidRPr="005474B2">
        <w:rPr>
          <w:b/>
          <w:sz w:val="22"/>
          <w:szCs w:val="22"/>
          <w:lang w:val="sr-Latn-ME"/>
        </w:rPr>
        <w:t xml:space="preserve">sprovedena </w:t>
      </w:r>
      <w:r w:rsidRPr="005474B2">
        <w:rPr>
          <w:b/>
          <w:sz w:val="22"/>
          <w:szCs w:val="22"/>
          <w:lang w:val="sr-Latn-ME"/>
        </w:rPr>
        <w:t>kod d</w:t>
      </w:r>
      <w:r w:rsidR="008F70AE" w:rsidRPr="005474B2">
        <w:rPr>
          <w:b/>
          <w:sz w:val="22"/>
          <w:szCs w:val="22"/>
          <w:lang w:val="sr-Latn-ME"/>
        </w:rPr>
        <w:t>j</w:t>
      </w:r>
      <w:r w:rsidRPr="005474B2">
        <w:rPr>
          <w:b/>
          <w:sz w:val="22"/>
          <w:szCs w:val="22"/>
          <w:lang w:val="sr-Latn-ME"/>
        </w:rPr>
        <w:t>ece</w:t>
      </w:r>
      <w:r w:rsidR="004429DA" w:rsidRPr="005474B2">
        <w:rPr>
          <w:b/>
          <w:sz w:val="22"/>
          <w:szCs w:val="22"/>
          <w:lang w:val="sr-Latn-ME"/>
        </w:rPr>
        <w:t xml:space="preserve"> sa psorijazom</w:t>
      </w:r>
      <w:r w:rsidRPr="005474B2">
        <w:rPr>
          <w:b/>
          <w:sz w:val="22"/>
          <w:szCs w:val="22"/>
          <w:lang w:val="sr-Latn-ME"/>
        </w:rPr>
        <w:t>)*</w:t>
      </w:r>
    </w:p>
    <w:p w14:paraId="7831CE19" w14:textId="77777777" w:rsidR="008A027D" w:rsidRPr="005474B2" w:rsidRDefault="008A027D">
      <w:pPr>
        <w:tabs>
          <w:tab w:val="left" w:pos="540"/>
          <w:tab w:val="left" w:pos="569"/>
        </w:tabs>
        <w:jc w:val="both"/>
        <w:rPr>
          <w:b/>
          <w:sz w:val="22"/>
          <w:szCs w:val="22"/>
          <w:lang w:val="sr-Latn-ME"/>
        </w:rPr>
      </w:pPr>
    </w:p>
    <w:tbl>
      <w:tblPr>
        <w:tblW w:w="5224" w:type="pct"/>
        <w:tblCellMar>
          <w:left w:w="0" w:type="dxa"/>
          <w:right w:w="0" w:type="dxa"/>
        </w:tblCellMar>
        <w:tblLook w:val="0000" w:firstRow="0" w:lastRow="0" w:firstColumn="0" w:lastColumn="0" w:noHBand="0" w:noVBand="0"/>
      </w:tblPr>
      <w:tblGrid>
        <w:gridCol w:w="1049"/>
        <w:gridCol w:w="3054"/>
        <w:gridCol w:w="1102"/>
        <w:gridCol w:w="1244"/>
        <w:gridCol w:w="1956"/>
        <w:gridCol w:w="1077"/>
      </w:tblGrid>
      <w:tr w:rsidR="00DD093D" w:rsidRPr="0009637B" w14:paraId="7FFC209D" w14:textId="77777777" w:rsidTr="00DD093D">
        <w:trPr>
          <w:cantSplit/>
        </w:trPr>
        <w:tc>
          <w:tcPr>
            <w:tcW w:w="475"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C1F8444"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lastRenderedPageBreak/>
              <w:t>Kriterijum odgovora</w:t>
            </w:r>
          </w:p>
        </w:tc>
        <w:tc>
          <w:tcPr>
            <w:tcW w:w="1626" w:type="pct"/>
            <w:tcBorders>
              <w:top w:val="single" w:sz="4" w:space="0" w:color="auto"/>
              <w:left w:val="single" w:sz="4" w:space="0" w:color="auto"/>
              <w:bottom w:val="nil"/>
              <w:right w:val="single" w:sz="4" w:space="0" w:color="auto"/>
            </w:tcBorders>
            <w:shd w:val="clear" w:color="auto" w:fill="FFFFFF"/>
            <w:vAlign w:val="bottom"/>
          </w:tcPr>
          <w:p w14:paraId="102205D0"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 xml:space="preserve">Poređenje  </w:t>
            </w:r>
            <w:r w:rsidR="009A4880" w:rsidRPr="005474B2">
              <w:rPr>
                <w:rFonts w:eastAsia="MS Mincho"/>
                <w:b/>
                <w:sz w:val="22"/>
                <w:szCs w:val="22"/>
                <w:lang w:val="sr-Latn-ME"/>
              </w:rPr>
              <w:t>liječ</w:t>
            </w:r>
            <w:r w:rsidRPr="005474B2">
              <w:rPr>
                <w:rFonts w:eastAsia="MS Mincho"/>
                <w:b/>
                <w:sz w:val="22"/>
                <w:szCs w:val="22"/>
                <w:lang w:val="sr-Latn-ME"/>
              </w:rPr>
              <w:t>enja</w:t>
            </w:r>
          </w:p>
        </w:tc>
        <w:tc>
          <w:tcPr>
            <w:tcW w:w="597" w:type="pct"/>
            <w:tcBorders>
              <w:top w:val="single" w:sz="4" w:space="0" w:color="auto"/>
              <w:left w:val="single" w:sz="4" w:space="0" w:color="auto"/>
              <w:bottom w:val="nil"/>
              <w:right w:val="single" w:sz="4" w:space="0" w:color="auto"/>
            </w:tcBorders>
            <w:shd w:val="clear" w:color="auto" w:fill="FFFFFF"/>
            <w:vAlign w:val="bottom"/>
          </w:tcPr>
          <w:p w14:paraId="0445BFA1"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'ispitivana'</w:t>
            </w:r>
          </w:p>
        </w:tc>
        <w:tc>
          <w:tcPr>
            <w:tcW w:w="672" w:type="pct"/>
            <w:tcBorders>
              <w:top w:val="single" w:sz="4" w:space="0" w:color="auto"/>
              <w:left w:val="single" w:sz="4" w:space="0" w:color="auto"/>
              <w:bottom w:val="nil"/>
              <w:right w:val="single" w:sz="4" w:space="0" w:color="auto"/>
            </w:tcBorders>
            <w:shd w:val="clear" w:color="auto" w:fill="FFFFFF"/>
            <w:vAlign w:val="bottom"/>
          </w:tcPr>
          <w:p w14:paraId="02D52669"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'kontrolna'</w:t>
            </w:r>
          </w:p>
        </w:tc>
        <w:tc>
          <w:tcPr>
            <w:tcW w:w="1047" w:type="pct"/>
            <w:tcBorders>
              <w:top w:val="single" w:sz="4" w:space="0" w:color="auto"/>
              <w:left w:val="single" w:sz="4" w:space="0" w:color="auto"/>
              <w:bottom w:val="nil"/>
              <w:right w:val="single" w:sz="4" w:space="0" w:color="auto"/>
            </w:tcBorders>
            <w:shd w:val="clear" w:color="auto" w:fill="FFFFFF"/>
            <w:vAlign w:val="bottom"/>
          </w:tcPr>
          <w:p w14:paraId="462F2FFC"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proc</w:t>
            </w:r>
            <w:r w:rsidR="008F70AE" w:rsidRPr="005474B2">
              <w:rPr>
                <w:rFonts w:eastAsia="MS Mincho"/>
                <w:b/>
                <w:sz w:val="22"/>
                <w:szCs w:val="22"/>
                <w:lang w:val="sr-Latn-ME"/>
              </w:rPr>
              <w:t>j</w:t>
            </w:r>
            <w:r w:rsidRPr="005474B2">
              <w:rPr>
                <w:rFonts w:eastAsia="MS Mincho"/>
                <w:b/>
                <w:sz w:val="22"/>
                <w:szCs w:val="22"/>
                <w:lang w:val="sr-Latn-ME"/>
              </w:rPr>
              <w:t>ena odnosa</w:t>
            </w:r>
          </w:p>
        </w:tc>
        <w:tc>
          <w:tcPr>
            <w:tcW w:w="583" w:type="pct"/>
            <w:tcBorders>
              <w:top w:val="single" w:sz="4" w:space="0" w:color="auto"/>
              <w:left w:val="single" w:sz="4" w:space="0" w:color="auto"/>
              <w:bottom w:val="nil"/>
              <w:right w:val="single" w:sz="4" w:space="0" w:color="auto"/>
            </w:tcBorders>
            <w:shd w:val="clear" w:color="auto" w:fill="FFFFFF"/>
            <w:vAlign w:val="bottom"/>
          </w:tcPr>
          <w:p w14:paraId="1B50A5FA" w14:textId="77777777" w:rsidR="00DD093D" w:rsidRPr="005474B2" w:rsidRDefault="00DD093D">
            <w:pPr>
              <w:keepNext/>
              <w:widowControl w:val="0"/>
              <w:tabs>
                <w:tab w:val="left" w:pos="284"/>
              </w:tabs>
              <w:jc w:val="both"/>
              <w:rPr>
                <w:b/>
                <w:sz w:val="22"/>
                <w:szCs w:val="22"/>
                <w:lang w:val="sr-Latn-ME"/>
              </w:rPr>
            </w:pPr>
          </w:p>
        </w:tc>
      </w:tr>
      <w:tr w:rsidR="00DD093D" w:rsidRPr="0009637B" w14:paraId="11CA22B4" w14:textId="77777777" w:rsidTr="00DD093D">
        <w:trPr>
          <w:cantSplit/>
        </w:trPr>
        <w:tc>
          <w:tcPr>
            <w:tcW w:w="475" w:type="pct"/>
            <w:vMerge/>
            <w:tcBorders>
              <w:left w:val="single" w:sz="4" w:space="0" w:color="auto"/>
              <w:bottom w:val="single" w:sz="4" w:space="0" w:color="auto"/>
              <w:right w:val="single" w:sz="4" w:space="0" w:color="auto"/>
            </w:tcBorders>
            <w:vAlign w:val="bottom"/>
          </w:tcPr>
          <w:p w14:paraId="067C1B1A" w14:textId="77777777" w:rsidR="00DD093D" w:rsidRPr="005474B2" w:rsidRDefault="00DD093D">
            <w:pPr>
              <w:keepNext/>
              <w:widowControl w:val="0"/>
              <w:jc w:val="both"/>
              <w:rPr>
                <w:rFonts w:eastAsia="MS Mincho"/>
                <w:b/>
                <w:sz w:val="22"/>
                <w:szCs w:val="22"/>
                <w:lang w:val="sr-Latn-ME"/>
              </w:rPr>
            </w:pPr>
          </w:p>
        </w:tc>
        <w:tc>
          <w:tcPr>
            <w:tcW w:w="1626" w:type="pct"/>
            <w:tcBorders>
              <w:top w:val="single" w:sz="7" w:space="0" w:color="000000"/>
              <w:left w:val="single" w:sz="4" w:space="0" w:color="auto"/>
              <w:bottom w:val="single" w:sz="7" w:space="0" w:color="000000"/>
              <w:right w:val="single" w:sz="4" w:space="0" w:color="auto"/>
            </w:tcBorders>
            <w:shd w:val="clear" w:color="auto" w:fill="FFFFFF"/>
            <w:vAlign w:val="bottom"/>
          </w:tcPr>
          <w:p w14:paraId="622875DB"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'ispitivana' naspram 'kontrolna'</w:t>
            </w:r>
          </w:p>
        </w:tc>
        <w:tc>
          <w:tcPr>
            <w:tcW w:w="597" w:type="pct"/>
            <w:tcBorders>
              <w:top w:val="single" w:sz="7" w:space="0" w:color="000000"/>
              <w:left w:val="single" w:sz="4" w:space="0" w:color="auto"/>
              <w:bottom w:val="single" w:sz="7" w:space="0" w:color="000000"/>
              <w:right w:val="single" w:sz="4" w:space="0" w:color="auto"/>
            </w:tcBorders>
            <w:shd w:val="clear" w:color="auto" w:fill="FFFFFF"/>
            <w:vAlign w:val="bottom"/>
          </w:tcPr>
          <w:p w14:paraId="453E425A"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n**/m (%)</w:t>
            </w:r>
          </w:p>
        </w:tc>
        <w:tc>
          <w:tcPr>
            <w:tcW w:w="672" w:type="pct"/>
            <w:tcBorders>
              <w:top w:val="single" w:sz="7" w:space="0" w:color="000000"/>
              <w:left w:val="single" w:sz="4" w:space="0" w:color="auto"/>
              <w:bottom w:val="single" w:sz="7" w:space="0" w:color="000000"/>
              <w:right w:val="single" w:sz="4" w:space="0" w:color="auto"/>
            </w:tcBorders>
            <w:shd w:val="clear" w:color="auto" w:fill="FFFFFF"/>
            <w:vAlign w:val="bottom"/>
          </w:tcPr>
          <w:p w14:paraId="008450D7"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n**/m (%)</w:t>
            </w:r>
          </w:p>
        </w:tc>
        <w:tc>
          <w:tcPr>
            <w:tcW w:w="1047" w:type="pct"/>
            <w:tcBorders>
              <w:top w:val="nil"/>
              <w:left w:val="single" w:sz="4" w:space="0" w:color="auto"/>
              <w:bottom w:val="single" w:sz="7" w:space="0" w:color="000000"/>
              <w:right w:val="single" w:sz="4" w:space="0" w:color="auto"/>
            </w:tcBorders>
            <w:shd w:val="clear" w:color="auto" w:fill="FFFFFF"/>
            <w:vAlign w:val="bottom"/>
          </w:tcPr>
          <w:p w14:paraId="6F1DE8EC"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ishoda (95% CI)</w:t>
            </w:r>
          </w:p>
        </w:tc>
        <w:tc>
          <w:tcPr>
            <w:tcW w:w="583" w:type="pct"/>
            <w:tcBorders>
              <w:top w:val="nil"/>
              <w:left w:val="single" w:sz="4" w:space="0" w:color="auto"/>
              <w:bottom w:val="single" w:sz="7" w:space="0" w:color="000000"/>
              <w:right w:val="single" w:sz="4" w:space="0" w:color="auto"/>
            </w:tcBorders>
            <w:shd w:val="clear" w:color="auto" w:fill="FFFFFF"/>
            <w:vAlign w:val="bottom"/>
          </w:tcPr>
          <w:p w14:paraId="697D9500" w14:textId="77777777" w:rsidR="00DD093D" w:rsidRPr="005474B2" w:rsidRDefault="00DD093D">
            <w:pPr>
              <w:keepNext/>
              <w:widowControl w:val="0"/>
              <w:jc w:val="both"/>
              <w:rPr>
                <w:rFonts w:eastAsia="MS Mincho"/>
                <w:b/>
                <w:sz w:val="22"/>
                <w:szCs w:val="22"/>
                <w:lang w:val="sr-Latn-ME"/>
              </w:rPr>
            </w:pPr>
            <w:r w:rsidRPr="005474B2">
              <w:rPr>
                <w:rFonts w:eastAsia="MS Mincho"/>
                <w:b/>
                <w:sz w:val="22"/>
                <w:szCs w:val="22"/>
                <w:lang w:val="sr-Latn-ME"/>
              </w:rPr>
              <w:t>p-</w:t>
            </w:r>
            <w:r w:rsidR="00C41FCA" w:rsidRPr="005474B2">
              <w:rPr>
                <w:rFonts w:eastAsia="MS Mincho"/>
                <w:b/>
                <w:sz w:val="22"/>
                <w:szCs w:val="22"/>
                <w:lang w:val="sr-Latn-ME"/>
              </w:rPr>
              <w:t>vrijednost</w:t>
            </w:r>
          </w:p>
        </w:tc>
      </w:tr>
      <w:tr w:rsidR="00DD093D" w:rsidRPr="0009637B" w14:paraId="6F584883" w14:textId="77777777" w:rsidTr="009A4880">
        <w:trPr>
          <w:cantSplit/>
        </w:trPr>
        <w:tc>
          <w:tcPr>
            <w:tcW w:w="5000" w:type="pct"/>
            <w:gridSpan w:val="6"/>
            <w:tcBorders>
              <w:left w:val="single" w:sz="4" w:space="0" w:color="auto"/>
              <w:bottom w:val="single" w:sz="4" w:space="0" w:color="auto"/>
              <w:right w:val="single" w:sz="4" w:space="0" w:color="auto"/>
            </w:tcBorders>
            <w:vAlign w:val="bottom"/>
          </w:tcPr>
          <w:p w14:paraId="12A216FB" w14:textId="4144FB35" w:rsidR="00DD093D" w:rsidRPr="005474B2" w:rsidRDefault="00DD093D" w:rsidP="005474B2">
            <w:pPr>
              <w:keepNext/>
              <w:widowControl w:val="0"/>
              <w:jc w:val="both"/>
              <w:rPr>
                <w:rFonts w:eastAsia="MS Mincho"/>
                <w:b/>
                <w:sz w:val="22"/>
                <w:szCs w:val="22"/>
                <w:lang w:val="sr-Latn-ME"/>
              </w:rPr>
            </w:pPr>
            <w:r w:rsidRPr="005474B2">
              <w:rPr>
                <w:rFonts w:eastAsia="MS Mincho"/>
                <w:b/>
                <w:sz w:val="22"/>
                <w:szCs w:val="22"/>
                <w:lang w:val="sr-Latn-ME"/>
              </w:rPr>
              <w:t>U 12. </w:t>
            </w:r>
            <w:r w:rsidR="00C32DC7" w:rsidRPr="005474B2">
              <w:rPr>
                <w:rFonts w:eastAsia="MS Mincho"/>
                <w:b/>
                <w:sz w:val="22"/>
                <w:szCs w:val="22"/>
                <w:lang w:val="sr-Latn-ME"/>
              </w:rPr>
              <w:t>ned</w:t>
            </w:r>
            <w:r w:rsidR="000538E6" w:rsidRPr="005474B2">
              <w:rPr>
                <w:rFonts w:eastAsia="MS Mincho"/>
                <w:b/>
                <w:sz w:val="22"/>
                <w:szCs w:val="22"/>
                <w:lang w:val="sr-Latn-ME"/>
              </w:rPr>
              <w:t>j</w:t>
            </w:r>
            <w:r w:rsidR="00C32DC7" w:rsidRPr="005474B2">
              <w:rPr>
                <w:rFonts w:eastAsia="MS Mincho"/>
                <w:b/>
                <w:sz w:val="22"/>
                <w:szCs w:val="22"/>
                <w:lang w:val="sr-Latn-ME"/>
              </w:rPr>
              <w:t>elji</w:t>
            </w:r>
            <w:r w:rsidRPr="005474B2">
              <w:rPr>
                <w:rFonts w:eastAsia="MS Mincho"/>
                <w:b/>
                <w:sz w:val="22"/>
                <w:szCs w:val="22"/>
                <w:lang w:val="sr-Latn-ME"/>
              </w:rPr>
              <w:t>***</w:t>
            </w:r>
          </w:p>
        </w:tc>
      </w:tr>
      <w:tr w:rsidR="00DD093D" w:rsidRPr="0009637B" w14:paraId="16EF64A7" w14:textId="77777777" w:rsidTr="00DD093D">
        <w:trPr>
          <w:cantSplit/>
        </w:trPr>
        <w:tc>
          <w:tcPr>
            <w:tcW w:w="475" w:type="pct"/>
            <w:tcBorders>
              <w:top w:val="single" w:sz="4" w:space="0" w:color="auto"/>
              <w:left w:val="single" w:sz="4" w:space="0" w:color="auto"/>
              <w:right w:val="single" w:sz="4" w:space="0" w:color="auto"/>
            </w:tcBorders>
            <w:shd w:val="clear" w:color="auto" w:fill="FFFFFF"/>
          </w:tcPr>
          <w:p w14:paraId="28E2C5AC" w14:textId="77777777" w:rsidR="00DD093D" w:rsidRPr="005474B2" w:rsidRDefault="00DD093D" w:rsidP="0009637B">
            <w:pPr>
              <w:keepNext/>
              <w:widowControl w:val="0"/>
              <w:jc w:val="both"/>
              <w:rPr>
                <w:rFonts w:eastAsia="MS Mincho"/>
                <w:b/>
                <w:sz w:val="22"/>
                <w:szCs w:val="22"/>
                <w:lang w:val="sr-Latn-ME"/>
              </w:rPr>
            </w:pPr>
            <w:r w:rsidRPr="005474B2">
              <w:rPr>
                <w:rFonts w:eastAsia="MS Mincho"/>
                <w:b/>
                <w:sz w:val="22"/>
                <w:szCs w:val="22"/>
                <w:lang w:val="sr-Latn-ME"/>
              </w:rPr>
              <w:t>PASI 75</w:t>
            </w:r>
          </w:p>
        </w:tc>
        <w:tc>
          <w:tcPr>
            <w:tcW w:w="1626" w:type="pct"/>
            <w:tcBorders>
              <w:top w:val="nil"/>
              <w:left w:val="single" w:sz="4" w:space="0" w:color="auto"/>
              <w:bottom w:val="nil"/>
              <w:right w:val="single" w:sz="4" w:space="0" w:color="auto"/>
            </w:tcBorders>
            <w:shd w:val="clear" w:color="auto" w:fill="FFFFFF"/>
          </w:tcPr>
          <w:p w14:paraId="1EC62989"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niska doza sekukinumaba naspram placeba</w:t>
            </w:r>
          </w:p>
        </w:tc>
        <w:tc>
          <w:tcPr>
            <w:tcW w:w="597" w:type="pct"/>
            <w:tcBorders>
              <w:top w:val="nil"/>
              <w:left w:val="single" w:sz="4" w:space="0" w:color="auto"/>
              <w:bottom w:val="nil"/>
              <w:right w:val="single" w:sz="4" w:space="0" w:color="auto"/>
            </w:tcBorders>
            <w:shd w:val="clear" w:color="auto" w:fill="FFFFFF"/>
          </w:tcPr>
          <w:p w14:paraId="33341C46"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32/40 (80,0)</w:t>
            </w:r>
          </w:p>
        </w:tc>
        <w:tc>
          <w:tcPr>
            <w:tcW w:w="672" w:type="pct"/>
            <w:tcBorders>
              <w:top w:val="nil"/>
              <w:left w:val="single" w:sz="4" w:space="0" w:color="auto"/>
              <w:bottom w:val="nil"/>
              <w:right w:val="single" w:sz="4" w:space="0" w:color="auto"/>
            </w:tcBorders>
            <w:shd w:val="clear" w:color="auto" w:fill="FFFFFF"/>
          </w:tcPr>
          <w:p w14:paraId="712D8969"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6/41 (14,6)</w:t>
            </w:r>
          </w:p>
        </w:tc>
        <w:tc>
          <w:tcPr>
            <w:tcW w:w="1047" w:type="pct"/>
            <w:tcBorders>
              <w:top w:val="nil"/>
              <w:left w:val="single" w:sz="4" w:space="0" w:color="auto"/>
              <w:bottom w:val="nil"/>
              <w:right w:val="single" w:sz="4" w:space="0" w:color="auto"/>
            </w:tcBorders>
            <w:shd w:val="clear" w:color="auto" w:fill="FFFFFF"/>
          </w:tcPr>
          <w:p w14:paraId="7AFD7521"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25,78 (7,08; 114,66)</w:t>
            </w:r>
          </w:p>
        </w:tc>
        <w:tc>
          <w:tcPr>
            <w:tcW w:w="583" w:type="pct"/>
            <w:tcBorders>
              <w:top w:val="nil"/>
              <w:left w:val="single" w:sz="4" w:space="0" w:color="auto"/>
              <w:bottom w:val="nil"/>
              <w:right w:val="single" w:sz="4" w:space="0" w:color="auto"/>
            </w:tcBorders>
            <w:shd w:val="clear" w:color="auto" w:fill="FFFFFF"/>
          </w:tcPr>
          <w:p w14:paraId="68837A15"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&lt;0,0001</w:t>
            </w:r>
          </w:p>
        </w:tc>
      </w:tr>
      <w:tr w:rsidR="00DD093D" w:rsidRPr="0009637B" w14:paraId="234FF823" w14:textId="77777777" w:rsidTr="00DD093D">
        <w:trPr>
          <w:cantSplit/>
        </w:trPr>
        <w:tc>
          <w:tcPr>
            <w:tcW w:w="475" w:type="pct"/>
            <w:tcBorders>
              <w:left w:val="single" w:sz="4" w:space="0" w:color="auto"/>
              <w:right w:val="single" w:sz="4" w:space="0" w:color="auto"/>
            </w:tcBorders>
            <w:shd w:val="clear" w:color="auto" w:fill="FFFFFF"/>
          </w:tcPr>
          <w:p w14:paraId="78F51928" w14:textId="77777777" w:rsidR="00DD093D" w:rsidRPr="005474B2" w:rsidRDefault="00DD093D" w:rsidP="0009637B">
            <w:pPr>
              <w:keepNext/>
              <w:widowControl w:val="0"/>
              <w:jc w:val="both"/>
              <w:rPr>
                <w:rFonts w:eastAsia="MS Mincho"/>
                <w:b/>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6DD3001A"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visoka doza sekukinumaba naspram placeba</w:t>
            </w:r>
          </w:p>
        </w:tc>
        <w:tc>
          <w:tcPr>
            <w:tcW w:w="597" w:type="pct"/>
            <w:tcBorders>
              <w:top w:val="nil"/>
              <w:left w:val="single" w:sz="4" w:space="0" w:color="auto"/>
              <w:bottom w:val="nil"/>
              <w:right w:val="single" w:sz="4" w:space="0" w:color="auto"/>
            </w:tcBorders>
            <w:shd w:val="clear" w:color="auto" w:fill="FFFFFF"/>
          </w:tcPr>
          <w:p w14:paraId="52B7C6ED"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31/40 (77,5)</w:t>
            </w:r>
          </w:p>
        </w:tc>
        <w:tc>
          <w:tcPr>
            <w:tcW w:w="672" w:type="pct"/>
            <w:tcBorders>
              <w:top w:val="nil"/>
              <w:left w:val="single" w:sz="4" w:space="0" w:color="auto"/>
              <w:bottom w:val="nil"/>
              <w:right w:val="single" w:sz="4" w:space="0" w:color="auto"/>
            </w:tcBorders>
            <w:shd w:val="clear" w:color="auto" w:fill="FFFFFF"/>
          </w:tcPr>
          <w:p w14:paraId="6F575813"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6/41 (14,6)</w:t>
            </w:r>
          </w:p>
        </w:tc>
        <w:tc>
          <w:tcPr>
            <w:tcW w:w="1047" w:type="pct"/>
            <w:tcBorders>
              <w:top w:val="nil"/>
              <w:left w:val="single" w:sz="4" w:space="0" w:color="auto"/>
              <w:bottom w:val="nil"/>
              <w:right w:val="single" w:sz="4" w:space="0" w:color="auto"/>
            </w:tcBorders>
            <w:shd w:val="clear" w:color="auto" w:fill="FFFFFF"/>
          </w:tcPr>
          <w:p w14:paraId="04DAB2EA"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22,65 (6,31; 98,93)</w:t>
            </w:r>
          </w:p>
        </w:tc>
        <w:tc>
          <w:tcPr>
            <w:tcW w:w="583" w:type="pct"/>
            <w:tcBorders>
              <w:top w:val="nil"/>
              <w:left w:val="single" w:sz="4" w:space="0" w:color="auto"/>
              <w:bottom w:val="nil"/>
              <w:right w:val="single" w:sz="4" w:space="0" w:color="auto"/>
            </w:tcBorders>
            <w:shd w:val="clear" w:color="auto" w:fill="FFFFFF"/>
          </w:tcPr>
          <w:p w14:paraId="550E5E99"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&lt;0,0001</w:t>
            </w:r>
          </w:p>
        </w:tc>
      </w:tr>
      <w:tr w:rsidR="00DD093D" w:rsidRPr="0009637B" w14:paraId="5CD0E38C" w14:textId="77777777" w:rsidTr="00DD093D">
        <w:trPr>
          <w:cantSplit/>
        </w:trPr>
        <w:tc>
          <w:tcPr>
            <w:tcW w:w="475" w:type="pct"/>
            <w:tcBorders>
              <w:left w:val="single" w:sz="4" w:space="0" w:color="auto"/>
              <w:right w:val="single" w:sz="4" w:space="0" w:color="auto"/>
            </w:tcBorders>
            <w:shd w:val="clear" w:color="auto" w:fill="FFFFFF"/>
          </w:tcPr>
          <w:p w14:paraId="4DEF2769" w14:textId="77777777" w:rsidR="00DD093D" w:rsidRPr="005474B2" w:rsidRDefault="00DD093D" w:rsidP="0009637B">
            <w:pPr>
              <w:keepNext/>
              <w:widowControl w:val="0"/>
              <w:jc w:val="both"/>
              <w:rPr>
                <w:rFonts w:eastAsia="MS Mincho"/>
                <w:b/>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6AC7D909"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niska doza sekukinumaba naspram etanercepta</w:t>
            </w:r>
          </w:p>
        </w:tc>
        <w:tc>
          <w:tcPr>
            <w:tcW w:w="597" w:type="pct"/>
            <w:tcBorders>
              <w:top w:val="nil"/>
              <w:left w:val="single" w:sz="4" w:space="0" w:color="auto"/>
              <w:bottom w:val="nil"/>
              <w:right w:val="single" w:sz="4" w:space="0" w:color="auto"/>
            </w:tcBorders>
            <w:shd w:val="clear" w:color="auto" w:fill="FFFFFF"/>
          </w:tcPr>
          <w:p w14:paraId="0FDE0BB5"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32/40 (80,0)</w:t>
            </w:r>
          </w:p>
        </w:tc>
        <w:tc>
          <w:tcPr>
            <w:tcW w:w="672" w:type="pct"/>
            <w:tcBorders>
              <w:top w:val="nil"/>
              <w:left w:val="single" w:sz="4" w:space="0" w:color="auto"/>
              <w:bottom w:val="nil"/>
              <w:right w:val="single" w:sz="4" w:space="0" w:color="auto"/>
            </w:tcBorders>
            <w:shd w:val="clear" w:color="auto" w:fill="FFFFFF"/>
          </w:tcPr>
          <w:p w14:paraId="5473E5B6"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26/41 (63,4)</w:t>
            </w:r>
          </w:p>
        </w:tc>
        <w:tc>
          <w:tcPr>
            <w:tcW w:w="1047" w:type="pct"/>
            <w:tcBorders>
              <w:top w:val="nil"/>
              <w:left w:val="single" w:sz="4" w:space="0" w:color="auto"/>
              <w:bottom w:val="nil"/>
              <w:right w:val="single" w:sz="4" w:space="0" w:color="auto"/>
            </w:tcBorders>
            <w:shd w:val="clear" w:color="auto" w:fill="FFFFFF"/>
          </w:tcPr>
          <w:p w14:paraId="7D40517A" w14:textId="77777777" w:rsidR="00DD093D" w:rsidRPr="005474B2" w:rsidRDefault="00DD093D">
            <w:pPr>
              <w:keepNext/>
              <w:widowControl w:val="0"/>
              <w:jc w:val="both"/>
              <w:rPr>
                <w:rFonts w:eastAsia="MS Mincho"/>
                <w:strike/>
                <w:sz w:val="22"/>
                <w:szCs w:val="22"/>
                <w:lang w:val="sr-Latn-ME"/>
              </w:rPr>
            </w:pPr>
            <w:r w:rsidRPr="005474B2">
              <w:rPr>
                <w:rFonts w:eastAsia="MS Mincho"/>
                <w:sz w:val="22"/>
                <w:szCs w:val="22"/>
                <w:lang w:val="sr-Latn-ME"/>
              </w:rPr>
              <w:t>2,25 (0,73; 7,38)</w:t>
            </w:r>
          </w:p>
        </w:tc>
        <w:tc>
          <w:tcPr>
            <w:tcW w:w="583" w:type="pct"/>
            <w:tcBorders>
              <w:top w:val="nil"/>
              <w:left w:val="single" w:sz="4" w:space="0" w:color="auto"/>
              <w:bottom w:val="nil"/>
              <w:right w:val="single" w:sz="4" w:space="0" w:color="auto"/>
            </w:tcBorders>
            <w:shd w:val="clear" w:color="auto" w:fill="FFFFFF"/>
          </w:tcPr>
          <w:p w14:paraId="2782B7C6" w14:textId="77777777" w:rsidR="00DD093D" w:rsidRPr="005474B2" w:rsidRDefault="00DD093D">
            <w:pPr>
              <w:keepNext/>
              <w:widowControl w:val="0"/>
              <w:jc w:val="both"/>
              <w:rPr>
                <w:rFonts w:eastAsia="MS Mincho"/>
                <w:strike/>
                <w:sz w:val="22"/>
                <w:szCs w:val="22"/>
                <w:lang w:val="sr-Latn-ME"/>
              </w:rPr>
            </w:pPr>
          </w:p>
        </w:tc>
      </w:tr>
      <w:tr w:rsidR="00DD093D" w:rsidRPr="0009637B" w14:paraId="128938F7" w14:textId="77777777" w:rsidTr="00DD093D">
        <w:trPr>
          <w:cantSplit/>
        </w:trPr>
        <w:tc>
          <w:tcPr>
            <w:tcW w:w="475" w:type="pct"/>
            <w:tcBorders>
              <w:left w:val="single" w:sz="4" w:space="0" w:color="auto"/>
              <w:bottom w:val="nil"/>
              <w:right w:val="single" w:sz="4" w:space="0" w:color="auto"/>
            </w:tcBorders>
            <w:shd w:val="clear" w:color="auto" w:fill="FFFFFF"/>
          </w:tcPr>
          <w:p w14:paraId="54B649AD" w14:textId="77777777" w:rsidR="00DD093D" w:rsidRPr="005474B2" w:rsidRDefault="00DD093D" w:rsidP="0009637B">
            <w:pPr>
              <w:keepNext/>
              <w:widowControl w:val="0"/>
              <w:jc w:val="both"/>
              <w:rPr>
                <w:rFonts w:eastAsia="MS Mincho"/>
                <w:b/>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70354730"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46F8F85E"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31/40 (77,5)</w:t>
            </w:r>
          </w:p>
        </w:tc>
        <w:tc>
          <w:tcPr>
            <w:tcW w:w="672" w:type="pct"/>
            <w:tcBorders>
              <w:top w:val="nil"/>
              <w:left w:val="single" w:sz="4" w:space="0" w:color="auto"/>
              <w:bottom w:val="single" w:sz="4" w:space="0" w:color="auto"/>
              <w:right w:val="single" w:sz="4" w:space="0" w:color="auto"/>
            </w:tcBorders>
            <w:shd w:val="clear" w:color="auto" w:fill="FFFFFF"/>
          </w:tcPr>
          <w:p w14:paraId="585D18C5"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26/41 (63,4)</w:t>
            </w:r>
          </w:p>
        </w:tc>
        <w:tc>
          <w:tcPr>
            <w:tcW w:w="1047" w:type="pct"/>
            <w:tcBorders>
              <w:top w:val="nil"/>
              <w:left w:val="single" w:sz="4" w:space="0" w:color="auto"/>
              <w:bottom w:val="single" w:sz="4" w:space="0" w:color="auto"/>
              <w:right w:val="single" w:sz="4" w:space="0" w:color="auto"/>
            </w:tcBorders>
            <w:shd w:val="clear" w:color="auto" w:fill="FFFFFF"/>
          </w:tcPr>
          <w:p w14:paraId="068C299E"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1,92 (0,64; 6,07)</w:t>
            </w:r>
          </w:p>
        </w:tc>
        <w:tc>
          <w:tcPr>
            <w:tcW w:w="583" w:type="pct"/>
            <w:tcBorders>
              <w:top w:val="nil"/>
              <w:left w:val="single" w:sz="4" w:space="0" w:color="auto"/>
              <w:bottom w:val="single" w:sz="4" w:space="0" w:color="auto"/>
              <w:right w:val="single" w:sz="4" w:space="0" w:color="auto"/>
            </w:tcBorders>
            <w:shd w:val="clear" w:color="auto" w:fill="FFFFFF"/>
          </w:tcPr>
          <w:p w14:paraId="4A254307" w14:textId="77777777" w:rsidR="00DD093D" w:rsidRPr="005474B2" w:rsidRDefault="00DD093D">
            <w:pPr>
              <w:keepNext/>
              <w:widowControl w:val="0"/>
              <w:jc w:val="both"/>
              <w:rPr>
                <w:rFonts w:eastAsia="MS Mincho"/>
                <w:sz w:val="22"/>
                <w:szCs w:val="22"/>
                <w:lang w:val="sr-Latn-ME"/>
              </w:rPr>
            </w:pPr>
          </w:p>
        </w:tc>
      </w:tr>
      <w:tr w:rsidR="00DD093D" w:rsidRPr="0009637B" w14:paraId="0DF7A4CE" w14:textId="77777777" w:rsidTr="00DD093D">
        <w:trPr>
          <w:cantSplit/>
        </w:trPr>
        <w:tc>
          <w:tcPr>
            <w:tcW w:w="475" w:type="pct"/>
            <w:tcBorders>
              <w:top w:val="single" w:sz="4" w:space="0" w:color="auto"/>
              <w:left w:val="single" w:sz="4" w:space="0" w:color="auto"/>
              <w:bottom w:val="nil"/>
              <w:right w:val="single" w:sz="4" w:space="0" w:color="auto"/>
            </w:tcBorders>
            <w:shd w:val="clear" w:color="auto" w:fill="FFFFFF"/>
          </w:tcPr>
          <w:p w14:paraId="355B11E8" w14:textId="77777777" w:rsidR="00DD093D" w:rsidRPr="005474B2" w:rsidRDefault="00DD093D" w:rsidP="0009637B">
            <w:pPr>
              <w:keepNext/>
              <w:widowControl w:val="0"/>
              <w:jc w:val="both"/>
              <w:rPr>
                <w:rFonts w:eastAsia="MS Mincho"/>
                <w:b/>
                <w:sz w:val="22"/>
                <w:szCs w:val="22"/>
                <w:lang w:val="sr-Latn-ME"/>
              </w:rPr>
            </w:pPr>
            <w:r w:rsidRPr="005474B2">
              <w:rPr>
                <w:rFonts w:eastAsia="MS Mincho"/>
                <w:b/>
                <w:sz w:val="22"/>
                <w:szCs w:val="22"/>
                <w:lang w:val="sr-Latn-ME"/>
              </w:rPr>
              <w:t>IGA 0/1</w:t>
            </w:r>
          </w:p>
        </w:tc>
        <w:tc>
          <w:tcPr>
            <w:tcW w:w="1626" w:type="pct"/>
            <w:tcBorders>
              <w:top w:val="single" w:sz="4" w:space="0" w:color="auto"/>
              <w:left w:val="single" w:sz="4" w:space="0" w:color="auto"/>
              <w:bottom w:val="nil"/>
              <w:right w:val="single" w:sz="4" w:space="0" w:color="auto"/>
            </w:tcBorders>
            <w:shd w:val="clear" w:color="auto" w:fill="FFFFFF"/>
          </w:tcPr>
          <w:p w14:paraId="01CAB146"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niska doza sekukinumaba naspram placeba</w:t>
            </w:r>
          </w:p>
        </w:tc>
        <w:tc>
          <w:tcPr>
            <w:tcW w:w="597" w:type="pct"/>
            <w:tcBorders>
              <w:top w:val="single" w:sz="4" w:space="0" w:color="auto"/>
              <w:left w:val="single" w:sz="4" w:space="0" w:color="auto"/>
              <w:bottom w:val="nil"/>
              <w:right w:val="single" w:sz="4" w:space="0" w:color="auto"/>
            </w:tcBorders>
            <w:shd w:val="clear" w:color="auto" w:fill="FFFFFF"/>
          </w:tcPr>
          <w:p w14:paraId="57FF828D"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28/40 (70,0)</w:t>
            </w:r>
          </w:p>
        </w:tc>
        <w:tc>
          <w:tcPr>
            <w:tcW w:w="672" w:type="pct"/>
            <w:tcBorders>
              <w:top w:val="single" w:sz="4" w:space="0" w:color="auto"/>
              <w:left w:val="single" w:sz="4" w:space="0" w:color="auto"/>
              <w:bottom w:val="nil"/>
              <w:right w:val="single" w:sz="4" w:space="0" w:color="auto"/>
            </w:tcBorders>
            <w:shd w:val="clear" w:color="auto" w:fill="FFFFFF"/>
          </w:tcPr>
          <w:p w14:paraId="004036F1"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2/41 (4,9)</w:t>
            </w:r>
          </w:p>
        </w:tc>
        <w:tc>
          <w:tcPr>
            <w:tcW w:w="1047" w:type="pct"/>
            <w:tcBorders>
              <w:top w:val="single" w:sz="4" w:space="0" w:color="auto"/>
              <w:left w:val="single" w:sz="4" w:space="0" w:color="auto"/>
              <w:bottom w:val="nil"/>
              <w:right w:val="single" w:sz="4" w:space="0" w:color="auto"/>
            </w:tcBorders>
            <w:shd w:val="clear" w:color="auto" w:fill="FFFFFF"/>
          </w:tcPr>
          <w:p w14:paraId="3A886C41"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51,77 (10,02; 538,64)</w:t>
            </w:r>
          </w:p>
        </w:tc>
        <w:tc>
          <w:tcPr>
            <w:tcW w:w="583" w:type="pct"/>
            <w:tcBorders>
              <w:top w:val="single" w:sz="4" w:space="0" w:color="auto"/>
              <w:left w:val="single" w:sz="4" w:space="0" w:color="auto"/>
              <w:bottom w:val="nil"/>
              <w:right w:val="single" w:sz="4" w:space="0" w:color="auto"/>
            </w:tcBorders>
            <w:shd w:val="clear" w:color="auto" w:fill="FFFFFF"/>
          </w:tcPr>
          <w:p w14:paraId="1EADD601"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&lt;0,0001</w:t>
            </w:r>
          </w:p>
        </w:tc>
      </w:tr>
      <w:tr w:rsidR="00DD093D" w:rsidRPr="0009637B" w14:paraId="65015942" w14:textId="77777777" w:rsidTr="00DD093D">
        <w:trPr>
          <w:cantSplit/>
        </w:trPr>
        <w:tc>
          <w:tcPr>
            <w:tcW w:w="475" w:type="pct"/>
            <w:tcBorders>
              <w:top w:val="nil"/>
              <w:left w:val="single" w:sz="4" w:space="0" w:color="auto"/>
              <w:bottom w:val="nil"/>
              <w:right w:val="single" w:sz="4" w:space="0" w:color="auto"/>
            </w:tcBorders>
            <w:shd w:val="clear" w:color="auto" w:fill="FFFFFF"/>
          </w:tcPr>
          <w:p w14:paraId="707A2E67" w14:textId="77777777" w:rsidR="00DD093D" w:rsidRPr="005474B2" w:rsidRDefault="00DD093D" w:rsidP="0009637B">
            <w:pPr>
              <w:keepNext/>
              <w:widowControl w:val="0"/>
              <w:jc w:val="both"/>
              <w:rPr>
                <w:rFonts w:eastAsia="MS Mincho"/>
                <w:b/>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1A530EC5"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visoka doza sekukinumaba naspram. placeba</w:t>
            </w:r>
          </w:p>
        </w:tc>
        <w:tc>
          <w:tcPr>
            <w:tcW w:w="597" w:type="pct"/>
            <w:tcBorders>
              <w:top w:val="nil"/>
              <w:left w:val="single" w:sz="4" w:space="0" w:color="auto"/>
              <w:bottom w:val="nil"/>
              <w:right w:val="single" w:sz="4" w:space="0" w:color="auto"/>
            </w:tcBorders>
            <w:shd w:val="clear" w:color="auto" w:fill="FFFFFF"/>
          </w:tcPr>
          <w:p w14:paraId="7F6A5E06"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24/40 (60,0)</w:t>
            </w:r>
          </w:p>
        </w:tc>
        <w:tc>
          <w:tcPr>
            <w:tcW w:w="672" w:type="pct"/>
            <w:tcBorders>
              <w:top w:val="nil"/>
              <w:left w:val="single" w:sz="4" w:space="0" w:color="auto"/>
              <w:bottom w:val="nil"/>
              <w:right w:val="single" w:sz="4" w:space="0" w:color="auto"/>
            </w:tcBorders>
            <w:shd w:val="clear" w:color="auto" w:fill="FFFFFF"/>
          </w:tcPr>
          <w:p w14:paraId="2EA610CE"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2/41 (4,9)</w:t>
            </w:r>
          </w:p>
        </w:tc>
        <w:tc>
          <w:tcPr>
            <w:tcW w:w="1047" w:type="pct"/>
            <w:tcBorders>
              <w:top w:val="nil"/>
              <w:left w:val="single" w:sz="4" w:space="0" w:color="auto"/>
              <w:bottom w:val="nil"/>
              <w:right w:val="single" w:sz="4" w:space="0" w:color="auto"/>
            </w:tcBorders>
            <w:shd w:val="clear" w:color="auto" w:fill="FFFFFF"/>
          </w:tcPr>
          <w:p w14:paraId="33DF75CB"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32,52 (6,48; 329,52)</w:t>
            </w:r>
          </w:p>
        </w:tc>
        <w:tc>
          <w:tcPr>
            <w:tcW w:w="583" w:type="pct"/>
            <w:tcBorders>
              <w:top w:val="nil"/>
              <w:left w:val="single" w:sz="4" w:space="0" w:color="auto"/>
              <w:bottom w:val="nil"/>
              <w:right w:val="single" w:sz="4" w:space="0" w:color="auto"/>
            </w:tcBorders>
            <w:shd w:val="clear" w:color="auto" w:fill="FFFFFF"/>
          </w:tcPr>
          <w:p w14:paraId="1EB6C71D"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&lt;0,0001</w:t>
            </w:r>
          </w:p>
        </w:tc>
      </w:tr>
      <w:tr w:rsidR="00DD093D" w:rsidRPr="0009637B" w14:paraId="5BDD58B6" w14:textId="77777777" w:rsidTr="00DD093D">
        <w:trPr>
          <w:cantSplit/>
        </w:trPr>
        <w:tc>
          <w:tcPr>
            <w:tcW w:w="475" w:type="pct"/>
            <w:tcBorders>
              <w:top w:val="nil"/>
              <w:left w:val="single" w:sz="4" w:space="0" w:color="auto"/>
              <w:right w:val="single" w:sz="4" w:space="0" w:color="auto"/>
            </w:tcBorders>
            <w:shd w:val="clear" w:color="auto" w:fill="FFFFFF"/>
          </w:tcPr>
          <w:p w14:paraId="7FCA1BE1" w14:textId="77777777" w:rsidR="00DD093D" w:rsidRPr="005474B2" w:rsidRDefault="00DD093D" w:rsidP="0009637B">
            <w:pPr>
              <w:keepNext/>
              <w:widowControl w:val="0"/>
              <w:jc w:val="both"/>
              <w:rPr>
                <w:rFonts w:eastAsia="MS Mincho"/>
                <w:b/>
                <w:sz w:val="22"/>
                <w:szCs w:val="22"/>
                <w:lang w:val="sr-Latn-ME"/>
              </w:rPr>
            </w:pPr>
          </w:p>
        </w:tc>
        <w:tc>
          <w:tcPr>
            <w:tcW w:w="1626" w:type="pct"/>
            <w:tcBorders>
              <w:top w:val="nil"/>
              <w:left w:val="single" w:sz="4" w:space="0" w:color="auto"/>
              <w:right w:val="single" w:sz="4" w:space="0" w:color="auto"/>
            </w:tcBorders>
            <w:shd w:val="clear" w:color="auto" w:fill="FFFFFF"/>
          </w:tcPr>
          <w:p w14:paraId="079C7DF4"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niska doza sekukinumaba naspram etanercepta</w:t>
            </w:r>
          </w:p>
        </w:tc>
        <w:tc>
          <w:tcPr>
            <w:tcW w:w="597" w:type="pct"/>
            <w:tcBorders>
              <w:top w:val="nil"/>
              <w:left w:val="single" w:sz="4" w:space="0" w:color="auto"/>
              <w:right w:val="single" w:sz="4" w:space="0" w:color="auto"/>
            </w:tcBorders>
            <w:shd w:val="clear" w:color="auto" w:fill="FFFFFF"/>
          </w:tcPr>
          <w:p w14:paraId="1998ACD2"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28/40 (70,0)</w:t>
            </w:r>
          </w:p>
        </w:tc>
        <w:tc>
          <w:tcPr>
            <w:tcW w:w="672" w:type="pct"/>
            <w:tcBorders>
              <w:top w:val="nil"/>
              <w:left w:val="single" w:sz="4" w:space="0" w:color="auto"/>
              <w:right w:val="single" w:sz="4" w:space="0" w:color="auto"/>
            </w:tcBorders>
            <w:shd w:val="clear" w:color="auto" w:fill="FFFFFF"/>
          </w:tcPr>
          <w:p w14:paraId="112AAA17"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14/41 (34,1)</w:t>
            </w:r>
          </w:p>
        </w:tc>
        <w:tc>
          <w:tcPr>
            <w:tcW w:w="1047" w:type="pct"/>
            <w:tcBorders>
              <w:top w:val="nil"/>
              <w:left w:val="single" w:sz="4" w:space="0" w:color="auto"/>
              <w:right w:val="single" w:sz="4" w:space="0" w:color="auto"/>
            </w:tcBorders>
            <w:shd w:val="clear" w:color="auto" w:fill="FFFFFF"/>
          </w:tcPr>
          <w:p w14:paraId="2CCBF7DE"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4,49 (1,60; 13,42)</w:t>
            </w:r>
          </w:p>
        </w:tc>
        <w:tc>
          <w:tcPr>
            <w:tcW w:w="583" w:type="pct"/>
            <w:tcBorders>
              <w:top w:val="nil"/>
              <w:left w:val="single" w:sz="4" w:space="0" w:color="auto"/>
              <w:right w:val="single" w:sz="4" w:space="0" w:color="auto"/>
            </w:tcBorders>
            <w:shd w:val="clear" w:color="auto" w:fill="FFFFFF"/>
          </w:tcPr>
          <w:p w14:paraId="27F0CC60" w14:textId="77777777" w:rsidR="00DD093D" w:rsidRPr="005474B2" w:rsidRDefault="00DD093D">
            <w:pPr>
              <w:keepNext/>
              <w:widowControl w:val="0"/>
              <w:jc w:val="both"/>
              <w:rPr>
                <w:rFonts w:eastAsia="MS Mincho"/>
                <w:strike/>
                <w:sz w:val="22"/>
                <w:szCs w:val="22"/>
                <w:lang w:val="sr-Latn-ME"/>
              </w:rPr>
            </w:pPr>
          </w:p>
        </w:tc>
      </w:tr>
      <w:tr w:rsidR="00DD093D" w:rsidRPr="0009637B" w14:paraId="5BF8ED6B" w14:textId="77777777" w:rsidTr="00DD093D">
        <w:trPr>
          <w:cantSplit/>
        </w:trPr>
        <w:tc>
          <w:tcPr>
            <w:tcW w:w="475" w:type="pct"/>
            <w:tcBorders>
              <w:top w:val="nil"/>
              <w:left w:val="single" w:sz="4" w:space="0" w:color="auto"/>
              <w:bottom w:val="single" w:sz="4" w:space="0" w:color="auto"/>
              <w:right w:val="single" w:sz="4" w:space="0" w:color="auto"/>
            </w:tcBorders>
            <w:shd w:val="clear" w:color="auto" w:fill="FFFFFF"/>
          </w:tcPr>
          <w:p w14:paraId="55A13627" w14:textId="77777777" w:rsidR="00DD093D" w:rsidRPr="005474B2" w:rsidRDefault="00DD093D" w:rsidP="0009637B">
            <w:pPr>
              <w:keepNext/>
              <w:widowControl w:val="0"/>
              <w:jc w:val="both"/>
              <w:rPr>
                <w:rFonts w:eastAsia="MS Mincho"/>
                <w:b/>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24A74F8F"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41A3EF2D"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24/40 (60,0)</w:t>
            </w:r>
          </w:p>
        </w:tc>
        <w:tc>
          <w:tcPr>
            <w:tcW w:w="672" w:type="pct"/>
            <w:tcBorders>
              <w:top w:val="nil"/>
              <w:left w:val="single" w:sz="4" w:space="0" w:color="auto"/>
              <w:bottom w:val="single" w:sz="4" w:space="0" w:color="auto"/>
              <w:right w:val="single" w:sz="4" w:space="0" w:color="auto"/>
            </w:tcBorders>
            <w:shd w:val="clear" w:color="auto" w:fill="FFFFFF"/>
          </w:tcPr>
          <w:p w14:paraId="491B5D1A"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14/41 (34,1)</w:t>
            </w:r>
          </w:p>
        </w:tc>
        <w:tc>
          <w:tcPr>
            <w:tcW w:w="1047" w:type="pct"/>
            <w:tcBorders>
              <w:top w:val="nil"/>
              <w:left w:val="single" w:sz="4" w:space="0" w:color="auto"/>
              <w:bottom w:val="single" w:sz="4" w:space="0" w:color="auto"/>
              <w:right w:val="single" w:sz="4" w:space="0" w:color="auto"/>
            </w:tcBorders>
            <w:shd w:val="clear" w:color="auto" w:fill="FFFFFF"/>
          </w:tcPr>
          <w:p w14:paraId="39CF7A6C"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2,86 (1,05; 8,13)</w:t>
            </w:r>
          </w:p>
        </w:tc>
        <w:tc>
          <w:tcPr>
            <w:tcW w:w="583" w:type="pct"/>
            <w:tcBorders>
              <w:top w:val="nil"/>
              <w:left w:val="single" w:sz="4" w:space="0" w:color="auto"/>
              <w:bottom w:val="single" w:sz="4" w:space="0" w:color="auto"/>
              <w:right w:val="single" w:sz="4" w:space="0" w:color="auto"/>
            </w:tcBorders>
            <w:shd w:val="clear" w:color="auto" w:fill="FFFFFF"/>
          </w:tcPr>
          <w:p w14:paraId="6798621D" w14:textId="77777777" w:rsidR="00DD093D" w:rsidRPr="005474B2" w:rsidRDefault="00DD093D">
            <w:pPr>
              <w:keepNext/>
              <w:widowControl w:val="0"/>
              <w:jc w:val="both"/>
              <w:rPr>
                <w:rFonts w:eastAsia="MS Mincho"/>
                <w:strike/>
                <w:sz w:val="22"/>
                <w:szCs w:val="22"/>
                <w:lang w:val="sr-Latn-ME"/>
              </w:rPr>
            </w:pPr>
          </w:p>
        </w:tc>
      </w:tr>
      <w:tr w:rsidR="00DD093D" w:rsidRPr="0009637B" w14:paraId="17B002FB" w14:textId="77777777" w:rsidTr="00DD093D">
        <w:trPr>
          <w:cantSplit/>
        </w:trPr>
        <w:tc>
          <w:tcPr>
            <w:tcW w:w="475" w:type="pct"/>
            <w:tcBorders>
              <w:top w:val="single" w:sz="4" w:space="0" w:color="auto"/>
              <w:left w:val="single" w:sz="4" w:space="0" w:color="auto"/>
              <w:bottom w:val="nil"/>
              <w:right w:val="single" w:sz="4" w:space="0" w:color="auto"/>
            </w:tcBorders>
            <w:shd w:val="clear" w:color="auto" w:fill="FFFFFF"/>
          </w:tcPr>
          <w:p w14:paraId="77B8F783" w14:textId="77777777" w:rsidR="00DD093D" w:rsidRPr="005474B2" w:rsidRDefault="00DD093D" w:rsidP="0009637B">
            <w:pPr>
              <w:keepNext/>
              <w:widowControl w:val="0"/>
              <w:jc w:val="both"/>
              <w:rPr>
                <w:rFonts w:eastAsia="MS Mincho"/>
                <w:b/>
                <w:sz w:val="22"/>
                <w:szCs w:val="22"/>
                <w:lang w:val="sr-Latn-ME"/>
              </w:rPr>
            </w:pPr>
            <w:r w:rsidRPr="005474B2">
              <w:rPr>
                <w:rFonts w:eastAsia="MS Mincho"/>
                <w:b/>
                <w:sz w:val="22"/>
                <w:szCs w:val="22"/>
                <w:lang w:val="sr-Latn-ME"/>
              </w:rPr>
              <w:t>PASI 90</w:t>
            </w:r>
          </w:p>
        </w:tc>
        <w:tc>
          <w:tcPr>
            <w:tcW w:w="1626" w:type="pct"/>
            <w:tcBorders>
              <w:top w:val="single" w:sz="4" w:space="0" w:color="auto"/>
              <w:left w:val="single" w:sz="4" w:space="0" w:color="auto"/>
              <w:bottom w:val="nil"/>
              <w:right w:val="single" w:sz="4" w:space="0" w:color="auto"/>
            </w:tcBorders>
            <w:shd w:val="clear" w:color="auto" w:fill="FFFFFF"/>
          </w:tcPr>
          <w:p w14:paraId="0DFC4E09"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niska doza sekukinumaba naspram placeba</w:t>
            </w:r>
          </w:p>
        </w:tc>
        <w:tc>
          <w:tcPr>
            <w:tcW w:w="597" w:type="pct"/>
            <w:tcBorders>
              <w:top w:val="single" w:sz="4" w:space="0" w:color="auto"/>
              <w:left w:val="single" w:sz="4" w:space="0" w:color="auto"/>
              <w:bottom w:val="nil"/>
              <w:right w:val="single" w:sz="4" w:space="0" w:color="auto"/>
            </w:tcBorders>
            <w:shd w:val="clear" w:color="auto" w:fill="FFFFFF"/>
          </w:tcPr>
          <w:p w14:paraId="234A630C"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29/40 (72,5)</w:t>
            </w:r>
          </w:p>
        </w:tc>
        <w:tc>
          <w:tcPr>
            <w:tcW w:w="672" w:type="pct"/>
            <w:tcBorders>
              <w:top w:val="single" w:sz="4" w:space="0" w:color="auto"/>
              <w:left w:val="single" w:sz="4" w:space="0" w:color="auto"/>
              <w:bottom w:val="nil"/>
              <w:right w:val="single" w:sz="4" w:space="0" w:color="auto"/>
            </w:tcBorders>
            <w:shd w:val="clear" w:color="auto" w:fill="FFFFFF"/>
          </w:tcPr>
          <w:p w14:paraId="77C68A8A"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1/41 (2,4)</w:t>
            </w:r>
          </w:p>
        </w:tc>
        <w:tc>
          <w:tcPr>
            <w:tcW w:w="1047" w:type="pct"/>
            <w:tcBorders>
              <w:top w:val="single" w:sz="4" w:space="0" w:color="auto"/>
              <w:left w:val="single" w:sz="4" w:space="0" w:color="auto"/>
              <w:bottom w:val="nil"/>
              <w:right w:val="single" w:sz="4" w:space="0" w:color="auto"/>
            </w:tcBorders>
            <w:shd w:val="clear" w:color="auto" w:fill="FFFFFF"/>
          </w:tcPr>
          <w:p w14:paraId="16BDBF67"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133,67 (16,83; 6395,22)</w:t>
            </w:r>
          </w:p>
        </w:tc>
        <w:tc>
          <w:tcPr>
            <w:tcW w:w="583" w:type="pct"/>
            <w:tcBorders>
              <w:top w:val="single" w:sz="4" w:space="0" w:color="auto"/>
              <w:left w:val="single" w:sz="4" w:space="0" w:color="auto"/>
              <w:bottom w:val="nil"/>
              <w:right w:val="single" w:sz="4" w:space="0" w:color="auto"/>
            </w:tcBorders>
            <w:shd w:val="clear" w:color="auto" w:fill="FFFFFF"/>
          </w:tcPr>
          <w:p w14:paraId="0864A238"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&lt;0,0001</w:t>
            </w:r>
          </w:p>
        </w:tc>
      </w:tr>
      <w:tr w:rsidR="00DD093D" w:rsidRPr="0009637B" w14:paraId="4A50E83A" w14:textId="77777777" w:rsidTr="00DD093D">
        <w:trPr>
          <w:cantSplit/>
        </w:trPr>
        <w:tc>
          <w:tcPr>
            <w:tcW w:w="475" w:type="pct"/>
            <w:tcBorders>
              <w:top w:val="nil"/>
              <w:left w:val="single" w:sz="4" w:space="0" w:color="auto"/>
              <w:bottom w:val="nil"/>
              <w:right w:val="single" w:sz="4" w:space="0" w:color="auto"/>
            </w:tcBorders>
            <w:shd w:val="clear" w:color="auto" w:fill="FFFFFF"/>
          </w:tcPr>
          <w:p w14:paraId="566F1958" w14:textId="77777777" w:rsidR="00DD093D" w:rsidRPr="005474B2" w:rsidRDefault="00DD093D" w:rsidP="0009637B">
            <w:pPr>
              <w:keepNext/>
              <w:widowControl w:val="0"/>
              <w:jc w:val="both"/>
              <w:rPr>
                <w:rFonts w:eastAsia="MS Mincho"/>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7F2C2DB7"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visoka doza sekukinumaba naspram placeba</w:t>
            </w:r>
          </w:p>
        </w:tc>
        <w:tc>
          <w:tcPr>
            <w:tcW w:w="597" w:type="pct"/>
            <w:tcBorders>
              <w:top w:val="nil"/>
              <w:left w:val="single" w:sz="4" w:space="0" w:color="auto"/>
              <w:bottom w:val="nil"/>
              <w:right w:val="single" w:sz="4" w:space="0" w:color="auto"/>
            </w:tcBorders>
            <w:shd w:val="clear" w:color="auto" w:fill="FFFFFF"/>
          </w:tcPr>
          <w:p w14:paraId="5CE2C322"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27/40 (67,5)</w:t>
            </w:r>
          </w:p>
        </w:tc>
        <w:tc>
          <w:tcPr>
            <w:tcW w:w="672" w:type="pct"/>
            <w:tcBorders>
              <w:top w:val="nil"/>
              <w:left w:val="single" w:sz="4" w:space="0" w:color="auto"/>
              <w:bottom w:val="nil"/>
              <w:right w:val="single" w:sz="4" w:space="0" w:color="auto"/>
            </w:tcBorders>
            <w:shd w:val="clear" w:color="auto" w:fill="FFFFFF"/>
          </w:tcPr>
          <w:p w14:paraId="0264E0B9"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1/41 (2,4)</w:t>
            </w:r>
          </w:p>
        </w:tc>
        <w:tc>
          <w:tcPr>
            <w:tcW w:w="1047" w:type="pct"/>
            <w:tcBorders>
              <w:top w:val="nil"/>
              <w:left w:val="single" w:sz="4" w:space="0" w:color="auto"/>
              <w:bottom w:val="nil"/>
              <w:right w:val="single" w:sz="4" w:space="0" w:color="auto"/>
            </w:tcBorders>
            <w:shd w:val="clear" w:color="auto" w:fill="FFFFFF"/>
          </w:tcPr>
          <w:p w14:paraId="730DC5DD"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102,86 (13,22; 4850,13)</w:t>
            </w:r>
          </w:p>
        </w:tc>
        <w:tc>
          <w:tcPr>
            <w:tcW w:w="583" w:type="pct"/>
            <w:tcBorders>
              <w:top w:val="nil"/>
              <w:left w:val="single" w:sz="4" w:space="0" w:color="auto"/>
              <w:bottom w:val="nil"/>
              <w:right w:val="single" w:sz="4" w:space="0" w:color="auto"/>
            </w:tcBorders>
            <w:shd w:val="clear" w:color="auto" w:fill="FFFFFF"/>
          </w:tcPr>
          <w:p w14:paraId="726C9304"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&lt;0,0001</w:t>
            </w:r>
          </w:p>
        </w:tc>
      </w:tr>
      <w:tr w:rsidR="00DD093D" w:rsidRPr="0009637B" w14:paraId="12E79E6A" w14:textId="77777777" w:rsidTr="00DD093D">
        <w:trPr>
          <w:cantSplit/>
        </w:trPr>
        <w:tc>
          <w:tcPr>
            <w:tcW w:w="475" w:type="pct"/>
            <w:tcBorders>
              <w:top w:val="nil"/>
              <w:left w:val="single" w:sz="4" w:space="0" w:color="auto"/>
              <w:bottom w:val="nil"/>
              <w:right w:val="single" w:sz="4" w:space="0" w:color="auto"/>
            </w:tcBorders>
            <w:shd w:val="clear" w:color="auto" w:fill="FFFFFF"/>
          </w:tcPr>
          <w:p w14:paraId="1CE9E8F1" w14:textId="77777777" w:rsidR="00DD093D" w:rsidRPr="005474B2" w:rsidRDefault="00DD093D" w:rsidP="0009637B">
            <w:pPr>
              <w:keepNext/>
              <w:widowControl w:val="0"/>
              <w:jc w:val="both"/>
              <w:rPr>
                <w:rFonts w:eastAsia="MS Mincho"/>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549A204B" w14:textId="77777777" w:rsidR="00DD093D" w:rsidRPr="005474B2" w:rsidRDefault="00DD093D" w:rsidP="0009637B">
            <w:pPr>
              <w:keepNext/>
              <w:widowControl w:val="0"/>
              <w:jc w:val="both"/>
              <w:rPr>
                <w:rFonts w:eastAsia="MS Mincho"/>
                <w:sz w:val="22"/>
                <w:szCs w:val="22"/>
                <w:lang w:val="sr-Latn-ME"/>
              </w:rPr>
            </w:pPr>
            <w:r w:rsidRPr="005474B2">
              <w:rPr>
                <w:rFonts w:eastAsia="MS Mincho"/>
                <w:sz w:val="22"/>
                <w:szCs w:val="22"/>
                <w:lang w:val="sr-Latn-ME"/>
              </w:rPr>
              <w:t>niska doza sekukinumaba naspram etanercepta</w:t>
            </w:r>
          </w:p>
        </w:tc>
        <w:tc>
          <w:tcPr>
            <w:tcW w:w="597" w:type="pct"/>
            <w:tcBorders>
              <w:top w:val="nil"/>
              <w:left w:val="single" w:sz="4" w:space="0" w:color="auto"/>
              <w:bottom w:val="nil"/>
              <w:right w:val="single" w:sz="4" w:space="0" w:color="auto"/>
            </w:tcBorders>
            <w:shd w:val="clear" w:color="auto" w:fill="FFFFFF"/>
          </w:tcPr>
          <w:p w14:paraId="37D5C6AC"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29/40 (72,5)</w:t>
            </w:r>
          </w:p>
        </w:tc>
        <w:tc>
          <w:tcPr>
            <w:tcW w:w="672" w:type="pct"/>
            <w:tcBorders>
              <w:top w:val="nil"/>
              <w:left w:val="single" w:sz="4" w:space="0" w:color="auto"/>
              <w:bottom w:val="nil"/>
              <w:right w:val="single" w:sz="4" w:space="0" w:color="auto"/>
            </w:tcBorders>
            <w:shd w:val="clear" w:color="auto" w:fill="FFFFFF"/>
          </w:tcPr>
          <w:p w14:paraId="1F337DC4"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12/41 (29,3)</w:t>
            </w:r>
          </w:p>
        </w:tc>
        <w:tc>
          <w:tcPr>
            <w:tcW w:w="1047" w:type="pct"/>
            <w:tcBorders>
              <w:top w:val="nil"/>
              <w:left w:val="single" w:sz="4" w:space="0" w:color="auto"/>
              <w:bottom w:val="nil"/>
              <w:right w:val="single" w:sz="4" w:space="0" w:color="auto"/>
            </w:tcBorders>
            <w:shd w:val="clear" w:color="auto" w:fill="FFFFFF"/>
          </w:tcPr>
          <w:p w14:paraId="156C9468" w14:textId="77777777" w:rsidR="00DD093D" w:rsidRPr="005474B2" w:rsidRDefault="00DD093D">
            <w:pPr>
              <w:keepNext/>
              <w:widowControl w:val="0"/>
              <w:jc w:val="both"/>
              <w:rPr>
                <w:rFonts w:eastAsia="MS Mincho"/>
                <w:sz w:val="22"/>
                <w:szCs w:val="22"/>
                <w:lang w:val="sr-Latn-ME"/>
              </w:rPr>
            </w:pPr>
            <w:r w:rsidRPr="005474B2">
              <w:rPr>
                <w:rFonts w:eastAsia="MS Mincho"/>
                <w:sz w:val="22"/>
                <w:szCs w:val="22"/>
                <w:lang w:val="sr-Latn-ME"/>
              </w:rPr>
              <w:t>7,03 (2,34; 23,19)</w:t>
            </w:r>
          </w:p>
        </w:tc>
        <w:tc>
          <w:tcPr>
            <w:tcW w:w="583" w:type="pct"/>
            <w:tcBorders>
              <w:top w:val="nil"/>
              <w:left w:val="single" w:sz="4" w:space="0" w:color="auto"/>
              <w:bottom w:val="nil"/>
              <w:right w:val="single" w:sz="4" w:space="0" w:color="auto"/>
            </w:tcBorders>
            <w:shd w:val="clear" w:color="auto" w:fill="FFFFFF"/>
          </w:tcPr>
          <w:p w14:paraId="01862936" w14:textId="77777777" w:rsidR="00DD093D" w:rsidRPr="005474B2" w:rsidRDefault="00DD093D">
            <w:pPr>
              <w:keepNext/>
              <w:widowControl w:val="0"/>
              <w:jc w:val="both"/>
              <w:rPr>
                <w:rFonts w:eastAsia="MS Mincho"/>
                <w:strike/>
                <w:sz w:val="22"/>
                <w:szCs w:val="22"/>
                <w:lang w:val="sr-Latn-ME"/>
              </w:rPr>
            </w:pPr>
          </w:p>
        </w:tc>
      </w:tr>
      <w:tr w:rsidR="00DD093D" w:rsidRPr="0009637B" w14:paraId="72BD9162" w14:textId="77777777" w:rsidTr="00DD093D">
        <w:trPr>
          <w:cantSplit/>
        </w:trPr>
        <w:tc>
          <w:tcPr>
            <w:tcW w:w="475" w:type="pct"/>
            <w:tcBorders>
              <w:top w:val="nil"/>
              <w:left w:val="single" w:sz="4" w:space="0" w:color="auto"/>
              <w:bottom w:val="single" w:sz="4" w:space="0" w:color="auto"/>
              <w:right w:val="single" w:sz="4" w:space="0" w:color="auto"/>
            </w:tcBorders>
            <w:shd w:val="clear" w:color="auto" w:fill="FFFFFF"/>
          </w:tcPr>
          <w:p w14:paraId="5AB4F8E9" w14:textId="77777777" w:rsidR="00DD093D" w:rsidRPr="005474B2" w:rsidRDefault="00DD093D" w:rsidP="0009637B">
            <w:pPr>
              <w:jc w:val="both"/>
              <w:rPr>
                <w:rFonts w:eastAsia="MS Mincho"/>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6BBDF505" w14:textId="77777777" w:rsidR="00DD093D" w:rsidRPr="005474B2" w:rsidRDefault="00DD093D" w:rsidP="0009637B">
            <w:pPr>
              <w:jc w:val="both"/>
              <w:rPr>
                <w:rFonts w:eastAsia="MS Mincho"/>
                <w:sz w:val="22"/>
                <w:szCs w:val="22"/>
                <w:lang w:val="sr-Latn-ME"/>
              </w:rPr>
            </w:pPr>
            <w:r w:rsidRPr="005474B2">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716DB866" w14:textId="77777777" w:rsidR="00DD093D" w:rsidRPr="005474B2" w:rsidRDefault="00DD093D">
            <w:pPr>
              <w:jc w:val="both"/>
              <w:rPr>
                <w:rFonts w:eastAsia="MS Mincho"/>
                <w:sz w:val="22"/>
                <w:szCs w:val="22"/>
                <w:lang w:val="sr-Latn-ME"/>
              </w:rPr>
            </w:pPr>
            <w:r w:rsidRPr="005474B2">
              <w:rPr>
                <w:rFonts w:eastAsia="MS Mincho"/>
                <w:sz w:val="22"/>
                <w:szCs w:val="22"/>
                <w:lang w:val="sr-Latn-ME"/>
              </w:rPr>
              <w:t>27/40 (67,5)</w:t>
            </w:r>
          </w:p>
        </w:tc>
        <w:tc>
          <w:tcPr>
            <w:tcW w:w="672" w:type="pct"/>
            <w:tcBorders>
              <w:top w:val="nil"/>
              <w:left w:val="single" w:sz="4" w:space="0" w:color="auto"/>
              <w:bottom w:val="single" w:sz="4" w:space="0" w:color="auto"/>
              <w:right w:val="single" w:sz="4" w:space="0" w:color="auto"/>
            </w:tcBorders>
            <w:shd w:val="clear" w:color="auto" w:fill="FFFFFF"/>
          </w:tcPr>
          <w:p w14:paraId="19481D5D" w14:textId="77777777" w:rsidR="00DD093D" w:rsidRPr="005474B2" w:rsidRDefault="00DD093D">
            <w:pPr>
              <w:jc w:val="both"/>
              <w:rPr>
                <w:rFonts w:eastAsia="MS Mincho"/>
                <w:sz w:val="22"/>
                <w:szCs w:val="22"/>
                <w:lang w:val="sr-Latn-ME"/>
              </w:rPr>
            </w:pPr>
            <w:r w:rsidRPr="005474B2">
              <w:rPr>
                <w:rFonts w:eastAsia="MS Mincho"/>
                <w:sz w:val="22"/>
                <w:szCs w:val="22"/>
                <w:lang w:val="sr-Latn-ME"/>
              </w:rPr>
              <w:t>12/41 (29,3)</w:t>
            </w:r>
          </w:p>
        </w:tc>
        <w:tc>
          <w:tcPr>
            <w:tcW w:w="1047" w:type="pct"/>
            <w:tcBorders>
              <w:top w:val="nil"/>
              <w:left w:val="single" w:sz="4" w:space="0" w:color="auto"/>
              <w:bottom w:val="single" w:sz="4" w:space="0" w:color="auto"/>
              <w:right w:val="single" w:sz="4" w:space="0" w:color="auto"/>
            </w:tcBorders>
            <w:shd w:val="clear" w:color="auto" w:fill="FFFFFF"/>
          </w:tcPr>
          <w:p w14:paraId="7E9B3972" w14:textId="77777777" w:rsidR="00DD093D" w:rsidRPr="005474B2" w:rsidRDefault="00DD093D">
            <w:pPr>
              <w:jc w:val="both"/>
              <w:rPr>
                <w:rFonts w:eastAsia="MS Mincho"/>
                <w:sz w:val="22"/>
                <w:szCs w:val="22"/>
                <w:lang w:val="sr-Latn-ME"/>
              </w:rPr>
            </w:pPr>
            <w:r w:rsidRPr="005474B2">
              <w:rPr>
                <w:rFonts w:eastAsia="MS Mincho"/>
                <w:sz w:val="22"/>
                <w:szCs w:val="22"/>
                <w:lang w:val="sr-Latn-ME"/>
              </w:rPr>
              <w:t>5,32 (1,82; 16,75)</w:t>
            </w:r>
          </w:p>
        </w:tc>
        <w:tc>
          <w:tcPr>
            <w:tcW w:w="583" w:type="pct"/>
            <w:tcBorders>
              <w:top w:val="nil"/>
              <w:left w:val="single" w:sz="4" w:space="0" w:color="auto"/>
              <w:bottom w:val="single" w:sz="4" w:space="0" w:color="auto"/>
              <w:right w:val="single" w:sz="4" w:space="0" w:color="auto"/>
            </w:tcBorders>
            <w:shd w:val="clear" w:color="auto" w:fill="FFFFFF"/>
          </w:tcPr>
          <w:p w14:paraId="23F7C141" w14:textId="77777777" w:rsidR="00DD093D" w:rsidRPr="005474B2" w:rsidRDefault="00DD093D">
            <w:pPr>
              <w:jc w:val="both"/>
              <w:rPr>
                <w:rFonts w:eastAsia="MS Mincho"/>
                <w:strike/>
                <w:sz w:val="22"/>
                <w:szCs w:val="22"/>
                <w:lang w:val="sr-Latn-ME"/>
              </w:rPr>
            </w:pPr>
          </w:p>
        </w:tc>
      </w:tr>
      <w:tr w:rsidR="00DD093D" w:rsidRPr="0009637B" w14:paraId="48D34B45" w14:textId="77777777" w:rsidTr="00DD093D">
        <w:trPr>
          <w:cantSplit/>
        </w:trPr>
        <w:tc>
          <w:tcPr>
            <w:tcW w:w="5000" w:type="pct"/>
            <w:gridSpan w:val="6"/>
            <w:tcBorders>
              <w:top w:val="nil"/>
              <w:left w:val="single" w:sz="4" w:space="0" w:color="auto"/>
              <w:bottom w:val="single" w:sz="4" w:space="0" w:color="auto"/>
              <w:right w:val="single" w:sz="4" w:space="0" w:color="auto"/>
            </w:tcBorders>
            <w:shd w:val="clear" w:color="auto" w:fill="FFFFFF"/>
          </w:tcPr>
          <w:p w14:paraId="6D7F5456" w14:textId="77777777" w:rsidR="00DD093D" w:rsidRPr="005474B2" w:rsidRDefault="00DD093D" w:rsidP="005474B2">
            <w:pPr>
              <w:keepNext/>
              <w:jc w:val="both"/>
              <w:rPr>
                <w:rFonts w:eastAsia="MS Mincho"/>
                <w:sz w:val="22"/>
                <w:szCs w:val="22"/>
                <w:lang w:val="sr-Latn-ME"/>
              </w:rPr>
            </w:pPr>
            <w:r w:rsidRPr="005474B2">
              <w:rPr>
                <w:rFonts w:eastAsia="MS Mincho"/>
                <w:b/>
                <w:sz w:val="22"/>
                <w:szCs w:val="22"/>
                <w:lang w:val="sr-Latn-ME"/>
              </w:rPr>
              <w:t>U 52. </w:t>
            </w:r>
            <w:r w:rsidR="009A4880" w:rsidRPr="005474B2">
              <w:rPr>
                <w:rFonts w:eastAsia="MS Mincho"/>
                <w:b/>
                <w:sz w:val="22"/>
                <w:szCs w:val="22"/>
                <w:lang w:val="sr-Latn-ME"/>
              </w:rPr>
              <w:t>nedjelj</w:t>
            </w:r>
            <w:r w:rsidRPr="005474B2">
              <w:rPr>
                <w:rFonts w:eastAsia="MS Mincho"/>
                <w:b/>
                <w:sz w:val="22"/>
                <w:szCs w:val="22"/>
                <w:lang w:val="sr-Latn-ME"/>
              </w:rPr>
              <w:t>i</w:t>
            </w:r>
          </w:p>
        </w:tc>
      </w:tr>
      <w:tr w:rsidR="00DD093D" w:rsidRPr="0009637B" w14:paraId="54844B90" w14:textId="77777777" w:rsidTr="00DD093D">
        <w:trPr>
          <w:cantSplit/>
        </w:trPr>
        <w:tc>
          <w:tcPr>
            <w:tcW w:w="475" w:type="pct"/>
            <w:vMerge w:val="restart"/>
            <w:tcBorders>
              <w:top w:val="nil"/>
              <w:left w:val="single" w:sz="4" w:space="0" w:color="auto"/>
              <w:right w:val="single" w:sz="4" w:space="0" w:color="auto"/>
            </w:tcBorders>
            <w:shd w:val="clear" w:color="auto" w:fill="FFFFFF"/>
          </w:tcPr>
          <w:p w14:paraId="6CFB82C9" w14:textId="77777777" w:rsidR="00DD093D" w:rsidRPr="005474B2" w:rsidRDefault="00DD093D" w:rsidP="0009637B">
            <w:pPr>
              <w:keepNext/>
              <w:jc w:val="both"/>
              <w:rPr>
                <w:rFonts w:eastAsia="MS Mincho"/>
                <w:sz w:val="22"/>
                <w:szCs w:val="22"/>
                <w:lang w:val="sr-Latn-ME"/>
              </w:rPr>
            </w:pPr>
            <w:r w:rsidRPr="005474B2">
              <w:rPr>
                <w:rFonts w:eastAsia="MS Mincho"/>
                <w:b/>
                <w:sz w:val="22"/>
                <w:szCs w:val="22"/>
                <w:lang w:val="sr-Latn-ME"/>
              </w:rPr>
              <w:t>PASI 75</w:t>
            </w:r>
          </w:p>
        </w:tc>
        <w:tc>
          <w:tcPr>
            <w:tcW w:w="1626" w:type="pct"/>
            <w:tcBorders>
              <w:top w:val="single" w:sz="4" w:space="0" w:color="auto"/>
              <w:left w:val="single" w:sz="4" w:space="0" w:color="auto"/>
              <w:right w:val="single" w:sz="4" w:space="0" w:color="auto"/>
            </w:tcBorders>
            <w:shd w:val="clear" w:color="auto" w:fill="FFFFFF"/>
          </w:tcPr>
          <w:p w14:paraId="07D5485E" w14:textId="77777777" w:rsidR="00DD093D" w:rsidRPr="005474B2" w:rsidRDefault="00DD093D" w:rsidP="0009637B">
            <w:pPr>
              <w:keepNext/>
              <w:jc w:val="both"/>
              <w:rPr>
                <w:rFonts w:eastAsia="MS Mincho"/>
                <w:sz w:val="22"/>
                <w:szCs w:val="22"/>
                <w:lang w:val="sr-Latn-ME"/>
              </w:rPr>
            </w:pPr>
            <w:r w:rsidRPr="005474B2">
              <w:rPr>
                <w:rFonts w:eastAsia="MS Mincho"/>
                <w:sz w:val="22"/>
                <w:szCs w:val="22"/>
                <w:lang w:val="sr-Latn-ME"/>
              </w:rPr>
              <w:t>niska doza sekukinumaba naspram etanercepta</w:t>
            </w:r>
          </w:p>
        </w:tc>
        <w:tc>
          <w:tcPr>
            <w:tcW w:w="597" w:type="pct"/>
            <w:tcBorders>
              <w:top w:val="single" w:sz="4" w:space="0" w:color="auto"/>
              <w:left w:val="single" w:sz="4" w:space="0" w:color="auto"/>
              <w:right w:val="single" w:sz="4" w:space="0" w:color="auto"/>
            </w:tcBorders>
            <w:shd w:val="clear" w:color="auto" w:fill="FFFFFF"/>
          </w:tcPr>
          <w:p w14:paraId="1C45EEA1"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35/40 (87,5)</w:t>
            </w:r>
          </w:p>
        </w:tc>
        <w:tc>
          <w:tcPr>
            <w:tcW w:w="672" w:type="pct"/>
            <w:tcBorders>
              <w:top w:val="single" w:sz="4" w:space="0" w:color="auto"/>
              <w:left w:val="single" w:sz="4" w:space="0" w:color="auto"/>
              <w:right w:val="single" w:sz="4" w:space="0" w:color="auto"/>
            </w:tcBorders>
            <w:shd w:val="clear" w:color="auto" w:fill="FFFFFF"/>
          </w:tcPr>
          <w:p w14:paraId="41E05DF8"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28/41 (68,3)</w:t>
            </w:r>
          </w:p>
        </w:tc>
        <w:tc>
          <w:tcPr>
            <w:tcW w:w="1047" w:type="pct"/>
            <w:tcBorders>
              <w:top w:val="single" w:sz="4" w:space="0" w:color="auto"/>
              <w:left w:val="single" w:sz="4" w:space="0" w:color="auto"/>
              <w:right w:val="single" w:sz="4" w:space="0" w:color="auto"/>
            </w:tcBorders>
            <w:shd w:val="clear" w:color="auto" w:fill="FFFFFF"/>
          </w:tcPr>
          <w:p w14:paraId="5781D7DF" w14:textId="77777777" w:rsidR="00DD093D" w:rsidRPr="005474B2" w:rsidRDefault="00DD093D">
            <w:pPr>
              <w:keepNext/>
              <w:jc w:val="both"/>
              <w:rPr>
                <w:rFonts w:eastAsia="MS Mincho"/>
                <w:strike/>
                <w:sz w:val="22"/>
                <w:szCs w:val="22"/>
                <w:lang w:val="sr-Latn-ME"/>
              </w:rPr>
            </w:pPr>
            <w:r w:rsidRPr="005474B2">
              <w:rPr>
                <w:sz w:val="22"/>
                <w:szCs w:val="22"/>
                <w:lang w:val="sr-Latn-ME"/>
              </w:rPr>
              <w:t>3,12 (0,91; 12,52)</w:t>
            </w:r>
          </w:p>
        </w:tc>
        <w:tc>
          <w:tcPr>
            <w:tcW w:w="583" w:type="pct"/>
            <w:tcBorders>
              <w:top w:val="single" w:sz="4" w:space="0" w:color="auto"/>
              <w:left w:val="single" w:sz="4" w:space="0" w:color="auto"/>
              <w:right w:val="single" w:sz="4" w:space="0" w:color="auto"/>
            </w:tcBorders>
            <w:shd w:val="clear" w:color="auto" w:fill="FFFFFF"/>
          </w:tcPr>
          <w:p w14:paraId="2B436B9E" w14:textId="77777777" w:rsidR="00DD093D" w:rsidRPr="005474B2" w:rsidRDefault="00DD093D">
            <w:pPr>
              <w:keepNext/>
              <w:jc w:val="both"/>
              <w:rPr>
                <w:rFonts w:eastAsia="MS Mincho"/>
                <w:strike/>
                <w:sz w:val="22"/>
                <w:szCs w:val="22"/>
                <w:lang w:val="sr-Latn-ME"/>
              </w:rPr>
            </w:pPr>
          </w:p>
        </w:tc>
      </w:tr>
      <w:tr w:rsidR="00DD093D" w:rsidRPr="0009637B" w14:paraId="2CADC228" w14:textId="77777777" w:rsidTr="00DD093D">
        <w:trPr>
          <w:cantSplit/>
        </w:trPr>
        <w:tc>
          <w:tcPr>
            <w:tcW w:w="475" w:type="pct"/>
            <w:vMerge/>
            <w:tcBorders>
              <w:left w:val="single" w:sz="4" w:space="0" w:color="auto"/>
              <w:bottom w:val="single" w:sz="4" w:space="0" w:color="auto"/>
              <w:right w:val="single" w:sz="4" w:space="0" w:color="auto"/>
            </w:tcBorders>
            <w:shd w:val="clear" w:color="auto" w:fill="FFFFFF"/>
          </w:tcPr>
          <w:p w14:paraId="7253B1DF" w14:textId="77777777" w:rsidR="00DD093D" w:rsidRPr="005474B2" w:rsidRDefault="00DD093D">
            <w:pPr>
              <w:keepNext/>
              <w:jc w:val="both"/>
              <w:rPr>
                <w:rFonts w:eastAsia="MS Mincho"/>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0FDB9AB2"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76CA5AAE"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35/40 (87,5)</w:t>
            </w:r>
          </w:p>
        </w:tc>
        <w:tc>
          <w:tcPr>
            <w:tcW w:w="672" w:type="pct"/>
            <w:tcBorders>
              <w:top w:val="nil"/>
              <w:left w:val="single" w:sz="4" w:space="0" w:color="auto"/>
              <w:bottom w:val="single" w:sz="4" w:space="0" w:color="auto"/>
              <w:right w:val="single" w:sz="4" w:space="0" w:color="auto"/>
            </w:tcBorders>
            <w:shd w:val="clear" w:color="auto" w:fill="FFFFFF"/>
          </w:tcPr>
          <w:p w14:paraId="4C05B202"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28/41 (68,3)</w:t>
            </w:r>
          </w:p>
        </w:tc>
        <w:tc>
          <w:tcPr>
            <w:tcW w:w="1047" w:type="pct"/>
            <w:tcBorders>
              <w:top w:val="nil"/>
              <w:left w:val="single" w:sz="4" w:space="0" w:color="auto"/>
              <w:bottom w:val="single" w:sz="4" w:space="0" w:color="auto"/>
              <w:right w:val="single" w:sz="4" w:space="0" w:color="auto"/>
            </w:tcBorders>
            <w:shd w:val="clear" w:color="auto" w:fill="FFFFFF"/>
          </w:tcPr>
          <w:p w14:paraId="118AC6AE" w14:textId="77777777" w:rsidR="00DD093D" w:rsidRPr="005474B2" w:rsidRDefault="00DD093D">
            <w:pPr>
              <w:keepNext/>
              <w:jc w:val="both"/>
              <w:rPr>
                <w:rFonts w:eastAsia="MS Mincho"/>
                <w:strike/>
                <w:sz w:val="22"/>
                <w:szCs w:val="22"/>
                <w:lang w:val="sr-Latn-ME"/>
              </w:rPr>
            </w:pPr>
            <w:r w:rsidRPr="005474B2">
              <w:rPr>
                <w:color w:val="000000"/>
                <w:sz w:val="22"/>
                <w:szCs w:val="22"/>
                <w:lang w:val="sr-Latn-ME"/>
              </w:rPr>
              <w:t>3,09 (0,90; 12,39)</w:t>
            </w:r>
          </w:p>
        </w:tc>
        <w:tc>
          <w:tcPr>
            <w:tcW w:w="583" w:type="pct"/>
            <w:tcBorders>
              <w:top w:val="nil"/>
              <w:left w:val="single" w:sz="4" w:space="0" w:color="auto"/>
              <w:bottom w:val="single" w:sz="4" w:space="0" w:color="auto"/>
              <w:right w:val="single" w:sz="4" w:space="0" w:color="auto"/>
            </w:tcBorders>
            <w:shd w:val="clear" w:color="auto" w:fill="FFFFFF"/>
          </w:tcPr>
          <w:p w14:paraId="13F4AD6C" w14:textId="77777777" w:rsidR="00DD093D" w:rsidRPr="005474B2" w:rsidRDefault="00DD093D">
            <w:pPr>
              <w:keepNext/>
              <w:jc w:val="both"/>
              <w:rPr>
                <w:rFonts w:eastAsia="MS Mincho"/>
                <w:strike/>
                <w:sz w:val="22"/>
                <w:szCs w:val="22"/>
                <w:lang w:val="sr-Latn-ME"/>
              </w:rPr>
            </w:pPr>
          </w:p>
        </w:tc>
      </w:tr>
      <w:tr w:rsidR="00DD093D" w:rsidRPr="0009637B" w14:paraId="5961D4CC" w14:textId="77777777" w:rsidTr="00DD093D">
        <w:trPr>
          <w:cantSplit/>
        </w:trPr>
        <w:tc>
          <w:tcPr>
            <w:tcW w:w="475" w:type="pct"/>
            <w:vMerge w:val="restart"/>
            <w:tcBorders>
              <w:top w:val="nil"/>
              <w:left w:val="single" w:sz="4" w:space="0" w:color="auto"/>
              <w:right w:val="single" w:sz="4" w:space="0" w:color="auto"/>
            </w:tcBorders>
            <w:shd w:val="clear" w:color="auto" w:fill="FFFFFF"/>
          </w:tcPr>
          <w:p w14:paraId="20FE3BAB" w14:textId="77777777" w:rsidR="00DD093D" w:rsidRPr="005474B2" w:rsidRDefault="00DD093D" w:rsidP="0009637B">
            <w:pPr>
              <w:keepNext/>
              <w:jc w:val="both"/>
              <w:rPr>
                <w:rFonts w:eastAsia="MS Mincho"/>
                <w:sz w:val="22"/>
                <w:szCs w:val="22"/>
                <w:lang w:val="sr-Latn-ME"/>
              </w:rPr>
            </w:pPr>
            <w:r w:rsidRPr="005474B2">
              <w:rPr>
                <w:rFonts w:eastAsia="MS Mincho"/>
                <w:b/>
                <w:sz w:val="22"/>
                <w:szCs w:val="22"/>
                <w:lang w:val="sr-Latn-ME"/>
              </w:rPr>
              <w:t>IGA 0/1</w:t>
            </w:r>
          </w:p>
        </w:tc>
        <w:tc>
          <w:tcPr>
            <w:tcW w:w="1626" w:type="pct"/>
            <w:tcBorders>
              <w:top w:val="single" w:sz="4" w:space="0" w:color="auto"/>
              <w:left w:val="single" w:sz="4" w:space="0" w:color="auto"/>
              <w:right w:val="single" w:sz="4" w:space="0" w:color="auto"/>
            </w:tcBorders>
            <w:shd w:val="clear" w:color="auto" w:fill="FFFFFF"/>
          </w:tcPr>
          <w:p w14:paraId="5443DF5E" w14:textId="77777777" w:rsidR="00DD093D" w:rsidRPr="005474B2" w:rsidRDefault="00DD093D" w:rsidP="0009637B">
            <w:pPr>
              <w:keepNext/>
              <w:jc w:val="both"/>
              <w:rPr>
                <w:rFonts w:eastAsia="MS Mincho"/>
                <w:sz w:val="22"/>
                <w:szCs w:val="22"/>
                <w:lang w:val="sr-Latn-ME"/>
              </w:rPr>
            </w:pPr>
            <w:r w:rsidRPr="005474B2">
              <w:rPr>
                <w:rFonts w:eastAsia="MS Mincho"/>
                <w:sz w:val="22"/>
                <w:szCs w:val="22"/>
                <w:lang w:val="sr-Latn-ME"/>
              </w:rPr>
              <w:t>niska doza sekukinumaba naspram etanercepta</w:t>
            </w:r>
          </w:p>
        </w:tc>
        <w:tc>
          <w:tcPr>
            <w:tcW w:w="597" w:type="pct"/>
            <w:tcBorders>
              <w:top w:val="single" w:sz="4" w:space="0" w:color="auto"/>
              <w:left w:val="single" w:sz="4" w:space="0" w:color="auto"/>
              <w:right w:val="single" w:sz="4" w:space="0" w:color="auto"/>
            </w:tcBorders>
            <w:shd w:val="clear" w:color="auto" w:fill="FFFFFF"/>
          </w:tcPr>
          <w:p w14:paraId="4ADD0798"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29/40 (72,5)</w:t>
            </w:r>
          </w:p>
        </w:tc>
        <w:tc>
          <w:tcPr>
            <w:tcW w:w="672" w:type="pct"/>
            <w:tcBorders>
              <w:top w:val="single" w:sz="4" w:space="0" w:color="auto"/>
              <w:left w:val="single" w:sz="4" w:space="0" w:color="auto"/>
              <w:right w:val="single" w:sz="4" w:space="0" w:color="auto"/>
            </w:tcBorders>
            <w:shd w:val="clear" w:color="auto" w:fill="FFFFFF"/>
          </w:tcPr>
          <w:p w14:paraId="1C792205"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23/41 (56,1)</w:t>
            </w:r>
          </w:p>
        </w:tc>
        <w:tc>
          <w:tcPr>
            <w:tcW w:w="1047" w:type="pct"/>
            <w:tcBorders>
              <w:top w:val="single" w:sz="4" w:space="0" w:color="auto"/>
              <w:left w:val="single" w:sz="4" w:space="0" w:color="auto"/>
              <w:right w:val="single" w:sz="4" w:space="0" w:color="auto"/>
            </w:tcBorders>
            <w:shd w:val="clear" w:color="auto" w:fill="FFFFFF"/>
          </w:tcPr>
          <w:p w14:paraId="6E1ADE73" w14:textId="77777777" w:rsidR="00DD093D" w:rsidRPr="005474B2" w:rsidRDefault="00DD093D">
            <w:pPr>
              <w:keepNext/>
              <w:jc w:val="both"/>
              <w:rPr>
                <w:rFonts w:eastAsia="MS Mincho"/>
                <w:strike/>
                <w:sz w:val="22"/>
                <w:szCs w:val="22"/>
                <w:lang w:val="sr-Latn-ME"/>
              </w:rPr>
            </w:pPr>
            <w:r w:rsidRPr="005474B2">
              <w:rPr>
                <w:color w:val="000000"/>
                <w:sz w:val="22"/>
                <w:szCs w:val="22"/>
                <w:lang w:val="sr-Latn-ME"/>
              </w:rPr>
              <w:t>2,02 (0,73; 5,77)</w:t>
            </w:r>
          </w:p>
        </w:tc>
        <w:tc>
          <w:tcPr>
            <w:tcW w:w="583" w:type="pct"/>
            <w:tcBorders>
              <w:top w:val="single" w:sz="4" w:space="0" w:color="auto"/>
              <w:left w:val="single" w:sz="4" w:space="0" w:color="auto"/>
              <w:right w:val="single" w:sz="4" w:space="0" w:color="auto"/>
            </w:tcBorders>
            <w:shd w:val="clear" w:color="auto" w:fill="FFFFFF"/>
          </w:tcPr>
          <w:p w14:paraId="17D4CA4E" w14:textId="77777777" w:rsidR="00DD093D" w:rsidRPr="005474B2" w:rsidRDefault="00DD093D">
            <w:pPr>
              <w:keepNext/>
              <w:jc w:val="both"/>
              <w:rPr>
                <w:rFonts w:eastAsia="MS Mincho"/>
                <w:strike/>
                <w:sz w:val="22"/>
                <w:szCs w:val="22"/>
                <w:lang w:val="sr-Latn-ME"/>
              </w:rPr>
            </w:pPr>
          </w:p>
        </w:tc>
      </w:tr>
      <w:tr w:rsidR="00DD093D" w:rsidRPr="0009637B" w14:paraId="373FB017" w14:textId="77777777" w:rsidTr="00DD093D">
        <w:trPr>
          <w:cantSplit/>
        </w:trPr>
        <w:tc>
          <w:tcPr>
            <w:tcW w:w="475" w:type="pct"/>
            <w:vMerge/>
            <w:tcBorders>
              <w:left w:val="single" w:sz="4" w:space="0" w:color="auto"/>
              <w:bottom w:val="single" w:sz="4" w:space="0" w:color="auto"/>
              <w:right w:val="single" w:sz="4" w:space="0" w:color="auto"/>
            </w:tcBorders>
            <w:shd w:val="clear" w:color="auto" w:fill="FFFFFF"/>
          </w:tcPr>
          <w:p w14:paraId="192D745F" w14:textId="77777777" w:rsidR="00DD093D" w:rsidRPr="005474B2" w:rsidRDefault="00DD093D">
            <w:pPr>
              <w:keepNext/>
              <w:jc w:val="both"/>
              <w:rPr>
                <w:rFonts w:eastAsia="MS Mincho"/>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7FD62751"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55AF4137"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30/40 (75,0)</w:t>
            </w:r>
          </w:p>
        </w:tc>
        <w:tc>
          <w:tcPr>
            <w:tcW w:w="672" w:type="pct"/>
            <w:tcBorders>
              <w:top w:val="nil"/>
              <w:left w:val="single" w:sz="4" w:space="0" w:color="auto"/>
              <w:bottom w:val="single" w:sz="4" w:space="0" w:color="auto"/>
              <w:right w:val="single" w:sz="4" w:space="0" w:color="auto"/>
            </w:tcBorders>
            <w:shd w:val="clear" w:color="auto" w:fill="FFFFFF"/>
          </w:tcPr>
          <w:p w14:paraId="3F65BF4F"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23/41 (56,1)</w:t>
            </w:r>
          </w:p>
        </w:tc>
        <w:tc>
          <w:tcPr>
            <w:tcW w:w="1047" w:type="pct"/>
            <w:tcBorders>
              <w:top w:val="nil"/>
              <w:left w:val="single" w:sz="4" w:space="0" w:color="auto"/>
              <w:bottom w:val="single" w:sz="4" w:space="0" w:color="auto"/>
              <w:right w:val="single" w:sz="4" w:space="0" w:color="auto"/>
            </w:tcBorders>
            <w:shd w:val="clear" w:color="auto" w:fill="FFFFFF"/>
          </w:tcPr>
          <w:p w14:paraId="3D691BDB" w14:textId="77777777" w:rsidR="00DD093D" w:rsidRPr="005474B2" w:rsidRDefault="00DD093D">
            <w:pPr>
              <w:keepNext/>
              <w:jc w:val="both"/>
              <w:rPr>
                <w:rFonts w:eastAsia="MS Mincho"/>
                <w:strike/>
                <w:sz w:val="22"/>
                <w:szCs w:val="22"/>
                <w:lang w:val="sr-Latn-ME"/>
              </w:rPr>
            </w:pPr>
            <w:r w:rsidRPr="005474B2">
              <w:rPr>
                <w:color w:val="000000"/>
                <w:sz w:val="22"/>
                <w:szCs w:val="22"/>
                <w:lang w:val="sr-Latn-ME"/>
              </w:rPr>
              <w:t>2,26 (0,81; 6,62)</w:t>
            </w:r>
          </w:p>
        </w:tc>
        <w:tc>
          <w:tcPr>
            <w:tcW w:w="583" w:type="pct"/>
            <w:tcBorders>
              <w:top w:val="nil"/>
              <w:left w:val="single" w:sz="4" w:space="0" w:color="auto"/>
              <w:bottom w:val="single" w:sz="4" w:space="0" w:color="auto"/>
              <w:right w:val="single" w:sz="4" w:space="0" w:color="auto"/>
            </w:tcBorders>
            <w:shd w:val="clear" w:color="auto" w:fill="FFFFFF"/>
          </w:tcPr>
          <w:p w14:paraId="045E7874" w14:textId="77777777" w:rsidR="00DD093D" w:rsidRPr="005474B2" w:rsidRDefault="00DD093D">
            <w:pPr>
              <w:keepNext/>
              <w:jc w:val="both"/>
              <w:rPr>
                <w:rFonts w:eastAsia="MS Mincho"/>
                <w:strike/>
                <w:sz w:val="22"/>
                <w:szCs w:val="22"/>
                <w:lang w:val="sr-Latn-ME"/>
              </w:rPr>
            </w:pPr>
          </w:p>
        </w:tc>
      </w:tr>
      <w:tr w:rsidR="00DD093D" w:rsidRPr="0009637B" w14:paraId="52C277D4" w14:textId="77777777" w:rsidTr="00DD093D">
        <w:trPr>
          <w:cantSplit/>
        </w:trPr>
        <w:tc>
          <w:tcPr>
            <w:tcW w:w="475" w:type="pct"/>
            <w:vMerge w:val="restart"/>
            <w:tcBorders>
              <w:top w:val="nil"/>
              <w:left w:val="single" w:sz="4" w:space="0" w:color="auto"/>
              <w:right w:val="single" w:sz="4" w:space="0" w:color="auto"/>
            </w:tcBorders>
            <w:shd w:val="clear" w:color="auto" w:fill="FFFFFF"/>
          </w:tcPr>
          <w:p w14:paraId="215333CE" w14:textId="77777777" w:rsidR="00DD093D" w:rsidRPr="005474B2" w:rsidRDefault="00DD093D" w:rsidP="0009637B">
            <w:pPr>
              <w:keepNext/>
              <w:jc w:val="both"/>
              <w:rPr>
                <w:rFonts w:eastAsia="MS Mincho"/>
                <w:sz w:val="22"/>
                <w:szCs w:val="22"/>
                <w:lang w:val="sr-Latn-ME"/>
              </w:rPr>
            </w:pPr>
            <w:r w:rsidRPr="005474B2">
              <w:rPr>
                <w:rFonts w:eastAsia="MS Mincho"/>
                <w:b/>
                <w:sz w:val="22"/>
                <w:szCs w:val="22"/>
                <w:lang w:val="sr-Latn-ME"/>
              </w:rPr>
              <w:t>PASI 90</w:t>
            </w:r>
          </w:p>
        </w:tc>
        <w:tc>
          <w:tcPr>
            <w:tcW w:w="1626" w:type="pct"/>
            <w:tcBorders>
              <w:top w:val="single" w:sz="4" w:space="0" w:color="auto"/>
              <w:left w:val="single" w:sz="4" w:space="0" w:color="auto"/>
              <w:right w:val="single" w:sz="4" w:space="0" w:color="auto"/>
            </w:tcBorders>
            <w:shd w:val="clear" w:color="auto" w:fill="FFFFFF"/>
          </w:tcPr>
          <w:p w14:paraId="0FF72A53" w14:textId="77777777" w:rsidR="00DD093D" w:rsidRPr="005474B2" w:rsidRDefault="00DD093D" w:rsidP="0009637B">
            <w:pPr>
              <w:keepNext/>
              <w:jc w:val="both"/>
              <w:rPr>
                <w:rFonts w:eastAsia="MS Mincho"/>
                <w:sz w:val="22"/>
                <w:szCs w:val="22"/>
                <w:lang w:val="sr-Latn-ME"/>
              </w:rPr>
            </w:pPr>
            <w:r w:rsidRPr="005474B2">
              <w:rPr>
                <w:rFonts w:eastAsia="MS Mincho"/>
                <w:sz w:val="22"/>
                <w:szCs w:val="22"/>
                <w:lang w:val="sr-Latn-ME"/>
              </w:rPr>
              <w:t>niska doza sekukinumaba naspram etanercepta</w:t>
            </w:r>
          </w:p>
        </w:tc>
        <w:tc>
          <w:tcPr>
            <w:tcW w:w="597" w:type="pct"/>
            <w:tcBorders>
              <w:top w:val="single" w:sz="4" w:space="0" w:color="auto"/>
              <w:left w:val="single" w:sz="4" w:space="0" w:color="auto"/>
              <w:right w:val="single" w:sz="4" w:space="0" w:color="auto"/>
            </w:tcBorders>
            <w:shd w:val="clear" w:color="auto" w:fill="FFFFFF"/>
          </w:tcPr>
          <w:p w14:paraId="181F6661"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30/40 (75,0)</w:t>
            </w:r>
          </w:p>
        </w:tc>
        <w:tc>
          <w:tcPr>
            <w:tcW w:w="672" w:type="pct"/>
            <w:tcBorders>
              <w:top w:val="single" w:sz="4" w:space="0" w:color="auto"/>
              <w:left w:val="single" w:sz="4" w:space="0" w:color="auto"/>
              <w:right w:val="single" w:sz="4" w:space="0" w:color="auto"/>
            </w:tcBorders>
            <w:shd w:val="clear" w:color="auto" w:fill="FFFFFF"/>
          </w:tcPr>
          <w:p w14:paraId="07A761DF"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21/41 (51,2)</w:t>
            </w:r>
          </w:p>
        </w:tc>
        <w:tc>
          <w:tcPr>
            <w:tcW w:w="1047" w:type="pct"/>
            <w:tcBorders>
              <w:top w:val="single" w:sz="4" w:space="0" w:color="auto"/>
              <w:left w:val="single" w:sz="4" w:space="0" w:color="auto"/>
              <w:right w:val="single" w:sz="4" w:space="0" w:color="auto"/>
            </w:tcBorders>
            <w:shd w:val="clear" w:color="auto" w:fill="FFFFFF"/>
          </w:tcPr>
          <w:p w14:paraId="3B625831" w14:textId="77777777" w:rsidR="00DD093D" w:rsidRPr="005474B2" w:rsidRDefault="00DD093D">
            <w:pPr>
              <w:keepNext/>
              <w:jc w:val="both"/>
              <w:rPr>
                <w:rFonts w:eastAsia="MS Mincho"/>
                <w:strike/>
                <w:sz w:val="22"/>
                <w:szCs w:val="22"/>
                <w:lang w:val="sr-Latn-ME"/>
              </w:rPr>
            </w:pPr>
            <w:r w:rsidRPr="005474B2">
              <w:rPr>
                <w:color w:val="000000"/>
                <w:sz w:val="22"/>
                <w:szCs w:val="22"/>
                <w:lang w:val="sr-Latn-ME"/>
              </w:rPr>
              <w:t>2,85 (1,02; 8,38)</w:t>
            </w:r>
          </w:p>
        </w:tc>
        <w:tc>
          <w:tcPr>
            <w:tcW w:w="583" w:type="pct"/>
            <w:tcBorders>
              <w:top w:val="single" w:sz="4" w:space="0" w:color="auto"/>
              <w:left w:val="single" w:sz="4" w:space="0" w:color="auto"/>
              <w:right w:val="single" w:sz="4" w:space="0" w:color="auto"/>
            </w:tcBorders>
            <w:shd w:val="clear" w:color="auto" w:fill="FFFFFF"/>
          </w:tcPr>
          <w:p w14:paraId="46DE21C6" w14:textId="77777777" w:rsidR="00DD093D" w:rsidRPr="005474B2" w:rsidRDefault="00DD093D">
            <w:pPr>
              <w:keepNext/>
              <w:jc w:val="both"/>
              <w:rPr>
                <w:rFonts w:eastAsia="MS Mincho"/>
                <w:strike/>
                <w:sz w:val="22"/>
                <w:szCs w:val="22"/>
                <w:lang w:val="sr-Latn-ME"/>
              </w:rPr>
            </w:pPr>
          </w:p>
        </w:tc>
      </w:tr>
      <w:tr w:rsidR="00DD093D" w:rsidRPr="0009637B" w14:paraId="5167B446" w14:textId="77777777" w:rsidTr="00DD093D">
        <w:trPr>
          <w:cantSplit/>
          <w:trHeight w:val="98"/>
        </w:trPr>
        <w:tc>
          <w:tcPr>
            <w:tcW w:w="475" w:type="pct"/>
            <w:vMerge/>
            <w:tcBorders>
              <w:left w:val="single" w:sz="4" w:space="0" w:color="auto"/>
              <w:bottom w:val="single" w:sz="4" w:space="0" w:color="auto"/>
              <w:right w:val="single" w:sz="4" w:space="0" w:color="auto"/>
            </w:tcBorders>
            <w:shd w:val="clear" w:color="auto" w:fill="FFFFFF"/>
          </w:tcPr>
          <w:p w14:paraId="097BE420" w14:textId="77777777" w:rsidR="00DD093D" w:rsidRPr="005474B2" w:rsidRDefault="00DD093D">
            <w:pPr>
              <w:keepNext/>
              <w:jc w:val="both"/>
              <w:rPr>
                <w:rFonts w:eastAsia="MS Mincho"/>
                <w:sz w:val="22"/>
                <w:szCs w:val="22"/>
                <w:lang w:val="sr-Latn-ME"/>
              </w:rPr>
            </w:pPr>
          </w:p>
        </w:tc>
        <w:tc>
          <w:tcPr>
            <w:tcW w:w="1626" w:type="pct"/>
            <w:tcBorders>
              <w:left w:val="single" w:sz="4" w:space="0" w:color="auto"/>
              <w:right w:val="single" w:sz="4" w:space="0" w:color="auto"/>
            </w:tcBorders>
            <w:shd w:val="clear" w:color="auto" w:fill="FFFFFF"/>
          </w:tcPr>
          <w:p w14:paraId="70EB4683"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visoka doza sekukinumaba naspram etanercepta</w:t>
            </w:r>
          </w:p>
        </w:tc>
        <w:tc>
          <w:tcPr>
            <w:tcW w:w="597" w:type="pct"/>
            <w:tcBorders>
              <w:left w:val="single" w:sz="4" w:space="0" w:color="auto"/>
              <w:right w:val="single" w:sz="4" w:space="0" w:color="auto"/>
            </w:tcBorders>
            <w:shd w:val="clear" w:color="auto" w:fill="FFFFFF"/>
          </w:tcPr>
          <w:p w14:paraId="0CFCF3D9"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32/40 (80,0)</w:t>
            </w:r>
          </w:p>
        </w:tc>
        <w:tc>
          <w:tcPr>
            <w:tcW w:w="672" w:type="pct"/>
            <w:tcBorders>
              <w:left w:val="single" w:sz="4" w:space="0" w:color="auto"/>
              <w:right w:val="single" w:sz="4" w:space="0" w:color="auto"/>
            </w:tcBorders>
            <w:shd w:val="clear" w:color="auto" w:fill="FFFFFF"/>
          </w:tcPr>
          <w:p w14:paraId="5F2380CE" w14:textId="77777777" w:rsidR="00DD093D" w:rsidRPr="005474B2" w:rsidRDefault="00DD093D">
            <w:pPr>
              <w:keepNext/>
              <w:jc w:val="both"/>
              <w:rPr>
                <w:rFonts w:eastAsia="MS Mincho"/>
                <w:sz w:val="22"/>
                <w:szCs w:val="22"/>
                <w:lang w:val="sr-Latn-ME"/>
              </w:rPr>
            </w:pPr>
            <w:r w:rsidRPr="005474B2">
              <w:rPr>
                <w:rFonts w:eastAsia="MS Mincho"/>
                <w:sz w:val="22"/>
                <w:szCs w:val="22"/>
                <w:lang w:val="sr-Latn-ME"/>
              </w:rPr>
              <w:t>21/41 (51,2)</w:t>
            </w:r>
          </w:p>
        </w:tc>
        <w:tc>
          <w:tcPr>
            <w:tcW w:w="1047" w:type="pct"/>
            <w:tcBorders>
              <w:left w:val="single" w:sz="4" w:space="0" w:color="auto"/>
              <w:right w:val="single" w:sz="4" w:space="0" w:color="auto"/>
            </w:tcBorders>
            <w:shd w:val="clear" w:color="auto" w:fill="FFFFFF"/>
          </w:tcPr>
          <w:p w14:paraId="701148C8" w14:textId="77777777" w:rsidR="00DD093D" w:rsidRPr="005474B2" w:rsidRDefault="00DD093D">
            <w:pPr>
              <w:keepNext/>
              <w:jc w:val="both"/>
              <w:rPr>
                <w:rFonts w:eastAsia="MS Mincho"/>
                <w:strike/>
                <w:sz w:val="22"/>
                <w:szCs w:val="22"/>
                <w:lang w:val="sr-Latn-ME"/>
              </w:rPr>
            </w:pPr>
            <w:r w:rsidRPr="005474B2">
              <w:rPr>
                <w:color w:val="000000"/>
                <w:sz w:val="22"/>
                <w:szCs w:val="22"/>
                <w:lang w:val="sr-Latn-ME"/>
              </w:rPr>
              <w:t>3,69 (1,27; 11,61)</w:t>
            </w:r>
          </w:p>
        </w:tc>
        <w:tc>
          <w:tcPr>
            <w:tcW w:w="583" w:type="pct"/>
            <w:tcBorders>
              <w:left w:val="single" w:sz="4" w:space="0" w:color="auto"/>
              <w:right w:val="single" w:sz="4" w:space="0" w:color="auto"/>
            </w:tcBorders>
            <w:shd w:val="clear" w:color="auto" w:fill="FFFFFF"/>
          </w:tcPr>
          <w:p w14:paraId="62221AB6" w14:textId="77777777" w:rsidR="00DD093D" w:rsidRPr="005474B2" w:rsidRDefault="00DD093D">
            <w:pPr>
              <w:keepNext/>
              <w:jc w:val="both"/>
              <w:rPr>
                <w:rFonts w:eastAsia="MS Mincho"/>
                <w:strike/>
                <w:sz w:val="22"/>
                <w:szCs w:val="22"/>
                <w:lang w:val="sr-Latn-ME"/>
              </w:rPr>
            </w:pPr>
          </w:p>
        </w:tc>
      </w:tr>
      <w:tr w:rsidR="00DD093D" w:rsidRPr="0009637B" w14:paraId="39E7B3F9" w14:textId="77777777" w:rsidTr="00DD093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14:paraId="127BBA73" w14:textId="77777777" w:rsidR="00DD093D" w:rsidRPr="005474B2" w:rsidRDefault="00DD093D" w:rsidP="0009637B">
            <w:pPr>
              <w:keepLines/>
              <w:tabs>
                <w:tab w:val="left" w:pos="284"/>
              </w:tabs>
              <w:jc w:val="both"/>
              <w:rPr>
                <w:rFonts w:eastAsia="MS Mincho"/>
                <w:sz w:val="22"/>
                <w:szCs w:val="22"/>
                <w:lang w:val="sr-Latn-ME"/>
              </w:rPr>
            </w:pPr>
            <w:r w:rsidRPr="005474B2">
              <w:rPr>
                <w:rFonts w:eastAsia="MS Mincho"/>
                <w:sz w:val="22"/>
                <w:szCs w:val="22"/>
                <w:lang w:val="sr-Latn-ME"/>
              </w:rPr>
              <w:t xml:space="preserve">* za </w:t>
            </w:r>
            <w:r w:rsidR="00A233FB" w:rsidRPr="005474B2">
              <w:rPr>
                <w:rFonts w:eastAsia="MS Mincho"/>
                <w:sz w:val="22"/>
                <w:szCs w:val="22"/>
                <w:lang w:val="sr-Latn-ME"/>
              </w:rPr>
              <w:t>vrijednosti</w:t>
            </w:r>
            <w:r w:rsidRPr="005474B2">
              <w:rPr>
                <w:rFonts w:eastAsia="MS Mincho"/>
                <w:sz w:val="22"/>
                <w:szCs w:val="22"/>
                <w:lang w:val="sr-Latn-ME"/>
              </w:rPr>
              <w:t xml:space="preserve"> koje nedostaju koristila se imputacija pacijenata bez odgovora</w:t>
            </w:r>
          </w:p>
          <w:p w14:paraId="2FAC792A" w14:textId="77777777" w:rsidR="00DD093D" w:rsidRPr="005474B2" w:rsidRDefault="00DD093D" w:rsidP="0009637B">
            <w:pPr>
              <w:keepLines/>
              <w:tabs>
                <w:tab w:val="left" w:pos="284"/>
              </w:tabs>
              <w:jc w:val="both"/>
              <w:rPr>
                <w:rFonts w:eastAsia="MS Mincho"/>
                <w:sz w:val="22"/>
                <w:szCs w:val="22"/>
                <w:lang w:val="sr-Latn-ME"/>
              </w:rPr>
            </w:pPr>
            <w:r w:rsidRPr="005474B2">
              <w:rPr>
                <w:rFonts w:eastAsia="MS Mincho"/>
                <w:sz w:val="22"/>
                <w:szCs w:val="22"/>
                <w:lang w:val="sr-Latn-ME"/>
              </w:rPr>
              <w:t>** n je broj pacijenata s odgovorom, m = broj oc</w:t>
            </w:r>
            <w:r w:rsidR="008F70AE" w:rsidRPr="005474B2">
              <w:rPr>
                <w:rFonts w:eastAsia="MS Mincho"/>
                <w:sz w:val="22"/>
                <w:szCs w:val="22"/>
                <w:lang w:val="sr-Latn-ME"/>
              </w:rPr>
              <w:t>j</w:t>
            </w:r>
            <w:r w:rsidRPr="005474B2">
              <w:rPr>
                <w:rFonts w:eastAsia="MS Mincho"/>
                <w:sz w:val="22"/>
                <w:szCs w:val="22"/>
                <w:lang w:val="sr-Latn-ME"/>
              </w:rPr>
              <w:t>enjivih pacijenata</w:t>
            </w:r>
          </w:p>
          <w:p w14:paraId="06B0FA42" w14:textId="77777777" w:rsidR="00DD093D" w:rsidRPr="005474B2" w:rsidRDefault="00DD093D">
            <w:pPr>
              <w:keepLines/>
              <w:tabs>
                <w:tab w:val="left" w:pos="284"/>
              </w:tabs>
              <w:jc w:val="both"/>
              <w:rPr>
                <w:rFonts w:eastAsia="MS Mincho"/>
                <w:sz w:val="22"/>
                <w:szCs w:val="22"/>
                <w:lang w:val="sr-Latn-ME"/>
              </w:rPr>
            </w:pPr>
            <w:r w:rsidRPr="005474B2">
              <w:rPr>
                <w:rFonts w:eastAsia="MS Mincho"/>
                <w:sz w:val="22"/>
                <w:szCs w:val="22"/>
                <w:lang w:val="sr-Latn-ME"/>
              </w:rPr>
              <w:t>*** produženo vr</w:t>
            </w:r>
            <w:r w:rsidR="008F70AE" w:rsidRPr="005474B2">
              <w:rPr>
                <w:rFonts w:eastAsia="MS Mincho"/>
                <w:sz w:val="22"/>
                <w:szCs w:val="22"/>
                <w:lang w:val="sr-Latn-ME"/>
              </w:rPr>
              <w:t>ij</w:t>
            </w:r>
            <w:r w:rsidRPr="005474B2">
              <w:rPr>
                <w:rFonts w:eastAsia="MS Mincho"/>
                <w:sz w:val="22"/>
                <w:szCs w:val="22"/>
                <w:lang w:val="sr-Latn-ME"/>
              </w:rPr>
              <w:t>eme u kojem je moguće obaviti posjete u 12. </w:t>
            </w:r>
            <w:r w:rsidR="009A4880" w:rsidRPr="005474B2">
              <w:rPr>
                <w:rFonts w:eastAsia="MS Mincho"/>
                <w:sz w:val="22"/>
                <w:szCs w:val="22"/>
                <w:lang w:val="sr-Latn-ME"/>
              </w:rPr>
              <w:t>nedjelj</w:t>
            </w:r>
            <w:r w:rsidRPr="005474B2">
              <w:rPr>
                <w:rFonts w:eastAsia="MS Mincho"/>
                <w:sz w:val="22"/>
                <w:szCs w:val="22"/>
                <w:lang w:val="sr-Latn-ME"/>
              </w:rPr>
              <w:t>i</w:t>
            </w:r>
          </w:p>
          <w:p w14:paraId="4E7D59B8" w14:textId="514FB9AD" w:rsidR="00DD093D" w:rsidRPr="005474B2" w:rsidRDefault="00DD093D">
            <w:pPr>
              <w:keepLines/>
              <w:tabs>
                <w:tab w:val="left" w:pos="284"/>
              </w:tabs>
              <w:jc w:val="both"/>
              <w:rPr>
                <w:rFonts w:eastAsia="MS Mincho"/>
                <w:sz w:val="22"/>
                <w:szCs w:val="22"/>
                <w:lang w:val="sr-Latn-ME"/>
              </w:rPr>
            </w:pPr>
            <w:r w:rsidRPr="005474B2">
              <w:rPr>
                <w:rFonts w:eastAsia="MS Mincho"/>
                <w:sz w:val="22"/>
                <w:szCs w:val="22"/>
                <w:lang w:val="sr-Latn-ME"/>
              </w:rPr>
              <w:t>Odnos ishoda, 95% interval pouzdanosti i p</w:t>
            </w:r>
            <w:r w:rsidRPr="005474B2">
              <w:rPr>
                <w:rFonts w:eastAsia="MS Mincho"/>
                <w:sz w:val="22"/>
                <w:szCs w:val="22"/>
                <w:lang w:val="sr-Latn-ME"/>
              </w:rPr>
              <w:noBreakHyphen/>
              <w:t>vrijednost su iz egzaktnog modela logističke regresije s terapijskom grupom, kategorijom početne t</w:t>
            </w:r>
            <w:r w:rsidR="000538E6" w:rsidRPr="005474B2">
              <w:rPr>
                <w:rFonts w:eastAsia="MS Mincho"/>
                <w:sz w:val="22"/>
                <w:szCs w:val="22"/>
                <w:lang w:val="sr-Latn-ME"/>
              </w:rPr>
              <w:t>j</w:t>
            </w:r>
            <w:r w:rsidRPr="005474B2">
              <w:rPr>
                <w:rFonts w:eastAsia="MS Mincho"/>
                <w:sz w:val="22"/>
                <w:szCs w:val="22"/>
                <w:lang w:val="sr-Latn-ME"/>
              </w:rPr>
              <w:t>elesne težine i kategorijom uzrasta kao faktorima</w:t>
            </w:r>
            <w:r w:rsidR="00532174" w:rsidRPr="005474B2">
              <w:rPr>
                <w:rFonts w:eastAsia="MS Mincho"/>
                <w:sz w:val="22"/>
                <w:szCs w:val="22"/>
                <w:lang w:val="sr-Latn-ME"/>
              </w:rPr>
              <w:t>.</w:t>
            </w:r>
          </w:p>
        </w:tc>
      </w:tr>
    </w:tbl>
    <w:p w14:paraId="08F01FEB" w14:textId="77777777" w:rsidR="00DD093D" w:rsidRPr="005474B2" w:rsidRDefault="00DD093D" w:rsidP="0009637B">
      <w:pPr>
        <w:tabs>
          <w:tab w:val="left" w:pos="540"/>
          <w:tab w:val="left" w:pos="569"/>
        </w:tabs>
        <w:jc w:val="both"/>
        <w:rPr>
          <w:b/>
          <w:bCs/>
          <w:sz w:val="22"/>
          <w:szCs w:val="22"/>
          <w:lang w:val="sr-Latn-ME"/>
        </w:rPr>
      </w:pPr>
    </w:p>
    <w:p w14:paraId="7F052048" w14:textId="07C5884E" w:rsidR="00DD093D" w:rsidRPr="005474B2" w:rsidRDefault="00DD093D" w:rsidP="0009637B">
      <w:pPr>
        <w:tabs>
          <w:tab w:val="left" w:pos="284"/>
        </w:tabs>
        <w:autoSpaceDE w:val="0"/>
        <w:autoSpaceDN w:val="0"/>
        <w:jc w:val="both"/>
        <w:rPr>
          <w:sz w:val="22"/>
          <w:szCs w:val="22"/>
          <w:lang w:val="sr-Latn-ME"/>
        </w:rPr>
      </w:pPr>
      <w:r w:rsidRPr="005474B2">
        <w:rPr>
          <w:sz w:val="22"/>
          <w:szCs w:val="22"/>
          <w:lang w:val="sr-Latn-ME"/>
        </w:rPr>
        <w:t xml:space="preserve">Veći procenat pedijatrijskih pacijenata </w:t>
      </w:r>
      <w:r w:rsidR="009A4880" w:rsidRPr="005474B2">
        <w:rPr>
          <w:sz w:val="22"/>
          <w:szCs w:val="22"/>
          <w:lang w:val="sr-Latn-ME"/>
        </w:rPr>
        <w:t>liječ</w:t>
      </w:r>
      <w:r w:rsidRPr="005474B2">
        <w:rPr>
          <w:sz w:val="22"/>
          <w:szCs w:val="22"/>
          <w:lang w:val="sr-Latn-ME"/>
        </w:rPr>
        <w:t>enih sekukinumabom prijavio je poboljšanje kvaliteta života povezanog sa zdravljem, m</w:t>
      </w:r>
      <w:r w:rsidR="000538E6" w:rsidRPr="005474B2">
        <w:rPr>
          <w:sz w:val="22"/>
          <w:szCs w:val="22"/>
          <w:lang w:val="sr-Latn-ME"/>
        </w:rPr>
        <w:t>j</w:t>
      </w:r>
      <w:r w:rsidRPr="005474B2">
        <w:rPr>
          <w:sz w:val="22"/>
          <w:szCs w:val="22"/>
          <w:lang w:val="sr-Latn-ME"/>
        </w:rPr>
        <w:t>eren</w:t>
      </w:r>
      <w:r w:rsidR="000538E6" w:rsidRPr="005474B2">
        <w:rPr>
          <w:sz w:val="22"/>
          <w:szCs w:val="22"/>
          <w:lang w:val="sr-Latn-ME"/>
        </w:rPr>
        <w:t>o</w:t>
      </w:r>
      <w:r w:rsidRPr="005474B2">
        <w:rPr>
          <w:sz w:val="22"/>
          <w:szCs w:val="22"/>
          <w:lang w:val="sr-Latn-ME"/>
        </w:rPr>
        <w:t xml:space="preserve"> rezultatom za CDLQI od 0 ili 1 u poređenju s placebom u 12. </w:t>
      </w:r>
      <w:r w:rsidR="009A4880" w:rsidRPr="005474B2">
        <w:rPr>
          <w:sz w:val="22"/>
          <w:szCs w:val="22"/>
          <w:lang w:val="sr-Latn-ME"/>
        </w:rPr>
        <w:t>nedjelj</w:t>
      </w:r>
      <w:r w:rsidRPr="005474B2">
        <w:rPr>
          <w:sz w:val="22"/>
          <w:szCs w:val="22"/>
          <w:lang w:val="sr-Latn-ME"/>
        </w:rPr>
        <w:t>i (niska doza 44,7%, visoka doza 50%, placebo 15%). Tokom vremena do i uključujući 52. </w:t>
      </w:r>
      <w:r w:rsidR="009A4880" w:rsidRPr="005474B2">
        <w:rPr>
          <w:sz w:val="22"/>
          <w:szCs w:val="22"/>
          <w:lang w:val="sr-Latn-ME"/>
        </w:rPr>
        <w:t>nedjelj</w:t>
      </w:r>
      <w:r w:rsidRPr="005474B2">
        <w:rPr>
          <w:sz w:val="22"/>
          <w:szCs w:val="22"/>
          <w:lang w:val="sr-Latn-ME"/>
        </w:rPr>
        <w:t>u</w:t>
      </w:r>
      <w:r w:rsidR="00532174" w:rsidRPr="005474B2">
        <w:rPr>
          <w:sz w:val="22"/>
          <w:szCs w:val="22"/>
          <w:lang w:val="sr-Latn-ME"/>
        </w:rPr>
        <w:t>,</w:t>
      </w:r>
      <w:r w:rsidRPr="005474B2">
        <w:rPr>
          <w:sz w:val="22"/>
          <w:szCs w:val="22"/>
          <w:lang w:val="sr-Latn-ME"/>
        </w:rPr>
        <w:t xml:space="preserve"> ob</w:t>
      </w:r>
      <w:r w:rsidR="000538E6" w:rsidRPr="005474B2">
        <w:rPr>
          <w:sz w:val="22"/>
          <w:szCs w:val="22"/>
          <w:lang w:val="sr-Latn-ME"/>
        </w:rPr>
        <w:t>j</w:t>
      </w:r>
      <w:r w:rsidRPr="005474B2">
        <w:rPr>
          <w:sz w:val="22"/>
          <w:szCs w:val="22"/>
          <w:lang w:val="sr-Latn-ME"/>
        </w:rPr>
        <w:t>e grupe prema dozi sekukinumaba su bile brojčano veće od etanercept grupe (niska doza 60,6%, visoka doza 66,7%, etanercept 44,4%).</w:t>
      </w:r>
    </w:p>
    <w:p w14:paraId="02B466EA" w14:textId="77777777" w:rsidR="00DD093D" w:rsidRPr="005474B2" w:rsidRDefault="00DD093D">
      <w:pPr>
        <w:jc w:val="both"/>
        <w:rPr>
          <w:rFonts w:eastAsia="MS Mincho"/>
          <w:sz w:val="22"/>
          <w:szCs w:val="22"/>
          <w:lang w:val="sr-Latn-ME"/>
        </w:rPr>
      </w:pPr>
    </w:p>
    <w:p w14:paraId="5DDCE31E" w14:textId="77777777" w:rsidR="00DD093D" w:rsidRPr="005474B2" w:rsidRDefault="009A4880">
      <w:pPr>
        <w:keepNext/>
        <w:jc w:val="both"/>
        <w:rPr>
          <w:rFonts w:eastAsia="MS Mincho"/>
          <w:sz w:val="22"/>
          <w:szCs w:val="22"/>
          <w:lang w:val="sr-Latn-ME"/>
        </w:rPr>
      </w:pPr>
      <w:r w:rsidRPr="005474B2">
        <w:rPr>
          <w:rFonts w:eastAsia="MS Mincho"/>
          <w:i/>
          <w:sz w:val="22"/>
          <w:szCs w:val="22"/>
          <w:lang w:val="sr-Latn-ME"/>
        </w:rPr>
        <w:t>Umjeren</w:t>
      </w:r>
      <w:r w:rsidR="00DD093D" w:rsidRPr="005474B2">
        <w:rPr>
          <w:rFonts w:eastAsia="MS Mincho"/>
          <w:i/>
          <w:sz w:val="22"/>
          <w:szCs w:val="22"/>
          <w:lang w:val="sr-Latn-ME"/>
        </w:rPr>
        <w:t>a do teška plak psorijaza</w:t>
      </w:r>
    </w:p>
    <w:p w14:paraId="7E01D402" w14:textId="77777777" w:rsidR="00DD093D" w:rsidRPr="005474B2" w:rsidRDefault="00DD093D">
      <w:pPr>
        <w:jc w:val="both"/>
        <w:rPr>
          <w:rFonts w:eastAsia="MS Mincho"/>
          <w:sz w:val="22"/>
          <w:szCs w:val="22"/>
          <w:lang w:val="sr-Latn-ME"/>
        </w:rPr>
      </w:pPr>
      <w:r w:rsidRPr="005474B2">
        <w:rPr>
          <w:rFonts w:eastAsia="MS Mincho"/>
          <w:sz w:val="22"/>
          <w:szCs w:val="22"/>
          <w:lang w:val="sr-Latn-ME"/>
        </w:rPr>
        <w:t xml:space="preserve">Bilo je predviđeno da će sekukinumab biti efikasan za </w:t>
      </w:r>
      <w:r w:rsidR="009A4880" w:rsidRPr="005474B2">
        <w:rPr>
          <w:rFonts w:eastAsia="MS Mincho"/>
          <w:sz w:val="22"/>
          <w:szCs w:val="22"/>
          <w:lang w:val="sr-Latn-ME"/>
        </w:rPr>
        <w:t>liječ</w:t>
      </w:r>
      <w:r w:rsidRPr="005474B2">
        <w:rPr>
          <w:rFonts w:eastAsia="MS Mincho"/>
          <w:sz w:val="22"/>
          <w:szCs w:val="22"/>
          <w:lang w:val="sr-Latn-ME"/>
        </w:rPr>
        <w:t xml:space="preserve">enje pedijatrijskih pacijenata s </w:t>
      </w:r>
      <w:r w:rsidR="009A4880" w:rsidRPr="005474B2">
        <w:rPr>
          <w:rFonts w:eastAsia="MS Mincho"/>
          <w:sz w:val="22"/>
          <w:szCs w:val="22"/>
          <w:lang w:val="sr-Latn-ME"/>
        </w:rPr>
        <w:t>umjeren</w:t>
      </w:r>
      <w:r w:rsidRPr="005474B2">
        <w:rPr>
          <w:rFonts w:eastAsia="MS Mincho"/>
          <w:sz w:val="22"/>
          <w:szCs w:val="22"/>
          <w:lang w:val="sr-Latn-ME"/>
        </w:rPr>
        <w:t xml:space="preserve">om plak psorijazom na osnovu dokazanog odnosa efikasnosti i odgovora na izloženost kod odraslih </w:t>
      </w:r>
      <w:r w:rsidRPr="005474B2">
        <w:rPr>
          <w:rFonts w:eastAsia="MS Mincho"/>
          <w:sz w:val="22"/>
          <w:szCs w:val="22"/>
          <w:lang w:val="sr-Latn-ME"/>
        </w:rPr>
        <w:lastRenderedPageBreak/>
        <w:t xml:space="preserve">pacijenata sa </w:t>
      </w:r>
      <w:r w:rsidR="009A4880" w:rsidRPr="005474B2">
        <w:rPr>
          <w:rFonts w:eastAsia="MS Mincho"/>
          <w:sz w:val="22"/>
          <w:szCs w:val="22"/>
          <w:lang w:val="sr-Latn-ME"/>
        </w:rPr>
        <w:t>umjeren</w:t>
      </w:r>
      <w:r w:rsidRPr="005474B2">
        <w:rPr>
          <w:rFonts w:eastAsia="MS Mincho"/>
          <w:sz w:val="22"/>
          <w:szCs w:val="22"/>
          <w:lang w:val="sr-Latn-ME"/>
        </w:rPr>
        <w:t xml:space="preserve">om do teškom plak psorijazom, sličnosti toka bolesti, patofiziologije i učinka </w:t>
      </w:r>
      <w:r w:rsidR="009A4880" w:rsidRPr="005474B2">
        <w:rPr>
          <w:rFonts w:eastAsia="MS Mincho"/>
          <w:sz w:val="22"/>
          <w:szCs w:val="22"/>
          <w:lang w:val="sr-Latn-ME"/>
        </w:rPr>
        <w:t>lijeka</w:t>
      </w:r>
      <w:r w:rsidRPr="005474B2">
        <w:rPr>
          <w:rFonts w:eastAsia="MS Mincho"/>
          <w:sz w:val="22"/>
          <w:szCs w:val="22"/>
          <w:lang w:val="sr-Latn-ME"/>
        </w:rPr>
        <w:t xml:space="preserve"> kod odraslih i pedijatrijskih pacijenata pri istim nivoima izloženosti.</w:t>
      </w:r>
    </w:p>
    <w:p w14:paraId="272F46F7" w14:textId="77777777" w:rsidR="00DD093D" w:rsidRPr="005474B2" w:rsidRDefault="00DD093D">
      <w:pPr>
        <w:jc w:val="both"/>
        <w:rPr>
          <w:rFonts w:eastAsia="MS Mincho"/>
          <w:sz w:val="22"/>
          <w:szCs w:val="22"/>
          <w:lang w:val="sr-Latn-ME"/>
        </w:rPr>
      </w:pPr>
    </w:p>
    <w:p w14:paraId="5BC23D7B" w14:textId="2F72F0A8" w:rsidR="00DD093D" w:rsidRPr="005474B2" w:rsidRDefault="00DD093D">
      <w:pPr>
        <w:tabs>
          <w:tab w:val="left" w:pos="284"/>
        </w:tabs>
        <w:jc w:val="both"/>
        <w:rPr>
          <w:sz w:val="22"/>
          <w:szCs w:val="22"/>
          <w:lang w:val="sr-Latn-ME"/>
        </w:rPr>
      </w:pPr>
      <w:r w:rsidRPr="005474B2">
        <w:rPr>
          <w:sz w:val="22"/>
          <w:szCs w:val="22"/>
          <w:lang w:val="sr-Latn-ME"/>
        </w:rPr>
        <w:t xml:space="preserve">Nadalje, efikasnost i </w:t>
      </w:r>
      <w:r w:rsidR="009A4880" w:rsidRPr="005474B2">
        <w:rPr>
          <w:sz w:val="22"/>
          <w:szCs w:val="22"/>
          <w:lang w:val="sr-Latn-ME"/>
        </w:rPr>
        <w:t>bezbjednost</w:t>
      </w:r>
      <w:r w:rsidRPr="005474B2">
        <w:rPr>
          <w:sz w:val="22"/>
          <w:szCs w:val="22"/>
          <w:lang w:val="sr-Latn-ME"/>
        </w:rPr>
        <w:t xml:space="preserve"> sekukinumaba bile su proc</w:t>
      </w:r>
      <w:r w:rsidR="008F70AE" w:rsidRPr="005474B2">
        <w:rPr>
          <w:sz w:val="22"/>
          <w:szCs w:val="22"/>
          <w:lang w:val="sr-Latn-ME"/>
        </w:rPr>
        <w:t>ij</w:t>
      </w:r>
      <w:r w:rsidRPr="005474B2">
        <w:rPr>
          <w:sz w:val="22"/>
          <w:szCs w:val="22"/>
          <w:lang w:val="sr-Latn-ME"/>
        </w:rPr>
        <w:t>enjene u otvorenom multicentričnom ispitivanju faze III s</w:t>
      </w:r>
      <w:r w:rsidR="000662D8">
        <w:rPr>
          <w:sz w:val="22"/>
          <w:szCs w:val="22"/>
          <w:lang w:val="sr-Latn-ME"/>
        </w:rPr>
        <w:t>a</w:t>
      </w:r>
      <w:r w:rsidRPr="005474B2">
        <w:rPr>
          <w:sz w:val="22"/>
          <w:szCs w:val="22"/>
          <w:lang w:val="sr-Latn-ME"/>
        </w:rPr>
        <w:t xml:space="preserve"> dv</w:t>
      </w:r>
      <w:r w:rsidR="008F70AE" w:rsidRPr="005474B2">
        <w:rPr>
          <w:sz w:val="22"/>
          <w:szCs w:val="22"/>
          <w:lang w:val="sr-Latn-ME"/>
        </w:rPr>
        <w:t>ij</w:t>
      </w:r>
      <w:r w:rsidRPr="005474B2">
        <w:rPr>
          <w:sz w:val="22"/>
          <w:szCs w:val="22"/>
          <w:lang w:val="sr-Latn-ME"/>
        </w:rPr>
        <w:t xml:space="preserve">e paralelne grupe pedijatrijskih pacijenata uzrasta od 6 do &lt;18 godina sa </w:t>
      </w:r>
      <w:r w:rsidR="009A4880" w:rsidRPr="005474B2">
        <w:rPr>
          <w:sz w:val="22"/>
          <w:szCs w:val="22"/>
          <w:lang w:val="sr-Latn-ME"/>
        </w:rPr>
        <w:t>umjeren</w:t>
      </w:r>
      <w:r w:rsidRPr="005474B2">
        <w:rPr>
          <w:sz w:val="22"/>
          <w:szCs w:val="22"/>
          <w:lang w:val="sr-Latn-ME"/>
        </w:rPr>
        <w:t>om do teškom plak psorijazom, koja je definisana</w:t>
      </w:r>
      <w:r w:rsidR="00F61F39" w:rsidRPr="005474B2">
        <w:rPr>
          <w:sz w:val="22"/>
          <w:szCs w:val="22"/>
          <w:lang w:val="sr-Latn-ME"/>
        </w:rPr>
        <w:t xml:space="preserve"> </w:t>
      </w:r>
      <w:r w:rsidRPr="005474B2">
        <w:rPr>
          <w:sz w:val="22"/>
          <w:szCs w:val="22"/>
          <w:lang w:val="sr-Latn-ME"/>
        </w:rPr>
        <w:t>PASI ≥12 skorom,  IGA mod 2011 skorom ≥3 i zahvaćenošću t</w:t>
      </w:r>
      <w:r w:rsidR="000538E6" w:rsidRPr="005474B2">
        <w:rPr>
          <w:sz w:val="22"/>
          <w:szCs w:val="22"/>
          <w:lang w:val="sr-Latn-ME"/>
        </w:rPr>
        <w:t>j</w:t>
      </w:r>
      <w:r w:rsidRPr="005474B2">
        <w:rPr>
          <w:sz w:val="22"/>
          <w:szCs w:val="22"/>
          <w:lang w:val="sr-Latn-ME"/>
        </w:rPr>
        <w:t>elesne površine ≥10%, koji su bili kandidati za sistemsku terapiju.</w:t>
      </w:r>
    </w:p>
    <w:p w14:paraId="45BD8A06" w14:textId="77777777" w:rsidR="00DD093D" w:rsidRPr="005474B2" w:rsidRDefault="00DD093D">
      <w:pPr>
        <w:jc w:val="both"/>
        <w:rPr>
          <w:rFonts w:eastAsia="MS Mincho"/>
          <w:sz w:val="22"/>
          <w:szCs w:val="22"/>
          <w:lang w:val="sr-Latn-ME"/>
        </w:rPr>
      </w:pPr>
    </w:p>
    <w:p w14:paraId="1364E911" w14:textId="4E7205D0" w:rsidR="00DD093D" w:rsidRPr="005474B2" w:rsidRDefault="000662D8">
      <w:pPr>
        <w:jc w:val="both"/>
        <w:rPr>
          <w:rFonts w:eastAsia="MS Mincho"/>
          <w:sz w:val="22"/>
          <w:szCs w:val="22"/>
          <w:lang w:val="sr-Latn-ME"/>
        </w:rPr>
      </w:pPr>
      <w:r w:rsidRPr="000662D8">
        <w:rPr>
          <w:rFonts w:eastAsia="MS Mincho"/>
          <w:sz w:val="22"/>
          <w:szCs w:val="22"/>
          <w:lang w:val="sr-Latn-ME"/>
        </w:rPr>
        <w:t xml:space="preserve">Ispitivanje 2 psorijaze kod djece </w:t>
      </w:r>
      <w:r w:rsidR="00DD093D" w:rsidRPr="005474B2">
        <w:rPr>
          <w:sz w:val="22"/>
          <w:szCs w:val="22"/>
          <w:lang w:val="sr-Latn-ME"/>
        </w:rPr>
        <w:t xml:space="preserve">(engl. </w:t>
      </w:r>
      <w:r w:rsidR="00DD093D" w:rsidRPr="005474B2">
        <w:rPr>
          <w:rFonts w:eastAsia="MS Mincho"/>
          <w:i/>
          <w:sz w:val="22"/>
          <w:szCs w:val="22"/>
          <w:lang w:val="sr-Latn-ME"/>
        </w:rPr>
        <w:t>paediatric psoriasis study 2</w:t>
      </w:r>
      <w:r w:rsidR="00DD093D" w:rsidRPr="005474B2">
        <w:rPr>
          <w:rFonts w:eastAsia="MS Mincho"/>
          <w:sz w:val="22"/>
          <w:szCs w:val="22"/>
          <w:lang w:val="sr-Latn-ME"/>
        </w:rPr>
        <w:t xml:space="preserve">) </w:t>
      </w:r>
      <w:r w:rsidR="00DD093D" w:rsidRPr="005474B2">
        <w:rPr>
          <w:sz w:val="22"/>
          <w:szCs w:val="22"/>
          <w:lang w:val="sr-Latn-ME"/>
        </w:rPr>
        <w:t>oc</w:t>
      </w:r>
      <w:r w:rsidR="008F70AE" w:rsidRPr="005474B2">
        <w:rPr>
          <w:sz w:val="22"/>
          <w:szCs w:val="22"/>
          <w:lang w:val="sr-Latn-ME"/>
        </w:rPr>
        <w:t>j</w:t>
      </w:r>
      <w:r w:rsidR="00DD093D" w:rsidRPr="005474B2">
        <w:rPr>
          <w:sz w:val="22"/>
          <w:szCs w:val="22"/>
          <w:lang w:val="sr-Latn-ME"/>
        </w:rPr>
        <w:t>enjival</w:t>
      </w:r>
      <w:r>
        <w:rPr>
          <w:sz w:val="22"/>
          <w:szCs w:val="22"/>
          <w:lang w:val="sr-Latn-ME"/>
        </w:rPr>
        <w:t>o</w:t>
      </w:r>
      <w:r w:rsidR="00DD093D" w:rsidRPr="005474B2">
        <w:rPr>
          <w:sz w:val="22"/>
          <w:szCs w:val="22"/>
          <w:lang w:val="sr-Latn-ME"/>
        </w:rPr>
        <w:t xml:space="preserve"> je </w:t>
      </w:r>
      <w:r w:rsidR="00DD093D" w:rsidRPr="005474B2">
        <w:rPr>
          <w:rFonts w:eastAsia="MS Mincho"/>
          <w:sz w:val="22"/>
          <w:szCs w:val="22"/>
          <w:lang w:val="sr-Latn-ME"/>
        </w:rPr>
        <w:t>84 pacijenta koji su bili randomizovani da primaju niske doze sekukinumaba (75 mg za t</w:t>
      </w:r>
      <w:r w:rsidR="008F70AE" w:rsidRPr="005474B2">
        <w:rPr>
          <w:rFonts w:eastAsia="MS Mincho"/>
          <w:sz w:val="22"/>
          <w:szCs w:val="22"/>
          <w:lang w:val="sr-Latn-ME"/>
        </w:rPr>
        <w:t>j</w:t>
      </w:r>
      <w:r w:rsidR="00DD093D" w:rsidRPr="005474B2">
        <w:rPr>
          <w:rFonts w:eastAsia="MS Mincho"/>
          <w:sz w:val="22"/>
          <w:szCs w:val="22"/>
          <w:lang w:val="sr-Latn-ME"/>
        </w:rPr>
        <w:t xml:space="preserve">elesnu težinu &lt;50 kg ili 150 mg za </w:t>
      </w:r>
      <w:r w:rsidR="008F70AE" w:rsidRPr="005474B2">
        <w:rPr>
          <w:rFonts w:eastAsia="MS Mincho"/>
          <w:sz w:val="22"/>
          <w:szCs w:val="22"/>
          <w:lang w:val="sr-Latn-ME"/>
        </w:rPr>
        <w:t>tjelesnu</w:t>
      </w:r>
      <w:r w:rsidR="00DD093D" w:rsidRPr="005474B2">
        <w:rPr>
          <w:rFonts w:eastAsia="MS Mincho"/>
          <w:sz w:val="22"/>
          <w:szCs w:val="22"/>
          <w:lang w:val="sr-Latn-ME"/>
        </w:rPr>
        <w:t xml:space="preserve"> težinu ≥50 kg) ili visoke doze sekukinumaba (75 mg za </w:t>
      </w:r>
      <w:r w:rsidR="008F70AE" w:rsidRPr="005474B2">
        <w:rPr>
          <w:rFonts w:eastAsia="MS Mincho"/>
          <w:sz w:val="22"/>
          <w:szCs w:val="22"/>
          <w:lang w:val="sr-Latn-ME"/>
        </w:rPr>
        <w:t>tjelesnu</w:t>
      </w:r>
      <w:r w:rsidR="00DD093D" w:rsidRPr="005474B2">
        <w:rPr>
          <w:rFonts w:eastAsia="MS Mincho"/>
          <w:sz w:val="22"/>
          <w:szCs w:val="22"/>
          <w:lang w:val="sr-Latn-ME"/>
        </w:rPr>
        <w:t xml:space="preserve"> težinu &lt;25 kg, 150 mg za </w:t>
      </w:r>
      <w:r w:rsidR="008F70AE" w:rsidRPr="005474B2">
        <w:rPr>
          <w:rFonts w:eastAsia="MS Mincho"/>
          <w:sz w:val="22"/>
          <w:szCs w:val="22"/>
          <w:lang w:val="sr-Latn-ME"/>
        </w:rPr>
        <w:t>tjelesnu</w:t>
      </w:r>
      <w:r w:rsidR="00DD093D" w:rsidRPr="005474B2">
        <w:rPr>
          <w:rFonts w:eastAsia="MS Mincho"/>
          <w:sz w:val="22"/>
          <w:szCs w:val="22"/>
          <w:lang w:val="sr-Latn-ME"/>
        </w:rPr>
        <w:t xml:space="preserve"> težinu između ≥25 kg i &lt;50 kg, ili 300 mg za </w:t>
      </w:r>
      <w:r w:rsidR="008F70AE" w:rsidRPr="005474B2">
        <w:rPr>
          <w:rFonts w:eastAsia="MS Mincho"/>
          <w:sz w:val="22"/>
          <w:szCs w:val="22"/>
          <w:lang w:val="sr-Latn-ME"/>
        </w:rPr>
        <w:t>tjelesnu</w:t>
      </w:r>
      <w:r w:rsidR="00DD093D" w:rsidRPr="005474B2">
        <w:rPr>
          <w:rFonts w:eastAsia="MS Mincho"/>
          <w:sz w:val="22"/>
          <w:szCs w:val="22"/>
          <w:lang w:val="sr-Latn-ME"/>
        </w:rPr>
        <w:t xml:space="preserve"> težinu ≥50 kg) u 0.</w:t>
      </w:r>
      <w:r w:rsidR="00F61F39" w:rsidRPr="005474B2">
        <w:rPr>
          <w:rFonts w:eastAsia="MS Mincho"/>
          <w:sz w:val="22"/>
          <w:szCs w:val="22"/>
          <w:lang w:val="sr-Latn-ME"/>
        </w:rPr>
        <w:t>,</w:t>
      </w:r>
      <w:r w:rsidR="00DD093D" w:rsidRPr="005474B2">
        <w:rPr>
          <w:rFonts w:eastAsia="MS Mincho"/>
          <w:sz w:val="22"/>
          <w:szCs w:val="22"/>
          <w:lang w:val="sr-Latn-ME"/>
        </w:rPr>
        <w:t xml:space="preserve"> 1.</w:t>
      </w:r>
      <w:r w:rsidR="00F61F39" w:rsidRPr="005474B2">
        <w:rPr>
          <w:rFonts w:eastAsia="MS Mincho"/>
          <w:sz w:val="22"/>
          <w:szCs w:val="22"/>
          <w:lang w:val="sr-Latn-ME"/>
        </w:rPr>
        <w:t>,</w:t>
      </w:r>
      <w:r w:rsidR="00DD093D" w:rsidRPr="005474B2">
        <w:rPr>
          <w:rFonts w:eastAsia="MS Mincho"/>
          <w:sz w:val="22"/>
          <w:szCs w:val="22"/>
          <w:lang w:val="sr-Latn-ME"/>
        </w:rPr>
        <w:t xml:space="preserve"> 2</w:t>
      </w:r>
      <w:r w:rsidR="00F61F39" w:rsidRPr="005474B2">
        <w:rPr>
          <w:rFonts w:eastAsia="MS Mincho"/>
          <w:sz w:val="22"/>
          <w:szCs w:val="22"/>
          <w:lang w:val="sr-Latn-ME"/>
        </w:rPr>
        <w:t>,</w:t>
      </w:r>
      <w:r w:rsidR="00DD093D" w:rsidRPr="005474B2">
        <w:rPr>
          <w:rFonts w:eastAsia="MS Mincho"/>
          <w:sz w:val="22"/>
          <w:szCs w:val="22"/>
          <w:lang w:val="sr-Latn-ME"/>
        </w:rPr>
        <w:t>. 3. i 4. </w:t>
      </w:r>
      <w:r w:rsidR="009A4880" w:rsidRPr="005474B2">
        <w:rPr>
          <w:rFonts w:eastAsia="MS Mincho"/>
          <w:sz w:val="22"/>
          <w:szCs w:val="22"/>
          <w:lang w:val="sr-Latn-ME"/>
        </w:rPr>
        <w:t>nedjelj</w:t>
      </w:r>
      <w:r w:rsidR="00DD093D" w:rsidRPr="005474B2">
        <w:rPr>
          <w:rFonts w:eastAsia="MS Mincho"/>
          <w:sz w:val="22"/>
          <w:szCs w:val="22"/>
          <w:lang w:val="sr-Latn-ME"/>
        </w:rPr>
        <w:t xml:space="preserve">i, nakon čega </w:t>
      </w:r>
      <w:r w:rsidR="009A4880" w:rsidRPr="005474B2">
        <w:rPr>
          <w:rFonts w:eastAsia="MS Mincho"/>
          <w:sz w:val="22"/>
          <w:szCs w:val="22"/>
          <w:lang w:val="sr-Latn-ME"/>
        </w:rPr>
        <w:t>slijedi</w:t>
      </w:r>
      <w:r w:rsidR="00DD093D" w:rsidRPr="005474B2">
        <w:rPr>
          <w:rFonts w:eastAsia="MS Mincho"/>
          <w:sz w:val="22"/>
          <w:szCs w:val="22"/>
          <w:lang w:val="sr-Latn-ME"/>
        </w:rPr>
        <w:t xml:space="preserve"> ista doza svake 4 </w:t>
      </w:r>
      <w:r w:rsidR="009A4880" w:rsidRPr="005474B2">
        <w:rPr>
          <w:rFonts w:eastAsia="MS Mincho"/>
          <w:sz w:val="22"/>
          <w:szCs w:val="22"/>
          <w:lang w:val="sr-Latn-ME"/>
        </w:rPr>
        <w:t>nedjelj</w:t>
      </w:r>
      <w:r w:rsidR="00DD093D" w:rsidRPr="005474B2">
        <w:rPr>
          <w:rFonts w:eastAsia="MS Mincho"/>
          <w:sz w:val="22"/>
          <w:szCs w:val="22"/>
          <w:lang w:val="sr-Latn-ME"/>
        </w:rPr>
        <w:t>e. Raspod</w:t>
      </w:r>
      <w:r w:rsidR="000538E6" w:rsidRPr="005474B2">
        <w:rPr>
          <w:rFonts w:eastAsia="MS Mincho"/>
          <w:sz w:val="22"/>
          <w:szCs w:val="22"/>
          <w:lang w:val="sr-Latn-ME"/>
        </w:rPr>
        <w:t>j</w:t>
      </w:r>
      <w:r w:rsidR="00DD093D" w:rsidRPr="005474B2">
        <w:rPr>
          <w:rFonts w:eastAsia="MS Mincho"/>
          <w:sz w:val="22"/>
          <w:szCs w:val="22"/>
          <w:lang w:val="sr-Latn-ME"/>
        </w:rPr>
        <w:t>ela pacijenata prema težini i uzrastu kod randomizacije opisana je u Tabeli </w:t>
      </w:r>
      <w:r w:rsidR="006911D2" w:rsidRPr="005474B2">
        <w:rPr>
          <w:rFonts w:eastAsia="MS Mincho"/>
          <w:sz w:val="22"/>
          <w:szCs w:val="22"/>
          <w:lang w:val="sr-Latn-ME"/>
        </w:rPr>
        <w:t>16</w:t>
      </w:r>
      <w:r w:rsidR="00DD093D" w:rsidRPr="005474B2">
        <w:rPr>
          <w:sz w:val="22"/>
          <w:szCs w:val="22"/>
          <w:lang w:val="sr-Latn-ME"/>
        </w:rPr>
        <w:t>.</w:t>
      </w:r>
    </w:p>
    <w:p w14:paraId="214DDF55" w14:textId="77777777" w:rsidR="00DD093D" w:rsidRPr="005474B2" w:rsidRDefault="00DD093D">
      <w:pPr>
        <w:jc w:val="both"/>
        <w:rPr>
          <w:sz w:val="22"/>
          <w:szCs w:val="22"/>
          <w:lang w:val="sr-Latn-ME"/>
        </w:rPr>
      </w:pPr>
    </w:p>
    <w:p w14:paraId="43DE00C2" w14:textId="655B5C0A" w:rsidR="00DD093D" w:rsidRPr="005474B2" w:rsidRDefault="00DD093D" w:rsidP="000662D8">
      <w:pPr>
        <w:keepNext/>
        <w:jc w:val="both"/>
        <w:rPr>
          <w:b/>
          <w:bCs/>
          <w:sz w:val="22"/>
          <w:szCs w:val="22"/>
          <w:lang w:val="sr-Latn-ME"/>
        </w:rPr>
      </w:pPr>
      <w:r w:rsidRPr="005474B2">
        <w:rPr>
          <w:rFonts w:eastAsia="MS Mincho"/>
          <w:b/>
          <w:sz w:val="22"/>
          <w:szCs w:val="22"/>
          <w:lang w:val="sr-Latn-ME"/>
        </w:rPr>
        <w:t>Tabela </w:t>
      </w:r>
      <w:r w:rsidR="006911D2" w:rsidRPr="005474B2">
        <w:rPr>
          <w:rFonts w:eastAsia="MS Mincho"/>
          <w:b/>
          <w:sz w:val="22"/>
          <w:szCs w:val="22"/>
          <w:lang w:val="sr-Latn-ME"/>
        </w:rPr>
        <w:t>16</w:t>
      </w:r>
      <w:r w:rsidRPr="005474B2">
        <w:rPr>
          <w:rFonts w:eastAsia="MS Mincho"/>
          <w:b/>
          <w:sz w:val="22"/>
          <w:szCs w:val="22"/>
          <w:lang w:val="sr-Latn-ME"/>
        </w:rPr>
        <w:tab/>
        <w:t xml:space="preserve">Raspodjela </w:t>
      </w:r>
      <w:r w:rsidR="000538E6" w:rsidRPr="005474B2">
        <w:rPr>
          <w:rFonts w:eastAsia="MS Mincho"/>
          <w:b/>
          <w:sz w:val="22"/>
          <w:szCs w:val="22"/>
          <w:lang w:val="sr-Latn-ME"/>
        </w:rPr>
        <w:t>pacijenata</w:t>
      </w:r>
      <w:r w:rsidRPr="005474B2">
        <w:rPr>
          <w:rFonts w:eastAsia="MS Mincho"/>
          <w:b/>
          <w:sz w:val="22"/>
          <w:szCs w:val="22"/>
          <w:lang w:val="sr-Latn-ME"/>
        </w:rPr>
        <w:t xml:space="preserve"> prema težini i uzrastu </w:t>
      </w:r>
      <w:r w:rsidR="000662D8" w:rsidRPr="000662D8">
        <w:rPr>
          <w:rFonts w:eastAsia="MS Mincho"/>
          <w:b/>
          <w:sz w:val="22"/>
          <w:szCs w:val="22"/>
          <w:lang w:val="sr-Latn-ME"/>
        </w:rPr>
        <w:t>za ispitivanje 2 psorijaze kod djece</w:t>
      </w:r>
    </w:p>
    <w:tbl>
      <w:tblPr>
        <w:tblStyle w:val="TableGrid"/>
        <w:tblW w:w="9209" w:type="dxa"/>
        <w:tblLook w:val="04A0" w:firstRow="1" w:lastRow="0" w:firstColumn="1" w:lastColumn="0" w:noHBand="0" w:noVBand="1"/>
      </w:tblPr>
      <w:tblGrid>
        <w:gridCol w:w="1871"/>
        <w:gridCol w:w="1871"/>
        <w:gridCol w:w="1871"/>
        <w:gridCol w:w="1871"/>
        <w:gridCol w:w="1725"/>
      </w:tblGrid>
      <w:tr w:rsidR="00DD093D" w:rsidRPr="0009637B" w14:paraId="2188408C" w14:textId="77777777" w:rsidTr="009A4880">
        <w:trPr>
          <w:cantSplit/>
        </w:trPr>
        <w:tc>
          <w:tcPr>
            <w:tcW w:w="1871" w:type="dxa"/>
          </w:tcPr>
          <w:p w14:paraId="36CFEC77"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 xml:space="preserve">Podgrupe </w:t>
            </w:r>
          </w:p>
        </w:tc>
        <w:tc>
          <w:tcPr>
            <w:tcW w:w="1871" w:type="dxa"/>
          </w:tcPr>
          <w:p w14:paraId="61AF70D6"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Opis</w:t>
            </w:r>
          </w:p>
        </w:tc>
        <w:tc>
          <w:tcPr>
            <w:tcW w:w="1871" w:type="dxa"/>
          </w:tcPr>
          <w:p w14:paraId="2288B941"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Niska doza sekukinumaba</w:t>
            </w:r>
          </w:p>
          <w:p w14:paraId="7237C196"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n=42</w:t>
            </w:r>
          </w:p>
        </w:tc>
        <w:tc>
          <w:tcPr>
            <w:tcW w:w="1871" w:type="dxa"/>
          </w:tcPr>
          <w:p w14:paraId="600A8290"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Visoka doza sekukinumaba</w:t>
            </w:r>
          </w:p>
          <w:p w14:paraId="0E3FBDE2"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n=42</w:t>
            </w:r>
          </w:p>
        </w:tc>
        <w:tc>
          <w:tcPr>
            <w:tcW w:w="1725" w:type="dxa"/>
          </w:tcPr>
          <w:p w14:paraId="3E644C56"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Ukupno</w:t>
            </w:r>
          </w:p>
          <w:p w14:paraId="28D152CA" w14:textId="77777777" w:rsidR="00DD093D" w:rsidRPr="005474B2" w:rsidRDefault="00DD093D">
            <w:pPr>
              <w:keepNext/>
              <w:tabs>
                <w:tab w:val="left" w:pos="284"/>
              </w:tabs>
              <w:jc w:val="both"/>
              <w:rPr>
                <w:b/>
                <w:sz w:val="22"/>
                <w:szCs w:val="22"/>
                <w:lang w:val="sr-Latn-ME" w:eastAsia="en-GB"/>
              </w:rPr>
            </w:pPr>
          </w:p>
          <w:p w14:paraId="0161D72B" w14:textId="77777777" w:rsidR="00DD093D" w:rsidRPr="005474B2" w:rsidRDefault="00DD093D">
            <w:pPr>
              <w:keepNext/>
              <w:tabs>
                <w:tab w:val="left" w:pos="284"/>
              </w:tabs>
              <w:jc w:val="both"/>
              <w:rPr>
                <w:b/>
                <w:sz w:val="22"/>
                <w:szCs w:val="22"/>
                <w:lang w:val="sr-Latn-ME" w:eastAsia="en-GB"/>
              </w:rPr>
            </w:pPr>
            <w:r w:rsidRPr="005474B2">
              <w:rPr>
                <w:b/>
                <w:sz w:val="22"/>
                <w:szCs w:val="22"/>
                <w:lang w:val="sr-Latn-ME" w:eastAsia="en-GB"/>
              </w:rPr>
              <w:t>N=84</w:t>
            </w:r>
          </w:p>
        </w:tc>
      </w:tr>
      <w:tr w:rsidR="00DD093D" w:rsidRPr="0009637B" w14:paraId="79913B30" w14:textId="77777777" w:rsidTr="009A4880">
        <w:trPr>
          <w:cantSplit/>
        </w:trPr>
        <w:tc>
          <w:tcPr>
            <w:tcW w:w="1871" w:type="dxa"/>
            <w:vMerge w:val="restart"/>
          </w:tcPr>
          <w:p w14:paraId="03210FFC" w14:textId="77777777" w:rsidR="00DD093D" w:rsidRPr="005474B2" w:rsidRDefault="00DD093D" w:rsidP="0009637B">
            <w:pPr>
              <w:keepNext/>
              <w:tabs>
                <w:tab w:val="left" w:pos="284"/>
              </w:tabs>
              <w:jc w:val="both"/>
              <w:rPr>
                <w:sz w:val="22"/>
                <w:szCs w:val="22"/>
                <w:lang w:val="sr-Latn-ME" w:eastAsia="en-GB"/>
              </w:rPr>
            </w:pPr>
            <w:r w:rsidRPr="005474B2">
              <w:rPr>
                <w:sz w:val="22"/>
                <w:szCs w:val="22"/>
                <w:lang w:val="sr-Latn-ME" w:eastAsia="en-GB"/>
              </w:rPr>
              <w:t>Uzrast</w:t>
            </w:r>
          </w:p>
        </w:tc>
        <w:tc>
          <w:tcPr>
            <w:tcW w:w="1871" w:type="dxa"/>
          </w:tcPr>
          <w:p w14:paraId="266EDC5A" w14:textId="77777777" w:rsidR="00DD093D" w:rsidRPr="005474B2" w:rsidRDefault="00DD093D" w:rsidP="0009637B">
            <w:pPr>
              <w:keepNext/>
              <w:tabs>
                <w:tab w:val="left" w:pos="284"/>
              </w:tabs>
              <w:jc w:val="both"/>
              <w:rPr>
                <w:sz w:val="22"/>
                <w:szCs w:val="22"/>
                <w:lang w:val="sr-Latn-ME" w:eastAsia="en-GB"/>
              </w:rPr>
            </w:pPr>
            <w:r w:rsidRPr="005474B2">
              <w:rPr>
                <w:sz w:val="22"/>
                <w:szCs w:val="22"/>
                <w:lang w:val="sr-Latn-ME" w:eastAsia="en-GB"/>
              </w:rPr>
              <w:t>6-&lt;12 godina</w:t>
            </w:r>
          </w:p>
        </w:tc>
        <w:tc>
          <w:tcPr>
            <w:tcW w:w="1871" w:type="dxa"/>
          </w:tcPr>
          <w:p w14:paraId="06082176"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17</w:t>
            </w:r>
          </w:p>
        </w:tc>
        <w:tc>
          <w:tcPr>
            <w:tcW w:w="1871" w:type="dxa"/>
          </w:tcPr>
          <w:p w14:paraId="00F8538C"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16</w:t>
            </w:r>
          </w:p>
        </w:tc>
        <w:tc>
          <w:tcPr>
            <w:tcW w:w="1725" w:type="dxa"/>
          </w:tcPr>
          <w:p w14:paraId="51A9C902"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33</w:t>
            </w:r>
          </w:p>
        </w:tc>
      </w:tr>
      <w:tr w:rsidR="00DD093D" w:rsidRPr="0009637B" w14:paraId="61B4667C" w14:textId="77777777" w:rsidTr="009A4880">
        <w:trPr>
          <w:cantSplit/>
        </w:trPr>
        <w:tc>
          <w:tcPr>
            <w:tcW w:w="1871" w:type="dxa"/>
            <w:vMerge/>
          </w:tcPr>
          <w:p w14:paraId="53988BE2" w14:textId="77777777" w:rsidR="00DD093D" w:rsidRPr="005474B2" w:rsidRDefault="00DD093D">
            <w:pPr>
              <w:keepNext/>
              <w:tabs>
                <w:tab w:val="left" w:pos="284"/>
              </w:tabs>
              <w:jc w:val="both"/>
              <w:rPr>
                <w:sz w:val="22"/>
                <w:szCs w:val="22"/>
                <w:lang w:val="sr-Latn-ME" w:eastAsia="en-GB"/>
              </w:rPr>
            </w:pPr>
          </w:p>
        </w:tc>
        <w:tc>
          <w:tcPr>
            <w:tcW w:w="1871" w:type="dxa"/>
          </w:tcPr>
          <w:p w14:paraId="1E3B493A"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≥12-&lt;18 godina</w:t>
            </w:r>
          </w:p>
        </w:tc>
        <w:tc>
          <w:tcPr>
            <w:tcW w:w="1871" w:type="dxa"/>
          </w:tcPr>
          <w:p w14:paraId="6374EDAA"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25</w:t>
            </w:r>
          </w:p>
        </w:tc>
        <w:tc>
          <w:tcPr>
            <w:tcW w:w="1871" w:type="dxa"/>
          </w:tcPr>
          <w:p w14:paraId="17CE8A6C"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26</w:t>
            </w:r>
          </w:p>
        </w:tc>
        <w:tc>
          <w:tcPr>
            <w:tcW w:w="1725" w:type="dxa"/>
          </w:tcPr>
          <w:p w14:paraId="69A107C8"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51</w:t>
            </w:r>
          </w:p>
        </w:tc>
      </w:tr>
      <w:tr w:rsidR="00DD093D" w:rsidRPr="0009637B" w14:paraId="3B1C6C2F" w14:textId="77777777" w:rsidTr="009A4880">
        <w:trPr>
          <w:cantSplit/>
        </w:trPr>
        <w:tc>
          <w:tcPr>
            <w:tcW w:w="1871" w:type="dxa"/>
            <w:vMerge w:val="restart"/>
          </w:tcPr>
          <w:p w14:paraId="60CC934A" w14:textId="77777777" w:rsidR="00DD093D" w:rsidRPr="005474B2" w:rsidRDefault="00DD093D" w:rsidP="0009637B">
            <w:pPr>
              <w:keepNext/>
              <w:tabs>
                <w:tab w:val="left" w:pos="284"/>
              </w:tabs>
              <w:jc w:val="both"/>
              <w:rPr>
                <w:sz w:val="22"/>
                <w:szCs w:val="22"/>
                <w:lang w:val="sr-Latn-ME" w:eastAsia="en-GB"/>
              </w:rPr>
            </w:pPr>
            <w:r w:rsidRPr="005474B2">
              <w:rPr>
                <w:sz w:val="22"/>
                <w:szCs w:val="22"/>
                <w:lang w:val="sr-Latn-ME" w:eastAsia="en-GB"/>
              </w:rPr>
              <w:t xml:space="preserve">Težina </w:t>
            </w:r>
          </w:p>
        </w:tc>
        <w:tc>
          <w:tcPr>
            <w:tcW w:w="1871" w:type="dxa"/>
          </w:tcPr>
          <w:p w14:paraId="233B5B78" w14:textId="77777777" w:rsidR="00DD093D" w:rsidRPr="005474B2" w:rsidRDefault="00DD093D" w:rsidP="0009637B">
            <w:pPr>
              <w:keepNext/>
              <w:tabs>
                <w:tab w:val="left" w:pos="284"/>
              </w:tabs>
              <w:jc w:val="both"/>
              <w:rPr>
                <w:sz w:val="22"/>
                <w:szCs w:val="22"/>
                <w:lang w:val="sr-Latn-ME" w:eastAsia="en-GB"/>
              </w:rPr>
            </w:pPr>
            <w:r w:rsidRPr="005474B2">
              <w:rPr>
                <w:sz w:val="22"/>
                <w:szCs w:val="22"/>
                <w:lang w:val="sr-Latn-ME" w:eastAsia="en-GB"/>
              </w:rPr>
              <w:t>&lt;25 kg</w:t>
            </w:r>
          </w:p>
        </w:tc>
        <w:tc>
          <w:tcPr>
            <w:tcW w:w="1871" w:type="dxa"/>
          </w:tcPr>
          <w:p w14:paraId="3730DF6A"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4</w:t>
            </w:r>
          </w:p>
        </w:tc>
        <w:tc>
          <w:tcPr>
            <w:tcW w:w="1871" w:type="dxa"/>
          </w:tcPr>
          <w:p w14:paraId="68F7B0A9"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4</w:t>
            </w:r>
          </w:p>
        </w:tc>
        <w:tc>
          <w:tcPr>
            <w:tcW w:w="1725" w:type="dxa"/>
          </w:tcPr>
          <w:p w14:paraId="0141245B"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8</w:t>
            </w:r>
          </w:p>
        </w:tc>
      </w:tr>
      <w:tr w:rsidR="00DD093D" w:rsidRPr="0009637B" w14:paraId="173EFA7B" w14:textId="77777777" w:rsidTr="009A4880">
        <w:trPr>
          <w:cantSplit/>
        </w:trPr>
        <w:tc>
          <w:tcPr>
            <w:tcW w:w="1871" w:type="dxa"/>
            <w:vMerge/>
          </w:tcPr>
          <w:p w14:paraId="4C6F1899" w14:textId="77777777" w:rsidR="00DD093D" w:rsidRPr="005474B2" w:rsidRDefault="00DD093D">
            <w:pPr>
              <w:keepNext/>
              <w:tabs>
                <w:tab w:val="left" w:pos="284"/>
              </w:tabs>
              <w:jc w:val="both"/>
              <w:rPr>
                <w:sz w:val="22"/>
                <w:szCs w:val="22"/>
                <w:lang w:val="sr-Latn-ME" w:eastAsia="en-GB"/>
              </w:rPr>
            </w:pPr>
          </w:p>
        </w:tc>
        <w:tc>
          <w:tcPr>
            <w:tcW w:w="1871" w:type="dxa"/>
          </w:tcPr>
          <w:p w14:paraId="5D0F7C7F"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≥25-&lt;50 kg</w:t>
            </w:r>
          </w:p>
        </w:tc>
        <w:tc>
          <w:tcPr>
            <w:tcW w:w="1871" w:type="dxa"/>
          </w:tcPr>
          <w:p w14:paraId="362808F3"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13</w:t>
            </w:r>
          </w:p>
        </w:tc>
        <w:tc>
          <w:tcPr>
            <w:tcW w:w="1871" w:type="dxa"/>
          </w:tcPr>
          <w:p w14:paraId="38EC32F0"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12</w:t>
            </w:r>
          </w:p>
        </w:tc>
        <w:tc>
          <w:tcPr>
            <w:tcW w:w="1725" w:type="dxa"/>
          </w:tcPr>
          <w:p w14:paraId="586AE0CD" w14:textId="77777777" w:rsidR="00DD093D" w:rsidRPr="005474B2" w:rsidRDefault="00DD093D">
            <w:pPr>
              <w:keepNext/>
              <w:tabs>
                <w:tab w:val="left" w:pos="284"/>
              </w:tabs>
              <w:jc w:val="both"/>
              <w:rPr>
                <w:sz w:val="22"/>
                <w:szCs w:val="22"/>
                <w:lang w:val="sr-Latn-ME" w:eastAsia="en-GB"/>
              </w:rPr>
            </w:pPr>
            <w:r w:rsidRPr="005474B2">
              <w:rPr>
                <w:sz w:val="22"/>
                <w:szCs w:val="22"/>
                <w:lang w:val="sr-Latn-ME" w:eastAsia="en-GB"/>
              </w:rPr>
              <w:t>25</w:t>
            </w:r>
          </w:p>
        </w:tc>
      </w:tr>
      <w:tr w:rsidR="00DD093D" w:rsidRPr="0009637B" w14:paraId="213F82E5" w14:textId="77777777" w:rsidTr="009A4880">
        <w:trPr>
          <w:cantSplit/>
        </w:trPr>
        <w:tc>
          <w:tcPr>
            <w:tcW w:w="1871" w:type="dxa"/>
            <w:vMerge/>
          </w:tcPr>
          <w:p w14:paraId="661C0AA3" w14:textId="77777777" w:rsidR="00DD093D" w:rsidRPr="005474B2" w:rsidRDefault="00DD093D">
            <w:pPr>
              <w:tabs>
                <w:tab w:val="left" w:pos="284"/>
              </w:tabs>
              <w:jc w:val="both"/>
              <w:rPr>
                <w:sz w:val="22"/>
                <w:szCs w:val="22"/>
                <w:lang w:val="sr-Latn-ME" w:eastAsia="en-GB"/>
              </w:rPr>
            </w:pPr>
          </w:p>
        </w:tc>
        <w:tc>
          <w:tcPr>
            <w:tcW w:w="1871" w:type="dxa"/>
          </w:tcPr>
          <w:p w14:paraId="5CD0F3C4"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≥50 kg</w:t>
            </w:r>
          </w:p>
        </w:tc>
        <w:tc>
          <w:tcPr>
            <w:tcW w:w="1871" w:type="dxa"/>
          </w:tcPr>
          <w:p w14:paraId="57249D43"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25</w:t>
            </w:r>
          </w:p>
        </w:tc>
        <w:tc>
          <w:tcPr>
            <w:tcW w:w="1871" w:type="dxa"/>
          </w:tcPr>
          <w:p w14:paraId="32B2053B"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26</w:t>
            </w:r>
          </w:p>
        </w:tc>
        <w:tc>
          <w:tcPr>
            <w:tcW w:w="1725" w:type="dxa"/>
          </w:tcPr>
          <w:p w14:paraId="727F85DE" w14:textId="77777777" w:rsidR="00DD093D" w:rsidRPr="005474B2" w:rsidRDefault="00DD093D">
            <w:pPr>
              <w:tabs>
                <w:tab w:val="left" w:pos="284"/>
              </w:tabs>
              <w:jc w:val="both"/>
              <w:rPr>
                <w:sz w:val="22"/>
                <w:szCs w:val="22"/>
                <w:lang w:val="sr-Latn-ME" w:eastAsia="en-GB"/>
              </w:rPr>
            </w:pPr>
            <w:r w:rsidRPr="005474B2">
              <w:rPr>
                <w:sz w:val="22"/>
                <w:szCs w:val="22"/>
                <w:lang w:val="sr-Latn-ME" w:eastAsia="en-GB"/>
              </w:rPr>
              <w:t>51</w:t>
            </w:r>
          </w:p>
        </w:tc>
      </w:tr>
    </w:tbl>
    <w:p w14:paraId="1C8D5EBD" w14:textId="77777777" w:rsidR="007D7CE1" w:rsidRPr="005474B2" w:rsidRDefault="007D7CE1" w:rsidP="0009637B">
      <w:pPr>
        <w:tabs>
          <w:tab w:val="left" w:pos="540"/>
          <w:tab w:val="left" w:pos="569"/>
        </w:tabs>
        <w:jc w:val="both"/>
        <w:rPr>
          <w:b/>
          <w:bCs/>
          <w:sz w:val="22"/>
          <w:szCs w:val="22"/>
          <w:lang w:val="sr-Latn-ME"/>
        </w:rPr>
      </w:pPr>
    </w:p>
    <w:p w14:paraId="76784070" w14:textId="7CC13518" w:rsidR="00DD093D" w:rsidRPr="005474B2" w:rsidRDefault="00DD093D" w:rsidP="0009637B">
      <w:pPr>
        <w:jc w:val="both"/>
        <w:rPr>
          <w:rFonts w:eastAsia="MS Mincho"/>
          <w:sz w:val="22"/>
          <w:szCs w:val="22"/>
          <w:lang w:val="sr-Latn-ME"/>
        </w:rPr>
      </w:pPr>
      <w:r w:rsidRPr="005474B2">
        <w:rPr>
          <w:rFonts w:eastAsia="MS Mincho"/>
          <w:sz w:val="22"/>
          <w:szCs w:val="22"/>
          <w:lang w:val="sr-Latn-ME"/>
        </w:rPr>
        <w:t>M</w:t>
      </w:r>
      <w:r w:rsidR="000538E6" w:rsidRPr="005474B2">
        <w:rPr>
          <w:rFonts w:eastAsia="MS Mincho"/>
          <w:sz w:val="22"/>
          <w:szCs w:val="22"/>
          <w:lang w:val="sr-Latn-ME"/>
        </w:rPr>
        <w:t>j</w:t>
      </w:r>
      <w:r w:rsidRPr="005474B2">
        <w:rPr>
          <w:rFonts w:eastAsia="MS Mincho"/>
          <w:sz w:val="22"/>
          <w:szCs w:val="22"/>
          <w:lang w:val="sr-Latn-ME"/>
        </w:rPr>
        <w:t>ere koprimarnih ishoda bile su ud</w:t>
      </w:r>
      <w:r w:rsidR="008F70AE" w:rsidRPr="005474B2">
        <w:rPr>
          <w:rFonts w:eastAsia="MS Mincho"/>
          <w:sz w:val="22"/>
          <w:szCs w:val="22"/>
          <w:lang w:val="sr-Latn-ME"/>
        </w:rPr>
        <w:t>i</w:t>
      </w:r>
      <w:r w:rsidRPr="005474B2">
        <w:rPr>
          <w:rFonts w:eastAsia="MS Mincho"/>
          <w:sz w:val="22"/>
          <w:szCs w:val="22"/>
          <w:lang w:val="sr-Latn-ME"/>
        </w:rPr>
        <w:t>o pacijenata koji su postigli odgovor PASI 75 i odgovor IGA mod 2011 „čista“ ili „gotovo čista“ (0 ili 1) u 12. </w:t>
      </w:r>
      <w:r w:rsidR="009A4880" w:rsidRPr="005474B2">
        <w:rPr>
          <w:rFonts w:eastAsia="MS Mincho"/>
          <w:sz w:val="22"/>
          <w:szCs w:val="22"/>
          <w:lang w:val="sr-Latn-ME"/>
        </w:rPr>
        <w:t>nedjelj</w:t>
      </w:r>
      <w:r w:rsidRPr="005474B2">
        <w:rPr>
          <w:rFonts w:eastAsia="MS Mincho"/>
          <w:sz w:val="22"/>
          <w:szCs w:val="22"/>
          <w:lang w:val="sr-Latn-ME"/>
        </w:rPr>
        <w:t>i.</w:t>
      </w:r>
    </w:p>
    <w:p w14:paraId="7E4D0956" w14:textId="77777777" w:rsidR="00DD093D" w:rsidRPr="005474B2" w:rsidRDefault="00DD093D">
      <w:pPr>
        <w:jc w:val="both"/>
        <w:rPr>
          <w:rFonts w:eastAsia="MS Mincho"/>
          <w:sz w:val="22"/>
          <w:szCs w:val="22"/>
          <w:lang w:val="sr-Latn-ME"/>
        </w:rPr>
      </w:pPr>
    </w:p>
    <w:p w14:paraId="6C6C23CC" w14:textId="1A309FC2" w:rsidR="00DD093D" w:rsidRPr="005474B2" w:rsidRDefault="00DD093D">
      <w:pPr>
        <w:jc w:val="both"/>
        <w:rPr>
          <w:rFonts w:eastAsia="MS Mincho"/>
          <w:bCs/>
          <w:color w:val="000000"/>
          <w:sz w:val="22"/>
          <w:szCs w:val="22"/>
          <w:lang w:val="sr-Latn-ME"/>
        </w:rPr>
      </w:pPr>
      <w:r w:rsidRPr="005474B2">
        <w:rPr>
          <w:rFonts w:eastAsia="MS Mincho"/>
          <w:color w:val="000000"/>
          <w:sz w:val="22"/>
          <w:szCs w:val="22"/>
          <w:lang w:val="sr-Latn-ME"/>
        </w:rPr>
        <w:t>Efikasnost i niske i visoke doze sekukinumaba bila je uporediva i pokazala statistički značajno poboljšanje u poređenju s</w:t>
      </w:r>
      <w:r w:rsidR="000662D8">
        <w:rPr>
          <w:rFonts w:eastAsia="MS Mincho"/>
          <w:color w:val="000000"/>
          <w:sz w:val="22"/>
          <w:szCs w:val="22"/>
          <w:lang w:val="sr-Latn-ME"/>
        </w:rPr>
        <w:t>a</w:t>
      </w:r>
      <w:r w:rsidRPr="005474B2">
        <w:rPr>
          <w:rFonts w:eastAsia="MS Mincho"/>
          <w:color w:val="000000"/>
          <w:sz w:val="22"/>
          <w:szCs w:val="22"/>
          <w:lang w:val="sr-Latn-ME"/>
        </w:rPr>
        <w:t xml:space="preserve"> placebom za m</w:t>
      </w:r>
      <w:r w:rsidR="008F70AE" w:rsidRPr="005474B2">
        <w:rPr>
          <w:rFonts w:eastAsia="MS Mincho"/>
          <w:color w:val="000000"/>
          <w:sz w:val="22"/>
          <w:szCs w:val="22"/>
          <w:lang w:val="sr-Latn-ME"/>
        </w:rPr>
        <w:t>j</w:t>
      </w:r>
      <w:r w:rsidRPr="005474B2">
        <w:rPr>
          <w:rFonts w:eastAsia="MS Mincho"/>
          <w:color w:val="000000"/>
          <w:sz w:val="22"/>
          <w:szCs w:val="22"/>
          <w:lang w:val="sr-Latn-ME"/>
        </w:rPr>
        <w:t xml:space="preserve">ere koprimarnih ishoda. </w:t>
      </w:r>
      <w:r w:rsidRPr="005474B2">
        <w:rPr>
          <w:rFonts w:eastAsia="MS Mincho"/>
          <w:bCs/>
          <w:color w:val="000000"/>
          <w:sz w:val="22"/>
          <w:szCs w:val="22"/>
          <w:lang w:val="sr-Latn-ME"/>
        </w:rPr>
        <w:t>Proc</w:t>
      </w:r>
      <w:r w:rsidR="008F70AE" w:rsidRPr="005474B2">
        <w:rPr>
          <w:rFonts w:eastAsia="MS Mincho"/>
          <w:bCs/>
          <w:color w:val="000000"/>
          <w:sz w:val="22"/>
          <w:szCs w:val="22"/>
          <w:lang w:val="sr-Latn-ME"/>
        </w:rPr>
        <w:t>ij</w:t>
      </w:r>
      <w:r w:rsidRPr="005474B2">
        <w:rPr>
          <w:rFonts w:eastAsia="MS Mincho"/>
          <w:bCs/>
          <w:color w:val="000000"/>
          <w:sz w:val="22"/>
          <w:szCs w:val="22"/>
          <w:lang w:val="sr-Latn-ME"/>
        </w:rPr>
        <w:t>enjena posteriorna v</w:t>
      </w:r>
      <w:r w:rsidR="008F70AE" w:rsidRPr="005474B2">
        <w:rPr>
          <w:rFonts w:eastAsia="MS Mincho"/>
          <w:bCs/>
          <w:color w:val="000000"/>
          <w:sz w:val="22"/>
          <w:szCs w:val="22"/>
          <w:lang w:val="sr-Latn-ME"/>
        </w:rPr>
        <w:t>j</w:t>
      </w:r>
      <w:r w:rsidRPr="005474B2">
        <w:rPr>
          <w:rFonts w:eastAsia="MS Mincho"/>
          <w:bCs/>
          <w:color w:val="000000"/>
          <w:sz w:val="22"/>
          <w:szCs w:val="22"/>
          <w:lang w:val="sr-Latn-ME"/>
        </w:rPr>
        <w:t xml:space="preserve">erovatnoća pozitivnog učinka </w:t>
      </w:r>
      <w:r w:rsidR="009A4880" w:rsidRPr="005474B2">
        <w:rPr>
          <w:rFonts w:eastAsia="MS Mincho"/>
          <w:bCs/>
          <w:color w:val="000000"/>
          <w:sz w:val="22"/>
          <w:szCs w:val="22"/>
          <w:lang w:val="sr-Latn-ME"/>
        </w:rPr>
        <w:t>liječ</w:t>
      </w:r>
      <w:r w:rsidRPr="005474B2">
        <w:rPr>
          <w:rFonts w:eastAsia="MS Mincho"/>
          <w:bCs/>
          <w:color w:val="000000"/>
          <w:sz w:val="22"/>
          <w:szCs w:val="22"/>
          <w:lang w:val="sr-Latn-ME"/>
        </w:rPr>
        <w:t>enja je bila 100%.</w:t>
      </w:r>
    </w:p>
    <w:p w14:paraId="0BA6372F" w14:textId="77777777" w:rsidR="00DD093D" w:rsidRPr="005474B2" w:rsidRDefault="00DD093D">
      <w:pPr>
        <w:jc w:val="both"/>
        <w:rPr>
          <w:rFonts w:eastAsia="MS Mincho"/>
          <w:sz w:val="22"/>
          <w:szCs w:val="22"/>
          <w:lang w:val="sr-Latn-ME"/>
        </w:rPr>
      </w:pPr>
    </w:p>
    <w:p w14:paraId="029FB31C" w14:textId="3E0FAF29" w:rsidR="00DD093D" w:rsidRPr="005474B2" w:rsidRDefault="007E2F65">
      <w:pPr>
        <w:jc w:val="both"/>
        <w:rPr>
          <w:rFonts w:eastAsia="MS Mincho"/>
          <w:sz w:val="22"/>
          <w:szCs w:val="22"/>
          <w:lang w:val="sr-Latn-ME"/>
        </w:rPr>
      </w:pPr>
      <w:r w:rsidRPr="005474B2">
        <w:rPr>
          <w:rFonts w:eastAsia="MS Mincho"/>
          <w:sz w:val="22"/>
          <w:szCs w:val="22"/>
          <w:lang w:val="sr-Latn-ME"/>
        </w:rPr>
        <w:t>P</w:t>
      </w:r>
      <w:r w:rsidR="00DD093D" w:rsidRPr="005474B2">
        <w:rPr>
          <w:rFonts w:eastAsia="MS Mincho"/>
          <w:sz w:val="22"/>
          <w:szCs w:val="22"/>
          <w:lang w:val="sr-Latn-ME"/>
        </w:rPr>
        <w:t xml:space="preserve">acijenti su bili praćeni </w:t>
      </w:r>
      <w:r w:rsidRPr="005474B2">
        <w:rPr>
          <w:rFonts w:eastAsia="MS Mincho"/>
          <w:sz w:val="22"/>
          <w:szCs w:val="22"/>
          <w:lang w:val="sr-Latn-ME"/>
        </w:rPr>
        <w:t>tokom 52</w:t>
      </w:r>
      <w:r w:rsidR="00DD093D" w:rsidRPr="005474B2">
        <w:rPr>
          <w:rFonts w:eastAsia="MS Mincho"/>
          <w:sz w:val="22"/>
          <w:szCs w:val="22"/>
          <w:lang w:val="sr-Latn-ME"/>
        </w:rPr>
        <w:t> </w:t>
      </w:r>
      <w:r w:rsidR="009A4880" w:rsidRPr="005474B2">
        <w:rPr>
          <w:rFonts w:eastAsia="MS Mincho"/>
          <w:sz w:val="22"/>
          <w:szCs w:val="22"/>
          <w:lang w:val="sr-Latn-ME"/>
        </w:rPr>
        <w:t>nedjelj</w:t>
      </w:r>
      <w:r w:rsidR="00DD093D" w:rsidRPr="005474B2">
        <w:rPr>
          <w:rFonts w:eastAsia="MS Mincho"/>
          <w:sz w:val="22"/>
          <w:szCs w:val="22"/>
          <w:lang w:val="sr-Latn-ME"/>
        </w:rPr>
        <w:t xml:space="preserve">e nakon prve </w:t>
      </w:r>
      <w:r w:rsidR="009A4880" w:rsidRPr="005474B2">
        <w:rPr>
          <w:rFonts w:eastAsia="MS Mincho"/>
          <w:sz w:val="22"/>
          <w:szCs w:val="22"/>
          <w:lang w:val="sr-Latn-ME"/>
        </w:rPr>
        <w:t>primjene</w:t>
      </w:r>
      <w:r w:rsidR="00DD093D" w:rsidRPr="005474B2">
        <w:rPr>
          <w:rFonts w:eastAsia="MS Mincho"/>
          <w:sz w:val="22"/>
          <w:szCs w:val="22"/>
          <w:lang w:val="sr-Latn-ME"/>
        </w:rPr>
        <w:t xml:space="preserve"> radi utvrđivanja efikasnosti. Efikasnost (definisana kao odgovor </w:t>
      </w:r>
      <w:r w:rsidR="00DD093D" w:rsidRPr="005474B2">
        <w:rPr>
          <w:rFonts w:eastAsia="MS Mincho"/>
          <w:bCs/>
          <w:sz w:val="22"/>
          <w:szCs w:val="22"/>
          <w:lang w:val="sr-Latn-ME"/>
        </w:rPr>
        <w:t>P</w:t>
      </w:r>
      <w:r w:rsidR="00DD093D" w:rsidRPr="005474B2">
        <w:rPr>
          <w:rFonts w:eastAsia="MS Mincho"/>
          <w:sz w:val="22"/>
          <w:szCs w:val="22"/>
          <w:lang w:val="sr-Latn-ME"/>
        </w:rPr>
        <w:t>ASI 75 i IGA mod 2011 „čista“ ili „gotovo čista“ [0 ili 1]) je bila prim</w:t>
      </w:r>
      <w:r w:rsidR="008F70AE" w:rsidRPr="005474B2">
        <w:rPr>
          <w:rFonts w:eastAsia="MS Mincho"/>
          <w:sz w:val="22"/>
          <w:szCs w:val="22"/>
          <w:lang w:val="sr-Latn-ME"/>
        </w:rPr>
        <w:t>ij</w:t>
      </w:r>
      <w:r w:rsidR="00DD093D" w:rsidRPr="005474B2">
        <w:rPr>
          <w:rFonts w:eastAsia="MS Mincho"/>
          <w:sz w:val="22"/>
          <w:szCs w:val="22"/>
          <w:lang w:val="sr-Latn-ME"/>
        </w:rPr>
        <w:t>ećena već u prvoj pos</w:t>
      </w:r>
      <w:r w:rsidR="000538E6" w:rsidRPr="005474B2">
        <w:rPr>
          <w:rFonts w:eastAsia="MS Mincho"/>
          <w:sz w:val="22"/>
          <w:szCs w:val="22"/>
          <w:lang w:val="sr-Latn-ME"/>
        </w:rPr>
        <w:t>j</w:t>
      </w:r>
      <w:r w:rsidR="00DD093D" w:rsidRPr="005474B2">
        <w:rPr>
          <w:rFonts w:eastAsia="MS Mincho"/>
          <w:sz w:val="22"/>
          <w:szCs w:val="22"/>
          <w:lang w:val="sr-Latn-ME"/>
        </w:rPr>
        <w:t>eti nakon početnog, u 2. </w:t>
      </w:r>
      <w:r w:rsidR="009A4880" w:rsidRPr="005474B2">
        <w:rPr>
          <w:rFonts w:eastAsia="MS Mincho"/>
          <w:sz w:val="22"/>
          <w:szCs w:val="22"/>
          <w:lang w:val="sr-Latn-ME"/>
        </w:rPr>
        <w:t>nedjelj</w:t>
      </w:r>
      <w:r w:rsidR="00DD093D" w:rsidRPr="005474B2">
        <w:rPr>
          <w:rFonts w:eastAsia="MS Mincho"/>
          <w:sz w:val="22"/>
          <w:szCs w:val="22"/>
          <w:lang w:val="sr-Latn-ME"/>
        </w:rPr>
        <w:t xml:space="preserve">i, a </w:t>
      </w:r>
      <w:r w:rsidR="008F70AE" w:rsidRPr="005474B2">
        <w:rPr>
          <w:rFonts w:eastAsia="MS Mincho"/>
          <w:sz w:val="22"/>
          <w:szCs w:val="22"/>
          <w:lang w:val="sr-Latn-ME"/>
        </w:rPr>
        <w:t>udio</w:t>
      </w:r>
      <w:r w:rsidR="00DD093D" w:rsidRPr="005474B2">
        <w:rPr>
          <w:rFonts w:eastAsia="MS Mincho"/>
          <w:sz w:val="22"/>
          <w:szCs w:val="22"/>
          <w:lang w:val="sr-Latn-ME"/>
        </w:rPr>
        <w:t xml:space="preserve"> pacijenata koji su postigli odgovor </w:t>
      </w:r>
      <w:r w:rsidR="00DD093D" w:rsidRPr="005474B2">
        <w:rPr>
          <w:rFonts w:eastAsia="MS Mincho"/>
          <w:bCs/>
          <w:sz w:val="22"/>
          <w:szCs w:val="22"/>
          <w:lang w:val="sr-Latn-ME"/>
        </w:rPr>
        <w:t>P</w:t>
      </w:r>
      <w:r w:rsidR="00DD093D" w:rsidRPr="005474B2">
        <w:rPr>
          <w:rFonts w:eastAsia="MS Mincho"/>
          <w:sz w:val="22"/>
          <w:szCs w:val="22"/>
          <w:lang w:val="sr-Latn-ME"/>
        </w:rPr>
        <w:t xml:space="preserve">ASI 75 i IGA mod 2011 „čista“ ili „gotovo čista“ (0 ili 1) povećao se </w:t>
      </w:r>
      <w:r w:rsidRPr="005474B2">
        <w:rPr>
          <w:rFonts w:eastAsia="MS Mincho"/>
          <w:sz w:val="22"/>
          <w:szCs w:val="22"/>
          <w:lang w:val="sr-Latn-ME"/>
        </w:rPr>
        <w:t xml:space="preserve">do </w:t>
      </w:r>
      <w:r w:rsidR="00DD093D" w:rsidRPr="005474B2">
        <w:rPr>
          <w:rFonts w:eastAsia="MS Mincho"/>
          <w:sz w:val="22"/>
          <w:szCs w:val="22"/>
          <w:lang w:val="sr-Latn-ME"/>
        </w:rPr>
        <w:t>24</w:t>
      </w:r>
      <w:r w:rsidRPr="005474B2">
        <w:rPr>
          <w:rFonts w:eastAsia="MS Mincho"/>
          <w:sz w:val="22"/>
          <w:szCs w:val="22"/>
          <w:lang w:val="sr-Latn-ME"/>
        </w:rPr>
        <w:t>. nedjelje i bio održan do 52. nedjelje.</w:t>
      </w:r>
      <w:r w:rsidR="00DD093D" w:rsidRPr="005474B2">
        <w:rPr>
          <w:rFonts w:eastAsia="MS Mincho"/>
          <w:sz w:val="22"/>
          <w:szCs w:val="22"/>
          <w:lang w:val="sr-Latn-ME"/>
        </w:rPr>
        <w:t>. Poboljšanja odgovora PASI 90 i PASI 100 su takođe bila prim</w:t>
      </w:r>
      <w:r w:rsidR="008F70AE" w:rsidRPr="005474B2">
        <w:rPr>
          <w:rFonts w:eastAsia="MS Mincho"/>
          <w:sz w:val="22"/>
          <w:szCs w:val="22"/>
          <w:lang w:val="sr-Latn-ME"/>
        </w:rPr>
        <w:t>ij</w:t>
      </w:r>
      <w:r w:rsidR="00DD093D" w:rsidRPr="005474B2">
        <w:rPr>
          <w:rFonts w:eastAsia="MS Mincho"/>
          <w:sz w:val="22"/>
          <w:szCs w:val="22"/>
          <w:lang w:val="sr-Latn-ME"/>
        </w:rPr>
        <w:t>ećena u 12. </w:t>
      </w:r>
      <w:r w:rsidR="009A4880" w:rsidRPr="005474B2">
        <w:rPr>
          <w:rFonts w:eastAsia="MS Mincho"/>
          <w:sz w:val="22"/>
          <w:szCs w:val="22"/>
          <w:lang w:val="sr-Latn-ME"/>
        </w:rPr>
        <w:t>nedjelj</w:t>
      </w:r>
      <w:r w:rsidR="00DD093D" w:rsidRPr="005474B2">
        <w:rPr>
          <w:rFonts w:eastAsia="MS Mincho"/>
          <w:sz w:val="22"/>
          <w:szCs w:val="22"/>
          <w:lang w:val="sr-Latn-ME"/>
        </w:rPr>
        <w:t>i</w:t>
      </w:r>
      <w:r w:rsidRPr="005474B2">
        <w:rPr>
          <w:rFonts w:eastAsia="MS Mincho"/>
          <w:sz w:val="22"/>
          <w:szCs w:val="22"/>
          <w:lang w:val="sr-Latn-ME"/>
        </w:rPr>
        <w:t>,</w:t>
      </w:r>
      <w:r w:rsidR="00DD093D" w:rsidRPr="005474B2">
        <w:rPr>
          <w:rFonts w:eastAsia="MS Mincho"/>
          <w:sz w:val="22"/>
          <w:szCs w:val="22"/>
          <w:lang w:val="sr-Latn-ME"/>
        </w:rPr>
        <w:t xml:space="preserve"> povećala su se </w:t>
      </w:r>
      <w:r w:rsidRPr="005474B2">
        <w:rPr>
          <w:rFonts w:eastAsia="MS Mincho"/>
          <w:sz w:val="22"/>
          <w:szCs w:val="22"/>
          <w:lang w:val="sr-Latn-ME"/>
        </w:rPr>
        <w:t xml:space="preserve">do </w:t>
      </w:r>
      <w:r w:rsidR="00DD093D" w:rsidRPr="005474B2">
        <w:rPr>
          <w:rFonts w:eastAsia="MS Mincho"/>
          <w:sz w:val="22"/>
          <w:szCs w:val="22"/>
          <w:lang w:val="sr-Latn-ME"/>
        </w:rPr>
        <w:t>24</w:t>
      </w:r>
      <w:r w:rsidRPr="005474B2">
        <w:rPr>
          <w:rFonts w:eastAsia="MS Mincho"/>
          <w:sz w:val="22"/>
          <w:szCs w:val="22"/>
          <w:lang w:val="sr-Latn-ME"/>
        </w:rPr>
        <w:t>. nedjelje i bila održana do 52. nedjelje (vid</w:t>
      </w:r>
      <w:r w:rsidR="000538E6" w:rsidRPr="005474B2">
        <w:rPr>
          <w:rFonts w:eastAsia="MS Mincho"/>
          <w:sz w:val="22"/>
          <w:szCs w:val="22"/>
          <w:lang w:val="sr-Latn-ME"/>
        </w:rPr>
        <w:t>j</w:t>
      </w:r>
      <w:r w:rsidRPr="005474B2">
        <w:rPr>
          <w:rFonts w:eastAsia="MS Mincho"/>
          <w:sz w:val="22"/>
          <w:szCs w:val="22"/>
          <w:lang w:val="sr-Latn-ME"/>
        </w:rPr>
        <w:t xml:space="preserve">eti Tabelu </w:t>
      </w:r>
      <w:r w:rsidR="006911D2" w:rsidRPr="005474B2">
        <w:rPr>
          <w:rFonts w:eastAsia="MS Mincho"/>
          <w:sz w:val="22"/>
          <w:szCs w:val="22"/>
          <w:lang w:val="sr-Latn-ME"/>
        </w:rPr>
        <w:t>17</w:t>
      </w:r>
      <w:r w:rsidRPr="005474B2">
        <w:rPr>
          <w:rFonts w:eastAsia="MS Mincho"/>
          <w:sz w:val="22"/>
          <w:szCs w:val="22"/>
          <w:lang w:val="sr-Latn-ME"/>
        </w:rPr>
        <w:t xml:space="preserve">). </w:t>
      </w:r>
    </w:p>
    <w:p w14:paraId="43A6F304" w14:textId="77777777" w:rsidR="00DD093D" w:rsidRPr="005474B2" w:rsidRDefault="00DD093D">
      <w:pPr>
        <w:jc w:val="both"/>
        <w:rPr>
          <w:rFonts w:eastAsia="MS Mincho"/>
          <w:sz w:val="22"/>
          <w:szCs w:val="22"/>
          <w:lang w:val="sr-Latn-ME"/>
        </w:rPr>
      </w:pPr>
    </w:p>
    <w:p w14:paraId="76C5C2FC" w14:textId="57325B65" w:rsidR="00DD093D" w:rsidRPr="005474B2" w:rsidRDefault="008F70AE">
      <w:pPr>
        <w:tabs>
          <w:tab w:val="left" w:pos="284"/>
        </w:tabs>
        <w:autoSpaceDE w:val="0"/>
        <w:autoSpaceDN w:val="0"/>
        <w:jc w:val="both"/>
        <w:rPr>
          <w:sz w:val="22"/>
          <w:szCs w:val="22"/>
          <w:lang w:val="sr-Latn-ME"/>
        </w:rPr>
      </w:pPr>
      <w:r w:rsidRPr="005474B2">
        <w:rPr>
          <w:sz w:val="22"/>
          <w:szCs w:val="22"/>
          <w:lang w:val="sr-Latn-ME"/>
        </w:rPr>
        <w:t>Bezbjednosni</w:t>
      </w:r>
      <w:r w:rsidR="00DD093D" w:rsidRPr="005474B2">
        <w:rPr>
          <w:sz w:val="22"/>
          <w:szCs w:val="22"/>
          <w:lang w:val="sr-Latn-ME"/>
        </w:rPr>
        <w:t xml:space="preserve"> profili niske doze i visoke doze su bili uporedivi i u skladu sa </w:t>
      </w:r>
      <w:r w:rsidRPr="005474B2">
        <w:rPr>
          <w:sz w:val="22"/>
          <w:szCs w:val="22"/>
          <w:lang w:val="sr-Latn-ME"/>
        </w:rPr>
        <w:t>bezbjednosni</w:t>
      </w:r>
      <w:r w:rsidR="00DD093D" w:rsidRPr="005474B2">
        <w:rPr>
          <w:sz w:val="22"/>
          <w:szCs w:val="22"/>
          <w:lang w:val="sr-Latn-ME"/>
        </w:rPr>
        <w:t>m profilom kod odraslih.</w:t>
      </w:r>
    </w:p>
    <w:p w14:paraId="1BD628EC" w14:textId="77777777" w:rsidR="00DD093D" w:rsidRPr="005474B2" w:rsidRDefault="00DD093D">
      <w:pPr>
        <w:jc w:val="both"/>
        <w:rPr>
          <w:rFonts w:eastAsia="MS Mincho"/>
          <w:sz w:val="22"/>
          <w:szCs w:val="22"/>
          <w:lang w:val="sr-Latn-ME"/>
        </w:rPr>
      </w:pPr>
    </w:p>
    <w:p w14:paraId="01ECA474" w14:textId="232CA0A0" w:rsidR="00DD093D" w:rsidRPr="005474B2" w:rsidRDefault="00DD093D">
      <w:pPr>
        <w:jc w:val="both"/>
        <w:rPr>
          <w:b/>
          <w:sz w:val="22"/>
          <w:szCs w:val="22"/>
          <w:lang w:val="sr-Latn-ME"/>
        </w:rPr>
      </w:pPr>
      <w:r w:rsidRPr="005474B2">
        <w:rPr>
          <w:b/>
          <w:sz w:val="22"/>
          <w:szCs w:val="22"/>
          <w:lang w:val="sr-Latn-ME"/>
        </w:rPr>
        <w:t>Tabela </w:t>
      </w:r>
      <w:r w:rsidR="006911D2" w:rsidRPr="005474B2">
        <w:rPr>
          <w:b/>
          <w:sz w:val="22"/>
          <w:szCs w:val="22"/>
          <w:lang w:val="sr-Latn-ME"/>
        </w:rPr>
        <w:t>17</w:t>
      </w:r>
      <w:r w:rsidRPr="005474B2">
        <w:rPr>
          <w:b/>
          <w:sz w:val="22"/>
          <w:szCs w:val="22"/>
          <w:lang w:val="sr-Latn-ME"/>
        </w:rPr>
        <w:tab/>
        <w:t xml:space="preserve">Sažetak kliničkih odgovora kod </w:t>
      </w:r>
      <w:r w:rsidR="009A4880" w:rsidRPr="005474B2">
        <w:rPr>
          <w:b/>
          <w:sz w:val="22"/>
          <w:szCs w:val="22"/>
          <w:lang w:val="sr-Latn-ME"/>
        </w:rPr>
        <w:t>umjeren</w:t>
      </w:r>
      <w:r w:rsidRPr="005474B2">
        <w:rPr>
          <w:b/>
          <w:sz w:val="22"/>
          <w:szCs w:val="22"/>
          <w:lang w:val="sr-Latn-ME"/>
        </w:rPr>
        <w:t xml:space="preserve">e do teške psorijaze kod </w:t>
      </w:r>
      <w:r w:rsidR="008F70AE" w:rsidRPr="005474B2">
        <w:rPr>
          <w:b/>
          <w:sz w:val="22"/>
          <w:szCs w:val="22"/>
          <w:lang w:val="sr-Latn-ME"/>
        </w:rPr>
        <w:t>djece</w:t>
      </w:r>
      <w:r w:rsidRPr="005474B2">
        <w:rPr>
          <w:b/>
          <w:sz w:val="22"/>
          <w:szCs w:val="22"/>
          <w:lang w:val="sr-Latn-ME"/>
        </w:rPr>
        <w:t xml:space="preserve"> u 12. i </w:t>
      </w:r>
      <w:r w:rsidR="007E2F65" w:rsidRPr="005474B2">
        <w:rPr>
          <w:b/>
          <w:sz w:val="22"/>
          <w:szCs w:val="22"/>
          <w:lang w:val="sr-Latn-ME"/>
        </w:rPr>
        <w:t>52</w:t>
      </w:r>
      <w:r w:rsidRPr="005474B2">
        <w:rPr>
          <w:b/>
          <w:sz w:val="22"/>
          <w:szCs w:val="22"/>
          <w:lang w:val="sr-Latn-ME"/>
        </w:rPr>
        <w:t>. </w:t>
      </w:r>
      <w:r w:rsidR="009A4880" w:rsidRPr="005474B2">
        <w:rPr>
          <w:b/>
          <w:sz w:val="22"/>
          <w:szCs w:val="22"/>
          <w:lang w:val="sr-Latn-ME"/>
        </w:rPr>
        <w:t>nedjelj</w:t>
      </w:r>
      <w:r w:rsidRPr="005474B2">
        <w:rPr>
          <w:b/>
          <w:sz w:val="22"/>
          <w:szCs w:val="22"/>
          <w:lang w:val="sr-Latn-ME"/>
        </w:rPr>
        <w:t>i (</w:t>
      </w:r>
      <w:r w:rsidR="004429DA" w:rsidRPr="005474B2">
        <w:rPr>
          <w:b/>
          <w:sz w:val="22"/>
          <w:szCs w:val="22"/>
          <w:lang w:val="sr-Latn-ME"/>
        </w:rPr>
        <w:t xml:space="preserve">studija sprovedena </w:t>
      </w:r>
      <w:r w:rsidRPr="005474B2">
        <w:rPr>
          <w:b/>
          <w:sz w:val="22"/>
          <w:szCs w:val="22"/>
          <w:lang w:val="sr-Latn-ME"/>
        </w:rPr>
        <w:t xml:space="preserve">kod </w:t>
      </w:r>
      <w:r w:rsidR="008F70AE" w:rsidRPr="005474B2">
        <w:rPr>
          <w:b/>
          <w:sz w:val="22"/>
          <w:szCs w:val="22"/>
          <w:lang w:val="sr-Latn-ME"/>
        </w:rPr>
        <w:t>djece</w:t>
      </w:r>
      <w:r w:rsidRPr="005474B2">
        <w:rPr>
          <w:b/>
          <w:sz w:val="22"/>
          <w:szCs w:val="22"/>
          <w:lang w:val="sr-Latn-ME"/>
        </w:rPr>
        <w:t> </w:t>
      </w:r>
      <w:r w:rsidR="004429DA" w:rsidRPr="005474B2">
        <w:rPr>
          <w:b/>
          <w:sz w:val="22"/>
          <w:szCs w:val="22"/>
          <w:lang w:val="sr-Latn-ME"/>
        </w:rPr>
        <w:t>sa psorijazom</w:t>
      </w:r>
      <w:r w:rsidRPr="005474B2">
        <w:rPr>
          <w:b/>
          <w:sz w:val="22"/>
          <w:szCs w:val="22"/>
          <w:lang w:val="sr-Latn-ME"/>
        </w:rPr>
        <w:t>)*</w:t>
      </w:r>
    </w:p>
    <w:p w14:paraId="6E6DAAE3" w14:textId="77777777" w:rsidR="00DD093D" w:rsidRPr="005474B2" w:rsidRDefault="00DD093D">
      <w:pPr>
        <w:tabs>
          <w:tab w:val="left" w:pos="540"/>
          <w:tab w:val="left" w:pos="569"/>
        </w:tabs>
        <w:jc w:val="both"/>
        <w:rPr>
          <w:b/>
          <w:bCs/>
          <w:sz w:val="22"/>
          <w:szCs w:val="22"/>
          <w:lang w:val="sr-Latn-M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1552"/>
        <w:gridCol w:w="1553"/>
        <w:gridCol w:w="1552"/>
        <w:gridCol w:w="1553"/>
      </w:tblGrid>
      <w:tr w:rsidR="00DD093D" w:rsidRPr="0009637B" w14:paraId="68F9B2C8" w14:textId="77777777" w:rsidTr="009A4880">
        <w:trPr>
          <w:cantSplit/>
        </w:trPr>
        <w:tc>
          <w:tcPr>
            <w:tcW w:w="3145" w:type="dxa"/>
            <w:vMerge w:val="restart"/>
            <w:shd w:val="clear" w:color="auto" w:fill="auto"/>
          </w:tcPr>
          <w:p w14:paraId="0041C1E1" w14:textId="77777777" w:rsidR="00DD093D" w:rsidRPr="005474B2" w:rsidRDefault="00DD093D">
            <w:pPr>
              <w:keepNext/>
              <w:keepLines/>
              <w:widowControl w:val="0"/>
              <w:jc w:val="both"/>
              <w:rPr>
                <w:rFonts w:eastAsia="MS Mincho"/>
                <w:b/>
                <w:sz w:val="22"/>
                <w:szCs w:val="22"/>
                <w:lang w:val="sr-Latn-ME"/>
              </w:rPr>
            </w:pPr>
          </w:p>
        </w:tc>
        <w:tc>
          <w:tcPr>
            <w:tcW w:w="3105" w:type="dxa"/>
            <w:gridSpan w:val="2"/>
            <w:shd w:val="clear" w:color="auto" w:fill="auto"/>
          </w:tcPr>
          <w:p w14:paraId="75B77F12" w14:textId="77777777" w:rsidR="00DD093D" w:rsidRPr="005474B2" w:rsidRDefault="00DD093D" w:rsidP="005474B2">
            <w:pPr>
              <w:keepNext/>
              <w:keepLines/>
              <w:widowControl w:val="0"/>
              <w:jc w:val="both"/>
              <w:rPr>
                <w:rFonts w:eastAsia="MS Mincho"/>
                <w:b/>
                <w:sz w:val="22"/>
                <w:szCs w:val="22"/>
                <w:lang w:val="sr-Latn-ME"/>
              </w:rPr>
            </w:pPr>
            <w:r w:rsidRPr="005474B2">
              <w:rPr>
                <w:rFonts w:eastAsia="MS Mincho"/>
                <w:b/>
                <w:sz w:val="22"/>
                <w:szCs w:val="22"/>
                <w:lang w:val="sr-Latn-ME"/>
              </w:rPr>
              <w:t>12. </w:t>
            </w:r>
            <w:r w:rsidR="009A4880" w:rsidRPr="005474B2">
              <w:rPr>
                <w:rFonts w:eastAsia="MS Mincho"/>
                <w:b/>
                <w:sz w:val="22"/>
                <w:szCs w:val="22"/>
                <w:lang w:val="sr-Latn-ME"/>
              </w:rPr>
              <w:t>nedjelj</w:t>
            </w:r>
            <w:r w:rsidRPr="005474B2">
              <w:rPr>
                <w:rFonts w:eastAsia="MS Mincho"/>
                <w:b/>
                <w:sz w:val="22"/>
                <w:szCs w:val="22"/>
                <w:lang w:val="sr-Latn-ME"/>
              </w:rPr>
              <w:t>a</w:t>
            </w:r>
          </w:p>
        </w:tc>
        <w:tc>
          <w:tcPr>
            <w:tcW w:w="3105" w:type="dxa"/>
            <w:gridSpan w:val="2"/>
            <w:shd w:val="clear" w:color="auto" w:fill="auto"/>
          </w:tcPr>
          <w:p w14:paraId="1B92C76F" w14:textId="250D41D7" w:rsidR="00DD093D" w:rsidRPr="005474B2" w:rsidRDefault="007E2F65" w:rsidP="005474B2">
            <w:pPr>
              <w:keepNext/>
              <w:keepLines/>
              <w:widowControl w:val="0"/>
              <w:jc w:val="both"/>
              <w:rPr>
                <w:rFonts w:eastAsia="MS Mincho"/>
                <w:b/>
                <w:sz w:val="22"/>
                <w:szCs w:val="22"/>
                <w:lang w:val="sr-Latn-ME"/>
              </w:rPr>
            </w:pPr>
            <w:r w:rsidRPr="005474B2">
              <w:rPr>
                <w:rFonts w:eastAsia="MS Mincho"/>
                <w:b/>
                <w:sz w:val="22"/>
                <w:szCs w:val="22"/>
                <w:lang w:val="sr-Latn-ME"/>
              </w:rPr>
              <w:t>52</w:t>
            </w:r>
            <w:r w:rsidR="00DD093D" w:rsidRPr="005474B2">
              <w:rPr>
                <w:rFonts w:eastAsia="MS Mincho"/>
                <w:b/>
                <w:sz w:val="22"/>
                <w:szCs w:val="22"/>
                <w:lang w:val="sr-Latn-ME"/>
              </w:rPr>
              <w:t>. </w:t>
            </w:r>
            <w:r w:rsidR="009A4880" w:rsidRPr="005474B2">
              <w:rPr>
                <w:rFonts w:eastAsia="MS Mincho"/>
                <w:b/>
                <w:sz w:val="22"/>
                <w:szCs w:val="22"/>
                <w:lang w:val="sr-Latn-ME"/>
              </w:rPr>
              <w:t>nedjelj</w:t>
            </w:r>
            <w:r w:rsidR="00DD093D" w:rsidRPr="005474B2">
              <w:rPr>
                <w:rFonts w:eastAsia="MS Mincho"/>
                <w:b/>
                <w:sz w:val="22"/>
                <w:szCs w:val="22"/>
                <w:lang w:val="sr-Latn-ME"/>
              </w:rPr>
              <w:t>a</w:t>
            </w:r>
          </w:p>
        </w:tc>
      </w:tr>
      <w:tr w:rsidR="00DD093D" w:rsidRPr="0009637B" w14:paraId="08CF7157" w14:textId="77777777" w:rsidTr="009A4880">
        <w:trPr>
          <w:cantSplit/>
        </w:trPr>
        <w:tc>
          <w:tcPr>
            <w:tcW w:w="3145" w:type="dxa"/>
            <w:vMerge/>
            <w:shd w:val="clear" w:color="auto" w:fill="auto"/>
          </w:tcPr>
          <w:p w14:paraId="4E4C8B1B" w14:textId="77777777" w:rsidR="00DD093D" w:rsidRPr="005474B2" w:rsidRDefault="00DD093D">
            <w:pPr>
              <w:keepNext/>
              <w:keepLines/>
              <w:widowControl w:val="0"/>
              <w:jc w:val="both"/>
              <w:rPr>
                <w:rFonts w:eastAsia="MS Mincho"/>
                <w:b/>
                <w:sz w:val="22"/>
                <w:szCs w:val="22"/>
                <w:lang w:val="sr-Latn-ME"/>
              </w:rPr>
            </w:pPr>
          </w:p>
        </w:tc>
        <w:tc>
          <w:tcPr>
            <w:tcW w:w="1552" w:type="dxa"/>
            <w:shd w:val="clear" w:color="auto" w:fill="auto"/>
          </w:tcPr>
          <w:p w14:paraId="69816C96" w14:textId="77777777" w:rsidR="00DD093D" w:rsidRPr="005474B2" w:rsidRDefault="00DD093D" w:rsidP="005474B2">
            <w:pPr>
              <w:keepNext/>
              <w:tabs>
                <w:tab w:val="left" w:pos="284"/>
              </w:tabs>
              <w:ind w:left="-145" w:right="-82"/>
              <w:jc w:val="both"/>
              <w:rPr>
                <w:b/>
                <w:sz w:val="22"/>
                <w:szCs w:val="22"/>
                <w:lang w:val="sr-Latn-ME"/>
              </w:rPr>
            </w:pPr>
            <w:r w:rsidRPr="005474B2">
              <w:rPr>
                <w:b/>
                <w:sz w:val="22"/>
                <w:szCs w:val="22"/>
                <w:lang w:val="sr-Latn-ME"/>
              </w:rPr>
              <w:t>Niska doza sekukinumaba</w:t>
            </w:r>
          </w:p>
        </w:tc>
        <w:tc>
          <w:tcPr>
            <w:tcW w:w="1553" w:type="dxa"/>
            <w:shd w:val="clear" w:color="auto" w:fill="auto"/>
          </w:tcPr>
          <w:p w14:paraId="252FB845" w14:textId="77777777" w:rsidR="00DD093D" w:rsidRPr="005474B2" w:rsidRDefault="00DD093D" w:rsidP="005474B2">
            <w:pPr>
              <w:keepNext/>
              <w:tabs>
                <w:tab w:val="left" w:pos="284"/>
              </w:tabs>
              <w:ind w:left="-134" w:right="-93"/>
              <w:jc w:val="both"/>
              <w:rPr>
                <w:b/>
                <w:sz w:val="22"/>
                <w:szCs w:val="22"/>
                <w:lang w:val="sr-Latn-ME"/>
              </w:rPr>
            </w:pPr>
            <w:r w:rsidRPr="005474B2">
              <w:rPr>
                <w:b/>
                <w:sz w:val="22"/>
                <w:szCs w:val="22"/>
                <w:lang w:val="sr-Latn-ME"/>
              </w:rPr>
              <w:t>Visoka doza sekukinumaba</w:t>
            </w:r>
          </w:p>
        </w:tc>
        <w:tc>
          <w:tcPr>
            <w:tcW w:w="1552" w:type="dxa"/>
            <w:shd w:val="clear" w:color="auto" w:fill="auto"/>
          </w:tcPr>
          <w:p w14:paraId="32BCF99F" w14:textId="77777777" w:rsidR="00DD093D" w:rsidRPr="005474B2" w:rsidRDefault="00DD093D" w:rsidP="005474B2">
            <w:pPr>
              <w:keepNext/>
              <w:tabs>
                <w:tab w:val="left" w:pos="284"/>
              </w:tabs>
              <w:ind w:left="-123" w:right="-93"/>
              <w:jc w:val="both"/>
              <w:rPr>
                <w:b/>
                <w:sz w:val="22"/>
                <w:szCs w:val="22"/>
                <w:lang w:val="sr-Latn-ME"/>
              </w:rPr>
            </w:pPr>
            <w:r w:rsidRPr="005474B2">
              <w:rPr>
                <w:b/>
                <w:sz w:val="22"/>
                <w:szCs w:val="22"/>
                <w:lang w:val="sr-Latn-ME"/>
              </w:rPr>
              <w:t>Niska doza sekukinumaba</w:t>
            </w:r>
          </w:p>
        </w:tc>
        <w:tc>
          <w:tcPr>
            <w:tcW w:w="1553" w:type="dxa"/>
            <w:shd w:val="clear" w:color="auto" w:fill="auto"/>
          </w:tcPr>
          <w:p w14:paraId="16C11857" w14:textId="77777777" w:rsidR="00DD093D" w:rsidRPr="005474B2" w:rsidRDefault="00DD093D" w:rsidP="005474B2">
            <w:pPr>
              <w:keepNext/>
              <w:tabs>
                <w:tab w:val="left" w:pos="284"/>
              </w:tabs>
              <w:ind w:left="-123" w:right="-104"/>
              <w:jc w:val="both"/>
              <w:rPr>
                <w:b/>
                <w:sz w:val="22"/>
                <w:szCs w:val="22"/>
                <w:lang w:val="sr-Latn-ME"/>
              </w:rPr>
            </w:pPr>
            <w:r w:rsidRPr="005474B2">
              <w:rPr>
                <w:b/>
                <w:sz w:val="22"/>
                <w:szCs w:val="22"/>
                <w:lang w:val="sr-Latn-ME"/>
              </w:rPr>
              <w:t>Visoka doza sekukinumaba</w:t>
            </w:r>
          </w:p>
        </w:tc>
      </w:tr>
      <w:tr w:rsidR="00DD093D" w:rsidRPr="0009637B" w14:paraId="1D14DF72" w14:textId="77777777" w:rsidTr="009A4880">
        <w:trPr>
          <w:cantSplit/>
        </w:trPr>
        <w:tc>
          <w:tcPr>
            <w:tcW w:w="3145" w:type="dxa"/>
            <w:shd w:val="clear" w:color="auto" w:fill="auto"/>
          </w:tcPr>
          <w:p w14:paraId="193BBEC5"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Broj pacijenata</w:t>
            </w:r>
          </w:p>
        </w:tc>
        <w:tc>
          <w:tcPr>
            <w:tcW w:w="1552" w:type="dxa"/>
            <w:shd w:val="clear" w:color="auto" w:fill="auto"/>
          </w:tcPr>
          <w:p w14:paraId="24124CD5"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42</w:t>
            </w:r>
          </w:p>
        </w:tc>
        <w:tc>
          <w:tcPr>
            <w:tcW w:w="1553" w:type="dxa"/>
            <w:shd w:val="clear" w:color="auto" w:fill="auto"/>
          </w:tcPr>
          <w:p w14:paraId="6D1A42DF" w14:textId="77777777" w:rsidR="00DD093D" w:rsidRPr="005474B2" w:rsidRDefault="00DD093D">
            <w:pPr>
              <w:keepNext/>
              <w:keepLines/>
              <w:widowControl w:val="0"/>
              <w:jc w:val="both"/>
              <w:rPr>
                <w:rFonts w:eastAsia="MS Mincho"/>
                <w:sz w:val="22"/>
                <w:szCs w:val="22"/>
                <w:lang w:val="sr-Latn-ME"/>
              </w:rPr>
            </w:pPr>
            <w:r w:rsidRPr="005474B2">
              <w:rPr>
                <w:rFonts w:eastAsia="MS Mincho"/>
                <w:sz w:val="22"/>
                <w:szCs w:val="22"/>
                <w:lang w:val="sr-Latn-ME"/>
              </w:rPr>
              <w:t>42</w:t>
            </w:r>
          </w:p>
        </w:tc>
        <w:tc>
          <w:tcPr>
            <w:tcW w:w="1552" w:type="dxa"/>
            <w:shd w:val="clear" w:color="auto" w:fill="auto"/>
          </w:tcPr>
          <w:p w14:paraId="23844765" w14:textId="77777777" w:rsidR="00DD093D" w:rsidRPr="005474B2" w:rsidRDefault="00DD093D">
            <w:pPr>
              <w:keepNext/>
              <w:keepLines/>
              <w:widowControl w:val="0"/>
              <w:jc w:val="both"/>
              <w:rPr>
                <w:rFonts w:eastAsia="MS Mincho"/>
                <w:sz w:val="22"/>
                <w:szCs w:val="22"/>
                <w:lang w:val="sr-Latn-ME"/>
              </w:rPr>
            </w:pPr>
            <w:r w:rsidRPr="005474B2">
              <w:rPr>
                <w:rFonts w:eastAsia="MS Mincho"/>
                <w:sz w:val="22"/>
                <w:szCs w:val="22"/>
                <w:lang w:val="sr-Latn-ME"/>
              </w:rPr>
              <w:t>42</w:t>
            </w:r>
          </w:p>
        </w:tc>
        <w:tc>
          <w:tcPr>
            <w:tcW w:w="1553" w:type="dxa"/>
            <w:shd w:val="clear" w:color="auto" w:fill="auto"/>
          </w:tcPr>
          <w:p w14:paraId="24B3B433" w14:textId="77777777" w:rsidR="00DD093D" w:rsidRPr="005474B2" w:rsidRDefault="00DD093D">
            <w:pPr>
              <w:keepNext/>
              <w:keepLines/>
              <w:widowControl w:val="0"/>
              <w:jc w:val="both"/>
              <w:rPr>
                <w:rFonts w:eastAsia="MS Mincho"/>
                <w:sz w:val="22"/>
                <w:szCs w:val="22"/>
                <w:lang w:val="sr-Latn-ME"/>
              </w:rPr>
            </w:pPr>
            <w:r w:rsidRPr="005474B2">
              <w:rPr>
                <w:rFonts w:eastAsia="MS Mincho"/>
                <w:sz w:val="22"/>
                <w:szCs w:val="22"/>
                <w:lang w:val="sr-Latn-ME"/>
              </w:rPr>
              <w:t>42</w:t>
            </w:r>
          </w:p>
        </w:tc>
      </w:tr>
      <w:tr w:rsidR="00DD093D" w:rsidRPr="0009637B" w14:paraId="3D763D67" w14:textId="77777777" w:rsidTr="009A4880">
        <w:trPr>
          <w:cantSplit/>
        </w:trPr>
        <w:tc>
          <w:tcPr>
            <w:tcW w:w="3145" w:type="dxa"/>
            <w:shd w:val="clear" w:color="auto" w:fill="auto"/>
          </w:tcPr>
          <w:p w14:paraId="44CCE6DD"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Odgovor PASI 75 n (%)</w:t>
            </w:r>
          </w:p>
        </w:tc>
        <w:tc>
          <w:tcPr>
            <w:tcW w:w="1552" w:type="dxa"/>
            <w:shd w:val="clear" w:color="auto" w:fill="auto"/>
          </w:tcPr>
          <w:p w14:paraId="03C18CF2"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39 (92,9%)</w:t>
            </w:r>
          </w:p>
        </w:tc>
        <w:tc>
          <w:tcPr>
            <w:tcW w:w="1553" w:type="dxa"/>
            <w:shd w:val="clear" w:color="auto" w:fill="auto"/>
          </w:tcPr>
          <w:p w14:paraId="3348DF87" w14:textId="77777777" w:rsidR="00DD093D" w:rsidRPr="005474B2" w:rsidRDefault="00DD093D">
            <w:pPr>
              <w:keepNext/>
              <w:keepLines/>
              <w:widowControl w:val="0"/>
              <w:jc w:val="both"/>
              <w:rPr>
                <w:rFonts w:eastAsia="MS Mincho"/>
                <w:sz w:val="22"/>
                <w:szCs w:val="22"/>
                <w:lang w:val="sr-Latn-ME"/>
              </w:rPr>
            </w:pPr>
            <w:r w:rsidRPr="005474B2">
              <w:rPr>
                <w:rFonts w:eastAsia="MS Mincho"/>
                <w:sz w:val="22"/>
                <w:szCs w:val="22"/>
                <w:lang w:val="sr-Latn-ME"/>
              </w:rPr>
              <w:t>39 (92,9%)</w:t>
            </w:r>
          </w:p>
        </w:tc>
        <w:tc>
          <w:tcPr>
            <w:tcW w:w="1552" w:type="dxa"/>
            <w:shd w:val="clear" w:color="auto" w:fill="auto"/>
          </w:tcPr>
          <w:p w14:paraId="0DB4200D" w14:textId="08A3A4D5" w:rsidR="00DD093D" w:rsidRPr="005474B2" w:rsidRDefault="007E2F65">
            <w:pPr>
              <w:keepNext/>
              <w:keepLines/>
              <w:widowControl w:val="0"/>
              <w:jc w:val="both"/>
              <w:rPr>
                <w:rFonts w:eastAsia="MS Mincho"/>
                <w:sz w:val="22"/>
                <w:szCs w:val="22"/>
                <w:lang w:val="sr-Latn-ME"/>
              </w:rPr>
            </w:pPr>
            <w:r w:rsidRPr="005474B2">
              <w:rPr>
                <w:rFonts w:eastAsia="MS Mincho"/>
                <w:sz w:val="22"/>
                <w:szCs w:val="22"/>
                <w:lang w:val="sr-Latn-ME"/>
              </w:rPr>
              <w:t>37 (88,1%)</w:t>
            </w:r>
          </w:p>
        </w:tc>
        <w:tc>
          <w:tcPr>
            <w:tcW w:w="1553" w:type="dxa"/>
            <w:shd w:val="clear" w:color="auto" w:fill="auto"/>
          </w:tcPr>
          <w:p w14:paraId="523E5CAD" w14:textId="08F73D0C" w:rsidR="00DD093D" w:rsidRPr="005474B2" w:rsidRDefault="007E2F65">
            <w:pPr>
              <w:keepNext/>
              <w:keepLines/>
              <w:widowControl w:val="0"/>
              <w:jc w:val="both"/>
              <w:rPr>
                <w:rFonts w:eastAsia="MS Mincho"/>
                <w:sz w:val="22"/>
                <w:szCs w:val="22"/>
                <w:lang w:val="sr-Latn-ME"/>
              </w:rPr>
            </w:pPr>
            <w:r w:rsidRPr="005474B2">
              <w:rPr>
                <w:rFonts w:eastAsia="MS Mincho"/>
                <w:sz w:val="22"/>
                <w:szCs w:val="22"/>
                <w:lang w:val="sr-Latn-ME"/>
              </w:rPr>
              <w:t>38 (90,5%)</w:t>
            </w:r>
          </w:p>
        </w:tc>
      </w:tr>
      <w:tr w:rsidR="00DD093D" w:rsidRPr="0009637B" w14:paraId="0B945186" w14:textId="77777777" w:rsidTr="009A4880">
        <w:trPr>
          <w:cantSplit/>
        </w:trPr>
        <w:tc>
          <w:tcPr>
            <w:tcW w:w="3145" w:type="dxa"/>
            <w:shd w:val="clear" w:color="auto" w:fill="auto"/>
          </w:tcPr>
          <w:p w14:paraId="7C1E691D"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Odgovor IGA mod 2011 „čista“ ili „gotovo čista“ n (%)</w:t>
            </w:r>
          </w:p>
        </w:tc>
        <w:tc>
          <w:tcPr>
            <w:tcW w:w="1552" w:type="dxa"/>
            <w:shd w:val="clear" w:color="auto" w:fill="auto"/>
          </w:tcPr>
          <w:p w14:paraId="35B36F6D"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33 (78,6%)</w:t>
            </w:r>
          </w:p>
        </w:tc>
        <w:tc>
          <w:tcPr>
            <w:tcW w:w="1553" w:type="dxa"/>
            <w:shd w:val="clear" w:color="auto" w:fill="auto"/>
          </w:tcPr>
          <w:p w14:paraId="3FC68609" w14:textId="77777777" w:rsidR="00DD093D" w:rsidRPr="005474B2" w:rsidRDefault="00DD093D">
            <w:pPr>
              <w:keepNext/>
              <w:keepLines/>
              <w:widowControl w:val="0"/>
              <w:jc w:val="both"/>
              <w:rPr>
                <w:rFonts w:eastAsia="MS Mincho"/>
                <w:sz w:val="22"/>
                <w:szCs w:val="22"/>
                <w:lang w:val="sr-Latn-ME"/>
              </w:rPr>
            </w:pPr>
            <w:r w:rsidRPr="005474B2">
              <w:rPr>
                <w:rFonts w:eastAsia="MS Mincho"/>
                <w:sz w:val="22"/>
                <w:szCs w:val="22"/>
                <w:lang w:val="sr-Latn-ME"/>
              </w:rPr>
              <w:t>35 (83,3%)</w:t>
            </w:r>
          </w:p>
        </w:tc>
        <w:tc>
          <w:tcPr>
            <w:tcW w:w="1552" w:type="dxa"/>
            <w:shd w:val="clear" w:color="auto" w:fill="auto"/>
          </w:tcPr>
          <w:p w14:paraId="3E10CE27" w14:textId="0FEDBBA5" w:rsidR="00DD093D" w:rsidRPr="005474B2" w:rsidRDefault="007E2F65">
            <w:pPr>
              <w:keepNext/>
              <w:keepLines/>
              <w:widowControl w:val="0"/>
              <w:jc w:val="both"/>
              <w:rPr>
                <w:rFonts w:eastAsia="MS Mincho"/>
                <w:sz w:val="22"/>
                <w:szCs w:val="22"/>
                <w:lang w:val="sr-Latn-ME"/>
              </w:rPr>
            </w:pPr>
            <w:r w:rsidRPr="005474B2">
              <w:rPr>
                <w:rFonts w:eastAsia="MS Mincho"/>
                <w:sz w:val="22"/>
                <w:szCs w:val="22"/>
                <w:lang w:val="sr-Latn-ME"/>
              </w:rPr>
              <w:t>36 (85,7%)</w:t>
            </w:r>
          </w:p>
        </w:tc>
        <w:tc>
          <w:tcPr>
            <w:tcW w:w="1553" w:type="dxa"/>
            <w:shd w:val="clear" w:color="auto" w:fill="auto"/>
          </w:tcPr>
          <w:p w14:paraId="25C18191" w14:textId="2E446AF4" w:rsidR="00DD093D" w:rsidRPr="005474B2" w:rsidRDefault="007E2F65">
            <w:pPr>
              <w:keepNext/>
              <w:keepLines/>
              <w:widowControl w:val="0"/>
              <w:jc w:val="both"/>
              <w:rPr>
                <w:rFonts w:eastAsia="MS Mincho"/>
                <w:sz w:val="22"/>
                <w:szCs w:val="22"/>
                <w:lang w:val="sr-Latn-ME"/>
              </w:rPr>
            </w:pPr>
            <w:r w:rsidRPr="005474B2">
              <w:rPr>
                <w:rFonts w:eastAsia="MS Mincho"/>
                <w:sz w:val="22"/>
                <w:szCs w:val="22"/>
                <w:lang w:val="sr-Latn-ME"/>
              </w:rPr>
              <w:t>35 (83,3%)</w:t>
            </w:r>
          </w:p>
        </w:tc>
      </w:tr>
      <w:tr w:rsidR="00DD093D" w:rsidRPr="0009637B" w14:paraId="4784DC2F" w14:textId="77777777" w:rsidTr="009A4880">
        <w:trPr>
          <w:cantSplit/>
        </w:trPr>
        <w:tc>
          <w:tcPr>
            <w:tcW w:w="3145" w:type="dxa"/>
            <w:shd w:val="clear" w:color="auto" w:fill="auto"/>
          </w:tcPr>
          <w:p w14:paraId="54083DD9"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Odgovor PASI 90 n (%)</w:t>
            </w:r>
          </w:p>
        </w:tc>
        <w:tc>
          <w:tcPr>
            <w:tcW w:w="1552" w:type="dxa"/>
            <w:shd w:val="clear" w:color="auto" w:fill="auto"/>
          </w:tcPr>
          <w:p w14:paraId="5B398233"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29 (69%)</w:t>
            </w:r>
          </w:p>
        </w:tc>
        <w:tc>
          <w:tcPr>
            <w:tcW w:w="1553" w:type="dxa"/>
            <w:shd w:val="clear" w:color="auto" w:fill="auto"/>
          </w:tcPr>
          <w:p w14:paraId="4844CC99" w14:textId="77777777" w:rsidR="00DD093D" w:rsidRPr="005474B2" w:rsidRDefault="00DD093D">
            <w:pPr>
              <w:keepNext/>
              <w:keepLines/>
              <w:widowControl w:val="0"/>
              <w:jc w:val="both"/>
              <w:rPr>
                <w:rFonts w:eastAsia="MS Mincho"/>
                <w:sz w:val="22"/>
                <w:szCs w:val="22"/>
                <w:lang w:val="sr-Latn-ME"/>
              </w:rPr>
            </w:pPr>
            <w:r w:rsidRPr="005474B2">
              <w:rPr>
                <w:rFonts w:eastAsia="MS Mincho"/>
                <w:sz w:val="22"/>
                <w:szCs w:val="22"/>
                <w:lang w:val="sr-Latn-ME"/>
              </w:rPr>
              <w:t>32 (76,2%)</w:t>
            </w:r>
          </w:p>
        </w:tc>
        <w:tc>
          <w:tcPr>
            <w:tcW w:w="1552" w:type="dxa"/>
            <w:shd w:val="clear" w:color="auto" w:fill="auto"/>
          </w:tcPr>
          <w:p w14:paraId="1269DCE8" w14:textId="11C7ED75" w:rsidR="00DD093D" w:rsidRPr="005474B2" w:rsidRDefault="00D875F3">
            <w:pPr>
              <w:keepNext/>
              <w:keepLines/>
              <w:widowControl w:val="0"/>
              <w:jc w:val="both"/>
              <w:rPr>
                <w:rFonts w:eastAsia="MS Mincho"/>
                <w:sz w:val="22"/>
                <w:szCs w:val="22"/>
                <w:lang w:val="sr-Latn-ME"/>
              </w:rPr>
            </w:pPr>
            <w:r w:rsidRPr="005474B2">
              <w:rPr>
                <w:rFonts w:eastAsia="MS Mincho"/>
                <w:sz w:val="22"/>
                <w:szCs w:val="22"/>
                <w:lang w:val="sr-Latn-ME"/>
              </w:rPr>
              <w:t>32 (76,2%)</w:t>
            </w:r>
          </w:p>
        </w:tc>
        <w:tc>
          <w:tcPr>
            <w:tcW w:w="1553" w:type="dxa"/>
            <w:shd w:val="clear" w:color="auto" w:fill="auto"/>
          </w:tcPr>
          <w:p w14:paraId="024C6329" w14:textId="3DED5AAD" w:rsidR="00DD093D" w:rsidRPr="005474B2" w:rsidRDefault="00D875F3">
            <w:pPr>
              <w:keepNext/>
              <w:keepLines/>
              <w:widowControl w:val="0"/>
              <w:jc w:val="both"/>
              <w:rPr>
                <w:rFonts w:eastAsia="MS Mincho"/>
                <w:sz w:val="22"/>
                <w:szCs w:val="22"/>
                <w:lang w:val="sr-Latn-ME"/>
              </w:rPr>
            </w:pPr>
            <w:r w:rsidRPr="005474B2">
              <w:rPr>
                <w:rFonts w:eastAsia="MS Mincho"/>
                <w:sz w:val="22"/>
                <w:szCs w:val="22"/>
                <w:lang w:val="sr-Latn-ME"/>
              </w:rPr>
              <w:t>35 (83,3%)</w:t>
            </w:r>
          </w:p>
        </w:tc>
      </w:tr>
      <w:tr w:rsidR="00DD093D" w:rsidRPr="0009637B" w14:paraId="2A621938" w14:textId="77777777" w:rsidTr="009A4880">
        <w:trPr>
          <w:cantSplit/>
        </w:trPr>
        <w:tc>
          <w:tcPr>
            <w:tcW w:w="3145" w:type="dxa"/>
            <w:shd w:val="clear" w:color="auto" w:fill="auto"/>
          </w:tcPr>
          <w:p w14:paraId="4EFFCB12"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Odgovor PASI 100 n (%)</w:t>
            </w:r>
          </w:p>
        </w:tc>
        <w:tc>
          <w:tcPr>
            <w:tcW w:w="1552" w:type="dxa"/>
            <w:shd w:val="clear" w:color="auto" w:fill="auto"/>
          </w:tcPr>
          <w:p w14:paraId="461E53C5" w14:textId="77777777" w:rsidR="00DD093D" w:rsidRPr="005474B2" w:rsidRDefault="00DD093D" w:rsidP="0009637B">
            <w:pPr>
              <w:keepNext/>
              <w:keepLines/>
              <w:widowControl w:val="0"/>
              <w:jc w:val="both"/>
              <w:rPr>
                <w:rFonts w:eastAsia="MS Mincho"/>
                <w:sz w:val="22"/>
                <w:szCs w:val="22"/>
                <w:lang w:val="sr-Latn-ME"/>
              </w:rPr>
            </w:pPr>
            <w:r w:rsidRPr="005474B2">
              <w:rPr>
                <w:rFonts w:eastAsia="MS Mincho"/>
                <w:sz w:val="22"/>
                <w:szCs w:val="22"/>
                <w:lang w:val="sr-Latn-ME"/>
              </w:rPr>
              <w:t>25 (59,5%)</w:t>
            </w:r>
          </w:p>
        </w:tc>
        <w:tc>
          <w:tcPr>
            <w:tcW w:w="1553" w:type="dxa"/>
            <w:shd w:val="clear" w:color="auto" w:fill="auto"/>
          </w:tcPr>
          <w:p w14:paraId="14808B6E" w14:textId="77777777" w:rsidR="00DD093D" w:rsidRPr="005474B2" w:rsidRDefault="00DD093D">
            <w:pPr>
              <w:keepNext/>
              <w:keepLines/>
              <w:widowControl w:val="0"/>
              <w:jc w:val="both"/>
              <w:rPr>
                <w:rFonts w:eastAsia="MS Mincho"/>
                <w:sz w:val="22"/>
                <w:szCs w:val="22"/>
                <w:lang w:val="sr-Latn-ME"/>
              </w:rPr>
            </w:pPr>
            <w:r w:rsidRPr="005474B2">
              <w:rPr>
                <w:rFonts w:eastAsia="MS Mincho"/>
                <w:sz w:val="22"/>
                <w:szCs w:val="22"/>
                <w:lang w:val="sr-Latn-ME"/>
              </w:rPr>
              <w:t>23 (54,8%)</w:t>
            </w:r>
          </w:p>
        </w:tc>
        <w:tc>
          <w:tcPr>
            <w:tcW w:w="1552" w:type="dxa"/>
            <w:shd w:val="clear" w:color="auto" w:fill="auto"/>
          </w:tcPr>
          <w:p w14:paraId="2271ACCA" w14:textId="55BC6907" w:rsidR="00DD093D" w:rsidRPr="005474B2" w:rsidRDefault="00D875F3">
            <w:pPr>
              <w:keepNext/>
              <w:keepLines/>
              <w:widowControl w:val="0"/>
              <w:jc w:val="both"/>
              <w:rPr>
                <w:rFonts w:eastAsia="MS Mincho"/>
                <w:sz w:val="22"/>
                <w:szCs w:val="22"/>
                <w:lang w:val="sr-Latn-ME"/>
              </w:rPr>
            </w:pPr>
            <w:r w:rsidRPr="005474B2">
              <w:rPr>
                <w:rFonts w:eastAsia="MS Mincho"/>
                <w:sz w:val="22"/>
                <w:szCs w:val="22"/>
                <w:lang w:val="sr-Latn-ME"/>
              </w:rPr>
              <w:t>22 (52,4%)</w:t>
            </w:r>
          </w:p>
        </w:tc>
        <w:tc>
          <w:tcPr>
            <w:tcW w:w="1553" w:type="dxa"/>
            <w:shd w:val="clear" w:color="auto" w:fill="auto"/>
          </w:tcPr>
          <w:p w14:paraId="7DFE9333" w14:textId="381604A4" w:rsidR="00DD093D" w:rsidRPr="005474B2" w:rsidRDefault="00D875F3">
            <w:pPr>
              <w:keepNext/>
              <w:keepLines/>
              <w:widowControl w:val="0"/>
              <w:jc w:val="both"/>
              <w:rPr>
                <w:rFonts w:eastAsia="MS Mincho"/>
                <w:sz w:val="22"/>
                <w:szCs w:val="22"/>
                <w:lang w:val="sr-Latn-ME"/>
              </w:rPr>
            </w:pPr>
            <w:r w:rsidRPr="005474B2">
              <w:rPr>
                <w:rFonts w:eastAsia="MS Mincho"/>
                <w:sz w:val="22"/>
                <w:szCs w:val="22"/>
                <w:lang w:val="sr-Latn-ME"/>
              </w:rPr>
              <w:t>29 (69,0%)</w:t>
            </w:r>
          </w:p>
        </w:tc>
      </w:tr>
      <w:tr w:rsidR="00DD093D" w:rsidRPr="0009637B" w14:paraId="708325E3" w14:textId="77777777" w:rsidTr="009A4880">
        <w:trPr>
          <w:cantSplit/>
        </w:trPr>
        <w:tc>
          <w:tcPr>
            <w:tcW w:w="9355" w:type="dxa"/>
            <w:gridSpan w:val="5"/>
            <w:shd w:val="clear" w:color="auto" w:fill="auto"/>
          </w:tcPr>
          <w:p w14:paraId="106E3F68" w14:textId="1484B6AC" w:rsidR="00DD093D" w:rsidRPr="005474B2" w:rsidRDefault="00DD093D" w:rsidP="0009637B">
            <w:pPr>
              <w:keepLines/>
              <w:tabs>
                <w:tab w:val="left" w:pos="284"/>
              </w:tabs>
              <w:jc w:val="both"/>
              <w:rPr>
                <w:rFonts w:eastAsia="MS Mincho"/>
                <w:sz w:val="22"/>
                <w:szCs w:val="22"/>
                <w:lang w:val="sr-Latn-ME" w:eastAsia="zh-CN"/>
              </w:rPr>
            </w:pPr>
            <w:r w:rsidRPr="005474B2">
              <w:rPr>
                <w:rFonts w:eastAsia="MS Mincho"/>
                <w:sz w:val="22"/>
                <w:szCs w:val="22"/>
                <w:lang w:val="sr-Latn-ME"/>
              </w:rPr>
              <w:t xml:space="preserve">* za </w:t>
            </w:r>
            <w:r w:rsidR="00A233FB" w:rsidRPr="005474B2">
              <w:rPr>
                <w:rFonts w:eastAsia="MS Mincho"/>
                <w:sz w:val="22"/>
                <w:szCs w:val="22"/>
                <w:lang w:val="sr-Latn-ME"/>
              </w:rPr>
              <w:t>vrijednosti</w:t>
            </w:r>
            <w:r w:rsidRPr="005474B2">
              <w:rPr>
                <w:rFonts w:eastAsia="MS Mincho"/>
                <w:sz w:val="22"/>
                <w:szCs w:val="22"/>
                <w:lang w:val="sr-Latn-ME"/>
              </w:rPr>
              <w:t xml:space="preserve"> koje nedostaju koristila se imputacija </w:t>
            </w:r>
            <w:r w:rsidR="000538E6" w:rsidRPr="005474B2">
              <w:rPr>
                <w:rFonts w:eastAsia="MS Mincho"/>
                <w:sz w:val="22"/>
                <w:szCs w:val="22"/>
                <w:lang w:val="sr-Latn-ME"/>
              </w:rPr>
              <w:t>pacijenata</w:t>
            </w:r>
            <w:r w:rsidRPr="005474B2">
              <w:rPr>
                <w:rFonts w:eastAsia="MS Mincho"/>
                <w:sz w:val="22"/>
                <w:szCs w:val="22"/>
                <w:lang w:val="sr-Latn-ME"/>
              </w:rPr>
              <w:t xml:space="preserve"> bez odgovora</w:t>
            </w:r>
          </w:p>
        </w:tc>
      </w:tr>
    </w:tbl>
    <w:p w14:paraId="72515CA3" w14:textId="77777777" w:rsidR="00DD093D" w:rsidRPr="005474B2" w:rsidRDefault="00DD093D" w:rsidP="0009637B">
      <w:pPr>
        <w:tabs>
          <w:tab w:val="left" w:pos="540"/>
          <w:tab w:val="left" w:pos="569"/>
        </w:tabs>
        <w:jc w:val="both"/>
        <w:rPr>
          <w:b/>
          <w:bCs/>
          <w:sz w:val="22"/>
          <w:szCs w:val="22"/>
          <w:lang w:val="sr-Latn-ME"/>
        </w:rPr>
      </w:pPr>
    </w:p>
    <w:p w14:paraId="365BDE10" w14:textId="77777777" w:rsidR="00DD093D" w:rsidRPr="005474B2" w:rsidRDefault="00DD093D" w:rsidP="0009637B">
      <w:pPr>
        <w:jc w:val="both"/>
        <w:rPr>
          <w:rFonts w:eastAsia="MS Mincho"/>
          <w:sz w:val="22"/>
          <w:szCs w:val="22"/>
          <w:lang w:val="sr-Latn-ME"/>
        </w:rPr>
      </w:pPr>
      <w:r w:rsidRPr="005474B2">
        <w:rPr>
          <w:rFonts w:eastAsia="MS Mincho"/>
          <w:sz w:val="22"/>
          <w:szCs w:val="22"/>
          <w:lang w:val="sr-Latn-ME"/>
        </w:rPr>
        <w:lastRenderedPageBreak/>
        <w:t xml:space="preserve">Ti ishodi su u pedijatrijskoj populaciji sa </w:t>
      </w:r>
      <w:r w:rsidR="009A4880" w:rsidRPr="005474B2">
        <w:rPr>
          <w:rFonts w:eastAsia="MS Mincho"/>
          <w:sz w:val="22"/>
          <w:szCs w:val="22"/>
          <w:lang w:val="sr-Latn-ME"/>
        </w:rPr>
        <w:t>umjeren</w:t>
      </w:r>
      <w:r w:rsidRPr="005474B2">
        <w:rPr>
          <w:rFonts w:eastAsia="MS Mincho"/>
          <w:sz w:val="22"/>
          <w:szCs w:val="22"/>
          <w:lang w:val="sr-Latn-ME"/>
        </w:rPr>
        <w:t>om do teškom plak psorijazom potvrdili gore navedene predviđene pretpostavke na osnovu odnosa efikasnosti i odgovora na izloženost kod odraslih pacijenata.</w:t>
      </w:r>
    </w:p>
    <w:p w14:paraId="7D62E799" w14:textId="77777777" w:rsidR="00DD093D" w:rsidRPr="005474B2" w:rsidRDefault="00DD093D">
      <w:pPr>
        <w:jc w:val="both"/>
        <w:rPr>
          <w:sz w:val="22"/>
          <w:szCs w:val="22"/>
          <w:lang w:val="sr-Latn-ME"/>
        </w:rPr>
      </w:pPr>
    </w:p>
    <w:p w14:paraId="565BC5FA" w14:textId="2B31DA8A" w:rsidR="00DD093D" w:rsidRPr="005474B2" w:rsidRDefault="00DD093D">
      <w:pPr>
        <w:widowControl w:val="0"/>
        <w:jc w:val="both"/>
        <w:rPr>
          <w:rFonts w:eastAsia="MS Mincho"/>
          <w:sz w:val="22"/>
          <w:szCs w:val="22"/>
          <w:lang w:val="sr-Latn-ME"/>
        </w:rPr>
      </w:pPr>
      <w:r w:rsidRPr="005474B2">
        <w:rPr>
          <w:rFonts w:eastAsia="MS Mincho"/>
          <w:sz w:val="22"/>
          <w:szCs w:val="22"/>
          <w:lang w:val="sr-Latn-ME"/>
        </w:rPr>
        <w:t>U grupi s</w:t>
      </w:r>
      <w:r w:rsidR="000662D8">
        <w:rPr>
          <w:rFonts w:eastAsia="MS Mincho"/>
          <w:sz w:val="22"/>
          <w:szCs w:val="22"/>
          <w:lang w:val="sr-Latn-ME"/>
        </w:rPr>
        <w:t>a</w:t>
      </w:r>
      <w:r w:rsidRPr="005474B2">
        <w:rPr>
          <w:rFonts w:eastAsia="MS Mincho"/>
          <w:sz w:val="22"/>
          <w:szCs w:val="22"/>
          <w:lang w:val="sr-Latn-ME"/>
        </w:rPr>
        <w:t xml:space="preserve"> niskom dozom, 50% pacijenata je  postiglo CDLQI 0 ili 1 u 12. </w:t>
      </w:r>
      <w:r w:rsidR="009A4880" w:rsidRPr="005474B2">
        <w:rPr>
          <w:rFonts w:eastAsia="MS Mincho"/>
          <w:sz w:val="22"/>
          <w:szCs w:val="22"/>
          <w:lang w:val="sr-Latn-ME"/>
        </w:rPr>
        <w:t>nedjelj</w:t>
      </w:r>
      <w:r w:rsidRPr="005474B2">
        <w:rPr>
          <w:rFonts w:eastAsia="MS Mincho"/>
          <w:sz w:val="22"/>
          <w:szCs w:val="22"/>
          <w:lang w:val="sr-Latn-ME"/>
        </w:rPr>
        <w:t xml:space="preserve">i, a 70,7% u </w:t>
      </w:r>
      <w:r w:rsidR="00D875F3" w:rsidRPr="005474B2">
        <w:rPr>
          <w:rFonts w:eastAsia="MS Mincho"/>
          <w:sz w:val="22"/>
          <w:szCs w:val="22"/>
          <w:lang w:val="sr-Latn-ME"/>
        </w:rPr>
        <w:t>52</w:t>
      </w:r>
      <w:r w:rsidRPr="005474B2">
        <w:rPr>
          <w:rFonts w:eastAsia="MS Mincho"/>
          <w:sz w:val="22"/>
          <w:szCs w:val="22"/>
          <w:lang w:val="sr-Latn-ME"/>
        </w:rPr>
        <w:t>. </w:t>
      </w:r>
      <w:r w:rsidR="009A4880" w:rsidRPr="005474B2">
        <w:rPr>
          <w:rFonts w:eastAsia="MS Mincho"/>
          <w:sz w:val="22"/>
          <w:szCs w:val="22"/>
          <w:lang w:val="sr-Latn-ME"/>
        </w:rPr>
        <w:t>nedjelj</w:t>
      </w:r>
      <w:r w:rsidRPr="005474B2">
        <w:rPr>
          <w:rFonts w:eastAsia="MS Mincho"/>
          <w:sz w:val="22"/>
          <w:szCs w:val="22"/>
          <w:lang w:val="sr-Latn-ME"/>
        </w:rPr>
        <w:t>i. U grupi s</w:t>
      </w:r>
      <w:r w:rsidR="000662D8">
        <w:rPr>
          <w:rFonts w:eastAsia="MS Mincho"/>
          <w:sz w:val="22"/>
          <w:szCs w:val="22"/>
          <w:lang w:val="sr-Latn-ME"/>
        </w:rPr>
        <w:t>a</w:t>
      </w:r>
      <w:r w:rsidRPr="005474B2">
        <w:rPr>
          <w:rFonts w:eastAsia="MS Mincho"/>
          <w:sz w:val="22"/>
          <w:szCs w:val="22"/>
          <w:lang w:val="sr-Latn-ME"/>
        </w:rPr>
        <w:t xml:space="preserve"> visokom dozom, 61,9% pacijenata je postiglo CDLQI 0 ili 1 u 12. </w:t>
      </w:r>
      <w:r w:rsidR="009A4880" w:rsidRPr="005474B2">
        <w:rPr>
          <w:rFonts w:eastAsia="MS Mincho"/>
          <w:sz w:val="22"/>
          <w:szCs w:val="22"/>
          <w:lang w:val="sr-Latn-ME"/>
        </w:rPr>
        <w:t>nedjelj</w:t>
      </w:r>
      <w:r w:rsidRPr="005474B2">
        <w:rPr>
          <w:rFonts w:eastAsia="MS Mincho"/>
          <w:sz w:val="22"/>
          <w:szCs w:val="22"/>
          <w:lang w:val="sr-Latn-ME"/>
        </w:rPr>
        <w:t xml:space="preserve">i, a </w:t>
      </w:r>
      <w:r w:rsidR="00D875F3" w:rsidRPr="005474B2">
        <w:rPr>
          <w:rFonts w:eastAsia="MS Mincho"/>
          <w:sz w:val="22"/>
          <w:szCs w:val="22"/>
          <w:lang w:val="sr-Latn-ME"/>
        </w:rPr>
        <w:t>70,3</w:t>
      </w:r>
      <w:r w:rsidRPr="005474B2">
        <w:rPr>
          <w:rFonts w:eastAsia="MS Mincho"/>
          <w:sz w:val="22"/>
          <w:szCs w:val="22"/>
          <w:lang w:val="sr-Latn-ME"/>
        </w:rPr>
        <w:t xml:space="preserve">% u </w:t>
      </w:r>
      <w:r w:rsidR="00D875F3" w:rsidRPr="005474B2">
        <w:rPr>
          <w:rFonts w:eastAsia="MS Mincho"/>
          <w:sz w:val="22"/>
          <w:szCs w:val="22"/>
          <w:lang w:val="sr-Latn-ME"/>
        </w:rPr>
        <w:t>52</w:t>
      </w:r>
      <w:r w:rsidRPr="005474B2">
        <w:rPr>
          <w:rFonts w:eastAsia="MS Mincho"/>
          <w:sz w:val="22"/>
          <w:szCs w:val="22"/>
          <w:lang w:val="sr-Latn-ME"/>
        </w:rPr>
        <w:t>. </w:t>
      </w:r>
      <w:r w:rsidR="009A4880" w:rsidRPr="005474B2">
        <w:rPr>
          <w:rFonts w:eastAsia="MS Mincho"/>
          <w:sz w:val="22"/>
          <w:szCs w:val="22"/>
          <w:lang w:val="sr-Latn-ME"/>
        </w:rPr>
        <w:t>nedjelj</w:t>
      </w:r>
      <w:r w:rsidRPr="005474B2">
        <w:rPr>
          <w:rFonts w:eastAsia="MS Mincho"/>
          <w:sz w:val="22"/>
          <w:szCs w:val="22"/>
          <w:lang w:val="sr-Latn-ME"/>
        </w:rPr>
        <w:t>i.</w:t>
      </w:r>
    </w:p>
    <w:p w14:paraId="19C6E928" w14:textId="54D77B6E" w:rsidR="00DD093D" w:rsidRPr="005474B2" w:rsidRDefault="00DD093D">
      <w:pPr>
        <w:tabs>
          <w:tab w:val="left" w:pos="284"/>
        </w:tabs>
        <w:jc w:val="both"/>
        <w:rPr>
          <w:sz w:val="22"/>
          <w:szCs w:val="22"/>
          <w:lang w:val="sr-Latn-ME"/>
        </w:rPr>
      </w:pPr>
    </w:p>
    <w:p w14:paraId="769AE627" w14:textId="446FD1B2" w:rsidR="00DC744D" w:rsidRPr="0009637B" w:rsidRDefault="00DC744D">
      <w:pPr>
        <w:tabs>
          <w:tab w:val="left" w:pos="284"/>
        </w:tabs>
        <w:jc w:val="both"/>
        <w:rPr>
          <w:i/>
          <w:sz w:val="22"/>
          <w:szCs w:val="22"/>
          <w:u w:val="single"/>
          <w:lang w:val="hr-HR"/>
        </w:rPr>
      </w:pPr>
      <w:bookmarkStart w:id="10" w:name="_Hlk106831466"/>
      <w:r w:rsidRPr="0009637B">
        <w:rPr>
          <w:i/>
          <w:sz w:val="22"/>
          <w:szCs w:val="22"/>
          <w:u w:val="single"/>
          <w:lang w:val="hr-HR"/>
        </w:rPr>
        <w:t>Juvenilni idiopatski artritis (JIA)</w:t>
      </w:r>
    </w:p>
    <w:p w14:paraId="2F7C4F12" w14:textId="78E4D84A" w:rsidR="00DC744D" w:rsidRPr="0009637B" w:rsidRDefault="00DC744D">
      <w:pPr>
        <w:tabs>
          <w:tab w:val="left" w:pos="284"/>
        </w:tabs>
        <w:jc w:val="both"/>
        <w:rPr>
          <w:sz w:val="22"/>
          <w:szCs w:val="22"/>
          <w:lang w:val="hr-HR"/>
        </w:rPr>
      </w:pPr>
    </w:p>
    <w:p w14:paraId="4EF22467" w14:textId="606C52AA" w:rsidR="00DC744D" w:rsidRPr="0009637B" w:rsidRDefault="00DC744D">
      <w:pPr>
        <w:tabs>
          <w:tab w:val="left" w:pos="284"/>
        </w:tabs>
        <w:jc w:val="both"/>
        <w:rPr>
          <w:i/>
          <w:iCs/>
          <w:sz w:val="22"/>
          <w:szCs w:val="22"/>
          <w:lang w:val="hr-HR"/>
        </w:rPr>
      </w:pPr>
      <w:proofErr w:type="spellStart"/>
      <w:r w:rsidRPr="0009637B">
        <w:rPr>
          <w:i/>
          <w:iCs/>
          <w:sz w:val="22"/>
          <w:szCs w:val="22"/>
        </w:rPr>
        <w:t>Artritis</w:t>
      </w:r>
      <w:proofErr w:type="spellEnd"/>
      <w:r w:rsidRPr="0009637B">
        <w:rPr>
          <w:i/>
          <w:iCs/>
          <w:sz w:val="22"/>
          <w:szCs w:val="22"/>
        </w:rPr>
        <w:t xml:space="preserve"> </w:t>
      </w:r>
      <w:proofErr w:type="spellStart"/>
      <w:r w:rsidRPr="0009637B">
        <w:rPr>
          <w:i/>
          <w:iCs/>
          <w:sz w:val="22"/>
          <w:szCs w:val="22"/>
        </w:rPr>
        <w:t>povezan</w:t>
      </w:r>
      <w:proofErr w:type="spellEnd"/>
      <w:r w:rsidRPr="0009637B">
        <w:rPr>
          <w:i/>
          <w:iCs/>
          <w:sz w:val="22"/>
          <w:szCs w:val="22"/>
        </w:rPr>
        <w:t xml:space="preserve"> </w:t>
      </w:r>
      <w:proofErr w:type="spellStart"/>
      <w:r w:rsidRPr="0009637B">
        <w:rPr>
          <w:i/>
          <w:iCs/>
          <w:sz w:val="22"/>
          <w:szCs w:val="22"/>
        </w:rPr>
        <w:t>sa</w:t>
      </w:r>
      <w:proofErr w:type="spellEnd"/>
      <w:r w:rsidRPr="0009637B">
        <w:rPr>
          <w:i/>
          <w:iCs/>
          <w:sz w:val="22"/>
          <w:szCs w:val="22"/>
        </w:rPr>
        <w:t xml:space="preserve"> </w:t>
      </w:r>
      <w:proofErr w:type="spellStart"/>
      <w:r w:rsidRPr="0009637B">
        <w:rPr>
          <w:i/>
          <w:iCs/>
          <w:sz w:val="22"/>
          <w:szCs w:val="22"/>
        </w:rPr>
        <w:t>entezitisom</w:t>
      </w:r>
      <w:proofErr w:type="spellEnd"/>
      <w:r w:rsidRPr="0009637B">
        <w:rPr>
          <w:i/>
          <w:iCs/>
          <w:sz w:val="22"/>
          <w:szCs w:val="22"/>
          <w:lang w:val="hr-HR"/>
        </w:rPr>
        <w:t xml:space="preserve"> (ERA) i juvenilni psorijazni artritis (JPsA)</w:t>
      </w:r>
    </w:p>
    <w:p w14:paraId="3A6B6C78" w14:textId="6A95ED08" w:rsidR="00DC744D" w:rsidRPr="0009637B" w:rsidRDefault="00DC744D">
      <w:pPr>
        <w:tabs>
          <w:tab w:val="left" w:pos="284"/>
        </w:tabs>
        <w:jc w:val="both"/>
        <w:rPr>
          <w:sz w:val="22"/>
          <w:szCs w:val="22"/>
          <w:lang w:val="hr-HR"/>
        </w:rPr>
      </w:pPr>
      <w:r w:rsidRPr="0009637B">
        <w:rPr>
          <w:sz w:val="22"/>
          <w:szCs w:val="22"/>
          <w:lang w:val="hr-HR"/>
        </w:rPr>
        <w:t>Efikasnost i bezbjednost sekukinumaba su procijenjeni na 86 pacijenata u 3</w:t>
      </w:r>
      <w:r w:rsidRPr="0009637B">
        <w:rPr>
          <w:sz w:val="22"/>
          <w:szCs w:val="22"/>
          <w:lang w:val="hr-HR"/>
        </w:rPr>
        <w:noBreakHyphen/>
        <w:t xml:space="preserve">nedjeljoj, dvostruko slijepoj, placebom kontrolisanoj, događajima vođenoj, randomizovanoj studiji faze III sa pacijentima uzrasta od 2 do &lt;18 godina sa aktivnim ERA ili JPsA dijagnostifikovanim na osnovu modifikovanih kriterijuma Međunarodne lige reumatoloških udruženja (engl. </w:t>
      </w:r>
      <w:r w:rsidRPr="0009637B">
        <w:rPr>
          <w:i/>
          <w:iCs/>
          <w:sz w:val="22"/>
          <w:szCs w:val="22"/>
        </w:rPr>
        <w:t>International League of Associations for Rheumatology</w:t>
      </w:r>
      <w:r w:rsidRPr="0009637B">
        <w:rPr>
          <w:sz w:val="22"/>
          <w:szCs w:val="22"/>
        </w:rPr>
        <w:t xml:space="preserve">, ILAR) </w:t>
      </w:r>
      <w:proofErr w:type="spellStart"/>
      <w:r w:rsidRPr="0009637B">
        <w:rPr>
          <w:sz w:val="22"/>
          <w:szCs w:val="22"/>
        </w:rPr>
        <w:t>za</w:t>
      </w:r>
      <w:proofErr w:type="spellEnd"/>
      <w:r w:rsidRPr="0009637B">
        <w:rPr>
          <w:sz w:val="22"/>
          <w:szCs w:val="22"/>
        </w:rPr>
        <w:t xml:space="preserve"> </w:t>
      </w:r>
      <w:proofErr w:type="spellStart"/>
      <w:r w:rsidRPr="0009637B">
        <w:rPr>
          <w:sz w:val="22"/>
          <w:szCs w:val="22"/>
        </w:rPr>
        <w:t>klasifikaciju</w:t>
      </w:r>
      <w:proofErr w:type="spellEnd"/>
      <w:r w:rsidRPr="0009637B">
        <w:rPr>
          <w:sz w:val="22"/>
          <w:szCs w:val="22"/>
        </w:rPr>
        <w:t xml:space="preserve"> JIA. </w:t>
      </w:r>
      <w:proofErr w:type="spellStart"/>
      <w:r w:rsidRPr="0009637B">
        <w:rPr>
          <w:sz w:val="22"/>
          <w:szCs w:val="22"/>
        </w:rPr>
        <w:t>Studija</w:t>
      </w:r>
      <w:proofErr w:type="spellEnd"/>
      <w:r w:rsidRPr="0009637B">
        <w:rPr>
          <w:sz w:val="22"/>
          <w:szCs w:val="22"/>
        </w:rPr>
        <w:t xml:space="preserve"> se </w:t>
      </w:r>
      <w:proofErr w:type="spellStart"/>
      <w:r w:rsidRPr="0009637B">
        <w:rPr>
          <w:sz w:val="22"/>
          <w:szCs w:val="22"/>
        </w:rPr>
        <w:t>sastojala</w:t>
      </w:r>
      <w:proofErr w:type="spellEnd"/>
      <w:r w:rsidRPr="0009637B">
        <w:rPr>
          <w:sz w:val="22"/>
          <w:szCs w:val="22"/>
        </w:rPr>
        <w:t xml:space="preserve"> </w:t>
      </w:r>
      <w:proofErr w:type="spellStart"/>
      <w:r w:rsidRPr="0009637B">
        <w:rPr>
          <w:sz w:val="22"/>
          <w:szCs w:val="22"/>
        </w:rPr>
        <w:t>od</w:t>
      </w:r>
      <w:proofErr w:type="spellEnd"/>
      <w:r w:rsidRPr="0009637B">
        <w:rPr>
          <w:sz w:val="22"/>
          <w:szCs w:val="22"/>
        </w:rPr>
        <w:t xml:space="preserve"> </w:t>
      </w:r>
      <w:proofErr w:type="spellStart"/>
      <w:r w:rsidRPr="0009637B">
        <w:rPr>
          <w:sz w:val="22"/>
          <w:szCs w:val="22"/>
        </w:rPr>
        <w:t>otvorenog</w:t>
      </w:r>
      <w:proofErr w:type="spellEnd"/>
      <w:r w:rsidRPr="0009637B">
        <w:rPr>
          <w:sz w:val="22"/>
          <w:szCs w:val="22"/>
        </w:rPr>
        <w:t xml:space="preserve"> </w:t>
      </w:r>
      <w:proofErr w:type="spellStart"/>
      <w:r w:rsidRPr="0009637B">
        <w:rPr>
          <w:sz w:val="22"/>
          <w:szCs w:val="22"/>
        </w:rPr>
        <w:t>dijela</w:t>
      </w:r>
      <w:proofErr w:type="spellEnd"/>
      <w:r w:rsidRPr="0009637B">
        <w:rPr>
          <w:sz w:val="22"/>
          <w:szCs w:val="22"/>
        </w:rPr>
        <w:t xml:space="preserve"> (1. </w:t>
      </w:r>
      <w:proofErr w:type="spellStart"/>
      <w:r w:rsidRPr="0009637B">
        <w:rPr>
          <w:sz w:val="22"/>
          <w:szCs w:val="22"/>
        </w:rPr>
        <w:t>dio</w:t>
      </w:r>
      <w:proofErr w:type="spellEnd"/>
      <w:r w:rsidRPr="0009637B">
        <w:rPr>
          <w:sz w:val="22"/>
          <w:szCs w:val="22"/>
        </w:rPr>
        <w:t xml:space="preserve">) u </w:t>
      </w:r>
      <w:proofErr w:type="spellStart"/>
      <w:r w:rsidRPr="0009637B">
        <w:rPr>
          <w:sz w:val="22"/>
          <w:szCs w:val="22"/>
        </w:rPr>
        <w:t>kome</w:t>
      </w:r>
      <w:proofErr w:type="spellEnd"/>
      <w:r w:rsidRPr="0009637B">
        <w:rPr>
          <w:sz w:val="22"/>
          <w:szCs w:val="22"/>
        </w:rPr>
        <w:t xml:space="preserve"> </w:t>
      </w:r>
      <w:proofErr w:type="spellStart"/>
      <w:r w:rsidRPr="0009637B">
        <w:rPr>
          <w:sz w:val="22"/>
          <w:szCs w:val="22"/>
        </w:rPr>
        <w:t>su</w:t>
      </w:r>
      <w:proofErr w:type="spellEnd"/>
      <w:r w:rsidRPr="0009637B">
        <w:rPr>
          <w:sz w:val="22"/>
          <w:szCs w:val="22"/>
        </w:rPr>
        <w:t xml:space="preserve"> </w:t>
      </w:r>
      <w:proofErr w:type="spellStart"/>
      <w:r w:rsidRPr="0009637B">
        <w:rPr>
          <w:sz w:val="22"/>
          <w:szCs w:val="22"/>
        </w:rPr>
        <w:t>svi</w:t>
      </w:r>
      <w:proofErr w:type="spellEnd"/>
      <w:r w:rsidRPr="0009637B">
        <w:rPr>
          <w:sz w:val="22"/>
          <w:szCs w:val="22"/>
        </w:rPr>
        <w:t xml:space="preserve"> </w:t>
      </w:r>
      <w:proofErr w:type="spellStart"/>
      <w:r w:rsidRPr="0009637B">
        <w:rPr>
          <w:sz w:val="22"/>
          <w:szCs w:val="22"/>
        </w:rPr>
        <w:t>pacijenti</w:t>
      </w:r>
      <w:proofErr w:type="spellEnd"/>
      <w:r w:rsidRPr="0009637B">
        <w:rPr>
          <w:sz w:val="22"/>
          <w:szCs w:val="22"/>
        </w:rPr>
        <w:t xml:space="preserve"> </w:t>
      </w:r>
      <w:proofErr w:type="spellStart"/>
      <w:r w:rsidRPr="0009637B">
        <w:rPr>
          <w:sz w:val="22"/>
          <w:szCs w:val="22"/>
        </w:rPr>
        <w:t>primali</w:t>
      </w:r>
      <w:proofErr w:type="spellEnd"/>
      <w:r w:rsidRPr="0009637B">
        <w:rPr>
          <w:sz w:val="22"/>
          <w:szCs w:val="22"/>
        </w:rPr>
        <w:t xml:space="preserve"> </w:t>
      </w:r>
      <w:proofErr w:type="spellStart"/>
      <w:r w:rsidRPr="0009637B">
        <w:rPr>
          <w:sz w:val="22"/>
          <w:szCs w:val="22"/>
        </w:rPr>
        <w:t>sekukinumab</w:t>
      </w:r>
      <w:proofErr w:type="spellEnd"/>
      <w:r w:rsidRPr="0009637B">
        <w:rPr>
          <w:sz w:val="22"/>
          <w:szCs w:val="22"/>
        </w:rPr>
        <w:t xml:space="preserve"> do 12. </w:t>
      </w:r>
      <w:proofErr w:type="spellStart"/>
      <w:r w:rsidRPr="0009637B">
        <w:rPr>
          <w:sz w:val="22"/>
          <w:szCs w:val="22"/>
        </w:rPr>
        <w:t>nedjelje</w:t>
      </w:r>
      <w:proofErr w:type="spellEnd"/>
      <w:r w:rsidRPr="0009637B">
        <w:rPr>
          <w:sz w:val="22"/>
          <w:szCs w:val="22"/>
        </w:rPr>
        <w:t xml:space="preserve">. </w:t>
      </w:r>
      <w:proofErr w:type="spellStart"/>
      <w:r w:rsidRPr="0009637B">
        <w:rPr>
          <w:sz w:val="22"/>
          <w:szCs w:val="22"/>
        </w:rPr>
        <w:t>Pacijenti</w:t>
      </w:r>
      <w:proofErr w:type="spellEnd"/>
      <w:r w:rsidRPr="0009637B">
        <w:rPr>
          <w:sz w:val="22"/>
          <w:szCs w:val="22"/>
        </w:rPr>
        <w:t xml:space="preserve">, </w:t>
      </w:r>
      <w:proofErr w:type="spellStart"/>
      <w:r w:rsidRPr="0009637B">
        <w:rPr>
          <w:sz w:val="22"/>
          <w:szCs w:val="22"/>
        </w:rPr>
        <w:t>koji</w:t>
      </w:r>
      <w:proofErr w:type="spellEnd"/>
      <w:r w:rsidRPr="0009637B">
        <w:rPr>
          <w:sz w:val="22"/>
          <w:szCs w:val="22"/>
        </w:rPr>
        <w:t xml:space="preserve"> </w:t>
      </w:r>
      <w:proofErr w:type="spellStart"/>
      <w:r w:rsidRPr="0009637B">
        <w:rPr>
          <w:sz w:val="22"/>
          <w:szCs w:val="22"/>
        </w:rPr>
        <w:t>su</w:t>
      </w:r>
      <w:proofErr w:type="spellEnd"/>
      <w:r w:rsidRPr="0009637B">
        <w:rPr>
          <w:sz w:val="22"/>
          <w:szCs w:val="22"/>
        </w:rPr>
        <w:t xml:space="preserve"> </w:t>
      </w:r>
      <w:proofErr w:type="spellStart"/>
      <w:r w:rsidRPr="0009637B">
        <w:rPr>
          <w:sz w:val="22"/>
          <w:szCs w:val="22"/>
        </w:rPr>
        <w:t>pokazali</w:t>
      </w:r>
      <w:proofErr w:type="spellEnd"/>
      <w:r w:rsidRPr="0009637B">
        <w:rPr>
          <w:sz w:val="22"/>
          <w:szCs w:val="22"/>
        </w:rPr>
        <w:t xml:space="preserve"> </w:t>
      </w:r>
      <w:proofErr w:type="spellStart"/>
      <w:r w:rsidRPr="0009637B">
        <w:rPr>
          <w:sz w:val="22"/>
          <w:szCs w:val="22"/>
        </w:rPr>
        <w:t>odgovor</w:t>
      </w:r>
      <w:proofErr w:type="spellEnd"/>
      <w:r w:rsidRPr="0009637B">
        <w:rPr>
          <w:sz w:val="22"/>
          <w:szCs w:val="22"/>
        </w:rPr>
        <w:t xml:space="preserve"> JIA ACR 30 u 12. </w:t>
      </w:r>
      <w:proofErr w:type="spellStart"/>
      <w:r w:rsidRPr="0009637B">
        <w:rPr>
          <w:sz w:val="22"/>
          <w:szCs w:val="22"/>
        </w:rPr>
        <w:t>nedjelji</w:t>
      </w:r>
      <w:proofErr w:type="spellEnd"/>
      <w:r w:rsidRPr="0009637B">
        <w:rPr>
          <w:sz w:val="22"/>
          <w:szCs w:val="22"/>
        </w:rPr>
        <w:t xml:space="preserve">, </w:t>
      </w:r>
      <w:proofErr w:type="spellStart"/>
      <w:r w:rsidRPr="0009637B">
        <w:rPr>
          <w:sz w:val="22"/>
          <w:szCs w:val="22"/>
        </w:rPr>
        <w:t>su</w:t>
      </w:r>
      <w:proofErr w:type="spellEnd"/>
      <w:r w:rsidRPr="0009637B">
        <w:rPr>
          <w:sz w:val="22"/>
          <w:szCs w:val="22"/>
        </w:rPr>
        <w:t xml:space="preserve"> </w:t>
      </w:r>
      <w:proofErr w:type="spellStart"/>
      <w:r w:rsidRPr="0009637B">
        <w:rPr>
          <w:sz w:val="22"/>
          <w:szCs w:val="22"/>
        </w:rPr>
        <w:t>ušli</w:t>
      </w:r>
      <w:proofErr w:type="spellEnd"/>
      <w:r w:rsidRPr="0009637B">
        <w:rPr>
          <w:sz w:val="22"/>
          <w:szCs w:val="22"/>
        </w:rPr>
        <w:t xml:space="preserve"> u 2. </w:t>
      </w:r>
      <w:proofErr w:type="spellStart"/>
      <w:r w:rsidRPr="0009637B">
        <w:rPr>
          <w:sz w:val="22"/>
          <w:szCs w:val="22"/>
        </w:rPr>
        <w:t>dio</w:t>
      </w:r>
      <w:proofErr w:type="spellEnd"/>
      <w:r w:rsidRPr="0009637B">
        <w:rPr>
          <w:sz w:val="22"/>
          <w:szCs w:val="22"/>
        </w:rPr>
        <w:t xml:space="preserve">, </w:t>
      </w:r>
      <w:proofErr w:type="spellStart"/>
      <w:r w:rsidRPr="0009637B">
        <w:rPr>
          <w:sz w:val="22"/>
          <w:szCs w:val="22"/>
        </w:rPr>
        <w:t>dvostruko</w:t>
      </w:r>
      <w:proofErr w:type="spellEnd"/>
      <w:r w:rsidRPr="0009637B">
        <w:rPr>
          <w:sz w:val="22"/>
          <w:szCs w:val="22"/>
        </w:rPr>
        <w:t xml:space="preserve"> </w:t>
      </w:r>
      <w:proofErr w:type="spellStart"/>
      <w:r w:rsidRPr="0009637B">
        <w:rPr>
          <w:sz w:val="22"/>
          <w:szCs w:val="22"/>
        </w:rPr>
        <w:t>slijepu</w:t>
      </w:r>
      <w:proofErr w:type="spellEnd"/>
      <w:r w:rsidRPr="0009637B">
        <w:rPr>
          <w:sz w:val="22"/>
          <w:szCs w:val="22"/>
        </w:rPr>
        <w:t xml:space="preserve"> </w:t>
      </w:r>
      <w:proofErr w:type="spellStart"/>
      <w:r w:rsidRPr="0009637B">
        <w:rPr>
          <w:sz w:val="22"/>
          <w:szCs w:val="22"/>
        </w:rPr>
        <w:t>fazu</w:t>
      </w:r>
      <w:proofErr w:type="spellEnd"/>
      <w:r w:rsidRPr="0009637B">
        <w:rPr>
          <w:sz w:val="22"/>
          <w:szCs w:val="22"/>
        </w:rPr>
        <w:t xml:space="preserve">, </w:t>
      </w:r>
      <w:proofErr w:type="spellStart"/>
      <w:r w:rsidRPr="0009637B">
        <w:rPr>
          <w:sz w:val="22"/>
          <w:szCs w:val="22"/>
        </w:rPr>
        <w:t>gdje</w:t>
      </w:r>
      <w:proofErr w:type="spellEnd"/>
      <w:r w:rsidRPr="0009637B">
        <w:rPr>
          <w:sz w:val="22"/>
          <w:szCs w:val="22"/>
        </w:rPr>
        <w:t xml:space="preserve"> </w:t>
      </w:r>
      <w:proofErr w:type="spellStart"/>
      <w:r w:rsidRPr="0009637B">
        <w:rPr>
          <w:sz w:val="22"/>
          <w:szCs w:val="22"/>
        </w:rPr>
        <w:t>su</w:t>
      </w:r>
      <w:proofErr w:type="spellEnd"/>
      <w:r w:rsidRPr="0009637B">
        <w:rPr>
          <w:sz w:val="22"/>
          <w:szCs w:val="22"/>
        </w:rPr>
        <w:t xml:space="preserve"> </w:t>
      </w:r>
      <w:proofErr w:type="spellStart"/>
      <w:r w:rsidRPr="0009637B">
        <w:rPr>
          <w:sz w:val="22"/>
          <w:szCs w:val="22"/>
        </w:rPr>
        <w:t>randomizovani</w:t>
      </w:r>
      <w:proofErr w:type="spellEnd"/>
      <w:r w:rsidRPr="0009637B">
        <w:rPr>
          <w:sz w:val="22"/>
          <w:szCs w:val="22"/>
        </w:rPr>
        <w:t xml:space="preserve"> u </w:t>
      </w:r>
      <w:proofErr w:type="spellStart"/>
      <w:r w:rsidRPr="0009637B">
        <w:rPr>
          <w:sz w:val="22"/>
          <w:szCs w:val="22"/>
        </w:rPr>
        <w:t>odnosu</w:t>
      </w:r>
      <w:proofErr w:type="spellEnd"/>
      <w:r w:rsidRPr="0009637B">
        <w:rPr>
          <w:sz w:val="22"/>
          <w:szCs w:val="22"/>
        </w:rPr>
        <w:t xml:space="preserve"> 1:1 </w:t>
      </w:r>
      <w:proofErr w:type="spellStart"/>
      <w:r w:rsidRPr="0009637B">
        <w:rPr>
          <w:sz w:val="22"/>
          <w:szCs w:val="22"/>
        </w:rPr>
        <w:t>na</w:t>
      </w:r>
      <w:proofErr w:type="spellEnd"/>
      <w:r w:rsidRPr="0009637B">
        <w:rPr>
          <w:sz w:val="22"/>
          <w:szCs w:val="22"/>
        </w:rPr>
        <w:t xml:space="preserve"> </w:t>
      </w:r>
      <w:proofErr w:type="spellStart"/>
      <w:r w:rsidRPr="0009637B">
        <w:rPr>
          <w:sz w:val="22"/>
          <w:szCs w:val="22"/>
        </w:rPr>
        <w:t>nastavak</w:t>
      </w:r>
      <w:proofErr w:type="spellEnd"/>
      <w:r w:rsidRPr="0009637B">
        <w:rPr>
          <w:sz w:val="22"/>
          <w:szCs w:val="22"/>
        </w:rPr>
        <w:t xml:space="preserve"> </w:t>
      </w:r>
      <w:proofErr w:type="spellStart"/>
      <w:r w:rsidRPr="0009637B">
        <w:rPr>
          <w:sz w:val="22"/>
          <w:szCs w:val="22"/>
        </w:rPr>
        <w:t>liječenja</w:t>
      </w:r>
      <w:proofErr w:type="spellEnd"/>
      <w:r w:rsidRPr="0009637B">
        <w:rPr>
          <w:sz w:val="22"/>
          <w:szCs w:val="22"/>
        </w:rPr>
        <w:t xml:space="preserve"> </w:t>
      </w:r>
      <w:proofErr w:type="spellStart"/>
      <w:r w:rsidRPr="0009637B">
        <w:rPr>
          <w:sz w:val="22"/>
          <w:szCs w:val="22"/>
        </w:rPr>
        <w:t>sekukinumabom</w:t>
      </w:r>
      <w:proofErr w:type="spellEnd"/>
      <w:r w:rsidRPr="0009637B">
        <w:rPr>
          <w:sz w:val="22"/>
          <w:szCs w:val="22"/>
        </w:rPr>
        <w:t xml:space="preserve"> </w:t>
      </w:r>
      <w:proofErr w:type="spellStart"/>
      <w:r w:rsidRPr="0009637B">
        <w:rPr>
          <w:sz w:val="22"/>
          <w:szCs w:val="22"/>
        </w:rPr>
        <w:t>ili</w:t>
      </w:r>
      <w:proofErr w:type="spellEnd"/>
      <w:r w:rsidRPr="0009637B">
        <w:rPr>
          <w:sz w:val="22"/>
          <w:szCs w:val="22"/>
        </w:rPr>
        <w:t xml:space="preserve"> </w:t>
      </w:r>
      <w:proofErr w:type="spellStart"/>
      <w:r w:rsidRPr="0009637B">
        <w:rPr>
          <w:sz w:val="22"/>
          <w:szCs w:val="22"/>
        </w:rPr>
        <w:t>na</w:t>
      </w:r>
      <w:proofErr w:type="spellEnd"/>
      <w:r w:rsidRPr="0009637B">
        <w:rPr>
          <w:sz w:val="22"/>
          <w:szCs w:val="22"/>
        </w:rPr>
        <w:t xml:space="preserve"> </w:t>
      </w:r>
      <w:proofErr w:type="spellStart"/>
      <w:r w:rsidRPr="0009637B">
        <w:rPr>
          <w:sz w:val="22"/>
          <w:szCs w:val="22"/>
        </w:rPr>
        <w:t>započinjanje</w:t>
      </w:r>
      <w:proofErr w:type="spellEnd"/>
      <w:r w:rsidRPr="0009637B">
        <w:rPr>
          <w:sz w:val="22"/>
          <w:szCs w:val="22"/>
        </w:rPr>
        <w:t xml:space="preserve"> </w:t>
      </w:r>
      <w:proofErr w:type="spellStart"/>
      <w:r w:rsidRPr="0009637B">
        <w:rPr>
          <w:sz w:val="22"/>
          <w:szCs w:val="22"/>
        </w:rPr>
        <w:t>liječenja</w:t>
      </w:r>
      <w:proofErr w:type="spellEnd"/>
      <w:r w:rsidRPr="0009637B">
        <w:rPr>
          <w:sz w:val="22"/>
          <w:szCs w:val="22"/>
        </w:rPr>
        <w:t xml:space="preserve"> </w:t>
      </w:r>
      <w:proofErr w:type="spellStart"/>
      <w:r w:rsidRPr="0009637B">
        <w:rPr>
          <w:sz w:val="22"/>
          <w:szCs w:val="22"/>
        </w:rPr>
        <w:t>placebom</w:t>
      </w:r>
      <w:proofErr w:type="spellEnd"/>
      <w:r w:rsidRPr="0009637B">
        <w:rPr>
          <w:sz w:val="22"/>
          <w:szCs w:val="22"/>
        </w:rPr>
        <w:t xml:space="preserve"> (</w:t>
      </w:r>
      <w:proofErr w:type="spellStart"/>
      <w:r w:rsidRPr="0009637B">
        <w:rPr>
          <w:sz w:val="22"/>
          <w:szCs w:val="22"/>
        </w:rPr>
        <w:t>randomizovani</w:t>
      </w:r>
      <w:proofErr w:type="spellEnd"/>
      <w:r w:rsidRPr="0009637B">
        <w:rPr>
          <w:sz w:val="22"/>
          <w:szCs w:val="22"/>
        </w:rPr>
        <w:t xml:space="preserve"> </w:t>
      </w:r>
      <w:proofErr w:type="spellStart"/>
      <w:r w:rsidRPr="0009637B">
        <w:rPr>
          <w:sz w:val="22"/>
          <w:szCs w:val="22"/>
        </w:rPr>
        <w:t>prekid</w:t>
      </w:r>
      <w:proofErr w:type="spellEnd"/>
      <w:r w:rsidRPr="0009637B">
        <w:rPr>
          <w:sz w:val="22"/>
          <w:szCs w:val="22"/>
        </w:rPr>
        <w:t xml:space="preserve"> </w:t>
      </w:r>
      <w:proofErr w:type="spellStart"/>
      <w:r w:rsidRPr="0009637B">
        <w:rPr>
          <w:sz w:val="22"/>
          <w:szCs w:val="22"/>
        </w:rPr>
        <w:t>terapije</w:t>
      </w:r>
      <w:proofErr w:type="spellEnd"/>
      <w:r w:rsidRPr="0009637B">
        <w:rPr>
          <w:sz w:val="22"/>
          <w:szCs w:val="22"/>
        </w:rPr>
        <w:t>) do 104. </w:t>
      </w:r>
      <w:proofErr w:type="spellStart"/>
      <w:r w:rsidRPr="0009637B">
        <w:rPr>
          <w:sz w:val="22"/>
          <w:szCs w:val="22"/>
        </w:rPr>
        <w:t>nedjelje</w:t>
      </w:r>
      <w:proofErr w:type="spellEnd"/>
      <w:r w:rsidRPr="0009637B">
        <w:rPr>
          <w:sz w:val="22"/>
          <w:szCs w:val="22"/>
        </w:rPr>
        <w:t xml:space="preserve"> </w:t>
      </w:r>
      <w:proofErr w:type="spellStart"/>
      <w:r w:rsidRPr="0009637B">
        <w:rPr>
          <w:sz w:val="22"/>
          <w:szCs w:val="22"/>
        </w:rPr>
        <w:t>ili</w:t>
      </w:r>
      <w:proofErr w:type="spellEnd"/>
      <w:r w:rsidRPr="0009637B">
        <w:rPr>
          <w:sz w:val="22"/>
          <w:szCs w:val="22"/>
        </w:rPr>
        <w:t xml:space="preserve"> do </w:t>
      </w:r>
      <w:proofErr w:type="spellStart"/>
      <w:r w:rsidRPr="0009637B">
        <w:rPr>
          <w:sz w:val="22"/>
          <w:szCs w:val="22"/>
        </w:rPr>
        <w:t>ponovne</w:t>
      </w:r>
      <w:proofErr w:type="spellEnd"/>
      <w:r w:rsidRPr="0009637B">
        <w:rPr>
          <w:sz w:val="22"/>
          <w:szCs w:val="22"/>
        </w:rPr>
        <w:t xml:space="preserve"> </w:t>
      </w:r>
      <w:proofErr w:type="spellStart"/>
      <w:r w:rsidRPr="0009637B">
        <w:rPr>
          <w:sz w:val="22"/>
          <w:szCs w:val="22"/>
        </w:rPr>
        <w:t>pojave</w:t>
      </w:r>
      <w:proofErr w:type="spellEnd"/>
      <w:r w:rsidRPr="0009637B">
        <w:rPr>
          <w:sz w:val="22"/>
          <w:szCs w:val="22"/>
        </w:rPr>
        <w:t xml:space="preserve"> </w:t>
      </w:r>
      <w:proofErr w:type="spellStart"/>
      <w:r w:rsidRPr="0009637B">
        <w:rPr>
          <w:sz w:val="22"/>
          <w:szCs w:val="22"/>
        </w:rPr>
        <w:t>znakova</w:t>
      </w:r>
      <w:proofErr w:type="spellEnd"/>
      <w:r w:rsidRPr="0009637B">
        <w:rPr>
          <w:sz w:val="22"/>
          <w:szCs w:val="22"/>
        </w:rPr>
        <w:t xml:space="preserve"> </w:t>
      </w:r>
      <w:proofErr w:type="spellStart"/>
      <w:r w:rsidRPr="0009637B">
        <w:rPr>
          <w:sz w:val="22"/>
          <w:szCs w:val="22"/>
        </w:rPr>
        <w:t>bolesti</w:t>
      </w:r>
      <w:proofErr w:type="spellEnd"/>
      <w:r w:rsidRPr="0009637B">
        <w:rPr>
          <w:sz w:val="22"/>
          <w:szCs w:val="22"/>
        </w:rPr>
        <w:t xml:space="preserve">. </w:t>
      </w:r>
      <w:proofErr w:type="spellStart"/>
      <w:r w:rsidRPr="0009637B">
        <w:rPr>
          <w:sz w:val="22"/>
          <w:szCs w:val="22"/>
        </w:rPr>
        <w:t>Pacijenti</w:t>
      </w:r>
      <w:proofErr w:type="spellEnd"/>
      <w:r w:rsidRPr="0009637B">
        <w:rPr>
          <w:sz w:val="22"/>
          <w:szCs w:val="22"/>
        </w:rPr>
        <w:t xml:space="preserve"> </w:t>
      </w:r>
      <w:proofErr w:type="spellStart"/>
      <w:r w:rsidRPr="0009637B">
        <w:rPr>
          <w:sz w:val="22"/>
          <w:szCs w:val="22"/>
        </w:rPr>
        <w:t>kod</w:t>
      </w:r>
      <w:proofErr w:type="spellEnd"/>
      <w:r w:rsidRPr="0009637B">
        <w:rPr>
          <w:sz w:val="22"/>
          <w:szCs w:val="22"/>
        </w:rPr>
        <w:t xml:space="preserve"> </w:t>
      </w:r>
      <w:proofErr w:type="spellStart"/>
      <w:r w:rsidRPr="0009637B">
        <w:rPr>
          <w:sz w:val="22"/>
          <w:szCs w:val="22"/>
        </w:rPr>
        <w:t>kojih</w:t>
      </w:r>
      <w:proofErr w:type="spellEnd"/>
      <w:r w:rsidRPr="0009637B">
        <w:rPr>
          <w:sz w:val="22"/>
          <w:szCs w:val="22"/>
        </w:rPr>
        <w:t xml:space="preserve"> je </w:t>
      </w:r>
      <w:proofErr w:type="spellStart"/>
      <w:r w:rsidRPr="0009637B">
        <w:rPr>
          <w:sz w:val="22"/>
          <w:szCs w:val="22"/>
        </w:rPr>
        <w:t>došlo</w:t>
      </w:r>
      <w:proofErr w:type="spellEnd"/>
      <w:r w:rsidRPr="0009637B">
        <w:rPr>
          <w:sz w:val="22"/>
          <w:szCs w:val="22"/>
        </w:rPr>
        <w:t xml:space="preserve"> do </w:t>
      </w:r>
      <w:proofErr w:type="spellStart"/>
      <w:r w:rsidRPr="0009637B">
        <w:rPr>
          <w:sz w:val="22"/>
          <w:szCs w:val="22"/>
        </w:rPr>
        <w:t>ponovne</w:t>
      </w:r>
      <w:proofErr w:type="spellEnd"/>
      <w:r w:rsidRPr="0009637B">
        <w:rPr>
          <w:sz w:val="22"/>
          <w:szCs w:val="22"/>
        </w:rPr>
        <w:t xml:space="preserve"> </w:t>
      </w:r>
      <w:proofErr w:type="spellStart"/>
      <w:r w:rsidRPr="0009637B">
        <w:rPr>
          <w:sz w:val="22"/>
          <w:szCs w:val="22"/>
        </w:rPr>
        <w:t>pojave</w:t>
      </w:r>
      <w:proofErr w:type="spellEnd"/>
      <w:r w:rsidRPr="0009637B">
        <w:rPr>
          <w:sz w:val="22"/>
          <w:szCs w:val="22"/>
        </w:rPr>
        <w:t xml:space="preserve"> </w:t>
      </w:r>
      <w:proofErr w:type="spellStart"/>
      <w:r w:rsidRPr="0009637B">
        <w:rPr>
          <w:sz w:val="22"/>
          <w:szCs w:val="22"/>
        </w:rPr>
        <w:t>znakova</w:t>
      </w:r>
      <w:proofErr w:type="spellEnd"/>
      <w:r w:rsidRPr="0009637B">
        <w:rPr>
          <w:sz w:val="22"/>
          <w:szCs w:val="22"/>
        </w:rPr>
        <w:t xml:space="preserve"> </w:t>
      </w:r>
      <w:proofErr w:type="spellStart"/>
      <w:r w:rsidRPr="0009637B">
        <w:rPr>
          <w:sz w:val="22"/>
          <w:szCs w:val="22"/>
        </w:rPr>
        <w:t>bolesti</w:t>
      </w:r>
      <w:proofErr w:type="spellEnd"/>
      <w:r w:rsidRPr="0009637B">
        <w:rPr>
          <w:sz w:val="22"/>
          <w:szCs w:val="22"/>
        </w:rPr>
        <w:t xml:space="preserve"> </w:t>
      </w:r>
      <w:proofErr w:type="spellStart"/>
      <w:r w:rsidRPr="0009637B">
        <w:rPr>
          <w:sz w:val="22"/>
          <w:szCs w:val="22"/>
        </w:rPr>
        <w:t>su</w:t>
      </w:r>
      <w:proofErr w:type="spellEnd"/>
      <w:r w:rsidRPr="0009637B">
        <w:rPr>
          <w:sz w:val="22"/>
          <w:szCs w:val="22"/>
        </w:rPr>
        <w:t xml:space="preserve"> </w:t>
      </w:r>
      <w:proofErr w:type="spellStart"/>
      <w:r w:rsidRPr="0009637B">
        <w:rPr>
          <w:sz w:val="22"/>
          <w:szCs w:val="22"/>
        </w:rPr>
        <w:t>zatim</w:t>
      </w:r>
      <w:proofErr w:type="spellEnd"/>
      <w:r w:rsidRPr="0009637B">
        <w:rPr>
          <w:sz w:val="22"/>
          <w:szCs w:val="22"/>
        </w:rPr>
        <w:t xml:space="preserve"> </w:t>
      </w:r>
      <w:proofErr w:type="spellStart"/>
      <w:r w:rsidRPr="0009637B">
        <w:rPr>
          <w:sz w:val="22"/>
          <w:szCs w:val="22"/>
        </w:rPr>
        <w:t>ušli</w:t>
      </w:r>
      <w:proofErr w:type="spellEnd"/>
      <w:r w:rsidRPr="0009637B">
        <w:rPr>
          <w:sz w:val="22"/>
          <w:szCs w:val="22"/>
        </w:rPr>
        <w:t xml:space="preserve"> u </w:t>
      </w:r>
      <w:proofErr w:type="spellStart"/>
      <w:r w:rsidRPr="0009637B">
        <w:rPr>
          <w:sz w:val="22"/>
          <w:szCs w:val="22"/>
        </w:rPr>
        <w:t>otvoreno</w:t>
      </w:r>
      <w:proofErr w:type="spellEnd"/>
      <w:r w:rsidRPr="0009637B">
        <w:rPr>
          <w:sz w:val="22"/>
          <w:szCs w:val="22"/>
        </w:rPr>
        <w:t xml:space="preserve"> </w:t>
      </w:r>
      <w:proofErr w:type="spellStart"/>
      <w:r w:rsidRPr="0009637B">
        <w:rPr>
          <w:sz w:val="22"/>
          <w:szCs w:val="22"/>
        </w:rPr>
        <w:t>liječenje</w:t>
      </w:r>
      <w:proofErr w:type="spellEnd"/>
      <w:r w:rsidRPr="0009637B">
        <w:rPr>
          <w:sz w:val="22"/>
          <w:szCs w:val="22"/>
        </w:rPr>
        <w:t xml:space="preserve"> </w:t>
      </w:r>
      <w:proofErr w:type="spellStart"/>
      <w:r w:rsidRPr="0009637B">
        <w:rPr>
          <w:sz w:val="22"/>
          <w:szCs w:val="22"/>
        </w:rPr>
        <w:t>sekukinumabom</w:t>
      </w:r>
      <w:proofErr w:type="spellEnd"/>
      <w:r w:rsidRPr="0009637B">
        <w:rPr>
          <w:sz w:val="22"/>
          <w:szCs w:val="22"/>
        </w:rPr>
        <w:t xml:space="preserve"> do 104. </w:t>
      </w:r>
      <w:proofErr w:type="spellStart"/>
      <w:r w:rsidRPr="0009637B">
        <w:rPr>
          <w:sz w:val="22"/>
          <w:szCs w:val="22"/>
        </w:rPr>
        <w:t>nedjelje</w:t>
      </w:r>
      <w:proofErr w:type="spellEnd"/>
      <w:r w:rsidRPr="0009637B">
        <w:rPr>
          <w:sz w:val="22"/>
          <w:szCs w:val="22"/>
        </w:rPr>
        <w:t xml:space="preserve"> (3. </w:t>
      </w:r>
      <w:proofErr w:type="spellStart"/>
      <w:r w:rsidRPr="0009637B">
        <w:rPr>
          <w:sz w:val="22"/>
          <w:szCs w:val="22"/>
        </w:rPr>
        <w:t>dio</w:t>
      </w:r>
      <w:proofErr w:type="spellEnd"/>
      <w:r w:rsidRPr="0009637B">
        <w:rPr>
          <w:sz w:val="22"/>
          <w:szCs w:val="22"/>
        </w:rPr>
        <w:t>).</w:t>
      </w:r>
    </w:p>
    <w:p w14:paraId="462D0465" w14:textId="77777777" w:rsidR="00DC744D" w:rsidRPr="0009637B" w:rsidRDefault="00DC744D">
      <w:pPr>
        <w:tabs>
          <w:tab w:val="left" w:pos="284"/>
        </w:tabs>
        <w:jc w:val="both"/>
        <w:rPr>
          <w:sz w:val="22"/>
          <w:szCs w:val="22"/>
        </w:rPr>
      </w:pPr>
    </w:p>
    <w:p w14:paraId="480E7780" w14:textId="3E323A7C" w:rsidR="00DC744D" w:rsidRPr="0009637B" w:rsidRDefault="00DC744D">
      <w:pPr>
        <w:tabs>
          <w:tab w:val="left" w:pos="284"/>
        </w:tabs>
        <w:jc w:val="both"/>
        <w:rPr>
          <w:iCs/>
          <w:sz w:val="22"/>
          <w:szCs w:val="22"/>
          <w:lang w:val="hr-HR"/>
        </w:rPr>
      </w:pPr>
      <w:r w:rsidRPr="0009637B">
        <w:rPr>
          <w:sz w:val="22"/>
          <w:szCs w:val="22"/>
          <w:lang w:val="hr-HR"/>
        </w:rPr>
        <w:t xml:space="preserve">Podtipovi JIA pacijenata su u trenutku ulaska u ispitivanje bili: 60,5% ERA i 39,5% JPsA, koji su ili imali neadekvatan odgovor ili su bili netolerantni na </w:t>
      </w:r>
      <w:r w:rsidRPr="0009637B">
        <w:rPr>
          <w:iCs/>
          <w:sz w:val="22"/>
          <w:szCs w:val="22"/>
          <w:lang w:val="hr-HR"/>
        </w:rPr>
        <w:t xml:space="preserve">≥1 antireumatski lijek koji modifikuje tok bolesti (engl. </w:t>
      </w:r>
      <w:r w:rsidRPr="0009637B">
        <w:rPr>
          <w:i/>
          <w:iCs/>
          <w:sz w:val="22"/>
          <w:szCs w:val="22"/>
          <w:lang w:val="hr-HR"/>
        </w:rPr>
        <w:t>disease</w:t>
      </w:r>
      <w:r w:rsidRPr="0009637B">
        <w:rPr>
          <w:i/>
          <w:iCs/>
          <w:sz w:val="22"/>
          <w:szCs w:val="22"/>
          <w:lang w:val="hr-HR"/>
        </w:rPr>
        <w:noBreakHyphen/>
        <w:t>modifying antirheumatic drug</w:t>
      </w:r>
      <w:r w:rsidRPr="0009637B">
        <w:rPr>
          <w:sz w:val="22"/>
          <w:szCs w:val="22"/>
          <w:lang w:val="hr-HR"/>
        </w:rPr>
        <w:t>,</w:t>
      </w:r>
      <w:r w:rsidRPr="0009637B">
        <w:rPr>
          <w:iCs/>
          <w:sz w:val="22"/>
          <w:szCs w:val="22"/>
          <w:lang w:val="hr-HR"/>
        </w:rPr>
        <w:t xml:space="preserve"> DMARD) i ≥1 nesteroidni antiinflamatorni lek (NSAIL). Na početku, upotreba MTX je prijavljena kod 65,1% pacijenata; (63,5% [33/52] pacijenata sa ERA i 67,6% [23/34] pacijenata sa JPsA). 12 od 52 pacijenta sa ERA je istovremeno liječeno sulfasalazinom (23,1%). Pacijentima tjelesne mase </w:t>
      </w:r>
      <w:r w:rsidRPr="0009637B">
        <w:rPr>
          <w:sz w:val="22"/>
          <w:szCs w:val="22"/>
          <w:lang w:val="hr-HR"/>
        </w:rPr>
        <w:t xml:space="preserve">&lt;50 kg je </w:t>
      </w:r>
      <w:r w:rsidRPr="0009637B">
        <w:rPr>
          <w:iCs/>
          <w:sz w:val="22"/>
          <w:szCs w:val="22"/>
          <w:lang w:val="hr-HR"/>
        </w:rPr>
        <w:t xml:space="preserve">na početku </w:t>
      </w:r>
      <w:r w:rsidRPr="0009637B">
        <w:rPr>
          <w:sz w:val="22"/>
          <w:szCs w:val="22"/>
          <w:lang w:val="hr-HR"/>
        </w:rPr>
        <w:t xml:space="preserve">(n=30) primijenjena doza od 75 mg i pacijentima </w:t>
      </w:r>
      <w:r w:rsidRPr="0009637B">
        <w:rPr>
          <w:iCs/>
          <w:sz w:val="22"/>
          <w:szCs w:val="22"/>
          <w:lang w:val="hr-HR"/>
        </w:rPr>
        <w:t xml:space="preserve">tjelesne mase </w:t>
      </w:r>
      <w:r w:rsidRPr="0009637B">
        <w:rPr>
          <w:sz w:val="22"/>
          <w:szCs w:val="22"/>
          <w:lang w:val="hr-HR"/>
        </w:rPr>
        <w:t>≥50 kg</w:t>
      </w:r>
      <w:r w:rsidRPr="0009637B">
        <w:rPr>
          <w:iCs/>
          <w:sz w:val="22"/>
          <w:szCs w:val="22"/>
          <w:lang w:val="hr-HR"/>
        </w:rPr>
        <w:t xml:space="preserve"> je na početku</w:t>
      </w:r>
      <w:r w:rsidRPr="0009637B">
        <w:rPr>
          <w:sz w:val="22"/>
          <w:szCs w:val="22"/>
          <w:lang w:val="hr-HR"/>
        </w:rPr>
        <w:t xml:space="preserve"> (n=56) primijenjena doza od 150 mg. Starost na početku je bila u rasponu od 2 do 17 godina, sa 3 pacijenta između 2 i &lt;6 godina, 22 pacijenta između 6 i &lt;12 godina i 61 pacijentom između 12 i &lt;18 godina. Na početku, rezultat aktivnosti bolesti juvenilnog artritisa JADAS</w:t>
      </w:r>
      <w:r w:rsidRPr="0009637B">
        <w:rPr>
          <w:sz w:val="22"/>
          <w:szCs w:val="22"/>
          <w:lang w:val="hr-HR"/>
        </w:rPr>
        <w:noBreakHyphen/>
        <w:t xml:space="preserve">27 (engl. </w:t>
      </w:r>
      <w:r w:rsidRPr="0009637B">
        <w:rPr>
          <w:i/>
          <w:iCs/>
          <w:sz w:val="22"/>
          <w:szCs w:val="22"/>
          <w:lang w:val="hr-HR"/>
        </w:rPr>
        <w:t>Juvenile Arthritis Disease Activity Score</w:t>
      </w:r>
      <w:r w:rsidRPr="0009637B">
        <w:rPr>
          <w:sz w:val="22"/>
          <w:szCs w:val="22"/>
          <w:lang w:val="hr-HR"/>
        </w:rPr>
        <w:t xml:space="preserve">, JADAS) je bio 15,1 (SD:7,1). </w:t>
      </w:r>
    </w:p>
    <w:p w14:paraId="6E0B370C" w14:textId="66C6B507" w:rsidR="00DC744D" w:rsidRPr="0009637B" w:rsidRDefault="00DC744D">
      <w:pPr>
        <w:tabs>
          <w:tab w:val="left" w:pos="284"/>
        </w:tabs>
        <w:jc w:val="both"/>
        <w:rPr>
          <w:sz w:val="22"/>
          <w:szCs w:val="22"/>
          <w:lang w:val="hr-HR"/>
        </w:rPr>
      </w:pPr>
    </w:p>
    <w:p w14:paraId="3F4BC77D" w14:textId="31A5CF73" w:rsidR="00DC744D" w:rsidRPr="0009637B" w:rsidRDefault="00DC744D">
      <w:pPr>
        <w:tabs>
          <w:tab w:val="left" w:pos="284"/>
        </w:tabs>
        <w:jc w:val="both"/>
        <w:rPr>
          <w:sz w:val="22"/>
          <w:szCs w:val="22"/>
          <w:lang w:val="hr-HR"/>
        </w:rPr>
      </w:pPr>
      <w:r w:rsidRPr="0009637B">
        <w:rPr>
          <w:sz w:val="22"/>
          <w:szCs w:val="22"/>
          <w:lang w:val="hr-HR"/>
        </w:rPr>
        <w:t xml:space="preserve">Mjera primarnog </w:t>
      </w:r>
      <w:r w:rsidR="000662D8">
        <w:rPr>
          <w:sz w:val="22"/>
          <w:szCs w:val="22"/>
          <w:lang w:val="hr-HR"/>
        </w:rPr>
        <w:t>parametra praćenja</w:t>
      </w:r>
      <w:r w:rsidRPr="0009637B">
        <w:rPr>
          <w:sz w:val="22"/>
          <w:szCs w:val="22"/>
          <w:lang w:val="hr-HR"/>
        </w:rPr>
        <w:t xml:space="preserve"> je bilo vrijeme do pojave znakova bolesti u randomizovanom periodu prekida terapije  (2. dio). Ponovna pojava znakova bolesti je bila definisana kao pogoršanje od ≥30% u najmanje tri od šest kriterijuma odgovora prema JIA ACR i poboljšanje od ≥30% u ne više od jednom od šest kriterijuma odgovora prema JIA ACR i minimalno dva zahvaćena zgloba.</w:t>
      </w:r>
    </w:p>
    <w:p w14:paraId="5930D143" w14:textId="72F21070" w:rsidR="00DC744D" w:rsidRPr="0009637B" w:rsidRDefault="00DC744D">
      <w:pPr>
        <w:tabs>
          <w:tab w:val="left" w:pos="284"/>
        </w:tabs>
        <w:jc w:val="both"/>
        <w:rPr>
          <w:sz w:val="22"/>
          <w:szCs w:val="22"/>
          <w:lang w:val="hr-HR"/>
        </w:rPr>
      </w:pPr>
    </w:p>
    <w:p w14:paraId="40D8E2CA" w14:textId="4803A07C" w:rsidR="00DC744D" w:rsidRPr="0009637B" w:rsidRDefault="00DC744D">
      <w:pPr>
        <w:tabs>
          <w:tab w:val="left" w:pos="284"/>
        </w:tabs>
        <w:jc w:val="both"/>
        <w:rPr>
          <w:sz w:val="22"/>
          <w:szCs w:val="22"/>
          <w:lang w:val="hr-HR"/>
        </w:rPr>
      </w:pPr>
      <w:r w:rsidRPr="0009637B">
        <w:rPr>
          <w:sz w:val="22"/>
          <w:szCs w:val="22"/>
          <w:lang w:val="hr-HR"/>
        </w:rPr>
        <w:t>Na kraju 1. dijela, 75 od 86 (87,2%) pacijenata je pokazalo odgovor JIA ACR 30 i ušlo u 2. dio ispitivanja.</w:t>
      </w:r>
    </w:p>
    <w:p w14:paraId="5B8124FD" w14:textId="77777777" w:rsidR="00DC744D" w:rsidRPr="0009637B" w:rsidRDefault="00DC744D">
      <w:pPr>
        <w:tabs>
          <w:tab w:val="left" w:pos="284"/>
        </w:tabs>
        <w:jc w:val="both"/>
        <w:rPr>
          <w:sz w:val="22"/>
          <w:szCs w:val="22"/>
          <w:lang w:val="hr-HR"/>
        </w:rPr>
      </w:pPr>
    </w:p>
    <w:p w14:paraId="0474F44D" w14:textId="7423B011" w:rsidR="00DC744D" w:rsidRPr="0009637B" w:rsidRDefault="00DC744D">
      <w:pPr>
        <w:tabs>
          <w:tab w:val="left" w:pos="284"/>
        </w:tabs>
        <w:jc w:val="both"/>
        <w:rPr>
          <w:sz w:val="22"/>
          <w:szCs w:val="22"/>
          <w:lang w:val="hr-HR"/>
        </w:rPr>
      </w:pPr>
      <w:r w:rsidRPr="0009637B">
        <w:rPr>
          <w:sz w:val="22"/>
          <w:szCs w:val="22"/>
          <w:lang w:val="hr-HR"/>
        </w:rPr>
        <w:t>Ispitivanje je ispunilo svoju mjeru primarnog ishoda pokazujući statistički značajno produženje vremena do ponovne pojave znakova bolesti kod pacijenata liječenih sekukinumabom u poređenju sa placebom u 2. dijelu. Rizik od ponovne pojave znakova bolesti je bio smanjen za 72% kod pacijenata koji su primali sekukinumab u poređenju sa pacijentima koji su primali placebo u 2. dijelu (stopa rizika=0,28; 95% CI: 0,13 do 0,63; p&lt;0,001) (Slika 4 i Tabela </w:t>
      </w:r>
      <w:r w:rsidR="006911D2" w:rsidRPr="0009637B">
        <w:rPr>
          <w:sz w:val="22"/>
          <w:szCs w:val="22"/>
          <w:lang w:val="hr-HR"/>
        </w:rPr>
        <w:t>18</w:t>
      </w:r>
      <w:r w:rsidRPr="0009637B">
        <w:rPr>
          <w:sz w:val="22"/>
          <w:szCs w:val="22"/>
          <w:lang w:val="hr-HR"/>
        </w:rPr>
        <w:t>). Tokom 2. dijela, ukupno 21 pacijent u grupi koja je primala placebo je doživeo događaj ponovnog javljanja simptoma bolesti (11 JPsA i 10 ERA) u poređenju sa 10 pacijenata u grupi koja je primala sekukinumab (4 JPsA i 6 ERA).</w:t>
      </w:r>
    </w:p>
    <w:p w14:paraId="33FEF02B" w14:textId="77777777" w:rsidR="00DC744D" w:rsidRPr="0009637B" w:rsidRDefault="00DC744D" w:rsidP="005474B2">
      <w:pPr>
        <w:keepNext/>
        <w:tabs>
          <w:tab w:val="left" w:pos="567"/>
        </w:tabs>
        <w:ind w:left="1134" w:hanging="1134"/>
        <w:jc w:val="both"/>
        <w:outlineLvl w:val="6"/>
        <w:rPr>
          <w:b/>
          <w:sz w:val="22"/>
          <w:szCs w:val="22"/>
          <w:lang w:val="hr-HR"/>
        </w:rPr>
      </w:pPr>
      <w:bookmarkStart w:id="11" w:name="_Hlk106831518"/>
      <w:bookmarkEnd w:id="10"/>
    </w:p>
    <w:p w14:paraId="15CCE127" w14:textId="1C7E4A8E" w:rsidR="00DC744D" w:rsidRPr="0009637B" w:rsidRDefault="00DC744D" w:rsidP="005474B2">
      <w:pPr>
        <w:keepNext/>
        <w:tabs>
          <w:tab w:val="left" w:pos="567"/>
        </w:tabs>
        <w:ind w:left="1134" w:hanging="1134"/>
        <w:jc w:val="both"/>
        <w:outlineLvl w:val="6"/>
        <w:rPr>
          <w:b/>
          <w:sz w:val="22"/>
          <w:szCs w:val="22"/>
          <w:lang w:val="hr-HR"/>
        </w:rPr>
      </w:pPr>
      <w:r w:rsidRPr="0009637B">
        <w:rPr>
          <w:b/>
          <w:sz w:val="22"/>
          <w:szCs w:val="22"/>
          <w:lang w:val="hr-HR"/>
        </w:rPr>
        <w:t>Slika 4</w:t>
      </w:r>
      <w:r w:rsidRPr="0009637B">
        <w:rPr>
          <w:b/>
          <w:sz w:val="22"/>
          <w:szCs w:val="22"/>
          <w:lang w:val="hr-HR"/>
        </w:rPr>
        <w:tab/>
        <w:t>Kaplan-Meierove procjene vremena do pojave znakova bolesti u 2. dijel</w:t>
      </w:r>
      <w:bookmarkEnd w:id="11"/>
      <w:r w:rsidRPr="0009637B">
        <w:rPr>
          <w:b/>
          <w:sz w:val="22"/>
          <w:szCs w:val="22"/>
          <w:lang w:val="hr-HR"/>
        </w:rPr>
        <w:t>u</w:t>
      </w:r>
    </w:p>
    <w:p w14:paraId="60AB7AAD" w14:textId="7EFCD3EA" w:rsidR="00DC744D" w:rsidRPr="005474B2" w:rsidRDefault="00DC744D" w:rsidP="0009637B">
      <w:pPr>
        <w:tabs>
          <w:tab w:val="left" w:pos="284"/>
        </w:tabs>
        <w:jc w:val="both"/>
        <w:rPr>
          <w:sz w:val="22"/>
          <w:szCs w:val="22"/>
          <w:lang w:val="sr-Latn-ME"/>
        </w:rPr>
      </w:pPr>
    </w:p>
    <w:p w14:paraId="6938688E" w14:textId="14227F92" w:rsidR="00DC744D" w:rsidRPr="005474B2" w:rsidRDefault="00DC744D" w:rsidP="0009637B">
      <w:pPr>
        <w:tabs>
          <w:tab w:val="left" w:pos="284"/>
        </w:tabs>
        <w:jc w:val="both"/>
        <w:rPr>
          <w:sz w:val="22"/>
          <w:szCs w:val="22"/>
          <w:lang w:val="sr-Latn-ME"/>
        </w:rPr>
      </w:pPr>
    </w:p>
    <w:p w14:paraId="628EBFDA" w14:textId="5FD97013" w:rsidR="00DC744D" w:rsidRPr="005474B2" w:rsidRDefault="00DC744D" w:rsidP="0009637B">
      <w:pPr>
        <w:tabs>
          <w:tab w:val="left" w:pos="284"/>
        </w:tabs>
        <w:jc w:val="both"/>
        <w:rPr>
          <w:sz w:val="22"/>
          <w:szCs w:val="22"/>
          <w:lang w:val="sr-Latn-ME"/>
        </w:rPr>
      </w:pPr>
    </w:p>
    <w:p w14:paraId="064F0633" w14:textId="4EA935FF" w:rsidR="00DC744D" w:rsidRPr="005474B2" w:rsidRDefault="00DC744D">
      <w:pPr>
        <w:tabs>
          <w:tab w:val="left" w:pos="284"/>
        </w:tabs>
        <w:jc w:val="both"/>
        <w:rPr>
          <w:sz w:val="22"/>
          <w:szCs w:val="22"/>
          <w:lang w:val="sr-Latn-ME"/>
        </w:rPr>
      </w:pPr>
    </w:p>
    <w:p w14:paraId="3AF231EF" w14:textId="247BDB4E" w:rsidR="00DC744D" w:rsidRPr="005474B2" w:rsidRDefault="00DC744D">
      <w:pPr>
        <w:tabs>
          <w:tab w:val="left" w:pos="284"/>
        </w:tabs>
        <w:jc w:val="both"/>
        <w:rPr>
          <w:sz w:val="22"/>
          <w:szCs w:val="22"/>
          <w:lang w:val="sr-Latn-ME"/>
        </w:rPr>
      </w:pPr>
    </w:p>
    <w:p w14:paraId="59A7CEF7" w14:textId="16F56846" w:rsidR="00DC744D" w:rsidRPr="005474B2" w:rsidRDefault="00DC744D">
      <w:pPr>
        <w:tabs>
          <w:tab w:val="left" w:pos="284"/>
        </w:tabs>
        <w:jc w:val="both"/>
        <w:rPr>
          <w:sz w:val="22"/>
          <w:szCs w:val="22"/>
          <w:lang w:val="sr-Latn-ME"/>
        </w:rPr>
      </w:pPr>
    </w:p>
    <w:p w14:paraId="5D57B489" w14:textId="10224316" w:rsidR="00DC744D" w:rsidRPr="005474B2" w:rsidRDefault="00DC744D">
      <w:pPr>
        <w:tabs>
          <w:tab w:val="left" w:pos="284"/>
        </w:tabs>
        <w:jc w:val="both"/>
        <w:rPr>
          <w:sz w:val="22"/>
          <w:szCs w:val="22"/>
          <w:lang w:val="sr-Latn-ME"/>
        </w:rPr>
      </w:pPr>
    </w:p>
    <w:p w14:paraId="44645590" w14:textId="09410172" w:rsidR="00DC744D" w:rsidRPr="005474B2" w:rsidRDefault="00DC744D">
      <w:pPr>
        <w:tabs>
          <w:tab w:val="left" w:pos="284"/>
        </w:tabs>
        <w:jc w:val="both"/>
        <w:rPr>
          <w:sz w:val="22"/>
          <w:szCs w:val="22"/>
          <w:lang w:val="sr-Latn-ME"/>
        </w:rPr>
      </w:pPr>
    </w:p>
    <w:p w14:paraId="4336DF6D" w14:textId="33AD7553" w:rsidR="00DC744D" w:rsidRPr="005474B2" w:rsidRDefault="00301E44">
      <w:pPr>
        <w:tabs>
          <w:tab w:val="left" w:pos="284"/>
        </w:tabs>
        <w:jc w:val="both"/>
        <w:rPr>
          <w:sz w:val="22"/>
          <w:szCs w:val="22"/>
          <w:lang w:val="sr-Latn-ME"/>
        </w:rPr>
      </w:pPr>
      <w:r w:rsidRPr="00E1152F">
        <w:rPr>
          <w:noProof/>
        </w:rPr>
        <w:lastRenderedPageBreak/>
        <mc:AlternateContent>
          <mc:Choice Requires="wps">
            <w:drawing>
              <wp:anchor distT="0" distB="0" distL="114300" distR="114300" simplePos="0" relativeHeight="251670528" behindDoc="0" locked="0" layoutInCell="1" allowOverlap="1" wp14:anchorId="5F21A971" wp14:editId="2F362D36">
                <wp:simplePos x="0" y="0"/>
                <wp:positionH relativeFrom="margin">
                  <wp:posOffset>-716059</wp:posOffset>
                </wp:positionH>
                <wp:positionV relativeFrom="paragraph">
                  <wp:posOffset>-280753</wp:posOffset>
                </wp:positionV>
                <wp:extent cx="1695450" cy="8077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1061A" w14:textId="77777777" w:rsidR="00DC744D" w:rsidRDefault="00DC744D" w:rsidP="00DC744D">
                            <w:pPr>
                              <w:jc w:val="center"/>
                              <w:rPr>
                                <w:sz w:val="18"/>
                                <w:szCs w:val="18"/>
                              </w:rPr>
                            </w:pPr>
                            <w:bookmarkStart w:id="12" w:name="_Hlk106795395"/>
                            <w:bookmarkStart w:id="13" w:name="_Hlk106795396"/>
                          </w:p>
                          <w:p w14:paraId="7613FC6B" w14:textId="77777777" w:rsidR="00DC744D" w:rsidRDefault="00DC744D" w:rsidP="00DC744D">
                            <w:pPr>
                              <w:jc w:val="center"/>
                              <w:rPr>
                                <w:sz w:val="18"/>
                                <w:szCs w:val="18"/>
                              </w:rPr>
                            </w:pPr>
                          </w:p>
                          <w:p w14:paraId="77C78111" w14:textId="77777777" w:rsidR="00DC744D" w:rsidRDefault="00DC744D" w:rsidP="00DC744D">
                            <w:pPr>
                              <w:jc w:val="center"/>
                              <w:rPr>
                                <w:sz w:val="18"/>
                                <w:szCs w:val="18"/>
                              </w:rPr>
                            </w:pPr>
                          </w:p>
                          <w:p w14:paraId="3BAF4E1B" w14:textId="77777777" w:rsidR="00DC744D" w:rsidRPr="00605151" w:rsidRDefault="00DC744D" w:rsidP="00DC744D">
                            <w:pPr>
                              <w:jc w:val="center"/>
                              <w:rPr>
                                <w:sz w:val="18"/>
                                <w:szCs w:val="18"/>
                              </w:rPr>
                            </w:pPr>
                            <w:r>
                              <w:rPr>
                                <w:sz w:val="18"/>
                                <w:szCs w:val="18"/>
                              </w:rPr>
                              <w:t>Udio pacijenata sa pojavom znakova bolesti</w:t>
                            </w:r>
                            <w:r w:rsidRPr="00445A3C">
                              <w:rPr>
                                <w:sz w:val="18"/>
                                <w:szCs w:val="18"/>
                              </w:rPr>
                              <w:t xml:space="preserve"> (%)</w:t>
                            </w:r>
                          </w:p>
                          <w:bookmarkEnd w:id="12"/>
                          <w:bookmarkEnd w:id="13"/>
                          <w:p w14:paraId="4F542F0F" w14:textId="77777777" w:rsidR="00DC744D" w:rsidRPr="00605151" w:rsidRDefault="00DC744D" w:rsidP="00DC744D">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21A971" id="Text Box 7" o:spid="_x0000_s1030" type="#_x0000_t202" style="position:absolute;left:0;text-align:left;margin-left:-56.4pt;margin-top:-22.1pt;width:133.5pt;height:6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VI9wEAANE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" stroked="f">
                <v:textbox>
                  <w:txbxContent>
                    <w:p w14:paraId="46C1061A" w14:textId="77777777" w:rsidR="00DC744D" w:rsidRDefault="00DC744D" w:rsidP="00DC744D">
                      <w:pPr>
                        <w:jc w:val="center"/>
                        <w:rPr>
                          <w:sz w:val="18"/>
                          <w:szCs w:val="18"/>
                        </w:rPr>
                      </w:pPr>
                      <w:bookmarkStart w:id="14" w:name="_Hlk106795395"/>
                      <w:bookmarkStart w:id="15" w:name="_Hlk106795396"/>
                    </w:p>
                    <w:p w14:paraId="7613FC6B" w14:textId="77777777" w:rsidR="00DC744D" w:rsidRDefault="00DC744D" w:rsidP="00DC744D">
                      <w:pPr>
                        <w:jc w:val="center"/>
                        <w:rPr>
                          <w:sz w:val="18"/>
                          <w:szCs w:val="18"/>
                        </w:rPr>
                      </w:pPr>
                    </w:p>
                    <w:p w14:paraId="77C78111" w14:textId="77777777" w:rsidR="00DC744D" w:rsidRDefault="00DC744D" w:rsidP="00DC744D">
                      <w:pPr>
                        <w:jc w:val="center"/>
                        <w:rPr>
                          <w:sz w:val="18"/>
                          <w:szCs w:val="18"/>
                        </w:rPr>
                      </w:pPr>
                    </w:p>
                    <w:p w14:paraId="3BAF4E1B" w14:textId="77777777" w:rsidR="00DC744D" w:rsidRPr="00605151" w:rsidRDefault="00DC744D" w:rsidP="00DC744D">
                      <w:pPr>
                        <w:jc w:val="center"/>
                        <w:rPr>
                          <w:sz w:val="18"/>
                          <w:szCs w:val="18"/>
                        </w:rPr>
                      </w:pPr>
                      <w:r>
                        <w:rPr>
                          <w:sz w:val="18"/>
                          <w:szCs w:val="18"/>
                        </w:rPr>
                        <w:t>Udio pacijenata sa pojavom znakova bolesti</w:t>
                      </w:r>
                      <w:r w:rsidRPr="00445A3C">
                        <w:rPr>
                          <w:sz w:val="18"/>
                          <w:szCs w:val="18"/>
                        </w:rPr>
                        <w:t xml:space="preserve"> (%)</w:t>
                      </w:r>
                    </w:p>
                    <w:bookmarkEnd w:id="14"/>
                    <w:bookmarkEnd w:id="15"/>
                    <w:p w14:paraId="4F542F0F" w14:textId="77777777" w:rsidR="00DC744D" w:rsidRPr="00605151" w:rsidRDefault="00DC744D" w:rsidP="00DC744D">
                      <w:pPr>
                        <w:jc w:val="center"/>
                        <w:rPr>
                          <w:sz w:val="18"/>
                          <w:szCs w:val="18"/>
                        </w:rPr>
                      </w:pPr>
                    </w:p>
                  </w:txbxContent>
                </v:textbox>
                <w10:wrap anchorx="margin"/>
              </v:shape>
            </w:pict>
          </mc:Fallback>
        </mc:AlternateContent>
      </w:r>
      <w:r w:rsidRPr="005474B2">
        <w:rPr>
          <w:noProof/>
          <w:sz w:val="22"/>
          <w:szCs w:val="22"/>
        </w:rPr>
        <w:drawing>
          <wp:anchor distT="0" distB="0" distL="114300" distR="114300" simplePos="0" relativeHeight="251668480" behindDoc="0" locked="0" layoutInCell="1" allowOverlap="1" wp14:anchorId="73FC1C34" wp14:editId="37AC7ABC">
            <wp:simplePos x="0" y="0"/>
            <wp:positionH relativeFrom="margin">
              <wp:posOffset>1073564</wp:posOffset>
            </wp:positionH>
            <wp:positionV relativeFrom="margin">
              <wp:posOffset>-513384</wp:posOffset>
            </wp:positionV>
            <wp:extent cx="4000500" cy="13563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 cstate="print">
                      <a:extLst>
                        <a:ext uri="{28A0092B-C50C-407E-A947-70E740481C1C}">
                          <a14:useLocalDpi xmlns:a14="http://schemas.microsoft.com/office/drawing/2010/main" val="0"/>
                        </a:ext>
                      </a:extLst>
                    </a:blip>
                    <a:srcRect l="8409" t="5130" r="1573" b="26617"/>
                    <a:stretch>
                      <a:fillRect/>
                    </a:stretch>
                  </pic:blipFill>
                  <pic:spPr bwMode="auto">
                    <a:xfrm>
                      <a:off x="0" y="0"/>
                      <a:ext cx="400050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2FB4E" w14:textId="77777777" w:rsidR="00DC744D" w:rsidRPr="005474B2" w:rsidRDefault="00DC744D">
      <w:pPr>
        <w:tabs>
          <w:tab w:val="left" w:pos="284"/>
        </w:tabs>
        <w:jc w:val="both"/>
        <w:rPr>
          <w:sz w:val="22"/>
          <w:szCs w:val="22"/>
          <w:lang w:val="sr-Latn-ME"/>
        </w:rPr>
      </w:pPr>
    </w:p>
    <w:p w14:paraId="3E81A60E" w14:textId="77777777" w:rsidR="00DC744D" w:rsidRPr="005474B2" w:rsidRDefault="00DC744D">
      <w:pPr>
        <w:tabs>
          <w:tab w:val="left" w:pos="284"/>
        </w:tabs>
        <w:jc w:val="both"/>
        <w:rPr>
          <w:sz w:val="22"/>
          <w:szCs w:val="22"/>
          <w:lang w:val="sr-Latn-ME"/>
        </w:rPr>
      </w:pPr>
    </w:p>
    <w:p w14:paraId="4F1F9C08" w14:textId="77777777" w:rsidR="00DC744D" w:rsidRPr="005474B2" w:rsidRDefault="00DC744D">
      <w:pPr>
        <w:tabs>
          <w:tab w:val="left" w:pos="284"/>
        </w:tabs>
        <w:jc w:val="both"/>
        <w:rPr>
          <w:sz w:val="22"/>
          <w:szCs w:val="22"/>
          <w:lang w:val="sr-Latn-ME"/>
        </w:rPr>
      </w:pPr>
    </w:p>
    <w:p w14:paraId="3F79CBA0" w14:textId="77777777" w:rsidR="00DC744D" w:rsidRPr="0009637B" w:rsidRDefault="00DC744D">
      <w:pPr>
        <w:pStyle w:val="BodyText0"/>
        <w:kinsoku w:val="0"/>
        <w:overflowPunct w:val="0"/>
        <w:ind w:left="-567"/>
        <w:jc w:val="both"/>
      </w:pPr>
    </w:p>
    <w:p w14:paraId="3E857E0F" w14:textId="595C5A7A" w:rsidR="00DC744D" w:rsidRPr="0009637B" w:rsidRDefault="00DC744D">
      <w:pPr>
        <w:pStyle w:val="BodyText0"/>
        <w:kinsoku w:val="0"/>
        <w:overflowPunct w:val="0"/>
        <w:ind w:left="-567"/>
        <w:jc w:val="both"/>
      </w:pPr>
      <w:r w:rsidRPr="0009637B">
        <w:rPr>
          <w:noProof/>
        </w:rPr>
        <mc:AlternateContent>
          <mc:Choice Requires="wps">
            <w:drawing>
              <wp:anchor distT="0" distB="0" distL="114300" distR="114300" simplePos="0" relativeHeight="251671552" behindDoc="0" locked="0" layoutInCell="1" allowOverlap="1" wp14:anchorId="468F808E" wp14:editId="6CF92775">
                <wp:simplePos x="0" y="0"/>
                <wp:positionH relativeFrom="margin">
                  <wp:posOffset>2794000</wp:posOffset>
                </wp:positionH>
                <wp:positionV relativeFrom="paragraph">
                  <wp:posOffset>66675</wp:posOffset>
                </wp:positionV>
                <wp:extent cx="894715" cy="349250"/>
                <wp:effectExtent l="0" t="0" r="635"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49250"/>
                        </a:xfrm>
                        <a:prstGeom prst="rect">
                          <a:avLst/>
                        </a:prstGeom>
                        <a:solidFill>
                          <a:srgbClr val="FFFFFF"/>
                        </a:solidFill>
                        <a:ln>
                          <a:noFill/>
                        </a:ln>
                      </wps:spPr>
                      <wps:txbx>
                        <w:txbxContent>
                          <w:p w14:paraId="6D7F5078" w14:textId="77777777" w:rsidR="00DC744D" w:rsidRPr="00AF61DB" w:rsidRDefault="00DC744D" w:rsidP="00DC744D">
                            <w:pPr>
                              <w:jc w:val="center"/>
                              <w:rPr>
                                <w:sz w:val="16"/>
                                <w:szCs w:val="16"/>
                              </w:rPr>
                            </w:pPr>
                            <w:r w:rsidRPr="00AF61DB">
                              <w:rPr>
                                <w:sz w:val="16"/>
                                <w:szCs w:val="16"/>
                              </w:rPr>
                              <w:t xml:space="preserve"> Vr</w:t>
                            </w:r>
                            <w:r>
                              <w:rPr>
                                <w:sz w:val="16"/>
                                <w:szCs w:val="16"/>
                              </w:rPr>
                              <w:t>ij</w:t>
                            </w:r>
                            <w:r w:rsidRPr="00AF61DB">
                              <w:rPr>
                                <w:sz w:val="16"/>
                                <w:szCs w:val="16"/>
                              </w:rPr>
                              <w:t>eme (dani)</w:t>
                            </w:r>
                          </w:p>
                          <w:p w14:paraId="483F0A4C" w14:textId="77777777" w:rsidR="00DC744D" w:rsidRPr="00F415EA" w:rsidRDefault="00DC744D" w:rsidP="00DC744D">
                            <w:pPr>
                              <w:jc w:val="center"/>
                              <w:rPr>
                                <w:sz w:val="1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8F808E" id="Text Box 236" o:spid="_x0000_s1031" type="#_x0000_t202" style="position:absolute;left:0;text-align:left;margin-left:220pt;margin-top:5.25pt;width:70.45pt;height: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" stroked="f">
                <v:textbox>
                  <w:txbxContent>
                    <w:p w14:paraId="6D7F5078" w14:textId="77777777" w:rsidR="00DC744D" w:rsidRPr="00AF61DB" w:rsidRDefault="00DC744D" w:rsidP="00DC744D">
                      <w:pPr>
                        <w:jc w:val="center"/>
                        <w:rPr>
                          <w:sz w:val="16"/>
                          <w:szCs w:val="16"/>
                        </w:rPr>
                      </w:pPr>
                      <w:r w:rsidRPr="00AF61DB">
                        <w:rPr>
                          <w:sz w:val="16"/>
                          <w:szCs w:val="16"/>
                        </w:rPr>
                        <w:t xml:space="preserve"> </w:t>
                      </w:r>
                      <w:r w:rsidRPr="00AF61DB">
                        <w:rPr>
                          <w:sz w:val="16"/>
                          <w:szCs w:val="16"/>
                        </w:rPr>
                        <w:t>Vr</w:t>
                      </w:r>
                      <w:r>
                        <w:rPr>
                          <w:sz w:val="16"/>
                          <w:szCs w:val="16"/>
                        </w:rPr>
                        <w:t>ij</w:t>
                      </w:r>
                      <w:r w:rsidRPr="00AF61DB">
                        <w:rPr>
                          <w:sz w:val="16"/>
                          <w:szCs w:val="16"/>
                        </w:rPr>
                        <w:t>eme (dani)</w:t>
                      </w:r>
                    </w:p>
                    <w:p w14:paraId="483F0A4C" w14:textId="77777777" w:rsidR="00DC744D" w:rsidRPr="00F415EA" w:rsidRDefault="00DC744D" w:rsidP="00DC744D">
                      <w:pPr>
                        <w:jc w:val="center"/>
                        <w:rPr>
                          <w:sz w:val="18"/>
                          <w:szCs w:val="22"/>
                        </w:rPr>
                      </w:pPr>
                    </w:p>
                  </w:txbxContent>
                </v:textbox>
                <w10:wrap anchorx="margin"/>
              </v:shape>
            </w:pict>
          </mc:Fallback>
        </mc:AlternateContent>
      </w:r>
    </w:p>
    <w:p w14:paraId="2241E37D" w14:textId="77777777" w:rsidR="00DC744D" w:rsidRPr="0009637B" w:rsidRDefault="00DC744D">
      <w:pPr>
        <w:pStyle w:val="BodyText0"/>
        <w:kinsoku w:val="0"/>
        <w:overflowPunct w:val="0"/>
        <w:ind w:left="-567"/>
        <w:jc w:val="both"/>
      </w:pPr>
    </w:p>
    <w:p w14:paraId="54C0E450" w14:textId="2CE888CC" w:rsidR="00DC744D" w:rsidRPr="0009637B" w:rsidRDefault="000662D8">
      <w:pPr>
        <w:pStyle w:val="BodyText0"/>
        <w:kinsoku w:val="0"/>
        <w:overflowPunct w:val="0"/>
        <w:ind w:left="-567"/>
        <w:jc w:val="both"/>
      </w:pPr>
      <w:r w:rsidRPr="0009637B">
        <w:rPr>
          <w:noProof/>
        </w:rPr>
        <mc:AlternateContent>
          <mc:Choice Requires="wps">
            <w:drawing>
              <wp:anchor distT="0" distB="0" distL="114300" distR="114300" simplePos="0" relativeHeight="251672576" behindDoc="0" locked="0" layoutInCell="1" allowOverlap="1" wp14:anchorId="0487029F" wp14:editId="1B93A3B9">
                <wp:simplePos x="0" y="0"/>
                <wp:positionH relativeFrom="margin">
                  <wp:posOffset>1361440</wp:posOffset>
                </wp:positionH>
                <wp:positionV relativeFrom="paragraph">
                  <wp:posOffset>5080</wp:posOffset>
                </wp:positionV>
                <wp:extent cx="4186555" cy="285750"/>
                <wp:effectExtent l="0" t="0" r="4445"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85750"/>
                        </a:xfrm>
                        <a:prstGeom prst="rect">
                          <a:avLst/>
                        </a:prstGeom>
                        <a:solidFill>
                          <a:srgbClr val="FFFFFF"/>
                        </a:solidFill>
                        <a:ln>
                          <a:noFill/>
                        </a:ln>
                      </wps:spPr>
                      <wps:txbx>
                        <w:txbxContent>
                          <w:p w14:paraId="2FA57294" w14:textId="77777777" w:rsidR="00DC744D" w:rsidRDefault="00DC744D" w:rsidP="00DC744D">
                            <w:pPr>
                              <w:jc w:val="center"/>
                              <w:rPr>
                                <w:sz w:val="18"/>
                                <w:szCs w:val="22"/>
                              </w:rPr>
                            </w:pPr>
                            <w:r w:rsidRPr="00C867A7">
                              <w:rPr>
                                <w:rFonts w:eastAsia="SimSun"/>
                                <w:noProof/>
                                <w:sz w:val="20"/>
                              </w:rPr>
                              <w:drawing>
                                <wp:inline distT="0" distB="0" distL="0" distR="0" wp14:anchorId="5E6FF1B5" wp14:editId="0798A850">
                                  <wp:extent cx="304800" cy="28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w:r>
                            <w:r w:rsidRPr="00C04BAE">
                              <w:rPr>
                                <w:sz w:val="18"/>
                                <w:szCs w:val="22"/>
                              </w:rPr>
                              <w:t xml:space="preserve"> </w:t>
                            </w:r>
                            <w:r>
                              <w:rPr>
                                <w:sz w:val="18"/>
                                <w:szCs w:val="22"/>
                              </w:rPr>
                              <w:t xml:space="preserve">Sekukinumab    ------Placebo u 2. dijelu    </w:t>
                            </w:r>
                            <w:r>
                              <w:rPr>
                                <w:sz w:val="20"/>
                                <w:szCs w:val="22"/>
                              </w:rPr>
                              <w:t>+</w:t>
                            </w:r>
                            <w:r>
                              <w:rPr>
                                <w:sz w:val="18"/>
                                <w:szCs w:val="22"/>
                              </w:rPr>
                              <w:t xml:space="preserve"> </w:t>
                            </w:r>
                            <w:r w:rsidRPr="00C04BAE">
                              <w:rPr>
                                <w:sz w:val="18"/>
                                <w:szCs w:val="22"/>
                              </w:rPr>
                              <w:t xml:space="preserve"> </w:t>
                            </w:r>
                            <w:r>
                              <w:rPr>
                                <w:sz w:val="18"/>
                                <w:szCs w:val="22"/>
                              </w:rPr>
                              <w:t>Cenzurisani</w:t>
                            </w:r>
                          </w:p>
                          <w:p w14:paraId="792973D9" w14:textId="77777777" w:rsidR="00DC744D" w:rsidRDefault="00DC744D" w:rsidP="00DC744D">
                            <w:pPr>
                              <w:jc w:val="center"/>
                              <w:rPr>
                                <w:sz w:val="18"/>
                                <w:szCs w:val="22"/>
                              </w:rPr>
                            </w:pPr>
                          </w:p>
                          <w:p w14:paraId="464E551A" w14:textId="77777777" w:rsidR="00DC744D" w:rsidRDefault="00DC744D" w:rsidP="00DC744D">
                            <w:pPr>
                              <w:jc w:val="center"/>
                              <w:rPr>
                                <w:sz w:val="1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87029F" id="Text Box 237" o:spid="_x0000_s1032" type="#_x0000_t202" style="position:absolute;left:0;text-align:left;margin-left:107.2pt;margin-top:.4pt;width:329.6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" stroked="f">
                <v:textbox>
                  <w:txbxContent>
                    <w:p w14:paraId="2FA57294" w14:textId="77777777" w:rsidR="00DC744D" w:rsidRDefault="00DC744D" w:rsidP="00DC744D">
                      <w:pPr>
                        <w:jc w:val="center"/>
                        <w:rPr>
                          <w:sz w:val="18"/>
                          <w:szCs w:val="22"/>
                        </w:rPr>
                      </w:pPr>
                      <w:r w:rsidRPr="00C867A7">
                        <w:rPr>
                          <w:rFonts w:eastAsia="SimSun"/>
                          <w:noProof/>
                          <w:sz w:val="20"/>
                          <w:lang w:val="sr-Latn-CS" w:eastAsia="sr-Latn-CS"/>
                        </w:rPr>
                        <w:drawing>
                          <wp:inline distT="0" distB="0" distL="0" distR="0" wp14:anchorId="5E6FF1B5" wp14:editId="0798A850">
                            <wp:extent cx="304800" cy="28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w:r>
                      <w:r w:rsidRPr="00C04BAE">
                        <w:rPr>
                          <w:sz w:val="18"/>
                          <w:szCs w:val="22"/>
                        </w:rPr>
                        <w:t xml:space="preserve"> </w:t>
                      </w:r>
                      <w:r>
                        <w:rPr>
                          <w:sz w:val="18"/>
                          <w:szCs w:val="22"/>
                        </w:rPr>
                        <w:t xml:space="preserve">Sekukinumab    ------Placebo u 2. dijelu    </w:t>
                      </w:r>
                      <w:r>
                        <w:rPr>
                          <w:sz w:val="20"/>
                          <w:szCs w:val="22"/>
                        </w:rPr>
                        <w:t>+</w:t>
                      </w:r>
                      <w:r>
                        <w:rPr>
                          <w:sz w:val="18"/>
                          <w:szCs w:val="22"/>
                        </w:rPr>
                        <w:t xml:space="preserve"> </w:t>
                      </w:r>
                      <w:r w:rsidRPr="00C04BAE">
                        <w:rPr>
                          <w:sz w:val="18"/>
                          <w:szCs w:val="22"/>
                        </w:rPr>
                        <w:t xml:space="preserve"> </w:t>
                      </w:r>
                      <w:r>
                        <w:rPr>
                          <w:sz w:val="18"/>
                          <w:szCs w:val="22"/>
                        </w:rPr>
                        <w:t>Cenzurisani</w:t>
                      </w:r>
                    </w:p>
                    <w:p w14:paraId="792973D9" w14:textId="77777777" w:rsidR="00DC744D" w:rsidRDefault="00DC744D" w:rsidP="00DC744D">
                      <w:pPr>
                        <w:jc w:val="center"/>
                        <w:rPr>
                          <w:sz w:val="18"/>
                          <w:szCs w:val="22"/>
                        </w:rPr>
                      </w:pPr>
                    </w:p>
                    <w:p w14:paraId="464E551A" w14:textId="77777777" w:rsidR="00DC744D" w:rsidRDefault="00DC744D" w:rsidP="00DC744D">
                      <w:pPr>
                        <w:jc w:val="center"/>
                        <w:rPr>
                          <w:sz w:val="18"/>
                          <w:szCs w:val="22"/>
                        </w:rPr>
                      </w:pPr>
                    </w:p>
                  </w:txbxContent>
                </v:textbox>
                <w10:wrap anchorx="margin"/>
              </v:shape>
            </w:pict>
          </mc:Fallback>
        </mc:AlternateContent>
      </w:r>
    </w:p>
    <w:p w14:paraId="0703A9DB" w14:textId="4B96390D" w:rsidR="00DC744D" w:rsidRPr="0009637B" w:rsidRDefault="000662D8">
      <w:pPr>
        <w:pStyle w:val="BodyText0"/>
        <w:kinsoku w:val="0"/>
        <w:overflowPunct w:val="0"/>
        <w:ind w:left="-567"/>
        <w:jc w:val="both"/>
      </w:pPr>
      <w:r w:rsidRPr="000662D8">
        <w:rPr>
          <w:noProof/>
        </w:rPr>
        <mc:AlternateContent>
          <mc:Choice Requires="wps">
            <w:drawing>
              <wp:anchor distT="0" distB="0" distL="114300" distR="114300" simplePos="0" relativeHeight="251673600" behindDoc="0" locked="0" layoutInCell="1" allowOverlap="1" wp14:anchorId="1D9FFEA9" wp14:editId="352BBC2A">
                <wp:simplePos x="0" y="0"/>
                <wp:positionH relativeFrom="column">
                  <wp:posOffset>-186690</wp:posOffset>
                </wp:positionH>
                <wp:positionV relativeFrom="paragraph">
                  <wp:posOffset>170180</wp:posOffset>
                </wp:positionV>
                <wp:extent cx="6300470" cy="619125"/>
                <wp:effectExtent l="0" t="0" r="5080" b="952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619125"/>
                        </a:xfrm>
                        <a:prstGeom prst="rect">
                          <a:avLst/>
                        </a:prstGeom>
                        <a:solidFill>
                          <a:srgbClr val="FFFFFF"/>
                        </a:solidFill>
                        <a:ln>
                          <a:noFill/>
                        </a:ln>
                      </wps:spPr>
                      <wps:txbx>
                        <w:txbxContent>
                          <w:p w14:paraId="067DCCB3" w14:textId="77777777" w:rsidR="00DC744D" w:rsidRPr="00D95EF9" w:rsidRDefault="00DC744D" w:rsidP="00DC744D">
                            <w:pPr>
                              <w:rPr>
                                <w:sz w:val="14"/>
                                <w:szCs w:val="14"/>
                              </w:rPr>
                            </w:pPr>
                            <w:r>
                              <w:rPr>
                                <w:sz w:val="14"/>
                                <w:szCs w:val="14"/>
                              </w:rPr>
                              <w:t>Broj pacijenata pod rizikom</w:t>
                            </w:r>
                          </w:p>
                          <w:p w14:paraId="23229505" w14:textId="77777777" w:rsidR="00DC744D" w:rsidRPr="00D95EF9" w:rsidRDefault="00DC744D" w:rsidP="00DC744D">
                            <w:pPr>
                              <w:rPr>
                                <w:sz w:val="14"/>
                                <w:szCs w:val="14"/>
                              </w:rPr>
                            </w:pPr>
                            <w:r w:rsidRPr="005D67B2">
                              <w:rPr>
                                <w:sz w:val="14"/>
                                <w:szCs w:val="14"/>
                              </w:rPr>
                              <w:t xml:space="preserve"> </w:t>
                            </w:r>
                            <w:r w:rsidRPr="00D95EF9">
                              <w:rPr>
                                <w:sz w:val="14"/>
                                <w:szCs w:val="14"/>
                              </w:rPr>
                              <w:t>Se</w:t>
                            </w:r>
                            <w:r>
                              <w:rPr>
                                <w:sz w:val="14"/>
                                <w:szCs w:val="14"/>
                              </w:rPr>
                              <w:t>k</w:t>
                            </w:r>
                            <w:r w:rsidRPr="00D95EF9">
                              <w:rPr>
                                <w:sz w:val="14"/>
                                <w:szCs w:val="14"/>
                              </w:rPr>
                              <w:t>ukinumab</w:t>
                            </w:r>
                            <w:r w:rsidRPr="00D95EF9">
                              <w:rPr>
                                <w:sz w:val="14"/>
                                <w:szCs w:val="14"/>
                              </w:rPr>
                              <w:tab/>
                              <w:t xml:space="preserve">37 </w:t>
                            </w:r>
                            <w:r>
                              <w:rPr>
                                <w:sz w:val="14"/>
                                <w:szCs w:val="14"/>
                              </w:rPr>
                              <w:t xml:space="preserve"> </w:t>
                            </w:r>
                            <w:r w:rsidRPr="00D95EF9">
                              <w:rPr>
                                <w:sz w:val="14"/>
                                <w:szCs w:val="14"/>
                              </w:rPr>
                              <w:t xml:space="preserve"> 36 </w:t>
                            </w:r>
                            <w:r>
                              <w:rPr>
                                <w:sz w:val="14"/>
                                <w:szCs w:val="14"/>
                              </w:rPr>
                              <w:t xml:space="preserve"> </w:t>
                            </w:r>
                            <w:r w:rsidRPr="00D95EF9">
                              <w:rPr>
                                <w:sz w:val="14"/>
                                <w:szCs w:val="14"/>
                              </w:rPr>
                              <w:t xml:space="preserve"> 34  </w:t>
                            </w:r>
                            <w:r>
                              <w:rPr>
                                <w:sz w:val="14"/>
                                <w:szCs w:val="14"/>
                              </w:rPr>
                              <w:t xml:space="preserve"> </w:t>
                            </w:r>
                            <w:r w:rsidRPr="00B06472">
                              <w:rPr>
                                <w:sz w:val="14"/>
                                <w:szCs w:val="14"/>
                              </w:rPr>
                              <w:t>33</w:t>
                            </w:r>
                            <w:r>
                              <w:rPr>
                                <w:sz w:val="14"/>
                                <w:szCs w:val="14"/>
                              </w:rPr>
                              <w:t xml:space="preserve"> </w:t>
                            </w:r>
                            <w:r w:rsidRPr="00B06472">
                              <w:rPr>
                                <w:sz w:val="14"/>
                                <w:szCs w:val="14"/>
                              </w:rPr>
                              <w:t xml:space="preserve">  32 </w:t>
                            </w:r>
                            <w:r>
                              <w:rPr>
                                <w:sz w:val="14"/>
                                <w:szCs w:val="14"/>
                              </w:rPr>
                              <w:t xml:space="preserve"> </w:t>
                            </w:r>
                            <w:r w:rsidRPr="00D95EF9">
                              <w:rPr>
                                <w:sz w:val="14"/>
                                <w:szCs w:val="14"/>
                              </w:rPr>
                              <w:t xml:space="preserve"> 30  </w:t>
                            </w:r>
                            <w:r>
                              <w:rPr>
                                <w:sz w:val="14"/>
                                <w:szCs w:val="14"/>
                              </w:rPr>
                              <w:t xml:space="preserve"> </w:t>
                            </w:r>
                            <w:r w:rsidRPr="00B06472">
                              <w:rPr>
                                <w:sz w:val="14"/>
                                <w:szCs w:val="14"/>
                              </w:rPr>
                              <w:t xml:space="preserve">30  </w:t>
                            </w:r>
                            <w:r>
                              <w:rPr>
                                <w:sz w:val="14"/>
                                <w:szCs w:val="14"/>
                              </w:rPr>
                              <w:t xml:space="preserve"> </w:t>
                            </w:r>
                            <w:r w:rsidRPr="00B06472">
                              <w:rPr>
                                <w:sz w:val="14"/>
                                <w:szCs w:val="14"/>
                              </w:rPr>
                              <w:t xml:space="preserve">29 </w:t>
                            </w:r>
                            <w:r>
                              <w:rPr>
                                <w:sz w:val="14"/>
                                <w:szCs w:val="14"/>
                              </w:rPr>
                              <w:t xml:space="preserve"> </w:t>
                            </w:r>
                            <w:r w:rsidRPr="00D95EF9">
                              <w:rPr>
                                <w:sz w:val="14"/>
                                <w:szCs w:val="14"/>
                              </w:rPr>
                              <w:t xml:space="preserve"> 29 </w:t>
                            </w:r>
                            <w:r>
                              <w:rPr>
                                <w:sz w:val="14"/>
                                <w:szCs w:val="14"/>
                              </w:rPr>
                              <w:t xml:space="preserve"> </w:t>
                            </w:r>
                            <w:r w:rsidRPr="00B06472">
                              <w:rPr>
                                <w:sz w:val="14"/>
                                <w:szCs w:val="14"/>
                              </w:rPr>
                              <w:t xml:space="preserve"> 29</w:t>
                            </w:r>
                            <w:r>
                              <w:rPr>
                                <w:sz w:val="14"/>
                                <w:szCs w:val="14"/>
                              </w:rPr>
                              <w:t xml:space="preserve"> </w:t>
                            </w:r>
                            <w:r w:rsidRPr="00B06472">
                              <w:rPr>
                                <w:sz w:val="14"/>
                                <w:szCs w:val="14"/>
                              </w:rPr>
                              <w:t xml:space="preserve">  25 </w:t>
                            </w:r>
                            <w:r>
                              <w:rPr>
                                <w:sz w:val="14"/>
                                <w:szCs w:val="14"/>
                              </w:rPr>
                              <w:t xml:space="preserve"> </w:t>
                            </w:r>
                            <w:r w:rsidRPr="00D95EF9">
                              <w:rPr>
                                <w:sz w:val="14"/>
                                <w:szCs w:val="14"/>
                              </w:rPr>
                              <w:t xml:space="preserve"> </w:t>
                            </w:r>
                            <w:r w:rsidRPr="00B06472">
                              <w:rPr>
                                <w:sz w:val="14"/>
                                <w:szCs w:val="14"/>
                              </w:rPr>
                              <w:t xml:space="preserve">25 </w:t>
                            </w:r>
                            <w:r>
                              <w:rPr>
                                <w:sz w:val="14"/>
                                <w:szCs w:val="14"/>
                              </w:rPr>
                              <w:t xml:space="preserve"> </w:t>
                            </w:r>
                            <w:r w:rsidRPr="00D95EF9">
                              <w:rPr>
                                <w:sz w:val="14"/>
                                <w:szCs w:val="14"/>
                              </w:rPr>
                              <w:t xml:space="preserve"> </w:t>
                            </w:r>
                            <w:r w:rsidRPr="00B06472">
                              <w:rPr>
                                <w:sz w:val="14"/>
                                <w:szCs w:val="14"/>
                              </w:rPr>
                              <w:t xml:space="preserve">24 </w:t>
                            </w:r>
                            <w:r>
                              <w:rPr>
                                <w:sz w:val="14"/>
                                <w:szCs w:val="14"/>
                              </w:rPr>
                              <w:t xml:space="preserve"> </w:t>
                            </w:r>
                            <w:r w:rsidRPr="00B06472">
                              <w:rPr>
                                <w:sz w:val="14"/>
                                <w:szCs w:val="14"/>
                              </w:rPr>
                              <w:t xml:space="preserve"> 23 </w:t>
                            </w:r>
                            <w:r>
                              <w:rPr>
                                <w:sz w:val="14"/>
                                <w:szCs w:val="14"/>
                              </w:rPr>
                              <w:t xml:space="preserve"> </w:t>
                            </w:r>
                            <w:r w:rsidRPr="00D95EF9">
                              <w:rPr>
                                <w:sz w:val="14"/>
                                <w:szCs w:val="14"/>
                              </w:rPr>
                              <w:t xml:space="preserve"> </w:t>
                            </w:r>
                            <w:r w:rsidRPr="00B06472">
                              <w:rPr>
                                <w:sz w:val="14"/>
                                <w:szCs w:val="14"/>
                              </w:rPr>
                              <w:t xml:space="preserve">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 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23 </w:t>
                            </w:r>
                            <w:r w:rsidRPr="00D95EF9">
                              <w:rPr>
                                <w:sz w:val="14"/>
                                <w:szCs w:val="14"/>
                              </w:rPr>
                              <w:t xml:space="preserve"> </w:t>
                            </w:r>
                            <w:r>
                              <w:rPr>
                                <w:sz w:val="14"/>
                                <w:szCs w:val="14"/>
                              </w:rPr>
                              <w:t xml:space="preserve"> </w:t>
                            </w:r>
                            <w:r w:rsidRPr="00D95EF9">
                              <w:rPr>
                                <w:sz w:val="14"/>
                                <w:szCs w:val="14"/>
                              </w:rPr>
                              <w:t>2</w:t>
                            </w:r>
                            <w:r w:rsidRPr="00B06472">
                              <w:rPr>
                                <w:sz w:val="14"/>
                                <w:szCs w:val="14"/>
                              </w:rPr>
                              <w:t xml:space="preserve">1 </w:t>
                            </w:r>
                            <w:r>
                              <w:rPr>
                                <w:sz w:val="14"/>
                                <w:szCs w:val="14"/>
                              </w:rPr>
                              <w:t xml:space="preserve"> </w:t>
                            </w:r>
                            <w:r w:rsidRPr="00D95EF9">
                              <w:rPr>
                                <w:sz w:val="14"/>
                                <w:szCs w:val="14"/>
                              </w:rPr>
                              <w:t xml:space="preserve"> </w:t>
                            </w:r>
                            <w:r w:rsidRPr="00B06472">
                              <w:rPr>
                                <w:sz w:val="14"/>
                                <w:szCs w:val="14"/>
                              </w:rPr>
                              <w:t>21</w:t>
                            </w:r>
                            <w:r>
                              <w:rPr>
                                <w:sz w:val="14"/>
                                <w:szCs w:val="14"/>
                              </w:rPr>
                              <w:t xml:space="preserve"> </w:t>
                            </w:r>
                            <w:r w:rsidRPr="00B06472">
                              <w:rPr>
                                <w:sz w:val="14"/>
                                <w:szCs w:val="14"/>
                              </w:rPr>
                              <w:t xml:space="preserve">  21 </w:t>
                            </w:r>
                            <w:r>
                              <w:rPr>
                                <w:sz w:val="14"/>
                                <w:szCs w:val="14"/>
                              </w:rPr>
                              <w:t xml:space="preserve"> </w:t>
                            </w:r>
                            <w:r w:rsidRPr="00B06472">
                              <w:rPr>
                                <w:sz w:val="14"/>
                                <w:szCs w:val="14"/>
                              </w:rPr>
                              <w:t xml:space="preserve"> </w:t>
                            </w:r>
                            <w:r w:rsidRPr="00D95EF9">
                              <w:rPr>
                                <w:sz w:val="14"/>
                                <w:szCs w:val="14"/>
                              </w:rPr>
                              <w:t xml:space="preserve">20 </w:t>
                            </w:r>
                            <w:r>
                              <w:rPr>
                                <w:sz w:val="14"/>
                                <w:szCs w:val="14"/>
                              </w:rPr>
                              <w:t xml:space="preserve"> </w:t>
                            </w:r>
                            <w:r w:rsidRPr="00D95EF9">
                              <w:rPr>
                                <w:sz w:val="14"/>
                                <w:szCs w:val="14"/>
                              </w:rPr>
                              <w:t xml:space="preserve"> 14  </w:t>
                            </w:r>
                            <w:r>
                              <w:rPr>
                                <w:sz w:val="14"/>
                                <w:szCs w:val="14"/>
                              </w:rPr>
                              <w:t xml:space="preserve"> </w:t>
                            </w:r>
                            <w:r w:rsidRPr="00D95EF9">
                              <w:rPr>
                                <w:sz w:val="14"/>
                                <w:szCs w:val="14"/>
                              </w:rPr>
                              <w:t>0</w:t>
                            </w:r>
                          </w:p>
                          <w:p w14:paraId="00BB97D1" w14:textId="77777777" w:rsidR="00DC744D" w:rsidRPr="00D95EF9" w:rsidRDefault="00DC744D" w:rsidP="00DC744D">
                            <w:pPr>
                              <w:rPr>
                                <w:sz w:val="14"/>
                                <w:szCs w:val="14"/>
                              </w:rPr>
                            </w:pPr>
                            <w:r w:rsidRPr="005D67B2">
                              <w:rPr>
                                <w:sz w:val="14"/>
                                <w:szCs w:val="14"/>
                              </w:rPr>
                              <w:t xml:space="preserve"> </w:t>
                            </w:r>
                            <w:r w:rsidRPr="00D95EF9">
                              <w:rPr>
                                <w:sz w:val="14"/>
                                <w:szCs w:val="14"/>
                              </w:rPr>
                              <w:t xml:space="preserve">Placebo </w:t>
                            </w:r>
                            <w:r>
                              <w:rPr>
                                <w:sz w:val="14"/>
                                <w:szCs w:val="14"/>
                              </w:rPr>
                              <w:t>u 2. dijelu</w:t>
                            </w:r>
                            <w:r w:rsidRPr="00D95EF9">
                              <w:rPr>
                                <w:sz w:val="14"/>
                                <w:szCs w:val="14"/>
                              </w:rPr>
                              <w:tab/>
                              <w:t>38   38   32   29   28   25   22   21   21   21   20   20   19   19   19   18   18   16   16   15   15   15   15   10   0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9FFEA9" id="Text Box 238" o:spid="_x0000_s1033" type="#_x0000_t202" style="position:absolute;left:0;text-align:left;margin-left:-14.7pt;margin-top:13.4pt;width:496.1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fk+AEAANE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" stroked="f">
                <v:textbox>
                  <w:txbxContent>
                    <w:p w14:paraId="067DCCB3" w14:textId="77777777" w:rsidR="00DC744D" w:rsidRPr="00D95EF9" w:rsidRDefault="00DC744D" w:rsidP="00DC744D">
                      <w:pPr>
                        <w:rPr>
                          <w:sz w:val="14"/>
                          <w:szCs w:val="14"/>
                        </w:rPr>
                      </w:pPr>
                      <w:r>
                        <w:rPr>
                          <w:sz w:val="14"/>
                          <w:szCs w:val="14"/>
                        </w:rPr>
                        <w:t>Broj pacijenata pod rizikom</w:t>
                      </w:r>
                    </w:p>
                    <w:p w14:paraId="23229505" w14:textId="77777777" w:rsidR="00DC744D" w:rsidRPr="00D95EF9" w:rsidRDefault="00DC744D" w:rsidP="00DC744D">
                      <w:pPr>
                        <w:rPr>
                          <w:sz w:val="14"/>
                          <w:szCs w:val="14"/>
                        </w:rPr>
                      </w:pPr>
                      <w:r w:rsidRPr="005D67B2">
                        <w:rPr>
                          <w:sz w:val="14"/>
                          <w:szCs w:val="14"/>
                        </w:rPr>
                        <w:t xml:space="preserve"> </w:t>
                      </w:r>
                      <w:r w:rsidRPr="00D95EF9">
                        <w:rPr>
                          <w:sz w:val="14"/>
                          <w:szCs w:val="14"/>
                        </w:rPr>
                        <w:t>Se</w:t>
                      </w:r>
                      <w:r>
                        <w:rPr>
                          <w:sz w:val="14"/>
                          <w:szCs w:val="14"/>
                        </w:rPr>
                        <w:t>k</w:t>
                      </w:r>
                      <w:r w:rsidRPr="00D95EF9">
                        <w:rPr>
                          <w:sz w:val="14"/>
                          <w:szCs w:val="14"/>
                        </w:rPr>
                        <w:t>ukinumab</w:t>
                      </w:r>
                      <w:r w:rsidRPr="00D95EF9">
                        <w:rPr>
                          <w:sz w:val="14"/>
                          <w:szCs w:val="14"/>
                        </w:rPr>
                        <w:tab/>
                        <w:t xml:space="preserve">37 </w:t>
                      </w:r>
                      <w:r>
                        <w:rPr>
                          <w:sz w:val="14"/>
                          <w:szCs w:val="14"/>
                        </w:rPr>
                        <w:t xml:space="preserve"> </w:t>
                      </w:r>
                      <w:r w:rsidRPr="00D95EF9">
                        <w:rPr>
                          <w:sz w:val="14"/>
                          <w:szCs w:val="14"/>
                        </w:rPr>
                        <w:t xml:space="preserve"> 36 </w:t>
                      </w:r>
                      <w:r>
                        <w:rPr>
                          <w:sz w:val="14"/>
                          <w:szCs w:val="14"/>
                        </w:rPr>
                        <w:t xml:space="preserve"> </w:t>
                      </w:r>
                      <w:r w:rsidRPr="00D95EF9">
                        <w:rPr>
                          <w:sz w:val="14"/>
                          <w:szCs w:val="14"/>
                        </w:rPr>
                        <w:t xml:space="preserve"> 34  </w:t>
                      </w:r>
                      <w:r>
                        <w:rPr>
                          <w:sz w:val="14"/>
                          <w:szCs w:val="14"/>
                        </w:rPr>
                        <w:t xml:space="preserve"> </w:t>
                      </w:r>
                      <w:r w:rsidRPr="00B06472">
                        <w:rPr>
                          <w:sz w:val="14"/>
                          <w:szCs w:val="14"/>
                        </w:rPr>
                        <w:t>33</w:t>
                      </w:r>
                      <w:r>
                        <w:rPr>
                          <w:sz w:val="14"/>
                          <w:szCs w:val="14"/>
                        </w:rPr>
                        <w:t xml:space="preserve"> </w:t>
                      </w:r>
                      <w:r w:rsidRPr="00B06472">
                        <w:rPr>
                          <w:sz w:val="14"/>
                          <w:szCs w:val="14"/>
                        </w:rPr>
                        <w:t xml:space="preserve">  32 </w:t>
                      </w:r>
                      <w:r>
                        <w:rPr>
                          <w:sz w:val="14"/>
                          <w:szCs w:val="14"/>
                        </w:rPr>
                        <w:t xml:space="preserve"> </w:t>
                      </w:r>
                      <w:r w:rsidRPr="00D95EF9">
                        <w:rPr>
                          <w:sz w:val="14"/>
                          <w:szCs w:val="14"/>
                        </w:rPr>
                        <w:t xml:space="preserve"> 30  </w:t>
                      </w:r>
                      <w:r>
                        <w:rPr>
                          <w:sz w:val="14"/>
                          <w:szCs w:val="14"/>
                        </w:rPr>
                        <w:t xml:space="preserve"> </w:t>
                      </w:r>
                      <w:r w:rsidRPr="00B06472">
                        <w:rPr>
                          <w:sz w:val="14"/>
                          <w:szCs w:val="14"/>
                        </w:rPr>
                        <w:t xml:space="preserve">30  </w:t>
                      </w:r>
                      <w:r>
                        <w:rPr>
                          <w:sz w:val="14"/>
                          <w:szCs w:val="14"/>
                        </w:rPr>
                        <w:t xml:space="preserve"> </w:t>
                      </w:r>
                      <w:r w:rsidRPr="00B06472">
                        <w:rPr>
                          <w:sz w:val="14"/>
                          <w:szCs w:val="14"/>
                        </w:rPr>
                        <w:t xml:space="preserve">29 </w:t>
                      </w:r>
                      <w:r>
                        <w:rPr>
                          <w:sz w:val="14"/>
                          <w:szCs w:val="14"/>
                        </w:rPr>
                        <w:t xml:space="preserve"> </w:t>
                      </w:r>
                      <w:r w:rsidRPr="00D95EF9">
                        <w:rPr>
                          <w:sz w:val="14"/>
                          <w:szCs w:val="14"/>
                        </w:rPr>
                        <w:t xml:space="preserve"> 29 </w:t>
                      </w:r>
                      <w:r>
                        <w:rPr>
                          <w:sz w:val="14"/>
                          <w:szCs w:val="14"/>
                        </w:rPr>
                        <w:t xml:space="preserve"> </w:t>
                      </w:r>
                      <w:r w:rsidRPr="00B06472">
                        <w:rPr>
                          <w:sz w:val="14"/>
                          <w:szCs w:val="14"/>
                        </w:rPr>
                        <w:t xml:space="preserve"> 29</w:t>
                      </w:r>
                      <w:r>
                        <w:rPr>
                          <w:sz w:val="14"/>
                          <w:szCs w:val="14"/>
                        </w:rPr>
                        <w:t xml:space="preserve"> </w:t>
                      </w:r>
                      <w:r w:rsidRPr="00B06472">
                        <w:rPr>
                          <w:sz w:val="14"/>
                          <w:szCs w:val="14"/>
                        </w:rPr>
                        <w:t xml:space="preserve">  25 </w:t>
                      </w:r>
                      <w:r>
                        <w:rPr>
                          <w:sz w:val="14"/>
                          <w:szCs w:val="14"/>
                        </w:rPr>
                        <w:t xml:space="preserve"> </w:t>
                      </w:r>
                      <w:r w:rsidRPr="00D95EF9">
                        <w:rPr>
                          <w:sz w:val="14"/>
                          <w:szCs w:val="14"/>
                        </w:rPr>
                        <w:t xml:space="preserve"> </w:t>
                      </w:r>
                      <w:r w:rsidRPr="00B06472">
                        <w:rPr>
                          <w:sz w:val="14"/>
                          <w:szCs w:val="14"/>
                        </w:rPr>
                        <w:t xml:space="preserve">25 </w:t>
                      </w:r>
                      <w:r>
                        <w:rPr>
                          <w:sz w:val="14"/>
                          <w:szCs w:val="14"/>
                        </w:rPr>
                        <w:t xml:space="preserve"> </w:t>
                      </w:r>
                      <w:r w:rsidRPr="00D95EF9">
                        <w:rPr>
                          <w:sz w:val="14"/>
                          <w:szCs w:val="14"/>
                        </w:rPr>
                        <w:t xml:space="preserve"> </w:t>
                      </w:r>
                      <w:r w:rsidRPr="00B06472">
                        <w:rPr>
                          <w:sz w:val="14"/>
                          <w:szCs w:val="14"/>
                        </w:rPr>
                        <w:t xml:space="preserve">24 </w:t>
                      </w:r>
                      <w:r>
                        <w:rPr>
                          <w:sz w:val="14"/>
                          <w:szCs w:val="14"/>
                        </w:rPr>
                        <w:t xml:space="preserve"> </w:t>
                      </w:r>
                      <w:r w:rsidRPr="00B06472">
                        <w:rPr>
                          <w:sz w:val="14"/>
                          <w:szCs w:val="14"/>
                        </w:rPr>
                        <w:t xml:space="preserve"> 23 </w:t>
                      </w:r>
                      <w:r>
                        <w:rPr>
                          <w:sz w:val="14"/>
                          <w:szCs w:val="14"/>
                        </w:rPr>
                        <w:t xml:space="preserve"> </w:t>
                      </w:r>
                      <w:r w:rsidRPr="00D95EF9">
                        <w:rPr>
                          <w:sz w:val="14"/>
                          <w:szCs w:val="14"/>
                        </w:rPr>
                        <w:t xml:space="preserve"> </w:t>
                      </w:r>
                      <w:r w:rsidRPr="00B06472">
                        <w:rPr>
                          <w:sz w:val="14"/>
                          <w:szCs w:val="14"/>
                        </w:rPr>
                        <w:t xml:space="preserve">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 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23 </w:t>
                      </w:r>
                      <w:r w:rsidRPr="00D95EF9">
                        <w:rPr>
                          <w:sz w:val="14"/>
                          <w:szCs w:val="14"/>
                        </w:rPr>
                        <w:t xml:space="preserve"> </w:t>
                      </w:r>
                      <w:r>
                        <w:rPr>
                          <w:sz w:val="14"/>
                          <w:szCs w:val="14"/>
                        </w:rPr>
                        <w:t xml:space="preserve"> </w:t>
                      </w:r>
                      <w:r w:rsidRPr="00D95EF9">
                        <w:rPr>
                          <w:sz w:val="14"/>
                          <w:szCs w:val="14"/>
                        </w:rPr>
                        <w:t>2</w:t>
                      </w:r>
                      <w:r w:rsidRPr="00B06472">
                        <w:rPr>
                          <w:sz w:val="14"/>
                          <w:szCs w:val="14"/>
                        </w:rPr>
                        <w:t xml:space="preserve">1 </w:t>
                      </w:r>
                      <w:r>
                        <w:rPr>
                          <w:sz w:val="14"/>
                          <w:szCs w:val="14"/>
                        </w:rPr>
                        <w:t xml:space="preserve"> </w:t>
                      </w:r>
                      <w:r w:rsidRPr="00D95EF9">
                        <w:rPr>
                          <w:sz w:val="14"/>
                          <w:szCs w:val="14"/>
                        </w:rPr>
                        <w:t xml:space="preserve"> </w:t>
                      </w:r>
                      <w:r w:rsidRPr="00B06472">
                        <w:rPr>
                          <w:sz w:val="14"/>
                          <w:szCs w:val="14"/>
                        </w:rPr>
                        <w:t>21</w:t>
                      </w:r>
                      <w:r>
                        <w:rPr>
                          <w:sz w:val="14"/>
                          <w:szCs w:val="14"/>
                        </w:rPr>
                        <w:t xml:space="preserve"> </w:t>
                      </w:r>
                      <w:r w:rsidRPr="00B06472">
                        <w:rPr>
                          <w:sz w:val="14"/>
                          <w:szCs w:val="14"/>
                        </w:rPr>
                        <w:t xml:space="preserve">  21 </w:t>
                      </w:r>
                      <w:r>
                        <w:rPr>
                          <w:sz w:val="14"/>
                          <w:szCs w:val="14"/>
                        </w:rPr>
                        <w:t xml:space="preserve"> </w:t>
                      </w:r>
                      <w:r w:rsidRPr="00B06472">
                        <w:rPr>
                          <w:sz w:val="14"/>
                          <w:szCs w:val="14"/>
                        </w:rPr>
                        <w:t xml:space="preserve"> </w:t>
                      </w:r>
                      <w:r w:rsidRPr="00D95EF9">
                        <w:rPr>
                          <w:sz w:val="14"/>
                          <w:szCs w:val="14"/>
                        </w:rPr>
                        <w:t xml:space="preserve">20 </w:t>
                      </w:r>
                      <w:r>
                        <w:rPr>
                          <w:sz w:val="14"/>
                          <w:szCs w:val="14"/>
                        </w:rPr>
                        <w:t xml:space="preserve"> </w:t>
                      </w:r>
                      <w:r w:rsidRPr="00D95EF9">
                        <w:rPr>
                          <w:sz w:val="14"/>
                          <w:szCs w:val="14"/>
                        </w:rPr>
                        <w:t xml:space="preserve"> 14  </w:t>
                      </w:r>
                      <w:r>
                        <w:rPr>
                          <w:sz w:val="14"/>
                          <w:szCs w:val="14"/>
                        </w:rPr>
                        <w:t xml:space="preserve"> </w:t>
                      </w:r>
                      <w:r w:rsidRPr="00D95EF9">
                        <w:rPr>
                          <w:sz w:val="14"/>
                          <w:szCs w:val="14"/>
                        </w:rPr>
                        <w:t>0</w:t>
                      </w:r>
                    </w:p>
                    <w:p w14:paraId="00BB97D1" w14:textId="77777777" w:rsidR="00DC744D" w:rsidRPr="00D95EF9" w:rsidRDefault="00DC744D" w:rsidP="00DC744D">
                      <w:pPr>
                        <w:rPr>
                          <w:sz w:val="14"/>
                          <w:szCs w:val="14"/>
                        </w:rPr>
                      </w:pPr>
                      <w:r w:rsidRPr="005D67B2">
                        <w:rPr>
                          <w:sz w:val="14"/>
                          <w:szCs w:val="14"/>
                        </w:rPr>
                        <w:t xml:space="preserve"> </w:t>
                      </w:r>
                      <w:r w:rsidRPr="00D95EF9">
                        <w:rPr>
                          <w:sz w:val="14"/>
                          <w:szCs w:val="14"/>
                        </w:rPr>
                        <w:t xml:space="preserve">Placebo </w:t>
                      </w:r>
                      <w:r>
                        <w:rPr>
                          <w:sz w:val="14"/>
                          <w:szCs w:val="14"/>
                        </w:rPr>
                        <w:t>u 2. dijelu</w:t>
                      </w:r>
                      <w:r w:rsidRPr="00D95EF9">
                        <w:rPr>
                          <w:sz w:val="14"/>
                          <w:szCs w:val="14"/>
                        </w:rPr>
                        <w:tab/>
                        <w:t>38   38   32   29   28   25   22   21   21   21   20   20   19   19   19   18   18   16   16   15   15   15   15   10   0</w:t>
                      </w:r>
                    </w:p>
                  </w:txbxContent>
                </v:textbox>
              </v:shape>
            </w:pict>
          </mc:Fallback>
        </mc:AlternateContent>
      </w:r>
    </w:p>
    <w:p w14:paraId="3297F367" w14:textId="42A18A23" w:rsidR="00DC744D" w:rsidRPr="0009637B" w:rsidRDefault="00DC744D">
      <w:pPr>
        <w:pStyle w:val="BodyText0"/>
        <w:kinsoku w:val="0"/>
        <w:overflowPunct w:val="0"/>
        <w:ind w:left="-567"/>
        <w:jc w:val="both"/>
      </w:pPr>
    </w:p>
    <w:p w14:paraId="0A617CC7" w14:textId="4CCA62B5" w:rsidR="00DC744D" w:rsidRPr="0009637B" w:rsidRDefault="00DC744D">
      <w:pPr>
        <w:pStyle w:val="BodyText0"/>
        <w:kinsoku w:val="0"/>
        <w:overflowPunct w:val="0"/>
        <w:ind w:left="-567"/>
        <w:jc w:val="both"/>
      </w:pPr>
    </w:p>
    <w:p w14:paraId="58FCA746" w14:textId="733E023B" w:rsidR="00DC744D" w:rsidRPr="0009637B" w:rsidRDefault="00DC744D">
      <w:pPr>
        <w:pStyle w:val="BodyText0"/>
        <w:kinsoku w:val="0"/>
        <w:overflowPunct w:val="0"/>
        <w:ind w:left="-567"/>
        <w:jc w:val="both"/>
      </w:pPr>
    </w:p>
    <w:p w14:paraId="6FA9FF1E" w14:textId="67E15BE2" w:rsidR="00DC744D" w:rsidRPr="0009637B" w:rsidRDefault="00DC744D">
      <w:pPr>
        <w:pStyle w:val="BodyText0"/>
        <w:kinsoku w:val="0"/>
        <w:overflowPunct w:val="0"/>
        <w:ind w:left="-567"/>
        <w:jc w:val="both"/>
      </w:pPr>
    </w:p>
    <w:p w14:paraId="67AD282B" w14:textId="31455337" w:rsidR="00DC744D" w:rsidRPr="0009637B" w:rsidRDefault="00DC744D" w:rsidP="005474B2">
      <w:pPr>
        <w:keepNext/>
        <w:ind w:left="1134" w:hanging="1134"/>
        <w:jc w:val="both"/>
        <w:outlineLvl w:val="5"/>
        <w:rPr>
          <w:rFonts w:eastAsia="MS Mincho"/>
          <w:b/>
          <w:sz w:val="22"/>
          <w:szCs w:val="22"/>
        </w:rPr>
      </w:pPr>
    </w:p>
    <w:p w14:paraId="78EAE6A3" w14:textId="77777777" w:rsidR="00DC744D" w:rsidRPr="0009637B" w:rsidRDefault="00DC744D" w:rsidP="005474B2">
      <w:pPr>
        <w:keepNext/>
        <w:ind w:left="1134" w:hanging="1134"/>
        <w:jc w:val="both"/>
        <w:outlineLvl w:val="5"/>
        <w:rPr>
          <w:rFonts w:eastAsia="MS Mincho"/>
          <w:b/>
          <w:sz w:val="22"/>
          <w:szCs w:val="22"/>
        </w:rPr>
      </w:pPr>
    </w:p>
    <w:p w14:paraId="669F066E" w14:textId="77777777" w:rsidR="00DC744D" w:rsidRPr="0009637B" w:rsidRDefault="00DC744D" w:rsidP="005474B2">
      <w:pPr>
        <w:keepNext/>
        <w:ind w:left="1134" w:hanging="1134"/>
        <w:jc w:val="both"/>
        <w:outlineLvl w:val="5"/>
        <w:rPr>
          <w:rFonts w:eastAsia="MS Mincho"/>
          <w:b/>
          <w:sz w:val="22"/>
          <w:szCs w:val="22"/>
        </w:rPr>
      </w:pPr>
    </w:p>
    <w:p w14:paraId="2AA6A33B" w14:textId="14F219A6" w:rsidR="00DC744D" w:rsidRPr="0009637B" w:rsidRDefault="00DC744D" w:rsidP="0009637B">
      <w:pPr>
        <w:tabs>
          <w:tab w:val="left" w:pos="284"/>
        </w:tabs>
        <w:jc w:val="both"/>
        <w:rPr>
          <w:b/>
          <w:sz w:val="22"/>
          <w:szCs w:val="22"/>
        </w:rPr>
      </w:pPr>
      <w:proofErr w:type="spellStart"/>
      <w:r w:rsidRPr="0009637B">
        <w:rPr>
          <w:b/>
          <w:sz w:val="22"/>
          <w:szCs w:val="22"/>
        </w:rPr>
        <w:t>Tabela</w:t>
      </w:r>
      <w:proofErr w:type="spellEnd"/>
      <w:r w:rsidRPr="0009637B">
        <w:rPr>
          <w:b/>
          <w:sz w:val="22"/>
          <w:szCs w:val="22"/>
        </w:rPr>
        <w:t> 1</w:t>
      </w:r>
      <w:r w:rsidR="006911D2" w:rsidRPr="0009637B">
        <w:rPr>
          <w:b/>
          <w:sz w:val="22"/>
          <w:szCs w:val="22"/>
        </w:rPr>
        <w:t>8</w:t>
      </w:r>
      <w:r w:rsidRPr="0009637B">
        <w:rPr>
          <w:b/>
          <w:sz w:val="22"/>
          <w:szCs w:val="22"/>
        </w:rPr>
        <w:tab/>
      </w:r>
      <w:r w:rsidRPr="0009637B">
        <w:rPr>
          <w:b/>
          <w:sz w:val="22"/>
          <w:szCs w:val="22"/>
          <w:lang w:val="hr-HR"/>
        </w:rPr>
        <w:t>Analiza preživljavanja za vrijeme do ponovne pojave znakova bolesti – 2. dio</w:t>
      </w:r>
    </w:p>
    <w:p w14:paraId="55D0DC48" w14:textId="77777777" w:rsidR="00DC744D" w:rsidRPr="0009637B" w:rsidRDefault="00DC744D">
      <w:pPr>
        <w:tabs>
          <w:tab w:val="left" w:pos="284"/>
        </w:tabs>
        <w:jc w:val="both"/>
        <w:rPr>
          <w:sz w:val="22"/>
          <w:szCs w:val="22"/>
          <w:lang w:val="sr-Latn-ME"/>
        </w:rPr>
      </w:pPr>
    </w:p>
    <w:tbl>
      <w:tblPr>
        <w:tblStyle w:val="TableGrid11"/>
        <w:tblW w:w="5000" w:type="pct"/>
        <w:tblInd w:w="0" w:type="dxa"/>
        <w:tblLook w:val="04A0" w:firstRow="1" w:lastRow="0" w:firstColumn="1" w:lastColumn="0" w:noHBand="0" w:noVBand="1"/>
      </w:tblPr>
      <w:tblGrid>
        <w:gridCol w:w="4412"/>
        <w:gridCol w:w="2434"/>
        <w:gridCol w:w="2229"/>
      </w:tblGrid>
      <w:tr w:rsidR="00DC744D" w:rsidRPr="0009637B" w14:paraId="098A455B" w14:textId="77777777" w:rsidTr="00907A1D">
        <w:trPr>
          <w:cantSplit/>
        </w:trPr>
        <w:tc>
          <w:tcPr>
            <w:tcW w:w="2431" w:type="pct"/>
          </w:tcPr>
          <w:p w14:paraId="48ACB0CE" w14:textId="77777777" w:rsidR="00DC744D" w:rsidRPr="008F40BC" w:rsidRDefault="00DC744D" w:rsidP="005474B2">
            <w:pPr>
              <w:keepNext/>
              <w:tabs>
                <w:tab w:val="left" w:pos="284"/>
              </w:tabs>
              <w:jc w:val="both"/>
              <w:rPr>
                <w:rFonts w:ascii="Times New Roman" w:hAnsi="Times New Roman" w:cs="Times New Roman"/>
                <w:sz w:val="22"/>
                <w:szCs w:val="22"/>
              </w:rPr>
            </w:pPr>
            <w:bookmarkStart w:id="14" w:name="_Hlk106831605"/>
          </w:p>
        </w:tc>
        <w:tc>
          <w:tcPr>
            <w:tcW w:w="1341" w:type="pct"/>
            <w:hideMark/>
          </w:tcPr>
          <w:p w14:paraId="2407A23C" w14:textId="77777777" w:rsidR="00DC744D" w:rsidRPr="008F40BC" w:rsidRDefault="00DC744D" w:rsidP="005474B2">
            <w:pPr>
              <w:keepNext/>
              <w:tabs>
                <w:tab w:val="left" w:pos="567"/>
              </w:tabs>
              <w:jc w:val="both"/>
              <w:rPr>
                <w:rFonts w:ascii="Times New Roman" w:hAnsi="Times New Roman" w:cs="Times New Roman"/>
                <w:b/>
                <w:noProof/>
                <w:sz w:val="22"/>
                <w:szCs w:val="22"/>
              </w:rPr>
            </w:pPr>
            <w:r w:rsidRPr="008F40BC">
              <w:rPr>
                <w:b/>
                <w:noProof/>
                <w:sz w:val="22"/>
                <w:szCs w:val="22"/>
              </w:rPr>
              <w:t>Sekukinumab</w:t>
            </w:r>
          </w:p>
          <w:p w14:paraId="53E791A4" w14:textId="77777777" w:rsidR="00DC744D" w:rsidRPr="008F40BC" w:rsidRDefault="00DC744D" w:rsidP="005474B2">
            <w:pPr>
              <w:keepNext/>
              <w:jc w:val="both"/>
              <w:rPr>
                <w:rFonts w:ascii="Times New Roman" w:hAnsi="Times New Roman" w:cs="Times New Roman"/>
                <w:sz w:val="22"/>
                <w:szCs w:val="22"/>
              </w:rPr>
            </w:pPr>
            <w:r w:rsidRPr="008F40BC">
              <w:rPr>
                <w:sz w:val="22"/>
                <w:szCs w:val="22"/>
              </w:rPr>
              <w:t>(N=37)</w:t>
            </w:r>
          </w:p>
        </w:tc>
        <w:tc>
          <w:tcPr>
            <w:tcW w:w="1228" w:type="pct"/>
            <w:hideMark/>
          </w:tcPr>
          <w:p w14:paraId="75CB231B" w14:textId="77777777" w:rsidR="00DC744D" w:rsidRPr="008F40BC" w:rsidRDefault="00DC744D" w:rsidP="005474B2">
            <w:pPr>
              <w:keepNext/>
              <w:jc w:val="both"/>
              <w:rPr>
                <w:rFonts w:ascii="Times New Roman" w:hAnsi="Times New Roman" w:cs="Times New Roman"/>
                <w:b/>
                <w:sz w:val="22"/>
                <w:szCs w:val="22"/>
              </w:rPr>
            </w:pPr>
            <w:r w:rsidRPr="008F40BC">
              <w:rPr>
                <w:b/>
                <w:sz w:val="22"/>
                <w:szCs w:val="22"/>
              </w:rPr>
              <w:t>Placebo u 2. </w:t>
            </w:r>
            <w:proofErr w:type="spellStart"/>
            <w:r w:rsidRPr="008F40BC">
              <w:rPr>
                <w:b/>
                <w:sz w:val="22"/>
                <w:szCs w:val="22"/>
              </w:rPr>
              <w:t>dijelu</w:t>
            </w:r>
            <w:proofErr w:type="spellEnd"/>
          </w:p>
          <w:p w14:paraId="0D0EBD8B" w14:textId="77777777" w:rsidR="00DC744D" w:rsidRPr="008F40BC" w:rsidRDefault="00DC744D" w:rsidP="005474B2">
            <w:pPr>
              <w:keepNext/>
              <w:jc w:val="both"/>
              <w:rPr>
                <w:rFonts w:ascii="Times New Roman" w:hAnsi="Times New Roman" w:cs="Times New Roman"/>
                <w:sz w:val="22"/>
                <w:szCs w:val="22"/>
              </w:rPr>
            </w:pPr>
            <w:r w:rsidRPr="008F40BC">
              <w:rPr>
                <w:sz w:val="22"/>
                <w:szCs w:val="22"/>
              </w:rPr>
              <w:t>(N=38)</w:t>
            </w:r>
          </w:p>
        </w:tc>
      </w:tr>
      <w:tr w:rsidR="00DC744D" w:rsidRPr="0009637B" w14:paraId="025F4D5B" w14:textId="77777777" w:rsidTr="00907A1D">
        <w:trPr>
          <w:cantSplit/>
        </w:trPr>
        <w:tc>
          <w:tcPr>
            <w:tcW w:w="2431" w:type="pct"/>
            <w:hideMark/>
          </w:tcPr>
          <w:p w14:paraId="18936EF4" w14:textId="77777777" w:rsidR="00DC744D" w:rsidRPr="008F40BC" w:rsidRDefault="00DC744D" w:rsidP="005474B2">
            <w:pPr>
              <w:keepNext/>
              <w:jc w:val="both"/>
              <w:rPr>
                <w:rFonts w:ascii="Times New Roman" w:hAnsi="Times New Roman" w:cs="Times New Roman"/>
                <w:b/>
                <w:sz w:val="22"/>
                <w:szCs w:val="22"/>
                <w:lang w:val="hr-HR"/>
              </w:rPr>
            </w:pPr>
            <w:r w:rsidRPr="008F40BC">
              <w:rPr>
                <w:b/>
                <w:sz w:val="22"/>
                <w:szCs w:val="22"/>
                <w:lang w:val="hr-HR"/>
              </w:rPr>
              <w:t>Broj događaja ponovnog javljanja simptoma bolesti na kraju 2. dijela, n (%)</w:t>
            </w:r>
          </w:p>
        </w:tc>
        <w:tc>
          <w:tcPr>
            <w:tcW w:w="1341" w:type="pct"/>
            <w:hideMark/>
          </w:tcPr>
          <w:p w14:paraId="6B1457A3" w14:textId="77777777" w:rsidR="00DC744D" w:rsidRPr="008F40BC" w:rsidRDefault="00DC744D" w:rsidP="005474B2">
            <w:pPr>
              <w:keepNext/>
              <w:tabs>
                <w:tab w:val="left" w:pos="284"/>
              </w:tabs>
              <w:jc w:val="both"/>
              <w:rPr>
                <w:rFonts w:ascii="Times New Roman" w:hAnsi="Times New Roman" w:cs="Times New Roman"/>
                <w:sz w:val="22"/>
                <w:szCs w:val="22"/>
              </w:rPr>
            </w:pPr>
            <w:r w:rsidRPr="008F40BC">
              <w:rPr>
                <w:sz w:val="22"/>
                <w:szCs w:val="22"/>
              </w:rPr>
              <w:t>10 (27,0)</w:t>
            </w:r>
          </w:p>
        </w:tc>
        <w:tc>
          <w:tcPr>
            <w:tcW w:w="1228" w:type="pct"/>
            <w:hideMark/>
          </w:tcPr>
          <w:p w14:paraId="0672EF9F" w14:textId="77777777" w:rsidR="00DC744D" w:rsidRPr="008F40BC" w:rsidRDefault="00DC744D" w:rsidP="005474B2">
            <w:pPr>
              <w:keepNext/>
              <w:tabs>
                <w:tab w:val="left" w:pos="284"/>
              </w:tabs>
              <w:jc w:val="both"/>
              <w:rPr>
                <w:rFonts w:ascii="Times New Roman" w:hAnsi="Times New Roman" w:cs="Times New Roman"/>
                <w:sz w:val="22"/>
                <w:szCs w:val="22"/>
              </w:rPr>
            </w:pPr>
            <w:r w:rsidRPr="008F40BC">
              <w:rPr>
                <w:sz w:val="22"/>
                <w:szCs w:val="22"/>
              </w:rPr>
              <w:t>21 (55,3)</w:t>
            </w:r>
          </w:p>
        </w:tc>
      </w:tr>
      <w:tr w:rsidR="00DC744D" w:rsidRPr="0009637B" w14:paraId="658ADAEB" w14:textId="77777777" w:rsidTr="00907A1D">
        <w:trPr>
          <w:cantSplit/>
        </w:trPr>
        <w:tc>
          <w:tcPr>
            <w:tcW w:w="2431" w:type="pct"/>
          </w:tcPr>
          <w:p w14:paraId="1D273E14" w14:textId="77777777" w:rsidR="00DC744D" w:rsidRPr="008F40BC" w:rsidRDefault="00DC744D" w:rsidP="005474B2">
            <w:pPr>
              <w:keepNext/>
              <w:jc w:val="both"/>
              <w:rPr>
                <w:rFonts w:ascii="Times New Roman" w:hAnsi="Times New Roman" w:cs="Times New Roman"/>
                <w:b/>
                <w:sz w:val="22"/>
                <w:szCs w:val="22"/>
              </w:rPr>
            </w:pPr>
            <w:r w:rsidRPr="008F40BC">
              <w:rPr>
                <w:b/>
                <w:sz w:val="22"/>
                <w:szCs w:val="22"/>
              </w:rPr>
              <w:t>Kaplan-</w:t>
            </w:r>
            <w:proofErr w:type="spellStart"/>
            <w:r w:rsidRPr="008F40BC">
              <w:rPr>
                <w:b/>
                <w:sz w:val="22"/>
                <w:szCs w:val="22"/>
              </w:rPr>
              <w:t>Meierove</w:t>
            </w:r>
            <w:proofErr w:type="spellEnd"/>
            <w:r w:rsidRPr="008F40BC">
              <w:rPr>
                <w:b/>
                <w:sz w:val="22"/>
                <w:szCs w:val="22"/>
              </w:rPr>
              <w:t xml:space="preserve"> </w:t>
            </w:r>
            <w:proofErr w:type="spellStart"/>
            <w:r w:rsidRPr="008F40BC">
              <w:rPr>
                <w:b/>
                <w:sz w:val="22"/>
                <w:szCs w:val="22"/>
              </w:rPr>
              <w:t>procjene</w:t>
            </w:r>
            <w:proofErr w:type="spellEnd"/>
            <w:r w:rsidRPr="008F40BC">
              <w:rPr>
                <w:b/>
                <w:sz w:val="22"/>
                <w:szCs w:val="22"/>
              </w:rPr>
              <w:t>:</w:t>
            </w:r>
          </w:p>
        </w:tc>
        <w:tc>
          <w:tcPr>
            <w:tcW w:w="2569" w:type="pct"/>
            <w:gridSpan w:val="2"/>
          </w:tcPr>
          <w:p w14:paraId="05854A95" w14:textId="77777777" w:rsidR="00DC744D" w:rsidRPr="008F40BC" w:rsidRDefault="00DC744D" w:rsidP="005474B2">
            <w:pPr>
              <w:keepNext/>
              <w:tabs>
                <w:tab w:val="left" w:pos="567"/>
              </w:tabs>
              <w:jc w:val="both"/>
              <w:rPr>
                <w:rFonts w:ascii="Times New Roman" w:hAnsi="Times New Roman" w:cs="Times New Roman"/>
                <w:sz w:val="22"/>
                <w:szCs w:val="22"/>
              </w:rPr>
            </w:pPr>
          </w:p>
        </w:tc>
      </w:tr>
      <w:tr w:rsidR="00DC744D" w:rsidRPr="0009637B" w14:paraId="60757EEB" w14:textId="77777777" w:rsidTr="00907A1D">
        <w:trPr>
          <w:cantSplit/>
        </w:trPr>
        <w:tc>
          <w:tcPr>
            <w:tcW w:w="2431" w:type="pct"/>
          </w:tcPr>
          <w:p w14:paraId="1AFD4A55" w14:textId="77777777" w:rsidR="00DC744D" w:rsidRPr="008F40BC" w:rsidRDefault="00DC744D" w:rsidP="005474B2">
            <w:pPr>
              <w:keepNext/>
              <w:jc w:val="both"/>
              <w:rPr>
                <w:rFonts w:ascii="Times New Roman" w:hAnsi="Times New Roman" w:cs="Times New Roman"/>
                <w:sz w:val="22"/>
                <w:szCs w:val="22"/>
              </w:rPr>
            </w:pPr>
            <w:r w:rsidRPr="008F40BC">
              <w:rPr>
                <w:sz w:val="22"/>
                <w:szCs w:val="22"/>
                <w:lang w:val="hr-HR"/>
              </w:rPr>
              <w:t>Medijana, u danima</w:t>
            </w:r>
            <w:r w:rsidRPr="008F40BC">
              <w:rPr>
                <w:sz w:val="22"/>
                <w:szCs w:val="22"/>
              </w:rPr>
              <w:t xml:space="preserve"> (95% CI)</w:t>
            </w:r>
          </w:p>
        </w:tc>
        <w:tc>
          <w:tcPr>
            <w:tcW w:w="1341" w:type="pct"/>
          </w:tcPr>
          <w:p w14:paraId="02195402" w14:textId="77777777" w:rsidR="00DC744D" w:rsidRPr="008F40BC" w:rsidRDefault="00DC744D" w:rsidP="005474B2">
            <w:pPr>
              <w:keepNext/>
              <w:jc w:val="both"/>
              <w:rPr>
                <w:rFonts w:ascii="Times New Roman" w:hAnsi="Times New Roman" w:cs="Times New Roman"/>
                <w:sz w:val="22"/>
                <w:szCs w:val="22"/>
              </w:rPr>
            </w:pPr>
            <w:r w:rsidRPr="008F40BC">
              <w:rPr>
                <w:sz w:val="22"/>
                <w:szCs w:val="22"/>
              </w:rPr>
              <w:t>NI (NI, NI)</w:t>
            </w:r>
          </w:p>
        </w:tc>
        <w:tc>
          <w:tcPr>
            <w:tcW w:w="1228" w:type="pct"/>
          </w:tcPr>
          <w:p w14:paraId="20B87BE3" w14:textId="77777777" w:rsidR="00DC744D" w:rsidRPr="008F40BC" w:rsidRDefault="00DC744D" w:rsidP="005474B2">
            <w:pPr>
              <w:keepNext/>
              <w:tabs>
                <w:tab w:val="left" w:pos="567"/>
              </w:tabs>
              <w:jc w:val="both"/>
              <w:rPr>
                <w:rFonts w:ascii="Times New Roman" w:hAnsi="Times New Roman" w:cs="Times New Roman"/>
                <w:sz w:val="22"/>
                <w:szCs w:val="22"/>
              </w:rPr>
            </w:pPr>
            <w:r w:rsidRPr="008F40BC">
              <w:rPr>
                <w:sz w:val="22"/>
                <w:szCs w:val="22"/>
              </w:rPr>
              <w:t>453,0 (114,0; NI)</w:t>
            </w:r>
          </w:p>
        </w:tc>
      </w:tr>
      <w:tr w:rsidR="00DC744D" w:rsidRPr="0009637B" w14:paraId="48C9B4C8" w14:textId="77777777" w:rsidTr="00907A1D">
        <w:trPr>
          <w:cantSplit/>
        </w:trPr>
        <w:tc>
          <w:tcPr>
            <w:tcW w:w="2431" w:type="pct"/>
            <w:hideMark/>
          </w:tcPr>
          <w:p w14:paraId="1692EAD8" w14:textId="77777777" w:rsidR="00DC744D" w:rsidRPr="008F40BC" w:rsidRDefault="00DC744D" w:rsidP="005474B2">
            <w:pPr>
              <w:keepNext/>
              <w:jc w:val="both"/>
              <w:rPr>
                <w:rFonts w:ascii="Times New Roman" w:hAnsi="Times New Roman" w:cs="Times New Roman"/>
                <w:sz w:val="22"/>
                <w:szCs w:val="22"/>
                <w:lang w:val="hr-HR"/>
              </w:rPr>
            </w:pPr>
            <w:r w:rsidRPr="008F40BC">
              <w:rPr>
                <w:sz w:val="22"/>
                <w:szCs w:val="22"/>
                <w:lang w:val="hr-HR"/>
              </w:rPr>
              <w:t>Stopa bez javljanja simptoma bolesti u 6. mjesecu (95% CI)</w:t>
            </w:r>
          </w:p>
        </w:tc>
        <w:tc>
          <w:tcPr>
            <w:tcW w:w="1341" w:type="pct"/>
          </w:tcPr>
          <w:p w14:paraId="1D482268" w14:textId="77777777" w:rsidR="00DC744D" w:rsidRPr="008F40BC" w:rsidRDefault="00DC744D" w:rsidP="005474B2">
            <w:pPr>
              <w:keepNext/>
              <w:jc w:val="both"/>
              <w:rPr>
                <w:rFonts w:ascii="Times New Roman" w:hAnsi="Times New Roman" w:cs="Times New Roman"/>
                <w:sz w:val="22"/>
                <w:szCs w:val="22"/>
              </w:rPr>
            </w:pPr>
            <w:r w:rsidRPr="008F40BC">
              <w:rPr>
                <w:sz w:val="22"/>
                <w:szCs w:val="22"/>
              </w:rPr>
              <w:t>85,8 (69,2; 93,8)</w:t>
            </w:r>
          </w:p>
        </w:tc>
        <w:tc>
          <w:tcPr>
            <w:tcW w:w="1228" w:type="pct"/>
          </w:tcPr>
          <w:p w14:paraId="735CC3A0" w14:textId="77777777" w:rsidR="00DC744D" w:rsidRPr="008F40BC" w:rsidRDefault="00DC744D" w:rsidP="005474B2">
            <w:pPr>
              <w:keepNext/>
              <w:tabs>
                <w:tab w:val="left" w:pos="284"/>
              </w:tabs>
              <w:jc w:val="both"/>
              <w:rPr>
                <w:rFonts w:ascii="Times New Roman" w:hAnsi="Times New Roman" w:cs="Times New Roman"/>
                <w:sz w:val="22"/>
                <w:szCs w:val="22"/>
              </w:rPr>
            </w:pPr>
            <w:r w:rsidRPr="008F40BC">
              <w:rPr>
                <w:sz w:val="22"/>
                <w:szCs w:val="22"/>
              </w:rPr>
              <w:t>60,1 (42,7; 73,7)</w:t>
            </w:r>
          </w:p>
        </w:tc>
      </w:tr>
      <w:tr w:rsidR="00DC744D" w:rsidRPr="0009637B" w14:paraId="1E0ED8D6" w14:textId="77777777" w:rsidTr="00907A1D">
        <w:trPr>
          <w:cantSplit/>
        </w:trPr>
        <w:tc>
          <w:tcPr>
            <w:tcW w:w="2431" w:type="pct"/>
          </w:tcPr>
          <w:p w14:paraId="7D29269B" w14:textId="77777777" w:rsidR="00DC744D" w:rsidRPr="008F40BC" w:rsidRDefault="00DC744D" w:rsidP="005474B2">
            <w:pPr>
              <w:keepNext/>
              <w:jc w:val="both"/>
              <w:rPr>
                <w:rFonts w:ascii="Times New Roman" w:hAnsi="Times New Roman" w:cs="Times New Roman"/>
                <w:sz w:val="22"/>
                <w:szCs w:val="22"/>
                <w:lang w:val="hr-HR"/>
              </w:rPr>
            </w:pPr>
            <w:r w:rsidRPr="008F40BC">
              <w:rPr>
                <w:sz w:val="22"/>
                <w:szCs w:val="22"/>
                <w:lang w:val="hr-HR"/>
              </w:rPr>
              <w:t>Stopa bez javljanja simptoma bolesti u 12. mjesecu (95% CI)</w:t>
            </w:r>
          </w:p>
        </w:tc>
        <w:tc>
          <w:tcPr>
            <w:tcW w:w="1341" w:type="pct"/>
          </w:tcPr>
          <w:p w14:paraId="2EBB133A" w14:textId="77777777" w:rsidR="00DC744D" w:rsidRPr="008F40BC" w:rsidRDefault="00DC744D" w:rsidP="005474B2">
            <w:pPr>
              <w:keepNext/>
              <w:jc w:val="both"/>
              <w:rPr>
                <w:rFonts w:ascii="Times New Roman" w:hAnsi="Times New Roman" w:cs="Times New Roman"/>
                <w:sz w:val="22"/>
                <w:szCs w:val="22"/>
              </w:rPr>
            </w:pPr>
            <w:r w:rsidRPr="008F40BC">
              <w:rPr>
                <w:sz w:val="22"/>
                <w:szCs w:val="22"/>
              </w:rPr>
              <w:t>76,7 (58,7; 87,6)</w:t>
            </w:r>
          </w:p>
        </w:tc>
        <w:tc>
          <w:tcPr>
            <w:tcW w:w="1228" w:type="pct"/>
          </w:tcPr>
          <w:p w14:paraId="59DD68EB" w14:textId="77777777" w:rsidR="00DC744D" w:rsidRPr="008F40BC" w:rsidRDefault="00DC744D" w:rsidP="005474B2">
            <w:pPr>
              <w:keepNext/>
              <w:tabs>
                <w:tab w:val="left" w:pos="284"/>
              </w:tabs>
              <w:jc w:val="both"/>
              <w:rPr>
                <w:rFonts w:ascii="Times New Roman" w:hAnsi="Times New Roman" w:cs="Times New Roman"/>
                <w:sz w:val="22"/>
                <w:szCs w:val="22"/>
              </w:rPr>
            </w:pPr>
            <w:r w:rsidRPr="008F40BC">
              <w:rPr>
                <w:sz w:val="22"/>
                <w:szCs w:val="22"/>
              </w:rPr>
              <w:t>54,3 (37,1; 68,7)</w:t>
            </w:r>
          </w:p>
        </w:tc>
      </w:tr>
      <w:tr w:rsidR="00DC744D" w:rsidRPr="0009637B" w14:paraId="547428F0" w14:textId="77777777" w:rsidTr="00907A1D">
        <w:trPr>
          <w:cantSplit/>
        </w:trPr>
        <w:tc>
          <w:tcPr>
            <w:tcW w:w="2431" w:type="pct"/>
            <w:hideMark/>
          </w:tcPr>
          <w:p w14:paraId="3AA15EF0" w14:textId="77777777" w:rsidR="00DC744D" w:rsidRPr="008F40BC" w:rsidRDefault="00DC744D" w:rsidP="005474B2">
            <w:pPr>
              <w:keepNext/>
              <w:jc w:val="both"/>
              <w:rPr>
                <w:rFonts w:ascii="Times New Roman" w:hAnsi="Times New Roman" w:cs="Times New Roman"/>
                <w:sz w:val="22"/>
                <w:szCs w:val="22"/>
                <w:lang w:val="hr-HR"/>
              </w:rPr>
            </w:pPr>
            <w:r w:rsidRPr="008F40BC">
              <w:rPr>
                <w:sz w:val="22"/>
                <w:szCs w:val="22"/>
                <w:lang w:val="hr-HR"/>
              </w:rPr>
              <w:t>Stopa bez javljanja simptoma bolesti u 18. mjesecu (95% CI)</w:t>
            </w:r>
          </w:p>
        </w:tc>
        <w:tc>
          <w:tcPr>
            <w:tcW w:w="1341" w:type="pct"/>
          </w:tcPr>
          <w:p w14:paraId="5BC3E4D1" w14:textId="77777777" w:rsidR="00DC744D" w:rsidRPr="008F40BC" w:rsidRDefault="00DC744D" w:rsidP="005474B2">
            <w:pPr>
              <w:keepNext/>
              <w:jc w:val="both"/>
              <w:rPr>
                <w:rFonts w:ascii="Times New Roman" w:hAnsi="Times New Roman" w:cs="Times New Roman"/>
                <w:sz w:val="22"/>
                <w:szCs w:val="22"/>
              </w:rPr>
            </w:pPr>
            <w:r w:rsidRPr="008F40BC">
              <w:rPr>
                <w:sz w:val="22"/>
                <w:szCs w:val="22"/>
              </w:rPr>
              <w:t>73,2 (54,6; 85,1)</w:t>
            </w:r>
          </w:p>
        </w:tc>
        <w:tc>
          <w:tcPr>
            <w:tcW w:w="1228" w:type="pct"/>
          </w:tcPr>
          <w:p w14:paraId="052E18A5" w14:textId="77777777" w:rsidR="00DC744D" w:rsidRPr="008F40BC" w:rsidRDefault="00DC744D" w:rsidP="005474B2">
            <w:pPr>
              <w:keepNext/>
              <w:tabs>
                <w:tab w:val="left" w:pos="284"/>
              </w:tabs>
              <w:jc w:val="both"/>
              <w:rPr>
                <w:rFonts w:ascii="Times New Roman" w:hAnsi="Times New Roman" w:cs="Times New Roman"/>
                <w:sz w:val="22"/>
                <w:szCs w:val="22"/>
              </w:rPr>
            </w:pPr>
            <w:r w:rsidRPr="008F40BC">
              <w:rPr>
                <w:sz w:val="22"/>
                <w:szCs w:val="22"/>
              </w:rPr>
              <w:t>42,9 (26,7; 58,1)</w:t>
            </w:r>
          </w:p>
        </w:tc>
      </w:tr>
      <w:tr w:rsidR="00DC744D" w:rsidRPr="0009637B" w14:paraId="2FE14839" w14:textId="77777777" w:rsidTr="00907A1D">
        <w:trPr>
          <w:cantSplit/>
        </w:trPr>
        <w:tc>
          <w:tcPr>
            <w:tcW w:w="2431" w:type="pct"/>
          </w:tcPr>
          <w:p w14:paraId="07536578" w14:textId="77777777" w:rsidR="00DC744D" w:rsidRPr="008F40BC" w:rsidRDefault="00DC744D" w:rsidP="005474B2">
            <w:pPr>
              <w:keepNext/>
              <w:jc w:val="both"/>
              <w:rPr>
                <w:rFonts w:ascii="Times New Roman" w:hAnsi="Times New Roman" w:cs="Times New Roman"/>
                <w:b/>
                <w:sz w:val="22"/>
                <w:szCs w:val="22"/>
              </w:rPr>
            </w:pPr>
            <w:r w:rsidRPr="008F40BC">
              <w:rPr>
                <w:b/>
                <w:sz w:val="22"/>
                <w:szCs w:val="22"/>
                <w:lang w:val="hr-HR"/>
              </w:rPr>
              <w:t>Stepen rizika prema placebu:</w:t>
            </w:r>
            <w:r w:rsidRPr="008F40BC">
              <w:rPr>
                <w:bCs/>
                <w:sz w:val="22"/>
                <w:szCs w:val="22"/>
                <w:lang w:val="hr-HR"/>
              </w:rPr>
              <w:t xml:space="preserve"> Procjena</w:t>
            </w:r>
            <w:r w:rsidRPr="008F40BC">
              <w:rPr>
                <w:sz w:val="22"/>
                <w:szCs w:val="22"/>
              </w:rPr>
              <w:t xml:space="preserve"> (95% CI)</w:t>
            </w:r>
          </w:p>
        </w:tc>
        <w:tc>
          <w:tcPr>
            <w:tcW w:w="2569" w:type="pct"/>
            <w:gridSpan w:val="2"/>
          </w:tcPr>
          <w:p w14:paraId="25685DC0" w14:textId="77777777" w:rsidR="00DC744D" w:rsidRPr="008F40BC" w:rsidRDefault="00DC744D" w:rsidP="005474B2">
            <w:pPr>
              <w:keepNext/>
              <w:jc w:val="both"/>
              <w:rPr>
                <w:rFonts w:ascii="Times New Roman" w:hAnsi="Times New Roman" w:cs="Times New Roman"/>
                <w:sz w:val="22"/>
                <w:szCs w:val="22"/>
              </w:rPr>
            </w:pPr>
            <w:r w:rsidRPr="008F40BC">
              <w:rPr>
                <w:sz w:val="22"/>
                <w:szCs w:val="22"/>
              </w:rPr>
              <w:t>0,28 (0,13; 0,63)</w:t>
            </w:r>
          </w:p>
        </w:tc>
      </w:tr>
      <w:tr w:rsidR="00DC744D" w:rsidRPr="0009637B" w14:paraId="16F7E708" w14:textId="77777777" w:rsidTr="00907A1D">
        <w:trPr>
          <w:cantSplit/>
        </w:trPr>
        <w:tc>
          <w:tcPr>
            <w:tcW w:w="2431" w:type="pct"/>
          </w:tcPr>
          <w:p w14:paraId="709C7265" w14:textId="26CEB944" w:rsidR="00DC744D" w:rsidRPr="008F40BC" w:rsidRDefault="00DC744D" w:rsidP="005474B2">
            <w:pPr>
              <w:keepNext/>
              <w:jc w:val="both"/>
              <w:rPr>
                <w:rFonts w:ascii="Times New Roman" w:hAnsi="Times New Roman" w:cs="Times New Roman"/>
                <w:sz w:val="22"/>
                <w:szCs w:val="22"/>
              </w:rPr>
            </w:pPr>
            <w:r w:rsidRPr="008F40BC">
              <w:rPr>
                <w:b/>
                <w:sz w:val="22"/>
                <w:szCs w:val="22"/>
                <w:lang w:val="hr-HR"/>
              </w:rPr>
              <w:t>p</w:t>
            </w:r>
            <w:r w:rsidRPr="008F40BC">
              <w:rPr>
                <w:b/>
                <w:sz w:val="22"/>
                <w:szCs w:val="22"/>
                <w:lang w:val="hr-HR"/>
              </w:rPr>
              <w:noBreakHyphen/>
              <w:t>vrijednost iz stratifikovanog log</w:t>
            </w:r>
            <w:r w:rsidRPr="008F40BC">
              <w:rPr>
                <w:b/>
                <w:sz w:val="22"/>
                <w:szCs w:val="22"/>
                <w:lang w:val="hr-HR"/>
              </w:rPr>
              <w:noBreakHyphen/>
              <w:t>ran</w:t>
            </w:r>
            <w:r w:rsidR="000662D8" w:rsidRPr="008F40BC">
              <w:rPr>
                <w:rFonts w:ascii="Times New Roman" w:hAnsi="Times New Roman" w:cs="Times New Roman"/>
                <w:b/>
                <w:sz w:val="22"/>
                <w:szCs w:val="22"/>
                <w:lang w:val="hr-HR"/>
              </w:rPr>
              <w:t>k</w:t>
            </w:r>
            <w:r w:rsidRPr="008F40BC">
              <w:rPr>
                <w:b/>
                <w:sz w:val="22"/>
                <w:szCs w:val="22"/>
                <w:lang w:val="hr-HR"/>
              </w:rPr>
              <w:t xml:space="preserve"> testa</w:t>
            </w:r>
          </w:p>
        </w:tc>
        <w:tc>
          <w:tcPr>
            <w:tcW w:w="2569" w:type="pct"/>
            <w:gridSpan w:val="2"/>
          </w:tcPr>
          <w:p w14:paraId="3CDD75AB" w14:textId="77777777" w:rsidR="00DC744D" w:rsidRPr="008F40BC" w:rsidRDefault="00DC744D" w:rsidP="005474B2">
            <w:pPr>
              <w:keepNext/>
              <w:jc w:val="both"/>
              <w:rPr>
                <w:rFonts w:ascii="Times New Roman" w:hAnsi="Times New Roman" w:cs="Times New Roman"/>
                <w:sz w:val="22"/>
                <w:szCs w:val="22"/>
              </w:rPr>
            </w:pPr>
            <w:r w:rsidRPr="008F40BC">
              <w:rPr>
                <w:sz w:val="22"/>
                <w:szCs w:val="22"/>
              </w:rPr>
              <w:t>&lt;0,001**</w:t>
            </w:r>
          </w:p>
        </w:tc>
      </w:tr>
      <w:tr w:rsidR="00DC744D" w:rsidRPr="0009637B" w14:paraId="788BFC77" w14:textId="77777777" w:rsidTr="00907A1D">
        <w:trPr>
          <w:cantSplit/>
        </w:trPr>
        <w:tc>
          <w:tcPr>
            <w:tcW w:w="5000" w:type="pct"/>
            <w:gridSpan w:val="3"/>
          </w:tcPr>
          <w:p w14:paraId="3F66E371" w14:textId="77777777" w:rsidR="00DC744D" w:rsidRPr="008F40BC" w:rsidRDefault="00DC744D" w:rsidP="005474B2">
            <w:pPr>
              <w:keepNext/>
              <w:jc w:val="both"/>
              <w:rPr>
                <w:rFonts w:ascii="Times New Roman" w:hAnsi="Times New Roman" w:cs="Times New Roman"/>
                <w:sz w:val="22"/>
                <w:szCs w:val="22"/>
                <w:lang w:val="hr-HR"/>
              </w:rPr>
            </w:pPr>
            <w:r w:rsidRPr="008F40BC">
              <w:rPr>
                <w:sz w:val="22"/>
                <w:szCs w:val="22"/>
                <w:lang w:val="hr-HR"/>
              </w:rPr>
              <w:t>Analiza je sprovedena na svim randomizovanim pacijentima koji su primili najmanje jednu dozu ispitivanog lijeka u 2. dijelu.</w:t>
            </w:r>
          </w:p>
          <w:p w14:paraId="69302F1B" w14:textId="63A635E0" w:rsidR="00DC744D" w:rsidRPr="008F40BC" w:rsidRDefault="00DC744D" w:rsidP="005474B2">
            <w:pPr>
              <w:keepLines/>
              <w:tabs>
                <w:tab w:val="left" w:pos="284"/>
              </w:tabs>
              <w:jc w:val="both"/>
              <w:rPr>
                <w:rFonts w:ascii="Times New Roman" w:hAnsi="Times New Roman" w:cs="Times New Roman"/>
                <w:sz w:val="22"/>
                <w:szCs w:val="22"/>
                <w:lang w:eastAsia="zh-CN"/>
              </w:rPr>
            </w:pPr>
            <w:r w:rsidRPr="008F40BC">
              <w:rPr>
                <w:sz w:val="22"/>
                <w:szCs w:val="22"/>
                <w:lang w:val="hr-HR"/>
              </w:rPr>
              <w:t>Sekukinumab: svi pacijenti koji nisu primili placebo. Placebo u 2. dijelu: svi pacijenti koji su primili placebo u 2. </w:t>
            </w:r>
            <w:r w:rsidR="000662D8" w:rsidRPr="008F40BC">
              <w:rPr>
                <w:rFonts w:ascii="Times New Roman" w:hAnsi="Times New Roman" w:cs="Times New Roman"/>
                <w:sz w:val="22"/>
                <w:szCs w:val="22"/>
                <w:lang w:val="hr-HR"/>
              </w:rPr>
              <w:t>dijelu</w:t>
            </w:r>
            <w:r w:rsidRPr="008F40BC">
              <w:rPr>
                <w:sz w:val="22"/>
                <w:szCs w:val="22"/>
                <w:lang w:val="hr-HR"/>
              </w:rPr>
              <w:t xml:space="preserve"> i sekukinumab u drugom dijelu/djelovima. </w:t>
            </w:r>
            <w:r w:rsidRPr="008F40BC">
              <w:rPr>
                <w:sz w:val="22"/>
                <w:szCs w:val="22"/>
                <w:lang w:val="en-GB"/>
              </w:rPr>
              <w:t xml:space="preserve">NR = </w:t>
            </w:r>
            <w:proofErr w:type="spellStart"/>
            <w:r w:rsidRPr="008F40BC">
              <w:rPr>
                <w:sz w:val="22"/>
                <w:szCs w:val="22"/>
                <w:lang w:val="en-GB"/>
              </w:rPr>
              <w:t>Nije</w:t>
            </w:r>
            <w:proofErr w:type="spellEnd"/>
            <w:r w:rsidRPr="008F40BC">
              <w:rPr>
                <w:sz w:val="22"/>
                <w:szCs w:val="22"/>
                <w:lang w:val="en-GB"/>
              </w:rPr>
              <w:t xml:space="preserve"> </w:t>
            </w:r>
            <w:proofErr w:type="spellStart"/>
            <w:r w:rsidRPr="008F40BC">
              <w:rPr>
                <w:sz w:val="22"/>
                <w:szCs w:val="22"/>
                <w:lang w:val="en-GB"/>
              </w:rPr>
              <w:t>računljivo</w:t>
            </w:r>
            <w:proofErr w:type="spellEnd"/>
            <w:r w:rsidRPr="008F40BC">
              <w:rPr>
                <w:sz w:val="22"/>
                <w:szCs w:val="22"/>
                <w:lang w:val="en-GB"/>
              </w:rPr>
              <w:t xml:space="preserve">. ** = </w:t>
            </w:r>
            <w:proofErr w:type="spellStart"/>
            <w:r w:rsidRPr="008F40BC">
              <w:rPr>
                <w:sz w:val="22"/>
                <w:szCs w:val="22"/>
                <w:lang w:val="en-GB"/>
              </w:rPr>
              <w:t>Statistički</w:t>
            </w:r>
            <w:proofErr w:type="spellEnd"/>
            <w:r w:rsidRPr="008F40BC">
              <w:rPr>
                <w:sz w:val="22"/>
                <w:szCs w:val="22"/>
                <w:lang w:val="en-GB"/>
              </w:rPr>
              <w:t xml:space="preserve"> </w:t>
            </w:r>
            <w:proofErr w:type="spellStart"/>
            <w:r w:rsidRPr="008F40BC">
              <w:rPr>
                <w:sz w:val="22"/>
                <w:szCs w:val="22"/>
                <w:lang w:val="en-GB"/>
              </w:rPr>
              <w:t>značajno</w:t>
            </w:r>
            <w:proofErr w:type="spellEnd"/>
            <w:r w:rsidRPr="008F40BC">
              <w:rPr>
                <w:sz w:val="22"/>
                <w:szCs w:val="22"/>
                <w:lang w:val="en-GB"/>
              </w:rPr>
              <w:t xml:space="preserve"> </w:t>
            </w:r>
            <w:proofErr w:type="spellStart"/>
            <w:r w:rsidRPr="008F40BC">
              <w:rPr>
                <w:sz w:val="22"/>
                <w:szCs w:val="22"/>
                <w:lang w:val="en-GB"/>
              </w:rPr>
              <w:t>na</w:t>
            </w:r>
            <w:proofErr w:type="spellEnd"/>
            <w:r w:rsidRPr="008F40BC">
              <w:rPr>
                <w:sz w:val="22"/>
                <w:szCs w:val="22"/>
                <w:lang w:val="en-GB"/>
              </w:rPr>
              <w:t xml:space="preserve"> </w:t>
            </w:r>
            <w:proofErr w:type="spellStart"/>
            <w:r w:rsidRPr="008F40BC">
              <w:rPr>
                <w:sz w:val="22"/>
                <w:szCs w:val="22"/>
                <w:lang w:val="en-GB"/>
              </w:rPr>
              <w:t>jednostranom</w:t>
            </w:r>
            <w:proofErr w:type="spellEnd"/>
            <w:r w:rsidRPr="008F40BC">
              <w:rPr>
                <w:sz w:val="22"/>
                <w:szCs w:val="22"/>
                <w:lang w:val="en-GB"/>
              </w:rPr>
              <w:t xml:space="preserve"> </w:t>
            </w:r>
            <w:proofErr w:type="spellStart"/>
            <w:r w:rsidRPr="008F40BC">
              <w:rPr>
                <w:sz w:val="22"/>
                <w:szCs w:val="22"/>
                <w:lang w:val="en-GB"/>
              </w:rPr>
              <w:t>nivou</w:t>
            </w:r>
            <w:proofErr w:type="spellEnd"/>
            <w:r w:rsidRPr="008F40BC">
              <w:rPr>
                <w:sz w:val="22"/>
                <w:szCs w:val="22"/>
                <w:lang w:val="en-GB"/>
              </w:rPr>
              <w:t xml:space="preserve"> </w:t>
            </w:r>
            <w:proofErr w:type="spellStart"/>
            <w:r w:rsidRPr="008F40BC">
              <w:rPr>
                <w:sz w:val="22"/>
                <w:szCs w:val="22"/>
                <w:lang w:val="en-GB"/>
              </w:rPr>
              <w:t>značajnosti</w:t>
            </w:r>
            <w:proofErr w:type="spellEnd"/>
            <w:r w:rsidRPr="008F40BC">
              <w:rPr>
                <w:sz w:val="22"/>
                <w:szCs w:val="22"/>
                <w:lang w:val="en-GB"/>
              </w:rPr>
              <w:t xml:space="preserve"> 0,025</w:t>
            </w:r>
          </w:p>
        </w:tc>
      </w:tr>
      <w:bookmarkEnd w:id="14"/>
    </w:tbl>
    <w:p w14:paraId="445AB417" w14:textId="2D3A0633" w:rsidR="00DC744D" w:rsidRPr="005474B2" w:rsidRDefault="00DC744D" w:rsidP="0009637B">
      <w:pPr>
        <w:tabs>
          <w:tab w:val="left" w:pos="284"/>
        </w:tabs>
        <w:jc w:val="both"/>
        <w:rPr>
          <w:sz w:val="22"/>
          <w:szCs w:val="22"/>
          <w:lang w:val="sr-Latn-ME"/>
        </w:rPr>
      </w:pPr>
    </w:p>
    <w:p w14:paraId="0F84FDDF" w14:textId="77777777" w:rsidR="00DC744D" w:rsidRPr="0009637B" w:rsidRDefault="00DC744D" w:rsidP="0009637B">
      <w:pPr>
        <w:tabs>
          <w:tab w:val="left" w:pos="284"/>
        </w:tabs>
        <w:jc w:val="both"/>
        <w:rPr>
          <w:sz w:val="22"/>
          <w:szCs w:val="22"/>
        </w:rPr>
      </w:pPr>
      <w:bookmarkStart w:id="15" w:name="_Hlk108540627"/>
      <w:r w:rsidRPr="0009637B">
        <w:rPr>
          <w:sz w:val="22"/>
          <w:szCs w:val="22"/>
          <w:lang w:val="hr-HR"/>
        </w:rPr>
        <w:t xml:space="preserve">U otvorenom 1. dijelu ispitivanja, svi pacijenti su primali sekukinumab do 12. nedjelje. </w:t>
      </w:r>
      <w:r w:rsidRPr="0009637B">
        <w:rPr>
          <w:sz w:val="22"/>
          <w:szCs w:val="22"/>
        </w:rPr>
        <w:t>U 12. </w:t>
      </w:r>
      <w:proofErr w:type="spellStart"/>
      <w:r w:rsidRPr="0009637B">
        <w:rPr>
          <w:sz w:val="22"/>
          <w:szCs w:val="22"/>
        </w:rPr>
        <w:t>nedjelji</w:t>
      </w:r>
      <w:proofErr w:type="spellEnd"/>
      <w:r w:rsidRPr="0009637B">
        <w:rPr>
          <w:sz w:val="22"/>
          <w:szCs w:val="22"/>
        </w:rPr>
        <w:t xml:space="preserve">, 83,7% </w:t>
      </w:r>
      <w:proofErr w:type="spellStart"/>
      <w:r w:rsidRPr="0009637B">
        <w:rPr>
          <w:sz w:val="22"/>
          <w:szCs w:val="22"/>
        </w:rPr>
        <w:t>djece</w:t>
      </w:r>
      <w:proofErr w:type="spellEnd"/>
      <w:r w:rsidRPr="0009637B">
        <w:rPr>
          <w:sz w:val="22"/>
          <w:szCs w:val="22"/>
        </w:rPr>
        <w:t xml:space="preserve"> je </w:t>
      </w:r>
      <w:proofErr w:type="spellStart"/>
      <w:r w:rsidRPr="0009637B">
        <w:rPr>
          <w:sz w:val="22"/>
          <w:szCs w:val="22"/>
        </w:rPr>
        <w:t>bilo</w:t>
      </w:r>
      <w:proofErr w:type="spellEnd"/>
      <w:r w:rsidRPr="0009637B">
        <w:rPr>
          <w:sz w:val="22"/>
          <w:szCs w:val="22"/>
        </w:rPr>
        <w:t xml:space="preserve"> je </w:t>
      </w:r>
      <w:proofErr w:type="spellStart"/>
      <w:r w:rsidRPr="0009637B">
        <w:rPr>
          <w:sz w:val="22"/>
          <w:szCs w:val="22"/>
        </w:rPr>
        <w:t>sa</w:t>
      </w:r>
      <w:proofErr w:type="spellEnd"/>
      <w:r w:rsidRPr="0009637B">
        <w:rPr>
          <w:sz w:val="22"/>
          <w:szCs w:val="22"/>
        </w:rPr>
        <w:t xml:space="preserve"> </w:t>
      </w:r>
      <w:proofErr w:type="spellStart"/>
      <w:r w:rsidRPr="0009637B">
        <w:rPr>
          <w:sz w:val="22"/>
          <w:szCs w:val="22"/>
        </w:rPr>
        <w:t>odgovorom</w:t>
      </w:r>
      <w:proofErr w:type="spellEnd"/>
      <w:r w:rsidRPr="0009637B">
        <w:rPr>
          <w:sz w:val="22"/>
          <w:szCs w:val="22"/>
        </w:rPr>
        <w:t xml:space="preserve"> JIA ACR 50, 67,4% </w:t>
      </w:r>
      <w:proofErr w:type="spellStart"/>
      <w:r w:rsidRPr="0009637B">
        <w:rPr>
          <w:sz w:val="22"/>
          <w:szCs w:val="22"/>
        </w:rPr>
        <w:t>sa</w:t>
      </w:r>
      <w:proofErr w:type="spellEnd"/>
      <w:r w:rsidRPr="0009637B">
        <w:rPr>
          <w:sz w:val="22"/>
          <w:szCs w:val="22"/>
        </w:rPr>
        <w:t xml:space="preserve"> </w:t>
      </w:r>
      <w:proofErr w:type="spellStart"/>
      <w:r w:rsidRPr="0009637B">
        <w:rPr>
          <w:sz w:val="22"/>
          <w:szCs w:val="22"/>
        </w:rPr>
        <w:t>odgovorom</w:t>
      </w:r>
      <w:proofErr w:type="spellEnd"/>
      <w:r w:rsidRPr="0009637B">
        <w:rPr>
          <w:sz w:val="22"/>
          <w:szCs w:val="22"/>
        </w:rPr>
        <w:t xml:space="preserve"> JIA ACR 70, </w:t>
      </w:r>
      <w:proofErr w:type="spellStart"/>
      <w:r w:rsidRPr="0009637B">
        <w:rPr>
          <w:sz w:val="22"/>
          <w:szCs w:val="22"/>
        </w:rPr>
        <w:t>i</w:t>
      </w:r>
      <w:proofErr w:type="spellEnd"/>
      <w:r w:rsidRPr="0009637B">
        <w:rPr>
          <w:sz w:val="22"/>
          <w:szCs w:val="22"/>
        </w:rPr>
        <w:t xml:space="preserve"> 38,4% </w:t>
      </w:r>
      <w:proofErr w:type="spellStart"/>
      <w:r w:rsidRPr="0009637B">
        <w:rPr>
          <w:sz w:val="22"/>
          <w:szCs w:val="22"/>
        </w:rPr>
        <w:t>sa</w:t>
      </w:r>
      <w:proofErr w:type="spellEnd"/>
      <w:r w:rsidRPr="0009637B">
        <w:rPr>
          <w:sz w:val="22"/>
          <w:szCs w:val="22"/>
        </w:rPr>
        <w:t xml:space="preserve"> </w:t>
      </w:r>
      <w:proofErr w:type="spellStart"/>
      <w:r w:rsidRPr="0009637B">
        <w:rPr>
          <w:sz w:val="22"/>
          <w:szCs w:val="22"/>
        </w:rPr>
        <w:t>odgovorom</w:t>
      </w:r>
      <w:proofErr w:type="spellEnd"/>
      <w:r w:rsidRPr="0009637B">
        <w:rPr>
          <w:sz w:val="22"/>
          <w:szCs w:val="22"/>
        </w:rPr>
        <w:t xml:space="preserve"> JIA ACR 90 (</w:t>
      </w:r>
      <w:proofErr w:type="spellStart"/>
      <w:r w:rsidRPr="0009637B">
        <w:rPr>
          <w:sz w:val="22"/>
          <w:szCs w:val="22"/>
        </w:rPr>
        <w:t>Slika</w:t>
      </w:r>
      <w:proofErr w:type="spellEnd"/>
      <w:r w:rsidRPr="0009637B">
        <w:rPr>
          <w:sz w:val="22"/>
          <w:szCs w:val="22"/>
        </w:rPr>
        <w:t xml:space="preserve"> 5). </w:t>
      </w:r>
      <w:proofErr w:type="spellStart"/>
      <w:r w:rsidRPr="0009637B">
        <w:rPr>
          <w:sz w:val="22"/>
          <w:szCs w:val="22"/>
        </w:rPr>
        <w:t>Početak</w:t>
      </w:r>
      <w:proofErr w:type="spellEnd"/>
      <w:r w:rsidRPr="0009637B">
        <w:rPr>
          <w:sz w:val="22"/>
          <w:szCs w:val="22"/>
        </w:rPr>
        <w:t xml:space="preserve"> </w:t>
      </w:r>
      <w:proofErr w:type="spellStart"/>
      <w:r w:rsidRPr="0009637B">
        <w:rPr>
          <w:sz w:val="22"/>
          <w:szCs w:val="22"/>
        </w:rPr>
        <w:t>djelovanja</w:t>
      </w:r>
      <w:proofErr w:type="spellEnd"/>
      <w:r w:rsidRPr="0009637B">
        <w:rPr>
          <w:sz w:val="22"/>
          <w:szCs w:val="22"/>
        </w:rPr>
        <w:t xml:space="preserve"> </w:t>
      </w:r>
      <w:proofErr w:type="spellStart"/>
      <w:r w:rsidRPr="0009637B">
        <w:rPr>
          <w:sz w:val="22"/>
          <w:szCs w:val="22"/>
        </w:rPr>
        <w:t>sekukinumaba</w:t>
      </w:r>
      <w:proofErr w:type="spellEnd"/>
      <w:r w:rsidRPr="0009637B">
        <w:rPr>
          <w:sz w:val="22"/>
          <w:szCs w:val="22"/>
        </w:rPr>
        <w:t xml:space="preserve"> je </w:t>
      </w:r>
      <w:proofErr w:type="spellStart"/>
      <w:r w:rsidRPr="0009637B">
        <w:rPr>
          <w:sz w:val="22"/>
          <w:szCs w:val="22"/>
        </w:rPr>
        <w:t>nastupio</w:t>
      </w:r>
      <w:proofErr w:type="spellEnd"/>
      <w:r w:rsidRPr="0009637B">
        <w:rPr>
          <w:sz w:val="22"/>
          <w:szCs w:val="22"/>
        </w:rPr>
        <w:t xml:space="preserve"> </w:t>
      </w:r>
      <w:proofErr w:type="spellStart"/>
      <w:r w:rsidRPr="0009637B">
        <w:rPr>
          <w:sz w:val="22"/>
          <w:szCs w:val="22"/>
        </w:rPr>
        <w:t>već</w:t>
      </w:r>
      <w:proofErr w:type="spellEnd"/>
      <w:r w:rsidRPr="0009637B">
        <w:rPr>
          <w:sz w:val="22"/>
          <w:szCs w:val="22"/>
        </w:rPr>
        <w:t xml:space="preserve"> u 1. </w:t>
      </w:r>
      <w:proofErr w:type="spellStart"/>
      <w:r w:rsidRPr="0009637B">
        <w:rPr>
          <w:sz w:val="22"/>
          <w:szCs w:val="22"/>
        </w:rPr>
        <w:t>nedjelji</w:t>
      </w:r>
      <w:proofErr w:type="spellEnd"/>
      <w:r w:rsidRPr="0009637B">
        <w:rPr>
          <w:sz w:val="22"/>
          <w:szCs w:val="22"/>
        </w:rPr>
        <w:t>. U 12. </w:t>
      </w:r>
      <w:proofErr w:type="spellStart"/>
      <w:r w:rsidRPr="0009637B">
        <w:rPr>
          <w:sz w:val="22"/>
          <w:szCs w:val="22"/>
        </w:rPr>
        <w:t>nedjelji</w:t>
      </w:r>
      <w:proofErr w:type="spellEnd"/>
      <w:r w:rsidRPr="0009637B">
        <w:rPr>
          <w:sz w:val="22"/>
          <w:szCs w:val="22"/>
        </w:rPr>
        <w:t xml:space="preserve"> </w:t>
      </w:r>
      <w:proofErr w:type="spellStart"/>
      <w:r w:rsidRPr="0009637B">
        <w:rPr>
          <w:sz w:val="22"/>
          <w:szCs w:val="22"/>
        </w:rPr>
        <w:t>rezultat</w:t>
      </w:r>
      <w:proofErr w:type="spellEnd"/>
      <w:r w:rsidRPr="0009637B">
        <w:rPr>
          <w:sz w:val="22"/>
          <w:szCs w:val="22"/>
        </w:rPr>
        <w:t xml:space="preserve"> JADAS</w:t>
      </w:r>
      <w:r w:rsidRPr="0009637B">
        <w:rPr>
          <w:sz w:val="22"/>
          <w:szCs w:val="22"/>
        </w:rPr>
        <w:noBreakHyphen/>
        <w:t xml:space="preserve">27 je bio 4,64 (SD:4,73) </w:t>
      </w:r>
      <w:proofErr w:type="spellStart"/>
      <w:r w:rsidRPr="0009637B">
        <w:rPr>
          <w:sz w:val="22"/>
          <w:szCs w:val="22"/>
        </w:rPr>
        <w:t>i</w:t>
      </w:r>
      <w:proofErr w:type="spellEnd"/>
      <w:r w:rsidRPr="0009637B">
        <w:rPr>
          <w:sz w:val="22"/>
          <w:szCs w:val="22"/>
        </w:rPr>
        <w:t xml:space="preserve"> </w:t>
      </w:r>
      <w:proofErr w:type="spellStart"/>
      <w:r w:rsidRPr="0009637B">
        <w:rPr>
          <w:sz w:val="22"/>
          <w:szCs w:val="22"/>
        </w:rPr>
        <w:t>srednja</w:t>
      </w:r>
      <w:proofErr w:type="spellEnd"/>
      <w:r w:rsidRPr="0009637B">
        <w:rPr>
          <w:sz w:val="22"/>
          <w:szCs w:val="22"/>
        </w:rPr>
        <w:t xml:space="preserve"> </w:t>
      </w:r>
      <w:proofErr w:type="spellStart"/>
      <w:r w:rsidRPr="0009637B">
        <w:rPr>
          <w:sz w:val="22"/>
          <w:szCs w:val="22"/>
        </w:rPr>
        <w:t>vrijednost</w:t>
      </w:r>
      <w:proofErr w:type="spellEnd"/>
      <w:r w:rsidRPr="0009637B">
        <w:rPr>
          <w:sz w:val="22"/>
          <w:szCs w:val="22"/>
        </w:rPr>
        <w:t xml:space="preserve"> </w:t>
      </w:r>
      <w:proofErr w:type="spellStart"/>
      <w:r w:rsidRPr="0009637B">
        <w:rPr>
          <w:sz w:val="22"/>
          <w:szCs w:val="22"/>
        </w:rPr>
        <w:t>smanjenja</w:t>
      </w:r>
      <w:proofErr w:type="spellEnd"/>
      <w:r w:rsidRPr="0009637B">
        <w:rPr>
          <w:sz w:val="22"/>
          <w:szCs w:val="22"/>
        </w:rPr>
        <w:t xml:space="preserve"> u JADAS</w:t>
      </w:r>
      <w:r w:rsidRPr="0009637B">
        <w:rPr>
          <w:sz w:val="22"/>
          <w:szCs w:val="22"/>
        </w:rPr>
        <w:noBreakHyphen/>
        <w:t xml:space="preserve">27 </w:t>
      </w:r>
      <w:proofErr w:type="spellStart"/>
      <w:r w:rsidRPr="0009637B">
        <w:rPr>
          <w:sz w:val="22"/>
          <w:szCs w:val="22"/>
        </w:rPr>
        <w:t>od</w:t>
      </w:r>
      <w:proofErr w:type="spellEnd"/>
      <w:r w:rsidRPr="0009637B">
        <w:rPr>
          <w:sz w:val="22"/>
          <w:szCs w:val="22"/>
        </w:rPr>
        <w:t xml:space="preserve"> </w:t>
      </w:r>
      <w:proofErr w:type="spellStart"/>
      <w:r w:rsidRPr="0009637B">
        <w:rPr>
          <w:sz w:val="22"/>
          <w:szCs w:val="22"/>
        </w:rPr>
        <w:t>početne</w:t>
      </w:r>
      <w:proofErr w:type="spellEnd"/>
      <w:r w:rsidRPr="0009637B">
        <w:rPr>
          <w:sz w:val="22"/>
          <w:szCs w:val="22"/>
        </w:rPr>
        <w:t xml:space="preserve"> </w:t>
      </w:r>
      <w:proofErr w:type="spellStart"/>
      <w:r w:rsidRPr="0009637B">
        <w:rPr>
          <w:sz w:val="22"/>
          <w:szCs w:val="22"/>
        </w:rPr>
        <w:t>vrijednosti</w:t>
      </w:r>
      <w:proofErr w:type="spellEnd"/>
      <w:r w:rsidRPr="0009637B">
        <w:rPr>
          <w:sz w:val="22"/>
          <w:szCs w:val="22"/>
        </w:rPr>
        <w:t xml:space="preserve"> je </w:t>
      </w:r>
      <w:proofErr w:type="spellStart"/>
      <w:proofErr w:type="gramStart"/>
      <w:r w:rsidRPr="0009637B">
        <w:rPr>
          <w:sz w:val="22"/>
          <w:szCs w:val="22"/>
        </w:rPr>
        <w:t>bila</w:t>
      </w:r>
      <w:proofErr w:type="spellEnd"/>
      <w:r w:rsidRPr="0009637B">
        <w:rPr>
          <w:sz w:val="22"/>
          <w:szCs w:val="22"/>
        </w:rPr>
        <w:t xml:space="preserve">  </w:t>
      </w:r>
      <w:r w:rsidRPr="0009637B">
        <w:rPr>
          <w:sz w:val="22"/>
          <w:szCs w:val="22"/>
        </w:rPr>
        <w:noBreakHyphen/>
      </w:r>
      <w:proofErr w:type="gramEnd"/>
      <w:r w:rsidRPr="0009637B">
        <w:rPr>
          <w:sz w:val="22"/>
          <w:szCs w:val="22"/>
        </w:rPr>
        <w:t>10,487 (SD:7,23).</w:t>
      </w:r>
    </w:p>
    <w:bookmarkEnd w:id="15"/>
    <w:p w14:paraId="7C0C1040" w14:textId="77777777" w:rsidR="00DC744D" w:rsidRPr="0009637B" w:rsidRDefault="00DC744D" w:rsidP="0009637B">
      <w:pPr>
        <w:tabs>
          <w:tab w:val="left" w:pos="284"/>
        </w:tabs>
        <w:jc w:val="both"/>
        <w:rPr>
          <w:sz w:val="22"/>
          <w:szCs w:val="22"/>
        </w:rPr>
      </w:pPr>
    </w:p>
    <w:p w14:paraId="75D868F3" w14:textId="77777777" w:rsidR="00DC744D" w:rsidRPr="0009637B" w:rsidRDefault="00DC744D">
      <w:pPr>
        <w:tabs>
          <w:tab w:val="left" w:pos="284"/>
        </w:tabs>
        <w:jc w:val="both"/>
        <w:rPr>
          <w:b/>
          <w:sz w:val="22"/>
          <w:szCs w:val="22"/>
          <w:lang w:val="hr-HR"/>
        </w:rPr>
      </w:pPr>
      <w:r w:rsidRPr="0009637B">
        <w:rPr>
          <w:b/>
          <w:sz w:val="22"/>
          <w:szCs w:val="22"/>
          <w:lang w:val="hr-HR"/>
        </w:rPr>
        <w:t>Slika 5</w:t>
      </w:r>
      <w:r w:rsidRPr="0009637B">
        <w:rPr>
          <w:sz w:val="22"/>
          <w:szCs w:val="22"/>
          <w:lang w:val="hr-HR"/>
        </w:rPr>
        <w:tab/>
      </w:r>
      <w:r w:rsidRPr="0009637B">
        <w:rPr>
          <w:b/>
          <w:bCs/>
          <w:sz w:val="22"/>
          <w:szCs w:val="22"/>
          <w:lang w:val="hr-HR"/>
        </w:rPr>
        <w:t xml:space="preserve">Odgovor </w:t>
      </w:r>
      <w:r w:rsidRPr="0009637B">
        <w:rPr>
          <w:b/>
          <w:sz w:val="22"/>
          <w:szCs w:val="22"/>
          <w:lang w:val="hr-HR"/>
        </w:rPr>
        <w:t>JIA ACR 30/50/70/90 za ispitanike do 12. nedjelje u 1. dijelu*</w:t>
      </w:r>
    </w:p>
    <w:p w14:paraId="260C99C9" w14:textId="470295FE" w:rsidR="00DC744D" w:rsidRPr="005474B2" w:rsidRDefault="00DC744D">
      <w:pPr>
        <w:tabs>
          <w:tab w:val="left" w:pos="284"/>
        </w:tabs>
        <w:jc w:val="both"/>
        <w:rPr>
          <w:sz w:val="22"/>
          <w:szCs w:val="22"/>
          <w:lang w:val="sr-Latn-ME"/>
        </w:rPr>
      </w:pPr>
    </w:p>
    <w:p w14:paraId="3EF56782" w14:textId="77777777" w:rsidR="00DC744D" w:rsidRPr="0009637B" w:rsidRDefault="00DC744D">
      <w:pPr>
        <w:pStyle w:val="BodyText0"/>
        <w:kinsoku w:val="0"/>
        <w:overflowPunct w:val="0"/>
        <w:ind w:left="-567"/>
        <w:jc w:val="both"/>
        <w:rPr>
          <w:b/>
          <w:lang w:val="hr-HR"/>
        </w:rPr>
      </w:pPr>
    </w:p>
    <w:p w14:paraId="6790C769" w14:textId="77777777" w:rsidR="00DC744D" w:rsidRPr="0009637B" w:rsidRDefault="00DC744D">
      <w:pPr>
        <w:pStyle w:val="BodyText0"/>
        <w:kinsoku w:val="0"/>
        <w:overflowPunct w:val="0"/>
        <w:ind w:left="-567"/>
        <w:jc w:val="both"/>
      </w:pPr>
    </w:p>
    <w:p w14:paraId="383EE82D" w14:textId="77777777" w:rsidR="00DC744D" w:rsidRPr="0009637B" w:rsidRDefault="00DC744D">
      <w:pPr>
        <w:pStyle w:val="BodyText0"/>
        <w:kinsoku w:val="0"/>
        <w:overflowPunct w:val="0"/>
        <w:ind w:left="-567"/>
        <w:jc w:val="both"/>
      </w:pPr>
      <w:r w:rsidRPr="0009637B">
        <w:rPr>
          <w:noProof/>
        </w:rPr>
        <w:lastRenderedPageBreak/>
        <w:drawing>
          <wp:anchor distT="0" distB="0" distL="114300" distR="114300" simplePos="0" relativeHeight="251675648" behindDoc="0" locked="0" layoutInCell="1" allowOverlap="1" wp14:anchorId="075DE4B2" wp14:editId="381B3A96">
            <wp:simplePos x="0" y="0"/>
            <wp:positionH relativeFrom="column">
              <wp:posOffset>1251585</wp:posOffset>
            </wp:positionH>
            <wp:positionV relativeFrom="paragraph">
              <wp:posOffset>26035</wp:posOffset>
            </wp:positionV>
            <wp:extent cx="4484370" cy="246888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
                      <a:extLst>
                        <a:ext uri="{28A0092B-C50C-407E-A947-70E740481C1C}">
                          <a14:useLocalDpi xmlns:a14="http://schemas.microsoft.com/office/drawing/2010/main" val="0"/>
                        </a:ext>
                      </a:extLst>
                    </a:blip>
                    <a:srcRect l="6641" t="2031" r="1189" b="17969"/>
                    <a:stretch>
                      <a:fillRect/>
                    </a:stretch>
                  </pic:blipFill>
                  <pic:spPr bwMode="auto">
                    <a:xfrm>
                      <a:off x="0" y="0"/>
                      <a:ext cx="4484370" cy="2468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DE8CD" w14:textId="77777777" w:rsidR="00DC744D" w:rsidRPr="0009637B" w:rsidRDefault="00DC744D">
      <w:pPr>
        <w:pStyle w:val="BodyText0"/>
        <w:kinsoku w:val="0"/>
        <w:overflowPunct w:val="0"/>
        <w:ind w:left="-567"/>
        <w:jc w:val="both"/>
      </w:pPr>
    </w:p>
    <w:p w14:paraId="0DB8F43E" w14:textId="77777777" w:rsidR="00DC744D" w:rsidRPr="0009637B" w:rsidRDefault="00DC744D">
      <w:pPr>
        <w:pStyle w:val="BodyText0"/>
        <w:kinsoku w:val="0"/>
        <w:overflowPunct w:val="0"/>
        <w:ind w:left="-567"/>
        <w:jc w:val="both"/>
      </w:pPr>
    </w:p>
    <w:p w14:paraId="0B7E93FE" w14:textId="77777777" w:rsidR="00DC744D" w:rsidRPr="0009637B" w:rsidRDefault="00DC744D">
      <w:pPr>
        <w:pStyle w:val="BodyText0"/>
        <w:kinsoku w:val="0"/>
        <w:overflowPunct w:val="0"/>
        <w:ind w:left="-567"/>
        <w:jc w:val="both"/>
      </w:pPr>
    </w:p>
    <w:p w14:paraId="120023DC" w14:textId="77777777" w:rsidR="00DC744D" w:rsidRPr="0009637B" w:rsidRDefault="00DC744D">
      <w:pPr>
        <w:pStyle w:val="BodyText0"/>
        <w:kinsoku w:val="0"/>
        <w:overflowPunct w:val="0"/>
        <w:ind w:left="-567"/>
        <w:jc w:val="both"/>
      </w:pPr>
    </w:p>
    <w:p w14:paraId="2A6C6552" w14:textId="77777777" w:rsidR="00DC744D" w:rsidRPr="0009637B" w:rsidRDefault="00DC744D">
      <w:pPr>
        <w:pStyle w:val="BodyText0"/>
        <w:kinsoku w:val="0"/>
        <w:overflowPunct w:val="0"/>
        <w:ind w:left="-567"/>
        <w:jc w:val="both"/>
      </w:pPr>
      <w:r w:rsidRPr="0009637B">
        <w:rPr>
          <w:noProof/>
        </w:rPr>
        <mc:AlternateContent>
          <mc:Choice Requires="wps">
            <w:drawing>
              <wp:anchor distT="0" distB="0" distL="114300" distR="114300" simplePos="0" relativeHeight="251676672" behindDoc="0" locked="0" layoutInCell="1" allowOverlap="1" wp14:anchorId="07A34FA2" wp14:editId="1F32A3BD">
                <wp:simplePos x="0" y="0"/>
                <wp:positionH relativeFrom="margin">
                  <wp:posOffset>2540</wp:posOffset>
                </wp:positionH>
                <wp:positionV relativeFrom="paragraph">
                  <wp:posOffset>80645</wp:posOffset>
                </wp:positionV>
                <wp:extent cx="889000" cy="485775"/>
                <wp:effectExtent l="0" t="0" r="6350" b="63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485775"/>
                        </a:xfrm>
                        <a:prstGeom prst="rect">
                          <a:avLst/>
                        </a:prstGeom>
                        <a:solidFill>
                          <a:srgbClr val="FFFFFF"/>
                        </a:solidFill>
                        <a:ln w="9525">
                          <a:noFill/>
                          <a:miter lim="800000"/>
                          <a:headEnd/>
                          <a:tailEnd/>
                        </a:ln>
                      </wps:spPr>
                      <wps:txbx>
                        <w:txbxContent>
                          <w:p w14:paraId="612B93FF" w14:textId="77777777" w:rsidR="00DC744D" w:rsidRPr="00605151" w:rsidRDefault="00DC744D" w:rsidP="00DC744D">
                            <w:pPr>
                              <w:jc w:val="center"/>
                              <w:rPr>
                                <w:sz w:val="18"/>
                                <w:szCs w:val="18"/>
                              </w:rPr>
                            </w:pPr>
                            <w:r>
                              <w:rPr>
                                <w:sz w:val="18"/>
                                <w:szCs w:val="18"/>
                              </w:rPr>
                              <w:t>Procenat ispitanika sa odgovorom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34FA2" id="Text Box 83" o:spid="_x0000_s1034" type="#_x0000_t202" style="position:absolute;left:0;text-align:left;margin-left:.2pt;margin-top:6.35pt;width:70pt;height:38.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" stroked="f">
                <v:textbox style="mso-fit-shape-to-text:t">
                  <w:txbxContent>
                    <w:p w14:paraId="612B93FF" w14:textId="77777777" w:rsidR="00DC744D" w:rsidRPr="00605151" w:rsidRDefault="00DC744D" w:rsidP="00DC744D">
                      <w:pPr>
                        <w:jc w:val="center"/>
                        <w:rPr>
                          <w:sz w:val="18"/>
                          <w:szCs w:val="18"/>
                        </w:rPr>
                      </w:pPr>
                      <w:r>
                        <w:rPr>
                          <w:sz w:val="18"/>
                          <w:szCs w:val="18"/>
                        </w:rPr>
                        <w:t>Procenat ispitanika sa odgovorom</w:t>
                      </w:r>
                    </w:p>
                  </w:txbxContent>
                </v:textbox>
                <w10:wrap anchorx="margin"/>
              </v:shape>
            </w:pict>
          </mc:Fallback>
        </mc:AlternateContent>
      </w:r>
    </w:p>
    <w:p w14:paraId="1B77CFAF" w14:textId="77777777" w:rsidR="00DC744D" w:rsidRPr="0009637B" w:rsidRDefault="00DC744D">
      <w:pPr>
        <w:pStyle w:val="BodyText0"/>
        <w:kinsoku w:val="0"/>
        <w:overflowPunct w:val="0"/>
        <w:ind w:left="-567"/>
        <w:jc w:val="both"/>
      </w:pPr>
    </w:p>
    <w:p w14:paraId="5E673EB2" w14:textId="77777777" w:rsidR="00DC744D" w:rsidRPr="0009637B" w:rsidRDefault="00DC744D">
      <w:pPr>
        <w:pStyle w:val="BodyText0"/>
        <w:kinsoku w:val="0"/>
        <w:overflowPunct w:val="0"/>
        <w:ind w:left="-567"/>
        <w:jc w:val="both"/>
      </w:pPr>
    </w:p>
    <w:p w14:paraId="39DD0F80" w14:textId="77777777" w:rsidR="00DC744D" w:rsidRPr="0009637B" w:rsidRDefault="00DC744D">
      <w:pPr>
        <w:pStyle w:val="BodyText0"/>
        <w:kinsoku w:val="0"/>
        <w:overflowPunct w:val="0"/>
        <w:ind w:left="-567"/>
        <w:jc w:val="both"/>
      </w:pPr>
    </w:p>
    <w:p w14:paraId="70A87D5C" w14:textId="77777777" w:rsidR="00DC744D" w:rsidRPr="0009637B" w:rsidRDefault="00DC744D">
      <w:pPr>
        <w:pStyle w:val="BodyText0"/>
        <w:kinsoku w:val="0"/>
        <w:overflowPunct w:val="0"/>
        <w:ind w:left="-567"/>
        <w:jc w:val="both"/>
      </w:pPr>
    </w:p>
    <w:p w14:paraId="0ADE26CA" w14:textId="77777777" w:rsidR="00DC744D" w:rsidRPr="0009637B" w:rsidRDefault="00DC744D">
      <w:pPr>
        <w:pStyle w:val="BodyText0"/>
        <w:kinsoku w:val="0"/>
        <w:overflowPunct w:val="0"/>
        <w:ind w:left="-567"/>
        <w:jc w:val="both"/>
      </w:pPr>
    </w:p>
    <w:p w14:paraId="0782CA4F" w14:textId="77777777" w:rsidR="00DC744D" w:rsidRPr="0009637B" w:rsidRDefault="00DC744D">
      <w:pPr>
        <w:pStyle w:val="BodyText0"/>
        <w:kinsoku w:val="0"/>
        <w:overflowPunct w:val="0"/>
        <w:ind w:left="-567"/>
        <w:jc w:val="both"/>
      </w:pPr>
    </w:p>
    <w:p w14:paraId="3F97F1A5" w14:textId="77777777" w:rsidR="00DC744D" w:rsidRPr="0009637B" w:rsidRDefault="00DC744D">
      <w:pPr>
        <w:pStyle w:val="BodyText0"/>
        <w:kinsoku w:val="0"/>
        <w:overflowPunct w:val="0"/>
        <w:ind w:left="-567"/>
        <w:jc w:val="both"/>
      </w:pPr>
    </w:p>
    <w:p w14:paraId="431E2294" w14:textId="77777777" w:rsidR="00DC744D" w:rsidRPr="0009637B" w:rsidRDefault="00DC744D">
      <w:pPr>
        <w:pStyle w:val="BodyText0"/>
        <w:kinsoku w:val="0"/>
        <w:overflowPunct w:val="0"/>
        <w:ind w:left="-567"/>
        <w:jc w:val="both"/>
      </w:pPr>
    </w:p>
    <w:p w14:paraId="76216739" w14:textId="77777777" w:rsidR="00DC744D" w:rsidRPr="0009637B" w:rsidRDefault="00DC744D">
      <w:pPr>
        <w:pStyle w:val="BodyText0"/>
        <w:kinsoku w:val="0"/>
        <w:overflowPunct w:val="0"/>
        <w:ind w:left="-567"/>
        <w:jc w:val="both"/>
      </w:pPr>
    </w:p>
    <w:p w14:paraId="7A81DF47" w14:textId="77777777" w:rsidR="00DC744D" w:rsidRPr="0009637B" w:rsidRDefault="00DC744D">
      <w:pPr>
        <w:pStyle w:val="BodyText0"/>
        <w:kinsoku w:val="0"/>
        <w:overflowPunct w:val="0"/>
        <w:ind w:left="-567"/>
        <w:jc w:val="both"/>
      </w:pPr>
      <w:r w:rsidRPr="0009637B">
        <w:rPr>
          <w:noProof/>
        </w:rPr>
        <mc:AlternateContent>
          <mc:Choice Requires="wps">
            <w:drawing>
              <wp:anchor distT="0" distB="0" distL="114300" distR="114300" simplePos="0" relativeHeight="251677696" behindDoc="0" locked="0" layoutInCell="1" allowOverlap="1" wp14:anchorId="74C051BD" wp14:editId="110CB5D3">
                <wp:simplePos x="0" y="0"/>
                <wp:positionH relativeFrom="margin">
                  <wp:posOffset>3055620</wp:posOffset>
                </wp:positionH>
                <wp:positionV relativeFrom="paragraph">
                  <wp:posOffset>73025</wp:posOffset>
                </wp:positionV>
                <wp:extent cx="1101090" cy="254000"/>
                <wp:effectExtent l="0" t="0" r="381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solidFill>
                          <a:srgbClr val="FFFFFF"/>
                        </a:solidFill>
                        <a:ln>
                          <a:noFill/>
                        </a:ln>
                      </wps:spPr>
                      <wps:txbx>
                        <w:txbxContent>
                          <w:p w14:paraId="36EB7C6C" w14:textId="77777777" w:rsidR="00DC744D" w:rsidRPr="00D226ED" w:rsidRDefault="00DC744D" w:rsidP="00DC744D">
                            <w:pPr>
                              <w:jc w:val="center"/>
                              <w:rPr>
                                <w:sz w:val="18"/>
                                <w:szCs w:val="18"/>
                              </w:rPr>
                            </w:pPr>
                            <w:r>
                              <w:rPr>
                                <w:sz w:val="18"/>
                                <w:szCs w:val="18"/>
                              </w:rPr>
                              <w:t>Vrijeme (nedjelje)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C051BD" id="Text Box 86" o:spid="_x0000_s1035" type="#_x0000_t202" style="position:absolute;left:0;text-align:left;margin-left:240.6pt;margin-top:5.75pt;width:86.7pt;height:2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" stroked="f">
                <v:textbox>
                  <w:txbxContent>
                    <w:p w14:paraId="36EB7C6C" w14:textId="77777777" w:rsidR="00DC744D" w:rsidRPr="00D226ED" w:rsidRDefault="00DC744D" w:rsidP="00DC744D">
                      <w:pPr>
                        <w:jc w:val="center"/>
                        <w:rPr>
                          <w:sz w:val="18"/>
                          <w:szCs w:val="18"/>
                        </w:rPr>
                      </w:pPr>
                      <w:r>
                        <w:rPr>
                          <w:sz w:val="18"/>
                          <w:szCs w:val="18"/>
                        </w:rPr>
                        <w:t>Vrijeme (nedjelje)</w:t>
                      </w:r>
                    </w:p>
                  </w:txbxContent>
                </v:textbox>
                <w10:wrap anchorx="margin"/>
              </v:shape>
            </w:pict>
          </mc:Fallback>
        </mc:AlternateContent>
      </w:r>
    </w:p>
    <w:p w14:paraId="635FA472" w14:textId="77777777" w:rsidR="00DC744D" w:rsidRPr="0009637B" w:rsidRDefault="00DC744D">
      <w:pPr>
        <w:pStyle w:val="BodyText0"/>
        <w:kinsoku w:val="0"/>
        <w:overflowPunct w:val="0"/>
        <w:ind w:left="-567"/>
        <w:jc w:val="both"/>
      </w:pPr>
    </w:p>
    <w:p w14:paraId="67349AC7" w14:textId="77777777" w:rsidR="00DC744D" w:rsidRPr="0009637B" w:rsidRDefault="00DC744D">
      <w:pPr>
        <w:pStyle w:val="BodyText0"/>
        <w:kinsoku w:val="0"/>
        <w:overflowPunct w:val="0"/>
        <w:ind w:left="-567"/>
        <w:jc w:val="both"/>
      </w:pPr>
    </w:p>
    <w:p w14:paraId="6822BDAD" w14:textId="77777777" w:rsidR="00DC744D" w:rsidRPr="0009637B" w:rsidRDefault="00DC744D">
      <w:pPr>
        <w:pStyle w:val="BodyText0"/>
        <w:kinsoku w:val="0"/>
        <w:overflowPunct w:val="0"/>
        <w:ind w:left="-567"/>
        <w:jc w:val="both"/>
      </w:pPr>
      <w:r w:rsidRPr="0009637B">
        <w:rPr>
          <w:noProof/>
        </w:rPr>
        <w:drawing>
          <wp:anchor distT="0" distB="0" distL="114300" distR="114300" simplePos="0" relativeHeight="251678720" behindDoc="0" locked="0" layoutInCell="1" allowOverlap="1" wp14:anchorId="2FA8245D" wp14:editId="6087CCEA">
            <wp:simplePos x="0" y="0"/>
            <wp:positionH relativeFrom="column">
              <wp:posOffset>1986915</wp:posOffset>
            </wp:positionH>
            <wp:positionV relativeFrom="paragraph">
              <wp:posOffset>38100</wp:posOffset>
            </wp:positionV>
            <wp:extent cx="2823210" cy="4057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3210" cy="40576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7D37994" w14:textId="77777777" w:rsidR="00DC744D" w:rsidRPr="0009637B" w:rsidRDefault="00DC744D">
      <w:pPr>
        <w:pStyle w:val="BodyText0"/>
        <w:kinsoku w:val="0"/>
        <w:overflowPunct w:val="0"/>
        <w:ind w:left="-567"/>
        <w:jc w:val="both"/>
      </w:pPr>
    </w:p>
    <w:p w14:paraId="26EBF38A" w14:textId="77777777" w:rsidR="00DC744D" w:rsidRPr="0009637B" w:rsidRDefault="00DC744D">
      <w:pPr>
        <w:tabs>
          <w:tab w:val="left" w:pos="284"/>
        </w:tabs>
        <w:jc w:val="both"/>
        <w:rPr>
          <w:sz w:val="22"/>
          <w:szCs w:val="22"/>
          <w:lang w:val="sr-Latn-ME"/>
        </w:rPr>
      </w:pPr>
    </w:p>
    <w:p w14:paraId="44EAC7A1" w14:textId="77777777" w:rsidR="00DC744D" w:rsidRPr="0009637B" w:rsidRDefault="00DC744D">
      <w:pPr>
        <w:tabs>
          <w:tab w:val="left" w:pos="284"/>
        </w:tabs>
        <w:jc w:val="both"/>
        <w:rPr>
          <w:sz w:val="22"/>
          <w:szCs w:val="22"/>
          <w:lang w:val="sr-Latn-ME"/>
        </w:rPr>
      </w:pPr>
    </w:p>
    <w:p w14:paraId="7DF944CD" w14:textId="77777777" w:rsidR="00DC744D" w:rsidRPr="0009637B" w:rsidRDefault="00DC744D">
      <w:pPr>
        <w:tabs>
          <w:tab w:val="left" w:pos="284"/>
        </w:tabs>
        <w:jc w:val="both"/>
        <w:rPr>
          <w:sz w:val="22"/>
          <w:szCs w:val="22"/>
          <w:lang w:val="hr-HR"/>
        </w:rPr>
      </w:pPr>
      <w:bookmarkStart w:id="16" w:name="_Hlk108540660"/>
      <w:r w:rsidRPr="0009637B">
        <w:rPr>
          <w:sz w:val="22"/>
          <w:szCs w:val="22"/>
          <w:lang w:val="hr-HR"/>
        </w:rPr>
        <w:t>*za vrijednosti koje nedostaju koristila se imputacija pacijenata bez odgovora</w:t>
      </w:r>
    </w:p>
    <w:p w14:paraId="5ED15A17" w14:textId="77777777" w:rsidR="00DC744D" w:rsidRPr="0009637B" w:rsidRDefault="00DC744D">
      <w:pPr>
        <w:tabs>
          <w:tab w:val="left" w:pos="284"/>
        </w:tabs>
        <w:jc w:val="both"/>
        <w:rPr>
          <w:sz w:val="22"/>
          <w:szCs w:val="22"/>
          <w:lang w:val="hr-HR"/>
        </w:rPr>
      </w:pPr>
    </w:p>
    <w:p w14:paraId="207A1AAB" w14:textId="77777777" w:rsidR="00DC744D" w:rsidRPr="0009637B" w:rsidRDefault="00DC744D">
      <w:pPr>
        <w:tabs>
          <w:tab w:val="left" w:pos="284"/>
        </w:tabs>
        <w:jc w:val="both"/>
        <w:rPr>
          <w:sz w:val="22"/>
          <w:szCs w:val="22"/>
          <w:lang w:val="hr-HR"/>
        </w:rPr>
      </w:pPr>
      <w:r w:rsidRPr="0009637B">
        <w:rPr>
          <w:sz w:val="22"/>
          <w:szCs w:val="22"/>
          <w:lang w:val="hr-HR"/>
        </w:rPr>
        <w:t>Podaci u uzrasnoj grupi od 2 do &lt;6 godina nisu dovoljni za donošenje zaključka zbog malog broja pacijenata mlađih od 6 godina uključenih u ispitivanje.</w:t>
      </w:r>
      <w:bookmarkEnd w:id="16"/>
    </w:p>
    <w:p w14:paraId="49411767" w14:textId="77777777" w:rsidR="00DC744D" w:rsidRPr="005474B2" w:rsidRDefault="00DC744D">
      <w:pPr>
        <w:tabs>
          <w:tab w:val="left" w:pos="284"/>
        </w:tabs>
        <w:jc w:val="both"/>
        <w:rPr>
          <w:sz w:val="22"/>
          <w:szCs w:val="22"/>
          <w:lang w:val="sr-Latn-ME"/>
        </w:rPr>
      </w:pPr>
    </w:p>
    <w:p w14:paraId="2CF4B3CC" w14:textId="77777777" w:rsidR="00DC744D" w:rsidRPr="005474B2" w:rsidRDefault="00DC744D">
      <w:pPr>
        <w:tabs>
          <w:tab w:val="left" w:pos="284"/>
        </w:tabs>
        <w:jc w:val="both"/>
        <w:rPr>
          <w:sz w:val="22"/>
          <w:szCs w:val="22"/>
          <w:lang w:val="sr-Latn-ME"/>
        </w:rPr>
      </w:pPr>
    </w:p>
    <w:p w14:paraId="7EEB5521" w14:textId="604F8D97" w:rsidR="00DD093D" w:rsidRPr="005474B2" w:rsidRDefault="00DD093D">
      <w:pPr>
        <w:tabs>
          <w:tab w:val="left" w:pos="284"/>
        </w:tabs>
        <w:jc w:val="both"/>
        <w:rPr>
          <w:sz w:val="22"/>
          <w:szCs w:val="22"/>
          <w:lang w:val="sr-Latn-ME"/>
        </w:rPr>
      </w:pPr>
      <w:r w:rsidRPr="005474B2">
        <w:rPr>
          <w:sz w:val="22"/>
          <w:szCs w:val="22"/>
          <w:lang w:val="sr-Latn-ME"/>
        </w:rPr>
        <w:t>Evropska agencija za l</w:t>
      </w:r>
      <w:r w:rsidR="004800C6" w:rsidRPr="005474B2">
        <w:rPr>
          <w:sz w:val="22"/>
          <w:szCs w:val="22"/>
          <w:lang w:val="sr-Latn-ME"/>
        </w:rPr>
        <w:t>j</w:t>
      </w:r>
      <w:r w:rsidRPr="005474B2">
        <w:rPr>
          <w:sz w:val="22"/>
          <w:szCs w:val="22"/>
          <w:lang w:val="sr-Latn-ME"/>
        </w:rPr>
        <w:t xml:space="preserve">ekove je izuzela obavezu podnošenja rezultata ispitivanja </w:t>
      </w:r>
      <w:r w:rsidR="009A4880" w:rsidRPr="005474B2">
        <w:rPr>
          <w:sz w:val="22"/>
          <w:szCs w:val="22"/>
          <w:lang w:val="sr-Latn-ME"/>
        </w:rPr>
        <w:t>lijeka</w:t>
      </w:r>
      <w:r w:rsidRPr="005474B2">
        <w:rPr>
          <w:sz w:val="22"/>
          <w:szCs w:val="22"/>
          <w:lang w:val="sr-Latn-ME"/>
        </w:rPr>
        <w:t xml:space="preserve"> Cosentyx za plak psorijazu kod pedijatrijskih pacijenata uzrasta od rođenja do 6 godina i za hronični idiopatski artritis za pedijatrijske pacijente uzrasta od rođenja do 2 godine (</w:t>
      </w:r>
      <w:r w:rsidR="009A4880" w:rsidRPr="005474B2">
        <w:rPr>
          <w:sz w:val="22"/>
          <w:szCs w:val="22"/>
          <w:lang w:val="sr-Latn-ME"/>
        </w:rPr>
        <w:t>vidjet</w:t>
      </w:r>
      <w:r w:rsidRPr="005474B2">
        <w:rPr>
          <w:sz w:val="22"/>
          <w:szCs w:val="22"/>
          <w:lang w:val="sr-Latn-ME"/>
        </w:rPr>
        <w:t xml:space="preserve">i </w:t>
      </w:r>
      <w:r w:rsidR="002D2E85" w:rsidRPr="005474B2">
        <w:rPr>
          <w:sz w:val="22"/>
          <w:szCs w:val="22"/>
          <w:lang w:val="sr-Latn-ME"/>
        </w:rPr>
        <w:t xml:space="preserve">dio </w:t>
      </w:r>
      <w:r w:rsidRPr="005474B2">
        <w:rPr>
          <w:sz w:val="22"/>
          <w:szCs w:val="22"/>
          <w:lang w:val="sr-Latn-ME"/>
        </w:rPr>
        <w:t>4.2 za informacije o pedijatrijskoj prim</w:t>
      </w:r>
      <w:r w:rsidR="004800C6" w:rsidRPr="005474B2">
        <w:rPr>
          <w:sz w:val="22"/>
          <w:szCs w:val="22"/>
          <w:lang w:val="sr-Latn-ME"/>
        </w:rPr>
        <w:t>j</w:t>
      </w:r>
      <w:r w:rsidRPr="005474B2">
        <w:rPr>
          <w:sz w:val="22"/>
          <w:szCs w:val="22"/>
          <w:lang w:val="sr-Latn-ME"/>
        </w:rPr>
        <w:t>eni).</w:t>
      </w:r>
    </w:p>
    <w:p w14:paraId="252DDCA2" w14:textId="77777777" w:rsidR="00DD093D" w:rsidRPr="005474B2" w:rsidRDefault="00DD093D">
      <w:pPr>
        <w:tabs>
          <w:tab w:val="left" w:pos="284"/>
        </w:tabs>
        <w:jc w:val="both"/>
        <w:rPr>
          <w:sz w:val="22"/>
          <w:szCs w:val="22"/>
          <w:lang w:val="sr-Latn-ME"/>
        </w:rPr>
      </w:pPr>
    </w:p>
    <w:p w14:paraId="484986FF"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5.2. </w:t>
      </w:r>
      <w:r w:rsidR="00480FB1" w:rsidRPr="005474B2">
        <w:rPr>
          <w:b/>
          <w:bCs/>
          <w:sz w:val="22"/>
          <w:szCs w:val="22"/>
          <w:lang w:val="sr-Latn-ME"/>
        </w:rPr>
        <w:tab/>
      </w:r>
      <w:r w:rsidRPr="005474B2">
        <w:rPr>
          <w:b/>
          <w:bCs/>
          <w:sz w:val="22"/>
          <w:szCs w:val="22"/>
          <w:lang w:val="sr-Latn-ME"/>
        </w:rPr>
        <w:t>Farmakokinetički podaci</w:t>
      </w:r>
      <w:r w:rsidR="003A7059" w:rsidRPr="005474B2">
        <w:rPr>
          <w:b/>
          <w:bCs/>
          <w:sz w:val="22"/>
          <w:szCs w:val="22"/>
          <w:lang w:val="sr-Latn-ME"/>
        </w:rPr>
        <w:t xml:space="preserve"> </w:t>
      </w:r>
    </w:p>
    <w:p w14:paraId="47CCC166" w14:textId="77777777" w:rsidR="0072020E" w:rsidRPr="005474B2" w:rsidRDefault="0072020E">
      <w:pPr>
        <w:tabs>
          <w:tab w:val="left" w:pos="540"/>
          <w:tab w:val="left" w:pos="569"/>
        </w:tabs>
        <w:jc w:val="both"/>
        <w:rPr>
          <w:bCs/>
          <w:sz w:val="22"/>
          <w:szCs w:val="22"/>
          <w:lang w:val="sr-Latn-ME"/>
        </w:rPr>
      </w:pPr>
    </w:p>
    <w:p w14:paraId="15243AF4" w14:textId="77777777" w:rsidR="00DD093D" w:rsidRPr="005474B2" w:rsidRDefault="00DD093D">
      <w:pPr>
        <w:tabs>
          <w:tab w:val="left" w:pos="284"/>
        </w:tabs>
        <w:jc w:val="both"/>
        <w:rPr>
          <w:sz w:val="22"/>
          <w:szCs w:val="22"/>
          <w:lang w:val="sr-Latn-ME"/>
        </w:rPr>
      </w:pPr>
      <w:r w:rsidRPr="005474B2">
        <w:rPr>
          <w:sz w:val="22"/>
          <w:szCs w:val="22"/>
          <w:lang w:val="sr-Latn-ME"/>
        </w:rPr>
        <w:t>Većina farmakokinetičkih podataka zab</w:t>
      </w:r>
      <w:r w:rsidR="004800C6" w:rsidRPr="005474B2">
        <w:rPr>
          <w:sz w:val="22"/>
          <w:szCs w:val="22"/>
          <w:lang w:val="sr-Latn-ME"/>
        </w:rPr>
        <w:t>i</w:t>
      </w:r>
      <w:r w:rsidRPr="005474B2">
        <w:rPr>
          <w:sz w:val="22"/>
          <w:szCs w:val="22"/>
          <w:lang w:val="sr-Latn-ME"/>
        </w:rPr>
        <w:t>l</w:t>
      </w:r>
      <w:r w:rsidR="004800C6" w:rsidRPr="005474B2">
        <w:rPr>
          <w:sz w:val="22"/>
          <w:szCs w:val="22"/>
          <w:lang w:val="sr-Latn-ME"/>
        </w:rPr>
        <w:t>j</w:t>
      </w:r>
      <w:r w:rsidRPr="005474B2">
        <w:rPr>
          <w:sz w:val="22"/>
          <w:szCs w:val="22"/>
          <w:lang w:val="sr-Latn-ME"/>
        </w:rPr>
        <w:t>eženih kod pacijenata sa plak psorijazom, psorijaznim artritisom i ankilozirajućim spondilitisom je bila slična.</w:t>
      </w:r>
    </w:p>
    <w:p w14:paraId="29F64E67" w14:textId="77777777" w:rsidR="00DD093D" w:rsidRPr="005474B2" w:rsidRDefault="00DD093D">
      <w:pPr>
        <w:tabs>
          <w:tab w:val="left" w:pos="284"/>
        </w:tabs>
        <w:jc w:val="both"/>
        <w:rPr>
          <w:sz w:val="22"/>
          <w:szCs w:val="22"/>
          <w:u w:val="single"/>
          <w:lang w:val="sr-Latn-ME"/>
        </w:rPr>
      </w:pPr>
    </w:p>
    <w:p w14:paraId="692A7BE3" w14:textId="77777777" w:rsidR="00DD093D" w:rsidRPr="006D473F" w:rsidRDefault="00DD093D">
      <w:pPr>
        <w:tabs>
          <w:tab w:val="left" w:pos="284"/>
        </w:tabs>
        <w:jc w:val="both"/>
        <w:rPr>
          <w:rFonts w:asciiTheme="majorBidi" w:hAnsiTheme="majorBidi" w:cstheme="majorBidi"/>
          <w:i/>
          <w:sz w:val="22"/>
          <w:szCs w:val="22"/>
          <w:u w:val="single"/>
          <w:lang w:val="sr-Latn-ME"/>
        </w:rPr>
      </w:pPr>
      <w:r w:rsidRPr="006D473F">
        <w:rPr>
          <w:rFonts w:asciiTheme="majorBidi" w:hAnsiTheme="majorBidi" w:cstheme="majorBidi"/>
          <w:i/>
          <w:sz w:val="22"/>
          <w:szCs w:val="22"/>
          <w:u w:val="single"/>
          <w:lang w:val="sr-Latn-ME"/>
        </w:rPr>
        <w:t>Resorpcija</w:t>
      </w:r>
    </w:p>
    <w:p w14:paraId="1DDFB5B1" w14:textId="596ADD8B" w:rsidR="00DD093D" w:rsidRPr="005474B2" w:rsidRDefault="00DD093D">
      <w:pPr>
        <w:tabs>
          <w:tab w:val="left" w:pos="284"/>
        </w:tabs>
        <w:jc w:val="both"/>
        <w:rPr>
          <w:sz w:val="22"/>
          <w:szCs w:val="22"/>
          <w:lang w:val="sr-Latn-ME"/>
        </w:rPr>
      </w:pPr>
      <w:r w:rsidRPr="005474B2">
        <w:rPr>
          <w:sz w:val="22"/>
          <w:szCs w:val="22"/>
          <w:lang w:val="sr-Latn-ME"/>
        </w:rPr>
        <w:t>Nakon pojedinačne su</w:t>
      </w:r>
      <w:r w:rsidR="00801863" w:rsidRPr="005474B2">
        <w:rPr>
          <w:sz w:val="22"/>
          <w:szCs w:val="22"/>
          <w:lang w:val="sr-Latn-ME"/>
        </w:rPr>
        <w:t>b</w:t>
      </w:r>
      <w:r w:rsidRPr="005474B2">
        <w:rPr>
          <w:sz w:val="22"/>
          <w:szCs w:val="22"/>
          <w:lang w:val="sr-Latn-ME"/>
        </w:rPr>
        <w:t>kutane doze od 300 mg u tečnoj formulaciji kod zdravih dobrovoljaca, sekukinumab je dostigao maksimalne koncentracije u serumu od 43,2±10,4 mikrograma/m</w:t>
      </w:r>
      <w:r w:rsidR="005F72ED" w:rsidRPr="005474B2">
        <w:rPr>
          <w:sz w:val="22"/>
          <w:szCs w:val="22"/>
          <w:lang w:val="sr-Latn-ME"/>
        </w:rPr>
        <w:t>l</w:t>
      </w:r>
      <w:r w:rsidRPr="005474B2">
        <w:rPr>
          <w:sz w:val="22"/>
          <w:szCs w:val="22"/>
          <w:lang w:val="sr-Latn-ME"/>
        </w:rPr>
        <w:t xml:space="preserve"> između 2. i 14. dana nakon </w:t>
      </w:r>
      <w:r w:rsidR="009A4880" w:rsidRPr="005474B2">
        <w:rPr>
          <w:sz w:val="22"/>
          <w:szCs w:val="22"/>
          <w:lang w:val="sr-Latn-ME"/>
        </w:rPr>
        <w:t>primjene</w:t>
      </w:r>
      <w:r w:rsidRPr="005474B2">
        <w:rPr>
          <w:sz w:val="22"/>
          <w:szCs w:val="22"/>
          <w:lang w:val="sr-Latn-ME"/>
        </w:rPr>
        <w:t xml:space="preserve"> doze.</w:t>
      </w:r>
    </w:p>
    <w:p w14:paraId="2A4A154E" w14:textId="77777777" w:rsidR="00DD093D" w:rsidRPr="005474B2" w:rsidRDefault="00DD093D">
      <w:pPr>
        <w:tabs>
          <w:tab w:val="left" w:pos="284"/>
        </w:tabs>
        <w:jc w:val="both"/>
        <w:rPr>
          <w:sz w:val="22"/>
          <w:szCs w:val="22"/>
          <w:lang w:val="sr-Latn-ME"/>
        </w:rPr>
      </w:pPr>
    </w:p>
    <w:p w14:paraId="7720082E" w14:textId="1A238EDE" w:rsidR="00DD093D" w:rsidRPr="005474B2" w:rsidRDefault="00DD093D">
      <w:pPr>
        <w:tabs>
          <w:tab w:val="left" w:pos="284"/>
        </w:tabs>
        <w:jc w:val="both"/>
        <w:rPr>
          <w:sz w:val="22"/>
          <w:szCs w:val="22"/>
          <w:lang w:val="sr-Latn-ME"/>
        </w:rPr>
      </w:pPr>
      <w:r w:rsidRPr="005474B2">
        <w:rPr>
          <w:sz w:val="22"/>
          <w:szCs w:val="22"/>
          <w:lang w:val="sr-Latn-ME"/>
        </w:rPr>
        <w:t xml:space="preserve">Na osnovu populacione farmakokinetičke analize, nakon </w:t>
      </w:r>
      <w:r w:rsidR="009A4880" w:rsidRPr="005474B2">
        <w:rPr>
          <w:sz w:val="22"/>
          <w:szCs w:val="22"/>
          <w:lang w:val="sr-Latn-ME"/>
        </w:rPr>
        <w:t>primjene</w:t>
      </w:r>
      <w:r w:rsidRPr="005474B2">
        <w:rPr>
          <w:sz w:val="22"/>
          <w:szCs w:val="22"/>
          <w:lang w:val="sr-Latn-ME"/>
        </w:rPr>
        <w:t xml:space="preserve"> pojedinačne su</w:t>
      </w:r>
      <w:r w:rsidR="00801863" w:rsidRPr="005474B2">
        <w:rPr>
          <w:sz w:val="22"/>
          <w:szCs w:val="22"/>
          <w:lang w:val="sr-Latn-ME"/>
        </w:rPr>
        <w:t>b</w:t>
      </w:r>
      <w:r w:rsidRPr="005474B2">
        <w:rPr>
          <w:sz w:val="22"/>
          <w:szCs w:val="22"/>
          <w:lang w:val="sr-Latn-ME"/>
        </w:rPr>
        <w:t>kutane doze od 150 mg ili 300 mg kod pacijenata sa plak psorijazom, sekukinumab je dostigao maksimalne koncentracije u serumu od 13,7±4,8 mikrograma/m</w:t>
      </w:r>
      <w:r w:rsidR="005F72ED" w:rsidRPr="005474B2">
        <w:rPr>
          <w:sz w:val="22"/>
          <w:szCs w:val="22"/>
          <w:lang w:val="sr-Latn-ME"/>
        </w:rPr>
        <w:t>l</w:t>
      </w:r>
      <w:r w:rsidRPr="005474B2">
        <w:rPr>
          <w:sz w:val="22"/>
          <w:szCs w:val="22"/>
          <w:lang w:val="sr-Latn-ME"/>
        </w:rPr>
        <w:t xml:space="preserve"> odnosno 27,3±9,5 mikrograma/m</w:t>
      </w:r>
      <w:r w:rsidR="005F72ED" w:rsidRPr="005474B2">
        <w:rPr>
          <w:sz w:val="22"/>
          <w:szCs w:val="22"/>
          <w:lang w:val="sr-Latn-ME"/>
        </w:rPr>
        <w:t>l</w:t>
      </w:r>
      <w:r w:rsidRPr="005474B2">
        <w:rPr>
          <w:sz w:val="22"/>
          <w:szCs w:val="22"/>
          <w:lang w:val="sr-Latn-ME"/>
        </w:rPr>
        <w:t xml:space="preserve">, između 5. i 6. dana nakon </w:t>
      </w:r>
      <w:r w:rsidR="009A4880" w:rsidRPr="005474B2">
        <w:rPr>
          <w:sz w:val="22"/>
          <w:szCs w:val="22"/>
          <w:lang w:val="sr-Latn-ME"/>
        </w:rPr>
        <w:t>primjene</w:t>
      </w:r>
      <w:r w:rsidRPr="005474B2">
        <w:rPr>
          <w:sz w:val="22"/>
          <w:szCs w:val="22"/>
          <w:lang w:val="sr-Latn-ME"/>
        </w:rPr>
        <w:t xml:space="preserve"> doze.</w:t>
      </w:r>
    </w:p>
    <w:p w14:paraId="22E6CB6B" w14:textId="77777777" w:rsidR="00DD093D" w:rsidRPr="005474B2" w:rsidRDefault="00DD093D">
      <w:pPr>
        <w:tabs>
          <w:tab w:val="left" w:pos="284"/>
        </w:tabs>
        <w:jc w:val="both"/>
        <w:rPr>
          <w:sz w:val="22"/>
          <w:szCs w:val="22"/>
          <w:lang w:val="sr-Latn-ME"/>
        </w:rPr>
      </w:pPr>
    </w:p>
    <w:p w14:paraId="0B168158" w14:textId="77777777" w:rsidR="00DD093D" w:rsidRPr="005474B2" w:rsidRDefault="00DD093D">
      <w:pPr>
        <w:tabs>
          <w:tab w:val="left" w:pos="284"/>
        </w:tabs>
        <w:jc w:val="both"/>
        <w:rPr>
          <w:sz w:val="22"/>
          <w:szCs w:val="22"/>
          <w:lang w:val="sr-Latn-ME"/>
        </w:rPr>
      </w:pPr>
      <w:r w:rsidRPr="005474B2">
        <w:rPr>
          <w:sz w:val="22"/>
          <w:szCs w:val="22"/>
          <w:lang w:val="sr-Latn-ME"/>
        </w:rPr>
        <w:t xml:space="preserve">Nakon početnog </w:t>
      </w:r>
      <w:r w:rsidR="009A4880" w:rsidRPr="005474B2">
        <w:rPr>
          <w:sz w:val="22"/>
          <w:szCs w:val="22"/>
          <w:lang w:val="sr-Latn-ME"/>
        </w:rPr>
        <w:t>nedjelj</w:t>
      </w:r>
      <w:r w:rsidRPr="005474B2">
        <w:rPr>
          <w:sz w:val="22"/>
          <w:szCs w:val="22"/>
          <w:lang w:val="sr-Latn-ME"/>
        </w:rPr>
        <w:t xml:space="preserve">nog doziranja tokom prvog </w:t>
      </w:r>
      <w:r w:rsidR="009A4880" w:rsidRPr="005474B2">
        <w:rPr>
          <w:sz w:val="22"/>
          <w:szCs w:val="22"/>
          <w:lang w:val="sr-Latn-ME"/>
        </w:rPr>
        <w:t>mjesec</w:t>
      </w:r>
      <w:r w:rsidRPr="005474B2">
        <w:rPr>
          <w:sz w:val="22"/>
          <w:szCs w:val="22"/>
          <w:lang w:val="sr-Latn-ME"/>
        </w:rPr>
        <w:t>a, vr</w:t>
      </w:r>
      <w:r w:rsidR="004800C6" w:rsidRPr="005474B2">
        <w:rPr>
          <w:sz w:val="22"/>
          <w:szCs w:val="22"/>
          <w:lang w:val="sr-Latn-ME"/>
        </w:rPr>
        <w:t>ij</w:t>
      </w:r>
      <w:r w:rsidRPr="005474B2">
        <w:rPr>
          <w:sz w:val="22"/>
          <w:szCs w:val="22"/>
          <w:lang w:val="sr-Latn-ME"/>
        </w:rPr>
        <w:t>eme do postizanja maksimalne koncentracije je bilo između 31. i 34. dana na osnovu populacione farmakokinetičke analize.</w:t>
      </w:r>
    </w:p>
    <w:p w14:paraId="796CCCA8" w14:textId="77777777" w:rsidR="00DD093D" w:rsidRPr="005474B2" w:rsidRDefault="00DD093D">
      <w:pPr>
        <w:tabs>
          <w:tab w:val="left" w:pos="284"/>
        </w:tabs>
        <w:jc w:val="both"/>
        <w:rPr>
          <w:sz w:val="22"/>
          <w:szCs w:val="22"/>
          <w:lang w:val="sr-Latn-ME"/>
        </w:rPr>
      </w:pPr>
    </w:p>
    <w:p w14:paraId="5DF43201" w14:textId="36527031" w:rsidR="00DD093D" w:rsidRPr="005474B2" w:rsidRDefault="00DD093D">
      <w:pPr>
        <w:tabs>
          <w:tab w:val="left" w:pos="284"/>
        </w:tabs>
        <w:jc w:val="both"/>
        <w:rPr>
          <w:sz w:val="22"/>
          <w:szCs w:val="22"/>
          <w:lang w:val="sr-Latn-ME"/>
        </w:rPr>
      </w:pPr>
      <w:r w:rsidRPr="005474B2">
        <w:rPr>
          <w:sz w:val="22"/>
          <w:szCs w:val="22"/>
          <w:lang w:val="sr-Latn-ME"/>
        </w:rPr>
        <w:t>Na osnovu simuliranih podataka, maksimalne koncentracije u ravnotežnom stanju (C</w:t>
      </w:r>
      <w:r w:rsidRPr="005474B2">
        <w:rPr>
          <w:sz w:val="22"/>
          <w:szCs w:val="22"/>
          <w:vertAlign w:val="subscript"/>
          <w:lang w:val="sr-Latn-ME"/>
        </w:rPr>
        <w:t>max,ss</w:t>
      </w:r>
      <w:r w:rsidRPr="005474B2">
        <w:rPr>
          <w:sz w:val="22"/>
          <w:szCs w:val="22"/>
          <w:lang w:val="sr-Latn-ME"/>
        </w:rPr>
        <w:t>) nakon su</w:t>
      </w:r>
      <w:r w:rsidR="00801863" w:rsidRPr="005474B2">
        <w:rPr>
          <w:sz w:val="22"/>
          <w:szCs w:val="22"/>
          <w:lang w:val="sr-Latn-ME"/>
        </w:rPr>
        <w:t>b</w:t>
      </w:r>
      <w:r w:rsidRPr="005474B2">
        <w:rPr>
          <w:sz w:val="22"/>
          <w:szCs w:val="22"/>
          <w:lang w:val="sr-Latn-ME"/>
        </w:rPr>
        <w:t xml:space="preserve">kutane </w:t>
      </w:r>
      <w:r w:rsidR="009A4880" w:rsidRPr="005474B2">
        <w:rPr>
          <w:sz w:val="22"/>
          <w:szCs w:val="22"/>
          <w:lang w:val="sr-Latn-ME"/>
        </w:rPr>
        <w:t>primjene</w:t>
      </w:r>
      <w:r w:rsidRPr="005474B2">
        <w:rPr>
          <w:sz w:val="22"/>
          <w:szCs w:val="22"/>
          <w:lang w:val="sr-Latn-ME"/>
        </w:rPr>
        <w:t xml:space="preserve"> 150 mg ili 300 mg su bile 27,6 mikrograma/m</w:t>
      </w:r>
      <w:r w:rsidR="005F72ED" w:rsidRPr="005474B2">
        <w:rPr>
          <w:sz w:val="22"/>
          <w:szCs w:val="22"/>
          <w:lang w:val="sr-Latn-ME"/>
        </w:rPr>
        <w:t>l</w:t>
      </w:r>
      <w:r w:rsidRPr="005474B2">
        <w:rPr>
          <w:sz w:val="22"/>
          <w:szCs w:val="22"/>
          <w:lang w:val="sr-Latn-ME"/>
        </w:rPr>
        <w:t xml:space="preserve"> odnosno 55,2 mikrograma/m</w:t>
      </w:r>
      <w:r w:rsidR="005F72ED" w:rsidRPr="005474B2">
        <w:rPr>
          <w:sz w:val="22"/>
          <w:szCs w:val="22"/>
          <w:lang w:val="sr-Latn-ME"/>
        </w:rPr>
        <w:t>l</w:t>
      </w:r>
      <w:r w:rsidRPr="005474B2">
        <w:rPr>
          <w:sz w:val="22"/>
          <w:szCs w:val="22"/>
          <w:lang w:val="sr-Latn-ME"/>
        </w:rPr>
        <w:t xml:space="preserve">. Populaciona farmakokinetička analiza ukazuje na to da se ravnotežno stanje postiže nakon 20 </w:t>
      </w:r>
      <w:r w:rsidR="009A4880" w:rsidRPr="005474B2">
        <w:rPr>
          <w:sz w:val="22"/>
          <w:szCs w:val="22"/>
          <w:lang w:val="sr-Latn-ME"/>
        </w:rPr>
        <w:t>nedjelj</w:t>
      </w:r>
      <w:r w:rsidRPr="005474B2">
        <w:rPr>
          <w:sz w:val="22"/>
          <w:szCs w:val="22"/>
          <w:lang w:val="sr-Latn-ME"/>
        </w:rPr>
        <w:t xml:space="preserve">a uz </w:t>
      </w:r>
      <w:r w:rsidR="009A4880" w:rsidRPr="005474B2">
        <w:rPr>
          <w:sz w:val="22"/>
          <w:szCs w:val="22"/>
          <w:lang w:val="sr-Latn-ME"/>
        </w:rPr>
        <w:t>mjeseč</w:t>
      </w:r>
      <w:r w:rsidRPr="005474B2">
        <w:rPr>
          <w:sz w:val="22"/>
          <w:szCs w:val="22"/>
          <w:lang w:val="sr-Latn-ME"/>
        </w:rPr>
        <w:t>ne režime doziranja.</w:t>
      </w:r>
    </w:p>
    <w:p w14:paraId="7C2F3CA2" w14:textId="77777777" w:rsidR="00DD093D" w:rsidRPr="005474B2" w:rsidRDefault="00DD093D">
      <w:pPr>
        <w:tabs>
          <w:tab w:val="left" w:pos="284"/>
        </w:tabs>
        <w:jc w:val="both"/>
        <w:rPr>
          <w:sz w:val="22"/>
          <w:szCs w:val="22"/>
          <w:lang w:val="sr-Latn-ME"/>
        </w:rPr>
      </w:pPr>
    </w:p>
    <w:p w14:paraId="3B35FEC0" w14:textId="77777777" w:rsidR="00DD093D" w:rsidRPr="005474B2" w:rsidRDefault="00DD093D">
      <w:pPr>
        <w:tabs>
          <w:tab w:val="left" w:pos="284"/>
        </w:tabs>
        <w:jc w:val="both"/>
        <w:rPr>
          <w:sz w:val="22"/>
          <w:szCs w:val="22"/>
          <w:lang w:val="sr-Latn-ME"/>
        </w:rPr>
      </w:pPr>
      <w:r w:rsidRPr="005474B2">
        <w:rPr>
          <w:sz w:val="22"/>
          <w:szCs w:val="22"/>
          <w:lang w:val="sr-Latn-ME"/>
        </w:rPr>
        <w:lastRenderedPageBreak/>
        <w:t xml:space="preserve">U poređenju sa izloženošću nakon </w:t>
      </w:r>
      <w:r w:rsidR="009A4880" w:rsidRPr="005474B2">
        <w:rPr>
          <w:sz w:val="22"/>
          <w:szCs w:val="22"/>
          <w:lang w:val="sr-Latn-ME"/>
        </w:rPr>
        <w:t>primjene</w:t>
      </w:r>
      <w:r w:rsidRPr="005474B2">
        <w:rPr>
          <w:sz w:val="22"/>
          <w:szCs w:val="22"/>
          <w:lang w:val="sr-Latn-ME"/>
        </w:rPr>
        <w:t xml:space="preserve"> pojedinačne doze, populaciona farmakokinetička analiza pokazala je da su pacijenti imali dvostruko povećanje maksimalnih koncentracija u serumu i površine ispod krive (PIK) nakon ponovljenog </w:t>
      </w:r>
      <w:r w:rsidR="009A4880" w:rsidRPr="005474B2">
        <w:rPr>
          <w:sz w:val="22"/>
          <w:szCs w:val="22"/>
          <w:lang w:val="sr-Latn-ME"/>
        </w:rPr>
        <w:t>mjeseč</w:t>
      </w:r>
      <w:r w:rsidRPr="005474B2">
        <w:rPr>
          <w:sz w:val="22"/>
          <w:szCs w:val="22"/>
          <w:lang w:val="sr-Latn-ME"/>
        </w:rPr>
        <w:t>nog doziranja tokom održavanja.</w:t>
      </w:r>
    </w:p>
    <w:p w14:paraId="217AD4CF" w14:textId="77777777" w:rsidR="00DD093D" w:rsidRPr="005474B2" w:rsidRDefault="00DD093D">
      <w:pPr>
        <w:tabs>
          <w:tab w:val="left" w:pos="284"/>
        </w:tabs>
        <w:jc w:val="both"/>
        <w:rPr>
          <w:sz w:val="22"/>
          <w:szCs w:val="22"/>
          <w:lang w:val="sr-Latn-ME"/>
        </w:rPr>
      </w:pPr>
    </w:p>
    <w:p w14:paraId="0042C080" w14:textId="77777777" w:rsidR="00DD093D" w:rsidRDefault="00DD093D">
      <w:pPr>
        <w:tabs>
          <w:tab w:val="left" w:pos="284"/>
        </w:tabs>
        <w:jc w:val="both"/>
        <w:rPr>
          <w:sz w:val="22"/>
          <w:szCs w:val="22"/>
          <w:lang w:val="sr-Latn-ME"/>
        </w:rPr>
      </w:pPr>
      <w:r w:rsidRPr="005474B2">
        <w:rPr>
          <w:sz w:val="22"/>
          <w:szCs w:val="22"/>
          <w:lang w:val="sr-Latn-ME"/>
        </w:rPr>
        <w:t>Populaciona farmakokinetička analiza je pokazala da se sekukinumab resorbovao sa pros</w:t>
      </w:r>
      <w:r w:rsidR="004800C6" w:rsidRPr="005474B2">
        <w:rPr>
          <w:sz w:val="22"/>
          <w:szCs w:val="22"/>
          <w:lang w:val="sr-Latn-ME"/>
        </w:rPr>
        <w:t>j</w:t>
      </w:r>
      <w:r w:rsidRPr="005474B2">
        <w:rPr>
          <w:sz w:val="22"/>
          <w:szCs w:val="22"/>
          <w:lang w:val="sr-Latn-ME"/>
        </w:rPr>
        <w:t>ečnom apsolutnom bioraspoloživošću od 73% kod pacijenata sa plak psorijazom. U svim ispitivanjima su izračunate apsolutne bioraspoloživosti u rasponu od 60% do 77%.</w:t>
      </w:r>
    </w:p>
    <w:p w14:paraId="4CAAABFB" w14:textId="77777777" w:rsidR="00726A15" w:rsidRPr="005474B2" w:rsidRDefault="00726A15">
      <w:pPr>
        <w:tabs>
          <w:tab w:val="left" w:pos="284"/>
        </w:tabs>
        <w:jc w:val="both"/>
        <w:rPr>
          <w:sz w:val="22"/>
          <w:szCs w:val="22"/>
          <w:lang w:val="sr-Latn-ME"/>
        </w:rPr>
      </w:pPr>
    </w:p>
    <w:p w14:paraId="6DA08221" w14:textId="77777777" w:rsidR="00DD093D" w:rsidRPr="005474B2" w:rsidRDefault="00DD093D">
      <w:pPr>
        <w:tabs>
          <w:tab w:val="left" w:pos="284"/>
        </w:tabs>
        <w:jc w:val="both"/>
        <w:rPr>
          <w:sz w:val="22"/>
          <w:szCs w:val="22"/>
          <w:lang w:val="sr-Latn-ME"/>
        </w:rPr>
      </w:pPr>
      <w:r w:rsidRPr="005474B2">
        <w:rPr>
          <w:sz w:val="22"/>
          <w:szCs w:val="22"/>
          <w:lang w:val="sr-Latn-ME"/>
        </w:rPr>
        <w:t>Bioraspoloživost sekukinumaba kod pacijenata sa PsA je bila 85% na osnovu populacionog farmakokinetičkog modela.</w:t>
      </w:r>
    </w:p>
    <w:p w14:paraId="41AD1BB5" w14:textId="2D452739" w:rsidR="00DD093D" w:rsidRPr="005474B2" w:rsidRDefault="00DD093D">
      <w:pPr>
        <w:tabs>
          <w:tab w:val="left" w:pos="284"/>
        </w:tabs>
        <w:jc w:val="both"/>
        <w:rPr>
          <w:sz w:val="22"/>
          <w:szCs w:val="22"/>
          <w:u w:val="single"/>
          <w:lang w:val="sr-Latn-ME"/>
        </w:rPr>
      </w:pPr>
    </w:p>
    <w:p w14:paraId="50FE6E21" w14:textId="13A6D820" w:rsidR="0060699C" w:rsidRPr="005474B2" w:rsidRDefault="0060699C">
      <w:pPr>
        <w:tabs>
          <w:tab w:val="left" w:pos="284"/>
        </w:tabs>
        <w:jc w:val="both"/>
        <w:rPr>
          <w:sz w:val="22"/>
          <w:szCs w:val="22"/>
          <w:lang w:val="sr-Latn-ME"/>
        </w:rPr>
      </w:pPr>
      <w:r w:rsidRPr="005474B2">
        <w:rPr>
          <w:sz w:val="22"/>
          <w:szCs w:val="22"/>
          <w:lang w:val="sr-Latn-ME"/>
        </w:rPr>
        <w:t>Nakon primjene pojedinačne su</w:t>
      </w:r>
      <w:r w:rsidR="00801863" w:rsidRPr="005474B2">
        <w:rPr>
          <w:sz w:val="22"/>
          <w:szCs w:val="22"/>
          <w:lang w:val="sr-Latn-ME"/>
        </w:rPr>
        <w:t>b</w:t>
      </w:r>
      <w:r w:rsidRPr="005474B2">
        <w:rPr>
          <w:sz w:val="22"/>
          <w:szCs w:val="22"/>
          <w:lang w:val="sr-Latn-ME"/>
        </w:rPr>
        <w:t>kutane injekcije od 300 mg rastvora za injekciju u napunjenom injekcionom špricu kod pacijenata sa plak psorijazom, sistemska izloženost sekukinumabu je bila slična onoj koja je prethodno zabilježena sa primjenom 2 injekcije od 150 mg.</w:t>
      </w:r>
    </w:p>
    <w:p w14:paraId="6C6812F3" w14:textId="4B9548F8" w:rsidR="0060699C" w:rsidRPr="005474B2" w:rsidRDefault="0060699C">
      <w:pPr>
        <w:tabs>
          <w:tab w:val="left" w:pos="284"/>
        </w:tabs>
        <w:jc w:val="both"/>
        <w:rPr>
          <w:sz w:val="22"/>
          <w:szCs w:val="22"/>
          <w:u w:val="single"/>
          <w:lang w:val="sr-Latn-ME"/>
        </w:rPr>
      </w:pPr>
    </w:p>
    <w:p w14:paraId="1D84238E" w14:textId="60CC720E" w:rsidR="006911D2" w:rsidRPr="00E55D1C" w:rsidRDefault="006911D2">
      <w:pPr>
        <w:tabs>
          <w:tab w:val="left" w:pos="284"/>
        </w:tabs>
        <w:jc w:val="both"/>
        <w:rPr>
          <w:sz w:val="22"/>
          <w:szCs w:val="22"/>
          <w:lang w:val="hr-HR"/>
        </w:rPr>
      </w:pPr>
      <w:r w:rsidRPr="00E55D1C">
        <w:rPr>
          <w:sz w:val="22"/>
          <w:szCs w:val="22"/>
          <w:lang w:val="hr-HR"/>
        </w:rPr>
        <w:t>Nakon supkutane prim</w:t>
      </w:r>
      <w:r w:rsidR="0060463D" w:rsidRPr="00E55D1C">
        <w:rPr>
          <w:sz w:val="22"/>
          <w:szCs w:val="22"/>
          <w:lang w:val="hr-HR"/>
        </w:rPr>
        <w:t>j</w:t>
      </w:r>
      <w:r w:rsidRPr="00E55D1C">
        <w:rPr>
          <w:sz w:val="22"/>
          <w:szCs w:val="22"/>
          <w:lang w:val="hr-HR"/>
        </w:rPr>
        <w:t>ene doze od 300 mg u 0, 1, 2, 3. i 4. ned</w:t>
      </w:r>
      <w:r w:rsidR="0060463D" w:rsidRPr="00E55D1C">
        <w:rPr>
          <w:sz w:val="22"/>
          <w:szCs w:val="22"/>
          <w:lang w:val="hr-HR"/>
        </w:rPr>
        <w:t>j</w:t>
      </w:r>
      <w:r w:rsidRPr="00E55D1C">
        <w:rPr>
          <w:sz w:val="22"/>
          <w:szCs w:val="22"/>
          <w:lang w:val="hr-HR"/>
        </w:rPr>
        <w:t>elji nakon koje sledi 300 mg svake 2 ned</w:t>
      </w:r>
      <w:r w:rsidR="0060463D" w:rsidRPr="00E55D1C">
        <w:rPr>
          <w:sz w:val="22"/>
          <w:szCs w:val="22"/>
          <w:lang w:val="hr-HR"/>
        </w:rPr>
        <w:t>j</w:t>
      </w:r>
      <w:r w:rsidRPr="00E55D1C">
        <w:rPr>
          <w:sz w:val="22"/>
          <w:szCs w:val="22"/>
          <w:lang w:val="hr-HR"/>
        </w:rPr>
        <w:t>elje, srednja vr</w:t>
      </w:r>
      <w:r w:rsidR="0060463D" w:rsidRPr="00E55D1C">
        <w:rPr>
          <w:sz w:val="22"/>
          <w:szCs w:val="22"/>
          <w:lang w:val="hr-HR"/>
        </w:rPr>
        <w:t>ij</w:t>
      </w:r>
      <w:r w:rsidRPr="00E55D1C">
        <w:rPr>
          <w:sz w:val="22"/>
          <w:szCs w:val="22"/>
          <w:lang w:val="hr-HR"/>
        </w:rPr>
        <w:t>ednost ± SD najniže koncentracije sekukinumaba u stanju dinamičke ravnoteže u 16. ned</w:t>
      </w:r>
      <w:r w:rsidR="0060463D" w:rsidRPr="00E55D1C">
        <w:rPr>
          <w:sz w:val="22"/>
          <w:szCs w:val="22"/>
          <w:lang w:val="hr-HR"/>
        </w:rPr>
        <w:t>j</w:t>
      </w:r>
      <w:r w:rsidRPr="00E55D1C">
        <w:rPr>
          <w:sz w:val="22"/>
          <w:szCs w:val="22"/>
          <w:lang w:val="hr-HR"/>
        </w:rPr>
        <w:t>elji je bila  otprilike 55,1±26,7 mikrograma/m</w:t>
      </w:r>
      <w:r w:rsidR="0009637B" w:rsidRPr="00E55D1C">
        <w:rPr>
          <w:sz w:val="22"/>
          <w:szCs w:val="22"/>
          <w:lang w:val="hr-HR"/>
        </w:rPr>
        <w:t>l</w:t>
      </w:r>
      <w:r w:rsidRPr="00E55D1C">
        <w:rPr>
          <w:sz w:val="22"/>
          <w:szCs w:val="22"/>
          <w:lang w:val="hr-HR"/>
        </w:rPr>
        <w:t xml:space="preserve"> u 1. HS ispitivanju, odnosno 58,1±30,1 mikrograma/m</w:t>
      </w:r>
      <w:r w:rsidR="0009637B" w:rsidRPr="00E55D1C">
        <w:rPr>
          <w:sz w:val="22"/>
          <w:szCs w:val="22"/>
          <w:lang w:val="hr-HR"/>
        </w:rPr>
        <w:t>l</w:t>
      </w:r>
      <w:r w:rsidRPr="00E55D1C">
        <w:rPr>
          <w:sz w:val="22"/>
          <w:szCs w:val="22"/>
          <w:lang w:val="hr-HR"/>
        </w:rPr>
        <w:t xml:space="preserve"> u 2. HS ispitivanju.</w:t>
      </w:r>
    </w:p>
    <w:p w14:paraId="391D3021" w14:textId="77777777" w:rsidR="006911D2" w:rsidRPr="005474B2" w:rsidRDefault="006911D2">
      <w:pPr>
        <w:tabs>
          <w:tab w:val="left" w:pos="284"/>
        </w:tabs>
        <w:jc w:val="both"/>
        <w:rPr>
          <w:sz w:val="22"/>
          <w:szCs w:val="22"/>
          <w:u w:val="single"/>
          <w:lang w:val="sr-Latn-ME"/>
        </w:rPr>
      </w:pPr>
    </w:p>
    <w:p w14:paraId="290CC200" w14:textId="77777777" w:rsidR="00DD093D" w:rsidRPr="005474B2" w:rsidRDefault="00DD093D">
      <w:pPr>
        <w:tabs>
          <w:tab w:val="left" w:pos="284"/>
        </w:tabs>
        <w:jc w:val="both"/>
        <w:rPr>
          <w:i/>
          <w:sz w:val="22"/>
          <w:szCs w:val="22"/>
          <w:u w:val="single"/>
          <w:lang w:val="sr-Latn-ME"/>
        </w:rPr>
      </w:pPr>
      <w:r w:rsidRPr="005474B2">
        <w:rPr>
          <w:i/>
          <w:sz w:val="22"/>
          <w:szCs w:val="22"/>
          <w:u w:val="single"/>
          <w:lang w:val="sr-Latn-ME"/>
        </w:rPr>
        <w:t>Distribucija</w:t>
      </w:r>
    </w:p>
    <w:p w14:paraId="697B4C45" w14:textId="2A32346D" w:rsidR="00DD093D" w:rsidRPr="005474B2" w:rsidRDefault="00DD093D">
      <w:pPr>
        <w:tabs>
          <w:tab w:val="left" w:pos="284"/>
        </w:tabs>
        <w:jc w:val="both"/>
        <w:rPr>
          <w:sz w:val="22"/>
          <w:szCs w:val="22"/>
          <w:lang w:val="sr-Latn-ME"/>
        </w:rPr>
      </w:pPr>
      <w:r w:rsidRPr="005474B2">
        <w:rPr>
          <w:sz w:val="22"/>
          <w:szCs w:val="22"/>
          <w:lang w:val="sr-Latn-ME"/>
        </w:rPr>
        <w:t>Srednji volumen distribucije tokom završne faze (V</w:t>
      </w:r>
      <w:r w:rsidRPr="005474B2">
        <w:rPr>
          <w:sz w:val="22"/>
          <w:szCs w:val="22"/>
          <w:vertAlign w:val="subscript"/>
          <w:lang w:val="sr-Latn-ME"/>
        </w:rPr>
        <w:t>z</w:t>
      </w:r>
      <w:r w:rsidRPr="005474B2">
        <w:rPr>
          <w:sz w:val="22"/>
          <w:szCs w:val="22"/>
          <w:lang w:val="sr-Latn-ME"/>
        </w:rPr>
        <w:t xml:space="preserve">) nakon pojedinačne intravenske </w:t>
      </w:r>
      <w:r w:rsidR="009A4880" w:rsidRPr="005474B2">
        <w:rPr>
          <w:sz w:val="22"/>
          <w:szCs w:val="22"/>
          <w:lang w:val="sr-Latn-ME"/>
        </w:rPr>
        <w:t>primjene</w:t>
      </w:r>
      <w:r w:rsidRPr="005474B2">
        <w:rPr>
          <w:sz w:val="22"/>
          <w:szCs w:val="22"/>
          <w:lang w:val="sr-Latn-ME"/>
        </w:rPr>
        <w:t xml:space="preserve"> je bio u </w:t>
      </w:r>
      <w:r w:rsidR="004800C6" w:rsidRPr="005474B2">
        <w:rPr>
          <w:sz w:val="22"/>
          <w:szCs w:val="22"/>
          <w:lang w:val="sr-Latn-ME"/>
        </w:rPr>
        <w:t>opsjeg</w:t>
      </w:r>
      <w:r w:rsidRPr="005474B2">
        <w:rPr>
          <w:sz w:val="22"/>
          <w:szCs w:val="22"/>
          <w:lang w:val="sr-Latn-ME"/>
        </w:rPr>
        <w:t xml:space="preserve">u od 7,10 do 8,60 </w:t>
      </w:r>
      <w:r w:rsidR="004E35E2" w:rsidRPr="005474B2">
        <w:rPr>
          <w:sz w:val="22"/>
          <w:szCs w:val="22"/>
          <w:lang w:val="sr-Latn-ME"/>
        </w:rPr>
        <w:t xml:space="preserve">l </w:t>
      </w:r>
      <w:r w:rsidRPr="005474B2">
        <w:rPr>
          <w:sz w:val="22"/>
          <w:szCs w:val="22"/>
          <w:lang w:val="sr-Latn-ME"/>
        </w:rPr>
        <w:t xml:space="preserve">kod pacijenata sa plak psorijazom, što ukazuje na to da sekukinumab ima ograničenu distribuciju u perifernim </w:t>
      </w:r>
      <w:r w:rsidR="002D2E85" w:rsidRPr="005474B2">
        <w:rPr>
          <w:sz w:val="22"/>
          <w:szCs w:val="22"/>
          <w:lang w:val="sr-Latn-ME"/>
        </w:rPr>
        <w:t>djelovima</w:t>
      </w:r>
      <w:r w:rsidRPr="005474B2">
        <w:rPr>
          <w:sz w:val="22"/>
          <w:szCs w:val="22"/>
          <w:lang w:val="sr-Latn-ME"/>
        </w:rPr>
        <w:t xml:space="preserve">. </w:t>
      </w:r>
    </w:p>
    <w:p w14:paraId="3A29DDD7" w14:textId="77777777" w:rsidR="00DD093D" w:rsidRPr="005474B2" w:rsidRDefault="00DD093D">
      <w:pPr>
        <w:tabs>
          <w:tab w:val="left" w:pos="284"/>
        </w:tabs>
        <w:jc w:val="both"/>
        <w:rPr>
          <w:sz w:val="22"/>
          <w:szCs w:val="22"/>
          <w:u w:val="single"/>
          <w:lang w:val="sr-Latn-ME"/>
        </w:rPr>
      </w:pPr>
    </w:p>
    <w:p w14:paraId="733054B9" w14:textId="77777777" w:rsidR="00DD093D" w:rsidRPr="005474B2" w:rsidRDefault="00DD093D">
      <w:pPr>
        <w:tabs>
          <w:tab w:val="left" w:pos="284"/>
        </w:tabs>
        <w:jc w:val="both"/>
        <w:rPr>
          <w:i/>
          <w:sz w:val="22"/>
          <w:szCs w:val="22"/>
          <w:u w:val="single"/>
          <w:lang w:val="sr-Latn-ME"/>
        </w:rPr>
      </w:pPr>
      <w:r w:rsidRPr="005474B2">
        <w:rPr>
          <w:i/>
          <w:sz w:val="22"/>
          <w:szCs w:val="22"/>
          <w:u w:val="single"/>
          <w:lang w:val="sr-Latn-ME"/>
        </w:rPr>
        <w:t>Metabolizam</w:t>
      </w:r>
    </w:p>
    <w:p w14:paraId="202F3252" w14:textId="77777777" w:rsidR="00DD093D" w:rsidRPr="005474B2" w:rsidRDefault="00DD093D">
      <w:pPr>
        <w:tabs>
          <w:tab w:val="left" w:pos="284"/>
        </w:tabs>
        <w:jc w:val="both"/>
        <w:rPr>
          <w:sz w:val="22"/>
          <w:szCs w:val="22"/>
          <w:lang w:val="sr-Latn-ME"/>
        </w:rPr>
      </w:pPr>
      <w:r w:rsidRPr="005474B2">
        <w:rPr>
          <w:sz w:val="22"/>
          <w:szCs w:val="22"/>
          <w:lang w:val="sr-Latn-ME"/>
        </w:rPr>
        <w:t xml:space="preserve">Većina eliminacije IgG se odvija putem unutarćelijskog katabolizma, nakon fluidne faze endocitoze ili endocitoze posredovane receptorom. </w:t>
      </w:r>
    </w:p>
    <w:p w14:paraId="4DAA4A08" w14:textId="77777777" w:rsidR="00DD093D" w:rsidRPr="005474B2" w:rsidRDefault="00DD093D">
      <w:pPr>
        <w:tabs>
          <w:tab w:val="left" w:pos="284"/>
        </w:tabs>
        <w:jc w:val="both"/>
        <w:rPr>
          <w:sz w:val="22"/>
          <w:szCs w:val="22"/>
          <w:u w:val="single"/>
          <w:lang w:val="sr-Latn-ME"/>
        </w:rPr>
      </w:pPr>
    </w:p>
    <w:p w14:paraId="18E6F15F" w14:textId="77777777" w:rsidR="00DD093D" w:rsidRPr="005474B2" w:rsidRDefault="00DD093D">
      <w:pPr>
        <w:tabs>
          <w:tab w:val="left" w:pos="284"/>
        </w:tabs>
        <w:jc w:val="both"/>
        <w:rPr>
          <w:i/>
          <w:sz w:val="22"/>
          <w:szCs w:val="22"/>
          <w:u w:val="single"/>
          <w:lang w:val="sr-Latn-ME"/>
        </w:rPr>
      </w:pPr>
      <w:r w:rsidRPr="005474B2">
        <w:rPr>
          <w:i/>
          <w:sz w:val="22"/>
          <w:szCs w:val="22"/>
          <w:u w:val="single"/>
          <w:lang w:val="sr-Latn-ME"/>
        </w:rPr>
        <w:t>Eliminacija</w:t>
      </w:r>
    </w:p>
    <w:p w14:paraId="6EC68288" w14:textId="460AD22C" w:rsidR="00DD093D" w:rsidRPr="005474B2" w:rsidRDefault="00DD093D">
      <w:pPr>
        <w:tabs>
          <w:tab w:val="left" w:pos="284"/>
        </w:tabs>
        <w:jc w:val="both"/>
        <w:rPr>
          <w:sz w:val="22"/>
          <w:szCs w:val="22"/>
          <w:lang w:val="sr-Latn-ME"/>
        </w:rPr>
      </w:pPr>
      <w:r w:rsidRPr="005474B2">
        <w:rPr>
          <w:sz w:val="22"/>
          <w:szCs w:val="22"/>
          <w:lang w:val="sr-Latn-ME"/>
        </w:rPr>
        <w:t xml:space="preserve">Srednji sistemski klirens (CL) nakon pojedinačne intravenske </w:t>
      </w:r>
      <w:r w:rsidR="009A4880" w:rsidRPr="005474B2">
        <w:rPr>
          <w:sz w:val="22"/>
          <w:szCs w:val="22"/>
          <w:lang w:val="sr-Latn-ME"/>
        </w:rPr>
        <w:t>primjene</w:t>
      </w:r>
      <w:r w:rsidRPr="005474B2">
        <w:rPr>
          <w:sz w:val="22"/>
          <w:szCs w:val="22"/>
          <w:lang w:val="sr-Latn-ME"/>
        </w:rPr>
        <w:t xml:space="preserve"> kod pacijenata sa plak psorijazom je bio u </w:t>
      </w:r>
      <w:r w:rsidR="004800C6" w:rsidRPr="005474B2">
        <w:rPr>
          <w:sz w:val="22"/>
          <w:szCs w:val="22"/>
          <w:lang w:val="sr-Latn-ME"/>
        </w:rPr>
        <w:t>opsjeg</w:t>
      </w:r>
      <w:r w:rsidRPr="005474B2">
        <w:rPr>
          <w:sz w:val="22"/>
          <w:szCs w:val="22"/>
          <w:lang w:val="sr-Latn-ME"/>
        </w:rPr>
        <w:t xml:space="preserve">u od 0,13 do 0,36  </w:t>
      </w:r>
      <w:r w:rsidR="004E35E2" w:rsidRPr="005474B2">
        <w:rPr>
          <w:sz w:val="22"/>
          <w:szCs w:val="22"/>
          <w:lang w:val="sr-Latn-ME"/>
        </w:rPr>
        <w:t>l</w:t>
      </w:r>
      <w:r w:rsidRPr="005474B2">
        <w:rPr>
          <w:sz w:val="22"/>
          <w:szCs w:val="22"/>
          <w:lang w:val="sr-Latn-ME"/>
        </w:rPr>
        <w:t xml:space="preserve">/dan. U populacionoj farmakokinetičkoj analizi, srednji sistemski klirens (CL) je bio 0,19 </w:t>
      </w:r>
      <w:r w:rsidR="007365BB" w:rsidRPr="005474B2">
        <w:rPr>
          <w:sz w:val="22"/>
          <w:szCs w:val="22"/>
          <w:lang w:val="sr-Latn-ME"/>
        </w:rPr>
        <w:t>l</w:t>
      </w:r>
      <w:r w:rsidRPr="005474B2">
        <w:rPr>
          <w:sz w:val="22"/>
          <w:szCs w:val="22"/>
          <w:lang w:val="sr-Latn-ME"/>
        </w:rPr>
        <w:t>/dan kod pacijenata sa plak psorijazom. Pol nije imao uticaj na CL. Klirens je bio dozno i vremenski nezavisan.</w:t>
      </w:r>
    </w:p>
    <w:p w14:paraId="508A7E03" w14:textId="77777777" w:rsidR="00DD093D" w:rsidRPr="005474B2" w:rsidRDefault="00DD093D">
      <w:pPr>
        <w:tabs>
          <w:tab w:val="left" w:pos="284"/>
        </w:tabs>
        <w:jc w:val="both"/>
        <w:rPr>
          <w:sz w:val="22"/>
          <w:szCs w:val="22"/>
          <w:lang w:val="sr-Latn-ME"/>
        </w:rPr>
      </w:pPr>
    </w:p>
    <w:p w14:paraId="6C11146D" w14:textId="13EE034F" w:rsidR="00DD093D" w:rsidRPr="005474B2" w:rsidRDefault="00DD093D">
      <w:pPr>
        <w:tabs>
          <w:tab w:val="left" w:pos="284"/>
        </w:tabs>
        <w:jc w:val="both"/>
        <w:rPr>
          <w:sz w:val="22"/>
          <w:szCs w:val="22"/>
          <w:lang w:val="sr-Latn-ME"/>
        </w:rPr>
      </w:pPr>
      <w:r w:rsidRPr="005474B2">
        <w:rPr>
          <w:sz w:val="22"/>
          <w:szCs w:val="22"/>
          <w:lang w:val="sr-Latn-ME"/>
        </w:rPr>
        <w:t>Srednje poluvr</w:t>
      </w:r>
      <w:r w:rsidR="004800C6" w:rsidRPr="005474B2">
        <w:rPr>
          <w:sz w:val="22"/>
          <w:szCs w:val="22"/>
          <w:lang w:val="sr-Latn-ME"/>
        </w:rPr>
        <w:t>ij</w:t>
      </w:r>
      <w:r w:rsidRPr="005474B2">
        <w:rPr>
          <w:sz w:val="22"/>
          <w:szCs w:val="22"/>
          <w:lang w:val="sr-Latn-ME"/>
        </w:rPr>
        <w:t>eme eliminacije, proc</w:t>
      </w:r>
      <w:r w:rsidR="004800C6" w:rsidRPr="005474B2">
        <w:rPr>
          <w:sz w:val="22"/>
          <w:szCs w:val="22"/>
          <w:lang w:val="sr-Latn-ME"/>
        </w:rPr>
        <w:t>ij</w:t>
      </w:r>
      <w:r w:rsidRPr="005474B2">
        <w:rPr>
          <w:sz w:val="22"/>
          <w:szCs w:val="22"/>
          <w:lang w:val="sr-Latn-ME"/>
        </w:rPr>
        <w:t xml:space="preserve">enjeno iz populacione farmakokinetičke analize, je bilo 27 dana kod pacijenata sa plak psorijazom, u </w:t>
      </w:r>
      <w:r w:rsidR="004800C6" w:rsidRPr="005474B2">
        <w:rPr>
          <w:sz w:val="22"/>
          <w:szCs w:val="22"/>
          <w:lang w:val="sr-Latn-ME"/>
        </w:rPr>
        <w:t>opsjeg</w:t>
      </w:r>
      <w:r w:rsidRPr="005474B2">
        <w:rPr>
          <w:sz w:val="22"/>
          <w:szCs w:val="22"/>
          <w:lang w:val="sr-Latn-ME"/>
        </w:rPr>
        <w:t>u od 18 do 46 dana u ispitivanjima psorijaze sa intravenskom prim</w:t>
      </w:r>
      <w:r w:rsidR="000538E6" w:rsidRPr="005474B2">
        <w:rPr>
          <w:sz w:val="22"/>
          <w:szCs w:val="22"/>
          <w:lang w:val="sr-Latn-ME"/>
        </w:rPr>
        <w:t>j</w:t>
      </w:r>
      <w:r w:rsidRPr="005474B2">
        <w:rPr>
          <w:sz w:val="22"/>
          <w:szCs w:val="22"/>
          <w:lang w:val="sr-Latn-ME"/>
        </w:rPr>
        <w:t>enom.</w:t>
      </w:r>
    </w:p>
    <w:p w14:paraId="2D01B8C7" w14:textId="6ED9D4AE" w:rsidR="006911D2" w:rsidRPr="005474B2" w:rsidRDefault="006911D2">
      <w:pPr>
        <w:tabs>
          <w:tab w:val="left" w:pos="284"/>
        </w:tabs>
        <w:jc w:val="both"/>
        <w:rPr>
          <w:sz w:val="22"/>
          <w:szCs w:val="22"/>
          <w:lang w:val="sr-Latn-ME"/>
        </w:rPr>
      </w:pPr>
    </w:p>
    <w:p w14:paraId="73E07013" w14:textId="281CAC0B" w:rsidR="006911D2" w:rsidRPr="005474B2" w:rsidRDefault="006911D2" w:rsidP="005474B2">
      <w:pPr>
        <w:jc w:val="both"/>
        <w:rPr>
          <w:sz w:val="22"/>
          <w:szCs w:val="22"/>
          <w:lang w:val="hr-HR"/>
        </w:rPr>
      </w:pPr>
      <w:r w:rsidRPr="005474B2">
        <w:rPr>
          <w:sz w:val="22"/>
          <w:szCs w:val="22"/>
          <w:lang w:val="hr-HR"/>
        </w:rPr>
        <w:t>U populaci</w:t>
      </w:r>
      <w:r w:rsidR="0009637B" w:rsidRPr="005474B2">
        <w:rPr>
          <w:sz w:val="22"/>
          <w:szCs w:val="22"/>
          <w:lang w:val="hr-HR"/>
        </w:rPr>
        <w:t>onoj</w:t>
      </w:r>
      <w:r w:rsidRPr="005474B2">
        <w:rPr>
          <w:sz w:val="22"/>
          <w:szCs w:val="22"/>
          <w:lang w:val="hr-HR"/>
        </w:rPr>
        <w:t xml:space="preserve"> farmakokinetičkoj analizi, srednji sistemski CL nakon supkutane prim</w:t>
      </w:r>
      <w:r w:rsidR="0060463D" w:rsidRPr="005474B2">
        <w:rPr>
          <w:sz w:val="22"/>
          <w:szCs w:val="22"/>
          <w:lang w:val="hr-HR"/>
        </w:rPr>
        <w:t>j</w:t>
      </w:r>
      <w:r w:rsidRPr="005474B2">
        <w:rPr>
          <w:sz w:val="22"/>
          <w:szCs w:val="22"/>
          <w:lang w:val="hr-HR"/>
        </w:rPr>
        <w:t>ene doze od 300 mg u 0, 1, 2, 3. i 4. ned</w:t>
      </w:r>
      <w:r w:rsidR="0060463D" w:rsidRPr="005474B2">
        <w:rPr>
          <w:sz w:val="22"/>
          <w:szCs w:val="22"/>
          <w:lang w:val="hr-HR"/>
        </w:rPr>
        <w:t>j</w:t>
      </w:r>
      <w:r w:rsidRPr="005474B2">
        <w:rPr>
          <w:sz w:val="22"/>
          <w:szCs w:val="22"/>
          <w:lang w:val="hr-HR"/>
        </w:rPr>
        <w:t>elji nakon koje sl</w:t>
      </w:r>
      <w:r w:rsidR="0009637B" w:rsidRPr="005474B2">
        <w:rPr>
          <w:sz w:val="22"/>
          <w:szCs w:val="22"/>
          <w:lang w:val="hr-HR"/>
        </w:rPr>
        <w:t>ij</w:t>
      </w:r>
      <w:r w:rsidRPr="005474B2">
        <w:rPr>
          <w:sz w:val="22"/>
          <w:szCs w:val="22"/>
          <w:lang w:val="hr-HR"/>
        </w:rPr>
        <w:t>edi 300 mg svake 2 ned</w:t>
      </w:r>
      <w:r w:rsidR="0060463D" w:rsidRPr="005474B2">
        <w:rPr>
          <w:sz w:val="22"/>
          <w:szCs w:val="22"/>
          <w:lang w:val="hr-HR"/>
        </w:rPr>
        <w:t>j</w:t>
      </w:r>
      <w:r w:rsidRPr="005474B2">
        <w:rPr>
          <w:sz w:val="22"/>
          <w:szCs w:val="22"/>
          <w:lang w:val="hr-HR"/>
        </w:rPr>
        <w:t>elje kod pacijenata sa gnojnim zapaljenjem znojnih žl</w:t>
      </w:r>
      <w:r w:rsidR="0060463D" w:rsidRPr="005474B2">
        <w:rPr>
          <w:sz w:val="22"/>
          <w:szCs w:val="22"/>
          <w:lang w:val="hr-HR"/>
        </w:rPr>
        <w:t>ij</w:t>
      </w:r>
      <w:r w:rsidRPr="005474B2">
        <w:rPr>
          <w:sz w:val="22"/>
          <w:szCs w:val="22"/>
          <w:lang w:val="hr-HR"/>
        </w:rPr>
        <w:t>ezda (hidradenitis suppurativa) je bio 0,26 </w:t>
      </w:r>
      <w:r w:rsidR="0009637B" w:rsidRPr="005474B2">
        <w:rPr>
          <w:sz w:val="22"/>
          <w:szCs w:val="22"/>
          <w:lang w:val="hr-HR"/>
        </w:rPr>
        <w:t>l</w:t>
      </w:r>
      <w:r w:rsidRPr="005474B2">
        <w:rPr>
          <w:sz w:val="22"/>
          <w:szCs w:val="22"/>
          <w:lang w:val="hr-HR"/>
        </w:rPr>
        <w:t>/dan.</w:t>
      </w:r>
    </w:p>
    <w:p w14:paraId="043890E7" w14:textId="77777777" w:rsidR="006911D2" w:rsidRPr="005474B2" w:rsidRDefault="006911D2" w:rsidP="005474B2">
      <w:pPr>
        <w:jc w:val="both"/>
        <w:rPr>
          <w:sz w:val="22"/>
          <w:szCs w:val="22"/>
          <w:lang w:val="hr-HR"/>
        </w:rPr>
      </w:pPr>
    </w:p>
    <w:p w14:paraId="091B951C" w14:textId="2568699C" w:rsidR="006911D2" w:rsidRPr="005474B2" w:rsidRDefault="006911D2" w:rsidP="005474B2">
      <w:pPr>
        <w:jc w:val="both"/>
        <w:rPr>
          <w:sz w:val="22"/>
          <w:szCs w:val="22"/>
          <w:lang w:val="hr-HR"/>
        </w:rPr>
      </w:pPr>
      <w:r w:rsidRPr="005474B2">
        <w:rPr>
          <w:sz w:val="22"/>
          <w:szCs w:val="22"/>
          <w:lang w:val="hr-HR"/>
        </w:rPr>
        <w:t>Srednje poluvr</w:t>
      </w:r>
      <w:r w:rsidR="0060463D" w:rsidRPr="005474B2">
        <w:rPr>
          <w:sz w:val="22"/>
          <w:szCs w:val="22"/>
          <w:lang w:val="hr-HR"/>
        </w:rPr>
        <w:t>ij</w:t>
      </w:r>
      <w:r w:rsidRPr="005474B2">
        <w:rPr>
          <w:sz w:val="22"/>
          <w:szCs w:val="22"/>
          <w:lang w:val="hr-HR"/>
        </w:rPr>
        <w:t>eme eliminacije, proc</w:t>
      </w:r>
      <w:r w:rsidR="0060463D" w:rsidRPr="005474B2">
        <w:rPr>
          <w:sz w:val="22"/>
          <w:szCs w:val="22"/>
          <w:lang w:val="hr-HR"/>
        </w:rPr>
        <w:t>ij</w:t>
      </w:r>
      <w:r w:rsidRPr="005474B2">
        <w:rPr>
          <w:sz w:val="22"/>
          <w:szCs w:val="22"/>
          <w:lang w:val="hr-HR"/>
        </w:rPr>
        <w:t>enjeno iz populacione farmakokinetičke analize, je bilo 23 dana kod pacijenata sa gnojnim zapaljenjem znojnih žl</w:t>
      </w:r>
      <w:r w:rsidR="0060463D" w:rsidRPr="005474B2">
        <w:rPr>
          <w:sz w:val="22"/>
          <w:szCs w:val="22"/>
          <w:lang w:val="hr-HR"/>
        </w:rPr>
        <w:t>ij</w:t>
      </w:r>
      <w:r w:rsidRPr="005474B2">
        <w:rPr>
          <w:sz w:val="22"/>
          <w:szCs w:val="22"/>
          <w:lang w:val="hr-HR"/>
        </w:rPr>
        <w:t>ezda (</w:t>
      </w:r>
      <w:r w:rsidRPr="005474B2">
        <w:rPr>
          <w:i/>
          <w:iCs/>
          <w:sz w:val="22"/>
          <w:szCs w:val="22"/>
          <w:lang w:val="hr-HR"/>
        </w:rPr>
        <w:t>Hidradenitis suppurativa</w:t>
      </w:r>
      <w:r w:rsidRPr="005474B2">
        <w:rPr>
          <w:sz w:val="22"/>
          <w:szCs w:val="22"/>
          <w:lang w:val="hr-HR"/>
        </w:rPr>
        <w:t>).</w:t>
      </w:r>
    </w:p>
    <w:p w14:paraId="35C0F70C" w14:textId="77777777" w:rsidR="006911D2" w:rsidRPr="005474B2" w:rsidRDefault="006911D2" w:rsidP="0009637B">
      <w:pPr>
        <w:tabs>
          <w:tab w:val="left" w:pos="284"/>
        </w:tabs>
        <w:jc w:val="both"/>
        <w:rPr>
          <w:sz w:val="22"/>
          <w:szCs w:val="22"/>
          <w:lang w:val="sr-Latn-ME"/>
        </w:rPr>
      </w:pPr>
    </w:p>
    <w:p w14:paraId="6649838B" w14:textId="77777777" w:rsidR="00DD093D" w:rsidRPr="005474B2" w:rsidRDefault="00DD093D" w:rsidP="0009637B">
      <w:pPr>
        <w:tabs>
          <w:tab w:val="left" w:pos="284"/>
        </w:tabs>
        <w:jc w:val="both"/>
        <w:rPr>
          <w:sz w:val="22"/>
          <w:szCs w:val="22"/>
          <w:u w:val="single"/>
          <w:lang w:val="sr-Latn-ME"/>
        </w:rPr>
      </w:pPr>
    </w:p>
    <w:p w14:paraId="2D4865B5" w14:textId="6D10C0BA" w:rsidR="00DD093D" w:rsidRPr="005474B2" w:rsidRDefault="00DD093D">
      <w:pPr>
        <w:tabs>
          <w:tab w:val="left" w:pos="284"/>
        </w:tabs>
        <w:jc w:val="both"/>
        <w:rPr>
          <w:i/>
          <w:sz w:val="22"/>
          <w:szCs w:val="22"/>
          <w:u w:val="single"/>
          <w:lang w:val="sr-Latn-ME"/>
        </w:rPr>
      </w:pPr>
      <w:r w:rsidRPr="005474B2">
        <w:rPr>
          <w:i/>
          <w:sz w:val="22"/>
          <w:szCs w:val="22"/>
          <w:u w:val="single"/>
          <w:lang w:val="sr-Latn-ME"/>
        </w:rPr>
        <w:t>Linearnost/nelinearnost</w:t>
      </w:r>
    </w:p>
    <w:p w14:paraId="4D728E0B" w14:textId="2F35C6CD" w:rsidR="00DD093D" w:rsidRPr="005474B2" w:rsidRDefault="00DD093D">
      <w:pPr>
        <w:tabs>
          <w:tab w:val="left" w:pos="284"/>
        </w:tabs>
        <w:jc w:val="both"/>
        <w:rPr>
          <w:sz w:val="22"/>
          <w:szCs w:val="22"/>
          <w:lang w:val="sr-Latn-ME"/>
        </w:rPr>
      </w:pPr>
      <w:r w:rsidRPr="005474B2">
        <w:rPr>
          <w:sz w:val="22"/>
          <w:szCs w:val="22"/>
          <w:lang w:val="sr-Latn-ME"/>
        </w:rPr>
        <w:t>Farmakokinetika pojedinačnih i višestrukih doza sekukinumaba kod pacijenata sa plak psorijazom je bila utvrđena u nekoliko ispitivanja sa intravenskim dozama u ops</w:t>
      </w:r>
      <w:r w:rsidR="004800C6" w:rsidRPr="005474B2">
        <w:rPr>
          <w:sz w:val="22"/>
          <w:szCs w:val="22"/>
          <w:lang w:val="sr-Latn-ME"/>
        </w:rPr>
        <w:t>j</w:t>
      </w:r>
      <w:r w:rsidRPr="005474B2">
        <w:rPr>
          <w:sz w:val="22"/>
          <w:szCs w:val="22"/>
          <w:lang w:val="sr-Latn-ME"/>
        </w:rPr>
        <w:t>egu od 1</w:t>
      </w:r>
      <w:r w:rsidR="007365BB" w:rsidRPr="005474B2">
        <w:rPr>
          <w:sz w:val="22"/>
          <w:szCs w:val="22"/>
          <w:lang w:val="sr-Latn-ME"/>
        </w:rPr>
        <w:t xml:space="preserve"> </w:t>
      </w:r>
      <w:r w:rsidRPr="005474B2">
        <w:rPr>
          <w:sz w:val="22"/>
          <w:szCs w:val="22"/>
          <w:lang w:val="sr-Latn-ME"/>
        </w:rPr>
        <w:t>x 0,3 mg/kg do 3</w:t>
      </w:r>
      <w:r w:rsidR="007365BB" w:rsidRPr="005474B2">
        <w:rPr>
          <w:sz w:val="22"/>
          <w:szCs w:val="22"/>
          <w:lang w:val="sr-Latn-ME"/>
        </w:rPr>
        <w:t xml:space="preserve"> </w:t>
      </w:r>
      <w:r w:rsidRPr="005474B2">
        <w:rPr>
          <w:sz w:val="22"/>
          <w:szCs w:val="22"/>
          <w:lang w:val="sr-Latn-ME"/>
        </w:rPr>
        <w:t>x 10 mg/kg i sa su</w:t>
      </w:r>
      <w:r w:rsidR="00801863" w:rsidRPr="005474B2">
        <w:rPr>
          <w:sz w:val="22"/>
          <w:szCs w:val="22"/>
          <w:lang w:val="sr-Latn-ME"/>
        </w:rPr>
        <w:t>b</w:t>
      </w:r>
      <w:r w:rsidRPr="005474B2">
        <w:rPr>
          <w:sz w:val="22"/>
          <w:szCs w:val="22"/>
          <w:lang w:val="sr-Latn-ME"/>
        </w:rPr>
        <w:t>kutanim dozama u rasponu od 1</w:t>
      </w:r>
      <w:r w:rsidR="007365BB" w:rsidRPr="005474B2">
        <w:rPr>
          <w:sz w:val="22"/>
          <w:szCs w:val="22"/>
          <w:lang w:val="sr-Latn-ME"/>
        </w:rPr>
        <w:t xml:space="preserve"> </w:t>
      </w:r>
      <w:r w:rsidRPr="005474B2">
        <w:rPr>
          <w:sz w:val="22"/>
          <w:szCs w:val="22"/>
          <w:lang w:val="sr-Latn-ME"/>
        </w:rPr>
        <w:t>x 25 mg do višestrukih doza od 300 mg. Izloženost je bila proporcionalna dozi u svim režimima doziranja.</w:t>
      </w:r>
    </w:p>
    <w:p w14:paraId="3EC02C2A" w14:textId="77777777" w:rsidR="00DD093D" w:rsidRPr="005474B2" w:rsidRDefault="00DD093D">
      <w:pPr>
        <w:tabs>
          <w:tab w:val="left" w:pos="284"/>
        </w:tabs>
        <w:jc w:val="both"/>
        <w:rPr>
          <w:sz w:val="22"/>
          <w:szCs w:val="22"/>
          <w:u w:val="single"/>
          <w:lang w:val="sr-Latn-ME"/>
        </w:rPr>
      </w:pPr>
    </w:p>
    <w:p w14:paraId="4165F351" w14:textId="77777777" w:rsidR="00DD093D" w:rsidRPr="005474B2" w:rsidRDefault="00DD093D">
      <w:pPr>
        <w:tabs>
          <w:tab w:val="left" w:pos="284"/>
        </w:tabs>
        <w:jc w:val="both"/>
        <w:rPr>
          <w:sz w:val="22"/>
          <w:szCs w:val="22"/>
          <w:u w:val="single"/>
          <w:lang w:val="sr-Latn-ME"/>
        </w:rPr>
      </w:pPr>
      <w:r w:rsidRPr="005474B2">
        <w:rPr>
          <w:sz w:val="22"/>
          <w:szCs w:val="22"/>
          <w:u w:val="single"/>
          <w:lang w:val="sr-Latn-ME"/>
        </w:rPr>
        <w:t xml:space="preserve">Posebne populacije </w:t>
      </w:r>
    </w:p>
    <w:p w14:paraId="7F343547" w14:textId="77777777" w:rsidR="00DD093D" w:rsidRPr="005474B2" w:rsidRDefault="00DD093D">
      <w:pPr>
        <w:tabs>
          <w:tab w:val="left" w:pos="284"/>
        </w:tabs>
        <w:jc w:val="both"/>
        <w:rPr>
          <w:sz w:val="22"/>
          <w:szCs w:val="22"/>
          <w:u w:val="single"/>
          <w:lang w:val="sr-Latn-ME"/>
        </w:rPr>
      </w:pPr>
    </w:p>
    <w:p w14:paraId="10ECD03E" w14:textId="77777777" w:rsidR="00DD093D" w:rsidRPr="005474B2" w:rsidRDefault="00DD093D">
      <w:pPr>
        <w:tabs>
          <w:tab w:val="left" w:pos="284"/>
        </w:tabs>
        <w:jc w:val="both"/>
        <w:rPr>
          <w:i/>
          <w:sz w:val="22"/>
          <w:szCs w:val="22"/>
          <w:u w:val="single"/>
          <w:lang w:val="sr-Latn-ME"/>
        </w:rPr>
      </w:pPr>
      <w:r w:rsidRPr="005474B2">
        <w:rPr>
          <w:i/>
          <w:sz w:val="22"/>
          <w:szCs w:val="22"/>
          <w:u w:val="single"/>
          <w:lang w:val="sr-Latn-ME"/>
        </w:rPr>
        <w:t xml:space="preserve">Stariji pacijenti </w:t>
      </w:r>
    </w:p>
    <w:p w14:paraId="67FDA048" w14:textId="77777777" w:rsidR="00DD093D" w:rsidRPr="005474B2" w:rsidRDefault="00DD093D">
      <w:pPr>
        <w:tabs>
          <w:tab w:val="left" w:pos="284"/>
        </w:tabs>
        <w:jc w:val="both"/>
        <w:rPr>
          <w:sz w:val="22"/>
          <w:szCs w:val="22"/>
          <w:u w:val="single"/>
          <w:lang w:val="sr-Latn-ME"/>
        </w:rPr>
      </w:pPr>
    </w:p>
    <w:p w14:paraId="07FAC81F" w14:textId="77777777" w:rsidR="00DD093D" w:rsidRPr="005474B2" w:rsidRDefault="00DD093D">
      <w:pPr>
        <w:tabs>
          <w:tab w:val="left" w:pos="284"/>
        </w:tabs>
        <w:jc w:val="both"/>
        <w:rPr>
          <w:sz w:val="22"/>
          <w:szCs w:val="22"/>
          <w:lang w:val="sr-Latn-ME"/>
        </w:rPr>
      </w:pPr>
      <w:r w:rsidRPr="005474B2">
        <w:rPr>
          <w:sz w:val="22"/>
          <w:szCs w:val="22"/>
          <w:lang w:val="sr-Latn-ME"/>
        </w:rPr>
        <w:lastRenderedPageBreak/>
        <w:t>Na osnovu populacione farmakokinetičke analize sa ograničenim brojem starijih pacijenata (n=71 za uzrast ≥65 godina i n=7 za uzrast ≥75 godina), klirens je bio sličan kod starijih pacijenata i kod pacijenata mlađih od 65 godina.</w:t>
      </w:r>
    </w:p>
    <w:p w14:paraId="3ADBF832" w14:textId="77777777" w:rsidR="00DD093D" w:rsidRPr="005474B2" w:rsidRDefault="00DD093D">
      <w:pPr>
        <w:tabs>
          <w:tab w:val="left" w:pos="284"/>
        </w:tabs>
        <w:jc w:val="both"/>
        <w:rPr>
          <w:sz w:val="22"/>
          <w:szCs w:val="22"/>
          <w:lang w:val="sr-Latn-ME"/>
        </w:rPr>
      </w:pPr>
    </w:p>
    <w:p w14:paraId="23CD7314" w14:textId="77777777" w:rsidR="00DD093D" w:rsidRPr="005474B2" w:rsidRDefault="00DD093D">
      <w:pPr>
        <w:tabs>
          <w:tab w:val="left" w:pos="284"/>
        </w:tabs>
        <w:jc w:val="both"/>
        <w:rPr>
          <w:i/>
          <w:sz w:val="22"/>
          <w:szCs w:val="22"/>
          <w:u w:val="single"/>
          <w:lang w:val="sr-Latn-ME"/>
        </w:rPr>
      </w:pPr>
      <w:r w:rsidRPr="005474B2">
        <w:rPr>
          <w:i/>
          <w:sz w:val="22"/>
          <w:szCs w:val="22"/>
          <w:u w:val="single"/>
          <w:lang w:val="sr-Latn-ME"/>
        </w:rPr>
        <w:t>Pacijenti sa oštećenjem funkcije bubrega ili jetre</w:t>
      </w:r>
    </w:p>
    <w:p w14:paraId="1BC482BC" w14:textId="77777777" w:rsidR="00DD093D" w:rsidRPr="005474B2" w:rsidRDefault="00DD093D">
      <w:pPr>
        <w:tabs>
          <w:tab w:val="left" w:pos="284"/>
        </w:tabs>
        <w:jc w:val="both"/>
        <w:rPr>
          <w:sz w:val="22"/>
          <w:szCs w:val="22"/>
          <w:lang w:val="sr-Latn-ME"/>
        </w:rPr>
      </w:pPr>
      <w:r w:rsidRPr="005474B2">
        <w:rPr>
          <w:sz w:val="22"/>
          <w:szCs w:val="22"/>
          <w:lang w:val="sr-Latn-ME"/>
        </w:rPr>
        <w:t>Nema dostupnih farmakokinetičkih podataka kod pacijenata sa oštećenjem bubrega ili jetre. Očekuje se da će bubrežna eliminacija neprom</w:t>
      </w:r>
      <w:r w:rsidR="004800C6" w:rsidRPr="005474B2">
        <w:rPr>
          <w:sz w:val="22"/>
          <w:szCs w:val="22"/>
          <w:lang w:val="sr-Latn-ME"/>
        </w:rPr>
        <w:t>ij</w:t>
      </w:r>
      <w:r w:rsidRPr="005474B2">
        <w:rPr>
          <w:sz w:val="22"/>
          <w:szCs w:val="22"/>
          <w:lang w:val="sr-Latn-ME"/>
        </w:rPr>
        <w:t>enjenog sekukinumaba, koji je IgG monoklonsko antit</w:t>
      </w:r>
      <w:r w:rsidR="004800C6" w:rsidRPr="005474B2">
        <w:rPr>
          <w:sz w:val="22"/>
          <w:szCs w:val="22"/>
          <w:lang w:val="sr-Latn-ME"/>
        </w:rPr>
        <w:t>ij</w:t>
      </w:r>
      <w:r w:rsidRPr="005474B2">
        <w:rPr>
          <w:sz w:val="22"/>
          <w:szCs w:val="22"/>
          <w:lang w:val="sr-Latn-ME"/>
        </w:rPr>
        <w:t>elo, biti niska i od malog značaja. IgG se uglavnom eliminišu putem katabolizma i ne očekuje se da će oštećenje jetre uticati na klirens sekukinumaba.</w:t>
      </w:r>
    </w:p>
    <w:p w14:paraId="5CD8302D" w14:textId="77777777" w:rsidR="00DD093D" w:rsidRPr="005474B2" w:rsidRDefault="00DD093D">
      <w:pPr>
        <w:tabs>
          <w:tab w:val="left" w:pos="284"/>
        </w:tabs>
        <w:jc w:val="both"/>
        <w:rPr>
          <w:sz w:val="22"/>
          <w:szCs w:val="22"/>
          <w:lang w:val="sr-Latn-ME"/>
        </w:rPr>
      </w:pPr>
    </w:p>
    <w:p w14:paraId="6CBD0BEE" w14:textId="77777777" w:rsidR="00DD093D" w:rsidRPr="005474B2" w:rsidRDefault="00DD093D">
      <w:pPr>
        <w:tabs>
          <w:tab w:val="left" w:pos="284"/>
        </w:tabs>
        <w:jc w:val="both"/>
        <w:rPr>
          <w:i/>
          <w:sz w:val="22"/>
          <w:szCs w:val="22"/>
          <w:u w:val="single"/>
          <w:lang w:val="sr-Latn-ME"/>
        </w:rPr>
      </w:pPr>
      <w:r w:rsidRPr="005474B2">
        <w:rPr>
          <w:i/>
          <w:sz w:val="22"/>
          <w:szCs w:val="22"/>
          <w:u w:val="single"/>
          <w:lang w:val="sr-Latn-ME"/>
        </w:rPr>
        <w:t>Uticaj t</w:t>
      </w:r>
      <w:r w:rsidR="004800C6" w:rsidRPr="005474B2">
        <w:rPr>
          <w:i/>
          <w:sz w:val="22"/>
          <w:szCs w:val="22"/>
          <w:u w:val="single"/>
          <w:lang w:val="sr-Latn-ME"/>
        </w:rPr>
        <w:t>j</w:t>
      </w:r>
      <w:r w:rsidRPr="005474B2">
        <w:rPr>
          <w:i/>
          <w:sz w:val="22"/>
          <w:szCs w:val="22"/>
          <w:u w:val="single"/>
          <w:lang w:val="sr-Latn-ME"/>
        </w:rPr>
        <w:t>elesne mase na farmakokinetiku</w:t>
      </w:r>
    </w:p>
    <w:p w14:paraId="2B7FA4A5" w14:textId="77777777" w:rsidR="00DD093D" w:rsidRPr="005474B2" w:rsidRDefault="00DD093D">
      <w:pPr>
        <w:tabs>
          <w:tab w:val="left" w:pos="284"/>
        </w:tabs>
        <w:jc w:val="both"/>
        <w:rPr>
          <w:sz w:val="22"/>
          <w:szCs w:val="22"/>
          <w:lang w:val="sr-Latn-ME"/>
        </w:rPr>
      </w:pPr>
      <w:r w:rsidRPr="005474B2">
        <w:rPr>
          <w:sz w:val="22"/>
          <w:szCs w:val="22"/>
          <w:lang w:val="sr-Latn-ME"/>
        </w:rPr>
        <w:t>Klirens i volumen distribucije sekukinumaba se povećavaju sa povećanjem t</w:t>
      </w:r>
      <w:r w:rsidR="004800C6" w:rsidRPr="005474B2">
        <w:rPr>
          <w:sz w:val="22"/>
          <w:szCs w:val="22"/>
          <w:lang w:val="sr-Latn-ME"/>
        </w:rPr>
        <w:t>j</w:t>
      </w:r>
      <w:r w:rsidRPr="005474B2">
        <w:rPr>
          <w:sz w:val="22"/>
          <w:szCs w:val="22"/>
          <w:lang w:val="sr-Latn-ME"/>
        </w:rPr>
        <w:t xml:space="preserve">elesne mase. </w:t>
      </w:r>
    </w:p>
    <w:p w14:paraId="5ADC1918" w14:textId="77777777" w:rsidR="00DD093D" w:rsidRPr="005474B2" w:rsidRDefault="00DD093D">
      <w:pPr>
        <w:tabs>
          <w:tab w:val="left" w:pos="284"/>
        </w:tabs>
        <w:jc w:val="both"/>
        <w:rPr>
          <w:b/>
          <w:bCs/>
          <w:sz w:val="22"/>
          <w:szCs w:val="22"/>
          <w:u w:val="single"/>
          <w:lang w:val="sr-Latn-ME"/>
        </w:rPr>
      </w:pPr>
    </w:p>
    <w:p w14:paraId="48BB8EAD" w14:textId="41EF13E1" w:rsidR="00DD093D" w:rsidRPr="005474B2" w:rsidRDefault="00DD093D">
      <w:pPr>
        <w:keepNext/>
        <w:jc w:val="both"/>
        <w:rPr>
          <w:i/>
          <w:color w:val="000000"/>
          <w:sz w:val="22"/>
          <w:szCs w:val="22"/>
          <w:u w:val="single"/>
          <w:lang w:val="sr-Latn-ME"/>
        </w:rPr>
      </w:pPr>
      <w:r w:rsidRPr="005474B2">
        <w:rPr>
          <w:i/>
          <w:color w:val="000000"/>
          <w:sz w:val="22"/>
          <w:szCs w:val="22"/>
          <w:u w:val="single"/>
          <w:lang w:val="sr-Latn-ME"/>
        </w:rPr>
        <w:t>Pedijatrijska populacija</w:t>
      </w:r>
    </w:p>
    <w:p w14:paraId="04B43B19" w14:textId="77777777" w:rsidR="00DC744D" w:rsidRPr="0009637B" w:rsidRDefault="00DC744D">
      <w:pPr>
        <w:keepNext/>
        <w:jc w:val="both"/>
        <w:rPr>
          <w:i/>
          <w:color w:val="000000"/>
          <w:sz w:val="22"/>
          <w:szCs w:val="22"/>
          <w:u w:val="single"/>
          <w:lang w:val="hr-HR"/>
        </w:rPr>
      </w:pPr>
      <w:bookmarkStart w:id="17" w:name="_Hlk108540687"/>
      <w:r w:rsidRPr="0009637B">
        <w:rPr>
          <w:i/>
          <w:iCs/>
          <w:color w:val="000000"/>
          <w:sz w:val="22"/>
          <w:szCs w:val="22"/>
          <w:u w:val="single"/>
          <w:lang w:val="hr-HR"/>
        </w:rPr>
        <w:t>Plak psorijaza</w:t>
      </w:r>
    </w:p>
    <w:bookmarkEnd w:id="17"/>
    <w:p w14:paraId="0BDA6480" w14:textId="77777777" w:rsidR="00DC744D" w:rsidRPr="005474B2" w:rsidRDefault="00DC744D">
      <w:pPr>
        <w:keepNext/>
        <w:jc w:val="both"/>
        <w:rPr>
          <w:i/>
          <w:color w:val="000000"/>
          <w:sz w:val="22"/>
          <w:szCs w:val="22"/>
          <w:u w:val="single"/>
          <w:lang w:val="sr-Latn-ME"/>
        </w:rPr>
      </w:pPr>
    </w:p>
    <w:p w14:paraId="5E5D5E55" w14:textId="1FBE264E" w:rsidR="00DD093D" w:rsidRPr="005474B2" w:rsidRDefault="00DD093D">
      <w:pPr>
        <w:tabs>
          <w:tab w:val="left" w:pos="284"/>
        </w:tabs>
        <w:jc w:val="both"/>
        <w:rPr>
          <w:iCs/>
          <w:sz w:val="22"/>
          <w:szCs w:val="22"/>
          <w:lang w:val="sr-Latn-ME"/>
        </w:rPr>
      </w:pPr>
      <w:r w:rsidRPr="005474B2">
        <w:rPr>
          <w:color w:val="000000"/>
          <w:sz w:val="22"/>
          <w:szCs w:val="22"/>
          <w:lang w:val="sr-Latn-ME"/>
        </w:rPr>
        <w:t xml:space="preserve">U objedinjenim podacima dva pedijatrijska ispitivanja, pacijentima sa </w:t>
      </w:r>
      <w:r w:rsidR="009A4880" w:rsidRPr="005474B2">
        <w:rPr>
          <w:color w:val="000000"/>
          <w:sz w:val="22"/>
          <w:szCs w:val="22"/>
          <w:lang w:val="sr-Latn-ME"/>
        </w:rPr>
        <w:t>umjeren</w:t>
      </w:r>
      <w:r w:rsidRPr="005474B2">
        <w:rPr>
          <w:color w:val="000000"/>
          <w:sz w:val="22"/>
          <w:szCs w:val="22"/>
          <w:lang w:val="sr-Latn-ME"/>
        </w:rPr>
        <w:t xml:space="preserve">om do teškom plak psorijazom (uzrasta od 6 do manje od 18 godina) bio je </w:t>
      </w:r>
      <w:r w:rsidR="009A4880" w:rsidRPr="005474B2">
        <w:rPr>
          <w:color w:val="000000"/>
          <w:sz w:val="22"/>
          <w:szCs w:val="22"/>
          <w:lang w:val="sr-Latn-ME"/>
        </w:rPr>
        <w:t>primijenjen</w:t>
      </w:r>
      <w:r w:rsidRPr="005474B2">
        <w:rPr>
          <w:color w:val="000000"/>
          <w:sz w:val="22"/>
          <w:szCs w:val="22"/>
          <w:lang w:val="sr-Latn-ME"/>
        </w:rPr>
        <w:t xml:space="preserve"> sekukinumab prema preporučenom režimu doziranja za pedijatrijske pacijente. U 24. </w:t>
      </w:r>
      <w:r w:rsidR="009A4880" w:rsidRPr="005474B2">
        <w:rPr>
          <w:color w:val="000000"/>
          <w:sz w:val="22"/>
          <w:szCs w:val="22"/>
          <w:lang w:val="sr-Latn-ME"/>
        </w:rPr>
        <w:t>nedjelj</w:t>
      </w:r>
      <w:r w:rsidRPr="005474B2">
        <w:rPr>
          <w:color w:val="000000"/>
          <w:sz w:val="22"/>
          <w:szCs w:val="22"/>
          <w:lang w:val="sr-Latn-ME"/>
        </w:rPr>
        <w:t>i pacijenti t</w:t>
      </w:r>
      <w:r w:rsidR="004800C6" w:rsidRPr="005474B2">
        <w:rPr>
          <w:color w:val="000000"/>
          <w:sz w:val="22"/>
          <w:szCs w:val="22"/>
          <w:lang w:val="sr-Latn-ME"/>
        </w:rPr>
        <w:t>j</w:t>
      </w:r>
      <w:r w:rsidRPr="005474B2">
        <w:rPr>
          <w:color w:val="000000"/>
          <w:sz w:val="22"/>
          <w:szCs w:val="22"/>
          <w:lang w:val="sr-Latn-ME"/>
        </w:rPr>
        <w:t xml:space="preserve">elesne težine </w:t>
      </w:r>
      <w:r w:rsidRPr="005474B2">
        <w:rPr>
          <w:sz w:val="22"/>
          <w:szCs w:val="22"/>
          <w:lang w:val="sr-Latn-ME"/>
        </w:rPr>
        <w:t>≥</w:t>
      </w:r>
      <w:r w:rsidRPr="005474B2">
        <w:rPr>
          <w:color w:val="000000"/>
          <w:sz w:val="22"/>
          <w:szCs w:val="22"/>
          <w:lang w:val="sr-Latn-ME"/>
        </w:rPr>
        <w:t xml:space="preserve">25 i &lt;50 kg su imali srednju </w:t>
      </w:r>
      <w:r w:rsidR="00C41FCA" w:rsidRPr="005474B2">
        <w:rPr>
          <w:color w:val="000000"/>
          <w:sz w:val="22"/>
          <w:szCs w:val="22"/>
          <w:lang w:val="sr-Latn-ME"/>
        </w:rPr>
        <w:t>vrijednost</w:t>
      </w:r>
      <w:r w:rsidRPr="005474B2">
        <w:rPr>
          <w:color w:val="000000"/>
          <w:sz w:val="22"/>
          <w:szCs w:val="22"/>
          <w:lang w:val="sr-Latn-ME"/>
        </w:rPr>
        <w:t xml:space="preserve"> ± SD najniže koncentracije u stanju dinamičke ravnoteže od 19,8 ± 6,96 mikrograma/m</w:t>
      </w:r>
      <w:r w:rsidR="005F72ED" w:rsidRPr="005474B2">
        <w:rPr>
          <w:color w:val="000000"/>
          <w:sz w:val="22"/>
          <w:szCs w:val="22"/>
          <w:lang w:val="sr-Latn-ME"/>
        </w:rPr>
        <w:t>l</w:t>
      </w:r>
      <w:r w:rsidRPr="005474B2">
        <w:rPr>
          <w:color w:val="000000"/>
          <w:sz w:val="22"/>
          <w:szCs w:val="22"/>
          <w:lang w:val="sr-Latn-ME"/>
        </w:rPr>
        <w:t xml:space="preserve"> (n=24) nakon 75 mg sekukinumaba i pacijenti t</w:t>
      </w:r>
      <w:r w:rsidR="004800C6" w:rsidRPr="005474B2">
        <w:rPr>
          <w:color w:val="000000"/>
          <w:sz w:val="22"/>
          <w:szCs w:val="22"/>
          <w:lang w:val="sr-Latn-ME"/>
        </w:rPr>
        <w:t>j</w:t>
      </w:r>
      <w:r w:rsidRPr="005474B2">
        <w:rPr>
          <w:color w:val="000000"/>
          <w:sz w:val="22"/>
          <w:szCs w:val="22"/>
          <w:lang w:val="sr-Latn-ME"/>
        </w:rPr>
        <w:t xml:space="preserve">elesne težine </w:t>
      </w:r>
      <w:r w:rsidRPr="005474B2">
        <w:rPr>
          <w:sz w:val="22"/>
          <w:szCs w:val="22"/>
          <w:lang w:val="sr-Latn-ME"/>
        </w:rPr>
        <w:t xml:space="preserve">≥50 kg imali su srednju </w:t>
      </w:r>
      <w:r w:rsidR="00C41FCA" w:rsidRPr="005474B2">
        <w:rPr>
          <w:sz w:val="22"/>
          <w:szCs w:val="22"/>
          <w:lang w:val="sr-Latn-ME"/>
        </w:rPr>
        <w:t>vrijednost</w:t>
      </w:r>
      <w:r w:rsidRPr="005474B2">
        <w:rPr>
          <w:sz w:val="22"/>
          <w:szCs w:val="22"/>
          <w:lang w:val="sr-Latn-ME"/>
        </w:rPr>
        <w:t xml:space="preserve"> </w:t>
      </w:r>
      <w:r w:rsidRPr="005474B2">
        <w:rPr>
          <w:color w:val="000000"/>
          <w:sz w:val="22"/>
          <w:szCs w:val="22"/>
          <w:lang w:val="sr-Latn-ME"/>
        </w:rPr>
        <w:t>± SD najniže koncentracije od 27,3 ± 10,1 </w:t>
      </w:r>
      <w:r w:rsidRPr="005474B2">
        <w:rPr>
          <w:sz w:val="22"/>
          <w:szCs w:val="22"/>
          <w:lang w:val="sr-Latn-ME" w:bidi="th-TH"/>
        </w:rPr>
        <w:t>mikrograma</w:t>
      </w:r>
      <w:r w:rsidRPr="005474B2">
        <w:rPr>
          <w:color w:val="000000"/>
          <w:sz w:val="22"/>
          <w:szCs w:val="22"/>
          <w:lang w:val="sr-Latn-ME"/>
        </w:rPr>
        <w:t>/m</w:t>
      </w:r>
      <w:r w:rsidR="005F72ED" w:rsidRPr="005474B2">
        <w:rPr>
          <w:color w:val="000000"/>
          <w:sz w:val="22"/>
          <w:szCs w:val="22"/>
          <w:lang w:val="sr-Latn-ME"/>
        </w:rPr>
        <w:t>l</w:t>
      </w:r>
      <w:r w:rsidRPr="005474B2">
        <w:rPr>
          <w:color w:val="000000"/>
          <w:sz w:val="22"/>
          <w:szCs w:val="22"/>
          <w:lang w:val="sr-Latn-ME"/>
        </w:rPr>
        <w:t xml:space="preserve"> (n=36) nakon 150 mg sekukinumaba. Srednja </w:t>
      </w:r>
      <w:r w:rsidR="00C41FCA" w:rsidRPr="005474B2">
        <w:rPr>
          <w:color w:val="000000"/>
          <w:sz w:val="22"/>
          <w:szCs w:val="22"/>
          <w:lang w:val="sr-Latn-ME"/>
        </w:rPr>
        <w:t>vrijednost</w:t>
      </w:r>
      <w:r w:rsidRPr="005474B2">
        <w:rPr>
          <w:color w:val="000000"/>
          <w:sz w:val="22"/>
          <w:szCs w:val="22"/>
          <w:lang w:val="sr-Latn-ME"/>
        </w:rPr>
        <w:t xml:space="preserve"> ± SD najniže koncentracije u stanju dinamičke ravnoteže kod pacijenata težine &lt;25 kg (n=8) bila je 32,6 ± 10,8 </w:t>
      </w:r>
      <w:r w:rsidRPr="005474B2">
        <w:rPr>
          <w:sz w:val="22"/>
          <w:szCs w:val="22"/>
          <w:lang w:val="sr-Latn-ME" w:bidi="th-TH"/>
        </w:rPr>
        <w:t>mikrograma</w:t>
      </w:r>
      <w:r w:rsidRPr="005474B2">
        <w:rPr>
          <w:color w:val="000000"/>
          <w:sz w:val="22"/>
          <w:szCs w:val="22"/>
          <w:lang w:val="sr-Latn-ME"/>
        </w:rPr>
        <w:t>/m</w:t>
      </w:r>
      <w:r w:rsidR="005F72ED" w:rsidRPr="005474B2">
        <w:rPr>
          <w:color w:val="000000"/>
          <w:sz w:val="22"/>
          <w:szCs w:val="22"/>
          <w:lang w:val="sr-Latn-ME"/>
        </w:rPr>
        <w:t>l</w:t>
      </w:r>
      <w:r w:rsidRPr="005474B2">
        <w:rPr>
          <w:color w:val="000000"/>
          <w:sz w:val="22"/>
          <w:szCs w:val="22"/>
          <w:lang w:val="sr-Latn-ME"/>
        </w:rPr>
        <w:t xml:space="preserve"> u 24. </w:t>
      </w:r>
      <w:r w:rsidR="009A4880" w:rsidRPr="005474B2">
        <w:rPr>
          <w:color w:val="000000"/>
          <w:sz w:val="22"/>
          <w:szCs w:val="22"/>
          <w:lang w:val="sr-Latn-ME"/>
        </w:rPr>
        <w:t>nedjelj</w:t>
      </w:r>
      <w:r w:rsidRPr="005474B2">
        <w:rPr>
          <w:color w:val="000000"/>
          <w:sz w:val="22"/>
          <w:szCs w:val="22"/>
          <w:lang w:val="sr-Latn-ME"/>
        </w:rPr>
        <w:t>i nakon doze od 75 mg.</w:t>
      </w:r>
    </w:p>
    <w:p w14:paraId="3EF8DAC4" w14:textId="4D2C7F97" w:rsidR="00DD093D" w:rsidRPr="005474B2" w:rsidRDefault="00DD093D">
      <w:pPr>
        <w:tabs>
          <w:tab w:val="left" w:pos="540"/>
          <w:tab w:val="left" w:pos="569"/>
        </w:tabs>
        <w:jc w:val="both"/>
        <w:rPr>
          <w:bCs/>
          <w:sz w:val="22"/>
          <w:szCs w:val="22"/>
          <w:lang w:val="sr-Latn-ME"/>
        </w:rPr>
      </w:pPr>
    </w:p>
    <w:p w14:paraId="4D626A67" w14:textId="77777777" w:rsidR="00DC744D" w:rsidRPr="0009637B" w:rsidRDefault="00DC744D">
      <w:pPr>
        <w:tabs>
          <w:tab w:val="left" w:pos="540"/>
          <w:tab w:val="left" w:pos="569"/>
        </w:tabs>
        <w:jc w:val="both"/>
        <w:rPr>
          <w:bCs/>
          <w:i/>
          <w:iCs/>
          <w:sz w:val="22"/>
          <w:szCs w:val="22"/>
          <w:lang w:val="hr-HR"/>
        </w:rPr>
      </w:pPr>
      <w:bookmarkStart w:id="18" w:name="_Hlk108540698"/>
      <w:r w:rsidRPr="0009637B">
        <w:rPr>
          <w:bCs/>
          <w:i/>
          <w:iCs/>
          <w:sz w:val="22"/>
          <w:szCs w:val="22"/>
          <w:lang w:val="hr-HR"/>
        </w:rPr>
        <w:t>Juvenilni idiopatski artritis</w:t>
      </w:r>
    </w:p>
    <w:p w14:paraId="5398C7F6" w14:textId="5FAE6B00" w:rsidR="00DC744D" w:rsidRPr="0009637B" w:rsidRDefault="00DC744D">
      <w:pPr>
        <w:tabs>
          <w:tab w:val="left" w:pos="540"/>
          <w:tab w:val="left" w:pos="569"/>
        </w:tabs>
        <w:jc w:val="both"/>
        <w:rPr>
          <w:bCs/>
          <w:sz w:val="22"/>
          <w:szCs w:val="22"/>
          <w:lang w:val="hr-HR"/>
        </w:rPr>
      </w:pPr>
      <w:r w:rsidRPr="0009637B">
        <w:rPr>
          <w:bCs/>
          <w:sz w:val="22"/>
          <w:szCs w:val="22"/>
          <w:lang w:val="hr-HR"/>
        </w:rPr>
        <w:t>U pedijatrijskom ispitivanju, sprovedenom na pacijentima sa ERA i JPsA (uzrasta od 2 do manje od 18 godina), bio je primijenjen sekukinumab prema preporučenom režimu doziranja za pedijatrijske pacijente. U 24. nedjelji, pacijenti tjelesne mase &lt;50 kg i ≥50 kg su imali srednju vrijednost ± SD najniže koncentracije u stanju dinamičke ravnoteže od 25,2 ± 5,45 mikrograma/m</w:t>
      </w:r>
      <w:r w:rsidR="006D473F">
        <w:rPr>
          <w:bCs/>
          <w:sz w:val="22"/>
          <w:szCs w:val="22"/>
          <w:lang w:val="hr-HR"/>
        </w:rPr>
        <w:t>l</w:t>
      </w:r>
      <w:r w:rsidRPr="0009637B">
        <w:rPr>
          <w:bCs/>
          <w:sz w:val="22"/>
          <w:szCs w:val="22"/>
          <w:lang w:val="hr-HR"/>
        </w:rPr>
        <w:t xml:space="preserve"> (n=10) odnosno 27,9 ± 9,57 mikrograma/m</w:t>
      </w:r>
      <w:r w:rsidR="006D473F">
        <w:rPr>
          <w:bCs/>
          <w:sz w:val="22"/>
          <w:szCs w:val="22"/>
          <w:lang w:val="hr-HR"/>
        </w:rPr>
        <w:t>l</w:t>
      </w:r>
      <w:r w:rsidRPr="0009637B">
        <w:rPr>
          <w:bCs/>
          <w:sz w:val="22"/>
          <w:szCs w:val="22"/>
          <w:lang w:val="hr-HR"/>
        </w:rPr>
        <w:t xml:space="preserve"> (n=19).</w:t>
      </w:r>
    </w:p>
    <w:bookmarkEnd w:id="18"/>
    <w:p w14:paraId="3F27A51D" w14:textId="77777777" w:rsidR="00DC744D" w:rsidRPr="005474B2" w:rsidRDefault="00DC744D">
      <w:pPr>
        <w:tabs>
          <w:tab w:val="left" w:pos="540"/>
          <w:tab w:val="left" w:pos="569"/>
        </w:tabs>
        <w:jc w:val="both"/>
        <w:rPr>
          <w:bCs/>
          <w:sz w:val="22"/>
          <w:szCs w:val="22"/>
          <w:lang w:val="sr-Latn-ME"/>
        </w:rPr>
      </w:pPr>
    </w:p>
    <w:p w14:paraId="6BED5CA7"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5.3. </w:t>
      </w:r>
      <w:r w:rsidR="00480FB1" w:rsidRPr="005474B2">
        <w:rPr>
          <w:b/>
          <w:bCs/>
          <w:sz w:val="22"/>
          <w:szCs w:val="22"/>
          <w:lang w:val="sr-Latn-ME"/>
        </w:rPr>
        <w:tab/>
      </w:r>
      <w:r w:rsidRPr="005474B2">
        <w:rPr>
          <w:b/>
          <w:bCs/>
          <w:sz w:val="22"/>
          <w:szCs w:val="22"/>
          <w:lang w:val="sr-Latn-ME"/>
        </w:rPr>
        <w:t xml:space="preserve">Pretklinički podaci o bezbjednosti </w:t>
      </w:r>
    </w:p>
    <w:p w14:paraId="3AAA4CA7" w14:textId="282DBA07" w:rsidR="00DD093D" w:rsidRPr="005474B2" w:rsidRDefault="00DD093D">
      <w:pPr>
        <w:tabs>
          <w:tab w:val="left" w:pos="284"/>
        </w:tabs>
        <w:spacing w:before="200" w:after="200"/>
        <w:jc w:val="both"/>
        <w:rPr>
          <w:sz w:val="22"/>
          <w:szCs w:val="22"/>
          <w:lang w:val="sr-Latn-ME"/>
        </w:rPr>
      </w:pPr>
      <w:r w:rsidRPr="005474B2">
        <w:rPr>
          <w:sz w:val="22"/>
          <w:szCs w:val="22"/>
          <w:lang w:val="sr-Latn-ME"/>
        </w:rPr>
        <w:t>Pretklinički podaci ni</w:t>
      </w:r>
      <w:r w:rsidR="00746619" w:rsidRPr="005474B2">
        <w:rPr>
          <w:sz w:val="22"/>
          <w:szCs w:val="22"/>
          <w:lang w:val="sr-Latn-ME"/>
        </w:rPr>
        <w:t>je</w:t>
      </w:r>
      <w:r w:rsidRPr="005474B2">
        <w:rPr>
          <w:sz w:val="22"/>
          <w:szCs w:val="22"/>
          <w:lang w:val="sr-Latn-ME"/>
        </w:rPr>
        <w:t xml:space="preserve">su otkrili </w:t>
      </w:r>
      <w:r w:rsidR="000538E6" w:rsidRPr="005474B2">
        <w:rPr>
          <w:sz w:val="22"/>
          <w:szCs w:val="22"/>
          <w:lang w:val="sr-Latn-ME"/>
        </w:rPr>
        <w:t>nikakav poseban rizik</w:t>
      </w:r>
      <w:r w:rsidRPr="005474B2">
        <w:rPr>
          <w:sz w:val="22"/>
          <w:szCs w:val="22"/>
          <w:lang w:val="sr-Latn-ME"/>
        </w:rPr>
        <w:t xml:space="preserve"> za ljude (odrasle ili pedijatrijske pacijente) na osnovu konvencionalnih ispitivanja bezb</w:t>
      </w:r>
      <w:r w:rsidR="004800C6" w:rsidRPr="005474B2">
        <w:rPr>
          <w:sz w:val="22"/>
          <w:szCs w:val="22"/>
          <w:lang w:val="sr-Latn-ME"/>
        </w:rPr>
        <w:t>j</w:t>
      </w:r>
      <w:r w:rsidRPr="005474B2">
        <w:rPr>
          <w:sz w:val="22"/>
          <w:szCs w:val="22"/>
          <w:lang w:val="sr-Latn-ME"/>
        </w:rPr>
        <w:t>ednosne farmakologije, studija</w:t>
      </w:r>
      <w:r w:rsidR="000538E6" w:rsidRPr="005474B2">
        <w:rPr>
          <w:sz w:val="22"/>
          <w:szCs w:val="22"/>
          <w:lang w:val="sr-Latn-ME"/>
        </w:rPr>
        <w:t xml:space="preserve"> toksičnosti</w:t>
      </w:r>
      <w:r w:rsidRPr="005474B2">
        <w:rPr>
          <w:sz w:val="22"/>
          <w:szCs w:val="22"/>
          <w:lang w:val="sr-Latn-ME"/>
        </w:rPr>
        <w:t xml:space="preserve"> ponavljanih doza i reproduktivne toksičnosti ili ukrštene reaktivnosti tkiva.</w:t>
      </w:r>
    </w:p>
    <w:p w14:paraId="324B83A0" w14:textId="2D4739F7" w:rsidR="00DD093D" w:rsidRPr="005474B2" w:rsidRDefault="00DD093D">
      <w:pPr>
        <w:tabs>
          <w:tab w:val="left" w:pos="284"/>
        </w:tabs>
        <w:spacing w:before="200" w:after="200"/>
        <w:jc w:val="both"/>
        <w:rPr>
          <w:sz w:val="22"/>
          <w:szCs w:val="22"/>
          <w:lang w:val="sr-Latn-ME"/>
        </w:rPr>
      </w:pPr>
      <w:r w:rsidRPr="005474B2">
        <w:rPr>
          <w:sz w:val="22"/>
          <w:szCs w:val="22"/>
          <w:lang w:val="sr-Latn-ME"/>
        </w:rPr>
        <w:t>Ni</w:t>
      </w:r>
      <w:r w:rsidR="00746619" w:rsidRPr="005474B2">
        <w:rPr>
          <w:sz w:val="22"/>
          <w:szCs w:val="22"/>
          <w:lang w:val="sr-Latn-ME"/>
        </w:rPr>
        <w:t>je</w:t>
      </w:r>
      <w:r w:rsidRPr="005474B2">
        <w:rPr>
          <w:sz w:val="22"/>
          <w:szCs w:val="22"/>
          <w:lang w:val="sr-Latn-ME"/>
        </w:rPr>
        <w:t xml:space="preserve">su sprovedena ispitivanja na životinjama za </w:t>
      </w:r>
      <w:r w:rsidR="00C41FCA" w:rsidRPr="005474B2">
        <w:rPr>
          <w:sz w:val="22"/>
          <w:szCs w:val="22"/>
          <w:lang w:val="sr-Latn-ME"/>
        </w:rPr>
        <w:t>procjenu</w:t>
      </w:r>
      <w:r w:rsidRPr="005474B2">
        <w:rPr>
          <w:sz w:val="22"/>
          <w:szCs w:val="22"/>
          <w:lang w:val="sr-Latn-ME"/>
        </w:rPr>
        <w:t xml:space="preserve"> karcinogenog potencijala sekukinumaba.</w:t>
      </w:r>
    </w:p>
    <w:p w14:paraId="16056C9E" w14:textId="77777777" w:rsidR="00396DFD" w:rsidRPr="005474B2" w:rsidRDefault="00396DFD">
      <w:pPr>
        <w:tabs>
          <w:tab w:val="left" w:pos="540"/>
          <w:tab w:val="left" w:pos="569"/>
        </w:tabs>
        <w:jc w:val="both"/>
        <w:rPr>
          <w:b/>
          <w:bCs/>
          <w:sz w:val="22"/>
          <w:szCs w:val="22"/>
          <w:lang w:val="sr-Latn-ME"/>
        </w:rPr>
      </w:pPr>
    </w:p>
    <w:p w14:paraId="6924948E"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6. </w:t>
      </w:r>
      <w:r w:rsidR="00480FB1" w:rsidRPr="005474B2">
        <w:rPr>
          <w:b/>
          <w:bCs/>
          <w:sz w:val="22"/>
          <w:szCs w:val="22"/>
          <w:lang w:val="sr-Latn-ME"/>
        </w:rPr>
        <w:tab/>
      </w:r>
      <w:r w:rsidRPr="005474B2">
        <w:rPr>
          <w:b/>
          <w:bCs/>
          <w:sz w:val="22"/>
          <w:szCs w:val="22"/>
          <w:lang w:val="sr-Latn-ME"/>
        </w:rPr>
        <w:t>FARMACEUTSKI PODACI</w:t>
      </w:r>
    </w:p>
    <w:p w14:paraId="3B63FD67" w14:textId="77777777" w:rsidR="00836B35" w:rsidRPr="005474B2" w:rsidRDefault="00836B35">
      <w:pPr>
        <w:tabs>
          <w:tab w:val="left" w:pos="540"/>
          <w:tab w:val="left" w:pos="569"/>
        </w:tabs>
        <w:jc w:val="both"/>
        <w:rPr>
          <w:bCs/>
          <w:sz w:val="22"/>
          <w:szCs w:val="22"/>
          <w:lang w:val="sr-Latn-ME"/>
        </w:rPr>
      </w:pPr>
    </w:p>
    <w:p w14:paraId="05FD2EE4"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6.1. </w:t>
      </w:r>
      <w:r w:rsidR="00480FB1" w:rsidRPr="005474B2">
        <w:rPr>
          <w:b/>
          <w:bCs/>
          <w:sz w:val="22"/>
          <w:szCs w:val="22"/>
          <w:lang w:val="sr-Latn-ME"/>
        </w:rPr>
        <w:tab/>
      </w:r>
      <w:r w:rsidRPr="005474B2">
        <w:rPr>
          <w:b/>
          <w:bCs/>
          <w:sz w:val="22"/>
          <w:szCs w:val="22"/>
          <w:lang w:val="sr-Latn-ME"/>
        </w:rPr>
        <w:t>Lista pomoćnih supstanci</w:t>
      </w:r>
      <w:r w:rsidR="002E0135" w:rsidRPr="005474B2">
        <w:rPr>
          <w:b/>
          <w:bCs/>
          <w:sz w:val="22"/>
          <w:szCs w:val="22"/>
          <w:lang w:val="sr-Latn-ME"/>
        </w:rPr>
        <w:t xml:space="preserve"> (ekscipijenasa)</w:t>
      </w:r>
    </w:p>
    <w:p w14:paraId="5CFC8577" w14:textId="77777777" w:rsidR="0072020E" w:rsidRPr="005474B2" w:rsidRDefault="0072020E">
      <w:pPr>
        <w:tabs>
          <w:tab w:val="left" w:pos="540"/>
          <w:tab w:val="left" w:pos="569"/>
        </w:tabs>
        <w:jc w:val="both"/>
        <w:rPr>
          <w:bCs/>
          <w:sz w:val="22"/>
          <w:szCs w:val="22"/>
          <w:lang w:val="sr-Latn-ME"/>
        </w:rPr>
      </w:pPr>
    </w:p>
    <w:p w14:paraId="5E991F9D" w14:textId="7D46626D" w:rsidR="00DD093D" w:rsidRPr="005474B2" w:rsidRDefault="00DD093D">
      <w:pPr>
        <w:jc w:val="both"/>
        <w:outlineLvl w:val="0"/>
        <w:rPr>
          <w:sz w:val="22"/>
          <w:szCs w:val="22"/>
          <w:lang w:val="sr-Latn-ME"/>
        </w:rPr>
      </w:pPr>
      <w:r w:rsidRPr="005474B2">
        <w:rPr>
          <w:sz w:val="22"/>
          <w:szCs w:val="22"/>
          <w:lang w:val="sr-Latn-ME"/>
        </w:rPr>
        <w:t>Trehaloza</w:t>
      </w:r>
      <w:r w:rsidR="003D0030" w:rsidRPr="005474B2">
        <w:rPr>
          <w:sz w:val="22"/>
          <w:szCs w:val="22"/>
          <w:lang w:val="sr-Latn-ME"/>
        </w:rPr>
        <w:t xml:space="preserve"> </w:t>
      </w:r>
      <w:r w:rsidRPr="005474B2">
        <w:rPr>
          <w:sz w:val="22"/>
          <w:szCs w:val="22"/>
          <w:lang w:val="sr-Latn-ME"/>
        </w:rPr>
        <w:t>dihidrat;</w:t>
      </w:r>
    </w:p>
    <w:p w14:paraId="335EADC4" w14:textId="77777777" w:rsidR="00DD093D" w:rsidRPr="005474B2" w:rsidRDefault="00DD093D">
      <w:pPr>
        <w:jc w:val="both"/>
        <w:outlineLvl w:val="0"/>
        <w:rPr>
          <w:sz w:val="22"/>
          <w:szCs w:val="22"/>
          <w:lang w:val="sr-Latn-ME"/>
        </w:rPr>
      </w:pPr>
      <w:r w:rsidRPr="005474B2">
        <w:rPr>
          <w:sz w:val="22"/>
          <w:szCs w:val="22"/>
          <w:lang w:val="sr-Latn-ME"/>
        </w:rPr>
        <w:t>L-histidin/L-histidin-hidrohlorid, monohidrat;</w:t>
      </w:r>
    </w:p>
    <w:p w14:paraId="523D08FA" w14:textId="77777777" w:rsidR="00DD093D" w:rsidRPr="005474B2" w:rsidRDefault="00DD093D">
      <w:pPr>
        <w:jc w:val="both"/>
        <w:outlineLvl w:val="0"/>
        <w:rPr>
          <w:sz w:val="22"/>
          <w:szCs w:val="22"/>
          <w:lang w:val="sr-Latn-ME"/>
        </w:rPr>
      </w:pPr>
      <w:r w:rsidRPr="005474B2">
        <w:rPr>
          <w:sz w:val="22"/>
          <w:szCs w:val="22"/>
          <w:lang w:val="sr-Latn-ME"/>
        </w:rPr>
        <w:t>L-metionin;</w:t>
      </w:r>
    </w:p>
    <w:p w14:paraId="0A8E3152" w14:textId="77777777" w:rsidR="00DD093D" w:rsidRPr="005474B2" w:rsidRDefault="00DD093D">
      <w:pPr>
        <w:jc w:val="both"/>
        <w:outlineLvl w:val="0"/>
        <w:rPr>
          <w:sz w:val="22"/>
          <w:szCs w:val="22"/>
          <w:lang w:val="sr-Latn-ME"/>
        </w:rPr>
      </w:pPr>
      <w:r w:rsidRPr="005474B2">
        <w:rPr>
          <w:sz w:val="22"/>
          <w:szCs w:val="22"/>
          <w:lang w:val="sr-Latn-ME"/>
        </w:rPr>
        <w:t>Polisorbat 80;</w:t>
      </w:r>
    </w:p>
    <w:p w14:paraId="0C06C9BE" w14:textId="77777777" w:rsidR="00DD093D" w:rsidRPr="005474B2" w:rsidRDefault="00DD093D">
      <w:pPr>
        <w:jc w:val="both"/>
        <w:outlineLvl w:val="0"/>
        <w:rPr>
          <w:sz w:val="22"/>
          <w:szCs w:val="22"/>
          <w:lang w:val="sr-Latn-ME"/>
        </w:rPr>
      </w:pPr>
      <w:r w:rsidRPr="005474B2">
        <w:rPr>
          <w:sz w:val="22"/>
          <w:szCs w:val="22"/>
          <w:lang w:val="sr-Latn-ME"/>
        </w:rPr>
        <w:t>Voda za injekcije.</w:t>
      </w:r>
    </w:p>
    <w:p w14:paraId="7B764547" w14:textId="77777777" w:rsidR="00DD093D" w:rsidRPr="005474B2" w:rsidRDefault="00DD093D">
      <w:pPr>
        <w:tabs>
          <w:tab w:val="left" w:pos="540"/>
          <w:tab w:val="left" w:pos="569"/>
        </w:tabs>
        <w:jc w:val="both"/>
        <w:rPr>
          <w:bCs/>
          <w:sz w:val="22"/>
          <w:szCs w:val="22"/>
          <w:lang w:val="sr-Latn-ME"/>
        </w:rPr>
      </w:pPr>
    </w:p>
    <w:p w14:paraId="034CAB09"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6.2. </w:t>
      </w:r>
      <w:r w:rsidR="00480FB1" w:rsidRPr="005474B2">
        <w:rPr>
          <w:b/>
          <w:bCs/>
          <w:sz w:val="22"/>
          <w:szCs w:val="22"/>
          <w:lang w:val="sr-Latn-ME"/>
        </w:rPr>
        <w:tab/>
      </w:r>
      <w:r w:rsidRPr="005474B2">
        <w:rPr>
          <w:b/>
          <w:bCs/>
          <w:sz w:val="22"/>
          <w:szCs w:val="22"/>
          <w:lang w:val="sr-Latn-ME"/>
        </w:rPr>
        <w:t>Inkompatibilnost</w:t>
      </w:r>
      <w:r w:rsidR="002846DB" w:rsidRPr="005474B2">
        <w:rPr>
          <w:b/>
          <w:bCs/>
          <w:sz w:val="22"/>
          <w:szCs w:val="22"/>
          <w:lang w:val="sr-Latn-ME"/>
        </w:rPr>
        <w:t>i</w:t>
      </w:r>
    </w:p>
    <w:p w14:paraId="2F4A1DA9" w14:textId="77777777" w:rsidR="0072020E" w:rsidRPr="005474B2" w:rsidRDefault="0072020E">
      <w:pPr>
        <w:tabs>
          <w:tab w:val="left" w:pos="540"/>
          <w:tab w:val="left" w:pos="569"/>
        </w:tabs>
        <w:jc w:val="both"/>
        <w:rPr>
          <w:bCs/>
          <w:sz w:val="22"/>
          <w:szCs w:val="22"/>
          <w:lang w:val="sr-Latn-ME"/>
        </w:rPr>
      </w:pPr>
    </w:p>
    <w:p w14:paraId="4960A860" w14:textId="20D0BBE7" w:rsidR="00DD093D" w:rsidRPr="005474B2" w:rsidRDefault="00DD093D">
      <w:pPr>
        <w:jc w:val="both"/>
        <w:outlineLvl w:val="0"/>
        <w:rPr>
          <w:sz w:val="22"/>
          <w:szCs w:val="22"/>
          <w:lang w:val="sr-Latn-ME"/>
        </w:rPr>
      </w:pPr>
      <w:r w:rsidRPr="005474B2">
        <w:rPr>
          <w:sz w:val="22"/>
          <w:szCs w:val="22"/>
          <w:lang w:val="sr-Latn-ME"/>
        </w:rPr>
        <w:t>U odsustvu ispitivanja kompatibilnosti, ovaj l</w:t>
      </w:r>
      <w:r w:rsidR="004800C6" w:rsidRPr="005474B2">
        <w:rPr>
          <w:sz w:val="22"/>
          <w:szCs w:val="22"/>
          <w:lang w:val="sr-Latn-ME"/>
        </w:rPr>
        <w:t>ij</w:t>
      </w:r>
      <w:r w:rsidRPr="005474B2">
        <w:rPr>
          <w:sz w:val="22"/>
          <w:szCs w:val="22"/>
          <w:lang w:val="sr-Latn-ME"/>
        </w:rPr>
        <w:t>ek se ne sm</w:t>
      </w:r>
      <w:r w:rsidR="004800C6" w:rsidRPr="005474B2">
        <w:rPr>
          <w:sz w:val="22"/>
          <w:szCs w:val="22"/>
          <w:lang w:val="sr-Latn-ME"/>
        </w:rPr>
        <w:t>ij</w:t>
      </w:r>
      <w:r w:rsidRPr="005474B2">
        <w:rPr>
          <w:sz w:val="22"/>
          <w:szCs w:val="22"/>
          <w:lang w:val="sr-Latn-ME"/>
        </w:rPr>
        <w:t>e m</w:t>
      </w:r>
      <w:r w:rsidR="000538E6" w:rsidRPr="005474B2">
        <w:rPr>
          <w:sz w:val="22"/>
          <w:szCs w:val="22"/>
          <w:lang w:val="sr-Latn-ME"/>
        </w:rPr>
        <w:t>ij</w:t>
      </w:r>
      <w:r w:rsidRPr="005474B2">
        <w:rPr>
          <w:sz w:val="22"/>
          <w:szCs w:val="22"/>
          <w:lang w:val="sr-Latn-ME"/>
        </w:rPr>
        <w:t>ešati sa drugim l</w:t>
      </w:r>
      <w:r w:rsidR="00C32DC7" w:rsidRPr="005474B2">
        <w:rPr>
          <w:sz w:val="22"/>
          <w:szCs w:val="22"/>
          <w:lang w:val="sr-Latn-ME"/>
        </w:rPr>
        <w:t>j</w:t>
      </w:r>
      <w:r w:rsidRPr="005474B2">
        <w:rPr>
          <w:sz w:val="22"/>
          <w:szCs w:val="22"/>
          <w:lang w:val="sr-Latn-ME"/>
        </w:rPr>
        <w:t>ekovima.</w:t>
      </w:r>
    </w:p>
    <w:p w14:paraId="1C283C66" w14:textId="77777777" w:rsidR="00DD093D" w:rsidRPr="005474B2" w:rsidRDefault="00DD093D">
      <w:pPr>
        <w:tabs>
          <w:tab w:val="left" w:pos="540"/>
          <w:tab w:val="left" w:pos="569"/>
        </w:tabs>
        <w:jc w:val="both"/>
        <w:rPr>
          <w:bCs/>
          <w:sz w:val="22"/>
          <w:szCs w:val="22"/>
          <w:lang w:val="sr-Latn-ME"/>
        </w:rPr>
      </w:pPr>
    </w:p>
    <w:p w14:paraId="4EA1E082"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6.3.</w:t>
      </w:r>
      <w:r w:rsidR="00C05DF8" w:rsidRPr="005474B2">
        <w:rPr>
          <w:b/>
          <w:bCs/>
          <w:sz w:val="22"/>
          <w:szCs w:val="22"/>
          <w:lang w:val="sr-Latn-ME"/>
        </w:rPr>
        <w:t xml:space="preserve"> </w:t>
      </w:r>
      <w:r w:rsidR="00480FB1" w:rsidRPr="005474B2">
        <w:rPr>
          <w:b/>
          <w:bCs/>
          <w:sz w:val="22"/>
          <w:szCs w:val="22"/>
          <w:lang w:val="sr-Latn-ME"/>
        </w:rPr>
        <w:tab/>
      </w:r>
      <w:r w:rsidRPr="005474B2">
        <w:rPr>
          <w:b/>
          <w:bCs/>
          <w:sz w:val="22"/>
          <w:szCs w:val="22"/>
          <w:lang w:val="sr-Latn-ME"/>
        </w:rPr>
        <w:t>Rok upotrebe</w:t>
      </w:r>
    </w:p>
    <w:p w14:paraId="332EB1B2" w14:textId="77777777" w:rsidR="0072020E" w:rsidRPr="005474B2" w:rsidRDefault="0072020E">
      <w:pPr>
        <w:tabs>
          <w:tab w:val="left" w:pos="540"/>
          <w:tab w:val="left" w:pos="569"/>
        </w:tabs>
        <w:jc w:val="both"/>
        <w:rPr>
          <w:bCs/>
          <w:sz w:val="22"/>
          <w:szCs w:val="22"/>
          <w:lang w:val="sr-Latn-ME"/>
        </w:rPr>
      </w:pPr>
    </w:p>
    <w:p w14:paraId="2163C4AB" w14:textId="22BD5FFF" w:rsidR="00DD093D" w:rsidRPr="005474B2" w:rsidRDefault="007C42CB">
      <w:pPr>
        <w:shd w:val="clear" w:color="auto" w:fill="FFFFFF"/>
        <w:tabs>
          <w:tab w:val="left" w:pos="284"/>
        </w:tabs>
        <w:jc w:val="both"/>
        <w:rPr>
          <w:color w:val="000000"/>
          <w:sz w:val="22"/>
          <w:szCs w:val="22"/>
          <w:lang w:val="sr-Latn-ME"/>
        </w:rPr>
      </w:pPr>
      <w:r w:rsidRPr="005474B2">
        <w:rPr>
          <w:color w:val="000000"/>
          <w:sz w:val="22"/>
          <w:szCs w:val="22"/>
          <w:lang w:val="sr-Latn-ME"/>
        </w:rPr>
        <w:t>2 godine.</w:t>
      </w:r>
    </w:p>
    <w:p w14:paraId="0B7CA725" w14:textId="15163858" w:rsidR="00DD093D" w:rsidRPr="005474B2" w:rsidRDefault="00DD093D">
      <w:pPr>
        <w:tabs>
          <w:tab w:val="left" w:pos="284"/>
        </w:tabs>
        <w:jc w:val="both"/>
        <w:rPr>
          <w:sz w:val="22"/>
          <w:szCs w:val="22"/>
          <w:lang w:val="sr-Latn-ME"/>
        </w:rPr>
      </w:pPr>
      <w:r w:rsidRPr="005474B2">
        <w:rPr>
          <w:sz w:val="22"/>
          <w:szCs w:val="22"/>
          <w:lang w:val="sr-Latn-ME"/>
        </w:rPr>
        <w:lastRenderedPageBreak/>
        <w:t>Ukoliko je potrebno, l</w:t>
      </w:r>
      <w:r w:rsidR="004800C6" w:rsidRPr="005474B2">
        <w:rPr>
          <w:sz w:val="22"/>
          <w:szCs w:val="22"/>
          <w:lang w:val="sr-Latn-ME"/>
        </w:rPr>
        <w:t>ij</w:t>
      </w:r>
      <w:r w:rsidRPr="005474B2">
        <w:rPr>
          <w:sz w:val="22"/>
          <w:szCs w:val="22"/>
          <w:lang w:val="sr-Latn-ME"/>
        </w:rPr>
        <w:t xml:space="preserve">ek Cosentyx može da bude izvan frižidera </w:t>
      </w:r>
      <w:r w:rsidR="005F72ED" w:rsidRPr="005474B2">
        <w:rPr>
          <w:sz w:val="22"/>
          <w:szCs w:val="22"/>
          <w:lang w:val="sr-Latn-ME"/>
        </w:rPr>
        <w:t xml:space="preserve">jednokratno </w:t>
      </w:r>
      <w:r w:rsidRPr="005474B2">
        <w:rPr>
          <w:sz w:val="22"/>
          <w:szCs w:val="22"/>
          <w:lang w:val="sr-Latn-ME"/>
        </w:rPr>
        <w:t>do 4 dana na sobnoj temperaturi, ali ne iznad 30 ºC.</w:t>
      </w:r>
    </w:p>
    <w:p w14:paraId="4824F3CF" w14:textId="77777777" w:rsidR="00DD093D" w:rsidRPr="005474B2" w:rsidRDefault="00DD093D">
      <w:pPr>
        <w:tabs>
          <w:tab w:val="left" w:pos="540"/>
          <w:tab w:val="left" w:pos="569"/>
        </w:tabs>
        <w:jc w:val="both"/>
        <w:rPr>
          <w:bCs/>
          <w:sz w:val="22"/>
          <w:szCs w:val="22"/>
          <w:lang w:val="sr-Latn-ME"/>
        </w:rPr>
      </w:pPr>
    </w:p>
    <w:p w14:paraId="4CAA1CF9"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6.4. </w:t>
      </w:r>
      <w:r w:rsidR="00480FB1" w:rsidRPr="005474B2">
        <w:rPr>
          <w:b/>
          <w:bCs/>
          <w:sz w:val="22"/>
          <w:szCs w:val="22"/>
          <w:lang w:val="sr-Latn-ME"/>
        </w:rPr>
        <w:tab/>
      </w:r>
      <w:r w:rsidRPr="005474B2">
        <w:rPr>
          <w:b/>
          <w:bCs/>
          <w:sz w:val="22"/>
          <w:szCs w:val="22"/>
          <w:lang w:val="sr-Latn-ME"/>
        </w:rPr>
        <w:t>Posebne mjere upozorenja pri čuvanju</w:t>
      </w:r>
      <w:r w:rsidR="00F8570A" w:rsidRPr="005474B2">
        <w:rPr>
          <w:b/>
          <w:bCs/>
          <w:sz w:val="22"/>
          <w:szCs w:val="22"/>
          <w:lang w:val="sr-Latn-ME"/>
        </w:rPr>
        <w:t xml:space="preserve"> lijeka</w:t>
      </w:r>
    </w:p>
    <w:p w14:paraId="35264EF4" w14:textId="77777777" w:rsidR="00EC2532" w:rsidRPr="005474B2" w:rsidRDefault="00EC2532">
      <w:pPr>
        <w:tabs>
          <w:tab w:val="left" w:pos="540"/>
          <w:tab w:val="left" w:pos="569"/>
        </w:tabs>
        <w:jc w:val="both"/>
        <w:rPr>
          <w:bCs/>
          <w:sz w:val="22"/>
          <w:szCs w:val="22"/>
          <w:lang w:val="sr-Latn-ME"/>
        </w:rPr>
      </w:pPr>
    </w:p>
    <w:p w14:paraId="19AFBFF5" w14:textId="77777777" w:rsidR="00DD093D" w:rsidRPr="005474B2" w:rsidRDefault="00DD093D">
      <w:pPr>
        <w:tabs>
          <w:tab w:val="left" w:pos="284"/>
        </w:tabs>
        <w:jc w:val="both"/>
        <w:rPr>
          <w:sz w:val="22"/>
          <w:szCs w:val="22"/>
          <w:lang w:val="sr-Latn-ME"/>
        </w:rPr>
      </w:pPr>
      <w:r w:rsidRPr="005474B2">
        <w:rPr>
          <w:sz w:val="22"/>
          <w:szCs w:val="22"/>
          <w:lang w:val="sr-Latn-ME"/>
        </w:rPr>
        <w:t>Čuvati u frižideru (2ºC - 8ºC). Ne zamrzavati.</w:t>
      </w:r>
    </w:p>
    <w:p w14:paraId="0663E144" w14:textId="09E479B8" w:rsidR="00DD093D" w:rsidRPr="005474B2" w:rsidRDefault="00DD093D">
      <w:pPr>
        <w:tabs>
          <w:tab w:val="left" w:pos="284"/>
        </w:tabs>
        <w:jc w:val="both"/>
        <w:rPr>
          <w:sz w:val="22"/>
          <w:szCs w:val="22"/>
          <w:lang w:val="sr-Latn-ME"/>
        </w:rPr>
      </w:pPr>
      <w:r w:rsidRPr="005474B2">
        <w:rPr>
          <w:sz w:val="22"/>
          <w:szCs w:val="22"/>
          <w:lang w:val="sr-Latn-ME"/>
        </w:rPr>
        <w:t>Čuvati u originalnom pakovanju radi zaštite od sv</w:t>
      </w:r>
      <w:r w:rsidR="00C32DC7" w:rsidRPr="005474B2">
        <w:rPr>
          <w:sz w:val="22"/>
          <w:szCs w:val="22"/>
          <w:lang w:val="sr-Latn-ME"/>
        </w:rPr>
        <w:t>j</w:t>
      </w:r>
      <w:r w:rsidRPr="005474B2">
        <w:rPr>
          <w:sz w:val="22"/>
          <w:szCs w:val="22"/>
          <w:lang w:val="sr-Latn-ME"/>
        </w:rPr>
        <w:t>etlosti.</w:t>
      </w:r>
    </w:p>
    <w:p w14:paraId="40C59737" w14:textId="77777777" w:rsidR="00DD093D" w:rsidRPr="005474B2" w:rsidRDefault="00DD093D">
      <w:pPr>
        <w:tabs>
          <w:tab w:val="left" w:pos="540"/>
          <w:tab w:val="left" w:pos="569"/>
        </w:tabs>
        <w:jc w:val="both"/>
        <w:rPr>
          <w:bCs/>
          <w:sz w:val="22"/>
          <w:szCs w:val="22"/>
          <w:lang w:val="sr-Latn-ME"/>
        </w:rPr>
      </w:pPr>
    </w:p>
    <w:p w14:paraId="7746E494"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6.5. </w:t>
      </w:r>
      <w:r w:rsidR="00480FB1" w:rsidRPr="005474B2">
        <w:rPr>
          <w:b/>
          <w:bCs/>
          <w:sz w:val="22"/>
          <w:szCs w:val="22"/>
          <w:lang w:val="sr-Latn-ME"/>
        </w:rPr>
        <w:tab/>
      </w:r>
      <w:r w:rsidR="002846DB" w:rsidRPr="005474B2">
        <w:rPr>
          <w:b/>
          <w:bCs/>
          <w:sz w:val="22"/>
          <w:szCs w:val="22"/>
          <w:lang w:val="sr-Latn-ME"/>
        </w:rPr>
        <w:t xml:space="preserve">Vrsta i sadržaj </w:t>
      </w:r>
      <w:r w:rsidR="00F8570A" w:rsidRPr="005474B2">
        <w:rPr>
          <w:b/>
          <w:bCs/>
          <w:sz w:val="22"/>
          <w:szCs w:val="22"/>
          <w:lang w:val="sr-Latn-ME"/>
        </w:rPr>
        <w:t>pakovanja</w:t>
      </w:r>
      <w:r w:rsidR="00C06864" w:rsidRPr="005474B2">
        <w:rPr>
          <w:b/>
          <w:bCs/>
          <w:sz w:val="22"/>
          <w:szCs w:val="22"/>
          <w:lang w:val="sr-Latn-ME"/>
        </w:rPr>
        <w:t xml:space="preserve"> </w:t>
      </w:r>
    </w:p>
    <w:p w14:paraId="75BC0C88" w14:textId="77777777" w:rsidR="0072020E" w:rsidRPr="005474B2" w:rsidRDefault="0072020E">
      <w:pPr>
        <w:tabs>
          <w:tab w:val="left" w:pos="540"/>
          <w:tab w:val="left" w:pos="569"/>
        </w:tabs>
        <w:jc w:val="both"/>
        <w:rPr>
          <w:bCs/>
          <w:sz w:val="22"/>
          <w:szCs w:val="22"/>
          <w:lang w:val="sr-Latn-ME"/>
        </w:rPr>
      </w:pPr>
    </w:p>
    <w:p w14:paraId="29E540D6" w14:textId="01E0E6E8" w:rsidR="00C32DC7" w:rsidRPr="005474B2" w:rsidRDefault="0060699C">
      <w:pPr>
        <w:autoSpaceDE w:val="0"/>
        <w:autoSpaceDN w:val="0"/>
        <w:adjustRightInd w:val="0"/>
        <w:jc w:val="both"/>
        <w:rPr>
          <w:sz w:val="22"/>
          <w:szCs w:val="22"/>
          <w:lang w:val="sr-Latn-ME"/>
        </w:rPr>
      </w:pPr>
      <w:r w:rsidRPr="005474B2">
        <w:rPr>
          <w:sz w:val="22"/>
          <w:szCs w:val="22"/>
          <w:lang w:val="sr-Latn-ME"/>
        </w:rPr>
        <w:t xml:space="preserve">Lijek </w:t>
      </w:r>
      <w:bookmarkStart w:id="19" w:name="_Hlk77334322"/>
      <w:r w:rsidR="00DD093D" w:rsidRPr="005474B2">
        <w:rPr>
          <w:sz w:val="22"/>
          <w:szCs w:val="22"/>
          <w:lang w:val="sr-Latn-ME"/>
        </w:rPr>
        <w:t xml:space="preserve">Cosentyx </w:t>
      </w:r>
      <w:r w:rsidR="00B60185" w:rsidRPr="005474B2">
        <w:rPr>
          <w:sz w:val="22"/>
          <w:szCs w:val="22"/>
          <w:lang w:val="sr-Latn-ME"/>
        </w:rPr>
        <w:t xml:space="preserve">300 mg </w:t>
      </w:r>
      <w:r w:rsidR="00FF1CF8" w:rsidRPr="005474B2">
        <w:rPr>
          <w:sz w:val="22"/>
          <w:szCs w:val="22"/>
          <w:lang w:val="sr-Latn-ME"/>
        </w:rPr>
        <w:t>rastvor za injekciju u napunjenom injekcionom penu</w:t>
      </w:r>
      <w:r w:rsidR="00B60185" w:rsidRPr="005474B2">
        <w:rPr>
          <w:sz w:val="22"/>
          <w:szCs w:val="22"/>
          <w:lang w:val="sr-Latn-ME"/>
        </w:rPr>
        <w:t xml:space="preserve"> </w:t>
      </w:r>
      <w:bookmarkEnd w:id="19"/>
      <w:r w:rsidR="00DD093D" w:rsidRPr="005474B2">
        <w:rPr>
          <w:sz w:val="22"/>
          <w:szCs w:val="22"/>
          <w:lang w:val="sr-Latn-ME"/>
        </w:rPr>
        <w:t>je pakovan u napunjeni injekcioni špric nam</w:t>
      </w:r>
      <w:r w:rsidR="000538E6" w:rsidRPr="005474B2">
        <w:rPr>
          <w:sz w:val="22"/>
          <w:szCs w:val="22"/>
          <w:lang w:val="sr-Latn-ME"/>
        </w:rPr>
        <w:t>ij</w:t>
      </w:r>
      <w:r w:rsidR="00DD093D" w:rsidRPr="005474B2">
        <w:rPr>
          <w:sz w:val="22"/>
          <w:szCs w:val="22"/>
          <w:lang w:val="sr-Latn-ME"/>
        </w:rPr>
        <w:t xml:space="preserve">enjen za pojedinačnu </w:t>
      </w:r>
      <w:r w:rsidR="009A4880" w:rsidRPr="005474B2">
        <w:rPr>
          <w:sz w:val="22"/>
          <w:szCs w:val="22"/>
          <w:lang w:val="sr-Latn-ME"/>
        </w:rPr>
        <w:t>primjenu</w:t>
      </w:r>
      <w:r w:rsidR="00DD093D" w:rsidRPr="005474B2">
        <w:rPr>
          <w:sz w:val="22"/>
          <w:szCs w:val="22"/>
          <w:lang w:val="sr-Latn-ME"/>
        </w:rPr>
        <w:t xml:space="preserve">, koji je postavljen u pen </w:t>
      </w:r>
      <w:r w:rsidR="007966A7" w:rsidRPr="005474B2">
        <w:rPr>
          <w:sz w:val="22"/>
          <w:szCs w:val="22"/>
          <w:lang w:val="sr-Latn-ME"/>
        </w:rPr>
        <w:t>kvadratnog</w:t>
      </w:r>
      <w:r w:rsidR="003D0030" w:rsidRPr="005474B2">
        <w:rPr>
          <w:sz w:val="22"/>
          <w:szCs w:val="22"/>
          <w:lang w:val="sr-Latn-ME"/>
        </w:rPr>
        <w:t xml:space="preserve"> </w:t>
      </w:r>
      <w:r w:rsidR="00DD093D" w:rsidRPr="005474B2">
        <w:rPr>
          <w:sz w:val="22"/>
          <w:szCs w:val="22"/>
          <w:lang w:val="sr-Latn-ME"/>
        </w:rPr>
        <w:t xml:space="preserve">oblika sa providnim kontrolnim prozorčićem i oznakom. </w:t>
      </w:r>
      <w:bookmarkStart w:id="20" w:name="_Hlk77341170"/>
      <w:r w:rsidR="00DD093D" w:rsidRPr="005474B2">
        <w:rPr>
          <w:sz w:val="22"/>
          <w:szCs w:val="22"/>
          <w:lang w:val="sr-Latn-ME"/>
        </w:rPr>
        <w:t xml:space="preserve">Napunjeni injekcioni špric unutar pena je stakleni špric od </w:t>
      </w:r>
      <w:r w:rsidR="00B60185" w:rsidRPr="005474B2">
        <w:rPr>
          <w:sz w:val="22"/>
          <w:szCs w:val="22"/>
          <w:lang w:val="sr-Latn-ME"/>
        </w:rPr>
        <w:t xml:space="preserve">2,25 </w:t>
      </w:r>
      <w:r w:rsidR="00DD093D" w:rsidRPr="005474B2">
        <w:rPr>
          <w:sz w:val="22"/>
          <w:szCs w:val="22"/>
          <w:lang w:val="sr-Latn-ME"/>
        </w:rPr>
        <w:t>m</w:t>
      </w:r>
      <w:r w:rsidR="005F72ED" w:rsidRPr="005474B2">
        <w:rPr>
          <w:sz w:val="22"/>
          <w:szCs w:val="22"/>
          <w:lang w:val="sr-Latn-ME"/>
        </w:rPr>
        <w:t>l</w:t>
      </w:r>
      <w:r w:rsidR="00DD093D" w:rsidRPr="005474B2">
        <w:rPr>
          <w:sz w:val="22"/>
          <w:szCs w:val="22"/>
          <w:lang w:val="sr-Latn-ME"/>
        </w:rPr>
        <w:t xml:space="preserve"> sa čepom klipa </w:t>
      </w:r>
      <w:r w:rsidR="00B60185" w:rsidRPr="005474B2">
        <w:rPr>
          <w:sz w:val="22"/>
          <w:szCs w:val="22"/>
          <w:lang w:val="sr-Latn-ME"/>
        </w:rPr>
        <w:t>od bromobutilne gume obložen silikonom, pričvršćenom iglom 27G x ½″ i čvrstim štitnikom igle od sintetičke poliizoprenske gume.</w:t>
      </w:r>
      <w:bookmarkEnd w:id="20"/>
    </w:p>
    <w:p w14:paraId="20B68341" w14:textId="1D1E2E5C" w:rsidR="00DD093D" w:rsidRPr="005474B2" w:rsidRDefault="00B60185">
      <w:pPr>
        <w:autoSpaceDE w:val="0"/>
        <w:autoSpaceDN w:val="0"/>
        <w:adjustRightInd w:val="0"/>
        <w:jc w:val="both"/>
        <w:rPr>
          <w:sz w:val="22"/>
          <w:szCs w:val="22"/>
          <w:lang w:val="sr-Latn-ME"/>
        </w:rPr>
      </w:pPr>
      <w:r w:rsidRPr="005474B2">
        <w:rPr>
          <w:sz w:val="22"/>
          <w:szCs w:val="22"/>
          <w:lang w:val="sr-Latn-ME"/>
        </w:rPr>
        <w:t xml:space="preserve"> </w:t>
      </w:r>
    </w:p>
    <w:p w14:paraId="14D611E8" w14:textId="1E58A7AA" w:rsidR="00DD093D" w:rsidRPr="005474B2" w:rsidRDefault="00DD093D">
      <w:pPr>
        <w:autoSpaceDE w:val="0"/>
        <w:autoSpaceDN w:val="0"/>
        <w:adjustRightInd w:val="0"/>
        <w:jc w:val="both"/>
        <w:rPr>
          <w:sz w:val="22"/>
          <w:szCs w:val="22"/>
          <w:lang w:val="sr-Latn-ME"/>
        </w:rPr>
      </w:pPr>
      <w:r w:rsidRPr="005474B2">
        <w:rPr>
          <w:sz w:val="22"/>
          <w:szCs w:val="22"/>
          <w:lang w:val="sr-Latn-ME"/>
        </w:rPr>
        <w:t>Spoljašnje pakovanje</w:t>
      </w:r>
      <w:r w:rsidR="00B60185" w:rsidRPr="005474B2">
        <w:rPr>
          <w:sz w:val="22"/>
          <w:szCs w:val="22"/>
          <w:lang w:val="sr-Latn-ME"/>
        </w:rPr>
        <w:t xml:space="preserve"> </w:t>
      </w:r>
      <w:r w:rsidRPr="005474B2">
        <w:rPr>
          <w:sz w:val="22"/>
          <w:szCs w:val="22"/>
          <w:lang w:val="sr-Latn-ME"/>
        </w:rPr>
        <w:t>je složiva kartonska kutija koja sadrži 1 napunjen injekcion</w:t>
      </w:r>
      <w:r w:rsidR="00B60185" w:rsidRPr="005474B2">
        <w:rPr>
          <w:sz w:val="22"/>
          <w:szCs w:val="22"/>
          <w:lang w:val="sr-Latn-ME"/>
        </w:rPr>
        <w:t>i</w:t>
      </w:r>
      <w:r w:rsidRPr="005474B2">
        <w:rPr>
          <w:sz w:val="22"/>
          <w:szCs w:val="22"/>
          <w:lang w:val="sr-Latn-ME"/>
        </w:rPr>
        <w:t xml:space="preserve"> pen  i Uputstvo za l</w:t>
      </w:r>
      <w:r w:rsidR="004800C6" w:rsidRPr="005474B2">
        <w:rPr>
          <w:sz w:val="22"/>
          <w:szCs w:val="22"/>
          <w:lang w:val="sr-Latn-ME"/>
        </w:rPr>
        <w:t>ij</w:t>
      </w:r>
      <w:r w:rsidRPr="005474B2">
        <w:rPr>
          <w:sz w:val="22"/>
          <w:szCs w:val="22"/>
          <w:lang w:val="sr-Latn-ME"/>
        </w:rPr>
        <w:t>ek.</w:t>
      </w:r>
    </w:p>
    <w:p w14:paraId="7379BB15" w14:textId="77777777" w:rsidR="00DD093D" w:rsidRPr="005474B2" w:rsidRDefault="00DD093D">
      <w:pPr>
        <w:tabs>
          <w:tab w:val="left" w:pos="540"/>
          <w:tab w:val="left" w:pos="569"/>
        </w:tabs>
        <w:jc w:val="both"/>
        <w:rPr>
          <w:bCs/>
          <w:sz w:val="22"/>
          <w:szCs w:val="22"/>
          <w:lang w:val="sr-Latn-ME"/>
        </w:rPr>
      </w:pPr>
    </w:p>
    <w:p w14:paraId="200B119D" w14:textId="77777777" w:rsidR="002846DB"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6.6. </w:t>
      </w:r>
      <w:r w:rsidR="00480FB1" w:rsidRPr="005474B2">
        <w:rPr>
          <w:b/>
          <w:bCs/>
          <w:sz w:val="22"/>
          <w:szCs w:val="22"/>
          <w:lang w:val="sr-Latn-ME"/>
        </w:rPr>
        <w:tab/>
      </w:r>
      <w:r w:rsidRPr="005474B2">
        <w:rPr>
          <w:b/>
          <w:bCs/>
          <w:color w:val="000000"/>
          <w:sz w:val="22"/>
          <w:szCs w:val="22"/>
          <w:lang w:val="sr-Latn-ME"/>
        </w:rPr>
        <w:t>Posebne mjere opreza pri odlaganju materijala koji treba odbaciti nakon primjene lijeka</w:t>
      </w:r>
      <w:r w:rsidRPr="005474B2">
        <w:rPr>
          <w:b/>
          <w:bCs/>
          <w:sz w:val="22"/>
          <w:szCs w:val="22"/>
          <w:lang w:val="sr-Latn-ME"/>
        </w:rPr>
        <w:t xml:space="preserve"> </w:t>
      </w:r>
      <w:r w:rsidR="00310F03" w:rsidRPr="005474B2">
        <w:rPr>
          <w:b/>
          <w:bCs/>
          <w:sz w:val="22"/>
          <w:szCs w:val="22"/>
          <w:lang w:val="sr-Latn-ME"/>
        </w:rPr>
        <w:t>(i druga uputs</w:t>
      </w:r>
      <w:r w:rsidR="004109FA" w:rsidRPr="005474B2">
        <w:rPr>
          <w:b/>
          <w:bCs/>
          <w:sz w:val="22"/>
          <w:szCs w:val="22"/>
          <w:lang w:val="sr-Latn-ME"/>
        </w:rPr>
        <w:t>t</w:t>
      </w:r>
      <w:r w:rsidR="00310F03" w:rsidRPr="005474B2">
        <w:rPr>
          <w:b/>
          <w:bCs/>
          <w:sz w:val="22"/>
          <w:szCs w:val="22"/>
          <w:lang w:val="sr-Latn-ME"/>
        </w:rPr>
        <w:t xml:space="preserve">va za rukovanje lijekom) </w:t>
      </w:r>
    </w:p>
    <w:p w14:paraId="63AF669C" w14:textId="77777777" w:rsidR="00B66A70" w:rsidRPr="005474B2" w:rsidRDefault="00B66A70">
      <w:pPr>
        <w:tabs>
          <w:tab w:val="left" w:pos="540"/>
          <w:tab w:val="left" w:pos="569"/>
        </w:tabs>
        <w:jc w:val="both"/>
        <w:rPr>
          <w:b/>
          <w:bCs/>
          <w:sz w:val="22"/>
          <w:szCs w:val="22"/>
          <w:lang w:val="sr-Latn-ME"/>
        </w:rPr>
      </w:pPr>
    </w:p>
    <w:p w14:paraId="5B005FD0" w14:textId="103ADF2B" w:rsidR="00DD093D" w:rsidRPr="005474B2" w:rsidRDefault="00C32DC7">
      <w:pPr>
        <w:tabs>
          <w:tab w:val="center" w:pos="4536"/>
          <w:tab w:val="right" w:pos="9072"/>
        </w:tabs>
        <w:jc w:val="both"/>
        <w:rPr>
          <w:sz w:val="22"/>
          <w:szCs w:val="22"/>
          <w:lang w:val="sr-Latn-ME"/>
        </w:rPr>
      </w:pPr>
      <w:r w:rsidRPr="005474B2">
        <w:rPr>
          <w:sz w:val="22"/>
          <w:szCs w:val="22"/>
          <w:lang w:val="sr-Latn-ME"/>
        </w:rPr>
        <w:t xml:space="preserve">Lijek </w:t>
      </w:r>
      <w:r w:rsidR="00B60185" w:rsidRPr="005474B2">
        <w:rPr>
          <w:sz w:val="22"/>
          <w:szCs w:val="22"/>
          <w:lang w:val="sr-Latn-ME"/>
        </w:rPr>
        <w:t xml:space="preserve">Cosentyx 300 mg rastvor za injekciju u napunjenom injekcionom penu </w:t>
      </w:r>
      <w:r w:rsidR="00DD093D" w:rsidRPr="005474B2">
        <w:rPr>
          <w:sz w:val="22"/>
          <w:szCs w:val="22"/>
          <w:lang w:val="sr-Latn-ME"/>
        </w:rPr>
        <w:t xml:space="preserve">je pakovan u napunjeni injekcioni pen za </w:t>
      </w:r>
      <w:r w:rsidR="000538E6" w:rsidRPr="005474B2">
        <w:rPr>
          <w:sz w:val="22"/>
          <w:szCs w:val="22"/>
          <w:lang w:val="sr-Latn-ME"/>
        </w:rPr>
        <w:t>jednokratnu</w:t>
      </w:r>
      <w:r w:rsidR="00DD093D" w:rsidRPr="005474B2">
        <w:rPr>
          <w:sz w:val="22"/>
          <w:szCs w:val="22"/>
          <w:lang w:val="sr-Latn-ME"/>
        </w:rPr>
        <w:t xml:space="preserve"> </w:t>
      </w:r>
      <w:r w:rsidR="009A4880" w:rsidRPr="005474B2">
        <w:rPr>
          <w:sz w:val="22"/>
          <w:szCs w:val="22"/>
          <w:lang w:val="sr-Latn-ME"/>
        </w:rPr>
        <w:t>primjenu</w:t>
      </w:r>
      <w:r w:rsidR="00DD093D" w:rsidRPr="005474B2">
        <w:rPr>
          <w:sz w:val="22"/>
          <w:szCs w:val="22"/>
          <w:lang w:val="sr-Latn-ME"/>
        </w:rPr>
        <w:t xml:space="preserve">. Pen treba da se izvadi iz frižidera </w:t>
      </w:r>
      <w:r w:rsidR="00B60185" w:rsidRPr="005474B2">
        <w:rPr>
          <w:sz w:val="22"/>
          <w:szCs w:val="22"/>
          <w:lang w:val="sr-Latn-ME"/>
        </w:rPr>
        <w:t xml:space="preserve">30-45 </w:t>
      </w:r>
      <w:r w:rsidR="00DD093D" w:rsidRPr="005474B2">
        <w:rPr>
          <w:sz w:val="22"/>
          <w:szCs w:val="22"/>
          <w:lang w:val="sr-Latn-ME"/>
        </w:rPr>
        <w:t>minuta pr</w:t>
      </w:r>
      <w:r w:rsidR="000538E6" w:rsidRPr="005474B2">
        <w:rPr>
          <w:sz w:val="22"/>
          <w:szCs w:val="22"/>
          <w:lang w:val="sr-Latn-ME"/>
        </w:rPr>
        <w:t>ij</w:t>
      </w:r>
      <w:r w:rsidR="00DD093D" w:rsidRPr="005474B2">
        <w:rPr>
          <w:sz w:val="22"/>
          <w:szCs w:val="22"/>
          <w:lang w:val="sr-Latn-ME"/>
        </w:rPr>
        <w:t xml:space="preserve">e </w:t>
      </w:r>
      <w:r w:rsidR="000538E6" w:rsidRPr="005474B2">
        <w:rPr>
          <w:sz w:val="22"/>
          <w:szCs w:val="22"/>
          <w:lang w:val="sr-Latn-ME"/>
        </w:rPr>
        <w:t>primjene</w:t>
      </w:r>
      <w:r w:rsidR="00DD093D" w:rsidRPr="005474B2">
        <w:rPr>
          <w:sz w:val="22"/>
          <w:szCs w:val="22"/>
          <w:lang w:val="sr-Latn-ME"/>
        </w:rPr>
        <w:t xml:space="preserve"> kako bi </w:t>
      </w:r>
      <w:r w:rsidR="000538E6" w:rsidRPr="005474B2">
        <w:rPr>
          <w:sz w:val="22"/>
          <w:szCs w:val="22"/>
          <w:lang w:val="sr-Latn-ME"/>
        </w:rPr>
        <w:t>se omogućilo</w:t>
      </w:r>
      <w:r w:rsidR="00DD093D" w:rsidRPr="005474B2">
        <w:rPr>
          <w:sz w:val="22"/>
          <w:szCs w:val="22"/>
          <w:lang w:val="sr-Latn-ME"/>
        </w:rPr>
        <w:t xml:space="preserve"> da dostigne sobnu temperaturu.</w:t>
      </w:r>
    </w:p>
    <w:p w14:paraId="3868930B" w14:textId="77777777" w:rsidR="00DD093D" w:rsidRPr="005474B2" w:rsidRDefault="00DD093D">
      <w:pPr>
        <w:tabs>
          <w:tab w:val="center" w:pos="4536"/>
          <w:tab w:val="right" w:pos="9072"/>
        </w:tabs>
        <w:jc w:val="both"/>
        <w:rPr>
          <w:sz w:val="22"/>
          <w:szCs w:val="22"/>
          <w:lang w:val="sr-Latn-ME"/>
        </w:rPr>
      </w:pPr>
    </w:p>
    <w:p w14:paraId="0D8D2566" w14:textId="77777777" w:rsidR="003E29E6" w:rsidRPr="005474B2" w:rsidRDefault="00DD093D">
      <w:pPr>
        <w:tabs>
          <w:tab w:val="center" w:pos="4536"/>
          <w:tab w:val="right" w:pos="9072"/>
        </w:tabs>
        <w:jc w:val="both"/>
        <w:rPr>
          <w:sz w:val="22"/>
          <w:szCs w:val="22"/>
          <w:lang w:val="sr-Latn-ME"/>
        </w:rPr>
      </w:pPr>
      <w:r w:rsidRPr="005474B2">
        <w:rPr>
          <w:sz w:val="22"/>
          <w:szCs w:val="22"/>
          <w:lang w:val="sr-Latn-ME"/>
        </w:rPr>
        <w:t>Pr</w:t>
      </w:r>
      <w:r w:rsidR="004800C6" w:rsidRPr="005474B2">
        <w:rPr>
          <w:sz w:val="22"/>
          <w:szCs w:val="22"/>
          <w:lang w:val="sr-Latn-ME"/>
        </w:rPr>
        <w:t>ij</w:t>
      </w:r>
      <w:r w:rsidRPr="005474B2">
        <w:rPr>
          <w:sz w:val="22"/>
          <w:szCs w:val="22"/>
          <w:lang w:val="sr-Latn-ME"/>
        </w:rPr>
        <w:t xml:space="preserve">e upotrebe se preporučuje vizuelni pregled napunjenog </w:t>
      </w:r>
      <w:r w:rsidR="000538E6" w:rsidRPr="005474B2">
        <w:rPr>
          <w:sz w:val="22"/>
          <w:szCs w:val="22"/>
          <w:lang w:val="sr-Latn-ME"/>
        </w:rPr>
        <w:t xml:space="preserve">injekcionog </w:t>
      </w:r>
      <w:r w:rsidRPr="005474B2">
        <w:rPr>
          <w:sz w:val="22"/>
          <w:szCs w:val="22"/>
          <w:lang w:val="sr-Latn-ME"/>
        </w:rPr>
        <w:t>pena. Tečnost treba da bude bistra. Boja može da joj varira od bezbojne do sv</w:t>
      </w:r>
      <w:r w:rsidR="000538E6" w:rsidRPr="005474B2">
        <w:rPr>
          <w:sz w:val="22"/>
          <w:szCs w:val="22"/>
          <w:lang w:val="sr-Latn-ME"/>
        </w:rPr>
        <w:t>ij</w:t>
      </w:r>
      <w:r w:rsidRPr="005474B2">
        <w:rPr>
          <w:sz w:val="22"/>
          <w:szCs w:val="22"/>
          <w:lang w:val="sr-Latn-ME"/>
        </w:rPr>
        <w:t xml:space="preserve">etložute. Možda ćete </w:t>
      </w:r>
      <w:r w:rsidR="009A4880" w:rsidRPr="005474B2">
        <w:rPr>
          <w:sz w:val="22"/>
          <w:szCs w:val="22"/>
          <w:lang w:val="sr-Latn-ME"/>
        </w:rPr>
        <w:t>vidjet</w:t>
      </w:r>
      <w:r w:rsidRPr="005474B2">
        <w:rPr>
          <w:sz w:val="22"/>
          <w:szCs w:val="22"/>
          <w:lang w:val="sr-Latn-ME"/>
        </w:rPr>
        <w:t>i m</w:t>
      </w:r>
      <w:r w:rsidR="000538E6" w:rsidRPr="005474B2">
        <w:rPr>
          <w:sz w:val="22"/>
          <w:szCs w:val="22"/>
          <w:lang w:val="sr-Latn-ME"/>
        </w:rPr>
        <w:t>j</w:t>
      </w:r>
      <w:r w:rsidRPr="005474B2">
        <w:rPr>
          <w:sz w:val="22"/>
          <w:szCs w:val="22"/>
          <w:lang w:val="sr-Latn-ME"/>
        </w:rPr>
        <w:t xml:space="preserve">ehurić vazduha, što je normalno. Nemojte ga upotrebljavati ako tečnost sadrži lako vidljive čestice, ako je zamućena ili izrazito smeđa. </w:t>
      </w:r>
    </w:p>
    <w:p w14:paraId="1EDDD6BA" w14:textId="7617E3DA" w:rsidR="00DD093D" w:rsidRPr="005474B2" w:rsidRDefault="00DD093D">
      <w:pPr>
        <w:tabs>
          <w:tab w:val="center" w:pos="4536"/>
          <w:tab w:val="right" w:pos="9072"/>
        </w:tabs>
        <w:jc w:val="both"/>
        <w:rPr>
          <w:sz w:val="22"/>
          <w:szCs w:val="22"/>
          <w:lang w:val="sr-Latn-ME"/>
        </w:rPr>
      </w:pPr>
      <w:r w:rsidRPr="005474B2">
        <w:rPr>
          <w:sz w:val="22"/>
          <w:szCs w:val="22"/>
          <w:lang w:val="sr-Latn-ME"/>
        </w:rPr>
        <w:t>Detaljna uputstva za upotrebu su navedena u Uputstvu za l</w:t>
      </w:r>
      <w:r w:rsidR="004800C6" w:rsidRPr="005474B2">
        <w:rPr>
          <w:sz w:val="22"/>
          <w:szCs w:val="22"/>
          <w:lang w:val="sr-Latn-ME"/>
        </w:rPr>
        <w:t>ij</w:t>
      </w:r>
      <w:r w:rsidRPr="005474B2">
        <w:rPr>
          <w:sz w:val="22"/>
          <w:szCs w:val="22"/>
          <w:lang w:val="sr-Latn-ME"/>
        </w:rPr>
        <w:t>ek.</w:t>
      </w:r>
    </w:p>
    <w:p w14:paraId="3F836D38" w14:textId="77777777" w:rsidR="00DD093D" w:rsidRPr="005474B2" w:rsidRDefault="00DD093D">
      <w:pPr>
        <w:tabs>
          <w:tab w:val="center" w:pos="4536"/>
          <w:tab w:val="right" w:pos="9072"/>
        </w:tabs>
        <w:jc w:val="both"/>
        <w:rPr>
          <w:sz w:val="22"/>
          <w:szCs w:val="22"/>
          <w:lang w:val="sr-Latn-ME"/>
        </w:rPr>
      </w:pPr>
    </w:p>
    <w:p w14:paraId="3001DA68" w14:textId="079BDBE0" w:rsidR="00DD093D" w:rsidRPr="005474B2" w:rsidRDefault="000538E6">
      <w:pPr>
        <w:tabs>
          <w:tab w:val="left" w:pos="284"/>
        </w:tabs>
        <w:jc w:val="both"/>
        <w:rPr>
          <w:sz w:val="22"/>
          <w:szCs w:val="22"/>
          <w:lang w:val="sr-Latn-ME"/>
        </w:rPr>
      </w:pPr>
      <w:r w:rsidRPr="005474B2">
        <w:rPr>
          <w:sz w:val="22"/>
          <w:szCs w:val="22"/>
          <w:lang w:val="sr-Latn-ME"/>
        </w:rPr>
        <w:t>Neiskorišteni lijek ili otpadni materijal je potrebno ukloniti</w:t>
      </w:r>
      <w:r w:rsidR="00DD093D" w:rsidRPr="005474B2">
        <w:rPr>
          <w:sz w:val="22"/>
          <w:szCs w:val="22"/>
          <w:lang w:val="sr-Latn-ME"/>
        </w:rPr>
        <w:t xml:space="preserve"> u skladu sa važećim propisima.</w:t>
      </w:r>
    </w:p>
    <w:p w14:paraId="5224922F" w14:textId="62D6CA31" w:rsidR="00DD093D" w:rsidRPr="005474B2" w:rsidRDefault="00DD093D">
      <w:pPr>
        <w:tabs>
          <w:tab w:val="left" w:pos="540"/>
          <w:tab w:val="left" w:pos="569"/>
        </w:tabs>
        <w:jc w:val="both"/>
        <w:rPr>
          <w:b/>
          <w:bCs/>
          <w:sz w:val="22"/>
          <w:szCs w:val="22"/>
          <w:lang w:val="sr-Latn-ME"/>
        </w:rPr>
      </w:pPr>
    </w:p>
    <w:p w14:paraId="6517B1E9" w14:textId="77777777" w:rsidR="00820F8D" w:rsidRPr="005474B2" w:rsidRDefault="00820F8D">
      <w:pPr>
        <w:tabs>
          <w:tab w:val="left" w:pos="540"/>
          <w:tab w:val="left" w:pos="569"/>
        </w:tabs>
        <w:jc w:val="both"/>
        <w:rPr>
          <w:b/>
          <w:bCs/>
          <w:sz w:val="22"/>
          <w:szCs w:val="22"/>
          <w:lang w:val="sr-Latn-ME"/>
        </w:rPr>
      </w:pPr>
    </w:p>
    <w:p w14:paraId="53E1A03C" w14:textId="77777777" w:rsidR="00F8570A"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7. </w:t>
      </w:r>
      <w:r w:rsidR="00480FB1" w:rsidRPr="005474B2">
        <w:rPr>
          <w:b/>
          <w:bCs/>
          <w:sz w:val="22"/>
          <w:szCs w:val="22"/>
          <w:lang w:val="sr-Latn-ME"/>
        </w:rPr>
        <w:tab/>
      </w:r>
      <w:r w:rsidRPr="005474B2">
        <w:rPr>
          <w:b/>
          <w:bCs/>
          <w:sz w:val="22"/>
          <w:szCs w:val="22"/>
          <w:lang w:val="sr-Latn-ME"/>
        </w:rPr>
        <w:t>NOSILAC DOZVOLE</w:t>
      </w:r>
      <w:r w:rsidR="00483928" w:rsidRPr="005474B2">
        <w:rPr>
          <w:b/>
          <w:bCs/>
          <w:sz w:val="22"/>
          <w:szCs w:val="22"/>
          <w:lang w:val="sr-Latn-ME"/>
        </w:rPr>
        <w:t xml:space="preserve"> </w:t>
      </w:r>
    </w:p>
    <w:p w14:paraId="11CD11F0" w14:textId="77777777" w:rsidR="00C61BE0" w:rsidRPr="005474B2" w:rsidRDefault="00C61BE0">
      <w:pPr>
        <w:tabs>
          <w:tab w:val="left" w:pos="540"/>
          <w:tab w:val="left" w:pos="569"/>
        </w:tabs>
        <w:jc w:val="both"/>
        <w:rPr>
          <w:bCs/>
          <w:sz w:val="22"/>
          <w:szCs w:val="22"/>
          <w:lang w:val="sr-Latn-ME"/>
        </w:rPr>
      </w:pPr>
    </w:p>
    <w:p w14:paraId="0335EC7F" w14:textId="77777777" w:rsidR="00DD093D" w:rsidRPr="005474B2" w:rsidRDefault="00DD093D">
      <w:pPr>
        <w:tabs>
          <w:tab w:val="left" w:pos="540"/>
          <w:tab w:val="left" w:pos="569"/>
        </w:tabs>
        <w:jc w:val="both"/>
        <w:rPr>
          <w:bCs/>
          <w:sz w:val="22"/>
          <w:szCs w:val="22"/>
          <w:lang w:val="sr-Latn-ME"/>
        </w:rPr>
      </w:pPr>
      <w:r w:rsidRPr="005474B2">
        <w:rPr>
          <w:bCs/>
          <w:sz w:val="22"/>
          <w:szCs w:val="22"/>
          <w:lang w:val="sr-Latn-ME"/>
        </w:rPr>
        <w:t xml:space="preserve">“Novartis Pharma Services AG” dio stranog društva Podgorica </w:t>
      </w:r>
    </w:p>
    <w:p w14:paraId="46BE827A" w14:textId="0A957434" w:rsidR="00DD093D" w:rsidRPr="005474B2" w:rsidRDefault="00DD093D">
      <w:pPr>
        <w:tabs>
          <w:tab w:val="left" w:pos="540"/>
          <w:tab w:val="left" w:pos="569"/>
        </w:tabs>
        <w:jc w:val="both"/>
        <w:rPr>
          <w:bCs/>
          <w:sz w:val="22"/>
          <w:szCs w:val="22"/>
          <w:lang w:val="sr-Latn-ME"/>
        </w:rPr>
      </w:pPr>
      <w:r w:rsidRPr="005474B2">
        <w:rPr>
          <w:bCs/>
          <w:sz w:val="22"/>
          <w:szCs w:val="22"/>
          <w:lang w:val="sr-Latn-ME"/>
        </w:rPr>
        <w:t>Svetlane Kane Radević 3, 81000 Podgorica, Crna Gora</w:t>
      </w:r>
    </w:p>
    <w:p w14:paraId="2297AA76" w14:textId="77777777" w:rsidR="00820F8D" w:rsidRPr="005474B2" w:rsidRDefault="00820F8D">
      <w:pPr>
        <w:tabs>
          <w:tab w:val="left" w:pos="540"/>
          <w:tab w:val="left" w:pos="569"/>
        </w:tabs>
        <w:jc w:val="both"/>
        <w:rPr>
          <w:bCs/>
          <w:sz w:val="22"/>
          <w:szCs w:val="22"/>
          <w:lang w:val="sr-Latn-ME"/>
        </w:rPr>
      </w:pPr>
    </w:p>
    <w:p w14:paraId="15A060F6" w14:textId="77777777" w:rsidR="00C37FD7" w:rsidRPr="005474B2" w:rsidRDefault="00C37FD7">
      <w:pPr>
        <w:tabs>
          <w:tab w:val="left" w:pos="540"/>
          <w:tab w:val="left" w:pos="569"/>
        </w:tabs>
        <w:jc w:val="both"/>
        <w:rPr>
          <w:bCs/>
          <w:sz w:val="22"/>
          <w:szCs w:val="22"/>
          <w:lang w:val="sr-Latn-ME"/>
        </w:rPr>
      </w:pPr>
    </w:p>
    <w:p w14:paraId="44B4714B"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8. </w:t>
      </w:r>
      <w:r w:rsidR="00480FB1" w:rsidRPr="005474B2">
        <w:rPr>
          <w:b/>
          <w:bCs/>
          <w:sz w:val="22"/>
          <w:szCs w:val="22"/>
          <w:lang w:val="sr-Latn-ME"/>
        </w:rPr>
        <w:tab/>
      </w:r>
      <w:r w:rsidRPr="005474B2">
        <w:rPr>
          <w:b/>
          <w:bCs/>
          <w:sz w:val="22"/>
          <w:szCs w:val="22"/>
          <w:lang w:val="sr-Latn-ME"/>
        </w:rPr>
        <w:t>BROJ DOZVOLE</w:t>
      </w:r>
      <w:r w:rsidR="008A6D43" w:rsidRPr="005474B2">
        <w:rPr>
          <w:b/>
          <w:bCs/>
          <w:sz w:val="22"/>
          <w:szCs w:val="22"/>
          <w:lang w:val="sr-Latn-ME"/>
        </w:rPr>
        <w:t xml:space="preserve"> ZA STAVLJANJE LIJEKA U PROMET</w:t>
      </w:r>
    </w:p>
    <w:p w14:paraId="596B1F5D" w14:textId="29EA9D61" w:rsidR="0072020E" w:rsidRPr="005474B2" w:rsidRDefault="0072020E">
      <w:pPr>
        <w:tabs>
          <w:tab w:val="left" w:pos="540"/>
          <w:tab w:val="left" w:pos="569"/>
        </w:tabs>
        <w:jc w:val="both"/>
        <w:rPr>
          <w:bCs/>
          <w:sz w:val="22"/>
          <w:szCs w:val="22"/>
          <w:lang w:val="sr-Latn-ME"/>
        </w:rPr>
      </w:pPr>
    </w:p>
    <w:p w14:paraId="28A4529A" w14:textId="7EB344F1" w:rsidR="00820F8D" w:rsidRPr="005474B2" w:rsidRDefault="00820F8D">
      <w:pPr>
        <w:tabs>
          <w:tab w:val="left" w:pos="540"/>
          <w:tab w:val="left" w:pos="569"/>
        </w:tabs>
        <w:jc w:val="both"/>
        <w:rPr>
          <w:bCs/>
          <w:sz w:val="22"/>
          <w:szCs w:val="22"/>
          <w:lang w:val="sr-Latn-ME"/>
        </w:rPr>
      </w:pPr>
      <w:r w:rsidRPr="005474B2">
        <w:rPr>
          <w:bCs/>
          <w:sz w:val="22"/>
          <w:szCs w:val="22"/>
          <w:lang w:val="sr-Latn-ME"/>
        </w:rPr>
        <w:t>2030/22/1796 - 4971</w:t>
      </w:r>
    </w:p>
    <w:p w14:paraId="3E68DDE4" w14:textId="77777777" w:rsidR="00820F8D" w:rsidRPr="005474B2" w:rsidRDefault="00820F8D">
      <w:pPr>
        <w:tabs>
          <w:tab w:val="left" w:pos="540"/>
          <w:tab w:val="left" w:pos="569"/>
        </w:tabs>
        <w:jc w:val="both"/>
        <w:rPr>
          <w:bCs/>
          <w:sz w:val="22"/>
          <w:szCs w:val="22"/>
          <w:lang w:val="sr-Latn-ME"/>
        </w:rPr>
      </w:pPr>
    </w:p>
    <w:p w14:paraId="7D9F19CF" w14:textId="77777777" w:rsidR="00F45F77" w:rsidRPr="005474B2" w:rsidRDefault="00F45F77">
      <w:pPr>
        <w:tabs>
          <w:tab w:val="left" w:pos="540"/>
          <w:tab w:val="left" w:pos="569"/>
        </w:tabs>
        <w:jc w:val="both"/>
        <w:rPr>
          <w:bCs/>
          <w:sz w:val="22"/>
          <w:szCs w:val="22"/>
          <w:lang w:val="sr-Latn-ME"/>
        </w:rPr>
      </w:pPr>
    </w:p>
    <w:p w14:paraId="5BAE1109" w14:textId="77777777" w:rsidR="0072020E" w:rsidRPr="005474B2" w:rsidRDefault="0072020E">
      <w:pPr>
        <w:tabs>
          <w:tab w:val="left" w:pos="540"/>
          <w:tab w:val="left" w:pos="569"/>
        </w:tabs>
        <w:jc w:val="both"/>
        <w:rPr>
          <w:b/>
          <w:bCs/>
          <w:sz w:val="22"/>
          <w:szCs w:val="22"/>
          <w:lang w:val="sr-Latn-ME"/>
        </w:rPr>
      </w:pPr>
      <w:r w:rsidRPr="005474B2">
        <w:rPr>
          <w:b/>
          <w:bCs/>
          <w:sz w:val="22"/>
          <w:szCs w:val="22"/>
          <w:lang w:val="sr-Latn-ME"/>
        </w:rPr>
        <w:t xml:space="preserve">9. </w:t>
      </w:r>
      <w:r w:rsidR="00480FB1" w:rsidRPr="005474B2">
        <w:rPr>
          <w:b/>
          <w:bCs/>
          <w:sz w:val="22"/>
          <w:szCs w:val="22"/>
          <w:lang w:val="sr-Latn-ME"/>
        </w:rPr>
        <w:tab/>
      </w:r>
      <w:r w:rsidRPr="005474B2">
        <w:rPr>
          <w:b/>
          <w:bCs/>
          <w:sz w:val="22"/>
          <w:szCs w:val="22"/>
          <w:lang w:val="sr-Latn-ME"/>
        </w:rPr>
        <w:t xml:space="preserve">DATUM </w:t>
      </w:r>
      <w:r w:rsidR="00C05DF8" w:rsidRPr="005474B2">
        <w:rPr>
          <w:b/>
          <w:bCs/>
          <w:sz w:val="22"/>
          <w:szCs w:val="22"/>
          <w:lang w:val="sr-Latn-ME"/>
        </w:rPr>
        <w:t xml:space="preserve">PRVE </w:t>
      </w:r>
      <w:r w:rsidR="008A6D43" w:rsidRPr="005474B2">
        <w:rPr>
          <w:b/>
          <w:bCs/>
          <w:sz w:val="22"/>
          <w:szCs w:val="22"/>
          <w:lang w:val="sr-Latn-ME"/>
        </w:rPr>
        <w:t>DOZVOLE</w:t>
      </w:r>
      <w:r w:rsidR="00C05DF8" w:rsidRPr="005474B2">
        <w:rPr>
          <w:b/>
          <w:bCs/>
          <w:sz w:val="22"/>
          <w:szCs w:val="22"/>
          <w:lang w:val="sr-Latn-ME"/>
        </w:rPr>
        <w:t>/OBNOVE DOZVOLE</w:t>
      </w:r>
      <w:r w:rsidR="008A6D43" w:rsidRPr="005474B2">
        <w:rPr>
          <w:b/>
          <w:bCs/>
          <w:sz w:val="22"/>
          <w:szCs w:val="22"/>
          <w:lang w:val="sr-Latn-ME"/>
        </w:rPr>
        <w:t xml:space="preserve"> ZA STAVLJANJE LIJEKA U PROMET</w:t>
      </w:r>
    </w:p>
    <w:p w14:paraId="3FD06368" w14:textId="76902ACE" w:rsidR="0072020E" w:rsidRPr="005474B2" w:rsidRDefault="0072020E">
      <w:pPr>
        <w:tabs>
          <w:tab w:val="left" w:pos="540"/>
          <w:tab w:val="left" w:pos="569"/>
        </w:tabs>
        <w:jc w:val="both"/>
        <w:rPr>
          <w:bCs/>
          <w:sz w:val="22"/>
          <w:szCs w:val="22"/>
          <w:lang w:val="sr-Latn-ME"/>
        </w:rPr>
      </w:pPr>
    </w:p>
    <w:p w14:paraId="13C70F22" w14:textId="078DE8D5" w:rsidR="00820F8D" w:rsidRPr="005474B2" w:rsidRDefault="00820F8D">
      <w:pPr>
        <w:tabs>
          <w:tab w:val="left" w:pos="540"/>
          <w:tab w:val="left" w:pos="569"/>
        </w:tabs>
        <w:jc w:val="both"/>
        <w:rPr>
          <w:bCs/>
          <w:sz w:val="22"/>
          <w:szCs w:val="22"/>
          <w:lang w:val="sr-Latn-ME"/>
        </w:rPr>
      </w:pPr>
      <w:r w:rsidRPr="005474B2">
        <w:rPr>
          <w:bCs/>
          <w:sz w:val="22"/>
          <w:szCs w:val="22"/>
          <w:lang w:val="sr-Latn-ME"/>
        </w:rPr>
        <w:t>18.08.2022. godine</w:t>
      </w:r>
    </w:p>
    <w:p w14:paraId="6A29E49B" w14:textId="77777777" w:rsidR="00820F8D" w:rsidRPr="005474B2" w:rsidRDefault="00820F8D">
      <w:pPr>
        <w:tabs>
          <w:tab w:val="left" w:pos="540"/>
          <w:tab w:val="left" w:pos="569"/>
        </w:tabs>
        <w:jc w:val="both"/>
        <w:rPr>
          <w:bCs/>
          <w:sz w:val="22"/>
          <w:szCs w:val="22"/>
          <w:lang w:val="sr-Latn-ME"/>
        </w:rPr>
      </w:pPr>
    </w:p>
    <w:p w14:paraId="38825E27" w14:textId="77777777" w:rsidR="00836B35" w:rsidRPr="005474B2" w:rsidRDefault="00836B35">
      <w:pPr>
        <w:tabs>
          <w:tab w:val="left" w:pos="540"/>
          <w:tab w:val="left" w:pos="569"/>
        </w:tabs>
        <w:jc w:val="both"/>
        <w:rPr>
          <w:bCs/>
          <w:sz w:val="22"/>
          <w:szCs w:val="22"/>
          <w:lang w:val="sr-Latn-ME"/>
        </w:rPr>
      </w:pPr>
    </w:p>
    <w:p w14:paraId="7C62E20B" w14:textId="234E1D4E" w:rsidR="003F6A59" w:rsidRDefault="0072020E">
      <w:pPr>
        <w:tabs>
          <w:tab w:val="left" w:pos="540"/>
          <w:tab w:val="left" w:pos="569"/>
        </w:tabs>
        <w:ind w:left="540" w:hanging="540"/>
        <w:jc w:val="both"/>
        <w:rPr>
          <w:b/>
          <w:bCs/>
          <w:sz w:val="22"/>
          <w:szCs w:val="22"/>
          <w:lang w:val="sr-Latn-ME"/>
        </w:rPr>
      </w:pPr>
      <w:r w:rsidRPr="005474B2">
        <w:rPr>
          <w:b/>
          <w:bCs/>
          <w:sz w:val="22"/>
          <w:szCs w:val="22"/>
          <w:lang w:val="sr-Latn-ME"/>
        </w:rPr>
        <w:t xml:space="preserve">10. </w:t>
      </w:r>
      <w:r w:rsidR="00480FB1" w:rsidRPr="005474B2">
        <w:rPr>
          <w:b/>
          <w:bCs/>
          <w:sz w:val="22"/>
          <w:szCs w:val="22"/>
          <w:lang w:val="sr-Latn-ME"/>
        </w:rPr>
        <w:tab/>
      </w:r>
      <w:r w:rsidR="002846DB" w:rsidRPr="005474B2">
        <w:rPr>
          <w:b/>
          <w:bCs/>
          <w:sz w:val="22"/>
          <w:szCs w:val="22"/>
          <w:lang w:val="sr-Latn-ME"/>
        </w:rPr>
        <w:t>D</w:t>
      </w:r>
      <w:r w:rsidR="00EC2532" w:rsidRPr="005474B2">
        <w:rPr>
          <w:b/>
          <w:bCs/>
          <w:sz w:val="22"/>
          <w:szCs w:val="22"/>
          <w:lang w:val="sr-Latn-ME"/>
        </w:rPr>
        <w:t xml:space="preserve">ATUM REVIZIJE TEKSTA </w:t>
      </w:r>
    </w:p>
    <w:p w14:paraId="06C6EF37" w14:textId="4B53B2E8" w:rsidR="002F57A0" w:rsidRDefault="002F57A0">
      <w:pPr>
        <w:tabs>
          <w:tab w:val="left" w:pos="540"/>
          <w:tab w:val="left" w:pos="569"/>
        </w:tabs>
        <w:ind w:left="540" w:hanging="540"/>
        <w:jc w:val="both"/>
        <w:rPr>
          <w:b/>
          <w:bCs/>
          <w:sz w:val="22"/>
          <w:szCs w:val="22"/>
          <w:lang w:val="sr-Latn-ME"/>
        </w:rPr>
      </w:pPr>
    </w:p>
    <w:p w14:paraId="65033E74" w14:textId="3D02A209" w:rsidR="002F57A0" w:rsidRPr="002F57A0" w:rsidRDefault="002F57A0">
      <w:pPr>
        <w:tabs>
          <w:tab w:val="left" w:pos="540"/>
          <w:tab w:val="left" w:pos="569"/>
        </w:tabs>
        <w:ind w:left="540" w:hanging="540"/>
        <w:jc w:val="both"/>
        <w:rPr>
          <w:bCs/>
          <w:sz w:val="22"/>
          <w:szCs w:val="22"/>
          <w:lang w:val="sr-Latn-ME"/>
        </w:rPr>
      </w:pPr>
      <w:bookmarkStart w:id="21" w:name="_GoBack"/>
      <w:r w:rsidRPr="002F57A0">
        <w:rPr>
          <w:bCs/>
          <w:sz w:val="22"/>
          <w:szCs w:val="22"/>
          <w:lang w:val="sr-Latn-ME"/>
        </w:rPr>
        <w:t>Jul, 2025. godine</w:t>
      </w:r>
    </w:p>
    <w:bookmarkEnd w:id="21"/>
    <w:p w14:paraId="7781098B" w14:textId="28418163" w:rsidR="00820F8D" w:rsidRPr="005474B2" w:rsidRDefault="00820F8D">
      <w:pPr>
        <w:tabs>
          <w:tab w:val="left" w:pos="540"/>
          <w:tab w:val="left" w:pos="569"/>
        </w:tabs>
        <w:ind w:left="540" w:hanging="540"/>
        <w:jc w:val="both"/>
        <w:rPr>
          <w:b/>
          <w:bCs/>
          <w:sz w:val="22"/>
          <w:szCs w:val="22"/>
          <w:lang w:val="sr-Latn-ME"/>
        </w:rPr>
      </w:pPr>
    </w:p>
    <w:p w14:paraId="740D8BE7" w14:textId="6AB3E8EA" w:rsidR="00820F8D" w:rsidRPr="005474B2" w:rsidRDefault="00820F8D" w:rsidP="0009637B">
      <w:pPr>
        <w:tabs>
          <w:tab w:val="left" w:pos="540"/>
          <w:tab w:val="left" w:pos="569"/>
        </w:tabs>
        <w:ind w:left="540" w:hanging="540"/>
        <w:jc w:val="both"/>
        <w:rPr>
          <w:sz w:val="22"/>
          <w:szCs w:val="22"/>
          <w:lang w:val="sr-Latn-ME"/>
        </w:rPr>
      </w:pPr>
    </w:p>
    <w:sectPr w:rsidR="00820F8D" w:rsidRPr="005474B2" w:rsidSect="00EF3B86">
      <w:footerReference w:type="default" r:id="rId2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D7A00" w14:textId="77777777" w:rsidR="00204B20" w:rsidRDefault="00204B20">
      <w:r>
        <w:separator/>
      </w:r>
    </w:p>
  </w:endnote>
  <w:endnote w:type="continuationSeparator" w:id="0">
    <w:p w14:paraId="4C797E90" w14:textId="77777777" w:rsidR="00204B20" w:rsidRDefault="0020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PS-ItalicMT CE;Tim">
    <w:altName w:val="Times New Roman"/>
    <w:panose1 w:val="00000000000000000000"/>
    <w:charset w:val="00"/>
    <w:family w:val="roman"/>
    <w:notTrueType/>
    <w:pitch w:val="default"/>
  </w:font>
  <w:font w:name="TimesNewRomanPS-ItalicMT CE">
    <w:altName w:val="Times New Roman"/>
    <w:charset w:val="EE"/>
    <w:family w:val="roman"/>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6C5A" w14:textId="57E67DCA" w:rsidR="003D0030" w:rsidRPr="00B23F69" w:rsidRDefault="003D003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F57A0">
      <w:rPr>
        <w:noProof/>
        <w:sz w:val="22"/>
        <w:szCs w:val="22"/>
      </w:rPr>
      <w:t>34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F57A0">
      <w:rPr>
        <w:noProof/>
        <w:sz w:val="22"/>
        <w:szCs w:val="22"/>
      </w:rPr>
      <w:t>36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C9342" w14:textId="77777777" w:rsidR="00204B20" w:rsidRDefault="00204B20">
      <w:r>
        <w:separator/>
      </w:r>
    </w:p>
  </w:footnote>
  <w:footnote w:type="continuationSeparator" w:id="0">
    <w:p w14:paraId="4AF2F748" w14:textId="77777777" w:rsidR="00204B20" w:rsidRDefault="00204B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7pt;height:13.7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963634"/>
    <w:multiLevelType w:val="hybridMultilevel"/>
    <w:tmpl w:val="D8A4973E"/>
    <w:lvl w:ilvl="0" w:tplc="DA046AEA">
      <w:start w:val="1"/>
      <w:numFmt w:val="bullet"/>
      <w:lvlText w:val=""/>
      <w:lvlJc w:val="left"/>
      <w:pPr>
        <w:ind w:left="720" w:hanging="360"/>
      </w:pPr>
      <w:rPr>
        <w:rFonts w:ascii="Symbol" w:hAnsi="Symbol" w:hint="default"/>
      </w:rPr>
    </w:lvl>
    <w:lvl w:ilvl="1" w:tplc="EF427B84">
      <w:start w:val="1"/>
      <w:numFmt w:val="bullet"/>
      <w:lvlText w:val="o"/>
      <w:lvlJc w:val="left"/>
      <w:pPr>
        <w:ind w:left="1440" w:hanging="360"/>
      </w:pPr>
      <w:rPr>
        <w:rFonts w:ascii="Courier New" w:hAnsi="Courier New" w:cs="Courier New" w:hint="default"/>
      </w:rPr>
    </w:lvl>
    <w:lvl w:ilvl="2" w:tplc="166C8B58">
      <w:start w:val="1"/>
      <w:numFmt w:val="bullet"/>
      <w:lvlText w:val=""/>
      <w:lvlJc w:val="left"/>
      <w:pPr>
        <w:ind w:left="2160" w:hanging="360"/>
      </w:pPr>
      <w:rPr>
        <w:rFonts w:ascii="Wingdings" w:hAnsi="Wingdings" w:hint="default"/>
      </w:rPr>
    </w:lvl>
    <w:lvl w:ilvl="3" w:tplc="1BD89804">
      <w:start w:val="1"/>
      <w:numFmt w:val="bullet"/>
      <w:lvlText w:val=""/>
      <w:lvlJc w:val="left"/>
      <w:pPr>
        <w:ind w:left="2880" w:hanging="360"/>
      </w:pPr>
      <w:rPr>
        <w:rFonts w:ascii="Symbol" w:hAnsi="Symbol" w:hint="default"/>
      </w:rPr>
    </w:lvl>
    <w:lvl w:ilvl="4" w:tplc="3F8C43A8">
      <w:start w:val="1"/>
      <w:numFmt w:val="bullet"/>
      <w:lvlText w:val="o"/>
      <w:lvlJc w:val="left"/>
      <w:pPr>
        <w:ind w:left="3600" w:hanging="360"/>
      </w:pPr>
      <w:rPr>
        <w:rFonts w:ascii="Courier New" w:hAnsi="Courier New" w:cs="Courier New" w:hint="default"/>
      </w:rPr>
    </w:lvl>
    <w:lvl w:ilvl="5" w:tplc="D38E9508">
      <w:start w:val="1"/>
      <w:numFmt w:val="bullet"/>
      <w:lvlText w:val=""/>
      <w:lvlJc w:val="left"/>
      <w:pPr>
        <w:ind w:left="4320" w:hanging="360"/>
      </w:pPr>
      <w:rPr>
        <w:rFonts w:ascii="Wingdings" w:hAnsi="Wingdings" w:hint="default"/>
      </w:rPr>
    </w:lvl>
    <w:lvl w:ilvl="6" w:tplc="F8FEDF22">
      <w:start w:val="1"/>
      <w:numFmt w:val="bullet"/>
      <w:lvlText w:val=""/>
      <w:lvlJc w:val="left"/>
      <w:pPr>
        <w:ind w:left="5040" w:hanging="360"/>
      </w:pPr>
      <w:rPr>
        <w:rFonts w:ascii="Symbol" w:hAnsi="Symbol" w:hint="default"/>
      </w:rPr>
    </w:lvl>
    <w:lvl w:ilvl="7" w:tplc="D5EC71DA">
      <w:start w:val="1"/>
      <w:numFmt w:val="bullet"/>
      <w:lvlText w:val="o"/>
      <w:lvlJc w:val="left"/>
      <w:pPr>
        <w:ind w:left="5760" w:hanging="360"/>
      </w:pPr>
      <w:rPr>
        <w:rFonts w:ascii="Courier New" w:hAnsi="Courier New" w:cs="Courier New" w:hint="default"/>
      </w:rPr>
    </w:lvl>
    <w:lvl w:ilvl="8" w:tplc="2D880890">
      <w:start w:val="1"/>
      <w:numFmt w:val="bullet"/>
      <w:lvlText w:val=""/>
      <w:lvlJc w:val="left"/>
      <w:pPr>
        <w:ind w:left="6480" w:hanging="360"/>
      </w:pPr>
      <w:rPr>
        <w:rFonts w:ascii="Wingdings" w:hAnsi="Wingdings" w:hint="default"/>
      </w:r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861220B"/>
    <w:multiLevelType w:val="hybridMultilevel"/>
    <w:tmpl w:val="29725508"/>
    <w:lvl w:ilvl="0" w:tplc="ECCE2A5E">
      <w:start w:val="1"/>
      <w:numFmt w:val="bullet"/>
      <w:lvlText w:val=""/>
      <w:lvlJc w:val="left"/>
      <w:pPr>
        <w:ind w:left="720" w:hanging="360"/>
      </w:pPr>
      <w:rPr>
        <w:rFonts w:ascii="Symbol" w:hAnsi="Symbol" w:hint="default"/>
      </w:rPr>
    </w:lvl>
    <w:lvl w:ilvl="1" w:tplc="D7C66F64">
      <w:start w:val="1"/>
      <w:numFmt w:val="bullet"/>
      <w:lvlText w:val=""/>
      <w:lvlJc w:val="left"/>
      <w:pPr>
        <w:ind w:left="1440" w:hanging="360"/>
      </w:pPr>
      <w:rPr>
        <w:rFonts w:ascii="Symbol" w:hAnsi="Symbol" w:hint="default"/>
      </w:rPr>
    </w:lvl>
    <w:lvl w:ilvl="2" w:tplc="E15AE6C8">
      <w:start w:val="1"/>
      <w:numFmt w:val="bullet"/>
      <w:lvlText w:val=""/>
      <w:lvlJc w:val="left"/>
      <w:pPr>
        <w:ind w:left="2160" w:hanging="360"/>
      </w:pPr>
      <w:rPr>
        <w:rFonts w:ascii="Wingdings" w:hAnsi="Wingdings" w:hint="default"/>
      </w:rPr>
    </w:lvl>
    <w:lvl w:ilvl="3" w:tplc="4C9ED362">
      <w:start w:val="1"/>
      <w:numFmt w:val="bullet"/>
      <w:lvlText w:val=""/>
      <w:lvlJc w:val="left"/>
      <w:pPr>
        <w:ind w:left="2880" w:hanging="360"/>
      </w:pPr>
      <w:rPr>
        <w:rFonts w:ascii="Symbol" w:hAnsi="Symbol" w:hint="default"/>
      </w:rPr>
    </w:lvl>
    <w:lvl w:ilvl="4" w:tplc="12D4B1E8">
      <w:start w:val="1"/>
      <w:numFmt w:val="bullet"/>
      <w:lvlText w:val="o"/>
      <w:lvlJc w:val="left"/>
      <w:pPr>
        <w:ind w:left="3600" w:hanging="360"/>
      </w:pPr>
      <w:rPr>
        <w:rFonts w:ascii="Courier New" w:hAnsi="Courier New" w:cs="Courier New" w:hint="default"/>
      </w:rPr>
    </w:lvl>
    <w:lvl w:ilvl="5" w:tplc="AE6261DE">
      <w:start w:val="1"/>
      <w:numFmt w:val="bullet"/>
      <w:lvlText w:val=""/>
      <w:lvlJc w:val="left"/>
      <w:pPr>
        <w:ind w:left="4320" w:hanging="360"/>
      </w:pPr>
      <w:rPr>
        <w:rFonts w:ascii="Wingdings" w:hAnsi="Wingdings" w:hint="default"/>
      </w:rPr>
    </w:lvl>
    <w:lvl w:ilvl="6" w:tplc="FBCEB0B6">
      <w:start w:val="1"/>
      <w:numFmt w:val="bullet"/>
      <w:lvlText w:val=""/>
      <w:lvlJc w:val="left"/>
      <w:pPr>
        <w:ind w:left="5040" w:hanging="360"/>
      </w:pPr>
      <w:rPr>
        <w:rFonts w:ascii="Symbol" w:hAnsi="Symbol" w:hint="default"/>
      </w:rPr>
    </w:lvl>
    <w:lvl w:ilvl="7" w:tplc="C41CDDB8">
      <w:start w:val="1"/>
      <w:numFmt w:val="bullet"/>
      <w:lvlText w:val="o"/>
      <w:lvlJc w:val="left"/>
      <w:pPr>
        <w:ind w:left="5760" w:hanging="360"/>
      </w:pPr>
      <w:rPr>
        <w:rFonts w:ascii="Courier New" w:hAnsi="Courier New" w:cs="Courier New" w:hint="default"/>
      </w:rPr>
    </w:lvl>
    <w:lvl w:ilvl="8" w:tplc="80AA6FDE">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C23D6E"/>
    <w:multiLevelType w:val="hybridMultilevel"/>
    <w:tmpl w:val="E3C6B188"/>
    <w:lvl w:ilvl="0" w:tplc="DA847820">
      <w:start w:val="1"/>
      <w:numFmt w:val="bullet"/>
      <w:lvlText w:val=""/>
      <w:lvlJc w:val="left"/>
      <w:pPr>
        <w:ind w:left="720" w:hanging="360"/>
      </w:pPr>
      <w:rPr>
        <w:rFonts w:ascii="Symbol" w:hAnsi="Symbol" w:hint="default"/>
      </w:rPr>
    </w:lvl>
    <w:lvl w:ilvl="1" w:tplc="04ACA27C">
      <w:start w:val="1"/>
      <w:numFmt w:val="bullet"/>
      <w:lvlText w:val="o"/>
      <w:lvlJc w:val="left"/>
      <w:pPr>
        <w:ind w:left="1440" w:hanging="360"/>
      </w:pPr>
      <w:rPr>
        <w:rFonts w:ascii="Courier New" w:hAnsi="Courier New" w:cs="Courier New" w:hint="default"/>
      </w:rPr>
    </w:lvl>
    <w:lvl w:ilvl="2" w:tplc="1F28B5DA">
      <w:start w:val="1"/>
      <w:numFmt w:val="bullet"/>
      <w:lvlText w:val=""/>
      <w:lvlJc w:val="left"/>
      <w:pPr>
        <w:ind w:left="2160" w:hanging="360"/>
      </w:pPr>
      <w:rPr>
        <w:rFonts w:ascii="Wingdings" w:hAnsi="Wingdings" w:hint="default"/>
      </w:rPr>
    </w:lvl>
    <w:lvl w:ilvl="3" w:tplc="10527AEE">
      <w:start w:val="1"/>
      <w:numFmt w:val="bullet"/>
      <w:lvlText w:val=""/>
      <w:lvlJc w:val="left"/>
      <w:pPr>
        <w:ind w:left="2880" w:hanging="360"/>
      </w:pPr>
      <w:rPr>
        <w:rFonts w:ascii="Symbol" w:hAnsi="Symbol" w:hint="default"/>
      </w:rPr>
    </w:lvl>
    <w:lvl w:ilvl="4" w:tplc="9868424C">
      <w:start w:val="1"/>
      <w:numFmt w:val="bullet"/>
      <w:lvlText w:val="o"/>
      <w:lvlJc w:val="left"/>
      <w:pPr>
        <w:ind w:left="3600" w:hanging="360"/>
      </w:pPr>
      <w:rPr>
        <w:rFonts w:ascii="Courier New" w:hAnsi="Courier New" w:cs="Courier New" w:hint="default"/>
      </w:rPr>
    </w:lvl>
    <w:lvl w:ilvl="5" w:tplc="CDEC5F70">
      <w:start w:val="1"/>
      <w:numFmt w:val="bullet"/>
      <w:lvlText w:val=""/>
      <w:lvlJc w:val="left"/>
      <w:pPr>
        <w:ind w:left="4320" w:hanging="360"/>
      </w:pPr>
      <w:rPr>
        <w:rFonts w:ascii="Wingdings" w:hAnsi="Wingdings" w:hint="default"/>
      </w:rPr>
    </w:lvl>
    <w:lvl w:ilvl="6" w:tplc="BA7221C8">
      <w:start w:val="1"/>
      <w:numFmt w:val="bullet"/>
      <w:lvlText w:val=""/>
      <w:lvlJc w:val="left"/>
      <w:pPr>
        <w:ind w:left="5040" w:hanging="360"/>
      </w:pPr>
      <w:rPr>
        <w:rFonts w:ascii="Symbol" w:hAnsi="Symbol" w:hint="default"/>
      </w:rPr>
    </w:lvl>
    <w:lvl w:ilvl="7" w:tplc="418E4AAA">
      <w:start w:val="1"/>
      <w:numFmt w:val="bullet"/>
      <w:lvlText w:val="o"/>
      <w:lvlJc w:val="left"/>
      <w:pPr>
        <w:ind w:left="5760" w:hanging="360"/>
      </w:pPr>
      <w:rPr>
        <w:rFonts w:ascii="Courier New" w:hAnsi="Courier New" w:cs="Courier New" w:hint="default"/>
      </w:rPr>
    </w:lvl>
    <w:lvl w:ilvl="8" w:tplc="D57CB2BA">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9"/>
  </w:num>
  <w:num w:numId="8">
    <w:abstractNumId w:val="3"/>
  </w:num>
  <w:num w:numId="9">
    <w:abstractNumId w:val="7"/>
  </w:num>
  <w:num w:numId="10">
    <w:abstractNumId w:val="12"/>
  </w:num>
  <w:num w:numId="11">
    <w:abstractNumId w:val="6"/>
  </w:num>
  <w:num w:numId="12">
    <w:abstractNumId w:val="5"/>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6" w:nlCheck="1" w:checkStyle="0"/>
  <w:activeWritingStyle w:appName="MSWord" w:lang="de-DE" w:vendorID="64" w:dllVersion="6" w:nlCheck="1" w:checkStyle="0"/>
  <w:activeWritingStyle w:appName="MSWord" w:lang="pt-BR" w:vendorID="64" w:dllVersion="6"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5E4"/>
    <w:rsid w:val="000176CA"/>
    <w:rsid w:val="00036FA0"/>
    <w:rsid w:val="0003793F"/>
    <w:rsid w:val="000538E6"/>
    <w:rsid w:val="00057E35"/>
    <w:rsid w:val="00060CC8"/>
    <w:rsid w:val="000662D8"/>
    <w:rsid w:val="00076726"/>
    <w:rsid w:val="00080303"/>
    <w:rsid w:val="000929AB"/>
    <w:rsid w:val="0009637B"/>
    <w:rsid w:val="000A3F58"/>
    <w:rsid w:val="000D09B5"/>
    <w:rsid w:val="000D2343"/>
    <w:rsid w:val="000D3449"/>
    <w:rsid w:val="000D425A"/>
    <w:rsid w:val="000D60CC"/>
    <w:rsid w:val="000E2084"/>
    <w:rsid w:val="000E4039"/>
    <w:rsid w:val="000E6F55"/>
    <w:rsid w:val="000E765E"/>
    <w:rsid w:val="000F4CC7"/>
    <w:rsid w:val="000F77FA"/>
    <w:rsid w:val="000F7BCE"/>
    <w:rsid w:val="00107BF7"/>
    <w:rsid w:val="001125DE"/>
    <w:rsid w:val="00114691"/>
    <w:rsid w:val="00123674"/>
    <w:rsid w:val="00126F53"/>
    <w:rsid w:val="00127826"/>
    <w:rsid w:val="0013653E"/>
    <w:rsid w:val="0014766D"/>
    <w:rsid w:val="001536CC"/>
    <w:rsid w:val="00160418"/>
    <w:rsid w:val="00162123"/>
    <w:rsid w:val="00162AA9"/>
    <w:rsid w:val="001812B8"/>
    <w:rsid w:val="001A3FBA"/>
    <w:rsid w:val="001A5518"/>
    <w:rsid w:val="001A6F09"/>
    <w:rsid w:val="001B1C6A"/>
    <w:rsid w:val="001B764A"/>
    <w:rsid w:val="001C1263"/>
    <w:rsid w:val="001C1417"/>
    <w:rsid w:val="001C45EC"/>
    <w:rsid w:val="001E26C9"/>
    <w:rsid w:val="001E390B"/>
    <w:rsid w:val="001F42FB"/>
    <w:rsid w:val="001F719A"/>
    <w:rsid w:val="001F72FF"/>
    <w:rsid w:val="002031B3"/>
    <w:rsid w:val="00204B20"/>
    <w:rsid w:val="002076DE"/>
    <w:rsid w:val="00215931"/>
    <w:rsid w:val="00227BDB"/>
    <w:rsid w:val="00234CB1"/>
    <w:rsid w:val="002352F8"/>
    <w:rsid w:val="0024630B"/>
    <w:rsid w:val="002510A5"/>
    <w:rsid w:val="00254A0A"/>
    <w:rsid w:val="00264F02"/>
    <w:rsid w:val="00266046"/>
    <w:rsid w:val="002755A3"/>
    <w:rsid w:val="002846DB"/>
    <w:rsid w:val="00284CCD"/>
    <w:rsid w:val="00285714"/>
    <w:rsid w:val="00295B70"/>
    <w:rsid w:val="002A4CF1"/>
    <w:rsid w:val="002C2EC1"/>
    <w:rsid w:val="002C62C8"/>
    <w:rsid w:val="002C6637"/>
    <w:rsid w:val="002D2E85"/>
    <w:rsid w:val="002E0135"/>
    <w:rsid w:val="002E37A5"/>
    <w:rsid w:val="002E5E90"/>
    <w:rsid w:val="002F57A0"/>
    <w:rsid w:val="00301E44"/>
    <w:rsid w:val="00310F03"/>
    <w:rsid w:val="00317ECD"/>
    <w:rsid w:val="003247D2"/>
    <w:rsid w:val="00325720"/>
    <w:rsid w:val="00336833"/>
    <w:rsid w:val="003445C1"/>
    <w:rsid w:val="0034791F"/>
    <w:rsid w:val="00351677"/>
    <w:rsid w:val="00352010"/>
    <w:rsid w:val="003559B7"/>
    <w:rsid w:val="00355AF4"/>
    <w:rsid w:val="00355B61"/>
    <w:rsid w:val="00362686"/>
    <w:rsid w:val="00371510"/>
    <w:rsid w:val="00396DFD"/>
    <w:rsid w:val="003A7059"/>
    <w:rsid w:val="003B7A36"/>
    <w:rsid w:val="003C17AB"/>
    <w:rsid w:val="003C2F11"/>
    <w:rsid w:val="003C7823"/>
    <w:rsid w:val="003D0030"/>
    <w:rsid w:val="003E1DCC"/>
    <w:rsid w:val="003E29E6"/>
    <w:rsid w:val="003F6A59"/>
    <w:rsid w:val="004065C8"/>
    <w:rsid w:val="004109FA"/>
    <w:rsid w:val="00411B4B"/>
    <w:rsid w:val="00415BEE"/>
    <w:rsid w:val="0042255C"/>
    <w:rsid w:val="00425188"/>
    <w:rsid w:val="00427F85"/>
    <w:rsid w:val="00436F42"/>
    <w:rsid w:val="004378B4"/>
    <w:rsid w:val="0044194A"/>
    <w:rsid w:val="004429DA"/>
    <w:rsid w:val="00451314"/>
    <w:rsid w:val="00452E9D"/>
    <w:rsid w:val="004534C7"/>
    <w:rsid w:val="00455010"/>
    <w:rsid w:val="004671AA"/>
    <w:rsid w:val="00476346"/>
    <w:rsid w:val="004800C6"/>
    <w:rsid w:val="00480B28"/>
    <w:rsid w:val="00480FB1"/>
    <w:rsid w:val="00483928"/>
    <w:rsid w:val="004A2E1C"/>
    <w:rsid w:val="004C320A"/>
    <w:rsid w:val="004D6103"/>
    <w:rsid w:val="004D717F"/>
    <w:rsid w:val="004E35E2"/>
    <w:rsid w:val="004E3BCE"/>
    <w:rsid w:val="004F042A"/>
    <w:rsid w:val="004F0E97"/>
    <w:rsid w:val="004F320F"/>
    <w:rsid w:val="004F7947"/>
    <w:rsid w:val="00501DD1"/>
    <w:rsid w:val="00504CAF"/>
    <w:rsid w:val="00507873"/>
    <w:rsid w:val="00515C21"/>
    <w:rsid w:val="00527392"/>
    <w:rsid w:val="00530BD7"/>
    <w:rsid w:val="00532174"/>
    <w:rsid w:val="0053539C"/>
    <w:rsid w:val="00545CD2"/>
    <w:rsid w:val="005474B2"/>
    <w:rsid w:val="005476F3"/>
    <w:rsid w:val="00572527"/>
    <w:rsid w:val="00573C6B"/>
    <w:rsid w:val="00573E40"/>
    <w:rsid w:val="00576348"/>
    <w:rsid w:val="005A0B2E"/>
    <w:rsid w:val="005A23D2"/>
    <w:rsid w:val="005A36CB"/>
    <w:rsid w:val="005A58BA"/>
    <w:rsid w:val="005B49B8"/>
    <w:rsid w:val="005B706C"/>
    <w:rsid w:val="005C0741"/>
    <w:rsid w:val="005C0A26"/>
    <w:rsid w:val="005C2390"/>
    <w:rsid w:val="005C5EF4"/>
    <w:rsid w:val="005D1FCD"/>
    <w:rsid w:val="005D4CF6"/>
    <w:rsid w:val="005E2E0B"/>
    <w:rsid w:val="005E7A7D"/>
    <w:rsid w:val="005F3FC2"/>
    <w:rsid w:val="005F72ED"/>
    <w:rsid w:val="00602457"/>
    <w:rsid w:val="0060463D"/>
    <w:rsid w:val="0060699C"/>
    <w:rsid w:val="00621FB9"/>
    <w:rsid w:val="00630CEF"/>
    <w:rsid w:val="00646BD1"/>
    <w:rsid w:val="006501E8"/>
    <w:rsid w:val="00651527"/>
    <w:rsid w:val="006549B9"/>
    <w:rsid w:val="006554BD"/>
    <w:rsid w:val="006561C2"/>
    <w:rsid w:val="00660A12"/>
    <w:rsid w:val="00671CB3"/>
    <w:rsid w:val="00674BAF"/>
    <w:rsid w:val="00682200"/>
    <w:rsid w:val="00690192"/>
    <w:rsid w:val="006911D2"/>
    <w:rsid w:val="00692BF6"/>
    <w:rsid w:val="0069697C"/>
    <w:rsid w:val="006A1497"/>
    <w:rsid w:val="006B0BD1"/>
    <w:rsid w:val="006C691C"/>
    <w:rsid w:val="006D20A5"/>
    <w:rsid w:val="006D37BF"/>
    <w:rsid w:val="006D473F"/>
    <w:rsid w:val="006E3EAF"/>
    <w:rsid w:val="006E799E"/>
    <w:rsid w:val="00702E22"/>
    <w:rsid w:val="0072020E"/>
    <w:rsid w:val="00726A15"/>
    <w:rsid w:val="007365BB"/>
    <w:rsid w:val="00741E41"/>
    <w:rsid w:val="00746619"/>
    <w:rsid w:val="00755724"/>
    <w:rsid w:val="00757C78"/>
    <w:rsid w:val="00770267"/>
    <w:rsid w:val="007811E7"/>
    <w:rsid w:val="00782D7A"/>
    <w:rsid w:val="00782FC5"/>
    <w:rsid w:val="00786071"/>
    <w:rsid w:val="007966A7"/>
    <w:rsid w:val="007A3ECB"/>
    <w:rsid w:val="007C42CB"/>
    <w:rsid w:val="007D78D8"/>
    <w:rsid w:val="007D7CE1"/>
    <w:rsid w:val="007E2F65"/>
    <w:rsid w:val="007F30E1"/>
    <w:rsid w:val="00801863"/>
    <w:rsid w:val="00820F8D"/>
    <w:rsid w:val="00822251"/>
    <w:rsid w:val="008224E7"/>
    <w:rsid w:val="00824AB9"/>
    <w:rsid w:val="00836B35"/>
    <w:rsid w:val="00843BDE"/>
    <w:rsid w:val="00850EBC"/>
    <w:rsid w:val="00852324"/>
    <w:rsid w:val="00872C22"/>
    <w:rsid w:val="0089705C"/>
    <w:rsid w:val="008A027D"/>
    <w:rsid w:val="008A6D43"/>
    <w:rsid w:val="008B491E"/>
    <w:rsid w:val="008C1A28"/>
    <w:rsid w:val="008C2E98"/>
    <w:rsid w:val="008C6DC8"/>
    <w:rsid w:val="008E49BD"/>
    <w:rsid w:val="008E53E9"/>
    <w:rsid w:val="008E5771"/>
    <w:rsid w:val="008F40BC"/>
    <w:rsid w:val="008F4ACF"/>
    <w:rsid w:val="008F70AE"/>
    <w:rsid w:val="009007F6"/>
    <w:rsid w:val="00905563"/>
    <w:rsid w:val="00915FDB"/>
    <w:rsid w:val="00940B9B"/>
    <w:rsid w:val="00950703"/>
    <w:rsid w:val="0095676E"/>
    <w:rsid w:val="00956983"/>
    <w:rsid w:val="00960B65"/>
    <w:rsid w:val="00963CF0"/>
    <w:rsid w:val="00964BB1"/>
    <w:rsid w:val="00965440"/>
    <w:rsid w:val="009775D9"/>
    <w:rsid w:val="00986015"/>
    <w:rsid w:val="00997175"/>
    <w:rsid w:val="009A1847"/>
    <w:rsid w:val="009A258C"/>
    <w:rsid w:val="009A4880"/>
    <w:rsid w:val="009B062A"/>
    <w:rsid w:val="009E0DE1"/>
    <w:rsid w:val="009E7C6F"/>
    <w:rsid w:val="009F12BA"/>
    <w:rsid w:val="009F1793"/>
    <w:rsid w:val="009F2D23"/>
    <w:rsid w:val="00A01D69"/>
    <w:rsid w:val="00A02335"/>
    <w:rsid w:val="00A048C6"/>
    <w:rsid w:val="00A13DFB"/>
    <w:rsid w:val="00A233FB"/>
    <w:rsid w:val="00A23A61"/>
    <w:rsid w:val="00A2781E"/>
    <w:rsid w:val="00A46C9A"/>
    <w:rsid w:val="00A619F3"/>
    <w:rsid w:val="00A62164"/>
    <w:rsid w:val="00A62A73"/>
    <w:rsid w:val="00A718E6"/>
    <w:rsid w:val="00A742B5"/>
    <w:rsid w:val="00A77E2A"/>
    <w:rsid w:val="00A87FF6"/>
    <w:rsid w:val="00A95E83"/>
    <w:rsid w:val="00AA0A3B"/>
    <w:rsid w:val="00AA2763"/>
    <w:rsid w:val="00AA33B6"/>
    <w:rsid w:val="00AA6D7D"/>
    <w:rsid w:val="00AB478E"/>
    <w:rsid w:val="00AB50CA"/>
    <w:rsid w:val="00AB6D64"/>
    <w:rsid w:val="00AC53CE"/>
    <w:rsid w:val="00AC70A6"/>
    <w:rsid w:val="00AD2193"/>
    <w:rsid w:val="00AE14A3"/>
    <w:rsid w:val="00AE4815"/>
    <w:rsid w:val="00AF2AC7"/>
    <w:rsid w:val="00AF74CE"/>
    <w:rsid w:val="00AF7AD3"/>
    <w:rsid w:val="00B10DC9"/>
    <w:rsid w:val="00B208DB"/>
    <w:rsid w:val="00B23F69"/>
    <w:rsid w:val="00B50E1B"/>
    <w:rsid w:val="00B60185"/>
    <w:rsid w:val="00B60619"/>
    <w:rsid w:val="00B66A70"/>
    <w:rsid w:val="00B67366"/>
    <w:rsid w:val="00B80EE1"/>
    <w:rsid w:val="00B84135"/>
    <w:rsid w:val="00B92E98"/>
    <w:rsid w:val="00BB1FCC"/>
    <w:rsid w:val="00BB2DA1"/>
    <w:rsid w:val="00BC5BD7"/>
    <w:rsid w:val="00C04D34"/>
    <w:rsid w:val="00C05DF8"/>
    <w:rsid w:val="00C06864"/>
    <w:rsid w:val="00C10F54"/>
    <w:rsid w:val="00C145DA"/>
    <w:rsid w:val="00C21EC1"/>
    <w:rsid w:val="00C23D8D"/>
    <w:rsid w:val="00C32DC7"/>
    <w:rsid w:val="00C37AA3"/>
    <w:rsid w:val="00C37FD7"/>
    <w:rsid w:val="00C41FCA"/>
    <w:rsid w:val="00C43419"/>
    <w:rsid w:val="00C44CF3"/>
    <w:rsid w:val="00C61BE0"/>
    <w:rsid w:val="00C70B0E"/>
    <w:rsid w:val="00C773CA"/>
    <w:rsid w:val="00C83785"/>
    <w:rsid w:val="00C94065"/>
    <w:rsid w:val="00C94C0D"/>
    <w:rsid w:val="00CA1FEB"/>
    <w:rsid w:val="00CA4EF7"/>
    <w:rsid w:val="00CD4F85"/>
    <w:rsid w:val="00CD6F02"/>
    <w:rsid w:val="00CE246D"/>
    <w:rsid w:val="00CE2C7A"/>
    <w:rsid w:val="00CF07A0"/>
    <w:rsid w:val="00CF3171"/>
    <w:rsid w:val="00CF3E03"/>
    <w:rsid w:val="00D0082A"/>
    <w:rsid w:val="00D03735"/>
    <w:rsid w:val="00D0596D"/>
    <w:rsid w:val="00D21455"/>
    <w:rsid w:val="00D31D3A"/>
    <w:rsid w:val="00D47634"/>
    <w:rsid w:val="00D60A00"/>
    <w:rsid w:val="00D638A3"/>
    <w:rsid w:val="00D7096F"/>
    <w:rsid w:val="00D709B3"/>
    <w:rsid w:val="00D77CBC"/>
    <w:rsid w:val="00D875F3"/>
    <w:rsid w:val="00D920E2"/>
    <w:rsid w:val="00D927B6"/>
    <w:rsid w:val="00D967BE"/>
    <w:rsid w:val="00DA2ED6"/>
    <w:rsid w:val="00DA50C7"/>
    <w:rsid w:val="00DB7541"/>
    <w:rsid w:val="00DB76B8"/>
    <w:rsid w:val="00DC2EA1"/>
    <w:rsid w:val="00DC744D"/>
    <w:rsid w:val="00DD093D"/>
    <w:rsid w:val="00DD6AAF"/>
    <w:rsid w:val="00DE3F5C"/>
    <w:rsid w:val="00DF02DD"/>
    <w:rsid w:val="00DF1D20"/>
    <w:rsid w:val="00E03C67"/>
    <w:rsid w:val="00E05DA9"/>
    <w:rsid w:val="00E10979"/>
    <w:rsid w:val="00E1152F"/>
    <w:rsid w:val="00E15173"/>
    <w:rsid w:val="00E21324"/>
    <w:rsid w:val="00E21F1E"/>
    <w:rsid w:val="00E228A4"/>
    <w:rsid w:val="00E246B9"/>
    <w:rsid w:val="00E24741"/>
    <w:rsid w:val="00E31FEA"/>
    <w:rsid w:val="00E35D59"/>
    <w:rsid w:val="00E45169"/>
    <w:rsid w:val="00E47787"/>
    <w:rsid w:val="00E51C30"/>
    <w:rsid w:val="00E55D1C"/>
    <w:rsid w:val="00E64180"/>
    <w:rsid w:val="00E74AEE"/>
    <w:rsid w:val="00E868E5"/>
    <w:rsid w:val="00E9237A"/>
    <w:rsid w:val="00E939FA"/>
    <w:rsid w:val="00E94D55"/>
    <w:rsid w:val="00EA5765"/>
    <w:rsid w:val="00EC2532"/>
    <w:rsid w:val="00EC420D"/>
    <w:rsid w:val="00EC7F04"/>
    <w:rsid w:val="00ED57C6"/>
    <w:rsid w:val="00ED7796"/>
    <w:rsid w:val="00ED7812"/>
    <w:rsid w:val="00EE28D5"/>
    <w:rsid w:val="00EF3B86"/>
    <w:rsid w:val="00EF490D"/>
    <w:rsid w:val="00F00F39"/>
    <w:rsid w:val="00F10075"/>
    <w:rsid w:val="00F262AB"/>
    <w:rsid w:val="00F317E9"/>
    <w:rsid w:val="00F34554"/>
    <w:rsid w:val="00F36D59"/>
    <w:rsid w:val="00F45F77"/>
    <w:rsid w:val="00F5167F"/>
    <w:rsid w:val="00F52258"/>
    <w:rsid w:val="00F61F39"/>
    <w:rsid w:val="00F623C6"/>
    <w:rsid w:val="00F8570A"/>
    <w:rsid w:val="00F91C7B"/>
    <w:rsid w:val="00FF1CF8"/>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CE56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7">
    <w:name w:val="heading 7"/>
    <w:basedOn w:val="Normal"/>
    <w:next w:val="Normal"/>
    <w:link w:val="Heading7Char"/>
    <w:semiHidden/>
    <w:unhideWhenUsed/>
    <w:qFormat/>
    <w:rsid w:val="007D7CE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Bodytext">
    <w:name w:val="Body text_"/>
    <w:link w:val="Bodytext1"/>
    <w:uiPriority w:val="99"/>
    <w:locked/>
    <w:rsid w:val="007D7CE1"/>
    <w:rPr>
      <w:sz w:val="22"/>
      <w:shd w:val="clear" w:color="auto" w:fill="FFFFFF"/>
    </w:rPr>
  </w:style>
  <w:style w:type="paragraph" w:customStyle="1" w:styleId="Bodytext1">
    <w:name w:val="Body text1"/>
    <w:basedOn w:val="Normal"/>
    <w:link w:val="Bodytext"/>
    <w:uiPriority w:val="99"/>
    <w:rsid w:val="007D7CE1"/>
    <w:pPr>
      <w:shd w:val="clear" w:color="auto" w:fill="FFFFFF"/>
      <w:spacing w:before="300" w:after="540" w:line="240" w:lineRule="atLeast"/>
    </w:pPr>
    <w:rPr>
      <w:sz w:val="22"/>
      <w:szCs w:val="20"/>
      <w:lang w:val="sr-Latn-ME" w:eastAsia="sr-Latn-ME"/>
    </w:rPr>
  </w:style>
  <w:style w:type="character" w:customStyle="1" w:styleId="Heading7Char">
    <w:name w:val="Heading 7 Char"/>
    <w:basedOn w:val="DefaultParagraphFont"/>
    <w:link w:val="Heading7"/>
    <w:semiHidden/>
    <w:rsid w:val="007D7CE1"/>
    <w:rPr>
      <w:rFonts w:asciiTheme="majorHAnsi" w:eastAsiaTheme="majorEastAsia" w:hAnsiTheme="majorHAnsi" w:cstheme="majorBidi"/>
      <w:i/>
      <w:iCs/>
      <w:color w:val="1F4D78" w:themeColor="accent1" w:themeShade="7F"/>
      <w:sz w:val="24"/>
      <w:szCs w:val="24"/>
      <w:lang w:val="en-US" w:eastAsia="en-US"/>
    </w:rPr>
  </w:style>
  <w:style w:type="table" w:styleId="TableGrid">
    <w:name w:val="Table Grid"/>
    <w:basedOn w:val="TableNormal"/>
    <w:rsid w:val="00DD093D"/>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1"/>
    <w:qFormat/>
    <w:rsid w:val="00AA6D7D"/>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0"/>
    <w:uiPriority w:val="1"/>
    <w:rsid w:val="00AA6D7D"/>
    <w:rPr>
      <w:rFonts w:eastAsiaTheme="minorEastAsia"/>
      <w:sz w:val="22"/>
      <w:szCs w:val="22"/>
      <w:lang w:val="en-US" w:eastAsia="en-US"/>
    </w:rPr>
  </w:style>
  <w:style w:type="character" w:styleId="Hyperlink">
    <w:name w:val="Hyperlink"/>
    <w:basedOn w:val="DefaultParagraphFont"/>
    <w:rsid w:val="000F7BCE"/>
    <w:rPr>
      <w:color w:val="0563C1" w:themeColor="hyperlink"/>
      <w:u w:val="single"/>
    </w:rPr>
  </w:style>
  <w:style w:type="paragraph" w:customStyle="1" w:styleId="Text">
    <w:name w:val="Text"/>
    <w:aliases w:val="Graphic,Graphic Char Char,Graphic Char Char Char Char Char,Graphic Char Char Char Char Char Char Char C,notic,Text_10394,non tochic,本文,JP Body Text,Text_20957,Italic,graphics,Graphic + Bold,graphic"/>
    <w:basedOn w:val="Normal"/>
    <w:link w:val="TextChar"/>
    <w:qFormat/>
    <w:rsid w:val="005F3FC2"/>
    <w:pPr>
      <w:spacing w:before="120"/>
      <w:jc w:val="both"/>
    </w:pPr>
    <w:rPr>
      <w:rFonts w:eastAsia="MS Mincho"/>
      <w:szCs w:val="20"/>
    </w:rPr>
  </w:style>
  <w:style w:type="character" w:customStyle="1" w:styleId="TextChar">
    <w:name w:val="Text Char"/>
    <w:aliases w:val="Graphic Char"/>
    <w:link w:val="Text"/>
    <w:rsid w:val="005F3FC2"/>
    <w:rPr>
      <w:rFonts w:eastAsia="MS Mincho"/>
      <w:sz w:val="24"/>
      <w:lang w:val="en-US" w:eastAsia="en-US"/>
    </w:rPr>
  </w:style>
  <w:style w:type="paragraph" w:styleId="ListParagraph">
    <w:name w:val="List Paragraph"/>
    <w:basedOn w:val="Normal"/>
    <w:uiPriority w:val="34"/>
    <w:qFormat/>
    <w:rsid w:val="00852324"/>
    <w:pPr>
      <w:autoSpaceDE w:val="0"/>
      <w:autoSpaceDN w:val="0"/>
      <w:adjustRightInd w:val="0"/>
    </w:pPr>
  </w:style>
  <w:style w:type="table" w:customStyle="1" w:styleId="TableGrid1">
    <w:name w:val="Table Grid1"/>
    <w:basedOn w:val="TableNormal"/>
    <w:rsid w:val="00852324"/>
    <w:rPr>
      <w:rFonts w:ascii="Arial" w:eastAsiaTheme="minorHAnsi" w:hAnsi="Arial"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D0030"/>
  </w:style>
  <w:style w:type="table" w:customStyle="1" w:styleId="TableGrid2">
    <w:name w:val="Table Grid2"/>
    <w:basedOn w:val="TableNormal"/>
    <w:next w:val="TableGrid"/>
    <w:rsid w:val="00AB478E"/>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C744D"/>
    <w:rPr>
      <w:rFonts w:ascii="Arial" w:hAnsi="Arial"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42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primaryreporting.who-umc.org/ME" TargetMode="External"/><Relationship Id="rId19" Type="http://schemas.openxmlformats.org/officeDocument/2006/relationships/image" Target="media/image90.emf"/><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ECA70-A8E7-4183-943A-0B79E82C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15482</Words>
  <Characters>88248</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103523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Svetlana Rajc</cp:lastModifiedBy>
  <cp:revision>3</cp:revision>
  <dcterms:created xsi:type="dcterms:W3CDTF">2025-07-30T11:10:00Z</dcterms:created>
  <dcterms:modified xsi:type="dcterms:W3CDTF">2025-07-30T11:14:00Z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2020-11-09T09:47:13Z</vt:lpwstr>
  </property>
  <property fmtid="{D5CDD505-2E9C-101B-9397-08002B2CF9AE}" pid="5" name="MSIP_Label_4929bff8-5b33-42aa-95d2-28f72e792cb0_Method">
    <vt:lpwstr>Privileged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18a1770e-2c9e-4795-9004-aed5f33ace02</vt:lpwstr>
  </property>
  <property fmtid="{D5CDD505-2E9C-101B-9397-08002B2CF9AE}" pid="9" name="MSIP_Label_4929bff8-5b33-42aa-95d2-28f72e792cb0_ContentBits">
    <vt:lpwstr>0</vt:lpwstr>
  </property>
</Properties>
</file>