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1A1A" w14:textId="0D01F4A4" w:rsidR="00383195" w:rsidRPr="00F45A6E" w:rsidRDefault="00CE09F3" w:rsidP="00C157E6">
      <w:pPr>
        <w:jc w:val="center"/>
        <w:rPr>
          <w:b/>
          <w:bCs/>
          <w:iCs/>
          <w:szCs w:val="22"/>
          <w:u w:val="single"/>
          <w:lang w:val="sr-Latn-ME"/>
        </w:rPr>
      </w:pPr>
      <w:r w:rsidRPr="00F45A6E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5C3738" w:rsidRPr="00F45A6E">
        <w:rPr>
          <w:b/>
          <w:bCs/>
          <w:iCs/>
          <w:szCs w:val="22"/>
          <w:u w:val="single"/>
          <w:lang w:val="sr-Latn-ME"/>
        </w:rPr>
        <w:t>LIJEK</w:t>
      </w:r>
      <w:r w:rsidRPr="00F45A6E">
        <w:rPr>
          <w:b/>
          <w:bCs/>
          <w:iCs/>
          <w:szCs w:val="22"/>
          <w:u w:val="single"/>
          <w:lang w:val="sr-Latn-ME"/>
        </w:rPr>
        <w:t>A</w:t>
      </w:r>
    </w:p>
    <w:p w14:paraId="1DCD5FEC" w14:textId="77777777" w:rsidR="00923865" w:rsidRPr="00F45A6E" w:rsidRDefault="00923865" w:rsidP="00C157E6">
      <w:pPr>
        <w:rPr>
          <w:szCs w:val="22"/>
          <w:lang w:val="sr-Latn-ME"/>
        </w:rPr>
      </w:pPr>
    </w:p>
    <w:p w14:paraId="043A2FE1" w14:textId="77777777" w:rsidR="00CE09F3" w:rsidRPr="00F45A6E" w:rsidRDefault="00CE09F3" w:rsidP="00C157E6">
      <w:pPr>
        <w:rPr>
          <w:b/>
          <w:bCs/>
          <w:szCs w:val="22"/>
          <w:lang w:val="sr-Latn-ME"/>
        </w:rPr>
      </w:pPr>
    </w:p>
    <w:p w14:paraId="474B839C" w14:textId="36EF714F" w:rsidR="00CE09F3" w:rsidRPr="00F45A6E" w:rsidRDefault="00CE09F3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 xml:space="preserve">1. IME </w:t>
      </w:r>
      <w:r w:rsidR="005C3738" w:rsidRPr="00F45A6E">
        <w:rPr>
          <w:lang w:val="sr-Latn-ME"/>
        </w:rPr>
        <w:t>LIJEK</w:t>
      </w:r>
      <w:r w:rsidRPr="00F45A6E">
        <w:rPr>
          <w:lang w:val="sr-Latn-ME"/>
        </w:rPr>
        <w:t>A</w:t>
      </w:r>
    </w:p>
    <w:p w14:paraId="6BA585D5" w14:textId="77777777" w:rsidR="00C157E6" w:rsidRPr="00F45A6E" w:rsidRDefault="00C157E6" w:rsidP="003A690C">
      <w:pPr>
        <w:shd w:val="clear" w:color="auto" w:fill="FFFFFF"/>
        <w:rPr>
          <w:szCs w:val="22"/>
          <w:lang w:val="sr-Latn-ME"/>
        </w:rPr>
      </w:pPr>
    </w:p>
    <w:p w14:paraId="3704CC57" w14:textId="629488FA" w:rsidR="007E3612" w:rsidRPr="00F45A6E" w:rsidRDefault="001D6C3F" w:rsidP="003A690C">
      <w:pPr>
        <w:shd w:val="clear" w:color="auto" w:fill="FFFFFF"/>
        <w:rPr>
          <w:szCs w:val="22"/>
          <w:lang w:val="sr-Latn-ME"/>
        </w:rPr>
      </w:pPr>
      <w:r w:rsidRPr="00F45A6E">
        <w:rPr>
          <w:szCs w:val="22"/>
          <w:lang w:val="sr-Latn-ME"/>
        </w:rPr>
        <w:t>Trabectedin STADA</w:t>
      </w:r>
      <w:r w:rsidR="007E3612" w:rsidRPr="00F45A6E">
        <w:rPr>
          <w:szCs w:val="22"/>
          <w:lang w:val="sr-Latn-ME"/>
        </w:rPr>
        <w:t xml:space="preserve">, </w:t>
      </w:r>
      <w:r w:rsidR="005F327D" w:rsidRPr="00F45A6E">
        <w:rPr>
          <w:szCs w:val="22"/>
          <w:lang w:val="sr-Latn-ME"/>
        </w:rPr>
        <w:t>0</w:t>
      </w:r>
      <w:r w:rsidR="00C338AF" w:rsidRPr="00F45A6E">
        <w:rPr>
          <w:szCs w:val="22"/>
          <w:lang w:val="sr-Latn-ME"/>
        </w:rPr>
        <w:t>,</w:t>
      </w:r>
      <w:r w:rsidR="005F327D" w:rsidRPr="00F45A6E">
        <w:rPr>
          <w:szCs w:val="22"/>
          <w:lang w:val="sr-Latn-ME"/>
        </w:rPr>
        <w:t>25</w:t>
      </w:r>
      <w:r w:rsidR="007E3612" w:rsidRPr="00F45A6E">
        <w:rPr>
          <w:szCs w:val="22"/>
          <w:lang w:val="sr-Latn-ME"/>
        </w:rPr>
        <w:t xml:space="preserve"> mg, </w:t>
      </w:r>
      <w:r w:rsidR="00AF0AFF" w:rsidRPr="00F45A6E">
        <w:rPr>
          <w:szCs w:val="22"/>
          <w:lang w:val="sr-Latn-ME"/>
        </w:rPr>
        <w:t xml:space="preserve">prašak za </w:t>
      </w:r>
      <w:r w:rsidR="007E3612" w:rsidRPr="00F45A6E">
        <w:rPr>
          <w:szCs w:val="22"/>
          <w:lang w:val="sr-Latn-ME"/>
        </w:rPr>
        <w:t>koncentrat za rastvor za infuzij</w:t>
      </w:r>
      <w:r w:rsidR="002656FE" w:rsidRPr="00F45A6E">
        <w:rPr>
          <w:szCs w:val="22"/>
          <w:lang w:val="sr-Latn-ME"/>
        </w:rPr>
        <w:t>u</w:t>
      </w:r>
    </w:p>
    <w:p w14:paraId="3D80231D" w14:textId="1F5969DB" w:rsidR="00640548" w:rsidRPr="00F45A6E" w:rsidRDefault="001D6C3F" w:rsidP="003A690C">
      <w:pPr>
        <w:shd w:val="clear" w:color="auto" w:fill="FFFFFF"/>
        <w:rPr>
          <w:iCs/>
          <w:szCs w:val="22"/>
          <w:lang w:val="sr-Latn-ME"/>
        </w:rPr>
      </w:pPr>
      <w:r w:rsidRPr="00F45A6E">
        <w:rPr>
          <w:szCs w:val="22"/>
          <w:lang w:val="sr-Latn-ME"/>
        </w:rPr>
        <w:t>Trabectedin STADA</w:t>
      </w:r>
      <w:r w:rsidR="00640548" w:rsidRPr="00F45A6E">
        <w:rPr>
          <w:szCs w:val="22"/>
          <w:lang w:val="sr-Latn-ME"/>
        </w:rPr>
        <w:t>, 1 mg</w:t>
      </w:r>
      <w:r w:rsidR="001A0DB4" w:rsidRPr="00F45A6E">
        <w:rPr>
          <w:szCs w:val="22"/>
          <w:lang w:val="sr-Latn-ME"/>
        </w:rPr>
        <w:t>,</w:t>
      </w:r>
      <w:r w:rsidR="00AF0AFF" w:rsidRPr="00F45A6E">
        <w:rPr>
          <w:szCs w:val="22"/>
          <w:lang w:val="sr-Latn-ME"/>
        </w:rPr>
        <w:t xml:space="preserve"> prašak za</w:t>
      </w:r>
      <w:r w:rsidR="00640548" w:rsidRPr="00F45A6E">
        <w:rPr>
          <w:szCs w:val="22"/>
          <w:lang w:val="sr-Latn-ME"/>
        </w:rPr>
        <w:t xml:space="preserve"> koncentrat za rastvor za infuziju</w:t>
      </w:r>
    </w:p>
    <w:p w14:paraId="4E20092F" w14:textId="77777777" w:rsidR="00CE09F3" w:rsidRPr="00F45A6E" w:rsidRDefault="00CE09F3" w:rsidP="003A690C">
      <w:pPr>
        <w:rPr>
          <w:bCs/>
          <w:szCs w:val="22"/>
          <w:lang w:val="sr-Latn-ME"/>
        </w:rPr>
      </w:pPr>
    </w:p>
    <w:p w14:paraId="1C5B0D2C" w14:textId="0E70FF55" w:rsidR="00CE09F3" w:rsidRPr="00F45A6E" w:rsidRDefault="00CE09F3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INN:</w:t>
      </w:r>
      <w:r w:rsidR="007E3612" w:rsidRPr="00F45A6E">
        <w:rPr>
          <w:szCs w:val="22"/>
          <w:lang w:val="sr-Latn-ME"/>
        </w:rPr>
        <w:t xml:space="preserve"> </w:t>
      </w:r>
      <w:r w:rsidR="00DA02ED" w:rsidRPr="00F45A6E">
        <w:rPr>
          <w:szCs w:val="22"/>
          <w:lang w:val="sr-Latn-ME"/>
        </w:rPr>
        <w:t>trabektedin</w:t>
      </w:r>
    </w:p>
    <w:p w14:paraId="1574D4CC" w14:textId="69A9A9F3" w:rsidR="00C157E6" w:rsidRPr="00F45A6E" w:rsidRDefault="00C157E6" w:rsidP="003A690C">
      <w:pPr>
        <w:rPr>
          <w:b/>
          <w:bCs/>
          <w:szCs w:val="22"/>
          <w:lang w:val="sr-Latn-ME"/>
        </w:rPr>
      </w:pPr>
    </w:p>
    <w:p w14:paraId="2CE9CFDB" w14:textId="77777777" w:rsidR="00C338AF" w:rsidRPr="00F45A6E" w:rsidRDefault="00C338AF" w:rsidP="003A690C">
      <w:pPr>
        <w:rPr>
          <w:b/>
          <w:bCs/>
          <w:szCs w:val="22"/>
          <w:lang w:val="sr-Latn-ME"/>
        </w:rPr>
      </w:pPr>
    </w:p>
    <w:p w14:paraId="6C15032F" w14:textId="77777777" w:rsidR="00CE09F3" w:rsidRPr="00F45A6E" w:rsidRDefault="00CE09F3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2. KVALITATIVNI I KVANTITATIVNI SASTAV</w:t>
      </w:r>
    </w:p>
    <w:p w14:paraId="2C57A5A8" w14:textId="77777777" w:rsidR="00C157E6" w:rsidRPr="00F45A6E" w:rsidRDefault="00C157E6" w:rsidP="003A690C">
      <w:pPr>
        <w:shd w:val="clear" w:color="auto" w:fill="FFFFFF"/>
        <w:rPr>
          <w:szCs w:val="22"/>
          <w:lang w:val="sr-Latn-ME"/>
        </w:rPr>
      </w:pPr>
    </w:p>
    <w:p w14:paraId="676170B4" w14:textId="7757C146" w:rsidR="00A8507D" w:rsidRPr="00F45A6E" w:rsidRDefault="001D6C3F" w:rsidP="003A690C">
      <w:pPr>
        <w:shd w:val="clear" w:color="auto" w:fill="FFFFFF"/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>Trabectedin STADA</w:t>
      </w:r>
      <w:r w:rsidR="001A0DB4" w:rsidRPr="00F45A6E">
        <w:rPr>
          <w:szCs w:val="22"/>
          <w:u w:val="single"/>
          <w:lang w:val="sr-Latn-ME"/>
        </w:rPr>
        <w:t>, 0</w:t>
      </w:r>
      <w:r w:rsidR="00C338AF" w:rsidRPr="00F45A6E">
        <w:rPr>
          <w:szCs w:val="22"/>
          <w:u w:val="single"/>
          <w:lang w:val="sr-Latn-ME"/>
        </w:rPr>
        <w:t>,</w:t>
      </w:r>
      <w:r w:rsidR="001A0DB4" w:rsidRPr="00F45A6E">
        <w:rPr>
          <w:szCs w:val="22"/>
          <w:u w:val="single"/>
          <w:lang w:val="sr-Latn-ME"/>
        </w:rPr>
        <w:t xml:space="preserve">25 mg, </w:t>
      </w:r>
      <w:r w:rsidR="0080539C" w:rsidRPr="00F45A6E">
        <w:rPr>
          <w:szCs w:val="22"/>
          <w:u w:val="single"/>
          <w:lang w:val="sr-Latn-ME"/>
        </w:rPr>
        <w:t xml:space="preserve">prašak za </w:t>
      </w:r>
      <w:r w:rsidR="001A0DB4" w:rsidRPr="00F45A6E">
        <w:rPr>
          <w:szCs w:val="22"/>
          <w:u w:val="single"/>
          <w:lang w:val="sr-Latn-ME"/>
        </w:rPr>
        <w:t>koncentrat za rastvor za infuziju</w:t>
      </w:r>
    </w:p>
    <w:p w14:paraId="47B2D955" w14:textId="7C9E8E31" w:rsidR="007578A0" w:rsidRPr="00F45A6E" w:rsidRDefault="007578A0" w:rsidP="003A690C">
      <w:pPr>
        <w:shd w:val="clear" w:color="auto" w:fill="FFFFFF"/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Jedna bočica </w:t>
      </w:r>
      <w:r w:rsidR="00713514" w:rsidRPr="00F45A6E">
        <w:rPr>
          <w:szCs w:val="22"/>
          <w:lang w:val="sr-Latn-ME"/>
        </w:rPr>
        <w:t xml:space="preserve">praška </w:t>
      </w:r>
      <w:r w:rsidRPr="00F45A6E">
        <w:rPr>
          <w:szCs w:val="22"/>
          <w:lang w:val="sr-Latn-ME"/>
        </w:rPr>
        <w:t xml:space="preserve">sadrži </w:t>
      </w:r>
      <w:r w:rsidR="001A0DB4" w:rsidRPr="00F45A6E">
        <w:rPr>
          <w:szCs w:val="22"/>
          <w:lang w:val="sr-Latn-ME"/>
        </w:rPr>
        <w:t>0</w:t>
      </w:r>
      <w:r w:rsidR="00C338AF" w:rsidRPr="00F45A6E">
        <w:rPr>
          <w:szCs w:val="22"/>
          <w:lang w:val="sr-Latn-ME"/>
        </w:rPr>
        <w:t>,</w:t>
      </w:r>
      <w:r w:rsidR="001A0DB4" w:rsidRPr="00F45A6E">
        <w:rPr>
          <w:szCs w:val="22"/>
          <w:lang w:val="sr-Latn-ME"/>
        </w:rPr>
        <w:t>25</w:t>
      </w:r>
      <w:r w:rsidRPr="00F45A6E">
        <w:rPr>
          <w:szCs w:val="22"/>
          <w:lang w:val="sr-Latn-ME"/>
        </w:rPr>
        <w:t xml:space="preserve"> mg </w:t>
      </w:r>
      <w:r w:rsidR="00E74501" w:rsidRPr="00F45A6E">
        <w:rPr>
          <w:szCs w:val="22"/>
          <w:lang w:val="sr-Latn-ME"/>
        </w:rPr>
        <w:t>trabektedina.</w:t>
      </w:r>
      <w:r w:rsidRPr="00F45A6E">
        <w:rPr>
          <w:szCs w:val="22"/>
          <w:lang w:val="sr-Latn-ME"/>
        </w:rPr>
        <w:t xml:space="preserve"> </w:t>
      </w:r>
    </w:p>
    <w:p w14:paraId="543E3FA7" w14:textId="4DBDC62A" w:rsidR="000F5997" w:rsidRPr="00F45A6E" w:rsidRDefault="000F5997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1 m</w:t>
      </w:r>
      <w:r w:rsidR="00E101E2" w:rsidRPr="00F45A6E">
        <w:rPr>
          <w:szCs w:val="22"/>
          <w:lang w:val="sr-Latn-ME"/>
        </w:rPr>
        <w:t>l</w:t>
      </w:r>
      <w:r w:rsidRPr="00F45A6E">
        <w:rPr>
          <w:szCs w:val="22"/>
          <w:lang w:val="sr-Latn-ME"/>
        </w:rPr>
        <w:t xml:space="preserve"> rekonstituisanog rastvora sadrži 0</w:t>
      </w:r>
      <w:r w:rsidR="00C338AF" w:rsidRPr="00F45A6E">
        <w:rPr>
          <w:szCs w:val="22"/>
          <w:lang w:val="sr-Latn-ME"/>
        </w:rPr>
        <w:t>,</w:t>
      </w:r>
      <w:r w:rsidRPr="00F45A6E">
        <w:rPr>
          <w:szCs w:val="22"/>
          <w:lang w:val="sr-Latn-ME"/>
        </w:rPr>
        <w:t>05 mg trabektedina.</w:t>
      </w:r>
    </w:p>
    <w:p w14:paraId="36632E34" w14:textId="77777777" w:rsidR="00C338AF" w:rsidRPr="00F45A6E" w:rsidRDefault="00C338AF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p w14:paraId="3E47BD9A" w14:textId="288ECDCC" w:rsidR="005A2786" w:rsidRPr="00F45A6E" w:rsidRDefault="00EE045F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Pomoćn</w:t>
      </w:r>
      <w:r w:rsidR="00C338A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supstanc</w:t>
      </w:r>
      <w:r w:rsidR="00C338A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sa </w:t>
      </w:r>
      <w:r w:rsidR="00B33AB6" w:rsidRPr="00F45A6E">
        <w:rPr>
          <w:szCs w:val="22"/>
          <w:lang w:val="sr-Latn-ME"/>
        </w:rPr>
        <w:t xml:space="preserve">potvrđenim dejstvom: </w:t>
      </w:r>
    </w:p>
    <w:p w14:paraId="17DD9360" w14:textId="5B98FAA3" w:rsidR="00EE045F" w:rsidRPr="00F45A6E" w:rsidRDefault="005A2786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J</w:t>
      </w:r>
      <w:r w:rsidR="00817728" w:rsidRPr="00F45A6E">
        <w:rPr>
          <w:szCs w:val="22"/>
          <w:lang w:val="sr-Latn-ME"/>
        </w:rPr>
        <w:t>edna bočica praška sadrži</w:t>
      </w:r>
      <w:r w:rsidR="0010259C" w:rsidRPr="00F45A6E">
        <w:rPr>
          <w:szCs w:val="22"/>
          <w:lang w:val="sr-Latn-ME"/>
        </w:rPr>
        <w:t xml:space="preserve"> </w:t>
      </w:r>
      <w:r w:rsidR="00817728" w:rsidRPr="00F45A6E">
        <w:rPr>
          <w:szCs w:val="22"/>
          <w:lang w:val="sr-Latn-ME"/>
        </w:rPr>
        <w:t xml:space="preserve">4 </w:t>
      </w:r>
      <w:r w:rsidR="0010259C" w:rsidRPr="00F45A6E">
        <w:rPr>
          <w:szCs w:val="22"/>
          <w:lang w:val="sr-Latn-ME"/>
        </w:rPr>
        <w:t>m</w:t>
      </w:r>
      <w:r w:rsidR="00817728" w:rsidRPr="00F45A6E">
        <w:rPr>
          <w:szCs w:val="22"/>
          <w:lang w:val="sr-Latn-ME"/>
        </w:rPr>
        <w:t>g natrijuma.</w:t>
      </w:r>
    </w:p>
    <w:p w14:paraId="29A36986" w14:textId="391378EC" w:rsidR="007E3612" w:rsidRPr="00F45A6E" w:rsidRDefault="007E3612" w:rsidP="003A690C">
      <w:pPr>
        <w:rPr>
          <w:szCs w:val="22"/>
          <w:lang w:val="sr-Latn-ME"/>
        </w:rPr>
      </w:pPr>
    </w:p>
    <w:p w14:paraId="0B470FFB" w14:textId="5CA19F26" w:rsidR="00817728" w:rsidRPr="00F45A6E" w:rsidRDefault="001D6C3F" w:rsidP="003A690C">
      <w:pPr>
        <w:shd w:val="clear" w:color="auto" w:fill="FFFFFF"/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>Trabectedin STADA</w:t>
      </w:r>
      <w:r w:rsidR="00817728" w:rsidRPr="00F45A6E">
        <w:rPr>
          <w:szCs w:val="22"/>
          <w:u w:val="single"/>
          <w:lang w:val="sr-Latn-ME"/>
        </w:rPr>
        <w:t xml:space="preserve">, </w:t>
      </w:r>
      <w:r w:rsidR="0010259C" w:rsidRPr="00F45A6E">
        <w:rPr>
          <w:szCs w:val="22"/>
          <w:u w:val="single"/>
          <w:lang w:val="sr-Latn-ME"/>
        </w:rPr>
        <w:t>1</w:t>
      </w:r>
      <w:r w:rsidR="00817728" w:rsidRPr="00F45A6E">
        <w:rPr>
          <w:szCs w:val="22"/>
          <w:u w:val="single"/>
          <w:lang w:val="sr-Latn-ME"/>
        </w:rPr>
        <w:t xml:space="preserve"> mg, </w:t>
      </w:r>
      <w:r w:rsidR="00E9339F" w:rsidRPr="00F45A6E">
        <w:rPr>
          <w:szCs w:val="22"/>
          <w:u w:val="single"/>
          <w:lang w:val="sr-Latn-ME"/>
        </w:rPr>
        <w:t xml:space="preserve">prašak za </w:t>
      </w:r>
      <w:r w:rsidR="00817728" w:rsidRPr="00F45A6E">
        <w:rPr>
          <w:szCs w:val="22"/>
          <w:u w:val="single"/>
          <w:lang w:val="sr-Latn-ME"/>
        </w:rPr>
        <w:t>koncentrat za rastvor za infuziju</w:t>
      </w:r>
    </w:p>
    <w:p w14:paraId="403CD09F" w14:textId="40DBBE0C" w:rsidR="00817728" w:rsidRPr="00F45A6E" w:rsidRDefault="00817728" w:rsidP="003A690C">
      <w:pPr>
        <w:shd w:val="clear" w:color="auto" w:fill="FFFFFF"/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Jedna bočica praška sadrži </w:t>
      </w:r>
      <w:r w:rsidR="0010259C" w:rsidRPr="00F45A6E">
        <w:rPr>
          <w:szCs w:val="22"/>
          <w:lang w:val="sr-Latn-ME"/>
        </w:rPr>
        <w:t>1</w:t>
      </w:r>
      <w:r w:rsidRPr="00F45A6E">
        <w:rPr>
          <w:szCs w:val="22"/>
          <w:lang w:val="sr-Latn-ME"/>
        </w:rPr>
        <w:t xml:space="preserve"> mg trabektedina. </w:t>
      </w:r>
    </w:p>
    <w:p w14:paraId="781C45B1" w14:textId="22B042B4" w:rsidR="00817728" w:rsidRPr="00F45A6E" w:rsidRDefault="00817728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1 m</w:t>
      </w:r>
      <w:r w:rsidR="00E101E2" w:rsidRPr="00F45A6E">
        <w:rPr>
          <w:szCs w:val="22"/>
          <w:lang w:val="sr-Latn-ME"/>
        </w:rPr>
        <w:t>l</w:t>
      </w:r>
      <w:r w:rsidRPr="00F45A6E">
        <w:rPr>
          <w:szCs w:val="22"/>
          <w:lang w:val="sr-Latn-ME"/>
        </w:rPr>
        <w:t xml:space="preserve"> rekonstituisanog rastvora sadrži 0</w:t>
      </w:r>
      <w:r w:rsidR="00C338AF" w:rsidRPr="00F45A6E">
        <w:rPr>
          <w:szCs w:val="22"/>
          <w:lang w:val="sr-Latn-ME"/>
        </w:rPr>
        <w:t>,</w:t>
      </w:r>
      <w:r w:rsidRPr="00F45A6E">
        <w:rPr>
          <w:szCs w:val="22"/>
          <w:lang w:val="sr-Latn-ME"/>
        </w:rPr>
        <w:t>05 mg trabektedina.</w:t>
      </w:r>
    </w:p>
    <w:p w14:paraId="161AB36F" w14:textId="77777777" w:rsidR="00C338AF" w:rsidRPr="00F45A6E" w:rsidRDefault="00C338AF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p w14:paraId="4302F746" w14:textId="7A7C1EF1" w:rsidR="0047338C" w:rsidRPr="00F45A6E" w:rsidRDefault="00817728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Pomoćn</w:t>
      </w:r>
      <w:r w:rsidR="00C338A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supstanc</w:t>
      </w:r>
      <w:r w:rsidR="00C338A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sa potvrđenim dejstvom: </w:t>
      </w:r>
    </w:p>
    <w:p w14:paraId="3B12CCE0" w14:textId="16D41576" w:rsidR="00DA02ED" w:rsidRPr="00F45A6E" w:rsidRDefault="0047338C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J</w:t>
      </w:r>
      <w:r w:rsidR="00817728" w:rsidRPr="00F45A6E">
        <w:rPr>
          <w:szCs w:val="22"/>
          <w:lang w:val="sr-Latn-ME"/>
        </w:rPr>
        <w:t>edna bočica praška sadrži</w:t>
      </w:r>
      <w:r w:rsidR="0010259C" w:rsidRPr="00F45A6E">
        <w:rPr>
          <w:szCs w:val="22"/>
          <w:lang w:val="sr-Latn-ME"/>
        </w:rPr>
        <w:t xml:space="preserve"> 16</w:t>
      </w:r>
      <w:r w:rsidR="00817728" w:rsidRPr="00F45A6E">
        <w:rPr>
          <w:szCs w:val="22"/>
          <w:lang w:val="sr-Latn-ME"/>
        </w:rPr>
        <w:t xml:space="preserve"> </w:t>
      </w:r>
      <w:r w:rsidR="0010259C" w:rsidRPr="00F45A6E">
        <w:rPr>
          <w:szCs w:val="22"/>
          <w:lang w:val="sr-Latn-ME"/>
        </w:rPr>
        <w:t>m</w:t>
      </w:r>
      <w:r w:rsidR="00817728" w:rsidRPr="00F45A6E">
        <w:rPr>
          <w:szCs w:val="22"/>
          <w:lang w:val="sr-Latn-ME"/>
        </w:rPr>
        <w:t>g natrijuma.</w:t>
      </w:r>
    </w:p>
    <w:p w14:paraId="3DD9BD98" w14:textId="77777777" w:rsidR="0099448C" w:rsidRPr="00F45A6E" w:rsidRDefault="0099448C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p w14:paraId="1F079E1B" w14:textId="77777777" w:rsidR="00C338AF" w:rsidRPr="00F45A6E" w:rsidRDefault="00C338AF" w:rsidP="00C338AF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Za spisak svih ekscipijenasa, pogledati dio 6.1.</w:t>
      </w:r>
    </w:p>
    <w:p w14:paraId="045ABCB8" w14:textId="77777777" w:rsidR="00CE09F3" w:rsidRPr="00F45A6E" w:rsidRDefault="00CE09F3" w:rsidP="003A690C">
      <w:pPr>
        <w:rPr>
          <w:szCs w:val="22"/>
          <w:lang w:val="sr-Latn-ME"/>
        </w:rPr>
      </w:pPr>
    </w:p>
    <w:p w14:paraId="3A39BD94" w14:textId="77777777" w:rsidR="00C157E6" w:rsidRPr="00F45A6E" w:rsidRDefault="00C157E6" w:rsidP="003A690C">
      <w:pPr>
        <w:rPr>
          <w:szCs w:val="22"/>
          <w:lang w:val="sr-Latn-ME"/>
        </w:rPr>
      </w:pPr>
    </w:p>
    <w:p w14:paraId="280693D2" w14:textId="77777777" w:rsidR="00CE09F3" w:rsidRPr="00F45A6E" w:rsidRDefault="003A053C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3. FARMACEUTSKI OBLIK</w:t>
      </w:r>
    </w:p>
    <w:p w14:paraId="01AF7F8D" w14:textId="77777777" w:rsidR="00C157E6" w:rsidRPr="00F45A6E" w:rsidRDefault="00C157E6" w:rsidP="003A690C">
      <w:pPr>
        <w:shd w:val="clear" w:color="auto" w:fill="FFFFFF"/>
        <w:rPr>
          <w:szCs w:val="22"/>
          <w:lang w:val="sr-Latn-ME"/>
        </w:rPr>
      </w:pPr>
    </w:p>
    <w:p w14:paraId="1F61A2E0" w14:textId="542A9C00" w:rsidR="007E3612" w:rsidRPr="00F45A6E" w:rsidRDefault="0018225E" w:rsidP="003A690C">
      <w:pPr>
        <w:shd w:val="clear" w:color="auto" w:fill="FFFFFF"/>
        <w:rPr>
          <w:szCs w:val="22"/>
          <w:lang w:val="sr-Latn-ME"/>
        </w:rPr>
      </w:pPr>
      <w:r w:rsidRPr="00F45A6E">
        <w:rPr>
          <w:szCs w:val="22"/>
          <w:lang w:val="sr-Latn-ME"/>
        </w:rPr>
        <w:t>Prašak za k</w:t>
      </w:r>
      <w:r w:rsidR="003A053C" w:rsidRPr="00F45A6E">
        <w:rPr>
          <w:szCs w:val="22"/>
          <w:lang w:val="sr-Latn-ME"/>
        </w:rPr>
        <w:t>oncentrat za rastvor za infuziju.</w:t>
      </w:r>
    </w:p>
    <w:p w14:paraId="28B82F1A" w14:textId="77777777" w:rsidR="00196593" w:rsidRPr="00F45A6E" w:rsidRDefault="00196593" w:rsidP="003A690C">
      <w:pPr>
        <w:shd w:val="clear" w:color="auto" w:fill="FFFFFF"/>
        <w:rPr>
          <w:szCs w:val="22"/>
          <w:lang w:val="sr-Latn-ME"/>
        </w:rPr>
      </w:pPr>
    </w:p>
    <w:p w14:paraId="1CBEF7A8" w14:textId="5123D21A" w:rsidR="00196593" w:rsidRPr="00F45A6E" w:rsidRDefault="00196593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B</w:t>
      </w:r>
      <w:r w:rsidR="00A740F6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>eli do skoro b</w:t>
      </w:r>
      <w:r w:rsidR="00A740F6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>eli prašak.</w:t>
      </w:r>
    </w:p>
    <w:p w14:paraId="1A619507" w14:textId="05603C01" w:rsidR="00CE09F3" w:rsidRPr="00F45A6E" w:rsidRDefault="00196593" w:rsidP="003A690C">
      <w:pPr>
        <w:shd w:val="clear" w:color="auto" w:fill="FFFFFF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pH </w:t>
      </w:r>
      <w:r w:rsidR="008C26C1" w:rsidRPr="00F45A6E">
        <w:rPr>
          <w:rFonts w:eastAsia="TimesNewRoman"/>
          <w:szCs w:val="22"/>
          <w:lang w:val="sr-Latn-ME"/>
        </w:rPr>
        <w:t>vrijednost</w:t>
      </w:r>
      <w:r w:rsidR="00312E01" w:rsidRPr="00F45A6E">
        <w:rPr>
          <w:rFonts w:eastAsia="TimesNewRoman"/>
          <w:szCs w:val="22"/>
          <w:lang w:val="sr-Latn-ME"/>
        </w:rPr>
        <w:t xml:space="preserve"> </w:t>
      </w:r>
      <w:r w:rsidRPr="00F45A6E">
        <w:rPr>
          <w:rFonts w:eastAsia="TimesNewRoman"/>
          <w:szCs w:val="22"/>
          <w:lang w:val="sr-Latn-ME"/>
        </w:rPr>
        <w:t>nakon rekonstitucije: 3,8</w:t>
      </w:r>
      <w:r w:rsidR="00F57BCE" w:rsidRPr="00F45A6E">
        <w:rPr>
          <w:rFonts w:eastAsia="TimesNewRoman"/>
          <w:szCs w:val="22"/>
          <w:lang w:val="sr-Latn-ME"/>
        </w:rPr>
        <w:t xml:space="preserve"> </w:t>
      </w:r>
      <w:r w:rsidRPr="00F45A6E">
        <w:rPr>
          <w:rFonts w:eastAsia="TimesNewRoman"/>
          <w:szCs w:val="22"/>
          <w:lang w:val="sr-Latn-ME"/>
        </w:rPr>
        <w:t>-</w:t>
      </w:r>
      <w:r w:rsidR="00F57BCE" w:rsidRPr="00F45A6E">
        <w:rPr>
          <w:rFonts w:eastAsia="TimesNewRoman"/>
          <w:szCs w:val="22"/>
          <w:lang w:val="sr-Latn-ME"/>
        </w:rPr>
        <w:t xml:space="preserve"> </w:t>
      </w:r>
      <w:r w:rsidRPr="00F45A6E">
        <w:rPr>
          <w:rFonts w:eastAsia="TimesNewRoman"/>
          <w:szCs w:val="22"/>
          <w:lang w:val="sr-Latn-ME"/>
        </w:rPr>
        <w:t>4,4.</w:t>
      </w:r>
    </w:p>
    <w:p w14:paraId="1DC29EDF" w14:textId="77777777" w:rsidR="00C157E6" w:rsidRPr="00F45A6E" w:rsidRDefault="00C157E6" w:rsidP="003A690C">
      <w:pPr>
        <w:shd w:val="clear" w:color="auto" w:fill="FFFFFF"/>
        <w:rPr>
          <w:rFonts w:eastAsia="TimesNewRoman"/>
          <w:szCs w:val="22"/>
          <w:lang w:val="sr-Latn-ME"/>
        </w:rPr>
      </w:pPr>
    </w:p>
    <w:p w14:paraId="4485E187" w14:textId="77777777" w:rsidR="00C157E6" w:rsidRPr="00F45A6E" w:rsidRDefault="00C157E6" w:rsidP="003A690C">
      <w:pPr>
        <w:shd w:val="clear" w:color="auto" w:fill="FFFFFF"/>
        <w:rPr>
          <w:szCs w:val="22"/>
          <w:lang w:val="sr-Latn-ME"/>
        </w:rPr>
      </w:pPr>
    </w:p>
    <w:p w14:paraId="2C9EDD20" w14:textId="77777777" w:rsidR="00CE09F3" w:rsidRPr="00F45A6E" w:rsidRDefault="003A053C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4. KLINIČKI PODACI</w:t>
      </w:r>
    </w:p>
    <w:p w14:paraId="611DEB84" w14:textId="77777777" w:rsidR="00C157E6" w:rsidRPr="00F45A6E" w:rsidRDefault="00C157E6" w:rsidP="003A690C">
      <w:pPr>
        <w:rPr>
          <w:b/>
          <w:bCs/>
          <w:szCs w:val="22"/>
          <w:lang w:val="sr-Latn-ME"/>
        </w:rPr>
      </w:pPr>
    </w:p>
    <w:p w14:paraId="6595D536" w14:textId="5F29C957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4.1. Terapijske indikacije</w:t>
      </w:r>
    </w:p>
    <w:p w14:paraId="4021687C" w14:textId="77777777" w:rsidR="007E3612" w:rsidRPr="00F45A6E" w:rsidRDefault="007E3612" w:rsidP="003A690C">
      <w:pPr>
        <w:rPr>
          <w:szCs w:val="22"/>
          <w:lang w:val="sr-Latn-ME"/>
        </w:rPr>
      </w:pPr>
    </w:p>
    <w:p w14:paraId="7DEC0459" w14:textId="7E96CDB1" w:rsidR="00E379DF" w:rsidRPr="00F45A6E" w:rsidRDefault="00E379D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Trabektedin je indi</w:t>
      </w:r>
      <w:r w:rsidR="00376A5D" w:rsidRPr="00F45A6E">
        <w:rPr>
          <w:szCs w:val="22"/>
          <w:lang w:val="sr-Latn-ME"/>
        </w:rPr>
        <w:t>kovan</w:t>
      </w:r>
      <w:r w:rsidRPr="00F45A6E">
        <w:rPr>
          <w:szCs w:val="22"/>
          <w:lang w:val="sr-Latn-ME"/>
        </w:rPr>
        <w:t xml:space="preserve"> za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 xml:space="preserve">e odraslih </w:t>
      </w:r>
      <w:r w:rsidR="008572AD" w:rsidRPr="00F45A6E">
        <w:rPr>
          <w:szCs w:val="22"/>
          <w:lang w:val="sr-Latn-ME"/>
        </w:rPr>
        <w:t>pacijenata</w:t>
      </w:r>
      <w:r w:rsidRPr="00F45A6E">
        <w:rPr>
          <w:szCs w:val="22"/>
          <w:lang w:val="sr-Latn-ME"/>
        </w:rPr>
        <w:t xml:space="preserve"> s</w:t>
      </w:r>
      <w:r w:rsidR="008572AD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uznapredovalim sarkomom mekih tkiva nakon neuspešnog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 xml:space="preserve">a antraciklinima i ifosfamidom ili za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 xml:space="preserve">e </w:t>
      </w:r>
      <w:r w:rsidR="0046286D" w:rsidRPr="00F45A6E">
        <w:rPr>
          <w:szCs w:val="22"/>
          <w:lang w:val="sr-Latn-ME"/>
        </w:rPr>
        <w:t>pacijenata</w:t>
      </w:r>
      <w:r w:rsidRPr="00F45A6E">
        <w:rPr>
          <w:szCs w:val="22"/>
          <w:lang w:val="sr-Latn-ME"/>
        </w:rPr>
        <w:t xml:space="preserve"> koji ne mogu primati te </w:t>
      </w:r>
      <w:r w:rsidR="005C3738" w:rsidRPr="00F45A6E">
        <w:rPr>
          <w:szCs w:val="22"/>
          <w:lang w:val="sr-Latn-ME"/>
        </w:rPr>
        <w:t>ljekov</w:t>
      </w:r>
      <w:r w:rsidRPr="00F45A6E">
        <w:rPr>
          <w:szCs w:val="22"/>
          <w:lang w:val="sr-Latn-ME"/>
        </w:rPr>
        <w:t xml:space="preserve">e. Podaci o </w:t>
      </w:r>
      <w:r w:rsidR="0046286D" w:rsidRPr="00F45A6E">
        <w:rPr>
          <w:szCs w:val="22"/>
          <w:lang w:val="sr-Latn-ME"/>
        </w:rPr>
        <w:t>efikasnost</w:t>
      </w:r>
      <w:r w:rsidRPr="00F45A6E">
        <w:rPr>
          <w:szCs w:val="22"/>
          <w:lang w:val="sr-Latn-ME"/>
        </w:rPr>
        <w:t xml:space="preserve">i temelje se uglavnom na </w:t>
      </w:r>
      <w:r w:rsidR="0046286D" w:rsidRPr="00F45A6E">
        <w:rPr>
          <w:szCs w:val="22"/>
          <w:lang w:val="sr-Latn-ME"/>
        </w:rPr>
        <w:t>pacijentima</w:t>
      </w:r>
      <w:r w:rsidRPr="00F45A6E">
        <w:rPr>
          <w:szCs w:val="22"/>
          <w:lang w:val="sr-Latn-ME"/>
        </w:rPr>
        <w:t xml:space="preserve"> s</w:t>
      </w:r>
      <w:r w:rsidR="0046286D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liposarkomima i leiomiosarkomima. </w:t>
      </w:r>
    </w:p>
    <w:p w14:paraId="70A63E03" w14:textId="77777777" w:rsidR="008572AD" w:rsidRPr="00F45A6E" w:rsidRDefault="008572AD" w:rsidP="003A690C">
      <w:pPr>
        <w:rPr>
          <w:szCs w:val="22"/>
          <w:lang w:val="sr-Latn-ME"/>
        </w:rPr>
      </w:pPr>
    </w:p>
    <w:p w14:paraId="018D09B5" w14:textId="4614E136" w:rsidR="00CE09F3" w:rsidRPr="00F45A6E" w:rsidRDefault="00E379D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Trabektedin</w:t>
      </w:r>
      <w:r w:rsidR="003604E5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je u kombinaciji s</w:t>
      </w:r>
      <w:r w:rsidR="003604E5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pegil</w:t>
      </w:r>
      <w:r w:rsidR="00192D66" w:rsidRPr="00F45A6E">
        <w:rPr>
          <w:szCs w:val="22"/>
          <w:lang w:val="sr-Latn-ME"/>
        </w:rPr>
        <w:t>ova</w:t>
      </w:r>
      <w:r w:rsidRPr="00F45A6E">
        <w:rPr>
          <w:szCs w:val="22"/>
          <w:lang w:val="sr-Latn-ME"/>
        </w:rPr>
        <w:t>nim lipo</w:t>
      </w:r>
      <w:r w:rsidR="00192D66" w:rsidRPr="00F45A6E">
        <w:rPr>
          <w:szCs w:val="22"/>
          <w:lang w:val="sr-Latn-ME"/>
        </w:rPr>
        <w:t>z</w:t>
      </w:r>
      <w:r w:rsidRPr="00F45A6E">
        <w:rPr>
          <w:szCs w:val="22"/>
          <w:lang w:val="sr-Latn-ME"/>
        </w:rPr>
        <w:t>omalnim doksorubicinom (PLD) indi</w:t>
      </w:r>
      <w:r w:rsidR="003604E5" w:rsidRPr="00F45A6E">
        <w:rPr>
          <w:szCs w:val="22"/>
          <w:lang w:val="sr-Latn-ME"/>
        </w:rPr>
        <w:t>kovan</w:t>
      </w:r>
      <w:r w:rsidRPr="00F45A6E">
        <w:rPr>
          <w:szCs w:val="22"/>
          <w:lang w:val="sr-Latn-ME"/>
        </w:rPr>
        <w:t xml:space="preserve"> za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 xml:space="preserve">e </w:t>
      </w:r>
      <w:r w:rsidR="003604E5" w:rsidRPr="00F45A6E">
        <w:rPr>
          <w:szCs w:val="22"/>
          <w:lang w:val="sr-Latn-ME"/>
        </w:rPr>
        <w:t>pacijentkinja</w:t>
      </w:r>
      <w:r w:rsidRPr="00F45A6E">
        <w:rPr>
          <w:szCs w:val="22"/>
          <w:lang w:val="sr-Latn-ME"/>
        </w:rPr>
        <w:t xml:space="preserve"> s</w:t>
      </w:r>
      <w:r w:rsidR="003604E5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relapsom </w:t>
      </w:r>
      <w:r w:rsidR="008B22BF" w:rsidRPr="00F45A6E">
        <w:rPr>
          <w:szCs w:val="22"/>
          <w:lang w:val="sr-Latn-ME"/>
        </w:rPr>
        <w:t>kancera</w:t>
      </w:r>
      <w:r w:rsidRPr="00F45A6E">
        <w:rPr>
          <w:szCs w:val="22"/>
          <w:lang w:val="sr-Latn-ME"/>
        </w:rPr>
        <w:t xml:space="preserve"> jajnika koji je os</w:t>
      </w:r>
      <w:r w:rsidR="00A93613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etljiv na platinu.</w:t>
      </w:r>
    </w:p>
    <w:p w14:paraId="0A547FF6" w14:textId="77777777" w:rsidR="00E379DF" w:rsidRPr="00F45A6E" w:rsidRDefault="00E379DF" w:rsidP="003A690C">
      <w:pPr>
        <w:rPr>
          <w:szCs w:val="22"/>
          <w:lang w:val="sr-Latn-ME"/>
        </w:rPr>
      </w:pPr>
    </w:p>
    <w:p w14:paraId="1ABA0DD1" w14:textId="4FEDFB9C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4.2. Doziranje i način prim</w:t>
      </w:r>
      <w:r w:rsidR="00031EC5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>ene</w:t>
      </w:r>
    </w:p>
    <w:p w14:paraId="6EB0D315" w14:textId="77777777" w:rsidR="006D6E26" w:rsidRPr="00F45A6E" w:rsidRDefault="006D6E26" w:rsidP="003A690C">
      <w:pPr>
        <w:rPr>
          <w:b/>
          <w:bCs/>
          <w:szCs w:val="22"/>
          <w:lang w:val="sr-Latn-ME"/>
        </w:rPr>
      </w:pPr>
    </w:p>
    <w:p w14:paraId="5B37B090" w14:textId="1D3E1F8A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Trabektedin se mora prim</w:t>
      </w:r>
      <w:r w:rsidR="00090FA3" w:rsidRPr="00F45A6E">
        <w:rPr>
          <w:sz w:val="22"/>
          <w:szCs w:val="22"/>
          <w:lang w:val="sr-Latn-ME"/>
        </w:rPr>
        <w:t>i</w:t>
      </w:r>
      <w:r w:rsidR="00031EC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eniti pod nadzorom </w:t>
      </w:r>
      <w:r w:rsidR="005C3738" w:rsidRPr="00F45A6E">
        <w:rPr>
          <w:sz w:val="22"/>
          <w:szCs w:val="22"/>
          <w:lang w:val="sr-Latn-ME"/>
        </w:rPr>
        <w:t>ljekar</w:t>
      </w:r>
      <w:r w:rsidR="00680E9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koji ima iskustva u prim</w:t>
      </w:r>
      <w:r w:rsidR="00031EC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eni </w:t>
      </w:r>
      <w:r w:rsidR="00680E9F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em</w:t>
      </w:r>
      <w:r w:rsidR="00035B6C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oterapije. Njegovo</w:t>
      </w:r>
      <w:r w:rsidR="0026261C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koriš</w:t>
      </w:r>
      <w:r w:rsidR="00680E9F" w:rsidRPr="00F45A6E">
        <w:rPr>
          <w:sz w:val="22"/>
          <w:szCs w:val="22"/>
          <w:lang w:val="sr-Latn-ME"/>
        </w:rPr>
        <w:t>ć</w:t>
      </w:r>
      <w:r w:rsidRPr="00F45A6E">
        <w:rPr>
          <w:sz w:val="22"/>
          <w:szCs w:val="22"/>
          <w:lang w:val="sr-Latn-ME"/>
        </w:rPr>
        <w:t>enje moraju nadzirati kvalifi</w:t>
      </w:r>
      <w:r w:rsidR="00A85BA9" w:rsidRPr="00F45A6E">
        <w:rPr>
          <w:sz w:val="22"/>
          <w:szCs w:val="22"/>
          <w:lang w:val="sr-Latn-ME"/>
        </w:rPr>
        <w:t>kovani</w:t>
      </w:r>
      <w:r w:rsidRPr="00F45A6E">
        <w:rPr>
          <w:sz w:val="22"/>
          <w:szCs w:val="22"/>
          <w:lang w:val="sr-Latn-ME"/>
        </w:rPr>
        <w:t xml:space="preserve"> onkolozi ili drugi zdravstveni radnici specijaliz</w:t>
      </w:r>
      <w:r w:rsidR="00A85BA9" w:rsidRPr="00F45A6E">
        <w:rPr>
          <w:sz w:val="22"/>
          <w:szCs w:val="22"/>
          <w:lang w:val="sr-Latn-ME"/>
        </w:rPr>
        <w:t>ovani</w:t>
      </w:r>
      <w:r w:rsidRPr="00F45A6E">
        <w:rPr>
          <w:sz w:val="22"/>
          <w:szCs w:val="22"/>
          <w:lang w:val="sr-Latn-ME"/>
        </w:rPr>
        <w:t xml:space="preserve"> za prim</w:t>
      </w:r>
      <w:r w:rsidR="00031EC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enu citotoksičnih </w:t>
      </w:r>
      <w:r w:rsidR="005C3738" w:rsidRPr="00F45A6E">
        <w:rPr>
          <w:sz w:val="22"/>
          <w:szCs w:val="22"/>
          <w:lang w:val="sr-Latn-ME"/>
        </w:rPr>
        <w:t>ljekov</w:t>
      </w:r>
      <w:r w:rsidRPr="00F45A6E">
        <w:rPr>
          <w:sz w:val="22"/>
          <w:szCs w:val="22"/>
          <w:lang w:val="sr-Latn-ME"/>
        </w:rPr>
        <w:t xml:space="preserve">a. </w:t>
      </w:r>
    </w:p>
    <w:p w14:paraId="027D5D68" w14:textId="70170FED" w:rsidR="006E2A3F" w:rsidRPr="00F45A6E" w:rsidRDefault="006E2A3F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lastRenderedPageBreak/>
        <w:t xml:space="preserve">Doziranje </w:t>
      </w:r>
    </w:p>
    <w:p w14:paraId="3FCAEF0F" w14:textId="77777777" w:rsidR="00A85BA9" w:rsidRPr="00F45A6E" w:rsidRDefault="00A85BA9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1E751123" w14:textId="158CECDA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Za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e sarkoma mekog tkiva preporučena doza je 1,5 mg/m</w:t>
      </w:r>
      <w:r w:rsidR="00035B6C"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 površine t</w:t>
      </w:r>
      <w:r w:rsidR="00090FA3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ela koja se prim</w:t>
      </w:r>
      <w:r w:rsidR="005A5604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enjuje kao intravenska infuzija t</w:t>
      </w:r>
      <w:r w:rsidR="00240E0F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24 sata s</w:t>
      </w:r>
      <w:r w:rsidR="00240E0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tri </w:t>
      </w:r>
      <w:r w:rsidR="00240E0F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pauze izme</w:t>
      </w:r>
      <w:r w:rsidR="00240E0F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u ciklusa. </w:t>
      </w:r>
    </w:p>
    <w:p w14:paraId="511A728C" w14:textId="77777777" w:rsidR="00B25CDF" w:rsidRPr="00F45A6E" w:rsidRDefault="00B25CDF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C1F2198" w14:textId="0BD79670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Za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e </w:t>
      </w:r>
      <w:r w:rsidR="008B22BF" w:rsidRPr="00F45A6E">
        <w:rPr>
          <w:sz w:val="22"/>
          <w:szCs w:val="22"/>
          <w:lang w:val="sr-Latn-ME"/>
        </w:rPr>
        <w:t>kancera</w:t>
      </w:r>
      <w:r w:rsidRPr="00F45A6E">
        <w:rPr>
          <w:sz w:val="22"/>
          <w:szCs w:val="22"/>
          <w:lang w:val="sr-Latn-ME"/>
        </w:rPr>
        <w:t xml:space="preserve"> jajnika </w:t>
      </w:r>
      <w:r w:rsidR="00C205D6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 se prim</w:t>
      </w:r>
      <w:r w:rsidR="005A5604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enjuje svak</w:t>
      </w:r>
      <w:r w:rsidR="00A464D9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tri </w:t>
      </w:r>
      <w:r w:rsidR="00A464D9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u obliku infuzije</w:t>
      </w:r>
      <w:r w:rsidR="00505B97" w:rsidRPr="00F45A6E">
        <w:rPr>
          <w:sz w:val="22"/>
          <w:szCs w:val="22"/>
          <w:lang w:val="sr-Latn-ME"/>
        </w:rPr>
        <w:t xml:space="preserve"> koja traje tri sata</w:t>
      </w:r>
      <w:r w:rsidRPr="00F45A6E">
        <w:rPr>
          <w:sz w:val="22"/>
          <w:szCs w:val="22"/>
          <w:lang w:val="sr-Latn-ME"/>
        </w:rPr>
        <w:t xml:space="preserve"> u dozi od 1,1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, odmah nakon PLD u dozi od 30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. Da bi se smanjio rizik od reakcija na infuziju PLD, početna doza se prim</w:t>
      </w:r>
      <w:r w:rsidR="005A5604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enjuje pri brzini ne većoj od 1 mg/minuti. Ako nije uočena reakcija</w:t>
      </w:r>
      <w:r w:rsidR="00035B6C" w:rsidRPr="00F45A6E">
        <w:rPr>
          <w:sz w:val="22"/>
          <w:szCs w:val="22"/>
          <w:lang w:val="sr-Latn-ME"/>
        </w:rPr>
        <w:t xml:space="preserve"> na infuziju</w:t>
      </w:r>
      <w:r w:rsidRPr="00F45A6E">
        <w:rPr>
          <w:sz w:val="22"/>
          <w:szCs w:val="22"/>
          <w:lang w:val="sr-Latn-ME"/>
        </w:rPr>
        <w:t xml:space="preserve">, sledeće infuzije PLD mogu se </w:t>
      </w:r>
      <w:r w:rsidR="008E59DE" w:rsidRPr="00F45A6E">
        <w:rPr>
          <w:sz w:val="22"/>
          <w:szCs w:val="22"/>
          <w:lang w:val="sr-Latn-ME"/>
        </w:rPr>
        <w:t>primijeniti</w:t>
      </w:r>
      <w:r w:rsidRPr="00F45A6E">
        <w:rPr>
          <w:sz w:val="22"/>
          <w:szCs w:val="22"/>
          <w:lang w:val="sr-Latn-ME"/>
        </w:rPr>
        <w:t xml:space="preserve"> t</w:t>
      </w:r>
      <w:r w:rsidR="00DE1FCC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jednog sata (vid</w:t>
      </w:r>
      <w:r w:rsidR="005A5604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eti tako</w:t>
      </w:r>
      <w:r w:rsidR="00DE1FCC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e </w:t>
      </w:r>
      <w:r w:rsidR="00DE1FCC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</w:t>
      </w:r>
      <w:r w:rsidR="00DE1FC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etak </w:t>
      </w:r>
      <w:r w:rsidR="00880381" w:rsidRPr="00F45A6E">
        <w:rPr>
          <w:sz w:val="22"/>
          <w:szCs w:val="22"/>
          <w:lang w:val="sr-Latn-ME"/>
        </w:rPr>
        <w:t>karakteristika</w:t>
      </w:r>
      <w:r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>a za PLD za specifične informacije o prim</w:t>
      </w:r>
      <w:r w:rsidR="005A5604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eni). </w:t>
      </w:r>
    </w:p>
    <w:p w14:paraId="5F3A81F1" w14:textId="77777777" w:rsidR="00880381" w:rsidRPr="00F45A6E" w:rsidRDefault="00880381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1587F57" w14:textId="0D219407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Svi </w:t>
      </w:r>
      <w:r w:rsidR="005A27BF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moraju primiti kortikosteroide, </w:t>
      </w:r>
      <w:r w:rsidR="00D93406" w:rsidRPr="00F45A6E">
        <w:rPr>
          <w:sz w:val="22"/>
          <w:szCs w:val="22"/>
          <w:lang w:val="sr-Latn-ME"/>
        </w:rPr>
        <w:t>npr.</w:t>
      </w:r>
      <w:r w:rsidRPr="00F45A6E">
        <w:rPr>
          <w:sz w:val="22"/>
          <w:szCs w:val="22"/>
          <w:lang w:val="sr-Latn-ME"/>
        </w:rPr>
        <w:t xml:space="preserve"> </w:t>
      </w:r>
      <w:r w:rsidR="00035B6C" w:rsidRPr="00F45A6E">
        <w:rPr>
          <w:sz w:val="22"/>
          <w:szCs w:val="22"/>
          <w:lang w:val="sr-Latn-ME"/>
        </w:rPr>
        <w:t xml:space="preserve">dozu od </w:t>
      </w:r>
      <w:r w:rsidRPr="00F45A6E">
        <w:rPr>
          <w:sz w:val="22"/>
          <w:szCs w:val="22"/>
          <w:lang w:val="sr-Latn-ME"/>
        </w:rPr>
        <w:t>20 mg deksametazona intravenski 30 minuta pre PLD (u kombin</w:t>
      </w:r>
      <w:r w:rsidR="00C205D6" w:rsidRPr="00F45A6E">
        <w:rPr>
          <w:sz w:val="22"/>
          <w:szCs w:val="22"/>
          <w:lang w:val="sr-Latn-ME"/>
        </w:rPr>
        <w:t>ovanoj</w:t>
      </w:r>
      <w:r w:rsidRPr="00F45A6E">
        <w:rPr>
          <w:sz w:val="22"/>
          <w:szCs w:val="22"/>
          <w:lang w:val="sr-Latn-ME"/>
        </w:rPr>
        <w:t xml:space="preserve"> terapiji) ili </w:t>
      </w:r>
      <w:r w:rsidR="00D93406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 xml:space="preserve">rabektedin (u monoterapiji), ne samo kao antiemetičku profilaksu, već i zato što se čini da to ima hepatoprotektivne </w:t>
      </w:r>
      <w:r w:rsidR="00D93406" w:rsidRPr="00F45A6E">
        <w:rPr>
          <w:sz w:val="22"/>
          <w:szCs w:val="22"/>
          <w:lang w:val="sr-Latn-ME"/>
        </w:rPr>
        <w:t>efekte</w:t>
      </w:r>
      <w:r w:rsidRPr="00F45A6E">
        <w:rPr>
          <w:sz w:val="22"/>
          <w:szCs w:val="22"/>
          <w:lang w:val="sr-Latn-ME"/>
        </w:rPr>
        <w:t xml:space="preserve">. Prema potrebi mogu se </w:t>
      </w:r>
      <w:r w:rsidR="008E59DE" w:rsidRPr="00F45A6E">
        <w:rPr>
          <w:sz w:val="22"/>
          <w:szCs w:val="22"/>
          <w:lang w:val="sr-Latn-ME"/>
        </w:rPr>
        <w:t>primijeniti</w:t>
      </w:r>
      <w:r w:rsidRPr="00F45A6E">
        <w:rPr>
          <w:sz w:val="22"/>
          <w:szCs w:val="22"/>
          <w:lang w:val="sr-Latn-ME"/>
        </w:rPr>
        <w:t xml:space="preserve"> dodatni antiemetici. </w:t>
      </w:r>
    </w:p>
    <w:p w14:paraId="0FFD8C3E" w14:textId="77777777" w:rsidR="00D93406" w:rsidRPr="00F45A6E" w:rsidRDefault="00D93406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5B19EC25" w14:textId="5F7C653C" w:rsidR="006E2A3F" w:rsidRPr="00F45A6E" w:rsidRDefault="00035B6C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Potrebno je da se ispune s</w:t>
      </w:r>
      <w:r w:rsidR="006E2A3F" w:rsidRPr="00F45A6E">
        <w:rPr>
          <w:sz w:val="22"/>
          <w:szCs w:val="22"/>
          <w:lang w:val="sr-Latn-ME"/>
        </w:rPr>
        <w:t xml:space="preserve">ledeći </w:t>
      </w:r>
      <w:r w:rsidR="00F15F19" w:rsidRPr="00F45A6E">
        <w:rPr>
          <w:sz w:val="22"/>
          <w:szCs w:val="22"/>
          <w:lang w:val="sr-Latn-ME"/>
        </w:rPr>
        <w:t xml:space="preserve">kriterijumi </w:t>
      </w:r>
      <w:r w:rsidR="006E2A3F" w:rsidRPr="00F45A6E">
        <w:rPr>
          <w:sz w:val="22"/>
          <w:szCs w:val="22"/>
          <w:lang w:val="sr-Latn-ME"/>
        </w:rPr>
        <w:t xml:space="preserve">da bi se odobrilo </w:t>
      </w:r>
      <w:r w:rsidR="00031EC5" w:rsidRPr="00F45A6E">
        <w:rPr>
          <w:sz w:val="22"/>
          <w:szCs w:val="22"/>
          <w:lang w:val="sr-Latn-ME"/>
        </w:rPr>
        <w:t>liječenj</w:t>
      </w:r>
      <w:r w:rsidR="006E2A3F" w:rsidRPr="00F45A6E">
        <w:rPr>
          <w:sz w:val="22"/>
          <w:szCs w:val="22"/>
          <w:lang w:val="sr-Latn-ME"/>
        </w:rPr>
        <w:t xml:space="preserve">e </w:t>
      </w:r>
      <w:r w:rsidR="005C3738" w:rsidRPr="00F45A6E">
        <w:rPr>
          <w:sz w:val="22"/>
          <w:szCs w:val="22"/>
          <w:lang w:val="sr-Latn-ME"/>
        </w:rPr>
        <w:t>lijek</w:t>
      </w:r>
      <w:r w:rsidR="006E2A3F" w:rsidRPr="00F45A6E">
        <w:rPr>
          <w:sz w:val="22"/>
          <w:szCs w:val="22"/>
          <w:lang w:val="sr-Latn-ME"/>
        </w:rPr>
        <w:t xml:space="preserve">om </w:t>
      </w:r>
      <w:r w:rsidR="001D6C3F" w:rsidRPr="00F45A6E">
        <w:rPr>
          <w:sz w:val="22"/>
          <w:szCs w:val="22"/>
          <w:lang w:val="sr-Latn-ME"/>
        </w:rPr>
        <w:t>Trabectedin STADA</w:t>
      </w:r>
      <w:r w:rsidR="006E2A3F" w:rsidRPr="00F45A6E">
        <w:rPr>
          <w:sz w:val="22"/>
          <w:szCs w:val="22"/>
          <w:lang w:val="sr-Latn-ME"/>
        </w:rPr>
        <w:t xml:space="preserve">: </w:t>
      </w:r>
    </w:p>
    <w:p w14:paraId="0C85227C" w14:textId="29F4B61E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apsolutni broj neutrofila (ABN) ≥ 1500/mm</w:t>
      </w:r>
      <w:r w:rsidRPr="00F45A6E">
        <w:rPr>
          <w:sz w:val="22"/>
          <w:szCs w:val="22"/>
          <w:vertAlign w:val="superscript"/>
          <w:lang w:val="sr-Latn-ME"/>
        </w:rPr>
        <w:t xml:space="preserve">3 </w:t>
      </w:r>
    </w:p>
    <w:p w14:paraId="6A8896C2" w14:textId="268604FB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broj trombocita ≥ 100 000/mm</w:t>
      </w:r>
      <w:r w:rsidRPr="00F45A6E">
        <w:rPr>
          <w:sz w:val="22"/>
          <w:szCs w:val="22"/>
          <w:vertAlign w:val="superscript"/>
          <w:lang w:val="sr-Latn-ME"/>
        </w:rPr>
        <w:t>3</w:t>
      </w:r>
      <w:r w:rsidRPr="00F45A6E">
        <w:rPr>
          <w:sz w:val="22"/>
          <w:szCs w:val="22"/>
          <w:lang w:val="sr-Latn-ME"/>
        </w:rPr>
        <w:t xml:space="preserve"> </w:t>
      </w:r>
    </w:p>
    <w:p w14:paraId="150C74A9" w14:textId="10946E05" w:rsidR="006E2A3F" w:rsidRPr="00F45A6E" w:rsidRDefault="00E53FA0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koncentracija </w:t>
      </w:r>
      <w:r w:rsidR="006E2A3F" w:rsidRPr="00F45A6E">
        <w:rPr>
          <w:sz w:val="22"/>
          <w:szCs w:val="22"/>
          <w:lang w:val="sr-Latn-ME"/>
        </w:rPr>
        <w:t>bilirubin</w:t>
      </w:r>
      <w:r w:rsidRPr="00F45A6E">
        <w:rPr>
          <w:sz w:val="22"/>
          <w:szCs w:val="22"/>
          <w:lang w:val="sr-Latn-ME"/>
        </w:rPr>
        <w:t>a</w:t>
      </w:r>
      <w:r w:rsidR="006E2A3F" w:rsidRPr="00F45A6E">
        <w:rPr>
          <w:sz w:val="22"/>
          <w:szCs w:val="22"/>
          <w:lang w:val="sr-Latn-ME"/>
        </w:rPr>
        <w:t xml:space="preserve"> ≤ gornja granica </w:t>
      </w:r>
      <w:r w:rsidR="00D4025C" w:rsidRPr="00F45A6E">
        <w:rPr>
          <w:sz w:val="22"/>
          <w:szCs w:val="22"/>
          <w:lang w:val="sr-Latn-ME"/>
        </w:rPr>
        <w:t xml:space="preserve">normalne </w:t>
      </w:r>
      <w:r w:rsidR="008C26C1" w:rsidRPr="00F45A6E">
        <w:rPr>
          <w:sz w:val="22"/>
          <w:szCs w:val="22"/>
          <w:lang w:val="sr-Latn-ME"/>
        </w:rPr>
        <w:t>vrijednost</w:t>
      </w:r>
      <w:r w:rsidR="00D4025C" w:rsidRPr="00F45A6E">
        <w:rPr>
          <w:sz w:val="22"/>
          <w:szCs w:val="22"/>
          <w:lang w:val="sr-Latn-ME"/>
        </w:rPr>
        <w:t xml:space="preserve">i </w:t>
      </w:r>
      <w:r w:rsidR="006E2A3F" w:rsidRPr="00F45A6E">
        <w:rPr>
          <w:sz w:val="22"/>
          <w:szCs w:val="22"/>
          <w:lang w:val="sr-Latn-ME"/>
        </w:rPr>
        <w:t xml:space="preserve">(GGN) </w:t>
      </w:r>
    </w:p>
    <w:p w14:paraId="19E42541" w14:textId="18464582" w:rsidR="006E2A3F" w:rsidRPr="00F45A6E" w:rsidRDefault="008C26C1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vrijednost</w:t>
      </w:r>
      <w:r w:rsidR="00E53FA0" w:rsidRPr="00F45A6E">
        <w:rPr>
          <w:sz w:val="22"/>
          <w:szCs w:val="22"/>
          <w:lang w:val="sr-Latn-ME"/>
        </w:rPr>
        <w:t xml:space="preserve"> </w:t>
      </w:r>
      <w:r w:rsidR="006E2A3F" w:rsidRPr="00F45A6E">
        <w:rPr>
          <w:sz w:val="22"/>
          <w:szCs w:val="22"/>
          <w:lang w:val="sr-Latn-ME"/>
        </w:rPr>
        <w:t>alkaln</w:t>
      </w:r>
      <w:r w:rsidR="00E53FA0" w:rsidRPr="00F45A6E">
        <w:rPr>
          <w:sz w:val="22"/>
          <w:szCs w:val="22"/>
          <w:lang w:val="sr-Latn-ME"/>
        </w:rPr>
        <w:t>e</w:t>
      </w:r>
      <w:r w:rsidR="006E2A3F" w:rsidRPr="00F45A6E">
        <w:rPr>
          <w:sz w:val="22"/>
          <w:szCs w:val="22"/>
          <w:lang w:val="sr-Latn-ME"/>
        </w:rPr>
        <w:t xml:space="preserve"> fosfataz</w:t>
      </w:r>
      <w:r w:rsidR="00E53FA0" w:rsidRPr="00F45A6E">
        <w:rPr>
          <w:sz w:val="22"/>
          <w:szCs w:val="22"/>
          <w:lang w:val="sr-Latn-ME"/>
        </w:rPr>
        <w:t>e</w:t>
      </w:r>
      <w:r w:rsidR="006E2A3F" w:rsidRPr="00F45A6E">
        <w:rPr>
          <w:sz w:val="22"/>
          <w:szCs w:val="22"/>
          <w:lang w:val="sr-Latn-ME"/>
        </w:rPr>
        <w:t xml:space="preserve"> ≤ 2,5 x GGN (uzeti u obzir izoenzime</w:t>
      </w:r>
      <w:r w:rsidR="00F669CA" w:rsidRPr="00F45A6E">
        <w:rPr>
          <w:sz w:val="22"/>
          <w:szCs w:val="22"/>
          <w:lang w:val="sr-Latn-ME"/>
        </w:rPr>
        <w:t xml:space="preserve"> jetre</w:t>
      </w:r>
      <w:r w:rsidR="006E2A3F" w:rsidRPr="00F45A6E">
        <w:rPr>
          <w:sz w:val="22"/>
          <w:szCs w:val="22"/>
          <w:lang w:val="sr-Latn-ME"/>
        </w:rPr>
        <w:t xml:space="preserve"> 5-nukleotidaze ili gama glutamil transpeptidaze (GGT) ako bi povećanje moglo biti koštanog po</w:t>
      </w:r>
      <w:r w:rsidR="00C205D6" w:rsidRPr="00F45A6E">
        <w:rPr>
          <w:sz w:val="22"/>
          <w:szCs w:val="22"/>
          <w:lang w:val="sr-Latn-ME"/>
        </w:rPr>
        <w:t>rekla</w:t>
      </w:r>
      <w:r w:rsidR="006E2A3F" w:rsidRPr="00F45A6E">
        <w:rPr>
          <w:sz w:val="22"/>
          <w:szCs w:val="22"/>
          <w:lang w:val="sr-Latn-ME"/>
        </w:rPr>
        <w:t xml:space="preserve">) </w:t>
      </w:r>
    </w:p>
    <w:p w14:paraId="6075E862" w14:textId="6F2B7268" w:rsidR="006E2A3F" w:rsidRPr="00F45A6E" w:rsidRDefault="00E53FA0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koncentracija </w:t>
      </w:r>
      <w:r w:rsidR="006E2A3F" w:rsidRPr="00F45A6E">
        <w:rPr>
          <w:sz w:val="22"/>
          <w:szCs w:val="22"/>
          <w:lang w:val="sr-Latn-ME"/>
        </w:rPr>
        <w:t>albumin</w:t>
      </w:r>
      <w:r w:rsidRPr="00F45A6E">
        <w:rPr>
          <w:sz w:val="22"/>
          <w:szCs w:val="22"/>
          <w:lang w:val="sr-Latn-ME"/>
        </w:rPr>
        <w:t>a</w:t>
      </w:r>
      <w:r w:rsidR="006E2A3F" w:rsidRPr="00F45A6E">
        <w:rPr>
          <w:sz w:val="22"/>
          <w:szCs w:val="22"/>
          <w:lang w:val="sr-Latn-ME"/>
        </w:rPr>
        <w:t xml:space="preserve"> ≥ 25 g/</w:t>
      </w:r>
      <w:r w:rsidR="00C205D6" w:rsidRPr="00F45A6E">
        <w:rPr>
          <w:sz w:val="22"/>
          <w:szCs w:val="22"/>
          <w:lang w:val="sr-Latn-ME"/>
        </w:rPr>
        <w:t>L</w:t>
      </w:r>
    </w:p>
    <w:p w14:paraId="2660D32A" w14:textId="2B39467E" w:rsidR="006E2A3F" w:rsidRPr="00F45A6E" w:rsidRDefault="008C26C1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vrijednost</w:t>
      </w:r>
      <w:r w:rsidR="00E53FA0" w:rsidRPr="00F45A6E">
        <w:rPr>
          <w:sz w:val="22"/>
          <w:szCs w:val="22"/>
          <w:lang w:val="sr-Latn-ME"/>
        </w:rPr>
        <w:t xml:space="preserve">i </w:t>
      </w:r>
      <w:r w:rsidR="006E2A3F" w:rsidRPr="00F45A6E">
        <w:rPr>
          <w:sz w:val="22"/>
          <w:szCs w:val="22"/>
          <w:lang w:val="sr-Latn-ME"/>
        </w:rPr>
        <w:t xml:space="preserve">alanin aminotransferaza (ALT) i aspartat aminotransferaza (AST) ≤ 2,5 x GGN </w:t>
      </w:r>
    </w:p>
    <w:p w14:paraId="6B91CABF" w14:textId="0F44C9A4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klirens kreatinina ≥ 30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/min (monoterapija), </w:t>
      </w:r>
      <w:r w:rsidR="00E53FA0" w:rsidRPr="00F45A6E">
        <w:rPr>
          <w:sz w:val="22"/>
          <w:szCs w:val="22"/>
          <w:lang w:val="sr-Latn-ME"/>
        </w:rPr>
        <w:t xml:space="preserve">koncentracija </w:t>
      </w:r>
      <w:r w:rsidRPr="00F45A6E">
        <w:rPr>
          <w:sz w:val="22"/>
          <w:szCs w:val="22"/>
          <w:lang w:val="sr-Latn-ME"/>
        </w:rPr>
        <w:t>kreatinin</w:t>
      </w:r>
      <w:r w:rsidR="00E53FA0" w:rsidRPr="00F45A6E">
        <w:rPr>
          <w:sz w:val="22"/>
          <w:szCs w:val="22"/>
          <w:lang w:val="sr-Latn-ME"/>
        </w:rPr>
        <w:t>a u serumu</w:t>
      </w:r>
      <w:r w:rsidRPr="00F45A6E">
        <w:rPr>
          <w:sz w:val="22"/>
          <w:szCs w:val="22"/>
          <w:lang w:val="sr-Latn-ME"/>
        </w:rPr>
        <w:t xml:space="preserve"> ≤ 1,5 mg/d</w:t>
      </w:r>
      <w:r w:rsidR="00C205D6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 (≤ 132,6 </w:t>
      </w:r>
      <w:r w:rsidR="00F669CA" w:rsidRPr="00F45A6E">
        <w:rPr>
          <w:sz w:val="22"/>
          <w:szCs w:val="22"/>
          <w:lang w:val="sr-Latn-ME"/>
        </w:rPr>
        <w:t>mikro</w:t>
      </w:r>
      <w:r w:rsidRPr="00F45A6E">
        <w:rPr>
          <w:sz w:val="22"/>
          <w:szCs w:val="22"/>
          <w:lang w:val="sr-Latn-ME"/>
        </w:rPr>
        <w:t>mol/</w:t>
      </w:r>
      <w:r w:rsidR="00C205D6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) ili klirens kreatinina ≥ 60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/min (kombin</w:t>
      </w:r>
      <w:r w:rsidR="00C205D6" w:rsidRPr="00F45A6E">
        <w:rPr>
          <w:sz w:val="22"/>
          <w:szCs w:val="22"/>
          <w:lang w:val="sr-Latn-ME"/>
        </w:rPr>
        <w:t>ovana</w:t>
      </w:r>
      <w:r w:rsidRPr="00F45A6E">
        <w:rPr>
          <w:sz w:val="22"/>
          <w:szCs w:val="22"/>
          <w:lang w:val="sr-Latn-ME"/>
        </w:rPr>
        <w:t xml:space="preserve"> terapija) </w:t>
      </w:r>
    </w:p>
    <w:p w14:paraId="531BEF15" w14:textId="18FFF82A" w:rsidR="006E2A3F" w:rsidRPr="00F45A6E" w:rsidRDefault="008C26C1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vrijednost</w:t>
      </w:r>
      <w:r w:rsidR="00E53FA0" w:rsidRPr="00F45A6E">
        <w:rPr>
          <w:sz w:val="22"/>
          <w:szCs w:val="22"/>
          <w:lang w:val="sr-Latn-ME"/>
        </w:rPr>
        <w:t xml:space="preserve"> </w:t>
      </w:r>
      <w:r w:rsidR="006E2A3F" w:rsidRPr="00F45A6E">
        <w:rPr>
          <w:sz w:val="22"/>
          <w:szCs w:val="22"/>
          <w:lang w:val="sr-Latn-ME"/>
        </w:rPr>
        <w:t>kreatin fosfokinaz</w:t>
      </w:r>
      <w:r w:rsidR="00E53FA0" w:rsidRPr="00F45A6E">
        <w:rPr>
          <w:sz w:val="22"/>
          <w:szCs w:val="22"/>
          <w:lang w:val="sr-Latn-ME"/>
        </w:rPr>
        <w:t>e</w:t>
      </w:r>
      <w:r w:rsidR="006E2A3F" w:rsidRPr="00F45A6E">
        <w:rPr>
          <w:sz w:val="22"/>
          <w:szCs w:val="22"/>
          <w:lang w:val="sr-Latn-ME"/>
        </w:rPr>
        <w:t xml:space="preserve"> (CPK) ≤ 2,5 x GGN </w:t>
      </w:r>
    </w:p>
    <w:p w14:paraId="71AFCF78" w14:textId="6EF1C645" w:rsidR="006E2A3F" w:rsidRPr="00F45A6E" w:rsidRDefault="00E53FA0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koncentracija </w:t>
      </w:r>
      <w:r w:rsidR="006E2A3F" w:rsidRPr="00F45A6E">
        <w:rPr>
          <w:sz w:val="22"/>
          <w:szCs w:val="22"/>
          <w:lang w:val="sr-Latn-ME"/>
        </w:rPr>
        <w:t>hemoglobin</w:t>
      </w:r>
      <w:r w:rsidRPr="00F45A6E">
        <w:rPr>
          <w:sz w:val="22"/>
          <w:szCs w:val="22"/>
          <w:lang w:val="sr-Latn-ME"/>
        </w:rPr>
        <w:t>a</w:t>
      </w:r>
      <w:r w:rsidR="006E2A3F" w:rsidRPr="00F45A6E">
        <w:rPr>
          <w:sz w:val="22"/>
          <w:szCs w:val="22"/>
          <w:lang w:val="sr-Latn-ME"/>
        </w:rPr>
        <w:t xml:space="preserve"> ≥ 9 g/d</w:t>
      </w:r>
      <w:r w:rsidR="00C205D6" w:rsidRPr="00F45A6E">
        <w:rPr>
          <w:sz w:val="22"/>
          <w:szCs w:val="22"/>
          <w:lang w:val="sr-Latn-ME"/>
        </w:rPr>
        <w:t>L.</w:t>
      </w:r>
    </w:p>
    <w:p w14:paraId="00B71C71" w14:textId="77777777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BCAD99F" w14:textId="4759C61C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Isti </w:t>
      </w:r>
      <w:r w:rsidR="00C205D6" w:rsidRPr="00F45A6E">
        <w:rPr>
          <w:sz w:val="22"/>
          <w:szCs w:val="22"/>
          <w:lang w:val="sr-Latn-ME"/>
        </w:rPr>
        <w:t>uslovi</w:t>
      </w:r>
      <w:r w:rsidRPr="00F45A6E">
        <w:rPr>
          <w:sz w:val="22"/>
          <w:szCs w:val="22"/>
          <w:lang w:val="sr-Latn-ME"/>
        </w:rPr>
        <w:t xml:space="preserve"> kao </w:t>
      </w:r>
      <w:r w:rsidR="00CB38CC" w:rsidRPr="00F45A6E">
        <w:rPr>
          <w:sz w:val="22"/>
          <w:szCs w:val="22"/>
          <w:lang w:val="sr-Latn-ME"/>
        </w:rPr>
        <w:t>prethodno</w:t>
      </w:r>
      <w:r w:rsidRPr="00F45A6E">
        <w:rPr>
          <w:sz w:val="22"/>
          <w:szCs w:val="22"/>
          <w:lang w:val="sr-Latn-ME"/>
        </w:rPr>
        <w:t xml:space="preserve"> navedeni moraju biti ispunjeni pre ponovnog početka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a. U suprotnom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e se mora od</w:t>
      </w:r>
      <w:r w:rsidR="00C205D6" w:rsidRPr="00F45A6E">
        <w:rPr>
          <w:sz w:val="22"/>
          <w:szCs w:val="22"/>
          <w:lang w:val="sr-Latn-ME"/>
        </w:rPr>
        <w:t>ložiti</w:t>
      </w:r>
      <w:r w:rsidRPr="00F45A6E">
        <w:rPr>
          <w:sz w:val="22"/>
          <w:szCs w:val="22"/>
          <w:lang w:val="sr-Latn-ME"/>
        </w:rPr>
        <w:t xml:space="preserve"> do 3 </w:t>
      </w:r>
      <w:r w:rsidR="00C205D6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dok se ne ispune kriterij</w:t>
      </w:r>
      <w:r w:rsidR="00C205D6" w:rsidRPr="00F45A6E">
        <w:rPr>
          <w:sz w:val="22"/>
          <w:szCs w:val="22"/>
          <w:lang w:val="sr-Latn-ME"/>
        </w:rPr>
        <w:t>umi</w:t>
      </w:r>
      <w:r w:rsidRPr="00F45A6E">
        <w:rPr>
          <w:sz w:val="22"/>
          <w:szCs w:val="22"/>
          <w:lang w:val="sr-Latn-ME"/>
        </w:rPr>
        <w:t xml:space="preserve">. </w:t>
      </w:r>
    </w:p>
    <w:p w14:paraId="0A9FD7E4" w14:textId="77777777" w:rsidR="00E326FC" w:rsidRPr="00F45A6E" w:rsidRDefault="00E326F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00B4F94" w14:textId="1450515F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Dodatno praćenje hematoloških parametara bilirubina, alkalne fosfataze, aminotransferaza i CPK se mora </w:t>
      </w:r>
      <w:r w:rsidR="00C205D6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provoditi jednom </w:t>
      </w:r>
      <w:r w:rsidR="00C205D6" w:rsidRPr="00F45A6E">
        <w:rPr>
          <w:sz w:val="22"/>
          <w:szCs w:val="22"/>
          <w:lang w:val="sr-Latn-ME"/>
        </w:rPr>
        <w:t>nedeljno</w:t>
      </w:r>
      <w:r w:rsidRPr="00F45A6E">
        <w:rPr>
          <w:sz w:val="22"/>
          <w:szCs w:val="22"/>
          <w:lang w:val="sr-Latn-ME"/>
        </w:rPr>
        <w:t xml:space="preserve"> t</w:t>
      </w:r>
      <w:r w:rsidR="00C205D6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prva dva ciklusa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</w:t>
      </w:r>
      <w:r w:rsidR="00C205D6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najmanje jednom izme</w:t>
      </w:r>
      <w:r w:rsidR="00C205D6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u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u sledećim ciklusima. </w:t>
      </w:r>
    </w:p>
    <w:p w14:paraId="3222D8F3" w14:textId="77777777" w:rsidR="00E326FC" w:rsidRPr="00F45A6E" w:rsidRDefault="00E326F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CF8A330" w14:textId="7418871A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Ist</w:t>
      </w:r>
      <w:r w:rsidR="00C205D6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doz</w:t>
      </w:r>
      <w:r w:rsidR="00C205D6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se mora dati u svim ciklusima pod </w:t>
      </w:r>
      <w:r w:rsidR="00C205D6" w:rsidRPr="00F45A6E">
        <w:rPr>
          <w:sz w:val="22"/>
          <w:szCs w:val="22"/>
          <w:lang w:val="sr-Latn-ME"/>
        </w:rPr>
        <w:t>uslovom</w:t>
      </w:r>
      <w:r w:rsidRPr="00F45A6E">
        <w:rPr>
          <w:sz w:val="22"/>
          <w:szCs w:val="22"/>
          <w:lang w:val="sr-Latn-ME"/>
        </w:rPr>
        <w:t xml:space="preserve"> da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uočene toksičnosti 3.-</w:t>
      </w:r>
      <w:r w:rsidR="00F669E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 </w:t>
      </w:r>
      <w:r w:rsidR="00C205D6" w:rsidRPr="00F45A6E">
        <w:rPr>
          <w:sz w:val="22"/>
          <w:szCs w:val="22"/>
          <w:lang w:val="sr-Latn-ME"/>
        </w:rPr>
        <w:t>stepena, kao i</w:t>
      </w:r>
      <w:r w:rsidRPr="00F45A6E">
        <w:rPr>
          <w:sz w:val="22"/>
          <w:szCs w:val="22"/>
          <w:lang w:val="sr-Latn-ME"/>
        </w:rPr>
        <w:t xml:space="preserve"> da </w:t>
      </w:r>
      <w:r w:rsidR="00C205D6" w:rsidRPr="00F45A6E">
        <w:rPr>
          <w:sz w:val="22"/>
          <w:szCs w:val="22"/>
          <w:lang w:val="sr-Latn-ME"/>
        </w:rPr>
        <w:t>pacijent</w:t>
      </w:r>
      <w:r w:rsidRPr="00F45A6E">
        <w:rPr>
          <w:sz w:val="22"/>
          <w:szCs w:val="22"/>
          <w:lang w:val="sr-Latn-ME"/>
        </w:rPr>
        <w:t xml:space="preserve"> ispunjava kriterij</w:t>
      </w:r>
      <w:r w:rsidR="00C205D6" w:rsidRPr="00F45A6E">
        <w:rPr>
          <w:sz w:val="22"/>
          <w:szCs w:val="22"/>
          <w:lang w:val="sr-Latn-ME"/>
        </w:rPr>
        <w:t xml:space="preserve">ume </w:t>
      </w:r>
      <w:r w:rsidRPr="00F45A6E">
        <w:rPr>
          <w:sz w:val="22"/>
          <w:szCs w:val="22"/>
          <w:lang w:val="sr-Latn-ME"/>
        </w:rPr>
        <w:t xml:space="preserve">za ponovni početak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a. </w:t>
      </w:r>
    </w:p>
    <w:p w14:paraId="277DE079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88B4CB4" w14:textId="0D1C1C37" w:rsidR="008E53C5" w:rsidRPr="00F45A6E" w:rsidRDefault="00701F8D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>Prilagođavanje</w:t>
      </w:r>
      <w:r w:rsidR="006E2A3F" w:rsidRPr="00F45A6E">
        <w:rPr>
          <w:i/>
          <w:iCs/>
          <w:sz w:val="22"/>
          <w:szCs w:val="22"/>
          <w:lang w:val="sr-Latn-ME"/>
        </w:rPr>
        <w:t xml:space="preserve"> doze t</w:t>
      </w:r>
      <w:r w:rsidRPr="00F45A6E">
        <w:rPr>
          <w:i/>
          <w:iCs/>
          <w:sz w:val="22"/>
          <w:szCs w:val="22"/>
          <w:lang w:val="sr-Latn-ME"/>
        </w:rPr>
        <w:t>o</w:t>
      </w:r>
      <w:r w:rsidR="006E2A3F" w:rsidRPr="00F45A6E">
        <w:rPr>
          <w:i/>
          <w:iCs/>
          <w:sz w:val="22"/>
          <w:szCs w:val="22"/>
          <w:lang w:val="sr-Latn-ME"/>
        </w:rPr>
        <w:t xml:space="preserve">kom </w:t>
      </w:r>
      <w:r w:rsidR="00031EC5" w:rsidRPr="00F45A6E">
        <w:rPr>
          <w:i/>
          <w:iCs/>
          <w:sz w:val="22"/>
          <w:szCs w:val="22"/>
          <w:lang w:val="sr-Latn-ME"/>
        </w:rPr>
        <w:t>liječenj</w:t>
      </w:r>
      <w:r w:rsidR="006E2A3F" w:rsidRPr="00F45A6E">
        <w:rPr>
          <w:i/>
          <w:iCs/>
          <w:sz w:val="22"/>
          <w:szCs w:val="22"/>
          <w:lang w:val="sr-Latn-ME"/>
        </w:rPr>
        <w:t>a</w:t>
      </w:r>
    </w:p>
    <w:p w14:paraId="0A944A6B" w14:textId="7C45E4AF" w:rsidR="006E2A3F" w:rsidRPr="00F45A6E" w:rsidRDefault="006E2A3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Pr</w:t>
      </w:r>
      <w:r w:rsidR="0023054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početka ponovnog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</w:t>
      </w:r>
      <w:r w:rsidR="008E53C5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moraju ispuniti </w:t>
      </w:r>
      <w:r w:rsidR="009B0C08" w:rsidRPr="00F45A6E">
        <w:rPr>
          <w:sz w:val="22"/>
          <w:szCs w:val="22"/>
          <w:lang w:val="sr-Latn-ME"/>
        </w:rPr>
        <w:t xml:space="preserve">prethodno </w:t>
      </w:r>
      <w:r w:rsidRPr="00F45A6E">
        <w:rPr>
          <w:sz w:val="22"/>
          <w:szCs w:val="22"/>
          <w:lang w:val="sr-Latn-ME"/>
        </w:rPr>
        <w:t>defini</w:t>
      </w:r>
      <w:r w:rsidR="008E53C5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ane osnovne u</w:t>
      </w:r>
      <w:r w:rsidR="008E53C5" w:rsidRPr="00F45A6E">
        <w:rPr>
          <w:sz w:val="22"/>
          <w:szCs w:val="22"/>
          <w:lang w:val="sr-Latn-ME"/>
        </w:rPr>
        <w:t>slove</w:t>
      </w:r>
      <w:r w:rsidRPr="00F45A6E">
        <w:rPr>
          <w:sz w:val="22"/>
          <w:szCs w:val="22"/>
          <w:lang w:val="sr-Latn-ME"/>
        </w:rPr>
        <w:t>. Ako se dogodi bilo koji od sledećih doga</w:t>
      </w:r>
      <w:r w:rsidR="008E53C5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aja u bilo koje vr</w:t>
      </w:r>
      <w:r w:rsidR="00824EED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eme izme</w:t>
      </w:r>
      <w:r w:rsidR="008E53C5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ciklusa, doza za s</w:t>
      </w:r>
      <w:r w:rsidR="008E53C5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edeće cikluse se mora smanjiti za jed</w:t>
      </w:r>
      <w:r w:rsidR="008E53C5" w:rsidRPr="00F45A6E">
        <w:rPr>
          <w:sz w:val="22"/>
          <w:szCs w:val="22"/>
          <w:lang w:val="sr-Latn-ME"/>
        </w:rPr>
        <w:t>an nivo</w:t>
      </w:r>
      <w:r w:rsidRPr="00F45A6E">
        <w:rPr>
          <w:sz w:val="22"/>
          <w:szCs w:val="22"/>
          <w:lang w:val="sr-Latn-ME"/>
        </w:rPr>
        <w:t>, prema naveden</w:t>
      </w:r>
      <w:r w:rsidR="00085B37" w:rsidRPr="00F45A6E">
        <w:rPr>
          <w:sz w:val="22"/>
          <w:szCs w:val="22"/>
          <w:lang w:val="sr-Latn-ME"/>
        </w:rPr>
        <w:t>im podacima u</w:t>
      </w:r>
      <w:r w:rsidRPr="00F45A6E">
        <w:rPr>
          <w:sz w:val="22"/>
          <w:szCs w:val="22"/>
          <w:lang w:val="sr-Latn-ME"/>
        </w:rPr>
        <w:t xml:space="preserve"> Tab</w:t>
      </w:r>
      <w:r w:rsidR="00085B37" w:rsidRPr="00F45A6E">
        <w:rPr>
          <w:sz w:val="22"/>
          <w:szCs w:val="22"/>
          <w:lang w:val="sr-Latn-ME"/>
        </w:rPr>
        <w:t>eli</w:t>
      </w:r>
      <w:r w:rsidRPr="00F45A6E">
        <w:rPr>
          <w:sz w:val="22"/>
          <w:szCs w:val="22"/>
          <w:lang w:val="sr-Latn-ME"/>
        </w:rPr>
        <w:t xml:space="preserve"> 1</w:t>
      </w:r>
      <w:r w:rsidR="009B0C08" w:rsidRPr="00F45A6E">
        <w:rPr>
          <w:sz w:val="22"/>
          <w:szCs w:val="22"/>
          <w:lang w:val="sr-Latn-ME"/>
        </w:rPr>
        <w:t xml:space="preserve"> u nastavku teksta</w:t>
      </w:r>
      <w:r w:rsidRPr="00F45A6E">
        <w:rPr>
          <w:sz w:val="22"/>
          <w:szCs w:val="22"/>
          <w:lang w:val="sr-Latn-ME"/>
        </w:rPr>
        <w:t xml:space="preserve">: </w:t>
      </w:r>
    </w:p>
    <w:p w14:paraId="75F7A9BC" w14:textId="06D43F83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neutropenija &lt; 500/mm</w:t>
      </w:r>
      <w:r w:rsidRPr="00F45A6E">
        <w:rPr>
          <w:sz w:val="22"/>
          <w:szCs w:val="22"/>
          <w:vertAlign w:val="superscript"/>
          <w:lang w:val="sr-Latn-ME"/>
        </w:rPr>
        <w:t>3</w:t>
      </w:r>
      <w:r w:rsidRPr="00F45A6E">
        <w:rPr>
          <w:sz w:val="22"/>
          <w:szCs w:val="22"/>
          <w:lang w:val="sr-Latn-ME"/>
        </w:rPr>
        <w:t xml:space="preserve"> koja traje više od 5 dana ili je povezana </w:t>
      </w:r>
      <w:r w:rsidR="008E53C5" w:rsidRPr="00F45A6E">
        <w:rPr>
          <w:sz w:val="22"/>
          <w:szCs w:val="22"/>
          <w:lang w:val="sr-Latn-ME"/>
        </w:rPr>
        <w:t>sa povišenom telesnom temperaturom</w:t>
      </w:r>
      <w:r w:rsidRPr="00F45A6E">
        <w:rPr>
          <w:sz w:val="22"/>
          <w:szCs w:val="22"/>
          <w:lang w:val="sr-Latn-ME"/>
        </w:rPr>
        <w:t xml:space="preserve"> ili infekcijom </w:t>
      </w:r>
    </w:p>
    <w:p w14:paraId="39377A59" w14:textId="17953991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trombocitopenija &lt; 25 000/mm</w:t>
      </w:r>
      <w:r w:rsidRPr="00F45A6E">
        <w:rPr>
          <w:sz w:val="22"/>
          <w:szCs w:val="22"/>
          <w:vertAlign w:val="superscript"/>
          <w:lang w:val="sr-Latn-ME"/>
        </w:rPr>
        <w:t xml:space="preserve">3 </w:t>
      </w:r>
    </w:p>
    <w:p w14:paraId="205D7549" w14:textId="68F41804" w:rsidR="006E2A3F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po</w:t>
      </w:r>
      <w:r w:rsidR="009B0C08" w:rsidRPr="00F45A6E">
        <w:rPr>
          <w:sz w:val="22"/>
          <w:szCs w:val="22"/>
          <w:lang w:val="sr-Latn-ME"/>
        </w:rPr>
        <w:t>većanje koncentracije</w:t>
      </w:r>
      <w:r w:rsidRPr="00F45A6E">
        <w:rPr>
          <w:sz w:val="22"/>
          <w:szCs w:val="22"/>
          <w:lang w:val="sr-Latn-ME"/>
        </w:rPr>
        <w:t xml:space="preserve"> bilirubina &gt; GGN i/ili </w:t>
      </w:r>
      <w:r w:rsidR="008C26C1" w:rsidRPr="00F45A6E">
        <w:rPr>
          <w:sz w:val="22"/>
          <w:szCs w:val="22"/>
          <w:lang w:val="sr-Latn-ME"/>
        </w:rPr>
        <w:t>vrijednost</w:t>
      </w:r>
      <w:r w:rsidR="009B0C08" w:rsidRPr="00F45A6E">
        <w:rPr>
          <w:sz w:val="22"/>
          <w:szCs w:val="22"/>
          <w:lang w:val="sr-Latn-ME"/>
        </w:rPr>
        <w:t xml:space="preserve">i </w:t>
      </w:r>
      <w:r w:rsidRPr="00F45A6E">
        <w:rPr>
          <w:sz w:val="22"/>
          <w:szCs w:val="22"/>
          <w:lang w:val="sr-Latn-ME"/>
        </w:rPr>
        <w:t xml:space="preserve">alkalne fosfataze &gt; 2,5 x GGN </w:t>
      </w:r>
    </w:p>
    <w:p w14:paraId="5367B8BF" w14:textId="7423A5A3" w:rsidR="001773C0" w:rsidRPr="00F45A6E" w:rsidRDefault="006E2A3F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po</w:t>
      </w:r>
      <w:r w:rsidR="009B0C08" w:rsidRPr="00F45A6E">
        <w:rPr>
          <w:sz w:val="22"/>
          <w:szCs w:val="22"/>
          <w:lang w:val="sr-Latn-ME"/>
        </w:rPr>
        <w:t xml:space="preserve">većanje </w:t>
      </w:r>
      <w:r w:rsidR="008C26C1" w:rsidRPr="00F45A6E">
        <w:rPr>
          <w:sz w:val="22"/>
          <w:szCs w:val="22"/>
          <w:lang w:val="sr-Latn-ME"/>
        </w:rPr>
        <w:t>vrijednost</w:t>
      </w:r>
      <w:r w:rsidR="009B0C08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aminotransferaza (AST ili ALT) &gt; 2,5 x GGN (monoterapija) ili &gt; 5 x GGN (kombin</w:t>
      </w:r>
      <w:r w:rsidR="00431814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>ana terapija), koj</w:t>
      </w:r>
      <w:r w:rsidR="009B0C08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traje do 21. dana </w:t>
      </w:r>
    </w:p>
    <w:p w14:paraId="4D274ED4" w14:textId="23DDDFFD" w:rsidR="001773C0" w:rsidRPr="00F45A6E" w:rsidRDefault="001773C0" w:rsidP="003A690C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bilo koje druge </w:t>
      </w:r>
      <w:r w:rsidR="008E53C5" w:rsidRPr="00F45A6E">
        <w:rPr>
          <w:sz w:val="22"/>
          <w:szCs w:val="22"/>
          <w:lang w:val="sr-Latn-ME"/>
        </w:rPr>
        <w:t>neželjene reakcije</w:t>
      </w:r>
      <w:r w:rsidRPr="00F45A6E">
        <w:rPr>
          <w:sz w:val="22"/>
          <w:szCs w:val="22"/>
          <w:lang w:val="sr-Latn-ME"/>
        </w:rPr>
        <w:t xml:space="preserve"> 3. ili 4. st</w:t>
      </w:r>
      <w:r w:rsidR="008E53C5" w:rsidRPr="00F45A6E">
        <w:rPr>
          <w:sz w:val="22"/>
          <w:szCs w:val="22"/>
          <w:lang w:val="sr-Latn-ME"/>
        </w:rPr>
        <w:t>epena</w:t>
      </w:r>
      <w:r w:rsidRPr="00F45A6E">
        <w:rPr>
          <w:sz w:val="22"/>
          <w:szCs w:val="22"/>
          <w:lang w:val="sr-Latn-ME"/>
        </w:rPr>
        <w:t xml:space="preserve"> (kao što su mučnina, povraćanje, umor). </w:t>
      </w:r>
    </w:p>
    <w:p w14:paraId="6AAC3BA5" w14:textId="77777777" w:rsidR="001773C0" w:rsidRPr="00F45A6E" w:rsidRDefault="001773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807F3E1" w14:textId="40FE7A83" w:rsidR="001773C0" w:rsidRPr="00F45A6E" w:rsidRDefault="001773C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Kada se jednom doza smanji zbog toksičnosti, ne preporučuje se povećavanje doze u s</w:t>
      </w:r>
      <w:r w:rsidR="008E53C5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edećim ciklusima. Ako se bilo koja od tih toksičnosti ponovno pojavi u </w:t>
      </w:r>
      <w:r w:rsidR="008C7CE8" w:rsidRPr="00F45A6E">
        <w:rPr>
          <w:sz w:val="22"/>
          <w:szCs w:val="22"/>
          <w:lang w:val="sr-Latn-ME"/>
        </w:rPr>
        <w:t xml:space="preserve">narednim </w:t>
      </w:r>
      <w:r w:rsidRPr="00F45A6E">
        <w:rPr>
          <w:sz w:val="22"/>
          <w:szCs w:val="22"/>
          <w:lang w:val="sr-Latn-ME"/>
        </w:rPr>
        <w:t xml:space="preserve">ciklusima kod </w:t>
      </w:r>
      <w:r w:rsidR="008E53C5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</w:t>
      </w:r>
      <w:r w:rsidR="008C7CE8" w:rsidRPr="00F45A6E">
        <w:rPr>
          <w:sz w:val="22"/>
          <w:szCs w:val="22"/>
          <w:lang w:val="sr-Latn-ME"/>
        </w:rPr>
        <w:t>kod kojih je uočena</w:t>
      </w:r>
      <w:r w:rsidRPr="00F45A6E">
        <w:rPr>
          <w:sz w:val="22"/>
          <w:szCs w:val="22"/>
          <w:lang w:val="sr-Latn-ME"/>
        </w:rPr>
        <w:t xml:space="preserve"> kliničk</w:t>
      </w:r>
      <w:r w:rsidR="008C7CE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8E53C5" w:rsidRPr="00F45A6E">
        <w:rPr>
          <w:sz w:val="22"/>
          <w:szCs w:val="22"/>
          <w:lang w:val="sr-Latn-ME"/>
        </w:rPr>
        <w:t>korist</w:t>
      </w:r>
      <w:r w:rsidRPr="00F45A6E">
        <w:rPr>
          <w:sz w:val="22"/>
          <w:szCs w:val="22"/>
          <w:lang w:val="sr-Latn-ME"/>
        </w:rPr>
        <w:t xml:space="preserve"> od </w:t>
      </w:r>
      <w:r w:rsidR="00BF4DC4" w:rsidRPr="00F45A6E">
        <w:rPr>
          <w:sz w:val="22"/>
          <w:szCs w:val="22"/>
          <w:lang w:val="sr-Latn-ME"/>
        </w:rPr>
        <w:t>primjene</w:t>
      </w:r>
      <w:r w:rsidR="008C7CE8"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>a, doza se mo</w:t>
      </w:r>
      <w:r w:rsidR="008E53C5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 dodatno smanjiti (vid</w:t>
      </w:r>
      <w:r w:rsidR="00824EE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eti u tekstu koji </w:t>
      </w:r>
      <w:r w:rsidRPr="00F45A6E">
        <w:rPr>
          <w:sz w:val="22"/>
          <w:szCs w:val="22"/>
          <w:lang w:val="sr-Latn-ME"/>
        </w:rPr>
        <w:lastRenderedPageBreak/>
        <w:t>sl</w:t>
      </w:r>
      <w:r w:rsidR="00824EED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edi). </w:t>
      </w:r>
      <w:r w:rsidR="008E53C5" w:rsidRPr="00F45A6E">
        <w:rPr>
          <w:sz w:val="22"/>
          <w:szCs w:val="22"/>
          <w:lang w:val="sr-Latn-ME"/>
        </w:rPr>
        <w:t>Faktori</w:t>
      </w:r>
      <w:r w:rsidRPr="00F45A6E">
        <w:rPr>
          <w:sz w:val="22"/>
          <w:szCs w:val="22"/>
          <w:lang w:val="sr-Latn-ME"/>
        </w:rPr>
        <w:t xml:space="preserve"> stimulacije kolonije mogu se </w:t>
      </w:r>
      <w:r w:rsidR="008E59DE" w:rsidRPr="00F45A6E">
        <w:rPr>
          <w:sz w:val="22"/>
          <w:szCs w:val="22"/>
          <w:lang w:val="sr-Latn-ME"/>
        </w:rPr>
        <w:t>primijeniti</w:t>
      </w:r>
      <w:r w:rsidRPr="00F45A6E">
        <w:rPr>
          <w:sz w:val="22"/>
          <w:szCs w:val="22"/>
          <w:lang w:val="sr-Latn-ME"/>
        </w:rPr>
        <w:t xml:space="preserve"> u slučaju hematološke toksičnosti, a u skladu s</w:t>
      </w:r>
      <w:r w:rsidR="008E53C5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lokalnom standardnom praksom. </w:t>
      </w:r>
    </w:p>
    <w:p w14:paraId="412BE2C9" w14:textId="77777777" w:rsidR="008F230C" w:rsidRPr="00F45A6E" w:rsidRDefault="008F230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DF3132B" w14:textId="6B36D276" w:rsidR="008F230C" w:rsidRPr="00F45A6E" w:rsidRDefault="008F230C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Tabela 1</w:t>
      </w:r>
      <w:r w:rsidR="00F46078" w:rsidRPr="00F45A6E">
        <w:rPr>
          <w:sz w:val="22"/>
          <w:szCs w:val="22"/>
          <w:lang w:val="sr-Latn-ME"/>
        </w:rPr>
        <w:t>.</w:t>
      </w:r>
      <w:r w:rsidRPr="00F45A6E">
        <w:rPr>
          <w:sz w:val="22"/>
          <w:szCs w:val="22"/>
          <w:lang w:val="sr-Latn-ME"/>
        </w:rPr>
        <w:t xml:space="preserve"> </w:t>
      </w:r>
      <w:r w:rsidR="008C7CE8" w:rsidRPr="00F45A6E">
        <w:rPr>
          <w:sz w:val="22"/>
          <w:szCs w:val="22"/>
          <w:lang w:val="sr-Latn-ME"/>
        </w:rPr>
        <w:t xml:space="preserve">Prikaz </w:t>
      </w:r>
      <w:r w:rsidRPr="00F45A6E">
        <w:rPr>
          <w:sz w:val="22"/>
          <w:szCs w:val="22"/>
          <w:lang w:val="sr-Latn-ME"/>
        </w:rPr>
        <w:t xml:space="preserve">modifikacije doza za trabektedin (kao </w:t>
      </w:r>
      <w:r w:rsidR="00A565DD" w:rsidRPr="00F45A6E">
        <w:rPr>
          <w:sz w:val="22"/>
          <w:szCs w:val="22"/>
          <w:lang w:val="sr-Latn-ME"/>
        </w:rPr>
        <w:t>monoterapija</w:t>
      </w:r>
      <w:r w:rsidRPr="00F45A6E">
        <w:rPr>
          <w:sz w:val="22"/>
          <w:szCs w:val="22"/>
          <w:lang w:val="sr-Latn-ME"/>
        </w:rPr>
        <w:t xml:space="preserve"> za sarkom mekih tkiva ili u kombinaciji za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e </w:t>
      </w:r>
      <w:r w:rsidR="008B22BF" w:rsidRPr="00F45A6E">
        <w:rPr>
          <w:sz w:val="22"/>
          <w:szCs w:val="22"/>
          <w:lang w:val="sr-Latn-ME"/>
        </w:rPr>
        <w:t>kancera</w:t>
      </w:r>
      <w:r w:rsidRPr="00F45A6E">
        <w:rPr>
          <w:sz w:val="22"/>
          <w:szCs w:val="22"/>
          <w:lang w:val="sr-Latn-ME"/>
        </w:rPr>
        <w:t xml:space="preserve"> jajnika)</w:t>
      </w:r>
    </w:p>
    <w:p w14:paraId="59555FF8" w14:textId="77777777" w:rsidR="008F230C" w:rsidRPr="00F45A6E" w:rsidRDefault="008F230C" w:rsidP="003A690C">
      <w:pPr>
        <w:pStyle w:val="Default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80"/>
        <w:gridCol w:w="2280"/>
        <w:gridCol w:w="2205"/>
      </w:tblGrid>
      <w:tr w:rsidR="008F230C" w:rsidRPr="00F45A6E" w14:paraId="4D698B7E" w14:textId="77777777" w:rsidTr="00C338AF">
        <w:tc>
          <w:tcPr>
            <w:tcW w:w="2463" w:type="dxa"/>
          </w:tcPr>
          <w:p w14:paraId="75776DC1" w14:textId="77777777" w:rsidR="008F230C" w:rsidRPr="00F45A6E" w:rsidRDefault="008F230C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01BA8C23" w14:textId="69F8EA15" w:rsidR="008F230C" w:rsidRPr="00F45A6E" w:rsidRDefault="008F230C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Sarkom mekih tkiva</w:t>
            </w:r>
          </w:p>
        </w:tc>
        <w:tc>
          <w:tcPr>
            <w:tcW w:w="4928" w:type="dxa"/>
            <w:gridSpan w:val="2"/>
          </w:tcPr>
          <w:p w14:paraId="25306A44" w14:textId="0C589E39" w:rsidR="008F230C" w:rsidRPr="00F45A6E" w:rsidRDefault="008B22B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Kancer</w:t>
            </w:r>
            <w:r w:rsidR="008F230C" w:rsidRPr="00F45A6E">
              <w:rPr>
                <w:sz w:val="22"/>
                <w:szCs w:val="22"/>
                <w:lang w:val="sr-Latn-ME"/>
              </w:rPr>
              <w:t xml:space="preserve"> jajnika</w:t>
            </w:r>
          </w:p>
        </w:tc>
      </w:tr>
      <w:tr w:rsidR="008F230C" w:rsidRPr="00F45A6E" w14:paraId="672B7D12" w14:textId="77777777" w:rsidTr="008F230C">
        <w:tc>
          <w:tcPr>
            <w:tcW w:w="2463" w:type="dxa"/>
          </w:tcPr>
          <w:p w14:paraId="651943FA" w14:textId="77777777" w:rsidR="008F230C" w:rsidRPr="00F45A6E" w:rsidRDefault="008F230C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1551BA8B" w14:textId="49462898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Trabektedin</w:t>
            </w:r>
          </w:p>
        </w:tc>
        <w:tc>
          <w:tcPr>
            <w:tcW w:w="2464" w:type="dxa"/>
          </w:tcPr>
          <w:p w14:paraId="7B6E2F79" w14:textId="6B1126CD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Trabektedin</w:t>
            </w:r>
          </w:p>
        </w:tc>
        <w:tc>
          <w:tcPr>
            <w:tcW w:w="2464" w:type="dxa"/>
          </w:tcPr>
          <w:p w14:paraId="4D203203" w14:textId="63DE5657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PLD</w:t>
            </w:r>
          </w:p>
        </w:tc>
      </w:tr>
      <w:tr w:rsidR="008F230C" w:rsidRPr="00F45A6E" w14:paraId="407545AB" w14:textId="77777777" w:rsidTr="008F230C">
        <w:tc>
          <w:tcPr>
            <w:tcW w:w="2463" w:type="dxa"/>
          </w:tcPr>
          <w:p w14:paraId="0A6A0F88" w14:textId="5D09098E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Početna doza</w:t>
            </w:r>
          </w:p>
        </w:tc>
        <w:tc>
          <w:tcPr>
            <w:tcW w:w="2464" w:type="dxa"/>
          </w:tcPr>
          <w:p w14:paraId="21E28EC7" w14:textId="6EF60F49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1,5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0B8C2EE1" w14:textId="66FEABB8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1,1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1BEF2543" w14:textId="799F000A" w:rsidR="008F230C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30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747ADA" w:rsidRPr="00F45A6E" w14:paraId="19AA52E4" w14:textId="77777777" w:rsidTr="008F230C">
        <w:tc>
          <w:tcPr>
            <w:tcW w:w="2463" w:type="dxa"/>
          </w:tcPr>
          <w:p w14:paraId="6DFE9227" w14:textId="22C58533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Prvo smanjenje</w:t>
            </w:r>
          </w:p>
        </w:tc>
        <w:tc>
          <w:tcPr>
            <w:tcW w:w="2464" w:type="dxa"/>
          </w:tcPr>
          <w:p w14:paraId="5A39C49F" w14:textId="13925C89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1,2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7538FBAC" w14:textId="466A0A77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0,9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 xml:space="preserve">2 </w:t>
            </w:r>
          </w:p>
        </w:tc>
        <w:tc>
          <w:tcPr>
            <w:tcW w:w="2464" w:type="dxa"/>
          </w:tcPr>
          <w:p w14:paraId="261BF59D" w14:textId="0C3A6C8F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25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747ADA" w:rsidRPr="00F45A6E" w14:paraId="1654CC18" w14:textId="77777777" w:rsidTr="008F230C">
        <w:tc>
          <w:tcPr>
            <w:tcW w:w="2463" w:type="dxa"/>
          </w:tcPr>
          <w:p w14:paraId="363AB9EA" w14:textId="467E794A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Drugo smanjenje</w:t>
            </w:r>
          </w:p>
        </w:tc>
        <w:tc>
          <w:tcPr>
            <w:tcW w:w="2464" w:type="dxa"/>
          </w:tcPr>
          <w:p w14:paraId="05FB0B9F" w14:textId="161138B3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0AF97C6D" w14:textId="5EBFD975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0,75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202714C7" w14:textId="509C38ED" w:rsidR="00747ADA" w:rsidRPr="00F45A6E" w:rsidRDefault="00747AD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20 mg/m</w:t>
            </w:r>
            <w:r w:rsidRPr="00F45A6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</w:tbl>
    <w:p w14:paraId="1BABD8ED" w14:textId="583FCD49" w:rsidR="006E2A3F" w:rsidRPr="00F45A6E" w:rsidRDefault="006E2A3F" w:rsidP="003A690C">
      <w:pPr>
        <w:rPr>
          <w:szCs w:val="22"/>
          <w:lang w:val="sr-Latn-ME"/>
        </w:rPr>
      </w:pPr>
    </w:p>
    <w:p w14:paraId="2EEA3CE0" w14:textId="7DAECBA1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Vid</w:t>
      </w:r>
      <w:r w:rsidR="00824EE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eti </w:t>
      </w:r>
      <w:r w:rsidR="00747ADA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</w:t>
      </w:r>
      <w:r w:rsidR="00747AD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etak </w:t>
      </w:r>
      <w:r w:rsidR="00747ADA" w:rsidRPr="00F45A6E">
        <w:rPr>
          <w:sz w:val="22"/>
          <w:szCs w:val="22"/>
          <w:lang w:val="sr-Latn-ME"/>
        </w:rPr>
        <w:t>karakteristika</w:t>
      </w:r>
      <w:r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za PLD za više podataka o </w:t>
      </w:r>
      <w:r w:rsidR="00747ADA" w:rsidRPr="00F45A6E">
        <w:rPr>
          <w:sz w:val="22"/>
          <w:szCs w:val="22"/>
          <w:lang w:val="sr-Latn-ME"/>
        </w:rPr>
        <w:t>prilagođavanju</w:t>
      </w:r>
      <w:r w:rsidRPr="00F45A6E">
        <w:rPr>
          <w:sz w:val="22"/>
          <w:szCs w:val="22"/>
          <w:lang w:val="sr-Latn-ME"/>
        </w:rPr>
        <w:t xml:space="preserve"> doze PLD. </w:t>
      </w:r>
    </w:p>
    <w:p w14:paraId="6B2E16C5" w14:textId="5475850D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U slučaju potrebe za daljim smanjenjem doze, mora se uzeti u obzir prekid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a. </w:t>
      </w:r>
    </w:p>
    <w:p w14:paraId="1C6DEF1B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F5BD8BC" w14:textId="7293F436" w:rsidR="00747ADA" w:rsidRPr="00F45A6E" w:rsidRDefault="00F3726F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Trajanje </w:t>
      </w:r>
      <w:r w:rsidR="00031EC5" w:rsidRPr="00F45A6E">
        <w:rPr>
          <w:i/>
          <w:iCs/>
          <w:sz w:val="22"/>
          <w:szCs w:val="22"/>
          <w:lang w:val="sr-Latn-ME"/>
        </w:rPr>
        <w:t>liječenj</w:t>
      </w:r>
      <w:r w:rsidRPr="00F45A6E">
        <w:rPr>
          <w:i/>
          <w:iCs/>
          <w:sz w:val="22"/>
          <w:szCs w:val="22"/>
          <w:lang w:val="sr-Latn-ME"/>
        </w:rPr>
        <w:t xml:space="preserve">a </w:t>
      </w:r>
    </w:p>
    <w:p w14:paraId="5BD16779" w14:textId="5ED1F94D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U kliničkim ispitivanjima nije bilo prethodno defini</w:t>
      </w:r>
      <w:r w:rsidR="00747ADA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anih ograničenja broja prim</w:t>
      </w:r>
      <w:r w:rsidR="001D0A4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enjenih ciklusa.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e se nastavljalo sve dok </w:t>
      </w:r>
      <w:r w:rsidR="008C7CE8" w:rsidRPr="00F45A6E">
        <w:rPr>
          <w:sz w:val="22"/>
          <w:szCs w:val="22"/>
          <w:lang w:val="sr-Latn-ME"/>
        </w:rPr>
        <w:t>je bilo opravdano kroz</w:t>
      </w:r>
      <w:r w:rsidRPr="00F45A6E">
        <w:rPr>
          <w:sz w:val="22"/>
          <w:szCs w:val="22"/>
          <w:lang w:val="sr-Latn-ME"/>
        </w:rPr>
        <w:t xml:space="preserve"> kliničk</w:t>
      </w:r>
      <w:r w:rsidR="008C7CE8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</w:t>
      </w:r>
      <w:r w:rsidR="00747ADA" w:rsidRPr="00F45A6E">
        <w:rPr>
          <w:sz w:val="22"/>
          <w:szCs w:val="22"/>
          <w:lang w:val="sr-Latn-ME"/>
        </w:rPr>
        <w:t>korist</w:t>
      </w:r>
      <w:r w:rsidRPr="00F45A6E">
        <w:rPr>
          <w:sz w:val="22"/>
          <w:szCs w:val="22"/>
          <w:lang w:val="sr-Latn-ME"/>
        </w:rPr>
        <w:t>. Trabektedin se prim</w:t>
      </w:r>
      <w:r w:rsidR="001D0A4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enjivao t</w:t>
      </w:r>
      <w:r w:rsidR="00747ADA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6 ili više ciklusa </w:t>
      </w:r>
      <w:r w:rsidR="00747ADA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29,5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i 52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747ADA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6150A3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ečenih monoterapijom i kombinacijom doze, odnosno rasporeda prim</w:t>
      </w:r>
      <w:r w:rsidR="00BC6319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ene. Monoterapija i kombin</w:t>
      </w:r>
      <w:r w:rsidR="00747ADA" w:rsidRPr="00F45A6E">
        <w:rPr>
          <w:sz w:val="22"/>
          <w:szCs w:val="22"/>
          <w:lang w:val="sr-Latn-ME"/>
        </w:rPr>
        <w:t>ovan</w:t>
      </w:r>
      <w:r w:rsidRPr="00F45A6E">
        <w:rPr>
          <w:sz w:val="22"/>
          <w:szCs w:val="22"/>
          <w:lang w:val="sr-Latn-ME"/>
        </w:rPr>
        <w:t>i re</w:t>
      </w:r>
      <w:r w:rsidR="00747AD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imi su koriš</w:t>
      </w:r>
      <w:r w:rsidR="00747ADA" w:rsidRPr="00F45A6E">
        <w:rPr>
          <w:sz w:val="22"/>
          <w:szCs w:val="22"/>
          <w:lang w:val="sr-Latn-ME"/>
        </w:rPr>
        <w:t>ć</w:t>
      </w:r>
      <w:r w:rsidRPr="00F45A6E">
        <w:rPr>
          <w:sz w:val="22"/>
          <w:szCs w:val="22"/>
          <w:lang w:val="sr-Latn-ME"/>
        </w:rPr>
        <w:t xml:space="preserve">eni </w:t>
      </w:r>
      <w:r w:rsidR="00747ADA" w:rsidRPr="00F45A6E">
        <w:rPr>
          <w:sz w:val="22"/>
          <w:szCs w:val="22"/>
          <w:lang w:val="sr-Latn-ME"/>
        </w:rPr>
        <w:t>tokom</w:t>
      </w:r>
      <w:r w:rsidRPr="00F45A6E">
        <w:rPr>
          <w:sz w:val="22"/>
          <w:szCs w:val="22"/>
          <w:lang w:val="sr-Latn-ME"/>
        </w:rPr>
        <w:t xml:space="preserve"> 38, odnosno 21 ciklusa. Kumulativna toksičnost nije prim</w:t>
      </w:r>
      <w:r w:rsidR="00E4364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ećena kod </w:t>
      </w:r>
      <w:r w:rsidR="00747ADA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koji su l</w:t>
      </w:r>
      <w:r w:rsidR="00E43642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 s</w:t>
      </w:r>
      <w:r w:rsidR="00747AD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više ciklusa. </w:t>
      </w:r>
    </w:p>
    <w:p w14:paraId="3C3ECA2E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B7B7FC0" w14:textId="77777777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Pedijatrijska populacija </w:t>
      </w:r>
    </w:p>
    <w:p w14:paraId="1BE0A6B8" w14:textId="5A51A37E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Trabektedin se ne sm</w:t>
      </w:r>
      <w:r w:rsidR="00BC6319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 prim</w:t>
      </w:r>
      <w:r w:rsidR="00BC6319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enjivati </w:t>
      </w:r>
      <w:r w:rsidR="00747ADA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d</w:t>
      </w:r>
      <w:r w:rsidR="00BC6319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ece</w:t>
      </w:r>
      <w:r w:rsidR="00033645" w:rsidRPr="00F45A6E">
        <w:rPr>
          <w:sz w:val="22"/>
          <w:szCs w:val="22"/>
          <w:lang w:val="sr-Latn-ME"/>
        </w:rPr>
        <w:t xml:space="preserve"> i adolescenata</w:t>
      </w:r>
      <w:r w:rsidRPr="00F45A6E">
        <w:rPr>
          <w:sz w:val="22"/>
          <w:szCs w:val="22"/>
          <w:lang w:val="sr-Latn-ME"/>
        </w:rPr>
        <w:t xml:space="preserve"> </w:t>
      </w:r>
      <w:r w:rsidR="00033645" w:rsidRPr="00F45A6E">
        <w:rPr>
          <w:sz w:val="22"/>
          <w:szCs w:val="22"/>
          <w:lang w:val="sr-Latn-ME"/>
        </w:rPr>
        <w:t>uzrasta ispod</w:t>
      </w:r>
      <w:r w:rsidRPr="00F45A6E">
        <w:rPr>
          <w:sz w:val="22"/>
          <w:szCs w:val="22"/>
          <w:lang w:val="sr-Latn-ME"/>
        </w:rPr>
        <w:t xml:space="preserve"> 18 godina s</w:t>
      </w:r>
      <w:r w:rsidR="00747AD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pedijatrijskim sarkomima zbog</w:t>
      </w:r>
      <w:r w:rsidR="008B49A4" w:rsidRPr="00F45A6E">
        <w:rPr>
          <w:sz w:val="22"/>
          <w:szCs w:val="22"/>
          <w:lang w:val="sr-Latn-ME"/>
        </w:rPr>
        <w:t xml:space="preserve"> neodgovarajuće</w:t>
      </w:r>
      <w:r w:rsidRPr="00F45A6E">
        <w:rPr>
          <w:sz w:val="22"/>
          <w:szCs w:val="22"/>
          <w:lang w:val="sr-Latn-ME"/>
        </w:rPr>
        <w:t xml:space="preserve"> </w:t>
      </w:r>
      <w:r w:rsidR="00747ADA" w:rsidRPr="00F45A6E">
        <w:rPr>
          <w:sz w:val="22"/>
          <w:szCs w:val="22"/>
          <w:lang w:val="sr-Latn-ME"/>
        </w:rPr>
        <w:t>efikasnosti</w:t>
      </w:r>
      <w:r w:rsidRPr="00F45A6E">
        <w:rPr>
          <w:sz w:val="22"/>
          <w:szCs w:val="22"/>
          <w:lang w:val="sr-Latn-ME"/>
        </w:rPr>
        <w:t xml:space="preserve"> (</w:t>
      </w:r>
      <w:r w:rsidR="00376F1D" w:rsidRPr="00F45A6E">
        <w:rPr>
          <w:sz w:val="22"/>
          <w:szCs w:val="22"/>
          <w:lang w:val="sr-Latn-ME"/>
        </w:rPr>
        <w:t>pogledati dio</w:t>
      </w:r>
      <w:r w:rsidR="00BC6319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5.1 za rezultate ispitivanja pedijatrijskih sarkoma). </w:t>
      </w:r>
    </w:p>
    <w:p w14:paraId="3C6C845B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4689CA4" w14:textId="77777777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Starije osobe </w:t>
      </w:r>
    </w:p>
    <w:p w14:paraId="0C4DF11C" w14:textId="42AE364C" w:rsidR="00F3726F" w:rsidRPr="00F45A6E" w:rsidRDefault="0059455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Nijesu</w:t>
      </w:r>
      <w:r w:rsidR="00F3726F" w:rsidRPr="00F45A6E">
        <w:rPr>
          <w:sz w:val="22"/>
          <w:szCs w:val="22"/>
          <w:lang w:val="sr-Latn-ME"/>
        </w:rPr>
        <w:t xml:space="preserve"> </w:t>
      </w:r>
      <w:r w:rsidR="00033645" w:rsidRPr="00F45A6E">
        <w:rPr>
          <w:sz w:val="22"/>
          <w:szCs w:val="22"/>
          <w:lang w:val="sr-Latn-ME"/>
        </w:rPr>
        <w:t>s</w:t>
      </w:r>
      <w:r w:rsidR="00F3726F" w:rsidRPr="00F45A6E">
        <w:rPr>
          <w:sz w:val="22"/>
          <w:szCs w:val="22"/>
          <w:lang w:val="sr-Latn-ME"/>
        </w:rPr>
        <w:t xml:space="preserve">provedena posebna ispitivanja </w:t>
      </w:r>
      <w:r w:rsidR="00747ADA" w:rsidRPr="00F45A6E">
        <w:rPr>
          <w:sz w:val="22"/>
          <w:szCs w:val="22"/>
          <w:lang w:val="sr-Latn-ME"/>
        </w:rPr>
        <w:t>kod</w:t>
      </w:r>
      <w:r w:rsidR="00F3726F" w:rsidRPr="00F45A6E">
        <w:rPr>
          <w:sz w:val="22"/>
          <w:szCs w:val="22"/>
          <w:lang w:val="sr-Latn-ME"/>
        </w:rPr>
        <w:t xml:space="preserve"> starijih osoba. Ukupno 20</w:t>
      </w:r>
      <w:r w:rsidR="00C157E6" w:rsidRPr="00F45A6E">
        <w:rPr>
          <w:sz w:val="22"/>
          <w:szCs w:val="22"/>
          <w:lang w:val="sr-Latn-ME"/>
        </w:rPr>
        <w:t>%</w:t>
      </w:r>
      <w:r w:rsidR="00F3726F" w:rsidRPr="00F45A6E">
        <w:rPr>
          <w:sz w:val="22"/>
          <w:szCs w:val="22"/>
          <w:lang w:val="sr-Latn-ME"/>
        </w:rPr>
        <w:t xml:space="preserve"> od 1164 bolesnika u integri</w:t>
      </w:r>
      <w:r w:rsidR="00CB51D2" w:rsidRPr="00F45A6E">
        <w:rPr>
          <w:sz w:val="22"/>
          <w:szCs w:val="22"/>
          <w:lang w:val="sr-Latn-ME"/>
        </w:rPr>
        <w:t>s</w:t>
      </w:r>
      <w:r w:rsidR="00F3726F" w:rsidRPr="00F45A6E">
        <w:rPr>
          <w:sz w:val="22"/>
          <w:szCs w:val="22"/>
          <w:lang w:val="sr-Latn-ME"/>
        </w:rPr>
        <w:t xml:space="preserve">anim analizama </w:t>
      </w:r>
      <w:r w:rsidR="00CB51D2" w:rsidRPr="00F45A6E">
        <w:rPr>
          <w:sz w:val="22"/>
          <w:szCs w:val="22"/>
          <w:lang w:val="sr-Latn-ME"/>
        </w:rPr>
        <w:t>bezb</w:t>
      </w:r>
      <w:r w:rsidR="00E43642" w:rsidRPr="00F45A6E">
        <w:rPr>
          <w:sz w:val="22"/>
          <w:szCs w:val="22"/>
          <w:lang w:val="sr-Latn-ME"/>
        </w:rPr>
        <w:t>j</w:t>
      </w:r>
      <w:r w:rsidR="00CB51D2" w:rsidRPr="00F45A6E">
        <w:rPr>
          <w:sz w:val="22"/>
          <w:szCs w:val="22"/>
          <w:lang w:val="sr-Latn-ME"/>
        </w:rPr>
        <w:t>ednosti</w:t>
      </w:r>
      <w:r w:rsidR="00033645" w:rsidRPr="00F45A6E">
        <w:rPr>
          <w:sz w:val="22"/>
          <w:szCs w:val="22"/>
          <w:lang w:val="sr-Latn-ME"/>
        </w:rPr>
        <w:t xml:space="preserve"> prim</w:t>
      </w:r>
      <w:r w:rsidR="001D0A45" w:rsidRPr="00F45A6E">
        <w:rPr>
          <w:sz w:val="22"/>
          <w:szCs w:val="22"/>
          <w:lang w:val="sr-Latn-ME"/>
        </w:rPr>
        <w:t>j</w:t>
      </w:r>
      <w:r w:rsidR="00033645" w:rsidRPr="00F45A6E">
        <w:rPr>
          <w:sz w:val="22"/>
          <w:szCs w:val="22"/>
          <w:lang w:val="sr-Latn-ME"/>
        </w:rPr>
        <w:t>ene</w:t>
      </w:r>
      <w:r w:rsidR="00CB51D2" w:rsidRPr="00F45A6E">
        <w:rPr>
          <w:sz w:val="22"/>
          <w:szCs w:val="22"/>
          <w:lang w:val="sr-Latn-ME"/>
        </w:rPr>
        <w:t xml:space="preserve"> </w:t>
      </w:r>
      <w:r w:rsidR="00F3726F" w:rsidRPr="00F45A6E">
        <w:rPr>
          <w:sz w:val="22"/>
          <w:szCs w:val="22"/>
          <w:lang w:val="sr-Latn-ME"/>
        </w:rPr>
        <w:t xml:space="preserve">monoterapije u kliničkim ispitivanjima bilo je starije od 65 godina. Od 333 </w:t>
      </w:r>
      <w:r w:rsidR="00CB51D2" w:rsidRPr="00F45A6E">
        <w:rPr>
          <w:sz w:val="22"/>
          <w:szCs w:val="22"/>
          <w:lang w:val="sr-Latn-ME"/>
        </w:rPr>
        <w:t>pacijentkinje</w:t>
      </w:r>
      <w:r w:rsidR="00F3726F" w:rsidRPr="00F45A6E">
        <w:rPr>
          <w:sz w:val="22"/>
          <w:szCs w:val="22"/>
          <w:lang w:val="sr-Latn-ME"/>
        </w:rPr>
        <w:t xml:space="preserve"> s</w:t>
      </w:r>
      <w:r w:rsidR="00CB51D2" w:rsidRPr="00F45A6E">
        <w:rPr>
          <w:sz w:val="22"/>
          <w:szCs w:val="22"/>
          <w:lang w:val="sr-Latn-ME"/>
        </w:rPr>
        <w:t>a</w:t>
      </w:r>
      <w:r w:rsidR="00F3726F" w:rsidRPr="00F45A6E">
        <w:rPr>
          <w:sz w:val="22"/>
          <w:szCs w:val="22"/>
          <w:lang w:val="sr-Latn-ME"/>
        </w:rPr>
        <w:t xml:space="preserve"> </w:t>
      </w:r>
      <w:r w:rsidR="008B22BF" w:rsidRPr="00F45A6E">
        <w:rPr>
          <w:sz w:val="22"/>
          <w:szCs w:val="22"/>
          <w:lang w:val="sr-Latn-ME"/>
        </w:rPr>
        <w:t xml:space="preserve">kancerom </w:t>
      </w:r>
      <w:r w:rsidR="00F3726F" w:rsidRPr="00F45A6E">
        <w:rPr>
          <w:sz w:val="22"/>
          <w:szCs w:val="22"/>
          <w:lang w:val="sr-Latn-ME"/>
        </w:rPr>
        <w:t>jajnika koje su primale trabektedin u kombinaciji s</w:t>
      </w:r>
      <w:r w:rsidR="00CB51D2" w:rsidRPr="00F45A6E">
        <w:rPr>
          <w:sz w:val="22"/>
          <w:szCs w:val="22"/>
          <w:lang w:val="sr-Latn-ME"/>
        </w:rPr>
        <w:t>a</w:t>
      </w:r>
      <w:r w:rsidR="00F3726F" w:rsidRPr="00F45A6E">
        <w:rPr>
          <w:sz w:val="22"/>
          <w:szCs w:val="22"/>
          <w:lang w:val="sr-Latn-ME"/>
        </w:rPr>
        <w:t xml:space="preserve"> PLD, 24</w:t>
      </w:r>
      <w:r w:rsidR="00C157E6" w:rsidRPr="00F45A6E">
        <w:rPr>
          <w:sz w:val="22"/>
          <w:szCs w:val="22"/>
          <w:lang w:val="sr-Latn-ME"/>
        </w:rPr>
        <w:t>%</w:t>
      </w:r>
      <w:r w:rsidR="00F3726F" w:rsidRPr="00F45A6E">
        <w:rPr>
          <w:sz w:val="22"/>
          <w:szCs w:val="22"/>
          <w:lang w:val="sr-Latn-ME"/>
        </w:rPr>
        <w:t xml:space="preserve"> je imalo 65 godina ili </w:t>
      </w:r>
      <w:r w:rsidR="00033645" w:rsidRPr="00F45A6E">
        <w:rPr>
          <w:sz w:val="22"/>
          <w:szCs w:val="22"/>
          <w:lang w:val="sr-Latn-ME"/>
        </w:rPr>
        <w:t>su bile starije</w:t>
      </w:r>
      <w:r w:rsidR="00F3726F" w:rsidRPr="00F45A6E">
        <w:rPr>
          <w:sz w:val="22"/>
          <w:szCs w:val="22"/>
          <w:lang w:val="sr-Latn-ME"/>
        </w:rPr>
        <w:t>, a 6</w:t>
      </w:r>
      <w:r w:rsidR="00C157E6" w:rsidRPr="00F45A6E">
        <w:rPr>
          <w:sz w:val="22"/>
          <w:szCs w:val="22"/>
          <w:lang w:val="sr-Latn-ME"/>
        </w:rPr>
        <w:t>%</w:t>
      </w:r>
      <w:r w:rsidR="00F3726F" w:rsidRPr="00F45A6E">
        <w:rPr>
          <w:sz w:val="22"/>
          <w:szCs w:val="22"/>
          <w:lang w:val="sr-Latn-ME"/>
        </w:rPr>
        <w:t xml:space="preserve"> je bilo starije od 75 godina. U toj populaciji </w:t>
      </w:r>
      <w:r w:rsidR="00CB51D2" w:rsidRPr="00F45A6E">
        <w:rPr>
          <w:sz w:val="22"/>
          <w:szCs w:val="22"/>
          <w:lang w:val="sr-Latn-ME"/>
        </w:rPr>
        <w:t>pacijentkinja</w:t>
      </w:r>
      <w:r w:rsidR="00F3726F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nijesu</w:t>
      </w:r>
      <w:r w:rsidR="00F3726F" w:rsidRPr="00F45A6E">
        <w:rPr>
          <w:sz w:val="22"/>
          <w:szCs w:val="22"/>
          <w:lang w:val="sr-Latn-ME"/>
        </w:rPr>
        <w:t xml:space="preserve"> uočene </w:t>
      </w:r>
      <w:r w:rsidR="006B2013" w:rsidRPr="00F45A6E">
        <w:rPr>
          <w:sz w:val="22"/>
          <w:szCs w:val="22"/>
          <w:lang w:val="sr-Latn-ME"/>
        </w:rPr>
        <w:t xml:space="preserve">značajne </w:t>
      </w:r>
      <w:r w:rsidR="00F3726F" w:rsidRPr="00F45A6E">
        <w:rPr>
          <w:sz w:val="22"/>
          <w:szCs w:val="22"/>
          <w:lang w:val="sr-Latn-ME"/>
        </w:rPr>
        <w:t xml:space="preserve">razlike u </w:t>
      </w:r>
      <w:r w:rsidR="00CB51D2" w:rsidRPr="00F45A6E">
        <w:rPr>
          <w:sz w:val="22"/>
          <w:szCs w:val="22"/>
          <w:lang w:val="sr-Latn-ME"/>
        </w:rPr>
        <w:t>bezb</w:t>
      </w:r>
      <w:r w:rsidR="001D0A45" w:rsidRPr="00F45A6E">
        <w:rPr>
          <w:sz w:val="22"/>
          <w:szCs w:val="22"/>
          <w:lang w:val="sr-Latn-ME"/>
        </w:rPr>
        <w:t>j</w:t>
      </w:r>
      <w:r w:rsidR="00CB51D2" w:rsidRPr="00F45A6E">
        <w:rPr>
          <w:sz w:val="22"/>
          <w:szCs w:val="22"/>
          <w:lang w:val="sr-Latn-ME"/>
        </w:rPr>
        <w:t>edonosno</w:t>
      </w:r>
      <w:r w:rsidR="00F3726F" w:rsidRPr="00F45A6E">
        <w:rPr>
          <w:sz w:val="22"/>
          <w:szCs w:val="22"/>
          <w:lang w:val="sr-Latn-ME"/>
        </w:rPr>
        <w:t xml:space="preserve">m profilu. Čini se da </w:t>
      </w:r>
      <w:r w:rsidR="00CB51D2" w:rsidRPr="00F45A6E">
        <w:rPr>
          <w:sz w:val="22"/>
          <w:szCs w:val="22"/>
          <w:lang w:val="sr-Latn-ME"/>
        </w:rPr>
        <w:t xml:space="preserve">starosna </w:t>
      </w:r>
      <w:r w:rsidR="00F3726F" w:rsidRPr="00F45A6E">
        <w:rPr>
          <w:sz w:val="22"/>
          <w:szCs w:val="22"/>
          <w:lang w:val="sr-Latn-ME"/>
        </w:rPr>
        <w:t>dob ne ut</w:t>
      </w:r>
      <w:r w:rsidR="00CB51D2" w:rsidRPr="00F45A6E">
        <w:rPr>
          <w:sz w:val="22"/>
          <w:szCs w:val="22"/>
          <w:lang w:val="sr-Latn-ME"/>
        </w:rPr>
        <w:t>ič</w:t>
      </w:r>
      <w:r w:rsidR="00F3726F" w:rsidRPr="00F45A6E">
        <w:rPr>
          <w:sz w:val="22"/>
          <w:szCs w:val="22"/>
          <w:lang w:val="sr-Latn-ME"/>
        </w:rPr>
        <w:t>e na klirens</w:t>
      </w:r>
      <w:r w:rsidR="00CB51D2"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="00CB51D2" w:rsidRPr="00F45A6E">
        <w:rPr>
          <w:sz w:val="22"/>
          <w:szCs w:val="22"/>
          <w:lang w:val="sr-Latn-ME"/>
        </w:rPr>
        <w:t>a u plazmi</w:t>
      </w:r>
      <w:r w:rsidR="00F3726F" w:rsidRPr="00F45A6E">
        <w:rPr>
          <w:sz w:val="22"/>
          <w:szCs w:val="22"/>
          <w:lang w:val="sr-Latn-ME"/>
        </w:rPr>
        <w:t xml:space="preserve"> i volumen distribucije trabektedina. </w:t>
      </w:r>
      <w:r w:rsidR="00CB51D2" w:rsidRPr="00F45A6E">
        <w:rPr>
          <w:sz w:val="22"/>
          <w:szCs w:val="22"/>
          <w:lang w:val="sr-Latn-ME"/>
        </w:rPr>
        <w:t>Iz tog razloga</w:t>
      </w:r>
      <w:r w:rsidR="00F3726F" w:rsidRPr="00F45A6E">
        <w:rPr>
          <w:sz w:val="22"/>
          <w:szCs w:val="22"/>
          <w:lang w:val="sr-Latn-ME"/>
        </w:rPr>
        <w:t>, rutinsk</w:t>
      </w:r>
      <w:r w:rsidR="00CB51D2" w:rsidRPr="00F45A6E">
        <w:rPr>
          <w:sz w:val="22"/>
          <w:szCs w:val="22"/>
          <w:lang w:val="sr-Latn-ME"/>
        </w:rPr>
        <w:t>a prilagođavanja</w:t>
      </w:r>
      <w:r w:rsidR="00F3726F" w:rsidRPr="00F45A6E">
        <w:rPr>
          <w:sz w:val="22"/>
          <w:szCs w:val="22"/>
          <w:lang w:val="sr-Latn-ME"/>
        </w:rPr>
        <w:t xml:space="preserve"> doze koje se temelje isključivo na kriteriju</w:t>
      </w:r>
      <w:r w:rsidR="00CB51D2" w:rsidRPr="00F45A6E">
        <w:rPr>
          <w:sz w:val="22"/>
          <w:szCs w:val="22"/>
          <w:lang w:val="sr-Latn-ME"/>
        </w:rPr>
        <w:t>mu starosne</w:t>
      </w:r>
      <w:r w:rsidR="00F3726F" w:rsidRPr="00F45A6E">
        <w:rPr>
          <w:sz w:val="22"/>
          <w:szCs w:val="22"/>
          <w:lang w:val="sr-Latn-ME"/>
        </w:rPr>
        <w:t xml:space="preserve"> dobi se ne preporučuju. </w:t>
      </w:r>
    </w:p>
    <w:p w14:paraId="69EFBAFA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527751F" w14:textId="77777777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Oštećenje funkcije jetre </w:t>
      </w:r>
    </w:p>
    <w:p w14:paraId="75C4F7B5" w14:textId="47EAD28D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Sav</w:t>
      </w:r>
      <w:r w:rsidR="00E4364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etuje se poseban oprez i m</w:t>
      </w:r>
      <w:r w:rsidR="00085B37" w:rsidRPr="00F45A6E">
        <w:rPr>
          <w:sz w:val="22"/>
          <w:szCs w:val="22"/>
          <w:lang w:val="sr-Latn-ME"/>
        </w:rPr>
        <w:t>ože</w:t>
      </w:r>
      <w:r w:rsidRPr="00F45A6E">
        <w:rPr>
          <w:sz w:val="22"/>
          <w:szCs w:val="22"/>
          <w:lang w:val="sr-Latn-ME"/>
        </w:rPr>
        <w:t xml:space="preserve"> biti potrebn</w:t>
      </w:r>
      <w:r w:rsidR="00085B37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 </w:t>
      </w:r>
      <w:r w:rsidR="00CB51D2" w:rsidRPr="00F45A6E">
        <w:rPr>
          <w:sz w:val="22"/>
          <w:szCs w:val="22"/>
          <w:lang w:val="sr-Latn-ME"/>
        </w:rPr>
        <w:t>prilagođavanj</w:t>
      </w:r>
      <w:r w:rsidR="00085B37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doze </w:t>
      </w:r>
      <w:r w:rsidR="00CB51D2" w:rsidRPr="00F45A6E">
        <w:rPr>
          <w:sz w:val="22"/>
          <w:szCs w:val="22"/>
          <w:lang w:val="sr-Latn-ME"/>
        </w:rPr>
        <w:t>kod pacijenata</w:t>
      </w:r>
      <w:r w:rsidRPr="00F45A6E">
        <w:rPr>
          <w:sz w:val="22"/>
          <w:szCs w:val="22"/>
          <w:lang w:val="sr-Latn-ME"/>
        </w:rPr>
        <w:t xml:space="preserve"> s</w:t>
      </w:r>
      <w:r w:rsidR="00CB51D2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oštećenjem </w:t>
      </w:r>
      <w:r w:rsidR="00085B37" w:rsidRPr="00F45A6E">
        <w:rPr>
          <w:sz w:val="22"/>
          <w:szCs w:val="22"/>
          <w:lang w:val="sr-Latn-ME"/>
        </w:rPr>
        <w:t xml:space="preserve">funkcije </w:t>
      </w:r>
      <w:r w:rsidRPr="00F45A6E">
        <w:rPr>
          <w:sz w:val="22"/>
          <w:szCs w:val="22"/>
          <w:lang w:val="sr-Latn-ME"/>
        </w:rPr>
        <w:t>jetre jer je sistemska izlo</w:t>
      </w:r>
      <w:r w:rsidR="00CB51D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enost trabektedinu povećana </w:t>
      </w:r>
      <w:r w:rsidR="00CB51D2" w:rsidRPr="00F45A6E">
        <w:rPr>
          <w:sz w:val="22"/>
          <w:szCs w:val="22"/>
          <w:lang w:val="sr-Latn-ME"/>
        </w:rPr>
        <w:t>pa</w:t>
      </w:r>
      <w:r w:rsidRPr="00F45A6E">
        <w:rPr>
          <w:sz w:val="22"/>
          <w:szCs w:val="22"/>
          <w:lang w:val="sr-Latn-ME"/>
        </w:rPr>
        <w:t xml:space="preserve"> mo</w:t>
      </w:r>
      <w:r w:rsidR="00CB51D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 biti povećan i rizik od hepatotoksičnosti. </w:t>
      </w:r>
    </w:p>
    <w:p w14:paraId="205FC59B" w14:textId="68039E60" w:rsidR="00F3726F" w:rsidRPr="00F45A6E" w:rsidRDefault="00CB51D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Pacijenti</w:t>
      </w:r>
      <w:r w:rsidR="00085B37" w:rsidRPr="00F45A6E">
        <w:rPr>
          <w:sz w:val="22"/>
          <w:szCs w:val="22"/>
          <w:lang w:val="sr-Latn-ME"/>
        </w:rPr>
        <w:t xml:space="preserve"> kod kojih</w:t>
      </w:r>
      <w:r w:rsidR="00F3726F" w:rsidRPr="00F45A6E">
        <w:rPr>
          <w:sz w:val="22"/>
          <w:szCs w:val="22"/>
          <w:lang w:val="sr-Latn-ME"/>
        </w:rPr>
        <w:t xml:space="preserve"> je </w:t>
      </w:r>
      <w:r w:rsidR="00085B37" w:rsidRPr="00F45A6E">
        <w:rPr>
          <w:sz w:val="22"/>
          <w:szCs w:val="22"/>
          <w:lang w:val="sr-Latn-ME"/>
        </w:rPr>
        <w:t xml:space="preserve">koncentracija </w:t>
      </w:r>
      <w:r w:rsidR="00F3726F" w:rsidRPr="00F45A6E">
        <w:rPr>
          <w:sz w:val="22"/>
          <w:szCs w:val="22"/>
          <w:lang w:val="sr-Latn-ME"/>
        </w:rPr>
        <w:t>serumsk</w:t>
      </w:r>
      <w:r w:rsidR="00085B37" w:rsidRPr="00F45A6E">
        <w:rPr>
          <w:sz w:val="22"/>
          <w:szCs w:val="22"/>
          <w:lang w:val="sr-Latn-ME"/>
        </w:rPr>
        <w:t>og</w:t>
      </w:r>
      <w:r w:rsidR="00F3726F" w:rsidRPr="00F45A6E">
        <w:rPr>
          <w:sz w:val="22"/>
          <w:szCs w:val="22"/>
          <w:lang w:val="sr-Latn-ME"/>
        </w:rPr>
        <w:t xml:space="preserve"> bilirubin</w:t>
      </w:r>
      <w:r w:rsidR="00085B37" w:rsidRPr="00F45A6E">
        <w:rPr>
          <w:sz w:val="22"/>
          <w:szCs w:val="22"/>
          <w:lang w:val="sr-Latn-ME"/>
        </w:rPr>
        <w:t>a</w:t>
      </w:r>
      <w:r w:rsidR="00F3726F" w:rsidRPr="00F45A6E">
        <w:rPr>
          <w:sz w:val="22"/>
          <w:szCs w:val="22"/>
          <w:lang w:val="sr-Latn-ME"/>
        </w:rPr>
        <w:t xml:space="preserve"> pov</w:t>
      </w:r>
      <w:r w:rsidR="00085B37" w:rsidRPr="00F45A6E">
        <w:rPr>
          <w:sz w:val="22"/>
          <w:szCs w:val="22"/>
          <w:lang w:val="sr-Latn-ME"/>
        </w:rPr>
        <w:t>ećana</w:t>
      </w:r>
      <w:r w:rsidR="00F3726F" w:rsidRPr="00F45A6E">
        <w:rPr>
          <w:sz w:val="22"/>
          <w:szCs w:val="22"/>
          <w:lang w:val="sr-Latn-ME"/>
        </w:rPr>
        <w:t xml:space="preserve"> </w:t>
      </w:r>
      <w:r w:rsidR="00085B37" w:rsidRPr="00F45A6E">
        <w:rPr>
          <w:sz w:val="22"/>
          <w:szCs w:val="22"/>
          <w:lang w:val="sr-Latn-ME"/>
        </w:rPr>
        <w:t>pr</w:t>
      </w:r>
      <w:r w:rsidR="00522850" w:rsidRPr="00F45A6E">
        <w:rPr>
          <w:sz w:val="22"/>
          <w:szCs w:val="22"/>
          <w:lang w:val="sr-Latn-ME"/>
        </w:rPr>
        <w:t>ij</w:t>
      </w:r>
      <w:r w:rsidR="00085B37" w:rsidRPr="00F45A6E">
        <w:rPr>
          <w:sz w:val="22"/>
          <w:szCs w:val="22"/>
          <w:lang w:val="sr-Latn-ME"/>
        </w:rPr>
        <w:t xml:space="preserve">e početka </w:t>
      </w:r>
      <w:r w:rsidR="00031EC5" w:rsidRPr="00F45A6E">
        <w:rPr>
          <w:sz w:val="22"/>
          <w:szCs w:val="22"/>
          <w:lang w:val="sr-Latn-ME"/>
        </w:rPr>
        <w:t>liječenj</w:t>
      </w:r>
      <w:r w:rsidR="00085B37" w:rsidRPr="00F45A6E">
        <w:rPr>
          <w:sz w:val="22"/>
          <w:szCs w:val="22"/>
          <w:lang w:val="sr-Latn-ME"/>
        </w:rPr>
        <w:t xml:space="preserve">a </w:t>
      </w:r>
      <w:r w:rsidR="00F3726F" w:rsidRPr="00F45A6E">
        <w:rPr>
          <w:sz w:val="22"/>
          <w:szCs w:val="22"/>
          <w:lang w:val="sr-Latn-ME"/>
        </w:rPr>
        <w:t>ne sm</w:t>
      </w:r>
      <w:r w:rsidR="00E43642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j</w:t>
      </w:r>
      <w:r w:rsidR="00F3726F" w:rsidRPr="00F45A6E">
        <w:rPr>
          <w:sz w:val="22"/>
          <w:szCs w:val="22"/>
          <w:lang w:val="sr-Latn-ME"/>
        </w:rPr>
        <w:t>u se l</w:t>
      </w:r>
      <w:r w:rsidR="00E43642" w:rsidRPr="00F45A6E">
        <w:rPr>
          <w:sz w:val="22"/>
          <w:szCs w:val="22"/>
          <w:lang w:val="sr-Latn-ME"/>
        </w:rPr>
        <w:t>ij</w:t>
      </w:r>
      <w:r w:rsidR="00F3726F" w:rsidRPr="00F45A6E">
        <w:rPr>
          <w:sz w:val="22"/>
          <w:szCs w:val="22"/>
          <w:lang w:val="sr-Latn-ME"/>
        </w:rPr>
        <w:t xml:space="preserve">ečiti </w:t>
      </w:r>
      <w:r w:rsidR="005C3738" w:rsidRPr="00F45A6E">
        <w:rPr>
          <w:sz w:val="22"/>
          <w:szCs w:val="22"/>
          <w:lang w:val="sr-Latn-ME"/>
        </w:rPr>
        <w:t>lijek</w:t>
      </w:r>
      <w:r w:rsidR="00F3726F" w:rsidRPr="00F45A6E">
        <w:rPr>
          <w:sz w:val="22"/>
          <w:szCs w:val="22"/>
          <w:lang w:val="sr-Latn-ME"/>
        </w:rPr>
        <w:t xml:space="preserve">om </w:t>
      </w:r>
      <w:r w:rsidR="001D6C3F" w:rsidRPr="00F45A6E">
        <w:rPr>
          <w:sz w:val="22"/>
          <w:szCs w:val="22"/>
          <w:lang w:val="sr-Latn-ME"/>
        </w:rPr>
        <w:t>Trabectedin STADA</w:t>
      </w:r>
      <w:r w:rsidR="00F3726F" w:rsidRPr="00F45A6E">
        <w:rPr>
          <w:sz w:val="22"/>
          <w:szCs w:val="22"/>
          <w:lang w:val="sr-Latn-ME"/>
        </w:rPr>
        <w:t>. Testove funkcije</w:t>
      </w:r>
      <w:r w:rsidR="00085B37" w:rsidRPr="00F45A6E">
        <w:rPr>
          <w:sz w:val="22"/>
          <w:szCs w:val="22"/>
          <w:lang w:val="sr-Latn-ME"/>
        </w:rPr>
        <w:t xml:space="preserve"> jetre</w:t>
      </w:r>
      <w:r w:rsidR="00F3726F" w:rsidRPr="00F45A6E">
        <w:rPr>
          <w:sz w:val="22"/>
          <w:szCs w:val="22"/>
          <w:lang w:val="sr-Latn-ME"/>
        </w:rPr>
        <w:t xml:space="preserve"> treba </w:t>
      </w:r>
      <w:r w:rsidR="00085B37" w:rsidRPr="00F45A6E">
        <w:rPr>
          <w:sz w:val="22"/>
          <w:szCs w:val="22"/>
          <w:lang w:val="sr-Latn-ME"/>
        </w:rPr>
        <w:t xml:space="preserve">sprovoditi </w:t>
      </w:r>
      <w:r w:rsidR="00F3726F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o</w:t>
      </w:r>
      <w:r w:rsidR="00F3726F" w:rsidRPr="00F45A6E">
        <w:rPr>
          <w:sz w:val="22"/>
          <w:szCs w:val="22"/>
          <w:lang w:val="sr-Latn-ME"/>
        </w:rPr>
        <w:t xml:space="preserve">kom terapije </w:t>
      </w:r>
      <w:r w:rsidR="005C3738" w:rsidRPr="00F45A6E">
        <w:rPr>
          <w:sz w:val="22"/>
          <w:szCs w:val="22"/>
          <w:lang w:val="sr-Latn-ME"/>
        </w:rPr>
        <w:t>lijek</w:t>
      </w:r>
      <w:r w:rsidR="00F3726F" w:rsidRPr="00F45A6E">
        <w:rPr>
          <w:sz w:val="22"/>
          <w:szCs w:val="22"/>
          <w:lang w:val="sr-Latn-ME"/>
        </w:rPr>
        <w:t xml:space="preserve">om </w:t>
      </w:r>
      <w:r w:rsidR="001D6C3F" w:rsidRPr="00F45A6E">
        <w:rPr>
          <w:sz w:val="22"/>
          <w:szCs w:val="22"/>
          <w:lang w:val="sr-Latn-ME"/>
        </w:rPr>
        <w:t>Trabectedin STADA</w:t>
      </w:r>
      <w:r w:rsidRPr="00F45A6E">
        <w:rPr>
          <w:sz w:val="22"/>
          <w:szCs w:val="22"/>
          <w:lang w:val="sr-Latn-ME"/>
        </w:rPr>
        <w:t>, j</w:t>
      </w:r>
      <w:r w:rsidR="00F3726F" w:rsidRPr="00F45A6E">
        <w:rPr>
          <w:sz w:val="22"/>
          <w:szCs w:val="22"/>
          <w:lang w:val="sr-Latn-ME"/>
        </w:rPr>
        <w:t>er mo</w:t>
      </w:r>
      <w:r w:rsidR="00085B37" w:rsidRPr="00F45A6E">
        <w:rPr>
          <w:sz w:val="22"/>
          <w:szCs w:val="22"/>
          <w:lang w:val="sr-Latn-ME"/>
        </w:rPr>
        <w:t>že</w:t>
      </w:r>
      <w:r w:rsidR="00F3726F" w:rsidRPr="00F45A6E">
        <w:rPr>
          <w:sz w:val="22"/>
          <w:szCs w:val="22"/>
          <w:lang w:val="sr-Latn-ME"/>
        </w:rPr>
        <w:t xml:space="preserve"> biti indi</w:t>
      </w:r>
      <w:r w:rsidRPr="00F45A6E">
        <w:rPr>
          <w:sz w:val="22"/>
          <w:szCs w:val="22"/>
          <w:lang w:val="sr-Latn-ME"/>
        </w:rPr>
        <w:t>kov</w:t>
      </w:r>
      <w:r w:rsidR="00F3726F" w:rsidRPr="00F45A6E">
        <w:rPr>
          <w:sz w:val="22"/>
          <w:szCs w:val="22"/>
          <w:lang w:val="sr-Latn-ME"/>
        </w:rPr>
        <w:t>an</w:t>
      </w:r>
      <w:r w:rsidR="00085B37" w:rsidRPr="00F45A6E">
        <w:rPr>
          <w:sz w:val="22"/>
          <w:szCs w:val="22"/>
          <w:lang w:val="sr-Latn-ME"/>
        </w:rPr>
        <w:t>o</w:t>
      </w:r>
      <w:r w:rsidR="00F3726F" w:rsidRPr="00F45A6E">
        <w:rPr>
          <w:sz w:val="22"/>
          <w:szCs w:val="22"/>
          <w:lang w:val="sr-Latn-ME"/>
        </w:rPr>
        <w:t xml:space="preserve"> prilag</w:t>
      </w:r>
      <w:r w:rsidRPr="00F45A6E">
        <w:rPr>
          <w:sz w:val="22"/>
          <w:szCs w:val="22"/>
          <w:lang w:val="sr-Latn-ME"/>
        </w:rPr>
        <w:t>ođavanj</w:t>
      </w:r>
      <w:r w:rsidR="00085B37" w:rsidRPr="00F45A6E">
        <w:rPr>
          <w:sz w:val="22"/>
          <w:szCs w:val="22"/>
          <w:lang w:val="sr-Latn-ME"/>
        </w:rPr>
        <w:t>e</w:t>
      </w:r>
      <w:r w:rsidR="00F3726F" w:rsidRPr="00F45A6E">
        <w:rPr>
          <w:sz w:val="22"/>
          <w:szCs w:val="22"/>
          <w:lang w:val="sr-Latn-ME"/>
        </w:rPr>
        <w:t xml:space="preserve"> doze (vid</w:t>
      </w:r>
      <w:r w:rsidR="00E43642" w:rsidRPr="00F45A6E">
        <w:rPr>
          <w:sz w:val="22"/>
          <w:szCs w:val="22"/>
          <w:lang w:val="sr-Latn-ME"/>
        </w:rPr>
        <w:t>j</w:t>
      </w:r>
      <w:r w:rsidR="00F3726F" w:rsidRPr="00F45A6E">
        <w:rPr>
          <w:sz w:val="22"/>
          <w:szCs w:val="22"/>
          <w:lang w:val="sr-Latn-ME"/>
        </w:rPr>
        <w:t>eti Tab</w:t>
      </w:r>
      <w:r w:rsidR="00085B37" w:rsidRPr="00F45A6E">
        <w:rPr>
          <w:sz w:val="22"/>
          <w:szCs w:val="22"/>
          <w:lang w:val="sr-Latn-ME"/>
        </w:rPr>
        <w:t>elu</w:t>
      </w:r>
      <w:r w:rsidR="00F3726F" w:rsidRPr="00F45A6E">
        <w:rPr>
          <w:sz w:val="22"/>
          <w:szCs w:val="22"/>
          <w:lang w:val="sr-Latn-ME"/>
        </w:rPr>
        <w:t xml:space="preserve"> 1 i </w:t>
      </w:r>
      <w:r w:rsidR="00E43642" w:rsidRPr="00F45A6E">
        <w:rPr>
          <w:sz w:val="22"/>
          <w:szCs w:val="22"/>
          <w:lang w:val="sr-Latn-ME"/>
        </w:rPr>
        <w:t xml:space="preserve">dio </w:t>
      </w:r>
      <w:r w:rsidR="00F3726F" w:rsidRPr="00F45A6E">
        <w:rPr>
          <w:sz w:val="22"/>
          <w:szCs w:val="22"/>
          <w:lang w:val="sr-Latn-ME"/>
        </w:rPr>
        <w:t xml:space="preserve">4.4). </w:t>
      </w:r>
    </w:p>
    <w:p w14:paraId="69BD5B2B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52C7FB0" w14:textId="77777777" w:rsidR="00F3726F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Oštećenje funkcije bubrega </w:t>
      </w:r>
    </w:p>
    <w:p w14:paraId="29D37C0A" w14:textId="3DCC7846" w:rsidR="005F1154" w:rsidRPr="00F45A6E" w:rsidRDefault="00F3726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Ispitivanja koja obuhva</w:t>
      </w:r>
      <w:r w:rsidR="00CB51D2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 xml:space="preserve">aju </w:t>
      </w:r>
      <w:r w:rsidR="00CB51D2" w:rsidRPr="00F45A6E">
        <w:rPr>
          <w:sz w:val="22"/>
          <w:szCs w:val="22"/>
          <w:lang w:val="sr-Latn-ME"/>
        </w:rPr>
        <w:t>pacijente</w:t>
      </w:r>
      <w:r w:rsidRPr="00F45A6E">
        <w:rPr>
          <w:sz w:val="22"/>
          <w:szCs w:val="22"/>
          <w:lang w:val="sr-Latn-ME"/>
        </w:rPr>
        <w:t xml:space="preserve"> s</w:t>
      </w:r>
      <w:r w:rsidR="00CB51D2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bubre</w:t>
      </w:r>
      <w:r w:rsidR="00CB51D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nom insuficijencijom (klirens kreatinina &lt; 30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/min za monoterapiju i &lt; 60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/min za kombin</w:t>
      </w:r>
      <w:r w:rsidR="00CB51D2" w:rsidRPr="00F45A6E">
        <w:rPr>
          <w:sz w:val="22"/>
          <w:szCs w:val="22"/>
          <w:lang w:val="sr-Latn-ME"/>
        </w:rPr>
        <w:t>ovani</w:t>
      </w:r>
      <w:r w:rsidRPr="00F45A6E">
        <w:rPr>
          <w:sz w:val="22"/>
          <w:szCs w:val="22"/>
          <w:lang w:val="sr-Latn-ME"/>
        </w:rPr>
        <w:t xml:space="preserve"> re</w:t>
      </w:r>
      <w:r w:rsidR="00CB51D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im)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</w:t>
      </w:r>
      <w:r w:rsidR="00CB51D2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provedena i </w:t>
      </w:r>
      <w:r w:rsidR="00CB51D2" w:rsidRPr="00F45A6E">
        <w:rPr>
          <w:sz w:val="22"/>
          <w:szCs w:val="22"/>
          <w:lang w:val="sr-Latn-ME"/>
        </w:rPr>
        <w:t>zato</w:t>
      </w:r>
      <w:r w:rsidRPr="00F45A6E">
        <w:rPr>
          <w:sz w:val="22"/>
          <w:szCs w:val="22"/>
          <w:lang w:val="sr-Latn-ME"/>
        </w:rPr>
        <w:t xml:space="preserve"> se </w:t>
      </w:r>
      <w:r w:rsidR="00421C3A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 ne sm</w:t>
      </w:r>
      <w:r w:rsidR="0052285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 prim</w:t>
      </w:r>
      <w:r w:rsidR="00522850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enjivati u toj populaciji </w:t>
      </w:r>
      <w:r w:rsidR="00CB51D2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(</w:t>
      </w:r>
      <w:r w:rsidR="00376F1D" w:rsidRPr="00F45A6E">
        <w:rPr>
          <w:sz w:val="22"/>
          <w:szCs w:val="22"/>
          <w:lang w:val="sr-Latn-ME"/>
        </w:rPr>
        <w:t>pogledati dio</w:t>
      </w:r>
      <w:r w:rsidR="0052285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4.4). Zbog farmakokinetičkih svojstava</w:t>
      </w:r>
      <w:r w:rsidR="005F1154" w:rsidRPr="00F45A6E">
        <w:rPr>
          <w:sz w:val="22"/>
          <w:szCs w:val="22"/>
          <w:lang w:val="sr-Latn-ME"/>
        </w:rPr>
        <w:t xml:space="preserve"> trabektedina (</w:t>
      </w:r>
      <w:r w:rsidR="00376F1D" w:rsidRPr="00F45A6E">
        <w:rPr>
          <w:sz w:val="22"/>
          <w:szCs w:val="22"/>
          <w:lang w:val="sr-Latn-ME"/>
        </w:rPr>
        <w:t>pogledati dio</w:t>
      </w:r>
      <w:r w:rsidR="00522850" w:rsidRPr="00F45A6E">
        <w:rPr>
          <w:sz w:val="22"/>
          <w:szCs w:val="22"/>
          <w:lang w:val="sr-Latn-ME"/>
        </w:rPr>
        <w:t xml:space="preserve"> </w:t>
      </w:r>
      <w:r w:rsidR="005F1154" w:rsidRPr="00F45A6E">
        <w:rPr>
          <w:sz w:val="22"/>
          <w:szCs w:val="22"/>
          <w:lang w:val="sr-Latn-ME"/>
        </w:rPr>
        <w:t xml:space="preserve">5.2) kod </w:t>
      </w:r>
      <w:r w:rsidR="00CB51D2" w:rsidRPr="00F45A6E">
        <w:rPr>
          <w:sz w:val="22"/>
          <w:szCs w:val="22"/>
          <w:lang w:val="sr-Latn-ME"/>
        </w:rPr>
        <w:t>pacijenata</w:t>
      </w:r>
      <w:r w:rsidR="005F1154" w:rsidRPr="00F45A6E">
        <w:rPr>
          <w:sz w:val="22"/>
          <w:szCs w:val="22"/>
          <w:lang w:val="sr-Latn-ME"/>
        </w:rPr>
        <w:t xml:space="preserve"> s</w:t>
      </w:r>
      <w:r w:rsidR="00CB51D2" w:rsidRPr="00F45A6E">
        <w:rPr>
          <w:sz w:val="22"/>
          <w:szCs w:val="22"/>
          <w:lang w:val="sr-Latn-ME"/>
        </w:rPr>
        <w:t>a</w:t>
      </w:r>
      <w:r w:rsidR="005F1154" w:rsidRPr="00F45A6E">
        <w:rPr>
          <w:sz w:val="22"/>
          <w:szCs w:val="22"/>
          <w:lang w:val="sr-Latn-ME"/>
        </w:rPr>
        <w:t xml:space="preserve"> blagim ili um</w:t>
      </w:r>
      <w:r w:rsidR="00522850" w:rsidRPr="00F45A6E">
        <w:rPr>
          <w:sz w:val="22"/>
          <w:szCs w:val="22"/>
          <w:lang w:val="sr-Latn-ME"/>
        </w:rPr>
        <w:t>j</w:t>
      </w:r>
      <w:r w:rsidR="005F1154" w:rsidRPr="00F45A6E">
        <w:rPr>
          <w:sz w:val="22"/>
          <w:szCs w:val="22"/>
          <w:lang w:val="sr-Latn-ME"/>
        </w:rPr>
        <w:t>erenim oštećenjem funkcije bubrega ni</w:t>
      </w:r>
      <w:r w:rsidR="001379C2" w:rsidRPr="00F45A6E">
        <w:rPr>
          <w:sz w:val="22"/>
          <w:szCs w:val="22"/>
          <w:lang w:val="sr-Latn-ME"/>
        </w:rPr>
        <w:t>je</w:t>
      </w:r>
      <w:r w:rsidR="005F1154" w:rsidRPr="00F45A6E">
        <w:rPr>
          <w:sz w:val="22"/>
          <w:szCs w:val="22"/>
          <w:lang w:val="sr-Latn-ME"/>
        </w:rPr>
        <w:t xml:space="preserve"> potrebn</w:t>
      </w:r>
      <w:r w:rsidR="001379C2" w:rsidRPr="00F45A6E">
        <w:rPr>
          <w:sz w:val="22"/>
          <w:szCs w:val="22"/>
          <w:lang w:val="sr-Latn-ME"/>
        </w:rPr>
        <w:t>o</w:t>
      </w:r>
      <w:r w:rsidR="005F1154" w:rsidRPr="00F45A6E">
        <w:rPr>
          <w:sz w:val="22"/>
          <w:szCs w:val="22"/>
          <w:lang w:val="sr-Latn-ME"/>
        </w:rPr>
        <w:t xml:space="preserve"> </w:t>
      </w:r>
      <w:r w:rsidR="00CB51D2" w:rsidRPr="00F45A6E">
        <w:rPr>
          <w:sz w:val="22"/>
          <w:szCs w:val="22"/>
          <w:lang w:val="sr-Latn-ME"/>
        </w:rPr>
        <w:t>prilagođavanj</w:t>
      </w:r>
      <w:r w:rsidR="001379C2" w:rsidRPr="00F45A6E">
        <w:rPr>
          <w:sz w:val="22"/>
          <w:szCs w:val="22"/>
          <w:lang w:val="sr-Latn-ME"/>
        </w:rPr>
        <w:t>e</w:t>
      </w:r>
      <w:r w:rsidR="00CB51D2" w:rsidRPr="00F45A6E">
        <w:rPr>
          <w:sz w:val="22"/>
          <w:szCs w:val="22"/>
          <w:lang w:val="sr-Latn-ME"/>
        </w:rPr>
        <w:t xml:space="preserve"> </w:t>
      </w:r>
      <w:r w:rsidR="005F1154" w:rsidRPr="00F45A6E">
        <w:rPr>
          <w:sz w:val="22"/>
          <w:szCs w:val="22"/>
          <w:lang w:val="sr-Latn-ME"/>
        </w:rPr>
        <w:t xml:space="preserve">doze. </w:t>
      </w:r>
    </w:p>
    <w:p w14:paraId="08852B5B" w14:textId="77777777" w:rsidR="009705C0" w:rsidRPr="00F45A6E" w:rsidRDefault="009705C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14A627A" w14:textId="3A4EEAD5" w:rsidR="005F1154" w:rsidRPr="00F45A6E" w:rsidRDefault="005F1154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Način prim</w:t>
      </w:r>
      <w:r w:rsidR="00714F0D" w:rsidRPr="00F45A6E">
        <w:rPr>
          <w:sz w:val="22"/>
          <w:szCs w:val="22"/>
          <w:u w:val="single"/>
          <w:lang w:val="sr-Latn-ME"/>
        </w:rPr>
        <w:t>j</w:t>
      </w:r>
      <w:r w:rsidRPr="00F45A6E">
        <w:rPr>
          <w:sz w:val="22"/>
          <w:szCs w:val="22"/>
          <w:u w:val="single"/>
          <w:lang w:val="sr-Latn-ME"/>
        </w:rPr>
        <w:t xml:space="preserve">ene </w:t>
      </w:r>
    </w:p>
    <w:p w14:paraId="754B1D57" w14:textId="77777777" w:rsidR="009705C0" w:rsidRPr="00F45A6E" w:rsidRDefault="009705C0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0DB0A9CE" w14:textId="5F75F6D6" w:rsidR="005F1154" w:rsidRPr="00F45A6E" w:rsidRDefault="005F1154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Strogo se preporučuje intravenska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kroz </w:t>
      </w:r>
      <w:r w:rsidR="00CB51D2" w:rsidRPr="00F45A6E">
        <w:rPr>
          <w:sz w:val="22"/>
          <w:szCs w:val="22"/>
          <w:lang w:val="sr-Latn-ME"/>
        </w:rPr>
        <w:t>centralni</w:t>
      </w:r>
      <w:r w:rsidRPr="00F45A6E">
        <w:rPr>
          <w:sz w:val="22"/>
          <w:szCs w:val="22"/>
          <w:lang w:val="sr-Latn-ME"/>
        </w:rPr>
        <w:t xml:space="preserve"> venski kateter (vid</w:t>
      </w:r>
      <w:r w:rsidR="00522850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eti </w:t>
      </w:r>
      <w:r w:rsidR="000019A0" w:rsidRPr="00F45A6E">
        <w:rPr>
          <w:sz w:val="22"/>
          <w:szCs w:val="22"/>
          <w:lang w:val="sr-Latn-ME"/>
        </w:rPr>
        <w:t xml:space="preserve">dio </w:t>
      </w:r>
      <w:r w:rsidRPr="00F45A6E">
        <w:rPr>
          <w:sz w:val="22"/>
          <w:szCs w:val="22"/>
          <w:lang w:val="sr-Latn-ME"/>
        </w:rPr>
        <w:t xml:space="preserve">4.4 i 6.6). </w:t>
      </w:r>
    </w:p>
    <w:p w14:paraId="22B34D40" w14:textId="3AC63CF7" w:rsidR="00F3726F" w:rsidRPr="00F45A6E" w:rsidRDefault="005F1154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lastRenderedPageBreak/>
        <w:t>Za u</w:t>
      </w:r>
      <w:r w:rsidR="00553303" w:rsidRPr="00F45A6E">
        <w:rPr>
          <w:szCs w:val="22"/>
          <w:lang w:val="sr-Latn-ME"/>
        </w:rPr>
        <w:t>putstvo</w:t>
      </w:r>
      <w:r w:rsidRPr="00F45A6E">
        <w:rPr>
          <w:szCs w:val="22"/>
          <w:lang w:val="sr-Latn-ME"/>
        </w:rPr>
        <w:t xml:space="preserve"> o rekonstituciji i raz</w:t>
      </w:r>
      <w:r w:rsidR="00344431" w:rsidRPr="00F45A6E">
        <w:rPr>
          <w:szCs w:val="22"/>
          <w:lang w:val="sr-Latn-ME"/>
        </w:rPr>
        <w:t>blaži</w:t>
      </w:r>
      <w:r w:rsidRPr="00F45A6E">
        <w:rPr>
          <w:szCs w:val="22"/>
          <w:lang w:val="sr-Latn-ME"/>
        </w:rPr>
        <w:t xml:space="preserve">vanju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>a pre prim</w:t>
      </w:r>
      <w:r w:rsidR="000019A0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ene </w:t>
      </w:r>
      <w:r w:rsidR="00376F1D" w:rsidRPr="00F45A6E">
        <w:rPr>
          <w:szCs w:val="22"/>
          <w:lang w:val="sr-Latn-ME"/>
        </w:rPr>
        <w:t>pogledati dio</w:t>
      </w:r>
      <w:r w:rsidR="000019A0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6.6.</w:t>
      </w:r>
    </w:p>
    <w:p w14:paraId="63DB7450" w14:textId="77777777" w:rsidR="006E2A3F" w:rsidRPr="00F45A6E" w:rsidRDefault="006E2A3F" w:rsidP="003A690C">
      <w:pPr>
        <w:rPr>
          <w:szCs w:val="22"/>
          <w:lang w:val="sr-Latn-ME"/>
        </w:rPr>
      </w:pPr>
    </w:p>
    <w:p w14:paraId="43C1FDA5" w14:textId="77777777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4.3. Kontraindikacije</w:t>
      </w:r>
    </w:p>
    <w:p w14:paraId="042C828E" w14:textId="77777777" w:rsidR="00240422" w:rsidRPr="00F45A6E" w:rsidRDefault="00240422" w:rsidP="003A690C">
      <w:pPr>
        <w:rPr>
          <w:b/>
          <w:bCs/>
          <w:szCs w:val="22"/>
          <w:lang w:val="sr-Latn-ME"/>
        </w:rPr>
      </w:pPr>
    </w:p>
    <w:p w14:paraId="0D527857" w14:textId="47D7314C" w:rsidR="000155A6" w:rsidRPr="00F45A6E" w:rsidRDefault="003A053C" w:rsidP="003A690C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F45A6E">
        <w:rPr>
          <w:szCs w:val="22"/>
          <w:lang w:val="sr-Latn-ME"/>
        </w:rPr>
        <w:t>Preos</w:t>
      </w:r>
      <w:r w:rsidR="000019A0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etljivost na aktivnu supstancu ili neku od pomoćnih supstanci navedenih u </w:t>
      </w:r>
      <w:r w:rsidR="000019A0" w:rsidRPr="00F45A6E">
        <w:rPr>
          <w:szCs w:val="22"/>
          <w:lang w:val="sr-Latn-ME"/>
        </w:rPr>
        <w:t>dijelu</w:t>
      </w:r>
      <w:r w:rsidRPr="00F45A6E">
        <w:rPr>
          <w:szCs w:val="22"/>
          <w:lang w:val="sr-Latn-ME"/>
        </w:rPr>
        <w:t xml:space="preserve"> 6.1.</w:t>
      </w:r>
    </w:p>
    <w:p w14:paraId="5CE5CCD1" w14:textId="47744522" w:rsidR="000155A6" w:rsidRPr="00F45A6E" w:rsidRDefault="00FB134A" w:rsidP="003A690C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F45A6E">
        <w:rPr>
          <w:szCs w:val="22"/>
          <w:lang w:val="sr-Latn-ME"/>
        </w:rPr>
        <w:t>Isto</w:t>
      </w:r>
      <w:r w:rsidR="00CB51D2" w:rsidRPr="00F45A6E">
        <w:rPr>
          <w:szCs w:val="22"/>
          <w:lang w:val="sr-Latn-ME"/>
        </w:rPr>
        <w:t>vremena</w:t>
      </w:r>
      <w:r w:rsidRPr="00F45A6E">
        <w:rPr>
          <w:szCs w:val="22"/>
          <w:lang w:val="sr-Latn-ME"/>
        </w:rPr>
        <w:t xml:space="preserve"> ozbiljna ili nekontroli</w:t>
      </w:r>
      <w:r w:rsidR="00CB51D2" w:rsidRPr="00F45A6E">
        <w:rPr>
          <w:szCs w:val="22"/>
          <w:lang w:val="sr-Latn-ME"/>
        </w:rPr>
        <w:t>s</w:t>
      </w:r>
      <w:r w:rsidRPr="00F45A6E">
        <w:rPr>
          <w:szCs w:val="22"/>
          <w:lang w:val="sr-Latn-ME"/>
        </w:rPr>
        <w:t xml:space="preserve">ana infekcija. </w:t>
      </w:r>
    </w:p>
    <w:p w14:paraId="015D6FF9" w14:textId="258B1B9C" w:rsidR="000155A6" w:rsidRPr="00F45A6E" w:rsidRDefault="00FB134A" w:rsidP="003A690C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F45A6E">
        <w:rPr>
          <w:szCs w:val="22"/>
          <w:lang w:val="sr-Latn-ME"/>
        </w:rPr>
        <w:t>Dojenje (</w:t>
      </w:r>
      <w:r w:rsidR="00376F1D" w:rsidRPr="00F45A6E">
        <w:rPr>
          <w:szCs w:val="22"/>
          <w:lang w:val="sr-Latn-ME"/>
        </w:rPr>
        <w:t>pogledati dio</w:t>
      </w:r>
      <w:r w:rsidR="000019A0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 xml:space="preserve">4.6). </w:t>
      </w:r>
    </w:p>
    <w:p w14:paraId="72B383AB" w14:textId="64AEF1D5" w:rsidR="00CE09F3" w:rsidRPr="00F45A6E" w:rsidRDefault="00FB134A" w:rsidP="003A690C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F45A6E">
        <w:rPr>
          <w:szCs w:val="22"/>
          <w:lang w:val="sr-Latn-ME"/>
        </w:rPr>
        <w:t>Kombinacija s</w:t>
      </w:r>
      <w:r w:rsidR="00CB51D2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</w:t>
      </w:r>
      <w:r w:rsidR="00CC77D9" w:rsidRPr="00F45A6E">
        <w:rPr>
          <w:szCs w:val="22"/>
          <w:lang w:val="sr-Latn-ME"/>
        </w:rPr>
        <w:t>vakcinom</w:t>
      </w:r>
      <w:r w:rsidRPr="00F45A6E">
        <w:rPr>
          <w:szCs w:val="22"/>
          <w:lang w:val="sr-Latn-ME"/>
        </w:rPr>
        <w:t xml:space="preserve"> protiv </w:t>
      </w:r>
      <w:r w:rsidR="00CC77D9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ute groznice (</w:t>
      </w:r>
      <w:r w:rsidR="00376F1D" w:rsidRPr="00F45A6E">
        <w:rPr>
          <w:szCs w:val="22"/>
          <w:lang w:val="sr-Latn-ME"/>
        </w:rPr>
        <w:t>pogledati dio</w:t>
      </w:r>
      <w:r w:rsidR="000019A0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 xml:space="preserve">4.4). </w:t>
      </w:r>
    </w:p>
    <w:p w14:paraId="6BCF24E4" w14:textId="77777777" w:rsidR="00CE09F3" w:rsidRPr="00F45A6E" w:rsidRDefault="00CE09F3" w:rsidP="003A690C">
      <w:pPr>
        <w:rPr>
          <w:szCs w:val="22"/>
          <w:lang w:val="sr-Latn-ME"/>
        </w:rPr>
      </w:pPr>
    </w:p>
    <w:p w14:paraId="04C71CB8" w14:textId="6590D49E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4.4. Posebna upozorenja i m</w:t>
      </w:r>
      <w:r w:rsidR="00E43642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 xml:space="preserve">ere opreza pri upotrebi </w:t>
      </w:r>
      <w:r w:rsidR="005C3738" w:rsidRPr="00F45A6E">
        <w:rPr>
          <w:b/>
          <w:bCs/>
          <w:szCs w:val="22"/>
          <w:lang w:val="sr-Latn-ME"/>
        </w:rPr>
        <w:t>lijek</w:t>
      </w:r>
      <w:r w:rsidRPr="00F45A6E">
        <w:rPr>
          <w:b/>
          <w:bCs/>
          <w:szCs w:val="22"/>
          <w:lang w:val="sr-Latn-ME"/>
        </w:rPr>
        <w:t>a</w:t>
      </w:r>
    </w:p>
    <w:p w14:paraId="65A562E2" w14:textId="77777777" w:rsidR="00240422" w:rsidRPr="00F45A6E" w:rsidRDefault="00240422" w:rsidP="003A690C">
      <w:pPr>
        <w:rPr>
          <w:b/>
          <w:bCs/>
          <w:szCs w:val="22"/>
          <w:lang w:val="sr-Latn-ME"/>
        </w:rPr>
      </w:pPr>
    </w:p>
    <w:p w14:paraId="585A5D22" w14:textId="77777777" w:rsidR="0044072E" w:rsidRPr="00F45A6E" w:rsidRDefault="0044072E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Oštećenje funkcije jetre </w:t>
      </w:r>
    </w:p>
    <w:p w14:paraId="1DB3D62B" w14:textId="201A151A" w:rsidR="0044072E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Da bi započeli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e </w:t>
      </w:r>
      <w:r w:rsidR="00794232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</w:t>
      </w:r>
      <w:r w:rsidR="00794232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 xml:space="preserve"> </w:t>
      </w:r>
      <w:r w:rsidR="00CC77D9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moraju ispunjavati specifične kriterij</w:t>
      </w:r>
      <w:r w:rsidR="00CC77D9" w:rsidRPr="00F45A6E">
        <w:rPr>
          <w:sz w:val="22"/>
          <w:szCs w:val="22"/>
          <w:lang w:val="sr-Latn-ME"/>
        </w:rPr>
        <w:t>ume</w:t>
      </w:r>
      <w:r w:rsidRPr="00F45A6E">
        <w:rPr>
          <w:sz w:val="22"/>
          <w:szCs w:val="22"/>
          <w:lang w:val="sr-Latn-ME"/>
        </w:rPr>
        <w:t xml:space="preserve"> za parametre funkcije</w:t>
      </w:r>
      <w:r w:rsidR="0034587E" w:rsidRPr="00F45A6E">
        <w:rPr>
          <w:sz w:val="22"/>
          <w:szCs w:val="22"/>
          <w:lang w:val="sr-Latn-ME"/>
        </w:rPr>
        <w:t xml:space="preserve"> jetre</w:t>
      </w:r>
      <w:r w:rsidRPr="00F45A6E">
        <w:rPr>
          <w:sz w:val="22"/>
          <w:szCs w:val="22"/>
          <w:lang w:val="sr-Latn-ME"/>
        </w:rPr>
        <w:t>. Budući da je sistemska izlo</w:t>
      </w:r>
      <w:r w:rsidR="00CC77D9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enost trabektedinu u proseku </w:t>
      </w:r>
      <w:r w:rsidR="0034587E" w:rsidRPr="00F45A6E">
        <w:rPr>
          <w:sz w:val="22"/>
          <w:szCs w:val="22"/>
          <w:lang w:val="sr-Latn-ME"/>
        </w:rPr>
        <w:t>približno</w:t>
      </w:r>
      <w:r w:rsidRPr="00F45A6E">
        <w:rPr>
          <w:sz w:val="22"/>
          <w:szCs w:val="22"/>
          <w:lang w:val="sr-Latn-ME"/>
        </w:rPr>
        <w:t xml:space="preserve"> </w:t>
      </w:r>
      <w:r w:rsidR="00CC77D9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>dvostručena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5.2) zbog oštećenja funkcije jetre </w:t>
      </w:r>
      <w:r w:rsidR="0034587E" w:rsidRPr="00F45A6E">
        <w:rPr>
          <w:sz w:val="22"/>
          <w:szCs w:val="22"/>
          <w:lang w:val="sr-Latn-ME"/>
        </w:rPr>
        <w:t>pa</w:t>
      </w:r>
      <w:r w:rsidRPr="00F45A6E">
        <w:rPr>
          <w:sz w:val="22"/>
          <w:szCs w:val="22"/>
          <w:lang w:val="sr-Latn-ME"/>
        </w:rPr>
        <w:t xml:space="preserve"> bi </w:t>
      </w:r>
      <w:r w:rsidR="005B0FE7" w:rsidRPr="00F45A6E">
        <w:rPr>
          <w:sz w:val="22"/>
          <w:szCs w:val="22"/>
          <w:lang w:val="sr-Latn-ME"/>
        </w:rPr>
        <w:t>iz tog razloga</w:t>
      </w:r>
      <w:r w:rsidRPr="00F45A6E">
        <w:rPr>
          <w:sz w:val="22"/>
          <w:szCs w:val="22"/>
          <w:lang w:val="sr-Latn-ME"/>
        </w:rPr>
        <w:t xml:space="preserve"> i rizik od toksičnosti mogao biti povećan, </w:t>
      </w:r>
      <w:r w:rsidR="005B0FE7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s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klinički značajn</w:t>
      </w:r>
      <w:r w:rsidR="0034587E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m </w:t>
      </w:r>
      <w:r w:rsidR="0034587E" w:rsidRPr="00F45A6E">
        <w:rPr>
          <w:sz w:val="22"/>
          <w:szCs w:val="22"/>
          <w:lang w:val="sr-Latn-ME"/>
        </w:rPr>
        <w:t>oboljenjem</w:t>
      </w:r>
      <w:r w:rsidRPr="00F45A6E">
        <w:rPr>
          <w:sz w:val="22"/>
          <w:szCs w:val="22"/>
          <w:lang w:val="sr-Latn-ME"/>
        </w:rPr>
        <w:t xml:space="preserve"> jetre, kao što je aktivni </w:t>
      </w:r>
      <w:r w:rsidR="005B0FE7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 xml:space="preserve">ronični hepatitis, moraju se </w:t>
      </w:r>
      <w:r w:rsidR="005B0FE7" w:rsidRPr="00F45A6E">
        <w:rPr>
          <w:sz w:val="22"/>
          <w:szCs w:val="22"/>
          <w:lang w:val="sr-Latn-ME"/>
        </w:rPr>
        <w:t>pažljivo</w:t>
      </w:r>
      <w:r w:rsidRPr="00F45A6E">
        <w:rPr>
          <w:sz w:val="22"/>
          <w:szCs w:val="22"/>
          <w:lang w:val="sr-Latn-ME"/>
        </w:rPr>
        <w:t xml:space="preserve"> nadzirati, a doza se mora po potrebi prilagoditi. </w:t>
      </w:r>
      <w:r w:rsidR="005B0FE7" w:rsidRPr="00F45A6E">
        <w:rPr>
          <w:sz w:val="22"/>
          <w:szCs w:val="22"/>
          <w:lang w:val="sr-Latn-ME"/>
        </w:rPr>
        <w:t xml:space="preserve">Pacijenti </w:t>
      </w:r>
      <w:r w:rsidRPr="00F45A6E">
        <w:rPr>
          <w:sz w:val="22"/>
          <w:szCs w:val="22"/>
          <w:lang w:val="sr-Latn-ME"/>
        </w:rPr>
        <w:t>s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34587E" w:rsidRPr="00F45A6E">
        <w:rPr>
          <w:sz w:val="22"/>
          <w:szCs w:val="22"/>
          <w:lang w:val="sr-Latn-ME"/>
        </w:rPr>
        <w:t>povećanom koncentracij</w:t>
      </w:r>
      <w:r w:rsidR="009C30E1" w:rsidRPr="00F45A6E">
        <w:rPr>
          <w:sz w:val="22"/>
          <w:szCs w:val="22"/>
          <w:lang w:val="sr-Latn-ME"/>
        </w:rPr>
        <w:t>om</w:t>
      </w:r>
      <w:r w:rsidR="0034587E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bilirubin</w:t>
      </w:r>
      <w:r w:rsidR="009C30E1" w:rsidRPr="00F45A6E">
        <w:rPr>
          <w:sz w:val="22"/>
          <w:szCs w:val="22"/>
          <w:lang w:val="sr-Latn-ME"/>
        </w:rPr>
        <w:t>a u serumu</w:t>
      </w:r>
      <w:r w:rsidRPr="00F45A6E">
        <w:rPr>
          <w:sz w:val="22"/>
          <w:szCs w:val="22"/>
          <w:lang w:val="sr-Latn-ME"/>
        </w:rPr>
        <w:t xml:space="preserve"> ne sm</w:t>
      </w:r>
      <w:r w:rsidR="000019A0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ju se l</w:t>
      </w:r>
      <w:r w:rsidR="000019A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ečiti trabektedinom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</w:p>
    <w:p w14:paraId="353392BD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72BE9EB" w14:textId="77777777" w:rsidR="0044072E" w:rsidRPr="00F45A6E" w:rsidRDefault="0044072E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Oštećenje funkcije bubrega </w:t>
      </w:r>
    </w:p>
    <w:p w14:paraId="0DA1F48E" w14:textId="6B5EBE95" w:rsidR="0044072E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Klirens kreatinina se mora pratiti pre i t</w:t>
      </w:r>
      <w:r w:rsidR="005B0FE7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a. Monoterapija </w:t>
      </w:r>
      <w:r w:rsidR="00196294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</w:t>
      </w:r>
      <w:r w:rsidR="00196294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 xml:space="preserve"> i kombin</w:t>
      </w:r>
      <w:r w:rsidR="005B0FE7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>ani re</w:t>
      </w:r>
      <w:r w:rsidR="005B0FE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imi ne sm</w:t>
      </w:r>
      <w:r w:rsidR="000019A0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ju se koristiti kod </w:t>
      </w:r>
      <w:r w:rsidR="005B0FE7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koji imaju klirens kreatinina &lt; 30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/min, odnosno &lt; 60 m</w:t>
      </w:r>
      <w:r w:rsidR="00E101E2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/min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</w:p>
    <w:p w14:paraId="5A972D2C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92FB58B" w14:textId="77777777" w:rsidR="0044072E" w:rsidRPr="00F45A6E" w:rsidRDefault="0044072E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Neutropenija i trombocitopenija </w:t>
      </w:r>
    </w:p>
    <w:p w14:paraId="565453AF" w14:textId="51C0294F" w:rsidR="0044072E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Neutropenija i tromocitopenija 3. ili 4. st</w:t>
      </w:r>
      <w:r w:rsidR="005B0FE7" w:rsidRPr="00F45A6E">
        <w:rPr>
          <w:sz w:val="22"/>
          <w:szCs w:val="22"/>
          <w:lang w:val="sr-Latn-ME"/>
        </w:rPr>
        <w:t>epena</w:t>
      </w:r>
      <w:r w:rsidRPr="00F45A6E">
        <w:rPr>
          <w:sz w:val="22"/>
          <w:szCs w:val="22"/>
          <w:lang w:val="sr-Latn-ME"/>
        </w:rPr>
        <w:t xml:space="preserve"> povezane s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terapijom </w:t>
      </w:r>
      <w:r w:rsidR="00794232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</w:t>
      </w:r>
      <w:r w:rsidR="00794232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>, zab</w:t>
      </w:r>
      <w:r w:rsidR="005B0FE7" w:rsidRPr="00F45A6E">
        <w:rPr>
          <w:sz w:val="22"/>
          <w:szCs w:val="22"/>
          <w:lang w:val="sr-Latn-ME"/>
        </w:rPr>
        <w:t>elež</w:t>
      </w:r>
      <w:r w:rsidRPr="00F45A6E">
        <w:rPr>
          <w:sz w:val="22"/>
          <w:szCs w:val="22"/>
          <w:lang w:val="sr-Latn-ME"/>
        </w:rPr>
        <w:t>ene su vrlo često. Kompletn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krv</w:t>
      </w:r>
      <w:r w:rsidR="005B0FE7" w:rsidRPr="00F45A6E">
        <w:rPr>
          <w:sz w:val="22"/>
          <w:szCs w:val="22"/>
          <w:lang w:val="sr-Latn-ME"/>
        </w:rPr>
        <w:t>na</w:t>
      </w:r>
      <w:r w:rsidRPr="00F45A6E">
        <w:rPr>
          <w:sz w:val="22"/>
          <w:szCs w:val="22"/>
          <w:lang w:val="sr-Latn-ME"/>
        </w:rPr>
        <w:t xml:space="preserve"> slik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, uključujući diferencijalnu krvnu sliku i broj trombocita, mora se ispitati na početku, jednom </w:t>
      </w:r>
      <w:r w:rsidR="005B0FE7" w:rsidRPr="00F45A6E">
        <w:rPr>
          <w:sz w:val="22"/>
          <w:szCs w:val="22"/>
          <w:lang w:val="sr-Latn-ME"/>
        </w:rPr>
        <w:t>nedeljn</w:t>
      </w:r>
      <w:r w:rsidRPr="00F45A6E">
        <w:rPr>
          <w:sz w:val="22"/>
          <w:szCs w:val="22"/>
          <w:lang w:val="sr-Latn-ME"/>
        </w:rPr>
        <w:t xml:space="preserve">o u prva dva ciklusa i </w:t>
      </w:r>
      <w:r w:rsidR="005B0FE7" w:rsidRPr="00F45A6E">
        <w:rPr>
          <w:sz w:val="22"/>
          <w:szCs w:val="22"/>
          <w:lang w:val="sr-Latn-ME"/>
        </w:rPr>
        <w:t>zatim</w:t>
      </w:r>
      <w:r w:rsidRPr="00F45A6E">
        <w:rPr>
          <w:sz w:val="22"/>
          <w:szCs w:val="22"/>
          <w:lang w:val="sr-Latn-ME"/>
        </w:rPr>
        <w:t xml:space="preserve"> jednom izme</w:t>
      </w:r>
      <w:r w:rsidR="005B0FE7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ciklusa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  <w:r w:rsidR="005B0FE7" w:rsidRPr="00F45A6E">
        <w:rPr>
          <w:sz w:val="22"/>
          <w:szCs w:val="22"/>
          <w:lang w:val="sr-Latn-ME"/>
        </w:rPr>
        <w:t xml:space="preserve">Pacijenti </w:t>
      </w:r>
      <w:r w:rsidRPr="00F45A6E">
        <w:rPr>
          <w:sz w:val="22"/>
          <w:szCs w:val="22"/>
          <w:lang w:val="sr-Latn-ME"/>
        </w:rPr>
        <w:t>ko</w:t>
      </w:r>
      <w:r w:rsidR="009C30E1" w:rsidRPr="00F45A6E">
        <w:rPr>
          <w:sz w:val="22"/>
          <w:szCs w:val="22"/>
          <w:lang w:val="sr-Latn-ME"/>
        </w:rPr>
        <w:t>d kojih dođe do povećanja</w:t>
      </w:r>
      <w:r w:rsidRPr="00F45A6E">
        <w:rPr>
          <w:sz w:val="22"/>
          <w:szCs w:val="22"/>
          <w:lang w:val="sr-Latn-ME"/>
        </w:rPr>
        <w:t xml:space="preserve"> </w:t>
      </w:r>
      <w:r w:rsidR="009C30E1" w:rsidRPr="00F45A6E">
        <w:rPr>
          <w:sz w:val="22"/>
          <w:szCs w:val="22"/>
          <w:lang w:val="sr-Latn-ME"/>
        </w:rPr>
        <w:t>t</w:t>
      </w:r>
      <w:r w:rsidR="00827398" w:rsidRPr="00F45A6E">
        <w:rPr>
          <w:sz w:val="22"/>
          <w:szCs w:val="22"/>
          <w:lang w:val="sr-Latn-ME"/>
        </w:rPr>
        <w:t>j</w:t>
      </w:r>
      <w:r w:rsidR="009C30E1" w:rsidRPr="00F45A6E">
        <w:rPr>
          <w:sz w:val="22"/>
          <w:szCs w:val="22"/>
          <w:lang w:val="sr-Latn-ME"/>
        </w:rPr>
        <w:t>elesne</w:t>
      </w:r>
      <w:r w:rsidRPr="00F45A6E">
        <w:rPr>
          <w:sz w:val="22"/>
          <w:szCs w:val="22"/>
          <w:lang w:val="sr-Latn-ME"/>
        </w:rPr>
        <w:t xml:space="preserve"> </w:t>
      </w:r>
      <w:r w:rsidR="005B0FE7" w:rsidRPr="00F45A6E">
        <w:rPr>
          <w:sz w:val="22"/>
          <w:szCs w:val="22"/>
          <w:lang w:val="sr-Latn-ME"/>
        </w:rPr>
        <w:t>temperatur</w:t>
      </w:r>
      <w:r w:rsidR="009C30E1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moraju odmah potra</w:t>
      </w:r>
      <w:r w:rsidR="005B0FE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iti </w:t>
      </w:r>
      <w:r w:rsidR="005C3738" w:rsidRPr="00F45A6E">
        <w:rPr>
          <w:sz w:val="22"/>
          <w:szCs w:val="22"/>
          <w:lang w:val="sr-Latn-ME"/>
        </w:rPr>
        <w:t>ljekar</w:t>
      </w:r>
      <w:r w:rsidR="005B0FE7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ku pomoć. U </w:t>
      </w:r>
      <w:r w:rsidR="009C30E1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>om slučaju mora se odmah započeti s</w:t>
      </w:r>
      <w:r w:rsidR="005B0FE7" w:rsidRPr="00F45A6E">
        <w:rPr>
          <w:sz w:val="22"/>
          <w:szCs w:val="22"/>
          <w:lang w:val="sr-Latn-ME"/>
        </w:rPr>
        <w:t xml:space="preserve">a </w:t>
      </w:r>
      <w:r w:rsidRPr="00F45A6E">
        <w:rPr>
          <w:sz w:val="22"/>
          <w:szCs w:val="22"/>
          <w:lang w:val="sr-Latn-ME"/>
        </w:rPr>
        <w:t>aktivn</w:t>
      </w:r>
      <w:r w:rsidR="009C30E1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m </w:t>
      </w:r>
      <w:r w:rsidR="009C30E1" w:rsidRPr="00F45A6E">
        <w:rPr>
          <w:sz w:val="22"/>
          <w:szCs w:val="22"/>
          <w:lang w:val="sr-Latn-ME"/>
        </w:rPr>
        <w:t>suportivnom terapijom</w:t>
      </w:r>
      <w:r w:rsidRPr="00F45A6E">
        <w:rPr>
          <w:sz w:val="22"/>
          <w:szCs w:val="22"/>
          <w:lang w:val="sr-Latn-ME"/>
        </w:rPr>
        <w:t xml:space="preserve">. </w:t>
      </w:r>
    </w:p>
    <w:p w14:paraId="0E3575C4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C1B57A2" w14:textId="21BF9013" w:rsidR="0044072E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Trabektedin se ne sm</w:t>
      </w:r>
      <w:r w:rsidR="000019A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primenjivati kod </w:t>
      </w:r>
      <w:r w:rsidR="005B0FE7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5B0F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vr</w:t>
      </w:r>
      <w:r w:rsidR="00827398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ednošću neutrofila manjom od 1500 </w:t>
      </w:r>
      <w:r w:rsidR="005B0FE7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>/mm</w:t>
      </w:r>
      <w:r w:rsidRPr="00F45A6E">
        <w:rPr>
          <w:sz w:val="22"/>
          <w:szCs w:val="22"/>
          <w:vertAlign w:val="superscript"/>
          <w:lang w:val="sr-Latn-ME"/>
        </w:rPr>
        <w:t>3</w:t>
      </w:r>
      <w:r w:rsidRPr="00F45A6E">
        <w:rPr>
          <w:sz w:val="22"/>
          <w:szCs w:val="22"/>
          <w:lang w:val="sr-Latn-ME"/>
        </w:rPr>
        <w:t xml:space="preserve"> i brojem trombocita manjim od 100 000 </w:t>
      </w:r>
      <w:r w:rsidR="005B0FE7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>/mm</w:t>
      </w:r>
      <w:r w:rsidRPr="00F45A6E">
        <w:rPr>
          <w:sz w:val="22"/>
          <w:szCs w:val="22"/>
          <w:vertAlign w:val="superscript"/>
          <w:lang w:val="sr-Latn-ME"/>
        </w:rPr>
        <w:t>3</w:t>
      </w:r>
      <w:r w:rsidR="003047D5" w:rsidRPr="00F45A6E">
        <w:rPr>
          <w:sz w:val="22"/>
          <w:szCs w:val="22"/>
          <w:lang w:val="sr-Latn-ME"/>
        </w:rPr>
        <w:t xml:space="preserve"> pr</w:t>
      </w:r>
      <w:r w:rsidR="000019A0" w:rsidRPr="00F45A6E">
        <w:rPr>
          <w:sz w:val="22"/>
          <w:szCs w:val="22"/>
          <w:lang w:val="sr-Latn-ME"/>
        </w:rPr>
        <w:t>ij</w:t>
      </w:r>
      <w:r w:rsidR="003047D5" w:rsidRPr="00F45A6E">
        <w:rPr>
          <w:sz w:val="22"/>
          <w:szCs w:val="22"/>
          <w:lang w:val="sr-Latn-ME"/>
        </w:rPr>
        <w:t xml:space="preserve">e početka </w:t>
      </w:r>
      <w:r w:rsidR="00031EC5" w:rsidRPr="00F45A6E">
        <w:rPr>
          <w:sz w:val="22"/>
          <w:szCs w:val="22"/>
          <w:lang w:val="sr-Latn-ME"/>
        </w:rPr>
        <w:t>liječenj</w:t>
      </w:r>
      <w:r w:rsidR="003047D5" w:rsidRPr="00F45A6E">
        <w:rPr>
          <w:sz w:val="22"/>
          <w:szCs w:val="22"/>
          <w:lang w:val="sr-Latn-ME"/>
        </w:rPr>
        <w:t>a.</w:t>
      </w:r>
      <w:r w:rsidRPr="00F45A6E">
        <w:rPr>
          <w:sz w:val="22"/>
          <w:szCs w:val="22"/>
          <w:lang w:val="sr-Latn-ME"/>
        </w:rPr>
        <w:t xml:space="preserve"> U slučaju teške neutropenije (ABN &lt; 500 </w:t>
      </w:r>
      <w:r w:rsidR="005B0FE7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>/mm</w:t>
      </w:r>
      <w:r w:rsidRPr="00F45A6E">
        <w:rPr>
          <w:sz w:val="22"/>
          <w:szCs w:val="22"/>
          <w:vertAlign w:val="superscript"/>
          <w:lang w:val="sr-Latn-ME"/>
        </w:rPr>
        <w:t>3</w:t>
      </w:r>
      <w:r w:rsidRPr="00F45A6E">
        <w:rPr>
          <w:sz w:val="22"/>
          <w:szCs w:val="22"/>
          <w:lang w:val="sr-Latn-ME"/>
        </w:rPr>
        <w:t>) koja traje više od 5 dana ili je povezana s</w:t>
      </w:r>
      <w:r w:rsidR="005B0FE7" w:rsidRPr="00F45A6E">
        <w:rPr>
          <w:sz w:val="22"/>
          <w:szCs w:val="22"/>
          <w:lang w:val="sr-Latn-ME"/>
        </w:rPr>
        <w:t xml:space="preserve">a </w:t>
      </w:r>
      <w:r w:rsidR="003047D5" w:rsidRPr="00F45A6E">
        <w:rPr>
          <w:sz w:val="22"/>
          <w:szCs w:val="22"/>
          <w:lang w:val="sr-Latn-ME"/>
        </w:rPr>
        <w:t>povećanom t</w:t>
      </w:r>
      <w:r w:rsidR="00827398" w:rsidRPr="00F45A6E">
        <w:rPr>
          <w:sz w:val="22"/>
          <w:szCs w:val="22"/>
          <w:lang w:val="sr-Latn-ME"/>
        </w:rPr>
        <w:t>j</w:t>
      </w:r>
      <w:r w:rsidR="003047D5" w:rsidRPr="00F45A6E">
        <w:rPr>
          <w:sz w:val="22"/>
          <w:szCs w:val="22"/>
          <w:lang w:val="sr-Latn-ME"/>
        </w:rPr>
        <w:t>elesnom temperaturom</w:t>
      </w:r>
      <w:r w:rsidR="005B0FE7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ili infekcijom, preporučuje se smanjenje doze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</w:p>
    <w:p w14:paraId="2682F495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FFDD3BE" w14:textId="77777777" w:rsidR="0044072E" w:rsidRPr="00F45A6E" w:rsidRDefault="0044072E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Mučnina i povraćanje </w:t>
      </w:r>
    </w:p>
    <w:p w14:paraId="07B0FD76" w14:textId="1A189EE1" w:rsidR="0044072E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Antiemetička profilaksa kortikosteroidima kao što je deksametazon mora se </w:t>
      </w:r>
      <w:r w:rsidR="008E59DE" w:rsidRPr="00F45A6E">
        <w:rPr>
          <w:sz w:val="22"/>
          <w:szCs w:val="22"/>
          <w:lang w:val="sr-Latn-ME"/>
        </w:rPr>
        <w:t>primijeniti</w:t>
      </w:r>
      <w:r w:rsidRPr="00F45A6E">
        <w:rPr>
          <w:sz w:val="22"/>
          <w:szCs w:val="22"/>
          <w:lang w:val="sr-Latn-ME"/>
        </w:rPr>
        <w:t xml:space="preserve"> kod svih </w:t>
      </w:r>
      <w:r w:rsidR="005B0FE7" w:rsidRPr="00F45A6E">
        <w:rPr>
          <w:sz w:val="22"/>
          <w:szCs w:val="22"/>
          <w:lang w:val="sr-Latn-ME"/>
        </w:rPr>
        <w:t xml:space="preserve">pacijenata </w:t>
      </w:r>
      <w:r w:rsidRPr="00F45A6E">
        <w:rPr>
          <w:sz w:val="22"/>
          <w:szCs w:val="22"/>
          <w:lang w:val="sr-Latn-ME"/>
        </w:rPr>
        <w:t>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</w:p>
    <w:p w14:paraId="227B185C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BF85EC0" w14:textId="225D78DC" w:rsidR="0044072E" w:rsidRPr="00F45A6E" w:rsidRDefault="0044072E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Rabdomioliza i </w:t>
      </w:r>
      <w:r w:rsidR="00FF17DC" w:rsidRPr="00F45A6E">
        <w:rPr>
          <w:sz w:val="22"/>
          <w:szCs w:val="22"/>
          <w:u w:val="single"/>
          <w:lang w:val="sr-Latn-ME"/>
        </w:rPr>
        <w:t>izrazito</w:t>
      </w:r>
      <w:r w:rsidRPr="00F45A6E">
        <w:rPr>
          <w:sz w:val="22"/>
          <w:szCs w:val="22"/>
          <w:u w:val="single"/>
          <w:lang w:val="sr-Latn-ME"/>
        </w:rPr>
        <w:t xml:space="preserve"> pov</w:t>
      </w:r>
      <w:r w:rsidR="00FF17DC" w:rsidRPr="00F45A6E">
        <w:rPr>
          <w:sz w:val="22"/>
          <w:szCs w:val="22"/>
          <w:u w:val="single"/>
          <w:lang w:val="sr-Latn-ME"/>
        </w:rPr>
        <w:t xml:space="preserve">ećana </w:t>
      </w:r>
      <w:r w:rsidR="008C26C1" w:rsidRPr="00F45A6E">
        <w:rPr>
          <w:sz w:val="22"/>
          <w:szCs w:val="22"/>
          <w:u w:val="single"/>
          <w:lang w:val="sr-Latn-ME"/>
        </w:rPr>
        <w:t>vrijednost</w:t>
      </w:r>
      <w:r w:rsidRPr="00F45A6E">
        <w:rPr>
          <w:sz w:val="22"/>
          <w:szCs w:val="22"/>
          <w:u w:val="single"/>
          <w:lang w:val="sr-Latn-ME"/>
        </w:rPr>
        <w:t xml:space="preserve"> CPK (&gt; 5 x GGN) </w:t>
      </w:r>
    </w:p>
    <w:p w14:paraId="54373CCE" w14:textId="3EF53325" w:rsidR="00190BF3" w:rsidRPr="00F45A6E" w:rsidRDefault="0044072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Trabektedin se ne sm</w:t>
      </w:r>
      <w:r w:rsidR="000019A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koristiti kod </w:t>
      </w:r>
      <w:r w:rsidR="007D4B0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7D4B0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CPK &gt; 2,5 x GGN (</w:t>
      </w:r>
      <w:r w:rsidR="00376F1D" w:rsidRPr="00F45A6E">
        <w:rPr>
          <w:sz w:val="22"/>
          <w:szCs w:val="22"/>
          <w:lang w:val="sr-Latn-ME"/>
        </w:rPr>
        <w:t>pogledati dio</w:t>
      </w:r>
      <w:r w:rsidR="000019A0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Rabdomioliza je prijavljivana </w:t>
      </w:r>
      <w:r w:rsidR="007D4B0C" w:rsidRPr="00F45A6E">
        <w:rPr>
          <w:sz w:val="22"/>
          <w:szCs w:val="22"/>
          <w:lang w:val="sr-Latn-ME"/>
        </w:rPr>
        <w:t>povremeno</w:t>
      </w:r>
      <w:r w:rsidRPr="00F45A6E">
        <w:rPr>
          <w:sz w:val="22"/>
          <w:szCs w:val="22"/>
          <w:lang w:val="sr-Latn-ME"/>
        </w:rPr>
        <w:t>, obično udru</w:t>
      </w:r>
      <w:r w:rsidR="007D4B0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ena s</w:t>
      </w:r>
      <w:r w:rsidR="007D4B0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mijelotoksičnošću, teškim </w:t>
      </w:r>
      <w:r w:rsidR="00FF17DC" w:rsidRPr="00F45A6E">
        <w:rPr>
          <w:sz w:val="22"/>
          <w:szCs w:val="22"/>
          <w:lang w:val="sr-Latn-ME"/>
        </w:rPr>
        <w:t xml:space="preserve">odstupanjima </w:t>
      </w:r>
      <w:r w:rsidRPr="00F45A6E">
        <w:rPr>
          <w:sz w:val="22"/>
          <w:szCs w:val="22"/>
          <w:lang w:val="sr-Latn-ME"/>
        </w:rPr>
        <w:t>testova funkcije</w:t>
      </w:r>
      <w:r w:rsidR="00FF17DC" w:rsidRPr="00F45A6E">
        <w:rPr>
          <w:sz w:val="22"/>
          <w:szCs w:val="22"/>
          <w:lang w:val="sr-Latn-ME"/>
        </w:rPr>
        <w:t xml:space="preserve"> jetre</w:t>
      </w:r>
      <w:r w:rsidRPr="00F45A6E">
        <w:rPr>
          <w:sz w:val="22"/>
          <w:szCs w:val="22"/>
          <w:lang w:val="sr-Latn-ME"/>
        </w:rPr>
        <w:t xml:space="preserve"> i/ili </w:t>
      </w:r>
      <w:r w:rsidR="00FF17DC" w:rsidRPr="00F45A6E">
        <w:rPr>
          <w:sz w:val="22"/>
          <w:szCs w:val="22"/>
          <w:lang w:val="sr-Latn-ME"/>
        </w:rPr>
        <w:t xml:space="preserve">insuficijencijom </w:t>
      </w:r>
      <w:r w:rsidRPr="00F45A6E">
        <w:rPr>
          <w:sz w:val="22"/>
          <w:szCs w:val="22"/>
          <w:lang w:val="sr-Latn-ME"/>
        </w:rPr>
        <w:t xml:space="preserve">bubrega ili većeg broja organa. </w:t>
      </w:r>
      <w:r w:rsidR="00FF17DC" w:rsidRPr="00F45A6E">
        <w:rPr>
          <w:sz w:val="22"/>
          <w:szCs w:val="22"/>
          <w:lang w:val="sr-Latn-ME"/>
        </w:rPr>
        <w:t xml:space="preserve">Zbog </w:t>
      </w:r>
      <w:r w:rsidRPr="00F45A6E">
        <w:rPr>
          <w:sz w:val="22"/>
          <w:szCs w:val="22"/>
          <w:lang w:val="sr-Latn-ME"/>
        </w:rPr>
        <w:t xml:space="preserve">toga, </w:t>
      </w:r>
      <w:r w:rsidR="00FF17DC" w:rsidRPr="00F45A6E">
        <w:rPr>
          <w:sz w:val="22"/>
          <w:szCs w:val="22"/>
          <w:lang w:val="sr-Latn-ME"/>
        </w:rPr>
        <w:t>vr</w:t>
      </w:r>
      <w:r w:rsidR="000019A0" w:rsidRPr="00F45A6E">
        <w:rPr>
          <w:sz w:val="22"/>
          <w:szCs w:val="22"/>
          <w:lang w:val="sr-Latn-ME"/>
        </w:rPr>
        <w:t>ij</w:t>
      </w:r>
      <w:r w:rsidR="00FF17DC" w:rsidRPr="00F45A6E">
        <w:rPr>
          <w:sz w:val="22"/>
          <w:szCs w:val="22"/>
          <w:lang w:val="sr-Latn-ME"/>
        </w:rPr>
        <w:t xml:space="preserve">ednost </w:t>
      </w:r>
      <w:r w:rsidRPr="00F45A6E">
        <w:rPr>
          <w:sz w:val="22"/>
          <w:szCs w:val="22"/>
          <w:lang w:val="sr-Latn-ME"/>
        </w:rPr>
        <w:t xml:space="preserve">CPK se mora </w:t>
      </w:r>
      <w:r w:rsidR="00FF17DC" w:rsidRPr="00F45A6E">
        <w:rPr>
          <w:sz w:val="22"/>
          <w:szCs w:val="22"/>
          <w:lang w:val="sr-Latn-ME"/>
        </w:rPr>
        <w:t xml:space="preserve">pažljivo pratiti </w:t>
      </w:r>
      <w:r w:rsidRPr="00F45A6E">
        <w:rPr>
          <w:sz w:val="22"/>
          <w:szCs w:val="22"/>
          <w:lang w:val="sr-Latn-ME"/>
        </w:rPr>
        <w:t xml:space="preserve">kad god </w:t>
      </w:r>
      <w:r w:rsidR="00190D9A" w:rsidRPr="00F45A6E">
        <w:rPr>
          <w:sz w:val="22"/>
          <w:szCs w:val="22"/>
          <w:lang w:val="sr-Latn-ME"/>
        </w:rPr>
        <w:t>pacijent</w:t>
      </w:r>
      <w:r w:rsidRPr="00F45A6E">
        <w:rPr>
          <w:sz w:val="22"/>
          <w:szCs w:val="22"/>
          <w:lang w:val="sr-Latn-ME"/>
        </w:rPr>
        <w:t xml:space="preserve"> oseti bilo koju od ovih reakcija toksičnosti ili slabost</w:t>
      </w:r>
      <w:r w:rsidR="00190BF3" w:rsidRPr="00F45A6E">
        <w:rPr>
          <w:sz w:val="22"/>
          <w:szCs w:val="22"/>
          <w:lang w:val="sr-Latn-ME"/>
        </w:rPr>
        <w:t xml:space="preserve"> mišića ili bol u mišićima. U slučaju rabdomiolize moraju se odmah uspostaviti </w:t>
      </w:r>
      <w:r w:rsidR="00FF17DC" w:rsidRPr="00F45A6E">
        <w:rPr>
          <w:sz w:val="22"/>
          <w:szCs w:val="22"/>
          <w:lang w:val="sr-Latn-ME"/>
        </w:rPr>
        <w:t xml:space="preserve">suportivne </w:t>
      </w:r>
      <w:r w:rsidR="00190BF3" w:rsidRPr="00F45A6E">
        <w:rPr>
          <w:sz w:val="22"/>
          <w:szCs w:val="22"/>
          <w:lang w:val="sr-Latn-ME"/>
        </w:rPr>
        <w:t>mere kao što su parenteralna hidra</w:t>
      </w:r>
      <w:r w:rsidR="00782D05" w:rsidRPr="00F45A6E">
        <w:rPr>
          <w:sz w:val="22"/>
          <w:szCs w:val="22"/>
          <w:lang w:val="sr-Latn-ME"/>
        </w:rPr>
        <w:t>ta</w:t>
      </w:r>
      <w:r w:rsidR="00190BF3" w:rsidRPr="00F45A6E">
        <w:rPr>
          <w:sz w:val="22"/>
          <w:szCs w:val="22"/>
          <w:lang w:val="sr-Latn-ME"/>
        </w:rPr>
        <w:t xml:space="preserve">cija, alkalizacija </w:t>
      </w:r>
      <w:r w:rsidR="00EB4E77" w:rsidRPr="00F45A6E">
        <w:rPr>
          <w:sz w:val="22"/>
          <w:szCs w:val="22"/>
          <w:lang w:val="sr-Latn-ME"/>
        </w:rPr>
        <w:t xml:space="preserve">urina </w:t>
      </w:r>
      <w:r w:rsidR="00190BF3" w:rsidRPr="00F45A6E">
        <w:rPr>
          <w:sz w:val="22"/>
          <w:szCs w:val="22"/>
          <w:lang w:val="sr-Latn-ME"/>
        </w:rPr>
        <w:t xml:space="preserve">i </w:t>
      </w:r>
      <w:r w:rsidR="00EB4E77" w:rsidRPr="00F45A6E">
        <w:rPr>
          <w:sz w:val="22"/>
          <w:szCs w:val="22"/>
          <w:lang w:val="sr-Latn-ME"/>
        </w:rPr>
        <w:t>hemo</w:t>
      </w:r>
      <w:r w:rsidR="00190BF3" w:rsidRPr="00F45A6E">
        <w:rPr>
          <w:sz w:val="22"/>
          <w:szCs w:val="22"/>
          <w:lang w:val="sr-Latn-ME"/>
        </w:rPr>
        <w:t>dijaliza, kako je indi</w:t>
      </w:r>
      <w:r w:rsidR="00190D9A" w:rsidRPr="00F45A6E">
        <w:rPr>
          <w:sz w:val="22"/>
          <w:szCs w:val="22"/>
          <w:lang w:val="sr-Latn-ME"/>
        </w:rPr>
        <w:t>kova</w:t>
      </w:r>
      <w:r w:rsidR="00190BF3" w:rsidRPr="00F45A6E">
        <w:rPr>
          <w:sz w:val="22"/>
          <w:szCs w:val="22"/>
          <w:lang w:val="sr-Latn-ME"/>
        </w:rPr>
        <w:t xml:space="preserve">no. </w:t>
      </w:r>
      <w:r w:rsidR="00031EC5" w:rsidRPr="00F45A6E">
        <w:rPr>
          <w:sz w:val="22"/>
          <w:szCs w:val="22"/>
          <w:lang w:val="sr-Latn-ME"/>
        </w:rPr>
        <w:t>Liječenj</w:t>
      </w:r>
      <w:r w:rsidR="00190BF3" w:rsidRPr="00F45A6E">
        <w:rPr>
          <w:sz w:val="22"/>
          <w:szCs w:val="22"/>
          <w:lang w:val="sr-Latn-ME"/>
        </w:rPr>
        <w:t xml:space="preserve">e </w:t>
      </w:r>
      <w:r w:rsidR="00794232" w:rsidRPr="00F45A6E">
        <w:rPr>
          <w:sz w:val="22"/>
          <w:szCs w:val="22"/>
          <w:lang w:val="sr-Latn-ME"/>
        </w:rPr>
        <w:t>t</w:t>
      </w:r>
      <w:r w:rsidR="00190BF3" w:rsidRPr="00F45A6E">
        <w:rPr>
          <w:sz w:val="22"/>
          <w:szCs w:val="22"/>
          <w:lang w:val="sr-Latn-ME"/>
        </w:rPr>
        <w:t>rabektedin</w:t>
      </w:r>
      <w:r w:rsidR="00794232" w:rsidRPr="00F45A6E">
        <w:rPr>
          <w:sz w:val="22"/>
          <w:szCs w:val="22"/>
          <w:lang w:val="sr-Latn-ME"/>
        </w:rPr>
        <w:t>om</w:t>
      </w:r>
      <w:r w:rsidR="00190BF3" w:rsidRPr="00F45A6E">
        <w:rPr>
          <w:sz w:val="22"/>
          <w:szCs w:val="22"/>
          <w:lang w:val="sr-Latn-ME"/>
        </w:rPr>
        <w:t xml:space="preserve"> se mora prekinuti dok se </w:t>
      </w:r>
      <w:r w:rsidR="00190D9A" w:rsidRPr="00F45A6E">
        <w:rPr>
          <w:sz w:val="22"/>
          <w:szCs w:val="22"/>
          <w:lang w:val="sr-Latn-ME"/>
        </w:rPr>
        <w:t xml:space="preserve">pacijent </w:t>
      </w:r>
      <w:r w:rsidR="00190BF3" w:rsidRPr="00F45A6E">
        <w:rPr>
          <w:sz w:val="22"/>
          <w:szCs w:val="22"/>
          <w:lang w:val="sr-Latn-ME"/>
        </w:rPr>
        <w:t xml:space="preserve">potpuno ne oporavi. </w:t>
      </w:r>
    </w:p>
    <w:p w14:paraId="23A03E6F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6248978" w14:textId="76F25F31" w:rsidR="00190BF3" w:rsidRPr="00F45A6E" w:rsidRDefault="005C373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Ljekov</w:t>
      </w:r>
      <w:r w:rsidR="00190BF3" w:rsidRPr="00F45A6E">
        <w:rPr>
          <w:sz w:val="22"/>
          <w:szCs w:val="22"/>
          <w:lang w:val="sr-Latn-ME"/>
        </w:rPr>
        <w:t xml:space="preserve">i </w:t>
      </w:r>
      <w:r w:rsidR="00C42B6D" w:rsidRPr="00F45A6E">
        <w:rPr>
          <w:sz w:val="22"/>
          <w:szCs w:val="22"/>
          <w:lang w:val="sr-Latn-ME"/>
        </w:rPr>
        <w:t xml:space="preserve">koji se dovode u </w:t>
      </w:r>
      <w:r w:rsidR="00190BF3" w:rsidRPr="00F45A6E">
        <w:rPr>
          <w:sz w:val="22"/>
          <w:szCs w:val="22"/>
          <w:lang w:val="sr-Latn-ME"/>
        </w:rPr>
        <w:t>vez</w:t>
      </w:r>
      <w:r w:rsidR="00C42B6D" w:rsidRPr="00F45A6E">
        <w:rPr>
          <w:sz w:val="22"/>
          <w:szCs w:val="22"/>
          <w:lang w:val="sr-Latn-ME"/>
        </w:rPr>
        <w:t>u</w:t>
      </w:r>
      <w:r w:rsidR="00190BF3" w:rsidRPr="00F45A6E">
        <w:rPr>
          <w:sz w:val="22"/>
          <w:szCs w:val="22"/>
          <w:lang w:val="sr-Latn-ME"/>
        </w:rPr>
        <w:t xml:space="preserve"> s</w:t>
      </w:r>
      <w:r w:rsidR="00190D9A"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rabdomiolizom (</w:t>
      </w:r>
      <w:r w:rsidR="00190D9A" w:rsidRPr="00F45A6E">
        <w:rPr>
          <w:sz w:val="22"/>
          <w:szCs w:val="22"/>
          <w:lang w:val="sr-Latn-ME"/>
        </w:rPr>
        <w:t>npr.</w:t>
      </w:r>
      <w:r w:rsidR="00EB4E77" w:rsidRPr="00F45A6E">
        <w:rPr>
          <w:sz w:val="22"/>
          <w:szCs w:val="22"/>
          <w:lang w:val="sr-Latn-ME"/>
        </w:rPr>
        <w:t xml:space="preserve"> </w:t>
      </w:r>
      <w:r w:rsidR="00190BF3" w:rsidRPr="00F45A6E">
        <w:rPr>
          <w:sz w:val="22"/>
          <w:szCs w:val="22"/>
          <w:lang w:val="sr-Latn-ME"/>
        </w:rPr>
        <w:t>statini) moraju se oprezno prim</w:t>
      </w:r>
      <w:r w:rsidR="008C26C1" w:rsidRPr="00F45A6E">
        <w:rPr>
          <w:sz w:val="22"/>
          <w:szCs w:val="22"/>
          <w:lang w:val="sr-Latn-ME"/>
        </w:rPr>
        <w:t>j</w:t>
      </w:r>
      <w:r w:rsidR="00190BF3" w:rsidRPr="00F45A6E">
        <w:rPr>
          <w:sz w:val="22"/>
          <w:szCs w:val="22"/>
          <w:lang w:val="sr-Latn-ME"/>
        </w:rPr>
        <w:t>enjivati isto</w:t>
      </w:r>
      <w:r w:rsidR="00190D9A" w:rsidRPr="00F45A6E">
        <w:rPr>
          <w:sz w:val="22"/>
          <w:szCs w:val="22"/>
          <w:lang w:val="sr-Latn-ME"/>
        </w:rPr>
        <w:t>vreme</w:t>
      </w:r>
      <w:r w:rsidR="00190BF3" w:rsidRPr="00F45A6E">
        <w:rPr>
          <w:sz w:val="22"/>
          <w:szCs w:val="22"/>
          <w:lang w:val="sr-Latn-ME"/>
        </w:rPr>
        <w:t>no s</w:t>
      </w:r>
      <w:r w:rsidR="00190D9A"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trabektedinom jer se rizik od rabdomiolize mo</w:t>
      </w:r>
      <w:r w:rsidR="00190D9A" w:rsidRPr="00F45A6E">
        <w:rPr>
          <w:sz w:val="22"/>
          <w:szCs w:val="22"/>
          <w:lang w:val="sr-Latn-ME"/>
        </w:rPr>
        <w:t>ž</w:t>
      </w:r>
      <w:r w:rsidR="00190BF3" w:rsidRPr="00F45A6E">
        <w:rPr>
          <w:sz w:val="22"/>
          <w:szCs w:val="22"/>
          <w:lang w:val="sr-Latn-ME"/>
        </w:rPr>
        <w:t xml:space="preserve">e povećati. </w:t>
      </w:r>
    </w:p>
    <w:p w14:paraId="4090CAD3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2BAAA3F" w14:textId="4407200B" w:rsidR="00190BF3" w:rsidRPr="00F45A6E" w:rsidRDefault="00C42B6D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Odstupanja </w:t>
      </w:r>
      <w:r w:rsidR="00190BF3" w:rsidRPr="00F45A6E">
        <w:rPr>
          <w:sz w:val="22"/>
          <w:szCs w:val="22"/>
          <w:u w:val="single"/>
          <w:lang w:val="sr-Latn-ME"/>
        </w:rPr>
        <w:t>testa funkcije</w:t>
      </w:r>
      <w:r w:rsidRPr="00F45A6E">
        <w:rPr>
          <w:sz w:val="22"/>
          <w:szCs w:val="22"/>
          <w:u w:val="single"/>
          <w:lang w:val="sr-Latn-ME"/>
        </w:rPr>
        <w:t xml:space="preserve"> jetre</w:t>
      </w:r>
      <w:r w:rsidR="00190BF3" w:rsidRPr="00F45A6E">
        <w:rPr>
          <w:sz w:val="22"/>
          <w:szCs w:val="22"/>
          <w:u w:val="single"/>
          <w:lang w:val="sr-Latn-ME"/>
        </w:rPr>
        <w:t xml:space="preserve"> </w:t>
      </w:r>
    </w:p>
    <w:p w14:paraId="6E21EAB5" w14:textId="05B7F550" w:rsidR="00190BF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Reverzibilna akutna povećanja</w:t>
      </w:r>
      <w:r w:rsidR="00C42B6D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C42B6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aspartat aminotransferaze (AST) i alanin aminotransferaze (ALT) zab</w:t>
      </w:r>
      <w:r w:rsidR="00190D9A" w:rsidRPr="00F45A6E">
        <w:rPr>
          <w:sz w:val="22"/>
          <w:szCs w:val="22"/>
          <w:lang w:val="sr-Latn-ME"/>
        </w:rPr>
        <w:t>elež</w:t>
      </w:r>
      <w:r w:rsidRPr="00F45A6E">
        <w:rPr>
          <w:sz w:val="22"/>
          <w:szCs w:val="22"/>
          <w:lang w:val="sr-Latn-ME"/>
        </w:rPr>
        <w:t xml:space="preserve">ena su </w:t>
      </w:r>
      <w:r w:rsidR="00190D9A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većine </w:t>
      </w:r>
      <w:r w:rsidR="00190D9A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>. Trabektedin se ne sm</w:t>
      </w:r>
      <w:r w:rsidR="008C26C1" w:rsidRPr="00F45A6E">
        <w:rPr>
          <w:sz w:val="22"/>
          <w:szCs w:val="22"/>
          <w:lang w:val="sr-Latn-ME"/>
        </w:rPr>
        <w:t>i</w:t>
      </w:r>
      <w:r w:rsidR="00E03E3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 prim</w:t>
      </w:r>
      <w:r w:rsidR="008C26C1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enjivati kod </w:t>
      </w:r>
      <w:r w:rsidR="00190D9A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190D9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lastRenderedPageBreak/>
        <w:t>pov</w:t>
      </w:r>
      <w:r w:rsidR="00C42B6D" w:rsidRPr="00F45A6E">
        <w:rPr>
          <w:sz w:val="22"/>
          <w:szCs w:val="22"/>
          <w:lang w:val="sr-Latn-ME"/>
        </w:rPr>
        <w:t>ećanom koncentracijom</w:t>
      </w:r>
      <w:r w:rsidRPr="00F45A6E">
        <w:rPr>
          <w:sz w:val="22"/>
          <w:szCs w:val="22"/>
          <w:lang w:val="sr-Latn-ME"/>
        </w:rPr>
        <w:t xml:space="preserve"> bilirubin</w:t>
      </w:r>
      <w:r w:rsidR="00C42B6D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>. Prilag</w:t>
      </w:r>
      <w:r w:rsidR="00190D9A" w:rsidRPr="00F45A6E">
        <w:rPr>
          <w:sz w:val="22"/>
          <w:szCs w:val="22"/>
          <w:lang w:val="sr-Latn-ME"/>
        </w:rPr>
        <w:t>ođavanje</w:t>
      </w:r>
      <w:r w:rsidRPr="00F45A6E">
        <w:rPr>
          <w:sz w:val="22"/>
          <w:szCs w:val="22"/>
          <w:lang w:val="sr-Latn-ME"/>
        </w:rPr>
        <w:t xml:space="preserve"> doze mo</w:t>
      </w:r>
      <w:r w:rsidR="00190D9A" w:rsidRPr="00F45A6E">
        <w:rPr>
          <w:sz w:val="22"/>
          <w:szCs w:val="22"/>
          <w:lang w:val="sr-Latn-ME"/>
        </w:rPr>
        <w:t>že</w:t>
      </w:r>
      <w:r w:rsidRPr="00F45A6E">
        <w:rPr>
          <w:sz w:val="22"/>
          <w:szCs w:val="22"/>
          <w:lang w:val="sr-Latn-ME"/>
        </w:rPr>
        <w:t xml:space="preserve"> biti potrebn</w:t>
      </w:r>
      <w:r w:rsidR="00190D9A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 </w:t>
      </w:r>
      <w:r w:rsidR="00190D9A" w:rsidRPr="00F45A6E">
        <w:rPr>
          <w:sz w:val="22"/>
          <w:szCs w:val="22"/>
          <w:lang w:val="sr-Latn-ME"/>
        </w:rPr>
        <w:t>kod pacijenata</w:t>
      </w:r>
      <w:r w:rsidRPr="00F45A6E">
        <w:rPr>
          <w:sz w:val="22"/>
          <w:szCs w:val="22"/>
          <w:lang w:val="sr-Latn-ME"/>
        </w:rPr>
        <w:t xml:space="preserve"> s</w:t>
      </w:r>
      <w:r w:rsidR="00190D9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povećan</w:t>
      </w:r>
      <w:r w:rsidR="00C42B6D" w:rsidRPr="00F45A6E">
        <w:rPr>
          <w:sz w:val="22"/>
          <w:szCs w:val="22"/>
          <w:lang w:val="sr-Latn-ME"/>
        </w:rPr>
        <w:t xml:space="preserve">im </w:t>
      </w:r>
      <w:r w:rsidR="008C26C1" w:rsidRPr="00F45A6E">
        <w:rPr>
          <w:sz w:val="22"/>
          <w:szCs w:val="22"/>
          <w:lang w:val="sr-Latn-ME"/>
        </w:rPr>
        <w:t>vrijednost</w:t>
      </w:r>
      <w:r w:rsidR="00C42B6D" w:rsidRPr="00F45A6E">
        <w:rPr>
          <w:sz w:val="22"/>
          <w:szCs w:val="22"/>
          <w:lang w:val="sr-Latn-ME"/>
        </w:rPr>
        <w:t>ima</w:t>
      </w:r>
      <w:r w:rsidRPr="00F45A6E">
        <w:rPr>
          <w:sz w:val="22"/>
          <w:szCs w:val="22"/>
          <w:lang w:val="sr-Latn-ME"/>
        </w:rPr>
        <w:t xml:space="preserve"> ALT, AST i alkalne fosfataze izme</w:t>
      </w:r>
      <w:r w:rsidR="00190D9A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ciklusa (</w:t>
      </w:r>
      <w:r w:rsidR="00376F1D" w:rsidRPr="00F45A6E">
        <w:rPr>
          <w:sz w:val="22"/>
          <w:szCs w:val="22"/>
          <w:lang w:val="sr-Latn-ME"/>
        </w:rPr>
        <w:t>pogledati dio</w:t>
      </w:r>
      <w:r w:rsidR="008C26C1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</w:p>
    <w:p w14:paraId="63494A07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63607F5" w14:textId="09F688EE" w:rsidR="00190BF3" w:rsidRPr="00F45A6E" w:rsidRDefault="00190BF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Reakcije na mestu </w:t>
      </w:r>
      <w:r w:rsidR="00782D05" w:rsidRPr="00F45A6E">
        <w:rPr>
          <w:sz w:val="22"/>
          <w:szCs w:val="22"/>
          <w:u w:val="single"/>
          <w:lang w:val="sr-Latn-ME"/>
        </w:rPr>
        <w:t>prim</w:t>
      </w:r>
      <w:r w:rsidR="008C26C1" w:rsidRPr="00F45A6E">
        <w:rPr>
          <w:sz w:val="22"/>
          <w:szCs w:val="22"/>
          <w:u w:val="single"/>
          <w:lang w:val="sr-Latn-ME"/>
        </w:rPr>
        <w:t>j</w:t>
      </w:r>
      <w:r w:rsidR="00782D05" w:rsidRPr="00F45A6E">
        <w:rPr>
          <w:sz w:val="22"/>
          <w:szCs w:val="22"/>
          <w:u w:val="single"/>
          <w:lang w:val="sr-Latn-ME"/>
        </w:rPr>
        <w:t xml:space="preserve">ene </w:t>
      </w:r>
    </w:p>
    <w:p w14:paraId="01DC128E" w14:textId="13FDD282" w:rsidR="00190BF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Strogo se preporučuje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</w:t>
      </w:r>
      <w:r w:rsidR="00190D9A" w:rsidRPr="00F45A6E">
        <w:rPr>
          <w:sz w:val="22"/>
          <w:szCs w:val="22"/>
          <w:lang w:val="sr-Latn-ME"/>
        </w:rPr>
        <w:t>centralnog</w:t>
      </w:r>
      <w:r w:rsidRPr="00F45A6E">
        <w:rPr>
          <w:sz w:val="22"/>
          <w:szCs w:val="22"/>
          <w:lang w:val="sr-Latn-ME"/>
        </w:rPr>
        <w:t xml:space="preserve"> venskog </w:t>
      </w:r>
      <w:r w:rsidR="0024717C" w:rsidRPr="00F45A6E">
        <w:rPr>
          <w:sz w:val="22"/>
          <w:szCs w:val="22"/>
          <w:lang w:val="sr-Latn-ME"/>
        </w:rPr>
        <w:t xml:space="preserve">katetera </w:t>
      </w:r>
      <w:r w:rsidRPr="00F45A6E">
        <w:rPr>
          <w:sz w:val="22"/>
          <w:szCs w:val="22"/>
          <w:lang w:val="sr-Latn-ME"/>
        </w:rPr>
        <w:t>(</w:t>
      </w:r>
      <w:r w:rsidR="00376F1D" w:rsidRPr="00F45A6E">
        <w:rPr>
          <w:sz w:val="22"/>
          <w:szCs w:val="22"/>
          <w:lang w:val="sr-Latn-ME"/>
        </w:rPr>
        <w:t>pogledati dio</w:t>
      </w:r>
      <w:r w:rsidR="008C26C1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4.2). </w:t>
      </w:r>
      <w:r w:rsidR="00190D9A" w:rsidRPr="00F45A6E">
        <w:rPr>
          <w:sz w:val="22"/>
          <w:szCs w:val="22"/>
          <w:lang w:val="sr-Latn-ME"/>
        </w:rPr>
        <w:t xml:space="preserve">Pacijenti </w:t>
      </w:r>
      <w:r w:rsidRPr="00F45A6E">
        <w:rPr>
          <w:sz w:val="22"/>
          <w:szCs w:val="22"/>
          <w:lang w:val="sr-Latn-ME"/>
        </w:rPr>
        <w:t xml:space="preserve">mogu razviti potencijalno tešku reakciju na mestu </w:t>
      </w:r>
      <w:r w:rsidR="00A565DD" w:rsidRPr="00F45A6E">
        <w:rPr>
          <w:sz w:val="22"/>
          <w:szCs w:val="22"/>
          <w:lang w:val="sr-Latn-ME"/>
        </w:rPr>
        <w:t>prim</w:t>
      </w:r>
      <w:r w:rsidR="008C26C1" w:rsidRPr="00F45A6E">
        <w:rPr>
          <w:sz w:val="22"/>
          <w:szCs w:val="22"/>
          <w:lang w:val="sr-Latn-ME"/>
        </w:rPr>
        <w:t>j</w:t>
      </w:r>
      <w:r w:rsidR="00A565DD" w:rsidRPr="00F45A6E">
        <w:rPr>
          <w:sz w:val="22"/>
          <w:szCs w:val="22"/>
          <w:lang w:val="sr-Latn-ME"/>
        </w:rPr>
        <w:t xml:space="preserve">ene </w:t>
      </w:r>
      <w:r w:rsidRPr="00F45A6E">
        <w:rPr>
          <w:sz w:val="22"/>
          <w:szCs w:val="22"/>
          <w:lang w:val="sr-Latn-ME"/>
        </w:rPr>
        <w:t>kad se trabektedin prim</w:t>
      </w:r>
      <w:r w:rsidR="008C26C1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enjuje kroz periferni venski </w:t>
      </w:r>
      <w:r w:rsidR="00A565DD" w:rsidRPr="00F45A6E">
        <w:rPr>
          <w:sz w:val="22"/>
          <w:szCs w:val="22"/>
          <w:lang w:val="sr-Latn-ME"/>
        </w:rPr>
        <w:t>kateter</w:t>
      </w:r>
      <w:r w:rsidRPr="00F45A6E">
        <w:rPr>
          <w:sz w:val="22"/>
          <w:szCs w:val="22"/>
          <w:lang w:val="sr-Latn-ME"/>
        </w:rPr>
        <w:t xml:space="preserve">. </w:t>
      </w:r>
    </w:p>
    <w:p w14:paraId="5CB9A316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2C08F2D" w14:textId="23265F54" w:rsidR="00190BF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Ekstravazacija trabektedina mo</w:t>
      </w:r>
      <w:r w:rsidR="00190D9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 prouzro</w:t>
      </w:r>
      <w:r w:rsidR="00190D9A" w:rsidRPr="00F45A6E">
        <w:rPr>
          <w:sz w:val="22"/>
          <w:szCs w:val="22"/>
          <w:lang w:val="sr-Latn-ME"/>
        </w:rPr>
        <w:t>kovati</w:t>
      </w:r>
      <w:r w:rsidRPr="00F45A6E">
        <w:rPr>
          <w:sz w:val="22"/>
          <w:szCs w:val="22"/>
          <w:lang w:val="sr-Latn-ME"/>
        </w:rPr>
        <w:t xml:space="preserve"> nekrozu tkiva koja zaht</w:t>
      </w:r>
      <w:r w:rsidR="008C26C1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eva čišćenje rubova nekroze. Ne postoji specifični antidot u slučaju ekstravazacije trabektedina. Ekstravazacija se mora sanirati u skladu s</w:t>
      </w:r>
      <w:r w:rsidR="00190D9A" w:rsidRPr="00F45A6E">
        <w:rPr>
          <w:sz w:val="22"/>
          <w:szCs w:val="22"/>
          <w:lang w:val="sr-Latn-ME"/>
        </w:rPr>
        <w:t xml:space="preserve">a </w:t>
      </w:r>
      <w:r w:rsidRPr="00F45A6E">
        <w:rPr>
          <w:sz w:val="22"/>
          <w:szCs w:val="22"/>
          <w:lang w:val="sr-Latn-ME"/>
        </w:rPr>
        <w:t xml:space="preserve">lokalnom standardnom praksom. </w:t>
      </w:r>
    </w:p>
    <w:p w14:paraId="34EDB3E7" w14:textId="77777777" w:rsidR="00794232" w:rsidRPr="00F45A6E" w:rsidRDefault="00794232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0419707" w14:textId="77777777" w:rsidR="00190BF3" w:rsidRPr="00F45A6E" w:rsidRDefault="00190BF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Alergijske reakcije </w:t>
      </w:r>
    </w:p>
    <w:p w14:paraId="4F4BC4AE" w14:textId="75F01E44" w:rsidR="00190BF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Nakon stavljanja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>a u promet reakcije preos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etljivosti s</w:t>
      </w:r>
      <w:r w:rsidR="00190D9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vrlo retkim slučajevima smrtnog ishoda prijavljivane su uz prim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enu trabektedina bilo </w:t>
      </w:r>
      <w:r w:rsidR="00CB0B7C" w:rsidRPr="00F45A6E">
        <w:rPr>
          <w:sz w:val="22"/>
          <w:szCs w:val="22"/>
          <w:lang w:val="sr-Latn-ME"/>
        </w:rPr>
        <w:t xml:space="preserve">u monoterapiji </w:t>
      </w:r>
      <w:r w:rsidRPr="00F45A6E">
        <w:rPr>
          <w:sz w:val="22"/>
          <w:szCs w:val="22"/>
          <w:lang w:val="sr-Latn-ME"/>
        </w:rPr>
        <w:t>bilo u kombinaciji s</w:t>
      </w:r>
      <w:r w:rsidR="00190D9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PLD (</w:t>
      </w:r>
      <w:r w:rsidR="006E0592" w:rsidRPr="00F45A6E">
        <w:rPr>
          <w:sz w:val="22"/>
          <w:szCs w:val="22"/>
          <w:lang w:val="sr-Latn-ME"/>
        </w:rPr>
        <w:t xml:space="preserve">pogledati dijelove </w:t>
      </w:r>
      <w:r w:rsidRPr="00F45A6E">
        <w:rPr>
          <w:sz w:val="22"/>
          <w:szCs w:val="22"/>
          <w:lang w:val="sr-Latn-ME"/>
        </w:rPr>
        <w:t xml:space="preserve">4.3 i 4.8). </w:t>
      </w:r>
    </w:p>
    <w:p w14:paraId="46B55B0C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8C51896" w14:textId="4FEA2935" w:rsidR="00190BF3" w:rsidRPr="00F45A6E" w:rsidRDefault="00381BFD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Oštećenje funkcije s</w:t>
      </w:r>
      <w:r w:rsidR="00190BF3" w:rsidRPr="00F45A6E">
        <w:rPr>
          <w:sz w:val="22"/>
          <w:szCs w:val="22"/>
          <w:u w:val="single"/>
          <w:lang w:val="sr-Latn-ME"/>
        </w:rPr>
        <w:t>r</w:t>
      </w:r>
      <w:r w:rsidRPr="00F45A6E">
        <w:rPr>
          <w:sz w:val="22"/>
          <w:szCs w:val="22"/>
          <w:u w:val="single"/>
          <w:lang w:val="sr-Latn-ME"/>
        </w:rPr>
        <w:t>c</w:t>
      </w:r>
      <w:r w:rsidR="00190BF3" w:rsidRPr="00F45A6E">
        <w:rPr>
          <w:sz w:val="22"/>
          <w:szCs w:val="22"/>
          <w:u w:val="single"/>
          <w:lang w:val="sr-Latn-ME"/>
        </w:rPr>
        <w:t>a</w:t>
      </w:r>
    </w:p>
    <w:p w14:paraId="2C4CF003" w14:textId="1DD476C4" w:rsidR="00190BF3" w:rsidRPr="00F45A6E" w:rsidRDefault="00190D9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Pacijente</w:t>
      </w:r>
      <w:r w:rsidR="00190BF3" w:rsidRPr="00F45A6E">
        <w:rPr>
          <w:sz w:val="22"/>
          <w:szCs w:val="22"/>
          <w:lang w:val="sr-Latn-ME"/>
        </w:rPr>
        <w:t xml:space="preserve"> treba nadzirati </w:t>
      </w:r>
      <w:r w:rsidR="00CA658B" w:rsidRPr="00F45A6E">
        <w:rPr>
          <w:sz w:val="22"/>
          <w:szCs w:val="22"/>
          <w:lang w:val="sr-Latn-ME"/>
        </w:rPr>
        <w:t>zbog eventualnih</w:t>
      </w:r>
      <w:r w:rsidR="00190BF3" w:rsidRPr="00F45A6E">
        <w:rPr>
          <w:sz w:val="22"/>
          <w:szCs w:val="22"/>
          <w:lang w:val="sr-Latn-ME"/>
        </w:rPr>
        <w:t xml:space="preserve"> </w:t>
      </w:r>
      <w:r w:rsidR="00F76582" w:rsidRPr="00F45A6E">
        <w:rPr>
          <w:sz w:val="22"/>
          <w:szCs w:val="22"/>
          <w:lang w:val="sr-Latn-ME"/>
        </w:rPr>
        <w:t xml:space="preserve">neželjenih </w:t>
      </w:r>
      <w:r w:rsidR="00190BF3" w:rsidRPr="00F45A6E">
        <w:rPr>
          <w:sz w:val="22"/>
          <w:szCs w:val="22"/>
          <w:lang w:val="sr-Latn-ME"/>
        </w:rPr>
        <w:t>doga</w:t>
      </w:r>
      <w:r w:rsidR="00CA658B" w:rsidRPr="00F45A6E">
        <w:rPr>
          <w:sz w:val="22"/>
          <w:szCs w:val="22"/>
          <w:lang w:val="sr-Latn-ME"/>
        </w:rPr>
        <w:t>đ</w:t>
      </w:r>
      <w:r w:rsidR="00190BF3" w:rsidRPr="00F45A6E">
        <w:rPr>
          <w:sz w:val="22"/>
          <w:szCs w:val="22"/>
          <w:lang w:val="sr-Latn-ME"/>
        </w:rPr>
        <w:t>aj</w:t>
      </w:r>
      <w:r w:rsidR="00CA658B" w:rsidRPr="00F45A6E">
        <w:rPr>
          <w:sz w:val="22"/>
          <w:szCs w:val="22"/>
          <w:lang w:val="sr-Latn-ME"/>
        </w:rPr>
        <w:t>a</w:t>
      </w:r>
      <w:r w:rsidR="00F76582" w:rsidRPr="00F45A6E">
        <w:rPr>
          <w:sz w:val="22"/>
          <w:szCs w:val="22"/>
          <w:lang w:val="sr-Latn-ME"/>
        </w:rPr>
        <w:t xml:space="preserve"> na srce</w:t>
      </w:r>
      <w:r w:rsidR="00190BF3" w:rsidRPr="00F45A6E">
        <w:rPr>
          <w:sz w:val="22"/>
          <w:szCs w:val="22"/>
          <w:lang w:val="sr-Latn-ME"/>
        </w:rPr>
        <w:t xml:space="preserve"> ili </w:t>
      </w:r>
      <w:r w:rsidR="00376A47" w:rsidRPr="00F45A6E">
        <w:rPr>
          <w:sz w:val="22"/>
          <w:szCs w:val="22"/>
          <w:lang w:val="sr-Latn-ME"/>
        </w:rPr>
        <w:t xml:space="preserve">oštećenja funkcije </w:t>
      </w:r>
      <w:r w:rsidR="00190BF3" w:rsidRPr="00F45A6E">
        <w:rPr>
          <w:sz w:val="22"/>
          <w:szCs w:val="22"/>
          <w:lang w:val="sr-Latn-ME"/>
        </w:rPr>
        <w:t xml:space="preserve">miokarda. </w:t>
      </w:r>
    </w:p>
    <w:p w14:paraId="1EA05B70" w14:textId="282520BA" w:rsidR="00190BF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Pre uvo</w:t>
      </w:r>
      <w:r w:rsidR="00CA658B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enja trabektedina, </w:t>
      </w:r>
      <w:r w:rsidR="00CA658B" w:rsidRPr="00F45A6E">
        <w:rPr>
          <w:sz w:val="22"/>
          <w:szCs w:val="22"/>
          <w:lang w:val="sr-Latn-ME"/>
        </w:rPr>
        <w:t>kao i</w:t>
      </w:r>
      <w:r w:rsidRPr="00F45A6E">
        <w:rPr>
          <w:sz w:val="22"/>
          <w:szCs w:val="22"/>
          <w:lang w:val="sr-Latn-ME"/>
        </w:rPr>
        <w:t xml:space="preserve"> u vremenskim intervalima od 2 do 3 m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eseca nakon </w:t>
      </w:r>
      <w:r w:rsidR="00D4025C" w:rsidRPr="00F45A6E">
        <w:rPr>
          <w:sz w:val="22"/>
          <w:szCs w:val="22"/>
          <w:lang w:val="sr-Latn-ME"/>
        </w:rPr>
        <w:t>uvođenja</w:t>
      </w:r>
      <w:r w:rsidRPr="00F45A6E">
        <w:rPr>
          <w:sz w:val="22"/>
          <w:szCs w:val="22"/>
          <w:lang w:val="sr-Latn-ME"/>
        </w:rPr>
        <w:t>, sve do prestanka prim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ene trabektedina, potrebno je </w:t>
      </w:r>
      <w:r w:rsidR="00CA658B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provoditi temelj</w:t>
      </w:r>
      <w:r w:rsidR="00CA658B" w:rsidRPr="00F45A6E">
        <w:rPr>
          <w:sz w:val="22"/>
          <w:szCs w:val="22"/>
          <w:lang w:val="sr-Latn-ME"/>
        </w:rPr>
        <w:t>nu</w:t>
      </w:r>
      <w:r w:rsidRPr="00F45A6E">
        <w:rPr>
          <w:sz w:val="22"/>
          <w:szCs w:val="22"/>
          <w:lang w:val="sr-Latn-ME"/>
        </w:rPr>
        <w:t xml:space="preserve"> kardiološku proc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enu, uključujući odre</w:t>
      </w:r>
      <w:r w:rsidR="00CA658B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ivanje </w:t>
      </w:r>
      <w:r w:rsidR="00CA658B" w:rsidRPr="00F45A6E">
        <w:rPr>
          <w:sz w:val="22"/>
          <w:szCs w:val="22"/>
          <w:lang w:val="sr-Latn-ME"/>
        </w:rPr>
        <w:t xml:space="preserve">ejekcione </w:t>
      </w:r>
      <w:r w:rsidRPr="00F45A6E">
        <w:rPr>
          <w:sz w:val="22"/>
          <w:szCs w:val="22"/>
          <w:lang w:val="sr-Latn-ME"/>
        </w:rPr>
        <w:t>frakcije l</w:t>
      </w:r>
      <w:r w:rsidR="0024404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eve k</w:t>
      </w:r>
      <w:r w:rsidR="00CA658B" w:rsidRPr="00F45A6E">
        <w:rPr>
          <w:sz w:val="22"/>
          <w:szCs w:val="22"/>
          <w:lang w:val="sr-Latn-ME"/>
        </w:rPr>
        <w:t>omore</w:t>
      </w:r>
      <w:r w:rsidRPr="00F45A6E">
        <w:rPr>
          <w:sz w:val="22"/>
          <w:szCs w:val="22"/>
          <w:lang w:val="sr-Latn-ME"/>
        </w:rPr>
        <w:t xml:space="preserve"> (engl. </w:t>
      </w:r>
      <w:r w:rsidRPr="00F45A6E">
        <w:rPr>
          <w:i/>
          <w:iCs/>
          <w:sz w:val="22"/>
          <w:szCs w:val="22"/>
          <w:lang w:val="sr-Latn-ME"/>
        </w:rPr>
        <w:t>left ventricular ejection fraction</w:t>
      </w:r>
      <w:r w:rsidRPr="00F45A6E">
        <w:rPr>
          <w:sz w:val="22"/>
          <w:szCs w:val="22"/>
          <w:lang w:val="sr-Latn-ME"/>
        </w:rPr>
        <w:t xml:space="preserve">, LVEF) ehokardiogramom ili ekvilibrijskom radionuklidnom ventrikulografijom (engl. </w:t>
      </w:r>
      <w:r w:rsidRPr="00F45A6E">
        <w:rPr>
          <w:i/>
          <w:iCs/>
          <w:sz w:val="22"/>
          <w:szCs w:val="22"/>
          <w:lang w:val="sr-Latn-ME"/>
        </w:rPr>
        <w:t>multi-gated radionuclide angiography</w:t>
      </w:r>
      <w:r w:rsidRPr="00F45A6E">
        <w:rPr>
          <w:sz w:val="22"/>
          <w:szCs w:val="22"/>
          <w:lang w:val="sr-Latn-ME"/>
        </w:rPr>
        <w:t xml:space="preserve">, MUGA). </w:t>
      </w:r>
    </w:p>
    <w:p w14:paraId="4E1EA35C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8E0A1F2" w14:textId="24B142B2" w:rsidR="00190BF3" w:rsidRPr="00F45A6E" w:rsidRDefault="00CA658B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Pacijenti </w:t>
      </w:r>
      <w:r w:rsidR="00190BF3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LVEF ispod donje granice normal</w:t>
      </w:r>
      <w:r w:rsidR="00D4025C" w:rsidRPr="00F45A6E">
        <w:rPr>
          <w:sz w:val="22"/>
          <w:szCs w:val="22"/>
          <w:lang w:val="sr-Latn-ME"/>
        </w:rPr>
        <w:t xml:space="preserve">ne </w:t>
      </w:r>
      <w:r w:rsidR="008C26C1" w:rsidRPr="00F45A6E">
        <w:rPr>
          <w:sz w:val="22"/>
          <w:szCs w:val="22"/>
          <w:lang w:val="sr-Latn-ME"/>
        </w:rPr>
        <w:t>vrijednost</w:t>
      </w:r>
      <w:r w:rsidR="00D4025C" w:rsidRPr="00F45A6E">
        <w:rPr>
          <w:sz w:val="22"/>
          <w:szCs w:val="22"/>
          <w:lang w:val="sr-Latn-ME"/>
        </w:rPr>
        <w:t>i</w:t>
      </w:r>
      <w:r w:rsidR="00190BF3" w:rsidRPr="00F45A6E">
        <w:rPr>
          <w:sz w:val="22"/>
          <w:szCs w:val="22"/>
          <w:lang w:val="sr-Latn-ME"/>
        </w:rPr>
        <w:t xml:space="preserve"> (LVEF &lt; DGN), prethodnom kumulativnom dozom antraciklina &gt;300 mg/m</w:t>
      </w:r>
      <w:r w:rsidR="00190BF3" w:rsidRPr="00F45A6E">
        <w:rPr>
          <w:sz w:val="22"/>
          <w:szCs w:val="22"/>
          <w:vertAlign w:val="superscript"/>
          <w:lang w:val="sr-Latn-ME"/>
        </w:rPr>
        <w:t>2</w:t>
      </w:r>
      <w:r w:rsidR="00190BF3" w:rsidRPr="00F45A6E">
        <w:rPr>
          <w:sz w:val="22"/>
          <w:szCs w:val="22"/>
          <w:lang w:val="sr-Latn-ME"/>
        </w:rPr>
        <w:t xml:space="preserve">, </w:t>
      </w:r>
      <w:r w:rsidRPr="00F45A6E">
        <w:rPr>
          <w:sz w:val="22"/>
          <w:szCs w:val="22"/>
          <w:lang w:val="sr-Latn-ME"/>
        </w:rPr>
        <w:t>pacijent</w:t>
      </w:r>
      <w:r w:rsidR="00190BF3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starosne</w:t>
      </w:r>
      <w:r w:rsidR="00190BF3" w:rsidRPr="00F45A6E">
        <w:rPr>
          <w:sz w:val="22"/>
          <w:szCs w:val="22"/>
          <w:lang w:val="sr-Latn-ME"/>
        </w:rPr>
        <w:t xml:space="preserve"> dobi &gt; 65 godina ili s</w:t>
      </w:r>
      <w:r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anamnezom kardiovaskularne bolesti (posebno oni koji uzimaju kardiološke </w:t>
      </w:r>
      <w:r w:rsidR="005C3738" w:rsidRPr="00F45A6E">
        <w:rPr>
          <w:sz w:val="22"/>
          <w:szCs w:val="22"/>
          <w:lang w:val="sr-Latn-ME"/>
        </w:rPr>
        <w:t>ljekov</w:t>
      </w:r>
      <w:r w:rsidR="00190BF3" w:rsidRPr="00F45A6E">
        <w:rPr>
          <w:sz w:val="22"/>
          <w:szCs w:val="22"/>
          <w:lang w:val="sr-Latn-ME"/>
        </w:rPr>
        <w:t>e) mogu biti izlo</w:t>
      </w:r>
      <w:r w:rsidRPr="00F45A6E">
        <w:rPr>
          <w:sz w:val="22"/>
          <w:szCs w:val="22"/>
          <w:lang w:val="sr-Latn-ME"/>
        </w:rPr>
        <w:t>ž</w:t>
      </w:r>
      <w:r w:rsidR="00190BF3" w:rsidRPr="00F45A6E">
        <w:rPr>
          <w:sz w:val="22"/>
          <w:szCs w:val="22"/>
          <w:lang w:val="sr-Latn-ME"/>
        </w:rPr>
        <w:t xml:space="preserve">eni povećanom riziku od </w:t>
      </w:r>
      <w:r w:rsidR="00D4025C" w:rsidRPr="00F45A6E">
        <w:rPr>
          <w:sz w:val="22"/>
          <w:szCs w:val="22"/>
          <w:lang w:val="sr-Latn-ME"/>
        </w:rPr>
        <w:t xml:space="preserve">oštećenja funkcije </w:t>
      </w:r>
      <w:r w:rsidR="00190BF3" w:rsidRPr="00F45A6E">
        <w:rPr>
          <w:sz w:val="22"/>
          <w:szCs w:val="22"/>
          <w:lang w:val="sr-Latn-ME"/>
        </w:rPr>
        <w:t>sr</w:t>
      </w:r>
      <w:r w:rsidR="00D4025C" w:rsidRPr="00F45A6E">
        <w:rPr>
          <w:sz w:val="22"/>
          <w:szCs w:val="22"/>
          <w:lang w:val="sr-Latn-ME"/>
        </w:rPr>
        <w:t>c</w:t>
      </w:r>
      <w:r w:rsidR="00190BF3" w:rsidRPr="00F45A6E">
        <w:rPr>
          <w:sz w:val="22"/>
          <w:szCs w:val="22"/>
          <w:lang w:val="sr-Latn-ME"/>
        </w:rPr>
        <w:t>a t</w:t>
      </w:r>
      <w:r w:rsidRPr="00F45A6E">
        <w:rPr>
          <w:sz w:val="22"/>
          <w:szCs w:val="22"/>
          <w:lang w:val="sr-Latn-ME"/>
        </w:rPr>
        <w:t>o</w:t>
      </w:r>
      <w:r w:rsidR="00190BF3"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="00190BF3" w:rsidRPr="00F45A6E">
        <w:rPr>
          <w:sz w:val="22"/>
          <w:szCs w:val="22"/>
          <w:lang w:val="sr-Latn-ME"/>
        </w:rPr>
        <w:t xml:space="preserve">a trabektedinom </w:t>
      </w:r>
      <w:r w:rsidR="00D4025C" w:rsidRPr="00F45A6E">
        <w:rPr>
          <w:sz w:val="22"/>
          <w:szCs w:val="22"/>
          <w:lang w:val="sr-Latn-ME"/>
        </w:rPr>
        <w:t xml:space="preserve">u </w:t>
      </w:r>
      <w:r w:rsidR="00190BF3" w:rsidRPr="00F45A6E">
        <w:rPr>
          <w:sz w:val="22"/>
          <w:szCs w:val="22"/>
          <w:lang w:val="sr-Latn-ME"/>
        </w:rPr>
        <w:t>monoterapi</w:t>
      </w:r>
      <w:r w:rsidR="00D4025C" w:rsidRPr="00F45A6E">
        <w:rPr>
          <w:sz w:val="22"/>
          <w:szCs w:val="22"/>
          <w:lang w:val="sr-Latn-ME"/>
        </w:rPr>
        <w:t>ji</w:t>
      </w:r>
      <w:r w:rsidR="00190BF3" w:rsidRPr="00F45A6E">
        <w:rPr>
          <w:sz w:val="22"/>
          <w:szCs w:val="22"/>
          <w:lang w:val="sr-Latn-ME"/>
        </w:rPr>
        <w:t xml:space="preserve"> ili u kombinaciji s</w:t>
      </w:r>
      <w:r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doksorubicinom. </w:t>
      </w:r>
    </w:p>
    <w:p w14:paraId="7ADC3CAE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CB1749E" w14:textId="3198F342" w:rsidR="00190BF3" w:rsidRPr="00F45A6E" w:rsidRDefault="00CA658B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Kod pacijenata</w:t>
      </w:r>
      <w:r w:rsidR="00190BF3" w:rsidRPr="00F45A6E">
        <w:rPr>
          <w:sz w:val="22"/>
          <w:szCs w:val="22"/>
          <w:lang w:val="sr-Latn-ME"/>
        </w:rPr>
        <w:t xml:space="preserve"> </w:t>
      </w:r>
      <w:r w:rsidR="00D4025C" w:rsidRPr="00F45A6E">
        <w:rPr>
          <w:sz w:val="22"/>
          <w:szCs w:val="22"/>
          <w:lang w:val="sr-Latn-ME"/>
        </w:rPr>
        <w:t>kod kojih dođe do</w:t>
      </w:r>
      <w:r w:rsidR="00190BF3" w:rsidRPr="00F45A6E">
        <w:rPr>
          <w:sz w:val="22"/>
          <w:szCs w:val="22"/>
          <w:lang w:val="sr-Latn-ME"/>
        </w:rPr>
        <w:t xml:space="preserve"> </w:t>
      </w:r>
      <w:r w:rsidR="00D4025C" w:rsidRPr="00F45A6E">
        <w:rPr>
          <w:sz w:val="22"/>
          <w:szCs w:val="22"/>
          <w:lang w:val="sr-Latn-ME"/>
        </w:rPr>
        <w:t>neželjenih</w:t>
      </w:r>
      <w:r w:rsidR="00190BF3" w:rsidRPr="00F45A6E">
        <w:rPr>
          <w:sz w:val="22"/>
          <w:szCs w:val="22"/>
          <w:lang w:val="sr-Latn-ME"/>
        </w:rPr>
        <w:t xml:space="preserve"> doga</w:t>
      </w:r>
      <w:r w:rsidRPr="00F45A6E">
        <w:rPr>
          <w:sz w:val="22"/>
          <w:szCs w:val="22"/>
          <w:lang w:val="sr-Latn-ME"/>
        </w:rPr>
        <w:t>đ</w:t>
      </w:r>
      <w:r w:rsidR="00190BF3" w:rsidRPr="00F45A6E">
        <w:rPr>
          <w:sz w:val="22"/>
          <w:szCs w:val="22"/>
          <w:lang w:val="sr-Latn-ME"/>
        </w:rPr>
        <w:t>aja</w:t>
      </w:r>
      <w:r w:rsidR="00D4025C" w:rsidRPr="00F45A6E">
        <w:rPr>
          <w:sz w:val="22"/>
          <w:szCs w:val="22"/>
          <w:lang w:val="sr-Latn-ME"/>
        </w:rPr>
        <w:t xml:space="preserve"> na srce</w:t>
      </w:r>
      <w:r w:rsidR="00190BF3" w:rsidRPr="00F45A6E">
        <w:rPr>
          <w:sz w:val="22"/>
          <w:szCs w:val="22"/>
          <w:lang w:val="sr-Latn-ME"/>
        </w:rPr>
        <w:t xml:space="preserve"> 3. ili 4. s</w:t>
      </w:r>
      <w:r w:rsidRPr="00F45A6E">
        <w:rPr>
          <w:sz w:val="22"/>
          <w:szCs w:val="22"/>
          <w:lang w:val="sr-Latn-ME"/>
        </w:rPr>
        <w:t>tepena</w:t>
      </w:r>
      <w:r w:rsidR="00190BF3" w:rsidRPr="00F45A6E">
        <w:rPr>
          <w:sz w:val="22"/>
          <w:szCs w:val="22"/>
          <w:lang w:val="sr-Latn-ME"/>
        </w:rPr>
        <w:t xml:space="preserve"> koji ukazuju na kardiomiopatiju </w:t>
      </w:r>
      <w:r w:rsidRPr="00F45A6E">
        <w:rPr>
          <w:sz w:val="22"/>
          <w:szCs w:val="22"/>
          <w:lang w:val="sr-Latn-ME"/>
        </w:rPr>
        <w:t xml:space="preserve">ili kod pacijenata </w:t>
      </w:r>
      <w:r w:rsidR="00190BF3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LVEF ispod DGN (proc</w:t>
      </w:r>
      <w:r w:rsidR="006E0592" w:rsidRPr="00F45A6E">
        <w:rPr>
          <w:sz w:val="22"/>
          <w:szCs w:val="22"/>
          <w:lang w:val="sr-Latn-ME"/>
        </w:rPr>
        <w:t>j</w:t>
      </w:r>
      <w:r w:rsidR="00190BF3" w:rsidRPr="00F45A6E">
        <w:rPr>
          <w:sz w:val="22"/>
          <w:szCs w:val="22"/>
          <w:lang w:val="sr-Latn-ME"/>
        </w:rPr>
        <w:t>enjeno bilo kao apsolutno smanjenje LVEF za ≥15%, ili &lt; DGN s</w:t>
      </w:r>
      <w:r w:rsidRPr="00F45A6E">
        <w:rPr>
          <w:sz w:val="22"/>
          <w:szCs w:val="22"/>
          <w:lang w:val="sr-Latn-ME"/>
        </w:rPr>
        <w:t>a</w:t>
      </w:r>
      <w:r w:rsidR="00190BF3" w:rsidRPr="00F45A6E">
        <w:rPr>
          <w:sz w:val="22"/>
          <w:szCs w:val="22"/>
          <w:lang w:val="sr-Latn-ME"/>
        </w:rPr>
        <w:t xml:space="preserve"> apsolutnim smanjenjem od ≥5%) </w:t>
      </w:r>
      <w:r w:rsidR="008E59DE" w:rsidRPr="00F45A6E">
        <w:rPr>
          <w:sz w:val="22"/>
          <w:szCs w:val="22"/>
          <w:lang w:val="sr-Latn-ME"/>
        </w:rPr>
        <w:t>primjena</w:t>
      </w:r>
      <w:r w:rsidR="00190BF3" w:rsidRPr="00F45A6E">
        <w:rPr>
          <w:sz w:val="22"/>
          <w:szCs w:val="22"/>
          <w:lang w:val="sr-Latn-ME"/>
        </w:rPr>
        <w:t xml:space="preserve"> trabektedina mora se prekinuti. </w:t>
      </w:r>
    </w:p>
    <w:p w14:paraId="6A9B2BD1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ED3919D" w14:textId="531C282A" w:rsidR="00190BF3" w:rsidRPr="00F45A6E" w:rsidRDefault="00190BF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Sindrom </w:t>
      </w:r>
      <w:r w:rsidR="00F9469F" w:rsidRPr="00F45A6E">
        <w:rPr>
          <w:sz w:val="22"/>
          <w:szCs w:val="22"/>
          <w:u w:val="single"/>
          <w:lang w:val="sr-Latn-ME"/>
        </w:rPr>
        <w:t xml:space="preserve">povećane propustljivosti </w:t>
      </w:r>
      <w:r w:rsidRPr="00F45A6E">
        <w:rPr>
          <w:sz w:val="22"/>
          <w:szCs w:val="22"/>
          <w:u w:val="single"/>
          <w:lang w:val="sr-Latn-ME"/>
        </w:rPr>
        <w:t>kapila</w:t>
      </w:r>
      <w:r w:rsidR="00F9469F" w:rsidRPr="00F45A6E">
        <w:rPr>
          <w:sz w:val="22"/>
          <w:szCs w:val="22"/>
          <w:u w:val="single"/>
          <w:lang w:val="sr-Latn-ME"/>
        </w:rPr>
        <w:t>ra</w:t>
      </w:r>
      <w:r w:rsidRPr="00F45A6E">
        <w:rPr>
          <w:sz w:val="22"/>
          <w:szCs w:val="22"/>
          <w:u w:val="single"/>
          <w:lang w:val="sr-Latn-ME"/>
        </w:rPr>
        <w:t xml:space="preserve"> </w:t>
      </w:r>
    </w:p>
    <w:p w14:paraId="0D683F1E" w14:textId="47BE9888" w:rsidR="006C7F93" w:rsidRPr="00F45A6E" w:rsidRDefault="00190BF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Nakon prim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ene trabektedina, prijavljeni su slučajevi sindroma</w:t>
      </w:r>
      <w:r w:rsidR="00F9469F" w:rsidRPr="00F45A6E">
        <w:rPr>
          <w:sz w:val="22"/>
          <w:szCs w:val="22"/>
          <w:lang w:val="sr-Latn-ME"/>
        </w:rPr>
        <w:t xml:space="preserve"> povećane propustljivosti</w:t>
      </w:r>
      <w:r w:rsidRPr="00F45A6E">
        <w:rPr>
          <w:sz w:val="22"/>
          <w:szCs w:val="22"/>
          <w:lang w:val="sr-Latn-ME"/>
        </w:rPr>
        <w:t xml:space="preserve"> kapilar</w:t>
      </w:r>
      <w:r w:rsidR="00F9469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(uključujući slučajeve sa smrtnim ishodom). Ako se pojave simptomi mogućeg sindroma </w:t>
      </w:r>
      <w:r w:rsidR="00F9469F" w:rsidRPr="00F45A6E">
        <w:rPr>
          <w:sz w:val="22"/>
          <w:szCs w:val="22"/>
          <w:lang w:val="sr-Latn-ME"/>
        </w:rPr>
        <w:t xml:space="preserve">povećane propustljivosti </w:t>
      </w:r>
      <w:r w:rsidRPr="00F45A6E">
        <w:rPr>
          <w:sz w:val="22"/>
          <w:szCs w:val="22"/>
          <w:lang w:val="sr-Latn-ME"/>
        </w:rPr>
        <w:t>kapilar</w:t>
      </w:r>
      <w:r w:rsidR="00F9469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>, kao što su neobjašnj</w:t>
      </w:r>
      <w:r w:rsidR="00F9469F" w:rsidRPr="00F45A6E">
        <w:rPr>
          <w:sz w:val="22"/>
          <w:szCs w:val="22"/>
          <w:lang w:val="sr-Latn-ME"/>
        </w:rPr>
        <w:t>iv</w:t>
      </w:r>
      <w:r w:rsidRPr="00F45A6E">
        <w:rPr>
          <w:sz w:val="22"/>
          <w:szCs w:val="22"/>
          <w:lang w:val="sr-Latn-ME"/>
        </w:rPr>
        <w:t>i edem s</w:t>
      </w:r>
      <w:r w:rsidR="00CA658B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ili bez hipotenzije, nadle</w:t>
      </w:r>
      <w:r w:rsidR="00CA658B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ni </w:t>
      </w:r>
      <w:r w:rsidR="005C3738" w:rsidRPr="00F45A6E">
        <w:rPr>
          <w:sz w:val="22"/>
          <w:szCs w:val="22"/>
          <w:lang w:val="sr-Latn-ME"/>
        </w:rPr>
        <w:t>ljekar</w:t>
      </w:r>
      <w:r w:rsidRPr="00F45A6E">
        <w:rPr>
          <w:sz w:val="22"/>
          <w:szCs w:val="22"/>
          <w:lang w:val="sr-Latn-ME"/>
        </w:rPr>
        <w:t xml:space="preserve"> mora ponovno proc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eniti </w:t>
      </w:r>
      <w:r w:rsidR="008C26C1" w:rsidRPr="00F45A6E">
        <w:rPr>
          <w:sz w:val="22"/>
          <w:szCs w:val="22"/>
          <w:lang w:val="sr-Latn-ME"/>
        </w:rPr>
        <w:t>vrijednost</w:t>
      </w:r>
      <w:r w:rsidR="00F9469F" w:rsidRPr="00F45A6E">
        <w:rPr>
          <w:sz w:val="22"/>
          <w:szCs w:val="22"/>
          <w:lang w:val="sr-Latn-ME"/>
        </w:rPr>
        <w:t xml:space="preserve">i </w:t>
      </w:r>
      <w:r w:rsidRPr="00F45A6E">
        <w:rPr>
          <w:sz w:val="22"/>
          <w:szCs w:val="22"/>
          <w:lang w:val="sr-Latn-ME"/>
        </w:rPr>
        <w:t>albumina u serumu. Nagl</w:t>
      </w:r>
      <w:r w:rsidR="00F9469F" w:rsidRPr="00F45A6E">
        <w:rPr>
          <w:sz w:val="22"/>
          <w:szCs w:val="22"/>
          <w:lang w:val="sr-Latn-ME"/>
        </w:rPr>
        <w:t xml:space="preserve">o smanjenje </w:t>
      </w:r>
      <w:r w:rsidR="008C26C1" w:rsidRPr="00F45A6E">
        <w:rPr>
          <w:sz w:val="22"/>
          <w:szCs w:val="22"/>
          <w:lang w:val="sr-Latn-ME"/>
        </w:rPr>
        <w:t>vrijednost</w:t>
      </w:r>
      <w:r w:rsidR="00F9469F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albumina u serumu mo</w:t>
      </w:r>
      <w:r w:rsidR="00CA658B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 ukazivati na sindrom</w:t>
      </w:r>
      <w:r w:rsidR="00F9469F" w:rsidRPr="00F45A6E">
        <w:rPr>
          <w:sz w:val="22"/>
          <w:szCs w:val="22"/>
          <w:lang w:val="sr-Latn-ME"/>
        </w:rPr>
        <w:t xml:space="preserve"> povećane propustljivosti</w:t>
      </w:r>
      <w:r w:rsidRPr="00F45A6E">
        <w:rPr>
          <w:sz w:val="22"/>
          <w:szCs w:val="22"/>
          <w:lang w:val="sr-Latn-ME"/>
        </w:rPr>
        <w:t xml:space="preserve"> kapilar</w:t>
      </w:r>
      <w:r w:rsidR="00F9469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>. Ako se dijagnoza sindroma</w:t>
      </w:r>
      <w:r w:rsidR="00F9469F" w:rsidRPr="00F45A6E">
        <w:rPr>
          <w:sz w:val="22"/>
          <w:szCs w:val="22"/>
          <w:lang w:val="sr-Latn-ME"/>
        </w:rPr>
        <w:t xml:space="preserve"> povećane propustljivosti</w:t>
      </w:r>
      <w:r w:rsidRPr="00F45A6E">
        <w:rPr>
          <w:sz w:val="22"/>
          <w:szCs w:val="22"/>
          <w:lang w:val="sr-Latn-ME"/>
        </w:rPr>
        <w:t xml:space="preserve"> kapilar</w:t>
      </w:r>
      <w:r w:rsidR="00F9469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potvrdi nakon isključivanja drugih uzroka, </w:t>
      </w:r>
      <w:r w:rsidR="006C7F93" w:rsidRPr="00F45A6E">
        <w:rPr>
          <w:sz w:val="22"/>
          <w:szCs w:val="22"/>
          <w:lang w:val="sr-Latn-ME"/>
        </w:rPr>
        <w:t>nadle</w:t>
      </w:r>
      <w:r w:rsidR="00CA658B" w:rsidRPr="00F45A6E">
        <w:rPr>
          <w:sz w:val="22"/>
          <w:szCs w:val="22"/>
          <w:lang w:val="sr-Latn-ME"/>
        </w:rPr>
        <w:t>ž</w:t>
      </w:r>
      <w:r w:rsidR="006C7F93" w:rsidRPr="00F45A6E">
        <w:rPr>
          <w:sz w:val="22"/>
          <w:szCs w:val="22"/>
          <w:lang w:val="sr-Latn-ME"/>
        </w:rPr>
        <w:t xml:space="preserve">ni </w:t>
      </w:r>
      <w:r w:rsidR="005C3738" w:rsidRPr="00F45A6E">
        <w:rPr>
          <w:sz w:val="22"/>
          <w:szCs w:val="22"/>
          <w:lang w:val="sr-Latn-ME"/>
        </w:rPr>
        <w:t>ljekar</w:t>
      </w:r>
      <w:r w:rsidR="006C7F93" w:rsidRPr="00F45A6E">
        <w:rPr>
          <w:sz w:val="22"/>
          <w:szCs w:val="22"/>
          <w:lang w:val="sr-Latn-ME"/>
        </w:rPr>
        <w:t xml:space="preserve"> mora prekinuti </w:t>
      </w:r>
      <w:r w:rsidR="00031EC5" w:rsidRPr="00F45A6E">
        <w:rPr>
          <w:sz w:val="22"/>
          <w:szCs w:val="22"/>
          <w:lang w:val="sr-Latn-ME"/>
        </w:rPr>
        <w:t>liječenj</w:t>
      </w:r>
      <w:r w:rsidR="006C7F93" w:rsidRPr="00F45A6E">
        <w:rPr>
          <w:sz w:val="22"/>
          <w:szCs w:val="22"/>
          <w:lang w:val="sr-Latn-ME"/>
        </w:rPr>
        <w:t xml:space="preserve">e trabektedinom i započeti </w:t>
      </w:r>
      <w:r w:rsidR="00031EC5" w:rsidRPr="00F45A6E">
        <w:rPr>
          <w:sz w:val="22"/>
          <w:szCs w:val="22"/>
          <w:lang w:val="sr-Latn-ME"/>
        </w:rPr>
        <w:t>liječenj</w:t>
      </w:r>
      <w:r w:rsidR="006C7F93" w:rsidRPr="00F45A6E">
        <w:rPr>
          <w:sz w:val="22"/>
          <w:szCs w:val="22"/>
          <w:lang w:val="sr-Latn-ME"/>
        </w:rPr>
        <w:t xml:space="preserve">e sindroma </w:t>
      </w:r>
      <w:r w:rsidR="00F9469F" w:rsidRPr="00F45A6E">
        <w:rPr>
          <w:sz w:val="22"/>
          <w:szCs w:val="22"/>
          <w:lang w:val="sr-Latn-ME"/>
        </w:rPr>
        <w:t xml:space="preserve">povećane propustljivosti </w:t>
      </w:r>
      <w:r w:rsidR="006C7F93" w:rsidRPr="00F45A6E">
        <w:rPr>
          <w:sz w:val="22"/>
          <w:szCs w:val="22"/>
          <w:lang w:val="sr-Latn-ME"/>
        </w:rPr>
        <w:t>kapilar</w:t>
      </w:r>
      <w:r w:rsidR="00F9469F" w:rsidRPr="00F45A6E">
        <w:rPr>
          <w:sz w:val="22"/>
          <w:szCs w:val="22"/>
          <w:lang w:val="sr-Latn-ME"/>
        </w:rPr>
        <w:t>a</w:t>
      </w:r>
      <w:r w:rsidR="006C7F93" w:rsidRPr="00F45A6E">
        <w:rPr>
          <w:sz w:val="22"/>
          <w:szCs w:val="22"/>
          <w:lang w:val="sr-Latn-ME"/>
        </w:rPr>
        <w:t xml:space="preserve"> prema sm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>ernicama ustanove (</w:t>
      </w:r>
      <w:r w:rsidR="006E0592" w:rsidRPr="00F45A6E">
        <w:rPr>
          <w:sz w:val="22"/>
          <w:szCs w:val="22"/>
          <w:lang w:val="sr-Latn-ME"/>
        </w:rPr>
        <w:t>pogledati djelove</w:t>
      </w:r>
      <w:r w:rsidR="006C7F93" w:rsidRPr="00F45A6E">
        <w:rPr>
          <w:sz w:val="22"/>
          <w:szCs w:val="22"/>
          <w:lang w:val="sr-Latn-ME"/>
        </w:rPr>
        <w:t xml:space="preserve"> 4.2 i 4.8). </w:t>
      </w:r>
    </w:p>
    <w:p w14:paraId="633F2F70" w14:textId="77777777" w:rsidR="00CC77D9" w:rsidRPr="00F45A6E" w:rsidRDefault="00CC77D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34A1A9E" w14:textId="3C27B719" w:rsidR="006C7F93" w:rsidRPr="00F45A6E" w:rsidRDefault="00F9469F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Ostalo</w:t>
      </w:r>
      <w:r w:rsidR="006C7F93" w:rsidRPr="00F45A6E">
        <w:rPr>
          <w:sz w:val="22"/>
          <w:szCs w:val="22"/>
          <w:u w:val="single"/>
          <w:lang w:val="sr-Latn-ME"/>
        </w:rPr>
        <w:t xml:space="preserve"> </w:t>
      </w:r>
    </w:p>
    <w:p w14:paraId="7CEC0C7E" w14:textId="0FB37521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Mora se izbegavati isto</w:t>
      </w:r>
      <w:r w:rsidR="00532F58" w:rsidRPr="00F45A6E">
        <w:rPr>
          <w:sz w:val="22"/>
          <w:szCs w:val="22"/>
          <w:lang w:val="sr-Latn-ME"/>
        </w:rPr>
        <w:t>vreme</w:t>
      </w:r>
      <w:r w:rsidRPr="00F45A6E">
        <w:rPr>
          <w:sz w:val="22"/>
          <w:szCs w:val="22"/>
          <w:lang w:val="sr-Latn-ME"/>
        </w:rPr>
        <w:t xml:space="preserve">na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</w:t>
      </w:r>
      <w:r w:rsidR="00E768BE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</w:t>
      </w:r>
      <w:r w:rsidR="00E768BE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s</w:t>
      </w:r>
      <w:r w:rsidR="00532F5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F9469F" w:rsidRPr="00F45A6E">
        <w:rPr>
          <w:sz w:val="22"/>
          <w:szCs w:val="22"/>
          <w:lang w:val="sr-Latn-ME"/>
        </w:rPr>
        <w:t xml:space="preserve">snažnim </w:t>
      </w:r>
      <w:r w:rsidRPr="00F45A6E">
        <w:rPr>
          <w:sz w:val="22"/>
          <w:szCs w:val="22"/>
          <w:lang w:val="sr-Latn-ME"/>
        </w:rPr>
        <w:t>inhibitorima enzima CYP3A4 (</w:t>
      </w:r>
      <w:r w:rsidR="00376F1D" w:rsidRPr="00F45A6E">
        <w:rPr>
          <w:sz w:val="22"/>
          <w:szCs w:val="22"/>
          <w:lang w:val="sr-Latn-ME"/>
        </w:rPr>
        <w:t>pogledati dio</w:t>
      </w:r>
      <w:r w:rsidR="006E059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4.5). Ako to nije moguće, potrebno je p</w:t>
      </w:r>
      <w:r w:rsidR="00532F58" w:rsidRPr="00F45A6E">
        <w:rPr>
          <w:sz w:val="22"/>
          <w:szCs w:val="22"/>
          <w:lang w:val="sr-Latn-ME"/>
        </w:rPr>
        <w:t>ažljivo</w:t>
      </w:r>
      <w:r w:rsidRPr="00F45A6E">
        <w:rPr>
          <w:sz w:val="22"/>
          <w:szCs w:val="22"/>
          <w:lang w:val="sr-Latn-ME"/>
        </w:rPr>
        <w:t xml:space="preserve"> pratiti</w:t>
      </w:r>
      <w:r w:rsidR="00F9469F" w:rsidRPr="00F45A6E">
        <w:rPr>
          <w:sz w:val="22"/>
          <w:szCs w:val="22"/>
          <w:lang w:val="sr-Latn-ME"/>
        </w:rPr>
        <w:t xml:space="preserve"> pojavu</w:t>
      </w:r>
      <w:r w:rsidRPr="00F45A6E">
        <w:rPr>
          <w:sz w:val="22"/>
          <w:szCs w:val="22"/>
          <w:lang w:val="sr-Latn-ME"/>
        </w:rPr>
        <w:t xml:space="preserve"> toksičnosti, a smanjenje doze trabektedina se </w:t>
      </w:r>
      <w:r w:rsidR="00F9469F" w:rsidRPr="00F45A6E">
        <w:rPr>
          <w:sz w:val="22"/>
          <w:szCs w:val="22"/>
          <w:lang w:val="sr-Latn-ME"/>
        </w:rPr>
        <w:t xml:space="preserve">treba </w:t>
      </w:r>
      <w:r w:rsidRPr="00F45A6E">
        <w:rPr>
          <w:sz w:val="22"/>
          <w:szCs w:val="22"/>
          <w:lang w:val="sr-Latn-ME"/>
        </w:rPr>
        <w:t xml:space="preserve">razmotriti. </w:t>
      </w:r>
    </w:p>
    <w:p w14:paraId="1601D228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6A82999" w14:textId="2C786774" w:rsidR="006C7F93" w:rsidRPr="00F45A6E" w:rsidRDefault="005C373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Ljekov</w:t>
      </w:r>
      <w:r w:rsidR="006C7F93" w:rsidRPr="00F45A6E">
        <w:rPr>
          <w:sz w:val="22"/>
          <w:szCs w:val="22"/>
          <w:lang w:val="sr-Latn-ME"/>
        </w:rPr>
        <w:t>i povezani s</w:t>
      </w:r>
      <w:r w:rsidR="00532F58" w:rsidRPr="00F45A6E">
        <w:rPr>
          <w:sz w:val="22"/>
          <w:szCs w:val="22"/>
          <w:lang w:val="sr-Latn-ME"/>
        </w:rPr>
        <w:t>a</w:t>
      </w:r>
      <w:r w:rsidR="006C7F93" w:rsidRPr="00F45A6E">
        <w:rPr>
          <w:sz w:val="22"/>
          <w:szCs w:val="22"/>
          <w:lang w:val="sr-Latn-ME"/>
        </w:rPr>
        <w:t xml:space="preserve"> hepatotoksičnošću se moraju prim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>enjivati s</w:t>
      </w:r>
      <w:r w:rsidR="00532F58" w:rsidRPr="00F45A6E">
        <w:rPr>
          <w:sz w:val="22"/>
          <w:szCs w:val="22"/>
          <w:lang w:val="sr-Latn-ME"/>
        </w:rPr>
        <w:t>a</w:t>
      </w:r>
      <w:r w:rsidR="006C7F93" w:rsidRPr="00F45A6E">
        <w:rPr>
          <w:sz w:val="22"/>
          <w:szCs w:val="22"/>
          <w:lang w:val="sr-Latn-ME"/>
        </w:rPr>
        <w:t xml:space="preserve"> oprezom ako se prim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>enjuju isto</w:t>
      </w:r>
      <w:r w:rsidR="00532F58" w:rsidRPr="00F45A6E">
        <w:rPr>
          <w:sz w:val="22"/>
          <w:szCs w:val="22"/>
          <w:lang w:val="sr-Latn-ME"/>
        </w:rPr>
        <w:t>vremen</w:t>
      </w:r>
      <w:r w:rsidR="006C7F93" w:rsidRPr="00F45A6E">
        <w:rPr>
          <w:sz w:val="22"/>
          <w:szCs w:val="22"/>
          <w:lang w:val="sr-Latn-ME"/>
        </w:rPr>
        <w:t>o s</w:t>
      </w:r>
      <w:r w:rsidR="00532F58" w:rsidRPr="00F45A6E">
        <w:rPr>
          <w:sz w:val="22"/>
          <w:szCs w:val="22"/>
          <w:lang w:val="sr-Latn-ME"/>
        </w:rPr>
        <w:t xml:space="preserve">a </w:t>
      </w:r>
      <w:r w:rsidR="006C7F93" w:rsidRPr="00F45A6E">
        <w:rPr>
          <w:sz w:val="22"/>
          <w:szCs w:val="22"/>
          <w:lang w:val="sr-Latn-ME"/>
        </w:rPr>
        <w:t>trabektedinom jer se rizik od hepatotoksičnosti mo</w:t>
      </w:r>
      <w:r w:rsidR="00532F58" w:rsidRPr="00F45A6E">
        <w:rPr>
          <w:sz w:val="22"/>
          <w:szCs w:val="22"/>
          <w:lang w:val="sr-Latn-ME"/>
        </w:rPr>
        <w:t>ž</w:t>
      </w:r>
      <w:r w:rsidR="006C7F93" w:rsidRPr="00F45A6E">
        <w:rPr>
          <w:sz w:val="22"/>
          <w:szCs w:val="22"/>
          <w:lang w:val="sr-Latn-ME"/>
        </w:rPr>
        <w:t xml:space="preserve">e povećati. </w:t>
      </w:r>
    </w:p>
    <w:p w14:paraId="07B28843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C5094BE" w14:textId="2225A017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lastRenderedPageBreak/>
        <w:t>Isto</w:t>
      </w:r>
      <w:r w:rsidR="00532F58" w:rsidRPr="00F45A6E">
        <w:rPr>
          <w:sz w:val="22"/>
          <w:szCs w:val="22"/>
          <w:lang w:val="sr-Latn-ME"/>
        </w:rPr>
        <w:t>vremena</w:t>
      </w:r>
      <w:r w:rsidRPr="00F45A6E">
        <w:rPr>
          <w:sz w:val="22"/>
          <w:szCs w:val="22"/>
          <w:lang w:val="sr-Latn-ME"/>
        </w:rPr>
        <w:t xml:space="preserve"> upo</w:t>
      </w:r>
      <w:r w:rsidR="00532F58" w:rsidRPr="00F45A6E">
        <w:rPr>
          <w:sz w:val="22"/>
          <w:szCs w:val="22"/>
          <w:lang w:val="sr-Latn-ME"/>
        </w:rPr>
        <w:t>treb</w:t>
      </w:r>
      <w:r w:rsidRPr="00F45A6E">
        <w:rPr>
          <w:sz w:val="22"/>
          <w:szCs w:val="22"/>
          <w:lang w:val="sr-Latn-ME"/>
        </w:rPr>
        <w:t>a trabektedina s</w:t>
      </w:r>
      <w:r w:rsidR="00532F5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fenitoinom mo</w:t>
      </w:r>
      <w:r w:rsidR="00532F58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 smanjiti apsorpciju fenitoina, što uzrokuje egzacerbaciju konvulzija. Kombinacija trabektedina s</w:t>
      </w:r>
      <w:r w:rsidR="00532F5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fenitoinom ili </w:t>
      </w:r>
      <w:r w:rsidR="00532F58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ivim </w:t>
      </w:r>
      <w:r w:rsidR="00F53427" w:rsidRPr="00F45A6E">
        <w:rPr>
          <w:sz w:val="22"/>
          <w:szCs w:val="22"/>
          <w:lang w:val="sr-Latn-ME"/>
        </w:rPr>
        <w:t xml:space="preserve">atenuisanim </w:t>
      </w:r>
      <w:r w:rsidR="00532F58" w:rsidRPr="00F45A6E">
        <w:rPr>
          <w:sz w:val="22"/>
          <w:szCs w:val="22"/>
          <w:lang w:val="sr-Latn-ME"/>
        </w:rPr>
        <w:t>vakcinama</w:t>
      </w:r>
      <w:r w:rsidRPr="00F45A6E">
        <w:rPr>
          <w:sz w:val="22"/>
          <w:szCs w:val="22"/>
          <w:lang w:val="sr-Latn-ME"/>
        </w:rPr>
        <w:t xml:space="preserve"> nije preporučljiva, a posebno je kontraindi</w:t>
      </w:r>
      <w:r w:rsidR="00532F58" w:rsidRPr="00F45A6E">
        <w:rPr>
          <w:sz w:val="22"/>
          <w:szCs w:val="22"/>
          <w:lang w:val="sr-Latn-ME"/>
        </w:rPr>
        <w:t>kov</w:t>
      </w:r>
      <w:r w:rsidRPr="00F45A6E">
        <w:rPr>
          <w:sz w:val="22"/>
          <w:szCs w:val="22"/>
          <w:lang w:val="sr-Latn-ME"/>
        </w:rPr>
        <w:t xml:space="preserve">ana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</w:t>
      </w:r>
      <w:r w:rsidR="00532F58" w:rsidRPr="00F45A6E">
        <w:rPr>
          <w:sz w:val="22"/>
          <w:szCs w:val="22"/>
          <w:lang w:val="sr-Latn-ME"/>
        </w:rPr>
        <w:t>vakcine</w:t>
      </w:r>
      <w:r w:rsidRPr="00F45A6E">
        <w:rPr>
          <w:sz w:val="22"/>
          <w:szCs w:val="22"/>
          <w:lang w:val="sr-Latn-ME"/>
        </w:rPr>
        <w:t xml:space="preserve"> protiv </w:t>
      </w:r>
      <w:r w:rsidR="00532F58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ute groznice (</w:t>
      </w:r>
      <w:r w:rsidR="00376F1D" w:rsidRPr="00F45A6E">
        <w:rPr>
          <w:sz w:val="22"/>
          <w:szCs w:val="22"/>
          <w:lang w:val="sr-Latn-ME"/>
        </w:rPr>
        <w:t>pogledati dio</w:t>
      </w:r>
      <w:r w:rsidR="006E059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4.3). </w:t>
      </w:r>
    </w:p>
    <w:p w14:paraId="21EF6D2C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A6725C6" w14:textId="187B48C2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Mora se izbegavati isto</w:t>
      </w:r>
      <w:r w:rsidR="00532F58" w:rsidRPr="00F45A6E">
        <w:rPr>
          <w:sz w:val="22"/>
          <w:szCs w:val="22"/>
          <w:lang w:val="sr-Latn-ME"/>
        </w:rPr>
        <w:t>vreme</w:t>
      </w:r>
      <w:r w:rsidRPr="00F45A6E">
        <w:rPr>
          <w:sz w:val="22"/>
          <w:szCs w:val="22"/>
          <w:lang w:val="sr-Latn-ME"/>
        </w:rPr>
        <w:t>na upo</w:t>
      </w:r>
      <w:r w:rsidR="00532F58" w:rsidRPr="00F45A6E">
        <w:rPr>
          <w:sz w:val="22"/>
          <w:szCs w:val="22"/>
          <w:lang w:val="sr-Latn-ME"/>
        </w:rPr>
        <w:t>tre</w:t>
      </w:r>
      <w:r w:rsidRPr="00F45A6E">
        <w:rPr>
          <w:sz w:val="22"/>
          <w:szCs w:val="22"/>
          <w:lang w:val="sr-Latn-ME"/>
        </w:rPr>
        <w:t>ba trabektedina s</w:t>
      </w:r>
      <w:r w:rsidR="00532F5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alkoholom (</w:t>
      </w:r>
      <w:r w:rsidR="00376F1D" w:rsidRPr="00F45A6E">
        <w:rPr>
          <w:sz w:val="22"/>
          <w:szCs w:val="22"/>
          <w:lang w:val="sr-Latn-ME"/>
        </w:rPr>
        <w:t>pogledati dio</w:t>
      </w:r>
      <w:r w:rsidR="006E059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4.5). </w:t>
      </w:r>
    </w:p>
    <w:p w14:paraId="0C02BA29" w14:textId="77777777" w:rsidR="00234544" w:rsidRPr="00F45A6E" w:rsidRDefault="00234544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220F460" w14:textId="7C6C3011" w:rsidR="006C7F93" w:rsidRPr="00F45A6E" w:rsidRDefault="00532F5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Ž</w:t>
      </w:r>
      <w:r w:rsidR="006C7F93" w:rsidRPr="00F45A6E">
        <w:rPr>
          <w:sz w:val="22"/>
          <w:szCs w:val="22"/>
          <w:lang w:val="sr-Latn-ME"/>
        </w:rPr>
        <w:t xml:space="preserve">ene </w:t>
      </w:r>
      <w:r w:rsidRPr="00F45A6E">
        <w:rPr>
          <w:sz w:val="22"/>
          <w:szCs w:val="22"/>
          <w:lang w:val="sr-Latn-ME"/>
        </w:rPr>
        <w:t xml:space="preserve">u </w:t>
      </w:r>
      <w:r w:rsidR="006C7F93" w:rsidRPr="00F45A6E">
        <w:rPr>
          <w:sz w:val="22"/>
          <w:szCs w:val="22"/>
          <w:lang w:val="sr-Latn-ME"/>
        </w:rPr>
        <w:t>reproduktivn</w:t>
      </w:r>
      <w:r w:rsidRPr="00F45A6E">
        <w:rPr>
          <w:sz w:val="22"/>
          <w:szCs w:val="22"/>
          <w:lang w:val="sr-Latn-ME"/>
        </w:rPr>
        <w:t>om</w:t>
      </w:r>
      <w:r w:rsidR="006C7F93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periodu </w:t>
      </w:r>
      <w:r w:rsidR="006C7F93" w:rsidRPr="00F45A6E">
        <w:rPr>
          <w:sz w:val="22"/>
          <w:szCs w:val="22"/>
          <w:lang w:val="sr-Latn-ME"/>
        </w:rPr>
        <w:t xml:space="preserve">moraju koristiti </w:t>
      </w:r>
      <w:r w:rsidRPr="00F45A6E">
        <w:rPr>
          <w:sz w:val="22"/>
          <w:szCs w:val="22"/>
          <w:lang w:val="sr-Latn-ME"/>
        </w:rPr>
        <w:t>efikasan metod</w:t>
      </w:r>
      <w:r w:rsidR="006C7F93" w:rsidRPr="00F45A6E">
        <w:rPr>
          <w:sz w:val="22"/>
          <w:szCs w:val="22"/>
          <w:lang w:val="sr-Latn-ME"/>
        </w:rPr>
        <w:t xml:space="preserve"> kontracepcij</w:t>
      </w:r>
      <w:r w:rsidRPr="00F45A6E">
        <w:rPr>
          <w:sz w:val="22"/>
          <w:szCs w:val="22"/>
          <w:lang w:val="sr-Latn-ME"/>
        </w:rPr>
        <w:t>e</w:t>
      </w:r>
      <w:r w:rsidR="006C7F93" w:rsidRPr="00F45A6E">
        <w:rPr>
          <w:sz w:val="22"/>
          <w:szCs w:val="22"/>
          <w:lang w:val="sr-Latn-ME"/>
        </w:rPr>
        <w:t xml:space="preserve"> t</w:t>
      </w:r>
      <w:r w:rsidRPr="00F45A6E">
        <w:rPr>
          <w:sz w:val="22"/>
          <w:szCs w:val="22"/>
          <w:lang w:val="sr-Latn-ME"/>
        </w:rPr>
        <w:t>o</w:t>
      </w:r>
      <w:r w:rsidR="006C7F93"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="006C7F93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>, kao i</w:t>
      </w:r>
      <w:r w:rsidR="006C7F93" w:rsidRPr="00F45A6E">
        <w:rPr>
          <w:sz w:val="22"/>
          <w:szCs w:val="22"/>
          <w:lang w:val="sr-Latn-ME"/>
        </w:rPr>
        <w:t xml:space="preserve"> 3 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 xml:space="preserve">eseca nakon </w:t>
      </w:r>
      <w:r w:rsidR="00F53427" w:rsidRPr="00F45A6E">
        <w:rPr>
          <w:sz w:val="22"/>
          <w:szCs w:val="22"/>
          <w:lang w:val="sr-Latn-ME"/>
        </w:rPr>
        <w:t xml:space="preserve">obustave terapije </w:t>
      </w:r>
      <w:r w:rsidR="006C7F93" w:rsidRPr="00F45A6E">
        <w:rPr>
          <w:sz w:val="22"/>
          <w:szCs w:val="22"/>
          <w:lang w:val="sr-Latn-ME"/>
        </w:rPr>
        <w:t>i odmah moraju obav</w:t>
      </w:r>
      <w:r w:rsidR="006E0592" w:rsidRPr="00F45A6E">
        <w:rPr>
          <w:sz w:val="22"/>
          <w:szCs w:val="22"/>
          <w:lang w:val="sr-Latn-ME"/>
        </w:rPr>
        <w:t>ij</w:t>
      </w:r>
      <w:r w:rsidR="006C7F93" w:rsidRPr="00F45A6E">
        <w:rPr>
          <w:sz w:val="22"/>
          <w:szCs w:val="22"/>
          <w:lang w:val="sr-Latn-ME"/>
        </w:rPr>
        <w:t xml:space="preserve">estiti </w:t>
      </w:r>
      <w:r w:rsidR="005C3738" w:rsidRPr="00F45A6E">
        <w:rPr>
          <w:sz w:val="22"/>
          <w:szCs w:val="22"/>
          <w:lang w:val="sr-Latn-ME"/>
        </w:rPr>
        <w:t>ljekar</w:t>
      </w:r>
      <w:r w:rsidRPr="00F45A6E">
        <w:rPr>
          <w:sz w:val="22"/>
          <w:szCs w:val="22"/>
          <w:lang w:val="sr-Latn-ME"/>
        </w:rPr>
        <w:t>a</w:t>
      </w:r>
      <w:r w:rsidR="006C7F93" w:rsidRPr="00F45A6E">
        <w:rPr>
          <w:sz w:val="22"/>
          <w:szCs w:val="22"/>
          <w:lang w:val="sr-Latn-ME"/>
        </w:rPr>
        <w:t xml:space="preserve"> koji ih leči u slučaju trudnoće (</w:t>
      </w:r>
      <w:r w:rsidR="00376F1D" w:rsidRPr="00F45A6E">
        <w:rPr>
          <w:sz w:val="22"/>
          <w:szCs w:val="22"/>
          <w:lang w:val="sr-Latn-ME"/>
        </w:rPr>
        <w:t>pogledati dio</w:t>
      </w:r>
      <w:r w:rsidR="006E0592" w:rsidRPr="00F45A6E">
        <w:rPr>
          <w:sz w:val="22"/>
          <w:szCs w:val="22"/>
          <w:lang w:val="sr-Latn-ME"/>
        </w:rPr>
        <w:t xml:space="preserve"> </w:t>
      </w:r>
      <w:r w:rsidR="006C7F93" w:rsidRPr="00F45A6E">
        <w:rPr>
          <w:sz w:val="22"/>
          <w:szCs w:val="22"/>
          <w:lang w:val="sr-Latn-ME"/>
        </w:rPr>
        <w:t xml:space="preserve">5.3). Muškarci u </w:t>
      </w:r>
      <w:r w:rsidR="00F53427" w:rsidRPr="00F45A6E">
        <w:rPr>
          <w:sz w:val="22"/>
          <w:szCs w:val="22"/>
          <w:lang w:val="sr-Latn-ME"/>
        </w:rPr>
        <w:t xml:space="preserve">reproduktivnom </w:t>
      </w:r>
      <w:r w:rsidR="00830061" w:rsidRPr="00F45A6E">
        <w:rPr>
          <w:sz w:val="22"/>
          <w:szCs w:val="22"/>
          <w:lang w:val="sr-Latn-ME"/>
        </w:rPr>
        <w:t>periodu</w:t>
      </w:r>
      <w:r w:rsidR="0001111B" w:rsidRPr="00F45A6E">
        <w:rPr>
          <w:sz w:val="22"/>
          <w:szCs w:val="22"/>
          <w:lang w:val="sr-Latn-ME"/>
        </w:rPr>
        <w:t xml:space="preserve"> </w:t>
      </w:r>
      <w:r w:rsidR="006C7F93" w:rsidRPr="00F45A6E">
        <w:rPr>
          <w:sz w:val="22"/>
          <w:szCs w:val="22"/>
          <w:lang w:val="sr-Latn-ME"/>
        </w:rPr>
        <w:t xml:space="preserve">moraju koristiti </w:t>
      </w:r>
      <w:r w:rsidR="00D5070E" w:rsidRPr="00F45A6E">
        <w:rPr>
          <w:sz w:val="22"/>
          <w:szCs w:val="22"/>
          <w:lang w:val="sr-Latn-ME"/>
        </w:rPr>
        <w:t xml:space="preserve">efikasan metod kontracepcije </w:t>
      </w:r>
      <w:r w:rsidR="006C7F93" w:rsidRPr="00F45A6E">
        <w:rPr>
          <w:sz w:val="22"/>
          <w:szCs w:val="22"/>
          <w:lang w:val="sr-Latn-ME"/>
        </w:rPr>
        <w:t>t</w:t>
      </w:r>
      <w:r w:rsidR="00D5070E" w:rsidRPr="00F45A6E">
        <w:rPr>
          <w:sz w:val="22"/>
          <w:szCs w:val="22"/>
          <w:lang w:val="sr-Latn-ME"/>
        </w:rPr>
        <w:t>o</w:t>
      </w:r>
      <w:r w:rsidR="006C7F93"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="006C7F93" w:rsidRPr="00F45A6E">
        <w:rPr>
          <w:sz w:val="22"/>
          <w:szCs w:val="22"/>
          <w:lang w:val="sr-Latn-ME"/>
        </w:rPr>
        <w:t>a i 5 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 xml:space="preserve">eseci nakon </w:t>
      </w:r>
      <w:r w:rsidR="00031EC5" w:rsidRPr="00F45A6E">
        <w:rPr>
          <w:sz w:val="22"/>
          <w:szCs w:val="22"/>
          <w:lang w:val="sr-Latn-ME"/>
        </w:rPr>
        <w:t>liječenj</w:t>
      </w:r>
      <w:r w:rsidR="006C7F93" w:rsidRPr="00F45A6E">
        <w:rPr>
          <w:sz w:val="22"/>
          <w:szCs w:val="22"/>
          <w:lang w:val="sr-Latn-ME"/>
        </w:rPr>
        <w:t>a (</w:t>
      </w:r>
      <w:r w:rsidR="00376F1D" w:rsidRPr="00F45A6E">
        <w:rPr>
          <w:sz w:val="22"/>
          <w:szCs w:val="22"/>
          <w:lang w:val="sr-Latn-ME"/>
        </w:rPr>
        <w:t>pogledati dio</w:t>
      </w:r>
      <w:r w:rsidR="006E0592" w:rsidRPr="00F45A6E">
        <w:rPr>
          <w:sz w:val="22"/>
          <w:szCs w:val="22"/>
          <w:lang w:val="sr-Latn-ME"/>
        </w:rPr>
        <w:t xml:space="preserve"> </w:t>
      </w:r>
      <w:r w:rsidR="006C7F93" w:rsidRPr="00F45A6E">
        <w:rPr>
          <w:sz w:val="22"/>
          <w:szCs w:val="22"/>
          <w:lang w:val="sr-Latn-ME"/>
        </w:rPr>
        <w:t xml:space="preserve">4.6). </w:t>
      </w:r>
    </w:p>
    <w:p w14:paraId="6D0AE0F3" w14:textId="77777777" w:rsidR="00D5070E" w:rsidRPr="00F45A6E" w:rsidRDefault="00D5070E" w:rsidP="003A690C">
      <w:pPr>
        <w:rPr>
          <w:szCs w:val="22"/>
          <w:lang w:val="sr-Latn-ME"/>
        </w:rPr>
      </w:pPr>
    </w:p>
    <w:p w14:paraId="2BB3621C" w14:textId="1EB16993" w:rsidR="007E3612" w:rsidRPr="00F45A6E" w:rsidRDefault="006C7F93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Vid</w:t>
      </w:r>
      <w:r w:rsidR="006E0592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eti tako</w:t>
      </w:r>
      <w:r w:rsidR="00D5070E" w:rsidRPr="00F45A6E">
        <w:rPr>
          <w:szCs w:val="22"/>
          <w:lang w:val="sr-Latn-ME"/>
        </w:rPr>
        <w:t>đ</w:t>
      </w:r>
      <w:r w:rsidRPr="00F45A6E">
        <w:rPr>
          <w:szCs w:val="22"/>
          <w:lang w:val="sr-Latn-ME"/>
        </w:rPr>
        <w:t xml:space="preserve">e </w:t>
      </w:r>
      <w:r w:rsidR="00D5070E" w:rsidRPr="00F45A6E">
        <w:rPr>
          <w:szCs w:val="22"/>
          <w:lang w:val="sr-Latn-ME"/>
        </w:rPr>
        <w:t>S</w:t>
      </w:r>
      <w:r w:rsidRPr="00F45A6E">
        <w:rPr>
          <w:szCs w:val="22"/>
          <w:lang w:val="sr-Latn-ME"/>
        </w:rPr>
        <w:t>a</w:t>
      </w:r>
      <w:r w:rsidR="00D5070E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etak </w:t>
      </w:r>
      <w:r w:rsidR="00D5070E" w:rsidRPr="00F45A6E">
        <w:rPr>
          <w:szCs w:val="22"/>
          <w:lang w:val="sr-Latn-ME"/>
        </w:rPr>
        <w:t>karakteristika</w:t>
      </w:r>
      <w:r w:rsidRPr="00F45A6E">
        <w:rPr>
          <w:szCs w:val="22"/>
          <w:lang w:val="sr-Latn-ME"/>
        </w:rPr>
        <w:t xml:space="preserve">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 xml:space="preserve">a PLD za </w:t>
      </w:r>
      <w:r w:rsidR="00D5070E" w:rsidRPr="00F45A6E">
        <w:rPr>
          <w:szCs w:val="22"/>
          <w:lang w:val="sr-Latn-ME"/>
        </w:rPr>
        <w:t>detaljnije</w:t>
      </w:r>
      <w:r w:rsidRPr="00F45A6E">
        <w:rPr>
          <w:szCs w:val="22"/>
          <w:lang w:val="sr-Latn-ME"/>
        </w:rPr>
        <w:t xml:space="preserve"> informacije o upozorenjima i m</w:t>
      </w:r>
      <w:r w:rsidR="006E0592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erama opreza.</w:t>
      </w:r>
    </w:p>
    <w:p w14:paraId="790E873A" w14:textId="77777777" w:rsidR="0044072E" w:rsidRPr="00F45A6E" w:rsidRDefault="0044072E" w:rsidP="003A690C">
      <w:pPr>
        <w:rPr>
          <w:szCs w:val="22"/>
          <w:u w:val="single"/>
          <w:lang w:val="sr-Latn-ME"/>
        </w:rPr>
      </w:pPr>
    </w:p>
    <w:p w14:paraId="2F371A77" w14:textId="19D8A3CE" w:rsidR="00F53427" w:rsidRPr="00F45A6E" w:rsidRDefault="00F53427" w:rsidP="003A690C">
      <w:pPr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>Pomoćne supstance sa potvrđenim dejstvom</w:t>
      </w:r>
    </w:p>
    <w:p w14:paraId="7AEB92FF" w14:textId="7B42EDBE" w:rsidR="007E3612" w:rsidRPr="00F45A6E" w:rsidRDefault="003A053C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Ovaj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 xml:space="preserve"> sadrži manje od 1 mmol</w:t>
      </w:r>
      <w:r w:rsidR="0001111B" w:rsidRPr="00F45A6E">
        <w:rPr>
          <w:szCs w:val="22"/>
          <w:lang w:val="sr-Latn-ME"/>
        </w:rPr>
        <w:t xml:space="preserve"> (23 mg)</w:t>
      </w:r>
      <w:r w:rsidRPr="00F45A6E">
        <w:rPr>
          <w:szCs w:val="22"/>
          <w:lang w:val="sr-Latn-ME"/>
        </w:rPr>
        <w:t xml:space="preserve"> natrijuma po dozi, </w:t>
      </w:r>
      <w:r w:rsidR="0001111B" w:rsidRPr="00F45A6E">
        <w:rPr>
          <w:szCs w:val="22"/>
          <w:lang w:val="sr-Latn-ME"/>
        </w:rPr>
        <w:t>odnosno</w:t>
      </w:r>
      <w:r w:rsidRPr="00F45A6E">
        <w:rPr>
          <w:szCs w:val="22"/>
          <w:lang w:val="sr-Latn-ME"/>
        </w:rPr>
        <w:t xml:space="preserve"> suštin</w:t>
      </w:r>
      <w:r w:rsidR="0001111B" w:rsidRPr="00F45A6E">
        <w:rPr>
          <w:szCs w:val="22"/>
          <w:lang w:val="sr-Latn-ME"/>
        </w:rPr>
        <w:t>ski</w:t>
      </w:r>
      <w:r w:rsidRPr="00F45A6E">
        <w:rPr>
          <w:szCs w:val="22"/>
          <w:lang w:val="sr-Latn-ME"/>
        </w:rPr>
        <w:t xml:space="preserve"> je </w:t>
      </w:r>
      <w:r w:rsidR="00F53427" w:rsidRPr="00F45A6E">
        <w:rPr>
          <w:szCs w:val="22"/>
          <w:lang w:val="sr-Latn-ME"/>
        </w:rPr>
        <w:t>“</w:t>
      </w:r>
      <w:r w:rsidRPr="00F45A6E">
        <w:rPr>
          <w:szCs w:val="22"/>
          <w:lang w:val="sr-Latn-ME"/>
        </w:rPr>
        <w:t>bez natrijuma</w:t>
      </w:r>
      <w:r w:rsidR="00F53427" w:rsidRPr="00F45A6E">
        <w:rPr>
          <w:szCs w:val="22"/>
          <w:lang w:val="sr-Latn-ME"/>
        </w:rPr>
        <w:t>”</w:t>
      </w:r>
      <w:r w:rsidRPr="00F45A6E">
        <w:rPr>
          <w:szCs w:val="22"/>
          <w:lang w:val="sr-Latn-ME"/>
        </w:rPr>
        <w:t>.</w:t>
      </w:r>
    </w:p>
    <w:p w14:paraId="3A73312E" w14:textId="77777777" w:rsidR="00CE09F3" w:rsidRPr="00F45A6E" w:rsidRDefault="00CE09F3" w:rsidP="003A690C">
      <w:pPr>
        <w:rPr>
          <w:szCs w:val="22"/>
          <w:lang w:val="sr-Latn-ME"/>
        </w:rPr>
      </w:pPr>
    </w:p>
    <w:p w14:paraId="703284F4" w14:textId="2571C036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 xml:space="preserve">4.5. Interakcije sa drugim </w:t>
      </w:r>
      <w:r w:rsidR="005C3738" w:rsidRPr="00F45A6E">
        <w:rPr>
          <w:b/>
          <w:bCs/>
          <w:szCs w:val="22"/>
          <w:lang w:val="sr-Latn-ME"/>
        </w:rPr>
        <w:t>ljekov</w:t>
      </w:r>
      <w:r w:rsidRPr="00F45A6E">
        <w:rPr>
          <w:b/>
          <w:bCs/>
          <w:szCs w:val="22"/>
          <w:lang w:val="sr-Latn-ME"/>
        </w:rPr>
        <w:t>ima i druge vrste interakcija</w:t>
      </w:r>
    </w:p>
    <w:p w14:paraId="5D237D46" w14:textId="77777777" w:rsidR="00240422" w:rsidRPr="00F45A6E" w:rsidRDefault="00240422" w:rsidP="003A690C">
      <w:pPr>
        <w:rPr>
          <w:b/>
          <w:bCs/>
          <w:szCs w:val="22"/>
          <w:lang w:val="sr-Latn-ME"/>
        </w:rPr>
      </w:pPr>
    </w:p>
    <w:p w14:paraId="215CA255" w14:textId="6F779834" w:rsidR="00936BE2" w:rsidRPr="00F45A6E" w:rsidRDefault="002C30EA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Uticaj </w:t>
      </w:r>
      <w:r w:rsidR="006C7F93" w:rsidRPr="00F45A6E">
        <w:rPr>
          <w:sz w:val="22"/>
          <w:szCs w:val="22"/>
          <w:u w:val="single"/>
          <w:lang w:val="sr-Latn-ME"/>
        </w:rPr>
        <w:t xml:space="preserve">drugih </w:t>
      </w:r>
      <w:r w:rsidR="00936BE2" w:rsidRPr="00F45A6E">
        <w:rPr>
          <w:sz w:val="22"/>
          <w:szCs w:val="22"/>
          <w:u w:val="single"/>
          <w:lang w:val="sr-Latn-ME"/>
        </w:rPr>
        <w:t xml:space="preserve">supstanci </w:t>
      </w:r>
      <w:r w:rsidR="006C7F93" w:rsidRPr="00F45A6E">
        <w:rPr>
          <w:sz w:val="22"/>
          <w:szCs w:val="22"/>
          <w:u w:val="single"/>
          <w:lang w:val="sr-Latn-ME"/>
        </w:rPr>
        <w:t xml:space="preserve">na trabektedin </w:t>
      </w:r>
    </w:p>
    <w:p w14:paraId="3E26B554" w14:textId="77777777" w:rsidR="00C157E6" w:rsidRPr="00F45A6E" w:rsidRDefault="00C157E6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096C103C" w14:textId="4A42F3BE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Ispitivanja interakcija </w:t>
      </w:r>
      <w:r w:rsidR="00936BE2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provedena su samo </w:t>
      </w:r>
      <w:r w:rsidR="00936BE2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odraslih</w:t>
      </w:r>
      <w:r w:rsidR="002C30EA" w:rsidRPr="00F45A6E">
        <w:rPr>
          <w:sz w:val="22"/>
          <w:szCs w:val="22"/>
          <w:lang w:val="sr-Latn-ME"/>
        </w:rPr>
        <w:t xml:space="preserve"> osoba</w:t>
      </w:r>
      <w:r w:rsidRPr="00F45A6E">
        <w:rPr>
          <w:sz w:val="22"/>
          <w:szCs w:val="22"/>
          <w:lang w:val="sr-Latn-ME"/>
        </w:rPr>
        <w:t xml:space="preserve">. </w:t>
      </w:r>
    </w:p>
    <w:p w14:paraId="2EFF6334" w14:textId="77777777" w:rsidR="00936BE2" w:rsidRPr="00F45A6E" w:rsidRDefault="00936BE2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1B7774F" w14:textId="1044DDB7" w:rsidR="006C7F93" w:rsidRPr="00F45A6E" w:rsidRDefault="00936BE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S obzirom</w:t>
      </w:r>
      <w:r w:rsidR="006C7F93" w:rsidRPr="00F45A6E">
        <w:rPr>
          <w:sz w:val="22"/>
          <w:szCs w:val="22"/>
          <w:lang w:val="sr-Latn-ME"/>
        </w:rPr>
        <w:t xml:space="preserve"> da se trabektedin metaboli</w:t>
      </w:r>
      <w:r w:rsidRPr="00F45A6E">
        <w:rPr>
          <w:sz w:val="22"/>
          <w:szCs w:val="22"/>
          <w:lang w:val="sr-Latn-ME"/>
        </w:rPr>
        <w:t>še</w:t>
      </w:r>
      <w:r w:rsidR="006C7F93" w:rsidRPr="00F45A6E">
        <w:rPr>
          <w:sz w:val="22"/>
          <w:szCs w:val="22"/>
          <w:lang w:val="sr-Latn-ME"/>
        </w:rPr>
        <w:t xml:space="preserve"> uglavnom putem CYP3A4, koncentracije trabektedina u plazmi v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>ero</w:t>
      </w:r>
      <w:r w:rsidRPr="00F45A6E">
        <w:rPr>
          <w:sz w:val="22"/>
          <w:szCs w:val="22"/>
          <w:lang w:val="sr-Latn-ME"/>
        </w:rPr>
        <w:t>v</w:t>
      </w:r>
      <w:r w:rsidR="006C7F93" w:rsidRPr="00F45A6E">
        <w:rPr>
          <w:sz w:val="22"/>
          <w:szCs w:val="22"/>
          <w:lang w:val="sr-Latn-ME"/>
        </w:rPr>
        <w:t>atno će se povećati kod bolesnika koji isto</w:t>
      </w:r>
      <w:r w:rsidR="00963774" w:rsidRPr="00F45A6E">
        <w:rPr>
          <w:sz w:val="22"/>
          <w:szCs w:val="22"/>
          <w:lang w:val="sr-Latn-ME"/>
        </w:rPr>
        <w:t>vreme</w:t>
      </w:r>
      <w:r w:rsidR="006C7F93" w:rsidRPr="00F45A6E">
        <w:rPr>
          <w:sz w:val="22"/>
          <w:szCs w:val="22"/>
          <w:lang w:val="sr-Latn-ME"/>
        </w:rPr>
        <w:t>no prim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 xml:space="preserve">enjuju </w:t>
      </w:r>
      <w:r w:rsidR="005C3738" w:rsidRPr="00F45A6E">
        <w:rPr>
          <w:sz w:val="22"/>
          <w:szCs w:val="22"/>
          <w:lang w:val="sr-Latn-ME"/>
        </w:rPr>
        <w:t>ljekov</w:t>
      </w:r>
      <w:r w:rsidR="006C7F93" w:rsidRPr="00F45A6E">
        <w:rPr>
          <w:sz w:val="22"/>
          <w:szCs w:val="22"/>
          <w:lang w:val="sr-Latn-ME"/>
        </w:rPr>
        <w:t xml:space="preserve">e koji mogu inhibirati aktivnost </w:t>
      </w:r>
      <w:r w:rsidR="002C30EA" w:rsidRPr="00F45A6E">
        <w:rPr>
          <w:sz w:val="22"/>
          <w:szCs w:val="22"/>
          <w:lang w:val="sr-Latn-ME"/>
        </w:rPr>
        <w:t>ov</w:t>
      </w:r>
      <w:r w:rsidR="006C7F93" w:rsidRPr="00F45A6E">
        <w:rPr>
          <w:sz w:val="22"/>
          <w:szCs w:val="22"/>
          <w:lang w:val="sr-Latn-ME"/>
        </w:rPr>
        <w:t>og izoenzima. Slično tome, isto</w:t>
      </w:r>
      <w:r w:rsidR="00963774" w:rsidRPr="00F45A6E">
        <w:rPr>
          <w:sz w:val="22"/>
          <w:szCs w:val="22"/>
          <w:lang w:val="sr-Latn-ME"/>
        </w:rPr>
        <w:t>vreme</w:t>
      </w:r>
      <w:r w:rsidR="006C7F93" w:rsidRPr="00F45A6E">
        <w:rPr>
          <w:sz w:val="22"/>
          <w:szCs w:val="22"/>
          <w:lang w:val="sr-Latn-ME"/>
        </w:rPr>
        <w:t xml:space="preserve">na </w:t>
      </w:r>
      <w:r w:rsidR="008E59DE" w:rsidRPr="00F45A6E">
        <w:rPr>
          <w:sz w:val="22"/>
          <w:szCs w:val="22"/>
          <w:lang w:val="sr-Latn-ME"/>
        </w:rPr>
        <w:t>primjena</w:t>
      </w:r>
      <w:r w:rsidR="006C7F93" w:rsidRPr="00F45A6E">
        <w:rPr>
          <w:sz w:val="22"/>
          <w:szCs w:val="22"/>
          <w:lang w:val="sr-Latn-ME"/>
        </w:rPr>
        <w:t xml:space="preserve"> trabektedina sa </w:t>
      </w:r>
      <w:r w:rsidR="002C30EA" w:rsidRPr="00F45A6E">
        <w:rPr>
          <w:sz w:val="22"/>
          <w:szCs w:val="22"/>
          <w:lang w:val="sr-Latn-ME"/>
        </w:rPr>
        <w:t xml:space="preserve">snažnim </w:t>
      </w:r>
      <w:r w:rsidR="006C7F93" w:rsidRPr="00F45A6E">
        <w:rPr>
          <w:sz w:val="22"/>
          <w:szCs w:val="22"/>
          <w:lang w:val="sr-Latn-ME"/>
        </w:rPr>
        <w:t>induktorima CYP3A4 mo</w:t>
      </w:r>
      <w:r w:rsidR="00963774" w:rsidRPr="00F45A6E">
        <w:rPr>
          <w:sz w:val="22"/>
          <w:szCs w:val="22"/>
          <w:lang w:val="sr-Latn-ME"/>
        </w:rPr>
        <w:t>ž</w:t>
      </w:r>
      <w:r w:rsidR="006C7F93" w:rsidRPr="00F45A6E">
        <w:rPr>
          <w:sz w:val="22"/>
          <w:szCs w:val="22"/>
          <w:lang w:val="sr-Latn-ME"/>
        </w:rPr>
        <w:t xml:space="preserve">e povećati metabolički klirens trabektedina. Dva </w:t>
      </w:r>
      <w:r w:rsidR="006C7F93" w:rsidRPr="00F45A6E">
        <w:rPr>
          <w:i/>
          <w:iCs/>
          <w:sz w:val="22"/>
          <w:szCs w:val="22"/>
          <w:lang w:val="sr-Latn-ME"/>
        </w:rPr>
        <w:t xml:space="preserve">in vivo </w:t>
      </w:r>
      <w:r w:rsidR="006C7F93" w:rsidRPr="00F45A6E">
        <w:rPr>
          <w:sz w:val="22"/>
          <w:szCs w:val="22"/>
          <w:lang w:val="sr-Latn-ME"/>
        </w:rPr>
        <w:t>faze I ispitivanja interakcija me</w:t>
      </w:r>
      <w:r w:rsidR="00963774" w:rsidRPr="00F45A6E">
        <w:rPr>
          <w:sz w:val="22"/>
          <w:szCs w:val="22"/>
          <w:lang w:val="sr-Latn-ME"/>
        </w:rPr>
        <w:t>đ</w:t>
      </w:r>
      <w:r w:rsidR="006C7F93" w:rsidRPr="00F45A6E">
        <w:rPr>
          <w:sz w:val="22"/>
          <w:szCs w:val="22"/>
          <w:lang w:val="sr-Latn-ME"/>
        </w:rPr>
        <w:t xml:space="preserve">u </w:t>
      </w:r>
      <w:r w:rsidR="005C3738" w:rsidRPr="00F45A6E">
        <w:rPr>
          <w:sz w:val="22"/>
          <w:szCs w:val="22"/>
          <w:lang w:val="sr-Latn-ME"/>
        </w:rPr>
        <w:t>ljekov</w:t>
      </w:r>
      <w:r w:rsidR="006C7F93" w:rsidRPr="00F45A6E">
        <w:rPr>
          <w:sz w:val="22"/>
          <w:szCs w:val="22"/>
          <w:lang w:val="sr-Latn-ME"/>
        </w:rPr>
        <w:t>ima, potvrdila su trend prema povećanju, odnosno smanjenju izlo</w:t>
      </w:r>
      <w:r w:rsidR="00963774" w:rsidRPr="00F45A6E">
        <w:rPr>
          <w:sz w:val="22"/>
          <w:szCs w:val="22"/>
          <w:lang w:val="sr-Latn-ME"/>
        </w:rPr>
        <w:t>ž</w:t>
      </w:r>
      <w:r w:rsidR="006C7F93" w:rsidRPr="00F45A6E">
        <w:rPr>
          <w:sz w:val="22"/>
          <w:szCs w:val="22"/>
          <w:lang w:val="sr-Latn-ME"/>
        </w:rPr>
        <w:t>enosti trabektedinu kada je prim</w:t>
      </w:r>
      <w:r w:rsidR="006E0592" w:rsidRPr="00F45A6E">
        <w:rPr>
          <w:sz w:val="22"/>
          <w:szCs w:val="22"/>
          <w:lang w:val="sr-Latn-ME"/>
        </w:rPr>
        <w:t>j</w:t>
      </w:r>
      <w:r w:rsidR="006C7F93" w:rsidRPr="00F45A6E">
        <w:rPr>
          <w:sz w:val="22"/>
          <w:szCs w:val="22"/>
          <w:lang w:val="sr-Latn-ME"/>
        </w:rPr>
        <w:t>enjen s</w:t>
      </w:r>
      <w:r w:rsidR="00963774" w:rsidRPr="00F45A6E">
        <w:rPr>
          <w:sz w:val="22"/>
          <w:szCs w:val="22"/>
          <w:lang w:val="sr-Latn-ME"/>
        </w:rPr>
        <w:t>a</w:t>
      </w:r>
      <w:r w:rsidR="006C7F93" w:rsidRPr="00F45A6E">
        <w:rPr>
          <w:sz w:val="22"/>
          <w:szCs w:val="22"/>
          <w:lang w:val="sr-Latn-ME"/>
        </w:rPr>
        <w:t xml:space="preserve"> ketokonazolom, odnosno rifampicinom. </w:t>
      </w:r>
    </w:p>
    <w:p w14:paraId="5FDB3C60" w14:textId="77777777" w:rsidR="007C677F" w:rsidRPr="00F45A6E" w:rsidRDefault="007C677F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668DD4D" w14:textId="4C49A15A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Kod isto</w:t>
      </w:r>
      <w:r w:rsidR="00963774" w:rsidRPr="00F45A6E">
        <w:rPr>
          <w:sz w:val="22"/>
          <w:szCs w:val="22"/>
          <w:lang w:val="sr-Latn-ME"/>
        </w:rPr>
        <w:t>vreme</w:t>
      </w:r>
      <w:r w:rsidRPr="00F45A6E">
        <w:rPr>
          <w:sz w:val="22"/>
          <w:szCs w:val="22"/>
          <w:lang w:val="sr-Latn-ME"/>
        </w:rPr>
        <w:t>ne prim</w:t>
      </w:r>
      <w:r w:rsidR="006E059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ene ketonazola sa trabektedinom, izlo</w:t>
      </w:r>
      <w:r w:rsidR="0096377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enost trabektedinu u plazmi bila je povećana za 21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za Cmax </w:t>
      </w:r>
      <w:r w:rsidR="008C26C1" w:rsidRPr="00F45A6E">
        <w:rPr>
          <w:sz w:val="22"/>
          <w:szCs w:val="22"/>
          <w:lang w:val="sr-Latn-ME"/>
        </w:rPr>
        <w:t>vrijednost</w:t>
      </w:r>
      <w:r w:rsidR="002C30EA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i 66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za </w:t>
      </w:r>
      <w:r w:rsidR="002C30EA" w:rsidRPr="00F45A6E">
        <w:rPr>
          <w:sz w:val="22"/>
          <w:szCs w:val="22"/>
          <w:lang w:val="sr-Latn-ME"/>
        </w:rPr>
        <w:t xml:space="preserve">PIK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 xml:space="preserve">, </w:t>
      </w:r>
      <w:r w:rsidR="002C30EA" w:rsidRPr="00F45A6E">
        <w:rPr>
          <w:sz w:val="22"/>
          <w:szCs w:val="22"/>
          <w:lang w:val="sr-Latn-ME"/>
        </w:rPr>
        <w:t xml:space="preserve">međutim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identif</w:t>
      </w:r>
      <w:r w:rsidR="00963774" w:rsidRPr="00F45A6E">
        <w:rPr>
          <w:sz w:val="22"/>
          <w:szCs w:val="22"/>
          <w:lang w:val="sr-Latn-ME"/>
        </w:rPr>
        <w:t>ikova</w:t>
      </w:r>
      <w:r w:rsidRPr="00F45A6E">
        <w:rPr>
          <w:sz w:val="22"/>
          <w:szCs w:val="22"/>
          <w:lang w:val="sr-Latn-ME"/>
        </w:rPr>
        <w:t xml:space="preserve">ni novi </w:t>
      </w:r>
      <w:r w:rsidR="002C30EA" w:rsidRPr="00F45A6E">
        <w:rPr>
          <w:sz w:val="22"/>
          <w:szCs w:val="22"/>
          <w:lang w:val="sr-Latn-ME"/>
        </w:rPr>
        <w:t>bezbednosni rizici</w:t>
      </w:r>
      <w:r w:rsidRPr="00F45A6E">
        <w:rPr>
          <w:sz w:val="22"/>
          <w:szCs w:val="22"/>
          <w:lang w:val="sr-Latn-ME"/>
        </w:rPr>
        <w:t>. Potrebno je pa</w:t>
      </w:r>
      <w:r w:rsidR="0096377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ljivo pratiti</w:t>
      </w:r>
      <w:r w:rsidR="002C30EA" w:rsidRPr="00F45A6E">
        <w:rPr>
          <w:sz w:val="22"/>
          <w:szCs w:val="22"/>
          <w:lang w:val="sr-Latn-ME"/>
        </w:rPr>
        <w:t xml:space="preserve"> pojavu</w:t>
      </w:r>
      <w:r w:rsidRPr="00F45A6E">
        <w:rPr>
          <w:sz w:val="22"/>
          <w:szCs w:val="22"/>
          <w:lang w:val="sr-Latn-ME"/>
        </w:rPr>
        <w:t xml:space="preserve"> toksičnosti kod </w:t>
      </w:r>
      <w:r w:rsidR="00963774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koji primaju trabektedin u kombinaciji sa </w:t>
      </w:r>
      <w:r w:rsidR="002C30EA" w:rsidRPr="00F45A6E">
        <w:rPr>
          <w:sz w:val="22"/>
          <w:szCs w:val="22"/>
          <w:lang w:val="sr-Latn-ME"/>
        </w:rPr>
        <w:t xml:space="preserve">snažnim </w:t>
      </w:r>
      <w:r w:rsidRPr="00F45A6E">
        <w:rPr>
          <w:sz w:val="22"/>
          <w:szCs w:val="22"/>
          <w:lang w:val="sr-Latn-ME"/>
        </w:rPr>
        <w:t>CYP3A4 inhibitorima (npr. ketokonazol</w:t>
      </w:r>
      <w:r w:rsidR="002C30EA" w:rsidRPr="00F45A6E">
        <w:rPr>
          <w:sz w:val="22"/>
          <w:szCs w:val="22"/>
          <w:lang w:val="sr-Latn-ME"/>
        </w:rPr>
        <w:t xml:space="preserve"> prim</w:t>
      </w:r>
      <w:r w:rsidR="006E0592" w:rsidRPr="00F45A6E">
        <w:rPr>
          <w:sz w:val="22"/>
          <w:szCs w:val="22"/>
          <w:lang w:val="sr-Latn-ME"/>
        </w:rPr>
        <w:t>j</w:t>
      </w:r>
      <w:r w:rsidR="002C30EA" w:rsidRPr="00F45A6E">
        <w:rPr>
          <w:sz w:val="22"/>
          <w:szCs w:val="22"/>
          <w:lang w:val="sr-Latn-ME"/>
        </w:rPr>
        <w:t>enjen oralnim putem</w:t>
      </w:r>
      <w:r w:rsidRPr="00F45A6E">
        <w:rPr>
          <w:sz w:val="22"/>
          <w:szCs w:val="22"/>
          <w:lang w:val="sr-Latn-ME"/>
        </w:rPr>
        <w:t>, flukonazol, ritonavir, klaritromicin ili aprepitant) i ako je moguće takve kombinacije trebal</w:t>
      </w:r>
      <w:r w:rsidR="00963774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 bi izb</w:t>
      </w:r>
      <w:r w:rsidR="00485335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egavati. Ako su takve kombinacije </w:t>
      </w:r>
      <w:r w:rsidR="005C3738" w:rsidRPr="00F45A6E">
        <w:rPr>
          <w:sz w:val="22"/>
          <w:szCs w:val="22"/>
          <w:lang w:val="sr-Latn-ME"/>
        </w:rPr>
        <w:t>ljekov</w:t>
      </w:r>
      <w:r w:rsidRPr="00F45A6E">
        <w:rPr>
          <w:sz w:val="22"/>
          <w:szCs w:val="22"/>
          <w:lang w:val="sr-Latn-ME"/>
        </w:rPr>
        <w:t xml:space="preserve">a </w:t>
      </w:r>
      <w:r w:rsidR="00963774" w:rsidRPr="00F45A6E">
        <w:rPr>
          <w:sz w:val="22"/>
          <w:szCs w:val="22"/>
          <w:lang w:val="sr-Latn-ME"/>
        </w:rPr>
        <w:t>neophodne</w:t>
      </w:r>
      <w:r w:rsidRPr="00F45A6E">
        <w:rPr>
          <w:sz w:val="22"/>
          <w:szCs w:val="22"/>
          <w:lang w:val="sr-Latn-ME"/>
        </w:rPr>
        <w:t>, u slučaju pojave toksičnosti potrebn</w:t>
      </w:r>
      <w:r w:rsidR="002C30EA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 </w:t>
      </w:r>
      <w:r w:rsidR="002C30EA" w:rsidRPr="00F45A6E">
        <w:rPr>
          <w:sz w:val="22"/>
          <w:szCs w:val="22"/>
          <w:lang w:val="sr-Latn-ME"/>
        </w:rPr>
        <w:t>je</w:t>
      </w:r>
      <w:r w:rsidRPr="00F45A6E">
        <w:rPr>
          <w:sz w:val="22"/>
          <w:szCs w:val="22"/>
          <w:lang w:val="sr-Latn-ME"/>
        </w:rPr>
        <w:t xml:space="preserve"> odgovarajuć</w:t>
      </w:r>
      <w:r w:rsidR="002C30EA" w:rsidRPr="00F45A6E">
        <w:rPr>
          <w:sz w:val="22"/>
          <w:szCs w:val="22"/>
          <w:lang w:val="sr-Latn-ME"/>
        </w:rPr>
        <w:t>e</w:t>
      </w:r>
      <w:r w:rsidR="00963774" w:rsidRPr="00F45A6E">
        <w:rPr>
          <w:sz w:val="22"/>
          <w:szCs w:val="22"/>
          <w:lang w:val="sr-Latn-ME"/>
        </w:rPr>
        <w:t xml:space="preserve"> prilagođavanj</w:t>
      </w:r>
      <w:r w:rsidR="002C30EA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doze (</w:t>
      </w:r>
      <w:r w:rsidR="006E0592" w:rsidRPr="00F45A6E">
        <w:rPr>
          <w:sz w:val="22"/>
          <w:szCs w:val="22"/>
          <w:lang w:val="sr-Latn-ME"/>
        </w:rPr>
        <w:t>pogledati djelove</w:t>
      </w:r>
      <w:r w:rsidR="00963774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4.2 i 4.4). </w:t>
      </w:r>
    </w:p>
    <w:p w14:paraId="63BBEB1F" w14:textId="77777777" w:rsidR="007C677F" w:rsidRPr="00F45A6E" w:rsidRDefault="007C677F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FFEB760" w14:textId="1B75468A" w:rsidR="006C7F93" w:rsidRPr="00F45A6E" w:rsidRDefault="006C7F9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Kada se rifampicin prim</w:t>
      </w:r>
      <w:r w:rsidR="00807C97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enjivao isto</w:t>
      </w:r>
      <w:r w:rsidR="00963774" w:rsidRPr="00F45A6E">
        <w:rPr>
          <w:sz w:val="22"/>
          <w:szCs w:val="22"/>
          <w:lang w:val="sr-Latn-ME"/>
        </w:rPr>
        <w:t>vremen</w:t>
      </w:r>
      <w:r w:rsidRPr="00F45A6E">
        <w:rPr>
          <w:sz w:val="22"/>
          <w:szCs w:val="22"/>
          <w:lang w:val="sr-Latn-ME"/>
        </w:rPr>
        <w:t>o sa trabektedinom, izlo</w:t>
      </w:r>
      <w:r w:rsidR="0096377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enost trabektedinu u plazmi bila je smanjena za </w:t>
      </w:r>
      <w:r w:rsidR="002C30EA" w:rsidRPr="00F45A6E">
        <w:rPr>
          <w:sz w:val="22"/>
          <w:szCs w:val="22"/>
          <w:lang w:val="sr-Latn-ME"/>
        </w:rPr>
        <w:t xml:space="preserve">približno </w:t>
      </w:r>
      <w:r w:rsidRPr="00F45A6E">
        <w:rPr>
          <w:sz w:val="22"/>
          <w:szCs w:val="22"/>
          <w:lang w:val="sr-Latn-ME"/>
        </w:rPr>
        <w:t>22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za Cmax</w:t>
      </w:r>
      <w:r w:rsidR="002C30EA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 xml:space="preserve"> i 31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za </w:t>
      </w:r>
      <w:r w:rsidR="002C30EA" w:rsidRPr="00F45A6E">
        <w:rPr>
          <w:sz w:val="22"/>
          <w:szCs w:val="22"/>
          <w:lang w:val="sr-Latn-ME"/>
        </w:rPr>
        <w:t xml:space="preserve">PIK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 xml:space="preserve">. </w:t>
      </w:r>
      <w:r w:rsidR="00963774" w:rsidRPr="00F45A6E">
        <w:rPr>
          <w:sz w:val="22"/>
          <w:szCs w:val="22"/>
          <w:lang w:val="sr-Latn-ME"/>
        </w:rPr>
        <w:t>Z</w:t>
      </w:r>
      <w:r w:rsidR="002C30EA" w:rsidRPr="00F45A6E">
        <w:rPr>
          <w:sz w:val="22"/>
          <w:szCs w:val="22"/>
          <w:lang w:val="sr-Latn-ME"/>
        </w:rPr>
        <w:t>bog toga</w:t>
      </w:r>
      <w:r w:rsidRPr="00F45A6E">
        <w:rPr>
          <w:sz w:val="22"/>
          <w:szCs w:val="22"/>
          <w:lang w:val="sr-Latn-ME"/>
        </w:rPr>
        <w:t>, isto</w:t>
      </w:r>
      <w:r w:rsidR="00963774" w:rsidRPr="00F45A6E">
        <w:rPr>
          <w:sz w:val="22"/>
          <w:szCs w:val="22"/>
          <w:lang w:val="sr-Latn-ME"/>
        </w:rPr>
        <w:t>vreme</w:t>
      </w:r>
      <w:r w:rsidRPr="00F45A6E">
        <w:rPr>
          <w:sz w:val="22"/>
          <w:szCs w:val="22"/>
          <w:lang w:val="sr-Latn-ME"/>
        </w:rPr>
        <w:t>nu prim</w:t>
      </w:r>
      <w:r w:rsidR="00807C97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enu trabektedina sa sn</w:t>
      </w:r>
      <w:r w:rsidR="00CC0188" w:rsidRPr="00F45A6E">
        <w:rPr>
          <w:sz w:val="22"/>
          <w:szCs w:val="22"/>
          <w:lang w:val="sr-Latn-ME"/>
        </w:rPr>
        <w:t>a</w:t>
      </w:r>
      <w:r w:rsidR="0096377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nim CYP3A4 induktorima (npr. rifampicin, fenobarbital, </w:t>
      </w:r>
      <w:r w:rsidR="008367EC" w:rsidRPr="00F45A6E">
        <w:rPr>
          <w:sz w:val="22"/>
          <w:szCs w:val="22"/>
          <w:lang w:val="sr-Latn-ME"/>
        </w:rPr>
        <w:t>kantarion</w:t>
      </w:r>
      <w:r w:rsidRPr="00F45A6E">
        <w:rPr>
          <w:sz w:val="22"/>
          <w:szCs w:val="22"/>
          <w:lang w:val="sr-Latn-ME"/>
        </w:rPr>
        <w:t>) treba izb</w:t>
      </w:r>
      <w:r w:rsidR="00807C97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egavati ako je to moguće (</w:t>
      </w:r>
      <w:r w:rsidR="00376F1D" w:rsidRPr="00F45A6E">
        <w:rPr>
          <w:sz w:val="22"/>
          <w:szCs w:val="22"/>
          <w:lang w:val="sr-Latn-ME"/>
        </w:rPr>
        <w:t>pogledati dio</w:t>
      </w:r>
      <w:r w:rsidR="00807C97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4.4). </w:t>
      </w:r>
    </w:p>
    <w:p w14:paraId="3AF05202" w14:textId="77777777" w:rsidR="00504B5D" w:rsidRPr="00F45A6E" w:rsidRDefault="00504B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B422C9F" w14:textId="4B29C5CA" w:rsidR="00CE09F3" w:rsidRPr="00F45A6E" w:rsidRDefault="006C7F93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Konzumacija alkohola mora se izb</w:t>
      </w:r>
      <w:r w:rsidR="00807C97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egavati t</w:t>
      </w:r>
      <w:r w:rsidR="00963774" w:rsidRPr="00F45A6E">
        <w:rPr>
          <w:szCs w:val="22"/>
          <w:lang w:val="sr-Latn-ME"/>
        </w:rPr>
        <w:t>o</w:t>
      </w:r>
      <w:r w:rsidRPr="00F45A6E">
        <w:rPr>
          <w:szCs w:val="22"/>
          <w:lang w:val="sr-Latn-ME"/>
        </w:rPr>
        <w:t xml:space="preserve">kom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 xml:space="preserve">a trabektedinom zbog hepatotoksičnosti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>a (</w:t>
      </w:r>
      <w:r w:rsidR="00376F1D" w:rsidRPr="00F45A6E">
        <w:rPr>
          <w:szCs w:val="22"/>
          <w:lang w:val="sr-Latn-ME"/>
        </w:rPr>
        <w:t>pogledati dio</w:t>
      </w:r>
      <w:r w:rsidR="00807C97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4.4).</w:t>
      </w:r>
    </w:p>
    <w:p w14:paraId="2350CF2E" w14:textId="6E28DE11" w:rsidR="001409F2" w:rsidRPr="00F45A6E" w:rsidRDefault="001409F2" w:rsidP="003A690C">
      <w:pPr>
        <w:rPr>
          <w:szCs w:val="22"/>
          <w:lang w:val="sr-Latn-ME"/>
        </w:rPr>
      </w:pPr>
    </w:p>
    <w:p w14:paraId="30DC2185" w14:textId="45B1E2E8" w:rsidR="001409F2" w:rsidRPr="00F45A6E" w:rsidRDefault="001409F2" w:rsidP="003A690C">
      <w:pPr>
        <w:rPr>
          <w:szCs w:val="22"/>
          <w:u w:val="single"/>
          <w:lang w:val="sr-Latn-ME"/>
        </w:rPr>
      </w:pPr>
      <w:r w:rsidRPr="00F45A6E">
        <w:rPr>
          <w:szCs w:val="22"/>
          <w:lang w:val="sr-Latn-ME"/>
        </w:rPr>
        <w:t>Pretklinički podaci su pokazali da je trabektedin supstrat P-gp</w:t>
      </w:r>
      <w:r w:rsidR="002C30EA" w:rsidRPr="00F45A6E">
        <w:rPr>
          <w:szCs w:val="22"/>
          <w:lang w:val="sr-Latn-ME"/>
        </w:rPr>
        <w:t xml:space="preserve"> transportera</w:t>
      </w:r>
      <w:r w:rsidRPr="00F45A6E">
        <w:rPr>
          <w:szCs w:val="22"/>
          <w:lang w:val="sr-Latn-ME"/>
        </w:rPr>
        <w:t>. Isto</w:t>
      </w:r>
      <w:r w:rsidR="00963774" w:rsidRPr="00F45A6E">
        <w:rPr>
          <w:szCs w:val="22"/>
          <w:lang w:val="sr-Latn-ME"/>
        </w:rPr>
        <w:t>vreme</w:t>
      </w:r>
      <w:r w:rsidRPr="00F45A6E">
        <w:rPr>
          <w:szCs w:val="22"/>
          <w:lang w:val="sr-Latn-ME"/>
        </w:rPr>
        <w:t xml:space="preserve">na </w:t>
      </w:r>
      <w:r w:rsidR="008E59DE" w:rsidRPr="00F45A6E">
        <w:rPr>
          <w:szCs w:val="22"/>
          <w:lang w:val="sr-Latn-ME"/>
        </w:rPr>
        <w:t>primjena</w:t>
      </w:r>
      <w:r w:rsidRPr="00F45A6E">
        <w:rPr>
          <w:szCs w:val="22"/>
          <w:lang w:val="sr-Latn-ME"/>
        </w:rPr>
        <w:t xml:space="preserve"> inhibitora P-gp, npr. ciklosporina i verapamila, mo</w:t>
      </w:r>
      <w:r w:rsidR="00963774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e izm</w:t>
      </w:r>
      <w:r w:rsidR="00807C97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eniti rasp</w:t>
      </w:r>
      <w:r w:rsidR="00963774" w:rsidRPr="00F45A6E">
        <w:rPr>
          <w:szCs w:val="22"/>
          <w:lang w:val="sr-Latn-ME"/>
        </w:rPr>
        <w:t>od</w:t>
      </w:r>
      <w:r w:rsidRPr="00F45A6E">
        <w:rPr>
          <w:szCs w:val="22"/>
          <w:lang w:val="sr-Latn-ME"/>
        </w:rPr>
        <w:t>elu i/ili eliminaciju trabektedina. Va</w:t>
      </w:r>
      <w:r w:rsidR="00963774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nost te interakcije, </w:t>
      </w:r>
      <w:r w:rsidR="00963774" w:rsidRPr="00F45A6E">
        <w:rPr>
          <w:szCs w:val="22"/>
          <w:lang w:val="sr-Latn-ME"/>
        </w:rPr>
        <w:t>npr.</w:t>
      </w:r>
      <w:r w:rsidRPr="00F45A6E">
        <w:rPr>
          <w:szCs w:val="22"/>
          <w:lang w:val="sr-Latn-ME"/>
        </w:rPr>
        <w:t xml:space="preserve"> toksičnosti za </w:t>
      </w:r>
      <w:r w:rsidR="00963774" w:rsidRPr="00F45A6E">
        <w:rPr>
          <w:szCs w:val="22"/>
          <w:lang w:val="sr-Latn-ME"/>
        </w:rPr>
        <w:t>centralni nervni</w:t>
      </w:r>
      <w:r w:rsidRPr="00F45A6E">
        <w:rPr>
          <w:szCs w:val="22"/>
          <w:lang w:val="sr-Latn-ME"/>
        </w:rPr>
        <w:t xml:space="preserve"> </w:t>
      </w:r>
      <w:r w:rsidR="00963774" w:rsidRPr="00F45A6E">
        <w:rPr>
          <w:szCs w:val="22"/>
          <w:lang w:val="sr-Latn-ME"/>
        </w:rPr>
        <w:t>sistem</w:t>
      </w:r>
      <w:r w:rsidRPr="00F45A6E">
        <w:rPr>
          <w:szCs w:val="22"/>
          <w:lang w:val="sr-Latn-ME"/>
        </w:rPr>
        <w:t xml:space="preserve"> (</w:t>
      </w:r>
      <w:r w:rsidR="00963774" w:rsidRPr="00F45A6E">
        <w:rPr>
          <w:szCs w:val="22"/>
          <w:lang w:val="sr-Latn-ME"/>
        </w:rPr>
        <w:t>CNS</w:t>
      </w:r>
      <w:r w:rsidRPr="00F45A6E">
        <w:rPr>
          <w:szCs w:val="22"/>
          <w:lang w:val="sr-Latn-ME"/>
        </w:rPr>
        <w:t>), nije utvr</w:t>
      </w:r>
      <w:r w:rsidR="00963774" w:rsidRPr="00F45A6E">
        <w:rPr>
          <w:szCs w:val="22"/>
          <w:lang w:val="sr-Latn-ME"/>
        </w:rPr>
        <w:t>đ</w:t>
      </w:r>
      <w:r w:rsidRPr="00F45A6E">
        <w:rPr>
          <w:szCs w:val="22"/>
          <w:lang w:val="sr-Latn-ME"/>
        </w:rPr>
        <w:t xml:space="preserve">ena. U </w:t>
      </w:r>
      <w:r w:rsidR="00830061" w:rsidRPr="00F45A6E">
        <w:rPr>
          <w:szCs w:val="22"/>
          <w:lang w:val="sr-Latn-ME"/>
        </w:rPr>
        <w:t>ov</w:t>
      </w:r>
      <w:r w:rsidRPr="00F45A6E">
        <w:rPr>
          <w:szCs w:val="22"/>
          <w:lang w:val="sr-Latn-ME"/>
        </w:rPr>
        <w:t>akvim slučajevima potreban je oprez.</w:t>
      </w:r>
    </w:p>
    <w:p w14:paraId="24B6A3E8" w14:textId="77777777" w:rsidR="00CE09F3" w:rsidRPr="00F45A6E" w:rsidRDefault="00CE09F3" w:rsidP="003A690C">
      <w:pPr>
        <w:rPr>
          <w:szCs w:val="22"/>
          <w:lang w:val="sr-Latn-ME"/>
        </w:rPr>
      </w:pPr>
    </w:p>
    <w:p w14:paraId="0DBAD473" w14:textId="77777777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4.6. Plodnost, trudnoća i dojenje</w:t>
      </w:r>
    </w:p>
    <w:p w14:paraId="5374F919" w14:textId="664DC3E3" w:rsidR="00CE09F3" w:rsidRDefault="00CE09F3" w:rsidP="003A690C">
      <w:pPr>
        <w:rPr>
          <w:szCs w:val="22"/>
          <w:lang w:val="sr-Latn-ME"/>
        </w:rPr>
      </w:pPr>
    </w:p>
    <w:p w14:paraId="5060C111" w14:textId="62119D22" w:rsidR="00C86C49" w:rsidRDefault="00C86C49" w:rsidP="003A690C">
      <w:pPr>
        <w:rPr>
          <w:szCs w:val="22"/>
          <w:lang w:val="sr-Latn-ME"/>
        </w:rPr>
      </w:pPr>
    </w:p>
    <w:p w14:paraId="58C602AF" w14:textId="77777777" w:rsidR="00C86C49" w:rsidRPr="00F45A6E" w:rsidRDefault="00C86C49" w:rsidP="003A690C">
      <w:pPr>
        <w:rPr>
          <w:szCs w:val="22"/>
          <w:lang w:val="sr-Latn-ME"/>
        </w:rPr>
      </w:pPr>
    </w:p>
    <w:p w14:paraId="755C6A3E" w14:textId="77777777" w:rsidR="001409F2" w:rsidRPr="00F45A6E" w:rsidRDefault="001409F2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lastRenderedPageBreak/>
        <w:t xml:space="preserve">Trudnoća </w:t>
      </w:r>
    </w:p>
    <w:p w14:paraId="36FAAE26" w14:textId="42182280" w:rsidR="001409F2" w:rsidRPr="00F45A6E" w:rsidRDefault="001409F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Nije dostupno dovoljno kliničkih podataka o izlaganju</w:t>
      </w:r>
      <w:r w:rsidR="00830061"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="00830061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t</w:t>
      </w:r>
      <w:r w:rsidR="008367EC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trudnoće. Me</w:t>
      </w:r>
      <w:r w:rsidR="008367EC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utim, zbog svog poznatog mehanizma d</w:t>
      </w:r>
      <w:r w:rsidR="00356E4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elovanja trabektedin mo</w:t>
      </w:r>
      <w:r w:rsidR="008367E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e, ako se prim</w:t>
      </w:r>
      <w:r w:rsidR="00356E4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enjuje t</w:t>
      </w:r>
      <w:r w:rsidR="008367EC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trudnoće, prouzro</w:t>
      </w:r>
      <w:r w:rsidR="008367EC" w:rsidRPr="00F45A6E">
        <w:rPr>
          <w:sz w:val="22"/>
          <w:szCs w:val="22"/>
          <w:lang w:val="sr-Latn-ME"/>
        </w:rPr>
        <w:t>kovati</w:t>
      </w:r>
      <w:r w:rsidRPr="00F45A6E">
        <w:rPr>
          <w:sz w:val="22"/>
          <w:szCs w:val="22"/>
          <w:lang w:val="sr-Latn-ME"/>
        </w:rPr>
        <w:t xml:space="preserve"> ozbiljne uro</w:t>
      </w:r>
      <w:r w:rsidR="008367EC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ene mane. Trabektedin pr</w:t>
      </w:r>
      <w:r w:rsidR="00830061" w:rsidRPr="00F45A6E">
        <w:rPr>
          <w:sz w:val="22"/>
          <w:szCs w:val="22"/>
          <w:lang w:val="sr-Latn-ME"/>
        </w:rPr>
        <w:t>olazi</w:t>
      </w:r>
      <w:r w:rsidRPr="00F45A6E">
        <w:rPr>
          <w:sz w:val="22"/>
          <w:szCs w:val="22"/>
          <w:lang w:val="sr-Latn-ME"/>
        </w:rPr>
        <w:t xml:space="preserve"> placentu kada se prim</w:t>
      </w:r>
      <w:r w:rsidR="00356E4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enjuje </w:t>
      </w:r>
      <w:r w:rsidR="00C37192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skotnih </w:t>
      </w:r>
      <w:r w:rsidR="00C37192" w:rsidRPr="00F45A6E">
        <w:rPr>
          <w:sz w:val="22"/>
          <w:szCs w:val="22"/>
          <w:lang w:val="sr-Latn-ME"/>
        </w:rPr>
        <w:t>pacova</w:t>
      </w:r>
      <w:r w:rsidRPr="00F45A6E">
        <w:rPr>
          <w:sz w:val="22"/>
          <w:szCs w:val="22"/>
          <w:lang w:val="sr-Latn-ME"/>
        </w:rPr>
        <w:t>. Trabektedin se ne sm</w:t>
      </w:r>
      <w:r w:rsidR="00356E4D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 prim</w:t>
      </w:r>
      <w:r w:rsidR="00356E4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enjivati t</w:t>
      </w:r>
      <w:r w:rsidR="00C37192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trudnoće. Ako t</w:t>
      </w:r>
      <w:r w:rsidR="00C37192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do</w:t>
      </w:r>
      <w:r w:rsidR="00C37192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e do trudnoće</w:t>
      </w:r>
      <w:r w:rsidR="00E22DC5" w:rsidRPr="00F45A6E">
        <w:rPr>
          <w:sz w:val="22"/>
          <w:szCs w:val="22"/>
          <w:lang w:val="sr-Latn-ME"/>
        </w:rPr>
        <w:t xml:space="preserve">, </w:t>
      </w:r>
      <w:r w:rsidR="00C37192" w:rsidRPr="00F45A6E">
        <w:rPr>
          <w:sz w:val="22"/>
          <w:szCs w:val="22"/>
          <w:lang w:val="sr-Latn-ME"/>
        </w:rPr>
        <w:t>pacijentkinja</w:t>
      </w:r>
      <w:r w:rsidRPr="00F45A6E">
        <w:rPr>
          <w:sz w:val="22"/>
          <w:szCs w:val="22"/>
          <w:lang w:val="sr-Latn-ME"/>
        </w:rPr>
        <w:t xml:space="preserve"> se mora obav</w:t>
      </w:r>
      <w:r w:rsidR="00356E4D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estiti o mogućem riziku za fetus (</w:t>
      </w:r>
      <w:r w:rsidR="00376F1D" w:rsidRPr="00F45A6E">
        <w:rPr>
          <w:sz w:val="22"/>
          <w:szCs w:val="22"/>
          <w:lang w:val="sr-Latn-ME"/>
        </w:rPr>
        <w:t>pogledati dio</w:t>
      </w:r>
      <w:r w:rsidR="00356E4D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5.3.) </w:t>
      </w:r>
      <w:r w:rsidR="00E22DC5" w:rsidRPr="00F45A6E">
        <w:rPr>
          <w:sz w:val="22"/>
          <w:szCs w:val="22"/>
          <w:lang w:val="sr-Latn-ME"/>
        </w:rPr>
        <w:t>i biti pod medicinskim nadzorom</w:t>
      </w:r>
      <w:r w:rsidRPr="00F45A6E">
        <w:rPr>
          <w:sz w:val="22"/>
          <w:szCs w:val="22"/>
          <w:lang w:val="sr-Latn-ME"/>
        </w:rPr>
        <w:t>. Ako se trabektedin prim</w:t>
      </w:r>
      <w:r w:rsidR="00D86FCC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enjuje pred kraj trudnoće, moraju se pa</w:t>
      </w:r>
      <w:r w:rsidR="00727BE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ljivo pratiti potencijaln</w:t>
      </w:r>
      <w:r w:rsidR="00727BE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727BE7" w:rsidRPr="00F45A6E">
        <w:rPr>
          <w:sz w:val="22"/>
          <w:szCs w:val="22"/>
          <w:lang w:val="sr-Latn-ME"/>
        </w:rPr>
        <w:t>neželje</w:t>
      </w:r>
      <w:r w:rsidR="00513B17" w:rsidRPr="00F45A6E">
        <w:rPr>
          <w:sz w:val="22"/>
          <w:szCs w:val="22"/>
          <w:lang w:val="sr-Latn-ME"/>
        </w:rPr>
        <w:t>na dejstva kod</w:t>
      </w:r>
      <w:r w:rsidRPr="00F45A6E">
        <w:rPr>
          <w:sz w:val="22"/>
          <w:szCs w:val="22"/>
          <w:lang w:val="sr-Latn-ME"/>
        </w:rPr>
        <w:t xml:space="preserve"> novoro</w:t>
      </w:r>
      <w:r w:rsidR="00513B17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enčadi. </w:t>
      </w:r>
    </w:p>
    <w:p w14:paraId="14737788" w14:textId="77777777" w:rsidR="008367EC" w:rsidRPr="00F45A6E" w:rsidRDefault="008367E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FF1352A" w14:textId="77777777" w:rsidR="001409F2" w:rsidRPr="00F45A6E" w:rsidRDefault="001409F2" w:rsidP="003A690C">
      <w:pPr>
        <w:rPr>
          <w:i/>
          <w:iCs/>
          <w:szCs w:val="22"/>
          <w:lang w:val="sr-Latn-ME"/>
        </w:rPr>
      </w:pPr>
      <w:r w:rsidRPr="00F45A6E">
        <w:rPr>
          <w:i/>
          <w:iCs/>
          <w:szCs w:val="22"/>
          <w:lang w:val="sr-Latn-ME"/>
        </w:rPr>
        <w:t xml:space="preserve">Žene u reproduktivnom periodu </w:t>
      </w:r>
    </w:p>
    <w:p w14:paraId="3F5139AF" w14:textId="531A3FBE" w:rsidR="001409F2" w:rsidRPr="00F45A6E" w:rsidRDefault="00513B17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Ž</w:t>
      </w:r>
      <w:r w:rsidR="001409F2" w:rsidRPr="00F45A6E">
        <w:rPr>
          <w:sz w:val="22"/>
          <w:szCs w:val="22"/>
          <w:lang w:val="sr-Latn-ME"/>
        </w:rPr>
        <w:t xml:space="preserve">ene </w:t>
      </w:r>
      <w:r w:rsidRPr="00F45A6E">
        <w:rPr>
          <w:sz w:val="22"/>
          <w:szCs w:val="22"/>
          <w:lang w:val="sr-Latn-ME"/>
        </w:rPr>
        <w:t xml:space="preserve">u </w:t>
      </w:r>
      <w:r w:rsidR="001409F2" w:rsidRPr="00F45A6E">
        <w:rPr>
          <w:sz w:val="22"/>
          <w:szCs w:val="22"/>
          <w:lang w:val="sr-Latn-ME"/>
        </w:rPr>
        <w:t>reproduktivn</w:t>
      </w:r>
      <w:r w:rsidRPr="00F45A6E">
        <w:rPr>
          <w:sz w:val="22"/>
          <w:szCs w:val="22"/>
          <w:lang w:val="sr-Latn-ME"/>
        </w:rPr>
        <w:t>om</w:t>
      </w:r>
      <w:r w:rsidR="001409F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periodu</w:t>
      </w:r>
      <w:r w:rsidR="001409F2" w:rsidRPr="00F45A6E">
        <w:rPr>
          <w:sz w:val="22"/>
          <w:szCs w:val="22"/>
          <w:lang w:val="sr-Latn-ME"/>
        </w:rPr>
        <w:t xml:space="preserve"> moraju koristiti </w:t>
      </w:r>
      <w:r w:rsidRPr="00F45A6E">
        <w:rPr>
          <w:sz w:val="22"/>
          <w:szCs w:val="22"/>
          <w:lang w:val="sr-Latn-ME"/>
        </w:rPr>
        <w:t>efikasan metod</w:t>
      </w:r>
      <w:r w:rsidR="001409F2" w:rsidRPr="00F45A6E">
        <w:rPr>
          <w:sz w:val="22"/>
          <w:szCs w:val="22"/>
          <w:lang w:val="sr-Latn-ME"/>
        </w:rPr>
        <w:t xml:space="preserve"> kontracepcij</w:t>
      </w:r>
      <w:r w:rsidRPr="00F45A6E">
        <w:rPr>
          <w:sz w:val="22"/>
          <w:szCs w:val="22"/>
          <w:lang w:val="sr-Latn-ME"/>
        </w:rPr>
        <w:t>e</w:t>
      </w:r>
      <w:r w:rsidR="001409F2" w:rsidRPr="00F45A6E">
        <w:rPr>
          <w:sz w:val="22"/>
          <w:szCs w:val="22"/>
          <w:lang w:val="sr-Latn-ME"/>
        </w:rPr>
        <w:t xml:space="preserve"> t</w:t>
      </w:r>
      <w:r w:rsidRPr="00F45A6E">
        <w:rPr>
          <w:sz w:val="22"/>
          <w:szCs w:val="22"/>
          <w:lang w:val="sr-Latn-ME"/>
        </w:rPr>
        <w:t>o</w:t>
      </w:r>
      <w:r w:rsidR="001409F2" w:rsidRPr="00F45A6E">
        <w:rPr>
          <w:sz w:val="22"/>
          <w:szCs w:val="22"/>
          <w:lang w:val="sr-Latn-ME"/>
        </w:rPr>
        <w:t>kom</w:t>
      </w:r>
      <w:r w:rsidR="0009624C" w:rsidRPr="00F45A6E">
        <w:rPr>
          <w:sz w:val="22"/>
          <w:szCs w:val="22"/>
          <w:lang w:val="sr-Latn-ME"/>
        </w:rPr>
        <w:t xml:space="preserve"> </w:t>
      </w:r>
      <w:r w:rsidR="00031EC5" w:rsidRPr="00F45A6E">
        <w:rPr>
          <w:sz w:val="22"/>
          <w:szCs w:val="22"/>
          <w:lang w:val="sr-Latn-ME"/>
        </w:rPr>
        <w:t>liječenj</w:t>
      </w:r>
      <w:r w:rsidR="0009624C" w:rsidRPr="00F45A6E">
        <w:rPr>
          <w:sz w:val="22"/>
          <w:szCs w:val="22"/>
          <w:lang w:val="sr-Latn-ME"/>
        </w:rPr>
        <w:t xml:space="preserve">a ovim </w:t>
      </w:r>
      <w:r w:rsidR="005C3738" w:rsidRPr="00F45A6E">
        <w:rPr>
          <w:sz w:val="22"/>
          <w:szCs w:val="22"/>
          <w:lang w:val="sr-Latn-ME"/>
        </w:rPr>
        <w:t>lijek</w:t>
      </w:r>
      <w:r w:rsidR="0009624C" w:rsidRPr="00F45A6E">
        <w:rPr>
          <w:sz w:val="22"/>
          <w:szCs w:val="22"/>
          <w:lang w:val="sr-Latn-ME"/>
        </w:rPr>
        <w:t>om</w:t>
      </w:r>
      <w:r w:rsidR="002000CE" w:rsidRPr="00F45A6E">
        <w:rPr>
          <w:sz w:val="22"/>
          <w:szCs w:val="22"/>
          <w:lang w:val="sr-Latn-ME"/>
        </w:rPr>
        <w:t xml:space="preserve"> kao</w:t>
      </w:r>
      <w:r w:rsidR="001409F2" w:rsidRPr="00F45A6E">
        <w:rPr>
          <w:sz w:val="22"/>
          <w:szCs w:val="22"/>
          <w:lang w:val="sr-Latn-ME"/>
        </w:rPr>
        <w:t xml:space="preserve"> i 3 m</w:t>
      </w:r>
      <w:r w:rsidR="00D86FCC" w:rsidRPr="00F45A6E">
        <w:rPr>
          <w:sz w:val="22"/>
          <w:szCs w:val="22"/>
          <w:lang w:val="sr-Latn-ME"/>
        </w:rPr>
        <w:t>j</w:t>
      </w:r>
      <w:r w:rsidR="001409F2" w:rsidRPr="00F45A6E">
        <w:rPr>
          <w:sz w:val="22"/>
          <w:szCs w:val="22"/>
          <w:lang w:val="sr-Latn-ME"/>
        </w:rPr>
        <w:t xml:space="preserve">eseca nakon </w:t>
      </w:r>
      <w:r w:rsidR="00031EC5" w:rsidRPr="00F45A6E">
        <w:rPr>
          <w:sz w:val="22"/>
          <w:szCs w:val="22"/>
          <w:lang w:val="sr-Latn-ME"/>
        </w:rPr>
        <w:t>liječenj</w:t>
      </w:r>
      <w:r w:rsidR="001409F2" w:rsidRPr="00F45A6E">
        <w:rPr>
          <w:sz w:val="22"/>
          <w:szCs w:val="22"/>
          <w:lang w:val="sr-Latn-ME"/>
        </w:rPr>
        <w:t xml:space="preserve">a </w:t>
      </w:r>
      <w:r w:rsidR="00B004CB" w:rsidRPr="00F45A6E">
        <w:rPr>
          <w:sz w:val="22"/>
          <w:szCs w:val="22"/>
          <w:lang w:val="sr-Latn-ME"/>
        </w:rPr>
        <w:t>i</w:t>
      </w:r>
      <w:r w:rsidR="001409F2" w:rsidRPr="00F45A6E">
        <w:rPr>
          <w:sz w:val="22"/>
          <w:szCs w:val="22"/>
          <w:lang w:val="sr-Latn-ME"/>
        </w:rPr>
        <w:t xml:space="preserve"> moraju odmah obav</w:t>
      </w:r>
      <w:r w:rsidR="00D86FCC" w:rsidRPr="00F45A6E">
        <w:rPr>
          <w:sz w:val="22"/>
          <w:szCs w:val="22"/>
          <w:lang w:val="sr-Latn-ME"/>
        </w:rPr>
        <w:t>ij</w:t>
      </w:r>
      <w:r w:rsidR="001409F2" w:rsidRPr="00F45A6E">
        <w:rPr>
          <w:sz w:val="22"/>
          <w:szCs w:val="22"/>
          <w:lang w:val="sr-Latn-ME"/>
        </w:rPr>
        <w:t xml:space="preserve">estiti </w:t>
      </w:r>
      <w:r w:rsidR="005C3738" w:rsidRPr="00F45A6E">
        <w:rPr>
          <w:sz w:val="22"/>
          <w:szCs w:val="22"/>
          <w:lang w:val="sr-Latn-ME"/>
        </w:rPr>
        <w:t>ljekar</w:t>
      </w:r>
      <w:r w:rsidR="001409F2" w:rsidRPr="00F45A6E">
        <w:rPr>
          <w:sz w:val="22"/>
          <w:szCs w:val="22"/>
          <w:lang w:val="sr-Latn-ME"/>
        </w:rPr>
        <w:t>a u slučaju trudnoće (</w:t>
      </w:r>
      <w:r w:rsidR="00376F1D" w:rsidRPr="00F45A6E">
        <w:rPr>
          <w:sz w:val="22"/>
          <w:szCs w:val="22"/>
          <w:lang w:val="sr-Latn-ME"/>
        </w:rPr>
        <w:t>pogledati dio</w:t>
      </w:r>
      <w:r w:rsidR="00D86FCC" w:rsidRPr="00F45A6E">
        <w:rPr>
          <w:sz w:val="22"/>
          <w:szCs w:val="22"/>
          <w:lang w:val="sr-Latn-ME"/>
        </w:rPr>
        <w:t xml:space="preserve"> </w:t>
      </w:r>
      <w:r w:rsidR="001409F2" w:rsidRPr="00F45A6E">
        <w:rPr>
          <w:sz w:val="22"/>
          <w:szCs w:val="22"/>
          <w:lang w:val="sr-Latn-ME"/>
        </w:rPr>
        <w:t xml:space="preserve">5.3). </w:t>
      </w:r>
    </w:p>
    <w:p w14:paraId="2A1ECEDC" w14:textId="310C33C4" w:rsidR="001409F2" w:rsidRPr="00F45A6E" w:rsidRDefault="001409F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U slučaju trudnoće t</w:t>
      </w:r>
      <w:r w:rsidR="00457018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a, mora se razmotriti mogućnost genetičkog sav</w:t>
      </w:r>
      <w:r w:rsidR="00D86FCC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etovanja. </w:t>
      </w:r>
    </w:p>
    <w:p w14:paraId="76101E60" w14:textId="77777777" w:rsidR="008367EC" w:rsidRPr="00F45A6E" w:rsidRDefault="008367E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AF2910E" w14:textId="77777777" w:rsidR="001409F2" w:rsidRPr="00F45A6E" w:rsidRDefault="001409F2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Dojenje </w:t>
      </w:r>
    </w:p>
    <w:p w14:paraId="46B3BCB3" w14:textId="7531BA93" w:rsidR="001409F2" w:rsidRPr="00F45A6E" w:rsidRDefault="001409F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Nije poznato </w:t>
      </w:r>
      <w:r w:rsidR="00645051" w:rsidRPr="00F45A6E">
        <w:rPr>
          <w:sz w:val="22"/>
          <w:szCs w:val="22"/>
          <w:lang w:val="sr-Latn-ME"/>
        </w:rPr>
        <w:t xml:space="preserve">da li se trabektedin </w:t>
      </w:r>
      <w:r w:rsidRPr="00F45A6E">
        <w:rPr>
          <w:sz w:val="22"/>
          <w:szCs w:val="22"/>
          <w:lang w:val="sr-Latn-ME"/>
        </w:rPr>
        <w:t>izlučuje u majčino m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>o. Izlučivanje trabektedina u m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o nije ispitano na </w:t>
      </w:r>
      <w:r w:rsidR="00645051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ivotinjama. Dojenje je kontraindi</w:t>
      </w:r>
      <w:r w:rsidR="00645051" w:rsidRPr="00F45A6E">
        <w:rPr>
          <w:sz w:val="22"/>
          <w:szCs w:val="22"/>
          <w:lang w:val="sr-Latn-ME"/>
        </w:rPr>
        <w:t>kov</w:t>
      </w:r>
      <w:r w:rsidRPr="00F45A6E">
        <w:rPr>
          <w:sz w:val="22"/>
          <w:szCs w:val="22"/>
          <w:lang w:val="sr-Latn-ME"/>
        </w:rPr>
        <w:t>ano t</w:t>
      </w:r>
      <w:r w:rsidR="002000CE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</w:t>
      </w:r>
      <w:r w:rsidR="002000CE" w:rsidRPr="00F45A6E">
        <w:rPr>
          <w:sz w:val="22"/>
          <w:szCs w:val="22"/>
          <w:lang w:val="sr-Latn-ME"/>
        </w:rPr>
        <w:t>kao i</w:t>
      </w:r>
      <w:r w:rsidRPr="00F45A6E">
        <w:rPr>
          <w:sz w:val="22"/>
          <w:szCs w:val="22"/>
          <w:lang w:val="sr-Latn-ME"/>
        </w:rPr>
        <w:t xml:space="preserve"> 3 m</w:t>
      </w:r>
      <w:r w:rsidR="005812A6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eseca nakon </w:t>
      </w:r>
      <w:r w:rsidR="00031EC5" w:rsidRPr="00F45A6E">
        <w:rPr>
          <w:sz w:val="22"/>
          <w:szCs w:val="22"/>
          <w:lang w:val="sr-Latn-ME"/>
        </w:rPr>
        <w:t>liječenj</w:t>
      </w:r>
      <w:r w:rsidR="0009624C" w:rsidRPr="00F45A6E">
        <w:rPr>
          <w:sz w:val="22"/>
          <w:szCs w:val="22"/>
          <w:lang w:val="sr-Latn-ME"/>
        </w:rPr>
        <w:t xml:space="preserve">a </w:t>
      </w:r>
      <w:r w:rsidRPr="00F45A6E">
        <w:rPr>
          <w:sz w:val="22"/>
          <w:szCs w:val="22"/>
          <w:lang w:val="sr-Latn-ME"/>
        </w:rPr>
        <w:t>(</w:t>
      </w:r>
      <w:r w:rsidR="00376F1D" w:rsidRPr="00F45A6E">
        <w:rPr>
          <w:sz w:val="22"/>
          <w:szCs w:val="22"/>
          <w:lang w:val="sr-Latn-ME"/>
        </w:rPr>
        <w:t>pogledati dio</w:t>
      </w:r>
      <w:r w:rsidR="005812A6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4.3). </w:t>
      </w:r>
    </w:p>
    <w:p w14:paraId="7BB101FB" w14:textId="77777777" w:rsidR="008367EC" w:rsidRPr="00F45A6E" w:rsidRDefault="008367E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85AE72E" w14:textId="77777777" w:rsidR="001409F2" w:rsidRPr="00F45A6E" w:rsidRDefault="001409F2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Plodnost </w:t>
      </w:r>
    </w:p>
    <w:p w14:paraId="5263CCD7" w14:textId="7E8644DC" w:rsidR="001409F2" w:rsidRPr="00F45A6E" w:rsidRDefault="001409F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Muškarci </w:t>
      </w:r>
      <w:r w:rsidR="008D198F" w:rsidRPr="00F45A6E">
        <w:rPr>
          <w:sz w:val="22"/>
          <w:szCs w:val="22"/>
          <w:lang w:val="sr-Latn-ME"/>
        </w:rPr>
        <w:t xml:space="preserve">u reproduktivnom periodu </w:t>
      </w:r>
      <w:r w:rsidRPr="00F45A6E">
        <w:rPr>
          <w:sz w:val="22"/>
          <w:szCs w:val="22"/>
          <w:lang w:val="sr-Latn-ME"/>
        </w:rPr>
        <w:t>moraju prim</w:t>
      </w:r>
      <w:r w:rsidR="005812A6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enjivati </w:t>
      </w:r>
      <w:r w:rsidR="008D198F" w:rsidRPr="00F45A6E">
        <w:rPr>
          <w:sz w:val="22"/>
          <w:szCs w:val="22"/>
          <w:lang w:val="sr-Latn-ME"/>
        </w:rPr>
        <w:t xml:space="preserve">efikasan metod kontracepcije </w:t>
      </w:r>
      <w:r w:rsidRPr="00F45A6E">
        <w:rPr>
          <w:sz w:val="22"/>
          <w:szCs w:val="22"/>
          <w:lang w:val="sr-Latn-ME"/>
        </w:rPr>
        <w:t>t</w:t>
      </w:r>
      <w:r w:rsidR="008D198F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kom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i 5 m</w:t>
      </w:r>
      <w:r w:rsidR="005812A6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eseci nakon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(</w:t>
      </w:r>
      <w:r w:rsidR="00376F1D" w:rsidRPr="00F45A6E">
        <w:rPr>
          <w:sz w:val="22"/>
          <w:szCs w:val="22"/>
          <w:lang w:val="sr-Latn-ME"/>
        </w:rPr>
        <w:t>pogledati dio</w:t>
      </w:r>
      <w:r w:rsidR="005812A6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4.4). </w:t>
      </w:r>
    </w:p>
    <w:p w14:paraId="42634C62" w14:textId="77777777" w:rsidR="00504B5D" w:rsidRPr="00F45A6E" w:rsidRDefault="00504B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99BEBF5" w14:textId="3C23A218" w:rsidR="008D198F" w:rsidRPr="00F45A6E" w:rsidRDefault="001409F2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Trabektedin mo</w:t>
      </w:r>
      <w:r w:rsidR="008D198F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e imati genotoksične </w:t>
      </w:r>
      <w:r w:rsidR="008D198F" w:rsidRPr="00F45A6E">
        <w:rPr>
          <w:szCs w:val="22"/>
          <w:lang w:val="sr-Latn-ME"/>
        </w:rPr>
        <w:t xml:space="preserve">efekte. </w:t>
      </w:r>
      <w:r w:rsidRPr="00F45A6E">
        <w:rPr>
          <w:szCs w:val="22"/>
          <w:lang w:val="sr-Latn-ME"/>
        </w:rPr>
        <w:t>Pr</w:t>
      </w:r>
      <w:r w:rsidR="005812A6" w:rsidRPr="00F45A6E">
        <w:rPr>
          <w:szCs w:val="22"/>
          <w:lang w:val="sr-Latn-ME"/>
        </w:rPr>
        <w:t>ij</w:t>
      </w:r>
      <w:r w:rsidRPr="00F45A6E">
        <w:rPr>
          <w:szCs w:val="22"/>
          <w:lang w:val="sr-Latn-ME"/>
        </w:rPr>
        <w:t xml:space="preserve">e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>a mora se zatra</w:t>
      </w:r>
      <w:r w:rsidR="008D198F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iti sav</w:t>
      </w:r>
      <w:r w:rsidR="005812A6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et o očuvanju </w:t>
      </w:r>
      <w:r w:rsidR="0009624C" w:rsidRPr="00F45A6E">
        <w:rPr>
          <w:szCs w:val="22"/>
          <w:lang w:val="sr-Latn-ME"/>
        </w:rPr>
        <w:t xml:space="preserve">jajnih ćelija </w:t>
      </w:r>
      <w:r w:rsidRPr="00F45A6E">
        <w:rPr>
          <w:szCs w:val="22"/>
          <w:lang w:val="sr-Latn-ME"/>
        </w:rPr>
        <w:t>ili</w:t>
      </w:r>
      <w:r w:rsidR="008D198F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 xml:space="preserve">sperme jer postoji mogućnost pojave ireverzibilne neplodnosti zbog terapije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 xml:space="preserve">om </w:t>
      </w:r>
      <w:r w:rsidR="001D6C3F" w:rsidRPr="00F45A6E">
        <w:rPr>
          <w:szCs w:val="22"/>
          <w:lang w:val="sr-Latn-ME"/>
        </w:rPr>
        <w:t>Trabectedin STADA</w:t>
      </w:r>
      <w:r w:rsidRPr="00F45A6E">
        <w:rPr>
          <w:szCs w:val="22"/>
          <w:lang w:val="sr-Latn-ME"/>
        </w:rPr>
        <w:t>.</w:t>
      </w:r>
      <w:r w:rsidR="006F3208" w:rsidRPr="00F45A6E">
        <w:rPr>
          <w:szCs w:val="22"/>
          <w:lang w:val="sr-Latn-ME"/>
        </w:rPr>
        <w:t xml:space="preserve"> </w:t>
      </w:r>
    </w:p>
    <w:p w14:paraId="69C8EDD6" w14:textId="5B16F438" w:rsidR="00DA553A" w:rsidRPr="00F45A6E" w:rsidRDefault="001409F2" w:rsidP="003A690C">
      <w:pPr>
        <w:rPr>
          <w:szCs w:val="22"/>
          <w:u w:val="single"/>
          <w:lang w:val="sr-Latn-ME"/>
        </w:rPr>
      </w:pPr>
      <w:r w:rsidRPr="00F45A6E">
        <w:rPr>
          <w:szCs w:val="22"/>
          <w:lang w:val="sr-Latn-ME"/>
        </w:rPr>
        <w:t>Genetičko sav</w:t>
      </w:r>
      <w:r w:rsidR="005812A6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etovanje preporučuje se i </w:t>
      </w:r>
      <w:r w:rsidR="0059422D" w:rsidRPr="00F45A6E">
        <w:rPr>
          <w:szCs w:val="22"/>
          <w:lang w:val="sr-Latn-ME"/>
        </w:rPr>
        <w:t>pacijentima</w:t>
      </w:r>
      <w:r w:rsidRPr="00F45A6E">
        <w:rPr>
          <w:szCs w:val="22"/>
          <w:lang w:val="sr-Latn-ME"/>
        </w:rPr>
        <w:t xml:space="preserve"> koji </w:t>
      </w:r>
      <w:r w:rsidR="0059422D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ele imati d</w:t>
      </w:r>
      <w:r w:rsidR="005812A6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ecu nakon terapije</w:t>
      </w:r>
      <w:r w:rsidR="0009624C" w:rsidRPr="00F45A6E">
        <w:rPr>
          <w:szCs w:val="22"/>
          <w:lang w:val="sr-Latn-ME"/>
        </w:rPr>
        <w:t xml:space="preserve"> ovim </w:t>
      </w:r>
      <w:r w:rsidR="005C3738" w:rsidRPr="00F45A6E">
        <w:rPr>
          <w:szCs w:val="22"/>
          <w:lang w:val="sr-Latn-ME"/>
        </w:rPr>
        <w:t>lijek</w:t>
      </w:r>
      <w:r w:rsidR="0009624C" w:rsidRPr="00F45A6E">
        <w:rPr>
          <w:szCs w:val="22"/>
          <w:lang w:val="sr-Latn-ME"/>
        </w:rPr>
        <w:t>om</w:t>
      </w:r>
      <w:r w:rsidRPr="00F45A6E">
        <w:rPr>
          <w:szCs w:val="22"/>
          <w:lang w:val="sr-Latn-ME"/>
        </w:rPr>
        <w:t>.</w:t>
      </w:r>
    </w:p>
    <w:p w14:paraId="6D5905A3" w14:textId="77777777" w:rsidR="00DA553A" w:rsidRPr="00F45A6E" w:rsidRDefault="00DA553A" w:rsidP="003A690C">
      <w:pPr>
        <w:rPr>
          <w:b/>
          <w:bCs/>
          <w:spacing w:val="-8"/>
          <w:szCs w:val="22"/>
          <w:lang w:val="sr-Latn-ME"/>
        </w:rPr>
      </w:pPr>
    </w:p>
    <w:p w14:paraId="40AC4447" w14:textId="72E23E9C" w:rsidR="00CE09F3" w:rsidRPr="00F45A6E" w:rsidRDefault="003A053C" w:rsidP="003A690C">
      <w:pPr>
        <w:rPr>
          <w:b/>
          <w:bCs/>
          <w:spacing w:val="-8"/>
          <w:szCs w:val="22"/>
          <w:lang w:val="sr-Latn-ME"/>
        </w:rPr>
      </w:pPr>
      <w:r w:rsidRPr="00F45A6E">
        <w:rPr>
          <w:b/>
          <w:bCs/>
          <w:spacing w:val="-8"/>
          <w:szCs w:val="22"/>
          <w:lang w:val="sr-Latn-ME"/>
        </w:rPr>
        <w:t xml:space="preserve">4.7. Uticaj </w:t>
      </w:r>
      <w:r w:rsidR="005C3738" w:rsidRPr="00F45A6E">
        <w:rPr>
          <w:b/>
          <w:bCs/>
          <w:spacing w:val="-8"/>
          <w:szCs w:val="22"/>
          <w:lang w:val="sr-Latn-ME"/>
        </w:rPr>
        <w:t>lijek</w:t>
      </w:r>
      <w:r w:rsidRPr="00F45A6E">
        <w:rPr>
          <w:b/>
          <w:bCs/>
          <w:spacing w:val="-8"/>
          <w:szCs w:val="22"/>
          <w:lang w:val="sr-Latn-ME"/>
        </w:rPr>
        <w:t>a na sposobnost upravljanja vozilima i rukovanj</w:t>
      </w:r>
      <w:r w:rsidR="007630B7" w:rsidRPr="00F45A6E">
        <w:rPr>
          <w:b/>
          <w:bCs/>
          <w:spacing w:val="-8"/>
          <w:szCs w:val="22"/>
          <w:lang w:val="sr-Latn-ME"/>
        </w:rPr>
        <w:t>e</w:t>
      </w:r>
      <w:r w:rsidRPr="00F45A6E">
        <w:rPr>
          <w:b/>
          <w:bCs/>
          <w:spacing w:val="-8"/>
          <w:szCs w:val="22"/>
          <w:lang w:val="sr-Latn-ME"/>
        </w:rPr>
        <w:t xml:space="preserve"> mašinama</w:t>
      </w:r>
    </w:p>
    <w:p w14:paraId="2BC43B26" w14:textId="77777777" w:rsidR="00240422" w:rsidRPr="00F45A6E" w:rsidRDefault="00240422" w:rsidP="003A690C">
      <w:pPr>
        <w:rPr>
          <w:b/>
          <w:bCs/>
          <w:spacing w:val="-8"/>
          <w:szCs w:val="22"/>
          <w:lang w:val="sr-Latn-ME"/>
        </w:rPr>
      </w:pPr>
    </w:p>
    <w:p w14:paraId="7250A72E" w14:textId="61AB3B9D" w:rsidR="00CE09F3" w:rsidRPr="00F45A6E" w:rsidRDefault="00594550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Nijesu</w:t>
      </w:r>
      <w:r w:rsidR="00654A79" w:rsidRPr="00F45A6E">
        <w:rPr>
          <w:szCs w:val="22"/>
          <w:lang w:val="sr-Latn-ME"/>
        </w:rPr>
        <w:t xml:space="preserve"> </w:t>
      </w:r>
      <w:r w:rsidR="00DA553A" w:rsidRPr="00F45A6E">
        <w:rPr>
          <w:szCs w:val="22"/>
          <w:lang w:val="sr-Latn-ME"/>
        </w:rPr>
        <w:t>s</w:t>
      </w:r>
      <w:r w:rsidR="00654A79" w:rsidRPr="00F45A6E">
        <w:rPr>
          <w:szCs w:val="22"/>
          <w:lang w:val="sr-Latn-ME"/>
        </w:rPr>
        <w:t>provedena ispitivanja ut</w:t>
      </w:r>
      <w:r w:rsidR="00DA553A" w:rsidRPr="00F45A6E">
        <w:rPr>
          <w:szCs w:val="22"/>
          <w:lang w:val="sr-Latn-ME"/>
        </w:rPr>
        <w:t>i</w:t>
      </w:r>
      <w:r w:rsidR="00654A79" w:rsidRPr="00F45A6E">
        <w:rPr>
          <w:szCs w:val="22"/>
          <w:lang w:val="sr-Latn-ME"/>
        </w:rPr>
        <w:t xml:space="preserve">caja na sposobnost upravljanja vozilima i </w:t>
      </w:r>
      <w:r w:rsidR="00DA553A" w:rsidRPr="00F45A6E">
        <w:rPr>
          <w:szCs w:val="22"/>
          <w:lang w:val="sr-Latn-ME"/>
        </w:rPr>
        <w:t>rukovanja mašinama</w:t>
      </w:r>
      <w:r w:rsidR="00654A79" w:rsidRPr="00F45A6E">
        <w:rPr>
          <w:szCs w:val="22"/>
          <w:lang w:val="sr-Latn-ME"/>
        </w:rPr>
        <w:t>. Me</w:t>
      </w:r>
      <w:r w:rsidR="00DA553A" w:rsidRPr="00F45A6E">
        <w:rPr>
          <w:szCs w:val="22"/>
          <w:lang w:val="sr-Latn-ME"/>
        </w:rPr>
        <w:t>đ</w:t>
      </w:r>
      <w:r w:rsidR="00654A79" w:rsidRPr="00F45A6E">
        <w:rPr>
          <w:szCs w:val="22"/>
          <w:lang w:val="sr-Latn-ME"/>
        </w:rPr>
        <w:t xml:space="preserve">utim, kod </w:t>
      </w:r>
      <w:r w:rsidR="00DA553A" w:rsidRPr="00F45A6E">
        <w:rPr>
          <w:szCs w:val="22"/>
          <w:lang w:val="sr-Latn-ME"/>
        </w:rPr>
        <w:t>pacijenata</w:t>
      </w:r>
      <w:r w:rsidR="00654A79" w:rsidRPr="00F45A6E">
        <w:rPr>
          <w:szCs w:val="22"/>
          <w:lang w:val="sr-Latn-ME"/>
        </w:rPr>
        <w:t xml:space="preserve"> koji su primali trabektedin zab</w:t>
      </w:r>
      <w:r w:rsidR="00DA553A" w:rsidRPr="00F45A6E">
        <w:rPr>
          <w:szCs w:val="22"/>
          <w:lang w:val="sr-Latn-ME"/>
        </w:rPr>
        <w:t>elež</w:t>
      </w:r>
      <w:r w:rsidR="00654A79" w:rsidRPr="00F45A6E">
        <w:rPr>
          <w:szCs w:val="22"/>
          <w:lang w:val="sr-Latn-ME"/>
        </w:rPr>
        <w:t xml:space="preserve">eni su umor i/ili astenija. </w:t>
      </w:r>
      <w:r w:rsidR="00DA553A" w:rsidRPr="00F45A6E">
        <w:rPr>
          <w:szCs w:val="22"/>
          <w:lang w:val="sr-Latn-ME"/>
        </w:rPr>
        <w:t>Pacijenti</w:t>
      </w:r>
      <w:r w:rsidR="00654A79" w:rsidRPr="00F45A6E">
        <w:rPr>
          <w:szCs w:val="22"/>
          <w:lang w:val="sr-Latn-ME"/>
        </w:rPr>
        <w:t xml:space="preserve"> koji prim</w:t>
      </w:r>
      <w:r w:rsidR="005812A6" w:rsidRPr="00F45A6E">
        <w:rPr>
          <w:szCs w:val="22"/>
          <w:lang w:val="sr-Latn-ME"/>
        </w:rPr>
        <w:t>j</w:t>
      </w:r>
      <w:r w:rsidR="00654A79" w:rsidRPr="00F45A6E">
        <w:rPr>
          <w:szCs w:val="22"/>
          <w:lang w:val="sr-Latn-ME"/>
        </w:rPr>
        <w:t>ete bilo koj</w:t>
      </w:r>
      <w:r w:rsidR="008846A2" w:rsidRPr="00F45A6E">
        <w:rPr>
          <w:szCs w:val="22"/>
          <w:lang w:val="sr-Latn-ME"/>
        </w:rPr>
        <w:t>e</w:t>
      </w:r>
      <w:r w:rsidR="00654A79" w:rsidRPr="00F45A6E">
        <w:rPr>
          <w:szCs w:val="22"/>
          <w:lang w:val="sr-Latn-ME"/>
        </w:rPr>
        <w:t xml:space="preserve"> od tih </w:t>
      </w:r>
      <w:r w:rsidR="008846A2" w:rsidRPr="00F45A6E">
        <w:rPr>
          <w:szCs w:val="22"/>
          <w:lang w:val="sr-Latn-ME"/>
        </w:rPr>
        <w:t>neželjenih dejstava</w:t>
      </w:r>
      <w:r w:rsidR="00654A79" w:rsidRPr="00F45A6E">
        <w:rPr>
          <w:szCs w:val="22"/>
          <w:lang w:val="sr-Latn-ME"/>
        </w:rPr>
        <w:t xml:space="preserve"> t</w:t>
      </w:r>
      <w:r w:rsidR="008846A2" w:rsidRPr="00F45A6E">
        <w:rPr>
          <w:szCs w:val="22"/>
          <w:lang w:val="sr-Latn-ME"/>
        </w:rPr>
        <w:t>o</w:t>
      </w:r>
      <w:r w:rsidR="00654A79" w:rsidRPr="00F45A6E">
        <w:rPr>
          <w:szCs w:val="22"/>
          <w:lang w:val="sr-Latn-ME"/>
        </w:rPr>
        <w:t>kom terapije ne sm</w:t>
      </w:r>
      <w:r w:rsidR="005812A6" w:rsidRPr="00F45A6E">
        <w:rPr>
          <w:szCs w:val="22"/>
          <w:lang w:val="sr-Latn-ME"/>
        </w:rPr>
        <w:t>i</w:t>
      </w:r>
      <w:r w:rsidR="00654A79" w:rsidRPr="00F45A6E">
        <w:rPr>
          <w:szCs w:val="22"/>
          <w:lang w:val="sr-Latn-ME"/>
        </w:rPr>
        <w:t xml:space="preserve">ju </w:t>
      </w:r>
      <w:r w:rsidR="0009624C" w:rsidRPr="00F45A6E">
        <w:rPr>
          <w:szCs w:val="22"/>
          <w:lang w:val="sr-Latn-ME"/>
        </w:rPr>
        <w:t>upravljati vozilima</w:t>
      </w:r>
      <w:r w:rsidR="00654A79" w:rsidRPr="00F45A6E">
        <w:rPr>
          <w:szCs w:val="22"/>
          <w:lang w:val="sr-Latn-ME"/>
        </w:rPr>
        <w:t xml:space="preserve"> niti </w:t>
      </w:r>
      <w:r w:rsidR="0009624C" w:rsidRPr="00F45A6E">
        <w:rPr>
          <w:szCs w:val="22"/>
          <w:lang w:val="sr-Latn-ME"/>
        </w:rPr>
        <w:t xml:space="preserve">rukovati </w:t>
      </w:r>
      <w:r w:rsidR="008846A2" w:rsidRPr="00F45A6E">
        <w:rPr>
          <w:szCs w:val="22"/>
          <w:lang w:val="sr-Latn-ME"/>
        </w:rPr>
        <w:t>mašinama</w:t>
      </w:r>
      <w:r w:rsidR="00654A79" w:rsidRPr="00F45A6E">
        <w:rPr>
          <w:szCs w:val="22"/>
          <w:lang w:val="sr-Latn-ME"/>
        </w:rPr>
        <w:t>.</w:t>
      </w:r>
    </w:p>
    <w:p w14:paraId="50170830" w14:textId="77777777" w:rsidR="00654A79" w:rsidRPr="00F45A6E" w:rsidRDefault="00654A79" w:rsidP="003A690C">
      <w:pPr>
        <w:rPr>
          <w:szCs w:val="22"/>
          <w:lang w:val="sr-Latn-ME"/>
        </w:rPr>
      </w:pPr>
    </w:p>
    <w:p w14:paraId="1B2A8D85" w14:textId="77777777" w:rsidR="00240422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4.8. Neželjena dejstva</w:t>
      </w:r>
    </w:p>
    <w:p w14:paraId="4A83D9E5" w14:textId="77777777" w:rsidR="00283A38" w:rsidRPr="00F45A6E" w:rsidRDefault="00283A38" w:rsidP="003A690C">
      <w:pPr>
        <w:rPr>
          <w:b/>
          <w:bCs/>
          <w:szCs w:val="22"/>
          <w:lang w:val="sr-Latn-ME"/>
        </w:rPr>
      </w:pPr>
    </w:p>
    <w:p w14:paraId="012809C3" w14:textId="28FEFDF3" w:rsidR="00E620CD" w:rsidRPr="00F45A6E" w:rsidRDefault="00E620CD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Sa</w:t>
      </w:r>
      <w:r w:rsidR="005B55BC" w:rsidRPr="00F45A6E">
        <w:rPr>
          <w:sz w:val="22"/>
          <w:szCs w:val="22"/>
          <w:u w:val="single"/>
          <w:lang w:val="sr-Latn-ME"/>
        </w:rPr>
        <w:t>ž</w:t>
      </w:r>
      <w:r w:rsidRPr="00F45A6E">
        <w:rPr>
          <w:sz w:val="22"/>
          <w:szCs w:val="22"/>
          <w:u w:val="single"/>
          <w:lang w:val="sr-Latn-ME"/>
        </w:rPr>
        <w:t xml:space="preserve">etak </w:t>
      </w:r>
      <w:r w:rsidR="005B55BC" w:rsidRPr="00F45A6E">
        <w:rPr>
          <w:sz w:val="22"/>
          <w:szCs w:val="22"/>
          <w:u w:val="single"/>
          <w:lang w:val="sr-Latn-ME"/>
        </w:rPr>
        <w:t>bezbedonosnog</w:t>
      </w:r>
      <w:r w:rsidRPr="00F45A6E">
        <w:rPr>
          <w:sz w:val="22"/>
          <w:szCs w:val="22"/>
          <w:u w:val="single"/>
          <w:lang w:val="sr-Latn-ME"/>
        </w:rPr>
        <w:t xml:space="preserve"> profila </w:t>
      </w:r>
    </w:p>
    <w:p w14:paraId="59612C84" w14:textId="77777777" w:rsidR="005B55BC" w:rsidRPr="00F45A6E" w:rsidRDefault="005B55BC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4247D1F7" w14:textId="2B2D8682" w:rsidR="00A55257" w:rsidRPr="00F45A6E" w:rsidRDefault="008F665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Kod</w:t>
      </w:r>
      <w:r w:rsidR="00E620CD" w:rsidRPr="00F45A6E">
        <w:rPr>
          <w:sz w:val="22"/>
          <w:szCs w:val="22"/>
          <w:lang w:val="sr-Latn-ME"/>
        </w:rPr>
        <w:t xml:space="preserve"> većine </w:t>
      </w:r>
      <w:r w:rsidRPr="00F45A6E">
        <w:rPr>
          <w:sz w:val="22"/>
          <w:szCs w:val="22"/>
          <w:lang w:val="sr-Latn-ME"/>
        </w:rPr>
        <w:t>pacijenata</w:t>
      </w:r>
      <w:r w:rsidR="00E620CD" w:rsidRPr="00F45A6E">
        <w:rPr>
          <w:sz w:val="22"/>
          <w:szCs w:val="22"/>
          <w:lang w:val="sr-Latn-ME"/>
        </w:rPr>
        <w:t xml:space="preserve"> l</w:t>
      </w:r>
      <w:r w:rsidR="005812A6" w:rsidRPr="00F45A6E">
        <w:rPr>
          <w:sz w:val="22"/>
          <w:szCs w:val="22"/>
          <w:lang w:val="sr-Latn-ME"/>
        </w:rPr>
        <w:t>j</w:t>
      </w:r>
      <w:r w:rsidR="00E620CD" w:rsidRPr="00F45A6E">
        <w:rPr>
          <w:sz w:val="22"/>
          <w:szCs w:val="22"/>
          <w:lang w:val="sr-Latn-ME"/>
        </w:rPr>
        <w:t xml:space="preserve">ečenih </w:t>
      </w:r>
      <w:r w:rsidR="006F3208" w:rsidRPr="00F45A6E">
        <w:rPr>
          <w:sz w:val="22"/>
          <w:szCs w:val="22"/>
          <w:lang w:val="sr-Latn-ME"/>
        </w:rPr>
        <w:t>t</w:t>
      </w:r>
      <w:r w:rsidR="00E620CD" w:rsidRPr="00F45A6E">
        <w:rPr>
          <w:sz w:val="22"/>
          <w:szCs w:val="22"/>
          <w:lang w:val="sr-Latn-ME"/>
        </w:rPr>
        <w:t>rabektedin</w:t>
      </w:r>
      <w:r w:rsidRPr="00F45A6E">
        <w:rPr>
          <w:sz w:val="22"/>
          <w:szCs w:val="22"/>
          <w:lang w:val="sr-Latn-ME"/>
        </w:rPr>
        <w:t>om</w:t>
      </w:r>
      <w:r w:rsidR="00E620CD" w:rsidRPr="00F45A6E">
        <w:rPr>
          <w:sz w:val="22"/>
          <w:szCs w:val="22"/>
          <w:lang w:val="sr-Latn-ME"/>
        </w:rPr>
        <w:t xml:space="preserve"> mogu se očekivati </w:t>
      </w:r>
      <w:r w:rsidRPr="00F45A6E">
        <w:rPr>
          <w:sz w:val="22"/>
          <w:szCs w:val="22"/>
          <w:lang w:val="sr-Latn-ME"/>
        </w:rPr>
        <w:t>neželjena dejstva</w:t>
      </w:r>
      <w:r w:rsidR="00E620CD" w:rsidRPr="00F45A6E">
        <w:rPr>
          <w:sz w:val="22"/>
          <w:szCs w:val="22"/>
          <w:lang w:val="sr-Latn-ME"/>
        </w:rPr>
        <w:t xml:space="preserve"> bilo kojeg </w:t>
      </w:r>
      <w:r w:rsidRPr="00F45A6E">
        <w:rPr>
          <w:sz w:val="22"/>
          <w:szCs w:val="22"/>
          <w:lang w:val="sr-Latn-ME"/>
        </w:rPr>
        <w:t>stepena</w:t>
      </w:r>
      <w:r w:rsidR="00AA5F5D" w:rsidRPr="00F45A6E">
        <w:rPr>
          <w:sz w:val="22"/>
          <w:szCs w:val="22"/>
          <w:lang w:val="sr-Latn-ME"/>
        </w:rPr>
        <w:t xml:space="preserve"> težine</w:t>
      </w:r>
      <w:r w:rsidR="00E620CD" w:rsidRPr="00F45A6E">
        <w:rPr>
          <w:sz w:val="22"/>
          <w:szCs w:val="22"/>
          <w:lang w:val="sr-Latn-ME"/>
        </w:rPr>
        <w:t xml:space="preserve"> (91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u monoterapiji i 99,4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u kombin</w:t>
      </w:r>
      <w:r w:rsidRPr="00F45A6E">
        <w:rPr>
          <w:sz w:val="22"/>
          <w:szCs w:val="22"/>
          <w:lang w:val="sr-Latn-ME"/>
        </w:rPr>
        <w:t>ovanoj</w:t>
      </w:r>
      <w:r w:rsidR="00E620CD" w:rsidRPr="00F45A6E">
        <w:rPr>
          <w:sz w:val="22"/>
          <w:szCs w:val="22"/>
          <w:lang w:val="sr-Latn-ME"/>
        </w:rPr>
        <w:t xml:space="preserve"> terapiji), a kod manje od jedne trećine mogu se očekivati ozbiljn</w:t>
      </w:r>
      <w:r w:rsidRPr="00F45A6E">
        <w:rPr>
          <w:sz w:val="22"/>
          <w:szCs w:val="22"/>
          <w:lang w:val="sr-Latn-ME"/>
        </w:rPr>
        <w:t>a</w:t>
      </w:r>
      <w:r w:rsidR="00E620CD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neželjena dejstva</w:t>
      </w:r>
      <w:r w:rsidR="00E620CD" w:rsidRPr="00F45A6E">
        <w:rPr>
          <w:sz w:val="22"/>
          <w:szCs w:val="22"/>
          <w:lang w:val="sr-Latn-ME"/>
        </w:rPr>
        <w:t xml:space="preserve"> 3. ili 4. st</w:t>
      </w:r>
      <w:r w:rsidRPr="00F45A6E">
        <w:rPr>
          <w:sz w:val="22"/>
          <w:szCs w:val="22"/>
          <w:lang w:val="sr-Latn-ME"/>
        </w:rPr>
        <w:t>epena</w:t>
      </w:r>
      <w:r w:rsidR="00E620CD" w:rsidRPr="00F45A6E">
        <w:rPr>
          <w:sz w:val="22"/>
          <w:szCs w:val="22"/>
          <w:lang w:val="sr-Latn-ME"/>
        </w:rPr>
        <w:t xml:space="preserve"> te</w:t>
      </w:r>
      <w:r w:rsidRPr="00F45A6E">
        <w:rPr>
          <w:sz w:val="22"/>
          <w:szCs w:val="22"/>
          <w:lang w:val="sr-Latn-ME"/>
        </w:rPr>
        <w:t>ž</w:t>
      </w:r>
      <w:r w:rsidR="00E620CD" w:rsidRPr="00F45A6E">
        <w:rPr>
          <w:sz w:val="22"/>
          <w:szCs w:val="22"/>
          <w:lang w:val="sr-Latn-ME"/>
        </w:rPr>
        <w:t>ine (10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u monoterapiji i 25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u kombin</w:t>
      </w:r>
      <w:r w:rsidRPr="00F45A6E">
        <w:rPr>
          <w:sz w:val="22"/>
          <w:szCs w:val="22"/>
          <w:lang w:val="sr-Latn-ME"/>
        </w:rPr>
        <w:t>ov</w:t>
      </w:r>
      <w:r w:rsidR="00E620CD" w:rsidRPr="00F45A6E">
        <w:rPr>
          <w:sz w:val="22"/>
          <w:szCs w:val="22"/>
          <w:lang w:val="sr-Latn-ME"/>
        </w:rPr>
        <w:t>anoj terapiji). Najčešć</w:t>
      </w:r>
      <w:r w:rsidR="00E55911" w:rsidRPr="00F45A6E">
        <w:rPr>
          <w:sz w:val="22"/>
          <w:szCs w:val="22"/>
          <w:lang w:val="sr-Latn-ME"/>
        </w:rPr>
        <w:t>a</w:t>
      </w:r>
      <w:r w:rsidR="00E620CD" w:rsidRPr="00F45A6E">
        <w:rPr>
          <w:sz w:val="22"/>
          <w:szCs w:val="22"/>
          <w:lang w:val="sr-Latn-ME"/>
        </w:rPr>
        <w:t xml:space="preserve"> </w:t>
      </w:r>
      <w:r w:rsidR="00E55911" w:rsidRPr="00F45A6E">
        <w:rPr>
          <w:sz w:val="22"/>
          <w:szCs w:val="22"/>
          <w:lang w:val="sr-Latn-ME"/>
        </w:rPr>
        <w:t>neželjena dejstva</w:t>
      </w:r>
      <w:r w:rsidR="00E620CD" w:rsidRPr="00F45A6E">
        <w:rPr>
          <w:sz w:val="22"/>
          <w:szCs w:val="22"/>
          <w:lang w:val="sr-Latn-ME"/>
        </w:rPr>
        <w:t xml:space="preserve"> bilo kojeg st</w:t>
      </w:r>
      <w:r w:rsidR="00E55911" w:rsidRPr="00F45A6E">
        <w:rPr>
          <w:sz w:val="22"/>
          <w:szCs w:val="22"/>
          <w:lang w:val="sr-Latn-ME"/>
        </w:rPr>
        <w:t>epen</w:t>
      </w:r>
      <w:r w:rsidR="00E620CD" w:rsidRPr="00F45A6E">
        <w:rPr>
          <w:sz w:val="22"/>
          <w:szCs w:val="22"/>
          <w:lang w:val="sr-Latn-ME"/>
        </w:rPr>
        <w:t>a te</w:t>
      </w:r>
      <w:r w:rsidR="00E55911" w:rsidRPr="00F45A6E">
        <w:rPr>
          <w:sz w:val="22"/>
          <w:szCs w:val="22"/>
          <w:lang w:val="sr-Latn-ME"/>
        </w:rPr>
        <w:t>ž</w:t>
      </w:r>
      <w:r w:rsidR="00E620CD" w:rsidRPr="00F45A6E">
        <w:rPr>
          <w:sz w:val="22"/>
          <w:szCs w:val="22"/>
          <w:lang w:val="sr-Latn-ME"/>
        </w:rPr>
        <w:t>ine bil</w:t>
      </w:r>
      <w:r w:rsidR="00E55911" w:rsidRPr="00F45A6E">
        <w:rPr>
          <w:sz w:val="22"/>
          <w:szCs w:val="22"/>
          <w:lang w:val="sr-Latn-ME"/>
        </w:rPr>
        <w:t>a</w:t>
      </w:r>
      <w:r w:rsidR="00E620CD" w:rsidRPr="00F45A6E">
        <w:rPr>
          <w:sz w:val="22"/>
          <w:szCs w:val="22"/>
          <w:lang w:val="sr-Latn-ME"/>
        </w:rPr>
        <w:t xml:space="preserve"> su neutropenija, mučnina, povraćanje, po</w:t>
      </w:r>
      <w:r w:rsidR="00AA5F5D" w:rsidRPr="00F45A6E">
        <w:rPr>
          <w:sz w:val="22"/>
          <w:szCs w:val="22"/>
          <w:lang w:val="sr-Latn-ME"/>
        </w:rPr>
        <w:t>većanje</w:t>
      </w:r>
      <w:r w:rsidR="00E620CD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AA5F5D" w:rsidRPr="00F45A6E">
        <w:rPr>
          <w:sz w:val="22"/>
          <w:szCs w:val="22"/>
          <w:lang w:val="sr-Latn-ME"/>
        </w:rPr>
        <w:t>i</w:t>
      </w:r>
      <w:r w:rsidR="00E55911" w:rsidRPr="00F45A6E">
        <w:rPr>
          <w:sz w:val="22"/>
          <w:szCs w:val="22"/>
          <w:lang w:val="sr-Latn-ME"/>
        </w:rPr>
        <w:t xml:space="preserve"> </w:t>
      </w:r>
      <w:r w:rsidR="00E620CD" w:rsidRPr="00F45A6E">
        <w:rPr>
          <w:sz w:val="22"/>
          <w:szCs w:val="22"/>
          <w:lang w:val="sr-Latn-ME"/>
        </w:rPr>
        <w:t>AST/ALT, anemija, umor, trombocitopenija, anoreksija i pro</w:t>
      </w:r>
      <w:r w:rsidR="00E55911" w:rsidRPr="00F45A6E">
        <w:rPr>
          <w:sz w:val="22"/>
          <w:szCs w:val="22"/>
          <w:lang w:val="sr-Latn-ME"/>
        </w:rPr>
        <w:t>li</w:t>
      </w:r>
      <w:r w:rsidR="00E620CD" w:rsidRPr="00F45A6E">
        <w:rPr>
          <w:sz w:val="22"/>
          <w:szCs w:val="22"/>
          <w:lang w:val="sr-Latn-ME"/>
        </w:rPr>
        <w:t xml:space="preserve">v. </w:t>
      </w:r>
    </w:p>
    <w:p w14:paraId="37C471B1" w14:textId="3E2C37C8" w:rsidR="00B27C42" w:rsidRPr="00F45A6E" w:rsidRDefault="00AA5F5D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</w:t>
      </w:r>
      <w:r w:rsidR="007C70F7" w:rsidRPr="00F45A6E">
        <w:rPr>
          <w:sz w:val="22"/>
          <w:szCs w:val="22"/>
          <w:lang w:val="sr-Latn-ME"/>
        </w:rPr>
        <w:t>eželjena dejstva</w:t>
      </w:r>
      <w:r w:rsidRPr="00F45A6E">
        <w:rPr>
          <w:sz w:val="22"/>
          <w:szCs w:val="22"/>
          <w:lang w:val="sr-Latn-ME"/>
        </w:rPr>
        <w:t xml:space="preserve"> koja mogu da dovedu do smrtno</w:t>
      </w:r>
      <w:r w:rsidR="005A481E" w:rsidRPr="00F45A6E">
        <w:rPr>
          <w:sz w:val="22"/>
          <w:szCs w:val="22"/>
          <w:lang w:val="sr-Latn-ME"/>
        </w:rPr>
        <w:t>g</w:t>
      </w:r>
      <w:r w:rsidRPr="00F45A6E">
        <w:rPr>
          <w:sz w:val="22"/>
          <w:szCs w:val="22"/>
          <w:lang w:val="sr-Latn-ME"/>
        </w:rPr>
        <w:t xml:space="preserve"> ishoda</w:t>
      </w:r>
      <w:r w:rsidR="00E620CD" w:rsidRPr="00F45A6E">
        <w:rPr>
          <w:sz w:val="22"/>
          <w:szCs w:val="22"/>
          <w:lang w:val="sr-Latn-ME"/>
        </w:rPr>
        <w:t xml:space="preserve"> pojavil</w:t>
      </w:r>
      <w:r w:rsidR="007C70F7" w:rsidRPr="00F45A6E">
        <w:rPr>
          <w:sz w:val="22"/>
          <w:szCs w:val="22"/>
          <w:lang w:val="sr-Latn-ME"/>
        </w:rPr>
        <w:t>a</w:t>
      </w:r>
      <w:r w:rsidR="00E620CD" w:rsidRPr="00F45A6E">
        <w:rPr>
          <w:sz w:val="22"/>
          <w:szCs w:val="22"/>
          <w:lang w:val="sr-Latn-ME"/>
        </w:rPr>
        <w:t xml:space="preserve"> su se </w:t>
      </w:r>
      <w:r w:rsidR="007C70F7" w:rsidRPr="00F45A6E">
        <w:rPr>
          <w:sz w:val="22"/>
          <w:szCs w:val="22"/>
          <w:lang w:val="sr-Latn-ME"/>
        </w:rPr>
        <w:t>kod</w:t>
      </w:r>
      <w:r w:rsidR="00E620CD" w:rsidRPr="00F45A6E">
        <w:rPr>
          <w:sz w:val="22"/>
          <w:szCs w:val="22"/>
          <w:lang w:val="sr-Latn-ME"/>
        </w:rPr>
        <w:t xml:space="preserve"> 1,9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</w:t>
      </w:r>
      <w:r w:rsidR="007C70F7" w:rsidRPr="00F45A6E">
        <w:rPr>
          <w:sz w:val="22"/>
          <w:szCs w:val="22"/>
          <w:lang w:val="sr-Latn-ME"/>
        </w:rPr>
        <w:t>pacijenata</w:t>
      </w:r>
      <w:r w:rsidR="00E620CD" w:rsidRPr="00F45A6E">
        <w:rPr>
          <w:sz w:val="22"/>
          <w:szCs w:val="22"/>
          <w:lang w:val="sr-Latn-ME"/>
        </w:rPr>
        <w:t xml:space="preserve"> l</w:t>
      </w:r>
      <w:r w:rsidR="005812A6" w:rsidRPr="00F45A6E">
        <w:rPr>
          <w:sz w:val="22"/>
          <w:szCs w:val="22"/>
          <w:lang w:val="sr-Latn-ME"/>
        </w:rPr>
        <w:t>j</w:t>
      </w:r>
      <w:r w:rsidR="00E620CD" w:rsidRPr="00F45A6E">
        <w:rPr>
          <w:sz w:val="22"/>
          <w:szCs w:val="22"/>
          <w:lang w:val="sr-Latn-ME"/>
        </w:rPr>
        <w:t>ečenih monoterapijom, odnosno 0,6</w:t>
      </w:r>
      <w:r w:rsidR="00C157E6" w:rsidRPr="00F45A6E">
        <w:rPr>
          <w:sz w:val="22"/>
          <w:szCs w:val="22"/>
          <w:lang w:val="sr-Latn-ME"/>
        </w:rPr>
        <w:t>%</w:t>
      </w:r>
      <w:r w:rsidR="00E620CD" w:rsidRPr="00F45A6E">
        <w:rPr>
          <w:sz w:val="22"/>
          <w:szCs w:val="22"/>
          <w:lang w:val="sr-Latn-ME"/>
        </w:rPr>
        <w:t xml:space="preserve"> </w:t>
      </w:r>
      <w:r w:rsidR="007C70F7" w:rsidRPr="00F45A6E">
        <w:rPr>
          <w:sz w:val="22"/>
          <w:szCs w:val="22"/>
          <w:lang w:val="sr-Latn-ME"/>
        </w:rPr>
        <w:t>pacijenata</w:t>
      </w:r>
      <w:r w:rsidR="00E620CD" w:rsidRPr="00F45A6E">
        <w:rPr>
          <w:sz w:val="22"/>
          <w:szCs w:val="22"/>
          <w:lang w:val="sr-Latn-ME"/>
        </w:rPr>
        <w:t xml:space="preserve"> l</w:t>
      </w:r>
      <w:r w:rsidR="005812A6" w:rsidRPr="00F45A6E">
        <w:rPr>
          <w:sz w:val="22"/>
          <w:szCs w:val="22"/>
          <w:lang w:val="sr-Latn-ME"/>
        </w:rPr>
        <w:t>j</w:t>
      </w:r>
      <w:r w:rsidR="00E620CD" w:rsidRPr="00F45A6E">
        <w:rPr>
          <w:sz w:val="22"/>
          <w:szCs w:val="22"/>
          <w:lang w:val="sr-Latn-ME"/>
        </w:rPr>
        <w:t>ečenih kombin</w:t>
      </w:r>
      <w:r w:rsidR="007C70F7" w:rsidRPr="00F45A6E">
        <w:rPr>
          <w:sz w:val="22"/>
          <w:szCs w:val="22"/>
          <w:lang w:val="sr-Latn-ME"/>
        </w:rPr>
        <w:t>ova</w:t>
      </w:r>
      <w:r w:rsidR="00E620CD" w:rsidRPr="00F45A6E">
        <w:rPr>
          <w:sz w:val="22"/>
          <w:szCs w:val="22"/>
          <w:lang w:val="sr-Latn-ME"/>
        </w:rPr>
        <w:t>nim re</w:t>
      </w:r>
      <w:r w:rsidR="007C70F7" w:rsidRPr="00F45A6E">
        <w:rPr>
          <w:sz w:val="22"/>
          <w:szCs w:val="22"/>
          <w:lang w:val="sr-Latn-ME"/>
        </w:rPr>
        <w:t>ž</w:t>
      </w:r>
      <w:r w:rsidR="00E620CD" w:rsidRPr="00F45A6E">
        <w:rPr>
          <w:sz w:val="22"/>
          <w:szCs w:val="22"/>
          <w:lang w:val="sr-Latn-ME"/>
        </w:rPr>
        <w:t xml:space="preserve">imima. Često su bile </w:t>
      </w:r>
      <w:r w:rsidR="003F16ED" w:rsidRPr="00F45A6E">
        <w:rPr>
          <w:sz w:val="22"/>
          <w:szCs w:val="22"/>
          <w:lang w:val="sr-Latn-ME"/>
        </w:rPr>
        <w:t>posl</w:t>
      </w:r>
      <w:r w:rsidR="005812A6" w:rsidRPr="00F45A6E">
        <w:rPr>
          <w:sz w:val="22"/>
          <w:szCs w:val="22"/>
          <w:lang w:val="sr-Latn-ME"/>
        </w:rPr>
        <w:t>j</w:t>
      </w:r>
      <w:r w:rsidR="003F16ED" w:rsidRPr="00F45A6E">
        <w:rPr>
          <w:sz w:val="22"/>
          <w:szCs w:val="22"/>
          <w:lang w:val="sr-Latn-ME"/>
        </w:rPr>
        <w:t xml:space="preserve">edica </w:t>
      </w:r>
      <w:r w:rsidR="00E620CD" w:rsidRPr="00F45A6E">
        <w:rPr>
          <w:sz w:val="22"/>
          <w:szCs w:val="22"/>
          <w:lang w:val="sr-Latn-ME"/>
        </w:rPr>
        <w:t>kombinacije doga</w:t>
      </w:r>
      <w:r w:rsidR="00317F84" w:rsidRPr="00F45A6E">
        <w:rPr>
          <w:sz w:val="22"/>
          <w:szCs w:val="22"/>
          <w:lang w:val="sr-Latn-ME"/>
        </w:rPr>
        <w:t>đ</w:t>
      </w:r>
      <w:r w:rsidR="00E620CD" w:rsidRPr="00F45A6E">
        <w:rPr>
          <w:sz w:val="22"/>
          <w:szCs w:val="22"/>
          <w:lang w:val="sr-Latn-ME"/>
        </w:rPr>
        <w:t>aja uključujući</w:t>
      </w:r>
      <w:r w:rsidR="00B27C42" w:rsidRPr="00F45A6E">
        <w:rPr>
          <w:sz w:val="22"/>
          <w:szCs w:val="22"/>
          <w:lang w:val="sr-Latn-ME"/>
        </w:rPr>
        <w:t xml:space="preserve"> pancitopeniju, febrilnu neutropeniju, ponekad udru</w:t>
      </w:r>
      <w:r w:rsidR="00317F84" w:rsidRPr="00F45A6E">
        <w:rPr>
          <w:sz w:val="22"/>
          <w:szCs w:val="22"/>
          <w:lang w:val="sr-Latn-ME"/>
        </w:rPr>
        <w:t>ž</w:t>
      </w:r>
      <w:r w:rsidR="00B27C42" w:rsidRPr="00F45A6E">
        <w:rPr>
          <w:sz w:val="22"/>
          <w:szCs w:val="22"/>
          <w:lang w:val="sr-Latn-ME"/>
        </w:rPr>
        <w:t>enu sa sepsom, oštećenje</w:t>
      </w:r>
      <w:r w:rsidR="004D4D95" w:rsidRPr="00F45A6E">
        <w:rPr>
          <w:sz w:val="22"/>
          <w:szCs w:val="22"/>
          <w:lang w:val="sr-Latn-ME"/>
        </w:rPr>
        <w:t xml:space="preserve"> funkcije</w:t>
      </w:r>
      <w:r w:rsidR="00B27C42" w:rsidRPr="00F45A6E">
        <w:rPr>
          <w:sz w:val="22"/>
          <w:szCs w:val="22"/>
          <w:lang w:val="sr-Latn-ME"/>
        </w:rPr>
        <w:t xml:space="preserve"> jetre, </w:t>
      </w:r>
      <w:r w:rsidR="003F16ED" w:rsidRPr="00F45A6E">
        <w:rPr>
          <w:sz w:val="22"/>
          <w:szCs w:val="22"/>
          <w:lang w:val="sr-Latn-ME"/>
        </w:rPr>
        <w:t>insuficijencija</w:t>
      </w:r>
      <w:r w:rsidR="00B27C42" w:rsidRPr="00F45A6E">
        <w:rPr>
          <w:sz w:val="22"/>
          <w:szCs w:val="22"/>
          <w:lang w:val="sr-Latn-ME"/>
        </w:rPr>
        <w:t xml:space="preserve"> bubrega ili više organa </w:t>
      </w:r>
      <w:r w:rsidR="004243AE" w:rsidRPr="00F45A6E">
        <w:rPr>
          <w:sz w:val="22"/>
          <w:szCs w:val="22"/>
          <w:lang w:val="sr-Latn-ME"/>
        </w:rPr>
        <w:t>i</w:t>
      </w:r>
      <w:r w:rsidR="00B27C42" w:rsidRPr="00F45A6E">
        <w:rPr>
          <w:sz w:val="22"/>
          <w:szCs w:val="22"/>
          <w:lang w:val="sr-Latn-ME"/>
        </w:rPr>
        <w:t xml:space="preserve"> rabdomiolizu. </w:t>
      </w:r>
    </w:p>
    <w:p w14:paraId="7239597A" w14:textId="77777777" w:rsidR="008846A2" w:rsidRPr="00F45A6E" w:rsidRDefault="008846A2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64A5697" w14:textId="7AAA68DC" w:rsidR="00B27C42" w:rsidRPr="00F45A6E" w:rsidRDefault="005B55BC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Tabelarni</w:t>
      </w:r>
      <w:r w:rsidR="00B27C42" w:rsidRPr="00F45A6E">
        <w:rPr>
          <w:sz w:val="22"/>
          <w:szCs w:val="22"/>
          <w:u w:val="single"/>
          <w:lang w:val="sr-Latn-ME"/>
        </w:rPr>
        <w:t xml:space="preserve"> </w:t>
      </w:r>
      <w:r w:rsidR="00533D91" w:rsidRPr="00F45A6E">
        <w:rPr>
          <w:sz w:val="22"/>
          <w:szCs w:val="22"/>
          <w:u w:val="single"/>
          <w:lang w:val="sr-Latn-ME"/>
        </w:rPr>
        <w:t>prikaz</w:t>
      </w:r>
      <w:r w:rsidR="00B27C42" w:rsidRPr="00F45A6E">
        <w:rPr>
          <w:sz w:val="22"/>
          <w:szCs w:val="22"/>
          <w:u w:val="single"/>
          <w:lang w:val="sr-Latn-ME"/>
        </w:rPr>
        <w:t xml:space="preserve"> </w:t>
      </w:r>
      <w:r w:rsidRPr="00F45A6E">
        <w:rPr>
          <w:sz w:val="22"/>
          <w:szCs w:val="22"/>
          <w:u w:val="single"/>
          <w:lang w:val="sr-Latn-ME"/>
        </w:rPr>
        <w:t>neželjenih dejstava</w:t>
      </w:r>
    </w:p>
    <w:p w14:paraId="415E5BAD" w14:textId="77777777" w:rsidR="005B55BC" w:rsidRPr="00F45A6E" w:rsidRDefault="005B55BC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6CE896AD" w14:textId="04A65C91" w:rsidR="00B27C42" w:rsidRPr="00F45A6E" w:rsidRDefault="00B27C4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S</w:t>
      </w:r>
      <w:r w:rsidR="0019447B" w:rsidRPr="00F45A6E">
        <w:rPr>
          <w:sz w:val="22"/>
          <w:szCs w:val="22"/>
          <w:lang w:val="sr-Latn-ME"/>
        </w:rPr>
        <w:t>l</w:t>
      </w:r>
      <w:r w:rsidR="00E44BCE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edeći </w:t>
      </w:r>
      <w:r w:rsidR="0019447B" w:rsidRPr="00F45A6E">
        <w:rPr>
          <w:sz w:val="22"/>
          <w:szCs w:val="22"/>
          <w:lang w:val="sr-Latn-ME"/>
        </w:rPr>
        <w:t>bezbedonosni</w:t>
      </w:r>
      <w:r w:rsidRPr="00F45A6E">
        <w:rPr>
          <w:sz w:val="22"/>
          <w:szCs w:val="22"/>
          <w:lang w:val="sr-Latn-ME"/>
        </w:rPr>
        <w:t xml:space="preserve"> profil </w:t>
      </w:r>
      <w:r w:rsidR="006F3208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>rabektedin</w:t>
      </w:r>
      <w:r w:rsidR="00BA7D49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temelji se na </w:t>
      </w:r>
      <w:r w:rsidR="0019447B" w:rsidRPr="00F45A6E">
        <w:rPr>
          <w:sz w:val="22"/>
          <w:szCs w:val="22"/>
          <w:lang w:val="sr-Latn-ME"/>
        </w:rPr>
        <w:t>neželjenim dejstvima</w:t>
      </w:r>
      <w:r w:rsidRPr="00F45A6E">
        <w:rPr>
          <w:sz w:val="22"/>
          <w:szCs w:val="22"/>
          <w:lang w:val="sr-Latn-ME"/>
        </w:rPr>
        <w:t xml:space="preserve"> prijavljenim u kliničkim ispitivanjima, ispitivanjima </w:t>
      </w:r>
      <w:r w:rsidR="003B358B" w:rsidRPr="00F45A6E">
        <w:rPr>
          <w:sz w:val="22"/>
          <w:szCs w:val="22"/>
          <w:lang w:val="sr-Latn-ME"/>
        </w:rPr>
        <w:t>bezb</w:t>
      </w:r>
      <w:r w:rsidR="00E44BCE" w:rsidRPr="00F45A6E">
        <w:rPr>
          <w:sz w:val="22"/>
          <w:szCs w:val="22"/>
          <w:lang w:val="sr-Latn-ME"/>
        </w:rPr>
        <w:t>j</w:t>
      </w:r>
      <w:r w:rsidR="003B358B" w:rsidRPr="00F45A6E">
        <w:rPr>
          <w:sz w:val="22"/>
          <w:szCs w:val="22"/>
          <w:lang w:val="sr-Latn-ME"/>
        </w:rPr>
        <w:t>ednosti</w:t>
      </w:r>
      <w:r w:rsidRPr="00F45A6E">
        <w:rPr>
          <w:sz w:val="22"/>
          <w:szCs w:val="22"/>
          <w:lang w:val="sr-Latn-ME"/>
        </w:rPr>
        <w:t xml:space="preserve"> prim</w:t>
      </w:r>
      <w:r w:rsidR="00E44BCE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ene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nakon stavljanja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u promet i spontanom prijavljivanju. </w:t>
      </w:r>
    </w:p>
    <w:p w14:paraId="13908740" w14:textId="0D8B99EE" w:rsidR="007E3612" w:rsidRPr="00F45A6E" w:rsidRDefault="00B27C42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lastRenderedPageBreak/>
        <w:t>Tab</w:t>
      </w:r>
      <w:r w:rsidR="00B175EF" w:rsidRPr="00F45A6E">
        <w:rPr>
          <w:szCs w:val="22"/>
          <w:lang w:val="sr-Latn-ME"/>
        </w:rPr>
        <w:t>ela</w:t>
      </w:r>
      <w:r w:rsidRPr="00F45A6E">
        <w:rPr>
          <w:szCs w:val="22"/>
          <w:lang w:val="sr-Latn-ME"/>
        </w:rPr>
        <w:t xml:space="preserve"> koja sl</w:t>
      </w:r>
      <w:r w:rsidR="00E44BCE" w:rsidRPr="00F45A6E">
        <w:rPr>
          <w:szCs w:val="22"/>
          <w:lang w:val="sr-Latn-ME"/>
        </w:rPr>
        <w:t>ij</w:t>
      </w:r>
      <w:r w:rsidRPr="00F45A6E">
        <w:rPr>
          <w:szCs w:val="22"/>
          <w:lang w:val="sr-Latn-ME"/>
        </w:rPr>
        <w:t>edi</w:t>
      </w:r>
      <w:r w:rsidR="00B175EF" w:rsidRPr="00F45A6E">
        <w:rPr>
          <w:szCs w:val="22"/>
          <w:lang w:val="sr-Latn-ME"/>
        </w:rPr>
        <w:t xml:space="preserve"> u nastavku</w:t>
      </w:r>
      <w:r w:rsidRPr="00F45A6E">
        <w:rPr>
          <w:szCs w:val="22"/>
          <w:lang w:val="sr-Latn-ME"/>
        </w:rPr>
        <w:t xml:space="preserve"> prikazuje </w:t>
      </w:r>
      <w:r w:rsidR="003B358B" w:rsidRPr="00F45A6E">
        <w:rPr>
          <w:szCs w:val="22"/>
          <w:lang w:val="sr-Latn-ME"/>
        </w:rPr>
        <w:t>neželjena dejstva</w:t>
      </w:r>
      <w:r w:rsidRPr="00F45A6E">
        <w:rPr>
          <w:szCs w:val="22"/>
          <w:lang w:val="sr-Latn-ME"/>
        </w:rPr>
        <w:t xml:space="preserve"> prijavljen</w:t>
      </w:r>
      <w:r w:rsidR="003B358B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</w:t>
      </w:r>
      <w:r w:rsidR="003B358B" w:rsidRPr="00F45A6E">
        <w:rPr>
          <w:szCs w:val="22"/>
          <w:lang w:val="sr-Latn-ME"/>
        </w:rPr>
        <w:t>kod pacijenata</w:t>
      </w:r>
      <w:r w:rsidRPr="00F45A6E">
        <w:rPr>
          <w:szCs w:val="22"/>
          <w:lang w:val="sr-Latn-ME"/>
        </w:rPr>
        <w:t xml:space="preserve"> sa sarkomom mekih tkiva i </w:t>
      </w:r>
      <w:r w:rsidR="008B22BF" w:rsidRPr="00F45A6E">
        <w:rPr>
          <w:szCs w:val="22"/>
          <w:lang w:val="sr-Latn-ME"/>
        </w:rPr>
        <w:t>kancerom</w:t>
      </w:r>
      <w:r w:rsidRPr="00F45A6E">
        <w:rPr>
          <w:szCs w:val="22"/>
          <w:lang w:val="sr-Latn-ME"/>
        </w:rPr>
        <w:t xml:space="preserve"> jajnika </w:t>
      </w:r>
      <w:r w:rsidR="001B47BA" w:rsidRPr="00F45A6E">
        <w:rPr>
          <w:szCs w:val="22"/>
          <w:lang w:val="sr-Latn-ME"/>
        </w:rPr>
        <w:t>liječen</w:t>
      </w:r>
      <w:r w:rsidRPr="00F45A6E">
        <w:rPr>
          <w:szCs w:val="22"/>
          <w:lang w:val="sr-Latn-ME"/>
        </w:rPr>
        <w:t xml:space="preserve">ih preporučenim </w:t>
      </w:r>
      <w:r w:rsidR="00B175EF" w:rsidRPr="00F45A6E">
        <w:rPr>
          <w:szCs w:val="22"/>
          <w:lang w:val="sr-Latn-ME"/>
        </w:rPr>
        <w:t xml:space="preserve">doznim </w:t>
      </w:r>
      <w:r w:rsidRPr="00F45A6E">
        <w:rPr>
          <w:szCs w:val="22"/>
          <w:lang w:val="sr-Latn-ME"/>
        </w:rPr>
        <w:t>re</w:t>
      </w:r>
      <w:r w:rsidR="00BD6EF5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im</w:t>
      </w:r>
      <w:r w:rsidR="00B175EF" w:rsidRPr="00F45A6E">
        <w:rPr>
          <w:szCs w:val="22"/>
          <w:lang w:val="sr-Latn-ME"/>
        </w:rPr>
        <w:t>o</w:t>
      </w:r>
      <w:r w:rsidRPr="00F45A6E">
        <w:rPr>
          <w:szCs w:val="22"/>
          <w:lang w:val="sr-Latn-ME"/>
        </w:rPr>
        <w:t>m trabektedina za svaku indikaciju. Pri odre</w:t>
      </w:r>
      <w:r w:rsidR="00BD6EF5" w:rsidRPr="00F45A6E">
        <w:rPr>
          <w:szCs w:val="22"/>
          <w:lang w:val="sr-Latn-ME"/>
        </w:rPr>
        <w:t>đ</w:t>
      </w:r>
      <w:r w:rsidRPr="00F45A6E">
        <w:rPr>
          <w:szCs w:val="22"/>
          <w:lang w:val="sr-Latn-ME"/>
        </w:rPr>
        <w:t>ivanju učestalosti u obzir su uzet</w:t>
      </w:r>
      <w:r w:rsidR="00BD6EF5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i </w:t>
      </w:r>
      <w:r w:rsidR="00BD6EF5" w:rsidRPr="00F45A6E">
        <w:rPr>
          <w:szCs w:val="22"/>
          <w:lang w:val="sr-Latn-ME"/>
        </w:rPr>
        <w:t>neželjena dejstva</w:t>
      </w:r>
      <w:r w:rsidRPr="00F45A6E">
        <w:rPr>
          <w:szCs w:val="22"/>
          <w:lang w:val="sr-Latn-ME"/>
        </w:rPr>
        <w:t xml:space="preserve"> i laboratorijske </w:t>
      </w:r>
      <w:r w:rsidR="008C26C1" w:rsidRPr="00F45A6E">
        <w:rPr>
          <w:szCs w:val="22"/>
          <w:lang w:val="sr-Latn-ME"/>
        </w:rPr>
        <w:t>vrijednost</w:t>
      </w:r>
      <w:r w:rsidRPr="00F45A6E">
        <w:rPr>
          <w:szCs w:val="22"/>
          <w:lang w:val="sr-Latn-ME"/>
        </w:rPr>
        <w:t>i.</w:t>
      </w:r>
    </w:p>
    <w:p w14:paraId="3D214147" w14:textId="77777777" w:rsidR="00E620CD" w:rsidRPr="00F45A6E" w:rsidRDefault="00E620CD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p w14:paraId="09A1FAE9" w14:textId="69AA17B7" w:rsidR="007E3612" w:rsidRPr="00F45A6E" w:rsidRDefault="00533D91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Neželjena dejstva su navedena prema klasi sistema organa</w:t>
      </w:r>
      <w:r w:rsidR="009B61CA" w:rsidRPr="00F45A6E">
        <w:rPr>
          <w:szCs w:val="22"/>
          <w:lang w:val="sr-Latn-ME"/>
        </w:rPr>
        <w:t xml:space="preserve"> </w:t>
      </w:r>
      <w:r w:rsidR="009B61CA" w:rsidRPr="00F45A6E">
        <w:rPr>
          <w:rFonts w:eastAsia="Lucida Sans Unicode"/>
          <w:kern w:val="1"/>
          <w:szCs w:val="22"/>
          <w:lang w:val="sr-Latn-ME"/>
        </w:rPr>
        <w:t>(MedDRA)</w:t>
      </w:r>
      <w:r w:rsidRPr="00F45A6E">
        <w:rPr>
          <w:szCs w:val="22"/>
          <w:lang w:val="sr-Latn-ME"/>
        </w:rPr>
        <w:t xml:space="preserve"> i učestalosti. </w:t>
      </w:r>
      <w:r w:rsidR="003A053C" w:rsidRPr="00F45A6E">
        <w:rPr>
          <w:szCs w:val="22"/>
          <w:lang w:val="sr-Latn-ME"/>
        </w:rPr>
        <w:t>Učestalost se definiš</w:t>
      </w:r>
      <w:r w:rsidR="00B065A6" w:rsidRPr="00F45A6E">
        <w:rPr>
          <w:szCs w:val="22"/>
          <w:lang w:val="sr-Latn-ME"/>
        </w:rPr>
        <w:t>e</w:t>
      </w:r>
      <w:r w:rsidR="003A053C" w:rsidRPr="00F45A6E">
        <w:rPr>
          <w:szCs w:val="22"/>
          <w:lang w:val="sr-Latn-ME"/>
        </w:rPr>
        <w:t xml:space="preserve"> kao veoma čest</w:t>
      </w:r>
      <w:r w:rsidR="00B065A6" w:rsidRPr="00F45A6E">
        <w:rPr>
          <w:szCs w:val="22"/>
          <w:lang w:val="sr-Latn-ME"/>
        </w:rPr>
        <w:t>o</w:t>
      </w:r>
      <w:r w:rsidR="003A053C" w:rsidRPr="00F45A6E">
        <w:rPr>
          <w:szCs w:val="22"/>
          <w:lang w:val="sr-Latn-ME"/>
        </w:rPr>
        <w:t xml:space="preserve"> (≥ 1/10), čest</w:t>
      </w:r>
      <w:r w:rsidR="00B065A6" w:rsidRPr="00F45A6E">
        <w:rPr>
          <w:szCs w:val="22"/>
          <w:lang w:val="sr-Latn-ME"/>
        </w:rPr>
        <w:t>o</w:t>
      </w:r>
      <w:r w:rsidR="003A053C" w:rsidRPr="00F45A6E">
        <w:rPr>
          <w:szCs w:val="22"/>
          <w:lang w:val="sr-Latn-ME"/>
        </w:rPr>
        <w:t xml:space="preserve"> (≥ 1/100 do &lt; 1/10), povremen</w:t>
      </w:r>
      <w:r w:rsidR="00B065A6" w:rsidRPr="00F45A6E">
        <w:rPr>
          <w:szCs w:val="22"/>
          <w:lang w:val="sr-Latn-ME"/>
        </w:rPr>
        <w:t>o</w:t>
      </w:r>
      <w:r w:rsidR="003A053C" w:rsidRPr="00F45A6E">
        <w:rPr>
          <w:szCs w:val="22"/>
          <w:lang w:val="sr-Latn-ME"/>
        </w:rPr>
        <w:t xml:space="preserve"> (≥ 1/1000 do &lt; 1/100), r</w:t>
      </w:r>
      <w:r w:rsidR="00E44BCE" w:rsidRPr="00F45A6E">
        <w:rPr>
          <w:szCs w:val="22"/>
          <w:lang w:val="sr-Latn-ME"/>
        </w:rPr>
        <w:t>ij</w:t>
      </w:r>
      <w:r w:rsidR="003A053C" w:rsidRPr="00F45A6E">
        <w:rPr>
          <w:szCs w:val="22"/>
          <w:lang w:val="sr-Latn-ME"/>
        </w:rPr>
        <w:t>etk</w:t>
      </w:r>
      <w:r w:rsidR="00B065A6" w:rsidRPr="00F45A6E">
        <w:rPr>
          <w:szCs w:val="22"/>
          <w:lang w:val="sr-Latn-ME"/>
        </w:rPr>
        <w:t>o</w:t>
      </w:r>
      <w:r w:rsidR="003A053C" w:rsidRPr="00F45A6E">
        <w:rPr>
          <w:szCs w:val="22"/>
          <w:lang w:val="sr-Latn-ME"/>
        </w:rPr>
        <w:t xml:space="preserve"> (≥ 1/10000 do &lt; 1/1000)</w:t>
      </w:r>
      <w:r w:rsidR="00B065A6" w:rsidRPr="00F45A6E">
        <w:rPr>
          <w:szCs w:val="22"/>
          <w:lang w:val="sr-Latn-ME"/>
        </w:rPr>
        <w:t xml:space="preserve">, </w:t>
      </w:r>
      <w:r w:rsidR="003A053C" w:rsidRPr="00F45A6E">
        <w:rPr>
          <w:szCs w:val="22"/>
          <w:lang w:val="sr-Latn-ME"/>
        </w:rPr>
        <w:t>veoma r</w:t>
      </w:r>
      <w:r w:rsidR="00E44BCE" w:rsidRPr="00F45A6E">
        <w:rPr>
          <w:szCs w:val="22"/>
          <w:lang w:val="sr-Latn-ME"/>
        </w:rPr>
        <w:t>ij</w:t>
      </w:r>
      <w:r w:rsidR="003A053C" w:rsidRPr="00F45A6E">
        <w:rPr>
          <w:szCs w:val="22"/>
          <w:lang w:val="sr-Latn-ME"/>
        </w:rPr>
        <w:t>etk</w:t>
      </w:r>
      <w:r w:rsidR="00B065A6" w:rsidRPr="00F45A6E">
        <w:rPr>
          <w:szCs w:val="22"/>
          <w:lang w:val="sr-Latn-ME"/>
        </w:rPr>
        <w:t>o</w:t>
      </w:r>
      <w:r w:rsidR="003A053C" w:rsidRPr="00F45A6E">
        <w:rPr>
          <w:szCs w:val="22"/>
          <w:lang w:val="sr-Latn-ME"/>
        </w:rPr>
        <w:t xml:space="preserve"> (&lt; 1/10000)</w:t>
      </w:r>
      <w:r w:rsidR="007D52B1" w:rsidRPr="00F45A6E">
        <w:rPr>
          <w:szCs w:val="22"/>
          <w:lang w:val="sr-Latn-ME"/>
        </w:rPr>
        <w:t xml:space="preserve"> i nepoznat</w:t>
      </w:r>
      <w:r w:rsidR="00B065A6" w:rsidRPr="00F45A6E">
        <w:rPr>
          <w:szCs w:val="22"/>
          <w:lang w:val="sr-Latn-ME"/>
        </w:rPr>
        <w:t>a</w:t>
      </w:r>
      <w:r w:rsidR="007D52B1" w:rsidRPr="00F45A6E">
        <w:rPr>
          <w:szCs w:val="22"/>
          <w:lang w:val="sr-Latn-ME"/>
        </w:rPr>
        <w:t xml:space="preserve"> (ne može se </w:t>
      </w:r>
      <w:r w:rsidR="00313FE9" w:rsidRPr="00F45A6E">
        <w:rPr>
          <w:szCs w:val="22"/>
          <w:lang w:val="sr-Latn-ME"/>
        </w:rPr>
        <w:t>proc</w:t>
      </w:r>
      <w:r w:rsidR="00E44BCE" w:rsidRPr="00F45A6E">
        <w:rPr>
          <w:szCs w:val="22"/>
          <w:lang w:val="sr-Latn-ME"/>
        </w:rPr>
        <w:t>ij</w:t>
      </w:r>
      <w:r w:rsidR="00313FE9" w:rsidRPr="00F45A6E">
        <w:rPr>
          <w:szCs w:val="22"/>
          <w:lang w:val="sr-Latn-ME"/>
        </w:rPr>
        <w:t xml:space="preserve">eniti </w:t>
      </w:r>
      <w:r w:rsidR="007D52B1" w:rsidRPr="00F45A6E">
        <w:rPr>
          <w:szCs w:val="22"/>
          <w:lang w:val="sr-Latn-ME"/>
        </w:rPr>
        <w:t>na osnovu dostupnih podataka)</w:t>
      </w:r>
      <w:r w:rsidR="003A053C" w:rsidRPr="00F45A6E">
        <w:rPr>
          <w:szCs w:val="22"/>
          <w:lang w:val="sr-Latn-ME"/>
        </w:rPr>
        <w:t xml:space="preserve">. </w:t>
      </w:r>
    </w:p>
    <w:p w14:paraId="23C3EFD4" w14:textId="77777777" w:rsidR="00C157E6" w:rsidRPr="00F45A6E" w:rsidRDefault="00C157E6" w:rsidP="003A690C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9"/>
        <w:gridCol w:w="2226"/>
        <w:gridCol w:w="1869"/>
        <w:gridCol w:w="1734"/>
        <w:gridCol w:w="1429"/>
      </w:tblGrid>
      <w:tr w:rsidR="00F641A3" w:rsidRPr="00F45A6E" w14:paraId="7970AD2D" w14:textId="5F1569B6" w:rsidTr="00F641A3">
        <w:trPr>
          <w:cantSplit/>
          <w:trHeight w:val="20"/>
          <w:tblHeader/>
        </w:trPr>
        <w:tc>
          <w:tcPr>
            <w:tcW w:w="1026" w:type="pct"/>
            <w:shd w:val="clear" w:color="auto" w:fill="auto"/>
            <w:vAlign w:val="center"/>
          </w:tcPr>
          <w:p w14:paraId="766F3D0F" w14:textId="023AB749" w:rsidR="00ED404C" w:rsidRPr="00F45A6E" w:rsidRDefault="00ED404C" w:rsidP="003A690C">
            <w:pPr>
              <w:keepNext/>
              <w:keepLines/>
              <w:shd w:val="clear" w:color="auto" w:fill="FFFFFF"/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Klasa sistema organa (SOC)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51307A05" w14:textId="34C9F60C" w:rsidR="00ED404C" w:rsidRPr="00F45A6E" w:rsidRDefault="00ED404C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Veoma čest</w:t>
            </w:r>
            <w:r w:rsidR="00FD0ACE" w:rsidRPr="00F45A6E">
              <w:rPr>
                <w:b/>
                <w:szCs w:val="22"/>
                <w:lang w:val="sr-Latn-ME"/>
              </w:rPr>
              <w:t>o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575209C" w14:textId="24E930F1" w:rsidR="00ED404C" w:rsidRPr="00F45A6E" w:rsidRDefault="00ED404C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Čest</w:t>
            </w:r>
            <w:r w:rsidR="00FD0ACE" w:rsidRPr="00F45A6E">
              <w:rPr>
                <w:b/>
                <w:szCs w:val="22"/>
                <w:lang w:val="sr-Latn-ME"/>
              </w:rPr>
              <w:t>o</w:t>
            </w:r>
          </w:p>
        </w:tc>
        <w:tc>
          <w:tcPr>
            <w:tcW w:w="1035" w:type="pct"/>
            <w:vAlign w:val="center"/>
          </w:tcPr>
          <w:p w14:paraId="6171FE99" w14:textId="66F59F40" w:rsidR="00ED404C" w:rsidRPr="00F45A6E" w:rsidRDefault="00ED404C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Povremeno</w:t>
            </w:r>
          </w:p>
        </w:tc>
        <w:tc>
          <w:tcPr>
            <w:tcW w:w="755" w:type="pct"/>
            <w:vAlign w:val="center"/>
          </w:tcPr>
          <w:p w14:paraId="53854554" w14:textId="5BEE2708" w:rsidR="00ED404C" w:rsidRPr="00F45A6E" w:rsidRDefault="00AE0FA4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R</w:t>
            </w:r>
            <w:r w:rsidR="007630B7" w:rsidRPr="00F45A6E">
              <w:rPr>
                <w:b/>
                <w:szCs w:val="22"/>
                <w:lang w:val="sr-Latn-ME"/>
              </w:rPr>
              <w:t>ij</w:t>
            </w:r>
            <w:r w:rsidRPr="00F45A6E">
              <w:rPr>
                <w:b/>
                <w:szCs w:val="22"/>
                <w:lang w:val="sr-Latn-ME"/>
              </w:rPr>
              <w:t>etko</w:t>
            </w:r>
          </w:p>
        </w:tc>
      </w:tr>
      <w:tr w:rsidR="00F641A3" w:rsidRPr="00F45A6E" w14:paraId="3B9B430E" w14:textId="78138D65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7B1794F3" w14:textId="7B66E64A" w:rsidR="00ED404C" w:rsidRPr="00F45A6E" w:rsidRDefault="00ED404C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Infekcije i infestacij</w:t>
            </w:r>
            <w:r w:rsidR="003B6E43" w:rsidRPr="00F45A6E">
              <w:rPr>
                <w:b/>
                <w:szCs w:val="22"/>
                <w:lang w:val="sr-Latn-ME"/>
              </w:rPr>
              <w:t>e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B6DB83E" w14:textId="58DF4DA6" w:rsidR="00ED404C" w:rsidRPr="00F45A6E" w:rsidRDefault="00EC50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Neutropenijska infekcija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4B41EFD9" w14:textId="7B5F7ED8" w:rsidR="00ED404C" w:rsidRPr="00F45A6E" w:rsidRDefault="00EC50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Sepsa </w:t>
            </w:r>
          </w:p>
        </w:tc>
        <w:tc>
          <w:tcPr>
            <w:tcW w:w="1035" w:type="pct"/>
            <w:vAlign w:val="center"/>
          </w:tcPr>
          <w:p w14:paraId="4F9C93CC" w14:textId="28E9B324" w:rsidR="00ED404C" w:rsidRPr="00F45A6E" w:rsidRDefault="00EC50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Septički šok </w:t>
            </w:r>
          </w:p>
        </w:tc>
        <w:tc>
          <w:tcPr>
            <w:tcW w:w="755" w:type="pct"/>
            <w:vAlign w:val="center"/>
          </w:tcPr>
          <w:p w14:paraId="21246291" w14:textId="77777777" w:rsidR="00ED404C" w:rsidRPr="00F45A6E" w:rsidRDefault="00ED404C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</w:p>
        </w:tc>
      </w:tr>
      <w:tr w:rsidR="00F641A3" w:rsidRPr="00F45A6E" w14:paraId="7F80C5DF" w14:textId="02F4D120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4E684727" w14:textId="47DDC229" w:rsidR="00ED404C" w:rsidRPr="00F45A6E" w:rsidRDefault="00727FF5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 xml:space="preserve">Poremećaji krvi i limfnog sistema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335371AA" w14:textId="77777777" w:rsidR="002D156F" w:rsidRPr="00F45A6E" w:rsidRDefault="002D156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Neutropenija Trombocitopenija Anemija </w:t>
            </w:r>
          </w:p>
          <w:p w14:paraId="117E7F8F" w14:textId="0A8A8FE2" w:rsidR="00ED404C" w:rsidRPr="00F45A6E" w:rsidRDefault="002D156F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 xml:space="preserve">Leukopenija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017E389" w14:textId="658D7CC9" w:rsidR="002D156F" w:rsidRPr="00F45A6E" w:rsidRDefault="002D156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Febrilna neutropenija </w:t>
            </w:r>
          </w:p>
        </w:tc>
        <w:tc>
          <w:tcPr>
            <w:tcW w:w="1035" w:type="pct"/>
            <w:vAlign w:val="center"/>
          </w:tcPr>
          <w:p w14:paraId="30530C52" w14:textId="77777777" w:rsidR="00ED404C" w:rsidRPr="00F45A6E" w:rsidRDefault="00ED404C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05075780" w14:textId="77777777" w:rsidR="00ED404C" w:rsidRPr="00F45A6E" w:rsidRDefault="00ED404C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</w:p>
        </w:tc>
      </w:tr>
      <w:tr w:rsidR="00F641A3" w:rsidRPr="00F45A6E" w14:paraId="762F48DD" w14:textId="05AC9CAA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09AA7FB3" w14:textId="77777777" w:rsidR="00FD4821" w:rsidRPr="00F45A6E" w:rsidRDefault="00FD4821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 xml:space="preserve">Poremećaji </w:t>
            </w:r>
          </w:p>
          <w:p w14:paraId="0A340AAE" w14:textId="668663EA" w:rsidR="00ED404C" w:rsidRPr="00F45A6E" w:rsidRDefault="002D156F" w:rsidP="003A690C">
            <w:pPr>
              <w:keepNext/>
              <w:keepLines/>
              <w:shd w:val="clear" w:color="auto" w:fill="FFFFFF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i</w:t>
            </w:r>
            <w:r w:rsidR="00FD4821" w:rsidRPr="00F45A6E">
              <w:rPr>
                <w:b/>
                <w:szCs w:val="22"/>
                <w:lang w:val="sr-Latn-ME"/>
              </w:rPr>
              <w:t>mun</w:t>
            </w:r>
            <w:r w:rsidR="00053449" w:rsidRPr="00F45A6E">
              <w:rPr>
                <w:b/>
                <w:szCs w:val="22"/>
                <w:lang w:val="sr-Latn-ME"/>
              </w:rPr>
              <w:t>skog sistem</w:t>
            </w:r>
            <w:r w:rsidR="00FD4821" w:rsidRPr="00F45A6E">
              <w:rPr>
                <w:b/>
                <w:szCs w:val="22"/>
                <w:lang w:val="sr-Latn-ME"/>
              </w:rPr>
              <w:t xml:space="preserve">a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1CF903F5" w14:textId="77777777" w:rsidR="00ED404C" w:rsidRPr="00F45A6E" w:rsidRDefault="00ED404C" w:rsidP="003A690C">
            <w:pPr>
              <w:shd w:val="clear" w:color="auto" w:fill="FFFFFF"/>
              <w:rPr>
                <w:szCs w:val="22"/>
                <w:lang w:val="sr-Latn-M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8E1B6D1" w14:textId="1EE3FC3E" w:rsidR="00ED404C" w:rsidRPr="00F45A6E" w:rsidRDefault="00BA7B29" w:rsidP="003A690C">
            <w:pPr>
              <w:keepNext/>
              <w:keepLines/>
              <w:shd w:val="clear" w:color="auto" w:fill="FFFFFF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P</w:t>
            </w:r>
            <w:r w:rsidR="002D156F" w:rsidRPr="00F45A6E">
              <w:rPr>
                <w:szCs w:val="22"/>
                <w:lang w:val="sr-Latn-ME"/>
              </w:rPr>
              <w:t>reos</w:t>
            </w:r>
            <w:r w:rsidR="009005C2" w:rsidRPr="00F45A6E">
              <w:rPr>
                <w:szCs w:val="22"/>
                <w:lang w:val="sr-Latn-ME"/>
              </w:rPr>
              <w:t>j</w:t>
            </w:r>
            <w:r w:rsidR="002D156F" w:rsidRPr="00F45A6E">
              <w:rPr>
                <w:szCs w:val="22"/>
                <w:lang w:val="sr-Latn-ME"/>
              </w:rPr>
              <w:t>etljivost</w:t>
            </w:r>
          </w:p>
        </w:tc>
        <w:tc>
          <w:tcPr>
            <w:tcW w:w="1035" w:type="pct"/>
            <w:vAlign w:val="center"/>
          </w:tcPr>
          <w:p w14:paraId="59802B4B" w14:textId="77777777" w:rsidR="00ED404C" w:rsidRPr="00F45A6E" w:rsidRDefault="00ED404C" w:rsidP="003A690C">
            <w:pPr>
              <w:shd w:val="clear" w:color="auto" w:fill="FFFFFF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4A02DABB" w14:textId="77777777" w:rsidR="00ED404C" w:rsidRPr="00F45A6E" w:rsidRDefault="00ED404C" w:rsidP="003A690C">
            <w:pPr>
              <w:shd w:val="clear" w:color="auto" w:fill="FFFFFF"/>
              <w:rPr>
                <w:szCs w:val="22"/>
                <w:lang w:val="sr-Latn-ME"/>
              </w:rPr>
            </w:pPr>
          </w:p>
        </w:tc>
      </w:tr>
      <w:tr w:rsidR="00F641A3" w:rsidRPr="00F45A6E" w14:paraId="2B201F12" w14:textId="205C9DD4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52C3A369" w14:textId="77777777" w:rsidR="00D0067F" w:rsidRPr="00F45A6E" w:rsidRDefault="00D0067F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 xml:space="preserve">Poremećaji metabolizma i </w:t>
            </w:r>
          </w:p>
          <w:p w14:paraId="0F0B376E" w14:textId="06B50352" w:rsidR="00ED404C" w:rsidRPr="00F45A6E" w:rsidRDefault="00F40907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is</w:t>
            </w:r>
            <w:r w:rsidR="00D0067F" w:rsidRPr="00F45A6E">
              <w:rPr>
                <w:b/>
                <w:szCs w:val="22"/>
                <w:lang w:val="sr-Latn-ME"/>
              </w:rPr>
              <w:t xml:space="preserve">hrane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3C5A353A" w14:textId="2CDD4A0E" w:rsidR="00ED404C" w:rsidRPr="00F45A6E" w:rsidRDefault="0000331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Smanjeni apetit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BB8C9BC" w14:textId="2DAB6CAF" w:rsidR="00ED404C" w:rsidRPr="00F45A6E" w:rsidRDefault="0000331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Dehidracija Hipokalijemija </w:t>
            </w:r>
          </w:p>
        </w:tc>
        <w:tc>
          <w:tcPr>
            <w:tcW w:w="1035" w:type="pct"/>
            <w:vAlign w:val="center"/>
          </w:tcPr>
          <w:p w14:paraId="6EACED20" w14:textId="5937AA8A" w:rsidR="00ED404C" w:rsidRPr="00F45A6E" w:rsidRDefault="00ED404C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1C1FA011" w14:textId="77777777" w:rsidR="00ED404C" w:rsidRPr="00F45A6E" w:rsidRDefault="00ED404C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07E334C3" w14:textId="646F05CA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3FC66DF1" w14:textId="77777777" w:rsidR="00D0067F" w:rsidRPr="00F45A6E" w:rsidRDefault="00D0067F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 xml:space="preserve">Psihijatrijski </w:t>
            </w:r>
          </w:p>
          <w:p w14:paraId="6D800924" w14:textId="25F7C43A" w:rsidR="00ED404C" w:rsidRPr="00F45A6E" w:rsidRDefault="00D0067F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 xml:space="preserve">poremećaji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3EB8B1C" w14:textId="6D9A905D" w:rsidR="00ED404C" w:rsidRPr="00F45A6E" w:rsidRDefault="00ED404C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E4493B3" w14:textId="6EC94C95" w:rsidR="00ED404C" w:rsidRPr="00F45A6E" w:rsidRDefault="00003312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Nesanica</w:t>
            </w:r>
          </w:p>
        </w:tc>
        <w:tc>
          <w:tcPr>
            <w:tcW w:w="1035" w:type="pct"/>
            <w:vAlign w:val="center"/>
          </w:tcPr>
          <w:p w14:paraId="36A56373" w14:textId="77777777" w:rsidR="00ED404C" w:rsidRPr="00F45A6E" w:rsidRDefault="00ED404C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123DF71F" w14:textId="77777777" w:rsidR="00ED404C" w:rsidRPr="00F45A6E" w:rsidRDefault="00ED404C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2C524ECE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79CDFC9E" w14:textId="2DD01CB2" w:rsidR="004B7283" w:rsidRPr="00F45A6E" w:rsidRDefault="00D0067F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 xml:space="preserve">Poremećaji </w:t>
            </w:r>
            <w:r w:rsidR="00F40907" w:rsidRPr="00F45A6E">
              <w:rPr>
                <w:b/>
                <w:sz w:val="22"/>
                <w:szCs w:val="22"/>
                <w:lang w:val="sr-Latn-ME"/>
              </w:rPr>
              <w:t>nervnog sistema</w:t>
            </w:r>
            <w:r w:rsidRPr="00F45A6E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E613C4C" w14:textId="0AA7065F" w:rsidR="004B7283" w:rsidRPr="00F45A6E" w:rsidRDefault="00003312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Glavobolja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A1A7D22" w14:textId="7D69B116" w:rsidR="00003312" w:rsidRPr="00F45A6E" w:rsidRDefault="008C0BE3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Vrtoglavica</w:t>
            </w:r>
          </w:p>
          <w:p w14:paraId="053F50A1" w14:textId="77777777" w:rsidR="00003312" w:rsidRPr="00F45A6E" w:rsidRDefault="0000331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Disgeuzija </w:t>
            </w:r>
          </w:p>
          <w:p w14:paraId="6904EAB5" w14:textId="77777777" w:rsidR="00003312" w:rsidRPr="00F45A6E" w:rsidRDefault="0000331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Periferna senzorna neuropatija </w:t>
            </w:r>
          </w:p>
          <w:p w14:paraId="2353160A" w14:textId="4BF9636E" w:rsidR="004B7283" w:rsidRPr="00F45A6E" w:rsidRDefault="00003312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 xml:space="preserve">Sinkopa* </w:t>
            </w:r>
          </w:p>
        </w:tc>
        <w:tc>
          <w:tcPr>
            <w:tcW w:w="1035" w:type="pct"/>
            <w:vAlign w:val="center"/>
          </w:tcPr>
          <w:p w14:paraId="45813CCC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0A063CAC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67C7E2D4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588E8342" w14:textId="58D12D93" w:rsidR="004B7283" w:rsidRPr="00F45A6E" w:rsidRDefault="003B6E43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>Kardiološki</w:t>
            </w:r>
            <w:r w:rsidR="00C47374" w:rsidRPr="00F45A6E">
              <w:rPr>
                <w:b/>
                <w:sz w:val="22"/>
                <w:szCs w:val="22"/>
                <w:lang w:val="sr-Latn-ME"/>
              </w:rPr>
              <w:t xml:space="preserve"> poremećaji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E4E6DEA" w14:textId="77777777" w:rsidR="004B7283" w:rsidRPr="00F45A6E" w:rsidRDefault="004B7283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220FA06" w14:textId="2552B185" w:rsidR="004B74E1" w:rsidRPr="00F45A6E" w:rsidRDefault="00634B84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Palpitacije* </w:t>
            </w:r>
          </w:p>
          <w:p w14:paraId="3F75357E" w14:textId="700E5D5F" w:rsidR="00FC02C3" w:rsidRPr="00F45A6E" w:rsidRDefault="00890DC0" w:rsidP="003A690C">
            <w:pPr>
              <w:keepNext/>
              <w:keepLines/>
              <w:shd w:val="clear" w:color="auto" w:fill="FFFFFF"/>
              <w:ind w:right="13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Poremećena funkcija</w:t>
            </w:r>
          </w:p>
          <w:p w14:paraId="51DB9C46" w14:textId="76ACC0D4" w:rsidR="004B7283" w:rsidRPr="00F45A6E" w:rsidRDefault="00634B84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leve k</w:t>
            </w:r>
            <w:r w:rsidR="00FC02C3" w:rsidRPr="00F45A6E">
              <w:rPr>
                <w:szCs w:val="22"/>
                <w:lang w:val="sr-Latn-ME"/>
              </w:rPr>
              <w:t>omor</w:t>
            </w:r>
            <w:r w:rsidRPr="00F45A6E">
              <w:rPr>
                <w:szCs w:val="22"/>
                <w:lang w:val="sr-Latn-ME"/>
              </w:rPr>
              <w:t xml:space="preserve">e* </w:t>
            </w:r>
          </w:p>
        </w:tc>
        <w:tc>
          <w:tcPr>
            <w:tcW w:w="1035" w:type="pct"/>
            <w:vAlign w:val="center"/>
          </w:tcPr>
          <w:p w14:paraId="7107036A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351AFF7B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0F872B74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2039269F" w14:textId="169F55D3" w:rsidR="004B7283" w:rsidRPr="00F45A6E" w:rsidRDefault="00E85109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 xml:space="preserve">Vaskularni </w:t>
            </w:r>
            <w:r w:rsidR="00C47374" w:rsidRPr="00F45A6E">
              <w:rPr>
                <w:b/>
                <w:sz w:val="22"/>
                <w:szCs w:val="22"/>
                <w:lang w:val="sr-Latn-ME"/>
              </w:rPr>
              <w:t xml:space="preserve">poremećaji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B8B55D6" w14:textId="77777777" w:rsidR="004B7283" w:rsidRPr="00F45A6E" w:rsidRDefault="004B7283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390FF6B5" w14:textId="77777777" w:rsidR="00634B84" w:rsidRPr="00F45A6E" w:rsidRDefault="00634B84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Hipotenzija </w:t>
            </w:r>
          </w:p>
          <w:p w14:paraId="3B68D5CC" w14:textId="4302803A" w:rsidR="004B7283" w:rsidRPr="00F45A6E" w:rsidRDefault="00634B84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Na</w:t>
            </w:r>
            <w:r w:rsidR="00FC02C3" w:rsidRPr="00F45A6E">
              <w:rPr>
                <w:szCs w:val="22"/>
                <w:lang w:val="sr-Latn-ME"/>
              </w:rPr>
              <w:t>leti</w:t>
            </w:r>
            <w:r w:rsidRPr="00F45A6E">
              <w:rPr>
                <w:szCs w:val="22"/>
                <w:lang w:val="sr-Latn-ME"/>
              </w:rPr>
              <w:t xml:space="preserve"> crvenila </w:t>
            </w:r>
          </w:p>
        </w:tc>
        <w:tc>
          <w:tcPr>
            <w:tcW w:w="1035" w:type="pct"/>
            <w:vAlign w:val="center"/>
          </w:tcPr>
          <w:p w14:paraId="3FDED1E5" w14:textId="292A738A" w:rsidR="004B7283" w:rsidRPr="00F45A6E" w:rsidRDefault="00634B84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Sindrom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 povećane propustljivosti</w:t>
            </w:r>
            <w:r w:rsidRPr="00F45A6E">
              <w:rPr>
                <w:sz w:val="22"/>
                <w:szCs w:val="22"/>
                <w:lang w:val="sr-Latn-ME"/>
              </w:rPr>
              <w:t xml:space="preserve"> kapilar</w:t>
            </w:r>
            <w:r w:rsidR="00890DC0" w:rsidRPr="00F45A6E">
              <w:rPr>
                <w:sz w:val="22"/>
                <w:szCs w:val="22"/>
                <w:lang w:val="sr-Latn-ME"/>
              </w:rPr>
              <w:t>a</w:t>
            </w:r>
            <w:r w:rsidRPr="00F45A6E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55" w:type="pct"/>
            <w:vAlign w:val="center"/>
          </w:tcPr>
          <w:p w14:paraId="62270F69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587331B7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0B84EFE9" w14:textId="216E8D0B" w:rsidR="004B7283" w:rsidRPr="00F45A6E" w:rsidRDefault="00727FF5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16D5571C" w14:textId="77777777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Dispneja </w:t>
            </w:r>
          </w:p>
          <w:p w14:paraId="05F466B6" w14:textId="0B118E88" w:rsidR="004B7283" w:rsidRPr="00F45A6E" w:rsidRDefault="00C95251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 xml:space="preserve">Kašalj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C14F5EA" w14:textId="2C6125E0" w:rsidR="004B7283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Plućna embolija* </w:t>
            </w:r>
          </w:p>
        </w:tc>
        <w:tc>
          <w:tcPr>
            <w:tcW w:w="1035" w:type="pct"/>
            <w:vAlign w:val="center"/>
          </w:tcPr>
          <w:p w14:paraId="1B2AC26A" w14:textId="2B929160" w:rsidR="004B7283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Plućni edem </w:t>
            </w:r>
          </w:p>
        </w:tc>
        <w:tc>
          <w:tcPr>
            <w:tcW w:w="755" w:type="pct"/>
            <w:vAlign w:val="center"/>
          </w:tcPr>
          <w:p w14:paraId="52711D05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05723F92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1ABE44F1" w14:textId="0C681AC1" w:rsidR="00DA2DF8" w:rsidRPr="00F45A6E" w:rsidRDefault="00E85109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>Gastrintestinalni poremećaji</w:t>
            </w:r>
          </w:p>
          <w:p w14:paraId="618605E2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14:paraId="313F7397" w14:textId="77777777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Bol u abdomenu </w:t>
            </w:r>
          </w:p>
          <w:p w14:paraId="6A423913" w14:textId="77777777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Mučnina </w:t>
            </w:r>
          </w:p>
          <w:p w14:paraId="09948A36" w14:textId="77777777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Povraćanje </w:t>
            </w:r>
          </w:p>
          <w:p w14:paraId="2286FA35" w14:textId="77777777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Konstipacija </w:t>
            </w:r>
          </w:p>
          <w:p w14:paraId="2F398CC3" w14:textId="07DFED35" w:rsidR="00C95251" w:rsidRPr="00F45A6E" w:rsidRDefault="00C95251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Pro</w:t>
            </w:r>
            <w:r w:rsidR="00FC02C3" w:rsidRPr="00F45A6E">
              <w:rPr>
                <w:sz w:val="22"/>
                <w:szCs w:val="22"/>
                <w:lang w:val="sr-Latn-ME"/>
              </w:rPr>
              <w:t>li</w:t>
            </w:r>
            <w:r w:rsidRPr="00F45A6E">
              <w:rPr>
                <w:sz w:val="22"/>
                <w:szCs w:val="22"/>
                <w:lang w:val="sr-Latn-ME"/>
              </w:rPr>
              <w:t xml:space="preserve">v </w:t>
            </w:r>
          </w:p>
          <w:p w14:paraId="6D9C90E1" w14:textId="269AD0DA" w:rsidR="004B7283" w:rsidRPr="00F45A6E" w:rsidRDefault="00C95251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 xml:space="preserve">Stomatitis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2A6F0984" w14:textId="544F11AD" w:rsidR="004B7283" w:rsidRPr="00F45A6E" w:rsidRDefault="00FC02C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D</w:t>
            </w:r>
            <w:r w:rsidR="00C95251" w:rsidRPr="00F45A6E">
              <w:rPr>
                <w:szCs w:val="22"/>
                <w:lang w:val="sr-Latn-ME"/>
              </w:rPr>
              <w:t>ispepsija</w:t>
            </w:r>
          </w:p>
        </w:tc>
        <w:tc>
          <w:tcPr>
            <w:tcW w:w="1035" w:type="pct"/>
            <w:vAlign w:val="center"/>
          </w:tcPr>
          <w:p w14:paraId="00CCD783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4D7465CD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6D9A0CFB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4C008070" w14:textId="182AE1BD" w:rsidR="003A3AB7" w:rsidRPr="00F45A6E" w:rsidRDefault="002C449D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lastRenderedPageBreak/>
              <w:t>Hepatobilijarni poremećaji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1BDF419" w14:textId="02F2BFAE" w:rsidR="002C449D" w:rsidRPr="00F45A6E" w:rsidRDefault="002C449D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Pov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ećana </w:t>
            </w:r>
            <w:r w:rsidR="008C26C1" w:rsidRPr="00F45A6E">
              <w:rPr>
                <w:sz w:val="22"/>
                <w:szCs w:val="22"/>
                <w:lang w:val="sr-Latn-ME"/>
              </w:rPr>
              <w:t>vrijednost</w:t>
            </w:r>
            <w:r w:rsidRPr="00F45A6E">
              <w:rPr>
                <w:sz w:val="22"/>
                <w:szCs w:val="22"/>
                <w:lang w:val="sr-Latn-ME"/>
              </w:rPr>
              <w:t xml:space="preserve"> alanin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 </w:t>
            </w:r>
            <w:r w:rsidRPr="00F45A6E">
              <w:rPr>
                <w:sz w:val="22"/>
                <w:szCs w:val="22"/>
                <w:lang w:val="sr-Latn-ME"/>
              </w:rPr>
              <w:t>aminotransferaz</w:t>
            </w:r>
            <w:r w:rsidR="00890DC0" w:rsidRPr="00F45A6E">
              <w:rPr>
                <w:sz w:val="22"/>
                <w:szCs w:val="22"/>
                <w:lang w:val="sr-Latn-ME"/>
              </w:rPr>
              <w:t>e</w:t>
            </w:r>
            <w:r w:rsidRPr="00F45A6E">
              <w:rPr>
                <w:sz w:val="22"/>
                <w:szCs w:val="22"/>
                <w:lang w:val="sr-Latn-ME"/>
              </w:rPr>
              <w:t xml:space="preserve"> Pov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ećana </w:t>
            </w:r>
            <w:r w:rsidR="008C26C1" w:rsidRPr="00F45A6E">
              <w:rPr>
                <w:sz w:val="22"/>
                <w:szCs w:val="22"/>
                <w:lang w:val="sr-Latn-ME"/>
              </w:rPr>
              <w:t>vrijednost</w:t>
            </w:r>
            <w:r w:rsidRPr="00F45A6E">
              <w:rPr>
                <w:sz w:val="22"/>
                <w:szCs w:val="22"/>
                <w:lang w:val="sr-Latn-ME"/>
              </w:rPr>
              <w:t xml:space="preserve"> aspartat aminotransferaz</w:t>
            </w:r>
            <w:r w:rsidR="00890DC0" w:rsidRPr="00F45A6E">
              <w:rPr>
                <w:sz w:val="22"/>
                <w:szCs w:val="22"/>
                <w:lang w:val="sr-Latn-ME"/>
              </w:rPr>
              <w:t>e</w:t>
            </w:r>
            <w:r w:rsidRPr="00F45A6E">
              <w:rPr>
                <w:sz w:val="22"/>
                <w:szCs w:val="22"/>
                <w:lang w:val="sr-Latn-ME"/>
              </w:rPr>
              <w:t xml:space="preserve"> Pov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ećana </w:t>
            </w:r>
            <w:r w:rsidR="008C26C1" w:rsidRPr="00F45A6E">
              <w:rPr>
                <w:sz w:val="22"/>
                <w:szCs w:val="22"/>
                <w:lang w:val="sr-Latn-ME"/>
              </w:rPr>
              <w:t>vrijednost</w:t>
            </w:r>
            <w:r w:rsidRPr="00F45A6E">
              <w:rPr>
                <w:sz w:val="22"/>
                <w:szCs w:val="22"/>
                <w:lang w:val="sr-Latn-ME"/>
              </w:rPr>
              <w:t xml:space="preserve"> alkaln</w:t>
            </w:r>
            <w:r w:rsidR="00890DC0" w:rsidRPr="00F45A6E">
              <w:rPr>
                <w:sz w:val="22"/>
                <w:szCs w:val="22"/>
                <w:lang w:val="sr-Latn-ME"/>
              </w:rPr>
              <w:t>e</w:t>
            </w:r>
            <w:r w:rsidRPr="00F45A6E">
              <w:rPr>
                <w:sz w:val="22"/>
                <w:szCs w:val="22"/>
                <w:lang w:val="sr-Latn-ME"/>
              </w:rPr>
              <w:t xml:space="preserve"> fosfataz</w:t>
            </w:r>
            <w:r w:rsidR="00890DC0" w:rsidRPr="00F45A6E">
              <w:rPr>
                <w:sz w:val="22"/>
                <w:szCs w:val="22"/>
                <w:lang w:val="sr-Latn-ME"/>
              </w:rPr>
              <w:t>e</w:t>
            </w:r>
            <w:r w:rsidRPr="00F45A6E">
              <w:rPr>
                <w:sz w:val="22"/>
                <w:szCs w:val="22"/>
                <w:lang w:val="sr-Latn-ME"/>
              </w:rPr>
              <w:t xml:space="preserve"> u krvi </w:t>
            </w:r>
          </w:p>
          <w:p w14:paraId="4A4C24C6" w14:textId="63F3719E" w:rsidR="003A3AB7" w:rsidRPr="00F45A6E" w:rsidRDefault="002C449D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Pov</w:t>
            </w:r>
            <w:r w:rsidR="00890DC0" w:rsidRPr="00F45A6E">
              <w:rPr>
                <w:sz w:val="22"/>
                <w:szCs w:val="22"/>
                <w:lang w:val="sr-Latn-ME"/>
              </w:rPr>
              <w:t>ećana koncentracija</w:t>
            </w:r>
            <w:r w:rsidRPr="00F45A6E">
              <w:rPr>
                <w:sz w:val="22"/>
                <w:szCs w:val="22"/>
                <w:lang w:val="sr-Latn-ME"/>
              </w:rPr>
              <w:t xml:space="preserve"> bilirubin</w:t>
            </w:r>
            <w:r w:rsidR="00890DC0" w:rsidRPr="00F45A6E">
              <w:rPr>
                <w:sz w:val="22"/>
                <w:szCs w:val="22"/>
                <w:lang w:val="sr-Latn-ME"/>
              </w:rPr>
              <w:t>a</w:t>
            </w:r>
            <w:r w:rsidRPr="00F45A6E">
              <w:rPr>
                <w:sz w:val="22"/>
                <w:szCs w:val="22"/>
                <w:lang w:val="sr-Latn-ME"/>
              </w:rPr>
              <w:t xml:space="preserve"> u krvi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B132534" w14:textId="432AABE1" w:rsidR="00456C37" w:rsidRPr="00F45A6E" w:rsidRDefault="00456C37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Pov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ećana </w:t>
            </w:r>
            <w:r w:rsidR="008C26C1" w:rsidRPr="00F45A6E">
              <w:rPr>
                <w:sz w:val="22"/>
                <w:szCs w:val="22"/>
                <w:lang w:val="sr-Latn-ME"/>
              </w:rPr>
              <w:t>vrijednost</w:t>
            </w:r>
            <w:r w:rsidRPr="00F45A6E">
              <w:rPr>
                <w:sz w:val="22"/>
                <w:szCs w:val="22"/>
                <w:lang w:val="sr-Latn-ME"/>
              </w:rPr>
              <w:t xml:space="preserve"> gama glutamiltransferaza </w:t>
            </w:r>
          </w:p>
          <w:p w14:paraId="662BA2D5" w14:textId="77777777" w:rsidR="003A3AB7" w:rsidRPr="00F45A6E" w:rsidRDefault="003A3AB7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1035" w:type="pct"/>
            <w:vAlign w:val="center"/>
          </w:tcPr>
          <w:p w14:paraId="3312BC97" w14:textId="77777777" w:rsidR="003A3AB7" w:rsidRPr="00F45A6E" w:rsidRDefault="003A3AB7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70D9C651" w14:textId="62120C08" w:rsidR="003A3AB7" w:rsidRPr="00F45A6E" w:rsidRDefault="00456C37" w:rsidP="003A690C">
            <w:pPr>
              <w:keepNext/>
              <w:keepLines/>
              <w:shd w:val="clear" w:color="auto" w:fill="FFFFFF"/>
              <w:tabs>
                <w:tab w:val="clear" w:pos="284"/>
              </w:tabs>
              <w:ind w:right="-41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Insuficijencija jetre</w:t>
            </w:r>
          </w:p>
        </w:tc>
      </w:tr>
      <w:tr w:rsidR="00F641A3" w:rsidRPr="00F45A6E" w14:paraId="0967E808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7E4D1004" w14:textId="33E16B1C" w:rsidR="004B7283" w:rsidRPr="00F45A6E" w:rsidRDefault="00DA2DF8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>Poremećaji ko</w:t>
            </w:r>
            <w:r w:rsidR="005659CB" w:rsidRPr="00F45A6E">
              <w:rPr>
                <w:b/>
                <w:sz w:val="22"/>
                <w:szCs w:val="22"/>
                <w:lang w:val="sr-Latn-ME"/>
              </w:rPr>
              <w:t>ž</w:t>
            </w:r>
            <w:r w:rsidRPr="00F45A6E">
              <w:rPr>
                <w:b/>
                <w:sz w:val="22"/>
                <w:szCs w:val="22"/>
                <w:lang w:val="sr-Latn-ME"/>
              </w:rPr>
              <w:t>e i potko</w:t>
            </w:r>
            <w:r w:rsidR="005659CB" w:rsidRPr="00F45A6E">
              <w:rPr>
                <w:b/>
                <w:sz w:val="22"/>
                <w:szCs w:val="22"/>
                <w:lang w:val="sr-Latn-ME"/>
              </w:rPr>
              <w:t>ž</w:t>
            </w:r>
            <w:r w:rsidRPr="00F45A6E">
              <w:rPr>
                <w:b/>
                <w:sz w:val="22"/>
                <w:szCs w:val="22"/>
                <w:lang w:val="sr-Latn-ME"/>
              </w:rPr>
              <w:t xml:space="preserve">nog tkiva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D6C7471" w14:textId="00B7540E" w:rsidR="004B7283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Sindrom palmarno- plantarne eritrodizestezije*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306B38DB" w14:textId="77777777" w:rsidR="003E5A9B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Osip </w:t>
            </w:r>
          </w:p>
          <w:p w14:paraId="1C70E74D" w14:textId="77777777" w:rsidR="003E5A9B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Alopecija </w:t>
            </w:r>
          </w:p>
          <w:p w14:paraId="74BC1127" w14:textId="6C670522" w:rsidR="004B7283" w:rsidRPr="00F45A6E" w:rsidRDefault="003E5A9B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Hiperpigmentacija ko</w:t>
            </w:r>
            <w:r w:rsidR="00404AF5" w:rsidRPr="00F45A6E">
              <w:rPr>
                <w:szCs w:val="22"/>
                <w:lang w:val="sr-Latn-ME"/>
              </w:rPr>
              <w:t>ž</w:t>
            </w:r>
            <w:r w:rsidRPr="00F45A6E">
              <w:rPr>
                <w:szCs w:val="22"/>
                <w:lang w:val="sr-Latn-ME"/>
              </w:rPr>
              <w:t xml:space="preserve">e* </w:t>
            </w:r>
          </w:p>
        </w:tc>
        <w:tc>
          <w:tcPr>
            <w:tcW w:w="1035" w:type="pct"/>
            <w:vAlign w:val="center"/>
          </w:tcPr>
          <w:p w14:paraId="6DEAF9FB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6A84F2EA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6799DB40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2A155E20" w14:textId="54E927C8" w:rsidR="00B26434" w:rsidRPr="00F45A6E" w:rsidRDefault="00B26434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>Poremećaji mišićno-koštanog s</w:t>
            </w:r>
            <w:r w:rsidR="005659CB" w:rsidRPr="00F45A6E">
              <w:rPr>
                <w:b/>
                <w:sz w:val="22"/>
                <w:szCs w:val="22"/>
                <w:lang w:val="sr-Latn-ME"/>
              </w:rPr>
              <w:t xml:space="preserve">istema </w:t>
            </w:r>
            <w:r w:rsidRPr="00F45A6E">
              <w:rPr>
                <w:b/>
                <w:sz w:val="22"/>
                <w:szCs w:val="22"/>
                <w:lang w:val="sr-Latn-ME"/>
              </w:rPr>
              <w:t xml:space="preserve">i vezivnog </w:t>
            </w:r>
          </w:p>
          <w:p w14:paraId="0CB0992F" w14:textId="21AD0382" w:rsidR="004B7283" w:rsidRPr="00F45A6E" w:rsidRDefault="00B26434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 xml:space="preserve">tkiva 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7429CCC" w14:textId="0204B5F2" w:rsidR="003E5A9B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Bol u le</w:t>
            </w:r>
            <w:r w:rsidR="00404AF5" w:rsidRPr="00F45A6E">
              <w:rPr>
                <w:sz w:val="22"/>
                <w:szCs w:val="22"/>
                <w:lang w:val="sr-Latn-ME"/>
              </w:rPr>
              <w:t>đ</w:t>
            </w:r>
            <w:r w:rsidRPr="00F45A6E">
              <w:rPr>
                <w:sz w:val="22"/>
                <w:szCs w:val="22"/>
                <w:lang w:val="sr-Latn-ME"/>
              </w:rPr>
              <w:t xml:space="preserve">ima </w:t>
            </w:r>
          </w:p>
          <w:p w14:paraId="51863073" w14:textId="3470052A" w:rsidR="003E5A9B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Pov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ećana </w:t>
            </w:r>
            <w:r w:rsidR="008C26C1" w:rsidRPr="00F45A6E">
              <w:rPr>
                <w:sz w:val="22"/>
                <w:szCs w:val="22"/>
                <w:lang w:val="sr-Latn-ME"/>
              </w:rPr>
              <w:t>vrijednost</w:t>
            </w:r>
            <w:r w:rsidRPr="00F45A6E">
              <w:rPr>
                <w:sz w:val="22"/>
                <w:szCs w:val="22"/>
                <w:lang w:val="sr-Latn-ME"/>
              </w:rPr>
              <w:t xml:space="preserve"> kreatin </w:t>
            </w:r>
          </w:p>
          <w:p w14:paraId="6DF15E0A" w14:textId="7F95A4C9" w:rsidR="004B7283" w:rsidRPr="00F45A6E" w:rsidRDefault="003E5A9B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fosfokinaz</w:t>
            </w:r>
            <w:r w:rsidR="00890DC0" w:rsidRPr="00F45A6E">
              <w:rPr>
                <w:szCs w:val="22"/>
                <w:lang w:val="sr-Latn-ME"/>
              </w:rPr>
              <w:t>e</w:t>
            </w:r>
            <w:r w:rsidRPr="00F45A6E">
              <w:rPr>
                <w:szCs w:val="22"/>
                <w:lang w:val="sr-Latn-ME"/>
              </w:rPr>
              <w:t xml:space="preserve"> u krvi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B56E204" w14:textId="77777777" w:rsidR="003E5A9B" w:rsidRPr="00F45A6E" w:rsidRDefault="003E5A9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Artralgija </w:t>
            </w:r>
          </w:p>
          <w:p w14:paraId="5FB187CA" w14:textId="2D18D54B" w:rsidR="004B7283" w:rsidRPr="00F45A6E" w:rsidRDefault="003E5A9B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 xml:space="preserve">Mialgija </w:t>
            </w:r>
          </w:p>
        </w:tc>
        <w:tc>
          <w:tcPr>
            <w:tcW w:w="1035" w:type="pct"/>
            <w:vAlign w:val="center"/>
          </w:tcPr>
          <w:p w14:paraId="39F2D288" w14:textId="77777777" w:rsidR="00A4367E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Rabdomioliza </w:t>
            </w:r>
          </w:p>
          <w:p w14:paraId="38B3286D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4C22A17B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3AD06718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0E73DF21" w14:textId="19093A1E" w:rsidR="004B7283" w:rsidRPr="00F45A6E" w:rsidRDefault="00B26434" w:rsidP="003A690C">
            <w:pPr>
              <w:pStyle w:val="Default"/>
              <w:jc w:val="both"/>
              <w:rPr>
                <w:b/>
                <w:sz w:val="22"/>
                <w:szCs w:val="22"/>
                <w:lang w:val="sr-Latn-ME"/>
              </w:rPr>
            </w:pPr>
            <w:r w:rsidRPr="00F45A6E">
              <w:rPr>
                <w:b/>
                <w:sz w:val="22"/>
                <w:szCs w:val="22"/>
                <w:lang w:val="sr-Latn-ME"/>
              </w:rPr>
              <w:t>Op</w:t>
            </w:r>
            <w:r w:rsidR="005659CB" w:rsidRPr="00F45A6E">
              <w:rPr>
                <w:b/>
                <w:sz w:val="22"/>
                <w:szCs w:val="22"/>
                <w:lang w:val="sr-Latn-ME"/>
              </w:rPr>
              <w:t>št</w:t>
            </w:r>
            <w:r w:rsidRPr="00F45A6E">
              <w:rPr>
                <w:b/>
                <w:sz w:val="22"/>
                <w:szCs w:val="22"/>
                <w:lang w:val="sr-Latn-ME"/>
              </w:rPr>
              <w:t xml:space="preserve">i poremećaji i reakcije na mestu </w:t>
            </w:r>
            <w:r w:rsidR="00BF4DC4" w:rsidRPr="00F45A6E">
              <w:rPr>
                <w:b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2832AA1E" w14:textId="77777777" w:rsidR="00A4367E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Umor </w:t>
            </w:r>
          </w:p>
          <w:p w14:paraId="3AB508C1" w14:textId="77777777" w:rsidR="00A4367E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Pireksija </w:t>
            </w:r>
          </w:p>
          <w:p w14:paraId="4E1DB55F" w14:textId="77777777" w:rsidR="00A4367E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Edem </w:t>
            </w:r>
          </w:p>
          <w:p w14:paraId="0E439F2D" w14:textId="2ADFB492" w:rsidR="004B7283" w:rsidRPr="00F45A6E" w:rsidRDefault="00A4367E" w:rsidP="003A690C">
            <w:pPr>
              <w:keepNext/>
              <w:keepLines/>
              <w:shd w:val="clear" w:color="auto" w:fill="FFFFFF"/>
              <w:tabs>
                <w:tab w:val="left" w:pos="56"/>
              </w:tabs>
              <w:ind w:right="-272"/>
              <w:rPr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Upala slu</w:t>
            </w:r>
            <w:r w:rsidR="00890DC0" w:rsidRPr="00F45A6E">
              <w:rPr>
                <w:szCs w:val="22"/>
                <w:lang w:val="sr-Latn-ME"/>
              </w:rPr>
              <w:t>zokože</w:t>
            </w:r>
            <w:r w:rsidRPr="00F45A6E">
              <w:rPr>
                <w:szCs w:val="22"/>
                <w:lang w:val="sr-Latn-ME"/>
              </w:rPr>
              <w:t xml:space="preserve">*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33E3EF0" w14:textId="4FBEC626" w:rsidR="004B7283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Reakcija na m</w:t>
            </w:r>
            <w:r w:rsidR="009005C2" w:rsidRPr="00F45A6E">
              <w:rPr>
                <w:sz w:val="22"/>
                <w:szCs w:val="22"/>
                <w:lang w:val="sr-Latn-ME"/>
              </w:rPr>
              <w:t>j</w:t>
            </w:r>
            <w:r w:rsidRPr="00F45A6E">
              <w:rPr>
                <w:sz w:val="22"/>
                <w:szCs w:val="22"/>
                <w:lang w:val="sr-Latn-ME"/>
              </w:rPr>
              <w:t xml:space="preserve">estu </w:t>
            </w:r>
            <w:r w:rsidR="00782D05" w:rsidRPr="00F45A6E">
              <w:rPr>
                <w:sz w:val="22"/>
                <w:szCs w:val="22"/>
                <w:lang w:val="sr-Latn-ME"/>
              </w:rPr>
              <w:t>prim</w:t>
            </w:r>
            <w:r w:rsidR="009005C2" w:rsidRPr="00F45A6E">
              <w:rPr>
                <w:sz w:val="22"/>
                <w:szCs w:val="22"/>
                <w:lang w:val="sr-Latn-ME"/>
              </w:rPr>
              <w:t>j</w:t>
            </w:r>
            <w:r w:rsidR="00782D05" w:rsidRPr="00F45A6E">
              <w:rPr>
                <w:sz w:val="22"/>
                <w:szCs w:val="22"/>
                <w:lang w:val="sr-Latn-ME"/>
              </w:rPr>
              <w:t xml:space="preserve">ene </w:t>
            </w:r>
            <w:r w:rsidR="005C3738" w:rsidRPr="00F45A6E">
              <w:rPr>
                <w:sz w:val="22"/>
                <w:szCs w:val="22"/>
                <w:lang w:val="sr-Latn-ME"/>
              </w:rPr>
              <w:t>lijek</w:t>
            </w:r>
            <w:r w:rsidR="00782D05" w:rsidRPr="00F45A6E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035" w:type="pct"/>
            <w:vAlign w:val="center"/>
          </w:tcPr>
          <w:p w14:paraId="599DF5F9" w14:textId="77777777" w:rsidR="00B63273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Ekstravazacija </w:t>
            </w:r>
          </w:p>
          <w:p w14:paraId="160162DE" w14:textId="43DEE903" w:rsidR="00A4367E" w:rsidRPr="00F45A6E" w:rsidRDefault="00A4367E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Nekroza mekog tkiva </w:t>
            </w:r>
          </w:p>
        </w:tc>
        <w:tc>
          <w:tcPr>
            <w:tcW w:w="755" w:type="pct"/>
            <w:vAlign w:val="center"/>
          </w:tcPr>
          <w:p w14:paraId="4E3AA4C8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  <w:tr w:rsidR="00F641A3" w:rsidRPr="00F45A6E" w14:paraId="244E1523" w14:textId="77777777" w:rsidTr="00F641A3">
        <w:trPr>
          <w:cantSplit/>
          <w:trHeight w:val="20"/>
        </w:trPr>
        <w:tc>
          <w:tcPr>
            <w:tcW w:w="1026" w:type="pct"/>
            <w:shd w:val="clear" w:color="auto" w:fill="auto"/>
            <w:vAlign w:val="center"/>
          </w:tcPr>
          <w:p w14:paraId="0A153BE3" w14:textId="44222BF3" w:rsidR="004B7283" w:rsidRPr="00F45A6E" w:rsidRDefault="00B26434" w:rsidP="003A690C">
            <w:pPr>
              <w:keepNext/>
              <w:keepLines/>
              <w:shd w:val="clear" w:color="auto" w:fill="FFFFFF"/>
              <w:ind w:right="-272"/>
              <w:rPr>
                <w:b/>
                <w:szCs w:val="22"/>
                <w:lang w:val="sr-Latn-ME"/>
              </w:rPr>
            </w:pPr>
            <w:r w:rsidRPr="00F45A6E">
              <w:rPr>
                <w:b/>
                <w:szCs w:val="22"/>
                <w:lang w:val="sr-Latn-ME"/>
              </w:rPr>
              <w:t>Ispitivanja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482AFCA" w14:textId="7E2F5140" w:rsidR="00404AF5" w:rsidRPr="00F45A6E" w:rsidRDefault="007623D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Pov</w:t>
            </w:r>
            <w:r w:rsidR="00890DC0" w:rsidRPr="00F45A6E">
              <w:rPr>
                <w:sz w:val="22"/>
                <w:szCs w:val="22"/>
                <w:lang w:val="sr-Latn-ME"/>
              </w:rPr>
              <w:t>ećane koncentracije</w:t>
            </w:r>
            <w:r w:rsidRPr="00F45A6E">
              <w:rPr>
                <w:sz w:val="22"/>
                <w:szCs w:val="22"/>
                <w:lang w:val="sr-Latn-ME"/>
              </w:rPr>
              <w:t xml:space="preserve"> kreatinin</w:t>
            </w:r>
            <w:r w:rsidR="00890DC0" w:rsidRPr="00F45A6E">
              <w:rPr>
                <w:sz w:val="22"/>
                <w:szCs w:val="22"/>
                <w:lang w:val="sr-Latn-ME"/>
              </w:rPr>
              <w:t>a</w:t>
            </w:r>
            <w:r w:rsidRPr="00F45A6E">
              <w:rPr>
                <w:sz w:val="22"/>
                <w:szCs w:val="22"/>
                <w:lang w:val="sr-Latn-ME"/>
              </w:rPr>
              <w:t xml:space="preserve"> u krvi </w:t>
            </w:r>
          </w:p>
          <w:p w14:paraId="6BA72E35" w14:textId="15C85E51" w:rsidR="004B7283" w:rsidRPr="00F45A6E" w:rsidRDefault="00890DC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Smanjena koncentracija </w:t>
            </w:r>
            <w:r w:rsidR="007623DF" w:rsidRPr="00F45A6E">
              <w:rPr>
                <w:sz w:val="22"/>
                <w:szCs w:val="22"/>
                <w:lang w:val="sr-Latn-ME"/>
              </w:rPr>
              <w:t>albumin</w:t>
            </w:r>
            <w:r w:rsidRPr="00F45A6E">
              <w:rPr>
                <w:sz w:val="22"/>
                <w:szCs w:val="22"/>
                <w:lang w:val="sr-Latn-ME"/>
              </w:rPr>
              <w:t>a</w:t>
            </w:r>
            <w:r w:rsidR="007623DF" w:rsidRPr="00F45A6E">
              <w:rPr>
                <w:sz w:val="22"/>
                <w:szCs w:val="22"/>
                <w:lang w:val="sr-Latn-ME"/>
              </w:rPr>
              <w:t xml:space="preserve"> u krvi 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7A490AF" w14:textId="5801180B" w:rsidR="004B7283" w:rsidRPr="00F45A6E" w:rsidRDefault="007623D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 xml:space="preserve">Smanjenje telesne </w:t>
            </w:r>
            <w:r w:rsidR="00890DC0" w:rsidRPr="00F45A6E">
              <w:rPr>
                <w:sz w:val="22"/>
                <w:szCs w:val="22"/>
                <w:lang w:val="sr-Latn-ME"/>
              </w:rPr>
              <w:t xml:space="preserve">mase </w:t>
            </w:r>
          </w:p>
        </w:tc>
        <w:tc>
          <w:tcPr>
            <w:tcW w:w="1035" w:type="pct"/>
            <w:vAlign w:val="center"/>
          </w:tcPr>
          <w:p w14:paraId="4F4F2C91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  <w:tc>
          <w:tcPr>
            <w:tcW w:w="755" w:type="pct"/>
            <w:vAlign w:val="center"/>
          </w:tcPr>
          <w:p w14:paraId="2B6D89D9" w14:textId="77777777" w:rsidR="004B7283" w:rsidRPr="00F45A6E" w:rsidRDefault="004B7283" w:rsidP="003A690C">
            <w:pPr>
              <w:keepNext/>
              <w:keepLines/>
              <w:shd w:val="clear" w:color="auto" w:fill="FFFFFF"/>
              <w:ind w:right="-272"/>
              <w:rPr>
                <w:szCs w:val="22"/>
                <w:lang w:val="sr-Latn-ME"/>
              </w:rPr>
            </w:pPr>
          </w:p>
        </w:tc>
      </w:tr>
    </w:tbl>
    <w:p w14:paraId="0BB687E0" w14:textId="11E2B999" w:rsidR="006D1598" w:rsidRPr="00F45A6E" w:rsidRDefault="006D159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* </w:t>
      </w:r>
      <w:r w:rsidR="00BF3FA7" w:rsidRPr="00F45A6E">
        <w:rPr>
          <w:sz w:val="22"/>
          <w:szCs w:val="22"/>
          <w:lang w:val="sr-Latn-ME"/>
        </w:rPr>
        <w:t>N</w:t>
      </w:r>
      <w:r w:rsidR="00814715" w:rsidRPr="00F45A6E">
        <w:rPr>
          <w:sz w:val="22"/>
          <w:szCs w:val="22"/>
          <w:lang w:val="sr-Latn-ME"/>
        </w:rPr>
        <w:t>eželjena dejstva</w:t>
      </w:r>
      <w:r w:rsidRPr="00F45A6E">
        <w:rPr>
          <w:sz w:val="22"/>
          <w:szCs w:val="22"/>
          <w:lang w:val="sr-Latn-ME"/>
        </w:rPr>
        <w:t xml:space="preserve"> se odnose samo na </w:t>
      </w:r>
      <w:r w:rsidR="00814715" w:rsidRPr="00F45A6E">
        <w:rPr>
          <w:sz w:val="22"/>
          <w:szCs w:val="22"/>
          <w:lang w:val="sr-Latn-ME"/>
        </w:rPr>
        <w:t>pacijente</w:t>
      </w:r>
      <w:r w:rsidRPr="00F45A6E">
        <w:rPr>
          <w:sz w:val="22"/>
          <w:szCs w:val="22"/>
          <w:lang w:val="sr-Latn-ME"/>
        </w:rPr>
        <w:t xml:space="preserve"> s</w:t>
      </w:r>
      <w:r w:rsidR="005F1745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8B22BF" w:rsidRPr="00F45A6E">
        <w:rPr>
          <w:sz w:val="22"/>
          <w:szCs w:val="22"/>
          <w:lang w:val="sr-Latn-ME"/>
        </w:rPr>
        <w:t>kancerom</w:t>
      </w:r>
      <w:r w:rsidRPr="00F45A6E">
        <w:rPr>
          <w:sz w:val="22"/>
          <w:szCs w:val="22"/>
          <w:lang w:val="sr-Latn-ME"/>
        </w:rPr>
        <w:t xml:space="preserve"> jajnika, uključujući podatke iz ispitivanja ET743-OVA-301, randomiz</w:t>
      </w:r>
      <w:r w:rsidR="005F1745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 xml:space="preserve">anog ispitivanja faze 3 u koje je bilo uključeno 672 </w:t>
      </w:r>
      <w:r w:rsidR="00EE1F47" w:rsidRPr="00F45A6E">
        <w:rPr>
          <w:sz w:val="22"/>
          <w:szCs w:val="22"/>
          <w:lang w:val="sr-Latn-ME"/>
        </w:rPr>
        <w:t xml:space="preserve">pacijenata </w:t>
      </w:r>
      <w:r w:rsidRPr="00F45A6E">
        <w:rPr>
          <w:sz w:val="22"/>
          <w:szCs w:val="22"/>
          <w:lang w:val="sr-Latn-ME"/>
        </w:rPr>
        <w:t>koji su primali ili trabektedin (1,1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i PLD (30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DA7565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DA7565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ili PLD (50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38529D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4 </w:t>
      </w:r>
      <w:r w:rsidR="0038529D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</w:t>
      </w:r>
      <w:r w:rsidR="0038529D" w:rsidRPr="00F45A6E">
        <w:rPr>
          <w:sz w:val="22"/>
          <w:szCs w:val="22"/>
          <w:lang w:val="sr-Latn-ME"/>
        </w:rPr>
        <w:t>kao i</w:t>
      </w:r>
      <w:r w:rsidRPr="00F45A6E">
        <w:rPr>
          <w:sz w:val="22"/>
          <w:szCs w:val="22"/>
          <w:lang w:val="sr-Latn-ME"/>
        </w:rPr>
        <w:t xml:space="preserve"> iz ispitivanja ET743-OVC-3006 u koje je bilo uključeno 576 </w:t>
      </w:r>
      <w:r w:rsidR="0038529D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koji su primali ili PLD (30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i nakon njega trabektedin (1,1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570768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570768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ili samo PLD (50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570768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4 </w:t>
      </w:r>
      <w:r w:rsidR="00570768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. </w:t>
      </w:r>
    </w:p>
    <w:p w14:paraId="39BFDBB6" w14:textId="77777777" w:rsidR="00815D4B" w:rsidRPr="00F45A6E" w:rsidRDefault="00815D4B" w:rsidP="003A690C">
      <w:pPr>
        <w:rPr>
          <w:szCs w:val="22"/>
          <w:lang w:val="sr-Latn-ME"/>
        </w:rPr>
      </w:pPr>
    </w:p>
    <w:p w14:paraId="0A2753F2" w14:textId="223C9DD2" w:rsidR="00720350" w:rsidRPr="00F45A6E" w:rsidRDefault="006D1598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U ispitivanj</w:t>
      </w:r>
      <w:r w:rsidR="00815D4B" w:rsidRPr="00F45A6E">
        <w:rPr>
          <w:szCs w:val="22"/>
          <w:lang w:val="sr-Latn-ME"/>
        </w:rPr>
        <w:t>u</w:t>
      </w:r>
      <w:r w:rsidRPr="00F45A6E">
        <w:rPr>
          <w:szCs w:val="22"/>
          <w:lang w:val="sr-Latn-ME"/>
        </w:rPr>
        <w:t xml:space="preserve"> ET743-OVA-301 </w:t>
      </w:r>
      <w:r w:rsidR="00815D4B" w:rsidRPr="00F45A6E">
        <w:rPr>
          <w:szCs w:val="22"/>
          <w:lang w:val="sr-Latn-ME"/>
        </w:rPr>
        <w:t xml:space="preserve">u grupi </w:t>
      </w:r>
      <w:r w:rsidRPr="00F45A6E">
        <w:rPr>
          <w:szCs w:val="22"/>
          <w:lang w:val="sr-Latn-ME"/>
        </w:rPr>
        <w:t xml:space="preserve">koja je primala trabektedin </w:t>
      </w:r>
      <w:r w:rsidR="00815D4B" w:rsidRPr="00F45A6E">
        <w:rPr>
          <w:szCs w:val="22"/>
          <w:lang w:val="sr-Latn-ME"/>
        </w:rPr>
        <w:t>u kombinaciji sa</w:t>
      </w:r>
      <w:r w:rsidRPr="00F45A6E">
        <w:rPr>
          <w:szCs w:val="22"/>
          <w:lang w:val="sr-Latn-ME"/>
        </w:rPr>
        <w:t xml:space="preserve"> PLD, </w:t>
      </w:r>
      <w:r w:rsidR="00F37945" w:rsidRPr="00F45A6E">
        <w:rPr>
          <w:szCs w:val="22"/>
          <w:lang w:val="sr-Latn-ME"/>
        </w:rPr>
        <w:t>pacijenti</w:t>
      </w:r>
      <w:r w:rsidR="00BD4C1F" w:rsidRPr="00F45A6E">
        <w:rPr>
          <w:szCs w:val="22"/>
          <w:lang w:val="sr-Latn-ME"/>
        </w:rPr>
        <w:t xml:space="preserve"> koji su pripadnici različitih </w:t>
      </w:r>
      <w:r w:rsidRPr="00F45A6E">
        <w:rPr>
          <w:szCs w:val="22"/>
          <w:lang w:val="sr-Latn-ME"/>
        </w:rPr>
        <w:t>ras</w:t>
      </w:r>
      <w:r w:rsidR="00BD4C1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</w:t>
      </w:r>
      <w:r w:rsidR="00BD4C1F" w:rsidRPr="00F45A6E">
        <w:rPr>
          <w:szCs w:val="22"/>
          <w:lang w:val="sr-Latn-ME"/>
        </w:rPr>
        <w:t>isključujući pripadnike</w:t>
      </w:r>
      <w:r w:rsidRPr="00F45A6E">
        <w:rPr>
          <w:szCs w:val="22"/>
          <w:lang w:val="sr-Latn-ME"/>
        </w:rPr>
        <w:t xml:space="preserve"> bel</w:t>
      </w:r>
      <w:r w:rsidR="00BD4C1F" w:rsidRPr="00F45A6E">
        <w:rPr>
          <w:szCs w:val="22"/>
          <w:lang w:val="sr-Latn-ME"/>
        </w:rPr>
        <w:t>e rase</w:t>
      </w:r>
      <w:r w:rsidRPr="00F45A6E">
        <w:rPr>
          <w:szCs w:val="22"/>
          <w:lang w:val="sr-Latn-ME"/>
        </w:rPr>
        <w:t xml:space="preserve"> (uglavnom Azij</w:t>
      </w:r>
      <w:r w:rsidR="003A0851" w:rsidRPr="00F45A6E">
        <w:rPr>
          <w:szCs w:val="22"/>
          <w:lang w:val="sr-Latn-ME"/>
        </w:rPr>
        <w:t>ati</w:t>
      </w:r>
      <w:r w:rsidRPr="00F45A6E">
        <w:rPr>
          <w:szCs w:val="22"/>
          <w:lang w:val="sr-Latn-ME"/>
        </w:rPr>
        <w:t xml:space="preserve">) imali su veću učestalost </w:t>
      </w:r>
      <w:r w:rsidR="00F37945" w:rsidRPr="00F45A6E">
        <w:rPr>
          <w:szCs w:val="22"/>
          <w:lang w:val="sr-Latn-ME"/>
        </w:rPr>
        <w:t>neželjenih dejstava</w:t>
      </w:r>
      <w:r w:rsidRPr="00F45A6E">
        <w:rPr>
          <w:szCs w:val="22"/>
          <w:lang w:val="sr-Latn-ME"/>
        </w:rPr>
        <w:t xml:space="preserve"> 3. ili 4. st</w:t>
      </w:r>
      <w:r w:rsidR="00F37945" w:rsidRPr="00F45A6E">
        <w:rPr>
          <w:szCs w:val="22"/>
          <w:lang w:val="sr-Latn-ME"/>
        </w:rPr>
        <w:t>epena</w:t>
      </w:r>
      <w:r w:rsidRPr="00F45A6E">
        <w:rPr>
          <w:szCs w:val="22"/>
          <w:lang w:val="sr-Latn-ME"/>
        </w:rPr>
        <w:t xml:space="preserve"> (96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prema 87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) i ozbiljnih </w:t>
      </w:r>
      <w:r w:rsidR="003F34FF" w:rsidRPr="00F45A6E">
        <w:rPr>
          <w:szCs w:val="22"/>
          <w:lang w:val="sr-Latn-ME"/>
        </w:rPr>
        <w:t>neželjenih dejstava</w:t>
      </w:r>
      <w:r w:rsidRPr="00F45A6E">
        <w:rPr>
          <w:szCs w:val="22"/>
          <w:lang w:val="sr-Latn-ME"/>
        </w:rPr>
        <w:t xml:space="preserve"> (44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prema 23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</w:t>
      </w:r>
      <w:r w:rsidR="003F34FF" w:rsidRPr="00F45A6E">
        <w:rPr>
          <w:szCs w:val="22"/>
          <w:lang w:val="sr-Latn-ME"/>
        </w:rPr>
        <w:t>neželjenih dejstava</w:t>
      </w:r>
      <w:r w:rsidRPr="00F45A6E">
        <w:rPr>
          <w:szCs w:val="22"/>
          <w:lang w:val="sr-Latn-ME"/>
        </w:rPr>
        <w:t xml:space="preserve"> svih </w:t>
      </w:r>
      <w:r w:rsidR="003F34FF" w:rsidRPr="00F45A6E">
        <w:rPr>
          <w:szCs w:val="22"/>
          <w:lang w:val="sr-Latn-ME"/>
        </w:rPr>
        <w:t>stepen</w:t>
      </w:r>
      <w:r w:rsidRPr="00F45A6E">
        <w:rPr>
          <w:szCs w:val="22"/>
          <w:lang w:val="sr-Latn-ME"/>
        </w:rPr>
        <w:t xml:space="preserve">a) nego </w:t>
      </w:r>
      <w:r w:rsidR="00C6236C" w:rsidRPr="00F45A6E">
        <w:rPr>
          <w:szCs w:val="22"/>
          <w:lang w:val="sr-Latn-ME"/>
        </w:rPr>
        <w:t>pacijenti</w:t>
      </w:r>
      <w:r w:rsidRPr="00F45A6E">
        <w:rPr>
          <w:szCs w:val="22"/>
          <w:lang w:val="sr-Latn-ME"/>
        </w:rPr>
        <w:t xml:space="preserve"> </w:t>
      </w:r>
      <w:r w:rsidR="00BD4C1F" w:rsidRPr="00F45A6E">
        <w:rPr>
          <w:szCs w:val="22"/>
          <w:lang w:val="sr-Latn-ME"/>
        </w:rPr>
        <w:t xml:space="preserve">pripadnici </w:t>
      </w:r>
      <w:r w:rsidRPr="00F45A6E">
        <w:rPr>
          <w:szCs w:val="22"/>
          <w:lang w:val="sr-Latn-ME"/>
        </w:rPr>
        <w:t>bele rase. Razlike su uglavnom prim</w:t>
      </w:r>
      <w:r w:rsidR="00114A87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ećene </w:t>
      </w:r>
      <w:r w:rsidR="00BD4C1F" w:rsidRPr="00F45A6E">
        <w:rPr>
          <w:szCs w:val="22"/>
          <w:lang w:val="sr-Latn-ME"/>
        </w:rPr>
        <w:t>kod sledećih neželjenih dejstava:</w:t>
      </w:r>
      <w:r w:rsidRPr="00F45A6E">
        <w:rPr>
          <w:szCs w:val="22"/>
          <w:lang w:val="sr-Latn-ME"/>
        </w:rPr>
        <w:t xml:space="preserve"> neutropenij</w:t>
      </w:r>
      <w:r w:rsidR="00BD4C1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(93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prema 66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>), anemij</w:t>
      </w:r>
      <w:r w:rsidR="00BD4C1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(37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prema 14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>) i trombocitopenij</w:t>
      </w:r>
      <w:r w:rsidR="00BD4C1F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(41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prema 19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>). Me</w:t>
      </w:r>
      <w:r w:rsidR="00C6236C" w:rsidRPr="00F45A6E">
        <w:rPr>
          <w:szCs w:val="22"/>
          <w:lang w:val="sr-Latn-ME"/>
        </w:rPr>
        <w:t>đ</w:t>
      </w:r>
      <w:r w:rsidRPr="00F45A6E">
        <w:rPr>
          <w:szCs w:val="22"/>
          <w:lang w:val="sr-Latn-ME"/>
        </w:rPr>
        <w:t xml:space="preserve">utim, </w:t>
      </w:r>
      <w:r w:rsidR="00BD4C1F" w:rsidRPr="00F45A6E">
        <w:rPr>
          <w:szCs w:val="22"/>
          <w:lang w:val="sr-Latn-ME"/>
        </w:rPr>
        <w:t>učestalost</w:t>
      </w:r>
      <w:r w:rsidRPr="00F45A6E">
        <w:rPr>
          <w:szCs w:val="22"/>
          <w:lang w:val="sr-Latn-ME"/>
        </w:rPr>
        <w:t xml:space="preserve"> kliničkih komplikacija koje su povezane s</w:t>
      </w:r>
      <w:r w:rsidR="00C6236C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hematološkom toksičnošću kao što su teške infekcije ili krvarenje, ili onih koje prouzro</w:t>
      </w:r>
      <w:r w:rsidR="004F0B5C" w:rsidRPr="00F45A6E">
        <w:rPr>
          <w:szCs w:val="22"/>
          <w:lang w:val="sr-Latn-ME"/>
        </w:rPr>
        <w:t>k</w:t>
      </w:r>
      <w:r w:rsidRPr="00F45A6E">
        <w:rPr>
          <w:szCs w:val="22"/>
          <w:lang w:val="sr-Latn-ME"/>
        </w:rPr>
        <w:t xml:space="preserve">uju smrt ili prekid </w:t>
      </w:r>
      <w:r w:rsidR="00031EC5" w:rsidRPr="00F45A6E">
        <w:rPr>
          <w:szCs w:val="22"/>
          <w:lang w:val="sr-Latn-ME"/>
        </w:rPr>
        <w:t>liječenj</w:t>
      </w:r>
      <w:r w:rsidRPr="00F45A6E">
        <w:rPr>
          <w:szCs w:val="22"/>
          <w:lang w:val="sr-Latn-ME"/>
        </w:rPr>
        <w:t>a, bile su slične u ob</w:t>
      </w:r>
      <w:r w:rsidR="004F0B5C" w:rsidRPr="00F45A6E">
        <w:rPr>
          <w:szCs w:val="22"/>
          <w:lang w:val="sr-Latn-ME"/>
        </w:rPr>
        <w:t>e</w:t>
      </w:r>
      <w:r w:rsidRPr="00F45A6E">
        <w:rPr>
          <w:szCs w:val="22"/>
          <w:lang w:val="sr-Latn-ME"/>
        </w:rPr>
        <w:t xml:space="preserve"> </w:t>
      </w:r>
      <w:r w:rsidR="004F0B5C" w:rsidRPr="00F45A6E">
        <w:rPr>
          <w:szCs w:val="22"/>
          <w:lang w:val="sr-Latn-ME"/>
        </w:rPr>
        <w:t>sub</w:t>
      </w:r>
      <w:r w:rsidRPr="00F45A6E">
        <w:rPr>
          <w:szCs w:val="22"/>
          <w:lang w:val="sr-Latn-ME"/>
        </w:rPr>
        <w:t>populacij</w:t>
      </w:r>
      <w:r w:rsidR="004F0B5C" w:rsidRPr="00F45A6E">
        <w:rPr>
          <w:szCs w:val="22"/>
          <w:lang w:val="sr-Latn-ME"/>
        </w:rPr>
        <w:t>e</w:t>
      </w:r>
      <w:r w:rsidRPr="00F45A6E">
        <w:rPr>
          <w:szCs w:val="22"/>
          <w:lang w:val="sr-Latn-ME"/>
        </w:rPr>
        <w:t>.</w:t>
      </w:r>
    </w:p>
    <w:p w14:paraId="702BA22D" w14:textId="77777777" w:rsidR="007E3612" w:rsidRPr="00F45A6E" w:rsidRDefault="007E3612" w:rsidP="003A690C">
      <w:pPr>
        <w:shd w:val="clear" w:color="auto" w:fill="FFFFFF"/>
        <w:rPr>
          <w:bCs/>
          <w:iCs/>
          <w:szCs w:val="22"/>
          <w:u w:val="single"/>
          <w:lang w:val="sr-Latn-ME"/>
        </w:rPr>
      </w:pPr>
    </w:p>
    <w:p w14:paraId="54F997F3" w14:textId="77777777" w:rsidR="007E3612" w:rsidRPr="00F45A6E" w:rsidRDefault="003A053C" w:rsidP="003A690C">
      <w:pPr>
        <w:shd w:val="clear" w:color="auto" w:fill="FFFFFF"/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 xml:space="preserve">Opis odabranih neželjenih reakcija </w:t>
      </w:r>
    </w:p>
    <w:p w14:paraId="06472C02" w14:textId="5EF7F1BB" w:rsidR="007E3612" w:rsidRPr="00F45A6E" w:rsidRDefault="007E3612" w:rsidP="003A690C">
      <w:pPr>
        <w:rPr>
          <w:szCs w:val="22"/>
          <w:lang w:val="sr-Latn-ME"/>
        </w:rPr>
      </w:pPr>
    </w:p>
    <w:p w14:paraId="6EE91662" w14:textId="77777777" w:rsidR="003B685B" w:rsidRPr="00F45A6E" w:rsidRDefault="00B71C78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>Najčešć</w:t>
      </w:r>
      <w:r w:rsidR="003B685B" w:rsidRPr="00F45A6E">
        <w:rPr>
          <w:i/>
          <w:iCs/>
          <w:sz w:val="22"/>
          <w:szCs w:val="22"/>
          <w:lang w:val="sr-Latn-ME"/>
        </w:rPr>
        <w:t>a</w:t>
      </w:r>
      <w:r w:rsidRPr="00F45A6E">
        <w:rPr>
          <w:i/>
          <w:iCs/>
          <w:sz w:val="22"/>
          <w:szCs w:val="22"/>
          <w:lang w:val="sr-Latn-ME"/>
        </w:rPr>
        <w:t xml:space="preserve"> </w:t>
      </w:r>
      <w:r w:rsidR="003B685B" w:rsidRPr="00F45A6E">
        <w:rPr>
          <w:i/>
          <w:iCs/>
          <w:sz w:val="22"/>
          <w:szCs w:val="22"/>
          <w:lang w:val="sr-Latn-ME"/>
        </w:rPr>
        <w:t>neželjena dejstva</w:t>
      </w:r>
      <w:r w:rsidR="003B685B" w:rsidRPr="00F45A6E">
        <w:rPr>
          <w:sz w:val="22"/>
          <w:szCs w:val="22"/>
          <w:lang w:val="sr-Latn-ME"/>
        </w:rPr>
        <w:t xml:space="preserve"> </w:t>
      </w:r>
    </w:p>
    <w:p w14:paraId="24E4A49E" w14:textId="2FC33FAA" w:rsidR="003B685B" w:rsidRDefault="003B685B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</w:p>
    <w:p w14:paraId="706E347F" w14:textId="09782648" w:rsidR="00C86C49" w:rsidRDefault="00C86C49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</w:p>
    <w:p w14:paraId="61615C44" w14:textId="77777777" w:rsidR="00C86C49" w:rsidRPr="00F45A6E" w:rsidRDefault="00C86C49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</w:p>
    <w:p w14:paraId="52C3B7FA" w14:textId="2FD63F3B" w:rsidR="00B71C78" w:rsidRPr="00F45A6E" w:rsidRDefault="00B71C78" w:rsidP="003A690C">
      <w:pPr>
        <w:pStyle w:val="Default"/>
        <w:jc w:val="both"/>
        <w:rPr>
          <w:i/>
          <w:iCs/>
          <w:sz w:val="22"/>
          <w:szCs w:val="22"/>
          <w:u w:val="single"/>
          <w:lang w:val="sr-Latn-ME"/>
        </w:rPr>
      </w:pPr>
      <w:r w:rsidRPr="00F45A6E">
        <w:rPr>
          <w:i/>
          <w:iCs/>
          <w:sz w:val="22"/>
          <w:szCs w:val="22"/>
          <w:u w:val="single"/>
          <w:lang w:val="sr-Latn-ME"/>
        </w:rPr>
        <w:lastRenderedPageBreak/>
        <w:t xml:space="preserve">Poremećaji krvi i limfnog sustava </w:t>
      </w:r>
    </w:p>
    <w:p w14:paraId="49448A15" w14:textId="77777777" w:rsidR="00C76C34" w:rsidRPr="00F45A6E" w:rsidRDefault="00C76C34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3975CE35" w14:textId="77777777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Neutropenija: </w:t>
      </w:r>
    </w:p>
    <w:p w14:paraId="2C3F81BF" w14:textId="1AAED33F" w:rsidR="00B71C78" w:rsidRPr="00F45A6E" w:rsidRDefault="00B71C78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Neutropenija je najčešća hematološka toksičnost. Nastupa predvidivo brzo, uz reverzibilnost </w:t>
      </w:r>
      <w:r w:rsidR="00CC6B0F" w:rsidRPr="00F45A6E">
        <w:rPr>
          <w:szCs w:val="22"/>
          <w:lang w:val="sr-Latn-ME"/>
        </w:rPr>
        <w:t>pa</w:t>
      </w:r>
      <w:r w:rsidRPr="00F45A6E">
        <w:rPr>
          <w:szCs w:val="22"/>
          <w:lang w:val="sr-Latn-ME"/>
        </w:rPr>
        <w:t xml:space="preserve"> se r</w:t>
      </w:r>
      <w:r w:rsidR="00114A87" w:rsidRPr="00F45A6E">
        <w:rPr>
          <w:szCs w:val="22"/>
          <w:lang w:val="sr-Latn-ME"/>
        </w:rPr>
        <w:t>ij</w:t>
      </w:r>
      <w:r w:rsidRPr="00F45A6E">
        <w:rPr>
          <w:szCs w:val="22"/>
          <w:lang w:val="sr-Latn-ME"/>
        </w:rPr>
        <w:t>etko povezuje s</w:t>
      </w:r>
      <w:r w:rsidR="009B01BE" w:rsidRPr="00F45A6E">
        <w:rPr>
          <w:szCs w:val="22"/>
          <w:lang w:val="sr-Latn-ME"/>
        </w:rPr>
        <w:t xml:space="preserve">a </w:t>
      </w:r>
      <w:r w:rsidR="00CC6B0F" w:rsidRPr="00F45A6E">
        <w:rPr>
          <w:szCs w:val="22"/>
          <w:lang w:val="sr-Latn-ME"/>
        </w:rPr>
        <w:t xml:space="preserve">povišenom telesnom temperaturom </w:t>
      </w:r>
      <w:r w:rsidRPr="00F45A6E">
        <w:rPr>
          <w:szCs w:val="22"/>
          <w:lang w:val="sr-Latn-ME"/>
        </w:rPr>
        <w:t>ili infekcijom. Najni</w:t>
      </w:r>
      <w:r w:rsidR="009B01BE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e </w:t>
      </w:r>
      <w:r w:rsidR="008C26C1" w:rsidRPr="00F45A6E">
        <w:rPr>
          <w:szCs w:val="22"/>
          <w:lang w:val="sr-Latn-ME"/>
        </w:rPr>
        <w:t>vrijednost</w:t>
      </w:r>
      <w:r w:rsidRPr="00F45A6E">
        <w:rPr>
          <w:szCs w:val="22"/>
          <w:lang w:val="sr-Latn-ME"/>
        </w:rPr>
        <w:t>i neutrofila pojavljuju se s</w:t>
      </w:r>
      <w:r w:rsidR="008B5868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medijanom od 15 dana, i oporavljaju unutar </w:t>
      </w:r>
      <w:r w:rsidR="008B5868" w:rsidRPr="00F45A6E">
        <w:rPr>
          <w:szCs w:val="22"/>
          <w:lang w:val="sr-Latn-ME"/>
        </w:rPr>
        <w:t xml:space="preserve">nedelju </w:t>
      </w:r>
      <w:r w:rsidRPr="00F45A6E">
        <w:rPr>
          <w:szCs w:val="22"/>
          <w:lang w:val="sr-Latn-ME"/>
        </w:rPr>
        <w:t xml:space="preserve">dana. Analiza izvršena po ciklusu kod </w:t>
      </w:r>
      <w:r w:rsidR="008B5868" w:rsidRPr="00F45A6E">
        <w:rPr>
          <w:szCs w:val="22"/>
          <w:lang w:val="sr-Latn-ME"/>
        </w:rPr>
        <w:t>pacijenata</w:t>
      </w:r>
      <w:r w:rsidRPr="00F45A6E">
        <w:rPr>
          <w:szCs w:val="22"/>
          <w:lang w:val="sr-Latn-ME"/>
        </w:rPr>
        <w:t xml:space="preserve"> l</w:t>
      </w:r>
      <w:r w:rsidR="00114A87" w:rsidRPr="00F45A6E">
        <w:rPr>
          <w:szCs w:val="22"/>
          <w:lang w:val="sr-Latn-ME"/>
        </w:rPr>
        <w:t>ij</w:t>
      </w:r>
      <w:r w:rsidRPr="00F45A6E">
        <w:rPr>
          <w:szCs w:val="22"/>
          <w:lang w:val="sr-Latn-ME"/>
        </w:rPr>
        <w:t>ečenih</w:t>
      </w:r>
      <w:r w:rsidR="00C76C34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re</w:t>
      </w:r>
      <w:r w:rsidR="008B5868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imom monoterapije</w:t>
      </w:r>
      <w:r w:rsidR="00657476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pokazala je neutropeniju 3. i 4. st</w:t>
      </w:r>
      <w:r w:rsidR="008B5868" w:rsidRPr="00F45A6E">
        <w:rPr>
          <w:szCs w:val="22"/>
          <w:lang w:val="sr-Latn-ME"/>
        </w:rPr>
        <w:t>epen</w:t>
      </w:r>
      <w:r w:rsidRPr="00F45A6E">
        <w:rPr>
          <w:szCs w:val="22"/>
          <w:lang w:val="sr-Latn-ME"/>
        </w:rPr>
        <w:t xml:space="preserve">a </w:t>
      </w:r>
      <w:r w:rsidR="00543FA7" w:rsidRPr="00F45A6E">
        <w:rPr>
          <w:szCs w:val="22"/>
          <w:lang w:val="sr-Latn-ME"/>
        </w:rPr>
        <w:t>kod</w:t>
      </w:r>
      <w:r w:rsidRPr="00F45A6E">
        <w:rPr>
          <w:szCs w:val="22"/>
          <w:lang w:val="sr-Latn-ME"/>
        </w:rPr>
        <w:t xml:space="preserve"> pribli</w:t>
      </w:r>
      <w:r w:rsidR="008B5868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no 19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odnosno 8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ciklusa. U toj se populaciji febrilna neutropenija pojavila </w:t>
      </w:r>
      <w:r w:rsidR="00543FA7" w:rsidRPr="00F45A6E">
        <w:rPr>
          <w:szCs w:val="22"/>
          <w:lang w:val="sr-Latn-ME"/>
        </w:rPr>
        <w:t>kod</w:t>
      </w:r>
      <w:r w:rsidRPr="00F45A6E">
        <w:rPr>
          <w:szCs w:val="22"/>
          <w:lang w:val="sr-Latn-ME"/>
        </w:rPr>
        <w:t xml:space="preserve"> 2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</w:t>
      </w:r>
      <w:r w:rsidR="00543FA7" w:rsidRPr="00F45A6E">
        <w:rPr>
          <w:szCs w:val="22"/>
          <w:lang w:val="sr-Latn-ME"/>
        </w:rPr>
        <w:t>pacijenata</w:t>
      </w:r>
      <w:r w:rsidRPr="00F45A6E">
        <w:rPr>
          <w:szCs w:val="22"/>
          <w:lang w:val="sr-Latn-ME"/>
        </w:rPr>
        <w:t xml:space="preserve"> i u &lt; 1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 ciklusa. </w:t>
      </w:r>
    </w:p>
    <w:p w14:paraId="580ECBC8" w14:textId="77777777" w:rsidR="00C76C34" w:rsidRPr="00F45A6E" w:rsidRDefault="00C76C34" w:rsidP="003A690C">
      <w:pPr>
        <w:rPr>
          <w:szCs w:val="22"/>
          <w:lang w:val="sr-Latn-ME"/>
        </w:rPr>
      </w:pPr>
    </w:p>
    <w:p w14:paraId="1B6136C2" w14:textId="77777777" w:rsidR="00B71C78" w:rsidRPr="00F45A6E" w:rsidRDefault="00B71C78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Trombocitopenija: </w:t>
      </w:r>
    </w:p>
    <w:p w14:paraId="7B7E770E" w14:textId="30402129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Krvarenja povezana s</w:t>
      </w:r>
      <w:r w:rsidR="00776CD6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trombocitopenijom pojavila su se </w:t>
      </w:r>
      <w:r w:rsidR="00776CD6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&lt;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776CD6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ečenih re</w:t>
      </w:r>
      <w:r w:rsidR="00776CD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imom monoterapije. Analiza izvršena po ciklusu </w:t>
      </w:r>
      <w:r w:rsidR="00776CD6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</w:t>
      </w:r>
      <w:r w:rsidR="00657476" w:rsidRPr="00F45A6E">
        <w:rPr>
          <w:sz w:val="22"/>
          <w:szCs w:val="22"/>
          <w:lang w:val="sr-Latn-ME"/>
        </w:rPr>
        <w:t>ovih</w:t>
      </w:r>
      <w:r w:rsidRPr="00F45A6E">
        <w:rPr>
          <w:sz w:val="22"/>
          <w:szCs w:val="22"/>
          <w:lang w:val="sr-Latn-ME"/>
        </w:rPr>
        <w:t xml:space="preserve"> </w:t>
      </w:r>
      <w:r w:rsidR="00776CD6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pokazala je trombocitopeniju 3. i 4. </w:t>
      </w:r>
      <w:r w:rsidR="00776CD6" w:rsidRPr="00F45A6E">
        <w:rPr>
          <w:sz w:val="22"/>
          <w:szCs w:val="22"/>
          <w:lang w:val="sr-Latn-ME"/>
        </w:rPr>
        <w:t>stepena</w:t>
      </w:r>
      <w:r w:rsidRPr="00F45A6E">
        <w:rPr>
          <w:sz w:val="22"/>
          <w:szCs w:val="22"/>
          <w:lang w:val="sr-Latn-ME"/>
        </w:rPr>
        <w:t xml:space="preserve"> </w:t>
      </w:r>
      <w:r w:rsidR="00776CD6" w:rsidRPr="00F45A6E">
        <w:rPr>
          <w:sz w:val="22"/>
          <w:szCs w:val="22"/>
          <w:lang w:val="sr-Latn-ME"/>
        </w:rPr>
        <w:t xml:space="preserve">kod </w:t>
      </w:r>
      <w:r w:rsidRPr="00F45A6E">
        <w:rPr>
          <w:sz w:val="22"/>
          <w:szCs w:val="22"/>
          <w:lang w:val="sr-Latn-ME"/>
        </w:rPr>
        <w:t>pribli</w:t>
      </w:r>
      <w:r w:rsidR="00776CD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no 3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odnosno &lt;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ciklusa. </w:t>
      </w:r>
    </w:p>
    <w:p w14:paraId="3B2EBE02" w14:textId="77777777" w:rsidR="00776CD6" w:rsidRPr="00F45A6E" w:rsidRDefault="00776CD6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DAA5856" w14:textId="77777777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Anemija: </w:t>
      </w:r>
    </w:p>
    <w:p w14:paraId="4B0BA5A5" w14:textId="1546066E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Anemija se pojavila </w:t>
      </w:r>
      <w:r w:rsidR="00776CD6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93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776CD6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ečenih monoterapijom odnosno 94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776CD6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ečenih kombin</w:t>
      </w:r>
      <w:r w:rsidR="00776CD6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>anim re</w:t>
      </w:r>
      <w:r w:rsidR="00776CD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imima. </w:t>
      </w:r>
      <w:r w:rsidR="00657476" w:rsidRPr="00F45A6E">
        <w:rPr>
          <w:sz w:val="22"/>
          <w:szCs w:val="22"/>
          <w:lang w:val="sr-Latn-ME"/>
        </w:rPr>
        <w:t xml:space="preserve">Procenat </w:t>
      </w:r>
      <w:r w:rsidRPr="00F45A6E">
        <w:rPr>
          <w:sz w:val="22"/>
          <w:szCs w:val="22"/>
          <w:lang w:val="sr-Latn-ME"/>
        </w:rPr>
        <w:t xml:space="preserve">anemičnih </w:t>
      </w:r>
      <w:r w:rsidR="00293A3B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na početku iznosili su 46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odnosno 35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. Analiza izvršena po ciklusu kod </w:t>
      </w:r>
      <w:r w:rsidR="00293A3B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ečenih re</w:t>
      </w:r>
      <w:r w:rsidR="00293A3B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imom monoterapije pokazala je anemiju 3. i 4. st</w:t>
      </w:r>
      <w:r w:rsidR="00293A3B" w:rsidRPr="00F45A6E">
        <w:rPr>
          <w:sz w:val="22"/>
          <w:szCs w:val="22"/>
          <w:lang w:val="sr-Latn-ME"/>
        </w:rPr>
        <w:t>epen</w:t>
      </w:r>
      <w:r w:rsidRPr="00F45A6E">
        <w:rPr>
          <w:sz w:val="22"/>
          <w:szCs w:val="22"/>
          <w:lang w:val="sr-Latn-ME"/>
        </w:rPr>
        <w:t xml:space="preserve">a </w:t>
      </w:r>
      <w:r w:rsidR="00293A3B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pribli</w:t>
      </w:r>
      <w:r w:rsidR="00293A3B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no 3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odnosno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ciklusa. </w:t>
      </w:r>
    </w:p>
    <w:p w14:paraId="65B73C90" w14:textId="77777777" w:rsidR="00293A3B" w:rsidRPr="00F45A6E" w:rsidRDefault="00293A3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8DE92F2" w14:textId="45D90BAC" w:rsidR="00B71C78" w:rsidRPr="00F45A6E" w:rsidRDefault="00657476" w:rsidP="003A690C">
      <w:pPr>
        <w:pStyle w:val="Default"/>
        <w:jc w:val="both"/>
        <w:rPr>
          <w:i/>
          <w:iCs/>
          <w:sz w:val="22"/>
          <w:szCs w:val="22"/>
          <w:u w:val="single"/>
          <w:lang w:val="sr-Latn-ME"/>
        </w:rPr>
      </w:pPr>
      <w:r w:rsidRPr="00F45A6E">
        <w:rPr>
          <w:i/>
          <w:iCs/>
          <w:sz w:val="22"/>
          <w:szCs w:val="22"/>
          <w:u w:val="single"/>
          <w:lang w:val="sr-Latn-ME"/>
        </w:rPr>
        <w:t>Hepatobilijarni poremećaji</w:t>
      </w:r>
    </w:p>
    <w:p w14:paraId="7D969EDE" w14:textId="77777777" w:rsidR="00293A3B" w:rsidRPr="00F45A6E" w:rsidRDefault="00293A3B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2DB805E3" w14:textId="4EF835BD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Pov</w:t>
      </w:r>
      <w:r w:rsidR="00657476" w:rsidRPr="00F45A6E">
        <w:rPr>
          <w:sz w:val="22"/>
          <w:szCs w:val="22"/>
          <w:lang w:val="sr-Latn-ME"/>
        </w:rPr>
        <w:t>ećane</w:t>
      </w:r>
      <w:r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657476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AST/ALT: </w:t>
      </w:r>
    </w:p>
    <w:p w14:paraId="07C6A33F" w14:textId="4218DB75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Medijan</w:t>
      </w:r>
      <w:r w:rsidR="00B445E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vr</w:t>
      </w:r>
      <w:r w:rsidR="004446FE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emena do dostizanja </w:t>
      </w:r>
      <w:r w:rsidR="00760F0D" w:rsidRPr="00F45A6E">
        <w:rPr>
          <w:sz w:val="22"/>
          <w:szCs w:val="22"/>
          <w:lang w:val="sr-Latn-ME"/>
        </w:rPr>
        <w:t>maksimalne</w:t>
      </w:r>
      <w:r w:rsidR="00657476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>i bi</w:t>
      </w:r>
      <w:r w:rsidR="00B445E8" w:rsidRPr="00F45A6E">
        <w:rPr>
          <w:sz w:val="22"/>
          <w:szCs w:val="22"/>
          <w:lang w:val="sr-Latn-ME"/>
        </w:rPr>
        <w:t>la</w:t>
      </w:r>
      <w:r w:rsidRPr="00F45A6E">
        <w:rPr>
          <w:sz w:val="22"/>
          <w:szCs w:val="22"/>
          <w:lang w:val="sr-Latn-ME"/>
        </w:rPr>
        <w:t xml:space="preserve"> je 5 dana i za AST i za ALT. Većina se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>i smanjila na 1. st</w:t>
      </w:r>
      <w:r w:rsidR="002014B6" w:rsidRPr="00F45A6E">
        <w:rPr>
          <w:sz w:val="22"/>
          <w:szCs w:val="22"/>
          <w:lang w:val="sr-Latn-ME"/>
        </w:rPr>
        <w:t>epen</w:t>
      </w:r>
      <w:r w:rsidRPr="00F45A6E">
        <w:rPr>
          <w:sz w:val="22"/>
          <w:szCs w:val="22"/>
          <w:lang w:val="sr-Latn-ME"/>
        </w:rPr>
        <w:t xml:space="preserve"> ili se normaliz</w:t>
      </w:r>
      <w:r w:rsidR="002014B6" w:rsidRPr="00F45A6E">
        <w:rPr>
          <w:sz w:val="22"/>
          <w:szCs w:val="22"/>
          <w:lang w:val="sr-Latn-ME"/>
        </w:rPr>
        <w:t>ovala</w:t>
      </w:r>
      <w:r w:rsidRPr="00F45A6E">
        <w:rPr>
          <w:sz w:val="22"/>
          <w:szCs w:val="22"/>
          <w:lang w:val="sr-Latn-ME"/>
        </w:rPr>
        <w:t xml:space="preserve"> do 14.-15. dana (</w:t>
      </w:r>
      <w:r w:rsidR="00376F1D" w:rsidRPr="00F45A6E">
        <w:rPr>
          <w:sz w:val="22"/>
          <w:szCs w:val="22"/>
          <w:lang w:val="sr-Latn-ME"/>
        </w:rPr>
        <w:t>pogledati dio</w:t>
      </w:r>
      <w:r w:rsidR="00114A87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4.4). Analiza izvršena po ciklusu kod </w:t>
      </w:r>
      <w:r w:rsidR="002014B6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l</w:t>
      </w:r>
      <w:r w:rsidR="00114A87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ečenih re</w:t>
      </w:r>
      <w:r w:rsidR="002014B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imom monoterapije pokazala je po</w:t>
      </w:r>
      <w:r w:rsidR="00760F0D" w:rsidRPr="00F45A6E">
        <w:rPr>
          <w:sz w:val="22"/>
          <w:szCs w:val="22"/>
          <w:lang w:val="sr-Latn-ME"/>
        </w:rPr>
        <w:t>većanje</w:t>
      </w:r>
      <w:r w:rsidRPr="00F45A6E">
        <w:rPr>
          <w:sz w:val="22"/>
          <w:szCs w:val="22"/>
          <w:lang w:val="sr-Latn-ME"/>
        </w:rPr>
        <w:t xml:space="preserve"> 3. </w:t>
      </w:r>
      <w:r w:rsidR="002014B6" w:rsidRPr="00F45A6E">
        <w:rPr>
          <w:sz w:val="22"/>
          <w:szCs w:val="22"/>
          <w:lang w:val="sr-Latn-ME"/>
        </w:rPr>
        <w:t>stepena</w:t>
      </w:r>
      <w:r w:rsidRPr="00F45A6E">
        <w:rPr>
          <w:sz w:val="22"/>
          <w:szCs w:val="22"/>
          <w:lang w:val="sr-Latn-ME"/>
        </w:rPr>
        <w:t xml:space="preserve"> AST u pribli</w:t>
      </w:r>
      <w:r w:rsidR="002014B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no 12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 odnosno ALT u 20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ciklusa. Pov</w:t>
      </w:r>
      <w:r w:rsidR="00760F0D" w:rsidRPr="00F45A6E">
        <w:rPr>
          <w:sz w:val="22"/>
          <w:szCs w:val="22"/>
          <w:lang w:val="sr-Latn-ME"/>
        </w:rPr>
        <w:t>ećanje</w:t>
      </w:r>
      <w:r w:rsidRPr="00F45A6E">
        <w:rPr>
          <w:sz w:val="22"/>
          <w:szCs w:val="22"/>
          <w:lang w:val="sr-Latn-ME"/>
        </w:rPr>
        <w:t xml:space="preserve"> 4. </w:t>
      </w:r>
      <w:r w:rsidR="00F335E0" w:rsidRPr="00F45A6E">
        <w:rPr>
          <w:sz w:val="22"/>
          <w:szCs w:val="22"/>
          <w:lang w:val="sr-Latn-ME"/>
        </w:rPr>
        <w:t>stepena</w:t>
      </w:r>
      <w:r w:rsidRPr="00F45A6E">
        <w:rPr>
          <w:sz w:val="22"/>
          <w:szCs w:val="22"/>
          <w:lang w:val="sr-Latn-ME"/>
        </w:rPr>
        <w:t xml:space="preserve"> AST i ALT pojavil</w:t>
      </w:r>
      <w:r w:rsidR="00760F0D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 xml:space="preserve"> se </w:t>
      </w:r>
      <w:r w:rsidR="00F335E0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, odnosno 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ciklusa. Većina </w:t>
      </w:r>
      <w:r w:rsidR="00760F0D" w:rsidRPr="00F45A6E">
        <w:rPr>
          <w:sz w:val="22"/>
          <w:szCs w:val="22"/>
          <w:lang w:val="sr-Latn-ME"/>
        </w:rPr>
        <w:t xml:space="preserve">povećanja </w:t>
      </w:r>
      <w:r w:rsidR="008C26C1" w:rsidRPr="00F45A6E">
        <w:rPr>
          <w:sz w:val="22"/>
          <w:szCs w:val="22"/>
          <w:lang w:val="sr-Latn-ME"/>
        </w:rPr>
        <w:t>vrijednost</w:t>
      </w:r>
      <w:r w:rsidR="00760F0D" w:rsidRPr="00F45A6E">
        <w:rPr>
          <w:sz w:val="22"/>
          <w:szCs w:val="22"/>
          <w:lang w:val="sr-Latn-ME"/>
        </w:rPr>
        <w:t xml:space="preserve">i </w:t>
      </w:r>
      <w:r w:rsidRPr="00F45A6E">
        <w:rPr>
          <w:sz w:val="22"/>
          <w:szCs w:val="22"/>
          <w:lang w:val="sr-Latn-ME"/>
        </w:rPr>
        <w:t>transaminaza poboljšala su se na 1. st</w:t>
      </w:r>
      <w:r w:rsidR="00F335E0" w:rsidRPr="00F45A6E">
        <w:rPr>
          <w:sz w:val="22"/>
          <w:szCs w:val="22"/>
          <w:lang w:val="sr-Latn-ME"/>
        </w:rPr>
        <w:t>epen</w:t>
      </w:r>
      <w:r w:rsidRPr="00F45A6E">
        <w:rPr>
          <w:sz w:val="22"/>
          <w:szCs w:val="22"/>
          <w:lang w:val="sr-Latn-ME"/>
        </w:rPr>
        <w:t xml:space="preserve"> ili na </w:t>
      </w:r>
      <w:r w:rsidR="008C26C1" w:rsidRPr="00F45A6E">
        <w:rPr>
          <w:sz w:val="22"/>
          <w:szCs w:val="22"/>
          <w:lang w:val="sr-Latn-ME"/>
        </w:rPr>
        <w:t>vrijednost</w:t>
      </w:r>
      <w:r w:rsidR="00760F0D" w:rsidRPr="00F45A6E">
        <w:rPr>
          <w:sz w:val="22"/>
          <w:szCs w:val="22"/>
          <w:lang w:val="sr-Latn-ME"/>
        </w:rPr>
        <w:t xml:space="preserve">i </w:t>
      </w:r>
      <w:r w:rsidRPr="00F45A6E">
        <w:rPr>
          <w:sz w:val="22"/>
          <w:szCs w:val="22"/>
          <w:lang w:val="sr-Latn-ME"/>
        </w:rPr>
        <w:t>pr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početka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u roku od 15 dana </w:t>
      </w:r>
      <w:r w:rsidR="00760F0D" w:rsidRPr="00F45A6E">
        <w:rPr>
          <w:sz w:val="22"/>
          <w:szCs w:val="22"/>
          <w:lang w:val="sr-Latn-ME"/>
        </w:rPr>
        <w:t>pa</w:t>
      </w:r>
      <w:r w:rsidRPr="00F45A6E">
        <w:rPr>
          <w:sz w:val="22"/>
          <w:szCs w:val="22"/>
          <w:lang w:val="sr-Latn-ME"/>
        </w:rPr>
        <w:t xml:space="preserve"> je manje od 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ciklusa imalo vr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eme oporavka du</w:t>
      </w:r>
      <w:r w:rsidR="00F335E0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 od 25 dana. Pov</w:t>
      </w:r>
      <w:r w:rsidR="00760F0D" w:rsidRPr="00F45A6E">
        <w:rPr>
          <w:sz w:val="22"/>
          <w:szCs w:val="22"/>
          <w:lang w:val="sr-Latn-ME"/>
        </w:rPr>
        <w:t>ećane</w:t>
      </w:r>
      <w:r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760F0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ALT i AST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sl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edile kumulativni </w:t>
      </w:r>
      <w:r w:rsidR="00CA32D9" w:rsidRPr="00F45A6E">
        <w:rPr>
          <w:sz w:val="22"/>
          <w:szCs w:val="22"/>
          <w:lang w:val="sr-Latn-ME"/>
        </w:rPr>
        <w:t>obrazac</w:t>
      </w:r>
      <w:r w:rsidRPr="00F45A6E">
        <w:rPr>
          <w:sz w:val="22"/>
          <w:szCs w:val="22"/>
          <w:lang w:val="sr-Latn-ME"/>
        </w:rPr>
        <w:t>, ali su t</w:t>
      </w:r>
      <w:r w:rsidR="00CA32D9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vr</w:t>
      </w:r>
      <w:r w:rsidR="004446FE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emena pokazale tendenciju prema manj</w:t>
      </w:r>
      <w:r w:rsidR="0028055B" w:rsidRPr="00F45A6E">
        <w:rPr>
          <w:sz w:val="22"/>
          <w:szCs w:val="22"/>
          <w:lang w:val="sr-Latn-ME"/>
        </w:rPr>
        <w:t>im</w:t>
      </w:r>
      <w:r w:rsidRPr="00F45A6E">
        <w:rPr>
          <w:sz w:val="22"/>
          <w:szCs w:val="22"/>
          <w:lang w:val="sr-Latn-ME"/>
        </w:rPr>
        <w:t xml:space="preserve"> pov</w:t>
      </w:r>
      <w:r w:rsidR="00760F0D" w:rsidRPr="00F45A6E">
        <w:rPr>
          <w:sz w:val="22"/>
          <w:szCs w:val="22"/>
          <w:lang w:val="sr-Latn-ME"/>
        </w:rPr>
        <w:t>ećanjima</w:t>
      </w:r>
      <w:r w:rsidRPr="00F45A6E">
        <w:rPr>
          <w:sz w:val="22"/>
          <w:szCs w:val="22"/>
          <w:lang w:val="sr-Latn-ME"/>
        </w:rPr>
        <w:t xml:space="preserve">. </w:t>
      </w:r>
    </w:p>
    <w:p w14:paraId="705F4D73" w14:textId="77777777" w:rsidR="0028055B" w:rsidRPr="00F45A6E" w:rsidRDefault="0028055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A7149D4" w14:textId="77777777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Hiperbilirubinemija: </w:t>
      </w:r>
    </w:p>
    <w:p w14:paraId="172A2EB9" w14:textId="0CA1316D" w:rsidR="00B71C78" w:rsidRPr="00F45A6E" w:rsidRDefault="00760F0D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Maksimalne koncentracije </w:t>
      </w:r>
      <w:r w:rsidR="00B71C78" w:rsidRPr="00F45A6E">
        <w:rPr>
          <w:sz w:val="22"/>
          <w:szCs w:val="22"/>
          <w:lang w:val="sr-Latn-ME"/>
        </w:rPr>
        <w:t>bilirubina posti</w:t>
      </w:r>
      <w:r w:rsidR="0028055B" w:rsidRPr="00F45A6E">
        <w:rPr>
          <w:sz w:val="22"/>
          <w:szCs w:val="22"/>
          <w:lang w:val="sr-Latn-ME"/>
        </w:rPr>
        <w:t>ž</w:t>
      </w:r>
      <w:r w:rsidR="00B71C78" w:rsidRPr="00F45A6E">
        <w:rPr>
          <w:sz w:val="22"/>
          <w:szCs w:val="22"/>
          <w:lang w:val="sr-Latn-ME"/>
        </w:rPr>
        <w:t xml:space="preserve">u </w:t>
      </w:r>
      <w:r w:rsidR="0028055B" w:rsidRPr="00F45A6E">
        <w:rPr>
          <w:sz w:val="22"/>
          <w:szCs w:val="22"/>
          <w:lang w:val="sr-Latn-ME"/>
        </w:rPr>
        <w:t>se nedelju</w:t>
      </w:r>
      <w:r w:rsidR="00B71C78" w:rsidRPr="00F45A6E">
        <w:rPr>
          <w:sz w:val="22"/>
          <w:szCs w:val="22"/>
          <w:lang w:val="sr-Latn-ME"/>
        </w:rPr>
        <w:t xml:space="preserve"> dana nakon nastupa i normaliz</w:t>
      </w:r>
      <w:r w:rsidR="0028055B" w:rsidRPr="00F45A6E">
        <w:rPr>
          <w:sz w:val="22"/>
          <w:szCs w:val="22"/>
          <w:lang w:val="sr-Latn-ME"/>
        </w:rPr>
        <w:t>uju</w:t>
      </w:r>
      <w:r w:rsidR="00B71C78" w:rsidRPr="00F45A6E">
        <w:rPr>
          <w:sz w:val="22"/>
          <w:szCs w:val="22"/>
          <w:lang w:val="sr-Latn-ME"/>
        </w:rPr>
        <w:t xml:space="preserve"> se pribli</w:t>
      </w:r>
      <w:r w:rsidR="0028055B" w:rsidRPr="00F45A6E">
        <w:rPr>
          <w:sz w:val="22"/>
          <w:szCs w:val="22"/>
          <w:lang w:val="sr-Latn-ME"/>
        </w:rPr>
        <w:t>ž</w:t>
      </w:r>
      <w:r w:rsidR="00B71C78" w:rsidRPr="00F45A6E">
        <w:rPr>
          <w:sz w:val="22"/>
          <w:szCs w:val="22"/>
          <w:lang w:val="sr-Latn-ME"/>
        </w:rPr>
        <w:t>no dv</w:t>
      </w:r>
      <w:r w:rsidR="001633DA" w:rsidRPr="00F45A6E">
        <w:rPr>
          <w:sz w:val="22"/>
          <w:szCs w:val="22"/>
          <w:lang w:val="sr-Latn-ME"/>
        </w:rPr>
        <w:t>ij</w:t>
      </w:r>
      <w:r w:rsidR="0028055B" w:rsidRPr="00F45A6E">
        <w:rPr>
          <w:sz w:val="22"/>
          <w:szCs w:val="22"/>
          <w:lang w:val="sr-Latn-ME"/>
        </w:rPr>
        <w:t xml:space="preserve">e nedelje </w:t>
      </w:r>
      <w:r w:rsidR="00B71C78" w:rsidRPr="00F45A6E">
        <w:rPr>
          <w:sz w:val="22"/>
          <w:szCs w:val="22"/>
          <w:lang w:val="sr-Latn-ME"/>
        </w:rPr>
        <w:t xml:space="preserve">nakon nastupa poremećaja. </w:t>
      </w:r>
    </w:p>
    <w:p w14:paraId="484F277A" w14:textId="37451401" w:rsidR="00B71C78" w:rsidRPr="00F45A6E" w:rsidRDefault="00B71C7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Testovi funkcije </w:t>
      </w:r>
      <w:r w:rsidR="003E2052" w:rsidRPr="00F45A6E">
        <w:rPr>
          <w:sz w:val="22"/>
          <w:szCs w:val="22"/>
          <w:lang w:val="sr-Latn-ME"/>
        </w:rPr>
        <w:t xml:space="preserve">jetre </w:t>
      </w:r>
      <w:r w:rsidRPr="00F45A6E">
        <w:rPr>
          <w:sz w:val="22"/>
          <w:szCs w:val="22"/>
          <w:lang w:val="sr-Latn-ME"/>
        </w:rPr>
        <w:t>koji predvi</w:t>
      </w:r>
      <w:r w:rsidR="00383E37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aju tešku toksičnost (a </w:t>
      </w:r>
      <w:r w:rsidR="003E2052" w:rsidRPr="00F45A6E">
        <w:rPr>
          <w:sz w:val="22"/>
          <w:szCs w:val="22"/>
          <w:lang w:val="sr-Latn-ME"/>
        </w:rPr>
        <w:t>u skladu</w:t>
      </w:r>
      <w:r w:rsidRPr="00F45A6E">
        <w:rPr>
          <w:sz w:val="22"/>
          <w:szCs w:val="22"/>
          <w:lang w:val="sr-Latn-ME"/>
        </w:rPr>
        <w:t xml:space="preserve"> su </w:t>
      </w:r>
      <w:r w:rsidR="003E2052" w:rsidRPr="00F45A6E">
        <w:rPr>
          <w:sz w:val="22"/>
          <w:szCs w:val="22"/>
          <w:lang w:val="sr-Latn-ME"/>
        </w:rPr>
        <w:t xml:space="preserve">sa </w:t>
      </w:r>
      <w:r w:rsidRPr="00F45A6E">
        <w:rPr>
          <w:i/>
          <w:iCs/>
          <w:sz w:val="22"/>
          <w:szCs w:val="22"/>
          <w:lang w:val="sr-Latn-ME"/>
        </w:rPr>
        <w:t>Hy</w:t>
      </w:r>
      <w:r w:rsidR="003E2052" w:rsidRPr="00F45A6E">
        <w:rPr>
          <w:sz w:val="22"/>
          <w:szCs w:val="22"/>
          <w:lang w:val="sr-Latn-ME"/>
        </w:rPr>
        <w:t>-ovim</w:t>
      </w:r>
      <w:r w:rsidRPr="00F45A6E">
        <w:rPr>
          <w:sz w:val="22"/>
          <w:szCs w:val="22"/>
          <w:lang w:val="sr-Latn-ME"/>
        </w:rPr>
        <w:t xml:space="preserve"> zakon</w:t>
      </w:r>
      <w:r w:rsidR="003E2052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>) i kliničke manifestacije teškog oštećenja jetre bile su r</w:t>
      </w:r>
      <w:r w:rsidR="00114A87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etke s</w:t>
      </w:r>
      <w:r w:rsidR="00C7723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manje od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FF721F" w:rsidRPr="00F45A6E">
        <w:rPr>
          <w:sz w:val="22"/>
          <w:szCs w:val="22"/>
          <w:lang w:val="sr-Latn-ME"/>
        </w:rPr>
        <w:t xml:space="preserve">učestalosti </w:t>
      </w:r>
      <w:r w:rsidRPr="00F45A6E">
        <w:rPr>
          <w:sz w:val="22"/>
          <w:szCs w:val="22"/>
          <w:lang w:val="sr-Latn-ME"/>
        </w:rPr>
        <w:t xml:space="preserve">pojedinačnih znakova i simptoma koji uključuju </w:t>
      </w:r>
      <w:r w:rsidR="00014B41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uticu, hepatomegaliju ili bol u jetri. Smrtnost u </w:t>
      </w:r>
      <w:r w:rsidR="007323BB" w:rsidRPr="00F45A6E">
        <w:rPr>
          <w:sz w:val="22"/>
          <w:szCs w:val="22"/>
          <w:lang w:val="sr-Latn-ME"/>
        </w:rPr>
        <w:t xml:space="preserve">slučaju </w:t>
      </w:r>
      <w:r w:rsidRPr="00F45A6E">
        <w:rPr>
          <w:sz w:val="22"/>
          <w:szCs w:val="22"/>
          <w:lang w:val="sr-Latn-ME"/>
        </w:rPr>
        <w:t>prisutnosti oštećenja jetre u oba re</w:t>
      </w:r>
      <w:r w:rsidR="007323BB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ima se dogodila </w:t>
      </w:r>
      <w:r w:rsidR="007323BB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manje od 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7323BB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. </w:t>
      </w:r>
    </w:p>
    <w:p w14:paraId="4A93DA0D" w14:textId="77777777" w:rsidR="0028055B" w:rsidRPr="00F45A6E" w:rsidRDefault="0028055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FAA5CF9" w14:textId="5BABA17A" w:rsidR="00B71C78" w:rsidRPr="00F45A6E" w:rsidRDefault="00B71C78" w:rsidP="003A690C">
      <w:pPr>
        <w:pStyle w:val="Default"/>
        <w:jc w:val="both"/>
        <w:rPr>
          <w:i/>
          <w:iCs/>
          <w:sz w:val="22"/>
          <w:szCs w:val="22"/>
          <w:u w:val="single"/>
          <w:lang w:val="sr-Latn-ME"/>
        </w:rPr>
      </w:pPr>
      <w:r w:rsidRPr="00F45A6E">
        <w:rPr>
          <w:i/>
          <w:iCs/>
          <w:sz w:val="22"/>
          <w:szCs w:val="22"/>
          <w:u w:val="single"/>
          <w:lang w:val="sr-Latn-ME"/>
        </w:rPr>
        <w:t>Drug</w:t>
      </w:r>
      <w:r w:rsidR="007323BB" w:rsidRPr="00F45A6E">
        <w:rPr>
          <w:i/>
          <w:iCs/>
          <w:sz w:val="22"/>
          <w:szCs w:val="22"/>
          <w:u w:val="single"/>
          <w:lang w:val="sr-Latn-ME"/>
        </w:rPr>
        <w:t>a</w:t>
      </w:r>
      <w:r w:rsidRPr="00F45A6E">
        <w:rPr>
          <w:i/>
          <w:iCs/>
          <w:sz w:val="22"/>
          <w:szCs w:val="22"/>
          <w:u w:val="single"/>
          <w:lang w:val="sr-Latn-ME"/>
        </w:rPr>
        <w:t xml:space="preserve"> </w:t>
      </w:r>
      <w:r w:rsidR="007323BB" w:rsidRPr="00F45A6E">
        <w:rPr>
          <w:i/>
          <w:iCs/>
          <w:sz w:val="22"/>
          <w:szCs w:val="22"/>
          <w:u w:val="single"/>
          <w:lang w:val="sr-Latn-ME"/>
        </w:rPr>
        <w:t>neželjena dejstva</w:t>
      </w:r>
    </w:p>
    <w:p w14:paraId="4C6BD827" w14:textId="77777777" w:rsidR="00504B5D" w:rsidRPr="00F45A6E" w:rsidRDefault="00504B5D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65BD7447" w14:textId="4A114440" w:rsidR="00B71C78" w:rsidRPr="00F45A6E" w:rsidRDefault="000B505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>Insuficijencija</w:t>
      </w:r>
      <w:r w:rsidR="00B71C78" w:rsidRPr="00F45A6E">
        <w:rPr>
          <w:i/>
          <w:iCs/>
          <w:sz w:val="22"/>
          <w:szCs w:val="22"/>
          <w:lang w:val="sr-Latn-ME"/>
        </w:rPr>
        <w:t xml:space="preserve"> jetre: </w:t>
      </w:r>
      <w:r w:rsidR="00B71C78" w:rsidRPr="00F45A6E">
        <w:rPr>
          <w:sz w:val="22"/>
          <w:szCs w:val="22"/>
          <w:lang w:val="sr-Latn-ME"/>
        </w:rPr>
        <w:t>r</w:t>
      </w:r>
      <w:r w:rsidR="000131EF" w:rsidRPr="00F45A6E">
        <w:rPr>
          <w:sz w:val="22"/>
          <w:szCs w:val="22"/>
          <w:lang w:val="sr-Latn-ME"/>
        </w:rPr>
        <w:t>ij</w:t>
      </w:r>
      <w:r w:rsidR="00B71C78" w:rsidRPr="00F45A6E">
        <w:rPr>
          <w:sz w:val="22"/>
          <w:szCs w:val="22"/>
          <w:lang w:val="sr-Latn-ME"/>
        </w:rPr>
        <w:t xml:space="preserve">etki slučajevi </w:t>
      </w:r>
      <w:r w:rsidRPr="00F45A6E">
        <w:rPr>
          <w:sz w:val="22"/>
          <w:szCs w:val="22"/>
          <w:lang w:val="sr-Latn-ME"/>
        </w:rPr>
        <w:t>insuficijencije</w:t>
      </w:r>
      <w:r w:rsidR="00B71C78" w:rsidRPr="00F45A6E">
        <w:rPr>
          <w:sz w:val="22"/>
          <w:szCs w:val="22"/>
          <w:lang w:val="sr-Latn-ME"/>
        </w:rPr>
        <w:t xml:space="preserve"> jetre (uključujući slučajeve sa smrtnim ishodom) prijavljeni su kod </w:t>
      </w:r>
      <w:r w:rsidRPr="00F45A6E">
        <w:rPr>
          <w:sz w:val="22"/>
          <w:szCs w:val="22"/>
          <w:lang w:val="sr-Latn-ME"/>
        </w:rPr>
        <w:t>pacijenata</w:t>
      </w:r>
      <w:r w:rsidR="00B71C78" w:rsidRPr="00F45A6E">
        <w:rPr>
          <w:sz w:val="22"/>
          <w:szCs w:val="22"/>
          <w:lang w:val="sr-Latn-ME"/>
        </w:rPr>
        <w:t xml:space="preserve"> s</w:t>
      </w:r>
      <w:r w:rsidRPr="00F45A6E">
        <w:rPr>
          <w:sz w:val="22"/>
          <w:szCs w:val="22"/>
          <w:lang w:val="sr-Latn-ME"/>
        </w:rPr>
        <w:t>a</w:t>
      </w:r>
      <w:r w:rsidR="00B71C78" w:rsidRPr="00F45A6E">
        <w:rPr>
          <w:sz w:val="22"/>
          <w:szCs w:val="22"/>
          <w:lang w:val="sr-Latn-ME"/>
        </w:rPr>
        <w:t xml:space="preserve"> prisutnim teškim osnovnim medicinskim stanjima l</w:t>
      </w:r>
      <w:r w:rsidR="000131EF" w:rsidRPr="00F45A6E">
        <w:rPr>
          <w:sz w:val="22"/>
          <w:szCs w:val="22"/>
          <w:lang w:val="sr-Latn-ME"/>
        </w:rPr>
        <w:t>ije</w:t>
      </w:r>
      <w:r w:rsidR="00B71C78" w:rsidRPr="00F45A6E">
        <w:rPr>
          <w:sz w:val="22"/>
          <w:szCs w:val="22"/>
          <w:lang w:val="sr-Latn-ME"/>
        </w:rPr>
        <w:t xml:space="preserve">čenim trabektedinom, kako u kliničkim ispitivanjima tako i nakon stavljanja </w:t>
      </w:r>
      <w:r w:rsidR="005C3738" w:rsidRPr="00F45A6E">
        <w:rPr>
          <w:sz w:val="22"/>
          <w:szCs w:val="22"/>
          <w:lang w:val="sr-Latn-ME"/>
        </w:rPr>
        <w:t>lijek</w:t>
      </w:r>
      <w:r w:rsidR="00B71C78" w:rsidRPr="00F45A6E">
        <w:rPr>
          <w:sz w:val="22"/>
          <w:szCs w:val="22"/>
          <w:lang w:val="sr-Latn-ME"/>
        </w:rPr>
        <w:t xml:space="preserve">a u promet. Neki mogući </w:t>
      </w:r>
      <w:r w:rsidR="00600E52" w:rsidRPr="00F45A6E">
        <w:rPr>
          <w:sz w:val="22"/>
          <w:szCs w:val="22"/>
          <w:lang w:val="sr-Latn-ME"/>
        </w:rPr>
        <w:t>faktori</w:t>
      </w:r>
      <w:r w:rsidR="00B71C78" w:rsidRPr="00F45A6E">
        <w:rPr>
          <w:sz w:val="22"/>
          <w:szCs w:val="22"/>
          <w:lang w:val="sr-Latn-ME"/>
        </w:rPr>
        <w:t xml:space="preserve"> rizika koji su mo</w:t>
      </w:r>
      <w:r w:rsidR="00600E52" w:rsidRPr="00F45A6E">
        <w:rPr>
          <w:sz w:val="22"/>
          <w:szCs w:val="22"/>
          <w:lang w:val="sr-Latn-ME"/>
        </w:rPr>
        <w:t>ž</w:t>
      </w:r>
      <w:r w:rsidR="00B71C78" w:rsidRPr="00F45A6E">
        <w:rPr>
          <w:sz w:val="22"/>
          <w:szCs w:val="22"/>
          <w:lang w:val="sr-Latn-ME"/>
        </w:rPr>
        <w:t>da dopri</w:t>
      </w:r>
      <w:r w:rsidR="00600E52" w:rsidRPr="00F45A6E">
        <w:rPr>
          <w:sz w:val="22"/>
          <w:szCs w:val="22"/>
          <w:lang w:val="sr-Latn-ME"/>
        </w:rPr>
        <w:t>n</w:t>
      </w:r>
      <w:r w:rsidR="00B71C78" w:rsidRPr="00F45A6E">
        <w:rPr>
          <w:sz w:val="22"/>
          <w:szCs w:val="22"/>
          <w:lang w:val="sr-Latn-ME"/>
        </w:rPr>
        <w:t xml:space="preserve">eli </w:t>
      </w:r>
      <w:r w:rsidR="009C1CBC" w:rsidRPr="00F45A6E">
        <w:rPr>
          <w:sz w:val="22"/>
          <w:szCs w:val="22"/>
          <w:lang w:val="sr-Latn-ME"/>
        </w:rPr>
        <w:t xml:space="preserve">povećanju </w:t>
      </w:r>
      <w:r w:rsidR="00B71C78" w:rsidRPr="00F45A6E">
        <w:rPr>
          <w:sz w:val="22"/>
          <w:szCs w:val="22"/>
          <w:lang w:val="sr-Latn-ME"/>
        </w:rPr>
        <w:t>toksičnosti zab</w:t>
      </w:r>
      <w:r w:rsidR="000131EF" w:rsidRPr="00F45A6E">
        <w:rPr>
          <w:sz w:val="22"/>
          <w:szCs w:val="22"/>
          <w:lang w:val="sr-Latn-ME"/>
        </w:rPr>
        <w:t>i</w:t>
      </w:r>
      <w:r w:rsidR="0007409D" w:rsidRPr="00F45A6E">
        <w:rPr>
          <w:sz w:val="22"/>
          <w:szCs w:val="22"/>
          <w:lang w:val="sr-Latn-ME"/>
        </w:rPr>
        <w:t>l</w:t>
      </w:r>
      <w:r w:rsidR="000131EF" w:rsidRPr="00F45A6E">
        <w:rPr>
          <w:sz w:val="22"/>
          <w:szCs w:val="22"/>
          <w:lang w:val="sr-Latn-ME"/>
        </w:rPr>
        <w:t>j</w:t>
      </w:r>
      <w:r w:rsidR="0007409D" w:rsidRPr="00F45A6E">
        <w:rPr>
          <w:sz w:val="22"/>
          <w:szCs w:val="22"/>
          <w:lang w:val="sr-Latn-ME"/>
        </w:rPr>
        <w:t>ež</w:t>
      </w:r>
      <w:r w:rsidR="00B71C78" w:rsidRPr="00F45A6E">
        <w:rPr>
          <w:sz w:val="22"/>
          <w:szCs w:val="22"/>
          <w:lang w:val="sr-Latn-ME"/>
        </w:rPr>
        <w:t xml:space="preserve">enoj u tim slučajevima bili su </w:t>
      </w:r>
      <w:r w:rsidR="004C6411" w:rsidRPr="00F45A6E">
        <w:rPr>
          <w:sz w:val="22"/>
          <w:szCs w:val="22"/>
          <w:lang w:val="sr-Latn-ME"/>
        </w:rPr>
        <w:t xml:space="preserve">podešavanje </w:t>
      </w:r>
      <w:r w:rsidR="00B71C78" w:rsidRPr="00F45A6E">
        <w:rPr>
          <w:sz w:val="22"/>
          <w:szCs w:val="22"/>
          <w:lang w:val="sr-Latn-ME"/>
        </w:rPr>
        <w:t>doz</w:t>
      </w:r>
      <w:r w:rsidR="004C6411" w:rsidRPr="00F45A6E">
        <w:rPr>
          <w:sz w:val="22"/>
          <w:szCs w:val="22"/>
          <w:lang w:val="sr-Latn-ME"/>
        </w:rPr>
        <w:t>e</w:t>
      </w:r>
      <w:r w:rsidR="00B71C78" w:rsidRPr="00F45A6E">
        <w:rPr>
          <w:sz w:val="22"/>
          <w:szCs w:val="22"/>
          <w:lang w:val="sr-Latn-ME"/>
        </w:rPr>
        <w:t xml:space="preserve"> </w:t>
      </w:r>
      <w:r w:rsidR="00164D3F" w:rsidRPr="00F45A6E">
        <w:rPr>
          <w:sz w:val="22"/>
          <w:szCs w:val="22"/>
          <w:lang w:val="sr-Latn-ME"/>
        </w:rPr>
        <w:t>koje nije bilo u skladu sa</w:t>
      </w:r>
      <w:r w:rsidR="00B71C78" w:rsidRPr="00F45A6E">
        <w:rPr>
          <w:sz w:val="22"/>
          <w:szCs w:val="22"/>
          <w:lang w:val="sr-Latn-ME"/>
        </w:rPr>
        <w:t xml:space="preserve"> preporučenim sm</w:t>
      </w:r>
      <w:r w:rsidR="000131EF" w:rsidRPr="00F45A6E">
        <w:rPr>
          <w:sz w:val="22"/>
          <w:szCs w:val="22"/>
          <w:lang w:val="sr-Latn-ME"/>
        </w:rPr>
        <w:t>j</w:t>
      </w:r>
      <w:r w:rsidR="00B71C78" w:rsidRPr="00F45A6E">
        <w:rPr>
          <w:sz w:val="22"/>
          <w:szCs w:val="22"/>
          <w:lang w:val="sr-Latn-ME"/>
        </w:rPr>
        <w:t xml:space="preserve">ernicama, moguća interakcija CYP3A4 zbog više konkurentnih supstrata CYP3A4 ili inhibitora CYP3A4, ili zbog </w:t>
      </w:r>
      <w:r w:rsidR="00472BCC" w:rsidRPr="00F45A6E">
        <w:rPr>
          <w:sz w:val="22"/>
          <w:szCs w:val="22"/>
          <w:lang w:val="sr-Latn-ME"/>
        </w:rPr>
        <w:t>smanjene</w:t>
      </w:r>
      <w:r w:rsidR="00B71C78" w:rsidRPr="00F45A6E">
        <w:rPr>
          <w:sz w:val="22"/>
          <w:szCs w:val="22"/>
          <w:lang w:val="sr-Latn-ME"/>
        </w:rPr>
        <w:t xml:space="preserve"> profilakse deksametazonom. </w:t>
      </w:r>
    </w:p>
    <w:p w14:paraId="69397C05" w14:textId="77777777" w:rsidR="000B5050" w:rsidRPr="00F45A6E" w:rsidRDefault="000B505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5F116B8" w14:textId="3F0743D2" w:rsidR="006D1598" w:rsidRPr="00F45A6E" w:rsidRDefault="00B71C78" w:rsidP="003A690C">
      <w:pPr>
        <w:rPr>
          <w:noProof/>
          <w:szCs w:val="22"/>
          <w:u w:val="single"/>
          <w:lang w:val="sr-Latn-ME"/>
        </w:rPr>
      </w:pPr>
      <w:r w:rsidRPr="00F45A6E">
        <w:rPr>
          <w:i/>
          <w:iCs/>
          <w:szCs w:val="22"/>
          <w:lang w:val="sr-Latn-ME"/>
        </w:rPr>
        <w:t xml:space="preserve">Sindrom </w:t>
      </w:r>
      <w:r w:rsidR="009C1CBC" w:rsidRPr="00F45A6E">
        <w:rPr>
          <w:i/>
          <w:iCs/>
          <w:szCs w:val="22"/>
          <w:lang w:val="sr-Latn-ME"/>
        </w:rPr>
        <w:t xml:space="preserve">povećane propustljivosti </w:t>
      </w:r>
      <w:r w:rsidRPr="00F45A6E">
        <w:rPr>
          <w:i/>
          <w:iCs/>
          <w:szCs w:val="22"/>
          <w:lang w:val="sr-Latn-ME"/>
        </w:rPr>
        <w:t>kapil</w:t>
      </w:r>
      <w:r w:rsidR="009C1CBC" w:rsidRPr="00F45A6E">
        <w:rPr>
          <w:i/>
          <w:iCs/>
          <w:szCs w:val="22"/>
          <w:lang w:val="sr-Latn-ME"/>
        </w:rPr>
        <w:t>ara</w:t>
      </w:r>
      <w:r w:rsidRPr="00F45A6E">
        <w:rPr>
          <w:i/>
          <w:iCs/>
          <w:szCs w:val="22"/>
          <w:lang w:val="sr-Latn-ME"/>
        </w:rPr>
        <w:t xml:space="preserve">: </w:t>
      </w:r>
      <w:r w:rsidR="00472BCC" w:rsidRPr="00F45A6E">
        <w:rPr>
          <w:szCs w:val="22"/>
          <w:lang w:val="sr-Latn-ME"/>
        </w:rPr>
        <w:t>n</w:t>
      </w:r>
      <w:r w:rsidRPr="00F45A6E">
        <w:rPr>
          <w:szCs w:val="22"/>
          <w:lang w:val="sr-Latn-ME"/>
        </w:rPr>
        <w:t xml:space="preserve">akon </w:t>
      </w:r>
      <w:r w:rsidR="00BF4DC4" w:rsidRPr="00F45A6E">
        <w:rPr>
          <w:szCs w:val="22"/>
          <w:lang w:val="sr-Latn-ME"/>
        </w:rPr>
        <w:t>primjene</w:t>
      </w:r>
      <w:r w:rsidRPr="00F45A6E">
        <w:rPr>
          <w:szCs w:val="22"/>
          <w:lang w:val="sr-Latn-ME"/>
        </w:rPr>
        <w:t xml:space="preserve"> trabektedina prijavljeni su slučajevi sindroma </w:t>
      </w:r>
      <w:r w:rsidR="009C1CBC" w:rsidRPr="00F45A6E">
        <w:rPr>
          <w:szCs w:val="22"/>
          <w:lang w:val="sr-Latn-ME"/>
        </w:rPr>
        <w:t xml:space="preserve">povećane propustljivosti </w:t>
      </w:r>
      <w:r w:rsidRPr="00F45A6E">
        <w:rPr>
          <w:szCs w:val="22"/>
          <w:lang w:val="sr-Latn-ME"/>
        </w:rPr>
        <w:t>kapilar</w:t>
      </w:r>
      <w:r w:rsidR="009C1CBC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(uključujući slučajeve sa smrtnim ishodom) (</w:t>
      </w:r>
      <w:r w:rsidR="00376F1D" w:rsidRPr="00F45A6E">
        <w:rPr>
          <w:szCs w:val="22"/>
          <w:lang w:val="sr-Latn-ME"/>
        </w:rPr>
        <w:t>pogledati dio</w:t>
      </w:r>
      <w:r w:rsidR="005E40D0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4.4).</w:t>
      </w:r>
    </w:p>
    <w:p w14:paraId="06A95851" w14:textId="670C52E4" w:rsidR="006D1598" w:rsidRPr="00F45A6E" w:rsidRDefault="006D1598" w:rsidP="003A690C">
      <w:pPr>
        <w:rPr>
          <w:noProof/>
          <w:szCs w:val="22"/>
          <w:u w:val="single"/>
          <w:lang w:val="sr-Latn-ME"/>
        </w:rPr>
      </w:pPr>
    </w:p>
    <w:p w14:paraId="5558481B" w14:textId="77777777" w:rsidR="00780B2C" w:rsidRPr="00F45A6E" w:rsidRDefault="00780B2C" w:rsidP="003A690C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F45A6E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36D31D75" w14:textId="7365C127" w:rsidR="00780B2C" w:rsidRPr="00F45A6E" w:rsidRDefault="00780B2C" w:rsidP="003A690C">
      <w:pPr>
        <w:spacing w:after="200"/>
        <w:rPr>
          <w:rFonts w:eastAsia="Calibri"/>
          <w:szCs w:val="22"/>
          <w:lang w:val="sr-Latn-ME"/>
        </w:rPr>
      </w:pPr>
      <w:r w:rsidRPr="00F45A6E">
        <w:rPr>
          <w:rFonts w:eastAsia="Calibri"/>
          <w:szCs w:val="22"/>
          <w:lang w:val="sr-Latn-ME"/>
        </w:rPr>
        <w:t xml:space="preserve">Prijavljivanje neželjenih dejstava nakon dobijanja dozvole </w:t>
      </w:r>
      <w:r w:rsidR="00242CD3" w:rsidRPr="00F45A6E">
        <w:rPr>
          <w:rFonts w:eastAsia="Calibri"/>
          <w:szCs w:val="22"/>
          <w:lang w:val="sr-Latn-ME"/>
        </w:rPr>
        <w:t>z</w:t>
      </w:r>
      <w:r w:rsidRPr="00F45A6E">
        <w:rPr>
          <w:rFonts w:eastAsia="Calibri"/>
          <w:szCs w:val="22"/>
          <w:lang w:val="sr-Latn-ME"/>
        </w:rPr>
        <w:t>a lijek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C1DEFB0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3811925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Odjeljenje za farmakovigilancu</w:t>
      </w:r>
    </w:p>
    <w:p w14:paraId="0AAE4AA1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B71C014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E2A4F2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tel: +382 (0) 20 310 280</w:t>
      </w:r>
    </w:p>
    <w:p w14:paraId="52DE9E0C" w14:textId="77777777" w:rsidR="00780B2C" w:rsidRPr="00F45A6E" w:rsidRDefault="00780B2C" w:rsidP="003A690C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fax: +382 (0) 20 310 581</w:t>
      </w:r>
      <w:r w:rsidRPr="00F45A6E">
        <w:rPr>
          <w:rFonts w:eastAsia="Calibri"/>
          <w:sz w:val="22"/>
          <w:szCs w:val="22"/>
          <w:lang w:val="sr-Latn-ME"/>
        </w:rPr>
        <w:tab/>
      </w:r>
    </w:p>
    <w:p w14:paraId="41620CCC" w14:textId="77777777" w:rsidR="00780B2C" w:rsidRPr="00F45A6E" w:rsidRDefault="004B77F0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780B2C" w:rsidRPr="00F45A6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991D12A" w14:textId="77777777" w:rsidR="00780B2C" w:rsidRPr="00F45A6E" w:rsidRDefault="004B77F0" w:rsidP="003A690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780B2C" w:rsidRPr="00F45A6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A12170B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putem IS zdravstvene zaštite</w:t>
      </w:r>
    </w:p>
    <w:p w14:paraId="430AD238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12F844A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6F2CB78" w14:textId="77777777" w:rsidR="00780B2C" w:rsidRPr="00F45A6E" w:rsidRDefault="00780B2C" w:rsidP="003A69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5A6E">
        <w:rPr>
          <w:b/>
          <w:bCs/>
          <w:noProof/>
          <w:sz w:val="22"/>
          <w:szCs w:val="22"/>
        </w:rPr>
        <w:drawing>
          <wp:inline distT="0" distB="0" distL="0" distR="0" wp14:anchorId="0B74AA77" wp14:editId="5D096EF6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20A85" w14:textId="77777777" w:rsidR="00780B2C" w:rsidRPr="00F45A6E" w:rsidRDefault="00780B2C" w:rsidP="003A690C">
      <w:pPr>
        <w:rPr>
          <w:b/>
          <w:bCs/>
          <w:szCs w:val="22"/>
          <w:lang w:val="sr-Latn-ME"/>
        </w:rPr>
      </w:pPr>
    </w:p>
    <w:p w14:paraId="4EACA70D" w14:textId="47C936A4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4.9. Predoziranje</w:t>
      </w:r>
    </w:p>
    <w:p w14:paraId="50916E0C" w14:textId="77777777" w:rsidR="00CE09F3" w:rsidRPr="00F45A6E" w:rsidRDefault="00CE09F3" w:rsidP="003A690C">
      <w:pPr>
        <w:rPr>
          <w:szCs w:val="22"/>
          <w:lang w:val="sr-Latn-ME"/>
        </w:rPr>
      </w:pPr>
    </w:p>
    <w:p w14:paraId="104A021A" w14:textId="11ECF2A4" w:rsidR="00CE09F3" w:rsidRPr="00F45A6E" w:rsidRDefault="00D86003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Postoje ograničeni podaci o </w:t>
      </w:r>
      <w:r w:rsidR="00472BCC" w:rsidRPr="00F45A6E">
        <w:rPr>
          <w:szCs w:val="22"/>
          <w:lang w:val="sr-Latn-ME"/>
        </w:rPr>
        <w:t>efektima</w:t>
      </w:r>
      <w:r w:rsidRPr="00F45A6E">
        <w:rPr>
          <w:szCs w:val="22"/>
          <w:lang w:val="sr-Latn-ME"/>
        </w:rPr>
        <w:t xml:space="preserve"> predoziranja trabektedinom. Glavne očekivane </w:t>
      </w:r>
      <w:r w:rsidR="0012681E" w:rsidRPr="00F45A6E">
        <w:rPr>
          <w:szCs w:val="22"/>
          <w:lang w:val="sr-Latn-ME"/>
        </w:rPr>
        <w:t xml:space="preserve">pojave </w:t>
      </w:r>
      <w:r w:rsidRPr="00F45A6E">
        <w:rPr>
          <w:szCs w:val="22"/>
          <w:lang w:val="sr-Latn-ME"/>
        </w:rPr>
        <w:t>toksičnosti su gastrointestinalna, supresija koštane sr</w:t>
      </w:r>
      <w:r w:rsidR="00472BCC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i i </w:t>
      </w:r>
      <w:r w:rsidR="001A0145" w:rsidRPr="00F45A6E">
        <w:rPr>
          <w:szCs w:val="22"/>
          <w:lang w:val="sr-Latn-ME"/>
        </w:rPr>
        <w:t>hepatična</w:t>
      </w:r>
      <w:r w:rsidRPr="00F45A6E">
        <w:rPr>
          <w:szCs w:val="22"/>
          <w:lang w:val="sr-Latn-ME"/>
        </w:rPr>
        <w:t xml:space="preserve"> toksičnost. Trenutno ne postoji specifični antidot za trabektedin. U slučaju predoziranja </w:t>
      </w:r>
      <w:r w:rsidR="001A0145" w:rsidRPr="00F45A6E">
        <w:rPr>
          <w:szCs w:val="22"/>
          <w:lang w:val="sr-Latn-ME"/>
        </w:rPr>
        <w:t>pacijente</w:t>
      </w:r>
      <w:r w:rsidRPr="00F45A6E">
        <w:rPr>
          <w:szCs w:val="22"/>
          <w:lang w:val="sr-Latn-ME"/>
        </w:rPr>
        <w:t xml:space="preserve"> treba </w:t>
      </w:r>
      <w:r w:rsidR="001A0145" w:rsidRPr="00F45A6E">
        <w:rPr>
          <w:szCs w:val="22"/>
          <w:lang w:val="sr-Latn-ME"/>
        </w:rPr>
        <w:t>pažljivo</w:t>
      </w:r>
      <w:r w:rsidRPr="00F45A6E">
        <w:rPr>
          <w:szCs w:val="22"/>
          <w:lang w:val="sr-Latn-ME"/>
        </w:rPr>
        <w:t xml:space="preserve"> pratiti i prema potrebi </w:t>
      </w:r>
      <w:r w:rsidR="001A0145" w:rsidRPr="00F45A6E">
        <w:rPr>
          <w:szCs w:val="22"/>
          <w:lang w:val="sr-Latn-ME"/>
        </w:rPr>
        <w:t>s</w:t>
      </w:r>
      <w:r w:rsidRPr="00F45A6E">
        <w:rPr>
          <w:szCs w:val="22"/>
          <w:lang w:val="sr-Latn-ME"/>
        </w:rPr>
        <w:t xml:space="preserve">provesti simptomatske </w:t>
      </w:r>
      <w:r w:rsidR="00EC3CA0" w:rsidRPr="00F45A6E">
        <w:rPr>
          <w:szCs w:val="22"/>
          <w:lang w:val="sr-Latn-ME"/>
        </w:rPr>
        <w:t xml:space="preserve">suportivne </w:t>
      </w:r>
      <w:r w:rsidRPr="00F45A6E">
        <w:rPr>
          <w:szCs w:val="22"/>
          <w:lang w:val="sr-Latn-ME"/>
        </w:rPr>
        <w:t>m</w:t>
      </w:r>
      <w:r w:rsidR="005E40D0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>ere.</w:t>
      </w:r>
    </w:p>
    <w:p w14:paraId="77495A0E" w14:textId="77777777" w:rsidR="00C157E6" w:rsidRPr="00F45A6E" w:rsidRDefault="00C157E6" w:rsidP="003A690C">
      <w:pPr>
        <w:rPr>
          <w:szCs w:val="22"/>
          <w:lang w:val="sr-Latn-ME"/>
        </w:rPr>
      </w:pPr>
    </w:p>
    <w:p w14:paraId="22F7ABC5" w14:textId="77777777" w:rsidR="00C157E6" w:rsidRPr="00F45A6E" w:rsidRDefault="00C157E6" w:rsidP="003A690C">
      <w:pPr>
        <w:rPr>
          <w:szCs w:val="22"/>
          <w:lang w:val="sr-Latn-ME"/>
        </w:rPr>
      </w:pPr>
    </w:p>
    <w:p w14:paraId="023F51BA" w14:textId="77777777" w:rsidR="00CE09F3" w:rsidRPr="00F45A6E" w:rsidRDefault="003A053C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5. FARMAKOLOŠKI PODACI</w:t>
      </w:r>
    </w:p>
    <w:p w14:paraId="240D6773" w14:textId="77777777" w:rsidR="00C157E6" w:rsidRPr="00F45A6E" w:rsidRDefault="00C157E6" w:rsidP="003A690C">
      <w:pPr>
        <w:rPr>
          <w:b/>
          <w:bCs/>
          <w:szCs w:val="22"/>
          <w:lang w:val="sr-Latn-ME"/>
        </w:rPr>
      </w:pPr>
    </w:p>
    <w:p w14:paraId="522EFB7A" w14:textId="12856F59" w:rsidR="00CE09F3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5.1. Farmakodinamski podaci</w:t>
      </w:r>
    </w:p>
    <w:p w14:paraId="28138513" w14:textId="77777777" w:rsidR="00D86003" w:rsidRPr="00F45A6E" w:rsidRDefault="00D86003" w:rsidP="003A690C">
      <w:pPr>
        <w:rPr>
          <w:b/>
          <w:bCs/>
          <w:szCs w:val="22"/>
          <w:lang w:val="sr-Latn-ME"/>
        </w:rPr>
      </w:pPr>
    </w:p>
    <w:p w14:paraId="4FD0A9F5" w14:textId="5AA8BE08" w:rsidR="00CF6B2A" w:rsidRPr="00F45A6E" w:rsidRDefault="003A053C" w:rsidP="003A690C">
      <w:pPr>
        <w:rPr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Farmakoterapijska grupa:</w:t>
      </w:r>
      <w:r w:rsidRPr="00F45A6E">
        <w:rPr>
          <w:szCs w:val="22"/>
          <w:lang w:val="sr-Latn-ME"/>
        </w:rPr>
        <w:t xml:space="preserve"> </w:t>
      </w:r>
      <w:r w:rsidR="00CF6B2A" w:rsidRPr="00F45A6E">
        <w:rPr>
          <w:szCs w:val="22"/>
          <w:lang w:val="sr-Latn-ME"/>
        </w:rPr>
        <w:t xml:space="preserve">Antineoplastici, </w:t>
      </w:r>
      <w:r w:rsidR="00301707" w:rsidRPr="00F45A6E">
        <w:rPr>
          <w:szCs w:val="22"/>
          <w:lang w:val="sr-Latn-ME"/>
        </w:rPr>
        <w:t>o</w:t>
      </w:r>
      <w:r w:rsidR="00CF6B2A" w:rsidRPr="00F45A6E">
        <w:rPr>
          <w:szCs w:val="22"/>
          <w:lang w:val="sr-Latn-ME"/>
        </w:rPr>
        <w:t xml:space="preserve">stali biljni alkaloidi i prirodni </w:t>
      </w:r>
      <w:r w:rsidR="003555D7" w:rsidRPr="00F45A6E">
        <w:rPr>
          <w:szCs w:val="22"/>
          <w:lang w:val="sr-Latn-ME"/>
        </w:rPr>
        <w:t>proizvodi</w:t>
      </w:r>
      <w:r w:rsidR="00301707" w:rsidRPr="00F45A6E">
        <w:rPr>
          <w:szCs w:val="22"/>
          <w:lang w:val="sr-Latn-ME"/>
        </w:rPr>
        <w:t>.</w:t>
      </w:r>
    </w:p>
    <w:p w14:paraId="538DE4A4" w14:textId="77777777" w:rsidR="00F57BCE" w:rsidRPr="00F45A6E" w:rsidRDefault="00F57BCE" w:rsidP="003A690C">
      <w:pPr>
        <w:rPr>
          <w:b/>
          <w:bCs/>
          <w:szCs w:val="22"/>
          <w:lang w:val="sr-Latn-ME"/>
        </w:rPr>
      </w:pPr>
    </w:p>
    <w:p w14:paraId="7D48F7D6" w14:textId="66688A48" w:rsidR="007E3612" w:rsidRPr="00F45A6E" w:rsidRDefault="003A053C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 xml:space="preserve">ATC </w:t>
      </w:r>
      <w:r w:rsidR="001F6524" w:rsidRPr="00F45A6E">
        <w:rPr>
          <w:b/>
          <w:bCs/>
          <w:szCs w:val="22"/>
          <w:lang w:val="sr-Latn-ME"/>
        </w:rPr>
        <w:t>kod</w:t>
      </w:r>
      <w:r w:rsidRPr="00F45A6E">
        <w:rPr>
          <w:b/>
          <w:bCs/>
          <w:szCs w:val="22"/>
          <w:lang w:val="sr-Latn-ME"/>
        </w:rPr>
        <w:t>:</w:t>
      </w:r>
      <w:r w:rsidRPr="00F45A6E">
        <w:rPr>
          <w:szCs w:val="22"/>
          <w:lang w:val="sr-Latn-ME"/>
        </w:rPr>
        <w:t xml:space="preserve"> </w:t>
      </w:r>
      <w:r w:rsidR="00CF6B2A" w:rsidRPr="00F45A6E">
        <w:rPr>
          <w:szCs w:val="22"/>
          <w:lang w:val="sr-Latn-ME"/>
        </w:rPr>
        <w:t>L01CX01</w:t>
      </w:r>
    </w:p>
    <w:p w14:paraId="7358B74A" w14:textId="77777777" w:rsidR="00CE09F3" w:rsidRPr="00F45A6E" w:rsidRDefault="003A053C" w:rsidP="003A690C">
      <w:pPr>
        <w:tabs>
          <w:tab w:val="left" w:pos="1725"/>
        </w:tabs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ab/>
      </w:r>
    </w:p>
    <w:p w14:paraId="1AF2564D" w14:textId="565CBB96" w:rsidR="007E3612" w:rsidRPr="00F45A6E" w:rsidRDefault="003A053C" w:rsidP="003A690C">
      <w:pPr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>Mehanizam dejstva</w:t>
      </w:r>
    </w:p>
    <w:p w14:paraId="044966EC" w14:textId="43F94564" w:rsidR="007E3612" w:rsidRPr="00F45A6E" w:rsidRDefault="007E64E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Trabektedin se ve</w:t>
      </w:r>
      <w:r w:rsidR="001E2A52" w:rsidRPr="00F45A6E">
        <w:rPr>
          <w:szCs w:val="22"/>
          <w:lang w:val="sr-Latn-ME"/>
        </w:rPr>
        <w:t>zuje</w:t>
      </w:r>
      <w:r w:rsidRPr="00F45A6E">
        <w:rPr>
          <w:szCs w:val="22"/>
          <w:lang w:val="sr-Latn-ME"/>
        </w:rPr>
        <w:t xml:space="preserve"> </w:t>
      </w:r>
      <w:r w:rsidR="001E2A52" w:rsidRPr="00F45A6E">
        <w:rPr>
          <w:szCs w:val="22"/>
          <w:lang w:val="sr-Latn-ME"/>
        </w:rPr>
        <w:t>z</w:t>
      </w:r>
      <w:r w:rsidRPr="00F45A6E">
        <w:rPr>
          <w:szCs w:val="22"/>
          <w:lang w:val="sr-Latn-ME"/>
        </w:rPr>
        <w:t xml:space="preserve">a manji </w:t>
      </w:r>
      <w:r w:rsidR="007837F6" w:rsidRPr="00F45A6E">
        <w:rPr>
          <w:szCs w:val="22"/>
          <w:lang w:val="sr-Latn-ME"/>
        </w:rPr>
        <w:t>žl</w:t>
      </w:r>
      <w:r w:rsidR="005E40D0" w:rsidRPr="00F45A6E">
        <w:rPr>
          <w:szCs w:val="22"/>
          <w:lang w:val="sr-Latn-ME"/>
        </w:rPr>
        <w:t>ij</w:t>
      </w:r>
      <w:r w:rsidR="007837F6" w:rsidRPr="00F45A6E">
        <w:rPr>
          <w:szCs w:val="22"/>
          <w:lang w:val="sr-Latn-ME"/>
        </w:rPr>
        <w:t>eb</w:t>
      </w:r>
      <w:r w:rsidRPr="00F45A6E">
        <w:rPr>
          <w:szCs w:val="22"/>
          <w:lang w:val="sr-Latn-ME"/>
        </w:rPr>
        <w:t xml:space="preserve"> de</w:t>
      </w:r>
      <w:r w:rsidR="007837F6" w:rsidRPr="00F45A6E">
        <w:rPr>
          <w:szCs w:val="22"/>
          <w:lang w:val="sr-Latn-ME"/>
        </w:rPr>
        <w:t>z</w:t>
      </w:r>
      <w:r w:rsidRPr="00F45A6E">
        <w:rPr>
          <w:szCs w:val="22"/>
          <w:lang w:val="sr-Latn-ME"/>
        </w:rPr>
        <w:t>oksiribonukleinske kiseline (DNK), s</w:t>
      </w:r>
      <w:r w:rsidR="007837F6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vijajući </w:t>
      </w:r>
      <w:r w:rsidR="001E2A52" w:rsidRPr="00F45A6E">
        <w:rPr>
          <w:szCs w:val="22"/>
          <w:lang w:val="sr-Latn-ME"/>
        </w:rPr>
        <w:t xml:space="preserve">heliks </w:t>
      </w:r>
      <w:r w:rsidRPr="00F45A6E">
        <w:rPr>
          <w:szCs w:val="22"/>
          <w:lang w:val="sr-Latn-ME"/>
        </w:rPr>
        <w:t xml:space="preserve">do velikog </w:t>
      </w:r>
      <w:r w:rsidR="008C0C33" w:rsidRPr="00F45A6E">
        <w:rPr>
          <w:szCs w:val="22"/>
          <w:lang w:val="sr-Latn-ME"/>
        </w:rPr>
        <w:t>žl</w:t>
      </w:r>
      <w:r w:rsidR="005E40D0" w:rsidRPr="00F45A6E">
        <w:rPr>
          <w:szCs w:val="22"/>
          <w:lang w:val="sr-Latn-ME"/>
        </w:rPr>
        <w:t>ij</w:t>
      </w:r>
      <w:r w:rsidR="008C0C33" w:rsidRPr="00F45A6E">
        <w:rPr>
          <w:szCs w:val="22"/>
          <w:lang w:val="sr-Latn-ME"/>
        </w:rPr>
        <w:t>eba</w:t>
      </w:r>
      <w:r w:rsidRPr="00F45A6E">
        <w:rPr>
          <w:szCs w:val="22"/>
          <w:lang w:val="sr-Latn-ME"/>
        </w:rPr>
        <w:t>. Vez</w:t>
      </w:r>
      <w:r w:rsidR="008C0C33" w:rsidRPr="00F45A6E">
        <w:rPr>
          <w:szCs w:val="22"/>
          <w:lang w:val="sr-Latn-ME"/>
        </w:rPr>
        <w:t>ivanje</w:t>
      </w:r>
      <w:r w:rsidRPr="00F45A6E">
        <w:rPr>
          <w:szCs w:val="22"/>
          <w:lang w:val="sr-Latn-ME"/>
        </w:rPr>
        <w:t xml:space="preserve"> </w:t>
      </w:r>
      <w:r w:rsidR="008C0C33" w:rsidRPr="00F45A6E">
        <w:rPr>
          <w:szCs w:val="22"/>
          <w:lang w:val="sr-Latn-ME"/>
        </w:rPr>
        <w:t>z</w:t>
      </w:r>
      <w:r w:rsidRPr="00F45A6E">
        <w:rPr>
          <w:szCs w:val="22"/>
          <w:lang w:val="sr-Latn-ME"/>
        </w:rPr>
        <w:t>a DNK po</w:t>
      </w:r>
      <w:r w:rsidR="008C0C33" w:rsidRPr="00F45A6E">
        <w:rPr>
          <w:szCs w:val="22"/>
          <w:lang w:val="sr-Latn-ME"/>
        </w:rPr>
        <w:t>dst</w:t>
      </w:r>
      <w:r w:rsidRPr="00F45A6E">
        <w:rPr>
          <w:szCs w:val="22"/>
          <w:lang w:val="sr-Latn-ME"/>
        </w:rPr>
        <w:t>iče niz doga</w:t>
      </w:r>
      <w:r w:rsidR="008C0C33" w:rsidRPr="00F45A6E">
        <w:rPr>
          <w:szCs w:val="22"/>
          <w:lang w:val="sr-Latn-ME"/>
        </w:rPr>
        <w:t>đ</w:t>
      </w:r>
      <w:r w:rsidRPr="00F45A6E">
        <w:rPr>
          <w:szCs w:val="22"/>
          <w:lang w:val="sr-Latn-ME"/>
        </w:rPr>
        <w:t>aja koji ut</w:t>
      </w:r>
      <w:r w:rsidR="008C0C33" w:rsidRPr="00F45A6E">
        <w:rPr>
          <w:szCs w:val="22"/>
          <w:lang w:val="sr-Latn-ME"/>
        </w:rPr>
        <w:t>iču</w:t>
      </w:r>
      <w:r w:rsidRPr="00F45A6E">
        <w:rPr>
          <w:szCs w:val="22"/>
          <w:lang w:val="sr-Latn-ME"/>
        </w:rPr>
        <w:t xml:space="preserve"> na nekoliko transkripci</w:t>
      </w:r>
      <w:r w:rsidR="00E8547E" w:rsidRPr="00F45A6E">
        <w:rPr>
          <w:szCs w:val="22"/>
          <w:lang w:val="sr-Latn-ME"/>
        </w:rPr>
        <w:t>onih</w:t>
      </w:r>
      <w:r w:rsidRPr="00F45A6E">
        <w:rPr>
          <w:szCs w:val="22"/>
          <w:lang w:val="sr-Latn-ME"/>
        </w:rPr>
        <w:t xml:space="preserve"> </w:t>
      </w:r>
      <w:r w:rsidR="008C0C33" w:rsidRPr="00F45A6E">
        <w:rPr>
          <w:szCs w:val="22"/>
          <w:lang w:val="sr-Latn-ME"/>
        </w:rPr>
        <w:t>faktora</w:t>
      </w:r>
      <w:r w:rsidRPr="00F45A6E">
        <w:rPr>
          <w:szCs w:val="22"/>
          <w:lang w:val="sr-Latn-ME"/>
        </w:rPr>
        <w:t>, proteine koji se ve</w:t>
      </w:r>
      <w:r w:rsidR="00E8547E" w:rsidRPr="00F45A6E">
        <w:rPr>
          <w:szCs w:val="22"/>
          <w:lang w:val="sr-Latn-ME"/>
        </w:rPr>
        <w:t>zuju</w:t>
      </w:r>
      <w:r w:rsidRPr="00F45A6E">
        <w:rPr>
          <w:szCs w:val="22"/>
          <w:lang w:val="sr-Latn-ME"/>
        </w:rPr>
        <w:t xml:space="preserve"> </w:t>
      </w:r>
      <w:r w:rsidR="001E2A52" w:rsidRPr="00F45A6E">
        <w:rPr>
          <w:szCs w:val="22"/>
          <w:lang w:val="sr-Latn-ME"/>
        </w:rPr>
        <w:t>z</w:t>
      </w:r>
      <w:r w:rsidRPr="00F45A6E">
        <w:rPr>
          <w:szCs w:val="22"/>
          <w:lang w:val="sr-Latn-ME"/>
        </w:rPr>
        <w:t xml:space="preserve">a DNK </w:t>
      </w:r>
      <w:r w:rsidR="00B23E2E" w:rsidRPr="00F45A6E">
        <w:rPr>
          <w:szCs w:val="22"/>
          <w:lang w:val="sr-Latn-ME"/>
        </w:rPr>
        <w:t>i</w:t>
      </w:r>
      <w:r w:rsidRPr="00F45A6E">
        <w:rPr>
          <w:szCs w:val="22"/>
          <w:lang w:val="sr-Latn-ME"/>
        </w:rPr>
        <w:t xml:space="preserve"> mehanizme popravk</w:t>
      </w:r>
      <w:r w:rsidR="00B23E2E" w:rsidRPr="00F45A6E">
        <w:rPr>
          <w:szCs w:val="22"/>
          <w:lang w:val="sr-Latn-ME"/>
        </w:rPr>
        <w:t>e</w:t>
      </w:r>
      <w:r w:rsidRPr="00F45A6E">
        <w:rPr>
          <w:szCs w:val="22"/>
          <w:lang w:val="sr-Latn-ME"/>
        </w:rPr>
        <w:t xml:space="preserve"> DNK, što sve zajedno uzrokuje poremećaje u </w:t>
      </w:r>
      <w:r w:rsidR="00B23E2E" w:rsidRPr="00F45A6E">
        <w:rPr>
          <w:szCs w:val="22"/>
          <w:lang w:val="sr-Latn-ME"/>
        </w:rPr>
        <w:t>ćelijskom</w:t>
      </w:r>
      <w:r w:rsidRPr="00F45A6E">
        <w:rPr>
          <w:szCs w:val="22"/>
          <w:lang w:val="sr-Latn-ME"/>
        </w:rPr>
        <w:t xml:space="preserve"> ciklusu.</w:t>
      </w:r>
    </w:p>
    <w:p w14:paraId="479936BD" w14:textId="77777777" w:rsidR="007E64EF" w:rsidRPr="00F45A6E" w:rsidRDefault="007E64EF" w:rsidP="003A690C">
      <w:pPr>
        <w:rPr>
          <w:szCs w:val="22"/>
          <w:lang w:val="sr-Latn-ME"/>
        </w:rPr>
      </w:pPr>
    </w:p>
    <w:p w14:paraId="46B82403" w14:textId="5A23C92B" w:rsidR="007E3612" w:rsidRPr="00F45A6E" w:rsidRDefault="003A053C" w:rsidP="003A690C">
      <w:pPr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u w:val="single"/>
          <w:lang w:val="sr-Latn-ME"/>
        </w:rPr>
        <w:t>Farmakodinamska dejstva</w:t>
      </w:r>
    </w:p>
    <w:p w14:paraId="7564DFC3" w14:textId="75158C37" w:rsidR="007E64EF" w:rsidRPr="00F45A6E" w:rsidRDefault="007E64E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Trabektedin je pokazao da po</w:t>
      </w:r>
      <w:r w:rsidR="00B23E2E" w:rsidRPr="00F45A6E">
        <w:rPr>
          <w:sz w:val="22"/>
          <w:szCs w:val="22"/>
          <w:lang w:val="sr-Latn-ME"/>
        </w:rPr>
        <w:t>dst</w:t>
      </w:r>
      <w:r w:rsidRPr="00F45A6E">
        <w:rPr>
          <w:sz w:val="22"/>
          <w:szCs w:val="22"/>
          <w:lang w:val="sr-Latn-ME"/>
        </w:rPr>
        <w:t xml:space="preserve">iče antiproliferativnu </w:t>
      </w:r>
      <w:r w:rsidRPr="00F45A6E">
        <w:rPr>
          <w:i/>
          <w:iCs/>
          <w:sz w:val="22"/>
          <w:szCs w:val="22"/>
          <w:lang w:val="sr-Latn-ME"/>
        </w:rPr>
        <w:t xml:space="preserve">in vitro </w:t>
      </w:r>
      <w:r w:rsidRPr="00F45A6E">
        <w:rPr>
          <w:sz w:val="22"/>
          <w:szCs w:val="22"/>
          <w:lang w:val="sr-Latn-ME"/>
        </w:rPr>
        <w:t xml:space="preserve">i </w:t>
      </w:r>
      <w:r w:rsidRPr="00F45A6E">
        <w:rPr>
          <w:i/>
          <w:iCs/>
          <w:sz w:val="22"/>
          <w:szCs w:val="22"/>
          <w:lang w:val="sr-Latn-ME"/>
        </w:rPr>
        <w:t xml:space="preserve">in vivo </w:t>
      </w:r>
      <w:r w:rsidRPr="00F45A6E">
        <w:rPr>
          <w:sz w:val="22"/>
          <w:szCs w:val="22"/>
          <w:lang w:val="sr-Latn-ME"/>
        </w:rPr>
        <w:t xml:space="preserve">aktivnost protiv niza </w:t>
      </w:r>
      <w:r w:rsidR="00CA6093" w:rsidRPr="00F45A6E">
        <w:rPr>
          <w:sz w:val="22"/>
          <w:szCs w:val="22"/>
          <w:lang w:val="sr-Latn-ME"/>
        </w:rPr>
        <w:t xml:space="preserve">ćelijskih </w:t>
      </w:r>
      <w:r w:rsidRPr="00F45A6E">
        <w:rPr>
          <w:sz w:val="22"/>
          <w:szCs w:val="22"/>
          <w:lang w:val="sr-Latn-ME"/>
        </w:rPr>
        <w:t>linija tumor</w:t>
      </w:r>
      <w:r w:rsidR="00CA6093" w:rsidRPr="00F45A6E">
        <w:rPr>
          <w:sz w:val="22"/>
          <w:szCs w:val="22"/>
          <w:lang w:val="sr-Latn-ME"/>
        </w:rPr>
        <w:t>a kod</w:t>
      </w:r>
      <w:r w:rsidRPr="00F45A6E">
        <w:rPr>
          <w:sz w:val="22"/>
          <w:szCs w:val="22"/>
          <w:lang w:val="sr-Latn-ME"/>
        </w:rPr>
        <w:t xml:space="preserve"> ljudi i </w:t>
      </w:r>
      <w:r w:rsidR="00CA6093" w:rsidRPr="00F45A6E">
        <w:rPr>
          <w:sz w:val="22"/>
          <w:szCs w:val="22"/>
          <w:lang w:val="sr-Latn-ME"/>
        </w:rPr>
        <w:t>eksperimentalnih</w:t>
      </w:r>
      <w:r w:rsidRPr="00F45A6E">
        <w:rPr>
          <w:sz w:val="22"/>
          <w:szCs w:val="22"/>
          <w:lang w:val="sr-Latn-ME"/>
        </w:rPr>
        <w:t xml:space="preserve"> tumora, uključujući </w:t>
      </w:r>
      <w:r w:rsidR="00CA6093" w:rsidRPr="00F45A6E">
        <w:rPr>
          <w:sz w:val="22"/>
          <w:szCs w:val="22"/>
          <w:lang w:val="sr-Latn-ME"/>
        </w:rPr>
        <w:t xml:space="preserve">maligne </w:t>
      </w:r>
      <w:r w:rsidRPr="00F45A6E">
        <w:rPr>
          <w:sz w:val="22"/>
          <w:szCs w:val="22"/>
          <w:lang w:val="sr-Latn-ME"/>
        </w:rPr>
        <w:t xml:space="preserve">bolesti poput sarkoma, </w:t>
      </w:r>
      <w:r w:rsidR="00E8547E" w:rsidRPr="00F45A6E">
        <w:rPr>
          <w:sz w:val="22"/>
          <w:szCs w:val="22"/>
          <w:lang w:val="sr-Latn-ME"/>
        </w:rPr>
        <w:t xml:space="preserve">karcinoma </w:t>
      </w:r>
      <w:r w:rsidRPr="00F45A6E">
        <w:rPr>
          <w:sz w:val="22"/>
          <w:szCs w:val="22"/>
          <w:lang w:val="sr-Latn-ME"/>
        </w:rPr>
        <w:t xml:space="preserve">dojke, </w:t>
      </w:r>
      <w:r w:rsidR="00E8547E" w:rsidRPr="00F45A6E">
        <w:rPr>
          <w:sz w:val="22"/>
          <w:szCs w:val="22"/>
          <w:lang w:val="sr-Latn-ME"/>
        </w:rPr>
        <w:t xml:space="preserve">nemikrocelularnog </w:t>
      </w:r>
      <w:r w:rsidR="00CF2B43" w:rsidRPr="00F45A6E">
        <w:rPr>
          <w:sz w:val="22"/>
          <w:szCs w:val="22"/>
          <w:lang w:val="sr-Latn-ME"/>
        </w:rPr>
        <w:t>karcinoma</w:t>
      </w:r>
      <w:r w:rsidRPr="00F45A6E">
        <w:rPr>
          <w:sz w:val="22"/>
          <w:szCs w:val="22"/>
          <w:lang w:val="sr-Latn-ME"/>
        </w:rPr>
        <w:t xml:space="preserve"> pluća, </w:t>
      </w:r>
      <w:r w:rsidR="00E8547E" w:rsidRPr="00F45A6E">
        <w:rPr>
          <w:sz w:val="22"/>
          <w:szCs w:val="22"/>
          <w:lang w:val="sr-Latn-ME"/>
        </w:rPr>
        <w:t>karcinom</w:t>
      </w:r>
      <w:r w:rsidRPr="00F45A6E">
        <w:rPr>
          <w:sz w:val="22"/>
          <w:szCs w:val="22"/>
          <w:lang w:val="sr-Latn-ME"/>
        </w:rPr>
        <w:t xml:space="preserve"> jajnika i melanoma. </w:t>
      </w:r>
    </w:p>
    <w:p w14:paraId="51CE5CFA" w14:textId="77777777" w:rsidR="00CF2B43" w:rsidRPr="00F45A6E" w:rsidRDefault="00CF2B43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9E926B0" w14:textId="553E5E3F" w:rsidR="007E64EF" w:rsidRPr="00F45A6E" w:rsidRDefault="007E64EF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Ispitivanja e</w:t>
      </w:r>
      <w:r w:rsidR="005C3738" w:rsidRPr="00F45A6E">
        <w:rPr>
          <w:sz w:val="22"/>
          <w:szCs w:val="22"/>
          <w:u w:val="single"/>
          <w:lang w:val="sr-Latn-ME"/>
        </w:rPr>
        <w:t>lek</w:t>
      </w:r>
      <w:r w:rsidRPr="00F45A6E">
        <w:rPr>
          <w:sz w:val="22"/>
          <w:szCs w:val="22"/>
          <w:u w:val="single"/>
          <w:lang w:val="sr-Latn-ME"/>
        </w:rPr>
        <w:t xml:space="preserve">trokardiograma (EKG) </w:t>
      </w:r>
    </w:p>
    <w:p w14:paraId="0555A1EB" w14:textId="01BF7B06" w:rsidR="007E3612" w:rsidRPr="00F45A6E" w:rsidRDefault="007E64EF" w:rsidP="003A690C">
      <w:pPr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lang w:val="sr-Latn-ME"/>
        </w:rPr>
        <w:t>U placebom kontroli</w:t>
      </w:r>
      <w:r w:rsidR="00E8547E" w:rsidRPr="00F45A6E">
        <w:rPr>
          <w:szCs w:val="22"/>
          <w:lang w:val="sr-Latn-ME"/>
        </w:rPr>
        <w:t>sanom</w:t>
      </w:r>
      <w:r w:rsidRPr="00F45A6E">
        <w:rPr>
          <w:szCs w:val="22"/>
          <w:lang w:val="sr-Latn-ME"/>
        </w:rPr>
        <w:t xml:space="preserve"> istra</w:t>
      </w:r>
      <w:r w:rsidR="001A1966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ivanju QT/QTc, trabektedin nije produ</w:t>
      </w:r>
      <w:r w:rsidR="001A1966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 xml:space="preserve">io QTc interval kod </w:t>
      </w:r>
      <w:r w:rsidR="001A1966" w:rsidRPr="00F45A6E">
        <w:rPr>
          <w:szCs w:val="22"/>
          <w:lang w:val="sr-Latn-ME"/>
        </w:rPr>
        <w:t xml:space="preserve">pacijenata </w:t>
      </w:r>
      <w:r w:rsidRPr="00F45A6E">
        <w:rPr>
          <w:szCs w:val="22"/>
          <w:lang w:val="sr-Latn-ME"/>
        </w:rPr>
        <w:t>s</w:t>
      </w:r>
      <w:r w:rsidR="001A1966" w:rsidRPr="00F45A6E">
        <w:rPr>
          <w:szCs w:val="22"/>
          <w:lang w:val="sr-Latn-ME"/>
        </w:rPr>
        <w:t>a</w:t>
      </w:r>
      <w:r w:rsidRPr="00F45A6E">
        <w:rPr>
          <w:szCs w:val="22"/>
          <w:lang w:val="sr-Latn-ME"/>
        </w:rPr>
        <w:t xml:space="preserve"> uznapredovalim solidnim </w:t>
      </w:r>
      <w:r w:rsidR="001A1966" w:rsidRPr="00F45A6E">
        <w:rPr>
          <w:szCs w:val="22"/>
          <w:lang w:val="sr-Latn-ME"/>
        </w:rPr>
        <w:t>malignim</w:t>
      </w:r>
      <w:r w:rsidRPr="00F45A6E">
        <w:rPr>
          <w:szCs w:val="22"/>
          <w:lang w:val="sr-Latn-ME"/>
        </w:rPr>
        <w:t xml:space="preserve"> bolestima.</w:t>
      </w:r>
    </w:p>
    <w:p w14:paraId="41D25C67" w14:textId="77777777" w:rsidR="007E64EF" w:rsidRPr="00F45A6E" w:rsidRDefault="007E64EF" w:rsidP="003A690C">
      <w:pPr>
        <w:autoSpaceDE w:val="0"/>
        <w:autoSpaceDN w:val="0"/>
        <w:adjustRightInd w:val="0"/>
        <w:rPr>
          <w:szCs w:val="22"/>
          <w:lang w:val="sr-Latn-ME"/>
        </w:rPr>
      </w:pPr>
    </w:p>
    <w:p w14:paraId="1F80C079" w14:textId="54B271D9" w:rsidR="007E3612" w:rsidRPr="00F45A6E" w:rsidRDefault="003A053C" w:rsidP="003A690C">
      <w:pPr>
        <w:autoSpaceDE w:val="0"/>
        <w:autoSpaceDN w:val="0"/>
        <w:adjustRightInd w:val="0"/>
        <w:rPr>
          <w:szCs w:val="22"/>
          <w:lang w:val="sr-Latn-ME"/>
        </w:rPr>
      </w:pPr>
      <w:r w:rsidRPr="00F45A6E">
        <w:rPr>
          <w:szCs w:val="22"/>
          <w:u w:val="single"/>
          <w:lang w:val="sr-Latn-ME"/>
        </w:rPr>
        <w:lastRenderedPageBreak/>
        <w:t>Klinička efikasnost i bezb</w:t>
      </w:r>
      <w:r w:rsidR="001F6524" w:rsidRPr="00F45A6E">
        <w:rPr>
          <w:szCs w:val="22"/>
          <w:u w:val="single"/>
          <w:lang w:val="sr-Latn-ME"/>
        </w:rPr>
        <w:t>j</w:t>
      </w:r>
      <w:r w:rsidRPr="00F45A6E">
        <w:rPr>
          <w:szCs w:val="22"/>
          <w:u w:val="single"/>
          <w:lang w:val="sr-Latn-ME"/>
        </w:rPr>
        <w:t>ednost</w:t>
      </w:r>
    </w:p>
    <w:p w14:paraId="7575B47A" w14:textId="1D04E195" w:rsidR="000F0F4D" w:rsidRPr="00F45A6E" w:rsidRDefault="007E5FE7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Efikasnost i bezb</w:t>
      </w:r>
      <w:r w:rsidR="005E40D0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ednost</w:t>
      </w:r>
      <w:r w:rsidR="000F0F4D" w:rsidRPr="00F45A6E">
        <w:rPr>
          <w:sz w:val="22"/>
          <w:szCs w:val="22"/>
          <w:lang w:val="sr-Latn-ME"/>
        </w:rPr>
        <w:t xml:space="preserve"> prim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 xml:space="preserve">ene trabektedina </w:t>
      </w:r>
      <w:r w:rsidRPr="00F45A6E">
        <w:rPr>
          <w:sz w:val="22"/>
          <w:szCs w:val="22"/>
          <w:lang w:val="sr-Latn-ME"/>
        </w:rPr>
        <w:t>kod</w:t>
      </w:r>
      <w:r w:rsidR="000F0F4D" w:rsidRPr="00F45A6E">
        <w:rPr>
          <w:sz w:val="22"/>
          <w:szCs w:val="22"/>
          <w:lang w:val="sr-Latn-ME"/>
        </w:rPr>
        <w:t xml:space="preserve"> sarkom</w:t>
      </w:r>
      <w:r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mekih tkiva temelje se na randomiz</w:t>
      </w:r>
      <w:r w:rsidRPr="00F45A6E">
        <w:rPr>
          <w:sz w:val="22"/>
          <w:szCs w:val="22"/>
          <w:lang w:val="sr-Latn-ME"/>
        </w:rPr>
        <w:t>ov</w:t>
      </w:r>
      <w:r w:rsidR="000F0F4D" w:rsidRPr="00F45A6E">
        <w:rPr>
          <w:sz w:val="22"/>
          <w:szCs w:val="22"/>
          <w:lang w:val="sr-Latn-ME"/>
        </w:rPr>
        <w:t xml:space="preserve">anom ispitivanju kod </w:t>
      </w:r>
      <w:r w:rsidRPr="00F45A6E">
        <w:rPr>
          <w:sz w:val="22"/>
          <w:szCs w:val="22"/>
          <w:lang w:val="sr-Latn-ME"/>
        </w:rPr>
        <w:t>pacijenata</w:t>
      </w:r>
      <w:r w:rsidR="000F0F4D" w:rsidRPr="00F45A6E">
        <w:rPr>
          <w:sz w:val="22"/>
          <w:szCs w:val="22"/>
          <w:lang w:val="sr-Latn-ME"/>
        </w:rPr>
        <w:t xml:space="preserve"> s</w:t>
      </w:r>
      <w:r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lokalno uznapredovalim ili metastatskim liposarkomom ili le</w:t>
      </w:r>
      <w:r w:rsidR="00505B97" w:rsidRPr="00F45A6E">
        <w:rPr>
          <w:sz w:val="22"/>
          <w:szCs w:val="22"/>
          <w:lang w:val="sr-Latn-ME"/>
        </w:rPr>
        <w:t>i</w:t>
      </w:r>
      <w:r w:rsidR="000F0F4D" w:rsidRPr="00F45A6E">
        <w:rPr>
          <w:sz w:val="22"/>
          <w:szCs w:val="22"/>
          <w:lang w:val="sr-Latn-ME"/>
        </w:rPr>
        <w:t xml:space="preserve">omiosarkomom, čija je bolest napredovala ili se ponovo pojavila nakon </w:t>
      </w:r>
      <w:r w:rsidR="00031EC5" w:rsidRPr="00F45A6E">
        <w:rPr>
          <w:sz w:val="22"/>
          <w:szCs w:val="22"/>
          <w:lang w:val="sr-Latn-ME"/>
        </w:rPr>
        <w:t>liječenj</w:t>
      </w:r>
      <w:r w:rsidR="000F0F4D" w:rsidRPr="00F45A6E">
        <w:rPr>
          <w:sz w:val="22"/>
          <w:szCs w:val="22"/>
          <w:lang w:val="sr-Latn-ME"/>
        </w:rPr>
        <w:t>a barem s</w:t>
      </w:r>
      <w:r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anatraciklinima i ifosfamidom. U ovom ispitivanju trabektedin se prim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 xml:space="preserve">enjivao ili </w:t>
      </w:r>
      <w:r w:rsidR="008C79C0" w:rsidRPr="00F45A6E">
        <w:rPr>
          <w:sz w:val="22"/>
          <w:szCs w:val="22"/>
          <w:lang w:val="sr-Latn-ME"/>
        </w:rPr>
        <w:t>u</w:t>
      </w:r>
      <w:r w:rsidR="000F0F4D" w:rsidRPr="00F45A6E">
        <w:rPr>
          <w:sz w:val="22"/>
          <w:szCs w:val="22"/>
          <w:lang w:val="sr-Latn-ME"/>
        </w:rPr>
        <w:t xml:space="preserve"> dozi od 1,5 mg/m</w:t>
      </w:r>
      <w:r w:rsidR="000F0F4D" w:rsidRPr="00F45A6E">
        <w:rPr>
          <w:sz w:val="22"/>
          <w:szCs w:val="22"/>
          <w:vertAlign w:val="superscript"/>
          <w:lang w:val="sr-Latn-ME"/>
        </w:rPr>
        <w:t>2</w:t>
      </w:r>
      <w:r w:rsidR="008C79C0" w:rsidRPr="00F45A6E">
        <w:rPr>
          <w:sz w:val="22"/>
          <w:szCs w:val="22"/>
          <w:lang w:val="sr-Latn-ME"/>
        </w:rPr>
        <w:t xml:space="preserve"> </w:t>
      </w:r>
      <w:r w:rsidR="000F0F4D" w:rsidRPr="00F45A6E">
        <w:rPr>
          <w:sz w:val="22"/>
          <w:szCs w:val="22"/>
          <w:lang w:val="sr-Latn-ME"/>
        </w:rPr>
        <w:t>kao 24-satna intravenska infuzija svak</w:t>
      </w:r>
      <w:r w:rsidR="00586AB2" w:rsidRPr="00F45A6E">
        <w:rPr>
          <w:sz w:val="22"/>
          <w:szCs w:val="22"/>
          <w:lang w:val="sr-Latn-ME"/>
        </w:rPr>
        <w:t>e</w:t>
      </w:r>
      <w:r w:rsidR="000F0F4D" w:rsidRPr="00F45A6E">
        <w:rPr>
          <w:sz w:val="22"/>
          <w:szCs w:val="22"/>
          <w:lang w:val="sr-Latn-ME"/>
        </w:rPr>
        <w:t xml:space="preserve"> 3 </w:t>
      </w:r>
      <w:r w:rsidR="00586AB2" w:rsidRPr="00F45A6E">
        <w:rPr>
          <w:sz w:val="22"/>
          <w:szCs w:val="22"/>
          <w:lang w:val="sr-Latn-ME"/>
        </w:rPr>
        <w:t>nedelje</w:t>
      </w:r>
      <w:r w:rsidR="000F0F4D" w:rsidRPr="00F45A6E">
        <w:rPr>
          <w:sz w:val="22"/>
          <w:szCs w:val="22"/>
          <w:lang w:val="sr-Latn-ME"/>
        </w:rPr>
        <w:t xml:space="preserve"> ili </w:t>
      </w:r>
      <w:r w:rsidR="00586AB2" w:rsidRPr="00F45A6E">
        <w:rPr>
          <w:sz w:val="22"/>
          <w:szCs w:val="22"/>
          <w:lang w:val="sr-Latn-ME"/>
        </w:rPr>
        <w:t xml:space="preserve">u </w:t>
      </w:r>
      <w:r w:rsidR="000F0F4D" w:rsidRPr="00F45A6E">
        <w:rPr>
          <w:sz w:val="22"/>
          <w:szCs w:val="22"/>
          <w:lang w:val="sr-Latn-ME"/>
        </w:rPr>
        <w:t>dozi od 0,58 mg/m</w:t>
      </w:r>
      <w:r w:rsidR="000F0F4D" w:rsidRPr="00F45A6E">
        <w:rPr>
          <w:sz w:val="22"/>
          <w:szCs w:val="22"/>
          <w:vertAlign w:val="superscript"/>
          <w:lang w:val="sr-Latn-ME"/>
        </w:rPr>
        <w:t>2</w:t>
      </w:r>
      <w:r w:rsidR="000F0F4D" w:rsidRPr="00F45A6E">
        <w:rPr>
          <w:sz w:val="22"/>
          <w:szCs w:val="22"/>
          <w:lang w:val="sr-Latn-ME"/>
        </w:rPr>
        <w:t xml:space="preserve"> </w:t>
      </w:r>
      <w:r w:rsidR="00586AB2" w:rsidRPr="00F45A6E">
        <w:rPr>
          <w:sz w:val="22"/>
          <w:szCs w:val="22"/>
          <w:lang w:val="sr-Latn-ME"/>
        </w:rPr>
        <w:t>nedeljno</w:t>
      </w:r>
      <w:r w:rsidR="000F0F4D" w:rsidRPr="00F45A6E">
        <w:rPr>
          <w:sz w:val="22"/>
          <w:szCs w:val="22"/>
          <w:lang w:val="sr-Latn-ME"/>
        </w:rPr>
        <w:t xml:space="preserve"> kao intravenska infuzija</w:t>
      </w:r>
      <w:r w:rsidR="00065749" w:rsidRPr="00F45A6E">
        <w:rPr>
          <w:sz w:val="22"/>
          <w:szCs w:val="22"/>
          <w:lang w:val="sr-Latn-ME"/>
        </w:rPr>
        <w:t xml:space="preserve"> koja traje tri sata</w:t>
      </w:r>
      <w:r w:rsidR="000F0F4D" w:rsidRPr="00F45A6E">
        <w:rPr>
          <w:sz w:val="22"/>
          <w:szCs w:val="22"/>
          <w:lang w:val="sr-Latn-ME"/>
        </w:rPr>
        <w:t xml:space="preserve"> t</w:t>
      </w:r>
      <w:r w:rsidR="00586AB2" w:rsidRPr="00F45A6E">
        <w:rPr>
          <w:sz w:val="22"/>
          <w:szCs w:val="22"/>
          <w:lang w:val="sr-Latn-ME"/>
        </w:rPr>
        <w:t>o</w:t>
      </w:r>
      <w:r w:rsidR="000F0F4D" w:rsidRPr="00F45A6E">
        <w:rPr>
          <w:sz w:val="22"/>
          <w:szCs w:val="22"/>
          <w:lang w:val="sr-Latn-ME"/>
        </w:rPr>
        <w:t xml:space="preserve">kom 3 </w:t>
      </w:r>
      <w:r w:rsidR="00586AB2" w:rsidRPr="00F45A6E">
        <w:rPr>
          <w:sz w:val="22"/>
          <w:szCs w:val="22"/>
          <w:lang w:val="sr-Latn-ME"/>
        </w:rPr>
        <w:t xml:space="preserve">nedelje </w:t>
      </w:r>
      <w:r w:rsidR="000F0F4D" w:rsidRPr="00F45A6E">
        <w:rPr>
          <w:sz w:val="22"/>
          <w:szCs w:val="22"/>
          <w:lang w:val="sr-Latn-ME"/>
        </w:rPr>
        <w:t xml:space="preserve">u ciklusu od 4 </w:t>
      </w:r>
      <w:r w:rsidR="00586AB2" w:rsidRPr="00F45A6E">
        <w:rPr>
          <w:sz w:val="22"/>
          <w:szCs w:val="22"/>
          <w:lang w:val="sr-Latn-ME"/>
        </w:rPr>
        <w:t>nedelje</w:t>
      </w:r>
      <w:r w:rsidR="000F0F4D" w:rsidRPr="00F45A6E">
        <w:rPr>
          <w:sz w:val="22"/>
          <w:szCs w:val="22"/>
          <w:lang w:val="sr-Latn-ME"/>
        </w:rPr>
        <w:t>. Analiza protokol-specifičnog finalnog vr</w:t>
      </w:r>
      <w:r w:rsidR="004446FE" w:rsidRPr="00F45A6E">
        <w:rPr>
          <w:sz w:val="22"/>
          <w:szCs w:val="22"/>
          <w:lang w:val="sr-Latn-ME"/>
        </w:rPr>
        <w:t>ij</w:t>
      </w:r>
      <w:r w:rsidR="000F0F4D" w:rsidRPr="00F45A6E">
        <w:rPr>
          <w:sz w:val="22"/>
          <w:szCs w:val="22"/>
          <w:lang w:val="sr-Latn-ME"/>
        </w:rPr>
        <w:t xml:space="preserve">emena do progresije bolesti (TTP, engl. </w:t>
      </w:r>
      <w:r w:rsidR="000F0F4D" w:rsidRPr="00F45A6E">
        <w:rPr>
          <w:i/>
          <w:iCs/>
          <w:sz w:val="22"/>
          <w:szCs w:val="22"/>
          <w:lang w:val="sr-Latn-ME"/>
        </w:rPr>
        <w:t>Time to progression</w:t>
      </w:r>
      <w:r w:rsidR="000F0F4D" w:rsidRPr="00F45A6E">
        <w:rPr>
          <w:sz w:val="22"/>
          <w:szCs w:val="22"/>
          <w:lang w:val="sr-Latn-ME"/>
        </w:rPr>
        <w:t xml:space="preserve">) pokazala je smanjenje relativnog rizika od progresije bolesti za </w:t>
      </w:r>
      <w:r w:rsidR="00CD5296" w:rsidRPr="00F45A6E">
        <w:rPr>
          <w:sz w:val="22"/>
          <w:szCs w:val="22"/>
          <w:lang w:val="sr-Latn-ME"/>
        </w:rPr>
        <w:t>pacijente</w:t>
      </w:r>
      <w:r w:rsidR="000F0F4D" w:rsidRPr="00F45A6E">
        <w:rPr>
          <w:sz w:val="22"/>
          <w:szCs w:val="22"/>
          <w:lang w:val="sr-Latn-ME"/>
        </w:rPr>
        <w:t xml:space="preserve"> l</w:t>
      </w:r>
      <w:r w:rsidR="005E40D0" w:rsidRPr="00F45A6E">
        <w:rPr>
          <w:sz w:val="22"/>
          <w:szCs w:val="22"/>
          <w:lang w:val="sr-Latn-ME"/>
        </w:rPr>
        <w:t>ij</w:t>
      </w:r>
      <w:r w:rsidR="000F0F4D" w:rsidRPr="00F45A6E">
        <w:rPr>
          <w:sz w:val="22"/>
          <w:szCs w:val="22"/>
          <w:lang w:val="sr-Latn-ME"/>
        </w:rPr>
        <w:t xml:space="preserve">ečene u </w:t>
      </w:r>
      <w:r w:rsidR="00F036AD" w:rsidRPr="00F45A6E">
        <w:rPr>
          <w:sz w:val="22"/>
          <w:szCs w:val="22"/>
          <w:lang w:val="sr-Latn-ME"/>
        </w:rPr>
        <w:t>grup</w:t>
      </w:r>
      <w:r w:rsidR="000F0F4D" w:rsidRPr="00F45A6E">
        <w:rPr>
          <w:sz w:val="22"/>
          <w:szCs w:val="22"/>
          <w:lang w:val="sr-Latn-ME"/>
        </w:rPr>
        <w:t>i od 24 sata svak</w:t>
      </w:r>
      <w:r w:rsidR="00F036AD" w:rsidRPr="00F45A6E">
        <w:rPr>
          <w:sz w:val="22"/>
          <w:szCs w:val="22"/>
          <w:lang w:val="sr-Latn-ME"/>
        </w:rPr>
        <w:t>e</w:t>
      </w:r>
      <w:r w:rsidR="000F0F4D" w:rsidRPr="00F45A6E">
        <w:rPr>
          <w:sz w:val="22"/>
          <w:szCs w:val="22"/>
          <w:lang w:val="sr-Latn-ME"/>
        </w:rPr>
        <w:t xml:space="preserve"> 3 </w:t>
      </w:r>
      <w:r w:rsidR="00F036AD" w:rsidRPr="00F45A6E">
        <w:rPr>
          <w:sz w:val="22"/>
          <w:szCs w:val="22"/>
          <w:lang w:val="sr-Latn-ME"/>
        </w:rPr>
        <w:t>nedelje</w:t>
      </w:r>
      <w:r w:rsidR="000F0F4D" w:rsidRPr="00F45A6E">
        <w:rPr>
          <w:sz w:val="22"/>
          <w:szCs w:val="22"/>
          <w:lang w:val="sr-Latn-ME"/>
        </w:rPr>
        <w:t xml:space="preserve"> od 26,6</w:t>
      </w:r>
      <w:r w:rsidR="00C157E6" w:rsidRPr="00F45A6E">
        <w:rPr>
          <w:sz w:val="22"/>
          <w:szCs w:val="22"/>
          <w:lang w:val="sr-Latn-ME"/>
        </w:rPr>
        <w:t>%</w:t>
      </w:r>
      <w:r w:rsidR="000F0F4D" w:rsidRPr="00F45A6E">
        <w:rPr>
          <w:sz w:val="22"/>
          <w:szCs w:val="22"/>
          <w:lang w:val="sr-Latn-ME"/>
        </w:rPr>
        <w:t xml:space="preserve"> [O</w:t>
      </w:r>
      <w:r w:rsidR="009D1C0B" w:rsidRPr="00F45A6E">
        <w:rPr>
          <w:sz w:val="22"/>
          <w:szCs w:val="22"/>
          <w:lang w:val="sr-Latn-ME"/>
        </w:rPr>
        <w:t>dnos</w:t>
      </w:r>
      <w:r w:rsidR="000F0F4D" w:rsidRPr="00F45A6E">
        <w:rPr>
          <w:sz w:val="22"/>
          <w:szCs w:val="22"/>
          <w:lang w:val="sr-Latn-ME"/>
        </w:rPr>
        <w:t xml:space="preserve"> </w:t>
      </w:r>
      <w:r w:rsidR="00505B97" w:rsidRPr="00F45A6E">
        <w:rPr>
          <w:sz w:val="22"/>
          <w:szCs w:val="22"/>
          <w:lang w:val="sr-Latn-ME"/>
        </w:rPr>
        <w:t xml:space="preserve">rizika </w:t>
      </w:r>
      <w:r w:rsidR="000F0F4D" w:rsidRPr="00F45A6E">
        <w:rPr>
          <w:sz w:val="22"/>
          <w:szCs w:val="22"/>
          <w:lang w:val="sr-Latn-ME"/>
        </w:rPr>
        <w:t xml:space="preserve">(HR, engl. </w:t>
      </w:r>
      <w:r w:rsidR="000F0F4D" w:rsidRPr="00F45A6E">
        <w:rPr>
          <w:i/>
          <w:iCs/>
          <w:sz w:val="22"/>
          <w:szCs w:val="22"/>
          <w:lang w:val="sr-Latn-ME"/>
        </w:rPr>
        <w:t>Hazard Ratio</w:t>
      </w:r>
      <w:r w:rsidR="000F0F4D" w:rsidRPr="00F45A6E">
        <w:rPr>
          <w:sz w:val="22"/>
          <w:szCs w:val="22"/>
          <w:lang w:val="sr-Latn-ME"/>
        </w:rPr>
        <w:t xml:space="preserve">) = 0,734, interval </w:t>
      </w:r>
      <w:r w:rsidR="00505B97" w:rsidRPr="00F45A6E">
        <w:rPr>
          <w:sz w:val="22"/>
          <w:szCs w:val="22"/>
          <w:lang w:val="sr-Latn-ME"/>
        </w:rPr>
        <w:t xml:space="preserve">pouzdanosti </w:t>
      </w:r>
      <w:r w:rsidR="000F0F4D" w:rsidRPr="00F45A6E">
        <w:rPr>
          <w:sz w:val="22"/>
          <w:szCs w:val="22"/>
          <w:lang w:val="sr-Latn-ME"/>
        </w:rPr>
        <w:t xml:space="preserve">(CI, engl. </w:t>
      </w:r>
      <w:r w:rsidR="000F0F4D" w:rsidRPr="00F45A6E">
        <w:rPr>
          <w:i/>
          <w:iCs/>
          <w:sz w:val="22"/>
          <w:szCs w:val="22"/>
          <w:lang w:val="sr-Latn-ME"/>
        </w:rPr>
        <w:t>Confidence Interval</w:t>
      </w:r>
      <w:r w:rsidR="000F0F4D" w:rsidRPr="00F45A6E">
        <w:rPr>
          <w:sz w:val="22"/>
          <w:szCs w:val="22"/>
          <w:lang w:val="sr-Latn-ME"/>
        </w:rPr>
        <w:t>): 0,554</w:t>
      </w:r>
      <w:r w:rsidR="006463FD" w:rsidRPr="00F45A6E">
        <w:rPr>
          <w:sz w:val="22"/>
          <w:szCs w:val="22"/>
          <w:lang w:val="sr-Latn-ME"/>
        </w:rPr>
        <w:t>-</w:t>
      </w:r>
      <w:r w:rsidR="000F0F4D" w:rsidRPr="00F45A6E">
        <w:rPr>
          <w:sz w:val="22"/>
          <w:szCs w:val="22"/>
          <w:lang w:val="sr-Latn-ME"/>
        </w:rPr>
        <w:t>0,974]. Medijan</w:t>
      </w:r>
      <w:r w:rsidR="001C0617"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TTP </w:t>
      </w:r>
      <w:r w:rsidR="008C26C1" w:rsidRPr="00F45A6E">
        <w:rPr>
          <w:sz w:val="22"/>
          <w:szCs w:val="22"/>
          <w:lang w:val="sr-Latn-ME"/>
        </w:rPr>
        <w:t>vrijednost</w:t>
      </w:r>
      <w:r w:rsidR="000F0F4D" w:rsidRPr="00F45A6E">
        <w:rPr>
          <w:sz w:val="22"/>
          <w:szCs w:val="22"/>
          <w:lang w:val="sr-Latn-ME"/>
        </w:rPr>
        <w:t>i iznosi</w:t>
      </w:r>
      <w:r w:rsidR="001C0617" w:rsidRPr="00F45A6E">
        <w:rPr>
          <w:sz w:val="22"/>
          <w:szCs w:val="22"/>
          <w:lang w:val="sr-Latn-ME"/>
        </w:rPr>
        <w:t>la</w:t>
      </w:r>
      <w:r w:rsidR="000F0F4D" w:rsidRPr="00F45A6E">
        <w:rPr>
          <w:sz w:val="22"/>
          <w:szCs w:val="22"/>
          <w:lang w:val="sr-Latn-ME"/>
        </w:rPr>
        <w:t xml:space="preserve"> je 3,7 m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>eseci (CI: 2,1</w:t>
      </w:r>
      <w:r w:rsidR="006463FD" w:rsidRPr="00F45A6E">
        <w:rPr>
          <w:sz w:val="22"/>
          <w:szCs w:val="22"/>
          <w:lang w:val="sr-Latn-ME"/>
        </w:rPr>
        <w:t>-</w:t>
      </w:r>
      <w:r w:rsidR="000F0F4D" w:rsidRPr="00F45A6E">
        <w:rPr>
          <w:sz w:val="22"/>
          <w:szCs w:val="22"/>
          <w:lang w:val="sr-Latn-ME"/>
        </w:rPr>
        <w:t xml:space="preserve">5,4 m) u </w:t>
      </w:r>
      <w:r w:rsidR="00535F02" w:rsidRPr="00F45A6E">
        <w:rPr>
          <w:sz w:val="22"/>
          <w:szCs w:val="22"/>
          <w:lang w:val="sr-Latn-ME"/>
        </w:rPr>
        <w:t>grupi</w:t>
      </w:r>
      <w:r w:rsidR="000F0F4D" w:rsidRPr="00F45A6E">
        <w:rPr>
          <w:sz w:val="22"/>
          <w:szCs w:val="22"/>
          <w:lang w:val="sr-Latn-ME"/>
        </w:rPr>
        <w:t xml:space="preserve"> l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 xml:space="preserve">ečenoj primanjem </w:t>
      </w:r>
      <w:r w:rsidR="005C3738" w:rsidRPr="00F45A6E">
        <w:rPr>
          <w:sz w:val="22"/>
          <w:szCs w:val="22"/>
          <w:lang w:val="sr-Latn-ME"/>
        </w:rPr>
        <w:t>lijek</w:t>
      </w:r>
      <w:r w:rsidR="000F0F4D" w:rsidRPr="00F45A6E">
        <w:rPr>
          <w:sz w:val="22"/>
          <w:szCs w:val="22"/>
          <w:lang w:val="sr-Latn-ME"/>
        </w:rPr>
        <w:t>a 24 sata svak</w:t>
      </w:r>
      <w:r w:rsidR="00535F02" w:rsidRPr="00F45A6E">
        <w:rPr>
          <w:sz w:val="22"/>
          <w:szCs w:val="22"/>
          <w:lang w:val="sr-Latn-ME"/>
        </w:rPr>
        <w:t>e</w:t>
      </w:r>
      <w:r w:rsidR="000F0F4D" w:rsidRPr="00F45A6E">
        <w:rPr>
          <w:sz w:val="22"/>
          <w:szCs w:val="22"/>
          <w:lang w:val="sr-Latn-ME"/>
        </w:rPr>
        <w:t xml:space="preserve"> 3 </w:t>
      </w:r>
      <w:r w:rsidR="00535F02" w:rsidRPr="00F45A6E">
        <w:rPr>
          <w:sz w:val="22"/>
          <w:szCs w:val="22"/>
          <w:lang w:val="sr-Latn-ME"/>
        </w:rPr>
        <w:t>nedelje</w:t>
      </w:r>
      <w:r w:rsidR="000F0F4D" w:rsidRPr="00F45A6E">
        <w:rPr>
          <w:sz w:val="22"/>
          <w:szCs w:val="22"/>
          <w:lang w:val="sr-Latn-ME"/>
        </w:rPr>
        <w:t xml:space="preserve"> </w:t>
      </w:r>
      <w:r w:rsidR="00535F02" w:rsidRPr="00F45A6E">
        <w:rPr>
          <w:sz w:val="22"/>
          <w:szCs w:val="22"/>
          <w:lang w:val="sr-Latn-ME"/>
        </w:rPr>
        <w:t>i</w:t>
      </w:r>
      <w:r w:rsidR="000F0F4D" w:rsidRPr="00F45A6E">
        <w:rPr>
          <w:sz w:val="22"/>
          <w:szCs w:val="22"/>
          <w:lang w:val="sr-Latn-ME"/>
        </w:rPr>
        <w:t xml:space="preserve"> 2,3 m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>eseca (CI: 2,0</w:t>
      </w:r>
      <w:r w:rsidR="006463FD" w:rsidRPr="00F45A6E">
        <w:rPr>
          <w:sz w:val="22"/>
          <w:szCs w:val="22"/>
          <w:lang w:val="sr-Latn-ME"/>
        </w:rPr>
        <w:t>-</w:t>
      </w:r>
      <w:r w:rsidR="000F0F4D" w:rsidRPr="00F45A6E">
        <w:rPr>
          <w:sz w:val="22"/>
          <w:szCs w:val="22"/>
          <w:lang w:val="sr-Latn-ME"/>
        </w:rPr>
        <w:t xml:space="preserve">3,5 m) u </w:t>
      </w:r>
      <w:r w:rsidR="00060BC2" w:rsidRPr="00F45A6E">
        <w:rPr>
          <w:sz w:val="22"/>
          <w:szCs w:val="22"/>
          <w:lang w:val="sr-Latn-ME"/>
        </w:rPr>
        <w:t>grup</w:t>
      </w:r>
      <w:r w:rsidR="000F0F4D" w:rsidRPr="00F45A6E">
        <w:rPr>
          <w:sz w:val="22"/>
          <w:szCs w:val="22"/>
          <w:lang w:val="sr-Latn-ME"/>
        </w:rPr>
        <w:t xml:space="preserve">i koja je primala </w:t>
      </w:r>
      <w:r w:rsidR="005C3738" w:rsidRPr="00F45A6E">
        <w:rPr>
          <w:sz w:val="22"/>
          <w:szCs w:val="22"/>
          <w:lang w:val="sr-Latn-ME"/>
        </w:rPr>
        <w:t>lijek</w:t>
      </w:r>
      <w:r w:rsidR="000F0F4D" w:rsidRPr="00F45A6E">
        <w:rPr>
          <w:sz w:val="22"/>
          <w:szCs w:val="22"/>
          <w:lang w:val="sr-Latn-ME"/>
        </w:rPr>
        <w:t xml:space="preserve"> 3 sata sva</w:t>
      </w:r>
      <w:r w:rsidR="00060BC2" w:rsidRPr="00F45A6E">
        <w:rPr>
          <w:sz w:val="22"/>
          <w:szCs w:val="22"/>
          <w:lang w:val="sr-Latn-ME"/>
        </w:rPr>
        <w:t xml:space="preserve">ke nedelje </w:t>
      </w:r>
      <w:r w:rsidR="000F0F4D" w:rsidRPr="00F45A6E">
        <w:rPr>
          <w:sz w:val="22"/>
          <w:szCs w:val="22"/>
          <w:lang w:val="sr-Latn-ME"/>
        </w:rPr>
        <w:t xml:space="preserve">(p = 0,0302). </w:t>
      </w:r>
      <w:r w:rsidR="00594550" w:rsidRPr="00F45A6E">
        <w:rPr>
          <w:sz w:val="22"/>
          <w:szCs w:val="22"/>
          <w:lang w:val="sr-Latn-ME"/>
        </w:rPr>
        <w:t>Nijesu</w:t>
      </w:r>
      <w:r w:rsidR="000F0F4D" w:rsidRPr="00F45A6E">
        <w:rPr>
          <w:sz w:val="22"/>
          <w:szCs w:val="22"/>
          <w:lang w:val="sr-Latn-ME"/>
        </w:rPr>
        <w:t xml:space="preserve"> zab</w:t>
      </w:r>
      <w:r w:rsidR="004956E3" w:rsidRPr="00F45A6E">
        <w:rPr>
          <w:sz w:val="22"/>
          <w:szCs w:val="22"/>
          <w:lang w:val="sr-Latn-ME"/>
        </w:rPr>
        <w:t>el</w:t>
      </w:r>
      <w:r w:rsidR="000F0F4D" w:rsidRPr="00F45A6E">
        <w:rPr>
          <w:sz w:val="22"/>
          <w:szCs w:val="22"/>
          <w:lang w:val="sr-Latn-ME"/>
        </w:rPr>
        <w:t>e</w:t>
      </w:r>
      <w:r w:rsidR="004956E3" w:rsidRPr="00F45A6E">
        <w:rPr>
          <w:sz w:val="22"/>
          <w:szCs w:val="22"/>
          <w:lang w:val="sr-Latn-ME"/>
        </w:rPr>
        <w:t>ž</w:t>
      </w:r>
      <w:r w:rsidR="000F0F4D" w:rsidRPr="00F45A6E">
        <w:rPr>
          <w:sz w:val="22"/>
          <w:szCs w:val="22"/>
          <w:lang w:val="sr-Latn-ME"/>
        </w:rPr>
        <w:t>ene znatnije razlike u ukupnom pre</w:t>
      </w:r>
      <w:r w:rsidR="004956E3" w:rsidRPr="00F45A6E">
        <w:rPr>
          <w:sz w:val="22"/>
          <w:szCs w:val="22"/>
          <w:lang w:val="sr-Latn-ME"/>
        </w:rPr>
        <w:t>ž</w:t>
      </w:r>
      <w:r w:rsidR="000F0F4D" w:rsidRPr="00F45A6E">
        <w:rPr>
          <w:sz w:val="22"/>
          <w:szCs w:val="22"/>
          <w:lang w:val="sr-Latn-ME"/>
        </w:rPr>
        <w:t xml:space="preserve">ivljavanju (OS, engl. </w:t>
      </w:r>
      <w:r w:rsidR="000F0F4D" w:rsidRPr="00F45A6E">
        <w:rPr>
          <w:i/>
          <w:iCs/>
          <w:sz w:val="22"/>
          <w:szCs w:val="22"/>
          <w:lang w:val="sr-Latn-ME"/>
        </w:rPr>
        <w:t>Overall survival</w:t>
      </w:r>
      <w:r w:rsidR="000F0F4D" w:rsidRPr="00F45A6E">
        <w:rPr>
          <w:sz w:val="22"/>
          <w:szCs w:val="22"/>
          <w:lang w:val="sr-Latn-ME"/>
        </w:rPr>
        <w:t>). Medijan</w:t>
      </w:r>
      <w:r w:rsidR="004956E3"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OS s</w:t>
      </w:r>
      <w:r w:rsidR="004956E3" w:rsidRPr="00F45A6E">
        <w:rPr>
          <w:sz w:val="22"/>
          <w:szCs w:val="22"/>
          <w:lang w:val="sr-Latn-ME"/>
        </w:rPr>
        <w:t>a</w:t>
      </w:r>
      <w:r w:rsidR="000F0F4D" w:rsidRPr="00F45A6E">
        <w:rPr>
          <w:sz w:val="22"/>
          <w:szCs w:val="22"/>
          <w:lang w:val="sr-Latn-ME"/>
        </w:rPr>
        <w:t xml:space="preserve"> re</w:t>
      </w:r>
      <w:r w:rsidR="004956E3" w:rsidRPr="00F45A6E">
        <w:rPr>
          <w:sz w:val="22"/>
          <w:szCs w:val="22"/>
          <w:lang w:val="sr-Latn-ME"/>
        </w:rPr>
        <w:t>ž</w:t>
      </w:r>
      <w:r w:rsidR="000F0F4D" w:rsidRPr="00F45A6E">
        <w:rPr>
          <w:sz w:val="22"/>
          <w:szCs w:val="22"/>
          <w:lang w:val="sr-Latn-ME"/>
        </w:rPr>
        <w:t>imom infuzije</w:t>
      </w:r>
      <w:r w:rsidR="00065749" w:rsidRPr="00F45A6E">
        <w:rPr>
          <w:sz w:val="22"/>
          <w:szCs w:val="22"/>
          <w:lang w:val="sr-Latn-ME"/>
        </w:rPr>
        <w:t xml:space="preserve"> koja traje 24 sata</w:t>
      </w:r>
      <w:r w:rsidR="000F0F4D" w:rsidRPr="00F45A6E">
        <w:rPr>
          <w:sz w:val="22"/>
          <w:szCs w:val="22"/>
          <w:lang w:val="sr-Latn-ME"/>
        </w:rPr>
        <w:t xml:space="preserve"> svak</w:t>
      </w:r>
      <w:r w:rsidR="004956E3" w:rsidRPr="00F45A6E">
        <w:rPr>
          <w:sz w:val="22"/>
          <w:szCs w:val="22"/>
          <w:lang w:val="sr-Latn-ME"/>
        </w:rPr>
        <w:t>e</w:t>
      </w:r>
      <w:r w:rsidR="000F0F4D" w:rsidRPr="00F45A6E">
        <w:rPr>
          <w:sz w:val="22"/>
          <w:szCs w:val="22"/>
          <w:lang w:val="sr-Latn-ME"/>
        </w:rPr>
        <w:t xml:space="preserve"> 3 </w:t>
      </w:r>
      <w:r w:rsidR="004956E3" w:rsidRPr="00F45A6E">
        <w:rPr>
          <w:sz w:val="22"/>
          <w:szCs w:val="22"/>
          <w:lang w:val="sr-Latn-ME"/>
        </w:rPr>
        <w:t>nedelje</w:t>
      </w:r>
      <w:r w:rsidR="000F0F4D" w:rsidRPr="00F45A6E">
        <w:rPr>
          <w:sz w:val="22"/>
          <w:szCs w:val="22"/>
          <w:lang w:val="sr-Latn-ME"/>
        </w:rPr>
        <w:t xml:space="preserve"> iznosi</w:t>
      </w:r>
      <w:r w:rsidR="004956E3" w:rsidRPr="00F45A6E">
        <w:rPr>
          <w:sz w:val="22"/>
          <w:szCs w:val="22"/>
          <w:lang w:val="sr-Latn-ME"/>
        </w:rPr>
        <w:t>la</w:t>
      </w:r>
      <w:r w:rsidR="000F0F4D" w:rsidRPr="00F45A6E">
        <w:rPr>
          <w:sz w:val="22"/>
          <w:szCs w:val="22"/>
          <w:lang w:val="sr-Latn-ME"/>
        </w:rPr>
        <w:t xml:space="preserve"> je 13,9 m</w:t>
      </w:r>
      <w:r w:rsidR="005E40D0" w:rsidRPr="00F45A6E">
        <w:rPr>
          <w:sz w:val="22"/>
          <w:szCs w:val="22"/>
          <w:lang w:val="sr-Latn-ME"/>
        </w:rPr>
        <w:t>j</w:t>
      </w:r>
      <w:r w:rsidR="000F0F4D" w:rsidRPr="00F45A6E">
        <w:rPr>
          <w:sz w:val="22"/>
          <w:szCs w:val="22"/>
          <w:lang w:val="sr-Latn-ME"/>
        </w:rPr>
        <w:t>eseci (CI: 12,5</w:t>
      </w:r>
      <w:r w:rsidR="006463FD" w:rsidRPr="00F45A6E">
        <w:rPr>
          <w:sz w:val="22"/>
          <w:szCs w:val="22"/>
          <w:lang w:val="sr-Latn-ME"/>
        </w:rPr>
        <w:t>-</w:t>
      </w:r>
      <w:r w:rsidR="000F0F4D" w:rsidRPr="00F45A6E">
        <w:rPr>
          <w:sz w:val="22"/>
          <w:szCs w:val="22"/>
          <w:lang w:val="sr-Latn-ME"/>
        </w:rPr>
        <w:t>18,6) i 60,2</w:t>
      </w:r>
      <w:r w:rsidR="00C157E6" w:rsidRPr="00F45A6E">
        <w:rPr>
          <w:sz w:val="22"/>
          <w:szCs w:val="22"/>
          <w:lang w:val="sr-Latn-ME"/>
        </w:rPr>
        <w:t>%</w:t>
      </w:r>
      <w:r w:rsidR="000F0F4D" w:rsidRPr="00F45A6E">
        <w:rPr>
          <w:sz w:val="22"/>
          <w:szCs w:val="22"/>
          <w:lang w:val="sr-Latn-ME"/>
        </w:rPr>
        <w:t xml:space="preserve"> </w:t>
      </w:r>
      <w:r w:rsidR="004956E3" w:rsidRPr="00F45A6E">
        <w:rPr>
          <w:sz w:val="22"/>
          <w:szCs w:val="22"/>
          <w:lang w:val="sr-Latn-ME"/>
        </w:rPr>
        <w:t>pacijenata</w:t>
      </w:r>
      <w:r w:rsidR="000F0F4D" w:rsidRPr="00F45A6E">
        <w:rPr>
          <w:sz w:val="22"/>
          <w:szCs w:val="22"/>
          <w:lang w:val="sr-Latn-ME"/>
        </w:rPr>
        <w:t xml:space="preserve"> bilo je </w:t>
      </w:r>
      <w:r w:rsidR="004956E3" w:rsidRPr="00F45A6E">
        <w:rPr>
          <w:sz w:val="22"/>
          <w:szCs w:val="22"/>
          <w:lang w:val="sr-Latn-ME"/>
        </w:rPr>
        <w:t>ž</w:t>
      </w:r>
      <w:r w:rsidR="000F0F4D" w:rsidRPr="00F45A6E">
        <w:rPr>
          <w:sz w:val="22"/>
          <w:szCs w:val="22"/>
          <w:lang w:val="sr-Latn-ME"/>
        </w:rPr>
        <w:t>ivo u prvoj godini (CI: 52,0</w:t>
      </w:r>
      <w:r w:rsidR="006463FD" w:rsidRPr="00F45A6E">
        <w:rPr>
          <w:sz w:val="22"/>
          <w:szCs w:val="22"/>
          <w:lang w:val="sr-Latn-ME"/>
        </w:rPr>
        <w:t>-</w:t>
      </w:r>
      <w:r w:rsidR="000F0F4D" w:rsidRPr="00F45A6E">
        <w:rPr>
          <w:sz w:val="22"/>
          <w:szCs w:val="22"/>
          <w:lang w:val="sr-Latn-ME"/>
        </w:rPr>
        <w:t>68,5</w:t>
      </w:r>
      <w:r w:rsidR="00C157E6" w:rsidRPr="00F45A6E">
        <w:rPr>
          <w:sz w:val="22"/>
          <w:szCs w:val="22"/>
          <w:lang w:val="sr-Latn-ME"/>
        </w:rPr>
        <w:t>%</w:t>
      </w:r>
      <w:r w:rsidR="000F0F4D" w:rsidRPr="00F45A6E">
        <w:rPr>
          <w:sz w:val="22"/>
          <w:szCs w:val="22"/>
          <w:lang w:val="sr-Latn-ME"/>
        </w:rPr>
        <w:t xml:space="preserve">). </w:t>
      </w:r>
    </w:p>
    <w:p w14:paraId="7B806696" w14:textId="77777777" w:rsidR="00F23ED8" w:rsidRPr="00F45A6E" w:rsidRDefault="00F23ED8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F99AEEC" w14:textId="3DA8D9F5" w:rsidR="000F0F4D" w:rsidRPr="00F45A6E" w:rsidRDefault="000F0F4D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Dodatni podaci o </w:t>
      </w:r>
      <w:r w:rsidR="00C75BCC" w:rsidRPr="00F45A6E">
        <w:rPr>
          <w:sz w:val="22"/>
          <w:szCs w:val="22"/>
          <w:lang w:val="sr-Latn-ME"/>
        </w:rPr>
        <w:t>efikasnosti</w:t>
      </w:r>
      <w:r w:rsidRPr="00F45A6E">
        <w:rPr>
          <w:sz w:val="22"/>
          <w:szCs w:val="22"/>
          <w:lang w:val="sr-Latn-ME"/>
        </w:rPr>
        <w:t xml:space="preserve"> dostupni su iz 3 ispitivanja, iz faze II, na pojedinačnim </w:t>
      </w:r>
      <w:r w:rsidR="00C75BCC" w:rsidRPr="00F45A6E">
        <w:rPr>
          <w:sz w:val="22"/>
          <w:szCs w:val="22"/>
          <w:lang w:val="sr-Latn-ME"/>
        </w:rPr>
        <w:t xml:space="preserve">grupama </w:t>
      </w:r>
      <w:r w:rsidRPr="00F45A6E">
        <w:rPr>
          <w:sz w:val="22"/>
          <w:szCs w:val="22"/>
          <w:lang w:val="sr-Latn-ME"/>
        </w:rPr>
        <w:t>sa sličnim populacijama koje su l</w:t>
      </w:r>
      <w:r w:rsidR="00092E40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ečene istim re</w:t>
      </w:r>
      <w:r w:rsidR="00C75BC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imom. </w:t>
      </w:r>
      <w:r w:rsidR="007F5113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>a ispitivanja</w:t>
      </w:r>
      <w:r w:rsidR="007F5113" w:rsidRPr="00F45A6E">
        <w:rPr>
          <w:sz w:val="22"/>
          <w:szCs w:val="22"/>
          <w:lang w:val="sr-Latn-ME"/>
        </w:rPr>
        <w:t xml:space="preserve"> su</w:t>
      </w:r>
      <w:r w:rsidRPr="00F45A6E">
        <w:rPr>
          <w:sz w:val="22"/>
          <w:szCs w:val="22"/>
          <w:lang w:val="sr-Latn-ME"/>
        </w:rPr>
        <w:t xml:space="preserve"> obuhvatila ukupno 100 </w:t>
      </w:r>
      <w:r w:rsidR="00C75BC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7F5113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liposarkomom i le</w:t>
      </w:r>
      <w:r w:rsidR="007F5113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omiosarkomom </w:t>
      </w:r>
      <w:r w:rsidR="00453B25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83 </w:t>
      </w:r>
      <w:r w:rsidR="00453B25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453B25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drugim tipovima sarkoma. </w:t>
      </w:r>
    </w:p>
    <w:p w14:paraId="04D2C873" w14:textId="77777777" w:rsidR="00F23ED8" w:rsidRPr="00F45A6E" w:rsidRDefault="00F23ED8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5800F94C" w14:textId="32E93B12" w:rsidR="00CF0033" w:rsidRPr="00F45A6E" w:rsidRDefault="000F0F4D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Rezultati iz programa proširene dostupnosti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za </w:t>
      </w:r>
      <w:r w:rsidR="00453B25" w:rsidRPr="00F45A6E">
        <w:rPr>
          <w:sz w:val="22"/>
          <w:szCs w:val="22"/>
          <w:lang w:val="sr-Latn-ME"/>
        </w:rPr>
        <w:t>pacijente</w:t>
      </w:r>
      <w:r w:rsidRPr="00F45A6E">
        <w:rPr>
          <w:sz w:val="22"/>
          <w:szCs w:val="22"/>
          <w:lang w:val="sr-Latn-ME"/>
        </w:rPr>
        <w:t xml:space="preserve"> sa STS (engl. </w:t>
      </w:r>
      <w:r w:rsidRPr="00F45A6E">
        <w:rPr>
          <w:i/>
          <w:iCs/>
          <w:sz w:val="22"/>
          <w:szCs w:val="22"/>
          <w:lang w:val="sr-Latn-ME"/>
        </w:rPr>
        <w:t xml:space="preserve">Soft tissue sarcoma) </w:t>
      </w:r>
      <w:r w:rsidRPr="00F45A6E">
        <w:rPr>
          <w:sz w:val="22"/>
          <w:szCs w:val="22"/>
          <w:lang w:val="sr-Latn-ME"/>
        </w:rPr>
        <w:t>(ispitivanje ET743-SAR-3002) pokazuju da je me</w:t>
      </w:r>
      <w:r w:rsidR="00605476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903 ispitanika proc</w:t>
      </w:r>
      <w:r w:rsidR="004E1A6C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enjenih za OS medijan</w:t>
      </w:r>
      <w:r w:rsidR="00605476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vr</w:t>
      </w:r>
      <w:r w:rsidR="00D972CE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emena pre</w:t>
      </w:r>
      <w:r w:rsidR="00605476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ivl</w:t>
      </w:r>
      <w:r w:rsidR="00605476" w:rsidRPr="00F45A6E">
        <w:rPr>
          <w:sz w:val="22"/>
          <w:szCs w:val="22"/>
          <w:lang w:val="sr-Latn-ME"/>
        </w:rPr>
        <w:t>javanja</w:t>
      </w:r>
      <w:r w:rsidRPr="00F45A6E">
        <w:rPr>
          <w:sz w:val="22"/>
          <w:szCs w:val="22"/>
          <w:lang w:val="sr-Latn-ME"/>
        </w:rPr>
        <w:t xml:space="preserve"> iznosi</w:t>
      </w:r>
      <w:r w:rsidR="00605476" w:rsidRPr="00F45A6E">
        <w:rPr>
          <w:sz w:val="22"/>
          <w:szCs w:val="22"/>
          <w:lang w:val="sr-Latn-ME"/>
        </w:rPr>
        <w:t>la</w:t>
      </w:r>
      <w:r w:rsidRPr="00F45A6E">
        <w:rPr>
          <w:sz w:val="22"/>
          <w:szCs w:val="22"/>
          <w:lang w:val="sr-Latn-ME"/>
        </w:rPr>
        <w:t xml:space="preserve"> 11,9 m</w:t>
      </w:r>
      <w:r w:rsidR="004E1A6C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eseci (95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CI: 11,2</w:t>
      </w:r>
      <w:r w:rsidR="00B239EF" w:rsidRPr="00F45A6E">
        <w:rPr>
          <w:sz w:val="22"/>
          <w:szCs w:val="22"/>
          <w:lang w:val="sr-Latn-ME"/>
        </w:rPr>
        <w:t>;</w:t>
      </w:r>
      <w:r w:rsidRPr="00F45A6E">
        <w:rPr>
          <w:sz w:val="22"/>
          <w:szCs w:val="22"/>
          <w:lang w:val="sr-Latn-ME"/>
        </w:rPr>
        <w:t xml:space="preserve"> 13,8). Medijan</w:t>
      </w:r>
      <w:r w:rsidR="00605476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</w:t>
      </w:r>
      <w:r w:rsidR="00605476" w:rsidRPr="00F45A6E">
        <w:rPr>
          <w:sz w:val="22"/>
          <w:szCs w:val="22"/>
          <w:lang w:val="sr-Latn-ME"/>
        </w:rPr>
        <w:t>reživljavanj</w:t>
      </w:r>
      <w:r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</w:t>
      </w:r>
      <w:r w:rsidR="00932A19" w:rsidRPr="00F45A6E">
        <w:rPr>
          <w:sz w:val="22"/>
          <w:szCs w:val="22"/>
          <w:lang w:val="sr-Latn-ME"/>
        </w:rPr>
        <w:t xml:space="preserve">u </w:t>
      </w:r>
      <w:r w:rsidR="00605476" w:rsidRPr="00F45A6E">
        <w:rPr>
          <w:sz w:val="22"/>
          <w:szCs w:val="22"/>
          <w:lang w:val="sr-Latn-ME"/>
        </w:rPr>
        <w:t>za</w:t>
      </w:r>
      <w:r w:rsidR="00CF0033" w:rsidRPr="00F45A6E">
        <w:rPr>
          <w:sz w:val="22"/>
          <w:szCs w:val="22"/>
          <w:lang w:val="sr-Latn-ME"/>
        </w:rPr>
        <w:t>visno</w:t>
      </w:r>
      <w:r w:rsidR="00932A19" w:rsidRPr="00F45A6E">
        <w:rPr>
          <w:sz w:val="22"/>
          <w:szCs w:val="22"/>
          <w:lang w:val="sr-Latn-ME"/>
        </w:rPr>
        <w:t>sti</w:t>
      </w:r>
      <w:r w:rsidR="00CF0033" w:rsidRPr="00F45A6E">
        <w:rPr>
          <w:sz w:val="22"/>
          <w:szCs w:val="22"/>
          <w:lang w:val="sr-Latn-ME"/>
        </w:rPr>
        <w:t xml:space="preserve"> o</w:t>
      </w:r>
      <w:r w:rsidR="00605476" w:rsidRPr="00F45A6E">
        <w:rPr>
          <w:sz w:val="22"/>
          <w:szCs w:val="22"/>
          <w:lang w:val="sr-Latn-ME"/>
        </w:rPr>
        <w:t>d</w:t>
      </w:r>
      <w:r w:rsidR="00CF0033" w:rsidRPr="00F45A6E">
        <w:rPr>
          <w:sz w:val="22"/>
          <w:szCs w:val="22"/>
          <w:lang w:val="sr-Latn-ME"/>
        </w:rPr>
        <w:t xml:space="preserve"> histološko</w:t>
      </w:r>
      <w:r w:rsidR="00605476" w:rsidRPr="00F45A6E">
        <w:rPr>
          <w:sz w:val="22"/>
          <w:szCs w:val="22"/>
          <w:lang w:val="sr-Latn-ME"/>
        </w:rPr>
        <w:t>g</w:t>
      </w:r>
      <w:r w:rsidR="00CF0033" w:rsidRPr="00F45A6E">
        <w:rPr>
          <w:sz w:val="22"/>
          <w:szCs w:val="22"/>
          <w:lang w:val="sr-Latn-ME"/>
        </w:rPr>
        <w:t xml:space="preserve"> tip</w:t>
      </w:r>
      <w:r w:rsidR="00605476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tumora bi</w:t>
      </w:r>
      <w:r w:rsidR="00605476" w:rsidRPr="00F45A6E">
        <w:rPr>
          <w:sz w:val="22"/>
          <w:szCs w:val="22"/>
          <w:lang w:val="sr-Latn-ME"/>
        </w:rPr>
        <w:t>la</w:t>
      </w:r>
      <w:r w:rsidR="00CF0033" w:rsidRPr="00F45A6E">
        <w:rPr>
          <w:sz w:val="22"/>
          <w:szCs w:val="22"/>
          <w:lang w:val="sr-Latn-ME"/>
        </w:rPr>
        <w:t xml:space="preserve"> je 16,2 m</w:t>
      </w:r>
      <w:r w:rsidR="004E1A6C" w:rsidRPr="00F45A6E">
        <w:rPr>
          <w:sz w:val="22"/>
          <w:szCs w:val="22"/>
          <w:lang w:val="sr-Latn-ME"/>
        </w:rPr>
        <w:t>j</w:t>
      </w:r>
      <w:r w:rsidR="00CF0033" w:rsidRPr="00F45A6E">
        <w:rPr>
          <w:sz w:val="22"/>
          <w:szCs w:val="22"/>
          <w:lang w:val="sr-Latn-ME"/>
        </w:rPr>
        <w:t>eseca [95</w:t>
      </w:r>
      <w:r w:rsidR="00C157E6" w:rsidRPr="00F45A6E">
        <w:rPr>
          <w:sz w:val="22"/>
          <w:szCs w:val="22"/>
          <w:lang w:val="sr-Latn-ME"/>
        </w:rPr>
        <w:t>%</w:t>
      </w:r>
      <w:r w:rsidR="00B239EF" w:rsidRPr="00F45A6E">
        <w:rPr>
          <w:sz w:val="22"/>
          <w:szCs w:val="22"/>
          <w:lang w:val="sr-Latn-ME"/>
        </w:rPr>
        <w:t xml:space="preserve"> </w:t>
      </w:r>
      <w:r w:rsidR="00CF0033" w:rsidRPr="00F45A6E">
        <w:rPr>
          <w:sz w:val="22"/>
          <w:szCs w:val="22"/>
          <w:lang w:val="sr-Latn-ME"/>
        </w:rPr>
        <w:t>CI:</w:t>
      </w:r>
      <w:r w:rsidR="00B239EF" w:rsidRPr="00F45A6E">
        <w:rPr>
          <w:sz w:val="22"/>
          <w:szCs w:val="22"/>
          <w:lang w:val="sr-Latn-ME"/>
        </w:rPr>
        <w:t xml:space="preserve">14,1; </w:t>
      </w:r>
      <w:r w:rsidR="00CF0033" w:rsidRPr="00F45A6E">
        <w:rPr>
          <w:sz w:val="22"/>
          <w:szCs w:val="22"/>
          <w:lang w:val="sr-Latn-ME"/>
        </w:rPr>
        <w:t>19,5] za ispitanike s</w:t>
      </w:r>
      <w:r w:rsidR="001803FD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le</w:t>
      </w:r>
      <w:r w:rsidR="00932A19" w:rsidRPr="00F45A6E">
        <w:rPr>
          <w:sz w:val="22"/>
          <w:szCs w:val="22"/>
          <w:lang w:val="sr-Latn-ME"/>
        </w:rPr>
        <w:t>i</w:t>
      </w:r>
      <w:r w:rsidR="00CF0033" w:rsidRPr="00F45A6E">
        <w:rPr>
          <w:sz w:val="22"/>
          <w:szCs w:val="22"/>
          <w:lang w:val="sr-Latn-ME"/>
        </w:rPr>
        <w:t>omiosarkomima i liposarkomima i 8,4 m</w:t>
      </w:r>
      <w:r w:rsidR="004E1A6C" w:rsidRPr="00F45A6E">
        <w:rPr>
          <w:sz w:val="22"/>
          <w:szCs w:val="22"/>
          <w:lang w:val="sr-Latn-ME"/>
        </w:rPr>
        <w:t>j</w:t>
      </w:r>
      <w:r w:rsidR="00CF0033" w:rsidRPr="00F45A6E">
        <w:rPr>
          <w:sz w:val="22"/>
          <w:szCs w:val="22"/>
          <w:lang w:val="sr-Latn-ME"/>
        </w:rPr>
        <w:t>eseca [95</w:t>
      </w:r>
      <w:r w:rsidR="00C157E6" w:rsidRPr="00F45A6E">
        <w:rPr>
          <w:sz w:val="22"/>
          <w:szCs w:val="22"/>
          <w:lang w:val="sr-Latn-ME"/>
        </w:rPr>
        <w:t>%</w:t>
      </w:r>
      <w:r w:rsidR="00CF0033" w:rsidRPr="00F45A6E">
        <w:rPr>
          <w:sz w:val="22"/>
          <w:szCs w:val="22"/>
          <w:lang w:val="sr-Latn-ME"/>
        </w:rPr>
        <w:t xml:space="preserve"> CI:7,1</w:t>
      </w:r>
      <w:r w:rsidR="00B239EF" w:rsidRPr="00F45A6E">
        <w:rPr>
          <w:sz w:val="22"/>
          <w:szCs w:val="22"/>
          <w:lang w:val="sr-Latn-ME"/>
        </w:rPr>
        <w:t xml:space="preserve">; </w:t>
      </w:r>
      <w:r w:rsidR="00CF0033" w:rsidRPr="00F45A6E">
        <w:rPr>
          <w:sz w:val="22"/>
          <w:szCs w:val="22"/>
          <w:lang w:val="sr-Latn-ME"/>
        </w:rPr>
        <w:t>10,7] za ispitanike s</w:t>
      </w:r>
      <w:r w:rsidR="001803FD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drugim tipovima sarkoma. Medijan</w:t>
      </w:r>
      <w:r w:rsidR="001803FD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pre</w:t>
      </w:r>
      <w:r w:rsidR="001803FD" w:rsidRPr="00F45A6E">
        <w:rPr>
          <w:sz w:val="22"/>
          <w:szCs w:val="22"/>
          <w:lang w:val="sr-Latn-ME"/>
        </w:rPr>
        <w:t>življavanja</w:t>
      </w:r>
      <w:r w:rsidR="00CF0033" w:rsidRPr="00F45A6E">
        <w:rPr>
          <w:sz w:val="22"/>
          <w:szCs w:val="22"/>
          <w:lang w:val="sr-Latn-ME"/>
        </w:rPr>
        <w:t xml:space="preserve"> za ispitanike s</w:t>
      </w:r>
      <w:r w:rsidR="001803FD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liposarkomom iznosi</w:t>
      </w:r>
      <w:r w:rsidR="001803FD" w:rsidRPr="00F45A6E">
        <w:rPr>
          <w:sz w:val="22"/>
          <w:szCs w:val="22"/>
          <w:lang w:val="sr-Latn-ME"/>
        </w:rPr>
        <w:t>la</w:t>
      </w:r>
      <w:r w:rsidR="00CF0033" w:rsidRPr="00F45A6E">
        <w:rPr>
          <w:sz w:val="22"/>
          <w:szCs w:val="22"/>
          <w:lang w:val="sr-Latn-ME"/>
        </w:rPr>
        <w:t xml:space="preserve"> je 18,1 m</w:t>
      </w:r>
      <w:r w:rsidR="004E1A6C" w:rsidRPr="00F45A6E">
        <w:rPr>
          <w:sz w:val="22"/>
          <w:szCs w:val="22"/>
          <w:lang w:val="sr-Latn-ME"/>
        </w:rPr>
        <w:t>j</w:t>
      </w:r>
      <w:r w:rsidR="00CF0033" w:rsidRPr="00F45A6E">
        <w:rPr>
          <w:sz w:val="22"/>
          <w:szCs w:val="22"/>
          <w:lang w:val="sr-Latn-ME"/>
        </w:rPr>
        <w:t>eseci [95</w:t>
      </w:r>
      <w:r w:rsidR="00C157E6" w:rsidRPr="00F45A6E">
        <w:rPr>
          <w:sz w:val="22"/>
          <w:szCs w:val="22"/>
          <w:lang w:val="sr-Latn-ME"/>
        </w:rPr>
        <w:t>%</w:t>
      </w:r>
      <w:r w:rsidR="00CF0033" w:rsidRPr="00F45A6E">
        <w:rPr>
          <w:sz w:val="22"/>
          <w:szCs w:val="22"/>
          <w:lang w:val="sr-Latn-ME"/>
        </w:rPr>
        <w:t xml:space="preserve"> CI: 15,0</w:t>
      </w:r>
      <w:r w:rsidR="00B239EF" w:rsidRPr="00F45A6E">
        <w:rPr>
          <w:sz w:val="22"/>
          <w:szCs w:val="22"/>
          <w:lang w:val="sr-Latn-ME"/>
        </w:rPr>
        <w:t>;</w:t>
      </w:r>
      <w:r w:rsidR="00CF0033" w:rsidRPr="00F45A6E">
        <w:rPr>
          <w:sz w:val="22"/>
          <w:szCs w:val="22"/>
          <w:lang w:val="sr-Latn-ME"/>
        </w:rPr>
        <w:t xml:space="preserve"> 26,4], a za ispitanike s</w:t>
      </w:r>
      <w:r w:rsidR="001803FD" w:rsidRPr="00F45A6E">
        <w:rPr>
          <w:sz w:val="22"/>
          <w:szCs w:val="22"/>
          <w:lang w:val="sr-Latn-ME"/>
        </w:rPr>
        <w:t>a</w:t>
      </w:r>
      <w:r w:rsidR="00CF0033" w:rsidRPr="00F45A6E">
        <w:rPr>
          <w:sz w:val="22"/>
          <w:szCs w:val="22"/>
          <w:lang w:val="sr-Latn-ME"/>
        </w:rPr>
        <w:t xml:space="preserve"> le</w:t>
      </w:r>
      <w:r w:rsidR="00932A19" w:rsidRPr="00F45A6E">
        <w:rPr>
          <w:sz w:val="22"/>
          <w:szCs w:val="22"/>
          <w:lang w:val="sr-Latn-ME"/>
        </w:rPr>
        <w:t>i</w:t>
      </w:r>
      <w:r w:rsidR="00CF0033" w:rsidRPr="00F45A6E">
        <w:rPr>
          <w:sz w:val="22"/>
          <w:szCs w:val="22"/>
          <w:lang w:val="sr-Latn-ME"/>
        </w:rPr>
        <w:t>omiosarkomom 16,2 m</w:t>
      </w:r>
      <w:r w:rsidR="004E1A6C" w:rsidRPr="00F45A6E">
        <w:rPr>
          <w:sz w:val="22"/>
          <w:szCs w:val="22"/>
          <w:lang w:val="sr-Latn-ME"/>
        </w:rPr>
        <w:t>j</w:t>
      </w:r>
      <w:r w:rsidR="00CF0033" w:rsidRPr="00F45A6E">
        <w:rPr>
          <w:sz w:val="22"/>
          <w:szCs w:val="22"/>
          <w:lang w:val="sr-Latn-ME"/>
        </w:rPr>
        <w:t>eseca [95</w:t>
      </w:r>
      <w:r w:rsidR="00C157E6" w:rsidRPr="00F45A6E">
        <w:rPr>
          <w:sz w:val="22"/>
          <w:szCs w:val="22"/>
          <w:lang w:val="sr-Latn-ME"/>
        </w:rPr>
        <w:t>%</w:t>
      </w:r>
      <w:r w:rsidR="00CF0033" w:rsidRPr="00F45A6E">
        <w:rPr>
          <w:sz w:val="22"/>
          <w:szCs w:val="22"/>
          <w:lang w:val="sr-Latn-ME"/>
        </w:rPr>
        <w:t xml:space="preserve"> CI: 11,7</w:t>
      </w:r>
      <w:r w:rsidR="00B239EF" w:rsidRPr="00F45A6E">
        <w:rPr>
          <w:sz w:val="22"/>
          <w:szCs w:val="22"/>
          <w:lang w:val="sr-Latn-ME"/>
        </w:rPr>
        <w:t>;</w:t>
      </w:r>
      <w:r w:rsidR="00CF0033" w:rsidRPr="00F45A6E">
        <w:rPr>
          <w:sz w:val="22"/>
          <w:szCs w:val="22"/>
          <w:lang w:val="sr-Latn-ME"/>
        </w:rPr>
        <w:t xml:space="preserve"> 24,3]. </w:t>
      </w:r>
    </w:p>
    <w:p w14:paraId="02BA8243" w14:textId="77777777" w:rsidR="00F23ED8" w:rsidRPr="00F45A6E" w:rsidRDefault="00F23ED8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E0D1212" w14:textId="0365F016" w:rsidR="00CE09F3" w:rsidRPr="00F45A6E" w:rsidRDefault="00CF003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Dodatni podaci o </w:t>
      </w:r>
      <w:r w:rsidR="001803FD" w:rsidRPr="00F45A6E">
        <w:rPr>
          <w:sz w:val="22"/>
          <w:szCs w:val="22"/>
          <w:lang w:val="sr-Latn-ME"/>
        </w:rPr>
        <w:t>efikasnosti</w:t>
      </w:r>
      <w:r w:rsidR="00B239EF" w:rsidRPr="00F45A6E">
        <w:rPr>
          <w:sz w:val="22"/>
          <w:szCs w:val="22"/>
          <w:lang w:val="sr-Latn-ME"/>
        </w:rPr>
        <w:t xml:space="preserve"> prim</w:t>
      </w:r>
      <w:r w:rsidR="001B47BA" w:rsidRPr="00F45A6E">
        <w:rPr>
          <w:sz w:val="22"/>
          <w:szCs w:val="22"/>
          <w:lang w:val="sr-Latn-ME"/>
        </w:rPr>
        <w:t>j</w:t>
      </w:r>
      <w:r w:rsidR="00B239EF" w:rsidRPr="00F45A6E">
        <w:rPr>
          <w:sz w:val="22"/>
          <w:szCs w:val="22"/>
          <w:lang w:val="sr-Latn-ME"/>
        </w:rPr>
        <w:t>ene</w:t>
      </w:r>
      <w:r w:rsidRPr="00F45A6E">
        <w:rPr>
          <w:sz w:val="22"/>
          <w:szCs w:val="22"/>
          <w:lang w:val="sr-Latn-ME"/>
        </w:rPr>
        <w:t xml:space="preserve"> dostupni su iz randomiz</w:t>
      </w:r>
      <w:r w:rsidR="001803FD" w:rsidRPr="00F45A6E">
        <w:rPr>
          <w:sz w:val="22"/>
          <w:szCs w:val="22"/>
          <w:lang w:val="sr-Latn-ME"/>
        </w:rPr>
        <w:t>ovanog</w:t>
      </w:r>
      <w:r w:rsidRPr="00F45A6E">
        <w:rPr>
          <w:sz w:val="22"/>
          <w:szCs w:val="22"/>
          <w:lang w:val="sr-Latn-ME"/>
        </w:rPr>
        <w:t xml:space="preserve"> ispitivanja faze III trabektedina naspram dakarbazina kao kontrolnog aktivnog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(Ispitivanje ET743-SAR-3007), </w:t>
      </w:r>
      <w:r w:rsidR="001803FD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</w:t>
      </w:r>
      <w:r w:rsidR="001803FD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</w:t>
      </w:r>
      <w:r w:rsidR="001803FD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kojih je l</w:t>
      </w:r>
      <w:r w:rsidR="001B47B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 neresektabilni ili metastatski lipo</w:t>
      </w:r>
      <w:r w:rsidR="00B239EF" w:rsidRPr="00F45A6E">
        <w:rPr>
          <w:sz w:val="22"/>
          <w:szCs w:val="22"/>
          <w:lang w:val="sr-Latn-ME"/>
        </w:rPr>
        <w:t>sarkom</w:t>
      </w:r>
      <w:r w:rsidRPr="00F45A6E">
        <w:rPr>
          <w:sz w:val="22"/>
          <w:szCs w:val="22"/>
          <w:lang w:val="sr-Latn-ME"/>
        </w:rPr>
        <w:t xml:space="preserve"> ili le</w:t>
      </w:r>
      <w:r w:rsidR="00B239EF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omiosarkom, a koji su ranije bili l</w:t>
      </w:r>
      <w:r w:rsidR="001B47B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ečeni barem re</w:t>
      </w:r>
      <w:r w:rsidR="001803FD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imom koji sadr</w:t>
      </w:r>
      <w:r w:rsidR="00DC7BD1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 antraciklin i ifosfamid, ili re</w:t>
      </w:r>
      <w:r w:rsidR="00CD390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imom koji sadr</w:t>
      </w:r>
      <w:r w:rsidR="00CD390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 antraciklin </w:t>
      </w:r>
      <w:r w:rsidR="00CD390A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jedan dodatni re</w:t>
      </w:r>
      <w:r w:rsidR="00CD390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 citotoksične </w:t>
      </w:r>
      <w:r w:rsidR="00CD390A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 xml:space="preserve">emoterapije. </w:t>
      </w:r>
      <w:r w:rsidR="00CD390A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u </w:t>
      </w:r>
      <w:r w:rsidR="00CD390A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s</w:t>
      </w:r>
      <w:r w:rsidR="00CD390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trabektedinom morali su </w:t>
      </w:r>
      <w:r w:rsidR="00B239EF" w:rsidRPr="00F45A6E">
        <w:rPr>
          <w:sz w:val="22"/>
          <w:szCs w:val="22"/>
          <w:lang w:val="sr-Latn-ME"/>
        </w:rPr>
        <w:t xml:space="preserve">da </w:t>
      </w:r>
      <w:r w:rsidRPr="00F45A6E">
        <w:rPr>
          <w:sz w:val="22"/>
          <w:szCs w:val="22"/>
          <w:lang w:val="sr-Latn-ME"/>
        </w:rPr>
        <w:t>prima</w:t>
      </w:r>
      <w:r w:rsidR="00B239EF" w:rsidRPr="00F45A6E">
        <w:rPr>
          <w:sz w:val="22"/>
          <w:szCs w:val="22"/>
          <w:lang w:val="sr-Latn-ME"/>
        </w:rPr>
        <w:t>ju</w:t>
      </w:r>
      <w:r w:rsidRPr="00F45A6E">
        <w:rPr>
          <w:sz w:val="22"/>
          <w:szCs w:val="22"/>
          <w:lang w:val="sr-Latn-ME"/>
        </w:rPr>
        <w:t xml:space="preserve"> 20 mg deksametazona putem intravenske injekcije pr</w:t>
      </w:r>
      <w:r w:rsidR="001B47B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svake infuzije trabektedina. Sveukupno, 384 </w:t>
      </w:r>
      <w:r w:rsidR="00407EC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radnomiz</w:t>
      </w:r>
      <w:r w:rsidR="00407ECC" w:rsidRPr="00F45A6E">
        <w:rPr>
          <w:sz w:val="22"/>
          <w:szCs w:val="22"/>
          <w:lang w:val="sr-Latn-ME"/>
        </w:rPr>
        <w:t>ovana</w:t>
      </w:r>
      <w:r w:rsidRPr="00F45A6E">
        <w:rPr>
          <w:sz w:val="22"/>
          <w:szCs w:val="22"/>
          <w:lang w:val="sr-Latn-ME"/>
        </w:rPr>
        <w:t xml:space="preserve"> su u </w:t>
      </w:r>
      <w:r w:rsidR="00407ECC" w:rsidRPr="00F45A6E">
        <w:rPr>
          <w:sz w:val="22"/>
          <w:szCs w:val="22"/>
          <w:lang w:val="sr-Latn-ME"/>
        </w:rPr>
        <w:t>grupu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koja je primala</w:t>
      </w:r>
      <w:r w:rsidRPr="00F45A6E">
        <w:rPr>
          <w:sz w:val="22"/>
          <w:szCs w:val="22"/>
          <w:lang w:val="sr-Latn-ME"/>
        </w:rPr>
        <w:t xml:space="preserve"> trabektedin [1,5 mg/m</w:t>
      </w:r>
      <w:r w:rsidRPr="00F45A6E">
        <w:rPr>
          <w:sz w:val="22"/>
          <w:szCs w:val="22"/>
          <w:vertAlign w:val="superscript"/>
          <w:lang w:val="sr-Latn-ME"/>
        </w:rPr>
        <w:t xml:space="preserve">2 </w:t>
      </w:r>
      <w:r w:rsidRPr="00F45A6E">
        <w:rPr>
          <w:sz w:val="22"/>
          <w:szCs w:val="22"/>
          <w:lang w:val="sr-Latn-ME"/>
        </w:rPr>
        <w:t>jednom svak</w:t>
      </w:r>
      <w:r w:rsidR="00407ECC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407ECC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 (infuzij</w:t>
      </w:r>
      <w:r w:rsidR="009F438E" w:rsidRPr="00F45A6E">
        <w:rPr>
          <w:sz w:val="22"/>
          <w:szCs w:val="22"/>
          <w:lang w:val="sr-Latn-ME"/>
        </w:rPr>
        <w:t>a koja je trajala 24 sata</w:t>
      </w:r>
      <w:r w:rsidRPr="00F45A6E">
        <w:rPr>
          <w:sz w:val="22"/>
          <w:szCs w:val="22"/>
          <w:lang w:val="sr-Latn-ME"/>
        </w:rPr>
        <w:t xml:space="preserve"> svak</w:t>
      </w:r>
      <w:r w:rsidR="00407ECC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407ECC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 xml:space="preserve">)], a 193 </w:t>
      </w:r>
      <w:r w:rsidR="00703A71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u </w:t>
      </w:r>
      <w:r w:rsidR="00703A71" w:rsidRPr="00F45A6E">
        <w:rPr>
          <w:sz w:val="22"/>
          <w:szCs w:val="22"/>
          <w:lang w:val="sr-Latn-ME"/>
        </w:rPr>
        <w:t>grupu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koja se l</w:t>
      </w:r>
      <w:r w:rsidR="001B47BA" w:rsidRPr="00F45A6E">
        <w:rPr>
          <w:sz w:val="22"/>
          <w:szCs w:val="22"/>
          <w:lang w:val="sr-Latn-ME"/>
        </w:rPr>
        <w:t>j</w:t>
      </w:r>
      <w:r w:rsidR="009F438E" w:rsidRPr="00F45A6E">
        <w:rPr>
          <w:sz w:val="22"/>
          <w:szCs w:val="22"/>
          <w:lang w:val="sr-Latn-ME"/>
        </w:rPr>
        <w:t>ečila</w:t>
      </w:r>
      <w:r w:rsidRPr="00F45A6E">
        <w:rPr>
          <w:sz w:val="22"/>
          <w:szCs w:val="22"/>
          <w:lang w:val="sr-Latn-ME"/>
        </w:rPr>
        <w:t xml:space="preserve"> dakarbazinom (1 g/m</w:t>
      </w:r>
      <w:r w:rsidRPr="00F45A6E">
        <w:rPr>
          <w:sz w:val="22"/>
          <w:szCs w:val="22"/>
          <w:vertAlign w:val="superscript"/>
          <w:lang w:val="sr-Latn-ME"/>
        </w:rPr>
        <w:t xml:space="preserve">2 </w:t>
      </w:r>
      <w:r w:rsidRPr="00F45A6E">
        <w:rPr>
          <w:sz w:val="22"/>
          <w:szCs w:val="22"/>
          <w:lang w:val="sr-Latn-ME"/>
        </w:rPr>
        <w:t>jednom svak</w:t>
      </w:r>
      <w:r w:rsidR="00703A71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703A71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>). Medijan</w:t>
      </w:r>
      <w:r w:rsidR="00703A71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703A71" w:rsidRPr="00F45A6E">
        <w:rPr>
          <w:sz w:val="22"/>
          <w:szCs w:val="22"/>
          <w:lang w:val="sr-Latn-ME"/>
        </w:rPr>
        <w:t xml:space="preserve">starosne </w:t>
      </w:r>
      <w:r w:rsidRPr="00F45A6E">
        <w:rPr>
          <w:sz w:val="22"/>
          <w:szCs w:val="22"/>
          <w:lang w:val="sr-Latn-ME"/>
        </w:rPr>
        <w:t xml:space="preserve">dobi </w:t>
      </w:r>
      <w:r w:rsidR="00703A71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iznosi</w:t>
      </w:r>
      <w:r w:rsidR="00703A71" w:rsidRPr="00F45A6E">
        <w:rPr>
          <w:sz w:val="22"/>
          <w:szCs w:val="22"/>
          <w:lang w:val="sr-Latn-ME"/>
        </w:rPr>
        <w:t>la</w:t>
      </w:r>
      <w:r w:rsidRPr="00F45A6E">
        <w:rPr>
          <w:sz w:val="22"/>
          <w:szCs w:val="22"/>
          <w:lang w:val="sr-Latn-ME"/>
        </w:rPr>
        <w:t xml:space="preserve"> je 56 godina (</w:t>
      </w:r>
      <w:r w:rsidR="003A09C1" w:rsidRPr="00F45A6E">
        <w:rPr>
          <w:sz w:val="22"/>
          <w:szCs w:val="22"/>
          <w:lang w:val="sr-Latn-ME"/>
        </w:rPr>
        <w:t xml:space="preserve">opseg </w:t>
      </w:r>
      <w:r w:rsidRPr="00F45A6E">
        <w:rPr>
          <w:sz w:val="22"/>
          <w:szCs w:val="22"/>
          <w:lang w:val="sr-Latn-ME"/>
        </w:rPr>
        <w:t>od 17 do 81), 30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su bili muškarci, 77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pripadnici bele rase</w:t>
      </w:r>
      <w:r w:rsidRPr="00F45A6E">
        <w:rPr>
          <w:sz w:val="22"/>
          <w:szCs w:val="22"/>
          <w:lang w:val="sr-Latn-ME"/>
        </w:rPr>
        <w:t>, 12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>froamerikanci i 4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zijati. </w:t>
      </w:r>
      <w:r w:rsidR="00703A71" w:rsidRPr="00F45A6E">
        <w:rPr>
          <w:sz w:val="22"/>
          <w:szCs w:val="22"/>
          <w:lang w:val="sr-Latn-ME"/>
        </w:rPr>
        <w:t>Pacijenti</w:t>
      </w:r>
      <w:r w:rsidRPr="00F45A6E">
        <w:rPr>
          <w:sz w:val="22"/>
          <w:szCs w:val="22"/>
          <w:lang w:val="sr-Latn-ME"/>
        </w:rPr>
        <w:t xml:space="preserve"> u </w:t>
      </w:r>
      <w:r w:rsidR="00703A71" w:rsidRPr="00F45A6E">
        <w:rPr>
          <w:sz w:val="22"/>
          <w:szCs w:val="22"/>
          <w:lang w:val="sr-Latn-ME"/>
        </w:rPr>
        <w:t>gru</w:t>
      </w:r>
      <w:r w:rsidR="00E27C1E" w:rsidRPr="00F45A6E">
        <w:rPr>
          <w:sz w:val="22"/>
          <w:szCs w:val="22"/>
          <w:lang w:val="sr-Latn-ME"/>
        </w:rPr>
        <w:t>pi</w:t>
      </w:r>
      <w:r w:rsidRPr="00F45A6E">
        <w:rPr>
          <w:sz w:val="22"/>
          <w:szCs w:val="22"/>
          <w:lang w:val="sr-Latn-ME"/>
        </w:rPr>
        <w:t xml:space="preserve"> </w:t>
      </w:r>
      <w:r w:rsidR="009F438E" w:rsidRPr="00F45A6E">
        <w:rPr>
          <w:sz w:val="22"/>
          <w:szCs w:val="22"/>
          <w:lang w:val="sr-Latn-ME"/>
        </w:rPr>
        <w:t>koja je na terapiji</w:t>
      </w:r>
      <w:r w:rsidRPr="00F45A6E">
        <w:rPr>
          <w:sz w:val="22"/>
          <w:szCs w:val="22"/>
          <w:lang w:val="sr-Latn-ME"/>
        </w:rPr>
        <w:t xml:space="preserve"> trabektedinom primili su medijan</w:t>
      </w:r>
      <w:r w:rsidR="00E27C1E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od 4 ciklusa, a u </w:t>
      </w:r>
      <w:r w:rsidR="00E27C1E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9F438E" w:rsidRPr="00F45A6E">
        <w:rPr>
          <w:sz w:val="22"/>
          <w:szCs w:val="22"/>
          <w:lang w:val="sr-Latn-ME"/>
        </w:rPr>
        <w:t>oj</w:t>
      </w:r>
      <w:r w:rsidRPr="00F45A6E">
        <w:rPr>
          <w:sz w:val="22"/>
          <w:szCs w:val="22"/>
          <w:lang w:val="sr-Latn-ME"/>
        </w:rPr>
        <w:t xml:space="preserve"> dakarbazinom primili su medijan</w:t>
      </w:r>
      <w:r w:rsidR="00E27C1E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od 2 ciklusa. Primarni</w:t>
      </w:r>
      <w:r w:rsidR="00861BAB" w:rsidRPr="00F45A6E">
        <w:rPr>
          <w:sz w:val="22"/>
          <w:szCs w:val="22"/>
          <w:lang w:val="sr-Latn-ME"/>
        </w:rPr>
        <w:t xml:space="preserve"> parametar</w:t>
      </w:r>
      <w:r w:rsidRPr="00F45A6E">
        <w:rPr>
          <w:sz w:val="22"/>
          <w:szCs w:val="22"/>
          <w:lang w:val="sr-Latn-ME"/>
        </w:rPr>
        <w:t xml:space="preserve"> </w:t>
      </w:r>
      <w:r w:rsidR="00861BAB" w:rsidRPr="00F45A6E">
        <w:rPr>
          <w:sz w:val="22"/>
          <w:szCs w:val="22"/>
          <w:lang w:val="sr-Latn-ME"/>
        </w:rPr>
        <w:t xml:space="preserve">praćenja </w:t>
      </w:r>
      <w:r w:rsidRPr="00F45A6E">
        <w:rPr>
          <w:sz w:val="22"/>
          <w:szCs w:val="22"/>
          <w:lang w:val="sr-Latn-ME"/>
        </w:rPr>
        <w:t xml:space="preserve">ishod </w:t>
      </w:r>
      <w:r w:rsidR="00E27C1E" w:rsidRPr="00F45A6E">
        <w:rPr>
          <w:sz w:val="22"/>
          <w:szCs w:val="22"/>
          <w:lang w:val="sr-Latn-ME"/>
        </w:rPr>
        <w:t>efikasnosti</w:t>
      </w:r>
      <w:r w:rsidRPr="00F45A6E">
        <w:rPr>
          <w:sz w:val="22"/>
          <w:szCs w:val="22"/>
          <w:lang w:val="sr-Latn-ME"/>
        </w:rPr>
        <w:t xml:space="preserve"> ispitivanja bilo je OS, što je uključivalo 381 doga</w:t>
      </w:r>
      <w:r w:rsidR="00E27C1E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aj</w:t>
      </w:r>
      <w:r w:rsidR="009F438E" w:rsidRPr="00F45A6E">
        <w:rPr>
          <w:sz w:val="22"/>
          <w:szCs w:val="22"/>
          <w:lang w:val="sr-Latn-ME"/>
        </w:rPr>
        <w:t xml:space="preserve"> smrtnog ishoda</w:t>
      </w:r>
      <w:r w:rsidRPr="00F45A6E">
        <w:rPr>
          <w:sz w:val="22"/>
          <w:szCs w:val="22"/>
          <w:lang w:val="sr-Latn-ME"/>
        </w:rPr>
        <w:t xml:space="preserve"> (66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svih randomiz</w:t>
      </w:r>
      <w:r w:rsidR="00DC529C" w:rsidRPr="00F45A6E">
        <w:rPr>
          <w:sz w:val="22"/>
          <w:szCs w:val="22"/>
          <w:lang w:val="sr-Latn-ME"/>
        </w:rPr>
        <w:t>ovanih</w:t>
      </w:r>
      <w:r w:rsidRPr="00F45A6E">
        <w:rPr>
          <w:sz w:val="22"/>
          <w:szCs w:val="22"/>
          <w:lang w:val="sr-Latn-ME"/>
        </w:rPr>
        <w:t xml:space="preserve"> </w:t>
      </w:r>
      <w:r w:rsidR="00DC529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>): 258 (67,2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) smrt</w:t>
      </w:r>
      <w:r w:rsidR="00DC529C" w:rsidRPr="00F45A6E">
        <w:rPr>
          <w:sz w:val="22"/>
          <w:szCs w:val="22"/>
          <w:lang w:val="sr-Latn-ME"/>
        </w:rPr>
        <w:t xml:space="preserve">nih </w:t>
      </w:r>
      <w:r w:rsidR="009F438E" w:rsidRPr="00F45A6E">
        <w:rPr>
          <w:sz w:val="22"/>
          <w:szCs w:val="22"/>
          <w:lang w:val="sr-Latn-ME"/>
        </w:rPr>
        <w:t>ishoda</w:t>
      </w:r>
      <w:r w:rsidRPr="00F45A6E">
        <w:rPr>
          <w:sz w:val="22"/>
          <w:szCs w:val="22"/>
          <w:lang w:val="sr-Latn-ME"/>
        </w:rPr>
        <w:t xml:space="preserve"> u </w:t>
      </w:r>
      <w:r w:rsidR="00DC529C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9F438E" w:rsidRPr="00F45A6E">
        <w:rPr>
          <w:sz w:val="22"/>
          <w:szCs w:val="22"/>
          <w:lang w:val="sr-Latn-ME"/>
        </w:rPr>
        <w:t>oj</w:t>
      </w:r>
      <w:r w:rsidRPr="00F45A6E">
        <w:rPr>
          <w:sz w:val="22"/>
          <w:szCs w:val="22"/>
          <w:lang w:val="sr-Latn-ME"/>
        </w:rPr>
        <w:t xml:space="preserve"> trabektedinom i 123 (63,7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) smrt</w:t>
      </w:r>
      <w:r w:rsidR="00DC529C" w:rsidRPr="00F45A6E">
        <w:rPr>
          <w:sz w:val="22"/>
          <w:szCs w:val="22"/>
          <w:lang w:val="sr-Latn-ME"/>
        </w:rPr>
        <w:t xml:space="preserve">nih </w:t>
      </w:r>
      <w:r w:rsidR="009F438E" w:rsidRPr="00F45A6E">
        <w:rPr>
          <w:sz w:val="22"/>
          <w:szCs w:val="22"/>
          <w:lang w:val="sr-Latn-ME"/>
        </w:rPr>
        <w:t xml:space="preserve">ishoda </w:t>
      </w:r>
      <w:r w:rsidRPr="00F45A6E">
        <w:rPr>
          <w:sz w:val="22"/>
          <w:szCs w:val="22"/>
          <w:lang w:val="sr-Latn-ME"/>
        </w:rPr>
        <w:t xml:space="preserve">u </w:t>
      </w:r>
      <w:r w:rsidR="00DC529C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9F438E" w:rsidRPr="00F45A6E">
        <w:rPr>
          <w:sz w:val="22"/>
          <w:szCs w:val="22"/>
          <w:lang w:val="sr-Latn-ME"/>
        </w:rPr>
        <w:t>oj</w:t>
      </w:r>
      <w:r w:rsidRPr="00F45A6E">
        <w:rPr>
          <w:sz w:val="22"/>
          <w:szCs w:val="22"/>
          <w:lang w:val="sr-Latn-ME"/>
        </w:rPr>
        <w:t xml:space="preserve"> dakarbazinom (HR 0,927 [95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CI: 0,748; 1,150; </w:t>
      </w:r>
      <w:r w:rsidRPr="00F45A6E">
        <w:rPr>
          <w:i/>
          <w:iCs/>
          <w:sz w:val="22"/>
          <w:szCs w:val="22"/>
          <w:lang w:val="sr-Latn-ME"/>
        </w:rPr>
        <w:t>p</w:t>
      </w:r>
      <w:r w:rsidRPr="00F45A6E">
        <w:rPr>
          <w:sz w:val="22"/>
          <w:szCs w:val="22"/>
          <w:lang w:val="sr-Latn-ME"/>
        </w:rPr>
        <w:t>=0,4920]). Završna analiza nije pokazala značajnu razliku u medijan</w:t>
      </w:r>
      <w:r w:rsidR="00DC529C" w:rsidRPr="00F45A6E">
        <w:rPr>
          <w:sz w:val="22"/>
          <w:szCs w:val="22"/>
          <w:lang w:val="sr-Latn-ME"/>
        </w:rPr>
        <w:t>i preživljavanja</w:t>
      </w:r>
      <w:r w:rsidRPr="00F45A6E">
        <w:rPr>
          <w:sz w:val="22"/>
          <w:szCs w:val="22"/>
          <w:lang w:val="sr-Latn-ME"/>
        </w:rPr>
        <w:t xml:space="preserve"> u razdoblju praćenja od 21,2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a koji je rezultirao medijanom od 13,7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</w:t>
      </w:r>
      <w:r w:rsidR="007A55B5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(95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CI: 12,2; 16,0) za </w:t>
      </w:r>
      <w:r w:rsidR="00804D64" w:rsidRPr="00F45A6E">
        <w:rPr>
          <w:sz w:val="22"/>
          <w:szCs w:val="22"/>
          <w:lang w:val="sr-Latn-ME"/>
        </w:rPr>
        <w:t>grupu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9F438E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trabektedinom i medijanom od 13,1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 [95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CI: 9,1; 16,2] za </w:t>
      </w:r>
      <w:r w:rsidR="00804D64" w:rsidRPr="00F45A6E">
        <w:rPr>
          <w:sz w:val="22"/>
          <w:szCs w:val="22"/>
          <w:lang w:val="sr-Latn-ME"/>
        </w:rPr>
        <w:t>grupu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9F438E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dakarbazinom. Glavni sekundarni</w:t>
      </w:r>
      <w:r w:rsidR="003A0851" w:rsidRPr="00F45A6E">
        <w:rPr>
          <w:sz w:val="22"/>
          <w:szCs w:val="22"/>
          <w:lang w:val="sr-Latn-ME"/>
        </w:rPr>
        <w:t xml:space="preserve"> parametri praćenja</w:t>
      </w:r>
      <w:r w:rsidRPr="00F45A6E">
        <w:rPr>
          <w:sz w:val="22"/>
          <w:szCs w:val="22"/>
          <w:lang w:val="sr-Latn-ME"/>
        </w:rPr>
        <w:t xml:space="preserve"> ishod</w:t>
      </w:r>
      <w:r w:rsidR="003A0851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su sa</w:t>
      </w:r>
      <w:r w:rsidR="00804D6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eti u </w:t>
      </w:r>
      <w:r w:rsidR="009F438E" w:rsidRPr="00F45A6E">
        <w:rPr>
          <w:sz w:val="22"/>
          <w:szCs w:val="22"/>
          <w:lang w:val="sr-Latn-ME"/>
        </w:rPr>
        <w:t>Tabeli</w:t>
      </w:r>
      <w:r w:rsidRPr="00F45A6E">
        <w:rPr>
          <w:sz w:val="22"/>
          <w:szCs w:val="22"/>
          <w:lang w:val="sr-Latn-ME"/>
        </w:rPr>
        <w:t xml:space="preserve"> koja sl</w:t>
      </w:r>
      <w:r w:rsidR="001B47B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edi:</w:t>
      </w:r>
    </w:p>
    <w:p w14:paraId="4C812EA2" w14:textId="77777777" w:rsidR="00D7323F" w:rsidRPr="00F45A6E" w:rsidRDefault="00D7323F" w:rsidP="003A690C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4BD72969" w14:textId="5630AD4E" w:rsidR="0042512C" w:rsidRPr="00F45A6E" w:rsidRDefault="00746D65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b/>
          <w:bCs/>
          <w:sz w:val="22"/>
          <w:szCs w:val="22"/>
          <w:lang w:val="sr-Latn-ME"/>
        </w:rPr>
        <w:t xml:space="preserve">Rezultati efikasnosti iz </w:t>
      </w:r>
      <w:r w:rsidR="00861BAB" w:rsidRPr="00F45A6E">
        <w:rPr>
          <w:b/>
          <w:bCs/>
          <w:sz w:val="22"/>
          <w:szCs w:val="22"/>
          <w:lang w:val="sr-Latn-ME"/>
        </w:rPr>
        <w:t>i</w:t>
      </w:r>
      <w:r w:rsidRPr="00F45A6E">
        <w:rPr>
          <w:b/>
          <w:bCs/>
          <w:sz w:val="22"/>
          <w:szCs w:val="22"/>
          <w:lang w:val="sr-Latn-ME"/>
        </w:rPr>
        <w:t>spitivanja ET743-SAR-3007</w:t>
      </w: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41"/>
        <w:gridCol w:w="1390"/>
        <w:gridCol w:w="1389"/>
        <w:gridCol w:w="1946"/>
        <w:gridCol w:w="1151"/>
      </w:tblGrid>
      <w:tr w:rsidR="00397E40" w:rsidRPr="00F45A6E" w14:paraId="6C61602E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78A92A95" w14:textId="5634EC4D" w:rsidR="00397E40" w:rsidRPr="00F45A6E" w:rsidRDefault="00861BA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Parametri praćenja ishoda</w:t>
            </w:r>
            <w:r w:rsidR="00397E40" w:rsidRPr="00F45A6E">
              <w:rPr>
                <w:b/>
                <w:bCs/>
                <w:sz w:val="22"/>
                <w:szCs w:val="22"/>
                <w:lang w:val="sr-Latn-ME"/>
              </w:rPr>
              <w:t>/ Ispitivana populacija</w:t>
            </w:r>
          </w:p>
        </w:tc>
        <w:tc>
          <w:tcPr>
            <w:tcW w:w="771" w:type="pct"/>
            <w:vAlign w:val="center"/>
          </w:tcPr>
          <w:p w14:paraId="0CD38E64" w14:textId="0AC4FD72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Trabektedin</w:t>
            </w:r>
          </w:p>
        </w:tc>
        <w:tc>
          <w:tcPr>
            <w:tcW w:w="770" w:type="pct"/>
            <w:vAlign w:val="center"/>
          </w:tcPr>
          <w:p w14:paraId="2B0A5A56" w14:textId="423BB0D7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Dakarbazin</w:t>
            </w:r>
          </w:p>
        </w:tc>
        <w:tc>
          <w:tcPr>
            <w:tcW w:w="1079" w:type="pct"/>
            <w:vAlign w:val="center"/>
          </w:tcPr>
          <w:p w14:paraId="48F727C6" w14:textId="06FC0B50" w:rsidR="004E0094" w:rsidRPr="00F45A6E" w:rsidRDefault="001B737B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="00440853" w:rsidRPr="00F45A6E">
              <w:rPr>
                <w:b/>
                <w:bCs/>
                <w:sz w:val="22"/>
                <w:szCs w:val="22"/>
                <w:lang w:val="sr-Latn-ME"/>
              </w:rPr>
              <w:t>dnos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861BAB" w:rsidRPr="00F45A6E">
              <w:rPr>
                <w:b/>
                <w:bCs/>
                <w:sz w:val="22"/>
                <w:szCs w:val="22"/>
                <w:lang w:val="sr-Latn-ME"/>
              </w:rPr>
              <w:t xml:space="preserve">rizika 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/</w:t>
            </w:r>
          </w:p>
          <w:p w14:paraId="47385E13" w14:textId="49068598" w:rsidR="00397E40" w:rsidRPr="00F45A6E" w:rsidRDefault="00440853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odnos 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>verovatnoće</w:t>
            </w:r>
          </w:p>
        </w:tc>
        <w:tc>
          <w:tcPr>
            <w:tcW w:w="638" w:type="pct"/>
            <w:vAlign w:val="center"/>
          </w:tcPr>
          <w:p w14:paraId="587DC7A8" w14:textId="24E3BB1B" w:rsidR="00397E40" w:rsidRPr="00F45A6E" w:rsidRDefault="00440853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p </w:t>
            </w:r>
            <w:r w:rsidR="008C26C1" w:rsidRPr="00F45A6E">
              <w:rPr>
                <w:b/>
                <w:bCs/>
                <w:sz w:val="22"/>
                <w:szCs w:val="22"/>
                <w:lang w:val="sr-Latn-ME"/>
              </w:rPr>
              <w:t>vrijednost</w:t>
            </w:r>
          </w:p>
        </w:tc>
      </w:tr>
      <w:tr w:rsidR="00397E40" w:rsidRPr="00F45A6E" w14:paraId="5D6325FC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6EB3B0FB" w14:textId="4C0739A4" w:rsidR="00397E40" w:rsidRPr="00F45A6E" w:rsidRDefault="0088263A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Primarni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 xml:space="preserve"> parameter praćenja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ishod</w:t>
            </w:r>
            <w:r w:rsidR="008C4500" w:rsidRPr="00F45A6E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771" w:type="pct"/>
            <w:vAlign w:val="center"/>
          </w:tcPr>
          <w:p w14:paraId="7E997927" w14:textId="1E459F2B" w:rsidR="00397E40" w:rsidRPr="00F45A6E" w:rsidRDefault="005352EB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n=384</w:t>
            </w:r>
          </w:p>
        </w:tc>
        <w:tc>
          <w:tcPr>
            <w:tcW w:w="770" w:type="pct"/>
            <w:vAlign w:val="center"/>
          </w:tcPr>
          <w:p w14:paraId="60C9C3A1" w14:textId="5E5A1AA8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n=193</w:t>
            </w:r>
          </w:p>
        </w:tc>
        <w:tc>
          <w:tcPr>
            <w:tcW w:w="1079" w:type="pct"/>
            <w:vAlign w:val="center"/>
          </w:tcPr>
          <w:p w14:paraId="3762D812" w14:textId="77777777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8" w:type="pct"/>
            <w:vAlign w:val="center"/>
          </w:tcPr>
          <w:p w14:paraId="6608098C" w14:textId="77777777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97E40" w:rsidRPr="00F45A6E" w14:paraId="26AC140F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3FB5247D" w14:textId="42DE9030" w:rsidR="00397E40" w:rsidRPr="00F45A6E" w:rsidRDefault="000F792C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Ukupno pre</w:t>
            </w:r>
            <w:r w:rsidR="00C9120A" w:rsidRPr="00F45A6E">
              <w:rPr>
                <w:b/>
                <w:bCs/>
                <w:sz w:val="22"/>
                <w:szCs w:val="22"/>
                <w:lang w:val="sr-Latn-ME"/>
              </w:rPr>
              <w:t>življavanje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, n (%)</w:t>
            </w:r>
          </w:p>
        </w:tc>
        <w:tc>
          <w:tcPr>
            <w:tcW w:w="771" w:type="pct"/>
            <w:vAlign w:val="center"/>
          </w:tcPr>
          <w:p w14:paraId="2345B77D" w14:textId="3283121A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258 (67,2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770" w:type="pct"/>
            <w:vAlign w:val="center"/>
          </w:tcPr>
          <w:p w14:paraId="449CF55A" w14:textId="46B4B2F6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123 (63,7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vAlign w:val="center"/>
          </w:tcPr>
          <w:p w14:paraId="547D4759" w14:textId="6B178C30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0,927 (0,748-1,150)</w:t>
            </w:r>
          </w:p>
        </w:tc>
        <w:tc>
          <w:tcPr>
            <w:tcW w:w="638" w:type="pct"/>
            <w:vAlign w:val="center"/>
          </w:tcPr>
          <w:p w14:paraId="65271060" w14:textId="7CA09081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0,4920</w:t>
            </w:r>
          </w:p>
        </w:tc>
      </w:tr>
      <w:tr w:rsidR="00397E40" w:rsidRPr="00F45A6E" w14:paraId="26865909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328A4D7B" w14:textId="4C3B1A06" w:rsidR="00397E40" w:rsidRPr="00F45A6E" w:rsidRDefault="000F792C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lastRenderedPageBreak/>
              <w:t xml:space="preserve">Sekundarni 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 xml:space="preserve">parametri praćenja 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ishod</w:t>
            </w:r>
            <w:r w:rsidR="008C4500" w:rsidRPr="00F45A6E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771" w:type="pct"/>
            <w:vAlign w:val="center"/>
          </w:tcPr>
          <w:p w14:paraId="7ECB2CD7" w14:textId="368B8140" w:rsidR="00397E40" w:rsidRPr="00F45A6E" w:rsidRDefault="000155A5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n=345</w:t>
            </w:r>
          </w:p>
        </w:tc>
        <w:tc>
          <w:tcPr>
            <w:tcW w:w="770" w:type="pct"/>
            <w:vAlign w:val="center"/>
          </w:tcPr>
          <w:p w14:paraId="5384270B" w14:textId="30CB497B" w:rsidR="00397E40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n=173</w:t>
            </w:r>
          </w:p>
        </w:tc>
        <w:tc>
          <w:tcPr>
            <w:tcW w:w="1079" w:type="pct"/>
            <w:vAlign w:val="center"/>
          </w:tcPr>
          <w:p w14:paraId="0FDAC36A" w14:textId="77777777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8" w:type="pct"/>
            <w:vAlign w:val="center"/>
          </w:tcPr>
          <w:p w14:paraId="56877AFE" w14:textId="77777777" w:rsidR="00397E40" w:rsidRPr="00F45A6E" w:rsidRDefault="00397E40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9A7752" w:rsidRPr="00F45A6E" w14:paraId="6C2132B2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0B12844A" w14:textId="59BEB78A" w:rsidR="009A7752" w:rsidRPr="00F45A6E" w:rsidRDefault="00767B26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Preživljavanje</w:t>
            </w:r>
            <w:r w:rsidR="009A7752" w:rsidRPr="00F45A6E">
              <w:rPr>
                <w:b/>
                <w:bCs/>
                <w:sz w:val="22"/>
                <w:szCs w:val="22"/>
                <w:lang w:val="sr-Latn-ME"/>
              </w:rPr>
              <w:t xml:space="preserve"> bez progresije bolesti (PFS) (</w:t>
            </w:r>
            <w:r w:rsidR="004E1A6C" w:rsidRPr="00F45A6E">
              <w:rPr>
                <w:b/>
                <w:bCs/>
                <w:sz w:val="22"/>
                <w:szCs w:val="22"/>
                <w:lang w:val="sr-Latn-ME"/>
              </w:rPr>
              <w:t>mjesec</w:t>
            </w:r>
            <w:r w:rsidR="009A7752" w:rsidRPr="00F45A6E">
              <w:rPr>
                <w:b/>
                <w:bCs/>
                <w:sz w:val="22"/>
                <w:szCs w:val="22"/>
                <w:lang w:val="sr-Latn-ME"/>
              </w:rPr>
              <w:t>i; 95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>%</w:t>
            </w:r>
            <w:r w:rsidR="009A7752" w:rsidRPr="00F45A6E">
              <w:rPr>
                <w:b/>
                <w:bCs/>
                <w:sz w:val="22"/>
                <w:szCs w:val="22"/>
                <w:lang w:val="sr-Latn-ME"/>
              </w:rPr>
              <w:t xml:space="preserve"> CI)</w:t>
            </w:r>
          </w:p>
        </w:tc>
        <w:tc>
          <w:tcPr>
            <w:tcW w:w="771" w:type="pct"/>
            <w:vAlign w:val="center"/>
          </w:tcPr>
          <w:p w14:paraId="6069D270" w14:textId="262100A8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4,2</w:t>
            </w:r>
          </w:p>
        </w:tc>
        <w:tc>
          <w:tcPr>
            <w:tcW w:w="770" w:type="pct"/>
            <w:vAlign w:val="center"/>
          </w:tcPr>
          <w:p w14:paraId="56BAFE6F" w14:textId="5B22E9DF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079" w:type="pct"/>
            <w:vAlign w:val="center"/>
          </w:tcPr>
          <w:p w14:paraId="5EBFC9CE" w14:textId="6572FCBB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0,55 (0,44; 0,70)</w:t>
            </w:r>
          </w:p>
        </w:tc>
        <w:tc>
          <w:tcPr>
            <w:tcW w:w="638" w:type="pct"/>
            <w:vAlign w:val="center"/>
          </w:tcPr>
          <w:p w14:paraId="7EADC9BC" w14:textId="07568148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&lt;0,0001</w:t>
            </w:r>
          </w:p>
        </w:tc>
      </w:tr>
      <w:tr w:rsidR="009A7752" w:rsidRPr="00F45A6E" w14:paraId="6B1BFA7D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63A234C4" w14:textId="1CAA577D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Ukupna stopa odgovora (ORR),</w:t>
            </w:r>
          </w:p>
          <w:p w14:paraId="5507C95B" w14:textId="4DEB0FF4" w:rsidR="004E0094" w:rsidRPr="00F45A6E" w:rsidRDefault="009A7752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n (%); </w:t>
            </w:r>
            <w:r w:rsidR="00767B26" w:rsidRPr="00F45A6E">
              <w:rPr>
                <w:b/>
                <w:bCs/>
                <w:sz w:val="22"/>
                <w:szCs w:val="22"/>
                <w:lang w:val="sr-Latn-ME"/>
              </w:rPr>
              <w:t>Odnos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>verovatnoće</w:t>
            </w:r>
          </w:p>
          <w:p w14:paraId="50A2CB2D" w14:textId="5007A11A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(95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>%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CI)</w:t>
            </w:r>
          </w:p>
        </w:tc>
        <w:tc>
          <w:tcPr>
            <w:tcW w:w="771" w:type="pct"/>
            <w:vAlign w:val="center"/>
          </w:tcPr>
          <w:p w14:paraId="10596893" w14:textId="4DCFF0A9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34 (9,9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770" w:type="pct"/>
            <w:vAlign w:val="center"/>
          </w:tcPr>
          <w:p w14:paraId="510D801B" w14:textId="3D506840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12 (6,9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vAlign w:val="center"/>
          </w:tcPr>
          <w:p w14:paraId="0DF86833" w14:textId="50BC2575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1,47 (0,72; 3,2)</w:t>
            </w:r>
          </w:p>
        </w:tc>
        <w:tc>
          <w:tcPr>
            <w:tcW w:w="638" w:type="pct"/>
            <w:vAlign w:val="center"/>
          </w:tcPr>
          <w:p w14:paraId="0DC21E95" w14:textId="5CF5DAE9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0,33</w:t>
            </w:r>
          </w:p>
        </w:tc>
      </w:tr>
      <w:tr w:rsidR="009A7752" w:rsidRPr="00F45A6E" w14:paraId="63E1C977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2B658EBD" w14:textId="4133CEBC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Trajanje odgovora (DOR) 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>(</w:t>
            </w:r>
            <w:r w:rsidR="004E1A6C" w:rsidRPr="00F45A6E">
              <w:rPr>
                <w:b/>
                <w:bCs/>
                <w:sz w:val="22"/>
                <w:szCs w:val="22"/>
                <w:lang w:val="sr-Latn-ME"/>
              </w:rPr>
              <w:t>mjesec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i; 95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>%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CI)</w:t>
            </w:r>
          </w:p>
        </w:tc>
        <w:tc>
          <w:tcPr>
            <w:tcW w:w="771" w:type="pct"/>
            <w:vAlign w:val="center"/>
          </w:tcPr>
          <w:p w14:paraId="7221AFEA" w14:textId="5EDBFB94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6,5</w:t>
            </w:r>
          </w:p>
        </w:tc>
        <w:tc>
          <w:tcPr>
            <w:tcW w:w="770" w:type="pct"/>
            <w:vAlign w:val="center"/>
          </w:tcPr>
          <w:p w14:paraId="11669A3F" w14:textId="384F3BED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4,2</w:t>
            </w:r>
          </w:p>
        </w:tc>
        <w:tc>
          <w:tcPr>
            <w:tcW w:w="1079" w:type="pct"/>
            <w:vAlign w:val="center"/>
          </w:tcPr>
          <w:p w14:paraId="28382EA4" w14:textId="52BAC0CC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0,47 (0,17; 1,32)</w:t>
            </w:r>
          </w:p>
        </w:tc>
        <w:tc>
          <w:tcPr>
            <w:tcW w:w="638" w:type="pct"/>
            <w:vAlign w:val="center"/>
          </w:tcPr>
          <w:p w14:paraId="0E62158F" w14:textId="618339CF" w:rsidR="009A7752" w:rsidRPr="00F45A6E" w:rsidRDefault="009A775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0,14</w:t>
            </w:r>
          </w:p>
        </w:tc>
      </w:tr>
      <w:tr w:rsidR="007058FF" w:rsidRPr="00F45A6E" w14:paraId="6B172368" w14:textId="77777777" w:rsidTr="00F926E0">
        <w:trPr>
          <w:trHeight w:val="57"/>
        </w:trPr>
        <w:tc>
          <w:tcPr>
            <w:tcW w:w="1742" w:type="pct"/>
            <w:vAlign w:val="center"/>
          </w:tcPr>
          <w:p w14:paraId="1CB3612D" w14:textId="024DA307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Stopa kliničke koristi (CBR),</w:t>
            </w:r>
          </w:p>
          <w:p w14:paraId="67FAD51C" w14:textId="745DD7FB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n (%); </w:t>
            </w:r>
            <w:r w:rsidR="00767B26" w:rsidRPr="00F45A6E">
              <w:rPr>
                <w:b/>
                <w:bCs/>
                <w:sz w:val="22"/>
                <w:szCs w:val="22"/>
                <w:lang w:val="sr-Latn-ME"/>
              </w:rPr>
              <w:t>Odnos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>v</w:t>
            </w:r>
            <w:r w:rsidR="00FB1312" w:rsidRPr="00F45A6E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="004E0094" w:rsidRPr="00F45A6E">
              <w:rPr>
                <w:b/>
                <w:bCs/>
                <w:sz w:val="22"/>
                <w:szCs w:val="22"/>
                <w:lang w:val="sr-Latn-ME"/>
              </w:rPr>
              <w:t xml:space="preserve">erovatnoće 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(95</w:t>
            </w:r>
            <w:r w:rsidR="00C157E6" w:rsidRPr="00F45A6E">
              <w:rPr>
                <w:b/>
                <w:bCs/>
                <w:sz w:val="22"/>
                <w:szCs w:val="22"/>
                <w:lang w:val="sr-Latn-ME"/>
              </w:rPr>
              <w:t>%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 CI)</w:t>
            </w:r>
          </w:p>
        </w:tc>
        <w:tc>
          <w:tcPr>
            <w:tcW w:w="771" w:type="pct"/>
            <w:vAlign w:val="center"/>
          </w:tcPr>
          <w:p w14:paraId="1CCE8F2E" w14:textId="3781E4DC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34,2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770" w:type="pct"/>
            <w:vAlign w:val="center"/>
          </w:tcPr>
          <w:p w14:paraId="3B57A2CA" w14:textId="0D35AF5B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18,5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079" w:type="pct"/>
            <w:vAlign w:val="center"/>
          </w:tcPr>
          <w:p w14:paraId="2C0CF960" w14:textId="5F94EAF5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2,3 (1,45; 3,7)</w:t>
            </w:r>
          </w:p>
        </w:tc>
        <w:tc>
          <w:tcPr>
            <w:tcW w:w="638" w:type="pct"/>
            <w:vAlign w:val="center"/>
          </w:tcPr>
          <w:p w14:paraId="08C79120" w14:textId="6F069BFB" w:rsidR="007058FF" w:rsidRPr="00F45A6E" w:rsidRDefault="007058FF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&lt;0,0002</w:t>
            </w:r>
          </w:p>
        </w:tc>
      </w:tr>
    </w:tbl>
    <w:p w14:paraId="2CD5FF04" w14:textId="77777777" w:rsidR="0042512C" w:rsidRPr="00F45A6E" w:rsidRDefault="0042512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5938B8F0" w14:textId="3D2A2901" w:rsidR="00663848" w:rsidRPr="00F45A6E" w:rsidRDefault="00BC5B88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Dodatni podaci o </w:t>
      </w:r>
      <w:r w:rsidR="008524C1" w:rsidRPr="00F45A6E">
        <w:rPr>
          <w:sz w:val="22"/>
          <w:szCs w:val="22"/>
          <w:lang w:val="sr-Latn-ME"/>
        </w:rPr>
        <w:t>efikasnosti</w:t>
      </w:r>
      <w:r w:rsidR="004E7C8D" w:rsidRPr="00F45A6E">
        <w:rPr>
          <w:sz w:val="22"/>
          <w:szCs w:val="22"/>
          <w:lang w:val="sr-Latn-ME"/>
        </w:rPr>
        <w:t xml:space="preserve"> prim</w:t>
      </w:r>
      <w:r w:rsidR="00BF4DC4" w:rsidRPr="00F45A6E">
        <w:rPr>
          <w:sz w:val="22"/>
          <w:szCs w:val="22"/>
          <w:lang w:val="sr-Latn-ME"/>
        </w:rPr>
        <w:t>j</w:t>
      </w:r>
      <w:r w:rsidR="004E7C8D" w:rsidRPr="00F45A6E">
        <w:rPr>
          <w:sz w:val="22"/>
          <w:szCs w:val="22"/>
          <w:lang w:val="sr-Latn-ME"/>
        </w:rPr>
        <w:t>ene</w:t>
      </w:r>
      <w:r w:rsidRPr="00F45A6E">
        <w:rPr>
          <w:sz w:val="22"/>
          <w:szCs w:val="22"/>
          <w:lang w:val="sr-Latn-ME"/>
        </w:rPr>
        <w:t xml:space="preserve"> dostupni su iz randomiz</w:t>
      </w:r>
      <w:r w:rsidR="008524C1" w:rsidRPr="00F45A6E">
        <w:rPr>
          <w:sz w:val="22"/>
          <w:szCs w:val="22"/>
          <w:lang w:val="sr-Latn-ME"/>
        </w:rPr>
        <w:t>ov</w:t>
      </w:r>
      <w:r w:rsidRPr="00F45A6E">
        <w:rPr>
          <w:sz w:val="22"/>
          <w:szCs w:val="22"/>
          <w:lang w:val="sr-Latn-ME"/>
        </w:rPr>
        <w:t xml:space="preserve">anog, otvorenog, multicentričnog ispitivanja faze II [JapicCTI-121850] </w:t>
      </w:r>
      <w:r w:rsidR="008524C1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provedenog </w:t>
      </w:r>
      <w:r w:rsidR="008524C1" w:rsidRPr="00F45A6E">
        <w:rPr>
          <w:sz w:val="22"/>
          <w:szCs w:val="22"/>
          <w:lang w:val="sr-Latn-ME"/>
        </w:rPr>
        <w:t>pacijentima</w:t>
      </w:r>
      <w:r w:rsidR="004E7C8D" w:rsidRPr="00F45A6E">
        <w:rPr>
          <w:sz w:val="22"/>
          <w:szCs w:val="22"/>
          <w:lang w:val="sr-Latn-ME"/>
        </w:rPr>
        <w:t xml:space="preserve"> (Japanci)</w:t>
      </w:r>
      <w:r w:rsidRPr="00F45A6E">
        <w:rPr>
          <w:sz w:val="22"/>
          <w:szCs w:val="22"/>
          <w:lang w:val="sr-Latn-ME"/>
        </w:rPr>
        <w:t xml:space="preserve"> sa sarkomima povezanim s</w:t>
      </w:r>
      <w:r w:rsidR="008524C1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translokacijom (engl.</w:t>
      </w:r>
      <w:r w:rsidRPr="00F45A6E">
        <w:rPr>
          <w:i/>
          <w:iCs/>
          <w:sz w:val="22"/>
          <w:szCs w:val="22"/>
          <w:lang w:val="sr-Latn-ME"/>
        </w:rPr>
        <w:t xml:space="preserve"> translocation-related sarcoma, TRS</w:t>
      </w:r>
      <w:r w:rsidRPr="00F45A6E">
        <w:rPr>
          <w:sz w:val="22"/>
          <w:szCs w:val="22"/>
          <w:lang w:val="sr-Latn-ME"/>
        </w:rPr>
        <w:t>), me</w:t>
      </w:r>
      <w:r w:rsidR="008524C1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u kojima je najčešći bio miksoidni liposarkom okruglih </w:t>
      </w:r>
      <w:r w:rsidR="00D14C1E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 xml:space="preserve"> (n=24), sinovijalni sarkom (n=18), mezenhimalni hondrosarkom (n=6) i ekstraskeletalni </w:t>
      </w:r>
      <w:r w:rsidRPr="00F45A6E">
        <w:rPr>
          <w:i/>
          <w:iCs/>
          <w:sz w:val="22"/>
          <w:szCs w:val="22"/>
          <w:lang w:val="sr-Latn-ME"/>
        </w:rPr>
        <w:t>Ewing</w:t>
      </w:r>
      <w:r w:rsidR="004E7C8D" w:rsidRPr="00F45A6E">
        <w:rPr>
          <w:i/>
          <w:iCs/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>ov sarkom/primitivni neuroektodermalni tumor (engl.</w:t>
      </w:r>
      <w:r w:rsidRPr="00F45A6E">
        <w:rPr>
          <w:i/>
          <w:iCs/>
          <w:sz w:val="22"/>
          <w:szCs w:val="22"/>
          <w:lang w:val="sr-Latn-ME"/>
        </w:rPr>
        <w:t xml:space="preserve"> primitive neuroectodermal tumor</w:t>
      </w:r>
      <w:r w:rsidRPr="00F45A6E">
        <w:rPr>
          <w:sz w:val="22"/>
          <w:szCs w:val="22"/>
          <w:lang w:val="sr-Latn-ME"/>
        </w:rPr>
        <w:t>, PNET), alveolarni sarkom mekog tkiva, alveolarni rabdomiosarkom i sarkom sv</w:t>
      </w:r>
      <w:r w:rsidR="00FB1312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etlih </w:t>
      </w:r>
      <w:r w:rsidR="00D14C1E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 xml:space="preserve"> (svaki n=5). Ispitivanje je oc</w:t>
      </w:r>
      <w:r w:rsidR="00FB131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enjivalo </w:t>
      </w:r>
      <w:r w:rsidR="00D14C1E" w:rsidRPr="00F45A6E">
        <w:rPr>
          <w:sz w:val="22"/>
          <w:szCs w:val="22"/>
          <w:lang w:val="sr-Latn-ME"/>
        </w:rPr>
        <w:t>efikasnost i bezb</w:t>
      </w:r>
      <w:r w:rsidR="00FB1312" w:rsidRPr="00F45A6E">
        <w:rPr>
          <w:sz w:val="22"/>
          <w:szCs w:val="22"/>
          <w:lang w:val="sr-Latn-ME"/>
        </w:rPr>
        <w:t>j</w:t>
      </w:r>
      <w:r w:rsidR="00D14C1E" w:rsidRPr="00F45A6E">
        <w:rPr>
          <w:sz w:val="22"/>
          <w:szCs w:val="22"/>
          <w:lang w:val="sr-Latn-ME"/>
        </w:rPr>
        <w:t>ednost</w:t>
      </w:r>
      <w:r w:rsidRPr="00F45A6E">
        <w:rPr>
          <w:sz w:val="22"/>
          <w:szCs w:val="22"/>
          <w:lang w:val="sr-Latn-ME"/>
        </w:rPr>
        <w:t xml:space="preserve"> </w:t>
      </w:r>
      <w:r w:rsidR="00BF4DC4" w:rsidRPr="00F45A6E">
        <w:rPr>
          <w:sz w:val="22"/>
          <w:szCs w:val="22"/>
          <w:lang w:val="sr-Latn-ME"/>
        </w:rPr>
        <w:t>primjene</w:t>
      </w:r>
      <w:r w:rsidR="004E7C8D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trabektedina u odnosu na najbolju suportivnu terapiju (engl.</w:t>
      </w:r>
      <w:r w:rsidRPr="00F45A6E">
        <w:rPr>
          <w:i/>
          <w:iCs/>
          <w:sz w:val="22"/>
          <w:szCs w:val="22"/>
          <w:lang w:val="sr-Latn-ME"/>
        </w:rPr>
        <w:t xml:space="preserve"> best supportive care</w:t>
      </w:r>
      <w:r w:rsidRPr="00F45A6E">
        <w:rPr>
          <w:sz w:val="22"/>
          <w:szCs w:val="22"/>
          <w:lang w:val="sr-Latn-ME"/>
        </w:rPr>
        <w:t xml:space="preserve">, BSC) kao terapiju druge ili kasnije linije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za </w:t>
      </w:r>
      <w:r w:rsidR="002D24B7" w:rsidRPr="00F45A6E">
        <w:rPr>
          <w:sz w:val="22"/>
          <w:szCs w:val="22"/>
          <w:lang w:val="sr-Latn-ME"/>
        </w:rPr>
        <w:t>pacijente</w:t>
      </w:r>
      <w:r w:rsidRPr="00F45A6E">
        <w:rPr>
          <w:sz w:val="22"/>
          <w:szCs w:val="22"/>
          <w:lang w:val="sr-Latn-ME"/>
        </w:rPr>
        <w:t xml:space="preserve"> s</w:t>
      </w:r>
      <w:r w:rsidR="002D24B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uznapredovalim TRS koji ne odgovaraju ili ne podnose standardni re</w:t>
      </w:r>
      <w:r w:rsidR="002D24B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 </w:t>
      </w:r>
      <w:r w:rsidR="002D24B7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em</w:t>
      </w:r>
      <w:r w:rsidR="004E7C8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oterapije. </w:t>
      </w:r>
      <w:r w:rsidR="00463EBE" w:rsidRPr="00F45A6E">
        <w:rPr>
          <w:sz w:val="22"/>
          <w:szCs w:val="22"/>
          <w:lang w:val="sr-Latn-ME"/>
        </w:rPr>
        <w:t xml:space="preserve">Pacijenti </w:t>
      </w:r>
      <w:r w:rsidRPr="00F45A6E">
        <w:rPr>
          <w:sz w:val="22"/>
          <w:szCs w:val="22"/>
          <w:lang w:val="sr-Latn-ME"/>
        </w:rPr>
        <w:t>su primili trabektedin u dozi od 1,2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 koja se preporučuje za </w:t>
      </w:r>
      <w:r w:rsidR="00BC4116" w:rsidRPr="00F45A6E">
        <w:rPr>
          <w:sz w:val="22"/>
          <w:szCs w:val="22"/>
          <w:lang w:val="sr-Latn-ME"/>
        </w:rPr>
        <w:t xml:space="preserve">japanske </w:t>
      </w:r>
      <w:r w:rsidR="00767B26" w:rsidRPr="00F45A6E">
        <w:rPr>
          <w:sz w:val="22"/>
          <w:szCs w:val="22"/>
          <w:lang w:val="sr-Latn-ME"/>
        </w:rPr>
        <w:t>pacijente</w:t>
      </w:r>
      <w:r w:rsidR="004E7C8D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[1,2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 jednom svak</w:t>
      </w:r>
      <w:r w:rsidR="00767B26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767B26" w:rsidRPr="00F45A6E">
        <w:rPr>
          <w:sz w:val="22"/>
          <w:szCs w:val="22"/>
          <w:lang w:val="sr-Latn-ME"/>
        </w:rPr>
        <w:t>nedelje</w:t>
      </w:r>
      <w:r w:rsidR="00D624FA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 xml:space="preserve">(q3wk 24-h)]. U ispitivanju je </w:t>
      </w:r>
      <w:r w:rsidR="00D624FA" w:rsidRPr="00F45A6E">
        <w:rPr>
          <w:sz w:val="22"/>
          <w:szCs w:val="22"/>
          <w:lang w:val="sr-Latn-ME"/>
        </w:rPr>
        <w:t>učestvovalo</w:t>
      </w:r>
      <w:r w:rsidRPr="00F45A6E">
        <w:rPr>
          <w:sz w:val="22"/>
          <w:szCs w:val="22"/>
          <w:lang w:val="sr-Latn-ME"/>
        </w:rPr>
        <w:t xml:space="preserve"> ukupno 76 </w:t>
      </w:r>
      <w:r w:rsidR="00BC4116" w:rsidRPr="00F45A6E">
        <w:rPr>
          <w:sz w:val="22"/>
          <w:szCs w:val="22"/>
          <w:lang w:val="sr-Latn-ME"/>
        </w:rPr>
        <w:t xml:space="preserve">japanskih </w:t>
      </w:r>
      <w:r w:rsidR="00D624FA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>, od kojih su 73 bila uključena u set završne analize. Primarni</w:t>
      </w:r>
      <w:r w:rsidR="00FA2BCD" w:rsidRPr="00F45A6E">
        <w:rPr>
          <w:sz w:val="22"/>
          <w:szCs w:val="22"/>
          <w:lang w:val="sr-Latn-ME"/>
        </w:rPr>
        <w:t xml:space="preserve"> parametar praćenja</w:t>
      </w:r>
      <w:r w:rsidRPr="00F45A6E">
        <w:rPr>
          <w:sz w:val="22"/>
          <w:szCs w:val="22"/>
          <w:lang w:val="sr-Latn-ME"/>
        </w:rPr>
        <w:t xml:space="preserve"> ishod ispitivanja bio</w:t>
      </w:r>
      <w:r w:rsidR="00663848" w:rsidRPr="00F45A6E">
        <w:rPr>
          <w:sz w:val="22"/>
          <w:szCs w:val="22"/>
          <w:lang w:val="sr-Latn-ME"/>
        </w:rPr>
        <w:t xml:space="preserve"> je pre</w:t>
      </w:r>
      <w:r w:rsidR="00D624FA" w:rsidRPr="00F45A6E">
        <w:rPr>
          <w:sz w:val="22"/>
          <w:szCs w:val="22"/>
          <w:lang w:val="sr-Latn-ME"/>
        </w:rPr>
        <w:t>življavanje</w:t>
      </w:r>
      <w:r w:rsidR="00663848" w:rsidRPr="00F45A6E">
        <w:rPr>
          <w:sz w:val="22"/>
          <w:szCs w:val="22"/>
          <w:lang w:val="sr-Latn-ME"/>
        </w:rPr>
        <w:t xml:space="preserve"> bez progresije bolesti (engl.</w:t>
      </w:r>
      <w:r w:rsidR="00663848" w:rsidRPr="00F45A6E">
        <w:rPr>
          <w:i/>
          <w:iCs/>
          <w:sz w:val="22"/>
          <w:szCs w:val="22"/>
          <w:lang w:val="sr-Latn-ME"/>
        </w:rPr>
        <w:t xml:space="preserve"> progression free survival</w:t>
      </w:r>
      <w:r w:rsidR="00663848" w:rsidRPr="00F45A6E">
        <w:rPr>
          <w:sz w:val="22"/>
          <w:szCs w:val="22"/>
          <w:lang w:val="sr-Latn-ME"/>
        </w:rPr>
        <w:t>, PFS) koja je pokazala statistički značajno poboljšanje u korist trabektedina u odnosu na BSC [HR=0,07; 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0,03-0,16; </w:t>
      </w:r>
      <w:r w:rsidR="00663848" w:rsidRPr="00F45A6E">
        <w:rPr>
          <w:i/>
          <w:iCs/>
          <w:sz w:val="22"/>
          <w:szCs w:val="22"/>
          <w:lang w:val="sr-Latn-ME"/>
        </w:rPr>
        <w:t>p</w:t>
      </w:r>
      <w:r w:rsidR="00663848" w:rsidRPr="00F45A6E">
        <w:rPr>
          <w:sz w:val="22"/>
          <w:szCs w:val="22"/>
          <w:lang w:val="sr-Latn-ME"/>
        </w:rPr>
        <w:t>&lt;0,0001], s</w:t>
      </w:r>
      <w:r w:rsidR="00D624FA" w:rsidRPr="00F45A6E">
        <w:rPr>
          <w:sz w:val="22"/>
          <w:szCs w:val="22"/>
          <w:lang w:val="sr-Latn-ME"/>
        </w:rPr>
        <w:t>a</w:t>
      </w:r>
      <w:r w:rsidR="00663848" w:rsidRPr="00F45A6E">
        <w:rPr>
          <w:sz w:val="22"/>
          <w:szCs w:val="22"/>
          <w:lang w:val="sr-Latn-ME"/>
        </w:rPr>
        <w:t xml:space="preserve"> medijanom PFS u </w:t>
      </w:r>
      <w:r w:rsidR="00D624FA" w:rsidRPr="00F45A6E">
        <w:rPr>
          <w:sz w:val="22"/>
          <w:szCs w:val="22"/>
          <w:lang w:val="sr-Latn-ME"/>
        </w:rPr>
        <w:t>grupi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FA2BCD" w:rsidRPr="00F45A6E">
        <w:rPr>
          <w:sz w:val="22"/>
          <w:szCs w:val="22"/>
          <w:lang w:val="sr-Latn-ME"/>
        </w:rPr>
        <w:t>oj</w:t>
      </w:r>
      <w:r w:rsidR="00663848" w:rsidRPr="00F45A6E">
        <w:rPr>
          <w:sz w:val="22"/>
          <w:szCs w:val="22"/>
          <w:lang w:val="sr-Latn-ME"/>
        </w:rPr>
        <w:t xml:space="preserve"> trabektedinom od 5,6 </w:t>
      </w:r>
      <w:r w:rsidR="004E1A6C" w:rsidRPr="00F45A6E">
        <w:rPr>
          <w:sz w:val="22"/>
          <w:szCs w:val="22"/>
          <w:lang w:val="sr-Latn-ME"/>
        </w:rPr>
        <w:t>mjesec</w:t>
      </w:r>
      <w:r w:rsidR="00663848" w:rsidRPr="00F45A6E">
        <w:rPr>
          <w:sz w:val="22"/>
          <w:szCs w:val="22"/>
          <w:lang w:val="sr-Latn-ME"/>
        </w:rPr>
        <w:t>i [95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4,1-7,5], a u </w:t>
      </w:r>
      <w:r w:rsidR="00D624FA" w:rsidRPr="00F45A6E">
        <w:rPr>
          <w:sz w:val="22"/>
          <w:szCs w:val="22"/>
          <w:lang w:val="sr-Latn-ME"/>
        </w:rPr>
        <w:t>grupi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FA2BCD" w:rsidRPr="00F45A6E">
        <w:rPr>
          <w:sz w:val="22"/>
          <w:szCs w:val="22"/>
          <w:lang w:val="sr-Latn-ME"/>
        </w:rPr>
        <w:t>koja je primala</w:t>
      </w:r>
      <w:r w:rsidR="00663848" w:rsidRPr="00F45A6E">
        <w:rPr>
          <w:sz w:val="22"/>
          <w:szCs w:val="22"/>
          <w:lang w:val="sr-Latn-ME"/>
        </w:rPr>
        <w:t xml:space="preserve"> BSC od 0,9 </w:t>
      </w:r>
      <w:r w:rsidR="004E1A6C" w:rsidRPr="00F45A6E">
        <w:rPr>
          <w:sz w:val="22"/>
          <w:szCs w:val="22"/>
          <w:lang w:val="sr-Latn-ME"/>
        </w:rPr>
        <w:t>mjesec</w:t>
      </w:r>
      <w:r w:rsidR="00663848" w:rsidRPr="00F45A6E">
        <w:rPr>
          <w:sz w:val="22"/>
          <w:szCs w:val="22"/>
          <w:lang w:val="sr-Latn-ME"/>
        </w:rPr>
        <w:t>i [95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0,7-1,0]. Sekundarni</w:t>
      </w:r>
      <w:r w:rsidR="00FA2BCD" w:rsidRPr="00F45A6E">
        <w:rPr>
          <w:sz w:val="22"/>
          <w:szCs w:val="22"/>
          <w:lang w:val="sr-Latn-ME"/>
        </w:rPr>
        <w:t xml:space="preserve"> parametri praćenja</w:t>
      </w:r>
      <w:r w:rsidR="00663848" w:rsidRPr="00F45A6E">
        <w:rPr>
          <w:sz w:val="22"/>
          <w:szCs w:val="22"/>
          <w:lang w:val="sr-Latn-ME"/>
        </w:rPr>
        <w:t xml:space="preserve"> ishodi uključivali su objektivni odgovor analiziran pomoću RECIST i Choi kriterij</w:t>
      </w:r>
      <w:r w:rsidR="000C401D" w:rsidRPr="00F45A6E">
        <w:rPr>
          <w:sz w:val="22"/>
          <w:szCs w:val="22"/>
          <w:lang w:val="sr-Latn-ME"/>
        </w:rPr>
        <w:t>uma</w:t>
      </w:r>
      <w:r w:rsidR="00663848" w:rsidRPr="00F45A6E">
        <w:rPr>
          <w:sz w:val="22"/>
          <w:szCs w:val="22"/>
          <w:lang w:val="sr-Latn-ME"/>
        </w:rPr>
        <w:t>. Prema RECIST kriterijim</w:t>
      </w:r>
      <w:r w:rsidR="000C401D" w:rsidRPr="00F45A6E">
        <w:rPr>
          <w:sz w:val="22"/>
          <w:szCs w:val="22"/>
          <w:lang w:val="sr-Latn-ME"/>
        </w:rPr>
        <w:t>ima</w:t>
      </w:r>
      <w:r w:rsidR="00663848" w:rsidRPr="00F45A6E">
        <w:rPr>
          <w:sz w:val="22"/>
          <w:szCs w:val="22"/>
          <w:lang w:val="sr-Latn-ME"/>
        </w:rPr>
        <w:t>, stopa ukupnog odgovora (engl.</w:t>
      </w:r>
      <w:r w:rsidR="00663848" w:rsidRPr="00F45A6E">
        <w:rPr>
          <w:i/>
          <w:iCs/>
          <w:sz w:val="22"/>
          <w:szCs w:val="22"/>
          <w:lang w:val="sr-Latn-ME"/>
        </w:rPr>
        <w:t xml:space="preserve"> overall response rate, </w:t>
      </w:r>
      <w:r w:rsidR="00663848" w:rsidRPr="00F45A6E">
        <w:rPr>
          <w:sz w:val="22"/>
          <w:szCs w:val="22"/>
          <w:lang w:val="sr-Latn-ME"/>
        </w:rPr>
        <w:t xml:space="preserve">ORR) kod </w:t>
      </w:r>
      <w:r w:rsidR="000C401D" w:rsidRPr="00F45A6E">
        <w:rPr>
          <w:sz w:val="22"/>
          <w:szCs w:val="22"/>
          <w:lang w:val="sr-Latn-ME"/>
        </w:rPr>
        <w:t>pacijenata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 xml:space="preserve">ih trabektedinom iznosila je 3 (8,1%; 95% CI: 1,7-21,9%), a </w:t>
      </w:r>
      <w:r w:rsidR="000C401D" w:rsidRPr="00F45A6E">
        <w:rPr>
          <w:sz w:val="22"/>
          <w:szCs w:val="22"/>
          <w:lang w:val="sr-Latn-ME"/>
        </w:rPr>
        <w:t>kod pacijenata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>ih najboljom suportivnom terapijom iznosila je 0 (0%, 95% CI: 0,0-9,7%), dok je stopa kliničke koristi (engl.</w:t>
      </w:r>
      <w:r w:rsidR="00663848" w:rsidRPr="00F45A6E">
        <w:rPr>
          <w:i/>
          <w:iCs/>
          <w:sz w:val="22"/>
          <w:szCs w:val="22"/>
          <w:lang w:val="sr-Latn-ME"/>
        </w:rPr>
        <w:t xml:space="preserve"> clinical benefit rate</w:t>
      </w:r>
      <w:r w:rsidR="00663848" w:rsidRPr="00F45A6E">
        <w:rPr>
          <w:sz w:val="22"/>
          <w:szCs w:val="22"/>
          <w:lang w:val="sr-Latn-ME"/>
        </w:rPr>
        <w:t xml:space="preserve">, CBR) iznosila 24 (64,9%, 95% CI: 47,5-79,9%) za </w:t>
      </w:r>
      <w:r w:rsidR="002A5F9C" w:rsidRPr="00F45A6E">
        <w:rPr>
          <w:sz w:val="22"/>
          <w:szCs w:val="22"/>
          <w:lang w:val="sr-Latn-ME"/>
        </w:rPr>
        <w:t>pacijente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>e trabektedinom odnosno 0 (0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>, 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0,0-9,7%) za </w:t>
      </w:r>
      <w:r w:rsidR="002A5F9C" w:rsidRPr="00F45A6E">
        <w:rPr>
          <w:sz w:val="22"/>
          <w:szCs w:val="22"/>
          <w:lang w:val="sr-Latn-ME"/>
        </w:rPr>
        <w:t>pacijente</w:t>
      </w:r>
      <w:r w:rsidR="00663848" w:rsidRPr="00F45A6E">
        <w:rPr>
          <w:sz w:val="22"/>
          <w:szCs w:val="22"/>
          <w:lang w:val="sr-Latn-ME"/>
        </w:rPr>
        <w:t xml:space="preserve"> koji su primali BSC. Prema Choi kriterijim</w:t>
      </w:r>
      <w:r w:rsidR="002A5F9C" w:rsidRPr="00F45A6E">
        <w:rPr>
          <w:sz w:val="22"/>
          <w:szCs w:val="22"/>
          <w:lang w:val="sr-Latn-ME"/>
        </w:rPr>
        <w:t>ima</w:t>
      </w:r>
      <w:r w:rsidR="00663848" w:rsidRPr="00F45A6E">
        <w:rPr>
          <w:sz w:val="22"/>
          <w:szCs w:val="22"/>
          <w:lang w:val="sr-Latn-ME"/>
        </w:rPr>
        <w:t xml:space="preserve">, ORR je kod </w:t>
      </w:r>
      <w:r w:rsidR="002A5F9C" w:rsidRPr="00F45A6E">
        <w:rPr>
          <w:sz w:val="22"/>
          <w:szCs w:val="22"/>
          <w:lang w:val="sr-Latn-ME"/>
        </w:rPr>
        <w:t>pacijenata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 xml:space="preserve">ih trabektedinom iznosio 4 (10,8%; 95% CI: 3,0-25,4%) odnosno 0 (0%, 95% CI: 0,0-9,7%) kod </w:t>
      </w:r>
      <w:r w:rsidR="006D2B24" w:rsidRPr="00F45A6E">
        <w:rPr>
          <w:sz w:val="22"/>
          <w:szCs w:val="22"/>
          <w:lang w:val="sr-Latn-ME"/>
        </w:rPr>
        <w:t>pacijenata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>ih najboljom suportivnom terapijom, dok je CBR iznosio 7 (18,9%, 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8,0-35,2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) za </w:t>
      </w:r>
      <w:r w:rsidR="00230B09" w:rsidRPr="00F45A6E">
        <w:rPr>
          <w:sz w:val="22"/>
          <w:szCs w:val="22"/>
          <w:lang w:val="sr-Latn-ME"/>
        </w:rPr>
        <w:t>pacijente</w:t>
      </w:r>
      <w:r w:rsidR="00663848"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663848" w:rsidRPr="00F45A6E">
        <w:rPr>
          <w:sz w:val="22"/>
          <w:szCs w:val="22"/>
          <w:lang w:val="sr-Latn-ME"/>
        </w:rPr>
        <w:t>e trabektedinom odnosno 0 (0%, 95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 CI: 0,0-9,7</w:t>
      </w:r>
      <w:r w:rsidR="00C157E6" w:rsidRPr="00F45A6E">
        <w:rPr>
          <w:sz w:val="22"/>
          <w:szCs w:val="22"/>
          <w:lang w:val="sr-Latn-ME"/>
        </w:rPr>
        <w:t>%</w:t>
      </w:r>
      <w:r w:rsidR="00663848" w:rsidRPr="00F45A6E">
        <w:rPr>
          <w:sz w:val="22"/>
          <w:szCs w:val="22"/>
          <w:lang w:val="sr-Latn-ME"/>
        </w:rPr>
        <w:t xml:space="preserve">) za </w:t>
      </w:r>
      <w:r w:rsidR="00230B09" w:rsidRPr="00F45A6E">
        <w:rPr>
          <w:sz w:val="22"/>
          <w:szCs w:val="22"/>
          <w:lang w:val="sr-Latn-ME"/>
        </w:rPr>
        <w:t>pacijente</w:t>
      </w:r>
      <w:r w:rsidR="00663848" w:rsidRPr="00F45A6E">
        <w:rPr>
          <w:sz w:val="22"/>
          <w:szCs w:val="22"/>
          <w:lang w:val="sr-Latn-ME"/>
        </w:rPr>
        <w:t xml:space="preserve"> koji su primali BSC. </w:t>
      </w:r>
    </w:p>
    <w:p w14:paraId="58A3BD7A" w14:textId="77777777" w:rsidR="00230B09" w:rsidRPr="00F45A6E" w:rsidRDefault="00230B0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92F98BB" w14:textId="695C52D3" w:rsidR="00BB3A7F" w:rsidRPr="00F45A6E" w:rsidRDefault="00DE095C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Efikasnost</w:t>
      </w:r>
      <w:r w:rsidR="00663848" w:rsidRPr="00F45A6E">
        <w:rPr>
          <w:szCs w:val="22"/>
          <w:lang w:val="sr-Latn-ME"/>
        </w:rPr>
        <w:t xml:space="preserve"> kombinacije trabektedin/PLD u relapsu </w:t>
      </w:r>
      <w:r w:rsidR="008B22BF" w:rsidRPr="00F45A6E">
        <w:rPr>
          <w:szCs w:val="22"/>
          <w:lang w:val="sr-Latn-ME"/>
        </w:rPr>
        <w:t>kancera</w:t>
      </w:r>
      <w:r w:rsidR="00663848" w:rsidRPr="00F45A6E">
        <w:rPr>
          <w:szCs w:val="22"/>
          <w:lang w:val="sr-Latn-ME"/>
        </w:rPr>
        <w:t xml:space="preserve"> jajnika temelji se na ET743-OVA-301, fazi 3 randomiz</w:t>
      </w:r>
      <w:r w:rsidRPr="00F45A6E">
        <w:rPr>
          <w:szCs w:val="22"/>
          <w:lang w:val="sr-Latn-ME"/>
        </w:rPr>
        <w:t>ovano</w:t>
      </w:r>
      <w:r w:rsidR="00663848" w:rsidRPr="00F45A6E">
        <w:rPr>
          <w:szCs w:val="22"/>
          <w:lang w:val="sr-Latn-ME"/>
        </w:rPr>
        <w:t xml:space="preserve">g ispitivanja sa 672 </w:t>
      </w:r>
      <w:r w:rsidRPr="00F45A6E">
        <w:rPr>
          <w:szCs w:val="22"/>
          <w:lang w:val="sr-Latn-ME"/>
        </w:rPr>
        <w:t>pacijenta</w:t>
      </w:r>
      <w:r w:rsidR="00663848" w:rsidRPr="00F45A6E">
        <w:rPr>
          <w:szCs w:val="22"/>
          <w:lang w:val="sr-Latn-ME"/>
        </w:rPr>
        <w:t xml:space="preserve"> koji su primali ili trabektedin (1,1 mg/m</w:t>
      </w:r>
      <w:r w:rsidR="00663848" w:rsidRPr="00F45A6E">
        <w:rPr>
          <w:szCs w:val="22"/>
          <w:vertAlign w:val="superscript"/>
          <w:lang w:val="sr-Latn-ME"/>
        </w:rPr>
        <w:t>2</w:t>
      </w:r>
      <w:r w:rsidR="00663848" w:rsidRPr="00F45A6E">
        <w:rPr>
          <w:szCs w:val="22"/>
          <w:lang w:val="sr-Latn-ME"/>
        </w:rPr>
        <w:t>) i PLD (30 mg/m</w:t>
      </w:r>
      <w:r w:rsidR="00663848" w:rsidRPr="00F45A6E">
        <w:rPr>
          <w:szCs w:val="22"/>
          <w:vertAlign w:val="superscript"/>
          <w:lang w:val="sr-Latn-ME"/>
        </w:rPr>
        <w:t>2</w:t>
      </w:r>
      <w:r w:rsidR="00663848" w:rsidRPr="00F45A6E">
        <w:rPr>
          <w:szCs w:val="22"/>
          <w:lang w:val="sr-Latn-ME"/>
        </w:rPr>
        <w:t>) svak</w:t>
      </w:r>
      <w:r w:rsidRPr="00F45A6E">
        <w:rPr>
          <w:szCs w:val="22"/>
          <w:lang w:val="sr-Latn-ME"/>
        </w:rPr>
        <w:t>e</w:t>
      </w:r>
      <w:r w:rsidR="00663848" w:rsidRPr="00F45A6E">
        <w:rPr>
          <w:szCs w:val="22"/>
          <w:lang w:val="sr-Latn-ME"/>
        </w:rPr>
        <w:t xml:space="preserve"> 3 </w:t>
      </w:r>
      <w:r w:rsidRPr="00F45A6E">
        <w:rPr>
          <w:szCs w:val="22"/>
          <w:lang w:val="sr-Latn-ME"/>
        </w:rPr>
        <w:t xml:space="preserve">nedelje </w:t>
      </w:r>
      <w:r w:rsidR="001C1B7F" w:rsidRPr="00F45A6E">
        <w:rPr>
          <w:szCs w:val="22"/>
          <w:lang w:val="sr-Latn-ME"/>
        </w:rPr>
        <w:t>i</w:t>
      </w:r>
      <w:r w:rsidR="00663848" w:rsidRPr="00F45A6E">
        <w:rPr>
          <w:szCs w:val="22"/>
          <w:lang w:val="sr-Latn-ME"/>
        </w:rPr>
        <w:t>li PLD (50 mg/m</w:t>
      </w:r>
      <w:r w:rsidR="00663848" w:rsidRPr="00F45A6E">
        <w:rPr>
          <w:szCs w:val="22"/>
          <w:vertAlign w:val="superscript"/>
          <w:lang w:val="sr-Latn-ME"/>
        </w:rPr>
        <w:t>2</w:t>
      </w:r>
      <w:r w:rsidR="00663848" w:rsidRPr="00F45A6E">
        <w:rPr>
          <w:szCs w:val="22"/>
          <w:lang w:val="sr-Latn-ME"/>
        </w:rPr>
        <w:t>) svak</w:t>
      </w:r>
      <w:r w:rsidRPr="00F45A6E">
        <w:rPr>
          <w:szCs w:val="22"/>
          <w:lang w:val="sr-Latn-ME"/>
        </w:rPr>
        <w:t>e</w:t>
      </w:r>
      <w:r w:rsidR="00663848" w:rsidRPr="00F45A6E">
        <w:rPr>
          <w:szCs w:val="22"/>
          <w:lang w:val="sr-Latn-ME"/>
        </w:rPr>
        <w:t xml:space="preserve"> 4 </w:t>
      </w:r>
      <w:r w:rsidRPr="00F45A6E">
        <w:rPr>
          <w:szCs w:val="22"/>
          <w:lang w:val="sr-Latn-ME"/>
        </w:rPr>
        <w:t>nedelje</w:t>
      </w:r>
      <w:r w:rsidR="00663848" w:rsidRPr="00F45A6E">
        <w:rPr>
          <w:szCs w:val="22"/>
          <w:lang w:val="sr-Latn-ME"/>
        </w:rPr>
        <w:t>. Primarna analiza pre</w:t>
      </w:r>
      <w:r w:rsidR="00235BD9" w:rsidRPr="00F45A6E">
        <w:rPr>
          <w:szCs w:val="22"/>
          <w:lang w:val="sr-Latn-ME"/>
        </w:rPr>
        <w:t>življavanja</w:t>
      </w:r>
      <w:r w:rsidR="00663848" w:rsidRPr="00F45A6E">
        <w:rPr>
          <w:szCs w:val="22"/>
          <w:lang w:val="sr-Latn-ME"/>
        </w:rPr>
        <w:t xml:space="preserve"> bez progresije bolesti (PFS) </w:t>
      </w:r>
      <w:r w:rsidR="00235BD9" w:rsidRPr="00F45A6E">
        <w:rPr>
          <w:szCs w:val="22"/>
          <w:lang w:val="sr-Latn-ME"/>
        </w:rPr>
        <w:t>s</w:t>
      </w:r>
      <w:r w:rsidR="00663848" w:rsidRPr="00F45A6E">
        <w:rPr>
          <w:szCs w:val="22"/>
          <w:lang w:val="sr-Latn-ME"/>
        </w:rPr>
        <w:t xml:space="preserve">provedena je na 645 </w:t>
      </w:r>
      <w:r w:rsidR="00235BD9" w:rsidRPr="00F45A6E">
        <w:rPr>
          <w:szCs w:val="22"/>
          <w:lang w:val="sr-Latn-ME"/>
        </w:rPr>
        <w:t>pacijenta</w:t>
      </w:r>
      <w:r w:rsidR="00663848" w:rsidRPr="00F45A6E">
        <w:rPr>
          <w:szCs w:val="22"/>
          <w:lang w:val="sr-Latn-ME"/>
        </w:rPr>
        <w:t xml:space="preserve"> s</w:t>
      </w:r>
      <w:r w:rsidR="00235BD9" w:rsidRPr="00F45A6E">
        <w:rPr>
          <w:szCs w:val="22"/>
          <w:lang w:val="sr-Latn-ME"/>
        </w:rPr>
        <w:t>a</w:t>
      </w:r>
      <w:r w:rsidR="00663848" w:rsidRPr="00F45A6E">
        <w:rPr>
          <w:szCs w:val="22"/>
          <w:lang w:val="sr-Latn-ME"/>
        </w:rPr>
        <w:t xml:space="preserve"> merljivom bolešću </w:t>
      </w:r>
      <w:r w:rsidR="001C1B7F" w:rsidRPr="00F45A6E">
        <w:rPr>
          <w:szCs w:val="22"/>
          <w:lang w:val="sr-Latn-ME"/>
        </w:rPr>
        <w:t>pa</w:t>
      </w:r>
      <w:r w:rsidR="00663848" w:rsidRPr="00F45A6E">
        <w:rPr>
          <w:szCs w:val="22"/>
          <w:lang w:val="sr-Latn-ME"/>
        </w:rPr>
        <w:t xml:space="preserve"> je proc</w:t>
      </w:r>
      <w:r w:rsidR="00DA319C" w:rsidRPr="00F45A6E">
        <w:rPr>
          <w:szCs w:val="22"/>
          <w:lang w:val="sr-Latn-ME"/>
        </w:rPr>
        <w:t>ij</w:t>
      </w:r>
      <w:r w:rsidR="00663848" w:rsidRPr="00F45A6E">
        <w:rPr>
          <w:szCs w:val="22"/>
          <w:lang w:val="sr-Latn-ME"/>
        </w:rPr>
        <w:t>enjena na temelju ne</w:t>
      </w:r>
      <w:r w:rsidR="00576BDC" w:rsidRPr="00F45A6E">
        <w:rPr>
          <w:szCs w:val="22"/>
          <w:lang w:val="sr-Latn-ME"/>
        </w:rPr>
        <w:t>za</w:t>
      </w:r>
      <w:r w:rsidR="00663848" w:rsidRPr="00F45A6E">
        <w:rPr>
          <w:szCs w:val="22"/>
          <w:lang w:val="sr-Latn-ME"/>
        </w:rPr>
        <w:t>visnog radiološkog očita</w:t>
      </w:r>
      <w:r w:rsidR="00576BDC" w:rsidRPr="00F45A6E">
        <w:rPr>
          <w:szCs w:val="22"/>
          <w:lang w:val="sr-Latn-ME"/>
        </w:rPr>
        <w:t>va</w:t>
      </w:r>
      <w:r w:rsidR="00663848" w:rsidRPr="00F45A6E">
        <w:rPr>
          <w:szCs w:val="22"/>
          <w:lang w:val="sr-Latn-ME"/>
        </w:rPr>
        <w:t xml:space="preserve">nja. </w:t>
      </w:r>
      <w:r w:rsidR="00031EC5" w:rsidRPr="00F45A6E">
        <w:rPr>
          <w:szCs w:val="22"/>
          <w:lang w:val="sr-Latn-ME"/>
        </w:rPr>
        <w:t>Liječenj</w:t>
      </w:r>
      <w:r w:rsidR="00663848" w:rsidRPr="00F45A6E">
        <w:rPr>
          <w:szCs w:val="22"/>
          <w:lang w:val="sr-Latn-ME"/>
        </w:rPr>
        <w:t xml:space="preserve">e u </w:t>
      </w:r>
      <w:r w:rsidR="00DD74BA" w:rsidRPr="00F45A6E">
        <w:rPr>
          <w:szCs w:val="22"/>
          <w:lang w:val="sr-Latn-ME"/>
        </w:rPr>
        <w:t>grupi</w:t>
      </w:r>
      <w:r w:rsidR="00663848" w:rsidRPr="00F45A6E">
        <w:rPr>
          <w:szCs w:val="22"/>
          <w:lang w:val="sr-Latn-ME"/>
        </w:rPr>
        <w:t xml:space="preserve"> koja je primala kombin</w:t>
      </w:r>
      <w:r w:rsidR="00DD74BA" w:rsidRPr="00F45A6E">
        <w:rPr>
          <w:szCs w:val="22"/>
          <w:lang w:val="sr-Latn-ME"/>
        </w:rPr>
        <w:t>ov</w:t>
      </w:r>
      <w:r w:rsidR="00663848" w:rsidRPr="00F45A6E">
        <w:rPr>
          <w:szCs w:val="22"/>
          <w:lang w:val="sr-Latn-ME"/>
        </w:rPr>
        <w:t xml:space="preserve">ano </w:t>
      </w:r>
      <w:r w:rsidR="00031EC5" w:rsidRPr="00F45A6E">
        <w:rPr>
          <w:szCs w:val="22"/>
          <w:lang w:val="sr-Latn-ME"/>
        </w:rPr>
        <w:t>liječenj</w:t>
      </w:r>
      <w:r w:rsidR="00663848" w:rsidRPr="00F45A6E">
        <w:rPr>
          <w:szCs w:val="22"/>
          <w:lang w:val="sr-Latn-ME"/>
        </w:rPr>
        <w:t xml:space="preserve">e je </w:t>
      </w:r>
      <w:r w:rsidR="00DD74BA" w:rsidRPr="00F45A6E">
        <w:rPr>
          <w:szCs w:val="22"/>
          <w:lang w:val="sr-Latn-ME"/>
        </w:rPr>
        <w:t>imalo za rezultat</w:t>
      </w:r>
      <w:r w:rsidR="00663848" w:rsidRPr="00F45A6E">
        <w:rPr>
          <w:szCs w:val="22"/>
          <w:lang w:val="sr-Latn-ME"/>
        </w:rPr>
        <w:t xml:space="preserve"> smanjenje rizika za progresiju bolesti od 21</w:t>
      </w:r>
      <w:r w:rsidR="00C157E6" w:rsidRPr="00F45A6E">
        <w:rPr>
          <w:szCs w:val="22"/>
          <w:lang w:val="sr-Latn-ME"/>
        </w:rPr>
        <w:t>%</w:t>
      </w:r>
      <w:r w:rsidR="00663848" w:rsidRPr="00F45A6E">
        <w:rPr>
          <w:szCs w:val="22"/>
          <w:lang w:val="sr-Latn-ME"/>
        </w:rPr>
        <w:t xml:space="preserve"> u </w:t>
      </w:r>
      <w:r w:rsidR="00DD74BA" w:rsidRPr="00F45A6E">
        <w:rPr>
          <w:szCs w:val="22"/>
          <w:lang w:val="sr-Latn-ME"/>
        </w:rPr>
        <w:t>poređenju</w:t>
      </w:r>
      <w:r w:rsidR="00663848" w:rsidRPr="00F45A6E">
        <w:rPr>
          <w:szCs w:val="22"/>
          <w:lang w:val="sr-Latn-ME"/>
        </w:rPr>
        <w:t xml:space="preserve"> sa </w:t>
      </w:r>
      <w:r w:rsidR="00DD74BA" w:rsidRPr="00F45A6E">
        <w:rPr>
          <w:szCs w:val="22"/>
          <w:lang w:val="sr-Latn-ME"/>
        </w:rPr>
        <w:t>grupom</w:t>
      </w:r>
      <w:r w:rsidR="00663848" w:rsidRPr="00F45A6E">
        <w:rPr>
          <w:szCs w:val="22"/>
          <w:lang w:val="sr-Latn-ME"/>
        </w:rPr>
        <w:t xml:space="preserve"> koja je </w:t>
      </w:r>
      <w:r w:rsidR="001B47BA" w:rsidRPr="00F45A6E">
        <w:rPr>
          <w:szCs w:val="22"/>
          <w:lang w:val="sr-Latn-ME"/>
        </w:rPr>
        <w:t>liječen</w:t>
      </w:r>
      <w:r w:rsidR="00663848" w:rsidRPr="00F45A6E">
        <w:rPr>
          <w:szCs w:val="22"/>
          <w:lang w:val="sr-Latn-ME"/>
        </w:rPr>
        <w:t>a samo PLD (HR = 0,79, CI: 0,65</w:t>
      </w:r>
      <w:r w:rsidR="006463FD" w:rsidRPr="00F45A6E">
        <w:rPr>
          <w:szCs w:val="22"/>
          <w:lang w:val="sr-Latn-ME"/>
        </w:rPr>
        <w:t>-</w:t>
      </w:r>
      <w:r w:rsidR="00663848" w:rsidRPr="00F45A6E">
        <w:rPr>
          <w:szCs w:val="22"/>
          <w:lang w:val="sr-Latn-ME"/>
        </w:rPr>
        <w:t>0,96, p = 0,0190). Sekundarne analize PFS i stope odgovora tako</w:t>
      </w:r>
      <w:r w:rsidR="00DD74BA" w:rsidRPr="00F45A6E">
        <w:rPr>
          <w:szCs w:val="22"/>
          <w:lang w:val="sr-Latn-ME"/>
        </w:rPr>
        <w:t>đ</w:t>
      </w:r>
      <w:r w:rsidR="00663848" w:rsidRPr="00F45A6E">
        <w:rPr>
          <w:szCs w:val="22"/>
          <w:lang w:val="sr-Latn-ME"/>
        </w:rPr>
        <w:t xml:space="preserve">e su išli u prilog </w:t>
      </w:r>
      <w:r w:rsidR="00DD74BA" w:rsidRPr="00F45A6E">
        <w:rPr>
          <w:szCs w:val="22"/>
          <w:lang w:val="sr-Latn-ME"/>
        </w:rPr>
        <w:t xml:space="preserve">grupi </w:t>
      </w:r>
      <w:r w:rsidR="00663848" w:rsidRPr="00F45A6E">
        <w:rPr>
          <w:szCs w:val="22"/>
          <w:lang w:val="sr-Latn-ME"/>
        </w:rPr>
        <w:t>kod koje je prim</w:t>
      </w:r>
      <w:r w:rsidR="00DA319C" w:rsidRPr="00F45A6E">
        <w:rPr>
          <w:szCs w:val="22"/>
          <w:lang w:val="sr-Latn-ME"/>
        </w:rPr>
        <w:t>j</w:t>
      </w:r>
      <w:r w:rsidR="00663848" w:rsidRPr="00F45A6E">
        <w:rPr>
          <w:szCs w:val="22"/>
          <w:lang w:val="sr-Latn-ME"/>
        </w:rPr>
        <w:t>enjeno kombin</w:t>
      </w:r>
      <w:r w:rsidR="00893164" w:rsidRPr="00F45A6E">
        <w:rPr>
          <w:szCs w:val="22"/>
          <w:lang w:val="sr-Latn-ME"/>
        </w:rPr>
        <w:t>ovano</w:t>
      </w:r>
      <w:r w:rsidR="00663848" w:rsidRPr="00F45A6E">
        <w:rPr>
          <w:szCs w:val="22"/>
          <w:lang w:val="sr-Latn-ME"/>
        </w:rPr>
        <w:t xml:space="preserve"> </w:t>
      </w:r>
      <w:r w:rsidR="00031EC5" w:rsidRPr="00F45A6E">
        <w:rPr>
          <w:szCs w:val="22"/>
          <w:lang w:val="sr-Latn-ME"/>
        </w:rPr>
        <w:t>liječenj</w:t>
      </w:r>
      <w:r w:rsidR="00663848" w:rsidRPr="00F45A6E">
        <w:rPr>
          <w:szCs w:val="22"/>
          <w:lang w:val="sr-Latn-ME"/>
        </w:rPr>
        <w:t xml:space="preserve">e. Rezultati glavnih analiza </w:t>
      </w:r>
      <w:r w:rsidR="00893164" w:rsidRPr="00F45A6E">
        <w:rPr>
          <w:szCs w:val="22"/>
          <w:lang w:val="sr-Latn-ME"/>
        </w:rPr>
        <w:t>efikasnosti</w:t>
      </w:r>
      <w:r w:rsidR="00663848" w:rsidRPr="00F45A6E">
        <w:rPr>
          <w:szCs w:val="22"/>
          <w:lang w:val="sr-Latn-ME"/>
        </w:rPr>
        <w:t xml:space="preserve"> sa</w:t>
      </w:r>
      <w:r w:rsidR="00893164" w:rsidRPr="00F45A6E">
        <w:rPr>
          <w:szCs w:val="22"/>
          <w:lang w:val="sr-Latn-ME"/>
        </w:rPr>
        <w:t>ž</w:t>
      </w:r>
      <w:r w:rsidR="00663848" w:rsidRPr="00F45A6E">
        <w:rPr>
          <w:szCs w:val="22"/>
          <w:lang w:val="sr-Latn-ME"/>
        </w:rPr>
        <w:t xml:space="preserve">eti su u </w:t>
      </w:r>
      <w:r w:rsidR="001C1B7F" w:rsidRPr="00F45A6E">
        <w:rPr>
          <w:szCs w:val="22"/>
          <w:lang w:val="sr-Latn-ME"/>
        </w:rPr>
        <w:t xml:space="preserve">Tabeli </w:t>
      </w:r>
      <w:r w:rsidR="00663848" w:rsidRPr="00F45A6E">
        <w:rPr>
          <w:szCs w:val="22"/>
          <w:lang w:val="sr-Latn-ME"/>
        </w:rPr>
        <w:t>koja sl</w:t>
      </w:r>
      <w:r w:rsidR="00DA319C" w:rsidRPr="00F45A6E">
        <w:rPr>
          <w:szCs w:val="22"/>
          <w:lang w:val="sr-Latn-ME"/>
        </w:rPr>
        <w:t>ij</w:t>
      </w:r>
      <w:r w:rsidR="00663848" w:rsidRPr="00F45A6E">
        <w:rPr>
          <w:szCs w:val="22"/>
          <w:lang w:val="sr-Latn-ME"/>
        </w:rPr>
        <w:t>edi.</w:t>
      </w:r>
    </w:p>
    <w:p w14:paraId="292C5F55" w14:textId="77777777" w:rsidR="001C1B7F" w:rsidRPr="00F45A6E" w:rsidRDefault="001C1B7F" w:rsidP="003A690C">
      <w:pPr>
        <w:rPr>
          <w:szCs w:val="22"/>
          <w:lang w:val="sr-Latn-ME"/>
        </w:rPr>
      </w:pPr>
    </w:p>
    <w:p w14:paraId="6DD42245" w14:textId="671A2C42" w:rsidR="00663848" w:rsidRPr="00F45A6E" w:rsidRDefault="00663848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 xml:space="preserve">Analize </w:t>
      </w:r>
      <w:r w:rsidR="00893164" w:rsidRPr="00F45A6E">
        <w:rPr>
          <w:b/>
          <w:bCs/>
          <w:szCs w:val="22"/>
          <w:lang w:val="sr-Latn-ME"/>
        </w:rPr>
        <w:t>efikasnosti</w:t>
      </w:r>
      <w:r w:rsidRPr="00F45A6E">
        <w:rPr>
          <w:b/>
          <w:bCs/>
          <w:szCs w:val="22"/>
          <w:lang w:val="sr-Latn-ME"/>
        </w:rPr>
        <w:t xml:space="preserve"> iz ispitivanja ET743-OVA-301</w:t>
      </w: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6"/>
        <w:gridCol w:w="1639"/>
        <w:gridCol w:w="1639"/>
        <w:gridCol w:w="1639"/>
        <w:gridCol w:w="1124"/>
      </w:tblGrid>
      <w:tr w:rsidR="003F4E5D" w:rsidRPr="00F45A6E" w14:paraId="7EBED5ED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285A48D5" w14:textId="77777777" w:rsidR="00A20922" w:rsidRPr="00F45A6E" w:rsidRDefault="00A20922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924" w:type="pct"/>
            <w:vAlign w:val="center"/>
          </w:tcPr>
          <w:p w14:paraId="2AA8DD7C" w14:textId="5D845B45" w:rsidR="00A20922" w:rsidRPr="00F45A6E" w:rsidRDefault="00A2092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Trabektedin + PLD</w:t>
            </w:r>
          </w:p>
        </w:tc>
        <w:tc>
          <w:tcPr>
            <w:tcW w:w="924" w:type="pct"/>
            <w:vAlign w:val="center"/>
          </w:tcPr>
          <w:p w14:paraId="2B45AA2D" w14:textId="39AE5735" w:rsidR="00A20922" w:rsidRPr="00F45A6E" w:rsidRDefault="00A2092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PLD</w:t>
            </w:r>
          </w:p>
        </w:tc>
        <w:tc>
          <w:tcPr>
            <w:tcW w:w="924" w:type="pct"/>
            <w:vAlign w:val="center"/>
          </w:tcPr>
          <w:p w14:paraId="2A9E48CE" w14:textId="514A051F" w:rsidR="00A20922" w:rsidRPr="00F45A6E" w:rsidRDefault="00A44F2A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Odnos</w:t>
            </w:r>
            <w:r w:rsidR="00A20922" w:rsidRPr="00F45A6E">
              <w:rPr>
                <w:b/>
                <w:bCs/>
                <w:szCs w:val="22"/>
                <w:lang w:val="sr-Latn-ME"/>
              </w:rPr>
              <w:t xml:space="preserve"> </w:t>
            </w:r>
            <w:r w:rsidR="004E0094" w:rsidRPr="00F45A6E">
              <w:rPr>
                <w:b/>
                <w:bCs/>
                <w:szCs w:val="22"/>
                <w:lang w:val="sr-Latn-ME"/>
              </w:rPr>
              <w:t xml:space="preserve">rizika </w:t>
            </w:r>
            <w:r w:rsidR="00A20922" w:rsidRPr="00F45A6E">
              <w:rPr>
                <w:b/>
                <w:bCs/>
                <w:szCs w:val="22"/>
                <w:lang w:val="sr-Latn-ME"/>
              </w:rPr>
              <w:t xml:space="preserve">/ </w:t>
            </w:r>
            <w:r w:rsidR="004E0094" w:rsidRPr="00F45A6E">
              <w:rPr>
                <w:b/>
                <w:bCs/>
                <w:szCs w:val="22"/>
                <w:lang w:val="sr-Latn-ME"/>
              </w:rPr>
              <w:t>v</w:t>
            </w:r>
            <w:r w:rsidR="00A771D2" w:rsidRPr="00F45A6E">
              <w:rPr>
                <w:b/>
                <w:bCs/>
                <w:szCs w:val="22"/>
                <w:lang w:val="sr-Latn-ME"/>
              </w:rPr>
              <w:t>j</w:t>
            </w:r>
            <w:r w:rsidR="004E0094" w:rsidRPr="00F45A6E">
              <w:rPr>
                <w:b/>
                <w:bCs/>
                <w:szCs w:val="22"/>
                <w:lang w:val="sr-Latn-ME"/>
              </w:rPr>
              <w:t>erovatnoće</w:t>
            </w:r>
          </w:p>
        </w:tc>
        <w:tc>
          <w:tcPr>
            <w:tcW w:w="563" w:type="pct"/>
            <w:vAlign w:val="center"/>
          </w:tcPr>
          <w:p w14:paraId="155BD31E" w14:textId="0E3240D8" w:rsidR="00A20922" w:rsidRPr="00F45A6E" w:rsidRDefault="00A2092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 xml:space="preserve">p- </w:t>
            </w:r>
            <w:r w:rsidR="008C26C1" w:rsidRPr="00F45A6E">
              <w:rPr>
                <w:b/>
                <w:bCs/>
                <w:szCs w:val="22"/>
                <w:lang w:val="sr-Latn-ME"/>
              </w:rPr>
              <w:t>vrijednost</w:t>
            </w:r>
          </w:p>
        </w:tc>
      </w:tr>
      <w:tr w:rsidR="00A20922" w:rsidRPr="00F45A6E" w14:paraId="5FCF557A" w14:textId="77777777" w:rsidTr="00E963E1">
        <w:trPr>
          <w:trHeight w:val="20"/>
        </w:trPr>
        <w:tc>
          <w:tcPr>
            <w:tcW w:w="5000" w:type="pct"/>
            <w:gridSpan w:val="5"/>
            <w:vAlign w:val="center"/>
          </w:tcPr>
          <w:p w14:paraId="66D6F705" w14:textId="3579CC49" w:rsidR="00A20922" w:rsidRPr="00F45A6E" w:rsidRDefault="003957FE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Preživljavanje</w:t>
            </w:r>
            <w:r w:rsidR="00A20922" w:rsidRPr="00F45A6E">
              <w:rPr>
                <w:b/>
                <w:bCs/>
                <w:szCs w:val="22"/>
                <w:lang w:val="sr-Latn-ME"/>
              </w:rPr>
              <w:t xml:space="preserve"> bez progresije bolesti</w:t>
            </w:r>
          </w:p>
        </w:tc>
      </w:tr>
      <w:tr w:rsidR="003F4E5D" w:rsidRPr="00F45A6E" w14:paraId="210CCE18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300F2148" w14:textId="417EAA3B" w:rsidR="00870C64" w:rsidRPr="00F45A6E" w:rsidRDefault="00870C64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lastRenderedPageBreak/>
              <w:t xml:space="preserve">Nezavisna radiološka procena, </w:t>
            </w:r>
            <w:r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merljiva bolest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924" w:type="pct"/>
            <w:vAlign w:val="center"/>
          </w:tcPr>
          <w:p w14:paraId="4F7C9994" w14:textId="7275A606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328</w:t>
            </w:r>
          </w:p>
        </w:tc>
        <w:tc>
          <w:tcPr>
            <w:tcW w:w="924" w:type="pct"/>
            <w:vAlign w:val="center"/>
          </w:tcPr>
          <w:p w14:paraId="7A1C951C" w14:textId="266F2A32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317</w:t>
            </w:r>
          </w:p>
        </w:tc>
        <w:tc>
          <w:tcPr>
            <w:tcW w:w="924" w:type="pct"/>
            <w:vAlign w:val="center"/>
          </w:tcPr>
          <w:p w14:paraId="359144EA" w14:textId="77777777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210D94A9" w14:textId="77777777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4FB04B19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034B3920" w14:textId="3249AB0B" w:rsidR="00870C64" w:rsidRPr="00F45A6E" w:rsidRDefault="00870C64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Medijan</w:t>
            </w:r>
            <w:r w:rsidR="003957FE" w:rsidRPr="00F45A6E">
              <w:rPr>
                <w:sz w:val="22"/>
                <w:szCs w:val="22"/>
                <w:lang w:val="sr-Latn-ME"/>
              </w:rPr>
              <w:t>a</w:t>
            </w:r>
            <w:r w:rsidRPr="00F45A6E">
              <w:rPr>
                <w:sz w:val="22"/>
                <w:szCs w:val="22"/>
                <w:lang w:val="sr-Latn-ME"/>
              </w:rPr>
              <w:t xml:space="preserve"> PFS (95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 xml:space="preserve"> CI) </w:t>
            </w:r>
            <w:r w:rsidR="00B2278D" w:rsidRPr="00F45A6E">
              <w:rPr>
                <w:sz w:val="22"/>
                <w:szCs w:val="22"/>
                <w:lang w:val="sr-Latn-ME"/>
              </w:rPr>
              <w:t>(</w:t>
            </w:r>
            <w:r w:rsidR="004E1A6C" w:rsidRPr="00F45A6E">
              <w:rPr>
                <w:sz w:val="22"/>
                <w:szCs w:val="22"/>
                <w:lang w:val="sr-Latn-ME"/>
              </w:rPr>
              <w:t>mjesec</w:t>
            </w:r>
            <w:r w:rsidR="00B2278D" w:rsidRPr="00F45A6E">
              <w:rPr>
                <w:sz w:val="22"/>
                <w:szCs w:val="22"/>
                <w:lang w:val="sr-Latn-ME"/>
              </w:rPr>
              <w:t>i)</w:t>
            </w:r>
          </w:p>
        </w:tc>
        <w:tc>
          <w:tcPr>
            <w:tcW w:w="924" w:type="pct"/>
            <w:vAlign w:val="center"/>
          </w:tcPr>
          <w:p w14:paraId="77DB4242" w14:textId="2F2BB796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7,3 (5,9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7,9)</w:t>
            </w:r>
          </w:p>
        </w:tc>
        <w:tc>
          <w:tcPr>
            <w:tcW w:w="924" w:type="pct"/>
            <w:vAlign w:val="center"/>
          </w:tcPr>
          <w:p w14:paraId="3189E2AE" w14:textId="5FA90A08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5,8 (5,5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7,1)</w:t>
            </w:r>
          </w:p>
        </w:tc>
        <w:tc>
          <w:tcPr>
            <w:tcW w:w="924" w:type="pct"/>
            <w:vAlign w:val="center"/>
          </w:tcPr>
          <w:p w14:paraId="11C9EBA1" w14:textId="062C6DFF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0,79 (0,65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0,96)</w:t>
            </w:r>
          </w:p>
        </w:tc>
        <w:tc>
          <w:tcPr>
            <w:tcW w:w="563" w:type="pct"/>
            <w:vAlign w:val="center"/>
          </w:tcPr>
          <w:p w14:paraId="0A613EBB" w14:textId="2A4B66BA" w:rsidR="00870C64" w:rsidRPr="00F45A6E" w:rsidRDefault="00870C64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0,0190</w:t>
            </w:r>
            <w:r w:rsidRPr="00F45A6E">
              <w:rPr>
                <w:szCs w:val="22"/>
                <w:vertAlign w:val="superscript"/>
                <w:lang w:val="sr-Latn-ME"/>
              </w:rPr>
              <w:t>a</w:t>
            </w:r>
          </w:p>
        </w:tc>
      </w:tr>
      <w:tr w:rsidR="003F4E5D" w:rsidRPr="00F45A6E" w14:paraId="45C0A198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393DDCA4" w14:textId="5F260992" w:rsidR="000F07A5" w:rsidRPr="00F45A6E" w:rsidRDefault="000F07A5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Dvanaestom</w:t>
            </w:r>
            <w:r w:rsidR="00A771D2" w:rsidRPr="00F45A6E">
              <w:rPr>
                <w:sz w:val="22"/>
                <w:szCs w:val="22"/>
                <w:lang w:val="sr-Latn-ME"/>
              </w:rPr>
              <w:t>j</w:t>
            </w:r>
            <w:r w:rsidRPr="00F45A6E">
              <w:rPr>
                <w:sz w:val="22"/>
                <w:szCs w:val="22"/>
                <w:lang w:val="sr-Latn-ME"/>
              </w:rPr>
              <w:t>esečna stopa PFS (95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 xml:space="preserve"> CI) </w:t>
            </w:r>
          </w:p>
        </w:tc>
        <w:tc>
          <w:tcPr>
            <w:tcW w:w="924" w:type="pct"/>
            <w:vAlign w:val="center"/>
          </w:tcPr>
          <w:p w14:paraId="15466243" w14:textId="025D2E56" w:rsidR="000F07A5" w:rsidRPr="00F45A6E" w:rsidRDefault="000F07A5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25,8 (19,7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32,3)</w:t>
            </w:r>
          </w:p>
        </w:tc>
        <w:tc>
          <w:tcPr>
            <w:tcW w:w="924" w:type="pct"/>
            <w:vAlign w:val="center"/>
          </w:tcPr>
          <w:p w14:paraId="48346048" w14:textId="6B76392A" w:rsidR="000F07A5" w:rsidRPr="00F45A6E" w:rsidRDefault="000F07A5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18,5 (12,9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24,9)</w:t>
            </w:r>
          </w:p>
        </w:tc>
        <w:tc>
          <w:tcPr>
            <w:tcW w:w="924" w:type="pct"/>
            <w:vAlign w:val="center"/>
          </w:tcPr>
          <w:p w14:paraId="1C5E8FFC" w14:textId="77777777" w:rsidR="000F07A5" w:rsidRPr="00F45A6E" w:rsidRDefault="000F07A5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72C68A9D" w14:textId="77777777" w:rsidR="000F07A5" w:rsidRPr="00F45A6E" w:rsidRDefault="000F07A5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4BF7D26E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0A04281A" w14:textId="1FB3635C" w:rsidR="00482286" w:rsidRPr="00F45A6E" w:rsidRDefault="00482286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Nezavisna onkološka proc</w:t>
            </w:r>
            <w:r w:rsidR="00A771D2" w:rsidRPr="00F45A6E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ena, </w:t>
            </w:r>
            <w:r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svi</w:t>
            </w:r>
            <w:r w:rsidR="003F4E5D"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="003E36C4"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randomizovani</w:t>
            </w:r>
            <w:r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924" w:type="pct"/>
            <w:vAlign w:val="center"/>
          </w:tcPr>
          <w:p w14:paraId="5C8325CA" w14:textId="4FFA9A0F" w:rsidR="00482286" w:rsidRPr="00F45A6E" w:rsidRDefault="00482286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336</w:t>
            </w:r>
          </w:p>
        </w:tc>
        <w:tc>
          <w:tcPr>
            <w:tcW w:w="924" w:type="pct"/>
            <w:vAlign w:val="center"/>
          </w:tcPr>
          <w:p w14:paraId="2E4DA700" w14:textId="5BF4FE8D" w:rsidR="00482286" w:rsidRPr="00F45A6E" w:rsidRDefault="00482286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335</w:t>
            </w:r>
          </w:p>
        </w:tc>
        <w:tc>
          <w:tcPr>
            <w:tcW w:w="924" w:type="pct"/>
            <w:vAlign w:val="center"/>
          </w:tcPr>
          <w:p w14:paraId="740C8510" w14:textId="77777777" w:rsidR="00482286" w:rsidRPr="00F45A6E" w:rsidRDefault="00482286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1F599D64" w14:textId="77777777" w:rsidR="00482286" w:rsidRPr="00F45A6E" w:rsidRDefault="00482286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79367976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7D509C46" w14:textId="0B5E3E09" w:rsidR="00B52302" w:rsidRPr="00F45A6E" w:rsidRDefault="00B52302" w:rsidP="003A690C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F45A6E">
              <w:rPr>
                <w:sz w:val="22"/>
                <w:szCs w:val="22"/>
                <w:lang w:val="sr-Latn-ME"/>
              </w:rPr>
              <w:t>Medijan</w:t>
            </w:r>
            <w:r w:rsidR="003E36C4" w:rsidRPr="00F45A6E">
              <w:rPr>
                <w:sz w:val="22"/>
                <w:szCs w:val="22"/>
                <w:lang w:val="sr-Latn-ME"/>
              </w:rPr>
              <w:t>a</w:t>
            </w:r>
            <w:r w:rsidRPr="00F45A6E">
              <w:rPr>
                <w:sz w:val="22"/>
                <w:szCs w:val="22"/>
                <w:lang w:val="sr-Latn-ME"/>
              </w:rPr>
              <w:t xml:space="preserve"> PFS (95</w:t>
            </w:r>
            <w:r w:rsidR="00C157E6" w:rsidRPr="00F45A6E">
              <w:rPr>
                <w:sz w:val="22"/>
                <w:szCs w:val="22"/>
                <w:lang w:val="sr-Latn-ME"/>
              </w:rPr>
              <w:t>%</w:t>
            </w:r>
            <w:r w:rsidRPr="00F45A6E">
              <w:rPr>
                <w:sz w:val="22"/>
                <w:szCs w:val="22"/>
                <w:lang w:val="sr-Latn-ME"/>
              </w:rPr>
              <w:t xml:space="preserve"> CI) </w:t>
            </w:r>
            <w:r w:rsidR="00B2278D" w:rsidRPr="00F45A6E">
              <w:rPr>
                <w:sz w:val="22"/>
                <w:szCs w:val="22"/>
                <w:lang w:val="sr-Latn-ME"/>
              </w:rPr>
              <w:t>(</w:t>
            </w:r>
            <w:r w:rsidR="004E1A6C" w:rsidRPr="00F45A6E">
              <w:rPr>
                <w:sz w:val="22"/>
                <w:szCs w:val="22"/>
                <w:lang w:val="sr-Latn-ME"/>
              </w:rPr>
              <w:t>mjesec</w:t>
            </w:r>
            <w:r w:rsidR="00B2278D" w:rsidRPr="00F45A6E">
              <w:rPr>
                <w:sz w:val="22"/>
                <w:szCs w:val="22"/>
                <w:lang w:val="sr-Latn-ME"/>
              </w:rPr>
              <w:t>i)</w:t>
            </w:r>
          </w:p>
        </w:tc>
        <w:tc>
          <w:tcPr>
            <w:tcW w:w="924" w:type="pct"/>
            <w:vAlign w:val="center"/>
          </w:tcPr>
          <w:p w14:paraId="1888333A" w14:textId="2D92EA12" w:rsidR="00B52302" w:rsidRPr="00F45A6E" w:rsidRDefault="00B5230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7,4 (6,4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9,2)</w:t>
            </w:r>
          </w:p>
        </w:tc>
        <w:tc>
          <w:tcPr>
            <w:tcW w:w="924" w:type="pct"/>
            <w:vAlign w:val="center"/>
          </w:tcPr>
          <w:p w14:paraId="3C21ED0C" w14:textId="258EFB7C" w:rsidR="00B52302" w:rsidRPr="00F45A6E" w:rsidRDefault="00B5230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5,6 (4,2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6,8)</w:t>
            </w:r>
          </w:p>
        </w:tc>
        <w:tc>
          <w:tcPr>
            <w:tcW w:w="924" w:type="pct"/>
            <w:vAlign w:val="center"/>
          </w:tcPr>
          <w:p w14:paraId="7C8FA8F1" w14:textId="0A3311BA" w:rsidR="00B52302" w:rsidRPr="00F45A6E" w:rsidRDefault="00B5230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0,72 (0,60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0,88)</w:t>
            </w:r>
          </w:p>
        </w:tc>
        <w:tc>
          <w:tcPr>
            <w:tcW w:w="563" w:type="pct"/>
            <w:vAlign w:val="center"/>
          </w:tcPr>
          <w:p w14:paraId="2E511F9C" w14:textId="625E4761" w:rsidR="00B52302" w:rsidRPr="00F45A6E" w:rsidRDefault="00B52302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0,0008</w:t>
            </w:r>
            <w:r w:rsidRPr="00F45A6E">
              <w:rPr>
                <w:szCs w:val="22"/>
                <w:vertAlign w:val="superscript"/>
                <w:lang w:val="sr-Latn-ME"/>
              </w:rPr>
              <w:t>a</w:t>
            </w:r>
          </w:p>
        </w:tc>
      </w:tr>
      <w:tr w:rsidR="00635661" w:rsidRPr="00F45A6E" w14:paraId="6ACE31B2" w14:textId="77777777" w:rsidTr="00E963E1">
        <w:trPr>
          <w:trHeight w:val="20"/>
        </w:trPr>
        <w:tc>
          <w:tcPr>
            <w:tcW w:w="5000" w:type="pct"/>
            <w:gridSpan w:val="5"/>
            <w:vAlign w:val="center"/>
          </w:tcPr>
          <w:p w14:paraId="65723E55" w14:textId="3CC9B11F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Ukupno preživljavanje (konačna analiza</w:t>
            </w:r>
            <w:r w:rsidR="006463FD" w:rsidRPr="00F45A6E">
              <w:rPr>
                <w:b/>
                <w:bCs/>
                <w:szCs w:val="22"/>
                <w:lang w:val="sr-Latn-ME"/>
              </w:rPr>
              <w:t>-</w:t>
            </w:r>
            <w:r w:rsidRPr="00F45A6E">
              <w:rPr>
                <w:b/>
                <w:bCs/>
                <w:szCs w:val="22"/>
                <w:lang w:val="sr-Latn-ME"/>
              </w:rPr>
              <w:t>n = 522 događaja)</w:t>
            </w:r>
          </w:p>
        </w:tc>
      </w:tr>
      <w:tr w:rsidR="003F4E5D" w:rsidRPr="00F45A6E" w14:paraId="7219087E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21A007AD" w14:textId="738E885F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i/>
                <w:iCs/>
                <w:szCs w:val="22"/>
                <w:lang w:val="sr-Latn-ME"/>
              </w:rPr>
              <w:t>Svi randomizovani</w:t>
            </w:r>
          </w:p>
        </w:tc>
        <w:tc>
          <w:tcPr>
            <w:tcW w:w="924" w:type="pct"/>
            <w:vAlign w:val="center"/>
          </w:tcPr>
          <w:p w14:paraId="13534EB1" w14:textId="794756F3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337</w:t>
            </w:r>
          </w:p>
        </w:tc>
        <w:tc>
          <w:tcPr>
            <w:tcW w:w="924" w:type="pct"/>
            <w:vAlign w:val="center"/>
          </w:tcPr>
          <w:p w14:paraId="7DFEA3C7" w14:textId="40DF8FE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335</w:t>
            </w:r>
          </w:p>
        </w:tc>
        <w:tc>
          <w:tcPr>
            <w:tcW w:w="924" w:type="pct"/>
            <w:vAlign w:val="center"/>
          </w:tcPr>
          <w:p w14:paraId="2CDE1470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5EC2CC00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758C9686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03556C4F" w14:textId="4AE4179F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Medijan</w:t>
            </w:r>
            <w:r w:rsidR="007F1D98" w:rsidRPr="00F45A6E">
              <w:rPr>
                <w:szCs w:val="22"/>
                <w:lang w:val="sr-Latn-ME"/>
              </w:rPr>
              <w:t>a</w:t>
            </w:r>
            <w:r w:rsidRPr="00F45A6E">
              <w:rPr>
                <w:szCs w:val="22"/>
                <w:lang w:val="sr-Latn-ME"/>
              </w:rPr>
              <w:t xml:space="preserve"> OS (95</w:t>
            </w:r>
            <w:r w:rsidR="00C157E6" w:rsidRPr="00F45A6E">
              <w:rPr>
                <w:szCs w:val="22"/>
                <w:lang w:val="sr-Latn-ME"/>
              </w:rPr>
              <w:t>%</w:t>
            </w:r>
            <w:r w:rsidRPr="00F45A6E">
              <w:rPr>
                <w:szCs w:val="22"/>
                <w:lang w:val="sr-Latn-ME"/>
              </w:rPr>
              <w:t xml:space="preserve"> CI) (</w:t>
            </w:r>
            <w:r w:rsidR="004E1A6C" w:rsidRPr="00F45A6E">
              <w:rPr>
                <w:szCs w:val="22"/>
                <w:lang w:val="sr-Latn-ME"/>
              </w:rPr>
              <w:t>mjesec</w:t>
            </w:r>
            <w:r w:rsidRPr="00F45A6E">
              <w:rPr>
                <w:szCs w:val="22"/>
                <w:lang w:val="sr-Latn-ME"/>
              </w:rPr>
              <w:t xml:space="preserve">i) </w:t>
            </w:r>
          </w:p>
        </w:tc>
        <w:tc>
          <w:tcPr>
            <w:tcW w:w="924" w:type="pct"/>
            <w:vAlign w:val="center"/>
          </w:tcPr>
          <w:p w14:paraId="7F28C2E0" w14:textId="6126963D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22,2 (19,3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25,0)</w:t>
            </w:r>
          </w:p>
        </w:tc>
        <w:tc>
          <w:tcPr>
            <w:tcW w:w="924" w:type="pct"/>
            <w:vAlign w:val="center"/>
          </w:tcPr>
          <w:p w14:paraId="59C903B6" w14:textId="3562D82F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18,9 (17,1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21,5)</w:t>
            </w:r>
          </w:p>
        </w:tc>
        <w:tc>
          <w:tcPr>
            <w:tcW w:w="924" w:type="pct"/>
            <w:vAlign w:val="center"/>
          </w:tcPr>
          <w:p w14:paraId="0FA04319" w14:textId="2C0C4563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0,86 (0,72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1,02)</w:t>
            </w:r>
          </w:p>
        </w:tc>
        <w:tc>
          <w:tcPr>
            <w:tcW w:w="563" w:type="pct"/>
            <w:vAlign w:val="center"/>
          </w:tcPr>
          <w:p w14:paraId="123AD1BA" w14:textId="6DCEB749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0,0835</w:t>
            </w:r>
            <w:r w:rsidRPr="00F45A6E">
              <w:rPr>
                <w:szCs w:val="22"/>
                <w:vertAlign w:val="superscript"/>
                <w:lang w:val="sr-Latn-ME"/>
              </w:rPr>
              <w:t>a</w:t>
            </w:r>
          </w:p>
        </w:tc>
      </w:tr>
      <w:tr w:rsidR="00635661" w:rsidRPr="00F45A6E" w14:paraId="2E64267E" w14:textId="77777777" w:rsidTr="003F4E5D">
        <w:trPr>
          <w:trHeight w:val="20"/>
        </w:trPr>
        <w:tc>
          <w:tcPr>
            <w:tcW w:w="5000" w:type="pct"/>
            <w:gridSpan w:val="5"/>
            <w:vAlign w:val="center"/>
          </w:tcPr>
          <w:p w14:paraId="510E5873" w14:textId="3FF785E1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 xml:space="preserve">Ukupno </w:t>
            </w:r>
            <w:r w:rsidR="00CE14B9" w:rsidRPr="00F45A6E">
              <w:rPr>
                <w:b/>
                <w:bCs/>
                <w:szCs w:val="22"/>
                <w:lang w:val="sr-Latn-ME"/>
              </w:rPr>
              <w:t>preživljavanje</w:t>
            </w:r>
            <w:r w:rsidRPr="00F45A6E">
              <w:rPr>
                <w:b/>
                <w:bCs/>
                <w:szCs w:val="22"/>
                <w:lang w:val="sr-Latn-ME"/>
              </w:rPr>
              <w:t xml:space="preserve"> populacije os</w:t>
            </w:r>
            <w:r w:rsidR="00A771D2" w:rsidRPr="00F45A6E">
              <w:rPr>
                <w:b/>
                <w:bCs/>
                <w:szCs w:val="22"/>
                <w:lang w:val="sr-Latn-ME"/>
              </w:rPr>
              <w:t>j</w:t>
            </w:r>
            <w:r w:rsidRPr="00F45A6E">
              <w:rPr>
                <w:b/>
                <w:bCs/>
                <w:szCs w:val="22"/>
                <w:lang w:val="sr-Latn-ME"/>
              </w:rPr>
              <w:t>etljive na platinu (konačna analiza n = 316 doga</w:t>
            </w:r>
            <w:r w:rsidR="00CE14B9" w:rsidRPr="00F45A6E">
              <w:rPr>
                <w:b/>
                <w:bCs/>
                <w:szCs w:val="22"/>
                <w:lang w:val="sr-Latn-ME"/>
              </w:rPr>
              <w:t>đ</w:t>
            </w:r>
            <w:r w:rsidRPr="00F45A6E">
              <w:rPr>
                <w:b/>
                <w:bCs/>
                <w:szCs w:val="22"/>
                <w:lang w:val="sr-Latn-ME"/>
              </w:rPr>
              <w:t>aja)</w:t>
            </w:r>
          </w:p>
        </w:tc>
      </w:tr>
      <w:tr w:rsidR="003F4E5D" w:rsidRPr="00F45A6E" w14:paraId="18A7EFF5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53258D22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924" w:type="pct"/>
            <w:vAlign w:val="center"/>
          </w:tcPr>
          <w:p w14:paraId="62A437A0" w14:textId="2E5A60EF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n=218</w:t>
            </w:r>
          </w:p>
        </w:tc>
        <w:tc>
          <w:tcPr>
            <w:tcW w:w="924" w:type="pct"/>
            <w:vAlign w:val="center"/>
          </w:tcPr>
          <w:p w14:paraId="50F6F301" w14:textId="5C457C93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n=212</w:t>
            </w:r>
          </w:p>
        </w:tc>
        <w:tc>
          <w:tcPr>
            <w:tcW w:w="924" w:type="pct"/>
            <w:vAlign w:val="center"/>
          </w:tcPr>
          <w:p w14:paraId="2CD54D33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0DFF5D38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2FEEF60C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7DAD4FD5" w14:textId="476628E3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Medijan</w:t>
            </w:r>
            <w:r w:rsidR="008E6794" w:rsidRPr="00F45A6E">
              <w:rPr>
                <w:szCs w:val="22"/>
                <w:lang w:val="sr-Latn-ME"/>
              </w:rPr>
              <w:t>a</w:t>
            </w:r>
            <w:r w:rsidRPr="00F45A6E">
              <w:rPr>
                <w:szCs w:val="22"/>
                <w:lang w:val="sr-Latn-ME"/>
              </w:rPr>
              <w:t xml:space="preserve"> OS (95</w:t>
            </w:r>
            <w:r w:rsidR="00C157E6" w:rsidRPr="00F45A6E">
              <w:rPr>
                <w:szCs w:val="22"/>
                <w:lang w:val="sr-Latn-ME"/>
              </w:rPr>
              <w:t>%</w:t>
            </w:r>
            <w:r w:rsidRPr="00F45A6E">
              <w:rPr>
                <w:szCs w:val="22"/>
                <w:lang w:val="sr-Latn-ME"/>
              </w:rPr>
              <w:t xml:space="preserve"> CI) (</w:t>
            </w:r>
            <w:r w:rsidR="004E1A6C" w:rsidRPr="00F45A6E">
              <w:rPr>
                <w:szCs w:val="22"/>
                <w:lang w:val="sr-Latn-ME"/>
              </w:rPr>
              <w:t>mjesec</w:t>
            </w:r>
            <w:r w:rsidRPr="00F45A6E">
              <w:rPr>
                <w:szCs w:val="22"/>
                <w:lang w:val="sr-Latn-ME"/>
              </w:rPr>
              <w:t xml:space="preserve">i) </w:t>
            </w:r>
          </w:p>
        </w:tc>
        <w:tc>
          <w:tcPr>
            <w:tcW w:w="924" w:type="pct"/>
            <w:vAlign w:val="center"/>
          </w:tcPr>
          <w:p w14:paraId="7CDCA9AB" w14:textId="47B42835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27,0 (24,1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31,4)</w:t>
            </w:r>
          </w:p>
        </w:tc>
        <w:tc>
          <w:tcPr>
            <w:tcW w:w="924" w:type="pct"/>
            <w:vAlign w:val="center"/>
          </w:tcPr>
          <w:p w14:paraId="3865F8BC" w14:textId="081A1181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24,1 (20,9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25,9)</w:t>
            </w:r>
          </w:p>
        </w:tc>
        <w:tc>
          <w:tcPr>
            <w:tcW w:w="924" w:type="pct"/>
            <w:vAlign w:val="center"/>
          </w:tcPr>
          <w:p w14:paraId="3B0428A0" w14:textId="7D30D00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0,83 (0,67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1,04)</w:t>
            </w:r>
          </w:p>
        </w:tc>
        <w:tc>
          <w:tcPr>
            <w:tcW w:w="563" w:type="pct"/>
            <w:vAlign w:val="center"/>
          </w:tcPr>
          <w:p w14:paraId="29976448" w14:textId="2C09A010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0,1056</w:t>
            </w:r>
            <w:r w:rsidRPr="00F45A6E">
              <w:rPr>
                <w:szCs w:val="22"/>
                <w:vertAlign w:val="superscript"/>
                <w:lang w:val="sr-Latn-ME"/>
              </w:rPr>
              <w:t>a</w:t>
            </w:r>
          </w:p>
        </w:tc>
      </w:tr>
      <w:tr w:rsidR="00A344C9" w:rsidRPr="00F45A6E" w14:paraId="1259FC14" w14:textId="77777777" w:rsidTr="003F4E5D">
        <w:trPr>
          <w:trHeight w:val="20"/>
        </w:trPr>
        <w:tc>
          <w:tcPr>
            <w:tcW w:w="5000" w:type="pct"/>
            <w:gridSpan w:val="5"/>
            <w:vAlign w:val="center"/>
          </w:tcPr>
          <w:p w14:paraId="1DEC6E8E" w14:textId="68DDC74B" w:rsidR="00A344C9" w:rsidRPr="00F45A6E" w:rsidRDefault="00A344C9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Ukupna stopa odgovora (ORR)</w:t>
            </w:r>
          </w:p>
        </w:tc>
      </w:tr>
      <w:tr w:rsidR="003F4E5D" w:rsidRPr="00F45A6E" w14:paraId="34B2E984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2128517A" w14:textId="15D7F131" w:rsidR="00635661" w:rsidRPr="00F45A6E" w:rsidRDefault="00635661" w:rsidP="003A690C">
            <w:pPr>
              <w:pStyle w:val="Default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F45A6E">
              <w:rPr>
                <w:b/>
                <w:bCs/>
                <w:sz w:val="22"/>
                <w:szCs w:val="22"/>
                <w:lang w:val="sr-Latn-ME"/>
              </w:rPr>
              <w:t>Nezavisna radiološka proc</w:t>
            </w:r>
            <w:r w:rsidR="00A771D2" w:rsidRPr="00F45A6E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F45A6E">
              <w:rPr>
                <w:b/>
                <w:bCs/>
                <w:sz w:val="22"/>
                <w:szCs w:val="22"/>
                <w:lang w:val="sr-Latn-ME"/>
              </w:rPr>
              <w:t xml:space="preserve">ena, </w:t>
            </w:r>
            <w:r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 xml:space="preserve">svi </w:t>
            </w:r>
            <w:r w:rsidR="00A344C9"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randomizovani</w:t>
            </w:r>
            <w:r w:rsidRPr="00F45A6E">
              <w:rPr>
                <w:b/>
                <w:bCs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924" w:type="pct"/>
            <w:vAlign w:val="center"/>
          </w:tcPr>
          <w:p w14:paraId="22CA705E" w14:textId="084E53BE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337</w:t>
            </w:r>
          </w:p>
        </w:tc>
        <w:tc>
          <w:tcPr>
            <w:tcW w:w="924" w:type="pct"/>
            <w:vAlign w:val="center"/>
          </w:tcPr>
          <w:p w14:paraId="4B457EB8" w14:textId="3FEF4FE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b/>
                <w:bCs/>
                <w:szCs w:val="22"/>
                <w:lang w:val="sr-Latn-ME"/>
              </w:rPr>
              <w:t>n = 335</w:t>
            </w:r>
          </w:p>
        </w:tc>
        <w:tc>
          <w:tcPr>
            <w:tcW w:w="924" w:type="pct"/>
            <w:vAlign w:val="center"/>
          </w:tcPr>
          <w:p w14:paraId="441B3801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  <w:tc>
          <w:tcPr>
            <w:tcW w:w="563" w:type="pct"/>
            <w:vAlign w:val="center"/>
          </w:tcPr>
          <w:p w14:paraId="63404C10" w14:textId="77777777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3F4E5D" w:rsidRPr="00F45A6E" w14:paraId="47840821" w14:textId="77777777" w:rsidTr="003F4E5D">
        <w:trPr>
          <w:trHeight w:val="20"/>
        </w:trPr>
        <w:tc>
          <w:tcPr>
            <w:tcW w:w="1665" w:type="pct"/>
            <w:vAlign w:val="center"/>
          </w:tcPr>
          <w:p w14:paraId="4EB52F6A" w14:textId="2B513372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ORR (95</w:t>
            </w:r>
            <w:r w:rsidR="00C157E6" w:rsidRPr="00F45A6E">
              <w:rPr>
                <w:szCs w:val="22"/>
                <w:lang w:val="sr-Latn-ME"/>
              </w:rPr>
              <w:t>%</w:t>
            </w:r>
            <w:r w:rsidRPr="00F45A6E">
              <w:rPr>
                <w:szCs w:val="22"/>
                <w:lang w:val="sr-Latn-ME"/>
              </w:rPr>
              <w:t xml:space="preserve"> CI)</w:t>
            </w:r>
            <w:r w:rsidR="003F4E5D" w:rsidRPr="00F45A6E">
              <w:rPr>
                <w:szCs w:val="22"/>
                <w:lang w:val="sr-Latn-ME"/>
              </w:rPr>
              <w:t xml:space="preserve"> </w:t>
            </w:r>
            <w:r w:rsidRPr="00F45A6E">
              <w:rPr>
                <w:szCs w:val="22"/>
                <w:lang w:val="sr-Latn-ME"/>
              </w:rPr>
              <w:t xml:space="preserve">(%) </w:t>
            </w:r>
          </w:p>
        </w:tc>
        <w:tc>
          <w:tcPr>
            <w:tcW w:w="924" w:type="pct"/>
            <w:vAlign w:val="center"/>
          </w:tcPr>
          <w:p w14:paraId="17E8D3C5" w14:textId="1FD254F8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27,6 (22,9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32,7)</w:t>
            </w:r>
          </w:p>
        </w:tc>
        <w:tc>
          <w:tcPr>
            <w:tcW w:w="924" w:type="pct"/>
            <w:vAlign w:val="center"/>
          </w:tcPr>
          <w:p w14:paraId="5A10F35F" w14:textId="2DF92838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18,8 (14,8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23,4)</w:t>
            </w:r>
          </w:p>
        </w:tc>
        <w:tc>
          <w:tcPr>
            <w:tcW w:w="924" w:type="pct"/>
            <w:vAlign w:val="center"/>
          </w:tcPr>
          <w:p w14:paraId="5755764D" w14:textId="251E9231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1,65 (1,14</w:t>
            </w:r>
            <w:r w:rsidR="003F4E5D" w:rsidRPr="00F45A6E">
              <w:rPr>
                <w:szCs w:val="22"/>
                <w:lang w:val="sr-Latn-ME"/>
              </w:rPr>
              <w:t>-</w:t>
            </w:r>
            <w:r w:rsidRPr="00F45A6E">
              <w:rPr>
                <w:szCs w:val="22"/>
                <w:lang w:val="sr-Latn-ME"/>
              </w:rPr>
              <w:t>2,37)</w:t>
            </w:r>
          </w:p>
        </w:tc>
        <w:tc>
          <w:tcPr>
            <w:tcW w:w="563" w:type="pct"/>
            <w:vAlign w:val="center"/>
          </w:tcPr>
          <w:p w14:paraId="04A84C4E" w14:textId="0F27987D" w:rsidR="00635661" w:rsidRPr="00F45A6E" w:rsidRDefault="00635661" w:rsidP="003A690C">
            <w:pPr>
              <w:rPr>
                <w:b/>
                <w:bCs/>
                <w:szCs w:val="22"/>
                <w:lang w:val="sr-Latn-ME"/>
              </w:rPr>
            </w:pPr>
            <w:r w:rsidRPr="00F45A6E">
              <w:rPr>
                <w:szCs w:val="22"/>
                <w:lang w:val="sr-Latn-ME"/>
              </w:rPr>
              <w:t>0,0080</w:t>
            </w:r>
            <w:r w:rsidRPr="00F45A6E">
              <w:rPr>
                <w:szCs w:val="22"/>
                <w:vertAlign w:val="superscript"/>
                <w:lang w:val="sr-Latn-ME"/>
              </w:rPr>
              <w:t>b</w:t>
            </w:r>
          </w:p>
        </w:tc>
      </w:tr>
    </w:tbl>
    <w:p w14:paraId="20A7C664" w14:textId="35DF54AC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*Analize primarne </w:t>
      </w:r>
      <w:r w:rsidR="00FF7009" w:rsidRPr="00F45A6E">
        <w:rPr>
          <w:sz w:val="22"/>
          <w:szCs w:val="22"/>
          <w:lang w:val="sr-Latn-ME"/>
        </w:rPr>
        <w:t>efikasnosti</w:t>
      </w:r>
    </w:p>
    <w:p w14:paraId="28708873" w14:textId="20EEA37F" w:rsidR="00663848" w:rsidRPr="00F45A6E" w:rsidRDefault="00C626E0" w:rsidP="003A690C">
      <w:pPr>
        <w:rPr>
          <w:szCs w:val="22"/>
          <w:lang w:val="sr-Latn-ME"/>
        </w:rPr>
      </w:pPr>
      <w:r w:rsidRPr="00F45A6E">
        <w:rPr>
          <w:szCs w:val="22"/>
          <w:vertAlign w:val="superscript"/>
          <w:lang w:val="sr-Latn-ME"/>
        </w:rPr>
        <w:t xml:space="preserve">a </w:t>
      </w:r>
      <w:r w:rsidRPr="00F45A6E">
        <w:rPr>
          <w:szCs w:val="22"/>
          <w:lang w:val="sr-Latn-ME"/>
        </w:rPr>
        <w:t xml:space="preserve">Log </w:t>
      </w:r>
      <w:r w:rsidR="00B2278D" w:rsidRPr="00F45A6E">
        <w:rPr>
          <w:szCs w:val="22"/>
          <w:lang w:val="sr-Latn-ME"/>
        </w:rPr>
        <w:t>R</w:t>
      </w:r>
      <w:r w:rsidRPr="00F45A6E">
        <w:rPr>
          <w:szCs w:val="22"/>
          <w:lang w:val="sr-Latn-ME"/>
        </w:rPr>
        <w:t>ank test</w:t>
      </w:r>
    </w:p>
    <w:p w14:paraId="0A90C067" w14:textId="750B15B1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vertAlign w:val="superscript"/>
          <w:lang w:val="sr-Latn-ME"/>
        </w:rPr>
        <w:t>b</w:t>
      </w:r>
      <w:r w:rsidRPr="00F45A6E">
        <w:rPr>
          <w:sz w:val="22"/>
          <w:szCs w:val="22"/>
          <w:lang w:val="sr-Latn-ME"/>
        </w:rPr>
        <w:t xml:space="preserve"> </w:t>
      </w:r>
      <w:r w:rsidRPr="00F45A6E">
        <w:rPr>
          <w:i/>
          <w:iCs/>
          <w:sz w:val="22"/>
          <w:szCs w:val="22"/>
          <w:lang w:val="sr-Latn-ME"/>
        </w:rPr>
        <w:t>Fisher</w:t>
      </w:r>
      <w:r w:rsidR="00AD18CF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ov test </w:t>
      </w:r>
    </w:p>
    <w:p w14:paraId="78BAB812" w14:textId="77777777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E31EEA8" w14:textId="1D69224A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Na temelju nezavisne onkološke proc</w:t>
      </w:r>
      <w:r w:rsidR="00A771D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ene </w:t>
      </w:r>
      <w:r w:rsidR="00AD18CF" w:rsidRPr="00F45A6E">
        <w:rPr>
          <w:sz w:val="22"/>
          <w:szCs w:val="22"/>
          <w:lang w:val="sr-Latn-ME"/>
        </w:rPr>
        <w:t xml:space="preserve">pacijenti </w:t>
      </w:r>
      <w:r w:rsidRPr="00F45A6E">
        <w:rPr>
          <w:sz w:val="22"/>
          <w:szCs w:val="22"/>
          <w:lang w:val="sr-Latn-ME"/>
        </w:rPr>
        <w:t>s</w:t>
      </w:r>
      <w:r w:rsidR="00AD18C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intervalom bez upo</w:t>
      </w:r>
      <w:r w:rsidR="00AD18CF" w:rsidRPr="00F45A6E">
        <w:rPr>
          <w:sz w:val="22"/>
          <w:szCs w:val="22"/>
          <w:lang w:val="sr-Latn-ME"/>
        </w:rPr>
        <w:t>tre</w:t>
      </w:r>
      <w:r w:rsidRPr="00F45A6E">
        <w:rPr>
          <w:sz w:val="22"/>
          <w:szCs w:val="22"/>
          <w:lang w:val="sr-Latn-ME"/>
        </w:rPr>
        <w:t xml:space="preserve">be platine (PFI) &lt;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 (35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u </w:t>
      </w:r>
      <w:r w:rsidR="00AD18CF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koja je primala trabektedin </w:t>
      </w:r>
      <w:r w:rsidR="004F494A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i 37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u </w:t>
      </w:r>
      <w:r w:rsidR="00AD18CF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koja je primala samo PLD) imali su sličan PFS u dv</w:t>
      </w:r>
      <w:r w:rsidR="008B0C2B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</w:t>
      </w:r>
      <w:r w:rsidR="00AD18CF" w:rsidRPr="00F45A6E">
        <w:rPr>
          <w:sz w:val="22"/>
          <w:szCs w:val="22"/>
          <w:lang w:val="sr-Latn-ME"/>
        </w:rPr>
        <w:t>grupe</w:t>
      </w:r>
      <w:r w:rsidRPr="00F45A6E">
        <w:rPr>
          <w:sz w:val="22"/>
          <w:szCs w:val="22"/>
          <w:lang w:val="sr-Latn-ME"/>
        </w:rPr>
        <w:t xml:space="preserve"> koje su obe imale medijan</w:t>
      </w:r>
      <w:r w:rsidR="00AD18CF" w:rsidRPr="00F45A6E">
        <w:rPr>
          <w:sz w:val="22"/>
          <w:szCs w:val="22"/>
          <w:lang w:val="sr-Latn-ME"/>
        </w:rPr>
        <w:t>u</w:t>
      </w:r>
      <w:r w:rsidRPr="00F45A6E">
        <w:rPr>
          <w:sz w:val="22"/>
          <w:szCs w:val="22"/>
          <w:lang w:val="sr-Latn-ME"/>
        </w:rPr>
        <w:t xml:space="preserve"> PFS od 3,7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 (HR = 0,89, CI: 0,67</w:t>
      </w:r>
      <w:r w:rsidR="006463FD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1,20). Kod </w:t>
      </w:r>
      <w:r w:rsidR="00AD18CF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AD18C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PFI ≥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 (65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u </w:t>
      </w:r>
      <w:r w:rsidR="00AD18CF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="00756B25" w:rsidRPr="00F45A6E">
        <w:rPr>
          <w:sz w:val="22"/>
          <w:szCs w:val="22"/>
          <w:lang w:val="sr-Latn-ME"/>
        </w:rPr>
        <w:t>oj</w:t>
      </w:r>
      <w:r w:rsidRPr="00F45A6E">
        <w:rPr>
          <w:sz w:val="22"/>
          <w:szCs w:val="22"/>
          <w:lang w:val="sr-Latn-ME"/>
        </w:rPr>
        <w:t xml:space="preserve"> trabektedin</w:t>
      </w:r>
      <w:r w:rsidR="000E60ED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 xml:space="preserve"> </w:t>
      </w:r>
      <w:r w:rsidR="00756B25" w:rsidRPr="00F45A6E">
        <w:rPr>
          <w:sz w:val="22"/>
          <w:szCs w:val="22"/>
          <w:lang w:val="sr-Latn-ME"/>
        </w:rPr>
        <w:t>u kombinaciji</w:t>
      </w:r>
      <w:r w:rsidR="0084484B" w:rsidRPr="00F45A6E">
        <w:rPr>
          <w:sz w:val="22"/>
          <w:szCs w:val="22"/>
          <w:lang w:val="sr-Latn-ME"/>
        </w:rPr>
        <w:t xml:space="preserve"> sa</w:t>
      </w:r>
      <w:r w:rsidRPr="00F45A6E">
        <w:rPr>
          <w:sz w:val="22"/>
          <w:szCs w:val="22"/>
          <w:lang w:val="sr-Latn-ME"/>
        </w:rPr>
        <w:t xml:space="preserve"> PLD i 63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u </w:t>
      </w:r>
      <w:r w:rsidR="00AD18CF" w:rsidRPr="00F45A6E">
        <w:rPr>
          <w:sz w:val="22"/>
          <w:szCs w:val="22"/>
          <w:lang w:val="sr-Latn-ME"/>
        </w:rPr>
        <w:t xml:space="preserve">grupi </w:t>
      </w:r>
      <w:r w:rsidR="001B47BA" w:rsidRPr="00F45A6E">
        <w:rPr>
          <w:sz w:val="22"/>
          <w:szCs w:val="22"/>
          <w:lang w:val="sr-Latn-ME"/>
        </w:rPr>
        <w:t>liječen</w:t>
      </w:r>
      <w:r w:rsidR="00756B25" w:rsidRPr="00F45A6E">
        <w:rPr>
          <w:sz w:val="22"/>
          <w:szCs w:val="22"/>
          <w:lang w:val="sr-Latn-ME"/>
        </w:rPr>
        <w:t>oj</w:t>
      </w:r>
      <w:r w:rsidRPr="00F45A6E">
        <w:rPr>
          <w:sz w:val="22"/>
          <w:szCs w:val="22"/>
          <w:lang w:val="sr-Latn-ME"/>
        </w:rPr>
        <w:t xml:space="preserve"> PLD), medijan</w:t>
      </w:r>
      <w:r w:rsidR="00AD18CF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PFS iznosi</w:t>
      </w:r>
      <w:r w:rsidR="00AD18CF" w:rsidRPr="00F45A6E">
        <w:rPr>
          <w:sz w:val="22"/>
          <w:szCs w:val="22"/>
          <w:lang w:val="sr-Latn-ME"/>
        </w:rPr>
        <w:t>la</w:t>
      </w:r>
      <w:r w:rsidRPr="00F45A6E">
        <w:rPr>
          <w:sz w:val="22"/>
          <w:szCs w:val="22"/>
          <w:lang w:val="sr-Latn-ME"/>
        </w:rPr>
        <w:t xml:space="preserve"> je 9,7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 u </w:t>
      </w:r>
      <w:r w:rsidR="00AD18CF" w:rsidRPr="00F45A6E">
        <w:rPr>
          <w:sz w:val="22"/>
          <w:szCs w:val="22"/>
          <w:lang w:val="sr-Latn-ME"/>
        </w:rPr>
        <w:t>grupi</w:t>
      </w:r>
      <w:r w:rsidRPr="00F45A6E">
        <w:rPr>
          <w:sz w:val="22"/>
          <w:szCs w:val="22"/>
          <w:lang w:val="sr-Latn-ME"/>
        </w:rPr>
        <w:t xml:space="preserve"> koja je primala trabektedin </w:t>
      </w:r>
      <w:r w:rsidR="0084484B" w:rsidRPr="00F45A6E">
        <w:rPr>
          <w:sz w:val="22"/>
          <w:szCs w:val="22"/>
          <w:lang w:val="sr-Latn-ME"/>
        </w:rPr>
        <w:t>u kombinaciji sa</w:t>
      </w:r>
      <w:r w:rsidRPr="00F45A6E">
        <w:rPr>
          <w:sz w:val="22"/>
          <w:szCs w:val="22"/>
          <w:lang w:val="sr-Latn-ME"/>
        </w:rPr>
        <w:t xml:space="preserve"> PLD </w:t>
      </w:r>
      <w:r w:rsidR="0084484B" w:rsidRPr="00F45A6E">
        <w:rPr>
          <w:sz w:val="22"/>
          <w:szCs w:val="22"/>
          <w:lang w:val="sr-Latn-ME"/>
        </w:rPr>
        <w:t>om</w:t>
      </w:r>
      <w:r w:rsidRPr="00F45A6E">
        <w:rPr>
          <w:sz w:val="22"/>
          <w:szCs w:val="22"/>
          <w:lang w:val="sr-Latn-ME"/>
        </w:rPr>
        <w:t xml:space="preserve"> </w:t>
      </w:r>
      <w:r w:rsidR="00AD18CF" w:rsidRPr="00F45A6E">
        <w:rPr>
          <w:sz w:val="22"/>
          <w:szCs w:val="22"/>
          <w:lang w:val="sr-Latn-ME"/>
        </w:rPr>
        <w:t>poređenju</w:t>
      </w:r>
      <w:r w:rsidRPr="00F45A6E">
        <w:rPr>
          <w:sz w:val="22"/>
          <w:szCs w:val="22"/>
          <w:lang w:val="sr-Latn-ME"/>
        </w:rPr>
        <w:t xml:space="preserve"> sa 7,2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 u </w:t>
      </w:r>
      <w:r w:rsidR="00AD18CF" w:rsidRPr="00F45A6E">
        <w:rPr>
          <w:sz w:val="22"/>
          <w:szCs w:val="22"/>
          <w:lang w:val="sr-Latn-ME"/>
        </w:rPr>
        <w:t xml:space="preserve">grupi </w:t>
      </w:r>
      <w:r w:rsidRPr="00F45A6E">
        <w:rPr>
          <w:sz w:val="22"/>
          <w:szCs w:val="22"/>
          <w:lang w:val="sr-Latn-ME"/>
        </w:rPr>
        <w:t>koja je primala samo PLD (HR = 0,66, CI: 0,52</w:t>
      </w:r>
      <w:r w:rsidR="006463FD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0,85). </w:t>
      </w:r>
    </w:p>
    <w:p w14:paraId="3F8F3D8A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C9D8890" w14:textId="65553FE5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U konačnoj analizi, </w:t>
      </w:r>
      <w:r w:rsidR="00AD18CF" w:rsidRPr="00F45A6E">
        <w:rPr>
          <w:sz w:val="22"/>
          <w:szCs w:val="22"/>
          <w:lang w:val="sr-Latn-ME"/>
        </w:rPr>
        <w:t>efekat</w:t>
      </w:r>
      <w:r w:rsidRPr="00F45A6E">
        <w:rPr>
          <w:sz w:val="22"/>
          <w:szCs w:val="22"/>
          <w:lang w:val="sr-Latn-ME"/>
        </w:rPr>
        <w:t xml:space="preserve"> kombinacije trabektedin </w:t>
      </w:r>
      <w:r w:rsidR="0084484B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nasuprot PLD</w:t>
      </w:r>
      <w:r w:rsidR="0084484B" w:rsidRPr="00F45A6E">
        <w:rPr>
          <w:sz w:val="22"/>
          <w:szCs w:val="22"/>
          <w:lang w:val="sr-Latn-ME"/>
        </w:rPr>
        <w:t xml:space="preserve"> u monoterapiji</w:t>
      </w:r>
      <w:r w:rsidRPr="00F45A6E">
        <w:rPr>
          <w:sz w:val="22"/>
          <w:szCs w:val="22"/>
          <w:lang w:val="sr-Latn-ME"/>
        </w:rPr>
        <w:t xml:space="preserve"> na ukupno pre</w:t>
      </w:r>
      <w:r w:rsidR="00917A3D" w:rsidRPr="00F45A6E">
        <w:rPr>
          <w:sz w:val="22"/>
          <w:szCs w:val="22"/>
          <w:lang w:val="sr-Latn-ME"/>
        </w:rPr>
        <w:t xml:space="preserve">življavanje </w:t>
      </w:r>
      <w:r w:rsidRPr="00F45A6E">
        <w:rPr>
          <w:sz w:val="22"/>
          <w:szCs w:val="22"/>
          <w:lang w:val="sr-Latn-ME"/>
        </w:rPr>
        <w:t>bio je izra</w:t>
      </w:r>
      <w:r w:rsidR="00FE4B5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eniji kod </w:t>
      </w:r>
      <w:r w:rsidR="00FE4B5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FE4B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PFI ≥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 (populacija os</w:t>
      </w:r>
      <w:r w:rsidR="008B0C2B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etljiva na platinu: 27,0 prema 24,1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a, HR = 0,83, CI: 0,67</w:t>
      </w:r>
      <w:r w:rsidR="006463FD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1,04), nego </w:t>
      </w:r>
      <w:r w:rsidR="0084484B" w:rsidRPr="00F45A6E">
        <w:rPr>
          <w:sz w:val="22"/>
          <w:szCs w:val="22"/>
          <w:lang w:val="sr-Latn-ME"/>
        </w:rPr>
        <w:t xml:space="preserve">kod </w:t>
      </w:r>
      <w:r w:rsidRPr="00F45A6E">
        <w:rPr>
          <w:sz w:val="22"/>
          <w:szCs w:val="22"/>
          <w:lang w:val="sr-Latn-ME"/>
        </w:rPr>
        <w:t>onih s</w:t>
      </w:r>
      <w:r w:rsidR="00FE4B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PFI &lt;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 (populacija otporna na platinu: 14,2 prema 12,4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i, HR = 0,92, CI: 0,70</w:t>
      </w:r>
      <w:r w:rsidR="006463FD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1,21). </w:t>
      </w:r>
    </w:p>
    <w:p w14:paraId="187D2E11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28CB496" w14:textId="2584912F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Korist u OS kod trabektedin</w:t>
      </w:r>
      <w:r w:rsidR="000520B1" w:rsidRPr="00F45A6E">
        <w:rPr>
          <w:sz w:val="22"/>
          <w:szCs w:val="22"/>
          <w:lang w:val="sr-Latn-ME"/>
        </w:rPr>
        <w:t xml:space="preserve"> </w:t>
      </w:r>
      <w:r w:rsidR="00861859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nije bila posl</w:t>
      </w:r>
      <w:r w:rsidR="008B0C2B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edica </w:t>
      </w:r>
      <w:r w:rsidR="000520B1" w:rsidRPr="00F45A6E">
        <w:rPr>
          <w:sz w:val="22"/>
          <w:szCs w:val="22"/>
          <w:lang w:val="sr-Latn-ME"/>
        </w:rPr>
        <w:t>efekta</w:t>
      </w:r>
      <w:r w:rsidRPr="00F45A6E">
        <w:rPr>
          <w:sz w:val="22"/>
          <w:szCs w:val="22"/>
          <w:lang w:val="sr-Latn-ME"/>
        </w:rPr>
        <w:t xml:space="preserve"> naknadnih terapija koje su bile dobro uskla</w:t>
      </w:r>
      <w:r w:rsidR="008B7B59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ene izme</w:t>
      </w:r>
      <w:r w:rsidR="008B7B59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dv</w:t>
      </w:r>
      <w:r w:rsidR="008B0C2B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</w:t>
      </w:r>
      <w:r w:rsidR="008B7B59" w:rsidRPr="00F45A6E">
        <w:rPr>
          <w:sz w:val="22"/>
          <w:szCs w:val="22"/>
          <w:lang w:val="sr-Latn-ME"/>
        </w:rPr>
        <w:t>grupe</w:t>
      </w:r>
      <w:r w:rsidRPr="00F45A6E">
        <w:rPr>
          <w:sz w:val="22"/>
          <w:szCs w:val="22"/>
          <w:lang w:val="sr-Latn-ME"/>
        </w:rPr>
        <w:t xml:space="preserve"> koje su </w:t>
      </w:r>
      <w:r w:rsidR="001B47BA" w:rsidRPr="00F45A6E">
        <w:rPr>
          <w:sz w:val="22"/>
          <w:szCs w:val="22"/>
          <w:lang w:val="sr-Latn-ME"/>
        </w:rPr>
        <w:t>liječen</w:t>
      </w:r>
      <w:r w:rsidRPr="00F45A6E">
        <w:rPr>
          <w:sz w:val="22"/>
          <w:szCs w:val="22"/>
          <w:lang w:val="sr-Latn-ME"/>
        </w:rPr>
        <w:t xml:space="preserve">e. </w:t>
      </w:r>
    </w:p>
    <w:p w14:paraId="2B684C69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AF8A1C7" w14:textId="69C2888C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U multivarijantnim analizama uključujući PFI, </w:t>
      </w:r>
      <w:r w:rsidR="008B7B59" w:rsidRPr="00F45A6E">
        <w:rPr>
          <w:sz w:val="22"/>
          <w:szCs w:val="22"/>
          <w:lang w:val="sr-Latn-ME"/>
        </w:rPr>
        <w:t>efekat</w:t>
      </w:r>
      <w:r w:rsidRPr="00F45A6E">
        <w:rPr>
          <w:sz w:val="22"/>
          <w:szCs w:val="22"/>
          <w:lang w:val="sr-Latn-ME"/>
        </w:rPr>
        <w:t xml:space="preserve">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a na ukupno </w:t>
      </w:r>
      <w:r w:rsidR="008B7B59" w:rsidRPr="00F45A6E">
        <w:rPr>
          <w:sz w:val="22"/>
          <w:szCs w:val="22"/>
          <w:lang w:val="sr-Latn-ME"/>
        </w:rPr>
        <w:t xml:space="preserve">preživljavanje </w:t>
      </w:r>
      <w:r w:rsidRPr="00F45A6E">
        <w:rPr>
          <w:sz w:val="22"/>
          <w:szCs w:val="22"/>
          <w:lang w:val="sr-Latn-ME"/>
        </w:rPr>
        <w:t xml:space="preserve">bio je statistički značajan u prilog kombinaciji trabektedin </w:t>
      </w:r>
      <w:r w:rsidR="00861859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nasuprot </w:t>
      </w:r>
      <w:r w:rsidR="00861859" w:rsidRPr="00F45A6E">
        <w:rPr>
          <w:sz w:val="22"/>
          <w:szCs w:val="22"/>
          <w:lang w:val="sr-Latn-ME"/>
        </w:rPr>
        <w:t xml:space="preserve">monoterapiji </w:t>
      </w:r>
      <w:r w:rsidRPr="00F45A6E">
        <w:rPr>
          <w:sz w:val="22"/>
          <w:szCs w:val="22"/>
          <w:lang w:val="sr-Latn-ME"/>
        </w:rPr>
        <w:t xml:space="preserve">PLD (svi </w:t>
      </w:r>
      <w:r w:rsidR="002F3A30" w:rsidRPr="00F45A6E">
        <w:rPr>
          <w:sz w:val="22"/>
          <w:szCs w:val="22"/>
          <w:lang w:val="sr-Latn-ME"/>
        </w:rPr>
        <w:t>randomizovani</w:t>
      </w:r>
      <w:r w:rsidRPr="00F45A6E">
        <w:rPr>
          <w:sz w:val="22"/>
          <w:szCs w:val="22"/>
          <w:lang w:val="sr-Latn-ME"/>
        </w:rPr>
        <w:t>: p = 0,0285, populacija os</w:t>
      </w:r>
      <w:r w:rsidR="008B0C2B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etljiva na platinu: p = 0,0319). </w:t>
      </w:r>
    </w:p>
    <w:p w14:paraId="775CD423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F632D7A" w14:textId="3BFBB469" w:rsidR="00C626E0" w:rsidRPr="00F45A6E" w:rsidRDefault="0059455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Nijesu</w:t>
      </w:r>
      <w:r w:rsidR="00C626E0" w:rsidRPr="00F45A6E">
        <w:rPr>
          <w:sz w:val="22"/>
          <w:szCs w:val="22"/>
          <w:lang w:val="sr-Latn-ME"/>
        </w:rPr>
        <w:t xml:space="preserve"> prona</w:t>
      </w:r>
      <w:r w:rsidR="002F3A30" w:rsidRPr="00F45A6E">
        <w:rPr>
          <w:sz w:val="22"/>
          <w:szCs w:val="22"/>
          <w:lang w:val="sr-Latn-ME"/>
        </w:rPr>
        <w:t>đ</w:t>
      </w:r>
      <w:r w:rsidR="00C626E0" w:rsidRPr="00F45A6E">
        <w:rPr>
          <w:sz w:val="22"/>
          <w:szCs w:val="22"/>
          <w:lang w:val="sr-Latn-ME"/>
        </w:rPr>
        <w:t>ene statistički značajne razlike izme</w:t>
      </w:r>
      <w:r w:rsidR="002F3A30" w:rsidRPr="00F45A6E">
        <w:rPr>
          <w:sz w:val="22"/>
          <w:szCs w:val="22"/>
          <w:lang w:val="sr-Latn-ME"/>
        </w:rPr>
        <w:t>đ</w:t>
      </w:r>
      <w:r w:rsidR="00C626E0" w:rsidRPr="00F45A6E">
        <w:rPr>
          <w:sz w:val="22"/>
          <w:szCs w:val="22"/>
          <w:lang w:val="sr-Latn-ME"/>
        </w:rPr>
        <w:t xml:space="preserve">u </w:t>
      </w:r>
      <w:r w:rsidR="00F75B04" w:rsidRPr="00F45A6E">
        <w:rPr>
          <w:sz w:val="22"/>
          <w:szCs w:val="22"/>
          <w:lang w:val="sr-Latn-ME"/>
        </w:rPr>
        <w:t>grupa</w:t>
      </w:r>
      <w:r w:rsidR="00C626E0" w:rsidRPr="00F45A6E">
        <w:rPr>
          <w:sz w:val="22"/>
          <w:szCs w:val="22"/>
          <w:lang w:val="sr-Latn-ME"/>
        </w:rPr>
        <w:t xml:space="preserve"> za </w:t>
      </w:r>
      <w:r w:rsidR="00031EC5" w:rsidRPr="00F45A6E">
        <w:rPr>
          <w:sz w:val="22"/>
          <w:szCs w:val="22"/>
          <w:lang w:val="sr-Latn-ME"/>
        </w:rPr>
        <w:t>liječenj</w:t>
      </w:r>
      <w:r w:rsidR="00C626E0" w:rsidRPr="00F45A6E">
        <w:rPr>
          <w:sz w:val="22"/>
          <w:szCs w:val="22"/>
          <w:lang w:val="sr-Latn-ME"/>
        </w:rPr>
        <w:t>e u op</w:t>
      </w:r>
      <w:r w:rsidR="00F75B04" w:rsidRPr="00F45A6E">
        <w:rPr>
          <w:sz w:val="22"/>
          <w:szCs w:val="22"/>
          <w:lang w:val="sr-Latn-ME"/>
        </w:rPr>
        <w:t>št</w:t>
      </w:r>
      <w:r w:rsidR="00C626E0" w:rsidRPr="00F45A6E">
        <w:rPr>
          <w:sz w:val="22"/>
          <w:szCs w:val="22"/>
          <w:lang w:val="sr-Latn-ME"/>
        </w:rPr>
        <w:t>im m</w:t>
      </w:r>
      <w:r w:rsidR="008B0C2B" w:rsidRPr="00F45A6E">
        <w:rPr>
          <w:sz w:val="22"/>
          <w:szCs w:val="22"/>
          <w:lang w:val="sr-Latn-ME"/>
        </w:rPr>
        <w:t>j</w:t>
      </w:r>
      <w:r w:rsidR="00C626E0" w:rsidRPr="00F45A6E">
        <w:rPr>
          <w:sz w:val="22"/>
          <w:szCs w:val="22"/>
          <w:lang w:val="sr-Latn-ME"/>
        </w:rPr>
        <w:t xml:space="preserve">erenjima kvalitete </w:t>
      </w:r>
      <w:r w:rsidR="00F75B04" w:rsidRPr="00F45A6E">
        <w:rPr>
          <w:sz w:val="22"/>
          <w:szCs w:val="22"/>
          <w:lang w:val="sr-Latn-ME"/>
        </w:rPr>
        <w:t>ž</w:t>
      </w:r>
      <w:r w:rsidR="00C626E0" w:rsidRPr="00F45A6E">
        <w:rPr>
          <w:sz w:val="22"/>
          <w:szCs w:val="22"/>
          <w:lang w:val="sr-Latn-ME"/>
        </w:rPr>
        <w:t xml:space="preserve">ivota. </w:t>
      </w:r>
    </w:p>
    <w:p w14:paraId="0F462755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AD48786" w14:textId="24FDAC82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Kombinacija trabektedin </w:t>
      </w:r>
      <w:r w:rsidR="00861859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u relapsu </w:t>
      </w:r>
      <w:r w:rsidR="008B22BF" w:rsidRPr="00F45A6E">
        <w:rPr>
          <w:sz w:val="22"/>
          <w:szCs w:val="22"/>
          <w:lang w:val="sr-Latn-ME"/>
        </w:rPr>
        <w:t>kancera</w:t>
      </w:r>
      <w:r w:rsidRPr="00F45A6E">
        <w:rPr>
          <w:sz w:val="22"/>
          <w:szCs w:val="22"/>
          <w:lang w:val="sr-Latn-ME"/>
        </w:rPr>
        <w:t xml:space="preserve"> jajnika proc</w:t>
      </w:r>
      <w:r w:rsidR="008B0C2B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enjena je i u ispitivanju ET743-OVC- 3006, ispitivanju faze 3 u kojem su </w:t>
      </w:r>
      <w:r w:rsidR="00F75B0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ene </w:t>
      </w:r>
      <w:r w:rsidR="008B22BF" w:rsidRPr="00F45A6E">
        <w:rPr>
          <w:sz w:val="22"/>
          <w:szCs w:val="22"/>
          <w:lang w:val="sr-Latn-ME"/>
        </w:rPr>
        <w:t>sa kancerom</w:t>
      </w:r>
      <w:r w:rsidRPr="00F45A6E">
        <w:rPr>
          <w:sz w:val="22"/>
          <w:szCs w:val="22"/>
          <w:lang w:val="sr-Latn-ME"/>
        </w:rPr>
        <w:t xml:space="preserve"> jajnika, nakon neuspešnosti drugog re</w:t>
      </w:r>
      <w:r w:rsidR="00F75B0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koji je sadr</w:t>
      </w:r>
      <w:r w:rsidR="00F75B04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ao platinu, randomiz</w:t>
      </w:r>
      <w:r w:rsidR="00F75B04" w:rsidRPr="00F45A6E">
        <w:rPr>
          <w:sz w:val="22"/>
          <w:szCs w:val="22"/>
          <w:lang w:val="sr-Latn-ME"/>
        </w:rPr>
        <w:t>ovane</w:t>
      </w:r>
      <w:r w:rsidRPr="00F45A6E">
        <w:rPr>
          <w:sz w:val="22"/>
          <w:szCs w:val="22"/>
          <w:lang w:val="sr-Latn-ME"/>
        </w:rPr>
        <w:t xml:space="preserve"> kako bi primale trabektedin (1,1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i PLD (30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422A60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3 </w:t>
      </w:r>
      <w:r w:rsidR="00422A60" w:rsidRPr="00F45A6E">
        <w:rPr>
          <w:sz w:val="22"/>
          <w:szCs w:val="22"/>
          <w:lang w:val="sr-Latn-ME"/>
        </w:rPr>
        <w:t xml:space="preserve">nedelje </w:t>
      </w:r>
      <w:r w:rsidRPr="00F45A6E">
        <w:rPr>
          <w:sz w:val="22"/>
          <w:szCs w:val="22"/>
          <w:lang w:val="sr-Latn-ME"/>
        </w:rPr>
        <w:t>ili PLD (50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svak</w:t>
      </w:r>
      <w:r w:rsidR="00422A60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4 </w:t>
      </w:r>
      <w:r w:rsidR="00422A60" w:rsidRPr="00F45A6E">
        <w:rPr>
          <w:sz w:val="22"/>
          <w:szCs w:val="22"/>
          <w:lang w:val="sr-Latn-ME"/>
        </w:rPr>
        <w:t>nedelje</w:t>
      </w:r>
      <w:r w:rsidRPr="00F45A6E">
        <w:rPr>
          <w:sz w:val="22"/>
          <w:szCs w:val="22"/>
          <w:lang w:val="sr-Latn-ME"/>
        </w:rPr>
        <w:t>. Ispitanici su trebali biti os</w:t>
      </w:r>
      <w:r w:rsidR="008B0C2B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etljivi na platinu (PFI ≥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>i) nakon prvog re</w:t>
      </w:r>
      <w:r w:rsidR="00422A60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koje je sadr</w:t>
      </w:r>
      <w:r w:rsidR="00422A60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al</w:t>
      </w:r>
      <w:r w:rsidR="00861859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platinu i imati potpuni ili d</w:t>
      </w:r>
      <w:r w:rsidR="008B0C2B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el</w:t>
      </w:r>
      <w:r w:rsidR="00422A60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mični odgovor na </w:t>
      </w:r>
      <w:r w:rsidR="00422A60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em</w:t>
      </w:r>
      <w:r w:rsidR="00861859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oterapiju druge linije temeljenu na platini (bez ograničenja za PFI), što znači da su ti </w:t>
      </w:r>
      <w:r w:rsidR="004719AB" w:rsidRPr="00F45A6E">
        <w:rPr>
          <w:sz w:val="22"/>
          <w:szCs w:val="22"/>
          <w:lang w:val="sr-Latn-ME"/>
        </w:rPr>
        <w:lastRenderedPageBreak/>
        <w:t xml:space="preserve">pacijenti </w:t>
      </w:r>
      <w:r w:rsidRPr="00F45A6E">
        <w:rPr>
          <w:sz w:val="22"/>
          <w:szCs w:val="22"/>
          <w:lang w:val="sr-Latn-ME"/>
        </w:rPr>
        <w:t xml:space="preserve">nakon </w:t>
      </w:r>
      <w:r w:rsidR="005228B3" w:rsidRPr="00F45A6E">
        <w:rPr>
          <w:sz w:val="22"/>
          <w:szCs w:val="22"/>
          <w:lang w:val="sr-Latn-ME"/>
        </w:rPr>
        <w:t>sprovedenog</w:t>
      </w:r>
      <w:r w:rsidRPr="00F45A6E">
        <w:rPr>
          <w:sz w:val="22"/>
          <w:szCs w:val="22"/>
          <w:lang w:val="sr-Latn-ME"/>
        </w:rPr>
        <w:t xml:space="preserve"> drugog re</w:t>
      </w:r>
      <w:r w:rsidR="005228B3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koji sadr</w:t>
      </w:r>
      <w:r w:rsidR="009F720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 platinu mogli biti os</w:t>
      </w:r>
      <w:r w:rsidR="008B0C2B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etljivi na platinu (PFI ≥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i) ili otporni na platinu (PFI &lt;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i). </w:t>
      </w:r>
      <w:r w:rsidRPr="00F45A6E">
        <w:rPr>
          <w:i/>
          <w:iCs/>
          <w:sz w:val="22"/>
          <w:szCs w:val="22"/>
          <w:lang w:val="sr-Latn-ME"/>
        </w:rPr>
        <w:t>Post hoc</w:t>
      </w:r>
      <w:r w:rsidRPr="00F45A6E">
        <w:rPr>
          <w:sz w:val="22"/>
          <w:szCs w:val="22"/>
          <w:lang w:val="sr-Latn-ME"/>
        </w:rPr>
        <w:t xml:space="preserve"> analizom utvr</w:t>
      </w:r>
      <w:r w:rsidR="009F7207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eno je da je 42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ispitanika bilo otporno na platinu (PFI &lt; 6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i) nakon </w:t>
      </w:r>
      <w:r w:rsidR="009F7207" w:rsidRPr="00F45A6E">
        <w:rPr>
          <w:sz w:val="22"/>
          <w:szCs w:val="22"/>
          <w:lang w:val="sr-Latn-ME"/>
        </w:rPr>
        <w:t>p</w:t>
      </w:r>
      <w:r w:rsidRPr="00F45A6E">
        <w:rPr>
          <w:sz w:val="22"/>
          <w:szCs w:val="22"/>
          <w:lang w:val="sr-Latn-ME"/>
        </w:rPr>
        <w:t>osl</w:t>
      </w:r>
      <w:r w:rsidR="008B0C2B" w:rsidRPr="00F45A6E">
        <w:rPr>
          <w:sz w:val="22"/>
          <w:szCs w:val="22"/>
          <w:lang w:val="sr-Latn-ME"/>
        </w:rPr>
        <w:t>j</w:t>
      </w:r>
      <w:r w:rsidR="009F7207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>dnjeg re</w:t>
      </w:r>
      <w:r w:rsidR="009F720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ima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a koje je sadr</w:t>
      </w:r>
      <w:r w:rsidR="009F720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alo platinu. </w:t>
      </w:r>
    </w:p>
    <w:p w14:paraId="1D44D34F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565FF03A" w14:textId="68544B74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Primarn</w:t>
      </w:r>
      <w:r w:rsidR="00934F6C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</w:t>
      </w:r>
      <w:r w:rsidR="00861859" w:rsidRPr="00F45A6E">
        <w:rPr>
          <w:sz w:val="22"/>
          <w:szCs w:val="22"/>
          <w:lang w:val="sr-Latn-ME"/>
        </w:rPr>
        <w:t xml:space="preserve">parameter praćenja </w:t>
      </w:r>
      <w:r w:rsidRPr="00F45A6E">
        <w:rPr>
          <w:sz w:val="22"/>
          <w:szCs w:val="22"/>
          <w:lang w:val="sr-Latn-ME"/>
        </w:rPr>
        <w:t>ishoda ispitivanja ET743-OVC-3006 bio je OS, dok su sekundarn</w:t>
      </w:r>
      <w:r w:rsidR="00861859" w:rsidRPr="00F45A6E">
        <w:rPr>
          <w:sz w:val="22"/>
          <w:szCs w:val="22"/>
          <w:lang w:val="sr-Latn-ME"/>
        </w:rPr>
        <w:t xml:space="preserve">i parametri praćenja </w:t>
      </w:r>
      <w:r w:rsidRPr="00F45A6E">
        <w:rPr>
          <w:sz w:val="22"/>
          <w:szCs w:val="22"/>
          <w:lang w:val="sr-Latn-ME"/>
        </w:rPr>
        <w:t xml:space="preserve">ishoda uključivale PFS i ORR. Ispitivanje je osmišljeno tako da </w:t>
      </w:r>
      <w:r w:rsidR="00861859" w:rsidRPr="00F45A6E">
        <w:rPr>
          <w:sz w:val="22"/>
          <w:szCs w:val="22"/>
          <w:lang w:val="sr-Latn-ME"/>
        </w:rPr>
        <w:t xml:space="preserve">uključuje </w:t>
      </w:r>
      <w:r w:rsidRPr="00F45A6E">
        <w:rPr>
          <w:sz w:val="22"/>
          <w:szCs w:val="22"/>
          <w:lang w:val="sr-Latn-ME"/>
        </w:rPr>
        <w:t>pribli</w:t>
      </w:r>
      <w:r w:rsidR="00A1152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no 670 </w:t>
      </w:r>
      <w:r w:rsidR="00A11527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kako bi se </w:t>
      </w:r>
      <w:r w:rsidR="00436643" w:rsidRPr="00F45A6E">
        <w:rPr>
          <w:sz w:val="22"/>
          <w:szCs w:val="22"/>
          <w:lang w:val="sr-Latn-ME"/>
        </w:rPr>
        <w:t>ispitala</w:t>
      </w:r>
      <w:r w:rsidRPr="00F45A6E">
        <w:rPr>
          <w:sz w:val="22"/>
          <w:szCs w:val="22"/>
          <w:lang w:val="sr-Latn-ME"/>
        </w:rPr>
        <w:t xml:space="preserve"> 514 smrt</w:t>
      </w:r>
      <w:r w:rsidR="00436643" w:rsidRPr="00F45A6E">
        <w:rPr>
          <w:sz w:val="22"/>
          <w:szCs w:val="22"/>
          <w:lang w:val="sr-Latn-ME"/>
        </w:rPr>
        <w:t>na ishoda</w:t>
      </w:r>
      <w:r w:rsidRPr="00F45A6E">
        <w:rPr>
          <w:sz w:val="22"/>
          <w:szCs w:val="22"/>
          <w:lang w:val="sr-Latn-ME"/>
        </w:rPr>
        <w:t xml:space="preserve"> radi utvr</w:t>
      </w:r>
      <w:r w:rsidR="00436643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ivanja HR od 0,78 za OS s</w:t>
      </w:r>
      <w:r w:rsidR="00A90E0E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80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snage s obzirom na dvostran</w:t>
      </w:r>
      <w:r w:rsidR="0023798C" w:rsidRPr="00F45A6E">
        <w:rPr>
          <w:sz w:val="22"/>
          <w:szCs w:val="22"/>
          <w:lang w:val="sr-Latn-ME"/>
        </w:rPr>
        <w:t>i nivo</w:t>
      </w:r>
      <w:r w:rsidRPr="00F45A6E">
        <w:rPr>
          <w:sz w:val="22"/>
          <w:szCs w:val="22"/>
          <w:lang w:val="sr-Latn-ME"/>
        </w:rPr>
        <w:t xml:space="preserve"> značajnosti od 0,05 rasprostranjen na dv</w:t>
      </w:r>
      <w:r w:rsidR="002B7F93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 planirane analize OS, u interim (60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ili 308/514 smrt</w:t>
      </w:r>
      <w:r w:rsidR="00904ACF" w:rsidRPr="00F45A6E">
        <w:rPr>
          <w:sz w:val="22"/>
          <w:szCs w:val="22"/>
          <w:lang w:val="sr-Latn-ME"/>
        </w:rPr>
        <w:t>na ishoda</w:t>
      </w:r>
      <w:r w:rsidRPr="00F45A6E">
        <w:rPr>
          <w:sz w:val="22"/>
          <w:szCs w:val="22"/>
          <w:lang w:val="sr-Latn-ME"/>
        </w:rPr>
        <w:t>) i konačnoj analizi (514 smrt</w:t>
      </w:r>
      <w:r w:rsidR="00904ACF" w:rsidRPr="00F45A6E">
        <w:rPr>
          <w:sz w:val="22"/>
          <w:szCs w:val="22"/>
          <w:lang w:val="sr-Latn-ME"/>
        </w:rPr>
        <w:t>na ishoda</w:t>
      </w:r>
      <w:r w:rsidRPr="00F45A6E">
        <w:rPr>
          <w:sz w:val="22"/>
          <w:szCs w:val="22"/>
          <w:lang w:val="sr-Latn-ME"/>
        </w:rPr>
        <w:t xml:space="preserve">). Dve rane neplanirane analize beskorisnosti (engl. </w:t>
      </w:r>
      <w:r w:rsidRPr="00F45A6E">
        <w:rPr>
          <w:i/>
          <w:iCs/>
          <w:sz w:val="22"/>
          <w:szCs w:val="22"/>
          <w:lang w:val="sr-Latn-ME"/>
        </w:rPr>
        <w:t>Futility analyses</w:t>
      </w:r>
      <w:r w:rsidRPr="00F45A6E">
        <w:rPr>
          <w:sz w:val="22"/>
          <w:szCs w:val="22"/>
          <w:lang w:val="sr-Latn-ME"/>
        </w:rPr>
        <w:t xml:space="preserve">) </w:t>
      </w:r>
      <w:r w:rsidR="00940FE0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provedene su na zahtev ne</w:t>
      </w:r>
      <w:r w:rsidR="00940FE0" w:rsidRPr="00F45A6E">
        <w:rPr>
          <w:sz w:val="22"/>
          <w:szCs w:val="22"/>
          <w:lang w:val="sr-Latn-ME"/>
        </w:rPr>
        <w:t>za</w:t>
      </w:r>
      <w:r w:rsidRPr="00F45A6E">
        <w:rPr>
          <w:sz w:val="22"/>
          <w:szCs w:val="22"/>
          <w:lang w:val="sr-Latn-ME"/>
        </w:rPr>
        <w:t>visnog odbora za praćenje podataka (</w:t>
      </w:r>
      <w:r w:rsidRPr="00F45A6E">
        <w:rPr>
          <w:i/>
          <w:iCs/>
          <w:sz w:val="22"/>
          <w:szCs w:val="22"/>
          <w:lang w:val="sr-Latn-ME"/>
        </w:rPr>
        <w:t>Independent Data Monitoring Committee</w:t>
      </w:r>
      <w:r w:rsidR="004D726E" w:rsidRPr="00F45A6E">
        <w:rPr>
          <w:sz w:val="22"/>
          <w:szCs w:val="22"/>
          <w:lang w:val="sr-Latn-ME"/>
        </w:rPr>
        <w:t>, IDMC</w:t>
      </w:r>
      <w:r w:rsidRPr="00F45A6E">
        <w:rPr>
          <w:sz w:val="22"/>
          <w:szCs w:val="22"/>
          <w:lang w:val="sr-Latn-ME"/>
        </w:rPr>
        <w:t xml:space="preserve">). Nakon druge analize beskorisnosti </w:t>
      </w:r>
      <w:r w:rsidR="00732CB2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provedene pri 45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planiranih doga</w:t>
      </w:r>
      <w:r w:rsidR="00732CB2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aja (232/514 smrt</w:t>
      </w:r>
      <w:r w:rsidR="00732CB2" w:rsidRPr="00F45A6E">
        <w:rPr>
          <w:sz w:val="22"/>
          <w:szCs w:val="22"/>
          <w:lang w:val="sr-Latn-ME"/>
        </w:rPr>
        <w:t>na ishoda</w:t>
      </w:r>
      <w:r w:rsidRPr="00F45A6E">
        <w:rPr>
          <w:sz w:val="22"/>
          <w:szCs w:val="22"/>
          <w:lang w:val="sr-Latn-ME"/>
        </w:rPr>
        <w:t>) IDMC je preporučio prekid ispitivanja zbog (1) beskorisnosti primarne analize OS i (2) prekomernog rizika temeljenog na neravnote</w:t>
      </w:r>
      <w:r w:rsidR="00EA2FB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 </w:t>
      </w:r>
      <w:r w:rsidR="00C83D62" w:rsidRPr="00F45A6E">
        <w:rPr>
          <w:sz w:val="22"/>
          <w:szCs w:val="22"/>
          <w:lang w:val="sr-Latn-ME"/>
        </w:rPr>
        <w:t xml:space="preserve">neželjenih </w:t>
      </w:r>
      <w:r w:rsidRPr="00F45A6E">
        <w:rPr>
          <w:sz w:val="22"/>
          <w:szCs w:val="22"/>
          <w:lang w:val="sr-Latn-ME"/>
        </w:rPr>
        <w:t>doga</w:t>
      </w:r>
      <w:r w:rsidR="00EA2FBA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 xml:space="preserve">aja koji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išli u korist</w:t>
      </w:r>
      <w:r w:rsidR="00C83D62" w:rsidRPr="00F45A6E">
        <w:rPr>
          <w:sz w:val="22"/>
          <w:szCs w:val="22"/>
          <w:lang w:val="sr-Latn-ME"/>
        </w:rPr>
        <w:t xml:space="preserve">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kombinacij</w:t>
      </w:r>
      <w:r w:rsidR="00C83D62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trabektedin </w:t>
      </w:r>
      <w:r w:rsidR="00C83D62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PLD. Zbog ranog prekida ispitivanja 9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(52/572) ispitanika prekinulo je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e, 45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(260/576 randomiz</w:t>
      </w:r>
      <w:r w:rsidR="00EA2FBA" w:rsidRPr="00F45A6E">
        <w:rPr>
          <w:sz w:val="22"/>
          <w:szCs w:val="22"/>
          <w:lang w:val="sr-Latn-ME"/>
        </w:rPr>
        <w:t>ovanih</w:t>
      </w:r>
      <w:r w:rsidRPr="00F45A6E">
        <w:rPr>
          <w:sz w:val="22"/>
          <w:szCs w:val="22"/>
          <w:lang w:val="sr-Latn-ME"/>
        </w:rPr>
        <w:t>) prekinulo je praćenje, a 54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(310/576 randomi</w:t>
      </w:r>
      <w:r w:rsidR="00487B5A" w:rsidRPr="00F45A6E">
        <w:rPr>
          <w:sz w:val="22"/>
          <w:szCs w:val="22"/>
          <w:lang w:val="sr-Latn-ME"/>
        </w:rPr>
        <w:t>zova</w:t>
      </w:r>
      <w:r w:rsidRPr="00F45A6E">
        <w:rPr>
          <w:sz w:val="22"/>
          <w:szCs w:val="22"/>
          <w:lang w:val="sr-Latn-ME"/>
        </w:rPr>
        <w:t>nih) cenzuri</w:t>
      </w:r>
      <w:r w:rsidR="00487B5A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ano je iz proc</w:t>
      </w:r>
      <w:r w:rsidR="00E37259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ene OS, isključujući tako pouzdanu proc</w:t>
      </w:r>
      <w:r w:rsidR="00E37259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enu ishoda PFS i OS. </w:t>
      </w:r>
    </w:p>
    <w:p w14:paraId="51472621" w14:textId="77777777" w:rsidR="003F4E5D" w:rsidRPr="00F45A6E" w:rsidRDefault="003F4E5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98FC506" w14:textId="61DF0B30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Nema raspolo</w:t>
      </w:r>
      <w:r w:rsidR="00487B5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ivih podataka koji bi uporedili kombinaciju trabektedin </w:t>
      </w:r>
      <w:r w:rsidR="00C83D62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PLD s</w:t>
      </w:r>
      <w:r w:rsidR="00487B5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 xml:space="preserve">em </w:t>
      </w:r>
      <w:r w:rsidR="00DC6E5D" w:rsidRPr="00F45A6E">
        <w:rPr>
          <w:sz w:val="22"/>
          <w:szCs w:val="22"/>
          <w:lang w:val="sr-Latn-ME"/>
        </w:rPr>
        <w:t>baziranim</w:t>
      </w:r>
      <w:r w:rsidRPr="00F45A6E">
        <w:rPr>
          <w:sz w:val="22"/>
          <w:szCs w:val="22"/>
          <w:lang w:val="sr-Latn-ME"/>
        </w:rPr>
        <w:t xml:space="preserve"> na platini kod </w:t>
      </w:r>
      <w:r w:rsidR="00487B5A" w:rsidRPr="00F45A6E">
        <w:rPr>
          <w:sz w:val="22"/>
          <w:szCs w:val="22"/>
          <w:lang w:val="sr-Latn-ME"/>
        </w:rPr>
        <w:t xml:space="preserve">pacijenata </w:t>
      </w:r>
      <w:r w:rsidRPr="00F45A6E">
        <w:rPr>
          <w:sz w:val="22"/>
          <w:szCs w:val="22"/>
          <w:lang w:val="sr-Latn-ME"/>
        </w:rPr>
        <w:t>koji su os</w:t>
      </w:r>
      <w:r w:rsidR="00B079D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etljivi na platinu. </w:t>
      </w:r>
    </w:p>
    <w:p w14:paraId="2A748D6C" w14:textId="77777777" w:rsidR="005B7C11" w:rsidRPr="00F45A6E" w:rsidRDefault="005B7C11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E6D62BD" w14:textId="08C9ADD7" w:rsidR="00DC6E5D" w:rsidRPr="00F45A6E" w:rsidRDefault="00C626E0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Pedijatrijska populacija </w:t>
      </w:r>
    </w:p>
    <w:p w14:paraId="0F073B77" w14:textId="0FEA796A" w:rsidR="00C626E0" w:rsidRPr="00F45A6E" w:rsidRDefault="00C626E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U fazi I-II ispitivanja SAR-2005 ukupno je bilo uključeno 50 pedijatrijskih </w:t>
      </w:r>
      <w:r w:rsidR="00DC6E5D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DC6E5D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rabdomiosarkomom, </w:t>
      </w:r>
      <w:r w:rsidRPr="00F45A6E">
        <w:rPr>
          <w:i/>
          <w:iCs/>
          <w:sz w:val="22"/>
          <w:szCs w:val="22"/>
          <w:lang w:val="sr-Latn-ME"/>
        </w:rPr>
        <w:t>Ewing</w:t>
      </w:r>
      <w:r w:rsidR="00C83D62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ovim sarkomom ili nerabdomiosarkomom mekog tkiva. Osam </w:t>
      </w:r>
      <w:r w:rsidR="00DC6E5D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</w:t>
      </w:r>
      <w:r w:rsidR="001B47BA" w:rsidRPr="00F45A6E">
        <w:rPr>
          <w:sz w:val="22"/>
          <w:szCs w:val="22"/>
          <w:lang w:val="sr-Latn-ME"/>
        </w:rPr>
        <w:t>liječen</w:t>
      </w:r>
      <w:r w:rsidRPr="00F45A6E">
        <w:rPr>
          <w:sz w:val="22"/>
          <w:szCs w:val="22"/>
          <w:lang w:val="sr-Latn-ME"/>
        </w:rPr>
        <w:t>o je dozom od 1,3 mg/m</w:t>
      </w:r>
      <w:r w:rsidRPr="00F45A6E">
        <w:rPr>
          <w:sz w:val="22"/>
          <w:szCs w:val="22"/>
          <w:vertAlign w:val="superscript"/>
          <w:lang w:val="sr-Latn-ME"/>
        </w:rPr>
        <w:t xml:space="preserve">2 </w:t>
      </w:r>
      <w:r w:rsidRPr="00F45A6E">
        <w:rPr>
          <w:sz w:val="22"/>
          <w:szCs w:val="22"/>
          <w:lang w:val="sr-Latn-ME"/>
        </w:rPr>
        <w:t>i 42 s</w:t>
      </w:r>
      <w:r w:rsidR="00DC6E5D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1,5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. Trabektedin se prim</w:t>
      </w:r>
      <w:r w:rsidR="00F429E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enjivao kao intravenska infuzija</w:t>
      </w:r>
      <w:r w:rsidR="00C83D62" w:rsidRPr="00F45A6E">
        <w:rPr>
          <w:sz w:val="22"/>
          <w:szCs w:val="22"/>
          <w:lang w:val="sr-Latn-ME"/>
        </w:rPr>
        <w:t xml:space="preserve"> koja je trajala 24 sata</w:t>
      </w:r>
      <w:r w:rsidRPr="00F45A6E">
        <w:rPr>
          <w:sz w:val="22"/>
          <w:szCs w:val="22"/>
          <w:lang w:val="sr-Latn-ME"/>
        </w:rPr>
        <w:t xml:space="preserve"> svakih 21 dan. Kod četrdeset </w:t>
      </w:r>
      <w:r w:rsidR="00DC6E5D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odgovor na terapiju proc</w:t>
      </w:r>
      <w:r w:rsidR="00F429EF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enjen je u potpunosti. Uočen je jedan d</w:t>
      </w:r>
      <w:r w:rsidR="00F429E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el</w:t>
      </w:r>
      <w:r w:rsidR="00DC6E5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mičan odgovor (PR) </w:t>
      </w:r>
      <w:r w:rsidR="00DE4C5C" w:rsidRPr="00F45A6E">
        <w:rPr>
          <w:sz w:val="22"/>
          <w:szCs w:val="22"/>
          <w:lang w:val="sr-Latn-ME"/>
        </w:rPr>
        <w:t xml:space="preserve">centralno </w:t>
      </w:r>
      <w:r w:rsidRPr="00F45A6E">
        <w:rPr>
          <w:sz w:val="22"/>
          <w:szCs w:val="22"/>
          <w:lang w:val="sr-Latn-ME"/>
        </w:rPr>
        <w:t>potvr</w:t>
      </w:r>
      <w:r w:rsidR="00DC6E5D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en: ukupni RR: 2,5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</w:t>
      </w:r>
      <w:r w:rsidR="00C83D6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(0,1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-13,2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). PR odgovara </w:t>
      </w:r>
      <w:r w:rsidR="00DE4C5C" w:rsidRPr="00F45A6E">
        <w:rPr>
          <w:sz w:val="22"/>
          <w:szCs w:val="22"/>
          <w:lang w:val="sr-Latn-ME"/>
        </w:rPr>
        <w:t>pacijentu</w:t>
      </w:r>
      <w:r w:rsidRPr="00F45A6E">
        <w:rPr>
          <w:sz w:val="22"/>
          <w:szCs w:val="22"/>
          <w:lang w:val="sr-Latn-ME"/>
        </w:rPr>
        <w:t xml:space="preserve"> s</w:t>
      </w:r>
      <w:r w:rsidR="00DE4C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alveolarnim rabdomiosarkomom. Trajanje odgovora bilo je 6,5 </w:t>
      </w:r>
      <w:r w:rsidR="004E1A6C" w:rsidRPr="00F45A6E">
        <w:rPr>
          <w:sz w:val="22"/>
          <w:szCs w:val="22"/>
          <w:lang w:val="sr-Latn-ME"/>
        </w:rPr>
        <w:t>mjesec</w:t>
      </w:r>
      <w:r w:rsidRPr="00F45A6E">
        <w:rPr>
          <w:sz w:val="22"/>
          <w:szCs w:val="22"/>
          <w:lang w:val="sr-Latn-ME"/>
        </w:rPr>
        <w:t xml:space="preserve">i.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uočeni odgovori kod </w:t>
      </w:r>
      <w:r w:rsidR="00DE4C5C" w:rsidRPr="00F45A6E">
        <w:rPr>
          <w:sz w:val="22"/>
          <w:szCs w:val="22"/>
          <w:lang w:val="sr-Latn-ME"/>
        </w:rPr>
        <w:t>pacijenata</w:t>
      </w:r>
      <w:r w:rsidRPr="00F45A6E">
        <w:rPr>
          <w:sz w:val="22"/>
          <w:szCs w:val="22"/>
          <w:lang w:val="sr-Latn-ME"/>
        </w:rPr>
        <w:t xml:space="preserve"> s</w:t>
      </w:r>
      <w:r w:rsidR="00DE4C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Pr="00F45A6E">
        <w:rPr>
          <w:i/>
          <w:iCs/>
          <w:sz w:val="22"/>
          <w:szCs w:val="22"/>
          <w:lang w:val="sr-Latn-ME"/>
        </w:rPr>
        <w:t>Ewing</w:t>
      </w:r>
      <w:r w:rsidR="00C83D62" w:rsidRPr="00F45A6E">
        <w:rPr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>ovim sarkomom i NRSTS. [RR: 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CI</w:t>
      </w:r>
      <w:r w:rsidR="00C83D62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95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(0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-30,9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)]. </w:t>
      </w:r>
      <w:r w:rsidR="00DE4C5C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tri </w:t>
      </w:r>
      <w:r w:rsidR="00DE4C5C" w:rsidRPr="00F45A6E">
        <w:rPr>
          <w:sz w:val="22"/>
          <w:szCs w:val="22"/>
          <w:lang w:val="sr-Latn-ME"/>
        </w:rPr>
        <w:t>pacijenta</w:t>
      </w:r>
      <w:r w:rsidRPr="00F45A6E">
        <w:rPr>
          <w:sz w:val="22"/>
          <w:szCs w:val="22"/>
          <w:lang w:val="sr-Latn-ME"/>
        </w:rPr>
        <w:t xml:space="preserve"> postignuto je stanje stabilne bolesti (jedan s</w:t>
      </w:r>
      <w:r w:rsidR="00DE4C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rabdomiosarkomom nakon 15 ciklusa, jedan sa sarkomom vretenastih </w:t>
      </w:r>
      <w:r w:rsidR="00DE4C5C" w:rsidRPr="00F45A6E">
        <w:rPr>
          <w:sz w:val="22"/>
          <w:szCs w:val="22"/>
          <w:lang w:val="sr-Latn-ME"/>
        </w:rPr>
        <w:t>ćelija</w:t>
      </w:r>
      <w:r w:rsidRPr="00F45A6E">
        <w:rPr>
          <w:sz w:val="22"/>
          <w:szCs w:val="22"/>
          <w:lang w:val="sr-Latn-ME"/>
        </w:rPr>
        <w:t xml:space="preserve"> nakon 2 ciklusa i jedan s</w:t>
      </w:r>
      <w:r w:rsidR="00DE4C5C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Pr="00F45A6E">
        <w:rPr>
          <w:i/>
          <w:iCs/>
          <w:sz w:val="22"/>
          <w:szCs w:val="22"/>
          <w:lang w:val="sr-Latn-ME"/>
        </w:rPr>
        <w:t>Ewing</w:t>
      </w:r>
      <w:r w:rsidR="00C83D62" w:rsidRPr="00F45A6E">
        <w:rPr>
          <w:i/>
          <w:iCs/>
          <w:sz w:val="22"/>
          <w:szCs w:val="22"/>
          <w:lang w:val="sr-Latn-ME"/>
        </w:rPr>
        <w:t>-</w:t>
      </w:r>
      <w:r w:rsidRPr="00F45A6E">
        <w:rPr>
          <w:sz w:val="22"/>
          <w:szCs w:val="22"/>
          <w:lang w:val="sr-Latn-ME"/>
        </w:rPr>
        <w:t xml:space="preserve">ovim sarkomom nakon 4 ciklusa). </w:t>
      </w:r>
    </w:p>
    <w:p w14:paraId="4651242D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A256434" w14:textId="4ED9CCF1" w:rsidR="00C626E0" w:rsidRPr="00F45A6E" w:rsidRDefault="00DE4C5C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Neželjena dejstva</w:t>
      </w:r>
      <w:r w:rsidR="00C626E0" w:rsidRPr="00F45A6E">
        <w:rPr>
          <w:szCs w:val="22"/>
          <w:lang w:val="sr-Latn-ME"/>
        </w:rPr>
        <w:t xml:space="preserve"> uključuju reverzibilno pov</w:t>
      </w:r>
      <w:r w:rsidRPr="00F45A6E">
        <w:rPr>
          <w:szCs w:val="22"/>
          <w:lang w:val="sr-Latn-ME"/>
        </w:rPr>
        <w:t>ećanje</w:t>
      </w:r>
      <w:r w:rsidR="00C626E0" w:rsidRPr="00F45A6E">
        <w:rPr>
          <w:szCs w:val="22"/>
          <w:lang w:val="sr-Latn-ME"/>
        </w:rPr>
        <w:t xml:space="preserve"> enzima</w:t>
      </w:r>
      <w:r w:rsidR="00C83D62" w:rsidRPr="00F45A6E">
        <w:rPr>
          <w:szCs w:val="22"/>
          <w:lang w:val="sr-Latn-ME"/>
        </w:rPr>
        <w:t xml:space="preserve"> jetre</w:t>
      </w:r>
      <w:r w:rsidR="00C626E0" w:rsidRPr="00F45A6E">
        <w:rPr>
          <w:szCs w:val="22"/>
          <w:lang w:val="sr-Latn-ME"/>
        </w:rPr>
        <w:t xml:space="preserve"> i hematološke doga</w:t>
      </w:r>
      <w:r w:rsidRPr="00F45A6E">
        <w:rPr>
          <w:szCs w:val="22"/>
          <w:lang w:val="sr-Latn-ME"/>
        </w:rPr>
        <w:t>đ</w:t>
      </w:r>
      <w:r w:rsidR="00C626E0" w:rsidRPr="00F45A6E">
        <w:rPr>
          <w:szCs w:val="22"/>
          <w:lang w:val="sr-Latn-ME"/>
        </w:rPr>
        <w:t>aje. Tako</w:t>
      </w:r>
      <w:r w:rsidRPr="00F45A6E">
        <w:rPr>
          <w:szCs w:val="22"/>
          <w:lang w:val="sr-Latn-ME"/>
        </w:rPr>
        <w:t>đ</w:t>
      </w:r>
      <w:r w:rsidR="00C626E0" w:rsidRPr="00F45A6E">
        <w:rPr>
          <w:szCs w:val="22"/>
          <w:lang w:val="sr-Latn-ME"/>
        </w:rPr>
        <w:t xml:space="preserve">e su se javljale </w:t>
      </w:r>
      <w:r w:rsidR="00C83D62" w:rsidRPr="00F45A6E">
        <w:rPr>
          <w:szCs w:val="22"/>
          <w:lang w:val="sr-Latn-ME"/>
        </w:rPr>
        <w:t>povišena telesna temperatura</w:t>
      </w:r>
      <w:r w:rsidR="00C626E0" w:rsidRPr="00F45A6E">
        <w:rPr>
          <w:szCs w:val="22"/>
          <w:lang w:val="sr-Latn-ME"/>
        </w:rPr>
        <w:t>, infekcija, dehidracija i tromboza/embolija.</w:t>
      </w:r>
    </w:p>
    <w:p w14:paraId="2709869E" w14:textId="77777777" w:rsidR="000F0F4D" w:rsidRPr="00F45A6E" w:rsidRDefault="000F0F4D" w:rsidP="003A690C">
      <w:pPr>
        <w:rPr>
          <w:szCs w:val="22"/>
          <w:lang w:val="sr-Latn-ME"/>
        </w:rPr>
      </w:pPr>
    </w:p>
    <w:p w14:paraId="467AF782" w14:textId="77777777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5.2. Farmakokinetički podaci</w:t>
      </w:r>
    </w:p>
    <w:p w14:paraId="76760E30" w14:textId="77777777" w:rsidR="002C2A88" w:rsidRPr="00F45A6E" w:rsidRDefault="002C2A88" w:rsidP="003A690C">
      <w:pPr>
        <w:rPr>
          <w:b/>
          <w:bCs/>
          <w:szCs w:val="22"/>
          <w:lang w:val="sr-Latn-ME"/>
        </w:rPr>
      </w:pPr>
    </w:p>
    <w:p w14:paraId="17576A46" w14:textId="77777777" w:rsidR="001410C3" w:rsidRPr="00F45A6E" w:rsidRDefault="001410C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Distribucija </w:t>
      </w:r>
    </w:p>
    <w:p w14:paraId="0F94BE39" w14:textId="74ECC045" w:rsidR="001410C3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Sistemska izlo</w:t>
      </w:r>
      <w:r w:rsidR="008A1AFE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enost nakon intravenske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uz konstantnu brzinu infuzije proporcionaln</w:t>
      </w:r>
      <w:r w:rsidR="008A1AFE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je dozi, pri dozama do i uključujući 1,8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. Farmakokinetički profil trabektedina </w:t>
      </w:r>
      <w:r w:rsidR="005E3B72" w:rsidRPr="00F45A6E">
        <w:rPr>
          <w:sz w:val="22"/>
          <w:szCs w:val="22"/>
          <w:lang w:val="sr-Latn-ME"/>
        </w:rPr>
        <w:t>u skladu</w:t>
      </w:r>
      <w:r w:rsidRPr="00F45A6E">
        <w:rPr>
          <w:sz w:val="22"/>
          <w:szCs w:val="22"/>
          <w:lang w:val="sr-Latn-ME"/>
        </w:rPr>
        <w:t xml:space="preserve"> je s</w:t>
      </w:r>
      <w:r w:rsidR="005E3B72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modelom raspolo</w:t>
      </w:r>
      <w:r w:rsidR="005E3B7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ivosti s</w:t>
      </w:r>
      <w:r w:rsidR="005E3B72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više od</w:t>
      </w:r>
      <w:r w:rsidR="00F429E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eljaka. </w:t>
      </w:r>
    </w:p>
    <w:p w14:paraId="401EA3F0" w14:textId="77777777" w:rsidR="00411C3C" w:rsidRPr="00F45A6E" w:rsidRDefault="00411C3C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9556626" w14:textId="0240ABAA" w:rsidR="00A17AF7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Nakon intravenske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trabektedin pokazuje veliki prividni volumen distribucije koji je </w:t>
      </w:r>
      <w:r w:rsidR="005E3B72" w:rsidRPr="00F45A6E">
        <w:rPr>
          <w:sz w:val="22"/>
          <w:szCs w:val="22"/>
          <w:lang w:val="sr-Latn-ME"/>
        </w:rPr>
        <w:t>u skladu</w:t>
      </w:r>
      <w:r w:rsidRPr="00F45A6E">
        <w:rPr>
          <w:sz w:val="22"/>
          <w:szCs w:val="22"/>
          <w:lang w:val="sr-Latn-ME"/>
        </w:rPr>
        <w:t xml:space="preserve"> s</w:t>
      </w:r>
      <w:r w:rsidR="005E3B72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produ</w:t>
      </w:r>
      <w:r w:rsidR="005E3B72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enim vez</w:t>
      </w:r>
      <w:r w:rsidR="005E3B72" w:rsidRPr="00F45A6E">
        <w:rPr>
          <w:sz w:val="22"/>
          <w:szCs w:val="22"/>
          <w:lang w:val="sr-Latn-ME"/>
        </w:rPr>
        <w:t>iv</w:t>
      </w:r>
      <w:r w:rsidRPr="00F45A6E">
        <w:rPr>
          <w:sz w:val="22"/>
          <w:szCs w:val="22"/>
          <w:lang w:val="sr-Latn-ME"/>
        </w:rPr>
        <w:t>anjem za proteine tkiva i plazme (94 do 98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 trabektedina u plazmi vezano je </w:t>
      </w:r>
      <w:r w:rsidR="002C2325" w:rsidRPr="00F45A6E">
        <w:rPr>
          <w:sz w:val="22"/>
          <w:szCs w:val="22"/>
          <w:lang w:val="sr-Latn-ME"/>
        </w:rPr>
        <w:t>z</w:t>
      </w:r>
      <w:r w:rsidRPr="00F45A6E">
        <w:rPr>
          <w:sz w:val="22"/>
          <w:szCs w:val="22"/>
          <w:lang w:val="sr-Latn-ME"/>
        </w:rPr>
        <w:t xml:space="preserve">a proteine). Volumen distribucije </w:t>
      </w:r>
      <w:r w:rsidR="001867D7" w:rsidRPr="00F45A6E">
        <w:rPr>
          <w:sz w:val="22"/>
          <w:szCs w:val="22"/>
          <w:lang w:val="sr-Latn-ME"/>
        </w:rPr>
        <w:t xml:space="preserve">trabektedina </w:t>
      </w:r>
      <w:r w:rsidRPr="00F45A6E">
        <w:rPr>
          <w:sz w:val="22"/>
          <w:szCs w:val="22"/>
          <w:lang w:val="sr-Latn-ME"/>
        </w:rPr>
        <w:t>pri stanju dinam</w:t>
      </w:r>
      <w:r w:rsidR="006708DC" w:rsidRPr="00F45A6E">
        <w:rPr>
          <w:sz w:val="22"/>
          <w:szCs w:val="22"/>
          <w:lang w:val="sr-Latn-ME"/>
        </w:rPr>
        <w:t>ičke</w:t>
      </w:r>
      <w:r w:rsidRPr="00F45A6E">
        <w:rPr>
          <w:sz w:val="22"/>
          <w:szCs w:val="22"/>
          <w:lang w:val="sr-Latn-ME"/>
        </w:rPr>
        <w:t xml:space="preserve"> ravnote</w:t>
      </w:r>
      <w:r w:rsidR="002C2325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 </w:t>
      </w:r>
      <w:r w:rsidR="002C2325" w:rsidRPr="00F45A6E">
        <w:rPr>
          <w:sz w:val="22"/>
          <w:szCs w:val="22"/>
          <w:lang w:val="sr-Latn-ME"/>
        </w:rPr>
        <w:t>kod</w:t>
      </w:r>
      <w:r w:rsidRPr="00F45A6E">
        <w:rPr>
          <w:sz w:val="22"/>
          <w:szCs w:val="22"/>
          <w:lang w:val="sr-Latn-ME"/>
        </w:rPr>
        <w:t xml:space="preserve"> ljudi premašuje 5000 </w:t>
      </w:r>
      <w:r w:rsidR="002C2325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.</w:t>
      </w:r>
    </w:p>
    <w:p w14:paraId="58524C6C" w14:textId="3BB5D266" w:rsidR="001410C3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 </w:t>
      </w:r>
    </w:p>
    <w:p w14:paraId="684AC285" w14:textId="77777777" w:rsidR="001410C3" w:rsidRPr="00F45A6E" w:rsidRDefault="001410C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Biotransformacija </w:t>
      </w:r>
    </w:p>
    <w:p w14:paraId="171548C0" w14:textId="3D9DEA56" w:rsidR="001410C3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Cito</w:t>
      </w:r>
      <w:r w:rsidR="001867D7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rom P450 3A4 glavni je izoenzim cito</w:t>
      </w:r>
      <w:r w:rsidR="001867D7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 xml:space="preserve">roma P450 odgovoran za oksidativni metabolizam trabektedina pri klinički značajnim koncentracijama. Drugi enzimi P450 mogu </w:t>
      </w:r>
      <w:r w:rsidR="001867D7" w:rsidRPr="00F45A6E">
        <w:rPr>
          <w:sz w:val="22"/>
          <w:szCs w:val="22"/>
          <w:lang w:val="sr-Latn-ME"/>
        </w:rPr>
        <w:t>doprineti</w:t>
      </w:r>
      <w:r w:rsidRPr="00F45A6E">
        <w:rPr>
          <w:sz w:val="22"/>
          <w:szCs w:val="22"/>
          <w:lang w:val="sr-Latn-ME"/>
        </w:rPr>
        <w:t xml:space="preserve"> metabolizmu. Trabektedin ne ind</w:t>
      </w:r>
      <w:r w:rsidR="001867D7" w:rsidRPr="00F45A6E">
        <w:rPr>
          <w:sz w:val="22"/>
          <w:szCs w:val="22"/>
          <w:lang w:val="sr-Latn-ME"/>
        </w:rPr>
        <w:t>ukuje</w:t>
      </w:r>
      <w:r w:rsidRPr="00F45A6E">
        <w:rPr>
          <w:sz w:val="22"/>
          <w:szCs w:val="22"/>
          <w:lang w:val="sr-Latn-ME"/>
        </w:rPr>
        <w:t xml:space="preserve"> glavne enzime cito</w:t>
      </w:r>
      <w:r w:rsidR="001867D7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 xml:space="preserve">roma P450 niti ih inhibira. </w:t>
      </w:r>
    </w:p>
    <w:p w14:paraId="6E65E383" w14:textId="77AC8A7B" w:rsidR="00A17AF7" w:rsidRPr="00F45A6E" w:rsidRDefault="00A17AF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14997A1" w14:textId="77777777" w:rsidR="00F57BCE" w:rsidRPr="00F45A6E" w:rsidRDefault="00F57BCE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694BED3" w14:textId="77777777" w:rsidR="001410C3" w:rsidRPr="00F45A6E" w:rsidRDefault="001410C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lastRenderedPageBreak/>
        <w:t xml:space="preserve">Eliminacija </w:t>
      </w:r>
    </w:p>
    <w:p w14:paraId="33696CA9" w14:textId="676D3567" w:rsidR="001410C3" w:rsidRPr="00F45A6E" w:rsidRDefault="00DC3E0E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E</w:t>
      </w:r>
      <w:r w:rsidR="001410C3" w:rsidRPr="00F45A6E">
        <w:rPr>
          <w:sz w:val="22"/>
          <w:szCs w:val="22"/>
          <w:lang w:val="sr-Latn-ME"/>
        </w:rPr>
        <w:t>liminacija</w:t>
      </w:r>
      <w:r w:rsidRPr="00F45A6E">
        <w:rPr>
          <w:sz w:val="22"/>
          <w:szCs w:val="22"/>
          <w:lang w:val="sr-Latn-ME"/>
        </w:rPr>
        <w:t xml:space="preserve"> preko bubrega</w:t>
      </w:r>
      <w:r w:rsidR="001410C3" w:rsidRPr="00F45A6E">
        <w:rPr>
          <w:sz w:val="22"/>
          <w:szCs w:val="22"/>
          <w:lang w:val="sr-Latn-ME"/>
        </w:rPr>
        <w:t xml:space="preserve"> neprom</w:t>
      </w:r>
      <w:r w:rsidR="00F429EF" w:rsidRPr="00F45A6E">
        <w:rPr>
          <w:sz w:val="22"/>
          <w:szCs w:val="22"/>
          <w:lang w:val="sr-Latn-ME"/>
        </w:rPr>
        <w:t>j</w:t>
      </w:r>
      <w:r w:rsidR="001410C3" w:rsidRPr="00F45A6E">
        <w:rPr>
          <w:sz w:val="22"/>
          <w:szCs w:val="22"/>
          <w:lang w:val="sr-Latn-ME"/>
        </w:rPr>
        <w:t xml:space="preserve">enjenog trabektedina </w:t>
      </w:r>
      <w:r w:rsidR="007F656D" w:rsidRPr="00F45A6E">
        <w:rPr>
          <w:sz w:val="22"/>
          <w:szCs w:val="22"/>
          <w:lang w:val="sr-Latn-ME"/>
        </w:rPr>
        <w:t>kod</w:t>
      </w:r>
      <w:r w:rsidR="001410C3" w:rsidRPr="00F45A6E">
        <w:rPr>
          <w:sz w:val="22"/>
          <w:szCs w:val="22"/>
          <w:lang w:val="sr-Latn-ME"/>
        </w:rPr>
        <w:t xml:space="preserve"> ljudi je niska (manje od 1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>). Terminalni polu</w:t>
      </w:r>
      <w:r w:rsidR="007F656D" w:rsidRPr="00F45A6E">
        <w:rPr>
          <w:sz w:val="22"/>
          <w:szCs w:val="22"/>
          <w:lang w:val="sr-Latn-ME"/>
        </w:rPr>
        <w:t>život</w:t>
      </w:r>
      <w:r w:rsidR="001410C3" w:rsidRPr="00F45A6E">
        <w:rPr>
          <w:sz w:val="22"/>
          <w:szCs w:val="22"/>
          <w:lang w:val="sr-Latn-ME"/>
        </w:rPr>
        <w:t xml:space="preserve"> je dug (populacijska </w:t>
      </w:r>
      <w:r w:rsidR="008C26C1" w:rsidRPr="00F45A6E">
        <w:rPr>
          <w:sz w:val="22"/>
          <w:szCs w:val="22"/>
          <w:lang w:val="sr-Latn-ME"/>
        </w:rPr>
        <w:t>vrijednost</w:t>
      </w:r>
      <w:r w:rsidR="001410C3" w:rsidRPr="00F45A6E">
        <w:rPr>
          <w:sz w:val="22"/>
          <w:szCs w:val="22"/>
          <w:lang w:val="sr-Latn-ME"/>
        </w:rPr>
        <w:t xml:space="preserve"> terminalne faze eliminacije: 180 sati). Nakon </w:t>
      </w:r>
      <w:r w:rsidR="00BF4DC4" w:rsidRPr="00F45A6E">
        <w:rPr>
          <w:sz w:val="22"/>
          <w:szCs w:val="22"/>
          <w:lang w:val="sr-Latn-ME"/>
        </w:rPr>
        <w:t>primjene</w:t>
      </w:r>
      <w:r w:rsidR="001410C3" w:rsidRPr="00F45A6E">
        <w:rPr>
          <w:sz w:val="22"/>
          <w:szCs w:val="22"/>
          <w:lang w:val="sr-Latn-ME"/>
        </w:rPr>
        <w:t xml:space="preserve"> doze </w:t>
      </w:r>
      <w:r w:rsidR="00A06770" w:rsidRPr="00F45A6E">
        <w:rPr>
          <w:sz w:val="22"/>
          <w:szCs w:val="22"/>
          <w:lang w:val="sr-Latn-ME"/>
        </w:rPr>
        <w:t xml:space="preserve">radioobeleženog </w:t>
      </w:r>
      <w:r w:rsidR="001410C3" w:rsidRPr="00F45A6E">
        <w:rPr>
          <w:sz w:val="22"/>
          <w:szCs w:val="22"/>
          <w:lang w:val="sr-Latn-ME"/>
        </w:rPr>
        <w:t xml:space="preserve">trabektedina kod </w:t>
      </w:r>
      <w:r w:rsidR="00A06770" w:rsidRPr="00F45A6E">
        <w:rPr>
          <w:sz w:val="22"/>
          <w:szCs w:val="22"/>
          <w:lang w:val="sr-Latn-ME"/>
        </w:rPr>
        <w:t xml:space="preserve">pacijenata </w:t>
      </w:r>
      <w:r w:rsidR="001410C3" w:rsidRPr="00F45A6E">
        <w:rPr>
          <w:sz w:val="22"/>
          <w:szCs w:val="22"/>
          <w:lang w:val="sr-Latn-ME"/>
        </w:rPr>
        <w:t>s</w:t>
      </w:r>
      <w:r w:rsidR="00A06770" w:rsidRPr="00F45A6E">
        <w:rPr>
          <w:sz w:val="22"/>
          <w:szCs w:val="22"/>
          <w:lang w:val="sr-Latn-ME"/>
        </w:rPr>
        <w:t>a</w:t>
      </w:r>
      <w:r w:rsidR="001410C3" w:rsidRPr="00F45A6E">
        <w:rPr>
          <w:sz w:val="22"/>
          <w:szCs w:val="22"/>
          <w:lang w:val="sr-Latn-ME"/>
        </w:rPr>
        <w:t xml:space="preserve"> </w:t>
      </w:r>
      <w:r w:rsidR="008B22BF" w:rsidRPr="00F45A6E">
        <w:rPr>
          <w:sz w:val="22"/>
          <w:szCs w:val="22"/>
          <w:lang w:val="sr-Latn-ME"/>
        </w:rPr>
        <w:t>kancerom</w:t>
      </w:r>
      <w:r w:rsidR="00273746" w:rsidRPr="00F45A6E">
        <w:rPr>
          <w:sz w:val="22"/>
          <w:szCs w:val="22"/>
          <w:lang w:val="sr-Latn-ME"/>
        </w:rPr>
        <w:t>,</w:t>
      </w:r>
      <w:r w:rsidR="001410C3" w:rsidRPr="00F45A6E">
        <w:rPr>
          <w:sz w:val="22"/>
          <w:szCs w:val="22"/>
          <w:lang w:val="sr-Latn-ME"/>
        </w:rPr>
        <w:t xml:space="preserve"> aritmetička sredina (SD) prikupljene totalne radioaktivnosti u fecesu iznosila je 58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 (17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), a aritmetička sredina (SD) prikupljena u </w:t>
      </w:r>
      <w:r w:rsidRPr="00F45A6E">
        <w:rPr>
          <w:sz w:val="22"/>
          <w:szCs w:val="22"/>
          <w:lang w:val="sr-Latn-ME"/>
        </w:rPr>
        <w:t xml:space="preserve">urinu </w:t>
      </w:r>
      <w:r w:rsidR="001410C3" w:rsidRPr="00F45A6E">
        <w:rPr>
          <w:sz w:val="22"/>
          <w:szCs w:val="22"/>
          <w:lang w:val="sr-Latn-ME"/>
        </w:rPr>
        <w:t>5,8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 (1,73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). </w:t>
      </w:r>
      <w:r w:rsidR="00D6599A" w:rsidRPr="00F45A6E">
        <w:rPr>
          <w:sz w:val="22"/>
          <w:szCs w:val="22"/>
          <w:lang w:val="sr-Latn-ME"/>
        </w:rPr>
        <w:t>Na osnovu</w:t>
      </w:r>
      <w:r w:rsidR="001410C3" w:rsidRPr="00F45A6E">
        <w:rPr>
          <w:sz w:val="22"/>
          <w:szCs w:val="22"/>
          <w:lang w:val="sr-Latn-ME"/>
        </w:rPr>
        <w:t xml:space="preserve"> proc</w:t>
      </w:r>
      <w:r w:rsidR="00F429EF" w:rsidRPr="00F45A6E">
        <w:rPr>
          <w:sz w:val="22"/>
          <w:szCs w:val="22"/>
          <w:lang w:val="sr-Latn-ME"/>
        </w:rPr>
        <w:t>j</w:t>
      </w:r>
      <w:r w:rsidR="001410C3" w:rsidRPr="00F45A6E">
        <w:rPr>
          <w:sz w:val="22"/>
          <w:szCs w:val="22"/>
          <w:lang w:val="sr-Latn-ME"/>
        </w:rPr>
        <w:t>en</w:t>
      </w:r>
      <w:r w:rsidR="00D6599A" w:rsidRPr="00F45A6E">
        <w:rPr>
          <w:sz w:val="22"/>
          <w:szCs w:val="22"/>
          <w:lang w:val="sr-Latn-ME"/>
        </w:rPr>
        <w:t>e</w:t>
      </w:r>
      <w:r w:rsidR="001410C3" w:rsidRPr="00F45A6E">
        <w:rPr>
          <w:sz w:val="22"/>
          <w:szCs w:val="22"/>
          <w:lang w:val="sr-Latn-ME"/>
        </w:rPr>
        <w:t xml:space="preserve"> unutar populacije za klirens trabektedina</w:t>
      </w:r>
      <w:r w:rsidRPr="00F45A6E">
        <w:rPr>
          <w:sz w:val="22"/>
          <w:szCs w:val="22"/>
          <w:lang w:val="sr-Latn-ME"/>
        </w:rPr>
        <w:t xml:space="preserve"> iz plazme</w:t>
      </w:r>
      <w:r w:rsidR="001410C3" w:rsidRPr="00F45A6E">
        <w:rPr>
          <w:sz w:val="22"/>
          <w:szCs w:val="22"/>
          <w:lang w:val="sr-Latn-ME"/>
        </w:rPr>
        <w:t xml:space="preserve"> (30,9 </w:t>
      </w:r>
      <w:r w:rsidR="00D6599A" w:rsidRPr="00F45A6E">
        <w:rPr>
          <w:sz w:val="22"/>
          <w:szCs w:val="22"/>
          <w:lang w:val="sr-Latn-ME"/>
        </w:rPr>
        <w:t>L</w:t>
      </w:r>
      <w:r w:rsidR="001410C3" w:rsidRPr="00F45A6E">
        <w:rPr>
          <w:sz w:val="22"/>
          <w:szCs w:val="22"/>
          <w:lang w:val="sr-Latn-ME"/>
        </w:rPr>
        <w:t>/h) i o</w:t>
      </w:r>
      <w:r w:rsidR="00D6599A" w:rsidRPr="00F45A6E">
        <w:rPr>
          <w:sz w:val="22"/>
          <w:szCs w:val="22"/>
          <w:lang w:val="sr-Latn-ME"/>
        </w:rPr>
        <w:t>dnosa</w:t>
      </w:r>
      <w:r w:rsidR="001410C3" w:rsidRPr="00F45A6E">
        <w:rPr>
          <w:sz w:val="22"/>
          <w:szCs w:val="22"/>
          <w:lang w:val="sr-Latn-ME"/>
        </w:rPr>
        <w:t xml:space="preserve"> krv/plazma (0,89)</w:t>
      </w:r>
      <w:r w:rsidR="00D6599A" w:rsidRPr="00F45A6E">
        <w:rPr>
          <w:sz w:val="22"/>
          <w:szCs w:val="22"/>
          <w:lang w:val="sr-Latn-ME"/>
        </w:rPr>
        <w:t>,</w:t>
      </w:r>
      <w:r w:rsidR="001410C3" w:rsidRPr="00F45A6E">
        <w:rPr>
          <w:sz w:val="22"/>
          <w:szCs w:val="22"/>
          <w:lang w:val="sr-Latn-ME"/>
        </w:rPr>
        <w:t xml:space="preserve"> klirens trabektedina u </w:t>
      </w:r>
      <w:r w:rsidRPr="00F45A6E">
        <w:rPr>
          <w:sz w:val="22"/>
          <w:szCs w:val="22"/>
          <w:lang w:val="sr-Latn-ME"/>
        </w:rPr>
        <w:t xml:space="preserve">punoj </w:t>
      </w:r>
      <w:r w:rsidR="001410C3" w:rsidRPr="00F45A6E">
        <w:rPr>
          <w:sz w:val="22"/>
          <w:szCs w:val="22"/>
          <w:lang w:val="sr-Latn-ME"/>
        </w:rPr>
        <w:t xml:space="preserve">krvi iznosi otprilike 35 </w:t>
      </w:r>
      <w:r w:rsidR="003B349C" w:rsidRPr="00F45A6E">
        <w:rPr>
          <w:sz w:val="22"/>
          <w:szCs w:val="22"/>
          <w:lang w:val="sr-Latn-ME"/>
        </w:rPr>
        <w:t>L</w:t>
      </w:r>
      <w:r w:rsidR="001410C3" w:rsidRPr="00F45A6E">
        <w:rPr>
          <w:sz w:val="22"/>
          <w:szCs w:val="22"/>
          <w:lang w:val="sr-Latn-ME"/>
        </w:rPr>
        <w:t xml:space="preserve">/h. Ta je </w:t>
      </w:r>
      <w:r w:rsidR="008C26C1" w:rsidRPr="00F45A6E">
        <w:rPr>
          <w:sz w:val="22"/>
          <w:szCs w:val="22"/>
          <w:lang w:val="sr-Latn-ME"/>
        </w:rPr>
        <w:t>vrijednost</w:t>
      </w:r>
      <w:r w:rsidR="001410C3" w:rsidRPr="00F45A6E">
        <w:rPr>
          <w:sz w:val="22"/>
          <w:szCs w:val="22"/>
          <w:lang w:val="sr-Latn-ME"/>
        </w:rPr>
        <w:t xml:space="preserve"> pribli</w:t>
      </w:r>
      <w:r w:rsidR="003B349C" w:rsidRPr="00F45A6E">
        <w:rPr>
          <w:sz w:val="22"/>
          <w:szCs w:val="22"/>
          <w:lang w:val="sr-Latn-ME"/>
        </w:rPr>
        <w:t>ž</w:t>
      </w:r>
      <w:r w:rsidR="001410C3" w:rsidRPr="00F45A6E">
        <w:rPr>
          <w:sz w:val="22"/>
          <w:szCs w:val="22"/>
          <w:lang w:val="sr-Latn-ME"/>
        </w:rPr>
        <w:t xml:space="preserve">no jednaka polovini brzine protoka krvi kroz jetru </w:t>
      </w:r>
      <w:r w:rsidR="003B349C" w:rsidRPr="00F45A6E">
        <w:rPr>
          <w:sz w:val="22"/>
          <w:szCs w:val="22"/>
          <w:lang w:val="sr-Latn-ME"/>
        </w:rPr>
        <w:t>kod</w:t>
      </w:r>
      <w:r w:rsidR="001410C3" w:rsidRPr="00F45A6E">
        <w:rPr>
          <w:sz w:val="22"/>
          <w:szCs w:val="22"/>
          <w:lang w:val="sr-Latn-ME"/>
        </w:rPr>
        <w:t xml:space="preserve"> ljudi. </w:t>
      </w:r>
      <w:r w:rsidR="003B349C" w:rsidRPr="00F45A6E">
        <w:rPr>
          <w:sz w:val="22"/>
          <w:szCs w:val="22"/>
          <w:lang w:val="sr-Latn-ME"/>
        </w:rPr>
        <w:t xml:space="preserve">Zato </w:t>
      </w:r>
      <w:r w:rsidR="001410C3" w:rsidRPr="00F45A6E">
        <w:rPr>
          <w:sz w:val="22"/>
          <w:szCs w:val="22"/>
          <w:lang w:val="sr-Latn-ME"/>
        </w:rPr>
        <w:t xml:space="preserve">se </w:t>
      </w:r>
      <w:r w:rsidR="007B674E" w:rsidRPr="00F45A6E">
        <w:rPr>
          <w:sz w:val="22"/>
          <w:szCs w:val="22"/>
          <w:lang w:val="sr-Latn-ME"/>
        </w:rPr>
        <w:t>opseg</w:t>
      </w:r>
      <w:r w:rsidR="001410C3" w:rsidRPr="00F45A6E">
        <w:rPr>
          <w:sz w:val="22"/>
          <w:szCs w:val="22"/>
          <w:lang w:val="sr-Latn-ME"/>
        </w:rPr>
        <w:t xml:space="preserve"> ekstrakcije trabektedina mo</w:t>
      </w:r>
      <w:r w:rsidR="007B674E" w:rsidRPr="00F45A6E">
        <w:rPr>
          <w:sz w:val="22"/>
          <w:szCs w:val="22"/>
          <w:lang w:val="sr-Latn-ME"/>
        </w:rPr>
        <w:t>ž</w:t>
      </w:r>
      <w:r w:rsidR="001410C3" w:rsidRPr="00F45A6E">
        <w:rPr>
          <w:sz w:val="22"/>
          <w:szCs w:val="22"/>
          <w:lang w:val="sr-Latn-ME"/>
        </w:rPr>
        <w:t>e smatrati um</w:t>
      </w:r>
      <w:r w:rsidR="00F429EF" w:rsidRPr="00F45A6E">
        <w:rPr>
          <w:sz w:val="22"/>
          <w:szCs w:val="22"/>
          <w:lang w:val="sr-Latn-ME"/>
        </w:rPr>
        <w:t>j</w:t>
      </w:r>
      <w:r w:rsidR="001410C3" w:rsidRPr="00F45A6E">
        <w:rPr>
          <w:sz w:val="22"/>
          <w:szCs w:val="22"/>
          <w:lang w:val="sr-Latn-ME"/>
        </w:rPr>
        <w:t>erenim. Varijabilnost izme</w:t>
      </w:r>
      <w:r w:rsidR="007B674E" w:rsidRPr="00F45A6E">
        <w:rPr>
          <w:sz w:val="22"/>
          <w:szCs w:val="22"/>
          <w:lang w:val="sr-Latn-ME"/>
        </w:rPr>
        <w:t>đ</w:t>
      </w:r>
      <w:r w:rsidR="001410C3" w:rsidRPr="00F45A6E">
        <w:rPr>
          <w:sz w:val="22"/>
          <w:szCs w:val="22"/>
          <w:lang w:val="sr-Latn-ME"/>
        </w:rPr>
        <w:t xml:space="preserve">u </w:t>
      </w:r>
      <w:r w:rsidR="007B674E" w:rsidRPr="00F45A6E">
        <w:rPr>
          <w:sz w:val="22"/>
          <w:szCs w:val="22"/>
          <w:lang w:val="sr-Latn-ME"/>
        </w:rPr>
        <w:t>pacijenata</w:t>
      </w:r>
      <w:r w:rsidR="001410C3" w:rsidRPr="00F45A6E">
        <w:rPr>
          <w:sz w:val="22"/>
          <w:szCs w:val="22"/>
          <w:lang w:val="sr-Latn-ME"/>
        </w:rPr>
        <w:t xml:space="preserve"> za proc</w:t>
      </w:r>
      <w:r w:rsidR="00F429EF" w:rsidRPr="00F45A6E">
        <w:rPr>
          <w:sz w:val="22"/>
          <w:szCs w:val="22"/>
          <w:lang w:val="sr-Latn-ME"/>
        </w:rPr>
        <w:t>j</w:t>
      </w:r>
      <w:r w:rsidR="001410C3" w:rsidRPr="00F45A6E">
        <w:rPr>
          <w:sz w:val="22"/>
          <w:szCs w:val="22"/>
          <w:lang w:val="sr-Latn-ME"/>
        </w:rPr>
        <w:t>enu unutar populacije klirens trabektedina</w:t>
      </w:r>
      <w:r w:rsidRPr="00F45A6E">
        <w:rPr>
          <w:sz w:val="22"/>
          <w:szCs w:val="22"/>
          <w:lang w:val="sr-Latn-ME"/>
        </w:rPr>
        <w:t xml:space="preserve"> iz plazme</w:t>
      </w:r>
      <w:r w:rsidR="001410C3" w:rsidRPr="00F45A6E">
        <w:rPr>
          <w:sz w:val="22"/>
          <w:szCs w:val="22"/>
          <w:lang w:val="sr-Latn-ME"/>
        </w:rPr>
        <w:t xml:space="preserve"> iznosila je 49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, a varijabilnost za </w:t>
      </w:r>
      <w:r w:rsidR="00145628" w:rsidRPr="00F45A6E">
        <w:rPr>
          <w:sz w:val="22"/>
          <w:szCs w:val="22"/>
          <w:lang w:val="sr-Latn-ME"/>
        </w:rPr>
        <w:t>jednog pacijenta</w:t>
      </w:r>
      <w:r w:rsidR="001410C3" w:rsidRPr="00F45A6E">
        <w:rPr>
          <w:sz w:val="22"/>
          <w:szCs w:val="22"/>
          <w:lang w:val="sr-Latn-ME"/>
        </w:rPr>
        <w:t xml:space="preserve"> iznosila je 28</w:t>
      </w:r>
      <w:r w:rsidR="00C157E6" w:rsidRPr="00F45A6E">
        <w:rPr>
          <w:sz w:val="22"/>
          <w:szCs w:val="22"/>
          <w:lang w:val="sr-Latn-ME"/>
        </w:rPr>
        <w:t>%</w:t>
      </w:r>
      <w:r w:rsidR="001410C3" w:rsidRPr="00F45A6E">
        <w:rPr>
          <w:sz w:val="22"/>
          <w:szCs w:val="22"/>
          <w:lang w:val="sr-Latn-ME"/>
        </w:rPr>
        <w:t xml:space="preserve">. </w:t>
      </w:r>
    </w:p>
    <w:p w14:paraId="530B7F1C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E7A5839" w14:textId="63A6B0B1" w:rsidR="001410C3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Analiza populacijske farmakokinetike pokazala je da se, kad se prim</w:t>
      </w:r>
      <w:r w:rsidR="00F429E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enio u kombinaciji s</w:t>
      </w:r>
      <w:r w:rsidR="00145628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PLD, klirens trabektedina</w:t>
      </w:r>
      <w:r w:rsidR="00DC3E0E" w:rsidRPr="00F45A6E">
        <w:rPr>
          <w:sz w:val="22"/>
          <w:szCs w:val="22"/>
          <w:lang w:val="sr-Latn-ME"/>
        </w:rPr>
        <w:t xml:space="preserve"> iz plazme</w:t>
      </w:r>
      <w:r w:rsidRPr="00F45A6E">
        <w:rPr>
          <w:sz w:val="22"/>
          <w:szCs w:val="22"/>
          <w:lang w:val="sr-Latn-ME"/>
        </w:rPr>
        <w:t xml:space="preserve"> smanjio za 31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>, a isto</w:t>
      </w:r>
      <w:r w:rsidR="00794A6D" w:rsidRPr="00F45A6E">
        <w:rPr>
          <w:sz w:val="22"/>
          <w:szCs w:val="22"/>
          <w:lang w:val="sr-Latn-ME"/>
        </w:rPr>
        <w:t>vremen</w:t>
      </w:r>
      <w:r w:rsidRPr="00F45A6E">
        <w:rPr>
          <w:sz w:val="22"/>
          <w:szCs w:val="22"/>
          <w:lang w:val="sr-Latn-ME"/>
        </w:rPr>
        <w:t xml:space="preserve">a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trabektedina nije ut</w:t>
      </w:r>
      <w:r w:rsidR="00794A6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cala na farmakokinetiku</w:t>
      </w:r>
      <w:r w:rsidR="00DC3E0E" w:rsidRPr="00F45A6E">
        <w:rPr>
          <w:sz w:val="22"/>
          <w:szCs w:val="22"/>
          <w:lang w:val="sr-Latn-ME"/>
        </w:rPr>
        <w:t xml:space="preserve"> u plazmi</w:t>
      </w:r>
      <w:r w:rsidRPr="00F45A6E">
        <w:rPr>
          <w:sz w:val="22"/>
          <w:szCs w:val="22"/>
          <w:lang w:val="sr-Latn-ME"/>
        </w:rPr>
        <w:t xml:space="preserve"> PLD. </w:t>
      </w:r>
    </w:p>
    <w:p w14:paraId="10798165" w14:textId="77777777" w:rsidR="00A17AF7" w:rsidRPr="00F45A6E" w:rsidRDefault="00A17AF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69771D3" w14:textId="77777777" w:rsidR="001410C3" w:rsidRPr="00F45A6E" w:rsidRDefault="001410C3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Posebne populacije </w:t>
      </w:r>
    </w:p>
    <w:p w14:paraId="5AF693E0" w14:textId="3BDD5EFB" w:rsidR="001410C3" w:rsidRPr="00F45A6E" w:rsidRDefault="001410C3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Analiza populacijske farmakokinetike pokazala je da na klirens trabektedina</w:t>
      </w:r>
      <w:r w:rsidR="00DC3E0E" w:rsidRPr="00F45A6E">
        <w:rPr>
          <w:sz w:val="22"/>
          <w:szCs w:val="22"/>
          <w:lang w:val="sr-Latn-ME"/>
        </w:rPr>
        <w:t xml:space="preserve"> iz plazme</w:t>
      </w:r>
      <w:r w:rsidRPr="00F45A6E">
        <w:rPr>
          <w:sz w:val="22"/>
          <w:szCs w:val="22"/>
          <w:lang w:val="sr-Latn-ME"/>
        </w:rPr>
        <w:t xml:space="preserve"> ne ut</w:t>
      </w:r>
      <w:r w:rsidR="00794A6D" w:rsidRPr="00F45A6E">
        <w:rPr>
          <w:sz w:val="22"/>
          <w:szCs w:val="22"/>
          <w:lang w:val="sr-Latn-ME"/>
        </w:rPr>
        <w:t>iču</w:t>
      </w:r>
      <w:r w:rsidRPr="00F45A6E">
        <w:rPr>
          <w:sz w:val="22"/>
          <w:szCs w:val="22"/>
          <w:lang w:val="sr-Latn-ME"/>
        </w:rPr>
        <w:t xml:space="preserve"> </w:t>
      </w:r>
      <w:r w:rsidR="00794A6D" w:rsidRPr="00F45A6E">
        <w:rPr>
          <w:sz w:val="22"/>
          <w:szCs w:val="22"/>
          <w:lang w:val="sr-Latn-ME"/>
        </w:rPr>
        <w:t xml:space="preserve">starosna </w:t>
      </w:r>
      <w:r w:rsidRPr="00F45A6E">
        <w:rPr>
          <w:sz w:val="22"/>
          <w:szCs w:val="22"/>
          <w:lang w:val="sr-Latn-ME"/>
        </w:rPr>
        <w:t>dob (</w:t>
      </w:r>
      <w:r w:rsidR="003A09C1" w:rsidRPr="00F45A6E">
        <w:rPr>
          <w:sz w:val="22"/>
          <w:szCs w:val="22"/>
          <w:lang w:val="sr-Latn-ME"/>
        </w:rPr>
        <w:t xml:space="preserve">opseg </w:t>
      </w:r>
      <w:r w:rsidRPr="00F45A6E">
        <w:rPr>
          <w:sz w:val="22"/>
          <w:szCs w:val="22"/>
          <w:lang w:val="sr-Latn-ME"/>
        </w:rPr>
        <w:t>od 19 do 83 godine), pol, ukupna t</w:t>
      </w:r>
      <w:r w:rsidR="00F429E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elesna </w:t>
      </w:r>
      <w:r w:rsidR="00C96A8D" w:rsidRPr="00F45A6E">
        <w:rPr>
          <w:sz w:val="22"/>
          <w:szCs w:val="22"/>
          <w:lang w:val="sr-Latn-ME"/>
        </w:rPr>
        <w:t xml:space="preserve">masa </w:t>
      </w:r>
      <w:r w:rsidRPr="00F45A6E">
        <w:rPr>
          <w:sz w:val="22"/>
          <w:szCs w:val="22"/>
          <w:lang w:val="sr-Latn-ME"/>
        </w:rPr>
        <w:t>(</w:t>
      </w:r>
      <w:r w:rsidR="003A09C1" w:rsidRPr="00F45A6E">
        <w:rPr>
          <w:sz w:val="22"/>
          <w:szCs w:val="22"/>
          <w:lang w:val="sr-Latn-ME"/>
        </w:rPr>
        <w:t>opseg</w:t>
      </w:r>
      <w:r w:rsidRPr="00F45A6E">
        <w:rPr>
          <w:sz w:val="22"/>
          <w:szCs w:val="22"/>
          <w:lang w:val="sr-Latn-ME"/>
        </w:rPr>
        <w:t>: od 36 do 148 kg) ni površina t</w:t>
      </w:r>
      <w:r w:rsidR="00F429EF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>ela (</w:t>
      </w:r>
      <w:r w:rsidR="003A09C1" w:rsidRPr="00F45A6E">
        <w:rPr>
          <w:sz w:val="22"/>
          <w:szCs w:val="22"/>
          <w:lang w:val="sr-Latn-ME"/>
        </w:rPr>
        <w:t>opseg</w:t>
      </w:r>
      <w:r w:rsidRPr="00F45A6E">
        <w:rPr>
          <w:sz w:val="22"/>
          <w:szCs w:val="22"/>
          <w:lang w:val="sr-Latn-ME"/>
        </w:rPr>
        <w:t>: 0,9 do 2,8 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). Analiza populacijske farmakokinetike pokazala je da su koncentracije trabektedina u plazmi kod </w:t>
      </w:r>
      <w:r w:rsidR="00C96A8D" w:rsidRPr="00F45A6E">
        <w:rPr>
          <w:sz w:val="22"/>
          <w:szCs w:val="22"/>
          <w:lang w:val="sr-Latn-ME"/>
        </w:rPr>
        <w:t>Japanaca</w:t>
      </w:r>
      <w:r w:rsidRPr="00F45A6E">
        <w:rPr>
          <w:sz w:val="22"/>
          <w:szCs w:val="22"/>
          <w:lang w:val="sr-Latn-ME"/>
        </w:rPr>
        <w:t xml:space="preserve"> pri dozi od 1,2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 ekvivalentne onima kod zapadnjačke populacije</w:t>
      </w:r>
      <w:r w:rsidR="00C96A8D" w:rsidRPr="00F45A6E">
        <w:rPr>
          <w:sz w:val="22"/>
          <w:szCs w:val="22"/>
          <w:lang w:val="sr-Latn-ME"/>
        </w:rPr>
        <w:t>, koja ne obuhvata Japance,</w:t>
      </w:r>
      <w:r w:rsidRPr="00F45A6E">
        <w:rPr>
          <w:sz w:val="22"/>
          <w:szCs w:val="22"/>
          <w:lang w:val="sr-Latn-ME"/>
        </w:rPr>
        <w:t xml:space="preserve"> pri dozi od 1,5 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. </w:t>
      </w:r>
    </w:p>
    <w:p w14:paraId="6E655F33" w14:textId="77777777" w:rsidR="008A470A" w:rsidRPr="00F45A6E" w:rsidRDefault="008A470A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260F656" w14:textId="42021DB1" w:rsidR="00CE09F3" w:rsidRPr="00F45A6E" w:rsidRDefault="001410C3" w:rsidP="003A690C">
      <w:pPr>
        <w:rPr>
          <w:i/>
          <w:iCs/>
          <w:szCs w:val="22"/>
          <w:lang w:val="sr-Latn-ME"/>
        </w:rPr>
      </w:pPr>
      <w:r w:rsidRPr="00F45A6E">
        <w:rPr>
          <w:i/>
          <w:iCs/>
          <w:szCs w:val="22"/>
          <w:lang w:val="sr-Latn-ME"/>
        </w:rPr>
        <w:t>Oštećenje funkcije bubrega</w:t>
      </w:r>
    </w:p>
    <w:p w14:paraId="6FC06134" w14:textId="3355EB90" w:rsidR="008A470A" w:rsidRPr="00F45A6E" w:rsidRDefault="00141FAF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Bubrežna funkcij</w:t>
      </w:r>
      <w:r w:rsidR="00F85455" w:rsidRPr="00F45A6E">
        <w:rPr>
          <w:sz w:val="22"/>
          <w:szCs w:val="22"/>
          <w:lang w:val="sr-Latn-ME"/>
        </w:rPr>
        <w:t>a (izm</w:t>
      </w:r>
      <w:r w:rsidR="00F429EF" w:rsidRPr="00F45A6E">
        <w:rPr>
          <w:sz w:val="22"/>
          <w:szCs w:val="22"/>
          <w:lang w:val="sr-Latn-ME"/>
        </w:rPr>
        <w:t>j</w:t>
      </w:r>
      <w:r w:rsidR="00F85455" w:rsidRPr="00F45A6E">
        <w:rPr>
          <w:sz w:val="22"/>
          <w:szCs w:val="22"/>
          <w:lang w:val="sr-Latn-ME"/>
        </w:rPr>
        <w:t>erena klirensom kreatinina)</w:t>
      </w:r>
      <w:r w:rsidRPr="00F45A6E">
        <w:rPr>
          <w:sz w:val="22"/>
          <w:szCs w:val="22"/>
          <w:lang w:val="sr-Latn-ME"/>
        </w:rPr>
        <w:t xml:space="preserve"> </w:t>
      </w:r>
      <w:r w:rsidR="00F85455" w:rsidRPr="00F45A6E">
        <w:rPr>
          <w:sz w:val="22"/>
          <w:szCs w:val="22"/>
          <w:lang w:val="sr-Latn-ME"/>
        </w:rPr>
        <w:t>n</w:t>
      </w:r>
      <w:r w:rsidR="008A470A" w:rsidRPr="00F45A6E">
        <w:rPr>
          <w:sz w:val="22"/>
          <w:szCs w:val="22"/>
          <w:lang w:val="sr-Latn-ME"/>
        </w:rPr>
        <w:t xml:space="preserve">ema </w:t>
      </w:r>
      <w:r w:rsidR="00C96A8D" w:rsidRPr="00F45A6E">
        <w:rPr>
          <w:sz w:val="22"/>
          <w:szCs w:val="22"/>
          <w:lang w:val="sr-Latn-ME"/>
        </w:rPr>
        <w:t xml:space="preserve">značajnog </w:t>
      </w:r>
      <w:r w:rsidR="008A470A" w:rsidRPr="00F45A6E">
        <w:rPr>
          <w:sz w:val="22"/>
          <w:szCs w:val="22"/>
          <w:lang w:val="sr-Latn-ME"/>
        </w:rPr>
        <w:t>ut</w:t>
      </w:r>
      <w:r w:rsidR="00F85455" w:rsidRPr="00F45A6E">
        <w:rPr>
          <w:sz w:val="22"/>
          <w:szCs w:val="22"/>
          <w:lang w:val="sr-Latn-ME"/>
        </w:rPr>
        <w:t>i</w:t>
      </w:r>
      <w:r w:rsidR="008A470A" w:rsidRPr="00F45A6E">
        <w:rPr>
          <w:sz w:val="22"/>
          <w:szCs w:val="22"/>
          <w:lang w:val="sr-Latn-ME"/>
        </w:rPr>
        <w:t xml:space="preserve">caja na farmakokinetiku trabektedina unutar </w:t>
      </w:r>
      <w:r w:rsidR="003A09C1" w:rsidRPr="00F45A6E">
        <w:rPr>
          <w:sz w:val="22"/>
          <w:szCs w:val="22"/>
          <w:lang w:val="sr-Latn-ME"/>
        </w:rPr>
        <w:t>opsega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8A470A" w:rsidRPr="00F45A6E">
        <w:rPr>
          <w:sz w:val="22"/>
          <w:szCs w:val="22"/>
          <w:lang w:val="sr-Latn-ME"/>
        </w:rPr>
        <w:t>i (≥ 30,3 m</w:t>
      </w:r>
      <w:r w:rsidR="00E101E2" w:rsidRPr="00F45A6E">
        <w:rPr>
          <w:sz w:val="22"/>
          <w:szCs w:val="22"/>
          <w:lang w:val="sr-Latn-ME"/>
        </w:rPr>
        <w:t>l</w:t>
      </w:r>
      <w:r w:rsidR="008A470A" w:rsidRPr="00F45A6E">
        <w:rPr>
          <w:sz w:val="22"/>
          <w:szCs w:val="22"/>
          <w:lang w:val="sr-Latn-ME"/>
        </w:rPr>
        <w:t xml:space="preserve">/min) prisutnih kod </w:t>
      </w:r>
      <w:r w:rsidR="00F85455" w:rsidRPr="00F45A6E">
        <w:rPr>
          <w:sz w:val="22"/>
          <w:szCs w:val="22"/>
          <w:lang w:val="sr-Latn-ME"/>
        </w:rPr>
        <w:t>pacijenata</w:t>
      </w:r>
      <w:r w:rsidR="008A470A" w:rsidRPr="00F45A6E">
        <w:rPr>
          <w:sz w:val="22"/>
          <w:szCs w:val="22"/>
          <w:lang w:val="sr-Latn-ME"/>
        </w:rPr>
        <w:t xml:space="preserve"> uključenih u ova klinička ispitivanja. </w:t>
      </w:r>
      <w:r w:rsidR="00594550" w:rsidRPr="00F45A6E">
        <w:rPr>
          <w:sz w:val="22"/>
          <w:szCs w:val="22"/>
          <w:lang w:val="sr-Latn-ME"/>
        </w:rPr>
        <w:t>Nijesu</w:t>
      </w:r>
      <w:r w:rsidR="008A470A" w:rsidRPr="00F45A6E">
        <w:rPr>
          <w:sz w:val="22"/>
          <w:szCs w:val="22"/>
          <w:lang w:val="sr-Latn-ME"/>
        </w:rPr>
        <w:t xml:space="preserve"> dostupni podaci na </w:t>
      </w:r>
      <w:r w:rsidR="005331EC" w:rsidRPr="00F45A6E">
        <w:rPr>
          <w:sz w:val="22"/>
          <w:szCs w:val="22"/>
          <w:lang w:val="sr-Latn-ME"/>
        </w:rPr>
        <w:t>pacijentima</w:t>
      </w:r>
      <w:r w:rsidR="008A470A" w:rsidRPr="00F45A6E">
        <w:rPr>
          <w:sz w:val="22"/>
          <w:szCs w:val="22"/>
          <w:lang w:val="sr-Latn-ME"/>
        </w:rPr>
        <w:t xml:space="preserve"> s</w:t>
      </w:r>
      <w:r w:rsidR="005331EC" w:rsidRPr="00F45A6E">
        <w:rPr>
          <w:sz w:val="22"/>
          <w:szCs w:val="22"/>
          <w:lang w:val="sr-Latn-ME"/>
        </w:rPr>
        <w:t>a</w:t>
      </w:r>
      <w:r w:rsidR="008A470A" w:rsidRPr="00F45A6E">
        <w:rPr>
          <w:sz w:val="22"/>
          <w:szCs w:val="22"/>
          <w:lang w:val="sr-Latn-ME"/>
        </w:rPr>
        <w:t xml:space="preserve"> klirensom kreatinina manjim od 30,3 m</w:t>
      </w:r>
      <w:r w:rsidR="00E101E2" w:rsidRPr="00F45A6E">
        <w:rPr>
          <w:sz w:val="22"/>
          <w:szCs w:val="22"/>
          <w:lang w:val="sr-Latn-ME"/>
        </w:rPr>
        <w:t>l</w:t>
      </w:r>
      <w:r w:rsidR="008A470A" w:rsidRPr="00F45A6E">
        <w:rPr>
          <w:sz w:val="22"/>
          <w:szCs w:val="22"/>
          <w:lang w:val="sr-Latn-ME"/>
        </w:rPr>
        <w:t>/min. Nizak s</w:t>
      </w:r>
      <w:r w:rsidR="005331EC" w:rsidRPr="00F45A6E">
        <w:rPr>
          <w:sz w:val="22"/>
          <w:szCs w:val="22"/>
          <w:lang w:val="sr-Latn-ME"/>
        </w:rPr>
        <w:t>tepen</w:t>
      </w:r>
      <w:r w:rsidR="008A470A" w:rsidRPr="00F45A6E">
        <w:rPr>
          <w:sz w:val="22"/>
          <w:szCs w:val="22"/>
          <w:lang w:val="sr-Latn-ME"/>
        </w:rPr>
        <w:t xml:space="preserve"> prikupljene (&lt; 9</w:t>
      </w:r>
      <w:r w:rsidR="00C157E6" w:rsidRPr="00F45A6E">
        <w:rPr>
          <w:sz w:val="22"/>
          <w:szCs w:val="22"/>
          <w:lang w:val="sr-Latn-ME"/>
        </w:rPr>
        <w:t>%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5331EC" w:rsidRPr="00F45A6E">
        <w:rPr>
          <w:sz w:val="22"/>
          <w:szCs w:val="22"/>
          <w:lang w:val="sr-Latn-ME"/>
        </w:rPr>
        <w:t>kod</w:t>
      </w:r>
      <w:r w:rsidR="008A470A" w:rsidRPr="00F45A6E">
        <w:rPr>
          <w:sz w:val="22"/>
          <w:szCs w:val="22"/>
          <w:lang w:val="sr-Latn-ME"/>
        </w:rPr>
        <w:t xml:space="preserve"> svih </w:t>
      </w:r>
      <w:r w:rsidR="005331EC" w:rsidRPr="00F45A6E">
        <w:rPr>
          <w:sz w:val="22"/>
          <w:szCs w:val="22"/>
          <w:lang w:val="sr-Latn-ME"/>
        </w:rPr>
        <w:t>pacijenata</w:t>
      </w:r>
      <w:r w:rsidR="008A470A" w:rsidRPr="00F45A6E">
        <w:rPr>
          <w:sz w:val="22"/>
          <w:szCs w:val="22"/>
          <w:lang w:val="sr-Latn-ME"/>
        </w:rPr>
        <w:t xml:space="preserve"> iz ispitivanja) ukupne radioaktivnosti u </w:t>
      </w:r>
      <w:r w:rsidR="00C96A8D" w:rsidRPr="00F45A6E">
        <w:rPr>
          <w:sz w:val="22"/>
          <w:szCs w:val="22"/>
          <w:lang w:val="sr-Latn-ME"/>
        </w:rPr>
        <w:t>urinu</w:t>
      </w:r>
      <w:r w:rsidR="008A470A" w:rsidRPr="00F45A6E">
        <w:rPr>
          <w:sz w:val="22"/>
          <w:szCs w:val="22"/>
          <w:lang w:val="sr-Latn-ME"/>
        </w:rPr>
        <w:t xml:space="preserve"> nakon pojedinačne doze </w:t>
      </w:r>
      <w:r w:rsidR="008A470A" w:rsidRPr="00F45A6E">
        <w:rPr>
          <w:sz w:val="22"/>
          <w:szCs w:val="22"/>
          <w:vertAlign w:val="superscript"/>
          <w:lang w:val="sr-Latn-ME"/>
        </w:rPr>
        <w:t>14</w:t>
      </w:r>
      <w:r w:rsidR="008A470A" w:rsidRPr="00F45A6E">
        <w:rPr>
          <w:sz w:val="22"/>
          <w:szCs w:val="22"/>
          <w:lang w:val="sr-Latn-ME"/>
        </w:rPr>
        <w:t>C-označenog trabektedina upućuje na to da oštećenje bubrega ima mal</w:t>
      </w:r>
      <w:r w:rsidR="00C96A8D" w:rsidRPr="00F45A6E">
        <w:rPr>
          <w:sz w:val="22"/>
          <w:szCs w:val="22"/>
          <w:lang w:val="sr-Latn-ME"/>
        </w:rPr>
        <w:t>i</w:t>
      </w:r>
      <w:r w:rsidR="008A470A" w:rsidRPr="00F45A6E">
        <w:rPr>
          <w:sz w:val="22"/>
          <w:szCs w:val="22"/>
          <w:lang w:val="sr-Latn-ME"/>
        </w:rPr>
        <w:t xml:space="preserve"> ut</w:t>
      </w:r>
      <w:r w:rsidR="00A0335A" w:rsidRPr="00F45A6E">
        <w:rPr>
          <w:sz w:val="22"/>
          <w:szCs w:val="22"/>
          <w:lang w:val="sr-Latn-ME"/>
        </w:rPr>
        <w:t>i</w:t>
      </w:r>
      <w:r w:rsidR="008A470A" w:rsidRPr="00F45A6E">
        <w:rPr>
          <w:sz w:val="22"/>
          <w:szCs w:val="22"/>
          <w:lang w:val="sr-Latn-ME"/>
        </w:rPr>
        <w:t xml:space="preserve">caj na eliminaciju trabektedina ili njegovih metabolita. </w:t>
      </w:r>
    </w:p>
    <w:p w14:paraId="6D022C25" w14:textId="77777777" w:rsidR="00794A6D" w:rsidRPr="00F45A6E" w:rsidRDefault="00794A6D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25DED0B" w14:textId="77777777" w:rsidR="008A470A" w:rsidRPr="00F45A6E" w:rsidRDefault="008A470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 xml:space="preserve">Oštećenje funkcije jetre </w:t>
      </w:r>
    </w:p>
    <w:p w14:paraId="6639D402" w14:textId="6BE29C5D" w:rsidR="008A470A" w:rsidRPr="00F45A6E" w:rsidRDefault="00A0335A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Efekat </w:t>
      </w:r>
      <w:r w:rsidR="008A470A" w:rsidRPr="00F45A6E">
        <w:rPr>
          <w:szCs w:val="22"/>
          <w:lang w:val="sr-Latn-ME"/>
        </w:rPr>
        <w:t>oštećenja jetre na farmakokinetiku trabektedina proc</w:t>
      </w:r>
      <w:r w:rsidR="00106A8F" w:rsidRPr="00F45A6E">
        <w:rPr>
          <w:szCs w:val="22"/>
          <w:lang w:val="sr-Latn-ME"/>
        </w:rPr>
        <w:t>j</w:t>
      </w:r>
      <w:r w:rsidR="008A470A" w:rsidRPr="00F45A6E">
        <w:rPr>
          <w:szCs w:val="22"/>
          <w:lang w:val="sr-Latn-ME"/>
        </w:rPr>
        <w:t xml:space="preserve">enjen je kod 15 </w:t>
      </w:r>
      <w:r w:rsidRPr="00F45A6E">
        <w:rPr>
          <w:szCs w:val="22"/>
          <w:lang w:val="sr-Latn-ME"/>
        </w:rPr>
        <w:t>pacijenata</w:t>
      </w:r>
      <w:r w:rsidR="008A470A" w:rsidRPr="00F45A6E">
        <w:rPr>
          <w:szCs w:val="22"/>
          <w:lang w:val="sr-Latn-ME"/>
        </w:rPr>
        <w:t xml:space="preserve"> s</w:t>
      </w:r>
      <w:r w:rsidRPr="00F45A6E">
        <w:rPr>
          <w:szCs w:val="22"/>
          <w:lang w:val="sr-Latn-ME"/>
        </w:rPr>
        <w:t>a</w:t>
      </w:r>
      <w:r w:rsidR="008A470A" w:rsidRPr="00F45A6E">
        <w:rPr>
          <w:szCs w:val="22"/>
          <w:lang w:val="sr-Latn-ME"/>
        </w:rPr>
        <w:t xml:space="preserve"> </w:t>
      </w:r>
      <w:r w:rsidR="008B22BF" w:rsidRPr="00F45A6E">
        <w:rPr>
          <w:szCs w:val="22"/>
          <w:lang w:val="sr-Latn-ME"/>
        </w:rPr>
        <w:t xml:space="preserve">kancerom </w:t>
      </w:r>
      <w:r w:rsidR="008A470A" w:rsidRPr="00F45A6E">
        <w:rPr>
          <w:szCs w:val="22"/>
          <w:lang w:val="sr-Latn-ME"/>
        </w:rPr>
        <w:t>pri dozama koje su varirale od 0,58 do 1,3 mg/m</w:t>
      </w:r>
      <w:r w:rsidR="008A470A" w:rsidRPr="00F45A6E">
        <w:rPr>
          <w:szCs w:val="22"/>
          <w:vertAlign w:val="superscript"/>
          <w:lang w:val="sr-Latn-ME"/>
        </w:rPr>
        <w:t>2</w:t>
      </w:r>
      <w:r w:rsidR="008A470A" w:rsidRPr="00F45A6E">
        <w:rPr>
          <w:szCs w:val="22"/>
          <w:lang w:val="sr-Latn-ME"/>
        </w:rPr>
        <w:t xml:space="preserve"> prim</w:t>
      </w:r>
      <w:r w:rsidR="00106A8F" w:rsidRPr="00F45A6E">
        <w:rPr>
          <w:szCs w:val="22"/>
          <w:lang w:val="sr-Latn-ME"/>
        </w:rPr>
        <w:t>j</w:t>
      </w:r>
      <w:r w:rsidR="008A470A" w:rsidRPr="00F45A6E">
        <w:rPr>
          <w:szCs w:val="22"/>
          <w:lang w:val="sr-Latn-ME"/>
        </w:rPr>
        <w:t>enjeno kroz infuziju</w:t>
      </w:r>
      <w:r w:rsidR="006708DC" w:rsidRPr="00F45A6E">
        <w:rPr>
          <w:szCs w:val="22"/>
          <w:lang w:val="sr-Latn-ME"/>
        </w:rPr>
        <w:t xml:space="preserve"> koja je trajala tri sata</w:t>
      </w:r>
      <w:r w:rsidR="008A470A" w:rsidRPr="00F45A6E">
        <w:rPr>
          <w:szCs w:val="22"/>
          <w:lang w:val="sr-Latn-ME"/>
        </w:rPr>
        <w:t xml:space="preserve">. Geometrijska srednja </w:t>
      </w:r>
      <w:r w:rsidR="008C26C1" w:rsidRPr="00F45A6E">
        <w:rPr>
          <w:szCs w:val="22"/>
          <w:lang w:val="sr-Latn-ME"/>
        </w:rPr>
        <w:t>vrijednost</w:t>
      </w:r>
      <w:r w:rsidR="008A470A" w:rsidRPr="00F45A6E">
        <w:rPr>
          <w:szCs w:val="22"/>
          <w:lang w:val="sr-Latn-ME"/>
        </w:rPr>
        <w:t xml:space="preserve"> izlo</w:t>
      </w:r>
      <w:r w:rsidR="00BE04D1" w:rsidRPr="00F45A6E">
        <w:rPr>
          <w:szCs w:val="22"/>
          <w:lang w:val="sr-Latn-ME"/>
        </w:rPr>
        <w:t>ž</w:t>
      </w:r>
      <w:r w:rsidR="008A470A" w:rsidRPr="00F45A6E">
        <w:rPr>
          <w:szCs w:val="22"/>
          <w:lang w:val="sr-Latn-ME"/>
        </w:rPr>
        <w:t>enosti trabektedinu (</w:t>
      </w:r>
      <w:r w:rsidR="00C96A8D" w:rsidRPr="00F45A6E">
        <w:rPr>
          <w:szCs w:val="22"/>
          <w:lang w:val="sr-Latn-ME"/>
        </w:rPr>
        <w:t>PIK</w:t>
      </w:r>
      <w:r w:rsidR="008A470A" w:rsidRPr="00F45A6E">
        <w:rPr>
          <w:szCs w:val="22"/>
          <w:lang w:val="sr-Latn-ME"/>
        </w:rPr>
        <w:t>) normaliz</w:t>
      </w:r>
      <w:r w:rsidR="005D5C66" w:rsidRPr="00F45A6E">
        <w:rPr>
          <w:szCs w:val="22"/>
          <w:lang w:val="sr-Latn-ME"/>
        </w:rPr>
        <w:t>ovano</w:t>
      </w:r>
      <w:r w:rsidR="008A470A" w:rsidRPr="00F45A6E">
        <w:rPr>
          <w:szCs w:val="22"/>
          <w:lang w:val="sr-Latn-ME"/>
        </w:rPr>
        <w:t xml:space="preserve"> za dozu povećala se za 97</w:t>
      </w:r>
      <w:r w:rsidR="00C157E6" w:rsidRPr="00F45A6E">
        <w:rPr>
          <w:szCs w:val="22"/>
          <w:lang w:val="sr-Latn-ME"/>
        </w:rPr>
        <w:t>%</w:t>
      </w:r>
      <w:r w:rsidR="008A470A" w:rsidRPr="00F45A6E">
        <w:rPr>
          <w:szCs w:val="22"/>
          <w:lang w:val="sr-Latn-ME"/>
        </w:rPr>
        <w:t xml:space="preserve"> (90</w:t>
      </w:r>
      <w:r w:rsidR="00C157E6" w:rsidRPr="00F45A6E">
        <w:rPr>
          <w:szCs w:val="22"/>
          <w:lang w:val="sr-Latn-ME"/>
        </w:rPr>
        <w:t>%</w:t>
      </w:r>
      <w:r w:rsidR="008A470A" w:rsidRPr="00F45A6E">
        <w:rPr>
          <w:szCs w:val="22"/>
          <w:lang w:val="sr-Latn-ME"/>
        </w:rPr>
        <w:t xml:space="preserve"> CI: 20</w:t>
      </w:r>
      <w:r w:rsidR="00C157E6" w:rsidRPr="00F45A6E">
        <w:rPr>
          <w:szCs w:val="22"/>
          <w:lang w:val="sr-Latn-ME"/>
        </w:rPr>
        <w:t>%</w:t>
      </w:r>
      <w:r w:rsidR="008A470A" w:rsidRPr="00F45A6E">
        <w:rPr>
          <w:szCs w:val="22"/>
          <w:lang w:val="sr-Latn-ME"/>
        </w:rPr>
        <w:t>, 222</w:t>
      </w:r>
      <w:r w:rsidR="00C157E6" w:rsidRPr="00F45A6E">
        <w:rPr>
          <w:szCs w:val="22"/>
          <w:lang w:val="sr-Latn-ME"/>
        </w:rPr>
        <w:t>%</w:t>
      </w:r>
      <w:r w:rsidR="008A470A" w:rsidRPr="00F45A6E">
        <w:rPr>
          <w:szCs w:val="22"/>
          <w:lang w:val="sr-Latn-ME"/>
        </w:rPr>
        <w:t xml:space="preserve">) </w:t>
      </w:r>
      <w:r w:rsidR="00FE4726" w:rsidRPr="00F45A6E">
        <w:rPr>
          <w:szCs w:val="22"/>
          <w:lang w:val="sr-Latn-ME"/>
        </w:rPr>
        <w:t>kod</w:t>
      </w:r>
      <w:r w:rsidR="008A470A" w:rsidRPr="00F45A6E">
        <w:rPr>
          <w:szCs w:val="22"/>
          <w:lang w:val="sr-Latn-ME"/>
        </w:rPr>
        <w:t xml:space="preserve"> 6 </w:t>
      </w:r>
      <w:r w:rsidR="00FE4726" w:rsidRPr="00F45A6E">
        <w:rPr>
          <w:szCs w:val="22"/>
          <w:lang w:val="sr-Latn-ME"/>
        </w:rPr>
        <w:t>pacijenata</w:t>
      </w:r>
      <w:r w:rsidR="008A470A" w:rsidRPr="00F45A6E">
        <w:rPr>
          <w:szCs w:val="22"/>
          <w:lang w:val="sr-Latn-ME"/>
        </w:rPr>
        <w:t xml:space="preserve"> s</w:t>
      </w:r>
      <w:r w:rsidR="00FE4726" w:rsidRPr="00F45A6E">
        <w:rPr>
          <w:szCs w:val="22"/>
          <w:lang w:val="sr-Latn-ME"/>
        </w:rPr>
        <w:t>a</w:t>
      </w:r>
      <w:r w:rsidR="008A470A" w:rsidRPr="00F45A6E">
        <w:rPr>
          <w:szCs w:val="22"/>
          <w:lang w:val="sr-Latn-ME"/>
        </w:rPr>
        <w:t xml:space="preserve"> um</w:t>
      </w:r>
      <w:r w:rsidR="00106A8F" w:rsidRPr="00F45A6E">
        <w:rPr>
          <w:szCs w:val="22"/>
          <w:lang w:val="sr-Latn-ME"/>
        </w:rPr>
        <w:t>j</w:t>
      </w:r>
      <w:r w:rsidR="008A470A" w:rsidRPr="00F45A6E">
        <w:rPr>
          <w:szCs w:val="22"/>
          <w:lang w:val="sr-Latn-ME"/>
        </w:rPr>
        <w:t>erenim oštećenjem jetre (pov</w:t>
      </w:r>
      <w:r w:rsidR="007D4900" w:rsidRPr="00F45A6E">
        <w:rPr>
          <w:szCs w:val="22"/>
          <w:lang w:val="sr-Latn-ME"/>
        </w:rPr>
        <w:t>eća</w:t>
      </w:r>
      <w:r w:rsidR="008A470A" w:rsidRPr="00F45A6E">
        <w:rPr>
          <w:szCs w:val="22"/>
          <w:lang w:val="sr-Latn-ME"/>
        </w:rPr>
        <w:t xml:space="preserve">ne </w:t>
      </w:r>
      <w:r w:rsidR="007D4900" w:rsidRPr="00F45A6E">
        <w:rPr>
          <w:szCs w:val="22"/>
          <w:lang w:val="sr-Latn-ME"/>
        </w:rPr>
        <w:t>koncentracije</w:t>
      </w:r>
      <w:r w:rsidR="008A470A" w:rsidRPr="00F45A6E">
        <w:rPr>
          <w:szCs w:val="22"/>
          <w:lang w:val="sr-Latn-ME"/>
        </w:rPr>
        <w:t xml:space="preserve"> bilirubina</w:t>
      </w:r>
      <w:r w:rsidR="007D4900" w:rsidRPr="00F45A6E">
        <w:rPr>
          <w:szCs w:val="22"/>
          <w:lang w:val="sr-Latn-ME"/>
        </w:rPr>
        <w:t xml:space="preserve"> u serumu</w:t>
      </w:r>
      <w:r w:rsidR="008A470A" w:rsidRPr="00F45A6E">
        <w:rPr>
          <w:szCs w:val="22"/>
          <w:lang w:val="sr-Latn-ME"/>
        </w:rPr>
        <w:t xml:space="preserve"> od 1,5 do 3 x GGN i </w:t>
      </w:r>
      <w:r w:rsidR="007D4900" w:rsidRPr="00F45A6E">
        <w:rPr>
          <w:szCs w:val="22"/>
          <w:lang w:val="sr-Latn-ME"/>
        </w:rPr>
        <w:t xml:space="preserve">povećanje </w:t>
      </w:r>
      <w:r w:rsidR="008A470A" w:rsidRPr="00F45A6E">
        <w:rPr>
          <w:szCs w:val="22"/>
          <w:lang w:val="sr-Latn-ME"/>
        </w:rPr>
        <w:t xml:space="preserve">aminotransferaza (AST ili ALT) &lt; 8 x GGN) nakon </w:t>
      </w:r>
      <w:r w:rsidR="00BF4DC4" w:rsidRPr="00F45A6E">
        <w:rPr>
          <w:szCs w:val="22"/>
          <w:lang w:val="sr-Latn-ME"/>
        </w:rPr>
        <w:t>primjene</w:t>
      </w:r>
      <w:r w:rsidR="008A470A" w:rsidRPr="00F45A6E">
        <w:rPr>
          <w:szCs w:val="22"/>
          <w:lang w:val="sr-Latn-ME"/>
        </w:rPr>
        <w:t xml:space="preserve"> jedne doze trabektedina od 0,58 mg/m</w:t>
      </w:r>
      <w:r w:rsidR="008A470A" w:rsidRPr="00F45A6E">
        <w:rPr>
          <w:szCs w:val="22"/>
          <w:vertAlign w:val="superscript"/>
          <w:lang w:val="sr-Latn-ME"/>
        </w:rPr>
        <w:t>2</w:t>
      </w:r>
      <w:r w:rsidR="008A470A" w:rsidRPr="00F45A6E">
        <w:rPr>
          <w:szCs w:val="22"/>
          <w:lang w:val="sr-Latn-ME"/>
        </w:rPr>
        <w:t xml:space="preserve"> (n=3) ili 0,9 mg/m</w:t>
      </w:r>
      <w:r w:rsidR="008A470A" w:rsidRPr="00F45A6E">
        <w:rPr>
          <w:szCs w:val="22"/>
          <w:vertAlign w:val="superscript"/>
          <w:lang w:val="sr-Latn-ME"/>
        </w:rPr>
        <w:t>2</w:t>
      </w:r>
      <w:r w:rsidR="008A470A" w:rsidRPr="00F45A6E">
        <w:rPr>
          <w:szCs w:val="22"/>
          <w:lang w:val="sr-Latn-ME"/>
        </w:rPr>
        <w:t xml:space="preserve"> (n=3) u </w:t>
      </w:r>
      <w:r w:rsidR="00FE4726" w:rsidRPr="00F45A6E">
        <w:rPr>
          <w:szCs w:val="22"/>
          <w:lang w:val="sr-Latn-ME"/>
        </w:rPr>
        <w:t>poređenju</w:t>
      </w:r>
      <w:r w:rsidR="008A470A" w:rsidRPr="00F45A6E">
        <w:rPr>
          <w:szCs w:val="22"/>
          <w:lang w:val="sr-Latn-ME"/>
        </w:rPr>
        <w:t xml:space="preserve"> s</w:t>
      </w:r>
      <w:r w:rsidR="00FE4726" w:rsidRPr="00F45A6E">
        <w:rPr>
          <w:szCs w:val="22"/>
          <w:lang w:val="sr-Latn-ME"/>
        </w:rPr>
        <w:t>a</w:t>
      </w:r>
      <w:r w:rsidR="008A470A" w:rsidRPr="00F45A6E">
        <w:rPr>
          <w:szCs w:val="22"/>
          <w:lang w:val="sr-Latn-ME"/>
        </w:rPr>
        <w:t xml:space="preserve"> 9 </w:t>
      </w:r>
      <w:r w:rsidR="00FE4726" w:rsidRPr="00F45A6E">
        <w:rPr>
          <w:szCs w:val="22"/>
          <w:lang w:val="sr-Latn-ME"/>
        </w:rPr>
        <w:t>pacijenata</w:t>
      </w:r>
      <w:r w:rsidR="008A470A" w:rsidRPr="00F45A6E">
        <w:rPr>
          <w:szCs w:val="22"/>
          <w:lang w:val="sr-Latn-ME"/>
        </w:rPr>
        <w:t xml:space="preserve"> s</w:t>
      </w:r>
      <w:r w:rsidR="00FE4726" w:rsidRPr="00F45A6E">
        <w:rPr>
          <w:szCs w:val="22"/>
          <w:lang w:val="sr-Latn-ME"/>
        </w:rPr>
        <w:t>a</w:t>
      </w:r>
      <w:r w:rsidR="008A470A" w:rsidRPr="00F45A6E">
        <w:rPr>
          <w:szCs w:val="22"/>
          <w:lang w:val="sr-Latn-ME"/>
        </w:rPr>
        <w:t xml:space="preserve"> normalnom funkcijom</w:t>
      </w:r>
      <w:r w:rsidR="007D4900" w:rsidRPr="00F45A6E">
        <w:rPr>
          <w:szCs w:val="22"/>
          <w:lang w:val="sr-Latn-ME"/>
        </w:rPr>
        <w:t xml:space="preserve"> jetre</w:t>
      </w:r>
      <w:r w:rsidR="008A470A" w:rsidRPr="00F45A6E">
        <w:rPr>
          <w:szCs w:val="22"/>
          <w:lang w:val="sr-Latn-ME"/>
        </w:rPr>
        <w:t xml:space="preserve"> nakon </w:t>
      </w:r>
      <w:r w:rsidR="00BF4DC4" w:rsidRPr="00F45A6E">
        <w:rPr>
          <w:szCs w:val="22"/>
          <w:lang w:val="sr-Latn-ME"/>
        </w:rPr>
        <w:t>primjene</w:t>
      </w:r>
      <w:r w:rsidR="008A470A" w:rsidRPr="00F45A6E">
        <w:rPr>
          <w:szCs w:val="22"/>
          <w:lang w:val="sr-Latn-ME"/>
        </w:rPr>
        <w:t xml:space="preserve"> jedne doze trabektedina od 1,3 mg/m</w:t>
      </w:r>
      <w:r w:rsidR="008A470A" w:rsidRPr="00F45A6E">
        <w:rPr>
          <w:szCs w:val="22"/>
          <w:vertAlign w:val="superscript"/>
          <w:lang w:val="sr-Latn-ME"/>
        </w:rPr>
        <w:t xml:space="preserve">2 </w:t>
      </w:r>
      <w:r w:rsidR="008A470A" w:rsidRPr="00F45A6E">
        <w:rPr>
          <w:szCs w:val="22"/>
          <w:lang w:val="sr-Latn-ME"/>
        </w:rPr>
        <w:t>(</w:t>
      </w:r>
      <w:r w:rsidR="00106A8F" w:rsidRPr="00F45A6E">
        <w:rPr>
          <w:szCs w:val="22"/>
          <w:lang w:val="sr-Latn-ME"/>
        </w:rPr>
        <w:t>pogledati dijelove</w:t>
      </w:r>
      <w:r w:rsidR="008A470A" w:rsidRPr="00F45A6E">
        <w:rPr>
          <w:szCs w:val="22"/>
          <w:lang w:val="sr-Latn-ME"/>
        </w:rPr>
        <w:t xml:space="preserve"> 4.2 i 4.4).</w:t>
      </w:r>
    </w:p>
    <w:p w14:paraId="3CD732E9" w14:textId="77777777" w:rsidR="00E35F60" w:rsidRPr="00F45A6E" w:rsidRDefault="00E35F60" w:rsidP="003A690C">
      <w:pPr>
        <w:rPr>
          <w:szCs w:val="22"/>
          <w:lang w:val="sr-Latn-ME"/>
        </w:rPr>
      </w:pPr>
    </w:p>
    <w:p w14:paraId="26C8DD2D" w14:textId="2529607A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5.3. Pretklinički podaci o bezb</w:t>
      </w:r>
      <w:r w:rsidR="00DC4F0B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 xml:space="preserve">ednosti </w:t>
      </w:r>
      <w:r w:rsidR="005C3738" w:rsidRPr="00F45A6E">
        <w:rPr>
          <w:b/>
          <w:bCs/>
          <w:szCs w:val="22"/>
          <w:lang w:val="sr-Latn-ME"/>
        </w:rPr>
        <w:t>lijek</w:t>
      </w:r>
      <w:r w:rsidRPr="00F45A6E">
        <w:rPr>
          <w:b/>
          <w:bCs/>
          <w:szCs w:val="22"/>
          <w:lang w:val="sr-Latn-ME"/>
        </w:rPr>
        <w:t>a</w:t>
      </w:r>
    </w:p>
    <w:p w14:paraId="02D9DA99" w14:textId="77777777" w:rsidR="002B6BC4" w:rsidRPr="00F45A6E" w:rsidRDefault="002B6BC4" w:rsidP="003A690C">
      <w:pPr>
        <w:rPr>
          <w:b/>
          <w:bCs/>
          <w:szCs w:val="22"/>
          <w:lang w:val="sr-Latn-ME"/>
        </w:rPr>
      </w:pPr>
    </w:p>
    <w:p w14:paraId="4E90801A" w14:textId="5823DAF3" w:rsidR="008A470A" w:rsidRPr="00F45A6E" w:rsidRDefault="00997006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Pret</w:t>
      </w:r>
      <w:r w:rsidR="008A470A" w:rsidRPr="00F45A6E">
        <w:rPr>
          <w:sz w:val="22"/>
          <w:szCs w:val="22"/>
          <w:lang w:val="sr-Latn-ME"/>
        </w:rPr>
        <w:t>klinički podaci upućuju da trabektedin, kad je r</w:t>
      </w:r>
      <w:r w:rsidR="00106A8F" w:rsidRPr="00F45A6E">
        <w:rPr>
          <w:sz w:val="22"/>
          <w:szCs w:val="22"/>
          <w:lang w:val="sr-Latn-ME"/>
        </w:rPr>
        <w:t>ij</w:t>
      </w:r>
      <w:r w:rsidR="008A470A" w:rsidRPr="00F45A6E">
        <w:rPr>
          <w:sz w:val="22"/>
          <w:szCs w:val="22"/>
          <w:lang w:val="sr-Latn-ME"/>
        </w:rPr>
        <w:t xml:space="preserve">eč o </w:t>
      </w:r>
      <w:r w:rsidR="007D4900" w:rsidRPr="00F45A6E">
        <w:rPr>
          <w:sz w:val="22"/>
          <w:szCs w:val="22"/>
          <w:lang w:val="sr-Latn-ME"/>
        </w:rPr>
        <w:t xml:space="preserve">PIK </w:t>
      </w:r>
      <w:r w:rsidR="008C26C1" w:rsidRPr="00F45A6E">
        <w:rPr>
          <w:sz w:val="22"/>
          <w:szCs w:val="22"/>
          <w:lang w:val="sr-Latn-ME"/>
        </w:rPr>
        <w:t>vrijednost</w:t>
      </w:r>
      <w:r w:rsidR="007D4900" w:rsidRPr="00F45A6E">
        <w:rPr>
          <w:sz w:val="22"/>
          <w:szCs w:val="22"/>
          <w:lang w:val="sr-Latn-ME"/>
        </w:rPr>
        <w:t>i</w:t>
      </w:r>
      <w:r w:rsidR="008A470A" w:rsidRPr="00F45A6E">
        <w:rPr>
          <w:sz w:val="22"/>
          <w:szCs w:val="22"/>
          <w:lang w:val="sr-Latn-ME"/>
        </w:rPr>
        <w:t xml:space="preserve">, ima ograničeni učinak na kardiovaskularni, </w:t>
      </w:r>
      <w:r w:rsidR="00921C12" w:rsidRPr="00F45A6E">
        <w:rPr>
          <w:sz w:val="22"/>
          <w:szCs w:val="22"/>
          <w:lang w:val="sr-Latn-ME"/>
        </w:rPr>
        <w:t>respiratorni</w:t>
      </w:r>
      <w:r w:rsidR="008A470A" w:rsidRPr="00F45A6E">
        <w:rPr>
          <w:sz w:val="22"/>
          <w:szCs w:val="22"/>
          <w:lang w:val="sr-Latn-ME"/>
        </w:rPr>
        <w:t xml:space="preserve"> i </w:t>
      </w:r>
      <w:r w:rsidR="00921C12" w:rsidRPr="00F45A6E">
        <w:rPr>
          <w:sz w:val="22"/>
          <w:szCs w:val="22"/>
          <w:lang w:val="sr-Latn-ME"/>
        </w:rPr>
        <w:t>centralni nervni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921C12" w:rsidRPr="00F45A6E">
        <w:rPr>
          <w:sz w:val="22"/>
          <w:szCs w:val="22"/>
          <w:lang w:val="sr-Latn-ME"/>
        </w:rPr>
        <w:t xml:space="preserve">sistem </w:t>
      </w:r>
      <w:r w:rsidR="008A470A" w:rsidRPr="00F45A6E">
        <w:rPr>
          <w:sz w:val="22"/>
          <w:szCs w:val="22"/>
          <w:lang w:val="sr-Latn-ME"/>
        </w:rPr>
        <w:t>pri izl</w:t>
      </w:r>
      <w:r w:rsidR="007D4900" w:rsidRPr="00F45A6E">
        <w:rPr>
          <w:sz w:val="22"/>
          <w:szCs w:val="22"/>
          <w:lang w:val="sr-Latn-ME"/>
        </w:rPr>
        <w:t>oženosti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7D4900" w:rsidRPr="00F45A6E">
        <w:rPr>
          <w:sz w:val="22"/>
          <w:szCs w:val="22"/>
          <w:lang w:val="sr-Latn-ME"/>
        </w:rPr>
        <w:t>ispod</w:t>
      </w:r>
      <w:r w:rsidR="008A470A" w:rsidRPr="00F45A6E">
        <w:rPr>
          <w:sz w:val="22"/>
          <w:szCs w:val="22"/>
          <w:lang w:val="sr-Latn-ME"/>
        </w:rPr>
        <w:t xml:space="preserve"> terapijskog kliničkog </w:t>
      </w:r>
      <w:r w:rsidR="007D4900" w:rsidRPr="00F45A6E">
        <w:rPr>
          <w:sz w:val="22"/>
          <w:szCs w:val="22"/>
          <w:lang w:val="sr-Latn-ME"/>
        </w:rPr>
        <w:t>opsega</w:t>
      </w:r>
      <w:r w:rsidR="008A470A" w:rsidRPr="00F45A6E">
        <w:rPr>
          <w:sz w:val="22"/>
          <w:szCs w:val="22"/>
          <w:lang w:val="sr-Latn-ME"/>
        </w:rPr>
        <w:t xml:space="preserve">. </w:t>
      </w:r>
    </w:p>
    <w:p w14:paraId="19EA1D6C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188F3EC3" w14:textId="23E8CDD6" w:rsidR="008A470A" w:rsidRPr="00F45A6E" w:rsidRDefault="00921C12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Efekti</w:t>
      </w:r>
      <w:r w:rsidR="008A470A" w:rsidRPr="00F45A6E">
        <w:rPr>
          <w:sz w:val="22"/>
          <w:szCs w:val="22"/>
          <w:lang w:val="sr-Latn-ME"/>
        </w:rPr>
        <w:t xml:space="preserve"> trabektedina na kardiovaskularnu i </w:t>
      </w:r>
      <w:r w:rsidRPr="00F45A6E">
        <w:rPr>
          <w:sz w:val="22"/>
          <w:szCs w:val="22"/>
          <w:lang w:val="sr-Latn-ME"/>
        </w:rPr>
        <w:t>respiratornu</w:t>
      </w:r>
      <w:r w:rsidR="008A470A" w:rsidRPr="00F45A6E">
        <w:rPr>
          <w:sz w:val="22"/>
          <w:szCs w:val="22"/>
          <w:lang w:val="sr-Latn-ME"/>
        </w:rPr>
        <w:t xml:space="preserve"> funkciju proučavani su </w:t>
      </w:r>
      <w:r w:rsidR="008A470A" w:rsidRPr="00F45A6E">
        <w:rPr>
          <w:i/>
          <w:iCs/>
          <w:sz w:val="22"/>
          <w:szCs w:val="22"/>
          <w:lang w:val="sr-Latn-ME"/>
        </w:rPr>
        <w:t xml:space="preserve">in vivo </w:t>
      </w:r>
      <w:r w:rsidR="008A470A" w:rsidRPr="00F45A6E">
        <w:rPr>
          <w:sz w:val="22"/>
          <w:szCs w:val="22"/>
          <w:lang w:val="sr-Latn-ME"/>
        </w:rPr>
        <w:t xml:space="preserve">(na anesteziranim Cynomolgus (makaki) majmunima). Raspored jednosatne infuzije odabran je za postizanje </w:t>
      </w:r>
      <w:r w:rsidR="007D4900" w:rsidRPr="00F45A6E">
        <w:rPr>
          <w:sz w:val="22"/>
          <w:szCs w:val="22"/>
          <w:lang w:val="sr-Latn-ME"/>
        </w:rPr>
        <w:t xml:space="preserve">najvećih koncentracija </w:t>
      </w:r>
      <w:r w:rsidR="008A470A" w:rsidRPr="00F45A6E">
        <w:rPr>
          <w:sz w:val="22"/>
          <w:szCs w:val="22"/>
          <w:lang w:val="sr-Latn-ME"/>
        </w:rPr>
        <w:t>u plazmi (C</w:t>
      </w:r>
      <w:r w:rsidR="008A470A" w:rsidRPr="00F45A6E">
        <w:rPr>
          <w:sz w:val="22"/>
          <w:szCs w:val="22"/>
          <w:vertAlign w:val="subscript"/>
          <w:lang w:val="sr-Latn-ME"/>
        </w:rPr>
        <w:t>max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="008A470A" w:rsidRPr="00F45A6E">
        <w:rPr>
          <w:sz w:val="22"/>
          <w:szCs w:val="22"/>
          <w:lang w:val="sr-Latn-ME"/>
        </w:rPr>
        <w:t xml:space="preserve">i) u </w:t>
      </w:r>
      <w:r w:rsidR="007D4900" w:rsidRPr="00F45A6E">
        <w:rPr>
          <w:sz w:val="22"/>
          <w:szCs w:val="22"/>
          <w:lang w:val="sr-Latn-ME"/>
        </w:rPr>
        <w:t xml:space="preserve">opsegu </w:t>
      </w:r>
      <w:r w:rsidR="008A470A" w:rsidRPr="00F45A6E">
        <w:rPr>
          <w:sz w:val="22"/>
          <w:szCs w:val="22"/>
          <w:lang w:val="sr-Latn-ME"/>
        </w:rPr>
        <w:t xml:space="preserve">klinički </w:t>
      </w:r>
      <w:r w:rsidR="007D4900" w:rsidRPr="00F45A6E">
        <w:rPr>
          <w:sz w:val="22"/>
          <w:szCs w:val="22"/>
          <w:lang w:val="sr-Latn-ME"/>
        </w:rPr>
        <w:t>zab</w:t>
      </w:r>
      <w:r w:rsidR="00106A8F" w:rsidRPr="00F45A6E">
        <w:rPr>
          <w:sz w:val="22"/>
          <w:szCs w:val="22"/>
          <w:lang w:val="sr-Latn-ME"/>
        </w:rPr>
        <w:t>i</w:t>
      </w:r>
      <w:r w:rsidR="007D4900" w:rsidRPr="00F45A6E">
        <w:rPr>
          <w:sz w:val="22"/>
          <w:szCs w:val="22"/>
          <w:lang w:val="sr-Latn-ME"/>
        </w:rPr>
        <w:t>l</w:t>
      </w:r>
      <w:r w:rsidR="00106A8F" w:rsidRPr="00F45A6E">
        <w:rPr>
          <w:sz w:val="22"/>
          <w:szCs w:val="22"/>
          <w:lang w:val="sr-Latn-ME"/>
        </w:rPr>
        <w:t>j</w:t>
      </w:r>
      <w:r w:rsidR="007D4900" w:rsidRPr="00F45A6E">
        <w:rPr>
          <w:sz w:val="22"/>
          <w:szCs w:val="22"/>
          <w:lang w:val="sr-Latn-ME"/>
        </w:rPr>
        <w:t>eženih koncentracija</w:t>
      </w:r>
      <w:r w:rsidR="008A470A" w:rsidRPr="00F45A6E">
        <w:rPr>
          <w:sz w:val="22"/>
          <w:szCs w:val="22"/>
          <w:lang w:val="sr-Latn-ME"/>
        </w:rPr>
        <w:t>. Postignut</w:t>
      </w:r>
      <w:r w:rsidR="007D4900" w:rsidRPr="00F45A6E">
        <w:rPr>
          <w:sz w:val="22"/>
          <w:szCs w:val="22"/>
          <w:lang w:val="sr-Latn-ME"/>
        </w:rPr>
        <w:t>e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7D4900" w:rsidRPr="00F45A6E">
        <w:rPr>
          <w:sz w:val="22"/>
          <w:szCs w:val="22"/>
          <w:lang w:val="sr-Latn-ME"/>
        </w:rPr>
        <w:t>koncentracije</w:t>
      </w:r>
      <w:r w:rsidR="008A470A" w:rsidRPr="00F45A6E">
        <w:rPr>
          <w:sz w:val="22"/>
          <w:szCs w:val="22"/>
          <w:lang w:val="sr-Latn-ME"/>
        </w:rPr>
        <w:t xml:space="preserve"> trabektedina u plazmi bil</w:t>
      </w:r>
      <w:r w:rsidR="007D4900" w:rsidRPr="00F45A6E">
        <w:rPr>
          <w:sz w:val="22"/>
          <w:szCs w:val="22"/>
          <w:lang w:val="sr-Latn-ME"/>
        </w:rPr>
        <w:t>e</w:t>
      </w:r>
      <w:r w:rsidR="008A470A" w:rsidRPr="00F45A6E">
        <w:rPr>
          <w:sz w:val="22"/>
          <w:szCs w:val="22"/>
          <w:lang w:val="sr-Latn-ME"/>
        </w:rPr>
        <w:t xml:space="preserve"> su 10,6 ± 5,4 (C</w:t>
      </w:r>
      <w:r w:rsidR="008A470A" w:rsidRPr="00F45A6E">
        <w:rPr>
          <w:sz w:val="22"/>
          <w:szCs w:val="22"/>
          <w:vertAlign w:val="subscript"/>
          <w:lang w:val="sr-Latn-ME"/>
        </w:rPr>
        <w:t>max</w:t>
      </w:r>
      <w:r w:rsidR="008A470A" w:rsidRPr="00F45A6E">
        <w:rPr>
          <w:sz w:val="22"/>
          <w:szCs w:val="22"/>
          <w:lang w:val="sr-Latn-ME"/>
        </w:rPr>
        <w:t>), v</w:t>
      </w:r>
      <w:r w:rsidR="007D4900" w:rsidRPr="00F45A6E">
        <w:rPr>
          <w:sz w:val="22"/>
          <w:szCs w:val="22"/>
          <w:lang w:val="sr-Latn-ME"/>
        </w:rPr>
        <w:t>eće</w:t>
      </w:r>
      <w:r w:rsidR="008A470A" w:rsidRPr="00F45A6E">
        <w:rPr>
          <w:sz w:val="22"/>
          <w:szCs w:val="22"/>
          <w:lang w:val="sr-Latn-ME"/>
        </w:rPr>
        <w:t xml:space="preserve"> od onih koje su </w:t>
      </w:r>
      <w:r w:rsidR="008B3B6A" w:rsidRPr="00F45A6E">
        <w:rPr>
          <w:sz w:val="22"/>
          <w:szCs w:val="22"/>
          <w:lang w:val="sr-Latn-ME"/>
        </w:rPr>
        <w:t>p</w:t>
      </w:r>
      <w:r w:rsidR="008A470A" w:rsidRPr="00F45A6E">
        <w:rPr>
          <w:sz w:val="22"/>
          <w:szCs w:val="22"/>
          <w:lang w:val="sr-Latn-ME"/>
        </w:rPr>
        <w:t>o</w:t>
      </w:r>
      <w:r w:rsidR="006A7382" w:rsidRPr="00F45A6E">
        <w:rPr>
          <w:sz w:val="22"/>
          <w:szCs w:val="22"/>
          <w:lang w:val="sr-Latn-ME"/>
        </w:rPr>
        <w:t>stigli</w:t>
      </w:r>
      <w:r w:rsidR="008A470A" w:rsidRPr="00F45A6E">
        <w:rPr>
          <w:sz w:val="22"/>
          <w:szCs w:val="22"/>
          <w:lang w:val="sr-Latn-ME"/>
        </w:rPr>
        <w:t xml:space="preserve"> </w:t>
      </w:r>
      <w:r w:rsidR="006A7382" w:rsidRPr="00F45A6E">
        <w:rPr>
          <w:sz w:val="22"/>
          <w:szCs w:val="22"/>
          <w:lang w:val="sr-Latn-ME"/>
        </w:rPr>
        <w:t>pacijent</w:t>
      </w:r>
      <w:r w:rsidR="008A470A" w:rsidRPr="00F45A6E">
        <w:rPr>
          <w:sz w:val="22"/>
          <w:szCs w:val="22"/>
          <w:lang w:val="sr-Latn-ME"/>
        </w:rPr>
        <w:t>i nakon infuzije od 1500 μg/m</w:t>
      </w:r>
      <w:r w:rsidR="008A470A" w:rsidRPr="00F45A6E">
        <w:rPr>
          <w:sz w:val="22"/>
          <w:szCs w:val="22"/>
          <w:vertAlign w:val="superscript"/>
          <w:lang w:val="sr-Latn-ME"/>
        </w:rPr>
        <w:t>2</w:t>
      </w:r>
      <w:r w:rsidR="008A470A" w:rsidRPr="00F45A6E">
        <w:rPr>
          <w:sz w:val="22"/>
          <w:szCs w:val="22"/>
          <w:lang w:val="sr-Latn-ME"/>
        </w:rPr>
        <w:t xml:space="preserve"> t</w:t>
      </w:r>
      <w:r w:rsidR="002D39BD" w:rsidRPr="00F45A6E">
        <w:rPr>
          <w:sz w:val="22"/>
          <w:szCs w:val="22"/>
          <w:lang w:val="sr-Latn-ME"/>
        </w:rPr>
        <w:t>o</w:t>
      </w:r>
      <w:r w:rsidR="008A470A" w:rsidRPr="00F45A6E">
        <w:rPr>
          <w:sz w:val="22"/>
          <w:szCs w:val="22"/>
          <w:lang w:val="sr-Latn-ME"/>
        </w:rPr>
        <w:t>kom 24 sata (C</w:t>
      </w:r>
      <w:r w:rsidR="008A470A" w:rsidRPr="00F45A6E">
        <w:rPr>
          <w:sz w:val="22"/>
          <w:szCs w:val="22"/>
          <w:vertAlign w:val="subscript"/>
          <w:lang w:val="sr-Latn-ME"/>
        </w:rPr>
        <w:t>max</w:t>
      </w:r>
      <w:r w:rsidR="008A470A" w:rsidRPr="00F45A6E">
        <w:rPr>
          <w:sz w:val="22"/>
          <w:szCs w:val="22"/>
          <w:lang w:val="sr-Latn-ME"/>
        </w:rPr>
        <w:t xml:space="preserve"> od 1,8 ± 1,1 ng/m</w:t>
      </w:r>
      <w:r w:rsidR="00E101E2" w:rsidRPr="00F45A6E">
        <w:rPr>
          <w:sz w:val="22"/>
          <w:szCs w:val="22"/>
          <w:lang w:val="sr-Latn-ME"/>
        </w:rPr>
        <w:t>l</w:t>
      </w:r>
      <w:r w:rsidR="008A470A" w:rsidRPr="00F45A6E">
        <w:rPr>
          <w:sz w:val="22"/>
          <w:szCs w:val="22"/>
          <w:lang w:val="sr-Latn-ME"/>
        </w:rPr>
        <w:t xml:space="preserve">) </w:t>
      </w:r>
      <w:r w:rsidR="002D39BD" w:rsidRPr="00F45A6E">
        <w:rPr>
          <w:sz w:val="22"/>
          <w:szCs w:val="22"/>
          <w:lang w:val="sr-Latn-ME"/>
        </w:rPr>
        <w:t>i</w:t>
      </w:r>
      <w:r w:rsidR="008A470A" w:rsidRPr="00F45A6E">
        <w:rPr>
          <w:sz w:val="22"/>
          <w:szCs w:val="22"/>
          <w:lang w:val="sr-Latn-ME"/>
        </w:rPr>
        <w:t xml:space="preserve"> slične onima koje su postignute nakon </w:t>
      </w:r>
      <w:r w:rsidR="00BF4DC4" w:rsidRPr="00F45A6E">
        <w:rPr>
          <w:sz w:val="22"/>
          <w:szCs w:val="22"/>
          <w:lang w:val="sr-Latn-ME"/>
        </w:rPr>
        <w:t>primjene</w:t>
      </w:r>
      <w:r w:rsidR="008A470A" w:rsidRPr="00F45A6E">
        <w:rPr>
          <w:sz w:val="22"/>
          <w:szCs w:val="22"/>
          <w:lang w:val="sr-Latn-ME"/>
        </w:rPr>
        <w:t xml:space="preserve"> iste doze t</w:t>
      </w:r>
      <w:r w:rsidR="002D39BD" w:rsidRPr="00F45A6E">
        <w:rPr>
          <w:sz w:val="22"/>
          <w:szCs w:val="22"/>
          <w:lang w:val="sr-Latn-ME"/>
        </w:rPr>
        <w:t>o</w:t>
      </w:r>
      <w:r w:rsidR="008A470A" w:rsidRPr="00F45A6E">
        <w:rPr>
          <w:sz w:val="22"/>
          <w:szCs w:val="22"/>
          <w:lang w:val="sr-Latn-ME"/>
        </w:rPr>
        <w:t>kom infuzije</w:t>
      </w:r>
      <w:r w:rsidR="006708DC" w:rsidRPr="00F45A6E">
        <w:rPr>
          <w:sz w:val="22"/>
          <w:szCs w:val="22"/>
          <w:lang w:val="sr-Latn-ME"/>
        </w:rPr>
        <w:t xml:space="preserve"> koja je trajala tri sata</w:t>
      </w:r>
      <w:r w:rsidR="008A470A" w:rsidRPr="00F45A6E">
        <w:rPr>
          <w:sz w:val="22"/>
          <w:szCs w:val="22"/>
          <w:lang w:val="sr-Latn-ME"/>
        </w:rPr>
        <w:t xml:space="preserve"> (C</w:t>
      </w:r>
      <w:r w:rsidR="008A470A" w:rsidRPr="00F45A6E">
        <w:rPr>
          <w:sz w:val="22"/>
          <w:szCs w:val="22"/>
          <w:vertAlign w:val="subscript"/>
          <w:lang w:val="sr-Latn-ME"/>
        </w:rPr>
        <w:t>max</w:t>
      </w:r>
      <w:r w:rsidR="008A470A" w:rsidRPr="00F45A6E">
        <w:rPr>
          <w:sz w:val="22"/>
          <w:szCs w:val="22"/>
          <w:lang w:val="sr-Latn-ME"/>
        </w:rPr>
        <w:t xml:space="preserve"> od 10,8 ± 3,7 ng/m</w:t>
      </w:r>
      <w:r w:rsidR="00E101E2" w:rsidRPr="00F45A6E">
        <w:rPr>
          <w:sz w:val="22"/>
          <w:szCs w:val="22"/>
          <w:lang w:val="sr-Latn-ME"/>
        </w:rPr>
        <w:t>l</w:t>
      </w:r>
      <w:r w:rsidR="008A470A" w:rsidRPr="00F45A6E">
        <w:rPr>
          <w:sz w:val="22"/>
          <w:szCs w:val="22"/>
          <w:lang w:val="sr-Latn-ME"/>
        </w:rPr>
        <w:t xml:space="preserve">). </w:t>
      </w:r>
    </w:p>
    <w:p w14:paraId="11D65202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A678619" w14:textId="42A6B188" w:rsidR="008A470A" w:rsidRPr="00F45A6E" w:rsidRDefault="008A470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Mijelosupresija i hepatotoksičnost identifi</w:t>
      </w:r>
      <w:r w:rsidR="002D39BD" w:rsidRPr="00F45A6E">
        <w:rPr>
          <w:sz w:val="22"/>
          <w:szCs w:val="22"/>
          <w:lang w:val="sr-Latn-ME"/>
        </w:rPr>
        <w:t>kovane</w:t>
      </w:r>
      <w:r w:rsidRPr="00F45A6E">
        <w:rPr>
          <w:sz w:val="22"/>
          <w:szCs w:val="22"/>
          <w:lang w:val="sr-Latn-ME"/>
        </w:rPr>
        <w:t xml:space="preserve"> su kao primarne toksičnosti trabektedina. Dobi</w:t>
      </w:r>
      <w:r w:rsidR="00C7542D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eni nalazi obuhva</w:t>
      </w:r>
      <w:r w:rsidR="00C7542D" w:rsidRPr="00F45A6E">
        <w:rPr>
          <w:sz w:val="22"/>
          <w:szCs w:val="22"/>
          <w:lang w:val="sr-Latn-ME"/>
        </w:rPr>
        <w:t>t</w:t>
      </w:r>
      <w:r w:rsidRPr="00F45A6E">
        <w:rPr>
          <w:sz w:val="22"/>
          <w:szCs w:val="22"/>
          <w:lang w:val="sr-Latn-ME"/>
        </w:rPr>
        <w:t xml:space="preserve">ali su hematopoetsku toksičnost (tešku leukopeniju, anemiju </w:t>
      </w:r>
      <w:r w:rsidR="00C7542D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depleciju limfoida i </w:t>
      </w:r>
      <w:r w:rsidRPr="00F45A6E">
        <w:rPr>
          <w:sz w:val="22"/>
          <w:szCs w:val="22"/>
          <w:lang w:val="sr-Latn-ME"/>
        </w:rPr>
        <w:lastRenderedPageBreak/>
        <w:t>koštane sr</w:t>
      </w:r>
      <w:r w:rsidR="00C7542D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i) </w:t>
      </w:r>
      <w:r w:rsidR="00C7542D" w:rsidRPr="00F45A6E">
        <w:rPr>
          <w:sz w:val="22"/>
          <w:szCs w:val="22"/>
          <w:lang w:val="sr-Latn-ME"/>
        </w:rPr>
        <w:t>kao i</w:t>
      </w:r>
      <w:r w:rsidRPr="00F45A6E">
        <w:rPr>
          <w:sz w:val="22"/>
          <w:szCs w:val="22"/>
          <w:lang w:val="sr-Latn-ME"/>
        </w:rPr>
        <w:t xml:space="preserve"> po</w:t>
      </w:r>
      <w:r w:rsidR="008B3B6A" w:rsidRPr="00F45A6E">
        <w:rPr>
          <w:sz w:val="22"/>
          <w:szCs w:val="22"/>
          <w:lang w:val="sr-Latn-ME"/>
        </w:rPr>
        <w:t>većanje</w:t>
      </w:r>
      <w:r w:rsidRPr="00F45A6E">
        <w:rPr>
          <w:sz w:val="22"/>
          <w:szCs w:val="22"/>
          <w:lang w:val="sr-Latn-ME"/>
        </w:rPr>
        <w:t xml:space="preserve"> </w:t>
      </w:r>
      <w:r w:rsidR="008C26C1" w:rsidRPr="00F45A6E">
        <w:rPr>
          <w:sz w:val="22"/>
          <w:szCs w:val="22"/>
          <w:lang w:val="sr-Latn-ME"/>
        </w:rPr>
        <w:t>vrijednost</w:t>
      </w:r>
      <w:r w:rsidRPr="00F45A6E">
        <w:rPr>
          <w:sz w:val="22"/>
          <w:szCs w:val="22"/>
          <w:lang w:val="sr-Latn-ME"/>
        </w:rPr>
        <w:t>i testova funkcije</w:t>
      </w:r>
      <w:r w:rsidR="008B3B6A" w:rsidRPr="00F45A6E">
        <w:rPr>
          <w:sz w:val="22"/>
          <w:szCs w:val="22"/>
          <w:lang w:val="sr-Latn-ME"/>
        </w:rPr>
        <w:t xml:space="preserve"> jetre</w:t>
      </w:r>
      <w:r w:rsidRPr="00F45A6E">
        <w:rPr>
          <w:sz w:val="22"/>
          <w:szCs w:val="22"/>
          <w:lang w:val="sr-Latn-ME"/>
        </w:rPr>
        <w:t>, hepatocelularnu degeneraciju, cr</w:t>
      </w:r>
      <w:r w:rsidR="00106A8F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evnu epitelnu nekrozu </w:t>
      </w:r>
      <w:r w:rsidR="00551177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teške lokalne reakcije na m</w:t>
      </w:r>
      <w:r w:rsidR="00106A8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estu</w:t>
      </w:r>
      <w:r w:rsidR="008B3B6A" w:rsidRPr="00F45A6E">
        <w:rPr>
          <w:sz w:val="22"/>
          <w:szCs w:val="22"/>
          <w:lang w:val="sr-Latn-ME"/>
        </w:rPr>
        <w:t xml:space="preserve"> </w:t>
      </w:r>
      <w:r w:rsidR="00BF4DC4" w:rsidRPr="00F45A6E">
        <w:rPr>
          <w:sz w:val="22"/>
          <w:szCs w:val="22"/>
          <w:lang w:val="sr-Latn-ME"/>
        </w:rPr>
        <w:t>primjene</w:t>
      </w:r>
      <w:r w:rsidR="008B3B6A"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="008B3B6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. Nalazi </w:t>
      </w:r>
      <w:r w:rsidR="008B3B6A" w:rsidRPr="00F45A6E">
        <w:rPr>
          <w:sz w:val="22"/>
          <w:szCs w:val="22"/>
          <w:lang w:val="sr-Latn-ME"/>
        </w:rPr>
        <w:t xml:space="preserve">renalne </w:t>
      </w:r>
      <w:r w:rsidRPr="00F45A6E">
        <w:rPr>
          <w:sz w:val="22"/>
          <w:szCs w:val="22"/>
          <w:lang w:val="sr-Latn-ME"/>
        </w:rPr>
        <w:t>toksičnosti prim</w:t>
      </w:r>
      <w:r w:rsidR="00106A8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ećeni su u ispitivanjima toksičnosti više ciklusa </w:t>
      </w:r>
      <w:r w:rsidR="00551177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provedenih na majmunima. Ti su nalazi bili sekundarni u odnosu na tešku lokalnu reakciju na m</w:t>
      </w:r>
      <w:r w:rsidR="00106A8F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estu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i </w:t>
      </w:r>
      <w:r w:rsidR="00551177" w:rsidRPr="00F45A6E">
        <w:rPr>
          <w:sz w:val="22"/>
          <w:szCs w:val="22"/>
          <w:lang w:val="sr-Latn-ME"/>
        </w:rPr>
        <w:t>zato se ne mogu</w:t>
      </w:r>
      <w:r w:rsidRPr="00F45A6E">
        <w:rPr>
          <w:sz w:val="22"/>
          <w:szCs w:val="22"/>
          <w:lang w:val="sr-Latn-ME"/>
        </w:rPr>
        <w:t xml:space="preserve"> </w:t>
      </w:r>
      <w:r w:rsidR="00551177" w:rsidRPr="00F45A6E">
        <w:rPr>
          <w:sz w:val="22"/>
          <w:szCs w:val="22"/>
          <w:lang w:val="sr-Latn-ME"/>
        </w:rPr>
        <w:t xml:space="preserve">sa </w:t>
      </w:r>
      <w:r w:rsidRPr="00F45A6E">
        <w:rPr>
          <w:sz w:val="22"/>
          <w:szCs w:val="22"/>
          <w:lang w:val="sr-Latn-ME"/>
        </w:rPr>
        <w:t>sigurno</w:t>
      </w:r>
      <w:r w:rsidR="00551177" w:rsidRPr="00F45A6E">
        <w:rPr>
          <w:sz w:val="22"/>
          <w:szCs w:val="22"/>
          <w:lang w:val="sr-Latn-ME"/>
        </w:rPr>
        <w:t>šću</w:t>
      </w:r>
      <w:r w:rsidRPr="00F45A6E">
        <w:rPr>
          <w:sz w:val="22"/>
          <w:szCs w:val="22"/>
          <w:lang w:val="sr-Latn-ME"/>
        </w:rPr>
        <w:t xml:space="preserve"> pripisati trabektedinu. </w:t>
      </w:r>
      <w:r w:rsidR="00551177" w:rsidRPr="00F45A6E">
        <w:rPr>
          <w:sz w:val="22"/>
          <w:szCs w:val="22"/>
          <w:lang w:val="sr-Latn-ME"/>
        </w:rPr>
        <w:t>Ipak</w:t>
      </w:r>
      <w:r w:rsidRPr="00F45A6E">
        <w:rPr>
          <w:sz w:val="22"/>
          <w:szCs w:val="22"/>
          <w:lang w:val="sr-Latn-ME"/>
        </w:rPr>
        <w:t>, potreban je oprez u interpretaciji tih bubre</w:t>
      </w:r>
      <w:r w:rsidR="007B26AC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nih nalaza, a toksičnost povezana s</w:t>
      </w:r>
      <w:r w:rsidR="005D2FA7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031EC5" w:rsidRPr="00F45A6E">
        <w:rPr>
          <w:sz w:val="22"/>
          <w:szCs w:val="22"/>
          <w:lang w:val="sr-Latn-ME"/>
        </w:rPr>
        <w:t>liječenj</w:t>
      </w:r>
      <w:r w:rsidRPr="00F45A6E">
        <w:rPr>
          <w:sz w:val="22"/>
          <w:szCs w:val="22"/>
          <w:lang w:val="sr-Latn-ME"/>
        </w:rPr>
        <w:t>em ne mo</w:t>
      </w:r>
      <w:r w:rsidR="005D2FA7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e se isključiti. </w:t>
      </w:r>
    </w:p>
    <w:p w14:paraId="46B21DA8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0903CF6" w14:textId="1200D9D8" w:rsidR="008A470A" w:rsidRPr="00F45A6E" w:rsidRDefault="008A470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Trabektedin je genotoksičan </w:t>
      </w:r>
      <w:r w:rsidR="008B3B6A" w:rsidRPr="00F45A6E">
        <w:rPr>
          <w:sz w:val="22"/>
          <w:szCs w:val="22"/>
          <w:lang w:val="sr-Latn-ME"/>
        </w:rPr>
        <w:t>i u</w:t>
      </w:r>
      <w:r w:rsidRPr="00F45A6E">
        <w:rPr>
          <w:sz w:val="22"/>
          <w:szCs w:val="22"/>
          <w:lang w:val="sr-Latn-ME"/>
        </w:rPr>
        <w:t xml:space="preserve"> </w:t>
      </w:r>
      <w:r w:rsidRPr="00F45A6E">
        <w:rPr>
          <w:i/>
          <w:iCs/>
          <w:sz w:val="22"/>
          <w:szCs w:val="22"/>
          <w:lang w:val="sr-Latn-ME"/>
        </w:rPr>
        <w:t xml:space="preserve">in vitro </w:t>
      </w:r>
      <w:r w:rsidRPr="00F45A6E">
        <w:rPr>
          <w:sz w:val="22"/>
          <w:szCs w:val="22"/>
          <w:lang w:val="sr-Latn-ME"/>
        </w:rPr>
        <w:t xml:space="preserve">i </w:t>
      </w:r>
      <w:r w:rsidRPr="00F45A6E">
        <w:rPr>
          <w:i/>
          <w:iCs/>
          <w:sz w:val="22"/>
          <w:szCs w:val="22"/>
          <w:lang w:val="sr-Latn-ME"/>
        </w:rPr>
        <w:t>in vivo</w:t>
      </w:r>
      <w:r w:rsidR="00231597" w:rsidRPr="00F45A6E">
        <w:rPr>
          <w:i/>
          <w:iCs/>
          <w:sz w:val="22"/>
          <w:szCs w:val="22"/>
          <w:lang w:val="sr-Latn-ME"/>
        </w:rPr>
        <w:t xml:space="preserve"> </w:t>
      </w:r>
      <w:r w:rsidR="00231597" w:rsidRPr="00F45A6E">
        <w:rPr>
          <w:sz w:val="22"/>
          <w:szCs w:val="22"/>
          <w:lang w:val="sr-Latn-ME"/>
        </w:rPr>
        <w:t>uslovima</w:t>
      </w:r>
      <w:r w:rsidRPr="00F45A6E">
        <w:rPr>
          <w:sz w:val="22"/>
          <w:szCs w:val="22"/>
          <w:lang w:val="sr-Latn-ME"/>
        </w:rPr>
        <w:t xml:space="preserve">.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</w:t>
      </w:r>
      <w:r w:rsidR="00231597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 xml:space="preserve">provedena dugoročna ispitivanja karcinogenosti. </w:t>
      </w:r>
    </w:p>
    <w:p w14:paraId="42800009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87F4E9B" w14:textId="5565BE8B" w:rsidR="008A470A" w:rsidRPr="00F45A6E" w:rsidRDefault="008A470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Ispitivanja plodnosti </w:t>
      </w:r>
      <w:r w:rsidR="008B3B6A" w:rsidRPr="00F45A6E">
        <w:rPr>
          <w:sz w:val="22"/>
          <w:szCs w:val="22"/>
          <w:lang w:val="sr-Latn-ME"/>
        </w:rPr>
        <w:t xml:space="preserve">kod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trabektedin</w:t>
      </w:r>
      <w:r w:rsidR="008B3B6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594550" w:rsidRPr="00F45A6E">
        <w:rPr>
          <w:sz w:val="22"/>
          <w:szCs w:val="22"/>
          <w:lang w:val="sr-Latn-ME"/>
        </w:rPr>
        <w:t>nijesu</w:t>
      </w:r>
      <w:r w:rsidRPr="00F45A6E">
        <w:rPr>
          <w:sz w:val="22"/>
          <w:szCs w:val="22"/>
          <w:lang w:val="sr-Latn-ME"/>
        </w:rPr>
        <w:t xml:space="preserve"> </w:t>
      </w:r>
      <w:r w:rsidR="00231597" w:rsidRPr="00F45A6E">
        <w:rPr>
          <w:sz w:val="22"/>
          <w:szCs w:val="22"/>
          <w:lang w:val="sr-Latn-ME"/>
        </w:rPr>
        <w:t>s</w:t>
      </w:r>
      <w:r w:rsidRPr="00F45A6E">
        <w:rPr>
          <w:sz w:val="22"/>
          <w:szCs w:val="22"/>
          <w:lang w:val="sr-Latn-ME"/>
        </w:rPr>
        <w:t>provedena, ali ograničene histopatološke promene prim</w:t>
      </w:r>
      <w:r w:rsidR="00A732B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ećene su na gonadama u ispitivanjima toksičnosti s</w:t>
      </w:r>
      <w:r w:rsidR="000932E9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ponovljenim dozama. Uzimajući u obzir prirodu </w:t>
      </w:r>
      <w:r w:rsidR="000932E9" w:rsidRPr="00F45A6E">
        <w:rPr>
          <w:sz w:val="22"/>
          <w:szCs w:val="22"/>
          <w:lang w:val="sr-Latn-ME"/>
        </w:rPr>
        <w:t xml:space="preserve">supstance </w:t>
      </w:r>
      <w:r w:rsidRPr="00F45A6E">
        <w:rPr>
          <w:sz w:val="22"/>
          <w:szCs w:val="22"/>
          <w:lang w:val="sr-Latn-ME"/>
        </w:rPr>
        <w:t>(citotoksičnost i mutagenost), v</w:t>
      </w:r>
      <w:r w:rsidR="00A732B2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ero</w:t>
      </w:r>
      <w:r w:rsidR="00A732B2" w:rsidRPr="00F45A6E">
        <w:rPr>
          <w:sz w:val="22"/>
          <w:szCs w:val="22"/>
          <w:lang w:val="sr-Latn-ME"/>
        </w:rPr>
        <w:t>v</w:t>
      </w:r>
      <w:r w:rsidRPr="00F45A6E">
        <w:rPr>
          <w:sz w:val="22"/>
          <w:szCs w:val="22"/>
          <w:lang w:val="sr-Latn-ME"/>
        </w:rPr>
        <w:t>atno je da će ut</w:t>
      </w:r>
      <w:r w:rsidR="000932E9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cati na reproduktivnu sposobnost. </w:t>
      </w:r>
    </w:p>
    <w:p w14:paraId="413D2B7E" w14:textId="77777777" w:rsidR="00040377" w:rsidRPr="00F45A6E" w:rsidRDefault="00040377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8C2652F" w14:textId="1D428F2C" w:rsidR="00335F21" w:rsidRPr="00F45A6E" w:rsidRDefault="008B3B6A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Prolazak </w:t>
      </w:r>
      <w:r w:rsidR="008A470A" w:rsidRPr="00F45A6E">
        <w:rPr>
          <w:sz w:val="22"/>
          <w:szCs w:val="22"/>
          <w:lang w:val="sr-Latn-ME"/>
        </w:rPr>
        <w:t>trabektedina kroz placentu i fetalna izlo</w:t>
      </w:r>
      <w:r w:rsidR="000932E9" w:rsidRPr="00F45A6E">
        <w:rPr>
          <w:sz w:val="22"/>
          <w:szCs w:val="22"/>
          <w:lang w:val="sr-Latn-ME"/>
        </w:rPr>
        <w:t>ž</w:t>
      </w:r>
      <w:r w:rsidR="008A470A" w:rsidRPr="00F45A6E">
        <w:rPr>
          <w:sz w:val="22"/>
          <w:szCs w:val="22"/>
          <w:lang w:val="sr-Latn-ME"/>
        </w:rPr>
        <w:t>enost trabektedinu p</w:t>
      </w:r>
      <w:r w:rsidR="000932E9" w:rsidRPr="00F45A6E">
        <w:rPr>
          <w:sz w:val="22"/>
          <w:szCs w:val="22"/>
          <w:lang w:val="sr-Latn-ME"/>
        </w:rPr>
        <w:t>os</w:t>
      </w:r>
      <w:r w:rsidR="008A470A" w:rsidRPr="00F45A6E">
        <w:rPr>
          <w:sz w:val="22"/>
          <w:szCs w:val="22"/>
          <w:lang w:val="sr-Latn-ME"/>
        </w:rPr>
        <w:t xml:space="preserve">matrane su u ispitivanju na skotnim </w:t>
      </w:r>
      <w:r w:rsidR="00B463A5" w:rsidRPr="00F45A6E">
        <w:rPr>
          <w:sz w:val="22"/>
          <w:szCs w:val="22"/>
          <w:lang w:val="sr-Latn-ME"/>
        </w:rPr>
        <w:t>pacovima</w:t>
      </w:r>
      <w:r w:rsidR="008A470A" w:rsidRPr="00F45A6E">
        <w:rPr>
          <w:sz w:val="22"/>
          <w:szCs w:val="22"/>
          <w:lang w:val="sr-Latn-ME"/>
        </w:rPr>
        <w:t xml:space="preserve"> koji su primili jednu intravensku dozu </w:t>
      </w:r>
      <w:r w:rsidR="008A470A" w:rsidRPr="00F45A6E">
        <w:rPr>
          <w:sz w:val="22"/>
          <w:szCs w:val="22"/>
          <w:vertAlign w:val="superscript"/>
          <w:lang w:val="sr-Latn-ME"/>
        </w:rPr>
        <w:t>14</w:t>
      </w:r>
      <w:r w:rsidR="008A470A" w:rsidRPr="00F45A6E">
        <w:rPr>
          <w:sz w:val="22"/>
          <w:szCs w:val="22"/>
          <w:lang w:val="sr-Latn-ME"/>
        </w:rPr>
        <w:t>C-trabektedina od 0,061 mg/kg. Maksimalna koncentracija radioaktivnosti u fetalnom tkivu bila je slična onoj u plazmi ili krvi majke.</w:t>
      </w:r>
    </w:p>
    <w:p w14:paraId="07FC528A" w14:textId="77777777" w:rsidR="00A6540A" w:rsidRPr="00F45A6E" w:rsidRDefault="00A6540A" w:rsidP="003A690C">
      <w:pPr>
        <w:pStyle w:val="NASLOV123"/>
        <w:spacing w:before="0" w:after="0"/>
        <w:jc w:val="both"/>
        <w:rPr>
          <w:lang w:val="sr-Latn-ME"/>
        </w:rPr>
      </w:pPr>
    </w:p>
    <w:p w14:paraId="6DB20EF3" w14:textId="77777777" w:rsidR="00A6540A" w:rsidRPr="00F45A6E" w:rsidRDefault="00A6540A" w:rsidP="003A690C">
      <w:pPr>
        <w:pStyle w:val="NASLOV123"/>
        <w:spacing w:before="0" w:after="0"/>
        <w:jc w:val="both"/>
        <w:rPr>
          <w:lang w:val="sr-Latn-ME"/>
        </w:rPr>
      </w:pPr>
    </w:p>
    <w:p w14:paraId="43189B98" w14:textId="498E286F" w:rsidR="00CE09F3" w:rsidRPr="00F45A6E" w:rsidRDefault="00C56B8F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6. FARMACEUTSKI PODACI</w:t>
      </w:r>
    </w:p>
    <w:p w14:paraId="4BC5C026" w14:textId="77777777" w:rsidR="00202A37" w:rsidRPr="00F45A6E" w:rsidRDefault="00202A37" w:rsidP="003A690C">
      <w:pPr>
        <w:rPr>
          <w:b/>
          <w:bCs/>
          <w:szCs w:val="22"/>
          <w:lang w:val="sr-Latn-ME"/>
        </w:rPr>
      </w:pPr>
    </w:p>
    <w:p w14:paraId="2215F90D" w14:textId="39D56D10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6.1. Lista pomoćnih supstanci</w:t>
      </w:r>
    </w:p>
    <w:p w14:paraId="4000319A" w14:textId="77777777" w:rsidR="002C2A88" w:rsidRPr="00F45A6E" w:rsidRDefault="002C2A88" w:rsidP="003A690C">
      <w:pPr>
        <w:rPr>
          <w:b/>
          <w:bCs/>
          <w:szCs w:val="22"/>
          <w:lang w:val="sr-Latn-ME"/>
        </w:rPr>
      </w:pPr>
    </w:p>
    <w:p w14:paraId="627BBE87" w14:textId="14661C63" w:rsidR="002C2A88" w:rsidRPr="00F45A6E" w:rsidRDefault="00825A8D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Manitol</w:t>
      </w:r>
    </w:p>
    <w:p w14:paraId="40493C3A" w14:textId="352D42CB" w:rsidR="00335F21" w:rsidRPr="00F45A6E" w:rsidRDefault="008020E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Limunska</w:t>
      </w:r>
      <w:r w:rsidR="00C56B8F" w:rsidRPr="00F45A6E">
        <w:rPr>
          <w:szCs w:val="22"/>
          <w:lang w:val="sr-Latn-ME"/>
        </w:rPr>
        <w:t xml:space="preserve"> kiselina </w:t>
      </w:r>
      <w:r w:rsidR="00825A8D" w:rsidRPr="00F45A6E">
        <w:rPr>
          <w:szCs w:val="22"/>
          <w:lang w:val="sr-Latn-ME"/>
        </w:rPr>
        <w:t>monohidrat</w:t>
      </w:r>
    </w:p>
    <w:p w14:paraId="3088BC3F" w14:textId="24682B22" w:rsidR="00335F21" w:rsidRPr="00F45A6E" w:rsidRDefault="00825A8D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Natrijum</w:t>
      </w:r>
      <w:r w:rsidR="00F57BCE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citrat</w:t>
      </w:r>
    </w:p>
    <w:p w14:paraId="08AA8E7D" w14:textId="77777777" w:rsidR="00CE09F3" w:rsidRPr="00F45A6E" w:rsidRDefault="00CE09F3" w:rsidP="003A690C">
      <w:pPr>
        <w:rPr>
          <w:szCs w:val="22"/>
          <w:lang w:val="sr-Latn-ME"/>
        </w:rPr>
      </w:pPr>
    </w:p>
    <w:p w14:paraId="1228FD79" w14:textId="77777777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6.2. Inkompatibilnost</w:t>
      </w:r>
    </w:p>
    <w:p w14:paraId="4990B6F1" w14:textId="77777777" w:rsidR="002C2A88" w:rsidRPr="00F45A6E" w:rsidRDefault="002C2A88" w:rsidP="003A690C">
      <w:pPr>
        <w:rPr>
          <w:b/>
          <w:bCs/>
          <w:szCs w:val="22"/>
          <w:lang w:val="sr-Latn-ME"/>
        </w:rPr>
      </w:pPr>
    </w:p>
    <w:p w14:paraId="1AB5A320" w14:textId="0E48C2D5" w:rsidR="00335F21" w:rsidRPr="00F45A6E" w:rsidRDefault="00C56B8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Ovaj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 xml:space="preserve"> ne sm</w:t>
      </w:r>
      <w:r w:rsidR="00096CC4" w:rsidRPr="00F45A6E">
        <w:rPr>
          <w:szCs w:val="22"/>
          <w:lang w:val="sr-Latn-ME"/>
        </w:rPr>
        <w:t>ij</w:t>
      </w:r>
      <w:r w:rsidRPr="00F45A6E">
        <w:rPr>
          <w:szCs w:val="22"/>
          <w:lang w:val="sr-Latn-ME"/>
        </w:rPr>
        <w:t>e se m</w:t>
      </w:r>
      <w:r w:rsidR="00F45A6E">
        <w:rPr>
          <w:szCs w:val="22"/>
          <w:lang w:val="sr-Latn-ME"/>
        </w:rPr>
        <w:t>i</w:t>
      </w:r>
      <w:r w:rsidR="008D0D94" w:rsidRPr="00F45A6E">
        <w:rPr>
          <w:szCs w:val="22"/>
          <w:lang w:val="sr-Latn-ME"/>
        </w:rPr>
        <w:t>j</w:t>
      </w:r>
      <w:r w:rsidRPr="00F45A6E">
        <w:rPr>
          <w:szCs w:val="22"/>
          <w:lang w:val="sr-Latn-ME"/>
        </w:rPr>
        <w:t xml:space="preserve">ešati sa drugim </w:t>
      </w:r>
      <w:r w:rsidR="005C3738" w:rsidRPr="00F45A6E">
        <w:rPr>
          <w:szCs w:val="22"/>
          <w:lang w:val="sr-Latn-ME"/>
        </w:rPr>
        <w:t>ljekov</w:t>
      </w:r>
      <w:r w:rsidRPr="00F45A6E">
        <w:rPr>
          <w:szCs w:val="22"/>
          <w:lang w:val="sr-Latn-ME"/>
        </w:rPr>
        <w:t xml:space="preserve">ima osim </w:t>
      </w:r>
      <w:r w:rsidR="00F57BCE" w:rsidRPr="00F45A6E">
        <w:rPr>
          <w:szCs w:val="22"/>
          <w:lang w:val="sr-Latn-ME"/>
        </w:rPr>
        <w:t xml:space="preserve">sa </w:t>
      </w:r>
      <w:r w:rsidRPr="00F45A6E">
        <w:rPr>
          <w:szCs w:val="22"/>
          <w:lang w:val="sr-Latn-ME"/>
        </w:rPr>
        <w:t>oni</w:t>
      </w:r>
      <w:r w:rsidR="00F57BCE" w:rsidRPr="00F45A6E">
        <w:rPr>
          <w:szCs w:val="22"/>
          <w:lang w:val="sr-Latn-ME"/>
        </w:rPr>
        <w:t>ma</w:t>
      </w:r>
      <w:r w:rsidRPr="00F45A6E">
        <w:rPr>
          <w:szCs w:val="22"/>
          <w:lang w:val="sr-Latn-ME"/>
        </w:rPr>
        <w:t xml:space="preserve"> koji su navedeni u </w:t>
      </w:r>
      <w:r w:rsidR="00096CC4" w:rsidRPr="00F45A6E">
        <w:rPr>
          <w:szCs w:val="22"/>
          <w:lang w:val="sr-Latn-ME"/>
        </w:rPr>
        <w:t>dijelu</w:t>
      </w:r>
      <w:r w:rsidRPr="00F45A6E">
        <w:rPr>
          <w:szCs w:val="22"/>
          <w:lang w:val="sr-Latn-ME"/>
        </w:rPr>
        <w:t xml:space="preserve"> 6.6.</w:t>
      </w:r>
    </w:p>
    <w:p w14:paraId="453FC1A4" w14:textId="77777777" w:rsidR="00CE09F3" w:rsidRPr="00F45A6E" w:rsidRDefault="00CE09F3" w:rsidP="003A690C">
      <w:pPr>
        <w:rPr>
          <w:szCs w:val="22"/>
          <w:lang w:val="sr-Latn-ME"/>
        </w:rPr>
      </w:pPr>
    </w:p>
    <w:p w14:paraId="39F48134" w14:textId="77777777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6.3. Rok upotrebe</w:t>
      </w:r>
    </w:p>
    <w:p w14:paraId="740D6C72" w14:textId="77777777" w:rsidR="002C2A88" w:rsidRPr="00F45A6E" w:rsidRDefault="002C2A88" w:rsidP="003A690C">
      <w:pPr>
        <w:rPr>
          <w:b/>
          <w:bCs/>
          <w:szCs w:val="22"/>
          <w:lang w:val="sr-Latn-ME"/>
        </w:rPr>
      </w:pPr>
    </w:p>
    <w:p w14:paraId="3048A269" w14:textId="3C7BF0DE" w:rsidR="00335F21" w:rsidRPr="00F45A6E" w:rsidRDefault="00877DEC" w:rsidP="003A690C">
      <w:pPr>
        <w:rPr>
          <w:szCs w:val="22"/>
          <w:lang w:val="sr-Latn-ME"/>
        </w:rPr>
      </w:pPr>
      <w:r w:rsidRPr="00F45A6E">
        <w:rPr>
          <w:szCs w:val="22"/>
          <w:u w:val="single"/>
          <w:lang w:val="sr-Latn-ME"/>
        </w:rPr>
        <w:t>Rok upotrebe n</w:t>
      </w:r>
      <w:r w:rsidR="00C56B8F" w:rsidRPr="00F45A6E">
        <w:rPr>
          <w:szCs w:val="22"/>
          <w:u w:val="single"/>
          <w:lang w:val="sr-Latn-ME"/>
        </w:rPr>
        <w:t>eotvoren</w:t>
      </w:r>
      <w:r w:rsidRPr="00F45A6E">
        <w:rPr>
          <w:szCs w:val="22"/>
          <w:u w:val="single"/>
          <w:lang w:val="sr-Latn-ME"/>
        </w:rPr>
        <w:t>e</w:t>
      </w:r>
      <w:r w:rsidR="00C56B8F" w:rsidRPr="00F45A6E">
        <w:rPr>
          <w:szCs w:val="22"/>
          <w:u w:val="single"/>
          <w:lang w:val="sr-Latn-ME"/>
        </w:rPr>
        <w:t xml:space="preserve"> bočic</w:t>
      </w:r>
      <w:r w:rsidRPr="00F45A6E">
        <w:rPr>
          <w:szCs w:val="22"/>
          <w:u w:val="single"/>
          <w:lang w:val="sr-Latn-ME"/>
        </w:rPr>
        <w:t>e:</w:t>
      </w:r>
      <w:r w:rsidRPr="00F45A6E">
        <w:rPr>
          <w:szCs w:val="22"/>
          <w:lang w:val="sr-Latn-ME"/>
        </w:rPr>
        <w:t xml:space="preserve"> </w:t>
      </w:r>
      <w:r w:rsidR="00E02B96" w:rsidRPr="00F45A6E">
        <w:rPr>
          <w:szCs w:val="22"/>
          <w:lang w:val="sr-Latn-ME"/>
        </w:rPr>
        <w:t>2</w:t>
      </w:r>
      <w:r w:rsidR="000E419A" w:rsidRPr="00F45A6E">
        <w:rPr>
          <w:szCs w:val="22"/>
          <w:lang w:val="sr-Latn-ME"/>
        </w:rPr>
        <w:t>4</w:t>
      </w:r>
      <w:r w:rsidR="00CE25C8" w:rsidRPr="00F45A6E">
        <w:rPr>
          <w:szCs w:val="22"/>
          <w:lang w:val="sr-Latn-ME"/>
        </w:rPr>
        <w:t xml:space="preserve"> </w:t>
      </w:r>
      <w:r w:rsidR="000E419A" w:rsidRPr="00F45A6E">
        <w:rPr>
          <w:szCs w:val="22"/>
          <w:lang w:val="sr-Latn-ME"/>
        </w:rPr>
        <w:t>mjeseca</w:t>
      </w:r>
      <w:r w:rsidR="00202A37" w:rsidRPr="00F45A6E">
        <w:rPr>
          <w:szCs w:val="22"/>
          <w:lang w:val="sr-Latn-ME"/>
        </w:rPr>
        <w:t>.</w:t>
      </w:r>
    </w:p>
    <w:p w14:paraId="70C6B0BF" w14:textId="77777777" w:rsidR="00202A37" w:rsidRPr="00F45A6E" w:rsidRDefault="00202A37" w:rsidP="003A690C">
      <w:pPr>
        <w:rPr>
          <w:szCs w:val="22"/>
          <w:lang w:val="sr-Latn-ME"/>
        </w:rPr>
      </w:pPr>
    </w:p>
    <w:p w14:paraId="7F1983D0" w14:textId="24B2B44E" w:rsidR="00F6309C" w:rsidRPr="00F45A6E" w:rsidRDefault="00877DEC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F45A6E">
        <w:rPr>
          <w:rFonts w:eastAsia="TimesNewRoman"/>
          <w:szCs w:val="22"/>
          <w:u w:val="single"/>
          <w:lang w:val="sr-Latn-ME"/>
        </w:rPr>
        <w:t>Rok upotrebe n</w:t>
      </w:r>
      <w:r w:rsidR="001F7685" w:rsidRPr="00F45A6E">
        <w:rPr>
          <w:rFonts w:eastAsia="TimesNewRoman"/>
          <w:szCs w:val="22"/>
          <w:u w:val="single"/>
          <w:lang w:val="sr-Latn-ME"/>
        </w:rPr>
        <w:t>akon rekonstitucije</w:t>
      </w:r>
      <w:r w:rsidRPr="00F45A6E">
        <w:rPr>
          <w:rFonts w:eastAsia="TimesNewRoman"/>
          <w:szCs w:val="22"/>
          <w:u w:val="single"/>
          <w:lang w:val="sr-Latn-ME"/>
        </w:rPr>
        <w:t>:</w:t>
      </w:r>
      <w:r w:rsidRPr="00F45A6E">
        <w:rPr>
          <w:rFonts w:eastAsia="TimesNewRoman"/>
          <w:szCs w:val="22"/>
          <w:lang w:val="sr-Latn-ME"/>
        </w:rPr>
        <w:t xml:space="preserve"> </w:t>
      </w:r>
    </w:p>
    <w:p w14:paraId="2CF53603" w14:textId="28734B7F" w:rsidR="001F7685" w:rsidRPr="00F45A6E" w:rsidRDefault="001F7685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Hemijska i fizička stabilnost dokazane su tokom 30 sati na temperaturi do 25°C i</w:t>
      </w:r>
      <w:r w:rsidR="00F92D75" w:rsidRPr="00F45A6E">
        <w:rPr>
          <w:rFonts w:eastAsia="TimesNewRoman"/>
          <w:szCs w:val="22"/>
          <w:lang w:val="sr-Latn-ME"/>
        </w:rPr>
        <w:t>li do</w:t>
      </w:r>
      <w:r w:rsidRPr="00F45A6E">
        <w:rPr>
          <w:rFonts w:eastAsia="TimesNewRoman"/>
          <w:szCs w:val="22"/>
          <w:lang w:val="sr-Latn-ME"/>
        </w:rPr>
        <w:t xml:space="preserve"> 21 dan </w:t>
      </w:r>
      <w:r w:rsidR="00F8712E" w:rsidRPr="00F45A6E">
        <w:rPr>
          <w:rFonts w:eastAsia="TimesNewRoman"/>
          <w:szCs w:val="22"/>
          <w:lang w:val="sr-Latn-ME"/>
        </w:rPr>
        <w:t xml:space="preserve">ukoliko se lijek </w:t>
      </w:r>
      <w:r w:rsidRPr="00F45A6E">
        <w:rPr>
          <w:rFonts w:eastAsia="TimesNewRoman"/>
          <w:szCs w:val="22"/>
          <w:lang w:val="sr-Latn-ME"/>
        </w:rPr>
        <w:t>čuva na temperaturi od 2°C do 8°C.</w:t>
      </w:r>
    </w:p>
    <w:p w14:paraId="448EAB74" w14:textId="0351A66F" w:rsidR="00365AF2" w:rsidRPr="00F45A6E" w:rsidRDefault="00365AF2" w:rsidP="00365AF2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Sa mikrobiološke tačke gledišta, rekonstituisani rastvor treba odmah razblažiti i primijeniti. Ako se rastvor odmah ne razblaži i upotrijebi, vrijeme i uslovi čuvanja prije upotrebe rekonstituisanog rastvora su odgovornost korisnika i normalno ne bi trebali biti duži od 24 sata na temperaturi od 2°C do 8°C, osim ako je rekonstitucija sprovedena u kontrolisanim i validiranim aseptičnim uslovima.</w:t>
      </w:r>
    </w:p>
    <w:p w14:paraId="2FF80632" w14:textId="77777777" w:rsidR="00202A37" w:rsidRPr="00F45A6E" w:rsidRDefault="00202A37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F460B6C" w14:textId="7FEA8013" w:rsidR="00F6309C" w:rsidRPr="00F45A6E" w:rsidRDefault="00F6309C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F45A6E">
        <w:rPr>
          <w:rFonts w:eastAsia="TimesNewRoman"/>
          <w:szCs w:val="22"/>
          <w:u w:val="single"/>
          <w:lang w:val="sr-Latn-ME"/>
        </w:rPr>
        <w:t>Rok upotrebe n</w:t>
      </w:r>
      <w:r w:rsidR="001F7685" w:rsidRPr="00F45A6E">
        <w:rPr>
          <w:rFonts w:eastAsia="TimesNewRoman"/>
          <w:szCs w:val="22"/>
          <w:u w:val="single"/>
          <w:lang w:val="sr-Latn-ME"/>
        </w:rPr>
        <w:t>akon razblaživanja</w:t>
      </w:r>
      <w:r w:rsidRPr="00F45A6E">
        <w:rPr>
          <w:rFonts w:eastAsia="TimesNewRoman"/>
          <w:szCs w:val="22"/>
          <w:u w:val="single"/>
          <w:lang w:val="sr-Latn-ME"/>
        </w:rPr>
        <w:t>:</w:t>
      </w:r>
      <w:r w:rsidRPr="00F45A6E">
        <w:rPr>
          <w:rFonts w:eastAsia="TimesNewRoman"/>
          <w:szCs w:val="22"/>
          <w:lang w:val="sr-Latn-ME"/>
        </w:rPr>
        <w:t xml:space="preserve"> </w:t>
      </w:r>
    </w:p>
    <w:p w14:paraId="07EBFB8D" w14:textId="6E6A8F6B" w:rsidR="001F7685" w:rsidRPr="00F45A6E" w:rsidRDefault="001F7685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Hemijska i fizička stabilnost dokazane su tokom 30 sati na temperaturi do 25°C.</w:t>
      </w:r>
    </w:p>
    <w:p w14:paraId="36E431D7" w14:textId="77777777" w:rsidR="001F7685" w:rsidRPr="00F45A6E" w:rsidRDefault="001F7685" w:rsidP="003A690C">
      <w:pPr>
        <w:rPr>
          <w:b/>
          <w:bCs/>
          <w:szCs w:val="22"/>
          <w:lang w:val="sr-Latn-ME"/>
        </w:rPr>
      </w:pPr>
    </w:p>
    <w:p w14:paraId="2B925E2B" w14:textId="1AFE796E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6.4. Posebne m</w:t>
      </w:r>
      <w:r w:rsidR="00714F0D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>ere opreza pri čuvanju</w:t>
      </w:r>
      <w:r w:rsidR="00714F0D" w:rsidRPr="00F45A6E">
        <w:rPr>
          <w:b/>
          <w:bCs/>
          <w:szCs w:val="22"/>
          <w:lang w:val="sr-Latn-ME"/>
        </w:rPr>
        <w:t xml:space="preserve"> lijeka</w:t>
      </w:r>
    </w:p>
    <w:p w14:paraId="29335597" w14:textId="77777777" w:rsidR="00E750C4" w:rsidRPr="00F45A6E" w:rsidRDefault="00E750C4" w:rsidP="003A690C">
      <w:pPr>
        <w:keepNext/>
        <w:rPr>
          <w:szCs w:val="22"/>
          <w:lang w:val="sr-Latn-ME"/>
        </w:rPr>
      </w:pPr>
    </w:p>
    <w:p w14:paraId="31673DA6" w14:textId="673E1604" w:rsidR="00E750C4" w:rsidRPr="00F45A6E" w:rsidRDefault="00E750C4" w:rsidP="003A690C">
      <w:pPr>
        <w:keepNext/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Čuvati </w:t>
      </w:r>
      <w:r w:rsidR="00827804" w:rsidRPr="00F45A6E">
        <w:rPr>
          <w:szCs w:val="22"/>
          <w:lang w:val="sr-Latn-ME"/>
        </w:rPr>
        <w:t xml:space="preserve">u frižideru </w:t>
      </w:r>
      <w:r w:rsidRPr="00F45A6E">
        <w:rPr>
          <w:szCs w:val="22"/>
          <w:lang w:val="sr-Latn-ME"/>
        </w:rPr>
        <w:t>na temperaturi od 2°C do 8°C.</w:t>
      </w:r>
    </w:p>
    <w:p w14:paraId="60B4E132" w14:textId="77777777" w:rsidR="00335F21" w:rsidRPr="00F45A6E" w:rsidRDefault="00335F21" w:rsidP="003A690C">
      <w:pPr>
        <w:keepNext/>
        <w:rPr>
          <w:szCs w:val="22"/>
          <w:lang w:val="sr-Latn-ME"/>
        </w:rPr>
      </w:pPr>
    </w:p>
    <w:p w14:paraId="1E2FC350" w14:textId="66FD8BBC" w:rsidR="00335F21" w:rsidRPr="00F45A6E" w:rsidRDefault="00C56B8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Za uslove čuvanja nakon </w:t>
      </w:r>
      <w:r w:rsidR="00922819" w:rsidRPr="00F45A6E">
        <w:rPr>
          <w:szCs w:val="22"/>
          <w:lang w:val="sr-Latn-ME"/>
        </w:rPr>
        <w:t xml:space="preserve">rekonstitucije i </w:t>
      </w:r>
      <w:r w:rsidRPr="00F45A6E">
        <w:rPr>
          <w:szCs w:val="22"/>
          <w:lang w:val="sr-Latn-ME"/>
        </w:rPr>
        <w:t>razblaž</w:t>
      </w:r>
      <w:r w:rsidR="00351CFF" w:rsidRPr="00F45A6E">
        <w:rPr>
          <w:szCs w:val="22"/>
          <w:lang w:val="sr-Latn-ME"/>
        </w:rPr>
        <w:t>e</w:t>
      </w:r>
      <w:r w:rsidR="00922819" w:rsidRPr="00F45A6E">
        <w:rPr>
          <w:szCs w:val="22"/>
          <w:lang w:val="sr-Latn-ME"/>
        </w:rPr>
        <w:t>nj</w:t>
      </w:r>
      <w:r w:rsidRPr="00F45A6E">
        <w:rPr>
          <w:szCs w:val="22"/>
          <w:lang w:val="sr-Latn-ME"/>
        </w:rPr>
        <w:t xml:space="preserve">a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 xml:space="preserve">a </w:t>
      </w:r>
      <w:r w:rsidR="00376F1D" w:rsidRPr="00F45A6E">
        <w:rPr>
          <w:szCs w:val="22"/>
          <w:lang w:val="sr-Latn-ME"/>
        </w:rPr>
        <w:t>pogledati dio</w:t>
      </w:r>
      <w:r w:rsidR="00B27DB3" w:rsidRPr="00F45A6E">
        <w:rPr>
          <w:szCs w:val="22"/>
          <w:lang w:val="sr-Latn-ME"/>
        </w:rPr>
        <w:t xml:space="preserve"> </w:t>
      </w:r>
      <w:r w:rsidRPr="00F45A6E">
        <w:rPr>
          <w:szCs w:val="22"/>
          <w:lang w:val="sr-Latn-ME"/>
        </w:rPr>
        <w:t>6.3.</w:t>
      </w:r>
    </w:p>
    <w:p w14:paraId="29649EB1" w14:textId="0D08FE43" w:rsidR="00CE09F3" w:rsidRPr="00F45A6E" w:rsidRDefault="00CE09F3" w:rsidP="003A690C">
      <w:pPr>
        <w:rPr>
          <w:szCs w:val="22"/>
          <w:lang w:val="sr-Latn-ME"/>
        </w:rPr>
      </w:pPr>
    </w:p>
    <w:p w14:paraId="2D0EFAE7" w14:textId="7A2D89D3" w:rsidR="00365AF2" w:rsidRPr="00F45A6E" w:rsidRDefault="00365AF2" w:rsidP="003A690C">
      <w:pPr>
        <w:rPr>
          <w:szCs w:val="22"/>
          <w:lang w:val="sr-Latn-ME"/>
        </w:rPr>
      </w:pPr>
    </w:p>
    <w:p w14:paraId="400D6A13" w14:textId="77777777" w:rsidR="00365AF2" w:rsidRPr="00F45A6E" w:rsidRDefault="00365AF2" w:rsidP="003A690C">
      <w:pPr>
        <w:rPr>
          <w:szCs w:val="22"/>
          <w:lang w:val="sr-Latn-ME"/>
        </w:rPr>
      </w:pPr>
    </w:p>
    <w:p w14:paraId="1428C2D9" w14:textId="5598B02B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lastRenderedPageBreak/>
        <w:t xml:space="preserve">6.5. </w:t>
      </w:r>
      <w:r w:rsidR="00714F0D" w:rsidRPr="00F45A6E">
        <w:rPr>
          <w:b/>
          <w:bCs/>
          <w:szCs w:val="22"/>
          <w:lang w:val="sr-Latn-ME"/>
        </w:rPr>
        <w:t>Vrsta</w:t>
      </w:r>
      <w:r w:rsidRPr="00F45A6E">
        <w:rPr>
          <w:b/>
          <w:bCs/>
          <w:szCs w:val="22"/>
          <w:lang w:val="sr-Latn-ME"/>
        </w:rPr>
        <w:t xml:space="preserve"> i sadržaj pakovanja</w:t>
      </w:r>
    </w:p>
    <w:p w14:paraId="7AC7AA70" w14:textId="77777777" w:rsidR="00AB0777" w:rsidRPr="00F45A6E" w:rsidRDefault="00AB0777" w:rsidP="003A690C">
      <w:pPr>
        <w:rPr>
          <w:b/>
          <w:bCs/>
          <w:szCs w:val="22"/>
          <w:lang w:val="sr-Latn-ME"/>
        </w:rPr>
      </w:pPr>
    </w:p>
    <w:p w14:paraId="032E355B" w14:textId="53DF8DC4" w:rsidR="009777CE" w:rsidRPr="00F45A6E" w:rsidRDefault="001D6C3F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F45A6E">
        <w:rPr>
          <w:rFonts w:eastAsia="TimesNewRoman"/>
          <w:szCs w:val="22"/>
          <w:u w:val="single"/>
          <w:lang w:val="sr-Latn-ME"/>
        </w:rPr>
        <w:t>Trabectedin STADA</w:t>
      </w:r>
      <w:r w:rsidR="00351CFF" w:rsidRPr="00F45A6E">
        <w:rPr>
          <w:szCs w:val="22"/>
          <w:u w:val="single"/>
          <w:lang w:val="sr-Latn-ME"/>
        </w:rPr>
        <w:t>,</w:t>
      </w:r>
      <w:r w:rsidR="009777CE" w:rsidRPr="00F45A6E">
        <w:rPr>
          <w:rFonts w:eastAsia="TimesNewRoman"/>
          <w:szCs w:val="22"/>
          <w:u w:val="single"/>
          <w:lang w:val="sr-Latn-ME"/>
        </w:rPr>
        <w:t xml:space="preserve"> 0</w:t>
      </w:r>
      <w:r w:rsidR="00E101E2" w:rsidRPr="00F45A6E">
        <w:rPr>
          <w:rFonts w:eastAsia="TimesNewRoman"/>
          <w:szCs w:val="22"/>
          <w:u w:val="single"/>
          <w:lang w:val="sr-Latn-ME"/>
        </w:rPr>
        <w:t>,</w:t>
      </w:r>
      <w:r w:rsidR="009777CE" w:rsidRPr="00F45A6E">
        <w:rPr>
          <w:rFonts w:eastAsia="TimesNewRoman"/>
          <w:szCs w:val="22"/>
          <w:u w:val="single"/>
          <w:lang w:val="sr-Latn-ME"/>
        </w:rPr>
        <w:t>25 mg</w:t>
      </w:r>
      <w:r w:rsidR="00351CFF" w:rsidRPr="00F45A6E">
        <w:rPr>
          <w:rFonts w:eastAsia="TimesNewRoman"/>
          <w:szCs w:val="22"/>
          <w:u w:val="single"/>
          <w:lang w:val="sr-Latn-ME"/>
        </w:rPr>
        <w:t xml:space="preserve">, </w:t>
      </w:r>
      <w:r w:rsidR="00351CFF" w:rsidRPr="00F45A6E">
        <w:rPr>
          <w:szCs w:val="22"/>
          <w:u w:val="single"/>
          <w:lang w:val="sr-Latn-ME"/>
        </w:rPr>
        <w:t>prašak za koncentrat za rastvor za infuziju</w:t>
      </w:r>
    </w:p>
    <w:p w14:paraId="7EDDFA60" w14:textId="3D2F8B5A" w:rsidR="009777CE" w:rsidRPr="00F45A6E" w:rsidRDefault="009777CE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Unutrašnje pakovanje je bočica od providnog stakla </w:t>
      </w:r>
      <w:r w:rsidR="003A68B6" w:rsidRPr="00F45A6E">
        <w:rPr>
          <w:rFonts w:eastAsia="TimesNewRoman"/>
          <w:szCs w:val="22"/>
          <w:lang w:val="sr-Latn-ME"/>
        </w:rPr>
        <w:t xml:space="preserve">(hidrolitičke otpornosti </w:t>
      </w:r>
      <w:r w:rsidRPr="00F45A6E">
        <w:rPr>
          <w:rFonts w:eastAsia="TimesNewRoman"/>
          <w:szCs w:val="22"/>
          <w:lang w:val="sr-Latn-ME"/>
        </w:rPr>
        <w:t>tipa I</w:t>
      </w:r>
      <w:r w:rsidR="003A68B6" w:rsidRPr="00F45A6E">
        <w:rPr>
          <w:rFonts w:eastAsia="TimesNewRoman"/>
          <w:szCs w:val="22"/>
          <w:lang w:val="sr-Latn-ME"/>
        </w:rPr>
        <w:t>)</w:t>
      </w:r>
      <w:r w:rsidRPr="00F45A6E">
        <w:rPr>
          <w:rFonts w:eastAsia="TimesNewRoman"/>
          <w:szCs w:val="22"/>
          <w:lang w:val="sr-Latn-ME"/>
        </w:rPr>
        <w:t xml:space="preserve"> sa sivim čepom od bromobutilne gume, sa aluminijumskim prstenom i plastičnim </w:t>
      </w:r>
      <w:r w:rsidRPr="00F45A6E">
        <w:rPr>
          <w:rFonts w:eastAsia="TimesNewRoman"/>
          <w:i/>
          <w:iCs/>
          <w:szCs w:val="22"/>
          <w:lang w:val="sr-Latn-ME"/>
        </w:rPr>
        <w:t xml:space="preserve">flip-off </w:t>
      </w:r>
      <w:r w:rsidRPr="00F45A6E">
        <w:rPr>
          <w:rFonts w:eastAsia="TimesNewRoman"/>
          <w:szCs w:val="22"/>
          <w:lang w:val="sr-Latn-ME"/>
        </w:rPr>
        <w:t>poklopcem od polipropilena sv</w:t>
      </w:r>
      <w:r w:rsidR="007942C7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>etlo plave boje</w:t>
      </w:r>
      <w:r w:rsidR="00E101E2" w:rsidRPr="00F45A6E">
        <w:rPr>
          <w:rFonts w:eastAsia="TimesNewRoman"/>
          <w:szCs w:val="22"/>
          <w:lang w:val="sr-Latn-ME"/>
        </w:rPr>
        <w:t xml:space="preserve"> u kojoj se nalazi 0,25 mg trabektedina</w:t>
      </w:r>
      <w:r w:rsidRPr="00F45A6E">
        <w:rPr>
          <w:rFonts w:eastAsia="TimesNewRoman"/>
          <w:szCs w:val="22"/>
          <w:lang w:val="sr-Latn-ME"/>
        </w:rPr>
        <w:t>.</w:t>
      </w:r>
    </w:p>
    <w:p w14:paraId="1B4EF0BD" w14:textId="1485BA9B" w:rsidR="009777CE" w:rsidRPr="00F45A6E" w:rsidRDefault="009777CE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Spoljašnje pakovanje je složiva kartonska kutija u kojoj se nalazi 1 bočica i Uputstvo za </w:t>
      </w:r>
      <w:r w:rsidR="005C3738" w:rsidRPr="00F45A6E">
        <w:rPr>
          <w:rFonts w:eastAsia="TimesNewRoman"/>
          <w:szCs w:val="22"/>
          <w:lang w:val="sr-Latn-ME"/>
        </w:rPr>
        <w:t>lijek</w:t>
      </w:r>
      <w:r w:rsidRPr="00F45A6E">
        <w:rPr>
          <w:rFonts w:eastAsia="TimesNewRoman"/>
          <w:szCs w:val="22"/>
          <w:lang w:val="sr-Latn-ME"/>
        </w:rPr>
        <w:t>.</w:t>
      </w:r>
    </w:p>
    <w:p w14:paraId="79EA847D" w14:textId="77777777" w:rsidR="009777CE" w:rsidRPr="00F45A6E" w:rsidRDefault="009777CE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48E8C8F" w14:textId="173F3B51" w:rsidR="009777CE" w:rsidRPr="00F45A6E" w:rsidRDefault="001D6C3F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F45A6E">
        <w:rPr>
          <w:rFonts w:eastAsia="TimesNewRoman"/>
          <w:szCs w:val="22"/>
          <w:u w:val="single"/>
          <w:lang w:val="sr-Latn-ME"/>
        </w:rPr>
        <w:t>Trabectedin STADA</w:t>
      </w:r>
      <w:r w:rsidR="00351CFF" w:rsidRPr="00F45A6E">
        <w:rPr>
          <w:szCs w:val="22"/>
          <w:u w:val="single"/>
          <w:lang w:val="sr-Latn-ME"/>
        </w:rPr>
        <w:t>,</w:t>
      </w:r>
      <w:r w:rsidR="009777CE" w:rsidRPr="00F45A6E">
        <w:rPr>
          <w:rFonts w:eastAsia="TimesNewRoman"/>
          <w:szCs w:val="22"/>
          <w:u w:val="single"/>
          <w:lang w:val="sr-Latn-ME"/>
        </w:rPr>
        <w:t xml:space="preserve"> 1 mg</w:t>
      </w:r>
      <w:r w:rsidR="00351CFF" w:rsidRPr="00F45A6E">
        <w:rPr>
          <w:rFonts w:eastAsia="TimesNewRoman"/>
          <w:szCs w:val="22"/>
          <w:u w:val="single"/>
          <w:lang w:val="sr-Latn-ME"/>
        </w:rPr>
        <w:t xml:space="preserve">, </w:t>
      </w:r>
      <w:r w:rsidR="00351CFF" w:rsidRPr="00F45A6E">
        <w:rPr>
          <w:szCs w:val="22"/>
          <w:u w:val="single"/>
          <w:lang w:val="sr-Latn-ME"/>
        </w:rPr>
        <w:t>prašak za koncentrat za rastvor za infuziju</w:t>
      </w:r>
    </w:p>
    <w:p w14:paraId="4CE4CDF1" w14:textId="00F1D258" w:rsidR="009777CE" w:rsidRPr="00F45A6E" w:rsidRDefault="009777CE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Unutrašnje pakovanje je bočica od providnog stakla </w:t>
      </w:r>
      <w:r w:rsidR="003A68B6" w:rsidRPr="00F45A6E">
        <w:rPr>
          <w:rFonts w:eastAsia="TimesNewRoman"/>
          <w:szCs w:val="22"/>
          <w:lang w:val="sr-Latn-ME"/>
        </w:rPr>
        <w:t xml:space="preserve">(hidrolitičke otpornosti </w:t>
      </w:r>
      <w:r w:rsidRPr="00F45A6E">
        <w:rPr>
          <w:rFonts w:eastAsia="TimesNewRoman"/>
          <w:szCs w:val="22"/>
          <w:lang w:val="sr-Latn-ME"/>
        </w:rPr>
        <w:t>tipa I</w:t>
      </w:r>
      <w:r w:rsidR="003A68B6" w:rsidRPr="00F45A6E">
        <w:rPr>
          <w:rFonts w:eastAsia="TimesNewRoman"/>
          <w:szCs w:val="22"/>
          <w:lang w:val="sr-Latn-ME"/>
        </w:rPr>
        <w:t>)</w:t>
      </w:r>
      <w:r w:rsidRPr="00F45A6E">
        <w:rPr>
          <w:rFonts w:eastAsia="TimesNewRoman"/>
          <w:szCs w:val="22"/>
          <w:lang w:val="sr-Latn-ME"/>
        </w:rPr>
        <w:t xml:space="preserve"> sa sivim čepom od bromobutilne gume, sa aluminijumskim prstenom i plastičnim </w:t>
      </w:r>
      <w:r w:rsidRPr="00F45A6E">
        <w:rPr>
          <w:rFonts w:eastAsia="TimesNewRoman"/>
          <w:i/>
          <w:iCs/>
          <w:szCs w:val="22"/>
          <w:lang w:val="sr-Latn-ME"/>
        </w:rPr>
        <w:t xml:space="preserve">flip-off </w:t>
      </w:r>
      <w:r w:rsidRPr="00F45A6E">
        <w:rPr>
          <w:rFonts w:eastAsia="TimesNewRoman"/>
          <w:szCs w:val="22"/>
          <w:lang w:val="sr-Latn-ME"/>
        </w:rPr>
        <w:t>poklopcem od polipropilena crvene boje</w:t>
      </w:r>
      <w:r w:rsidR="00E101E2" w:rsidRPr="00F45A6E">
        <w:rPr>
          <w:rFonts w:eastAsia="TimesNewRoman"/>
          <w:szCs w:val="22"/>
          <w:lang w:val="sr-Latn-ME"/>
        </w:rPr>
        <w:t xml:space="preserve"> u kojoj se nalazi 1mg trabektedina</w:t>
      </w:r>
      <w:r w:rsidRPr="00F45A6E">
        <w:rPr>
          <w:rFonts w:eastAsia="TimesNewRoman"/>
          <w:szCs w:val="22"/>
          <w:lang w:val="sr-Latn-ME"/>
        </w:rPr>
        <w:t>.</w:t>
      </w:r>
    </w:p>
    <w:p w14:paraId="103469BA" w14:textId="6CE76EF6" w:rsidR="00CE09F3" w:rsidRPr="00F45A6E" w:rsidRDefault="009777CE" w:rsidP="003A690C">
      <w:pPr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Spoljašnje pakovanje je složiva kartonska kutija u kojoj se nalazi 1 bočica i Uputstvo za </w:t>
      </w:r>
      <w:r w:rsidR="005C3738" w:rsidRPr="00F45A6E">
        <w:rPr>
          <w:rFonts w:eastAsia="TimesNewRoman"/>
          <w:szCs w:val="22"/>
          <w:lang w:val="sr-Latn-ME"/>
        </w:rPr>
        <w:t>lijek</w:t>
      </w:r>
      <w:r w:rsidRPr="00F45A6E">
        <w:rPr>
          <w:rFonts w:eastAsia="TimesNewRoman"/>
          <w:szCs w:val="22"/>
          <w:lang w:val="sr-Latn-ME"/>
        </w:rPr>
        <w:t>.</w:t>
      </w:r>
    </w:p>
    <w:p w14:paraId="10E66C3D" w14:textId="77777777" w:rsidR="009777CE" w:rsidRPr="00F45A6E" w:rsidRDefault="009777CE" w:rsidP="003A690C">
      <w:pPr>
        <w:rPr>
          <w:szCs w:val="22"/>
          <w:lang w:val="sr-Latn-ME"/>
        </w:rPr>
      </w:pPr>
    </w:p>
    <w:p w14:paraId="45C8BE57" w14:textId="0C3A795F" w:rsidR="00CE09F3" w:rsidRPr="00F45A6E" w:rsidRDefault="00C56B8F" w:rsidP="003A690C">
      <w:pPr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6.6. Posebne m</w:t>
      </w:r>
      <w:r w:rsidR="00714F0D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>ere opreza pri odlaganju materijala koji treba odbaciti nakon prim</w:t>
      </w:r>
      <w:r w:rsidR="00714F0D" w:rsidRPr="00F45A6E">
        <w:rPr>
          <w:b/>
          <w:bCs/>
          <w:szCs w:val="22"/>
          <w:lang w:val="sr-Latn-ME"/>
        </w:rPr>
        <w:t>j</w:t>
      </w:r>
      <w:r w:rsidRPr="00F45A6E">
        <w:rPr>
          <w:b/>
          <w:bCs/>
          <w:szCs w:val="22"/>
          <w:lang w:val="sr-Latn-ME"/>
        </w:rPr>
        <w:t xml:space="preserve">ene </w:t>
      </w:r>
      <w:r w:rsidR="005C3738" w:rsidRPr="00F45A6E">
        <w:rPr>
          <w:b/>
          <w:bCs/>
          <w:szCs w:val="22"/>
          <w:lang w:val="sr-Latn-ME"/>
        </w:rPr>
        <w:t>lijek</w:t>
      </w:r>
      <w:r w:rsidRPr="00F45A6E">
        <w:rPr>
          <w:b/>
          <w:bCs/>
          <w:szCs w:val="22"/>
          <w:lang w:val="sr-Latn-ME"/>
        </w:rPr>
        <w:t xml:space="preserve">a (i druga uputstva za rukovanje </w:t>
      </w:r>
      <w:r w:rsidR="005C3738" w:rsidRPr="00F45A6E">
        <w:rPr>
          <w:b/>
          <w:bCs/>
          <w:szCs w:val="22"/>
          <w:lang w:val="sr-Latn-ME"/>
        </w:rPr>
        <w:t>lijek</w:t>
      </w:r>
      <w:r w:rsidRPr="00F45A6E">
        <w:rPr>
          <w:b/>
          <w:bCs/>
          <w:szCs w:val="22"/>
          <w:lang w:val="sr-Latn-ME"/>
        </w:rPr>
        <w:t>om)</w:t>
      </w:r>
    </w:p>
    <w:p w14:paraId="413AEB2B" w14:textId="356368C0" w:rsidR="00AB0777" w:rsidRPr="00F45A6E" w:rsidRDefault="00AB0777" w:rsidP="003A690C">
      <w:pPr>
        <w:rPr>
          <w:b/>
          <w:bCs/>
          <w:szCs w:val="22"/>
          <w:lang w:val="sr-Latn-ME"/>
        </w:rPr>
      </w:pPr>
    </w:p>
    <w:p w14:paraId="15B9B340" w14:textId="72B89DD0" w:rsidR="003B21A9" w:rsidRPr="00F45A6E" w:rsidRDefault="003B21A9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 xml:space="preserve">Priprema za intravensku infuziju </w:t>
      </w:r>
    </w:p>
    <w:p w14:paraId="2F8B2362" w14:textId="77777777" w:rsidR="008F73F9" w:rsidRPr="00F45A6E" w:rsidRDefault="008F73F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50D59AF" w14:textId="2920A8F3" w:rsidR="00C25BA9" w:rsidRPr="00F45A6E" w:rsidRDefault="005C3738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szCs w:val="22"/>
          <w:lang w:val="sr-Latn-ME"/>
        </w:rPr>
        <w:t>Lijek</w:t>
      </w:r>
      <w:r w:rsidR="00D162CB" w:rsidRPr="00F45A6E">
        <w:rPr>
          <w:szCs w:val="22"/>
          <w:lang w:val="sr-Latn-ME"/>
        </w:rPr>
        <w:t xml:space="preserve"> </w:t>
      </w:r>
      <w:r w:rsidR="001D6C3F" w:rsidRPr="00F45A6E">
        <w:rPr>
          <w:szCs w:val="22"/>
          <w:lang w:val="sr-Latn-ME"/>
        </w:rPr>
        <w:t>Trabectedin STADA</w:t>
      </w:r>
      <w:r w:rsidR="00D162CB" w:rsidRPr="00F45A6E">
        <w:rPr>
          <w:szCs w:val="22"/>
          <w:lang w:val="sr-Latn-ME"/>
        </w:rPr>
        <w:t xml:space="preserve"> </w:t>
      </w:r>
      <w:r w:rsidR="003B21A9" w:rsidRPr="00F45A6E">
        <w:rPr>
          <w:szCs w:val="22"/>
          <w:lang w:val="sr-Latn-ME"/>
        </w:rPr>
        <w:t>se mora rekonstitui</w:t>
      </w:r>
      <w:r w:rsidR="00704DFA" w:rsidRPr="00F45A6E">
        <w:rPr>
          <w:szCs w:val="22"/>
          <w:lang w:val="sr-Latn-ME"/>
        </w:rPr>
        <w:t>s</w:t>
      </w:r>
      <w:r w:rsidR="003B21A9" w:rsidRPr="00F45A6E">
        <w:rPr>
          <w:szCs w:val="22"/>
          <w:lang w:val="sr-Latn-ME"/>
        </w:rPr>
        <w:t>ati i potom dodatno raz</w:t>
      </w:r>
      <w:r w:rsidR="006F3ED2" w:rsidRPr="00F45A6E">
        <w:rPr>
          <w:szCs w:val="22"/>
          <w:lang w:val="sr-Latn-ME"/>
        </w:rPr>
        <w:t>blažiti</w:t>
      </w:r>
      <w:r w:rsidR="003B21A9" w:rsidRPr="00F45A6E">
        <w:rPr>
          <w:szCs w:val="22"/>
          <w:lang w:val="sr-Latn-ME"/>
        </w:rPr>
        <w:t xml:space="preserve"> pr</w:t>
      </w:r>
      <w:r w:rsidR="005A2819" w:rsidRPr="00F45A6E">
        <w:rPr>
          <w:szCs w:val="22"/>
          <w:lang w:val="sr-Latn-ME"/>
        </w:rPr>
        <w:t>ij</w:t>
      </w:r>
      <w:r w:rsidR="003B21A9" w:rsidRPr="00F45A6E">
        <w:rPr>
          <w:szCs w:val="22"/>
          <w:lang w:val="sr-Latn-ME"/>
        </w:rPr>
        <w:t>e</w:t>
      </w:r>
      <w:r w:rsidR="00C02EEB" w:rsidRPr="00F45A6E">
        <w:rPr>
          <w:szCs w:val="22"/>
          <w:lang w:val="sr-Latn-ME"/>
        </w:rPr>
        <w:t xml:space="preserve"> </w:t>
      </w:r>
      <w:r w:rsidR="00BF4DC4" w:rsidRPr="00F45A6E">
        <w:rPr>
          <w:szCs w:val="22"/>
          <w:lang w:val="sr-Latn-ME"/>
        </w:rPr>
        <w:t>primjene</w:t>
      </w:r>
      <w:r w:rsidR="003B21A9" w:rsidRPr="00F45A6E">
        <w:rPr>
          <w:szCs w:val="22"/>
          <w:lang w:val="sr-Latn-ME"/>
        </w:rPr>
        <w:t xml:space="preserve"> intravenske infuzije. </w:t>
      </w:r>
      <w:r w:rsidR="00C25BA9" w:rsidRPr="00F45A6E">
        <w:rPr>
          <w:rFonts w:eastAsia="TimesNewRoman"/>
          <w:szCs w:val="22"/>
          <w:lang w:val="sr-Latn-ME"/>
        </w:rPr>
        <w:t xml:space="preserve">Za pripremu rastvora za infuziju moraju se </w:t>
      </w:r>
      <w:r w:rsidR="008E59DE" w:rsidRPr="00F45A6E">
        <w:rPr>
          <w:rFonts w:eastAsia="TimesNewRoman"/>
          <w:szCs w:val="22"/>
          <w:lang w:val="sr-Latn-ME"/>
        </w:rPr>
        <w:t>primijeniti</w:t>
      </w:r>
      <w:r w:rsidR="00C25BA9" w:rsidRPr="00F45A6E">
        <w:rPr>
          <w:rFonts w:eastAsia="TimesNewRoman"/>
          <w:szCs w:val="22"/>
          <w:lang w:val="sr-Latn-ME"/>
        </w:rPr>
        <w:t xml:space="preserve"> odgovarajući aseptični uslovi (</w:t>
      </w:r>
      <w:r w:rsidR="00376F1D" w:rsidRPr="00F45A6E">
        <w:rPr>
          <w:rFonts w:eastAsia="TimesNewRoman"/>
          <w:szCs w:val="22"/>
          <w:lang w:val="sr-Latn-ME"/>
        </w:rPr>
        <w:t>pogledati dio</w:t>
      </w:r>
      <w:r w:rsidR="005A2819" w:rsidRPr="00F45A6E">
        <w:rPr>
          <w:rFonts w:eastAsia="TimesNewRoman"/>
          <w:szCs w:val="22"/>
          <w:lang w:val="sr-Latn-ME"/>
        </w:rPr>
        <w:t xml:space="preserve"> </w:t>
      </w:r>
      <w:r w:rsidR="00477120" w:rsidRPr="00F45A6E">
        <w:rPr>
          <w:rFonts w:eastAsia="TimesNewRoman"/>
          <w:szCs w:val="22"/>
          <w:lang w:val="sr-Latn-ME"/>
        </w:rPr>
        <w:t xml:space="preserve">u nastavku teksta </w:t>
      </w:r>
      <w:r w:rsidR="00B65DC6" w:rsidRPr="00F45A6E">
        <w:rPr>
          <w:rFonts w:eastAsia="TimesNewRoman"/>
          <w:szCs w:val="22"/>
          <w:lang w:val="sr-Latn-ME"/>
        </w:rPr>
        <w:t>„</w:t>
      </w:r>
      <w:r w:rsidR="00477120" w:rsidRPr="00F45A6E">
        <w:rPr>
          <w:rFonts w:eastAsia="TimesNewRoman"/>
          <w:szCs w:val="22"/>
          <w:lang w:val="sr-Latn-ME"/>
        </w:rPr>
        <w:t>Uputstvo za rekonstituciju</w:t>
      </w:r>
      <w:r w:rsidR="00805530" w:rsidRPr="00F45A6E">
        <w:rPr>
          <w:rFonts w:eastAsia="TimesNewRoman"/>
          <w:szCs w:val="22"/>
          <w:lang w:val="sr-Latn-ME"/>
        </w:rPr>
        <w:t>“</w:t>
      </w:r>
      <w:r w:rsidR="00477120" w:rsidRPr="00F45A6E">
        <w:rPr>
          <w:rFonts w:eastAsia="TimesNewRoman"/>
          <w:szCs w:val="22"/>
          <w:lang w:val="sr-Latn-ME"/>
        </w:rPr>
        <w:t xml:space="preserve"> i </w:t>
      </w:r>
      <w:r w:rsidR="00805530" w:rsidRPr="00F45A6E">
        <w:rPr>
          <w:rFonts w:eastAsia="TimesNewRoman"/>
          <w:szCs w:val="22"/>
          <w:lang w:val="sr-Latn-ME"/>
        </w:rPr>
        <w:t>„</w:t>
      </w:r>
      <w:r w:rsidR="002E08B7" w:rsidRPr="00F45A6E">
        <w:rPr>
          <w:rFonts w:eastAsia="TimesNewRoman"/>
          <w:szCs w:val="22"/>
          <w:lang w:val="sr-Latn-ME"/>
        </w:rPr>
        <w:t xml:space="preserve">Uputstvo za </w:t>
      </w:r>
      <w:r w:rsidR="00477120" w:rsidRPr="00F45A6E">
        <w:rPr>
          <w:rFonts w:eastAsia="TimesNewRoman"/>
          <w:szCs w:val="22"/>
          <w:lang w:val="sr-Latn-ME"/>
        </w:rPr>
        <w:t>razb</w:t>
      </w:r>
      <w:r w:rsidR="002E08B7" w:rsidRPr="00F45A6E">
        <w:rPr>
          <w:rFonts w:eastAsia="TimesNewRoman"/>
          <w:szCs w:val="22"/>
          <w:lang w:val="sr-Latn-ME"/>
        </w:rPr>
        <w:t>l</w:t>
      </w:r>
      <w:r w:rsidR="00477120" w:rsidRPr="00F45A6E">
        <w:rPr>
          <w:rFonts w:eastAsia="TimesNewRoman"/>
          <w:szCs w:val="22"/>
          <w:lang w:val="sr-Latn-ME"/>
        </w:rPr>
        <w:t>aživanje</w:t>
      </w:r>
      <w:r w:rsidR="00B65DC6" w:rsidRPr="00F45A6E">
        <w:rPr>
          <w:rFonts w:eastAsia="TimesNewRoman"/>
          <w:szCs w:val="22"/>
          <w:lang w:val="sr-Latn-ME"/>
        </w:rPr>
        <w:t>“</w:t>
      </w:r>
      <w:r w:rsidR="00C25BA9" w:rsidRPr="00F45A6E">
        <w:rPr>
          <w:rFonts w:eastAsia="TimesNewRoman"/>
          <w:szCs w:val="22"/>
          <w:lang w:val="sr-Latn-ME"/>
        </w:rPr>
        <w:t>).</w:t>
      </w:r>
    </w:p>
    <w:p w14:paraId="64FE4D77" w14:textId="77777777" w:rsidR="00E101E2" w:rsidRPr="00F45A6E" w:rsidRDefault="00E101E2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6C79784" w14:textId="55630E36" w:rsidR="003B21A9" w:rsidRPr="00F45A6E" w:rsidRDefault="00C25BA9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Kada se prim</w:t>
      </w:r>
      <w:r w:rsidR="005A2819" w:rsidRPr="00F45A6E">
        <w:rPr>
          <w:rFonts w:eastAsia="TimesNewRoman"/>
          <w:szCs w:val="22"/>
          <w:lang w:val="sr-Latn-ME"/>
        </w:rPr>
        <w:t>j</w:t>
      </w:r>
      <w:r w:rsidRPr="00F45A6E">
        <w:rPr>
          <w:rFonts w:eastAsia="TimesNewRoman"/>
          <w:szCs w:val="22"/>
          <w:lang w:val="sr-Latn-ME"/>
        </w:rPr>
        <w:t>enjuje u kombinaciji sa PLD, intravenski kateter potrebno je dobro isprati rastvorom glukoze za infuziju od 50 mg/m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(5</w:t>
      </w:r>
      <w:r w:rsidR="00C157E6" w:rsidRPr="00F45A6E">
        <w:rPr>
          <w:rFonts w:eastAsia="TimesNewRoman"/>
          <w:szCs w:val="22"/>
          <w:lang w:val="sr-Latn-ME"/>
        </w:rPr>
        <w:t>%</w:t>
      </w:r>
      <w:r w:rsidRPr="00F45A6E">
        <w:rPr>
          <w:rFonts w:eastAsia="TimesNewRoman"/>
          <w:szCs w:val="22"/>
          <w:lang w:val="sr-Latn-ME"/>
        </w:rPr>
        <w:t xml:space="preserve">) nakon </w:t>
      </w:r>
      <w:r w:rsidR="00BF4DC4" w:rsidRPr="00F45A6E">
        <w:rPr>
          <w:rFonts w:eastAsia="TimesNewRoman"/>
          <w:szCs w:val="22"/>
          <w:lang w:val="sr-Latn-ME"/>
        </w:rPr>
        <w:t>primjene</w:t>
      </w:r>
      <w:r w:rsidRPr="00F45A6E">
        <w:rPr>
          <w:rFonts w:eastAsia="TimesNewRoman"/>
          <w:szCs w:val="22"/>
          <w:lang w:val="sr-Latn-ME"/>
        </w:rPr>
        <w:t xml:space="preserve"> PLD i pr</w:t>
      </w:r>
      <w:r w:rsidR="005A2819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 xml:space="preserve">e </w:t>
      </w:r>
      <w:r w:rsidR="00BF4DC4" w:rsidRPr="00F45A6E">
        <w:rPr>
          <w:rFonts w:eastAsia="TimesNewRoman"/>
          <w:szCs w:val="22"/>
          <w:lang w:val="sr-Latn-ME"/>
        </w:rPr>
        <w:t>primjene</w:t>
      </w:r>
      <w:r w:rsidRPr="00F45A6E">
        <w:rPr>
          <w:rFonts w:eastAsia="TimesNewRoman"/>
          <w:szCs w:val="22"/>
          <w:lang w:val="sr-Latn-ME"/>
        </w:rPr>
        <w:t xml:space="preserve"> </w:t>
      </w:r>
      <w:r w:rsidR="005C3738" w:rsidRPr="00F45A6E">
        <w:rPr>
          <w:rFonts w:eastAsia="TimesNewRoman"/>
          <w:szCs w:val="22"/>
          <w:lang w:val="sr-Latn-ME"/>
        </w:rPr>
        <w:t>lijek</w:t>
      </w:r>
      <w:r w:rsidRPr="00F45A6E">
        <w:rPr>
          <w:rFonts w:eastAsia="TimesNewRoman"/>
          <w:szCs w:val="22"/>
          <w:lang w:val="sr-Latn-ME"/>
        </w:rPr>
        <w:t xml:space="preserve">a </w:t>
      </w:r>
      <w:r w:rsidR="001D6C3F" w:rsidRPr="00F45A6E">
        <w:rPr>
          <w:rFonts w:eastAsia="TimesNewRoman"/>
          <w:szCs w:val="22"/>
          <w:lang w:val="sr-Latn-ME"/>
        </w:rPr>
        <w:t>Trabectedin STADA</w:t>
      </w:r>
      <w:r w:rsidRPr="00F45A6E">
        <w:rPr>
          <w:rFonts w:eastAsia="TimesNewRoman"/>
          <w:szCs w:val="22"/>
          <w:lang w:val="sr-Latn-ME"/>
        </w:rPr>
        <w:t>.</w:t>
      </w:r>
      <w:r w:rsidR="007059E7" w:rsidRPr="00F45A6E">
        <w:rPr>
          <w:rFonts w:eastAsia="TimesNewRoman"/>
          <w:szCs w:val="22"/>
          <w:lang w:val="sr-Latn-ME"/>
        </w:rPr>
        <w:t xml:space="preserve"> </w:t>
      </w:r>
      <w:r w:rsidR="003B21A9" w:rsidRPr="00F45A6E">
        <w:rPr>
          <w:szCs w:val="22"/>
          <w:lang w:val="sr-Latn-ME"/>
        </w:rPr>
        <w:t>Upo</w:t>
      </w:r>
      <w:r w:rsidR="00BC4B19" w:rsidRPr="00F45A6E">
        <w:rPr>
          <w:szCs w:val="22"/>
          <w:lang w:val="sr-Latn-ME"/>
        </w:rPr>
        <w:t>tre</w:t>
      </w:r>
      <w:r w:rsidR="003B21A9" w:rsidRPr="00F45A6E">
        <w:rPr>
          <w:szCs w:val="22"/>
          <w:lang w:val="sr-Latn-ME"/>
        </w:rPr>
        <w:t xml:space="preserve">ba bilo kojeg drugog sredstva za </w:t>
      </w:r>
      <w:r w:rsidR="00477120" w:rsidRPr="00F45A6E">
        <w:rPr>
          <w:szCs w:val="22"/>
          <w:lang w:val="sr-Latn-ME"/>
        </w:rPr>
        <w:t xml:space="preserve">razblaživanje </w:t>
      </w:r>
      <w:r w:rsidR="003B21A9" w:rsidRPr="00F45A6E">
        <w:rPr>
          <w:szCs w:val="22"/>
          <w:lang w:val="sr-Latn-ME"/>
        </w:rPr>
        <w:t xml:space="preserve">osim </w:t>
      </w:r>
      <w:r w:rsidR="00270AA0" w:rsidRPr="00F45A6E">
        <w:rPr>
          <w:szCs w:val="22"/>
          <w:lang w:val="sr-Latn-ME"/>
        </w:rPr>
        <w:t>rastvora</w:t>
      </w:r>
      <w:r w:rsidR="003B21A9" w:rsidRPr="00F45A6E">
        <w:rPr>
          <w:szCs w:val="22"/>
          <w:lang w:val="sr-Latn-ME"/>
        </w:rPr>
        <w:t xml:space="preserve"> glukoze za infuziju od 50 mg/m</w:t>
      </w:r>
      <w:r w:rsidR="00E101E2" w:rsidRPr="00F45A6E">
        <w:rPr>
          <w:szCs w:val="22"/>
          <w:lang w:val="sr-Latn-ME"/>
        </w:rPr>
        <w:t>l</w:t>
      </w:r>
      <w:r w:rsidR="003B21A9" w:rsidRPr="00F45A6E">
        <w:rPr>
          <w:szCs w:val="22"/>
          <w:lang w:val="sr-Latn-ME"/>
        </w:rPr>
        <w:t xml:space="preserve"> (5</w:t>
      </w:r>
      <w:r w:rsidR="00C157E6" w:rsidRPr="00F45A6E">
        <w:rPr>
          <w:szCs w:val="22"/>
          <w:lang w:val="sr-Latn-ME"/>
        </w:rPr>
        <w:t>%</w:t>
      </w:r>
      <w:r w:rsidR="003B21A9" w:rsidRPr="00F45A6E">
        <w:rPr>
          <w:szCs w:val="22"/>
          <w:lang w:val="sr-Latn-ME"/>
        </w:rPr>
        <w:t>) za ispiranje katetera mo</w:t>
      </w:r>
      <w:r w:rsidR="00270AA0" w:rsidRPr="00F45A6E">
        <w:rPr>
          <w:szCs w:val="22"/>
          <w:lang w:val="sr-Latn-ME"/>
        </w:rPr>
        <w:t>ž</w:t>
      </w:r>
      <w:r w:rsidR="003B21A9" w:rsidRPr="00F45A6E">
        <w:rPr>
          <w:szCs w:val="22"/>
          <w:lang w:val="sr-Latn-ME"/>
        </w:rPr>
        <w:t>e prouzr</w:t>
      </w:r>
      <w:r w:rsidR="00270AA0" w:rsidRPr="00F45A6E">
        <w:rPr>
          <w:szCs w:val="22"/>
          <w:lang w:val="sr-Latn-ME"/>
        </w:rPr>
        <w:t>okovati</w:t>
      </w:r>
      <w:r w:rsidR="003B21A9" w:rsidRPr="00F45A6E">
        <w:rPr>
          <w:szCs w:val="22"/>
          <w:lang w:val="sr-Latn-ME"/>
        </w:rPr>
        <w:t xml:space="preserve"> talo</w:t>
      </w:r>
      <w:r w:rsidR="00270AA0" w:rsidRPr="00F45A6E">
        <w:rPr>
          <w:szCs w:val="22"/>
          <w:lang w:val="sr-Latn-ME"/>
        </w:rPr>
        <w:t>ž</w:t>
      </w:r>
      <w:r w:rsidR="003B21A9" w:rsidRPr="00F45A6E">
        <w:rPr>
          <w:szCs w:val="22"/>
          <w:lang w:val="sr-Latn-ME"/>
        </w:rPr>
        <w:t>enje PLD (</w:t>
      </w:r>
      <w:r w:rsidR="005A2819" w:rsidRPr="00F45A6E">
        <w:rPr>
          <w:szCs w:val="22"/>
          <w:lang w:val="sr-Latn-ME"/>
        </w:rPr>
        <w:t>pogledat</w:t>
      </w:r>
      <w:r w:rsidR="003B21A9" w:rsidRPr="00F45A6E">
        <w:rPr>
          <w:szCs w:val="22"/>
          <w:lang w:val="sr-Latn-ME"/>
        </w:rPr>
        <w:t>i tako</w:t>
      </w:r>
      <w:r w:rsidR="00270AA0" w:rsidRPr="00F45A6E">
        <w:rPr>
          <w:szCs w:val="22"/>
          <w:lang w:val="sr-Latn-ME"/>
        </w:rPr>
        <w:t>đ</w:t>
      </w:r>
      <w:r w:rsidR="003B21A9" w:rsidRPr="00F45A6E">
        <w:rPr>
          <w:szCs w:val="22"/>
          <w:lang w:val="sr-Latn-ME"/>
        </w:rPr>
        <w:t xml:space="preserve">e </w:t>
      </w:r>
      <w:r w:rsidR="005A2819" w:rsidRPr="00F45A6E">
        <w:rPr>
          <w:szCs w:val="22"/>
          <w:lang w:val="sr-Latn-ME"/>
        </w:rPr>
        <w:t xml:space="preserve">dio </w:t>
      </w:r>
      <w:r w:rsidR="003B21A9" w:rsidRPr="00F45A6E">
        <w:rPr>
          <w:szCs w:val="22"/>
          <w:lang w:val="sr-Latn-ME"/>
        </w:rPr>
        <w:t xml:space="preserve">4.2. </w:t>
      </w:r>
      <w:r w:rsidR="00270AA0" w:rsidRPr="00F45A6E">
        <w:rPr>
          <w:szCs w:val="22"/>
          <w:lang w:val="sr-Latn-ME"/>
        </w:rPr>
        <w:t>i</w:t>
      </w:r>
      <w:r w:rsidR="003B21A9" w:rsidRPr="00F45A6E">
        <w:rPr>
          <w:szCs w:val="22"/>
          <w:lang w:val="sr-Latn-ME"/>
        </w:rPr>
        <w:t xml:space="preserve"> </w:t>
      </w:r>
      <w:r w:rsidR="00270AA0" w:rsidRPr="00F45A6E">
        <w:rPr>
          <w:szCs w:val="22"/>
          <w:lang w:val="sr-Latn-ME"/>
        </w:rPr>
        <w:t>S</w:t>
      </w:r>
      <w:r w:rsidR="003B21A9" w:rsidRPr="00F45A6E">
        <w:rPr>
          <w:szCs w:val="22"/>
          <w:lang w:val="sr-Latn-ME"/>
        </w:rPr>
        <w:t>a</w:t>
      </w:r>
      <w:r w:rsidR="00270AA0" w:rsidRPr="00F45A6E">
        <w:rPr>
          <w:szCs w:val="22"/>
          <w:lang w:val="sr-Latn-ME"/>
        </w:rPr>
        <w:t>ž</w:t>
      </w:r>
      <w:r w:rsidR="003B21A9" w:rsidRPr="00F45A6E">
        <w:rPr>
          <w:szCs w:val="22"/>
          <w:lang w:val="sr-Latn-ME"/>
        </w:rPr>
        <w:t xml:space="preserve">etak </w:t>
      </w:r>
      <w:r w:rsidR="00270AA0" w:rsidRPr="00F45A6E">
        <w:rPr>
          <w:szCs w:val="22"/>
          <w:lang w:val="sr-Latn-ME"/>
        </w:rPr>
        <w:t xml:space="preserve">karakteristika </w:t>
      </w:r>
      <w:r w:rsidR="005C3738" w:rsidRPr="00F45A6E">
        <w:rPr>
          <w:szCs w:val="22"/>
          <w:lang w:val="sr-Latn-ME"/>
        </w:rPr>
        <w:t>lijek</w:t>
      </w:r>
      <w:r w:rsidR="003B21A9" w:rsidRPr="00F45A6E">
        <w:rPr>
          <w:szCs w:val="22"/>
          <w:lang w:val="sr-Latn-ME"/>
        </w:rPr>
        <w:t xml:space="preserve">a za PLD za specifične informacije o rukovanju). </w:t>
      </w:r>
    </w:p>
    <w:p w14:paraId="0B48EFE2" w14:textId="77777777" w:rsidR="00D6400B" w:rsidRPr="00F45A6E" w:rsidRDefault="00D6400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20C8C3A" w14:textId="676CD16F" w:rsidR="003B21A9" w:rsidRPr="00F45A6E" w:rsidRDefault="003B21A9" w:rsidP="003A690C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t>Uput</w:t>
      </w:r>
      <w:r w:rsidR="0075295C" w:rsidRPr="00F45A6E">
        <w:rPr>
          <w:i/>
          <w:iCs/>
          <w:sz w:val="22"/>
          <w:szCs w:val="22"/>
          <w:lang w:val="sr-Latn-ME"/>
        </w:rPr>
        <w:t>stvo</w:t>
      </w:r>
      <w:r w:rsidRPr="00F45A6E">
        <w:rPr>
          <w:i/>
          <w:iCs/>
          <w:sz w:val="22"/>
          <w:szCs w:val="22"/>
          <w:lang w:val="sr-Latn-ME"/>
        </w:rPr>
        <w:t xml:space="preserve"> za rekonstituciju </w:t>
      </w:r>
    </w:p>
    <w:p w14:paraId="32849801" w14:textId="77777777" w:rsidR="008F73F9" w:rsidRPr="00F45A6E" w:rsidRDefault="008F73F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34DFB278" w14:textId="5425171E" w:rsidR="00606C26" w:rsidRPr="00F45A6E" w:rsidRDefault="001D6C3F" w:rsidP="003A690C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Trabectedin STADA</w:t>
      </w:r>
      <w:r w:rsidR="00214AA9" w:rsidRPr="00F45A6E">
        <w:rPr>
          <w:b/>
          <w:bCs/>
          <w:szCs w:val="22"/>
          <w:lang w:val="sr-Latn-ME"/>
        </w:rPr>
        <w:t>,</w:t>
      </w:r>
      <w:r w:rsidR="00606C26" w:rsidRPr="00F45A6E">
        <w:rPr>
          <w:b/>
          <w:bCs/>
          <w:szCs w:val="22"/>
          <w:lang w:val="sr-Latn-ME"/>
        </w:rPr>
        <w:t xml:space="preserve"> 0</w:t>
      </w:r>
      <w:r w:rsidR="00E101E2" w:rsidRPr="00F45A6E">
        <w:rPr>
          <w:b/>
          <w:bCs/>
          <w:szCs w:val="22"/>
          <w:lang w:val="sr-Latn-ME"/>
        </w:rPr>
        <w:t>,</w:t>
      </w:r>
      <w:r w:rsidR="00606C26" w:rsidRPr="00F45A6E">
        <w:rPr>
          <w:b/>
          <w:bCs/>
          <w:szCs w:val="22"/>
          <w:lang w:val="sr-Latn-ME"/>
        </w:rPr>
        <w:t>25 mg</w:t>
      </w:r>
      <w:r w:rsidR="00214AA9" w:rsidRPr="00F45A6E">
        <w:rPr>
          <w:b/>
          <w:bCs/>
          <w:szCs w:val="22"/>
          <w:lang w:val="sr-Latn-ME"/>
        </w:rPr>
        <w:t>, prašak za koncentrat za rastvor za infuziju</w:t>
      </w:r>
    </w:p>
    <w:p w14:paraId="00D638AE" w14:textId="1C36F04E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Jedna bočica koja sadrži 0</w:t>
      </w:r>
      <w:r w:rsidR="00E101E2" w:rsidRPr="00F45A6E">
        <w:rPr>
          <w:rFonts w:eastAsia="TimesNewRoman"/>
          <w:szCs w:val="22"/>
          <w:lang w:val="sr-Latn-ME"/>
        </w:rPr>
        <w:t>,</w:t>
      </w:r>
      <w:r w:rsidRPr="00F45A6E">
        <w:rPr>
          <w:rFonts w:eastAsia="TimesNewRoman"/>
          <w:szCs w:val="22"/>
          <w:lang w:val="sr-Latn-ME"/>
        </w:rPr>
        <w:t>25 mg trabektedina rekonstituiše se sa 5 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vode za injekcije. Dobijeni rastvor ima koncentraciju 0</w:t>
      </w:r>
      <w:r w:rsidR="00EB3B44" w:rsidRPr="00F45A6E">
        <w:rPr>
          <w:rFonts w:eastAsia="TimesNewRoman"/>
          <w:szCs w:val="22"/>
          <w:lang w:val="sr-Latn-ME"/>
        </w:rPr>
        <w:t>,</w:t>
      </w:r>
      <w:r w:rsidRPr="00F45A6E">
        <w:rPr>
          <w:rFonts w:eastAsia="TimesNewRoman"/>
          <w:szCs w:val="22"/>
          <w:lang w:val="sr-Latn-ME"/>
        </w:rPr>
        <w:t>05 mg/m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i nam</w:t>
      </w:r>
      <w:r w:rsidR="00F45A6E">
        <w:rPr>
          <w:rFonts w:eastAsia="TimesNewRoman"/>
          <w:szCs w:val="22"/>
          <w:lang w:val="sr-Latn-ME"/>
        </w:rPr>
        <w:t>i</w:t>
      </w:r>
      <w:r w:rsidR="00262EF0" w:rsidRPr="00F45A6E">
        <w:rPr>
          <w:rFonts w:eastAsia="TimesNewRoman"/>
          <w:szCs w:val="22"/>
          <w:lang w:val="sr-Latn-ME"/>
        </w:rPr>
        <w:t>j</w:t>
      </w:r>
      <w:r w:rsidRPr="00F45A6E">
        <w:rPr>
          <w:rFonts w:eastAsia="TimesNewRoman"/>
          <w:szCs w:val="22"/>
          <w:lang w:val="sr-Latn-ME"/>
        </w:rPr>
        <w:t xml:space="preserve">enjen je </w:t>
      </w:r>
      <w:r w:rsidR="00E101E2" w:rsidRPr="00F45A6E">
        <w:rPr>
          <w:rFonts w:eastAsia="TimesNewRoman"/>
          <w:szCs w:val="22"/>
          <w:lang w:val="sr-Latn-ME"/>
        </w:rPr>
        <w:t>isključivo</w:t>
      </w:r>
      <w:r w:rsidRPr="00F45A6E">
        <w:rPr>
          <w:rFonts w:eastAsia="TimesNewRoman"/>
          <w:szCs w:val="22"/>
          <w:lang w:val="sr-Latn-ME"/>
        </w:rPr>
        <w:t xml:space="preserve"> za jednokratnu upotrebu.</w:t>
      </w:r>
    </w:p>
    <w:p w14:paraId="024AD2D5" w14:textId="77777777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9651D06" w14:textId="7DD96029" w:rsidR="00606C26" w:rsidRPr="00F45A6E" w:rsidRDefault="00E101E2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Za dodavanje 5 ml sterilne vode za injekcije u bočicu koristi se š</w:t>
      </w:r>
      <w:r w:rsidR="00606C26" w:rsidRPr="00F45A6E">
        <w:rPr>
          <w:rFonts w:eastAsia="TimesNewRoman"/>
          <w:szCs w:val="22"/>
          <w:lang w:val="sr-Latn-ME"/>
        </w:rPr>
        <w:t xml:space="preserve">pric. Bočica se mora protresti dok se sadržaj potpuno ne rastvori. Rekonstituisani rastvor je bistar, bezbojan ili slabo žućkast i </w:t>
      </w:r>
      <w:r w:rsidRPr="00F45A6E">
        <w:rPr>
          <w:rFonts w:eastAsia="TimesNewRoman"/>
          <w:szCs w:val="22"/>
          <w:lang w:val="sr-Latn-ME"/>
        </w:rPr>
        <w:t xml:space="preserve">praktično </w:t>
      </w:r>
      <w:r w:rsidR="00606C26" w:rsidRPr="00F45A6E">
        <w:rPr>
          <w:rFonts w:eastAsia="TimesNewRoman"/>
          <w:szCs w:val="22"/>
          <w:lang w:val="sr-Latn-ME"/>
        </w:rPr>
        <w:t>bez vidljivih čestica.</w:t>
      </w:r>
    </w:p>
    <w:p w14:paraId="518EAC02" w14:textId="77777777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35BF65B" w14:textId="7FC30BB8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Ovaj rekonstituisani rastvor sadrži 0</w:t>
      </w:r>
      <w:r w:rsidR="00E101E2" w:rsidRPr="00F45A6E">
        <w:rPr>
          <w:rFonts w:eastAsia="TimesNewRoman"/>
          <w:szCs w:val="22"/>
          <w:lang w:val="sr-Latn-ME"/>
        </w:rPr>
        <w:t>,</w:t>
      </w:r>
      <w:r w:rsidRPr="00F45A6E">
        <w:rPr>
          <w:rFonts w:eastAsia="TimesNewRoman"/>
          <w:szCs w:val="22"/>
          <w:lang w:val="sr-Latn-ME"/>
        </w:rPr>
        <w:t>05 mg/m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trabektedina. Rastvor je potrebno dalje razblažiti i nam</w:t>
      </w:r>
      <w:r w:rsidR="00F45A6E">
        <w:rPr>
          <w:rFonts w:eastAsia="TimesNewRoman"/>
          <w:szCs w:val="22"/>
          <w:lang w:val="sr-Latn-ME"/>
        </w:rPr>
        <w:t>i</w:t>
      </w:r>
      <w:r w:rsidR="00262EF0" w:rsidRPr="00F45A6E">
        <w:rPr>
          <w:rFonts w:eastAsia="TimesNewRoman"/>
          <w:szCs w:val="22"/>
          <w:lang w:val="sr-Latn-ME"/>
        </w:rPr>
        <w:t>j</w:t>
      </w:r>
      <w:r w:rsidRPr="00F45A6E">
        <w:rPr>
          <w:rFonts w:eastAsia="TimesNewRoman"/>
          <w:szCs w:val="22"/>
          <w:lang w:val="sr-Latn-ME"/>
        </w:rPr>
        <w:t xml:space="preserve">enjen je </w:t>
      </w:r>
      <w:r w:rsidR="00E101E2" w:rsidRPr="00F45A6E">
        <w:rPr>
          <w:rFonts w:eastAsia="TimesNewRoman"/>
          <w:szCs w:val="22"/>
          <w:lang w:val="sr-Latn-ME"/>
        </w:rPr>
        <w:t xml:space="preserve">isključivo </w:t>
      </w:r>
      <w:r w:rsidRPr="00F45A6E">
        <w:rPr>
          <w:rFonts w:eastAsia="TimesNewRoman"/>
          <w:szCs w:val="22"/>
          <w:lang w:val="sr-Latn-ME"/>
        </w:rPr>
        <w:t>za jednokratnu upotrebu.</w:t>
      </w:r>
    </w:p>
    <w:p w14:paraId="331AD1DB" w14:textId="77777777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A06FCB1" w14:textId="4D07862F" w:rsidR="00606C26" w:rsidRPr="00F45A6E" w:rsidRDefault="001D6C3F" w:rsidP="003A690C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>Trabectedin STADA</w:t>
      </w:r>
      <w:r w:rsidR="00214AA9" w:rsidRPr="00F45A6E">
        <w:rPr>
          <w:b/>
          <w:bCs/>
          <w:szCs w:val="22"/>
          <w:lang w:val="sr-Latn-ME"/>
        </w:rPr>
        <w:t>,</w:t>
      </w:r>
      <w:r w:rsidR="00606C26" w:rsidRPr="00F45A6E">
        <w:rPr>
          <w:b/>
          <w:bCs/>
          <w:szCs w:val="22"/>
          <w:lang w:val="sr-Latn-ME"/>
        </w:rPr>
        <w:t xml:space="preserve"> 1 mg</w:t>
      </w:r>
      <w:r w:rsidR="00214AA9" w:rsidRPr="00F45A6E">
        <w:rPr>
          <w:b/>
          <w:bCs/>
          <w:szCs w:val="22"/>
          <w:lang w:val="sr-Latn-ME"/>
        </w:rPr>
        <w:t>, prašak za koncentrat za rastvor za infuziju</w:t>
      </w:r>
    </w:p>
    <w:p w14:paraId="7A7E85E3" w14:textId="713CBA61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Jedna bočica koja sadrži 1 mg trabektedina rekonstituiše se sa 20 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vode za injekcije. Dobijeni rastvor ima</w:t>
      </w:r>
      <w:r w:rsidR="002C12E2" w:rsidRPr="00F45A6E">
        <w:rPr>
          <w:rFonts w:eastAsia="TimesNewRoman"/>
          <w:szCs w:val="22"/>
          <w:lang w:val="sr-Latn-ME"/>
        </w:rPr>
        <w:t xml:space="preserve"> </w:t>
      </w:r>
      <w:r w:rsidRPr="00F45A6E">
        <w:rPr>
          <w:rFonts w:eastAsia="TimesNewRoman"/>
          <w:szCs w:val="22"/>
          <w:lang w:val="sr-Latn-ME"/>
        </w:rPr>
        <w:t>koncentraciju 0</w:t>
      </w:r>
      <w:r w:rsidR="00E101E2" w:rsidRPr="00F45A6E">
        <w:rPr>
          <w:rFonts w:eastAsia="TimesNewRoman"/>
          <w:szCs w:val="22"/>
          <w:lang w:val="sr-Latn-ME"/>
        </w:rPr>
        <w:t>,</w:t>
      </w:r>
      <w:r w:rsidRPr="00F45A6E">
        <w:rPr>
          <w:rFonts w:eastAsia="TimesNewRoman"/>
          <w:szCs w:val="22"/>
          <w:lang w:val="sr-Latn-ME"/>
        </w:rPr>
        <w:t>05 mg/m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i nam</w:t>
      </w:r>
      <w:r w:rsidR="00262EF0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 xml:space="preserve">enjen je </w:t>
      </w:r>
      <w:r w:rsidR="00E101E2" w:rsidRPr="00F45A6E">
        <w:rPr>
          <w:rFonts w:eastAsia="TimesNewRoman"/>
          <w:szCs w:val="22"/>
          <w:lang w:val="sr-Latn-ME"/>
        </w:rPr>
        <w:t>isključivo</w:t>
      </w:r>
      <w:r w:rsidRPr="00F45A6E">
        <w:rPr>
          <w:rFonts w:eastAsia="TimesNewRoman"/>
          <w:szCs w:val="22"/>
          <w:lang w:val="sr-Latn-ME"/>
        </w:rPr>
        <w:t xml:space="preserve"> za jednokratnu upotrebu.</w:t>
      </w:r>
    </w:p>
    <w:p w14:paraId="42C44251" w14:textId="77777777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635F15A" w14:textId="41C72063" w:rsidR="00606C26" w:rsidRPr="00F45A6E" w:rsidRDefault="00E101E2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 xml:space="preserve">Za dodavanje 20 ml sterilne vode za injekcije u bočicu koristi se špric. </w:t>
      </w:r>
      <w:r w:rsidR="00606C26" w:rsidRPr="00F45A6E">
        <w:rPr>
          <w:rFonts w:eastAsia="TimesNewRoman"/>
          <w:szCs w:val="22"/>
          <w:lang w:val="sr-Latn-ME"/>
        </w:rPr>
        <w:t>Bočica se mora</w:t>
      </w:r>
      <w:r w:rsidR="002C12E2" w:rsidRPr="00F45A6E">
        <w:rPr>
          <w:rFonts w:eastAsia="TimesNewRoman"/>
          <w:szCs w:val="22"/>
          <w:lang w:val="sr-Latn-ME"/>
        </w:rPr>
        <w:t xml:space="preserve"> </w:t>
      </w:r>
      <w:r w:rsidR="00606C26" w:rsidRPr="00F45A6E">
        <w:rPr>
          <w:rFonts w:eastAsia="TimesNewRoman"/>
          <w:szCs w:val="22"/>
          <w:lang w:val="sr-Latn-ME"/>
        </w:rPr>
        <w:t xml:space="preserve">protresti dok se sadržaj potpuno ne rastvori. Rekonstituisani rastvor je bistar, bezbojan ili slabo žućkast i </w:t>
      </w:r>
      <w:r w:rsidRPr="00F45A6E">
        <w:rPr>
          <w:rFonts w:eastAsia="TimesNewRoman"/>
          <w:szCs w:val="22"/>
          <w:lang w:val="sr-Latn-ME"/>
        </w:rPr>
        <w:t xml:space="preserve">praktično </w:t>
      </w:r>
      <w:r w:rsidR="00606C26" w:rsidRPr="00F45A6E">
        <w:rPr>
          <w:rFonts w:eastAsia="TimesNewRoman"/>
          <w:szCs w:val="22"/>
          <w:lang w:val="sr-Latn-ME"/>
        </w:rPr>
        <w:t>bez</w:t>
      </w:r>
      <w:r w:rsidR="002C12E2" w:rsidRPr="00F45A6E">
        <w:rPr>
          <w:rFonts w:eastAsia="TimesNewRoman"/>
          <w:szCs w:val="22"/>
          <w:lang w:val="sr-Latn-ME"/>
        </w:rPr>
        <w:t xml:space="preserve"> </w:t>
      </w:r>
      <w:r w:rsidR="00606C26" w:rsidRPr="00F45A6E">
        <w:rPr>
          <w:rFonts w:eastAsia="TimesNewRoman"/>
          <w:szCs w:val="22"/>
          <w:lang w:val="sr-Latn-ME"/>
        </w:rPr>
        <w:t>vidljivih čestica.</w:t>
      </w:r>
    </w:p>
    <w:p w14:paraId="377F3DE5" w14:textId="77777777" w:rsidR="00606C26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687EC91" w14:textId="5E972414" w:rsidR="00391243" w:rsidRPr="00F45A6E" w:rsidRDefault="00606C26" w:rsidP="003A690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F45A6E">
        <w:rPr>
          <w:rFonts w:eastAsia="TimesNewRoman"/>
          <w:szCs w:val="22"/>
          <w:lang w:val="sr-Latn-ME"/>
        </w:rPr>
        <w:t>Ovaj rekonstituisani rastvor sadrži 0</w:t>
      </w:r>
      <w:r w:rsidR="00E101E2" w:rsidRPr="00F45A6E">
        <w:rPr>
          <w:rFonts w:eastAsia="TimesNewRoman"/>
          <w:szCs w:val="22"/>
          <w:lang w:val="sr-Latn-ME"/>
        </w:rPr>
        <w:t>,</w:t>
      </w:r>
      <w:r w:rsidRPr="00F45A6E">
        <w:rPr>
          <w:rFonts w:eastAsia="TimesNewRoman"/>
          <w:szCs w:val="22"/>
          <w:lang w:val="sr-Latn-ME"/>
        </w:rPr>
        <w:t>05 mg/m</w:t>
      </w:r>
      <w:r w:rsidR="00E101E2" w:rsidRPr="00F45A6E">
        <w:rPr>
          <w:rFonts w:eastAsia="TimesNewRoman"/>
          <w:szCs w:val="22"/>
          <w:lang w:val="sr-Latn-ME"/>
        </w:rPr>
        <w:t>l</w:t>
      </w:r>
      <w:r w:rsidRPr="00F45A6E">
        <w:rPr>
          <w:rFonts w:eastAsia="TimesNewRoman"/>
          <w:szCs w:val="22"/>
          <w:lang w:val="sr-Latn-ME"/>
        </w:rPr>
        <w:t xml:space="preserve"> trabektedina. Rastvor je potrebno dalje razblažiti i nam</w:t>
      </w:r>
      <w:r w:rsidR="0053757E" w:rsidRPr="00F45A6E">
        <w:rPr>
          <w:rFonts w:eastAsia="TimesNewRoman"/>
          <w:szCs w:val="22"/>
          <w:lang w:val="sr-Latn-ME"/>
        </w:rPr>
        <w:t>ij</w:t>
      </w:r>
      <w:r w:rsidRPr="00F45A6E">
        <w:rPr>
          <w:rFonts w:eastAsia="TimesNewRoman"/>
          <w:szCs w:val="22"/>
          <w:lang w:val="sr-Latn-ME"/>
        </w:rPr>
        <w:t xml:space="preserve">enjen je </w:t>
      </w:r>
      <w:r w:rsidR="00721CDB" w:rsidRPr="00F45A6E">
        <w:rPr>
          <w:rFonts w:eastAsia="TimesNewRoman"/>
          <w:szCs w:val="22"/>
          <w:lang w:val="sr-Latn-ME"/>
        </w:rPr>
        <w:t>isključivo</w:t>
      </w:r>
      <w:r w:rsidRPr="00F45A6E">
        <w:rPr>
          <w:rFonts w:eastAsia="TimesNewRoman"/>
          <w:szCs w:val="22"/>
          <w:lang w:val="sr-Latn-ME"/>
        </w:rPr>
        <w:t xml:space="preserve"> za jednokratnu upotrebu.</w:t>
      </w:r>
    </w:p>
    <w:p w14:paraId="0143CF44" w14:textId="027A1D58" w:rsidR="00606C26" w:rsidRPr="00F45A6E" w:rsidRDefault="00606C26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1C47D4F" w14:textId="588028B0" w:rsidR="00721CDB" w:rsidRPr="00F45A6E" w:rsidRDefault="00721CD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B0D2B4C" w14:textId="77777777" w:rsidR="00721CDB" w:rsidRPr="00F45A6E" w:rsidRDefault="00721CD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7D52BE0C" w14:textId="0D644EDE" w:rsidR="003B21A9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i/>
          <w:iCs/>
          <w:sz w:val="22"/>
          <w:szCs w:val="22"/>
          <w:lang w:val="sr-Latn-ME"/>
        </w:rPr>
        <w:lastRenderedPageBreak/>
        <w:t>Uput</w:t>
      </w:r>
      <w:r w:rsidR="00A22B08" w:rsidRPr="00F45A6E">
        <w:rPr>
          <w:i/>
          <w:iCs/>
          <w:sz w:val="22"/>
          <w:szCs w:val="22"/>
          <w:lang w:val="sr-Latn-ME"/>
        </w:rPr>
        <w:t>stvo</w:t>
      </w:r>
      <w:r w:rsidRPr="00F45A6E">
        <w:rPr>
          <w:i/>
          <w:iCs/>
          <w:sz w:val="22"/>
          <w:szCs w:val="22"/>
          <w:lang w:val="sr-Latn-ME"/>
        </w:rPr>
        <w:t xml:space="preserve"> za raz</w:t>
      </w:r>
      <w:r w:rsidR="004E788F" w:rsidRPr="00F45A6E">
        <w:rPr>
          <w:i/>
          <w:iCs/>
          <w:sz w:val="22"/>
          <w:szCs w:val="22"/>
          <w:lang w:val="sr-Latn-ME"/>
        </w:rPr>
        <w:t>blaživanje</w:t>
      </w:r>
    </w:p>
    <w:p w14:paraId="3E3716D5" w14:textId="77777777" w:rsidR="00721CDB" w:rsidRPr="00F45A6E" w:rsidRDefault="00721CD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6A51BD0E" w14:textId="278A8E11" w:rsidR="003B21A9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Rekonstitui</w:t>
      </w:r>
      <w:r w:rsidR="00A22B08" w:rsidRPr="00F45A6E">
        <w:rPr>
          <w:sz w:val="22"/>
          <w:szCs w:val="22"/>
          <w:lang w:val="sr-Latn-ME"/>
        </w:rPr>
        <w:t>san rastvor</w:t>
      </w:r>
      <w:r w:rsidRPr="00F45A6E">
        <w:rPr>
          <w:sz w:val="22"/>
          <w:szCs w:val="22"/>
          <w:lang w:val="sr-Latn-ME"/>
        </w:rPr>
        <w:t xml:space="preserve"> treba raz</w:t>
      </w:r>
      <w:r w:rsidR="004E788F" w:rsidRPr="00F45A6E">
        <w:rPr>
          <w:sz w:val="22"/>
          <w:szCs w:val="22"/>
          <w:lang w:val="sr-Latn-ME"/>
        </w:rPr>
        <w:t>blažiti</w:t>
      </w:r>
      <w:r w:rsidRPr="00F45A6E">
        <w:rPr>
          <w:sz w:val="22"/>
          <w:szCs w:val="22"/>
          <w:lang w:val="sr-Latn-ME"/>
        </w:rPr>
        <w:t xml:space="preserve"> </w:t>
      </w:r>
      <w:r w:rsidR="00A22B08" w:rsidRPr="00F45A6E">
        <w:rPr>
          <w:sz w:val="22"/>
          <w:szCs w:val="22"/>
          <w:lang w:val="sr-Latn-ME"/>
        </w:rPr>
        <w:t xml:space="preserve">sa </w:t>
      </w:r>
      <w:r w:rsidRPr="00F45A6E">
        <w:rPr>
          <w:sz w:val="22"/>
          <w:szCs w:val="22"/>
          <w:lang w:val="sr-Latn-ME"/>
        </w:rPr>
        <w:t>9 mg/m</w:t>
      </w:r>
      <w:r w:rsidR="00721CDB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 (0,9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 </w:t>
      </w:r>
      <w:r w:rsidR="00A22B08" w:rsidRPr="00F45A6E">
        <w:rPr>
          <w:sz w:val="22"/>
          <w:szCs w:val="22"/>
          <w:lang w:val="sr-Latn-ME"/>
        </w:rPr>
        <w:t>rastvor</w:t>
      </w:r>
      <w:r w:rsidR="00721CDB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natrij</w:t>
      </w:r>
      <w:r w:rsidR="00A22B08" w:rsidRPr="00F45A6E">
        <w:rPr>
          <w:sz w:val="22"/>
          <w:szCs w:val="22"/>
          <w:lang w:val="sr-Latn-ME"/>
        </w:rPr>
        <w:t>um</w:t>
      </w:r>
      <w:r w:rsidR="00721CDB" w:rsidRPr="00F45A6E">
        <w:rPr>
          <w:sz w:val="22"/>
          <w:szCs w:val="22"/>
          <w:lang w:val="sr-Latn-ME"/>
        </w:rPr>
        <w:t xml:space="preserve"> </w:t>
      </w:r>
      <w:r w:rsidR="00A22B08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lorida za infuziju ili 50 mg/m</w:t>
      </w:r>
      <w:r w:rsidR="00721CDB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 (5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 </w:t>
      </w:r>
      <w:r w:rsidR="00367142" w:rsidRPr="00F45A6E">
        <w:rPr>
          <w:sz w:val="22"/>
          <w:szCs w:val="22"/>
          <w:lang w:val="sr-Latn-ME"/>
        </w:rPr>
        <w:t>rastvor</w:t>
      </w:r>
      <w:r w:rsidR="00721CDB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glukoze za infuziju. Potrebni volumen treba računati na sl</w:t>
      </w:r>
      <w:r w:rsidR="0053757E" w:rsidRP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 xml:space="preserve">edeći način: </w:t>
      </w:r>
    </w:p>
    <w:p w14:paraId="08400790" w14:textId="77777777" w:rsidR="005557D5" w:rsidRPr="00F45A6E" w:rsidRDefault="005557D5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5620C24C" w14:textId="7E0DF501" w:rsidR="005557D5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Volumen (m</w:t>
      </w:r>
      <w:r w:rsidR="00721CDB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>) = BSA (m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>) x individualna doza (mg/m</w:t>
      </w:r>
      <w:r w:rsidRPr="00F45A6E">
        <w:rPr>
          <w:sz w:val="22"/>
          <w:szCs w:val="22"/>
          <w:vertAlign w:val="superscript"/>
          <w:lang w:val="sr-Latn-ME"/>
        </w:rPr>
        <w:t>2</w:t>
      </w:r>
      <w:r w:rsidRPr="00F45A6E">
        <w:rPr>
          <w:sz w:val="22"/>
          <w:szCs w:val="22"/>
          <w:lang w:val="sr-Latn-ME"/>
        </w:rPr>
        <w:t xml:space="preserve">) </w:t>
      </w:r>
      <w:r w:rsidR="005557D5" w:rsidRPr="00F45A6E">
        <w:rPr>
          <w:sz w:val="22"/>
          <w:szCs w:val="22"/>
          <w:lang w:val="sr-Latn-ME"/>
        </w:rPr>
        <w:t xml:space="preserve">/ </w:t>
      </w:r>
      <w:r w:rsidRPr="00F45A6E">
        <w:rPr>
          <w:sz w:val="22"/>
          <w:szCs w:val="22"/>
          <w:lang w:val="sr-Latn-ME"/>
        </w:rPr>
        <w:t>0</w:t>
      </w:r>
      <w:r w:rsidR="00721CDB" w:rsidRPr="00F45A6E">
        <w:rPr>
          <w:sz w:val="22"/>
          <w:szCs w:val="22"/>
          <w:lang w:val="sr-Latn-ME"/>
        </w:rPr>
        <w:t>,</w:t>
      </w:r>
      <w:r w:rsidRPr="00F45A6E">
        <w:rPr>
          <w:sz w:val="22"/>
          <w:szCs w:val="22"/>
          <w:lang w:val="sr-Latn-ME"/>
        </w:rPr>
        <w:t>05 mg/m</w:t>
      </w:r>
      <w:r w:rsidR="00721CDB" w:rsidRPr="00F45A6E">
        <w:rPr>
          <w:sz w:val="22"/>
          <w:szCs w:val="22"/>
          <w:lang w:val="sr-Latn-ME"/>
        </w:rPr>
        <w:t>l</w:t>
      </w:r>
    </w:p>
    <w:p w14:paraId="01067952" w14:textId="203CC365" w:rsidR="003B21A9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 </w:t>
      </w:r>
    </w:p>
    <w:p w14:paraId="7068EE37" w14:textId="1CC8C30D" w:rsidR="003B21A9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BSA = površina tela (engl. </w:t>
      </w:r>
      <w:r w:rsidRPr="00F45A6E">
        <w:rPr>
          <w:i/>
          <w:iCs/>
          <w:sz w:val="22"/>
          <w:szCs w:val="22"/>
          <w:lang w:val="sr-Latn-ME"/>
        </w:rPr>
        <w:t>Body Surface Area</w:t>
      </w:r>
      <w:r w:rsidRPr="00F45A6E">
        <w:rPr>
          <w:sz w:val="22"/>
          <w:szCs w:val="22"/>
          <w:lang w:val="sr-Latn-ME"/>
        </w:rPr>
        <w:t xml:space="preserve">) </w:t>
      </w:r>
    </w:p>
    <w:p w14:paraId="2DF00B01" w14:textId="77777777" w:rsidR="00083D49" w:rsidRPr="00F45A6E" w:rsidRDefault="00083D49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487B35D" w14:textId="4916D5E8" w:rsidR="003B21A9" w:rsidRPr="00F45A6E" w:rsidRDefault="003B21A9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Ako se </w:t>
      </w:r>
      <w:r w:rsidR="008E59DE" w:rsidRPr="00F45A6E">
        <w:rPr>
          <w:sz w:val="22"/>
          <w:szCs w:val="22"/>
          <w:lang w:val="sr-Latn-ME"/>
        </w:rPr>
        <w:t>primjena</w:t>
      </w:r>
      <w:r w:rsidRPr="00F45A6E">
        <w:rPr>
          <w:sz w:val="22"/>
          <w:szCs w:val="22"/>
          <w:lang w:val="sr-Latn-ME"/>
        </w:rPr>
        <w:t xml:space="preserve"> obavlja putem </w:t>
      </w:r>
      <w:r w:rsidR="002C0E0C" w:rsidRPr="00F45A6E">
        <w:rPr>
          <w:sz w:val="22"/>
          <w:szCs w:val="22"/>
          <w:lang w:val="sr-Latn-ME"/>
        </w:rPr>
        <w:t>centralnog</w:t>
      </w:r>
      <w:r w:rsidRPr="00F45A6E">
        <w:rPr>
          <w:sz w:val="22"/>
          <w:szCs w:val="22"/>
          <w:lang w:val="sr-Latn-ME"/>
        </w:rPr>
        <w:t xml:space="preserve"> venskog katetera, potrebno je izvući odgovarajuću količinu rekonstitu</w:t>
      </w:r>
      <w:r w:rsidR="00C04043" w:rsidRPr="00F45A6E">
        <w:rPr>
          <w:sz w:val="22"/>
          <w:szCs w:val="22"/>
          <w:lang w:val="sr-Latn-ME"/>
        </w:rPr>
        <w:t>isanog</w:t>
      </w:r>
      <w:r w:rsidRPr="00F45A6E">
        <w:rPr>
          <w:sz w:val="22"/>
          <w:szCs w:val="22"/>
          <w:lang w:val="sr-Latn-ME"/>
        </w:rPr>
        <w:t xml:space="preserve"> </w:t>
      </w:r>
      <w:r w:rsidR="00C04043" w:rsidRPr="00F45A6E">
        <w:rPr>
          <w:sz w:val="22"/>
          <w:szCs w:val="22"/>
          <w:lang w:val="sr-Latn-ME"/>
        </w:rPr>
        <w:t>rastvora</w:t>
      </w:r>
      <w:r w:rsidRPr="00F45A6E">
        <w:rPr>
          <w:sz w:val="22"/>
          <w:szCs w:val="22"/>
          <w:lang w:val="sr-Latn-ME"/>
        </w:rPr>
        <w:t xml:space="preserve"> iz bočice i dodati je </w:t>
      </w:r>
      <w:r w:rsidR="004F3067" w:rsidRPr="00F45A6E">
        <w:rPr>
          <w:sz w:val="22"/>
          <w:szCs w:val="22"/>
          <w:lang w:val="sr-Latn-ME"/>
        </w:rPr>
        <w:t xml:space="preserve">u kesu za infuziju </w:t>
      </w:r>
      <w:r w:rsidRPr="00F45A6E">
        <w:rPr>
          <w:sz w:val="22"/>
          <w:szCs w:val="22"/>
          <w:lang w:val="sr-Latn-ME"/>
        </w:rPr>
        <w:t>koja sadr</w:t>
      </w:r>
      <w:r w:rsidR="00C04043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>i</w:t>
      </w:r>
      <w:r w:rsidR="00721CDB" w:rsidRPr="00F45A6E">
        <w:rPr>
          <w:sz w:val="22"/>
          <w:szCs w:val="22"/>
          <w:lang w:val="sr-Latn-ME"/>
        </w:rPr>
        <w:t xml:space="preserve"> </w:t>
      </w:r>
      <w:r w:rsidRPr="00F45A6E">
        <w:rPr>
          <w:sz w:val="22"/>
          <w:szCs w:val="22"/>
          <w:lang w:val="sr-Latn-ME"/>
        </w:rPr>
        <w:t>≥ 50 m</w:t>
      </w:r>
      <w:r w:rsidR="00721CDB" w:rsidRPr="00F45A6E">
        <w:rPr>
          <w:sz w:val="22"/>
          <w:szCs w:val="22"/>
          <w:lang w:val="sr-Latn-ME"/>
        </w:rPr>
        <w:t>l</w:t>
      </w:r>
      <w:r w:rsidR="0066157A" w:rsidRPr="00F45A6E">
        <w:rPr>
          <w:sz w:val="22"/>
          <w:szCs w:val="22"/>
          <w:lang w:val="sr-Latn-ME"/>
        </w:rPr>
        <w:t xml:space="preserve"> rastvarača</w:t>
      </w:r>
      <w:r w:rsidRPr="00F45A6E">
        <w:rPr>
          <w:sz w:val="22"/>
          <w:szCs w:val="22"/>
          <w:lang w:val="sr-Latn-ME"/>
        </w:rPr>
        <w:t xml:space="preserve"> (9 mg/m</w:t>
      </w:r>
      <w:r w:rsidR="0066157A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 (0,9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 </w:t>
      </w:r>
      <w:r w:rsidR="0066157A" w:rsidRPr="00F45A6E">
        <w:rPr>
          <w:sz w:val="22"/>
          <w:szCs w:val="22"/>
          <w:lang w:val="sr-Latn-ME"/>
        </w:rPr>
        <w:t>rastvor</w:t>
      </w:r>
      <w:r w:rsidR="00220B24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natrij</w:t>
      </w:r>
      <w:r w:rsidR="0066157A" w:rsidRPr="00F45A6E">
        <w:rPr>
          <w:sz w:val="22"/>
          <w:szCs w:val="22"/>
          <w:lang w:val="sr-Latn-ME"/>
        </w:rPr>
        <w:t>um</w:t>
      </w:r>
      <w:r w:rsidR="00721CDB" w:rsidRPr="00F45A6E">
        <w:rPr>
          <w:sz w:val="22"/>
          <w:szCs w:val="22"/>
          <w:lang w:val="sr-Latn-ME"/>
        </w:rPr>
        <w:t xml:space="preserve"> </w:t>
      </w:r>
      <w:r w:rsidR="0066157A" w:rsidRPr="00F45A6E">
        <w:rPr>
          <w:sz w:val="22"/>
          <w:szCs w:val="22"/>
          <w:lang w:val="sr-Latn-ME"/>
        </w:rPr>
        <w:t>h</w:t>
      </w:r>
      <w:r w:rsidRPr="00F45A6E">
        <w:rPr>
          <w:sz w:val="22"/>
          <w:szCs w:val="22"/>
          <w:lang w:val="sr-Latn-ME"/>
        </w:rPr>
        <w:t>lorida za infuziju ili 50 mg/m</w:t>
      </w:r>
      <w:r w:rsidR="00721CDB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 (5</w:t>
      </w:r>
      <w:r w:rsidR="00C157E6" w:rsidRPr="00F45A6E">
        <w:rPr>
          <w:sz w:val="22"/>
          <w:szCs w:val="22"/>
          <w:lang w:val="sr-Latn-ME"/>
        </w:rPr>
        <w:t>%</w:t>
      </w:r>
      <w:r w:rsidRPr="00F45A6E">
        <w:rPr>
          <w:sz w:val="22"/>
          <w:szCs w:val="22"/>
          <w:lang w:val="sr-Latn-ME"/>
        </w:rPr>
        <w:t xml:space="preserve">) </w:t>
      </w:r>
      <w:r w:rsidR="005556E0" w:rsidRPr="00F45A6E">
        <w:rPr>
          <w:sz w:val="22"/>
          <w:szCs w:val="22"/>
          <w:lang w:val="sr-Latn-ME"/>
        </w:rPr>
        <w:t>rastvor</w:t>
      </w:r>
      <w:r w:rsidR="00220B24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glukoze za infuziju), koncentracija trabektedina u infuzijsko</w:t>
      </w:r>
      <w:r w:rsidR="00220B24" w:rsidRPr="00F45A6E">
        <w:rPr>
          <w:sz w:val="22"/>
          <w:szCs w:val="22"/>
          <w:lang w:val="sr-Latn-ME"/>
        </w:rPr>
        <w:t xml:space="preserve">m rastvoru </w:t>
      </w:r>
      <w:r w:rsidRPr="00F45A6E">
        <w:rPr>
          <w:sz w:val="22"/>
          <w:szCs w:val="22"/>
          <w:lang w:val="sr-Latn-ME"/>
        </w:rPr>
        <w:t>iznosiće ≤ 0,030 mg/m</w:t>
      </w:r>
      <w:r w:rsidR="00721CDB" w:rsidRPr="00F45A6E">
        <w:rPr>
          <w:sz w:val="22"/>
          <w:szCs w:val="22"/>
          <w:lang w:val="sr-Latn-ME"/>
        </w:rPr>
        <w:t>l</w:t>
      </w:r>
      <w:r w:rsidRPr="00F45A6E">
        <w:rPr>
          <w:sz w:val="22"/>
          <w:szCs w:val="22"/>
          <w:lang w:val="sr-Latn-ME"/>
        </w:rPr>
        <w:t xml:space="preserve">. </w:t>
      </w:r>
    </w:p>
    <w:p w14:paraId="7D6D7B47" w14:textId="77777777" w:rsidR="004E788F" w:rsidRPr="00F45A6E" w:rsidRDefault="004E788F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41B67035" w14:textId="3FBBED48" w:rsidR="003B21A9" w:rsidRPr="00F45A6E" w:rsidRDefault="003B21A9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>Ako nije moguće ostvariti pristup</w:t>
      </w:r>
      <w:r w:rsidR="00EB55CE" w:rsidRPr="00F45A6E">
        <w:rPr>
          <w:szCs w:val="22"/>
          <w:lang w:val="sr-Latn-ME"/>
        </w:rPr>
        <w:t xml:space="preserve"> preko centralnog venskog katetera</w:t>
      </w:r>
      <w:r w:rsidRPr="00F45A6E">
        <w:rPr>
          <w:szCs w:val="22"/>
          <w:lang w:val="sr-Latn-ME"/>
        </w:rPr>
        <w:t xml:space="preserve"> </w:t>
      </w:r>
      <w:r w:rsidR="00721CDB" w:rsidRPr="00F45A6E">
        <w:rPr>
          <w:szCs w:val="22"/>
          <w:lang w:val="sr-Latn-ME"/>
        </w:rPr>
        <w:t>i</w:t>
      </w:r>
      <w:r w:rsidRPr="00F45A6E">
        <w:rPr>
          <w:szCs w:val="22"/>
          <w:lang w:val="sr-Latn-ME"/>
        </w:rPr>
        <w:t xml:space="preserve"> mora se </w:t>
      </w:r>
      <w:r w:rsidR="008E59DE" w:rsidRPr="00F45A6E">
        <w:rPr>
          <w:szCs w:val="22"/>
          <w:lang w:val="sr-Latn-ME"/>
        </w:rPr>
        <w:t>primijeniti</w:t>
      </w:r>
      <w:r w:rsidRPr="00F45A6E">
        <w:rPr>
          <w:szCs w:val="22"/>
          <w:lang w:val="sr-Latn-ME"/>
        </w:rPr>
        <w:t xml:space="preserve"> periferni venski kateter, rekonstitui</w:t>
      </w:r>
      <w:r w:rsidR="00006FFB" w:rsidRPr="00F45A6E">
        <w:rPr>
          <w:szCs w:val="22"/>
          <w:lang w:val="sr-Latn-ME"/>
        </w:rPr>
        <w:t>s</w:t>
      </w:r>
      <w:r w:rsidRPr="00F45A6E">
        <w:rPr>
          <w:szCs w:val="22"/>
          <w:lang w:val="sr-Latn-ME"/>
        </w:rPr>
        <w:t>an</w:t>
      </w:r>
      <w:r w:rsidR="00006FFB" w:rsidRPr="00F45A6E">
        <w:rPr>
          <w:szCs w:val="22"/>
          <w:lang w:val="sr-Latn-ME"/>
        </w:rPr>
        <w:t>i rastvor</w:t>
      </w:r>
      <w:r w:rsidRPr="00F45A6E">
        <w:rPr>
          <w:szCs w:val="22"/>
          <w:lang w:val="sr-Latn-ME"/>
        </w:rPr>
        <w:t xml:space="preserve"> treba dodati u </w:t>
      </w:r>
      <w:r w:rsidR="004F3067" w:rsidRPr="00F45A6E">
        <w:rPr>
          <w:szCs w:val="22"/>
          <w:lang w:val="sr-Latn-ME"/>
        </w:rPr>
        <w:t xml:space="preserve">kesu </w:t>
      </w:r>
      <w:r w:rsidRPr="00F45A6E">
        <w:rPr>
          <w:szCs w:val="22"/>
          <w:lang w:val="sr-Latn-ME"/>
        </w:rPr>
        <w:t>za infuziju koja sadr</w:t>
      </w:r>
      <w:r w:rsidR="00006FFB" w:rsidRPr="00F45A6E">
        <w:rPr>
          <w:szCs w:val="22"/>
          <w:lang w:val="sr-Latn-ME"/>
        </w:rPr>
        <w:t>ž</w:t>
      </w:r>
      <w:r w:rsidRPr="00F45A6E">
        <w:rPr>
          <w:szCs w:val="22"/>
          <w:lang w:val="sr-Latn-ME"/>
        </w:rPr>
        <w:t>i ≥ 1000 m</w:t>
      </w:r>
      <w:r w:rsidR="00721CDB" w:rsidRPr="00F45A6E">
        <w:rPr>
          <w:szCs w:val="22"/>
          <w:lang w:val="sr-Latn-ME"/>
        </w:rPr>
        <w:t>l</w:t>
      </w:r>
      <w:r w:rsidRPr="00F45A6E">
        <w:rPr>
          <w:szCs w:val="22"/>
          <w:lang w:val="sr-Latn-ME"/>
        </w:rPr>
        <w:t xml:space="preserve"> </w:t>
      </w:r>
      <w:r w:rsidR="00006FFB" w:rsidRPr="00F45A6E">
        <w:rPr>
          <w:szCs w:val="22"/>
          <w:lang w:val="sr-Latn-ME"/>
        </w:rPr>
        <w:t>rastvarača</w:t>
      </w:r>
      <w:r w:rsidRPr="00F45A6E">
        <w:rPr>
          <w:szCs w:val="22"/>
          <w:lang w:val="sr-Latn-ME"/>
        </w:rPr>
        <w:t xml:space="preserve"> (9 mg/ml (0,9</w:t>
      </w:r>
      <w:r w:rsidR="00C157E6" w:rsidRPr="00F45A6E">
        <w:rPr>
          <w:szCs w:val="22"/>
          <w:lang w:val="sr-Latn-ME"/>
        </w:rPr>
        <w:t>%</w:t>
      </w:r>
      <w:r w:rsidRPr="00F45A6E">
        <w:rPr>
          <w:szCs w:val="22"/>
          <w:lang w:val="sr-Latn-ME"/>
        </w:rPr>
        <w:t xml:space="preserve">) </w:t>
      </w:r>
      <w:r w:rsidR="00BF49C7" w:rsidRPr="00F45A6E">
        <w:rPr>
          <w:szCs w:val="22"/>
          <w:lang w:val="sr-Latn-ME"/>
        </w:rPr>
        <w:t>rastvora natrijum</w:t>
      </w:r>
      <w:r w:rsidR="00721CDB" w:rsidRPr="00F45A6E">
        <w:rPr>
          <w:szCs w:val="22"/>
          <w:lang w:val="sr-Latn-ME"/>
        </w:rPr>
        <w:t xml:space="preserve"> </w:t>
      </w:r>
      <w:r w:rsidR="00BF49C7" w:rsidRPr="00F45A6E">
        <w:rPr>
          <w:szCs w:val="22"/>
          <w:lang w:val="sr-Latn-ME"/>
        </w:rPr>
        <w:t>hlorida za infuziju ili 50 mg/m</w:t>
      </w:r>
      <w:r w:rsidR="00721CDB" w:rsidRPr="00F45A6E">
        <w:rPr>
          <w:szCs w:val="22"/>
          <w:lang w:val="sr-Latn-ME"/>
        </w:rPr>
        <w:t>l</w:t>
      </w:r>
      <w:r w:rsidR="00BF49C7" w:rsidRPr="00F45A6E">
        <w:rPr>
          <w:szCs w:val="22"/>
          <w:lang w:val="sr-Latn-ME"/>
        </w:rPr>
        <w:t xml:space="preserve"> (5</w:t>
      </w:r>
      <w:r w:rsidR="00C157E6" w:rsidRPr="00F45A6E">
        <w:rPr>
          <w:szCs w:val="22"/>
          <w:lang w:val="sr-Latn-ME"/>
        </w:rPr>
        <w:t>%</w:t>
      </w:r>
      <w:r w:rsidR="00BF49C7" w:rsidRPr="00F45A6E">
        <w:rPr>
          <w:szCs w:val="22"/>
          <w:lang w:val="sr-Latn-ME"/>
        </w:rPr>
        <w:t>) rastvora glukoze za infuziju</w:t>
      </w:r>
      <w:r w:rsidRPr="00F45A6E">
        <w:rPr>
          <w:szCs w:val="22"/>
          <w:lang w:val="sr-Latn-ME"/>
        </w:rPr>
        <w:t>).</w:t>
      </w:r>
    </w:p>
    <w:p w14:paraId="4A994048" w14:textId="77777777" w:rsidR="00EB55CE" w:rsidRPr="00F45A6E" w:rsidRDefault="00EB55CE" w:rsidP="003A690C">
      <w:pPr>
        <w:rPr>
          <w:b/>
          <w:bCs/>
          <w:szCs w:val="22"/>
          <w:lang w:val="sr-Latn-ME"/>
        </w:rPr>
      </w:pPr>
    </w:p>
    <w:p w14:paraId="540E655B" w14:textId="2ECB97B3" w:rsidR="004F3067" w:rsidRPr="00F45A6E" w:rsidRDefault="00F5258B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Parenteralne </w:t>
      </w:r>
      <w:r w:rsidR="000434DD" w:rsidRPr="00F45A6E">
        <w:rPr>
          <w:sz w:val="22"/>
          <w:szCs w:val="22"/>
          <w:lang w:val="sr-Latn-ME"/>
        </w:rPr>
        <w:t>rastvore</w:t>
      </w:r>
      <w:r w:rsidRPr="00F45A6E">
        <w:rPr>
          <w:sz w:val="22"/>
          <w:szCs w:val="22"/>
          <w:lang w:val="sr-Latn-ME"/>
        </w:rPr>
        <w:t xml:space="preserve"> pr</w:t>
      </w:r>
      <w:r w:rsidR="00184FFA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 </w:t>
      </w:r>
      <w:r w:rsidR="00BF4DC4" w:rsidRPr="00F45A6E">
        <w:rPr>
          <w:sz w:val="22"/>
          <w:szCs w:val="22"/>
          <w:lang w:val="sr-Latn-ME"/>
        </w:rPr>
        <w:t>primjene</w:t>
      </w:r>
      <w:r w:rsidRPr="00F45A6E">
        <w:rPr>
          <w:sz w:val="22"/>
          <w:szCs w:val="22"/>
          <w:lang w:val="sr-Latn-ME"/>
        </w:rPr>
        <w:t xml:space="preserve"> treba vizu</w:t>
      </w:r>
      <w:r w:rsidR="000434DD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>lno prov</w:t>
      </w:r>
      <w:r w:rsidR="00F45A6E">
        <w:rPr>
          <w:sz w:val="22"/>
          <w:szCs w:val="22"/>
          <w:lang w:val="sr-Latn-ME"/>
        </w:rPr>
        <w:t>j</w:t>
      </w:r>
      <w:r w:rsidRPr="00F45A6E">
        <w:rPr>
          <w:sz w:val="22"/>
          <w:szCs w:val="22"/>
          <w:lang w:val="sr-Latn-ME"/>
        </w:rPr>
        <w:t>eriti na prisu</w:t>
      </w:r>
      <w:r w:rsidR="00721CDB" w:rsidRPr="00F45A6E">
        <w:rPr>
          <w:sz w:val="22"/>
          <w:szCs w:val="22"/>
          <w:lang w:val="sr-Latn-ME"/>
        </w:rPr>
        <w:t>stvo</w:t>
      </w:r>
      <w:r w:rsidRPr="00F45A6E">
        <w:rPr>
          <w:sz w:val="22"/>
          <w:szCs w:val="22"/>
          <w:lang w:val="sr-Latn-ME"/>
        </w:rPr>
        <w:t xml:space="preserve"> čestica. Kada se infuzija pripremi, mora se odmah upotr</w:t>
      </w:r>
      <w:r w:rsidR="00721CDB" w:rsidRPr="00F45A6E">
        <w:rPr>
          <w:sz w:val="22"/>
          <w:szCs w:val="22"/>
          <w:lang w:val="sr-Latn-ME"/>
        </w:rPr>
        <w:t>ij</w:t>
      </w:r>
      <w:r w:rsidRPr="00F45A6E">
        <w:rPr>
          <w:sz w:val="22"/>
          <w:szCs w:val="22"/>
          <w:lang w:val="sr-Latn-ME"/>
        </w:rPr>
        <w:t xml:space="preserve">ebiti. </w:t>
      </w:r>
    </w:p>
    <w:p w14:paraId="498A8AE2" w14:textId="77777777" w:rsidR="004F3067" w:rsidRPr="00F45A6E" w:rsidRDefault="004F3067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160CE8FC" w14:textId="26A3517B" w:rsidR="00F5258B" w:rsidRPr="00F45A6E" w:rsidRDefault="00F5258B" w:rsidP="003A690C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45A6E">
        <w:rPr>
          <w:sz w:val="22"/>
          <w:szCs w:val="22"/>
          <w:u w:val="single"/>
          <w:lang w:val="sr-Latn-ME"/>
        </w:rPr>
        <w:t>Uput</w:t>
      </w:r>
      <w:r w:rsidR="00AB6C3B" w:rsidRPr="00F45A6E">
        <w:rPr>
          <w:sz w:val="22"/>
          <w:szCs w:val="22"/>
          <w:u w:val="single"/>
          <w:lang w:val="sr-Latn-ME"/>
        </w:rPr>
        <w:t>stva</w:t>
      </w:r>
      <w:r w:rsidRPr="00F45A6E">
        <w:rPr>
          <w:sz w:val="22"/>
          <w:szCs w:val="22"/>
          <w:u w:val="single"/>
          <w:lang w:val="sr-Latn-ME"/>
        </w:rPr>
        <w:t xml:space="preserve"> za rukovanje i odlaganje </w:t>
      </w:r>
    </w:p>
    <w:p w14:paraId="26BB39DD" w14:textId="77777777" w:rsidR="005557D5" w:rsidRPr="00F45A6E" w:rsidRDefault="005557D5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0852CEE9" w14:textId="2F4C8A41" w:rsidR="00F5258B" w:rsidRPr="00F45A6E" w:rsidRDefault="00F5258B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 xml:space="preserve">Trabektedin je citotoksični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 protiv </w:t>
      </w:r>
      <w:r w:rsidR="004F3067" w:rsidRPr="00F45A6E">
        <w:rPr>
          <w:sz w:val="22"/>
          <w:szCs w:val="22"/>
          <w:lang w:val="sr-Latn-ME"/>
        </w:rPr>
        <w:t xml:space="preserve">kancera </w:t>
      </w:r>
      <w:r w:rsidR="00EC1DE4" w:rsidRPr="00F45A6E">
        <w:rPr>
          <w:sz w:val="22"/>
          <w:szCs w:val="22"/>
          <w:lang w:val="sr-Latn-ME"/>
        </w:rPr>
        <w:t>pa</w:t>
      </w:r>
      <w:r w:rsidRPr="00F45A6E">
        <w:rPr>
          <w:sz w:val="22"/>
          <w:szCs w:val="22"/>
          <w:lang w:val="sr-Latn-ME"/>
        </w:rPr>
        <w:t xml:space="preserve"> se njime, kao i svim drugim potencijalno toksičnim </w:t>
      </w:r>
      <w:r w:rsidR="003D64C9" w:rsidRPr="00F45A6E">
        <w:rPr>
          <w:sz w:val="22"/>
          <w:szCs w:val="22"/>
          <w:lang w:val="sr-Latn-ME"/>
        </w:rPr>
        <w:t>supstancama</w:t>
      </w:r>
      <w:r w:rsidRPr="00F45A6E">
        <w:rPr>
          <w:sz w:val="22"/>
          <w:szCs w:val="22"/>
          <w:lang w:val="sr-Latn-ME"/>
        </w:rPr>
        <w:t>, mora rukovati oprezno. N</w:t>
      </w:r>
      <w:r w:rsidR="00721CDB" w:rsidRPr="00F45A6E">
        <w:rPr>
          <w:sz w:val="22"/>
          <w:szCs w:val="22"/>
          <w:lang w:val="sr-Latn-ME"/>
        </w:rPr>
        <w:t>eophodno</w:t>
      </w:r>
      <w:r w:rsidRPr="00F45A6E">
        <w:rPr>
          <w:sz w:val="22"/>
          <w:szCs w:val="22"/>
          <w:lang w:val="sr-Latn-ME"/>
        </w:rPr>
        <w:t xml:space="preserve"> je pridr</w:t>
      </w:r>
      <w:r w:rsidR="003D64C9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avati se postupaka za ispravno rukovanje i odlaganje citotoksičnih </w:t>
      </w:r>
      <w:r w:rsidR="005C3738" w:rsidRPr="00F45A6E">
        <w:rPr>
          <w:sz w:val="22"/>
          <w:szCs w:val="22"/>
          <w:lang w:val="sr-Latn-ME"/>
        </w:rPr>
        <w:t>ljekov</w:t>
      </w:r>
      <w:r w:rsidRPr="00F45A6E">
        <w:rPr>
          <w:sz w:val="22"/>
          <w:szCs w:val="22"/>
          <w:lang w:val="sr-Latn-ME"/>
        </w:rPr>
        <w:t xml:space="preserve">a. Osoblje treba biti obučeno </w:t>
      </w:r>
      <w:r w:rsidR="00F34D8F" w:rsidRPr="00F45A6E">
        <w:rPr>
          <w:sz w:val="22"/>
          <w:szCs w:val="22"/>
          <w:lang w:val="sr-Latn-ME"/>
        </w:rPr>
        <w:t>da prim</w:t>
      </w:r>
      <w:r w:rsidR="00184FFA" w:rsidRPr="00F45A6E">
        <w:rPr>
          <w:sz w:val="22"/>
          <w:szCs w:val="22"/>
          <w:lang w:val="sr-Latn-ME"/>
        </w:rPr>
        <w:t>j</w:t>
      </w:r>
      <w:r w:rsidR="00F34D8F" w:rsidRPr="00F45A6E">
        <w:rPr>
          <w:sz w:val="22"/>
          <w:szCs w:val="22"/>
          <w:lang w:val="sr-Latn-ME"/>
        </w:rPr>
        <w:t>enjuje</w:t>
      </w:r>
      <w:r w:rsidRPr="00F45A6E">
        <w:rPr>
          <w:sz w:val="22"/>
          <w:szCs w:val="22"/>
          <w:lang w:val="sr-Latn-ME"/>
        </w:rPr>
        <w:t xml:space="preserve"> ispravn</w:t>
      </w:r>
      <w:r w:rsidR="00F34D8F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tehnik</w:t>
      </w:r>
      <w:r w:rsidR="00F34D8F" w:rsidRPr="00F45A6E">
        <w:rPr>
          <w:sz w:val="22"/>
          <w:szCs w:val="22"/>
          <w:lang w:val="sr-Latn-ME"/>
        </w:rPr>
        <w:t>e</w:t>
      </w:r>
      <w:r w:rsidRPr="00F45A6E">
        <w:rPr>
          <w:sz w:val="22"/>
          <w:szCs w:val="22"/>
          <w:lang w:val="sr-Latn-ME"/>
        </w:rPr>
        <w:t xml:space="preserve"> rekonstitucije i raz</w:t>
      </w:r>
      <w:r w:rsidR="00F04CFD" w:rsidRPr="00F45A6E">
        <w:rPr>
          <w:sz w:val="22"/>
          <w:szCs w:val="22"/>
          <w:lang w:val="sr-Latn-ME"/>
        </w:rPr>
        <w:t>blaži</w:t>
      </w:r>
      <w:r w:rsidRPr="00F45A6E">
        <w:rPr>
          <w:sz w:val="22"/>
          <w:szCs w:val="22"/>
          <w:lang w:val="sr-Latn-ME"/>
        </w:rPr>
        <w:t xml:space="preserve">vanja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a </w:t>
      </w:r>
      <w:r w:rsidR="00A74F0B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 treba nositi zaštitnu odeću koja uključuje masku, zaštitne naoča</w:t>
      </w:r>
      <w:r w:rsidR="00A74F0B" w:rsidRPr="00F45A6E">
        <w:rPr>
          <w:sz w:val="22"/>
          <w:szCs w:val="22"/>
          <w:lang w:val="sr-Latn-ME"/>
        </w:rPr>
        <w:t>r</w:t>
      </w:r>
      <w:r w:rsidRPr="00F45A6E">
        <w:rPr>
          <w:sz w:val="22"/>
          <w:szCs w:val="22"/>
          <w:lang w:val="sr-Latn-ME"/>
        </w:rPr>
        <w:t>e i rukavice t</w:t>
      </w:r>
      <w:r w:rsidR="00A74F0B" w:rsidRPr="00F45A6E">
        <w:rPr>
          <w:sz w:val="22"/>
          <w:szCs w:val="22"/>
          <w:lang w:val="sr-Latn-ME"/>
        </w:rPr>
        <w:t>o</w:t>
      </w:r>
      <w:r w:rsidRPr="00F45A6E">
        <w:rPr>
          <w:sz w:val="22"/>
          <w:szCs w:val="22"/>
          <w:lang w:val="sr-Latn-ME"/>
        </w:rPr>
        <w:t>kom rekonstitucije i raz</w:t>
      </w:r>
      <w:r w:rsidR="00487C51" w:rsidRPr="00F45A6E">
        <w:rPr>
          <w:sz w:val="22"/>
          <w:szCs w:val="22"/>
          <w:lang w:val="sr-Latn-ME"/>
        </w:rPr>
        <w:t>blaž</w:t>
      </w:r>
      <w:r w:rsidR="00996788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>vanja. Trudn</w:t>
      </w:r>
      <w:r w:rsidR="003C1741" w:rsidRPr="00F45A6E">
        <w:rPr>
          <w:sz w:val="22"/>
          <w:szCs w:val="22"/>
          <w:lang w:val="sr-Latn-ME"/>
        </w:rPr>
        <w:t>ice</w:t>
      </w:r>
      <w:r w:rsidRPr="00F45A6E">
        <w:rPr>
          <w:sz w:val="22"/>
          <w:szCs w:val="22"/>
          <w:lang w:val="sr-Latn-ME"/>
        </w:rPr>
        <w:t xml:space="preserve"> ne sm</w:t>
      </w:r>
      <w:r w:rsidR="00184FFA" w:rsidRPr="00F45A6E">
        <w:rPr>
          <w:sz w:val="22"/>
          <w:szCs w:val="22"/>
          <w:lang w:val="sr-Latn-ME"/>
        </w:rPr>
        <w:t>i</w:t>
      </w:r>
      <w:r w:rsidRPr="00F45A6E">
        <w:rPr>
          <w:sz w:val="22"/>
          <w:szCs w:val="22"/>
          <w:lang w:val="sr-Latn-ME"/>
        </w:rPr>
        <w:t xml:space="preserve">ju rukovati ovim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om. </w:t>
      </w:r>
    </w:p>
    <w:p w14:paraId="541C44F8" w14:textId="77777777" w:rsidR="00721CDB" w:rsidRPr="00F45A6E" w:rsidRDefault="00721CD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37F8CCF" w14:textId="47B048F6" w:rsidR="00C92597" w:rsidRPr="00F45A6E" w:rsidRDefault="00F5258B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Ko</w:t>
      </w:r>
      <w:r w:rsidR="00DD119A" w:rsidRPr="00F45A6E">
        <w:rPr>
          <w:sz w:val="22"/>
          <w:szCs w:val="22"/>
          <w:lang w:val="sr-Latn-ME"/>
        </w:rPr>
        <w:t>ž</w:t>
      </w:r>
      <w:r w:rsidRPr="00F45A6E">
        <w:rPr>
          <w:sz w:val="22"/>
          <w:szCs w:val="22"/>
          <w:lang w:val="sr-Latn-ME"/>
        </w:rPr>
        <w:t xml:space="preserve">a, oči ili </w:t>
      </w:r>
      <w:r w:rsidR="004F3067" w:rsidRPr="00F45A6E">
        <w:rPr>
          <w:sz w:val="22"/>
          <w:szCs w:val="22"/>
          <w:lang w:val="sr-Latn-ME"/>
        </w:rPr>
        <w:t xml:space="preserve">sluzokoža </w:t>
      </w:r>
      <w:r w:rsidRPr="00F45A6E">
        <w:rPr>
          <w:sz w:val="22"/>
          <w:szCs w:val="22"/>
          <w:lang w:val="sr-Latn-ME"/>
        </w:rPr>
        <w:t>koji do</w:t>
      </w:r>
      <w:r w:rsidR="00DD119A" w:rsidRPr="00F45A6E">
        <w:rPr>
          <w:sz w:val="22"/>
          <w:szCs w:val="22"/>
          <w:lang w:val="sr-Latn-ME"/>
        </w:rPr>
        <w:t>đ</w:t>
      </w:r>
      <w:r w:rsidRPr="00F45A6E">
        <w:rPr>
          <w:sz w:val="22"/>
          <w:szCs w:val="22"/>
          <w:lang w:val="sr-Latn-ME"/>
        </w:rPr>
        <w:t>u u slučajni kontakt s</w:t>
      </w:r>
      <w:r w:rsidR="00DD119A" w:rsidRPr="00F45A6E">
        <w:rPr>
          <w:sz w:val="22"/>
          <w:szCs w:val="22"/>
          <w:lang w:val="sr-Latn-ME"/>
        </w:rPr>
        <w:t>a</w:t>
      </w:r>
      <w:r w:rsidRPr="00F45A6E">
        <w:rPr>
          <w:sz w:val="22"/>
          <w:szCs w:val="22"/>
          <w:lang w:val="sr-Latn-ME"/>
        </w:rPr>
        <w:t xml:space="preserve"> </w:t>
      </w:r>
      <w:r w:rsidR="005C3738" w:rsidRPr="00F45A6E">
        <w:rPr>
          <w:sz w:val="22"/>
          <w:szCs w:val="22"/>
          <w:lang w:val="sr-Latn-ME"/>
        </w:rPr>
        <w:t>lijek</w:t>
      </w:r>
      <w:r w:rsidRPr="00F45A6E">
        <w:rPr>
          <w:sz w:val="22"/>
          <w:szCs w:val="22"/>
          <w:lang w:val="sr-Latn-ME"/>
        </w:rPr>
        <w:t xml:space="preserve">om moraju se odmah isprati obilnim količinama vode. </w:t>
      </w:r>
    </w:p>
    <w:p w14:paraId="58237829" w14:textId="77777777" w:rsidR="00721CDB" w:rsidRPr="00F45A6E" w:rsidRDefault="00721CDB" w:rsidP="003A690C">
      <w:pPr>
        <w:pStyle w:val="Default"/>
        <w:jc w:val="both"/>
        <w:rPr>
          <w:sz w:val="22"/>
          <w:szCs w:val="22"/>
          <w:lang w:val="sr-Latn-ME"/>
        </w:rPr>
      </w:pPr>
    </w:p>
    <w:p w14:paraId="2B656CD7" w14:textId="4E5CC5F7" w:rsidR="003B21A9" w:rsidRPr="00F45A6E" w:rsidRDefault="00594550" w:rsidP="003A690C">
      <w:pPr>
        <w:pStyle w:val="Default"/>
        <w:jc w:val="both"/>
        <w:rPr>
          <w:sz w:val="22"/>
          <w:szCs w:val="22"/>
          <w:lang w:val="sr-Latn-ME"/>
        </w:rPr>
      </w:pPr>
      <w:r w:rsidRPr="00F45A6E">
        <w:rPr>
          <w:sz w:val="22"/>
          <w:szCs w:val="22"/>
          <w:lang w:val="sr-Latn-ME"/>
        </w:rPr>
        <w:t>Nijesu</w:t>
      </w:r>
      <w:r w:rsidR="00F5258B" w:rsidRPr="00F45A6E">
        <w:rPr>
          <w:sz w:val="22"/>
          <w:szCs w:val="22"/>
          <w:lang w:val="sr-Latn-ME"/>
        </w:rPr>
        <w:t xml:space="preserve"> prim</w:t>
      </w:r>
      <w:r w:rsidR="005423D0" w:rsidRPr="00F45A6E">
        <w:rPr>
          <w:sz w:val="22"/>
          <w:szCs w:val="22"/>
          <w:lang w:val="sr-Latn-ME"/>
        </w:rPr>
        <w:t>j</w:t>
      </w:r>
      <w:r w:rsidR="00F5258B" w:rsidRPr="00F45A6E">
        <w:rPr>
          <w:sz w:val="22"/>
          <w:szCs w:val="22"/>
          <w:lang w:val="sr-Latn-ME"/>
        </w:rPr>
        <w:t>ećene inkompatibilnosti izme</w:t>
      </w:r>
      <w:r w:rsidR="00DD119A" w:rsidRPr="00F45A6E">
        <w:rPr>
          <w:sz w:val="22"/>
          <w:szCs w:val="22"/>
          <w:lang w:val="sr-Latn-ME"/>
        </w:rPr>
        <w:t>đ</w:t>
      </w:r>
      <w:r w:rsidR="00F5258B" w:rsidRPr="00F45A6E">
        <w:rPr>
          <w:sz w:val="22"/>
          <w:szCs w:val="22"/>
          <w:lang w:val="sr-Latn-ME"/>
        </w:rPr>
        <w:t xml:space="preserve">u </w:t>
      </w:r>
      <w:r w:rsidR="005C3738" w:rsidRPr="00F45A6E">
        <w:rPr>
          <w:sz w:val="22"/>
          <w:szCs w:val="22"/>
          <w:lang w:val="sr-Latn-ME"/>
        </w:rPr>
        <w:t>lijek</w:t>
      </w:r>
      <w:r w:rsidR="00F5258B" w:rsidRPr="00F45A6E">
        <w:rPr>
          <w:sz w:val="22"/>
          <w:szCs w:val="22"/>
          <w:lang w:val="sr-Latn-ME"/>
        </w:rPr>
        <w:t xml:space="preserve">a </w:t>
      </w:r>
      <w:r w:rsidR="001D6C3F" w:rsidRPr="00F45A6E">
        <w:rPr>
          <w:sz w:val="22"/>
          <w:szCs w:val="22"/>
          <w:lang w:val="sr-Latn-ME"/>
        </w:rPr>
        <w:t>Trabectedin STADA</w:t>
      </w:r>
      <w:r w:rsidR="00F5258B" w:rsidRPr="00F45A6E">
        <w:rPr>
          <w:sz w:val="22"/>
          <w:szCs w:val="22"/>
          <w:lang w:val="sr-Latn-ME"/>
        </w:rPr>
        <w:t xml:space="preserve"> i bočica od stakla </w:t>
      </w:r>
      <w:r w:rsidR="004F3067" w:rsidRPr="00F45A6E">
        <w:rPr>
          <w:sz w:val="22"/>
          <w:szCs w:val="22"/>
          <w:lang w:val="sr-Latn-ME"/>
        </w:rPr>
        <w:t xml:space="preserve">(hidrolitičke otpornosti </w:t>
      </w:r>
      <w:r w:rsidR="00F5258B" w:rsidRPr="00F45A6E">
        <w:rPr>
          <w:sz w:val="22"/>
          <w:szCs w:val="22"/>
          <w:lang w:val="sr-Latn-ME"/>
        </w:rPr>
        <w:t>tipa I</w:t>
      </w:r>
      <w:r w:rsidR="004F3067" w:rsidRPr="00F45A6E">
        <w:rPr>
          <w:sz w:val="22"/>
          <w:szCs w:val="22"/>
          <w:lang w:val="sr-Latn-ME"/>
        </w:rPr>
        <w:t>)</w:t>
      </w:r>
      <w:r w:rsidR="00F5258B" w:rsidRPr="00F45A6E">
        <w:rPr>
          <w:sz w:val="22"/>
          <w:szCs w:val="22"/>
          <w:lang w:val="sr-Latn-ME"/>
        </w:rPr>
        <w:t xml:space="preserve">, </w:t>
      </w:r>
      <w:r w:rsidR="00BA6414" w:rsidRPr="00F45A6E">
        <w:rPr>
          <w:sz w:val="22"/>
          <w:szCs w:val="22"/>
          <w:lang w:val="sr-Latn-ME"/>
        </w:rPr>
        <w:t>kese za infuziju i infuzionih setova</w:t>
      </w:r>
      <w:r w:rsidR="00F5258B" w:rsidRPr="00F45A6E">
        <w:rPr>
          <w:sz w:val="22"/>
          <w:szCs w:val="22"/>
          <w:lang w:val="sr-Latn-ME"/>
        </w:rPr>
        <w:t xml:space="preserve"> od polivinil</w:t>
      </w:r>
      <w:r w:rsidR="00AD2F5B" w:rsidRPr="00F45A6E">
        <w:rPr>
          <w:sz w:val="22"/>
          <w:szCs w:val="22"/>
          <w:lang w:val="sr-Latn-ME"/>
        </w:rPr>
        <w:t>h</w:t>
      </w:r>
      <w:r w:rsidR="00F5258B" w:rsidRPr="00F45A6E">
        <w:rPr>
          <w:sz w:val="22"/>
          <w:szCs w:val="22"/>
          <w:lang w:val="sr-Latn-ME"/>
        </w:rPr>
        <w:t xml:space="preserve">lorida (PVC) i polietilena (PE), </w:t>
      </w:r>
      <w:r w:rsidR="00AD2F5B" w:rsidRPr="00F45A6E">
        <w:rPr>
          <w:sz w:val="22"/>
          <w:szCs w:val="22"/>
          <w:lang w:val="sr-Latn-ME"/>
        </w:rPr>
        <w:t>rezervoara</w:t>
      </w:r>
      <w:r w:rsidR="00F5258B" w:rsidRPr="00F45A6E">
        <w:rPr>
          <w:sz w:val="22"/>
          <w:szCs w:val="22"/>
          <w:lang w:val="sr-Latn-ME"/>
        </w:rPr>
        <w:t xml:space="preserve"> od poliizoprena i titanij</w:t>
      </w:r>
      <w:r w:rsidR="00812F5D" w:rsidRPr="00F45A6E">
        <w:rPr>
          <w:sz w:val="22"/>
          <w:szCs w:val="22"/>
          <w:lang w:val="sr-Latn-ME"/>
        </w:rPr>
        <w:t>umskih</w:t>
      </w:r>
      <w:r w:rsidR="00F5258B" w:rsidRPr="00F45A6E">
        <w:rPr>
          <w:sz w:val="22"/>
          <w:szCs w:val="22"/>
          <w:lang w:val="sr-Latn-ME"/>
        </w:rPr>
        <w:t xml:space="preserve"> ugrad</w:t>
      </w:r>
      <w:r w:rsidR="00812F5D" w:rsidRPr="00F45A6E">
        <w:rPr>
          <w:sz w:val="22"/>
          <w:szCs w:val="22"/>
          <w:lang w:val="sr-Latn-ME"/>
        </w:rPr>
        <w:t>nih</w:t>
      </w:r>
      <w:r w:rsidR="00F5258B" w:rsidRPr="00F45A6E">
        <w:rPr>
          <w:sz w:val="22"/>
          <w:szCs w:val="22"/>
          <w:lang w:val="sr-Latn-ME"/>
        </w:rPr>
        <w:t xml:space="preserve"> s</w:t>
      </w:r>
      <w:r w:rsidR="00812F5D" w:rsidRPr="00F45A6E">
        <w:rPr>
          <w:sz w:val="22"/>
          <w:szCs w:val="22"/>
          <w:lang w:val="sr-Latn-ME"/>
        </w:rPr>
        <w:t>istema</w:t>
      </w:r>
      <w:r w:rsidR="00F5258B" w:rsidRPr="00F45A6E">
        <w:rPr>
          <w:sz w:val="22"/>
          <w:szCs w:val="22"/>
          <w:lang w:val="sr-Latn-ME"/>
        </w:rPr>
        <w:t xml:space="preserve"> za pristup krvnim </w:t>
      </w:r>
      <w:r w:rsidR="00812F5D" w:rsidRPr="00F45A6E">
        <w:rPr>
          <w:sz w:val="22"/>
          <w:szCs w:val="22"/>
          <w:lang w:val="sr-Latn-ME"/>
        </w:rPr>
        <w:t>sudovima</w:t>
      </w:r>
      <w:r w:rsidR="00F5258B" w:rsidRPr="00F45A6E">
        <w:rPr>
          <w:sz w:val="22"/>
          <w:szCs w:val="22"/>
          <w:lang w:val="sr-Latn-ME"/>
        </w:rPr>
        <w:t>.</w:t>
      </w:r>
    </w:p>
    <w:p w14:paraId="59D084DE" w14:textId="77777777" w:rsidR="00335F21" w:rsidRPr="00F45A6E" w:rsidRDefault="00335F21" w:rsidP="003A690C">
      <w:pPr>
        <w:rPr>
          <w:szCs w:val="22"/>
          <w:lang w:val="sr-Latn-ME"/>
        </w:rPr>
      </w:pPr>
    </w:p>
    <w:p w14:paraId="390C5450" w14:textId="48187F93" w:rsidR="00335F21" w:rsidRPr="00F45A6E" w:rsidRDefault="00C56B8F" w:rsidP="003A690C">
      <w:pPr>
        <w:keepNext/>
        <w:keepLines/>
        <w:rPr>
          <w:szCs w:val="22"/>
          <w:u w:val="single"/>
          <w:lang w:val="sr-Latn-ME"/>
        </w:rPr>
      </w:pPr>
      <w:r w:rsidRPr="00F45A6E">
        <w:rPr>
          <w:szCs w:val="22"/>
          <w:u w:val="single"/>
          <w:lang w:val="sr-Latn-ME"/>
        </w:rPr>
        <w:t>Uklanjanje</w:t>
      </w:r>
    </w:p>
    <w:p w14:paraId="290B4F70" w14:textId="77777777" w:rsidR="00335F21" w:rsidRPr="00F45A6E" w:rsidRDefault="00335F21" w:rsidP="003A690C">
      <w:pPr>
        <w:keepNext/>
        <w:keepLines/>
        <w:rPr>
          <w:szCs w:val="22"/>
          <w:u w:val="single"/>
          <w:lang w:val="sr-Latn-ME"/>
        </w:rPr>
      </w:pPr>
    </w:p>
    <w:p w14:paraId="31F35561" w14:textId="479F923D" w:rsidR="00CE09F3" w:rsidRPr="00F45A6E" w:rsidRDefault="00C56B8F" w:rsidP="003A690C">
      <w:pPr>
        <w:rPr>
          <w:szCs w:val="22"/>
          <w:lang w:val="sr-Latn-ME"/>
        </w:rPr>
      </w:pPr>
      <w:r w:rsidRPr="00F45A6E">
        <w:rPr>
          <w:szCs w:val="22"/>
          <w:lang w:val="sr-Latn-ME"/>
        </w:rPr>
        <w:t xml:space="preserve">Svu neiskorišćenu količinu </w:t>
      </w:r>
      <w:r w:rsidR="005C3738" w:rsidRPr="00F45A6E">
        <w:rPr>
          <w:szCs w:val="22"/>
          <w:lang w:val="sr-Latn-ME"/>
        </w:rPr>
        <w:t>lijek</w:t>
      </w:r>
      <w:r w:rsidRPr="00F45A6E">
        <w:rPr>
          <w:szCs w:val="22"/>
          <w:lang w:val="sr-Latn-ME"/>
        </w:rPr>
        <w:t>a ili otpadnog materijala nakon njegove upotrebe treba ukloniti, u skladu sa važećim propisima.</w:t>
      </w:r>
    </w:p>
    <w:p w14:paraId="771D3896" w14:textId="77777777" w:rsidR="002C12E2" w:rsidRPr="00F45A6E" w:rsidRDefault="002C12E2" w:rsidP="003A690C">
      <w:pPr>
        <w:rPr>
          <w:szCs w:val="22"/>
          <w:lang w:val="sr-Latn-ME"/>
        </w:rPr>
      </w:pPr>
    </w:p>
    <w:p w14:paraId="1A281728" w14:textId="77777777" w:rsidR="002C12E2" w:rsidRPr="00F45A6E" w:rsidRDefault="002C12E2" w:rsidP="003A690C">
      <w:pPr>
        <w:rPr>
          <w:szCs w:val="22"/>
          <w:lang w:val="sr-Latn-ME"/>
        </w:rPr>
      </w:pPr>
    </w:p>
    <w:p w14:paraId="5F1F2DF9" w14:textId="77777777" w:rsidR="00CE09F3" w:rsidRPr="00F45A6E" w:rsidRDefault="00C56B8F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 xml:space="preserve">7. NOSILAC DOZVOLE </w:t>
      </w:r>
    </w:p>
    <w:p w14:paraId="280244B7" w14:textId="77777777" w:rsidR="00133B90" w:rsidRPr="00F45A6E" w:rsidRDefault="00133B90" w:rsidP="003A690C">
      <w:pPr>
        <w:pStyle w:val="NASLOV123"/>
        <w:spacing w:before="0" w:after="0"/>
        <w:jc w:val="both"/>
        <w:rPr>
          <w:lang w:val="sr-Latn-ME"/>
        </w:rPr>
      </w:pPr>
    </w:p>
    <w:p w14:paraId="6B8993EC" w14:textId="02D47AE6" w:rsidR="00133B90" w:rsidRPr="00F45A6E" w:rsidRDefault="00721CDB" w:rsidP="003A690C">
      <w:pPr>
        <w:tabs>
          <w:tab w:val="left" w:pos="1080"/>
        </w:tabs>
        <w:rPr>
          <w:szCs w:val="22"/>
          <w:lang w:val="sr-Latn-ME"/>
        </w:rPr>
      </w:pPr>
      <w:r w:rsidRPr="00F45A6E">
        <w:rPr>
          <w:szCs w:val="22"/>
          <w:lang w:val="sr-Latn-ME"/>
        </w:rPr>
        <w:t>Hemofarm</w:t>
      </w:r>
      <w:r w:rsidR="00133B90" w:rsidRPr="00F45A6E">
        <w:rPr>
          <w:szCs w:val="22"/>
          <w:lang w:val="sr-Latn-ME"/>
        </w:rPr>
        <w:t xml:space="preserve"> A.D. </w:t>
      </w:r>
      <w:r w:rsidRPr="00F45A6E">
        <w:rPr>
          <w:szCs w:val="22"/>
          <w:lang w:val="sr-Latn-ME"/>
        </w:rPr>
        <w:t>Vršac</w:t>
      </w:r>
      <w:r w:rsidR="00133B90" w:rsidRPr="00F45A6E">
        <w:rPr>
          <w:szCs w:val="22"/>
          <w:lang w:val="sr-Latn-ME"/>
        </w:rPr>
        <w:t xml:space="preserve"> P.J. </w:t>
      </w:r>
      <w:r w:rsidRPr="00F45A6E">
        <w:rPr>
          <w:szCs w:val="22"/>
          <w:lang w:val="sr-Latn-ME"/>
        </w:rPr>
        <w:t>Podgorica</w:t>
      </w:r>
    </w:p>
    <w:p w14:paraId="17FCB9A0" w14:textId="77777777" w:rsidR="00133B90" w:rsidRPr="00F45A6E" w:rsidRDefault="00133B90" w:rsidP="003A690C">
      <w:pPr>
        <w:tabs>
          <w:tab w:val="left" w:pos="1080"/>
        </w:tabs>
        <w:rPr>
          <w:szCs w:val="22"/>
          <w:lang w:val="sr-Latn-ME"/>
        </w:rPr>
      </w:pPr>
      <w:r w:rsidRPr="00F45A6E">
        <w:rPr>
          <w:szCs w:val="22"/>
          <w:lang w:val="sr-Latn-ME"/>
        </w:rPr>
        <w:t>8. marta 55A, Podgorica, Crna Gora</w:t>
      </w:r>
    </w:p>
    <w:p w14:paraId="5F801F61" w14:textId="77777777" w:rsidR="002C12E2" w:rsidRPr="00F45A6E" w:rsidRDefault="002C12E2" w:rsidP="003A690C">
      <w:pPr>
        <w:rPr>
          <w:szCs w:val="22"/>
          <w:lang w:val="sr-Latn-ME"/>
        </w:rPr>
      </w:pPr>
    </w:p>
    <w:p w14:paraId="3CE488C0" w14:textId="77777777" w:rsidR="002C12E2" w:rsidRPr="00F45A6E" w:rsidRDefault="002C12E2" w:rsidP="003A690C">
      <w:pPr>
        <w:rPr>
          <w:szCs w:val="22"/>
          <w:lang w:val="sr-Latn-ME"/>
        </w:rPr>
      </w:pPr>
    </w:p>
    <w:p w14:paraId="2F32BBFB" w14:textId="77777777" w:rsidR="00721CDB" w:rsidRPr="00F45A6E" w:rsidRDefault="00721CDB" w:rsidP="00721CDB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F45A6E">
        <w:rPr>
          <w:b/>
          <w:bCs/>
          <w:szCs w:val="22"/>
          <w:lang w:val="sr-Latn-ME"/>
        </w:rPr>
        <w:t xml:space="preserve">8. </w:t>
      </w:r>
      <w:r w:rsidRPr="00F45A6E">
        <w:rPr>
          <w:b/>
          <w:bCs/>
          <w:szCs w:val="22"/>
          <w:lang w:val="sr-Latn-ME"/>
        </w:rPr>
        <w:tab/>
        <w:t>BROJ DOZVOLE ZA STAVLJANJE LIJEKA U PROMET</w:t>
      </w:r>
    </w:p>
    <w:p w14:paraId="3710E72C" w14:textId="77777777" w:rsidR="001C4F3C" w:rsidRPr="00F45A6E" w:rsidRDefault="001C4F3C" w:rsidP="003A690C">
      <w:pPr>
        <w:pStyle w:val="NASLOV123"/>
        <w:spacing w:before="0" w:after="0"/>
        <w:jc w:val="both"/>
        <w:rPr>
          <w:lang w:val="sr-Latn-ME"/>
        </w:rPr>
      </w:pPr>
    </w:p>
    <w:p w14:paraId="26935EF4" w14:textId="625B9F99" w:rsidR="002C12E2" w:rsidRDefault="00F45A6E" w:rsidP="003A690C">
      <w:pPr>
        <w:pStyle w:val="NASLOV123"/>
        <w:spacing w:before="0" w:after="0"/>
        <w:jc w:val="both"/>
        <w:rPr>
          <w:b w:val="0"/>
          <w:lang w:val="sr-Latn-ME"/>
        </w:rPr>
      </w:pPr>
      <w:r w:rsidRPr="00F45A6E">
        <w:rPr>
          <w:b w:val="0"/>
          <w:lang w:val="sr-Latn-ME"/>
        </w:rPr>
        <w:t>Trabectedin STADA, 0,25 mg, prašak za koncentrat za rastvor za infuziju</w:t>
      </w:r>
      <w:r w:rsidR="001D721C">
        <w:rPr>
          <w:b w:val="0"/>
          <w:lang w:val="sr-Latn-ME"/>
        </w:rPr>
        <w:t xml:space="preserve">: </w:t>
      </w:r>
      <w:r w:rsidR="001D721C" w:rsidRPr="001D721C">
        <w:rPr>
          <w:b w:val="0"/>
          <w:lang w:val="sr-Latn-ME"/>
        </w:rPr>
        <w:t>2030/25/2795 - 2019</w:t>
      </w:r>
    </w:p>
    <w:p w14:paraId="27769489" w14:textId="6CBD428A" w:rsidR="00F45A6E" w:rsidRPr="00F45A6E" w:rsidRDefault="00F45A6E" w:rsidP="003A690C">
      <w:pPr>
        <w:pStyle w:val="NASLOV123"/>
        <w:spacing w:before="0" w:after="0"/>
        <w:jc w:val="both"/>
        <w:rPr>
          <w:b w:val="0"/>
          <w:lang w:val="sr-Latn-ME"/>
        </w:rPr>
      </w:pPr>
      <w:r w:rsidRPr="00F45A6E">
        <w:rPr>
          <w:b w:val="0"/>
          <w:lang w:val="sr-Latn-ME"/>
        </w:rPr>
        <w:t>Trabectedin STADA, 1 mg, prašak za koncentrat za rastvor za infuziju</w:t>
      </w:r>
      <w:r w:rsidR="001D721C">
        <w:rPr>
          <w:b w:val="0"/>
          <w:lang w:val="sr-Latn-ME"/>
        </w:rPr>
        <w:t xml:space="preserve">: </w:t>
      </w:r>
      <w:r w:rsidR="001D721C" w:rsidRPr="001D721C">
        <w:rPr>
          <w:b w:val="0"/>
          <w:lang w:val="sr-Latn-ME"/>
        </w:rPr>
        <w:t>2030/25/2796 - 2020</w:t>
      </w:r>
    </w:p>
    <w:p w14:paraId="0523E753" w14:textId="77777777" w:rsidR="002C12E2" w:rsidRPr="00F45A6E" w:rsidRDefault="002C12E2" w:rsidP="003A690C">
      <w:pPr>
        <w:pStyle w:val="NASLOV123"/>
        <w:spacing w:before="0" w:after="0"/>
        <w:jc w:val="both"/>
        <w:rPr>
          <w:lang w:val="sr-Latn-ME"/>
        </w:rPr>
      </w:pPr>
    </w:p>
    <w:p w14:paraId="1028DFB3" w14:textId="09CAE137" w:rsidR="002C12E2" w:rsidRDefault="002C12E2" w:rsidP="003A690C">
      <w:pPr>
        <w:pStyle w:val="NASLOV123"/>
        <w:spacing w:before="0" w:after="0"/>
        <w:jc w:val="both"/>
        <w:rPr>
          <w:lang w:val="sr-Latn-ME"/>
        </w:rPr>
      </w:pPr>
    </w:p>
    <w:p w14:paraId="472EA371" w14:textId="77777777" w:rsidR="001D721C" w:rsidRPr="00F45A6E" w:rsidRDefault="001D721C" w:rsidP="003A690C">
      <w:pPr>
        <w:pStyle w:val="NASLOV123"/>
        <w:spacing w:before="0" w:after="0"/>
        <w:jc w:val="both"/>
        <w:rPr>
          <w:lang w:val="sr-Latn-ME"/>
        </w:rPr>
      </w:pPr>
    </w:p>
    <w:p w14:paraId="2937CC73" w14:textId="77777777" w:rsidR="00721CDB" w:rsidRPr="00F45A6E" w:rsidRDefault="00721CDB" w:rsidP="00721CDB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bookmarkStart w:id="0" w:name="_GoBack"/>
      <w:bookmarkEnd w:id="0"/>
      <w:r w:rsidRPr="00F45A6E">
        <w:rPr>
          <w:b/>
          <w:bCs/>
          <w:szCs w:val="22"/>
          <w:lang w:val="sr-Latn-ME"/>
        </w:rPr>
        <w:lastRenderedPageBreak/>
        <w:t xml:space="preserve">9. </w:t>
      </w:r>
      <w:r w:rsidRPr="00F45A6E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173347D8" w14:textId="77777777" w:rsidR="002C12E2" w:rsidRPr="00F45A6E" w:rsidRDefault="002C12E2" w:rsidP="003A690C">
      <w:pPr>
        <w:pStyle w:val="NASLOV123"/>
        <w:spacing w:before="0" w:after="0"/>
        <w:jc w:val="both"/>
        <w:rPr>
          <w:lang w:val="sr-Latn-ME"/>
        </w:rPr>
      </w:pPr>
    </w:p>
    <w:p w14:paraId="38B82B15" w14:textId="7542283D" w:rsidR="002C12E2" w:rsidRPr="001D721C" w:rsidRDefault="001D721C" w:rsidP="003A690C">
      <w:pPr>
        <w:pStyle w:val="NASLOV123"/>
        <w:spacing w:before="0" w:after="0"/>
        <w:jc w:val="both"/>
        <w:rPr>
          <w:b w:val="0"/>
          <w:lang w:val="sr-Latn-ME"/>
        </w:rPr>
      </w:pPr>
      <w:r w:rsidRPr="001D721C">
        <w:rPr>
          <w:b w:val="0"/>
          <w:lang w:val="sr-Latn-ME"/>
        </w:rPr>
        <w:t>31.07.2025. godine</w:t>
      </w:r>
    </w:p>
    <w:p w14:paraId="1AC5DF47" w14:textId="08B13255" w:rsidR="001D721C" w:rsidRDefault="001D721C" w:rsidP="003A690C">
      <w:pPr>
        <w:pStyle w:val="NASLOV123"/>
        <w:spacing w:before="0" w:after="0"/>
        <w:jc w:val="both"/>
        <w:rPr>
          <w:lang w:val="sr-Latn-ME"/>
        </w:rPr>
      </w:pPr>
    </w:p>
    <w:p w14:paraId="10E48F58" w14:textId="77777777" w:rsidR="001D721C" w:rsidRPr="00F45A6E" w:rsidRDefault="001D721C" w:rsidP="003A690C">
      <w:pPr>
        <w:pStyle w:val="NASLOV123"/>
        <w:spacing w:before="0" w:after="0"/>
        <w:jc w:val="both"/>
        <w:rPr>
          <w:lang w:val="sr-Latn-ME"/>
        </w:rPr>
      </w:pPr>
    </w:p>
    <w:p w14:paraId="5790E391" w14:textId="77777777" w:rsidR="009C4A5F" w:rsidRPr="00F45A6E" w:rsidRDefault="00C56B8F" w:rsidP="003A690C">
      <w:pPr>
        <w:pStyle w:val="NASLOV123"/>
        <w:spacing w:before="0" w:after="0"/>
        <w:jc w:val="both"/>
        <w:rPr>
          <w:lang w:val="sr-Latn-ME"/>
        </w:rPr>
      </w:pPr>
      <w:r w:rsidRPr="00F45A6E">
        <w:rPr>
          <w:lang w:val="sr-Latn-ME"/>
        </w:rPr>
        <w:t>10. DATUM REVIZIJE TEKSTA</w:t>
      </w:r>
    </w:p>
    <w:p w14:paraId="49F2B2C4" w14:textId="77777777" w:rsidR="002C12E2" w:rsidRPr="00F45A6E" w:rsidRDefault="002C12E2" w:rsidP="003A690C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4E61D232" w14:textId="5B7E9ED2" w:rsidR="00335F21" w:rsidRPr="001D721C" w:rsidRDefault="001D721C">
      <w:pPr>
        <w:pStyle w:val="NASLOV123"/>
        <w:spacing w:before="0" w:after="0"/>
        <w:jc w:val="both"/>
        <w:rPr>
          <w:b w:val="0"/>
          <w:lang w:val="sr-Latn-ME"/>
        </w:rPr>
      </w:pPr>
      <w:r w:rsidRPr="001D721C">
        <w:rPr>
          <w:b w:val="0"/>
          <w:lang w:val="sr-Latn-ME"/>
        </w:rPr>
        <w:t>Jul, 2025. godine</w:t>
      </w:r>
    </w:p>
    <w:sectPr w:rsidR="00335F21" w:rsidRPr="001D721C" w:rsidSect="00C92281">
      <w:footerReference w:type="even" r:id="rId15"/>
      <w:footerReference w:type="defaul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6709" w14:textId="77777777" w:rsidR="004B77F0" w:rsidRDefault="004B77F0">
      <w:r>
        <w:separator/>
      </w:r>
    </w:p>
  </w:endnote>
  <w:endnote w:type="continuationSeparator" w:id="0">
    <w:p w14:paraId="20C45030" w14:textId="77777777" w:rsidR="004B77F0" w:rsidRDefault="004B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36CB" w14:textId="216C2F4D" w:rsidR="00F45A6E" w:rsidRDefault="00F45A6E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54E5DCC4" w14:textId="77777777" w:rsidR="00F45A6E" w:rsidRDefault="00F45A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5B15" w14:textId="351CE847" w:rsidR="00F45A6E" w:rsidRPr="004F5E05" w:rsidRDefault="00F45A6E" w:rsidP="00C92281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C86C49">
      <w:rPr>
        <w:noProof/>
        <w:szCs w:val="22"/>
      </w:rPr>
      <w:t>17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C86C49">
      <w:rPr>
        <w:noProof/>
        <w:szCs w:val="22"/>
      </w:rPr>
      <w:t>20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05BF" w14:textId="77777777" w:rsidR="004B77F0" w:rsidRDefault="004B77F0">
      <w:r>
        <w:separator/>
      </w:r>
    </w:p>
  </w:footnote>
  <w:footnote w:type="continuationSeparator" w:id="0">
    <w:p w14:paraId="6D34916A" w14:textId="77777777" w:rsidR="004B77F0" w:rsidRDefault="004B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EE06531"/>
    <w:multiLevelType w:val="hybridMultilevel"/>
    <w:tmpl w:val="D74639E2"/>
    <w:lvl w:ilvl="0" w:tplc="64FEF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517E"/>
    <w:multiLevelType w:val="hybridMultilevel"/>
    <w:tmpl w:val="3C06083C"/>
    <w:lvl w:ilvl="0" w:tplc="F27AF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9B4C0A"/>
    <w:multiLevelType w:val="hybridMultilevel"/>
    <w:tmpl w:val="356E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5398E"/>
    <w:multiLevelType w:val="hybridMultilevel"/>
    <w:tmpl w:val="14961216"/>
    <w:lvl w:ilvl="0" w:tplc="F27AF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63DF"/>
    <w:multiLevelType w:val="hybridMultilevel"/>
    <w:tmpl w:val="65EEECA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7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activeWritingStyle w:appName="MSWord" w:lang="it-IT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B84"/>
    <w:rsid w:val="000019A0"/>
    <w:rsid w:val="0000277F"/>
    <w:rsid w:val="00003312"/>
    <w:rsid w:val="00006FFB"/>
    <w:rsid w:val="0001111B"/>
    <w:rsid w:val="000111E7"/>
    <w:rsid w:val="000131EF"/>
    <w:rsid w:val="00014B41"/>
    <w:rsid w:val="00014FDE"/>
    <w:rsid w:val="000155A5"/>
    <w:rsid w:val="000155A6"/>
    <w:rsid w:val="00017801"/>
    <w:rsid w:val="00020469"/>
    <w:rsid w:val="0002226F"/>
    <w:rsid w:val="00022A4A"/>
    <w:rsid w:val="00024E60"/>
    <w:rsid w:val="00025B86"/>
    <w:rsid w:val="0002721B"/>
    <w:rsid w:val="00027831"/>
    <w:rsid w:val="00031EC5"/>
    <w:rsid w:val="00033645"/>
    <w:rsid w:val="000358B0"/>
    <w:rsid w:val="00035B6C"/>
    <w:rsid w:val="00040377"/>
    <w:rsid w:val="00040958"/>
    <w:rsid w:val="000434DD"/>
    <w:rsid w:val="00044E00"/>
    <w:rsid w:val="00050131"/>
    <w:rsid w:val="00051ACE"/>
    <w:rsid w:val="000520B1"/>
    <w:rsid w:val="00053449"/>
    <w:rsid w:val="0005798D"/>
    <w:rsid w:val="00060BC2"/>
    <w:rsid w:val="00063997"/>
    <w:rsid w:val="00064273"/>
    <w:rsid w:val="00065749"/>
    <w:rsid w:val="00072195"/>
    <w:rsid w:val="0007409D"/>
    <w:rsid w:val="00075BE6"/>
    <w:rsid w:val="00075C70"/>
    <w:rsid w:val="00083BE0"/>
    <w:rsid w:val="00083D49"/>
    <w:rsid w:val="00085B37"/>
    <w:rsid w:val="00087E17"/>
    <w:rsid w:val="00090C8E"/>
    <w:rsid w:val="00090FA3"/>
    <w:rsid w:val="00092E40"/>
    <w:rsid w:val="000932E9"/>
    <w:rsid w:val="00095FB6"/>
    <w:rsid w:val="0009624C"/>
    <w:rsid w:val="00096CC4"/>
    <w:rsid w:val="0009758B"/>
    <w:rsid w:val="00097EE4"/>
    <w:rsid w:val="000A0F4A"/>
    <w:rsid w:val="000A1B1B"/>
    <w:rsid w:val="000A2705"/>
    <w:rsid w:val="000B5050"/>
    <w:rsid w:val="000C37BB"/>
    <w:rsid w:val="000C401D"/>
    <w:rsid w:val="000C50C2"/>
    <w:rsid w:val="000D40FD"/>
    <w:rsid w:val="000D54B1"/>
    <w:rsid w:val="000D5631"/>
    <w:rsid w:val="000D71B8"/>
    <w:rsid w:val="000E2BD9"/>
    <w:rsid w:val="000E2F9F"/>
    <w:rsid w:val="000E35BB"/>
    <w:rsid w:val="000E419A"/>
    <w:rsid w:val="000E4A01"/>
    <w:rsid w:val="000E60ED"/>
    <w:rsid w:val="000E75C0"/>
    <w:rsid w:val="000F07A5"/>
    <w:rsid w:val="000F0F4D"/>
    <w:rsid w:val="000F326D"/>
    <w:rsid w:val="000F4254"/>
    <w:rsid w:val="000F4CB8"/>
    <w:rsid w:val="000F5997"/>
    <w:rsid w:val="000F61FA"/>
    <w:rsid w:val="000F792C"/>
    <w:rsid w:val="0010259C"/>
    <w:rsid w:val="00102C2D"/>
    <w:rsid w:val="00102EF8"/>
    <w:rsid w:val="00103B40"/>
    <w:rsid w:val="00106A8F"/>
    <w:rsid w:val="00111955"/>
    <w:rsid w:val="00113FD7"/>
    <w:rsid w:val="00114A87"/>
    <w:rsid w:val="00117E83"/>
    <w:rsid w:val="0012681E"/>
    <w:rsid w:val="0013157B"/>
    <w:rsid w:val="00133B90"/>
    <w:rsid w:val="00134B27"/>
    <w:rsid w:val="001379C2"/>
    <w:rsid w:val="0014095A"/>
    <w:rsid w:val="001409F2"/>
    <w:rsid w:val="00140DA9"/>
    <w:rsid w:val="001410C3"/>
    <w:rsid w:val="00141639"/>
    <w:rsid w:val="0014180A"/>
    <w:rsid w:val="00141FAF"/>
    <w:rsid w:val="0014331A"/>
    <w:rsid w:val="00145628"/>
    <w:rsid w:val="001633DA"/>
    <w:rsid w:val="00163803"/>
    <w:rsid w:val="00164D3F"/>
    <w:rsid w:val="00166755"/>
    <w:rsid w:val="00173D18"/>
    <w:rsid w:val="00175772"/>
    <w:rsid w:val="00175A7E"/>
    <w:rsid w:val="001773C0"/>
    <w:rsid w:val="00180169"/>
    <w:rsid w:val="001803FD"/>
    <w:rsid w:val="0018225E"/>
    <w:rsid w:val="00182597"/>
    <w:rsid w:val="001831BF"/>
    <w:rsid w:val="00184FFA"/>
    <w:rsid w:val="001850EC"/>
    <w:rsid w:val="0018601D"/>
    <w:rsid w:val="001867D7"/>
    <w:rsid w:val="00187D6A"/>
    <w:rsid w:val="00190BF3"/>
    <w:rsid w:val="00190D9A"/>
    <w:rsid w:val="00192D66"/>
    <w:rsid w:val="0019447B"/>
    <w:rsid w:val="0019515C"/>
    <w:rsid w:val="00196294"/>
    <w:rsid w:val="00196593"/>
    <w:rsid w:val="001972CD"/>
    <w:rsid w:val="001A0145"/>
    <w:rsid w:val="001A0DB4"/>
    <w:rsid w:val="001A1966"/>
    <w:rsid w:val="001A22D7"/>
    <w:rsid w:val="001A35E6"/>
    <w:rsid w:val="001B4132"/>
    <w:rsid w:val="001B4254"/>
    <w:rsid w:val="001B47BA"/>
    <w:rsid w:val="001B706A"/>
    <w:rsid w:val="001B737B"/>
    <w:rsid w:val="001C0617"/>
    <w:rsid w:val="001C12FF"/>
    <w:rsid w:val="001C1B7F"/>
    <w:rsid w:val="001C309B"/>
    <w:rsid w:val="001C34EE"/>
    <w:rsid w:val="001C3F14"/>
    <w:rsid w:val="001C4F3C"/>
    <w:rsid w:val="001C6780"/>
    <w:rsid w:val="001D0A45"/>
    <w:rsid w:val="001D10C9"/>
    <w:rsid w:val="001D41F1"/>
    <w:rsid w:val="001D6C3F"/>
    <w:rsid w:val="001D721C"/>
    <w:rsid w:val="001E0A07"/>
    <w:rsid w:val="001E1750"/>
    <w:rsid w:val="001E24B1"/>
    <w:rsid w:val="001E2A52"/>
    <w:rsid w:val="001E6145"/>
    <w:rsid w:val="001F17A8"/>
    <w:rsid w:val="001F2727"/>
    <w:rsid w:val="001F2D4E"/>
    <w:rsid w:val="001F39B6"/>
    <w:rsid w:val="001F6524"/>
    <w:rsid w:val="001F7685"/>
    <w:rsid w:val="002000CE"/>
    <w:rsid w:val="00201027"/>
    <w:rsid w:val="002014B6"/>
    <w:rsid w:val="00201505"/>
    <w:rsid w:val="002016D0"/>
    <w:rsid w:val="00202A37"/>
    <w:rsid w:val="002067FA"/>
    <w:rsid w:val="0021134C"/>
    <w:rsid w:val="00213F96"/>
    <w:rsid w:val="00214861"/>
    <w:rsid w:val="00214AA9"/>
    <w:rsid w:val="00214DDE"/>
    <w:rsid w:val="002155F1"/>
    <w:rsid w:val="00220B24"/>
    <w:rsid w:val="0022218E"/>
    <w:rsid w:val="0022223A"/>
    <w:rsid w:val="0022558F"/>
    <w:rsid w:val="00225E0E"/>
    <w:rsid w:val="0022618F"/>
    <w:rsid w:val="0023054A"/>
    <w:rsid w:val="00230B09"/>
    <w:rsid w:val="00231597"/>
    <w:rsid w:val="00232B00"/>
    <w:rsid w:val="00234544"/>
    <w:rsid w:val="002354E5"/>
    <w:rsid w:val="00235974"/>
    <w:rsid w:val="00235BD9"/>
    <w:rsid w:val="0023644A"/>
    <w:rsid w:val="002376BA"/>
    <w:rsid w:val="0023794C"/>
    <w:rsid w:val="0023798C"/>
    <w:rsid w:val="0024004D"/>
    <w:rsid w:val="00240422"/>
    <w:rsid w:val="00240E0F"/>
    <w:rsid w:val="0024132F"/>
    <w:rsid w:val="00242CD3"/>
    <w:rsid w:val="00242DCD"/>
    <w:rsid w:val="00243762"/>
    <w:rsid w:val="00244040"/>
    <w:rsid w:val="002466BA"/>
    <w:rsid w:val="0024717C"/>
    <w:rsid w:val="00247C5C"/>
    <w:rsid w:val="00255665"/>
    <w:rsid w:val="00255CD5"/>
    <w:rsid w:val="0026185D"/>
    <w:rsid w:val="0026261C"/>
    <w:rsid w:val="00262EF0"/>
    <w:rsid w:val="00263210"/>
    <w:rsid w:val="00264164"/>
    <w:rsid w:val="00265152"/>
    <w:rsid w:val="002656FE"/>
    <w:rsid w:val="00270AA0"/>
    <w:rsid w:val="00273746"/>
    <w:rsid w:val="00273BE0"/>
    <w:rsid w:val="0028055B"/>
    <w:rsid w:val="0028231F"/>
    <w:rsid w:val="00283579"/>
    <w:rsid w:val="00283A38"/>
    <w:rsid w:val="00291F0F"/>
    <w:rsid w:val="00293A3B"/>
    <w:rsid w:val="00294792"/>
    <w:rsid w:val="002A4F60"/>
    <w:rsid w:val="002A5F9C"/>
    <w:rsid w:val="002B1949"/>
    <w:rsid w:val="002B5374"/>
    <w:rsid w:val="002B6BC4"/>
    <w:rsid w:val="002B6F6A"/>
    <w:rsid w:val="002B7D88"/>
    <w:rsid w:val="002B7DB5"/>
    <w:rsid w:val="002B7F93"/>
    <w:rsid w:val="002C0312"/>
    <w:rsid w:val="002C0E0C"/>
    <w:rsid w:val="002C0FBF"/>
    <w:rsid w:val="002C100A"/>
    <w:rsid w:val="002C12E2"/>
    <w:rsid w:val="002C21B9"/>
    <w:rsid w:val="002C2325"/>
    <w:rsid w:val="002C2A88"/>
    <w:rsid w:val="002C30EA"/>
    <w:rsid w:val="002C449D"/>
    <w:rsid w:val="002C7888"/>
    <w:rsid w:val="002C7D50"/>
    <w:rsid w:val="002D156F"/>
    <w:rsid w:val="002D24B7"/>
    <w:rsid w:val="002D39BD"/>
    <w:rsid w:val="002E08B7"/>
    <w:rsid w:val="002F2AE2"/>
    <w:rsid w:val="002F3A30"/>
    <w:rsid w:val="002F59B2"/>
    <w:rsid w:val="002F5E2F"/>
    <w:rsid w:val="00301707"/>
    <w:rsid w:val="003047D5"/>
    <w:rsid w:val="003053C6"/>
    <w:rsid w:val="00311796"/>
    <w:rsid w:val="00312E01"/>
    <w:rsid w:val="00313FE9"/>
    <w:rsid w:val="00316FC0"/>
    <w:rsid w:val="00317F84"/>
    <w:rsid w:val="00325563"/>
    <w:rsid w:val="00326270"/>
    <w:rsid w:val="003269E9"/>
    <w:rsid w:val="003302DA"/>
    <w:rsid w:val="00331DA0"/>
    <w:rsid w:val="003326AC"/>
    <w:rsid w:val="0033454A"/>
    <w:rsid w:val="003348F2"/>
    <w:rsid w:val="00335F21"/>
    <w:rsid w:val="00344431"/>
    <w:rsid w:val="00344680"/>
    <w:rsid w:val="003452C0"/>
    <w:rsid w:val="0034587E"/>
    <w:rsid w:val="00350243"/>
    <w:rsid w:val="00350E81"/>
    <w:rsid w:val="003515CD"/>
    <w:rsid w:val="00351CFF"/>
    <w:rsid w:val="003555D7"/>
    <w:rsid w:val="00356E4D"/>
    <w:rsid w:val="00356E64"/>
    <w:rsid w:val="0035767C"/>
    <w:rsid w:val="003604E5"/>
    <w:rsid w:val="00364B77"/>
    <w:rsid w:val="00365AF2"/>
    <w:rsid w:val="00365C10"/>
    <w:rsid w:val="00367142"/>
    <w:rsid w:val="003743E4"/>
    <w:rsid w:val="00376A47"/>
    <w:rsid w:val="00376A5D"/>
    <w:rsid w:val="00376F1D"/>
    <w:rsid w:val="00381BFD"/>
    <w:rsid w:val="00383195"/>
    <w:rsid w:val="00383E37"/>
    <w:rsid w:val="0038529D"/>
    <w:rsid w:val="0039112A"/>
    <w:rsid w:val="00391243"/>
    <w:rsid w:val="003957FE"/>
    <w:rsid w:val="00397845"/>
    <w:rsid w:val="00397E40"/>
    <w:rsid w:val="003A053C"/>
    <w:rsid w:val="003A0851"/>
    <w:rsid w:val="003A09C1"/>
    <w:rsid w:val="003A2DF8"/>
    <w:rsid w:val="003A3AB7"/>
    <w:rsid w:val="003A68B6"/>
    <w:rsid w:val="003A690C"/>
    <w:rsid w:val="003A7371"/>
    <w:rsid w:val="003B2082"/>
    <w:rsid w:val="003B21A9"/>
    <w:rsid w:val="003B349C"/>
    <w:rsid w:val="003B358B"/>
    <w:rsid w:val="003B685B"/>
    <w:rsid w:val="003B6E43"/>
    <w:rsid w:val="003C0471"/>
    <w:rsid w:val="003C108A"/>
    <w:rsid w:val="003C1741"/>
    <w:rsid w:val="003C18A4"/>
    <w:rsid w:val="003C1C92"/>
    <w:rsid w:val="003C3C81"/>
    <w:rsid w:val="003D2504"/>
    <w:rsid w:val="003D250C"/>
    <w:rsid w:val="003D64C9"/>
    <w:rsid w:val="003E031C"/>
    <w:rsid w:val="003E2052"/>
    <w:rsid w:val="003E36C4"/>
    <w:rsid w:val="003E3EC7"/>
    <w:rsid w:val="003E5A9B"/>
    <w:rsid w:val="003F16ED"/>
    <w:rsid w:val="003F34FF"/>
    <w:rsid w:val="003F4E5D"/>
    <w:rsid w:val="00404AF5"/>
    <w:rsid w:val="00404CE7"/>
    <w:rsid w:val="00407ECC"/>
    <w:rsid w:val="00411116"/>
    <w:rsid w:val="00411C3C"/>
    <w:rsid w:val="004123CD"/>
    <w:rsid w:val="00416EDB"/>
    <w:rsid w:val="00421C3A"/>
    <w:rsid w:val="00422709"/>
    <w:rsid w:val="00422A60"/>
    <w:rsid w:val="004234ED"/>
    <w:rsid w:val="004243AE"/>
    <w:rsid w:val="0042512C"/>
    <w:rsid w:val="004278CD"/>
    <w:rsid w:val="00427D41"/>
    <w:rsid w:val="0043021B"/>
    <w:rsid w:val="00431814"/>
    <w:rsid w:val="00436643"/>
    <w:rsid w:val="0044072E"/>
    <w:rsid w:val="00440739"/>
    <w:rsid w:val="0044076A"/>
    <w:rsid w:val="00440853"/>
    <w:rsid w:val="0044205E"/>
    <w:rsid w:val="004446FE"/>
    <w:rsid w:val="00444FD6"/>
    <w:rsid w:val="00453B25"/>
    <w:rsid w:val="0045465C"/>
    <w:rsid w:val="00456C37"/>
    <w:rsid w:val="00457018"/>
    <w:rsid w:val="0045776E"/>
    <w:rsid w:val="004603FD"/>
    <w:rsid w:val="0046166E"/>
    <w:rsid w:val="00461BAC"/>
    <w:rsid w:val="0046286D"/>
    <w:rsid w:val="00462C33"/>
    <w:rsid w:val="00463EBE"/>
    <w:rsid w:val="004719AB"/>
    <w:rsid w:val="00472BCC"/>
    <w:rsid w:val="0047338C"/>
    <w:rsid w:val="00477120"/>
    <w:rsid w:val="004776EE"/>
    <w:rsid w:val="00480D37"/>
    <w:rsid w:val="00481CC4"/>
    <w:rsid w:val="00482286"/>
    <w:rsid w:val="00485335"/>
    <w:rsid w:val="004854C4"/>
    <w:rsid w:val="00487B5A"/>
    <w:rsid w:val="00487C51"/>
    <w:rsid w:val="00487DB6"/>
    <w:rsid w:val="00490C25"/>
    <w:rsid w:val="00492248"/>
    <w:rsid w:val="004956E3"/>
    <w:rsid w:val="00497648"/>
    <w:rsid w:val="004A31C5"/>
    <w:rsid w:val="004A31D0"/>
    <w:rsid w:val="004A7253"/>
    <w:rsid w:val="004A7283"/>
    <w:rsid w:val="004B5A11"/>
    <w:rsid w:val="004B5D4C"/>
    <w:rsid w:val="004B7283"/>
    <w:rsid w:val="004B74E1"/>
    <w:rsid w:val="004B77F0"/>
    <w:rsid w:val="004B7A50"/>
    <w:rsid w:val="004C1BA2"/>
    <w:rsid w:val="004C1CCA"/>
    <w:rsid w:val="004C27D3"/>
    <w:rsid w:val="004C4EB9"/>
    <w:rsid w:val="004C6411"/>
    <w:rsid w:val="004D1806"/>
    <w:rsid w:val="004D230F"/>
    <w:rsid w:val="004D4D95"/>
    <w:rsid w:val="004D726E"/>
    <w:rsid w:val="004E0094"/>
    <w:rsid w:val="004E1A6C"/>
    <w:rsid w:val="004E4262"/>
    <w:rsid w:val="004E52D0"/>
    <w:rsid w:val="004E733C"/>
    <w:rsid w:val="004E788F"/>
    <w:rsid w:val="004E7C8D"/>
    <w:rsid w:val="004F0B5C"/>
    <w:rsid w:val="004F3067"/>
    <w:rsid w:val="004F494A"/>
    <w:rsid w:val="004F5E05"/>
    <w:rsid w:val="004F6520"/>
    <w:rsid w:val="004F66DB"/>
    <w:rsid w:val="005032AD"/>
    <w:rsid w:val="00503974"/>
    <w:rsid w:val="00504B5D"/>
    <w:rsid w:val="00505B97"/>
    <w:rsid w:val="00513B17"/>
    <w:rsid w:val="0051508C"/>
    <w:rsid w:val="00521173"/>
    <w:rsid w:val="0052230B"/>
    <w:rsid w:val="00522850"/>
    <w:rsid w:val="005228B3"/>
    <w:rsid w:val="00523C2E"/>
    <w:rsid w:val="00525A8A"/>
    <w:rsid w:val="005261D5"/>
    <w:rsid w:val="00526360"/>
    <w:rsid w:val="005276F0"/>
    <w:rsid w:val="00530909"/>
    <w:rsid w:val="00532F58"/>
    <w:rsid w:val="005331EC"/>
    <w:rsid w:val="00533D91"/>
    <w:rsid w:val="005352EB"/>
    <w:rsid w:val="00535C65"/>
    <w:rsid w:val="00535F02"/>
    <w:rsid w:val="0053757E"/>
    <w:rsid w:val="005408A1"/>
    <w:rsid w:val="005423D0"/>
    <w:rsid w:val="00543FA7"/>
    <w:rsid w:val="00544127"/>
    <w:rsid w:val="00551177"/>
    <w:rsid w:val="00553303"/>
    <w:rsid w:val="005556E0"/>
    <w:rsid w:val="005557D5"/>
    <w:rsid w:val="00562F8B"/>
    <w:rsid w:val="005659CB"/>
    <w:rsid w:val="00570768"/>
    <w:rsid w:val="00570FFD"/>
    <w:rsid w:val="005727FF"/>
    <w:rsid w:val="00573701"/>
    <w:rsid w:val="00576BDC"/>
    <w:rsid w:val="005812A6"/>
    <w:rsid w:val="00586AB2"/>
    <w:rsid w:val="0059422D"/>
    <w:rsid w:val="00594550"/>
    <w:rsid w:val="00596059"/>
    <w:rsid w:val="005A078C"/>
    <w:rsid w:val="005A2350"/>
    <w:rsid w:val="005A2786"/>
    <w:rsid w:val="005A27BF"/>
    <w:rsid w:val="005A2819"/>
    <w:rsid w:val="005A4422"/>
    <w:rsid w:val="005A46D8"/>
    <w:rsid w:val="005A481E"/>
    <w:rsid w:val="005A5604"/>
    <w:rsid w:val="005A5681"/>
    <w:rsid w:val="005A6252"/>
    <w:rsid w:val="005B05EB"/>
    <w:rsid w:val="005B0FE7"/>
    <w:rsid w:val="005B2ABF"/>
    <w:rsid w:val="005B3388"/>
    <w:rsid w:val="005B55BC"/>
    <w:rsid w:val="005B7C11"/>
    <w:rsid w:val="005C01FF"/>
    <w:rsid w:val="005C3738"/>
    <w:rsid w:val="005C3F73"/>
    <w:rsid w:val="005C6573"/>
    <w:rsid w:val="005C7891"/>
    <w:rsid w:val="005D1DF0"/>
    <w:rsid w:val="005D2FA7"/>
    <w:rsid w:val="005D5C66"/>
    <w:rsid w:val="005E19AC"/>
    <w:rsid w:val="005E2BBF"/>
    <w:rsid w:val="005E3B72"/>
    <w:rsid w:val="005E40D0"/>
    <w:rsid w:val="005F1154"/>
    <w:rsid w:val="005F117E"/>
    <w:rsid w:val="005F1745"/>
    <w:rsid w:val="005F327D"/>
    <w:rsid w:val="005F4F38"/>
    <w:rsid w:val="005F7821"/>
    <w:rsid w:val="00600E52"/>
    <w:rsid w:val="00603302"/>
    <w:rsid w:val="00604E4F"/>
    <w:rsid w:val="00604FBA"/>
    <w:rsid w:val="00605476"/>
    <w:rsid w:val="006054EE"/>
    <w:rsid w:val="00606C26"/>
    <w:rsid w:val="006118B6"/>
    <w:rsid w:val="006150A3"/>
    <w:rsid w:val="0062297F"/>
    <w:rsid w:val="00624EF1"/>
    <w:rsid w:val="00626B0B"/>
    <w:rsid w:val="006270C0"/>
    <w:rsid w:val="00630195"/>
    <w:rsid w:val="00632CAF"/>
    <w:rsid w:val="00634B84"/>
    <w:rsid w:val="00635661"/>
    <w:rsid w:val="00640548"/>
    <w:rsid w:val="00642CD1"/>
    <w:rsid w:val="00645051"/>
    <w:rsid w:val="006463FD"/>
    <w:rsid w:val="00654A79"/>
    <w:rsid w:val="00654FF1"/>
    <w:rsid w:val="006559AF"/>
    <w:rsid w:val="00657084"/>
    <w:rsid w:val="00657476"/>
    <w:rsid w:val="00660ED5"/>
    <w:rsid w:val="006610B8"/>
    <w:rsid w:val="0066157A"/>
    <w:rsid w:val="00663848"/>
    <w:rsid w:val="00670039"/>
    <w:rsid w:val="006708DC"/>
    <w:rsid w:val="00670BB1"/>
    <w:rsid w:val="00680E9F"/>
    <w:rsid w:val="006916AA"/>
    <w:rsid w:val="00693874"/>
    <w:rsid w:val="00693F46"/>
    <w:rsid w:val="006A7382"/>
    <w:rsid w:val="006A7833"/>
    <w:rsid w:val="006B2013"/>
    <w:rsid w:val="006B686D"/>
    <w:rsid w:val="006B7691"/>
    <w:rsid w:val="006B7C2B"/>
    <w:rsid w:val="006C0602"/>
    <w:rsid w:val="006C0CA8"/>
    <w:rsid w:val="006C7F93"/>
    <w:rsid w:val="006D0971"/>
    <w:rsid w:val="006D1598"/>
    <w:rsid w:val="006D2B24"/>
    <w:rsid w:val="006D4131"/>
    <w:rsid w:val="006D6AE6"/>
    <w:rsid w:val="006D6E26"/>
    <w:rsid w:val="006E0592"/>
    <w:rsid w:val="006E0DCC"/>
    <w:rsid w:val="006E2811"/>
    <w:rsid w:val="006E2A3F"/>
    <w:rsid w:val="006E2B82"/>
    <w:rsid w:val="006E51A7"/>
    <w:rsid w:val="006E7D85"/>
    <w:rsid w:val="006F158F"/>
    <w:rsid w:val="006F3208"/>
    <w:rsid w:val="006F3ED2"/>
    <w:rsid w:val="006F4DCA"/>
    <w:rsid w:val="006F53C9"/>
    <w:rsid w:val="00701F8D"/>
    <w:rsid w:val="00703A71"/>
    <w:rsid w:val="00704DFA"/>
    <w:rsid w:val="007058FF"/>
    <w:rsid w:val="007059E7"/>
    <w:rsid w:val="00705A54"/>
    <w:rsid w:val="00706365"/>
    <w:rsid w:val="00713347"/>
    <w:rsid w:val="00713514"/>
    <w:rsid w:val="00714F0D"/>
    <w:rsid w:val="00720350"/>
    <w:rsid w:val="00721CDB"/>
    <w:rsid w:val="00722152"/>
    <w:rsid w:val="00723200"/>
    <w:rsid w:val="00727BE7"/>
    <w:rsid w:val="00727FF5"/>
    <w:rsid w:val="007323BB"/>
    <w:rsid w:val="0073265F"/>
    <w:rsid w:val="00732CB2"/>
    <w:rsid w:val="0073366F"/>
    <w:rsid w:val="00734DC1"/>
    <w:rsid w:val="00737BDB"/>
    <w:rsid w:val="00746D65"/>
    <w:rsid w:val="00747ADA"/>
    <w:rsid w:val="0075295C"/>
    <w:rsid w:val="00753DC3"/>
    <w:rsid w:val="00756B25"/>
    <w:rsid w:val="007578A0"/>
    <w:rsid w:val="00760F0D"/>
    <w:rsid w:val="007623DF"/>
    <w:rsid w:val="007630B7"/>
    <w:rsid w:val="007638F4"/>
    <w:rsid w:val="00764648"/>
    <w:rsid w:val="00766456"/>
    <w:rsid w:val="007672F3"/>
    <w:rsid w:val="00767B26"/>
    <w:rsid w:val="00776CD6"/>
    <w:rsid w:val="00777AF7"/>
    <w:rsid w:val="00780B2C"/>
    <w:rsid w:val="00782D05"/>
    <w:rsid w:val="007837F6"/>
    <w:rsid w:val="007839A5"/>
    <w:rsid w:val="00794232"/>
    <w:rsid w:val="007942C7"/>
    <w:rsid w:val="007944A0"/>
    <w:rsid w:val="00794A6D"/>
    <w:rsid w:val="00795ABF"/>
    <w:rsid w:val="0079706D"/>
    <w:rsid w:val="007A4C46"/>
    <w:rsid w:val="007A55B5"/>
    <w:rsid w:val="007B16C4"/>
    <w:rsid w:val="007B26AC"/>
    <w:rsid w:val="007B43FE"/>
    <w:rsid w:val="007B674E"/>
    <w:rsid w:val="007C0F01"/>
    <w:rsid w:val="007C159B"/>
    <w:rsid w:val="007C2D7E"/>
    <w:rsid w:val="007C677F"/>
    <w:rsid w:val="007C70F7"/>
    <w:rsid w:val="007D17FD"/>
    <w:rsid w:val="007D48C5"/>
    <w:rsid w:val="007D4900"/>
    <w:rsid w:val="007D4B0C"/>
    <w:rsid w:val="007D52B1"/>
    <w:rsid w:val="007D6B9E"/>
    <w:rsid w:val="007D6FB2"/>
    <w:rsid w:val="007E06F0"/>
    <w:rsid w:val="007E344A"/>
    <w:rsid w:val="007E3612"/>
    <w:rsid w:val="007E576B"/>
    <w:rsid w:val="007E5FE7"/>
    <w:rsid w:val="007E64EF"/>
    <w:rsid w:val="007F1BE3"/>
    <w:rsid w:val="007F1D98"/>
    <w:rsid w:val="007F5113"/>
    <w:rsid w:val="007F656D"/>
    <w:rsid w:val="008020EF"/>
    <w:rsid w:val="00802DFC"/>
    <w:rsid w:val="00804D64"/>
    <w:rsid w:val="0080539C"/>
    <w:rsid w:val="00805530"/>
    <w:rsid w:val="00806199"/>
    <w:rsid w:val="00806530"/>
    <w:rsid w:val="00806689"/>
    <w:rsid w:val="00806AF0"/>
    <w:rsid w:val="00807382"/>
    <w:rsid w:val="00807C97"/>
    <w:rsid w:val="00812C54"/>
    <w:rsid w:val="00812F5D"/>
    <w:rsid w:val="008136C0"/>
    <w:rsid w:val="008138D9"/>
    <w:rsid w:val="00814715"/>
    <w:rsid w:val="00814781"/>
    <w:rsid w:val="00815D4B"/>
    <w:rsid w:val="00815F9D"/>
    <w:rsid w:val="00817728"/>
    <w:rsid w:val="00824497"/>
    <w:rsid w:val="00824919"/>
    <w:rsid w:val="00824EED"/>
    <w:rsid w:val="00825A8D"/>
    <w:rsid w:val="00827398"/>
    <w:rsid w:val="00827804"/>
    <w:rsid w:val="00830061"/>
    <w:rsid w:val="00834DBB"/>
    <w:rsid w:val="008353F3"/>
    <w:rsid w:val="008367EC"/>
    <w:rsid w:val="00837544"/>
    <w:rsid w:val="00841B72"/>
    <w:rsid w:val="00842FFB"/>
    <w:rsid w:val="008443BE"/>
    <w:rsid w:val="0084484B"/>
    <w:rsid w:val="00852433"/>
    <w:rsid w:val="008524C1"/>
    <w:rsid w:val="008572AD"/>
    <w:rsid w:val="008579F2"/>
    <w:rsid w:val="00861859"/>
    <w:rsid w:val="00861BAB"/>
    <w:rsid w:val="0086351A"/>
    <w:rsid w:val="00865EDF"/>
    <w:rsid w:val="00870C64"/>
    <w:rsid w:val="00874B61"/>
    <w:rsid w:val="00877DEC"/>
    <w:rsid w:val="00880381"/>
    <w:rsid w:val="0088263A"/>
    <w:rsid w:val="0088266D"/>
    <w:rsid w:val="008846A2"/>
    <w:rsid w:val="00890DC0"/>
    <w:rsid w:val="00893164"/>
    <w:rsid w:val="00895E88"/>
    <w:rsid w:val="008960D1"/>
    <w:rsid w:val="008A1AFE"/>
    <w:rsid w:val="008A224C"/>
    <w:rsid w:val="008A2570"/>
    <w:rsid w:val="008A28F8"/>
    <w:rsid w:val="008A470A"/>
    <w:rsid w:val="008A48B7"/>
    <w:rsid w:val="008A7F9B"/>
    <w:rsid w:val="008B0C2B"/>
    <w:rsid w:val="008B22BF"/>
    <w:rsid w:val="008B3B6A"/>
    <w:rsid w:val="008B3EB5"/>
    <w:rsid w:val="008B49A4"/>
    <w:rsid w:val="008B5868"/>
    <w:rsid w:val="008B6415"/>
    <w:rsid w:val="008B6E83"/>
    <w:rsid w:val="008B741B"/>
    <w:rsid w:val="008B7B59"/>
    <w:rsid w:val="008C0BE3"/>
    <w:rsid w:val="008C0C33"/>
    <w:rsid w:val="008C26C1"/>
    <w:rsid w:val="008C4500"/>
    <w:rsid w:val="008C4B9A"/>
    <w:rsid w:val="008C50FE"/>
    <w:rsid w:val="008C5809"/>
    <w:rsid w:val="008C79C0"/>
    <w:rsid w:val="008C7CE8"/>
    <w:rsid w:val="008D0D94"/>
    <w:rsid w:val="008D198F"/>
    <w:rsid w:val="008D78C9"/>
    <w:rsid w:val="008E0FC9"/>
    <w:rsid w:val="008E13B2"/>
    <w:rsid w:val="008E4D9C"/>
    <w:rsid w:val="008E53C5"/>
    <w:rsid w:val="008E59DE"/>
    <w:rsid w:val="008E6794"/>
    <w:rsid w:val="008E7F9B"/>
    <w:rsid w:val="008F0237"/>
    <w:rsid w:val="008F02AF"/>
    <w:rsid w:val="008F1D31"/>
    <w:rsid w:val="008F230C"/>
    <w:rsid w:val="008F6658"/>
    <w:rsid w:val="008F73F9"/>
    <w:rsid w:val="009005C2"/>
    <w:rsid w:val="00902C5E"/>
    <w:rsid w:val="0090494A"/>
    <w:rsid w:val="00904ACF"/>
    <w:rsid w:val="00912504"/>
    <w:rsid w:val="00913684"/>
    <w:rsid w:val="00917A3D"/>
    <w:rsid w:val="00921C12"/>
    <w:rsid w:val="009223AE"/>
    <w:rsid w:val="00922819"/>
    <w:rsid w:val="00923865"/>
    <w:rsid w:val="009258A6"/>
    <w:rsid w:val="0093016E"/>
    <w:rsid w:val="00932A19"/>
    <w:rsid w:val="00932E26"/>
    <w:rsid w:val="00934B4D"/>
    <w:rsid w:val="00934F6C"/>
    <w:rsid w:val="00936BE2"/>
    <w:rsid w:val="00940FE0"/>
    <w:rsid w:val="009453D7"/>
    <w:rsid w:val="009455F7"/>
    <w:rsid w:val="00952785"/>
    <w:rsid w:val="00955C75"/>
    <w:rsid w:val="0096108B"/>
    <w:rsid w:val="00963416"/>
    <w:rsid w:val="00963774"/>
    <w:rsid w:val="009649AD"/>
    <w:rsid w:val="00965764"/>
    <w:rsid w:val="00965ABD"/>
    <w:rsid w:val="00967289"/>
    <w:rsid w:val="009677DF"/>
    <w:rsid w:val="009705C0"/>
    <w:rsid w:val="009710E9"/>
    <w:rsid w:val="009777CE"/>
    <w:rsid w:val="00981408"/>
    <w:rsid w:val="00982A4C"/>
    <w:rsid w:val="009847F9"/>
    <w:rsid w:val="0099448C"/>
    <w:rsid w:val="009946F8"/>
    <w:rsid w:val="0099627D"/>
    <w:rsid w:val="00996788"/>
    <w:rsid w:val="00996D2D"/>
    <w:rsid w:val="00996E6B"/>
    <w:rsid w:val="00997006"/>
    <w:rsid w:val="009A1D64"/>
    <w:rsid w:val="009A4D68"/>
    <w:rsid w:val="009A5BB0"/>
    <w:rsid w:val="009A6809"/>
    <w:rsid w:val="009A7752"/>
    <w:rsid w:val="009A7932"/>
    <w:rsid w:val="009B01BE"/>
    <w:rsid w:val="009B02AF"/>
    <w:rsid w:val="009B0817"/>
    <w:rsid w:val="009B0C08"/>
    <w:rsid w:val="009B0F7E"/>
    <w:rsid w:val="009B1292"/>
    <w:rsid w:val="009B2430"/>
    <w:rsid w:val="009B338B"/>
    <w:rsid w:val="009B5594"/>
    <w:rsid w:val="009B58AD"/>
    <w:rsid w:val="009B61CA"/>
    <w:rsid w:val="009B7935"/>
    <w:rsid w:val="009C1CBC"/>
    <w:rsid w:val="009C30E1"/>
    <w:rsid w:val="009C480A"/>
    <w:rsid w:val="009C4A5F"/>
    <w:rsid w:val="009C612B"/>
    <w:rsid w:val="009C7BA2"/>
    <w:rsid w:val="009D1161"/>
    <w:rsid w:val="009D1C0B"/>
    <w:rsid w:val="009D446C"/>
    <w:rsid w:val="009D667B"/>
    <w:rsid w:val="009E6898"/>
    <w:rsid w:val="009F2637"/>
    <w:rsid w:val="009F438E"/>
    <w:rsid w:val="009F4449"/>
    <w:rsid w:val="009F6C6A"/>
    <w:rsid w:val="009F7207"/>
    <w:rsid w:val="009F75E3"/>
    <w:rsid w:val="009F7E86"/>
    <w:rsid w:val="00A020CF"/>
    <w:rsid w:val="00A02252"/>
    <w:rsid w:val="00A0335A"/>
    <w:rsid w:val="00A06769"/>
    <w:rsid w:val="00A06770"/>
    <w:rsid w:val="00A11527"/>
    <w:rsid w:val="00A127F1"/>
    <w:rsid w:val="00A12909"/>
    <w:rsid w:val="00A12D37"/>
    <w:rsid w:val="00A138CD"/>
    <w:rsid w:val="00A16102"/>
    <w:rsid w:val="00A16F1B"/>
    <w:rsid w:val="00A17AF7"/>
    <w:rsid w:val="00A20922"/>
    <w:rsid w:val="00A22B08"/>
    <w:rsid w:val="00A23FDE"/>
    <w:rsid w:val="00A25952"/>
    <w:rsid w:val="00A26426"/>
    <w:rsid w:val="00A27130"/>
    <w:rsid w:val="00A344C9"/>
    <w:rsid w:val="00A34C6C"/>
    <w:rsid w:val="00A4367E"/>
    <w:rsid w:val="00A44F2A"/>
    <w:rsid w:val="00A452FC"/>
    <w:rsid w:val="00A464D9"/>
    <w:rsid w:val="00A55257"/>
    <w:rsid w:val="00A5608F"/>
    <w:rsid w:val="00A565DD"/>
    <w:rsid w:val="00A56E68"/>
    <w:rsid w:val="00A57888"/>
    <w:rsid w:val="00A605A2"/>
    <w:rsid w:val="00A61B7B"/>
    <w:rsid w:val="00A6540A"/>
    <w:rsid w:val="00A70E96"/>
    <w:rsid w:val="00A7147C"/>
    <w:rsid w:val="00A732B2"/>
    <w:rsid w:val="00A740F6"/>
    <w:rsid w:val="00A74DED"/>
    <w:rsid w:val="00A74F0B"/>
    <w:rsid w:val="00A7660B"/>
    <w:rsid w:val="00A771D2"/>
    <w:rsid w:val="00A77E9F"/>
    <w:rsid w:val="00A77EE5"/>
    <w:rsid w:val="00A8065B"/>
    <w:rsid w:val="00A806D0"/>
    <w:rsid w:val="00A8507D"/>
    <w:rsid w:val="00A85BA9"/>
    <w:rsid w:val="00A86897"/>
    <w:rsid w:val="00A90620"/>
    <w:rsid w:val="00A90E0E"/>
    <w:rsid w:val="00A93613"/>
    <w:rsid w:val="00A93E83"/>
    <w:rsid w:val="00A95733"/>
    <w:rsid w:val="00AA0063"/>
    <w:rsid w:val="00AA18BC"/>
    <w:rsid w:val="00AA3729"/>
    <w:rsid w:val="00AA5F5D"/>
    <w:rsid w:val="00AA6171"/>
    <w:rsid w:val="00AB0777"/>
    <w:rsid w:val="00AB309E"/>
    <w:rsid w:val="00AB5465"/>
    <w:rsid w:val="00AB61CA"/>
    <w:rsid w:val="00AB6C3B"/>
    <w:rsid w:val="00AC15E4"/>
    <w:rsid w:val="00AD18CF"/>
    <w:rsid w:val="00AD19A5"/>
    <w:rsid w:val="00AD1FF9"/>
    <w:rsid w:val="00AD2818"/>
    <w:rsid w:val="00AD2F5B"/>
    <w:rsid w:val="00AD6AAD"/>
    <w:rsid w:val="00AE0FA4"/>
    <w:rsid w:val="00AF0269"/>
    <w:rsid w:val="00AF0AFF"/>
    <w:rsid w:val="00AF1617"/>
    <w:rsid w:val="00AF2B1A"/>
    <w:rsid w:val="00AF4349"/>
    <w:rsid w:val="00AF4744"/>
    <w:rsid w:val="00AF7BF6"/>
    <w:rsid w:val="00B004CB"/>
    <w:rsid w:val="00B065A6"/>
    <w:rsid w:val="00B073B9"/>
    <w:rsid w:val="00B079DD"/>
    <w:rsid w:val="00B10B8D"/>
    <w:rsid w:val="00B175EF"/>
    <w:rsid w:val="00B2278D"/>
    <w:rsid w:val="00B22B5F"/>
    <w:rsid w:val="00B239EF"/>
    <w:rsid w:val="00B23E2E"/>
    <w:rsid w:val="00B2446A"/>
    <w:rsid w:val="00B25CDF"/>
    <w:rsid w:val="00B26434"/>
    <w:rsid w:val="00B26FAC"/>
    <w:rsid w:val="00B272B5"/>
    <w:rsid w:val="00B27C42"/>
    <w:rsid w:val="00B27DB3"/>
    <w:rsid w:val="00B3098A"/>
    <w:rsid w:val="00B31AA2"/>
    <w:rsid w:val="00B3375C"/>
    <w:rsid w:val="00B33AB6"/>
    <w:rsid w:val="00B34F62"/>
    <w:rsid w:val="00B35578"/>
    <w:rsid w:val="00B366A3"/>
    <w:rsid w:val="00B36FD5"/>
    <w:rsid w:val="00B37CEB"/>
    <w:rsid w:val="00B445E8"/>
    <w:rsid w:val="00B4498B"/>
    <w:rsid w:val="00B44BC3"/>
    <w:rsid w:val="00B463A5"/>
    <w:rsid w:val="00B52302"/>
    <w:rsid w:val="00B53FEB"/>
    <w:rsid w:val="00B55CA9"/>
    <w:rsid w:val="00B57D27"/>
    <w:rsid w:val="00B63273"/>
    <w:rsid w:val="00B642BC"/>
    <w:rsid w:val="00B65065"/>
    <w:rsid w:val="00B65DC6"/>
    <w:rsid w:val="00B71C78"/>
    <w:rsid w:val="00B7305E"/>
    <w:rsid w:val="00B74C0B"/>
    <w:rsid w:val="00B82AA7"/>
    <w:rsid w:val="00B8400D"/>
    <w:rsid w:val="00B93A37"/>
    <w:rsid w:val="00BA0941"/>
    <w:rsid w:val="00BA1819"/>
    <w:rsid w:val="00BA49BC"/>
    <w:rsid w:val="00BA5A22"/>
    <w:rsid w:val="00BA6414"/>
    <w:rsid w:val="00BA7B29"/>
    <w:rsid w:val="00BA7D49"/>
    <w:rsid w:val="00BB12F1"/>
    <w:rsid w:val="00BB3A7F"/>
    <w:rsid w:val="00BB55E5"/>
    <w:rsid w:val="00BB7463"/>
    <w:rsid w:val="00BC012E"/>
    <w:rsid w:val="00BC4116"/>
    <w:rsid w:val="00BC4B19"/>
    <w:rsid w:val="00BC5B88"/>
    <w:rsid w:val="00BC6319"/>
    <w:rsid w:val="00BD4C1F"/>
    <w:rsid w:val="00BD55CD"/>
    <w:rsid w:val="00BD6EF5"/>
    <w:rsid w:val="00BD725A"/>
    <w:rsid w:val="00BE04D1"/>
    <w:rsid w:val="00BE401D"/>
    <w:rsid w:val="00BF049E"/>
    <w:rsid w:val="00BF3750"/>
    <w:rsid w:val="00BF3FA7"/>
    <w:rsid w:val="00BF49C7"/>
    <w:rsid w:val="00BF4DC4"/>
    <w:rsid w:val="00C00EE7"/>
    <w:rsid w:val="00C02EEB"/>
    <w:rsid w:val="00C04043"/>
    <w:rsid w:val="00C06244"/>
    <w:rsid w:val="00C07737"/>
    <w:rsid w:val="00C07AF1"/>
    <w:rsid w:val="00C14289"/>
    <w:rsid w:val="00C157E6"/>
    <w:rsid w:val="00C16076"/>
    <w:rsid w:val="00C205D6"/>
    <w:rsid w:val="00C22654"/>
    <w:rsid w:val="00C25BA9"/>
    <w:rsid w:val="00C26119"/>
    <w:rsid w:val="00C338AF"/>
    <w:rsid w:val="00C36220"/>
    <w:rsid w:val="00C36ADF"/>
    <w:rsid w:val="00C37192"/>
    <w:rsid w:val="00C373BF"/>
    <w:rsid w:val="00C42B6D"/>
    <w:rsid w:val="00C4393D"/>
    <w:rsid w:val="00C4404F"/>
    <w:rsid w:val="00C47374"/>
    <w:rsid w:val="00C536C2"/>
    <w:rsid w:val="00C55F47"/>
    <w:rsid w:val="00C56B8F"/>
    <w:rsid w:val="00C56E2E"/>
    <w:rsid w:val="00C6236C"/>
    <w:rsid w:val="00C626E0"/>
    <w:rsid w:val="00C64A31"/>
    <w:rsid w:val="00C72ABE"/>
    <w:rsid w:val="00C72B6B"/>
    <w:rsid w:val="00C72C52"/>
    <w:rsid w:val="00C7542D"/>
    <w:rsid w:val="00C75BCC"/>
    <w:rsid w:val="00C76C34"/>
    <w:rsid w:val="00C7723F"/>
    <w:rsid w:val="00C80485"/>
    <w:rsid w:val="00C82E8B"/>
    <w:rsid w:val="00C836C1"/>
    <w:rsid w:val="00C83D62"/>
    <w:rsid w:val="00C85245"/>
    <w:rsid w:val="00C85E94"/>
    <w:rsid w:val="00C86C49"/>
    <w:rsid w:val="00C878E7"/>
    <w:rsid w:val="00C9120A"/>
    <w:rsid w:val="00C92281"/>
    <w:rsid w:val="00C92597"/>
    <w:rsid w:val="00C94A03"/>
    <w:rsid w:val="00C95251"/>
    <w:rsid w:val="00C96A8D"/>
    <w:rsid w:val="00C97FC4"/>
    <w:rsid w:val="00CA0692"/>
    <w:rsid w:val="00CA18E7"/>
    <w:rsid w:val="00CA2D4B"/>
    <w:rsid w:val="00CA32D9"/>
    <w:rsid w:val="00CA6093"/>
    <w:rsid w:val="00CA658B"/>
    <w:rsid w:val="00CB0B7C"/>
    <w:rsid w:val="00CB38CC"/>
    <w:rsid w:val="00CB51D2"/>
    <w:rsid w:val="00CC0188"/>
    <w:rsid w:val="00CC2087"/>
    <w:rsid w:val="00CC4C88"/>
    <w:rsid w:val="00CC6B0F"/>
    <w:rsid w:val="00CC77D9"/>
    <w:rsid w:val="00CD0B1F"/>
    <w:rsid w:val="00CD1F89"/>
    <w:rsid w:val="00CD390A"/>
    <w:rsid w:val="00CD3F96"/>
    <w:rsid w:val="00CD5296"/>
    <w:rsid w:val="00CD5E4B"/>
    <w:rsid w:val="00CE09F3"/>
    <w:rsid w:val="00CE14B9"/>
    <w:rsid w:val="00CE25C8"/>
    <w:rsid w:val="00CE58D9"/>
    <w:rsid w:val="00CE76DA"/>
    <w:rsid w:val="00CF0033"/>
    <w:rsid w:val="00CF2B43"/>
    <w:rsid w:val="00CF6B2A"/>
    <w:rsid w:val="00D0067F"/>
    <w:rsid w:val="00D04D30"/>
    <w:rsid w:val="00D11E94"/>
    <w:rsid w:val="00D12895"/>
    <w:rsid w:val="00D1308E"/>
    <w:rsid w:val="00D14C1E"/>
    <w:rsid w:val="00D162CB"/>
    <w:rsid w:val="00D23311"/>
    <w:rsid w:val="00D30389"/>
    <w:rsid w:val="00D337F6"/>
    <w:rsid w:val="00D356D5"/>
    <w:rsid w:val="00D4025C"/>
    <w:rsid w:val="00D46F68"/>
    <w:rsid w:val="00D5070E"/>
    <w:rsid w:val="00D52CDB"/>
    <w:rsid w:val="00D54060"/>
    <w:rsid w:val="00D574B2"/>
    <w:rsid w:val="00D61710"/>
    <w:rsid w:val="00D624FA"/>
    <w:rsid w:val="00D6400B"/>
    <w:rsid w:val="00D64AFF"/>
    <w:rsid w:val="00D6599A"/>
    <w:rsid w:val="00D6611E"/>
    <w:rsid w:val="00D7098E"/>
    <w:rsid w:val="00D7323F"/>
    <w:rsid w:val="00D74E7C"/>
    <w:rsid w:val="00D771D2"/>
    <w:rsid w:val="00D77275"/>
    <w:rsid w:val="00D772F1"/>
    <w:rsid w:val="00D84282"/>
    <w:rsid w:val="00D85F37"/>
    <w:rsid w:val="00D86003"/>
    <w:rsid w:val="00D86FCC"/>
    <w:rsid w:val="00D87257"/>
    <w:rsid w:val="00D908D3"/>
    <w:rsid w:val="00D91C24"/>
    <w:rsid w:val="00D93406"/>
    <w:rsid w:val="00D972CE"/>
    <w:rsid w:val="00DA02ED"/>
    <w:rsid w:val="00DA2DF8"/>
    <w:rsid w:val="00DA319C"/>
    <w:rsid w:val="00DA553A"/>
    <w:rsid w:val="00DA7565"/>
    <w:rsid w:val="00DB4177"/>
    <w:rsid w:val="00DB4534"/>
    <w:rsid w:val="00DB7873"/>
    <w:rsid w:val="00DC3E0E"/>
    <w:rsid w:val="00DC4161"/>
    <w:rsid w:val="00DC4B69"/>
    <w:rsid w:val="00DC4F0B"/>
    <w:rsid w:val="00DC529C"/>
    <w:rsid w:val="00DC6E5D"/>
    <w:rsid w:val="00DC7BD1"/>
    <w:rsid w:val="00DD119A"/>
    <w:rsid w:val="00DD2A82"/>
    <w:rsid w:val="00DD2C0E"/>
    <w:rsid w:val="00DD4451"/>
    <w:rsid w:val="00DD5168"/>
    <w:rsid w:val="00DD74BA"/>
    <w:rsid w:val="00DE095C"/>
    <w:rsid w:val="00DE13B7"/>
    <w:rsid w:val="00DE1FCC"/>
    <w:rsid w:val="00DE4496"/>
    <w:rsid w:val="00DE4C5C"/>
    <w:rsid w:val="00DE4F5B"/>
    <w:rsid w:val="00DE634F"/>
    <w:rsid w:val="00DF3814"/>
    <w:rsid w:val="00DF46E4"/>
    <w:rsid w:val="00E02B96"/>
    <w:rsid w:val="00E0374D"/>
    <w:rsid w:val="00E03E32"/>
    <w:rsid w:val="00E04856"/>
    <w:rsid w:val="00E04BDE"/>
    <w:rsid w:val="00E04FA1"/>
    <w:rsid w:val="00E07048"/>
    <w:rsid w:val="00E101E2"/>
    <w:rsid w:val="00E11C1A"/>
    <w:rsid w:val="00E20688"/>
    <w:rsid w:val="00E22DC5"/>
    <w:rsid w:val="00E23373"/>
    <w:rsid w:val="00E27C1E"/>
    <w:rsid w:val="00E326FC"/>
    <w:rsid w:val="00E3490B"/>
    <w:rsid w:val="00E35F60"/>
    <w:rsid w:val="00E365CD"/>
    <w:rsid w:val="00E37259"/>
    <w:rsid w:val="00E379DF"/>
    <w:rsid w:val="00E42B9C"/>
    <w:rsid w:val="00E43642"/>
    <w:rsid w:val="00E44BCE"/>
    <w:rsid w:val="00E50CD3"/>
    <w:rsid w:val="00E53FA0"/>
    <w:rsid w:val="00E54E59"/>
    <w:rsid w:val="00E55911"/>
    <w:rsid w:val="00E56089"/>
    <w:rsid w:val="00E620CD"/>
    <w:rsid w:val="00E64A6E"/>
    <w:rsid w:val="00E74501"/>
    <w:rsid w:val="00E74A8B"/>
    <w:rsid w:val="00E750C4"/>
    <w:rsid w:val="00E768BE"/>
    <w:rsid w:val="00E85109"/>
    <w:rsid w:val="00E8547E"/>
    <w:rsid w:val="00E878AF"/>
    <w:rsid w:val="00E87BE1"/>
    <w:rsid w:val="00E9232B"/>
    <w:rsid w:val="00E92D60"/>
    <w:rsid w:val="00E9339F"/>
    <w:rsid w:val="00E93581"/>
    <w:rsid w:val="00E953F7"/>
    <w:rsid w:val="00E963E1"/>
    <w:rsid w:val="00EA020F"/>
    <w:rsid w:val="00EA1F85"/>
    <w:rsid w:val="00EA2FBA"/>
    <w:rsid w:val="00EB0661"/>
    <w:rsid w:val="00EB36E5"/>
    <w:rsid w:val="00EB3B44"/>
    <w:rsid w:val="00EB4E77"/>
    <w:rsid w:val="00EB55CE"/>
    <w:rsid w:val="00EC1A88"/>
    <w:rsid w:val="00EC1DE4"/>
    <w:rsid w:val="00EC2F30"/>
    <w:rsid w:val="00EC3CA0"/>
    <w:rsid w:val="00EC507E"/>
    <w:rsid w:val="00EC7CEA"/>
    <w:rsid w:val="00ED2030"/>
    <w:rsid w:val="00ED404C"/>
    <w:rsid w:val="00ED4585"/>
    <w:rsid w:val="00ED735F"/>
    <w:rsid w:val="00EE045F"/>
    <w:rsid w:val="00EE1F47"/>
    <w:rsid w:val="00EE3B7F"/>
    <w:rsid w:val="00EE7842"/>
    <w:rsid w:val="00EF5CAB"/>
    <w:rsid w:val="00F01157"/>
    <w:rsid w:val="00F036A8"/>
    <w:rsid w:val="00F036AD"/>
    <w:rsid w:val="00F04CFD"/>
    <w:rsid w:val="00F15F19"/>
    <w:rsid w:val="00F23ED8"/>
    <w:rsid w:val="00F246D2"/>
    <w:rsid w:val="00F26576"/>
    <w:rsid w:val="00F30698"/>
    <w:rsid w:val="00F324A7"/>
    <w:rsid w:val="00F335E0"/>
    <w:rsid w:val="00F34D8F"/>
    <w:rsid w:val="00F36339"/>
    <w:rsid w:val="00F3726F"/>
    <w:rsid w:val="00F37945"/>
    <w:rsid w:val="00F40907"/>
    <w:rsid w:val="00F42610"/>
    <w:rsid w:val="00F429EF"/>
    <w:rsid w:val="00F4594C"/>
    <w:rsid w:val="00F45A6E"/>
    <w:rsid w:val="00F46078"/>
    <w:rsid w:val="00F46F8F"/>
    <w:rsid w:val="00F5258B"/>
    <w:rsid w:val="00F53427"/>
    <w:rsid w:val="00F5775F"/>
    <w:rsid w:val="00F57BCE"/>
    <w:rsid w:val="00F6309C"/>
    <w:rsid w:val="00F63F24"/>
    <w:rsid w:val="00F641A3"/>
    <w:rsid w:val="00F657A3"/>
    <w:rsid w:val="00F669CA"/>
    <w:rsid w:val="00F669E0"/>
    <w:rsid w:val="00F67703"/>
    <w:rsid w:val="00F741A0"/>
    <w:rsid w:val="00F7504A"/>
    <w:rsid w:val="00F75B04"/>
    <w:rsid w:val="00F76582"/>
    <w:rsid w:val="00F81586"/>
    <w:rsid w:val="00F85455"/>
    <w:rsid w:val="00F8712E"/>
    <w:rsid w:val="00F926E0"/>
    <w:rsid w:val="00F92D75"/>
    <w:rsid w:val="00F9469F"/>
    <w:rsid w:val="00FA1587"/>
    <w:rsid w:val="00FA2BCD"/>
    <w:rsid w:val="00FB1312"/>
    <w:rsid w:val="00FB134A"/>
    <w:rsid w:val="00FB18A3"/>
    <w:rsid w:val="00FB6913"/>
    <w:rsid w:val="00FB749C"/>
    <w:rsid w:val="00FB7D56"/>
    <w:rsid w:val="00FC02C3"/>
    <w:rsid w:val="00FC1A22"/>
    <w:rsid w:val="00FC42ED"/>
    <w:rsid w:val="00FD0ACE"/>
    <w:rsid w:val="00FD4821"/>
    <w:rsid w:val="00FD6EB9"/>
    <w:rsid w:val="00FE0D27"/>
    <w:rsid w:val="00FE4726"/>
    <w:rsid w:val="00FE4B5C"/>
    <w:rsid w:val="00FF0D13"/>
    <w:rsid w:val="00FF17DC"/>
    <w:rsid w:val="00FF7009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49AF"/>
  <w15:docId w15:val="{45231FB6-1176-47A0-8985-8779F63C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customStyle="1" w:styleId="TableCell10Left">
    <w:name w:val="Table Cell 10 Left"/>
    <w:basedOn w:val="Normal"/>
    <w:rsid w:val="007E3612"/>
    <w:pPr>
      <w:keepNext/>
      <w:keepLines/>
      <w:tabs>
        <w:tab w:val="clear" w:pos="284"/>
      </w:tabs>
      <w:spacing w:before="50" w:after="50" w:line="240" w:lineRule="exact"/>
      <w:jc w:val="left"/>
    </w:pPr>
    <w:rPr>
      <w:sz w:val="20"/>
      <w:szCs w:val="20"/>
    </w:rPr>
  </w:style>
  <w:style w:type="paragraph" w:customStyle="1" w:styleId="TableCell10Center">
    <w:name w:val="Table Cell 10 Center"/>
    <w:basedOn w:val="TableCell10Left"/>
    <w:rsid w:val="007E3612"/>
    <w:pPr>
      <w:jc w:val="center"/>
    </w:pPr>
  </w:style>
  <w:style w:type="paragraph" w:styleId="ListParagraph">
    <w:name w:val="List Paragraph"/>
    <w:basedOn w:val="Normal"/>
    <w:uiPriority w:val="34"/>
    <w:qFormat/>
    <w:rsid w:val="00B272B5"/>
    <w:pPr>
      <w:ind w:left="720"/>
      <w:contextualSpacing/>
    </w:pPr>
  </w:style>
  <w:style w:type="paragraph" w:customStyle="1" w:styleId="Default">
    <w:name w:val="Default"/>
    <w:rsid w:val="009944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F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594C"/>
    <w:rPr>
      <w:sz w:val="22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23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39EF"/>
  </w:style>
  <w:style w:type="character" w:styleId="FootnoteReference">
    <w:name w:val="footnote reference"/>
    <w:basedOn w:val="DefaultParagraphFont"/>
    <w:semiHidden/>
    <w:unhideWhenUsed/>
    <w:rsid w:val="00B239EF"/>
    <w:rPr>
      <w:vertAlign w:val="superscript"/>
    </w:rPr>
  </w:style>
  <w:style w:type="character" w:styleId="Hyperlink">
    <w:name w:val="Hyperlink"/>
    <w:basedOn w:val="DefaultParagraphFont"/>
    <w:unhideWhenUsed/>
    <w:rsid w:val="00E64A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A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0B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10" ma:contentTypeDescription="Create a new document." ma:contentTypeScope="" ma:versionID="9d16e64b7fcbe94ea618da801ad27707">
  <xsd:schema xmlns:xsd="http://www.w3.org/2001/XMLSchema" xmlns:xs="http://www.w3.org/2001/XMLSchema" xmlns:p="http://schemas.microsoft.com/office/2006/metadata/properties" xmlns:ns2="fd32a7e3-9c87-4a28-aa67-3f2878b39fa5" xmlns:ns3="f634c6f7-ec6a-408b-8835-1e576ff06ed3" targetNamespace="http://schemas.microsoft.com/office/2006/metadata/properties" ma:root="true" ma:fieldsID="f0f916457018aa097175600dd49999aa" ns2:_="" ns3:_="">
    <xsd:import namespace="fd32a7e3-9c87-4a28-aa67-3f2878b39fa5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fd32a7e3-9c87-4a28-aa67-3f2878b39f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EB21-E01D-470A-B412-3802C112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54502-317E-4AE8-A432-56BEBAD33E8D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fd32a7e3-9c87-4a28-aa67-3f2878b39fa5"/>
  </ds:schemaRefs>
</ds:datastoreItem>
</file>

<file path=customXml/itemProps3.xml><?xml version="1.0" encoding="utf-8"?>
<ds:datastoreItem xmlns:ds="http://schemas.openxmlformats.org/officeDocument/2006/customXml" ds:itemID="{66061B2B-C077-4C07-B02E-162C0E447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8E6A8-A7DB-419F-9B6D-C77FD074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8701</Words>
  <Characters>49598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F. Hoffmann-La Roche, Ltd.</Company>
  <LinksUpToDate>false</LinksUpToDate>
  <CharactersWithSpaces>58183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10</cp:revision>
  <cp:lastPrinted>2025-03-06T13:31:00Z</cp:lastPrinted>
  <dcterms:created xsi:type="dcterms:W3CDTF">2025-07-28T12:27:00Z</dcterms:created>
  <dcterms:modified xsi:type="dcterms:W3CDTF">2025-07-31T10:37:00Z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/team/201242fa/Documents</vt:lpwstr>
  </property>
  <property fmtid="{D5CDD505-2E9C-101B-9397-08002B2CF9AE}" pid="3" name="ContentTypeId">
    <vt:lpwstr>0x010100C7704863AB523F41AD7400B92EF9F07D</vt:lpwstr>
  </property>
  <property fmtid="{D5CDD505-2E9C-101B-9397-08002B2CF9AE}" pid="4" name="ItemRetentionFormula">
    <vt:lpwstr>&lt;formula id="Roche.Common.Coremap.ExpirationFormula" /&gt;</vt:lpwstr>
  </property>
</Properties>
</file>