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9A627" w14:textId="77777777" w:rsidR="00113739" w:rsidRPr="009C0665" w:rsidRDefault="00113739" w:rsidP="004C7864">
      <w:pPr>
        <w:jc w:val="center"/>
        <w:rPr>
          <w:szCs w:val="22"/>
          <w:lang w:val="sr-Latn-ME"/>
        </w:rPr>
      </w:pPr>
    </w:p>
    <w:p w14:paraId="441E78C9" w14:textId="77777777" w:rsidR="004C7864" w:rsidRPr="009C0665" w:rsidRDefault="004C7864" w:rsidP="004C7864">
      <w:pPr>
        <w:jc w:val="center"/>
        <w:rPr>
          <w:b/>
          <w:bCs/>
          <w:iCs/>
          <w:szCs w:val="22"/>
          <w:u w:val="single"/>
          <w:lang w:val="sr-Latn-ME"/>
        </w:rPr>
      </w:pPr>
    </w:p>
    <w:p w14:paraId="72877B86" w14:textId="7F7B9C0C" w:rsidR="00CE09F3" w:rsidRPr="009C0665" w:rsidRDefault="00CE09F3" w:rsidP="004C7864">
      <w:pPr>
        <w:jc w:val="center"/>
        <w:rPr>
          <w:b/>
          <w:bCs/>
          <w:iCs/>
          <w:szCs w:val="22"/>
          <w:u w:val="single"/>
          <w:lang w:val="sr-Latn-ME"/>
        </w:rPr>
      </w:pPr>
      <w:r w:rsidRPr="009C0665">
        <w:rPr>
          <w:b/>
          <w:bCs/>
          <w:iCs/>
          <w:szCs w:val="22"/>
          <w:u w:val="single"/>
          <w:lang w:val="sr-Latn-ME"/>
        </w:rPr>
        <w:t>SAŽETAK KARAKTERISTIKA L</w:t>
      </w:r>
      <w:r w:rsidR="00897387" w:rsidRPr="009C0665">
        <w:rPr>
          <w:b/>
          <w:bCs/>
          <w:iCs/>
          <w:szCs w:val="22"/>
          <w:u w:val="single"/>
          <w:lang w:val="sr-Latn-ME"/>
        </w:rPr>
        <w:t>IJ</w:t>
      </w:r>
      <w:r w:rsidRPr="009C0665">
        <w:rPr>
          <w:b/>
          <w:bCs/>
          <w:iCs/>
          <w:szCs w:val="22"/>
          <w:u w:val="single"/>
          <w:lang w:val="sr-Latn-ME"/>
        </w:rPr>
        <w:t>EKA</w:t>
      </w:r>
    </w:p>
    <w:p w14:paraId="062377B7" w14:textId="77777777" w:rsidR="00C22617" w:rsidRPr="009C0665" w:rsidRDefault="00C22617" w:rsidP="004C7864">
      <w:pPr>
        <w:jc w:val="center"/>
        <w:rPr>
          <w:b/>
          <w:bCs/>
          <w:iCs/>
          <w:szCs w:val="22"/>
          <w:u w:val="single"/>
          <w:lang w:val="sr-Latn-ME"/>
        </w:rPr>
      </w:pPr>
    </w:p>
    <w:p w14:paraId="529AB439" w14:textId="77777777" w:rsidR="00D73F11" w:rsidRPr="009C0665" w:rsidRDefault="00D73F11" w:rsidP="004C7864">
      <w:pPr>
        <w:jc w:val="center"/>
        <w:rPr>
          <w:b/>
          <w:bCs/>
          <w:iCs/>
          <w:szCs w:val="22"/>
          <w:u w:val="single"/>
          <w:lang w:val="sr-Latn-ME"/>
        </w:rPr>
      </w:pPr>
    </w:p>
    <w:p w14:paraId="1400C1F5" w14:textId="27DA011F" w:rsidR="00CE09F3" w:rsidRPr="009C0665" w:rsidRDefault="00897387" w:rsidP="005D1262">
      <w:pPr>
        <w:pStyle w:val="NASLOV123"/>
        <w:numPr>
          <w:ilvl w:val="0"/>
          <w:numId w:val="8"/>
        </w:numPr>
        <w:spacing w:before="0" w:after="0"/>
        <w:rPr>
          <w:bCs/>
          <w:lang w:val="sr-Latn-ME"/>
        </w:rPr>
      </w:pPr>
      <w:bookmarkStart w:id="0" w:name="_Hlk117791076"/>
      <w:r w:rsidRPr="009C0665">
        <w:rPr>
          <w:bCs/>
          <w:lang w:val="sr-Latn-ME"/>
        </w:rPr>
        <w:t>NAZIV LIJEKA</w:t>
      </w:r>
      <w:bookmarkEnd w:id="0"/>
    </w:p>
    <w:p w14:paraId="5F0C8359" w14:textId="77777777" w:rsidR="004C7864" w:rsidRPr="009C0665" w:rsidRDefault="004C7864" w:rsidP="004C7864">
      <w:pPr>
        <w:pStyle w:val="NASLOV123"/>
        <w:spacing w:before="0" w:after="0"/>
        <w:ind w:left="720"/>
        <w:rPr>
          <w:lang w:val="sr-Latn-ME"/>
        </w:rPr>
      </w:pPr>
    </w:p>
    <w:p w14:paraId="7C1D7FE9" w14:textId="280C0F00" w:rsidR="0081595D" w:rsidRPr="009C0665" w:rsidRDefault="0081595D" w:rsidP="004C7864">
      <w:pPr>
        <w:pStyle w:val="NASLOV123"/>
        <w:spacing w:before="0" w:after="0"/>
        <w:rPr>
          <w:b w:val="0"/>
          <w:bCs/>
          <w:iCs/>
          <w:lang w:val="sr-Latn-ME"/>
        </w:rPr>
      </w:pPr>
      <w:r w:rsidRPr="009C0665">
        <w:rPr>
          <w:b w:val="0"/>
          <w:bCs/>
          <w:iCs/>
          <w:lang w:val="sr-Latn-ME"/>
        </w:rPr>
        <w:t xml:space="preserve">Entyvio, 300 mg, prašak za koncentrat za rastvor za infuziju  </w:t>
      </w:r>
    </w:p>
    <w:p w14:paraId="51F051C5" w14:textId="77777777" w:rsidR="00DB3145" w:rsidRPr="009C0665" w:rsidRDefault="00DB3145" w:rsidP="004C7864">
      <w:pPr>
        <w:pStyle w:val="NASLOV123"/>
        <w:spacing w:before="0" w:after="0"/>
        <w:rPr>
          <w:b w:val="0"/>
          <w:bCs/>
          <w:iCs/>
          <w:lang w:val="sr-Latn-ME"/>
        </w:rPr>
      </w:pPr>
    </w:p>
    <w:p w14:paraId="12C0F86C" w14:textId="65FA2EA3" w:rsidR="00116FD7" w:rsidRPr="009C0665" w:rsidRDefault="0081595D" w:rsidP="004C7864">
      <w:pPr>
        <w:pStyle w:val="NASLOV123"/>
        <w:spacing w:before="0" w:after="0"/>
        <w:rPr>
          <w:b w:val="0"/>
          <w:bCs/>
          <w:iCs/>
          <w:lang w:val="sr-Latn-ME"/>
        </w:rPr>
      </w:pPr>
      <w:r w:rsidRPr="009C0665">
        <w:rPr>
          <w:b w:val="0"/>
          <w:bCs/>
          <w:iCs/>
          <w:lang w:val="sr-Latn-ME"/>
        </w:rPr>
        <w:t>INN</w:t>
      </w:r>
      <w:r w:rsidR="005D1262" w:rsidRPr="009C0665">
        <w:rPr>
          <w:b w:val="0"/>
          <w:bCs/>
          <w:iCs/>
          <w:lang w:val="sr-Latn-ME"/>
        </w:rPr>
        <w:t xml:space="preserve">: </w:t>
      </w:r>
      <w:r w:rsidRPr="009C0665">
        <w:rPr>
          <w:b w:val="0"/>
          <w:bCs/>
          <w:iCs/>
          <w:lang w:val="sr-Latn-ME"/>
        </w:rPr>
        <w:t>vedolizumab</w:t>
      </w:r>
    </w:p>
    <w:p w14:paraId="162BD1A6" w14:textId="77777777" w:rsidR="007A4639" w:rsidRPr="009C0665" w:rsidRDefault="007A4639" w:rsidP="004C7864">
      <w:pPr>
        <w:pStyle w:val="NASLOV123"/>
        <w:spacing w:before="0" w:after="0"/>
        <w:rPr>
          <w:b w:val="0"/>
          <w:bCs/>
          <w:iCs/>
          <w:lang w:val="sr-Latn-ME"/>
        </w:rPr>
      </w:pPr>
    </w:p>
    <w:p w14:paraId="75E13464" w14:textId="77777777" w:rsidR="00116FD7" w:rsidRPr="009C0665" w:rsidRDefault="00116FD7" w:rsidP="004C7864">
      <w:pPr>
        <w:pStyle w:val="NASLOV123"/>
        <w:spacing w:before="0" w:after="0"/>
        <w:rPr>
          <w:b w:val="0"/>
          <w:bCs/>
          <w:iCs/>
          <w:lang w:val="sr-Latn-ME"/>
        </w:rPr>
      </w:pPr>
    </w:p>
    <w:p w14:paraId="5BA3D8BD" w14:textId="732402C5" w:rsidR="00116FD7" w:rsidRPr="009C0665" w:rsidRDefault="00CE09F3" w:rsidP="004C7864">
      <w:pPr>
        <w:pStyle w:val="NASLOV123"/>
        <w:spacing w:before="0" w:after="0"/>
        <w:rPr>
          <w:lang w:val="sr-Latn-ME"/>
        </w:rPr>
      </w:pPr>
      <w:r w:rsidRPr="009C0665">
        <w:rPr>
          <w:lang w:val="sr-Latn-ME"/>
        </w:rPr>
        <w:t>2.</w:t>
      </w:r>
      <w:r w:rsidR="00897387" w:rsidRPr="009C0665">
        <w:rPr>
          <w:lang w:val="sr-Latn-ME"/>
        </w:rPr>
        <w:tab/>
      </w:r>
      <w:r w:rsidRPr="009C0665">
        <w:rPr>
          <w:lang w:val="sr-Latn-ME"/>
        </w:rPr>
        <w:t>KVALITATIVNI I KVANTITATIVNI SASTAV</w:t>
      </w:r>
    </w:p>
    <w:p w14:paraId="37BEA09B" w14:textId="77777777" w:rsidR="00116FD7" w:rsidRPr="009C0665" w:rsidRDefault="00116FD7" w:rsidP="004C7864">
      <w:pPr>
        <w:pStyle w:val="NASLOV123"/>
        <w:spacing w:before="0" w:after="0"/>
        <w:rPr>
          <w:lang w:val="sr-Latn-ME"/>
        </w:rPr>
      </w:pPr>
    </w:p>
    <w:p w14:paraId="27241AE6" w14:textId="77777777" w:rsidR="0081595D" w:rsidRPr="009C0665" w:rsidRDefault="0081595D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Jedna bočica sadrži 300 mg vedolizumaba.</w:t>
      </w:r>
    </w:p>
    <w:p w14:paraId="476A278E" w14:textId="443FB0BD" w:rsidR="0081595D" w:rsidRPr="009C0665" w:rsidRDefault="0081595D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Nakon rekonstitucije jedan m</w:t>
      </w:r>
      <w:r w:rsidR="00F95195" w:rsidRPr="009C0665">
        <w:rPr>
          <w:szCs w:val="22"/>
          <w:lang w:val="sr-Latn-ME"/>
        </w:rPr>
        <w:t>l</w:t>
      </w:r>
      <w:r w:rsidR="00DB3145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sadrži 60 mg vedolizumaba.</w:t>
      </w:r>
    </w:p>
    <w:p w14:paraId="4E7C5C02" w14:textId="77777777" w:rsidR="0081595D" w:rsidRPr="009C0665" w:rsidRDefault="0081595D" w:rsidP="004C7864">
      <w:pPr>
        <w:pStyle w:val="Header"/>
        <w:rPr>
          <w:szCs w:val="22"/>
          <w:lang w:val="sr-Latn-ME"/>
        </w:rPr>
      </w:pPr>
    </w:p>
    <w:p w14:paraId="13E2A85F" w14:textId="42EE4097" w:rsidR="0081595D" w:rsidRPr="009C0665" w:rsidRDefault="0081595D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Vedolizumab je humanizovano monoklonsko </w:t>
      </w:r>
      <w:r w:rsidR="00897387" w:rsidRPr="009C0665">
        <w:rPr>
          <w:szCs w:val="22"/>
          <w:lang w:val="sr-Latn-ME"/>
        </w:rPr>
        <w:t>antitijelo</w:t>
      </w:r>
      <w:r w:rsidR="00897387" w:rsidRPr="009C0665">
        <w:rPr>
          <w:spacing w:val="-2"/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IgG</w:t>
      </w:r>
      <w:r w:rsidRPr="009C0665">
        <w:rPr>
          <w:szCs w:val="22"/>
          <w:vertAlign w:val="subscript"/>
          <w:lang w:val="sr-Latn-ME"/>
        </w:rPr>
        <w:t>1</w:t>
      </w:r>
      <w:r w:rsidRPr="009C0665">
        <w:rPr>
          <w:szCs w:val="22"/>
          <w:lang w:val="sr-Latn-ME"/>
        </w:rPr>
        <w:t xml:space="preserve"> proizvedeno u ćelijama jajnika kineskog hrčka</w:t>
      </w:r>
      <w:r w:rsidR="00D73F11" w:rsidRPr="009C0665">
        <w:rPr>
          <w:szCs w:val="22"/>
          <w:lang w:val="sr-Latn-ME"/>
        </w:rPr>
        <w:t xml:space="preserve"> </w:t>
      </w:r>
      <w:r w:rsidR="00A91538" w:rsidRPr="009C0665">
        <w:rPr>
          <w:szCs w:val="22"/>
          <w:lang w:val="sr-Latn-ME"/>
        </w:rPr>
        <w:t xml:space="preserve">tehnologijom </w:t>
      </w:r>
      <w:r w:rsidR="00D73F11" w:rsidRPr="009C0665">
        <w:rPr>
          <w:szCs w:val="22"/>
          <w:lang w:val="sr-Latn-ME"/>
        </w:rPr>
        <w:t>rekombinantne DNK</w:t>
      </w:r>
      <w:r w:rsidRPr="009C0665">
        <w:rPr>
          <w:szCs w:val="22"/>
          <w:lang w:val="sr-Latn-ME"/>
        </w:rPr>
        <w:t>.</w:t>
      </w:r>
    </w:p>
    <w:p w14:paraId="796210B6" w14:textId="77777777" w:rsidR="0081595D" w:rsidRPr="009C0665" w:rsidRDefault="0081595D" w:rsidP="004C7864">
      <w:pPr>
        <w:pStyle w:val="Header"/>
        <w:rPr>
          <w:szCs w:val="22"/>
          <w:lang w:val="sr-Latn-ME"/>
        </w:rPr>
      </w:pPr>
    </w:p>
    <w:p w14:paraId="7C30DEC5" w14:textId="77777777" w:rsidR="00DB3145" w:rsidRPr="009C0665" w:rsidRDefault="00DB3145" w:rsidP="00DB3145">
      <w:pPr>
        <w:rPr>
          <w:szCs w:val="22"/>
          <w:lang w:val="sr-Latn-ME"/>
        </w:rPr>
      </w:pPr>
      <w:r w:rsidRPr="009C0665">
        <w:rPr>
          <w:szCs w:val="22"/>
          <w:lang w:val="sr-Latn-ME"/>
        </w:rPr>
        <w:t>Za spisak svih ekscipijenasa, pogledati dio 6.1.</w:t>
      </w:r>
    </w:p>
    <w:p w14:paraId="121B0A8E" w14:textId="77777777" w:rsidR="00DB3145" w:rsidRPr="009C0665" w:rsidRDefault="00DB3145" w:rsidP="004C7864">
      <w:pPr>
        <w:pStyle w:val="Header"/>
        <w:tabs>
          <w:tab w:val="left" w:pos="284"/>
        </w:tabs>
        <w:rPr>
          <w:szCs w:val="22"/>
          <w:lang w:val="sr-Latn-ME"/>
        </w:rPr>
      </w:pPr>
    </w:p>
    <w:p w14:paraId="3F9B8C63" w14:textId="77777777" w:rsidR="007A4639" w:rsidRPr="009C0665" w:rsidRDefault="007A4639" w:rsidP="004C7864">
      <w:pPr>
        <w:pStyle w:val="Header"/>
        <w:tabs>
          <w:tab w:val="left" w:pos="284"/>
        </w:tabs>
        <w:rPr>
          <w:szCs w:val="22"/>
          <w:lang w:val="sr-Latn-ME"/>
        </w:rPr>
      </w:pPr>
    </w:p>
    <w:p w14:paraId="40BB1E74" w14:textId="43F7BBDD" w:rsidR="00CE09F3" w:rsidRPr="009C0665" w:rsidRDefault="00CE09F3" w:rsidP="004C7864">
      <w:pPr>
        <w:pStyle w:val="NASLOV123"/>
        <w:spacing w:before="0" w:after="0"/>
        <w:rPr>
          <w:lang w:val="sr-Latn-ME"/>
        </w:rPr>
      </w:pPr>
      <w:r w:rsidRPr="009C0665">
        <w:rPr>
          <w:lang w:val="sr-Latn-ME"/>
        </w:rPr>
        <w:t>3.</w:t>
      </w:r>
      <w:r w:rsidR="00897387" w:rsidRPr="009C0665">
        <w:rPr>
          <w:lang w:val="sr-Latn-ME"/>
        </w:rPr>
        <w:tab/>
      </w:r>
      <w:r w:rsidRPr="009C0665">
        <w:rPr>
          <w:lang w:val="sr-Latn-ME"/>
        </w:rPr>
        <w:t>FARMACEUTSKI OBLIK</w:t>
      </w:r>
    </w:p>
    <w:p w14:paraId="01B349DD" w14:textId="77777777" w:rsidR="00DB3145" w:rsidRPr="009C0665" w:rsidRDefault="00DB3145" w:rsidP="004C7864">
      <w:pPr>
        <w:pStyle w:val="Header"/>
        <w:rPr>
          <w:szCs w:val="22"/>
          <w:lang w:val="sr-Latn-ME"/>
        </w:rPr>
      </w:pPr>
    </w:p>
    <w:p w14:paraId="658C2F04" w14:textId="00D4E073" w:rsidR="0081595D" w:rsidRPr="009C0665" w:rsidRDefault="0081595D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Prašak za koncentrat za rastvor za infuziju</w:t>
      </w:r>
      <w:r w:rsidR="00FE63D4" w:rsidRPr="009C0665">
        <w:rPr>
          <w:szCs w:val="22"/>
          <w:lang w:val="sr-Latn-ME"/>
        </w:rPr>
        <w:t>.</w:t>
      </w:r>
    </w:p>
    <w:p w14:paraId="4DF4955A" w14:textId="77777777" w:rsidR="0081595D" w:rsidRPr="009C0665" w:rsidRDefault="0081595D" w:rsidP="004C7864">
      <w:pPr>
        <w:pStyle w:val="Header"/>
        <w:rPr>
          <w:szCs w:val="22"/>
          <w:lang w:val="sr-Latn-ME"/>
        </w:rPr>
      </w:pPr>
    </w:p>
    <w:p w14:paraId="3B1282ED" w14:textId="01DE7D0B" w:rsidR="0081595D" w:rsidRPr="009C0665" w:rsidRDefault="00D35599" w:rsidP="004C7864">
      <w:pPr>
        <w:pStyle w:val="Header"/>
        <w:tabs>
          <w:tab w:val="left" w:pos="284"/>
        </w:tabs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Bijeli do gotovo bijeli </w:t>
      </w:r>
      <w:r w:rsidR="00A91538" w:rsidRPr="009C0665">
        <w:rPr>
          <w:szCs w:val="22"/>
          <w:lang w:val="sr-Latn-ME"/>
        </w:rPr>
        <w:t xml:space="preserve">liofilizovani </w:t>
      </w:r>
      <w:r w:rsidR="0081595D" w:rsidRPr="009C0665">
        <w:rPr>
          <w:szCs w:val="22"/>
          <w:lang w:val="sr-Latn-ME"/>
        </w:rPr>
        <w:t>kolač ili prašak.</w:t>
      </w:r>
    </w:p>
    <w:p w14:paraId="2F9A6BD3" w14:textId="77777777" w:rsidR="00FE63D4" w:rsidRPr="009C0665" w:rsidRDefault="00FE63D4" w:rsidP="004C7864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</w:p>
    <w:p w14:paraId="52273818" w14:textId="77777777" w:rsidR="00FE63D4" w:rsidRPr="009C0665" w:rsidRDefault="00FE63D4" w:rsidP="004C7864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</w:p>
    <w:p w14:paraId="459FE4A2" w14:textId="77777777" w:rsidR="00116FD7" w:rsidRPr="009C0665" w:rsidRDefault="00CE09F3" w:rsidP="004C7864">
      <w:pPr>
        <w:pStyle w:val="NASLOV123"/>
        <w:spacing w:before="0" w:after="0"/>
        <w:rPr>
          <w:lang w:val="sr-Latn-ME"/>
        </w:rPr>
      </w:pPr>
      <w:r w:rsidRPr="009C0665">
        <w:rPr>
          <w:lang w:val="sr-Latn-ME"/>
        </w:rPr>
        <w:t>4. KLINIČKI PODACI</w:t>
      </w:r>
    </w:p>
    <w:p w14:paraId="2212F49E" w14:textId="77777777" w:rsidR="00116FD7" w:rsidRPr="009C0665" w:rsidRDefault="00116FD7" w:rsidP="004C7864">
      <w:pPr>
        <w:pStyle w:val="NASLOV123"/>
        <w:spacing w:before="0" w:after="0"/>
        <w:rPr>
          <w:lang w:val="sr-Latn-ME"/>
        </w:rPr>
      </w:pPr>
    </w:p>
    <w:p w14:paraId="4C3F1C1A" w14:textId="77777777" w:rsidR="00CE09F3" w:rsidRPr="009C0665" w:rsidRDefault="00CE09F3" w:rsidP="004C7864">
      <w:pPr>
        <w:rPr>
          <w:b/>
          <w:bCs/>
          <w:szCs w:val="22"/>
          <w:lang w:val="sr-Latn-ME"/>
        </w:rPr>
      </w:pPr>
      <w:r w:rsidRPr="009C0665">
        <w:rPr>
          <w:b/>
          <w:bCs/>
          <w:szCs w:val="22"/>
          <w:lang w:val="sr-Latn-ME"/>
        </w:rPr>
        <w:t>4.1. Terapijske indikacije</w:t>
      </w:r>
    </w:p>
    <w:p w14:paraId="2C25EEF5" w14:textId="77777777" w:rsidR="00B12A78" w:rsidRPr="009C0665" w:rsidRDefault="00B12A78" w:rsidP="004C7864">
      <w:pPr>
        <w:pStyle w:val="Header"/>
        <w:rPr>
          <w:szCs w:val="22"/>
          <w:u w:val="single"/>
          <w:lang w:val="sr-Latn-ME"/>
        </w:rPr>
      </w:pPr>
    </w:p>
    <w:p w14:paraId="464CFADB" w14:textId="77777777" w:rsidR="0081595D" w:rsidRPr="009C0665" w:rsidRDefault="0081595D" w:rsidP="004C7864">
      <w:pPr>
        <w:pStyle w:val="Header"/>
        <w:rPr>
          <w:szCs w:val="22"/>
          <w:u w:val="single"/>
          <w:lang w:val="sr-Latn-ME"/>
        </w:rPr>
      </w:pPr>
      <w:r w:rsidRPr="009C0665">
        <w:rPr>
          <w:szCs w:val="22"/>
          <w:u w:val="single"/>
          <w:lang w:val="sr-Latn-ME"/>
        </w:rPr>
        <w:t>Ulcerozni kolitis</w:t>
      </w:r>
    </w:p>
    <w:p w14:paraId="124072D6" w14:textId="77777777" w:rsidR="0081595D" w:rsidRPr="009C0665" w:rsidRDefault="0081595D" w:rsidP="004C7864">
      <w:pPr>
        <w:pStyle w:val="Header"/>
        <w:rPr>
          <w:szCs w:val="22"/>
          <w:lang w:val="sr-Latn-ME"/>
        </w:rPr>
      </w:pPr>
    </w:p>
    <w:p w14:paraId="4D8235F6" w14:textId="0244AEE6" w:rsidR="0081595D" w:rsidRPr="009C0665" w:rsidRDefault="00B454D4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Lijek </w:t>
      </w:r>
      <w:r w:rsidR="00D26459" w:rsidRPr="009C0665">
        <w:rPr>
          <w:szCs w:val="22"/>
          <w:lang w:val="sr-Latn-ME"/>
        </w:rPr>
        <w:t>Entyvio je indikovan za liječenje odraslih pacijenata sa umjereno do izrazito aktivnim ulceroznim kolitisom koji ni</w:t>
      </w:r>
      <w:r w:rsidRPr="009C0665">
        <w:rPr>
          <w:szCs w:val="22"/>
          <w:lang w:val="sr-Latn-ME"/>
        </w:rPr>
        <w:t>je</w:t>
      </w:r>
      <w:r w:rsidR="00D26459" w:rsidRPr="009C0665">
        <w:rPr>
          <w:szCs w:val="22"/>
          <w:lang w:val="sr-Latn-ME"/>
        </w:rPr>
        <w:t>su postigli odgovarajući odgovor ili su izgubili odgovor ili na standardnu terapiju ili na antagoniste faktora nekroze tumora alfa (TNFα), kao i kod onih koji takvu terapiju ni</w:t>
      </w:r>
      <w:r w:rsidRPr="009C0665">
        <w:rPr>
          <w:szCs w:val="22"/>
          <w:lang w:val="sr-Latn-ME"/>
        </w:rPr>
        <w:t>je</w:t>
      </w:r>
      <w:r w:rsidR="00D26459" w:rsidRPr="009C0665">
        <w:rPr>
          <w:szCs w:val="22"/>
          <w:lang w:val="sr-Latn-ME"/>
        </w:rPr>
        <w:t>su podnosili.</w:t>
      </w:r>
    </w:p>
    <w:p w14:paraId="175CFD61" w14:textId="77777777" w:rsidR="0081595D" w:rsidRPr="009C0665" w:rsidRDefault="0081595D" w:rsidP="004C7864">
      <w:pPr>
        <w:pStyle w:val="Header"/>
        <w:rPr>
          <w:szCs w:val="22"/>
          <w:lang w:val="sr-Latn-ME"/>
        </w:rPr>
      </w:pPr>
    </w:p>
    <w:p w14:paraId="5F978B76" w14:textId="25AACC5D" w:rsidR="00D26459" w:rsidRPr="009C0665" w:rsidRDefault="00B07C91" w:rsidP="004C7864">
      <w:pPr>
        <w:pStyle w:val="Header"/>
        <w:rPr>
          <w:szCs w:val="22"/>
          <w:u w:val="single"/>
          <w:lang w:val="sr-Latn-ME"/>
        </w:rPr>
      </w:pPr>
      <w:r w:rsidRPr="009C0665">
        <w:rPr>
          <w:szCs w:val="22"/>
          <w:u w:val="single"/>
          <w:lang w:val="sr-Latn-ME"/>
        </w:rPr>
        <w:t>Crohnova</w:t>
      </w:r>
      <w:r w:rsidR="00D26459" w:rsidRPr="009C0665">
        <w:rPr>
          <w:szCs w:val="22"/>
          <w:u w:val="single"/>
          <w:lang w:val="sr-Latn-ME"/>
        </w:rPr>
        <w:t xml:space="preserve"> bolest</w:t>
      </w:r>
    </w:p>
    <w:p w14:paraId="53CE1EDC" w14:textId="77777777" w:rsidR="00D26459" w:rsidRPr="009C0665" w:rsidRDefault="00D26459" w:rsidP="004C7864">
      <w:pPr>
        <w:pStyle w:val="Header"/>
        <w:rPr>
          <w:szCs w:val="22"/>
          <w:u w:val="single"/>
          <w:lang w:val="sr-Latn-ME"/>
        </w:rPr>
      </w:pPr>
    </w:p>
    <w:p w14:paraId="60281AA0" w14:textId="21213CF0" w:rsidR="0081595D" w:rsidRPr="009C0665" w:rsidRDefault="00B454D4" w:rsidP="004C7864">
      <w:pPr>
        <w:pStyle w:val="Header"/>
        <w:tabs>
          <w:tab w:val="left" w:pos="284"/>
        </w:tabs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Lijek </w:t>
      </w:r>
      <w:r w:rsidR="00D26459" w:rsidRPr="009C0665">
        <w:rPr>
          <w:szCs w:val="22"/>
          <w:lang w:val="sr-Latn-ME"/>
        </w:rPr>
        <w:t>Entyvio je indikovan za liječenje odraslih pacijenata sa umjereno do izrazito aktivnom Crohnovom bolešću koji ni</w:t>
      </w:r>
      <w:r w:rsidRPr="009C0665">
        <w:rPr>
          <w:szCs w:val="22"/>
          <w:lang w:val="sr-Latn-ME"/>
        </w:rPr>
        <w:t>je</w:t>
      </w:r>
      <w:r w:rsidR="00D26459" w:rsidRPr="009C0665">
        <w:rPr>
          <w:szCs w:val="22"/>
          <w:lang w:val="sr-Latn-ME"/>
        </w:rPr>
        <w:t>su postigli odgovarajući odgovor ili su izgubili odgovor ili na standardnu terapiju ili na antagoniste faktora nekroze tumora alfa (TNFα), kao i kod onih koji takvu terapiju ni</w:t>
      </w:r>
      <w:r w:rsidRPr="009C0665">
        <w:rPr>
          <w:szCs w:val="22"/>
          <w:lang w:val="sr-Latn-ME"/>
        </w:rPr>
        <w:t>je</w:t>
      </w:r>
      <w:r w:rsidR="00D26459" w:rsidRPr="009C0665">
        <w:rPr>
          <w:szCs w:val="22"/>
          <w:lang w:val="sr-Latn-ME"/>
        </w:rPr>
        <w:t>su podnosili.</w:t>
      </w:r>
    </w:p>
    <w:p w14:paraId="7D92516D" w14:textId="08B3DB9A" w:rsidR="00B12A78" w:rsidRPr="009C0665" w:rsidRDefault="00B12A78" w:rsidP="004C7864">
      <w:pPr>
        <w:pStyle w:val="Header"/>
        <w:tabs>
          <w:tab w:val="left" w:pos="284"/>
        </w:tabs>
        <w:rPr>
          <w:szCs w:val="22"/>
          <w:lang w:val="sr-Latn-ME"/>
        </w:rPr>
      </w:pPr>
    </w:p>
    <w:p w14:paraId="76FC4EA0" w14:textId="4B758CFC" w:rsidR="00382252" w:rsidRPr="009C0665" w:rsidRDefault="00382252" w:rsidP="004C7864">
      <w:pPr>
        <w:pStyle w:val="Header"/>
        <w:tabs>
          <w:tab w:val="left" w:pos="284"/>
        </w:tabs>
        <w:rPr>
          <w:szCs w:val="22"/>
          <w:u w:val="single"/>
          <w:lang w:val="sr-Latn-ME"/>
        </w:rPr>
      </w:pPr>
      <w:r w:rsidRPr="009C0665">
        <w:rPr>
          <w:szCs w:val="22"/>
          <w:u w:val="single"/>
          <w:lang w:val="sr-Latn-ME"/>
        </w:rPr>
        <w:t>Paučitis</w:t>
      </w:r>
    </w:p>
    <w:p w14:paraId="77AE7D21" w14:textId="7C0361A2" w:rsidR="00382252" w:rsidRPr="009C0665" w:rsidRDefault="00382252" w:rsidP="004C7864">
      <w:pPr>
        <w:pStyle w:val="Header"/>
        <w:tabs>
          <w:tab w:val="left" w:pos="284"/>
        </w:tabs>
        <w:rPr>
          <w:szCs w:val="22"/>
          <w:lang w:val="sr-Latn-ME"/>
        </w:rPr>
      </w:pPr>
    </w:p>
    <w:p w14:paraId="28C56D6D" w14:textId="68DAE813" w:rsidR="00382252" w:rsidRPr="009C0665" w:rsidRDefault="00B454D4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Lijek </w:t>
      </w:r>
      <w:r w:rsidR="00382252" w:rsidRPr="009C0665">
        <w:rPr>
          <w:szCs w:val="22"/>
          <w:lang w:val="sr-Latn-ME"/>
        </w:rPr>
        <w:t xml:space="preserve">Entyvio je indikovan za </w:t>
      </w:r>
      <w:r w:rsidR="00D26459" w:rsidRPr="009C0665">
        <w:rPr>
          <w:szCs w:val="22"/>
          <w:lang w:val="sr-Latn-ME"/>
        </w:rPr>
        <w:t>liječenje</w:t>
      </w:r>
      <w:r w:rsidR="00382252" w:rsidRPr="009C0665">
        <w:rPr>
          <w:szCs w:val="22"/>
          <w:lang w:val="sr-Latn-ME"/>
        </w:rPr>
        <w:t xml:space="preserve"> odraslih pacijenata sa </w:t>
      </w:r>
      <w:r w:rsidR="00D26459" w:rsidRPr="009C0665">
        <w:rPr>
          <w:szCs w:val="22"/>
          <w:lang w:val="sr-Latn-ME"/>
        </w:rPr>
        <w:t>umjereno</w:t>
      </w:r>
      <w:r w:rsidR="00382252" w:rsidRPr="009C0665">
        <w:rPr>
          <w:szCs w:val="22"/>
          <w:lang w:val="sr-Latn-ME"/>
        </w:rPr>
        <w:t xml:space="preserve"> do izrazito aktivnim hroničnim paučitisom (zapaljenjem hirurški načinjene </w:t>
      </w:r>
      <w:r w:rsidRPr="009C0665">
        <w:rPr>
          <w:szCs w:val="22"/>
          <w:lang w:val="sr-Latn-ME"/>
        </w:rPr>
        <w:t xml:space="preserve">kesice </w:t>
      </w:r>
      <w:r w:rsidR="00382252" w:rsidRPr="009C0665">
        <w:rPr>
          <w:szCs w:val="22"/>
          <w:lang w:val="sr-Latn-ME"/>
        </w:rPr>
        <w:t xml:space="preserve">od tankog </w:t>
      </w:r>
      <w:r w:rsidR="00054848" w:rsidRPr="009C0665">
        <w:rPr>
          <w:szCs w:val="22"/>
          <w:lang w:val="sr-Latn-ME"/>
        </w:rPr>
        <w:t>crijeva</w:t>
      </w:r>
      <w:r w:rsidR="00382252" w:rsidRPr="009C0665">
        <w:rPr>
          <w:szCs w:val="22"/>
          <w:lang w:val="sr-Latn-ME"/>
        </w:rPr>
        <w:t>) koji su podvrgnuti proktoko</w:t>
      </w:r>
      <w:r w:rsidR="00D26459" w:rsidRPr="009C0665">
        <w:rPr>
          <w:szCs w:val="22"/>
          <w:lang w:val="sr-Latn-ME"/>
        </w:rPr>
        <w:t>lek</w:t>
      </w:r>
      <w:r w:rsidR="00382252" w:rsidRPr="009C0665">
        <w:rPr>
          <w:szCs w:val="22"/>
          <w:lang w:val="sr-Latn-ME"/>
        </w:rPr>
        <w:t xml:space="preserve">tomiji i analnoj anastomozi ilealne </w:t>
      </w:r>
      <w:r w:rsidRPr="009C0665">
        <w:rPr>
          <w:szCs w:val="22"/>
          <w:lang w:val="sr-Latn-ME"/>
        </w:rPr>
        <w:t xml:space="preserve">kesice </w:t>
      </w:r>
      <w:r w:rsidR="00382252" w:rsidRPr="009C0665">
        <w:rPr>
          <w:szCs w:val="22"/>
          <w:lang w:val="sr-Latn-ME"/>
        </w:rPr>
        <w:t>zbog ulceroznog kolitisa, a koji ni</w:t>
      </w:r>
      <w:r w:rsidRPr="009C0665">
        <w:rPr>
          <w:szCs w:val="22"/>
          <w:lang w:val="sr-Latn-ME"/>
        </w:rPr>
        <w:t>je</w:t>
      </w:r>
      <w:r w:rsidR="00382252" w:rsidRPr="009C0665">
        <w:rPr>
          <w:szCs w:val="22"/>
          <w:lang w:val="sr-Latn-ME"/>
        </w:rPr>
        <w:t>su postigli odgovarajući odgovor ili su izgubili odgovor na terapiju antibioticima.</w:t>
      </w:r>
    </w:p>
    <w:p w14:paraId="7828E416" w14:textId="65A5B411" w:rsidR="00DB3145" w:rsidRPr="009C0665" w:rsidRDefault="00DB3145">
      <w:pPr>
        <w:tabs>
          <w:tab w:val="clear" w:pos="284"/>
        </w:tabs>
        <w:jc w:val="left"/>
        <w:rPr>
          <w:szCs w:val="22"/>
          <w:lang w:val="sr-Latn-ME"/>
        </w:rPr>
      </w:pPr>
      <w:r w:rsidRPr="009C0665">
        <w:rPr>
          <w:szCs w:val="22"/>
          <w:lang w:val="sr-Latn-ME"/>
        </w:rPr>
        <w:br w:type="page"/>
      </w:r>
    </w:p>
    <w:p w14:paraId="20F9E84A" w14:textId="77777777" w:rsidR="00382252" w:rsidRPr="009C0665" w:rsidRDefault="00382252" w:rsidP="004C7864">
      <w:pPr>
        <w:pStyle w:val="Header"/>
        <w:tabs>
          <w:tab w:val="left" w:pos="284"/>
        </w:tabs>
        <w:rPr>
          <w:szCs w:val="22"/>
          <w:lang w:val="sr-Latn-ME"/>
        </w:rPr>
      </w:pPr>
    </w:p>
    <w:p w14:paraId="714AB29D" w14:textId="1F39812D" w:rsidR="00CE09F3" w:rsidRPr="009C0665" w:rsidRDefault="00CE09F3" w:rsidP="004C7864">
      <w:pPr>
        <w:rPr>
          <w:b/>
          <w:bCs/>
          <w:szCs w:val="22"/>
          <w:lang w:val="sr-Latn-ME"/>
        </w:rPr>
      </w:pPr>
      <w:r w:rsidRPr="009C0665">
        <w:rPr>
          <w:b/>
          <w:bCs/>
          <w:szCs w:val="22"/>
          <w:lang w:val="sr-Latn-ME"/>
        </w:rPr>
        <w:t xml:space="preserve">4.2. Doziranje i način </w:t>
      </w:r>
      <w:r w:rsidR="00D26459" w:rsidRPr="009C0665">
        <w:rPr>
          <w:b/>
          <w:bCs/>
          <w:szCs w:val="22"/>
          <w:lang w:val="sr-Latn-ME"/>
        </w:rPr>
        <w:t>primjene</w:t>
      </w:r>
    </w:p>
    <w:p w14:paraId="7C1D5CD5" w14:textId="77777777" w:rsidR="00B454D4" w:rsidRPr="009C0665" w:rsidRDefault="00B454D4" w:rsidP="004C7864">
      <w:pPr>
        <w:rPr>
          <w:b/>
          <w:bCs/>
          <w:szCs w:val="22"/>
          <w:lang w:val="sr-Latn-ME"/>
        </w:rPr>
      </w:pPr>
    </w:p>
    <w:p w14:paraId="0E9B8C93" w14:textId="27FAAD94" w:rsidR="00CB7126" w:rsidRPr="009C0665" w:rsidRDefault="00D26459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Liječenje</w:t>
      </w:r>
      <w:r w:rsidR="0081595D" w:rsidRPr="009C0665">
        <w:rPr>
          <w:szCs w:val="22"/>
          <w:lang w:val="sr-Latn-ME"/>
        </w:rPr>
        <w:t xml:space="preserve"> treba </w:t>
      </w:r>
      <w:r w:rsidR="00B454D4" w:rsidRPr="009C0665">
        <w:rPr>
          <w:spacing w:val="1"/>
          <w:szCs w:val="22"/>
          <w:lang w:val="sr-Latn-ME"/>
        </w:rPr>
        <w:t xml:space="preserve">da </w:t>
      </w:r>
      <w:r w:rsidRPr="009C0665">
        <w:rPr>
          <w:spacing w:val="-2"/>
          <w:szCs w:val="22"/>
          <w:lang w:val="sr-Latn-ME"/>
        </w:rPr>
        <w:t>z</w:t>
      </w:r>
      <w:r w:rsidRPr="009C0665">
        <w:rPr>
          <w:szCs w:val="22"/>
          <w:lang w:val="sr-Latn-ME"/>
        </w:rPr>
        <w:t>ap</w:t>
      </w:r>
      <w:r w:rsidRPr="009C0665">
        <w:rPr>
          <w:spacing w:val="-2"/>
          <w:szCs w:val="22"/>
          <w:lang w:val="sr-Latn-ME"/>
        </w:rPr>
        <w:t>o</w:t>
      </w:r>
      <w:r w:rsidRPr="009C0665">
        <w:rPr>
          <w:szCs w:val="22"/>
          <w:lang w:val="sr-Latn-ME"/>
        </w:rPr>
        <w:t>č</w:t>
      </w:r>
      <w:r w:rsidR="00B454D4" w:rsidRPr="009C0665">
        <w:rPr>
          <w:szCs w:val="22"/>
          <w:lang w:val="sr-Latn-ME"/>
        </w:rPr>
        <w:t>ne</w:t>
      </w:r>
      <w:r w:rsidRPr="009C0665">
        <w:rPr>
          <w:spacing w:val="1"/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i</w:t>
      </w:r>
      <w:r w:rsidRPr="009C0665">
        <w:rPr>
          <w:spacing w:val="-1"/>
          <w:szCs w:val="22"/>
          <w:lang w:val="sr-Latn-ME"/>
        </w:rPr>
        <w:t xml:space="preserve"> </w:t>
      </w:r>
      <w:r w:rsidR="00B454D4" w:rsidRPr="009C0665">
        <w:rPr>
          <w:szCs w:val="22"/>
          <w:lang w:val="sr-Latn-ME"/>
        </w:rPr>
        <w:t>prati</w:t>
      </w:r>
      <w:r w:rsidRPr="009C0665">
        <w:rPr>
          <w:spacing w:val="1"/>
          <w:szCs w:val="22"/>
          <w:lang w:val="sr-Latn-ME"/>
        </w:rPr>
        <w:t xml:space="preserve"> </w:t>
      </w:r>
      <w:r w:rsidRPr="009C0665">
        <w:rPr>
          <w:spacing w:val="-1"/>
          <w:szCs w:val="22"/>
          <w:lang w:val="sr-Latn-ME"/>
        </w:rPr>
        <w:t>ljekar</w:t>
      </w:r>
      <w:r w:rsidRPr="009C0665">
        <w:rPr>
          <w:spacing w:val="-2"/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spe</w:t>
      </w:r>
      <w:r w:rsidRPr="009C0665">
        <w:rPr>
          <w:spacing w:val="-2"/>
          <w:szCs w:val="22"/>
          <w:lang w:val="sr-Latn-ME"/>
        </w:rPr>
        <w:t>c</w:t>
      </w:r>
      <w:r w:rsidRPr="009C0665">
        <w:rPr>
          <w:spacing w:val="-1"/>
          <w:szCs w:val="22"/>
          <w:lang w:val="sr-Latn-ME"/>
        </w:rPr>
        <w:t>i</w:t>
      </w:r>
      <w:r w:rsidRPr="009C0665">
        <w:rPr>
          <w:spacing w:val="1"/>
          <w:szCs w:val="22"/>
          <w:lang w:val="sr-Latn-ME"/>
        </w:rPr>
        <w:t>j</w:t>
      </w:r>
      <w:r w:rsidRPr="009C0665">
        <w:rPr>
          <w:szCs w:val="22"/>
          <w:lang w:val="sr-Latn-ME"/>
        </w:rPr>
        <w:t>a</w:t>
      </w:r>
      <w:r w:rsidRPr="009C0665">
        <w:rPr>
          <w:spacing w:val="-1"/>
          <w:szCs w:val="22"/>
          <w:lang w:val="sr-Latn-ME"/>
        </w:rPr>
        <w:t>l</w:t>
      </w:r>
      <w:r w:rsidRPr="009C0665">
        <w:rPr>
          <w:spacing w:val="1"/>
          <w:szCs w:val="22"/>
          <w:lang w:val="sr-Latn-ME"/>
        </w:rPr>
        <w:t>i</w:t>
      </w:r>
      <w:r w:rsidRPr="009C0665">
        <w:rPr>
          <w:spacing w:val="-2"/>
          <w:szCs w:val="22"/>
          <w:lang w:val="sr-Latn-ME"/>
        </w:rPr>
        <w:t>s</w:t>
      </w:r>
      <w:r w:rsidRPr="009C0665">
        <w:rPr>
          <w:szCs w:val="22"/>
          <w:lang w:val="sr-Latn-ME"/>
        </w:rPr>
        <w:t>ta</w:t>
      </w:r>
      <w:r w:rsidRPr="009C0665">
        <w:rPr>
          <w:spacing w:val="-1"/>
          <w:szCs w:val="22"/>
          <w:lang w:val="sr-Latn-ME"/>
        </w:rPr>
        <w:t xml:space="preserve"> </w:t>
      </w:r>
      <w:r w:rsidR="0081595D" w:rsidRPr="009C0665">
        <w:rPr>
          <w:szCs w:val="22"/>
          <w:lang w:val="sr-Latn-ME"/>
        </w:rPr>
        <w:t>sa iskustvom u postavljanju dijagnoze i l</w:t>
      </w:r>
      <w:r w:rsidRPr="009C0665">
        <w:rPr>
          <w:szCs w:val="22"/>
          <w:lang w:val="sr-Latn-ME"/>
        </w:rPr>
        <w:t>ij</w:t>
      </w:r>
      <w:r w:rsidR="0081595D" w:rsidRPr="009C0665">
        <w:rPr>
          <w:szCs w:val="22"/>
          <w:lang w:val="sr-Latn-ME"/>
        </w:rPr>
        <w:t>ečenju ulceroznog kolitisa</w:t>
      </w:r>
      <w:r w:rsidR="00382252" w:rsidRPr="009C0665">
        <w:rPr>
          <w:szCs w:val="22"/>
          <w:lang w:val="sr-Latn-ME"/>
        </w:rPr>
        <w:t>,</w:t>
      </w:r>
      <w:r w:rsidR="0081595D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Crohnove</w:t>
      </w:r>
      <w:r w:rsidR="0081595D" w:rsidRPr="009C0665">
        <w:rPr>
          <w:szCs w:val="22"/>
          <w:lang w:val="sr-Latn-ME"/>
        </w:rPr>
        <w:t xml:space="preserve"> bolesti</w:t>
      </w:r>
      <w:r w:rsidR="00382252" w:rsidRPr="009C0665">
        <w:rPr>
          <w:szCs w:val="22"/>
          <w:lang w:val="sr-Latn-ME"/>
        </w:rPr>
        <w:t xml:space="preserve"> ili paučitisa</w:t>
      </w:r>
      <w:r w:rsidR="00127AC1" w:rsidRPr="009C0665">
        <w:rPr>
          <w:szCs w:val="22"/>
          <w:lang w:val="sr-Latn-ME"/>
        </w:rPr>
        <w:t xml:space="preserve"> (</w:t>
      </w:r>
      <w:r w:rsidRPr="009C0665">
        <w:rPr>
          <w:szCs w:val="22"/>
          <w:lang w:val="sr-Latn-ME"/>
        </w:rPr>
        <w:t>vidjeti</w:t>
      </w:r>
      <w:r w:rsidR="00127AC1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dio</w:t>
      </w:r>
      <w:r w:rsidR="00127AC1" w:rsidRPr="009C0665">
        <w:rPr>
          <w:szCs w:val="22"/>
          <w:lang w:val="sr-Latn-ME"/>
        </w:rPr>
        <w:t xml:space="preserve"> 4.4)</w:t>
      </w:r>
      <w:r w:rsidR="0081595D" w:rsidRPr="009C0665">
        <w:rPr>
          <w:szCs w:val="22"/>
          <w:lang w:val="sr-Latn-ME"/>
        </w:rPr>
        <w:t xml:space="preserve">. Pacijenti moraju dobiti Uputstvo za </w:t>
      </w:r>
      <w:r w:rsidRPr="009C0665">
        <w:rPr>
          <w:szCs w:val="22"/>
          <w:lang w:val="sr-Latn-ME"/>
        </w:rPr>
        <w:t>lijek</w:t>
      </w:r>
      <w:r w:rsidR="0081595D" w:rsidRPr="009C0665">
        <w:rPr>
          <w:szCs w:val="22"/>
          <w:lang w:val="sr-Latn-ME"/>
        </w:rPr>
        <w:t>.</w:t>
      </w:r>
    </w:p>
    <w:p w14:paraId="56E1CC86" w14:textId="77777777" w:rsidR="0011299D" w:rsidRPr="009C0665" w:rsidRDefault="0011299D" w:rsidP="004C7864">
      <w:pPr>
        <w:pStyle w:val="Header"/>
        <w:rPr>
          <w:szCs w:val="22"/>
          <w:lang w:val="sr-Latn-ME"/>
        </w:rPr>
      </w:pPr>
    </w:p>
    <w:p w14:paraId="006C972F" w14:textId="77777777" w:rsidR="0081595D" w:rsidRPr="009C0665" w:rsidRDefault="0081595D" w:rsidP="004C7864">
      <w:pPr>
        <w:pStyle w:val="Header"/>
        <w:rPr>
          <w:szCs w:val="22"/>
          <w:u w:val="single"/>
          <w:lang w:val="sr-Latn-ME"/>
        </w:rPr>
      </w:pPr>
      <w:r w:rsidRPr="009C0665">
        <w:rPr>
          <w:szCs w:val="22"/>
          <w:u w:val="single"/>
          <w:lang w:val="sr-Latn-ME"/>
        </w:rPr>
        <w:t>Doziranje</w:t>
      </w:r>
    </w:p>
    <w:p w14:paraId="60F086E4" w14:textId="77777777" w:rsidR="0081595D" w:rsidRPr="009C0665" w:rsidRDefault="0081595D" w:rsidP="004C7864">
      <w:pPr>
        <w:pStyle w:val="Header"/>
        <w:rPr>
          <w:szCs w:val="22"/>
          <w:lang w:val="sr-Latn-ME"/>
        </w:rPr>
      </w:pPr>
    </w:p>
    <w:p w14:paraId="0673C81A" w14:textId="77777777" w:rsidR="0081595D" w:rsidRPr="009C0665" w:rsidRDefault="0081595D" w:rsidP="004C7864">
      <w:pPr>
        <w:pStyle w:val="Header"/>
        <w:rPr>
          <w:i/>
          <w:szCs w:val="22"/>
          <w:u w:val="single"/>
          <w:lang w:val="sr-Latn-ME"/>
        </w:rPr>
      </w:pPr>
      <w:r w:rsidRPr="009C0665">
        <w:rPr>
          <w:i/>
          <w:szCs w:val="22"/>
          <w:u w:val="single"/>
          <w:lang w:val="sr-Latn-ME"/>
        </w:rPr>
        <w:t>Ulcerozni kolitis</w:t>
      </w:r>
    </w:p>
    <w:p w14:paraId="22D04246" w14:textId="77777777" w:rsidR="0081595D" w:rsidRPr="009C0665" w:rsidRDefault="0081595D" w:rsidP="004C7864">
      <w:pPr>
        <w:pStyle w:val="Header"/>
        <w:rPr>
          <w:szCs w:val="22"/>
          <w:lang w:val="sr-Latn-ME"/>
        </w:rPr>
      </w:pPr>
    </w:p>
    <w:p w14:paraId="2A8B2D14" w14:textId="1D10D2DD" w:rsidR="0081595D" w:rsidRPr="009C0665" w:rsidRDefault="00D26459" w:rsidP="004C7864">
      <w:pPr>
        <w:pStyle w:val="Header"/>
        <w:rPr>
          <w:szCs w:val="22"/>
          <w:lang w:val="sr-Latn-ME"/>
        </w:rPr>
      </w:pPr>
      <w:r w:rsidRPr="009C0665">
        <w:rPr>
          <w:noProof/>
          <w:szCs w:val="22"/>
          <w:lang w:val="sr-Latn-ME"/>
        </w:rPr>
        <w:t>Preporučeno doziranje</w:t>
      </w:r>
      <w:r w:rsidR="0081595D" w:rsidRPr="009C0665">
        <w:rPr>
          <w:szCs w:val="22"/>
          <w:lang w:val="sr-Latn-ME"/>
        </w:rPr>
        <w:t xml:space="preserve">, za </w:t>
      </w:r>
      <w:r w:rsidR="00D73F11" w:rsidRPr="009C0665">
        <w:rPr>
          <w:szCs w:val="22"/>
          <w:lang w:val="sr-Latn-ME"/>
        </w:rPr>
        <w:t xml:space="preserve">vedolizumab </w:t>
      </w:r>
      <w:r w:rsidRPr="009C0665">
        <w:rPr>
          <w:szCs w:val="22"/>
          <w:lang w:val="sr-Latn-ME"/>
        </w:rPr>
        <w:t>prim</w:t>
      </w:r>
      <w:r w:rsidR="00FB3463" w:rsidRPr="009C0665">
        <w:rPr>
          <w:szCs w:val="22"/>
          <w:lang w:val="sr-Latn-ME"/>
        </w:rPr>
        <w:t>i</w:t>
      </w:r>
      <w:r w:rsidRPr="009C0665">
        <w:rPr>
          <w:szCs w:val="22"/>
          <w:lang w:val="sr-Latn-ME"/>
        </w:rPr>
        <w:t>jenjen</w:t>
      </w:r>
      <w:r w:rsidR="00D73F11" w:rsidRPr="009C0665">
        <w:rPr>
          <w:szCs w:val="22"/>
          <w:lang w:val="sr-Latn-ME"/>
        </w:rPr>
        <w:t xml:space="preserve"> intravenski</w:t>
      </w:r>
      <w:r w:rsidR="0081595D" w:rsidRPr="009C0665">
        <w:rPr>
          <w:szCs w:val="22"/>
          <w:lang w:val="sr-Latn-ME"/>
        </w:rPr>
        <w:t>, je 300 mg prim</w:t>
      </w:r>
      <w:r w:rsidR="00FB3463" w:rsidRPr="009C0665">
        <w:rPr>
          <w:szCs w:val="22"/>
          <w:lang w:val="sr-Latn-ME"/>
        </w:rPr>
        <w:t>i</w:t>
      </w:r>
      <w:r w:rsidRPr="009C0665">
        <w:rPr>
          <w:szCs w:val="22"/>
          <w:lang w:val="sr-Latn-ME"/>
        </w:rPr>
        <w:t>j</w:t>
      </w:r>
      <w:r w:rsidR="0081595D" w:rsidRPr="009C0665">
        <w:rPr>
          <w:szCs w:val="22"/>
          <w:lang w:val="sr-Latn-ME"/>
        </w:rPr>
        <w:t xml:space="preserve">enjeno intravenskom infuzijom u </w:t>
      </w:r>
      <w:r w:rsidR="00D73F11" w:rsidRPr="009C0665">
        <w:rPr>
          <w:szCs w:val="22"/>
          <w:lang w:val="sr-Latn-ME"/>
        </w:rPr>
        <w:t>0</w:t>
      </w:r>
      <w:r w:rsidR="00B454D4" w:rsidRPr="009C0665">
        <w:rPr>
          <w:szCs w:val="22"/>
          <w:lang w:val="sr-Latn-ME"/>
        </w:rPr>
        <w:t>.</w:t>
      </w:r>
      <w:r w:rsidR="0081595D" w:rsidRPr="009C0665">
        <w:rPr>
          <w:szCs w:val="22"/>
          <w:lang w:val="sr-Latn-ME"/>
        </w:rPr>
        <w:t xml:space="preserve">, </w:t>
      </w:r>
      <w:r w:rsidR="00D73F11" w:rsidRPr="009C0665">
        <w:rPr>
          <w:szCs w:val="22"/>
          <w:lang w:val="sr-Latn-ME"/>
        </w:rPr>
        <w:t xml:space="preserve">2. </w:t>
      </w:r>
      <w:r w:rsidR="0081595D" w:rsidRPr="009C0665">
        <w:rPr>
          <w:szCs w:val="22"/>
          <w:lang w:val="sr-Latn-ME"/>
        </w:rPr>
        <w:t xml:space="preserve">i </w:t>
      </w:r>
      <w:r w:rsidR="00D73F11" w:rsidRPr="009C0665">
        <w:rPr>
          <w:szCs w:val="22"/>
          <w:lang w:val="sr-Latn-ME"/>
        </w:rPr>
        <w:t xml:space="preserve">6. </w:t>
      </w:r>
      <w:r w:rsidR="0081595D" w:rsidRPr="009C0665">
        <w:rPr>
          <w:szCs w:val="22"/>
          <w:lang w:val="sr-Latn-ME"/>
        </w:rPr>
        <w:t>ned</w:t>
      </w:r>
      <w:r w:rsidRPr="009C0665">
        <w:rPr>
          <w:szCs w:val="22"/>
          <w:lang w:val="sr-Latn-ME"/>
        </w:rPr>
        <w:t>j</w:t>
      </w:r>
      <w:r w:rsidR="0081595D" w:rsidRPr="009C0665">
        <w:rPr>
          <w:szCs w:val="22"/>
          <w:lang w:val="sr-Latn-ME"/>
        </w:rPr>
        <w:t>elji, kao i svak</w:t>
      </w:r>
      <w:r w:rsidR="00B454D4" w:rsidRPr="009C0665">
        <w:rPr>
          <w:szCs w:val="22"/>
          <w:lang w:val="sr-Latn-ME"/>
        </w:rPr>
        <w:t>ih</w:t>
      </w:r>
      <w:r w:rsidR="0081595D" w:rsidRPr="009C0665">
        <w:rPr>
          <w:szCs w:val="22"/>
          <w:lang w:val="sr-Latn-ME"/>
        </w:rPr>
        <w:t xml:space="preserve"> </w:t>
      </w:r>
      <w:r w:rsidR="00D73F11" w:rsidRPr="009C0665">
        <w:rPr>
          <w:szCs w:val="22"/>
          <w:lang w:val="sr-Latn-ME"/>
        </w:rPr>
        <w:t>8</w:t>
      </w:r>
      <w:r w:rsidR="0081595D" w:rsidRPr="009C0665">
        <w:rPr>
          <w:szCs w:val="22"/>
          <w:lang w:val="sr-Latn-ME"/>
        </w:rPr>
        <w:t xml:space="preserve"> ned</w:t>
      </w:r>
      <w:r w:rsidRPr="009C0665">
        <w:rPr>
          <w:szCs w:val="22"/>
          <w:lang w:val="sr-Latn-ME"/>
        </w:rPr>
        <w:t>j</w:t>
      </w:r>
      <w:r w:rsidR="0081595D" w:rsidRPr="009C0665">
        <w:rPr>
          <w:szCs w:val="22"/>
          <w:lang w:val="sr-Latn-ME"/>
        </w:rPr>
        <w:t>elj</w:t>
      </w:r>
      <w:r w:rsidR="00B454D4" w:rsidRPr="009C0665">
        <w:rPr>
          <w:szCs w:val="22"/>
          <w:lang w:val="sr-Latn-ME"/>
        </w:rPr>
        <w:t>a</w:t>
      </w:r>
      <w:r w:rsidR="0081595D" w:rsidRPr="009C0665">
        <w:rPr>
          <w:szCs w:val="22"/>
          <w:lang w:val="sr-Latn-ME"/>
        </w:rPr>
        <w:t xml:space="preserve"> nakon toga.</w:t>
      </w:r>
    </w:p>
    <w:p w14:paraId="384D3434" w14:textId="77777777" w:rsidR="0081595D" w:rsidRPr="009C0665" w:rsidRDefault="0081595D" w:rsidP="004C7864">
      <w:pPr>
        <w:pStyle w:val="Header"/>
        <w:rPr>
          <w:szCs w:val="22"/>
          <w:lang w:val="sr-Latn-ME"/>
        </w:rPr>
      </w:pPr>
    </w:p>
    <w:p w14:paraId="01476804" w14:textId="5B8A1F02" w:rsidR="0081595D" w:rsidRPr="009C0665" w:rsidRDefault="003E194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L</w:t>
      </w:r>
      <w:r w:rsidR="00D26459" w:rsidRPr="009C0665">
        <w:rPr>
          <w:szCs w:val="22"/>
          <w:lang w:val="sr-Latn-ME"/>
        </w:rPr>
        <w:t>iječen</w:t>
      </w:r>
      <w:r w:rsidRPr="009C0665">
        <w:rPr>
          <w:szCs w:val="22"/>
          <w:lang w:val="sr-Latn-ME"/>
        </w:rPr>
        <w:t xml:space="preserve">je lijekom Entyvio kod pacijenata sa ulceroznim kolitisom potrebno je prekinuti, </w:t>
      </w:r>
      <w:r w:rsidR="00D26459" w:rsidRPr="009C0665">
        <w:rPr>
          <w:szCs w:val="22"/>
          <w:lang w:val="sr-Latn-ME"/>
        </w:rPr>
        <w:t>ako se do 10. nedjelje liječenja ne utvrdi korist terapije (vidjeti dio 5.1).</w:t>
      </w:r>
    </w:p>
    <w:p w14:paraId="4E95F021" w14:textId="77777777" w:rsidR="00D26459" w:rsidRPr="009C0665" w:rsidRDefault="00D26459" w:rsidP="004C7864">
      <w:pPr>
        <w:pStyle w:val="Header"/>
        <w:rPr>
          <w:szCs w:val="22"/>
          <w:lang w:val="sr-Latn-ME"/>
        </w:rPr>
      </w:pPr>
    </w:p>
    <w:p w14:paraId="2B6E13CE" w14:textId="5531CF5A" w:rsidR="0081595D" w:rsidRPr="009C0665" w:rsidRDefault="00D26459" w:rsidP="004C7864">
      <w:pPr>
        <w:pStyle w:val="Header"/>
        <w:rPr>
          <w:szCs w:val="22"/>
          <w:lang w:val="sr-Latn-ME"/>
        </w:rPr>
      </w:pPr>
      <w:r w:rsidRPr="009C0665">
        <w:rPr>
          <w:noProof/>
          <w:szCs w:val="22"/>
          <w:lang w:val="sr-Latn-ME"/>
        </w:rPr>
        <w:t xml:space="preserve">Pojedini pacijenti koji su iskusili smanjenje odgovora mogu imati korist od povećanja učestalosti doziranja na </w:t>
      </w:r>
      <w:r w:rsidR="0081595D" w:rsidRPr="009C0665">
        <w:rPr>
          <w:szCs w:val="22"/>
          <w:lang w:val="sr-Latn-ME"/>
        </w:rPr>
        <w:t xml:space="preserve">300 mg </w:t>
      </w:r>
      <w:r w:rsidR="004978A5" w:rsidRPr="009C0665">
        <w:rPr>
          <w:szCs w:val="22"/>
          <w:lang w:val="sr-Latn-ME"/>
        </w:rPr>
        <w:t xml:space="preserve">vedolizumaba </w:t>
      </w:r>
      <w:r w:rsidRPr="009C0665">
        <w:rPr>
          <w:szCs w:val="22"/>
          <w:lang w:val="sr-Latn-ME"/>
        </w:rPr>
        <w:t>prim</w:t>
      </w:r>
      <w:r w:rsidR="00FB3463" w:rsidRPr="009C0665">
        <w:rPr>
          <w:szCs w:val="22"/>
          <w:lang w:val="sr-Latn-ME"/>
        </w:rPr>
        <w:t>i</w:t>
      </w:r>
      <w:r w:rsidRPr="009C0665">
        <w:rPr>
          <w:szCs w:val="22"/>
          <w:lang w:val="sr-Latn-ME"/>
        </w:rPr>
        <w:t>jenjenog</w:t>
      </w:r>
      <w:r w:rsidR="004978A5" w:rsidRPr="009C0665">
        <w:rPr>
          <w:szCs w:val="22"/>
          <w:lang w:val="sr-Latn-ME"/>
        </w:rPr>
        <w:t xml:space="preserve"> intravenski</w:t>
      </w:r>
      <w:r w:rsidR="0081595D" w:rsidRPr="009C0665">
        <w:rPr>
          <w:szCs w:val="22"/>
          <w:lang w:val="sr-Latn-ME"/>
        </w:rPr>
        <w:t xml:space="preserve"> na svake </w:t>
      </w:r>
      <w:r w:rsidR="004978A5" w:rsidRPr="009C0665">
        <w:rPr>
          <w:szCs w:val="22"/>
          <w:lang w:val="sr-Latn-ME"/>
        </w:rPr>
        <w:t>4</w:t>
      </w:r>
      <w:r w:rsidR="00FB3463" w:rsidRPr="009C0665">
        <w:rPr>
          <w:szCs w:val="22"/>
          <w:lang w:val="sr-Latn-ME"/>
        </w:rPr>
        <w:t xml:space="preserve"> </w:t>
      </w:r>
      <w:r w:rsidR="00166D72" w:rsidRPr="009C0665">
        <w:rPr>
          <w:szCs w:val="22"/>
          <w:lang w:val="sr-Latn-ME"/>
        </w:rPr>
        <w:t>nedjelje</w:t>
      </w:r>
      <w:r w:rsidR="0081595D" w:rsidRPr="009C0665">
        <w:rPr>
          <w:szCs w:val="22"/>
          <w:lang w:val="sr-Latn-ME"/>
        </w:rPr>
        <w:t>.</w:t>
      </w:r>
    </w:p>
    <w:p w14:paraId="38FAA213" w14:textId="77777777" w:rsidR="0081595D" w:rsidRPr="009C0665" w:rsidRDefault="0081595D" w:rsidP="004C7864">
      <w:pPr>
        <w:pStyle w:val="Header"/>
        <w:rPr>
          <w:szCs w:val="22"/>
          <w:lang w:val="sr-Latn-ME"/>
        </w:rPr>
      </w:pPr>
    </w:p>
    <w:p w14:paraId="022888E3" w14:textId="10FE8E90" w:rsidR="0081595D" w:rsidRPr="009C0665" w:rsidRDefault="00D26459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Kod pacijenata koji su odgovorili na liječenje</w:t>
      </w:r>
      <w:r w:rsidR="0081595D" w:rsidRPr="009C0665">
        <w:rPr>
          <w:szCs w:val="22"/>
          <w:lang w:val="sr-Latn-ME"/>
        </w:rPr>
        <w:t xml:space="preserve"> </w:t>
      </w:r>
      <w:r w:rsidR="004978A5" w:rsidRPr="009C0665">
        <w:rPr>
          <w:szCs w:val="22"/>
          <w:lang w:val="sr-Latn-ME"/>
        </w:rPr>
        <w:t>vedolizumabom</w:t>
      </w:r>
      <w:r w:rsidR="0081595D" w:rsidRPr="009C0665">
        <w:rPr>
          <w:szCs w:val="22"/>
          <w:lang w:val="sr-Latn-ME"/>
        </w:rPr>
        <w:t xml:space="preserve"> moguće je smanjiti i/ili prekinuti </w:t>
      </w:r>
      <w:r w:rsidRPr="009C0665">
        <w:rPr>
          <w:szCs w:val="22"/>
          <w:lang w:val="sr-Latn-ME"/>
        </w:rPr>
        <w:t>liječenje</w:t>
      </w:r>
      <w:r w:rsidR="0081595D" w:rsidRPr="009C0665">
        <w:rPr>
          <w:szCs w:val="22"/>
          <w:lang w:val="sr-Latn-ME"/>
        </w:rPr>
        <w:t xml:space="preserve"> kortikosteroidima u skladu sa standardnom terapijom.</w:t>
      </w:r>
    </w:p>
    <w:p w14:paraId="68181D51" w14:textId="77777777" w:rsidR="0081595D" w:rsidRPr="009C0665" w:rsidRDefault="0081595D" w:rsidP="004C7864">
      <w:pPr>
        <w:pStyle w:val="Header"/>
        <w:rPr>
          <w:i/>
          <w:szCs w:val="22"/>
          <w:lang w:val="sr-Latn-ME"/>
        </w:rPr>
      </w:pPr>
    </w:p>
    <w:p w14:paraId="002996C1" w14:textId="70394024" w:rsidR="0081595D" w:rsidRPr="009C0665" w:rsidRDefault="0081595D" w:rsidP="004C7864">
      <w:pPr>
        <w:pStyle w:val="Header"/>
        <w:rPr>
          <w:i/>
          <w:szCs w:val="22"/>
          <w:lang w:val="sr-Latn-ME"/>
        </w:rPr>
      </w:pPr>
      <w:r w:rsidRPr="009C0665">
        <w:rPr>
          <w:i/>
          <w:szCs w:val="22"/>
          <w:lang w:val="sr-Latn-ME"/>
        </w:rPr>
        <w:t xml:space="preserve">Ponovno </w:t>
      </w:r>
      <w:r w:rsidR="00D26459" w:rsidRPr="009C0665">
        <w:rPr>
          <w:i/>
          <w:szCs w:val="22"/>
          <w:lang w:val="sr-Latn-ME"/>
        </w:rPr>
        <w:t>liječenje</w:t>
      </w:r>
    </w:p>
    <w:p w14:paraId="56892AED" w14:textId="77777777" w:rsidR="0081595D" w:rsidRPr="009C0665" w:rsidRDefault="0081595D" w:rsidP="004C7864">
      <w:pPr>
        <w:pStyle w:val="Header"/>
        <w:rPr>
          <w:szCs w:val="22"/>
          <w:lang w:val="sr-Latn-ME"/>
        </w:rPr>
      </w:pPr>
    </w:p>
    <w:p w14:paraId="6740A482" w14:textId="23CBF414" w:rsidR="0081595D" w:rsidRPr="009C0665" w:rsidRDefault="00127AC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Ako je </w:t>
      </w:r>
      <w:r w:rsidR="00D26459" w:rsidRPr="009C0665">
        <w:rPr>
          <w:szCs w:val="22"/>
          <w:lang w:val="sr-Latn-ME"/>
        </w:rPr>
        <w:t>liječenje</w:t>
      </w:r>
      <w:r w:rsidRPr="009C0665">
        <w:rPr>
          <w:szCs w:val="22"/>
          <w:lang w:val="sr-Latn-ME"/>
        </w:rPr>
        <w:t xml:space="preserve"> prekinuto i postoji potreba da se ponovo započne terapija vedolizumabom</w:t>
      </w:r>
      <w:r w:rsidR="00FC29D2" w:rsidRPr="009C0665">
        <w:rPr>
          <w:szCs w:val="22"/>
          <w:lang w:val="sr-Latn-ME"/>
        </w:rPr>
        <w:t xml:space="preserve"> </w:t>
      </w:r>
      <w:r w:rsidR="00D45B27" w:rsidRPr="009C0665">
        <w:rPr>
          <w:szCs w:val="22"/>
          <w:lang w:val="sr-Latn-ME"/>
        </w:rPr>
        <w:t>intravenskom prim</w:t>
      </w:r>
      <w:r w:rsidR="00166D72" w:rsidRPr="009C0665">
        <w:rPr>
          <w:szCs w:val="22"/>
          <w:lang w:val="sr-Latn-ME"/>
        </w:rPr>
        <w:t>j</w:t>
      </w:r>
      <w:r w:rsidR="00D45B27" w:rsidRPr="009C0665">
        <w:rPr>
          <w:szCs w:val="22"/>
          <w:lang w:val="sr-Latn-ME"/>
        </w:rPr>
        <w:t>enom</w:t>
      </w:r>
      <w:r w:rsidR="0081595D" w:rsidRPr="009C0665">
        <w:rPr>
          <w:szCs w:val="22"/>
          <w:lang w:val="sr-Latn-ME"/>
        </w:rPr>
        <w:t xml:space="preserve">, može se razmotriti doziranje svake </w:t>
      </w:r>
      <w:r w:rsidR="008747CD" w:rsidRPr="009C0665">
        <w:rPr>
          <w:szCs w:val="22"/>
          <w:lang w:val="sr-Latn-ME"/>
        </w:rPr>
        <w:t xml:space="preserve">4 </w:t>
      </w:r>
      <w:r w:rsidR="00166D72" w:rsidRPr="009C0665">
        <w:rPr>
          <w:szCs w:val="22"/>
          <w:lang w:val="sr-Latn-ME"/>
        </w:rPr>
        <w:t>nedjelje</w:t>
      </w:r>
      <w:r w:rsidR="0081595D" w:rsidRPr="009C0665">
        <w:rPr>
          <w:szCs w:val="22"/>
          <w:lang w:val="sr-Latn-ME"/>
        </w:rPr>
        <w:t xml:space="preserve"> (</w:t>
      </w:r>
      <w:r w:rsidR="00166D72" w:rsidRPr="009C0665">
        <w:rPr>
          <w:szCs w:val="22"/>
          <w:lang w:val="sr-Latn-ME"/>
        </w:rPr>
        <w:t>vidjeti dio</w:t>
      </w:r>
      <w:r w:rsidR="005F636B" w:rsidRPr="009C0665">
        <w:rPr>
          <w:szCs w:val="22"/>
          <w:lang w:val="sr-Latn-ME"/>
        </w:rPr>
        <w:t xml:space="preserve"> </w:t>
      </w:r>
      <w:r w:rsidR="0081595D" w:rsidRPr="009C0665">
        <w:rPr>
          <w:szCs w:val="22"/>
          <w:lang w:val="sr-Latn-ME"/>
        </w:rPr>
        <w:t>5.1). Period prekida l</w:t>
      </w:r>
      <w:r w:rsidR="00166D72" w:rsidRPr="009C0665">
        <w:rPr>
          <w:szCs w:val="22"/>
          <w:lang w:val="sr-Latn-ME"/>
        </w:rPr>
        <w:t>ij</w:t>
      </w:r>
      <w:r w:rsidR="0081595D" w:rsidRPr="009C0665">
        <w:rPr>
          <w:szCs w:val="22"/>
          <w:lang w:val="sr-Latn-ME"/>
        </w:rPr>
        <w:t xml:space="preserve">ečenja u kliničkim ispitivanjima trajao je do </w:t>
      </w:r>
      <w:r w:rsidR="005F636B" w:rsidRPr="009C0665">
        <w:rPr>
          <w:szCs w:val="22"/>
          <w:lang w:val="sr-Latn-ME"/>
        </w:rPr>
        <w:t>1 godine</w:t>
      </w:r>
      <w:r w:rsidR="0081595D" w:rsidRPr="009C0665">
        <w:rPr>
          <w:szCs w:val="22"/>
          <w:lang w:val="sr-Latn-ME"/>
        </w:rPr>
        <w:t xml:space="preserve">. Efikasnost je ponovo uspostavljena bez vidljivog </w:t>
      </w:r>
      <w:r w:rsidR="00C91D50" w:rsidRPr="009C0665">
        <w:rPr>
          <w:szCs w:val="22"/>
          <w:lang w:val="sr-Latn-ME"/>
        </w:rPr>
        <w:t xml:space="preserve">povećanja </w:t>
      </w:r>
      <w:r w:rsidR="0081595D" w:rsidRPr="009C0665">
        <w:rPr>
          <w:szCs w:val="22"/>
          <w:lang w:val="sr-Latn-ME"/>
        </w:rPr>
        <w:t xml:space="preserve">neželjenih </w:t>
      </w:r>
      <w:r w:rsidR="00C91D50" w:rsidRPr="009C0665">
        <w:rPr>
          <w:szCs w:val="22"/>
          <w:lang w:val="sr-Latn-ME"/>
        </w:rPr>
        <w:t xml:space="preserve">reakcija </w:t>
      </w:r>
      <w:r w:rsidR="0081595D" w:rsidRPr="009C0665">
        <w:rPr>
          <w:szCs w:val="22"/>
          <w:lang w:val="sr-Latn-ME"/>
        </w:rPr>
        <w:t xml:space="preserve">ili reakcija povezanih sa infuzijom tokom ponovnog </w:t>
      </w:r>
      <w:r w:rsidR="00166D72" w:rsidRPr="009C0665">
        <w:rPr>
          <w:szCs w:val="22"/>
          <w:lang w:val="sr-Latn-ME"/>
        </w:rPr>
        <w:t>liječenja</w:t>
      </w:r>
      <w:r w:rsidR="0081595D" w:rsidRPr="009C0665">
        <w:rPr>
          <w:szCs w:val="22"/>
          <w:lang w:val="sr-Latn-ME"/>
        </w:rPr>
        <w:t xml:space="preserve"> vedolizumabom (</w:t>
      </w:r>
      <w:r w:rsidR="00166D72" w:rsidRPr="009C0665">
        <w:rPr>
          <w:szCs w:val="22"/>
          <w:lang w:val="sr-Latn-ME"/>
        </w:rPr>
        <w:t>vidjeti dio</w:t>
      </w:r>
      <w:r w:rsidR="005F636B" w:rsidRPr="009C0665">
        <w:rPr>
          <w:szCs w:val="22"/>
          <w:lang w:val="sr-Latn-ME"/>
        </w:rPr>
        <w:t xml:space="preserve"> </w:t>
      </w:r>
      <w:r w:rsidR="0081595D" w:rsidRPr="009C0665">
        <w:rPr>
          <w:szCs w:val="22"/>
          <w:lang w:val="sr-Latn-ME"/>
        </w:rPr>
        <w:t>4.8).</w:t>
      </w:r>
    </w:p>
    <w:p w14:paraId="35F3F25C" w14:textId="77777777" w:rsidR="0081595D" w:rsidRPr="009C0665" w:rsidRDefault="0081595D" w:rsidP="004C7864">
      <w:pPr>
        <w:pStyle w:val="Header"/>
        <w:rPr>
          <w:szCs w:val="22"/>
          <w:lang w:val="sr-Latn-ME"/>
        </w:rPr>
      </w:pPr>
    </w:p>
    <w:p w14:paraId="6AA572CF" w14:textId="4E63CA75" w:rsidR="0081595D" w:rsidRPr="009C0665" w:rsidRDefault="00166D72" w:rsidP="004C7864">
      <w:pPr>
        <w:pStyle w:val="Header"/>
        <w:rPr>
          <w:i/>
          <w:szCs w:val="22"/>
          <w:u w:val="single"/>
          <w:lang w:val="sr-Latn-ME"/>
        </w:rPr>
      </w:pPr>
      <w:r w:rsidRPr="009C0665">
        <w:rPr>
          <w:i/>
          <w:noProof/>
          <w:szCs w:val="22"/>
          <w:u w:val="single"/>
          <w:lang w:val="sr-Latn-ME"/>
        </w:rPr>
        <w:t>Crohnova</w:t>
      </w:r>
      <w:r w:rsidRPr="009C0665">
        <w:rPr>
          <w:i/>
          <w:szCs w:val="22"/>
          <w:u w:val="single"/>
          <w:lang w:val="sr-Latn-ME"/>
        </w:rPr>
        <w:t xml:space="preserve"> </w:t>
      </w:r>
      <w:r w:rsidR="0081595D" w:rsidRPr="009C0665">
        <w:rPr>
          <w:i/>
          <w:szCs w:val="22"/>
          <w:u w:val="single"/>
          <w:lang w:val="sr-Latn-ME"/>
        </w:rPr>
        <w:t>bolest</w:t>
      </w:r>
    </w:p>
    <w:p w14:paraId="683262A9" w14:textId="77777777" w:rsidR="0081595D" w:rsidRPr="009C0665" w:rsidRDefault="0081595D" w:rsidP="004C7864">
      <w:pPr>
        <w:pStyle w:val="Header"/>
        <w:rPr>
          <w:szCs w:val="22"/>
          <w:lang w:val="sr-Latn-ME"/>
        </w:rPr>
      </w:pPr>
    </w:p>
    <w:p w14:paraId="6FFFEA13" w14:textId="436C149D" w:rsidR="0081595D" w:rsidRPr="009C0665" w:rsidRDefault="0081595D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Preporučen</w:t>
      </w:r>
      <w:r w:rsidR="00166D72" w:rsidRPr="009C0665">
        <w:rPr>
          <w:szCs w:val="22"/>
          <w:lang w:val="sr-Latn-ME"/>
        </w:rPr>
        <w:t>o</w:t>
      </w:r>
      <w:r w:rsidRPr="009C0665">
        <w:rPr>
          <w:szCs w:val="22"/>
          <w:lang w:val="sr-Latn-ME"/>
        </w:rPr>
        <w:t xml:space="preserve"> doziranj</w:t>
      </w:r>
      <w:r w:rsidR="00166D72" w:rsidRPr="009C0665">
        <w:rPr>
          <w:szCs w:val="22"/>
          <w:lang w:val="sr-Latn-ME"/>
        </w:rPr>
        <w:t>e</w:t>
      </w:r>
      <w:r w:rsidRPr="009C0665">
        <w:rPr>
          <w:szCs w:val="22"/>
          <w:lang w:val="sr-Latn-ME"/>
        </w:rPr>
        <w:t xml:space="preserve">, za </w:t>
      </w:r>
      <w:r w:rsidR="008747CD" w:rsidRPr="009C0665">
        <w:rPr>
          <w:szCs w:val="22"/>
          <w:lang w:val="sr-Latn-ME"/>
        </w:rPr>
        <w:t xml:space="preserve">vedolizumab </w:t>
      </w:r>
      <w:r w:rsidR="00054848" w:rsidRPr="009C0665">
        <w:rPr>
          <w:szCs w:val="22"/>
          <w:lang w:val="sr-Latn-ME"/>
        </w:rPr>
        <w:t>prim</w:t>
      </w:r>
      <w:r w:rsidR="00FB3463" w:rsidRPr="009C0665">
        <w:rPr>
          <w:szCs w:val="22"/>
          <w:lang w:val="sr-Latn-ME"/>
        </w:rPr>
        <w:t>i</w:t>
      </w:r>
      <w:r w:rsidR="00054848" w:rsidRPr="009C0665">
        <w:rPr>
          <w:szCs w:val="22"/>
          <w:lang w:val="sr-Latn-ME"/>
        </w:rPr>
        <w:t>jenjen</w:t>
      </w:r>
      <w:r w:rsidR="008747CD" w:rsidRPr="009C0665">
        <w:rPr>
          <w:szCs w:val="22"/>
          <w:lang w:val="sr-Latn-ME"/>
        </w:rPr>
        <w:t xml:space="preserve"> intravenski</w:t>
      </w:r>
      <w:r w:rsidRPr="009C0665">
        <w:rPr>
          <w:szCs w:val="22"/>
          <w:lang w:val="sr-Latn-ME"/>
        </w:rPr>
        <w:t xml:space="preserve"> je 300 mg </w:t>
      </w:r>
      <w:r w:rsidR="00AB003D" w:rsidRPr="009C0665">
        <w:rPr>
          <w:noProof/>
          <w:szCs w:val="22"/>
          <w:lang w:val="sr-Latn-ME"/>
        </w:rPr>
        <w:t>primijenjenih</w:t>
      </w:r>
      <w:r w:rsidR="00AB003D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 xml:space="preserve">intravenskom infuzijom u </w:t>
      </w:r>
      <w:r w:rsidR="008747CD" w:rsidRPr="009C0665">
        <w:rPr>
          <w:szCs w:val="22"/>
          <w:lang w:val="sr-Latn-ME"/>
        </w:rPr>
        <w:t>0</w:t>
      </w:r>
      <w:r w:rsidR="00B454D4" w:rsidRPr="009C0665">
        <w:rPr>
          <w:szCs w:val="22"/>
          <w:lang w:val="sr-Latn-ME"/>
        </w:rPr>
        <w:t>.</w:t>
      </w:r>
      <w:r w:rsidRPr="009C0665">
        <w:rPr>
          <w:szCs w:val="22"/>
          <w:lang w:val="sr-Latn-ME"/>
        </w:rPr>
        <w:t xml:space="preserve">, </w:t>
      </w:r>
      <w:r w:rsidR="008747CD" w:rsidRPr="009C0665">
        <w:rPr>
          <w:szCs w:val="22"/>
          <w:lang w:val="sr-Latn-ME"/>
        </w:rPr>
        <w:t xml:space="preserve">2. </w:t>
      </w:r>
      <w:r w:rsidRPr="009C0665">
        <w:rPr>
          <w:szCs w:val="22"/>
          <w:lang w:val="sr-Latn-ME"/>
        </w:rPr>
        <w:t xml:space="preserve">i </w:t>
      </w:r>
      <w:r w:rsidR="008747CD" w:rsidRPr="009C0665">
        <w:rPr>
          <w:szCs w:val="22"/>
          <w:lang w:val="sr-Latn-ME"/>
        </w:rPr>
        <w:t xml:space="preserve">6. </w:t>
      </w:r>
      <w:r w:rsidR="00AB003D" w:rsidRPr="009C0665">
        <w:rPr>
          <w:szCs w:val="22"/>
          <w:lang w:val="sr-Latn-ME"/>
        </w:rPr>
        <w:t>nedjelji</w:t>
      </w:r>
      <w:r w:rsidRPr="009C0665">
        <w:rPr>
          <w:szCs w:val="22"/>
          <w:lang w:val="sr-Latn-ME"/>
        </w:rPr>
        <w:t xml:space="preserve">, kao i svake </w:t>
      </w:r>
      <w:r w:rsidR="008747CD" w:rsidRPr="009C0665">
        <w:rPr>
          <w:szCs w:val="22"/>
          <w:lang w:val="sr-Latn-ME"/>
        </w:rPr>
        <w:t>8.</w:t>
      </w:r>
      <w:r w:rsidRPr="009C0665">
        <w:rPr>
          <w:szCs w:val="22"/>
          <w:lang w:val="sr-Latn-ME"/>
        </w:rPr>
        <w:t xml:space="preserve"> </w:t>
      </w:r>
      <w:r w:rsidR="00166D72" w:rsidRPr="009C0665">
        <w:rPr>
          <w:szCs w:val="22"/>
          <w:lang w:val="sr-Latn-ME"/>
        </w:rPr>
        <w:t>nedjelje</w:t>
      </w:r>
      <w:r w:rsidRPr="009C0665">
        <w:rPr>
          <w:szCs w:val="22"/>
          <w:lang w:val="sr-Latn-ME"/>
        </w:rPr>
        <w:t xml:space="preserve"> nakon toga.</w:t>
      </w:r>
    </w:p>
    <w:p w14:paraId="47C3BE55" w14:textId="77777777" w:rsidR="0081595D" w:rsidRPr="009C0665" w:rsidRDefault="0081595D" w:rsidP="004C7864">
      <w:pPr>
        <w:pStyle w:val="Header"/>
        <w:rPr>
          <w:szCs w:val="22"/>
          <w:lang w:val="sr-Latn-ME"/>
        </w:rPr>
      </w:pPr>
    </w:p>
    <w:p w14:paraId="3B699E38" w14:textId="6337D2A8" w:rsidR="0081595D" w:rsidRPr="009C0665" w:rsidRDefault="0081595D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Pacijenti sa </w:t>
      </w:r>
      <w:r w:rsidR="00AB003D" w:rsidRPr="009C0665">
        <w:rPr>
          <w:szCs w:val="22"/>
          <w:lang w:val="sr-Latn-ME"/>
        </w:rPr>
        <w:t>Crohnovom</w:t>
      </w:r>
      <w:r w:rsidRPr="009C0665">
        <w:rPr>
          <w:szCs w:val="22"/>
          <w:lang w:val="sr-Latn-ME"/>
        </w:rPr>
        <w:t xml:space="preserve"> bolešću kod kojih nije </w:t>
      </w:r>
      <w:r w:rsidR="00AB003D" w:rsidRPr="009C0665">
        <w:rPr>
          <w:szCs w:val="22"/>
          <w:lang w:val="sr-Latn-ME"/>
        </w:rPr>
        <w:t>zabilježen</w:t>
      </w:r>
      <w:r w:rsidRPr="009C0665">
        <w:rPr>
          <w:szCs w:val="22"/>
          <w:lang w:val="sr-Latn-ME"/>
        </w:rPr>
        <w:t xml:space="preserve"> </w:t>
      </w:r>
      <w:r w:rsidR="00C91D50" w:rsidRPr="009C0665">
        <w:rPr>
          <w:szCs w:val="22"/>
          <w:lang w:val="sr-Latn-ME"/>
        </w:rPr>
        <w:t xml:space="preserve">terapijski </w:t>
      </w:r>
      <w:r w:rsidRPr="009C0665">
        <w:rPr>
          <w:szCs w:val="22"/>
          <w:lang w:val="sr-Latn-ME"/>
        </w:rPr>
        <w:t xml:space="preserve">odgovor mogu imati koristi od doze </w:t>
      </w:r>
      <w:r w:rsidR="000450BF" w:rsidRPr="009C0665">
        <w:rPr>
          <w:szCs w:val="22"/>
          <w:lang w:val="sr-Latn-ME"/>
        </w:rPr>
        <w:t>intravensk</w:t>
      </w:r>
      <w:r w:rsidR="00C91D50" w:rsidRPr="009C0665">
        <w:rPr>
          <w:szCs w:val="22"/>
          <w:lang w:val="sr-Latn-ME"/>
        </w:rPr>
        <w:t xml:space="preserve">i </w:t>
      </w:r>
      <w:r w:rsidR="00AB003D" w:rsidRPr="009C0665">
        <w:rPr>
          <w:szCs w:val="22"/>
          <w:lang w:val="sr-Latn-ME"/>
        </w:rPr>
        <w:t>prim</w:t>
      </w:r>
      <w:r w:rsidR="00FB3463" w:rsidRPr="009C0665">
        <w:rPr>
          <w:szCs w:val="22"/>
          <w:lang w:val="sr-Latn-ME"/>
        </w:rPr>
        <w:t>i</w:t>
      </w:r>
      <w:r w:rsidR="00AB003D" w:rsidRPr="009C0665">
        <w:rPr>
          <w:szCs w:val="22"/>
          <w:lang w:val="sr-Latn-ME"/>
        </w:rPr>
        <w:t>jenjenog</w:t>
      </w:r>
      <w:r w:rsidR="000450BF" w:rsidRPr="009C0665">
        <w:rPr>
          <w:szCs w:val="22"/>
          <w:lang w:val="sr-Latn-ME"/>
        </w:rPr>
        <w:t xml:space="preserve"> </w:t>
      </w:r>
      <w:r w:rsidR="005546A3" w:rsidRPr="009C0665">
        <w:rPr>
          <w:szCs w:val="22"/>
          <w:lang w:val="sr-Latn-ME"/>
        </w:rPr>
        <w:t xml:space="preserve">vedolizumaba </w:t>
      </w:r>
      <w:r w:rsidRPr="009C0665">
        <w:rPr>
          <w:szCs w:val="22"/>
          <w:lang w:val="sr-Latn-ME"/>
        </w:rPr>
        <w:t xml:space="preserve">u 10. </w:t>
      </w:r>
      <w:r w:rsidR="00AB003D" w:rsidRPr="009C0665">
        <w:rPr>
          <w:szCs w:val="22"/>
          <w:lang w:val="sr-Latn-ME"/>
        </w:rPr>
        <w:t>nedjelji</w:t>
      </w:r>
      <w:r w:rsidRPr="009C0665">
        <w:rPr>
          <w:szCs w:val="22"/>
          <w:lang w:val="sr-Latn-ME"/>
        </w:rPr>
        <w:t xml:space="preserve"> (</w:t>
      </w:r>
      <w:r w:rsidR="00166D72" w:rsidRPr="009C0665">
        <w:rPr>
          <w:szCs w:val="22"/>
          <w:lang w:val="sr-Latn-ME"/>
        </w:rPr>
        <w:t>vidjeti dio</w:t>
      </w:r>
      <w:r w:rsidR="005F636B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 xml:space="preserve">4.4). Kod pacijenata kod kojih je </w:t>
      </w:r>
      <w:r w:rsidR="00AB003D" w:rsidRPr="009C0665">
        <w:rPr>
          <w:szCs w:val="22"/>
          <w:lang w:val="sr-Latn-ME"/>
        </w:rPr>
        <w:t>zabilježen</w:t>
      </w:r>
      <w:r w:rsidRPr="009C0665">
        <w:rPr>
          <w:szCs w:val="22"/>
          <w:lang w:val="sr-Latn-ME"/>
        </w:rPr>
        <w:t xml:space="preserve"> odgovor, od 14. </w:t>
      </w:r>
      <w:r w:rsidR="00166D72" w:rsidRPr="009C0665">
        <w:rPr>
          <w:szCs w:val="22"/>
          <w:lang w:val="sr-Latn-ME"/>
        </w:rPr>
        <w:t>nedjelje</w:t>
      </w:r>
      <w:r w:rsidRPr="009C0665">
        <w:rPr>
          <w:szCs w:val="22"/>
          <w:lang w:val="sr-Latn-ME"/>
        </w:rPr>
        <w:t xml:space="preserve"> </w:t>
      </w:r>
      <w:r w:rsidR="00D26459" w:rsidRPr="009C0665">
        <w:rPr>
          <w:szCs w:val="22"/>
          <w:lang w:val="sr-Latn-ME"/>
        </w:rPr>
        <w:t>liječenje</w:t>
      </w:r>
      <w:r w:rsidRPr="009C0665">
        <w:rPr>
          <w:szCs w:val="22"/>
          <w:lang w:val="sr-Latn-ME"/>
        </w:rPr>
        <w:t xml:space="preserve"> </w:t>
      </w:r>
      <w:r w:rsidR="008A6EC6" w:rsidRPr="009C0665">
        <w:rPr>
          <w:szCs w:val="22"/>
          <w:lang w:val="sr-Latn-ME"/>
        </w:rPr>
        <w:t xml:space="preserve">treba </w:t>
      </w:r>
      <w:r w:rsidRPr="009C0665">
        <w:rPr>
          <w:szCs w:val="22"/>
          <w:lang w:val="sr-Latn-ME"/>
        </w:rPr>
        <w:t xml:space="preserve">nastaviti </w:t>
      </w:r>
      <w:r w:rsidR="00AB003D" w:rsidRPr="009C0665">
        <w:rPr>
          <w:szCs w:val="22"/>
          <w:lang w:val="sr-Latn-ME"/>
        </w:rPr>
        <w:t>primjenom</w:t>
      </w:r>
      <w:r w:rsidRPr="009C0665">
        <w:rPr>
          <w:szCs w:val="22"/>
          <w:lang w:val="sr-Latn-ME"/>
        </w:rPr>
        <w:t xml:space="preserve"> doze na svakih </w:t>
      </w:r>
      <w:r w:rsidR="005546A3" w:rsidRPr="009C0665">
        <w:rPr>
          <w:szCs w:val="22"/>
          <w:lang w:val="sr-Latn-ME"/>
        </w:rPr>
        <w:t xml:space="preserve">8 </w:t>
      </w:r>
      <w:r w:rsidR="00AB003D" w:rsidRPr="009C0665">
        <w:rPr>
          <w:szCs w:val="22"/>
          <w:lang w:val="sr-Latn-ME"/>
        </w:rPr>
        <w:t>nedjelja</w:t>
      </w:r>
      <w:r w:rsidRPr="009C0665">
        <w:rPr>
          <w:szCs w:val="22"/>
          <w:lang w:val="sr-Latn-ME"/>
        </w:rPr>
        <w:t>. Terapij</w:t>
      </w:r>
      <w:r w:rsidR="00432988" w:rsidRPr="009C0665">
        <w:rPr>
          <w:szCs w:val="22"/>
          <w:lang w:val="sr-Latn-ME"/>
        </w:rPr>
        <w:t xml:space="preserve">u </w:t>
      </w:r>
      <w:r w:rsidRPr="009C0665">
        <w:rPr>
          <w:szCs w:val="22"/>
          <w:lang w:val="sr-Latn-ME"/>
        </w:rPr>
        <w:t xml:space="preserve">kod pacijenata sa </w:t>
      </w:r>
      <w:r w:rsidR="00AB003D" w:rsidRPr="009C0665">
        <w:rPr>
          <w:szCs w:val="22"/>
          <w:lang w:val="sr-Latn-ME"/>
        </w:rPr>
        <w:t>Crohnovom</w:t>
      </w:r>
      <w:r w:rsidRPr="009C0665">
        <w:rPr>
          <w:szCs w:val="22"/>
          <w:lang w:val="sr-Latn-ME"/>
        </w:rPr>
        <w:t xml:space="preserve"> bolešću,</w:t>
      </w:r>
      <w:r w:rsidR="003E1941" w:rsidRPr="009C0665">
        <w:rPr>
          <w:szCs w:val="22"/>
          <w:lang w:val="sr-Latn-ME"/>
        </w:rPr>
        <w:t xml:space="preserve"> </w:t>
      </w:r>
      <w:r w:rsidR="00432988" w:rsidRPr="009C0665">
        <w:rPr>
          <w:szCs w:val="22"/>
          <w:lang w:val="sr-Latn-ME"/>
        </w:rPr>
        <w:t>potrebno je prekinuti</w:t>
      </w:r>
      <w:r w:rsidRPr="009C0665">
        <w:rPr>
          <w:szCs w:val="22"/>
          <w:lang w:val="sr-Latn-ME"/>
        </w:rPr>
        <w:t xml:space="preserve"> ako se do 14. </w:t>
      </w:r>
      <w:r w:rsidR="00166D72" w:rsidRPr="009C0665">
        <w:rPr>
          <w:szCs w:val="22"/>
          <w:lang w:val="sr-Latn-ME"/>
        </w:rPr>
        <w:t>nedjelje</w:t>
      </w:r>
      <w:r w:rsidRPr="009C0665">
        <w:rPr>
          <w:szCs w:val="22"/>
          <w:lang w:val="sr-Latn-ME"/>
        </w:rPr>
        <w:t xml:space="preserve"> </w:t>
      </w:r>
      <w:r w:rsidR="00166D72" w:rsidRPr="009C0665">
        <w:rPr>
          <w:szCs w:val="22"/>
          <w:lang w:val="sr-Latn-ME"/>
        </w:rPr>
        <w:t>liječenja</w:t>
      </w:r>
      <w:r w:rsidRPr="009C0665">
        <w:rPr>
          <w:szCs w:val="22"/>
          <w:lang w:val="sr-Latn-ME"/>
        </w:rPr>
        <w:t xml:space="preserve"> ne utvrdi korist terapije (</w:t>
      </w:r>
      <w:r w:rsidR="00166D72" w:rsidRPr="009C0665">
        <w:rPr>
          <w:szCs w:val="22"/>
          <w:lang w:val="sr-Latn-ME"/>
        </w:rPr>
        <w:t>vidjeti dio</w:t>
      </w:r>
      <w:r w:rsidR="005F636B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5.1).</w:t>
      </w:r>
    </w:p>
    <w:p w14:paraId="5DE78DED" w14:textId="77777777" w:rsidR="0081595D" w:rsidRPr="009C0665" w:rsidRDefault="0081595D" w:rsidP="004C7864">
      <w:pPr>
        <w:pStyle w:val="Header"/>
        <w:rPr>
          <w:szCs w:val="22"/>
          <w:lang w:val="sr-Latn-ME"/>
        </w:rPr>
      </w:pPr>
    </w:p>
    <w:p w14:paraId="173CB729" w14:textId="6D9E9960" w:rsidR="0081595D" w:rsidRPr="009C0665" w:rsidRDefault="00AB003D" w:rsidP="004C7864">
      <w:pPr>
        <w:pStyle w:val="Header"/>
        <w:rPr>
          <w:szCs w:val="22"/>
          <w:lang w:val="sr-Latn-ME"/>
        </w:rPr>
      </w:pPr>
      <w:r w:rsidRPr="009C0665">
        <w:rPr>
          <w:noProof/>
          <w:szCs w:val="22"/>
          <w:lang w:val="sr-Latn-ME"/>
        </w:rPr>
        <w:t xml:space="preserve">Neki pacijenti koji su iskusili smanjenje odgovora mogu imati koristi od povećanja učestalosti doziranja </w:t>
      </w:r>
      <w:r w:rsidR="0081595D" w:rsidRPr="009C0665">
        <w:rPr>
          <w:szCs w:val="22"/>
          <w:lang w:val="sr-Latn-ME"/>
        </w:rPr>
        <w:t xml:space="preserve">300 mg </w:t>
      </w:r>
      <w:r w:rsidR="000450BF" w:rsidRPr="009C0665">
        <w:rPr>
          <w:szCs w:val="22"/>
          <w:lang w:val="sr-Latn-ME"/>
        </w:rPr>
        <w:t>vedolizumaba</w:t>
      </w:r>
      <w:r w:rsidR="0081595D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prim</w:t>
      </w:r>
      <w:r w:rsidR="00FB3463" w:rsidRPr="009C0665">
        <w:rPr>
          <w:szCs w:val="22"/>
          <w:lang w:val="sr-Latn-ME"/>
        </w:rPr>
        <w:t>i</w:t>
      </w:r>
      <w:r w:rsidRPr="009C0665">
        <w:rPr>
          <w:szCs w:val="22"/>
          <w:lang w:val="sr-Latn-ME"/>
        </w:rPr>
        <w:t>jenjenog</w:t>
      </w:r>
      <w:r w:rsidR="00F46304" w:rsidRPr="009C0665">
        <w:rPr>
          <w:szCs w:val="22"/>
          <w:lang w:val="sr-Latn-ME"/>
        </w:rPr>
        <w:t xml:space="preserve"> intravenski </w:t>
      </w:r>
      <w:r w:rsidR="0081595D" w:rsidRPr="009C0665">
        <w:rPr>
          <w:szCs w:val="22"/>
          <w:lang w:val="sr-Latn-ME"/>
        </w:rPr>
        <w:t xml:space="preserve">na svake </w:t>
      </w:r>
      <w:r w:rsidR="005546A3" w:rsidRPr="009C0665">
        <w:rPr>
          <w:szCs w:val="22"/>
          <w:lang w:val="sr-Latn-ME"/>
        </w:rPr>
        <w:t xml:space="preserve">4 </w:t>
      </w:r>
      <w:r w:rsidR="00166D72" w:rsidRPr="009C0665">
        <w:rPr>
          <w:szCs w:val="22"/>
          <w:lang w:val="sr-Latn-ME"/>
        </w:rPr>
        <w:t>nedjelje</w:t>
      </w:r>
      <w:r w:rsidR="0081595D" w:rsidRPr="009C0665">
        <w:rPr>
          <w:szCs w:val="22"/>
          <w:lang w:val="sr-Latn-ME"/>
        </w:rPr>
        <w:t>.</w:t>
      </w:r>
    </w:p>
    <w:p w14:paraId="0F4B4F41" w14:textId="77777777" w:rsidR="0081595D" w:rsidRPr="009C0665" w:rsidRDefault="0081595D" w:rsidP="004C7864">
      <w:pPr>
        <w:pStyle w:val="Header"/>
        <w:rPr>
          <w:szCs w:val="22"/>
          <w:lang w:val="sr-Latn-ME"/>
        </w:rPr>
      </w:pPr>
    </w:p>
    <w:p w14:paraId="572C1C4C" w14:textId="7D8CD352" w:rsidR="0081595D" w:rsidRPr="009C0665" w:rsidRDefault="00AB003D" w:rsidP="004C7864">
      <w:pPr>
        <w:pStyle w:val="Header"/>
        <w:rPr>
          <w:szCs w:val="22"/>
          <w:lang w:val="sr-Latn-ME"/>
        </w:rPr>
      </w:pPr>
      <w:r w:rsidRPr="009C0665">
        <w:rPr>
          <w:noProof/>
          <w:szCs w:val="22"/>
          <w:lang w:val="sr-Latn-ME"/>
        </w:rPr>
        <w:t xml:space="preserve">Kod pacijenata koji su odgovorili na liječenje </w:t>
      </w:r>
      <w:r w:rsidR="005546A3" w:rsidRPr="009C0665">
        <w:rPr>
          <w:szCs w:val="22"/>
          <w:lang w:val="sr-Latn-ME"/>
        </w:rPr>
        <w:t>vedolizumabom</w:t>
      </w:r>
      <w:r w:rsidR="000450BF" w:rsidRPr="009C0665">
        <w:rPr>
          <w:szCs w:val="22"/>
          <w:lang w:val="sr-Latn-ME"/>
        </w:rPr>
        <w:t>,</w:t>
      </w:r>
      <w:r w:rsidR="0081595D" w:rsidRPr="009C0665">
        <w:rPr>
          <w:szCs w:val="22"/>
          <w:lang w:val="sr-Latn-ME"/>
        </w:rPr>
        <w:t xml:space="preserve"> moguće je smanjiti i/ili prekinuti </w:t>
      </w:r>
      <w:r w:rsidR="00D26459" w:rsidRPr="009C0665">
        <w:rPr>
          <w:szCs w:val="22"/>
          <w:lang w:val="sr-Latn-ME"/>
        </w:rPr>
        <w:t>liječenje</w:t>
      </w:r>
      <w:r w:rsidR="0081595D" w:rsidRPr="009C0665">
        <w:rPr>
          <w:szCs w:val="22"/>
          <w:lang w:val="sr-Latn-ME"/>
        </w:rPr>
        <w:t xml:space="preserve"> kortikosteroidima u skladu sa standardnom terapijom.</w:t>
      </w:r>
    </w:p>
    <w:p w14:paraId="5246657A" w14:textId="77777777" w:rsidR="0081595D" w:rsidRPr="009C0665" w:rsidRDefault="0081595D" w:rsidP="004C7864">
      <w:pPr>
        <w:pStyle w:val="Header"/>
        <w:rPr>
          <w:szCs w:val="22"/>
          <w:lang w:val="sr-Latn-ME"/>
        </w:rPr>
      </w:pPr>
    </w:p>
    <w:p w14:paraId="71AFD94D" w14:textId="11E69865" w:rsidR="0081595D" w:rsidRPr="009C0665" w:rsidRDefault="0081595D" w:rsidP="004C7864">
      <w:pPr>
        <w:pStyle w:val="Header"/>
        <w:rPr>
          <w:i/>
          <w:szCs w:val="22"/>
          <w:lang w:val="sr-Latn-ME"/>
        </w:rPr>
      </w:pPr>
      <w:r w:rsidRPr="009C0665">
        <w:rPr>
          <w:i/>
          <w:szCs w:val="22"/>
          <w:lang w:val="sr-Latn-ME"/>
        </w:rPr>
        <w:t xml:space="preserve">Ponovno </w:t>
      </w:r>
      <w:r w:rsidR="00D26459" w:rsidRPr="009C0665">
        <w:rPr>
          <w:i/>
          <w:szCs w:val="22"/>
          <w:lang w:val="sr-Latn-ME"/>
        </w:rPr>
        <w:t>liječenje</w:t>
      </w:r>
    </w:p>
    <w:p w14:paraId="023052F7" w14:textId="77777777" w:rsidR="0081595D" w:rsidRPr="009C0665" w:rsidRDefault="0081595D" w:rsidP="004C7864">
      <w:pPr>
        <w:pStyle w:val="Header"/>
        <w:rPr>
          <w:szCs w:val="22"/>
          <w:lang w:val="sr-Latn-ME"/>
        </w:rPr>
      </w:pPr>
    </w:p>
    <w:p w14:paraId="12EB881A" w14:textId="38D28C3E" w:rsidR="0081595D" w:rsidRPr="009C0665" w:rsidRDefault="00306FAE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Ako je </w:t>
      </w:r>
      <w:r w:rsidR="00D26459" w:rsidRPr="009C0665">
        <w:rPr>
          <w:szCs w:val="22"/>
          <w:lang w:val="sr-Latn-ME"/>
        </w:rPr>
        <w:t>liječenje</w:t>
      </w:r>
      <w:r w:rsidRPr="009C0665">
        <w:rPr>
          <w:szCs w:val="22"/>
          <w:lang w:val="sr-Latn-ME"/>
        </w:rPr>
        <w:t xml:space="preserve"> prekinuto i postoji potreba da se ponovo započne terapija </w:t>
      </w:r>
      <w:r w:rsidR="00D45B27" w:rsidRPr="009C0665">
        <w:rPr>
          <w:szCs w:val="22"/>
          <w:lang w:val="sr-Latn-ME"/>
        </w:rPr>
        <w:t xml:space="preserve">vedolizumabom </w:t>
      </w:r>
      <w:r w:rsidRPr="009C0665">
        <w:rPr>
          <w:szCs w:val="22"/>
          <w:lang w:val="sr-Latn-ME"/>
        </w:rPr>
        <w:t>intravensk</w:t>
      </w:r>
      <w:r w:rsidR="00D45B27" w:rsidRPr="009C0665">
        <w:rPr>
          <w:szCs w:val="22"/>
          <w:lang w:val="sr-Latn-ME"/>
        </w:rPr>
        <w:t xml:space="preserve">om </w:t>
      </w:r>
      <w:r w:rsidR="00AB003D" w:rsidRPr="009C0665">
        <w:rPr>
          <w:szCs w:val="22"/>
          <w:lang w:val="sr-Latn-ME"/>
        </w:rPr>
        <w:t>primjenom</w:t>
      </w:r>
      <w:r w:rsidR="0081595D" w:rsidRPr="009C0665">
        <w:rPr>
          <w:szCs w:val="22"/>
          <w:lang w:val="sr-Latn-ME"/>
        </w:rPr>
        <w:t xml:space="preserve">, može se razmotriti doziranje svake </w:t>
      </w:r>
      <w:r w:rsidR="005546A3" w:rsidRPr="009C0665">
        <w:rPr>
          <w:szCs w:val="22"/>
          <w:lang w:val="sr-Latn-ME"/>
        </w:rPr>
        <w:t xml:space="preserve">4. </w:t>
      </w:r>
      <w:r w:rsidR="00166D72" w:rsidRPr="009C0665">
        <w:rPr>
          <w:szCs w:val="22"/>
          <w:lang w:val="sr-Latn-ME"/>
        </w:rPr>
        <w:t>nedjelje</w:t>
      </w:r>
      <w:r w:rsidR="0081595D" w:rsidRPr="009C0665">
        <w:rPr>
          <w:szCs w:val="22"/>
          <w:lang w:val="sr-Latn-ME"/>
        </w:rPr>
        <w:t xml:space="preserve"> (</w:t>
      </w:r>
      <w:r w:rsidR="00166D72" w:rsidRPr="009C0665">
        <w:rPr>
          <w:szCs w:val="22"/>
          <w:lang w:val="sr-Latn-ME"/>
        </w:rPr>
        <w:t>vidjeti dio</w:t>
      </w:r>
      <w:r w:rsidR="005F636B" w:rsidRPr="009C0665">
        <w:rPr>
          <w:szCs w:val="22"/>
          <w:lang w:val="sr-Latn-ME"/>
        </w:rPr>
        <w:t xml:space="preserve"> </w:t>
      </w:r>
      <w:r w:rsidR="0081595D" w:rsidRPr="009C0665">
        <w:rPr>
          <w:szCs w:val="22"/>
          <w:lang w:val="sr-Latn-ME"/>
        </w:rPr>
        <w:t xml:space="preserve">5.1). </w:t>
      </w:r>
      <w:r w:rsidRPr="009C0665">
        <w:rPr>
          <w:szCs w:val="22"/>
          <w:lang w:val="sr-Latn-ME"/>
        </w:rPr>
        <w:t xml:space="preserve">Period </w:t>
      </w:r>
      <w:r w:rsidR="0081595D" w:rsidRPr="009C0665">
        <w:rPr>
          <w:szCs w:val="22"/>
          <w:lang w:val="sr-Latn-ME"/>
        </w:rPr>
        <w:t xml:space="preserve">prekida </w:t>
      </w:r>
      <w:r w:rsidR="00166D72" w:rsidRPr="009C0665">
        <w:rPr>
          <w:szCs w:val="22"/>
          <w:lang w:val="sr-Latn-ME"/>
        </w:rPr>
        <w:t>liječenja</w:t>
      </w:r>
      <w:r w:rsidR="0081595D" w:rsidRPr="009C0665">
        <w:rPr>
          <w:szCs w:val="22"/>
          <w:lang w:val="sr-Latn-ME"/>
        </w:rPr>
        <w:t xml:space="preserve"> u kliničkim ispitivanjima trajao je do </w:t>
      </w:r>
      <w:r w:rsidRPr="009C0665">
        <w:rPr>
          <w:szCs w:val="22"/>
          <w:lang w:val="sr-Latn-ME"/>
        </w:rPr>
        <w:t>1 godine</w:t>
      </w:r>
      <w:r w:rsidR="0081595D" w:rsidRPr="009C0665">
        <w:rPr>
          <w:szCs w:val="22"/>
          <w:lang w:val="sr-Latn-ME"/>
        </w:rPr>
        <w:t xml:space="preserve">. Efikasnost je ponovo uspostavljena bez vidljivog porasta neželjenih </w:t>
      </w:r>
      <w:r w:rsidR="00D45B27" w:rsidRPr="009C0665">
        <w:rPr>
          <w:szCs w:val="22"/>
          <w:lang w:val="sr-Latn-ME"/>
        </w:rPr>
        <w:t xml:space="preserve">reakcija </w:t>
      </w:r>
      <w:r w:rsidR="0081595D" w:rsidRPr="009C0665">
        <w:rPr>
          <w:szCs w:val="22"/>
          <w:lang w:val="sr-Latn-ME"/>
        </w:rPr>
        <w:t xml:space="preserve">ili reakcija povezanih sa infuzijom tokom ponovnog </w:t>
      </w:r>
      <w:r w:rsidR="00166D72" w:rsidRPr="009C0665">
        <w:rPr>
          <w:szCs w:val="22"/>
          <w:lang w:val="sr-Latn-ME"/>
        </w:rPr>
        <w:t>liječenja</w:t>
      </w:r>
      <w:r w:rsidR="0081595D" w:rsidRPr="009C0665">
        <w:rPr>
          <w:szCs w:val="22"/>
          <w:lang w:val="sr-Latn-ME"/>
        </w:rPr>
        <w:t xml:space="preserve"> vedolizumabom (</w:t>
      </w:r>
      <w:r w:rsidR="00166D72" w:rsidRPr="009C0665">
        <w:rPr>
          <w:szCs w:val="22"/>
          <w:lang w:val="sr-Latn-ME"/>
        </w:rPr>
        <w:t>vidjeti dio</w:t>
      </w:r>
      <w:r w:rsidR="0081595D" w:rsidRPr="009C0665">
        <w:rPr>
          <w:szCs w:val="22"/>
          <w:lang w:val="sr-Latn-ME"/>
        </w:rPr>
        <w:t xml:space="preserve"> 4.8).</w:t>
      </w:r>
    </w:p>
    <w:p w14:paraId="70D11407" w14:textId="197E23DC" w:rsidR="0081595D" w:rsidRPr="009C0665" w:rsidRDefault="0081595D" w:rsidP="004C7864">
      <w:pPr>
        <w:pStyle w:val="Header"/>
        <w:rPr>
          <w:szCs w:val="22"/>
          <w:lang w:val="sr-Latn-ME"/>
        </w:rPr>
      </w:pPr>
    </w:p>
    <w:p w14:paraId="17327DAD" w14:textId="474706E8" w:rsidR="00382252" w:rsidRPr="009C0665" w:rsidRDefault="00382252" w:rsidP="004C7864">
      <w:pPr>
        <w:pStyle w:val="Header"/>
        <w:rPr>
          <w:i/>
          <w:iCs/>
          <w:szCs w:val="22"/>
          <w:u w:val="single"/>
          <w:lang w:val="sr-Latn-ME"/>
        </w:rPr>
      </w:pPr>
      <w:r w:rsidRPr="009C0665">
        <w:rPr>
          <w:i/>
          <w:iCs/>
          <w:szCs w:val="22"/>
          <w:u w:val="single"/>
          <w:lang w:val="sr-Latn-ME"/>
        </w:rPr>
        <w:lastRenderedPageBreak/>
        <w:t>Paučitis</w:t>
      </w:r>
    </w:p>
    <w:p w14:paraId="7341AD29" w14:textId="0AE0DD95" w:rsidR="00382252" w:rsidRPr="009C0665" w:rsidRDefault="00382252" w:rsidP="004C7864">
      <w:pPr>
        <w:pStyle w:val="Header"/>
        <w:rPr>
          <w:szCs w:val="22"/>
          <w:lang w:val="sr-Latn-ME"/>
        </w:rPr>
      </w:pPr>
    </w:p>
    <w:p w14:paraId="0FFABD0A" w14:textId="354457F4" w:rsidR="00382252" w:rsidRPr="009C0665" w:rsidRDefault="00382252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Preporučeni režim doziranja intravenskog vedolizumaba je 300 mg intravenskom infuzijom u 0., 2. i 6. </w:t>
      </w:r>
      <w:r w:rsidR="00AB003D" w:rsidRPr="009C0665">
        <w:rPr>
          <w:szCs w:val="22"/>
          <w:lang w:val="sr-Latn-ME"/>
        </w:rPr>
        <w:t>nedjelji</w:t>
      </w:r>
      <w:r w:rsidRPr="009C0665">
        <w:rPr>
          <w:szCs w:val="22"/>
          <w:lang w:val="sr-Latn-ME"/>
        </w:rPr>
        <w:t xml:space="preserve">, a zatim svakih 8 </w:t>
      </w:r>
      <w:r w:rsidR="00AB003D" w:rsidRPr="009C0665">
        <w:rPr>
          <w:szCs w:val="22"/>
          <w:lang w:val="sr-Latn-ME"/>
        </w:rPr>
        <w:t>nedjelja</w:t>
      </w:r>
      <w:r w:rsidRPr="009C0665">
        <w:rPr>
          <w:szCs w:val="22"/>
          <w:lang w:val="sr-Latn-ME"/>
        </w:rPr>
        <w:t>.</w:t>
      </w:r>
    </w:p>
    <w:p w14:paraId="19EF0A47" w14:textId="77777777" w:rsidR="0011299D" w:rsidRPr="009C0665" w:rsidRDefault="0011299D" w:rsidP="004C7864">
      <w:pPr>
        <w:pStyle w:val="Header"/>
        <w:rPr>
          <w:szCs w:val="22"/>
          <w:lang w:val="sr-Latn-ME"/>
        </w:rPr>
      </w:pPr>
    </w:p>
    <w:p w14:paraId="3A1E4E38" w14:textId="060AAEDA" w:rsidR="00382252" w:rsidRPr="009C0665" w:rsidRDefault="00D26459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Liječenje</w:t>
      </w:r>
      <w:r w:rsidR="00382252" w:rsidRPr="009C0665">
        <w:rPr>
          <w:szCs w:val="22"/>
          <w:lang w:val="sr-Latn-ME"/>
        </w:rPr>
        <w:t xml:space="preserve"> vedolizumabom treba započeti paralelno sa standardnim </w:t>
      </w:r>
      <w:r w:rsidRPr="009C0665">
        <w:rPr>
          <w:szCs w:val="22"/>
          <w:lang w:val="sr-Latn-ME"/>
        </w:rPr>
        <w:t>liječenje</w:t>
      </w:r>
      <w:r w:rsidR="00382252" w:rsidRPr="009C0665">
        <w:rPr>
          <w:szCs w:val="22"/>
          <w:lang w:val="sr-Latn-ME"/>
        </w:rPr>
        <w:t xml:space="preserve">m antibiotikom (npr. četiri </w:t>
      </w:r>
      <w:r w:rsidR="00166D72" w:rsidRPr="009C0665">
        <w:rPr>
          <w:szCs w:val="22"/>
          <w:lang w:val="sr-Latn-ME"/>
        </w:rPr>
        <w:t>nedjelje</w:t>
      </w:r>
      <w:r w:rsidR="00382252" w:rsidRPr="009C0665">
        <w:rPr>
          <w:szCs w:val="22"/>
          <w:lang w:val="sr-Latn-ME"/>
        </w:rPr>
        <w:t xml:space="preserve"> ciprofloksacina) (</w:t>
      </w:r>
      <w:r w:rsidR="00166D72" w:rsidRPr="009C0665">
        <w:rPr>
          <w:szCs w:val="22"/>
          <w:lang w:val="sr-Latn-ME"/>
        </w:rPr>
        <w:t>vidjeti dio</w:t>
      </w:r>
      <w:r w:rsidR="00382252" w:rsidRPr="009C0665">
        <w:rPr>
          <w:szCs w:val="22"/>
          <w:lang w:val="sr-Latn-ME"/>
        </w:rPr>
        <w:t xml:space="preserve"> 5.1).</w:t>
      </w:r>
    </w:p>
    <w:p w14:paraId="62E2A7A0" w14:textId="77777777" w:rsidR="00905E55" w:rsidRPr="009C0665" w:rsidRDefault="00905E55" w:rsidP="004C7864">
      <w:pPr>
        <w:pStyle w:val="Header"/>
        <w:rPr>
          <w:szCs w:val="22"/>
          <w:lang w:val="sr-Latn-ME"/>
        </w:rPr>
      </w:pPr>
    </w:p>
    <w:p w14:paraId="63116AAF" w14:textId="3F219A2F" w:rsidR="00382252" w:rsidRPr="009C0665" w:rsidRDefault="00382252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Potrebno je razmotriti prekid </w:t>
      </w:r>
      <w:r w:rsidR="00166D72" w:rsidRPr="009C0665">
        <w:rPr>
          <w:szCs w:val="22"/>
          <w:lang w:val="sr-Latn-ME"/>
        </w:rPr>
        <w:t>liječenja</w:t>
      </w:r>
      <w:r w:rsidRPr="009C0665">
        <w:rPr>
          <w:szCs w:val="22"/>
          <w:lang w:val="sr-Latn-ME"/>
        </w:rPr>
        <w:t xml:space="preserve"> ako se tokom 14 </w:t>
      </w:r>
      <w:r w:rsidR="00AB003D" w:rsidRPr="009C0665">
        <w:rPr>
          <w:szCs w:val="22"/>
          <w:lang w:val="sr-Latn-ME"/>
        </w:rPr>
        <w:t>nedjelja</w:t>
      </w:r>
      <w:r w:rsidRPr="009C0665">
        <w:rPr>
          <w:szCs w:val="22"/>
          <w:lang w:val="sr-Latn-ME"/>
        </w:rPr>
        <w:t xml:space="preserve"> </w:t>
      </w:r>
      <w:r w:rsidR="00166D72" w:rsidRPr="009C0665">
        <w:rPr>
          <w:szCs w:val="22"/>
          <w:lang w:val="sr-Latn-ME"/>
        </w:rPr>
        <w:t>liječenja</w:t>
      </w:r>
      <w:r w:rsidRPr="009C0665">
        <w:rPr>
          <w:szCs w:val="22"/>
          <w:lang w:val="sr-Latn-ME"/>
        </w:rPr>
        <w:t xml:space="preserve"> vedolizumabom ne uoče dokazi o koristi </w:t>
      </w:r>
      <w:r w:rsidR="00166D72" w:rsidRPr="009C0665">
        <w:rPr>
          <w:szCs w:val="22"/>
          <w:lang w:val="sr-Latn-ME"/>
        </w:rPr>
        <w:t>liječenja</w:t>
      </w:r>
      <w:r w:rsidRPr="009C0665">
        <w:rPr>
          <w:szCs w:val="22"/>
          <w:lang w:val="sr-Latn-ME"/>
        </w:rPr>
        <w:t>.</w:t>
      </w:r>
    </w:p>
    <w:p w14:paraId="0724C981" w14:textId="77777777" w:rsidR="0011299D" w:rsidRPr="009C0665" w:rsidRDefault="0011299D" w:rsidP="004C7864">
      <w:pPr>
        <w:pStyle w:val="Header"/>
        <w:rPr>
          <w:szCs w:val="22"/>
          <w:lang w:val="sr-Latn-ME"/>
        </w:rPr>
      </w:pPr>
    </w:p>
    <w:p w14:paraId="6DBBF288" w14:textId="1FFBBF2A" w:rsidR="00382252" w:rsidRPr="009C0665" w:rsidRDefault="00382252" w:rsidP="004C7864">
      <w:pPr>
        <w:pStyle w:val="Header"/>
        <w:rPr>
          <w:i/>
          <w:iCs/>
          <w:szCs w:val="22"/>
          <w:lang w:val="sr-Latn-ME"/>
        </w:rPr>
      </w:pPr>
      <w:r w:rsidRPr="009C0665">
        <w:rPr>
          <w:i/>
          <w:iCs/>
          <w:szCs w:val="22"/>
          <w:lang w:val="sr-Latn-ME"/>
        </w:rPr>
        <w:t xml:space="preserve">Ponovno </w:t>
      </w:r>
      <w:r w:rsidR="00D26459" w:rsidRPr="009C0665">
        <w:rPr>
          <w:i/>
          <w:iCs/>
          <w:szCs w:val="22"/>
          <w:lang w:val="sr-Latn-ME"/>
        </w:rPr>
        <w:t>liječenje</w:t>
      </w:r>
    </w:p>
    <w:p w14:paraId="5D19F259" w14:textId="47732928" w:rsidR="00382252" w:rsidRPr="009C0665" w:rsidRDefault="00382252" w:rsidP="004C7864">
      <w:pPr>
        <w:pStyle w:val="Header"/>
        <w:rPr>
          <w:szCs w:val="22"/>
          <w:lang w:val="sr-Latn-ME"/>
        </w:rPr>
      </w:pPr>
    </w:p>
    <w:p w14:paraId="27FEC1CB" w14:textId="0C60F99F" w:rsidR="00382252" w:rsidRPr="009C0665" w:rsidRDefault="00FB0FEF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Nema dostupnih podataka o ponovnom l</w:t>
      </w:r>
      <w:r w:rsidR="00905E55" w:rsidRPr="009C0665">
        <w:rPr>
          <w:szCs w:val="22"/>
          <w:lang w:val="sr-Latn-ME"/>
        </w:rPr>
        <w:t>ij</w:t>
      </w:r>
      <w:r w:rsidRPr="009C0665">
        <w:rPr>
          <w:szCs w:val="22"/>
          <w:lang w:val="sr-Latn-ME"/>
        </w:rPr>
        <w:t>ečenju pacijenata sa paučitisom.</w:t>
      </w:r>
    </w:p>
    <w:p w14:paraId="37C0D877" w14:textId="77777777" w:rsidR="00FB0FEF" w:rsidRPr="009C0665" w:rsidRDefault="00FB0FEF" w:rsidP="004C7864">
      <w:pPr>
        <w:pStyle w:val="Header"/>
        <w:rPr>
          <w:szCs w:val="22"/>
          <w:lang w:val="sr-Latn-ME"/>
        </w:rPr>
      </w:pPr>
    </w:p>
    <w:p w14:paraId="1FFA456F" w14:textId="26927EDF" w:rsidR="008A6EC6" w:rsidRPr="009C0665" w:rsidRDefault="008A6EC6" w:rsidP="004C7864">
      <w:pPr>
        <w:pStyle w:val="Header"/>
        <w:rPr>
          <w:szCs w:val="22"/>
          <w:u w:val="single"/>
          <w:lang w:val="sr-Latn-ME"/>
        </w:rPr>
      </w:pPr>
      <w:r w:rsidRPr="009C0665">
        <w:rPr>
          <w:szCs w:val="22"/>
          <w:u w:val="single"/>
          <w:lang w:val="sr-Latn-ME"/>
        </w:rPr>
        <w:t xml:space="preserve">Posebne </w:t>
      </w:r>
      <w:r w:rsidR="00D2082A" w:rsidRPr="009C0665">
        <w:rPr>
          <w:szCs w:val="22"/>
          <w:u w:val="single"/>
          <w:lang w:val="sr-Latn-ME"/>
        </w:rPr>
        <w:t>populacije</w:t>
      </w:r>
      <w:r w:rsidRPr="009C0665">
        <w:rPr>
          <w:szCs w:val="22"/>
          <w:u w:val="single"/>
          <w:lang w:val="sr-Latn-ME"/>
        </w:rPr>
        <w:t xml:space="preserve"> pacijenata</w:t>
      </w:r>
    </w:p>
    <w:p w14:paraId="5A85E290" w14:textId="77777777" w:rsidR="00AB003D" w:rsidRPr="009C0665" w:rsidRDefault="00AB003D" w:rsidP="004C7864">
      <w:pPr>
        <w:pStyle w:val="Header"/>
        <w:rPr>
          <w:i/>
          <w:szCs w:val="22"/>
          <w:u w:val="single"/>
          <w:lang w:val="sr-Latn-ME"/>
        </w:rPr>
      </w:pPr>
    </w:p>
    <w:p w14:paraId="6B821C73" w14:textId="30C6ED2F" w:rsidR="00AB003D" w:rsidRPr="009C0665" w:rsidRDefault="00AB003D" w:rsidP="004C7864">
      <w:pPr>
        <w:pStyle w:val="Header"/>
        <w:rPr>
          <w:i/>
          <w:szCs w:val="22"/>
          <w:u w:val="single"/>
          <w:lang w:val="sr-Latn-ME"/>
        </w:rPr>
      </w:pPr>
      <w:r w:rsidRPr="009C0665">
        <w:rPr>
          <w:i/>
          <w:szCs w:val="22"/>
          <w:u w:val="single"/>
          <w:lang w:val="sr-Latn-ME"/>
        </w:rPr>
        <w:t>Pedijatrijska populacija</w:t>
      </w:r>
    </w:p>
    <w:p w14:paraId="798A5D69" w14:textId="77777777" w:rsidR="00AB003D" w:rsidRPr="009C0665" w:rsidRDefault="00AB003D" w:rsidP="004C7864">
      <w:pPr>
        <w:pStyle w:val="Header"/>
        <w:rPr>
          <w:szCs w:val="22"/>
          <w:lang w:val="sr-Latn-ME"/>
        </w:rPr>
      </w:pPr>
    </w:p>
    <w:p w14:paraId="4C2E8C3D" w14:textId="558F6070" w:rsidR="00AB003D" w:rsidRPr="009C0665" w:rsidRDefault="00AB003D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Bezb</w:t>
      </w:r>
      <w:r w:rsidR="00905E55" w:rsidRPr="009C0665">
        <w:rPr>
          <w:szCs w:val="22"/>
          <w:lang w:val="sr-Latn-ME"/>
        </w:rPr>
        <w:t>j</w:t>
      </w:r>
      <w:r w:rsidRPr="009C0665">
        <w:rPr>
          <w:szCs w:val="22"/>
          <w:lang w:val="sr-Latn-ME"/>
        </w:rPr>
        <w:t>ednost i efikasnost primjene vedolizumaba kod d</w:t>
      </w:r>
      <w:r w:rsidR="00905E55" w:rsidRPr="009C0665">
        <w:rPr>
          <w:szCs w:val="22"/>
          <w:lang w:val="sr-Latn-ME"/>
        </w:rPr>
        <w:t>j</w:t>
      </w:r>
      <w:r w:rsidRPr="009C0665">
        <w:rPr>
          <w:szCs w:val="22"/>
          <w:lang w:val="sr-Latn-ME"/>
        </w:rPr>
        <w:t>ece uzrasta od 0 do 17 godina ni</w:t>
      </w:r>
      <w:r w:rsidR="00905E55" w:rsidRPr="009C0665">
        <w:rPr>
          <w:szCs w:val="22"/>
          <w:lang w:val="sr-Latn-ME"/>
        </w:rPr>
        <w:t>je</w:t>
      </w:r>
      <w:r w:rsidRPr="009C0665">
        <w:rPr>
          <w:szCs w:val="22"/>
          <w:lang w:val="sr-Latn-ME"/>
        </w:rPr>
        <w:t>su utvrđene. Nema dostupnih podataka o primjeni kod d</w:t>
      </w:r>
      <w:r w:rsidR="00905E55" w:rsidRPr="009C0665">
        <w:rPr>
          <w:szCs w:val="22"/>
          <w:lang w:val="sr-Latn-ME"/>
        </w:rPr>
        <w:t>j</w:t>
      </w:r>
      <w:r w:rsidRPr="009C0665">
        <w:rPr>
          <w:szCs w:val="22"/>
          <w:lang w:val="sr-Latn-ME"/>
        </w:rPr>
        <w:t xml:space="preserve">ece. </w:t>
      </w:r>
    </w:p>
    <w:p w14:paraId="5F467496" w14:textId="77777777" w:rsidR="0081595D" w:rsidRPr="009C0665" w:rsidRDefault="0081595D" w:rsidP="004C7864">
      <w:pPr>
        <w:pStyle w:val="Header"/>
        <w:rPr>
          <w:szCs w:val="22"/>
          <w:lang w:val="sr-Latn-ME"/>
        </w:rPr>
      </w:pPr>
    </w:p>
    <w:p w14:paraId="2CF3805A" w14:textId="77777777" w:rsidR="0081595D" w:rsidRPr="009C0665" w:rsidRDefault="0081595D" w:rsidP="004C7864">
      <w:pPr>
        <w:pStyle w:val="Header"/>
        <w:rPr>
          <w:i/>
          <w:szCs w:val="22"/>
          <w:u w:val="single"/>
          <w:lang w:val="sr-Latn-ME"/>
        </w:rPr>
      </w:pPr>
      <w:r w:rsidRPr="009C0665">
        <w:rPr>
          <w:i/>
          <w:szCs w:val="22"/>
          <w:u w:val="single"/>
          <w:lang w:val="sr-Latn-ME"/>
        </w:rPr>
        <w:t>Stariji pacijenti</w:t>
      </w:r>
    </w:p>
    <w:p w14:paraId="148FB8B7" w14:textId="77777777" w:rsidR="0081595D" w:rsidRPr="009C0665" w:rsidRDefault="0081595D" w:rsidP="004C7864">
      <w:pPr>
        <w:pStyle w:val="Header"/>
        <w:rPr>
          <w:szCs w:val="22"/>
          <w:lang w:val="sr-Latn-ME"/>
        </w:rPr>
      </w:pPr>
    </w:p>
    <w:p w14:paraId="68AE0AE9" w14:textId="7DCA2084" w:rsidR="0081595D" w:rsidRPr="009C0665" w:rsidRDefault="0081595D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Kod starijih pacijenata nije potrebno prilagođavati dozu. Populacione farmakokinetičke analize ni</w:t>
      </w:r>
      <w:r w:rsidR="00905E55" w:rsidRPr="009C0665">
        <w:rPr>
          <w:szCs w:val="22"/>
          <w:lang w:val="sr-Latn-ME"/>
        </w:rPr>
        <w:t>je</w:t>
      </w:r>
      <w:r w:rsidRPr="009C0665">
        <w:rPr>
          <w:szCs w:val="22"/>
          <w:lang w:val="sr-Latn-ME"/>
        </w:rPr>
        <w:t xml:space="preserve">su pokazale uticaj </w:t>
      </w:r>
      <w:r w:rsidR="00AB003D" w:rsidRPr="009C0665">
        <w:rPr>
          <w:noProof/>
          <w:szCs w:val="22"/>
          <w:lang w:val="sr-Latn-ME"/>
        </w:rPr>
        <w:t xml:space="preserve">uzrasta </w:t>
      </w:r>
      <w:r w:rsidRPr="009C0665">
        <w:rPr>
          <w:szCs w:val="22"/>
          <w:lang w:val="sr-Latn-ME"/>
        </w:rPr>
        <w:t>(</w:t>
      </w:r>
      <w:r w:rsidR="00166D72" w:rsidRPr="009C0665">
        <w:rPr>
          <w:szCs w:val="22"/>
          <w:lang w:val="sr-Latn-ME"/>
        </w:rPr>
        <w:t>vidjeti dio</w:t>
      </w:r>
      <w:r w:rsidR="005F636B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5.2).</w:t>
      </w:r>
    </w:p>
    <w:p w14:paraId="77E582F4" w14:textId="77777777" w:rsidR="0081595D" w:rsidRPr="009C0665" w:rsidRDefault="0081595D" w:rsidP="004C7864">
      <w:pPr>
        <w:pStyle w:val="Header"/>
        <w:rPr>
          <w:szCs w:val="22"/>
          <w:lang w:val="sr-Latn-ME"/>
        </w:rPr>
      </w:pPr>
    </w:p>
    <w:p w14:paraId="3ADDC393" w14:textId="77777777" w:rsidR="0081595D" w:rsidRPr="009C0665" w:rsidRDefault="0081595D" w:rsidP="004C7864">
      <w:pPr>
        <w:pStyle w:val="Header"/>
        <w:rPr>
          <w:i/>
          <w:szCs w:val="22"/>
          <w:u w:val="single"/>
          <w:lang w:val="sr-Latn-ME"/>
        </w:rPr>
      </w:pPr>
      <w:r w:rsidRPr="009C0665">
        <w:rPr>
          <w:i/>
          <w:szCs w:val="22"/>
          <w:u w:val="single"/>
          <w:lang w:val="sr-Latn-ME"/>
        </w:rPr>
        <w:t xml:space="preserve">Pacijenti sa oštećenjem </w:t>
      </w:r>
      <w:r w:rsidR="00CD4F80" w:rsidRPr="009C0665">
        <w:rPr>
          <w:i/>
          <w:szCs w:val="22"/>
          <w:u w:val="single"/>
          <w:lang w:val="sr-Latn-ME"/>
        </w:rPr>
        <w:t xml:space="preserve">funkcije </w:t>
      </w:r>
      <w:r w:rsidRPr="009C0665">
        <w:rPr>
          <w:i/>
          <w:szCs w:val="22"/>
          <w:u w:val="single"/>
          <w:lang w:val="sr-Latn-ME"/>
        </w:rPr>
        <w:t>bubrega ili jetre</w:t>
      </w:r>
    </w:p>
    <w:p w14:paraId="68A4BED5" w14:textId="77777777" w:rsidR="0081595D" w:rsidRPr="009C0665" w:rsidRDefault="0081595D" w:rsidP="004C7864">
      <w:pPr>
        <w:pStyle w:val="Header"/>
        <w:rPr>
          <w:szCs w:val="22"/>
          <w:lang w:val="sr-Latn-ME"/>
        </w:rPr>
      </w:pPr>
    </w:p>
    <w:p w14:paraId="1339E8D1" w14:textId="77777777" w:rsidR="0081595D" w:rsidRPr="009C0665" w:rsidRDefault="005546A3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Vedolizumab</w:t>
      </w:r>
      <w:r w:rsidR="0081595D" w:rsidRPr="009C0665">
        <w:rPr>
          <w:szCs w:val="22"/>
          <w:lang w:val="sr-Latn-ME"/>
        </w:rPr>
        <w:t xml:space="preserve"> nije ispitivan u ovim populacijama pacijenata. Ne mogu se dati preporuke za doziranje.</w:t>
      </w:r>
    </w:p>
    <w:p w14:paraId="28F653C4" w14:textId="77777777" w:rsidR="0081595D" w:rsidRPr="009C0665" w:rsidRDefault="0081595D" w:rsidP="004C7864">
      <w:pPr>
        <w:pStyle w:val="Header"/>
        <w:rPr>
          <w:szCs w:val="22"/>
          <w:lang w:val="sr-Latn-ME"/>
        </w:rPr>
      </w:pPr>
    </w:p>
    <w:p w14:paraId="0CF8479E" w14:textId="11EEF8BC" w:rsidR="0081595D" w:rsidRPr="009C0665" w:rsidRDefault="0081595D" w:rsidP="004C7864">
      <w:pPr>
        <w:pStyle w:val="Header"/>
        <w:rPr>
          <w:szCs w:val="22"/>
          <w:u w:val="single"/>
          <w:lang w:val="sr-Latn-ME"/>
        </w:rPr>
      </w:pPr>
      <w:r w:rsidRPr="009C0665">
        <w:rPr>
          <w:szCs w:val="22"/>
          <w:u w:val="single"/>
          <w:lang w:val="sr-Latn-ME"/>
        </w:rPr>
        <w:t>Način prim</w:t>
      </w:r>
      <w:r w:rsidR="00897387" w:rsidRPr="009C0665">
        <w:rPr>
          <w:szCs w:val="22"/>
          <w:u w:val="single"/>
          <w:lang w:val="sr-Latn-ME"/>
        </w:rPr>
        <w:t>j</w:t>
      </w:r>
      <w:r w:rsidRPr="009C0665">
        <w:rPr>
          <w:szCs w:val="22"/>
          <w:u w:val="single"/>
          <w:lang w:val="sr-Latn-ME"/>
        </w:rPr>
        <w:t>ene</w:t>
      </w:r>
    </w:p>
    <w:p w14:paraId="2BE041D4" w14:textId="77777777" w:rsidR="0081595D" w:rsidRPr="009C0665" w:rsidRDefault="0081595D" w:rsidP="004C7864">
      <w:pPr>
        <w:pStyle w:val="Header"/>
        <w:rPr>
          <w:szCs w:val="22"/>
          <w:lang w:val="sr-Latn-ME"/>
        </w:rPr>
      </w:pPr>
    </w:p>
    <w:p w14:paraId="554A3C27" w14:textId="72EC9A9D" w:rsidR="0081595D" w:rsidRPr="009C0665" w:rsidRDefault="00D26459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Lijek</w:t>
      </w:r>
      <w:r w:rsidR="00306FAE" w:rsidRPr="009C0665">
        <w:rPr>
          <w:szCs w:val="22"/>
          <w:lang w:val="sr-Latn-ME"/>
        </w:rPr>
        <w:t xml:space="preserve"> </w:t>
      </w:r>
      <w:r w:rsidR="0081595D" w:rsidRPr="009C0665">
        <w:rPr>
          <w:szCs w:val="22"/>
          <w:lang w:val="sr-Latn-ME"/>
        </w:rPr>
        <w:t>Entyvio</w:t>
      </w:r>
      <w:r w:rsidR="00CB7126" w:rsidRPr="009C0665">
        <w:rPr>
          <w:szCs w:val="22"/>
          <w:lang w:val="sr-Latn-ME"/>
        </w:rPr>
        <w:t>,</w:t>
      </w:r>
      <w:r w:rsidR="005546A3" w:rsidRPr="009C0665">
        <w:rPr>
          <w:szCs w:val="22"/>
          <w:lang w:val="sr-Latn-ME"/>
        </w:rPr>
        <w:t xml:space="preserve"> 300 mg, pra</w:t>
      </w:r>
      <w:r w:rsidR="008508F3" w:rsidRPr="009C0665">
        <w:rPr>
          <w:szCs w:val="22"/>
          <w:lang w:val="sr-Latn-ME"/>
        </w:rPr>
        <w:t>š</w:t>
      </w:r>
      <w:r w:rsidR="005546A3" w:rsidRPr="009C0665">
        <w:rPr>
          <w:szCs w:val="22"/>
          <w:lang w:val="sr-Latn-ME"/>
        </w:rPr>
        <w:t>ak za koncentrat za rastvor za infuziju</w:t>
      </w:r>
      <w:r w:rsidR="0081595D" w:rsidRPr="009C0665">
        <w:rPr>
          <w:szCs w:val="22"/>
          <w:lang w:val="sr-Latn-ME"/>
        </w:rPr>
        <w:t xml:space="preserve"> je </w:t>
      </w:r>
      <w:r w:rsidR="00054848" w:rsidRPr="009C0665">
        <w:rPr>
          <w:szCs w:val="22"/>
          <w:lang w:val="sr-Latn-ME"/>
        </w:rPr>
        <w:t>namijenjen</w:t>
      </w:r>
      <w:r w:rsidR="0081595D" w:rsidRPr="009C0665">
        <w:rPr>
          <w:szCs w:val="22"/>
          <w:lang w:val="sr-Latn-ME"/>
        </w:rPr>
        <w:t xml:space="preserve"> isključivo za intravensku </w:t>
      </w:r>
      <w:r w:rsidR="00AB003D" w:rsidRPr="009C0665">
        <w:rPr>
          <w:szCs w:val="22"/>
          <w:lang w:val="sr-Latn-ME"/>
        </w:rPr>
        <w:t>primjenu</w:t>
      </w:r>
      <w:r w:rsidR="0081595D" w:rsidRPr="009C0665">
        <w:rPr>
          <w:szCs w:val="22"/>
          <w:lang w:val="sr-Latn-ME"/>
        </w:rPr>
        <w:t xml:space="preserve">. </w:t>
      </w:r>
      <w:r w:rsidR="00054848" w:rsidRPr="009C0665">
        <w:rPr>
          <w:bCs/>
          <w:szCs w:val="22"/>
          <w:lang w:val="sr-Latn-ME"/>
        </w:rPr>
        <w:t>Mora se rekonstituisati i dodatno razblažiti prije intravenske primjene</w:t>
      </w:r>
      <w:r w:rsidR="008A6EC6" w:rsidRPr="009C0665">
        <w:rPr>
          <w:szCs w:val="22"/>
          <w:lang w:val="sr-Latn-ME"/>
        </w:rPr>
        <w:t>.</w:t>
      </w:r>
    </w:p>
    <w:p w14:paraId="1BF291B7" w14:textId="77777777" w:rsidR="0081595D" w:rsidRPr="009C0665" w:rsidRDefault="0081595D" w:rsidP="004C7864">
      <w:pPr>
        <w:pStyle w:val="Header"/>
        <w:rPr>
          <w:szCs w:val="22"/>
          <w:lang w:val="sr-Latn-ME"/>
        </w:rPr>
      </w:pPr>
    </w:p>
    <w:p w14:paraId="43CCE263" w14:textId="79F480F4" w:rsidR="0081595D" w:rsidRPr="009C0665" w:rsidRDefault="00D26459" w:rsidP="004C7864">
      <w:pPr>
        <w:rPr>
          <w:szCs w:val="22"/>
          <w:lang w:val="sr-Latn-ME"/>
        </w:rPr>
      </w:pPr>
      <w:r w:rsidRPr="009C0665">
        <w:rPr>
          <w:szCs w:val="22"/>
          <w:lang w:val="sr-Latn-ME"/>
        </w:rPr>
        <w:t>Lijek</w:t>
      </w:r>
      <w:r w:rsidR="00306FAE" w:rsidRPr="009C0665">
        <w:rPr>
          <w:szCs w:val="22"/>
          <w:lang w:val="sr-Latn-ME"/>
        </w:rPr>
        <w:t xml:space="preserve"> </w:t>
      </w:r>
      <w:r w:rsidR="0081595D" w:rsidRPr="009C0665">
        <w:rPr>
          <w:szCs w:val="22"/>
          <w:lang w:val="sr-Latn-ME"/>
        </w:rPr>
        <w:t>Entyvio</w:t>
      </w:r>
      <w:r w:rsidR="00CB7126" w:rsidRPr="009C0665">
        <w:rPr>
          <w:szCs w:val="22"/>
          <w:lang w:val="sr-Latn-ME"/>
        </w:rPr>
        <w:t>,</w:t>
      </w:r>
      <w:r w:rsidR="0081595D" w:rsidRPr="009C0665">
        <w:rPr>
          <w:szCs w:val="22"/>
          <w:lang w:val="sr-Latn-ME"/>
        </w:rPr>
        <w:t xml:space="preserve"> </w:t>
      </w:r>
      <w:r w:rsidR="005546A3" w:rsidRPr="009C0665">
        <w:rPr>
          <w:szCs w:val="22"/>
          <w:lang w:val="sr-Latn-ME"/>
        </w:rPr>
        <w:t>300 mg, pra</w:t>
      </w:r>
      <w:r w:rsidR="008508F3" w:rsidRPr="009C0665">
        <w:rPr>
          <w:szCs w:val="22"/>
          <w:lang w:val="sr-Latn-ME"/>
        </w:rPr>
        <w:t>š</w:t>
      </w:r>
      <w:r w:rsidR="005546A3" w:rsidRPr="009C0665">
        <w:rPr>
          <w:szCs w:val="22"/>
          <w:lang w:val="sr-Latn-ME"/>
        </w:rPr>
        <w:t>ak za koncentrat za rastvor za infuziju</w:t>
      </w:r>
      <w:r w:rsidR="0081595D" w:rsidRPr="009C0665">
        <w:rPr>
          <w:szCs w:val="22"/>
          <w:lang w:val="sr-Latn-ME"/>
        </w:rPr>
        <w:t xml:space="preserve"> se </w:t>
      </w:r>
      <w:r w:rsidR="00054848" w:rsidRPr="009C0665">
        <w:rPr>
          <w:szCs w:val="22"/>
          <w:lang w:val="sr-Latn-ME"/>
        </w:rPr>
        <w:t>primjenjuje</w:t>
      </w:r>
      <w:r w:rsidR="0081595D" w:rsidRPr="009C0665">
        <w:rPr>
          <w:szCs w:val="22"/>
          <w:lang w:val="sr-Latn-ME"/>
        </w:rPr>
        <w:t xml:space="preserve"> kao intravenska infuzija tokom 30 minuta. Pacijenti moraju biti pod nadzorom tokom i nakon </w:t>
      </w:r>
      <w:r w:rsidR="00AB003D" w:rsidRPr="009C0665">
        <w:rPr>
          <w:szCs w:val="22"/>
          <w:lang w:val="sr-Latn-ME"/>
        </w:rPr>
        <w:t>primjene</w:t>
      </w:r>
      <w:r w:rsidR="0081595D" w:rsidRPr="009C0665">
        <w:rPr>
          <w:szCs w:val="22"/>
          <w:lang w:val="sr-Latn-ME"/>
        </w:rPr>
        <w:t xml:space="preserve"> infuzije (</w:t>
      </w:r>
      <w:r w:rsidR="00166D72" w:rsidRPr="009C0665">
        <w:rPr>
          <w:szCs w:val="22"/>
          <w:lang w:val="sr-Latn-ME"/>
        </w:rPr>
        <w:t>vidjeti dio</w:t>
      </w:r>
      <w:r w:rsidR="005F636B" w:rsidRPr="009C0665">
        <w:rPr>
          <w:szCs w:val="22"/>
          <w:lang w:val="sr-Latn-ME"/>
        </w:rPr>
        <w:t xml:space="preserve"> </w:t>
      </w:r>
      <w:r w:rsidR="0081595D" w:rsidRPr="009C0665">
        <w:rPr>
          <w:szCs w:val="22"/>
          <w:lang w:val="sr-Latn-ME"/>
        </w:rPr>
        <w:t>4.4).</w:t>
      </w:r>
    </w:p>
    <w:p w14:paraId="2615BFB1" w14:textId="77777777" w:rsidR="008A6EC6" w:rsidRPr="009C0665" w:rsidRDefault="008A6EC6" w:rsidP="004C7864">
      <w:pPr>
        <w:rPr>
          <w:szCs w:val="22"/>
          <w:lang w:val="sr-Latn-ME"/>
        </w:rPr>
      </w:pPr>
    </w:p>
    <w:p w14:paraId="2B67A6F8" w14:textId="220F7619" w:rsidR="008A6EC6" w:rsidRPr="009C0665" w:rsidRDefault="008A6EC6" w:rsidP="004C7864">
      <w:pPr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Za uputstvo o rekonstituciji i razblaženju </w:t>
      </w:r>
      <w:r w:rsidR="00D26459" w:rsidRPr="009C0665">
        <w:rPr>
          <w:szCs w:val="22"/>
          <w:lang w:val="sr-Latn-ME"/>
        </w:rPr>
        <w:t>lijek</w:t>
      </w:r>
      <w:r w:rsidRPr="009C0665">
        <w:rPr>
          <w:szCs w:val="22"/>
          <w:lang w:val="sr-Latn-ME"/>
        </w:rPr>
        <w:t>a pr</w:t>
      </w:r>
      <w:r w:rsidR="00905E55" w:rsidRPr="009C0665">
        <w:rPr>
          <w:szCs w:val="22"/>
          <w:lang w:val="sr-Latn-ME"/>
        </w:rPr>
        <w:t>ij</w:t>
      </w:r>
      <w:r w:rsidRPr="009C0665">
        <w:rPr>
          <w:szCs w:val="22"/>
          <w:lang w:val="sr-Latn-ME"/>
        </w:rPr>
        <w:t xml:space="preserve">e </w:t>
      </w:r>
      <w:r w:rsidR="00AB003D" w:rsidRPr="009C0665">
        <w:rPr>
          <w:szCs w:val="22"/>
          <w:lang w:val="sr-Latn-ME"/>
        </w:rPr>
        <w:t>primjene</w:t>
      </w:r>
      <w:r w:rsidRPr="009C0665">
        <w:rPr>
          <w:szCs w:val="22"/>
          <w:lang w:val="sr-Latn-ME"/>
        </w:rPr>
        <w:t xml:space="preserve">, </w:t>
      </w:r>
      <w:r w:rsidR="00166D72" w:rsidRPr="009C0665">
        <w:rPr>
          <w:szCs w:val="22"/>
          <w:lang w:val="sr-Latn-ME"/>
        </w:rPr>
        <w:t>vidjeti dio</w:t>
      </w:r>
      <w:r w:rsidR="005F636B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6.6.</w:t>
      </w:r>
    </w:p>
    <w:p w14:paraId="427D3E60" w14:textId="77777777" w:rsidR="0081595D" w:rsidRPr="009C0665" w:rsidRDefault="0081595D" w:rsidP="004C7864">
      <w:pPr>
        <w:rPr>
          <w:szCs w:val="22"/>
          <w:lang w:val="sr-Latn-ME"/>
        </w:rPr>
      </w:pPr>
    </w:p>
    <w:p w14:paraId="59CED140" w14:textId="77777777" w:rsidR="00CE09F3" w:rsidRPr="009C0665" w:rsidRDefault="00CE09F3" w:rsidP="004C7864">
      <w:pPr>
        <w:rPr>
          <w:b/>
          <w:bCs/>
          <w:szCs w:val="22"/>
          <w:lang w:val="sr-Latn-ME"/>
        </w:rPr>
      </w:pPr>
      <w:r w:rsidRPr="009C0665">
        <w:rPr>
          <w:b/>
          <w:bCs/>
          <w:szCs w:val="22"/>
          <w:lang w:val="sr-Latn-ME"/>
        </w:rPr>
        <w:t>4.3. Kontraindikacije</w:t>
      </w:r>
    </w:p>
    <w:p w14:paraId="6E3E5F10" w14:textId="77777777" w:rsidR="00D45984" w:rsidRPr="009C0665" w:rsidRDefault="00D45984" w:rsidP="004C7864">
      <w:pPr>
        <w:pStyle w:val="Header"/>
        <w:rPr>
          <w:szCs w:val="22"/>
          <w:lang w:val="sr-Latn-ME"/>
        </w:rPr>
      </w:pPr>
    </w:p>
    <w:p w14:paraId="69D1C858" w14:textId="33E2245D" w:rsidR="00D45984" w:rsidRPr="009C0665" w:rsidRDefault="00D45984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Preos</w:t>
      </w:r>
      <w:r w:rsidR="008508F3" w:rsidRPr="009C0665">
        <w:rPr>
          <w:szCs w:val="22"/>
          <w:lang w:val="sr-Latn-ME"/>
        </w:rPr>
        <w:t>j</w:t>
      </w:r>
      <w:r w:rsidRPr="009C0665">
        <w:rPr>
          <w:szCs w:val="22"/>
          <w:lang w:val="sr-Latn-ME"/>
        </w:rPr>
        <w:t xml:space="preserve">etljivost na aktivnu supstancu ili </w:t>
      </w:r>
      <w:r w:rsidR="00F46304" w:rsidRPr="009C0665">
        <w:rPr>
          <w:szCs w:val="22"/>
          <w:lang w:val="sr-Latn-ME"/>
        </w:rPr>
        <w:t xml:space="preserve">na </w:t>
      </w:r>
      <w:r w:rsidRPr="009C0665">
        <w:rPr>
          <w:szCs w:val="22"/>
          <w:lang w:val="sr-Latn-ME"/>
        </w:rPr>
        <w:t xml:space="preserve">bilo koju od pomoćnih supstanci </w:t>
      </w:r>
      <w:r w:rsidR="00D26459" w:rsidRPr="009C0665">
        <w:rPr>
          <w:szCs w:val="22"/>
          <w:lang w:val="sr-Latn-ME"/>
        </w:rPr>
        <w:t>lijek</w:t>
      </w:r>
      <w:r w:rsidRPr="009C0665">
        <w:rPr>
          <w:szCs w:val="22"/>
          <w:lang w:val="sr-Latn-ME"/>
        </w:rPr>
        <w:t xml:space="preserve">a navedenih u </w:t>
      </w:r>
      <w:r w:rsidR="00054848" w:rsidRPr="009C0665">
        <w:rPr>
          <w:szCs w:val="22"/>
          <w:lang w:val="sr-Latn-ME"/>
        </w:rPr>
        <w:t>djelu</w:t>
      </w:r>
      <w:r w:rsidR="00F46304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6.1.</w:t>
      </w:r>
    </w:p>
    <w:p w14:paraId="2FFFC896" w14:textId="77777777" w:rsidR="00B12A78" w:rsidRPr="009C0665" w:rsidRDefault="00B12A78" w:rsidP="004C7864">
      <w:pPr>
        <w:pStyle w:val="Header"/>
        <w:rPr>
          <w:szCs w:val="22"/>
          <w:lang w:val="sr-Latn-ME"/>
        </w:rPr>
      </w:pPr>
    </w:p>
    <w:p w14:paraId="02BEFC8F" w14:textId="00319AB3" w:rsidR="00CE09F3" w:rsidRPr="009C0665" w:rsidRDefault="00D45984" w:rsidP="004C7864">
      <w:pPr>
        <w:rPr>
          <w:szCs w:val="22"/>
          <w:lang w:val="sr-Latn-ME"/>
        </w:rPr>
      </w:pPr>
      <w:r w:rsidRPr="009C0665">
        <w:rPr>
          <w:szCs w:val="22"/>
          <w:lang w:val="sr-Latn-ME"/>
        </w:rPr>
        <w:t>Aktivne teške infekcije poput tuberkuloze</w:t>
      </w:r>
      <w:r w:rsidR="008A6EC6" w:rsidRPr="009C0665">
        <w:rPr>
          <w:szCs w:val="22"/>
          <w:lang w:val="sr-Latn-ME"/>
        </w:rPr>
        <w:t xml:space="preserve"> (TB)</w:t>
      </w:r>
      <w:r w:rsidRPr="009C0665">
        <w:rPr>
          <w:szCs w:val="22"/>
          <w:lang w:val="sr-Latn-ME"/>
        </w:rPr>
        <w:t xml:space="preserve">, sepse, </w:t>
      </w:r>
      <w:r w:rsidR="00F46304" w:rsidRPr="009C0665">
        <w:rPr>
          <w:szCs w:val="22"/>
          <w:lang w:val="sr-Latn-ME"/>
        </w:rPr>
        <w:t xml:space="preserve">infekcije </w:t>
      </w:r>
      <w:r w:rsidRPr="009C0665">
        <w:rPr>
          <w:szCs w:val="22"/>
          <w:lang w:val="sr-Latn-ME"/>
        </w:rPr>
        <w:t>citomegalovirus</w:t>
      </w:r>
      <w:r w:rsidR="00F46304" w:rsidRPr="009C0665">
        <w:rPr>
          <w:szCs w:val="22"/>
          <w:lang w:val="sr-Latn-ME"/>
        </w:rPr>
        <w:t>om</w:t>
      </w:r>
      <w:r w:rsidRPr="009C0665">
        <w:rPr>
          <w:szCs w:val="22"/>
          <w:lang w:val="sr-Latn-ME"/>
        </w:rPr>
        <w:t>, listerioze i oportunističkih infekcija poput progresivne multifokalne leukoencefalopatije (PML) (</w:t>
      </w:r>
      <w:r w:rsidR="00166D72" w:rsidRPr="009C0665">
        <w:rPr>
          <w:szCs w:val="22"/>
          <w:lang w:val="sr-Latn-ME"/>
        </w:rPr>
        <w:t>vidjeti dio</w:t>
      </w:r>
      <w:r w:rsidR="005F636B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4.4).</w:t>
      </w:r>
    </w:p>
    <w:p w14:paraId="73EBBA29" w14:textId="77777777" w:rsidR="00CE09F3" w:rsidRPr="009C0665" w:rsidRDefault="00CE09F3" w:rsidP="004C7864">
      <w:pPr>
        <w:rPr>
          <w:szCs w:val="22"/>
          <w:lang w:val="sr-Latn-ME"/>
        </w:rPr>
      </w:pPr>
    </w:p>
    <w:p w14:paraId="3551AA4A" w14:textId="5AD65EE0" w:rsidR="00CE09F3" w:rsidRPr="009C0665" w:rsidRDefault="00CE09F3" w:rsidP="004C7864">
      <w:pPr>
        <w:rPr>
          <w:b/>
          <w:bCs/>
          <w:szCs w:val="22"/>
          <w:lang w:val="sr-Latn-ME"/>
        </w:rPr>
      </w:pPr>
      <w:r w:rsidRPr="009C0665">
        <w:rPr>
          <w:b/>
          <w:bCs/>
          <w:szCs w:val="22"/>
          <w:lang w:val="sr-Latn-ME"/>
        </w:rPr>
        <w:t>4.4. Posebna upozorenja i m</w:t>
      </w:r>
      <w:r w:rsidR="00897387" w:rsidRPr="009C0665">
        <w:rPr>
          <w:b/>
          <w:bCs/>
          <w:szCs w:val="22"/>
          <w:lang w:val="sr-Latn-ME"/>
        </w:rPr>
        <w:t>j</w:t>
      </w:r>
      <w:r w:rsidRPr="009C0665">
        <w:rPr>
          <w:b/>
          <w:bCs/>
          <w:szCs w:val="22"/>
          <w:lang w:val="sr-Latn-ME"/>
        </w:rPr>
        <w:t>ere opreza pri upotrebi l</w:t>
      </w:r>
      <w:r w:rsidR="00897387" w:rsidRPr="009C0665">
        <w:rPr>
          <w:b/>
          <w:bCs/>
          <w:szCs w:val="22"/>
          <w:lang w:val="sr-Latn-ME"/>
        </w:rPr>
        <w:t>ij</w:t>
      </w:r>
      <w:r w:rsidRPr="009C0665">
        <w:rPr>
          <w:b/>
          <w:bCs/>
          <w:szCs w:val="22"/>
          <w:lang w:val="sr-Latn-ME"/>
        </w:rPr>
        <w:t>eka</w:t>
      </w:r>
    </w:p>
    <w:p w14:paraId="18FE98F3" w14:textId="77777777" w:rsidR="00B12A78" w:rsidRPr="009C0665" w:rsidRDefault="00B12A78" w:rsidP="004C7864">
      <w:pPr>
        <w:pStyle w:val="Header"/>
        <w:rPr>
          <w:szCs w:val="22"/>
          <w:lang w:val="sr-Latn-ME"/>
        </w:rPr>
      </w:pPr>
    </w:p>
    <w:p w14:paraId="7A3E615D" w14:textId="13D4BBFE" w:rsidR="00D45984" w:rsidRPr="009C0665" w:rsidRDefault="0036255A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Vedolizumab primijenjen intravenski treba primijeniti u zdravstvenoj ustanovi koja je opremljena za zbrinjavanje pacijenta ukoliko se pojave akutne reakcije preosjetljivosti, uključujući anafilaksu. Oprema za praćenje i primjenu medicinskih suportivnih mjera treba da bude dostupna kada se intravenski primjenjuje vedolizumab.</w:t>
      </w:r>
      <w:r w:rsidR="00ED3367" w:rsidRPr="009C0665">
        <w:rPr>
          <w:szCs w:val="22"/>
          <w:lang w:val="sr-Latn-ME"/>
        </w:rPr>
        <w:t xml:space="preserve"> </w:t>
      </w:r>
      <w:r w:rsidR="00D45984" w:rsidRPr="009C0665">
        <w:rPr>
          <w:szCs w:val="22"/>
          <w:lang w:val="sr-Latn-ME"/>
        </w:rPr>
        <w:t>Sve pacijente je potrebno neprekidno nadgledati tokom svake</w:t>
      </w:r>
      <w:r w:rsidR="005A2988" w:rsidRPr="009C0665">
        <w:rPr>
          <w:szCs w:val="22"/>
          <w:lang w:val="sr-Latn-ME"/>
        </w:rPr>
        <w:t xml:space="preserve"> </w:t>
      </w:r>
      <w:r w:rsidR="00AB003D" w:rsidRPr="009C0665">
        <w:rPr>
          <w:szCs w:val="22"/>
          <w:lang w:val="sr-Latn-ME"/>
        </w:rPr>
        <w:t>primjene</w:t>
      </w:r>
      <w:r w:rsidR="00D45984" w:rsidRPr="009C0665">
        <w:rPr>
          <w:szCs w:val="22"/>
          <w:lang w:val="sr-Latn-ME"/>
        </w:rPr>
        <w:t xml:space="preserve"> infuzije. Prilikom prve dv</w:t>
      </w:r>
      <w:r w:rsidR="00B07C91" w:rsidRPr="009C0665">
        <w:rPr>
          <w:szCs w:val="22"/>
          <w:lang w:val="sr-Latn-ME"/>
        </w:rPr>
        <w:t>ij</w:t>
      </w:r>
      <w:r w:rsidR="00D45984" w:rsidRPr="009C0665">
        <w:rPr>
          <w:szCs w:val="22"/>
          <w:lang w:val="sr-Latn-ME"/>
        </w:rPr>
        <w:t>e</w:t>
      </w:r>
      <w:r w:rsidR="005A2988" w:rsidRPr="009C0665">
        <w:rPr>
          <w:szCs w:val="22"/>
          <w:lang w:val="sr-Latn-ME"/>
        </w:rPr>
        <w:t xml:space="preserve"> </w:t>
      </w:r>
      <w:r w:rsidR="00AB003D" w:rsidRPr="009C0665">
        <w:rPr>
          <w:szCs w:val="22"/>
          <w:lang w:val="sr-Latn-ME"/>
        </w:rPr>
        <w:t>primjene</w:t>
      </w:r>
      <w:r w:rsidR="00D45984" w:rsidRPr="009C0665">
        <w:rPr>
          <w:szCs w:val="22"/>
          <w:lang w:val="sr-Latn-ME"/>
        </w:rPr>
        <w:t xml:space="preserve"> infuzije, potrebno je nadgledati pacijente približno </w:t>
      </w:r>
      <w:r w:rsidR="008A6EC6" w:rsidRPr="009C0665">
        <w:rPr>
          <w:szCs w:val="22"/>
          <w:lang w:val="sr-Latn-ME"/>
        </w:rPr>
        <w:t xml:space="preserve">2 </w:t>
      </w:r>
      <w:r w:rsidR="00D45984" w:rsidRPr="009C0665">
        <w:rPr>
          <w:szCs w:val="22"/>
          <w:lang w:val="sr-Latn-ME"/>
        </w:rPr>
        <w:t xml:space="preserve">sata nakon </w:t>
      </w:r>
      <w:r w:rsidR="00D45984" w:rsidRPr="009C0665">
        <w:rPr>
          <w:szCs w:val="22"/>
          <w:lang w:val="sr-Latn-ME"/>
        </w:rPr>
        <w:lastRenderedPageBreak/>
        <w:t xml:space="preserve">završetka </w:t>
      </w:r>
      <w:r w:rsidR="00AB003D" w:rsidRPr="009C0665">
        <w:rPr>
          <w:szCs w:val="22"/>
          <w:lang w:val="sr-Latn-ME"/>
        </w:rPr>
        <w:t>primjene</w:t>
      </w:r>
      <w:r w:rsidR="005A2988" w:rsidRPr="009C0665">
        <w:rPr>
          <w:szCs w:val="22"/>
          <w:lang w:val="sr-Latn-ME"/>
        </w:rPr>
        <w:t xml:space="preserve"> </w:t>
      </w:r>
      <w:r w:rsidR="00D45984" w:rsidRPr="009C0665">
        <w:rPr>
          <w:szCs w:val="22"/>
          <w:lang w:val="sr-Latn-ME"/>
        </w:rPr>
        <w:t xml:space="preserve">radi uočavanja znakova i simptoma akutnih reakcija </w:t>
      </w:r>
      <w:r w:rsidR="00054848" w:rsidRPr="009C0665">
        <w:rPr>
          <w:szCs w:val="22"/>
          <w:lang w:val="sr-Latn-ME"/>
        </w:rPr>
        <w:t>preosjetljivosti</w:t>
      </w:r>
      <w:r w:rsidR="00D45984" w:rsidRPr="009C0665">
        <w:rPr>
          <w:szCs w:val="22"/>
          <w:lang w:val="sr-Latn-ME"/>
        </w:rPr>
        <w:t xml:space="preserve">. Tokom svih narednih </w:t>
      </w:r>
      <w:r w:rsidR="00054848" w:rsidRPr="009C0665">
        <w:rPr>
          <w:szCs w:val="22"/>
          <w:lang w:val="sr-Latn-ME"/>
        </w:rPr>
        <w:t>primjena</w:t>
      </w:r>
      <w:r w:rsidR="005A2988" w:rsidRPr="009C0665">
        <w:rPr>
          <w:szCs w:val="22"/>
          <w:lang w:val="sr-Latn-ME"/>
        </w:rPr>
        <w:t xml:space="preserve"> </w:t>
      </w:r>
      <w:r w:rsidR="00D45984" w:rsidRPr="009C0665">
        <w:rPr>
          <w:szCs w:val="22"/>
          <w:lang w:val="sr-Latn-ME"/>
        </w:rPr>
        <w:t xml:space="preserve">infuzija, pacijente treba nadgledati približno </w:t>
      </w:r>
      <w:r w:rsidR="008A6EC6" w:rsidRPr="009C0665">
        <w:rPr>
          <w:szCs w:val="22"/>
          <w:lang w:val="sr-Latn-ME"/>
        </w:rPr>
        <w:t xml:space="preserve">1 </w:t>
      </w:r>
      <w:r w:rsidR="00D45984" w:rsidRPr="009C0665">
        <w:rPr>
          <w:szCs w:val="22"/>
          <w:lang w:val="sr-Latn-ME"/>
        </w:rPr>
        <w:t xml:space="preserve">sat nakon završetka </w:t>
      </w:r>
      <w:r w:rsidR="00AB003D" w:rsidRPr="009C0665">
        <w:rPr>
          <w:szCs w:val="22"/>
          <w:lang w:val="sr-Latn-ME"/>
        </w:rPr>
        <w:t>primjene</w:t>
      </w:r>
      <w:r w:rsidR="005A2988" w:rsidRPr="009C0665">
        <w:rPr>
          <w:szCs w:val="22"/>
          <w:lang w:val="sr-Latn-ME"/>
        </w:rPr>
        <w:t xml:space="preserve"> </w:t>
      </w:r>
      <w:r w:rsidR="00D45984" w:rsidRPr="009C0665">
        <w:rPr>
          <w:szCs w:val="22"/>
          <w:lang w:val="sr-Latn-ME"/>
        </w:rPr>
        <w:t>infuzije.</w:t>
      </w:r>
    </w:p>
    <w:p w14:paraId="462A2ABD" w14:textId="77777777" w:rsidR="00D45984" w:rsidRPr="009C0665" w:rsidRDefault="00D45984" w:rsidP="004C7864">
      <w:pPr>
        <w:pStyle w:val="Header"/>
        <w:rPr>
          <w:szCs w:val="22"/>
          <w:lang w:val="sr-Latn-ME"/>
        </w:rPr>
      </w:pPr>
    </w:p>
    <w:p w14:paraId="5AB67B89" w14:textId="64EC0CEA" w:rsidR="005546A3" w:rsidRPr="009C0665" w:rsidRDefault="005546A3" w:rsidP="004C7864">
      <w:pPr>
        <w:pStyle w:val="Header"/>
        <w:rPr>
          <w:szCs w:val="22"/>
          <w:u w:val="single"/>
          <w:lang w:val="sr-Latn-ME"/>
        </w:rPr>
      </w:pPr>
      <w:r w:rsidRPr="009C0665">
        <w:rPr>
          <w:szCs w:val="22"/>
          <w:u w:val="single"/>
          <w:lang w:val="sr-Latn-ME"/>
        </w:rPr>
        <w:t>Sled</w:t>
      </w:r>
      <w:r w:rsidR="007332F3" w:rsidRPr="009C0665">
        <w:rPr>
          <w:szCs w:val="22"/>
          <w:u w:val="single"/>
          <w:lang w:val="sr-Latn-ME"/>
        </w:rPr>
        <w:t>l</w:t>
      </w:r>
      <w:r w:rsidRPr="009C0665">
        <w:rPr>
          <w:szCs w:val="22"/>
          <w:u w:val="single"/>
          <w:lang w:val="sr-Latn-ME"/>
        </w:rPr>
        <w:t>jivost</w:t>
      </w:r>
    </w:p>
    <w:p w14:paraId="25AE1FAC" w14:textId="77777777" w:rsidR="005546A3" w:rsidRPr="009C0665" w:rsidRDefault="005546A3" w:rsidP="004C7864">
      <w:pPr>
        <w:pStyle w:val="Header"/>
        <w:rPr>
          <w:szCs w:val="22"/>
          <w:lang w:val="sr-Latn-ME"/>
        </w:rPr>
      </w:pPr>
    </w:p>
    <w:p w14:paraId="2401C85A" w14:textId="0ACFBEAC" w:rsidR="005546A3" w:rsidRPr="009C0665" w:rsidRDefault="005A2988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Sa ciljem da se poboljša </w:t>
      </w:r>
      <w:r w:rsidR="00164F4C" w:rsidRPr="009C0665">
        <w:rPr>
          <w:szCs w:val="22"/>
          <w:lang w:val="sr-Latn-ME"/>
        </w:rPr>
        <w:t>sledljivost biološk</w:t>
      </w:r>
      <w:r w:rsidRPr="009C0665">
        <w:rPr>
          <w:szCs w:val="22"/>
          <w:lang w:val="sr-Latn-ME"/>
        </w:rPr>
        <w:t>ih</w:t>
      </w:r>
      <w:r w:rsidR="00164F4C" w:rsidRPr="009C0665">
        <w:rPr>
          <w:szCs w:val="22"/>
          <w:lang w:val="sr-Latn-ME"/>
        </w:rPr>
        <w:t xml:space="preserve"> </w:t>
      </w:r>
      <w:r w:rsidR="004E77B0" w:rsidRPr="009C0665">
        <w:rPr>
          <w:szCs w:val="22"/>
          <w:lang w:val="sr-Latn-ME"/>
        </w:rPr>
        <w:t>ljekova</w:t>
      </w:r>
      <w:r w:rsidR="00164F4C" w:rsidRPr="009C0665">
        <w:rPr>
          <w:szCs w:val="22"/>
          <w:lang w:val="sr-Latn-ME"/>
        </w:rPr>
        <w:t xml:space="preserve">, ime </w:t>
      </w:r>
      <w:r w:rsidR="00D26459" w:rsidRPr="009C0665">
        <w:rPr>
          <w:szCs w:val="22"/>
          <w:lang w:val="sr-Latn-ME"/>
        </w:rPr>
        <w:t>lijek</w:t>
      </w:r>
      <w:r w:rsidR="00164F4C" w:rsidRPr="009C0665">
        <w:rPr>
          <w:szCs w:val="22"/>
          <w:lang w:val="sr-Latn-ME"/>
        </w:rPr>
        <w:t xml:space="preserve">a i broj serije </w:t>
      </w:r>
      <w:r w:rsidR="00AB003D" w:rsidRPr="009C0665">
        <w:rPr>
          <w:szCs w:val="22"/>
          <w:lang w:val="sr-Latn-ME"/>
        </w:rPr>
        <w:t>primjenjenog</w:t>
      </w:r>
      <w:r w:rsidRPr="009C0665">
        <w:rPr>
          <w:szCs w:val="22"/>
          <w:lang w:val="sr-Latn-ME"/>
        </w:rPr>
        <w:t xml:space="preserve"> </w:t>
      </w:r>
      <w:r w:rsidR="00D26459" w:rsidRPr="009C0665">
        <w:rPr>
          <w:szCs w:val="22"/>
          <w:lang w:val="sr-Latn-ME"/>
        </w:rPr>
        <w:t>lijek</w:t>
      </w:r>
      <w:r w:rsidR="00164F4C" w:rsidRPr="009C0665">
        <w:rPr>
          <w:szCs w:val="22"/>
          <w:lang w:val="sr-Latn-ME"/>
        </w:rPr>
        <w:t>a</w:t>
      </w:r>
      <w:r w:rsidRPr="009C0665">
        <w:rPr>
          <w:szCs w:val="22"/>
          <w:lang w:val="sr-Latn-ME"/>
        </w:rPr>
        <w:t xml:space="preserve"> treba jasno evidentirati</w:t>
      </w:r>
      <w:r w:rsidR="00164F4C" w:rsidRPr="009C0665">
        <w:rPr>
          <w:szCs w:val="22"/>
          <w:lang w:val="sr-Latn-ME"/>
        </w:rPr>
        <w:t>.</w:t>
      </w:r>
    </w:p>
    <w:p w14:paraId="736FE761" w14:textId="77777777" w:rsidR="00164F4C" w:rsidRPr="009C0665" w:rsidRDefault="00164F4C" w:rsidP="004C7864">
      <w:pPr>
        <w:pStyle w:val="Header"/>
        <w:rPr>
          <w:szCs w:val="22"/>
          <w:lang w:val="sr-Latn-ME"/>
        </w:rPr>
      </w:pPr>
    </w:p>
    <w:p w14:paraId="270C6768" w14:textId="628EC16B" w:rsidR="00D45984" w:rsidRPr="009C0665" w:rsidRDefault="00D45984" w:rsidP="004C7864">
      <w:pPr>
        <w:pStyle w:val="Header"/>
        <w:rPr>
          <w:szCs w:val="22"/>
          <w:u w:val="single"/>
          <w:lang w:val="sr-Latn-ME"/>
        </w:rPr>
      </w:pPr>
      <w:r w:rsidRPr="009C0665">
        <w:rPr>
          <w:szCs w:val="22"/>
          <w:u w:val="single"/>
          <w:lang w:val="sr-Latn-ME"/>
        </w:rPr>
        <w:t xml:space="preserve">Reakcije povezane sa </w:t>
      </w:r>
      <w:r w:rsidR="00AB003D" w:rsidRPr="009C0665">
        <w:rPr>
          <w:szCs w:val="22"/>
          <w:u w:val="single"/>
          <w:lang w:val="sr-Latn-ME"/>
        </w:rPr>
        <w:t>primjenom</w:t>
      </w:r>
      <w:r w:rsidR="00EF6C98" w:rsidRPr="009C0665">
        <w:rPr>
          <w:szCs w:val="22"/>
          <w:u w:val="single"/>
          <w:lang w:val="sr-Latn-ME"/>
        </w:rPr>
        <w:t xml:space="preserve"> </w:t>
      </w:r>
      <w:r w:rsidRPr="009C0665">
        <w:rPr>
          <w:szCs w:val="22"/>
          <w:u w:val="single"/>
          <w:lang w:val="sr-Latn-ME"/>
        </w:rPr>
        <w:t>infuzij</w:t>
      </w:r>
      <w:r w:rsidR="00EF6C98" w:rsidRPr="009C0665">
        <w:rPr>
          <w:szCs w:val="22"/>
          <w:u w:val="single"/>
          <w:lang w:val="sr-Latn-ME"/>
        </w:rPr>
        <w:t>e</w:t>
      </w:r>
      <w:r w:rsidR="00164F4C" w:rsidRPr="009C0665">
        <w:rPr>
          <w:szCs w:val="22"/>
          <w:u w:val="single"/>
          <w:lang w:val="sr-Latn-ME"/>
        </w:rPr>
        <w:t xml:space="preserve"> i reakcije </w:t>
      </w:r>
      <w:r w:rsidR="00054848" w:rsidRPr="009C0665">
        <w:rPr>
          <w:szCs w:val="22"/>
          <w:u w:val="single"/>
          <w:lang w:val="sr-Latn-ME"/>
        </w:rPr>
        <w:t>preosjetljivosti</w:t>
      </w:r>
    </w:p>
    <w:p w14:paraId="21E7BB4D" w14:textId="77777777" w:rsidR="00D45984" w:rsidRPr="009C0665" w:rsidRDefault="00D45984" w:rsidP="004C7864">
      <w:pPr>
        <w:pStyle w:val="Header"/>
        <w:rPr>
          <w:szCs w:val="22"/>
          <w:lang w:val="sr-Latn-ME"/>
        </w:rPr>
      </w:pPr>
    </w:p>
    <w:p w14:paraId="49EEB06B" w14:textId="7945D19C" w:rsidR="00D45984" w:rsidRPr="009C0665" w:rsidRDefault="00D45984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U kliničkim ispitivanjima prijavljene su reakcije povezane sa</w:t>
      </w:r>
      <w:r w:rsidR="00EF6C98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 xml:space="preserve">infuzijom (RPI) i reakcije </w:t>
      </w:r>
      <w:r w:rsidR="00054848" w:rsidRPr="009C0665">
        <w:rPr>
          <w:szCs w:val="22"/>
          <w:lang w:val="sr-Latn-ME"/>
        </w:rPr>
        <w:t>preosjetljivosti</w:t>
      </w:r>
      <w:r w:rsidRPr="009C0665">
        <w:rPr>
          <w:szCs w:val="22"/>
          <w:lang w:val="sr-Latn-ME"/>
        </w:rPr>
        <w:t xml:space="preserve">, koje su </w:t>
      </w:r>
      <w:r w:rsidR="00EF6C98" w:rsidRPr="009C0665">
        <w:rPr>
          <w:szCs w:val="22"/>
          <w:lang w:val="sr-Latn-ME"/>
        </w:rPr>
        <w:t xml:space="preserve">po težini u najvećem broju slučajeva </w:t>
      </w:r>
      <w:r w:rsidRPr="009C0665">
        <w:rPr>
          <w:szCs w:val="22"/>
          <w:lang w:val="sr-Latn-ME"/>
        </w:rPr>
        <w:t xml:space="preserve">bile blage do </w:t>
      </w:r>
      <w:r w:rsidR="00054848" w:rsidRPr="009C0665">
        <w:rPr>
          <w:szCs w:val="22"/>
          <w:lang w:val="sr-Latn-ME"/>
        </w:rPr>
        <w:t>umjerene</w:t>
      </w:r>
      <w:r w:rsidRPr="009C0665">
        <w:rPr>
          <w:szCs w:val="22"/>
          <w:lang w:val="sr-Latn-ME"/>
        </w:rPr>
        <w:t xml:space="preserve"> (</w:t>
      </w:r>
      <w:r w:rsidR="00166D72" w:rsidRPr="009C0665">
        <w:rPr>
          <w:szCs w:val="22"/>
          <w:lang w:val="sr-Latn-ME"/>
        </w:rPr>
        <w:t>vidjeti dio</w:t>
      </w:r>
      <w:r w:rsidR="005F636B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4.8).</w:t>
      </w:r>
      <w:r w:rsidR="00864F85" w:rsidRPr="009C0665">
        <w:rPr>
          <w:szCs w:val="22"/>
          <w:lang w:val="sr-Latn-ME"/>
        </w:rPr>
        <w:t xml:space="preserve"> </w:t>
      </w:r>
    </w:p>
    <w:p w14:paraId="594A93EA" w14:textId="77777777" w:rsidR="00864F85" w:rsidRPr="009C0665" w:rsidRDefault="00864F85" w:rsidP="004C7864">
      <w:pPr>
        <w:pStyle w:val="Header"/>
        <w:rPr>
          <w:szCs w:val="22"/>
          <w:lang w:val="sr-Latn-ME"/>
        </w:rPr>
      </w:pPr>
    </w:p>
    <w:p w14:paraId="64F2C3F3" w14:textId="1E047298" w:rsidR="00D45984" w:rsidRPr="009C0665" w:rsidRDefault="006F13FB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Ako</w:t>
      </w:r>
      <w:r w:rsidR="00EF6C98" w:rsidRPr="009C0665">
        <w:rPr>
          <w:szCs w:val="22"/>
          <w:lang w:val="sr-Latn-ME"/>
        </w:rPr>
        <w:t xml:space="preserve"> se pojavi teška </w:t>
      </w:r>
      <w:r w:rsidR="00D45984" w:rsidRPr="009C0665">
        <w:rPr>
          <w:szCs w:val="22"/>
          <w:lang w:val="sr-Latn-ME"/>
        </w:rPr>
        <w:t>RPI, anafilaktičk</w:t>
      </w:r>
      <w:r w:rsidR="00EF6C98" w:rsidRPr="009C0665">
        <w:rPr>
          <w:szCs w:val="22"/>
          <w:lang w:val="sr-Latn-ME"/>
        </w:rPr>
        <w:t>a</w:t>
      </w:r>
      <w:r w:rsidR="00D45984" w:rsidRPr="009C0665">
        <w:rPr>
          <w:szCs w:val="22"/>
          <w:lang w:val="sr-Latn-ME"/>
        </w:rPr>
        <w:t xml:space="preserve"> reakcija ili drug</w:t>
      </w:r>
      <w:r w:rsidR="00EF6C98" w:rsidRPr="009C0665">
        <w:rPr>
          <w:szCs w:val="22"/>
          <w:lang w:val="sr-Latn-ME"/>
        </w:rPr>
        <w:t>a</w:t>
      </w:r>
      <w:r w:rsidR="00D45984" w:rsidRPr="009C0665">
        <w:rPr>
          <w:szCs w:val="22"/>
          <w:lang w:val="sr-Latn-ME"/>
        </w:rPr>
        <w:t xml:space="preserve"> ozbiljn</w:t>
      </w:r>
      <w:r w:rsidR="00EF6C98" w:rsidRPr="009C0665">
        <w:rPr>
          <w:szCs w:val="22"/>
          <w:lang w:val="sr-Latn-ME"/>
        </w:rPr>
        <w:t>a</w:t>
      </w:r>
      <w:r w:rsidR="00D45984" w:rsidRPr="009C0665">
        <w:rPr>
          <w:szCs w:val="22"/>
          <w:lang w:val="sr-Latn-ME"/>
        </w:rPr>
        <w:t xml:space="preserve"> reakcija, </w:t>
      </w:r>
      <w:r w:rsidR="00054848" w:rsidRPr="009C0665">
        <w:rPr>
          <w:szCs w:val="22"/>
          <w:lang w:val="sr-Latn-ME"/>
        </w:rPr>
        <w:t>primjena</w:t>
      </w:r>
      <w:r w:rsidR="00D45984" w:rsidRPr="009C0665">
        <w:rPr>
          <w:szCs w:val="22"/>
          <w:lang w:val="sr-Latn-ME"/>
        </w:rPr>
        <w:t xml:space="preserve"> </w:t>
      </w:r>
      <w:r w:rsidR="00D26459" w:rsidRPr="009C0665">
        <w:rPr>
          <w:szCs w:val="22"/>
          <w:lang w:val="sr-Latn-ME"/>
        </w:rPr>
        <w:t>lijek</w:t>
      </w:r>
      <w:r w:rsidR="00D45984" w:rsidRPr="009C0665">
        <w:rPr>
          <w:szCs w:val="22"/>
          <w:lang w:val="sr-Latn-ME"/>
        </w:rPr>
        <w:t xml:space="preserve">a Entyvio mora biti odmah prekinuta i započeto odgovarajuće </w:t>
      </w:r>
      <w:r w:rsidR="00D26459" w:rsidRPr="009C0665">
        <w:rPr>
          <w:szCs w:val="22"/>
          <w:lang w:val="sr-Latn-ME"/>
        </w:rPr>
        <w:t>liječenje</w:t>
      </w:r>
      <w:r w:rsidR="00D45984" w:rsidRPr="009C0665">
        <w:rPr>
          <w:szCs w:val="22"/>
          <w:lang w:val="sr-Latn-ME"/>
        </w:rPr>
        <w:t xml:space="preserve"> (npr. adrenalin</w:t>
      </w:r>
      <w:r w:rsidR="00EF6C98" w:rsidRPr="009C0665">
        <w:rPr>
          <w:szCs w:val="22"/>
          <w:lang w:val="sr-Latn-ME"/>
        </w:rPr>
        <w:t>om</w:t>
      </w:r>
      <w:r w:rsidR="00D45984" w:rsidRPr="009C0665">
        <w:rPr>
          <w:szCs w:val="22"/>
          <w:lang w:val="sr-Latn-ME"/>
        </w:rPr>
        <w:t xml:space="preserve"> i antihistaminici</w:t>
      </w:r>
      <w:r w:rsidR="00EF6C98" w:rsidRPr="009C0665">
        <w:rPr>
          <w:szCs w:val="22"/>
          <w:lang w:val="sr-Latn-ME"/>
        </w:rPr>
        <w:t>ma</w:t>
      </w:r>
      <w:r w:rsidR="00D45984" w:rsidRPr="009C0665">
        <w:rPr>
          <w:szCs w:val="22"/>
          <w:lang w:val="sr-Latn-ME"/>
        </w:rPr>
        <w:t>) (</w:t>
      </w:r>
      <w:r w:rsidR="00166D72" w:rsidRPr="009C0665">
        <w:rPr>
          <w:szCs w:val="22"/>
          <w:lang w:val="sr-Latn-ME"/>
        </w:rPr>
        <w:t>vidjeti dio</w:t>
      </w:r>
      <w:r w:rsidR="005F636B" w:rsidRPr="009C0665">
        <w:rPr>
          <w:szCs w:val="22"/>
          <w:lang w:val="sr-Latn-ME"/>
        </w:rPr>
        <w:t xml:space="preserve"> </w:t>
      </w:r>
      <w:r w:rsidR="00D45984" w:rsidRPr="009C0665">
        <w:rPr>
          <w:szCs w:val="22"/>
          <w:lang w:val="sr-Latn-ME"/>
        </w:rPr>
        <w:t>4.3).</w:t>
      </w:r>
    </w:p>
    <w:p w14:paraId="50541B44" w14:textId="77777777" w:rsidR="00D45984" w:rsidRPr="009C0665" w:rsidRDefault="00D45984" w:rsidP="004C7864">
      <w:pPr>
        <w:pStyle w:val="Header"/>
        <w:rPr>
          <w:szCs w:val="22"/>
          <w:lang w:val="sr-Latn-ME"/>
        </w:rPr>
      </w:pPr>
    </w:p>
    <w:p w14:paraId="45A6DF50" w14:textId="4BE730FD" w:rsidR="00D45984" w:rsidRPr="009C0665" w:rsidRDefault="006F13FB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Ako se pojavi</w:t>
      </w:r>
      <w:r w:rsidR="00D45984" w:rsidRPr="009C0665">
        <w:rPr>
          <w:szCs w:val="22"/>
          <w:lang w:val="sr-Latn-ME"/>
        </w:rPr>
        <w:t xml:space="preserve"> blag</w:t>
      </w:r>
      <w:r w:rsidRPr="009C0665">
        <w:rPr>
          <w:szCs w:val="22"/>
          <w:lang w:val="sr-Latn-ME"/>
        </w:rPr>
        <w:t>a</w:t>
      </w:r>
      <w:r w:rsidR="00D45984" w:rsidRPr="009C0665">
        <w:rPr>
          <w:szCs w:val="22"/>
          <w:lang w:val="sr-Latn-ME"/>
        </w:rPr>
        <w:t xml:space="preserve"> do </w:t>
      </w:r>
      <w:r w:rsidR="00054848" w:rsidRPr="009C0665">
        <w:rPr>
          <w:szCs w:val="22"/>
          <w:lang w:val="sr-Latn-ME"/>
        </w:rPr>
        <w:t>umjerena</w:t>
      </w:r>
      <w:r w:rsidR="00D45984" w:rsidRPr="009C0665">
        <w:rPr>
          <w:szCs w:val="22"/>
          <w:lang w:val="sr-Latn-ME"/>
        </w:rPr>
        <w:t xml:space="preserve"> RPI, brzina</w:t>
      </w:r>
      <w:r w:rsidRPr="009C0665">
        <w:rPr>
          <w:szCs w:val="22"/>
          <w:lang w:val="sr-Latn-ME"/>
        </w:rPr>
        <w:t xml:space="preserve"> </w:t>
      </w:r>
      <w:r w:rsidR="00AB003D" w:rsidRPr="009C0665">
        <w:rPr>
          <w:szCs w:val="22"/>
          <w:lang w:val="sr-Latn-ME"/>
        </w:rPr>
        <w:t>primjene</w:t>
      </w:r>
      <w:r w:rsidR="00D45984" w:rsidRPr="009C0665">
        <w:rPr>
          <w:szCs w:val="22"/>
          <w:lang w:val="sr-Latn-ME"/>
        </w:rPr>
        <w:t xml:space="preserve"> infuzije se može </w:t>
      </w:r>
      <w:r w:rsidRPr="009C0665">
        <w:rPr>
          <w:szCs w:val="22"/>
          <w:lang w:val="sr-Latn-ME"/>
        </w:rPr>
        <w:t xml:space="preserve">smanjiti </w:t>
      </w:r>
      <w:r w:rsidR="00D45984" w:rsidRPr="009C0665">
        <w:rPr>
          <w:szCs w:val="22"/>
          <w:lang w:val="sr-Latn-ME"/>
        </w:rPr>
        <w:t xml:space="preserve">ili </w:t>
      </w:r>
      <w:r w:rsidRPr="009C0665">
        <w:rPr>
          <w:szCs w:val="22"/>
          <w:lang w:val="sr-Latn-ME"/>
        </w:rPr>
        <w:t xml:space="preserve">privremeno </w:t>
      </w:r>
      <w:r w:rsidR="00D45984" w:rsidRPr="009C0665">
        <w:rPr>
          <w:szCs w:val="22"/>
          <w:lang w:val="sr-Latn-ME"/>
        </w:rPr>
        <w:t xml:space="preserve">prekinuti i započeti odgovarajuće </w:t>
      </w:r>
      <w:r w:rsidR="00D26459" w:rsidRPr="009C0665">
        <w:rPr>
          <w:szCs w:val="22"/>
          <w:lang w:val="sr-Latn-ME"/>
        </w:rPr>
        <w:t>liječenje</w:t>
      </w:r>
      <w:r w:rsidR="00D45984" w:rsidRPr="009C0665">
        <w:rPr>
          <w:szCs w:val="22"/>
          <w:lang w:val="sr-Latn-ME"/>
        </w:rPr>
        <w:t xml:space="preserve">. Nakon što se blage ili </w:t>
      </w:r>
      <w:r w:rsidR="00054848" w:rsidRPr="009C0665">
        <w:rPr>
          <w:szCs w:val="22"/>
          <w:lang w:val="sr-Latn-ME"/>
        </w:rPr>
        <w:t>umjerene</w:t>
      </w:r>
      <w:r w:rsidR="00D45984" w:rsidRPr="009C0665">
        <w:rPr>
          <w:szCs w:val="22"/>
          <w:lang w:val="sr-Latn-ME"/>
        </w:rPr>
        <w:t xml:space="preserve"> reakcije povezane sa infuzijom</w:t>
      </w:r>
      <w:r w:rsidRPr="009C0665">
        <w:rPr>
          <w:szCs w:val="22"/>
          <w:lang w:val="sr-Latn-ME"/>
        </w:rPr>
        <w:t xml:space="preserve"> ublaže</w:t>
      </w:r>
      <w:r w:rsidR="00D45984" w:rsidRPr="009C0665">
        <w:rPr>
          <w:szCs w:val="22"/>
          <w:lang w:val="sr-Latn-ME"/>
        </w:rPr>
        <w:t xml:space="preserve">, može se nastaviti sa </w:t>
      </w:r>
      <w:r w:rsidR="00AB003D" w:rsidRPr="009C0665">
        <w:rPr>
          <w:szCs w:val="22"/>
          <w:lang w:val="sr-Latn-ME"/>
        </w:rPr>
        <w:t>primjenom</w:t>
      </w:r>
      <w:r w:rsidRPr="009C0665">
        <w:rPr>
          <w:szCs w:val="22"/>
          <w:lang w:val="sr-Latn-ME"/>
        </w:rPr>
        <w:t xml:space="preserve"> </w:t>
      </w:r>
      <w:r w:rsidR="00D45984" w:rsidRPr="009C0665">
        <w:rPr>
          <w:szCs w:val="22"/>
          <w:lang w:val="sr-Latn-ME"/>
        </w:rPr>
        <w:t>infuzij</w:t>
      </w:r>
      <w:r w:rsidRPr="009C0665">
        <w:rPr>
          <w:szCs w:val="22"/>
          <w:lang w:val="sr-Latn-ME"/>
        </w:rPr>
        <w:t>e</w:t>
      </w:r>
      <w:r w:rsidR="00D45984" w:rsidRPr="009C0665">
        <w:rPr>
          <w:szCs w:val="22"/>
          <w:lang w:val="sr-Latn-ME"/>
        </w:rPr>
        <w:t xml:space="preserve">. </w:t>
      </w:r>
      <w:r w:rsidR="00054848" w:rsidRPr="009C0665">
        <w:rPr>
          <w:szCs w:val="22"/>
          <w:lang w:val="sr-Latn-ME"/>
        </w:rPr>
        <w:t>Ljekari</w:t>
      </w:r>
      <w:r w:rsidR="00D45984" w:rsidRPr="009C0665">
        <w:rPr>
          <w:szCs w:val="22"/>
          <w:lang w:val="sr-Latn-ME"/>
        </w:rPr>
        <w:t xml:space="preserve"> treba da razmotre premedikaciju (npr. antihistaminicima, hidrokortizonom i/ili paracetamolom) pr</w:t>
      </w:r>
      <w:r w:rsidR="00054848" w:rsidRPr="009C0665">
        <w:rPr>
          <w:szCs w:val="22"/>
          <w:lang w:val="sr-Latn-ME"/>
        </w:rPr>
        <w:t>ij</w:t>
      </w:r>
      <w:r w:rsidR="00D45984" w:rsidRPr="009C0665">
        <w:rPr>
          <w:szCs w:val="22"/>
          <w:lang w:val="sr-Latn-ME"/>
        </w:rPr>
        <w:t>e sl</w:t>
      </w:r>
      <w:r w:rsidR="00905E55" w:rsidRPr="009C0665">
        <w:rPr>
          <w:szCs w:val="22"/>
          <w:lang w:val="sr-Latn-ME"/>
        </w:rPr>
        <w:t>j</w:t>
      </w:r>
      <w:r w:rsidR="00D45984" w:rsidRPr="009C0665">
        <w:rPr>
          <w:szCs w:val="22"/>
          <w:lang w:val="sr-Latn-ME"/>
        </w:rPr>
        <w:t xml:space="preserve">edeće infuzije kod pacijenata sa anamnezom blagih do </w:t>
      </w:r>
      <w:r w:rsidR="00054848" w:rsidRPr="009C0665">
        <w:rPr>
          <w:szCs w:val="22"/>
          <w:lang w:val="sr-Latn-ME"/>
        </w:rPr>
        <w:t>umjerenih</w:t>
      </w:r>
      <w:r w:rsidR="00D45984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RPI na</w:t>
      </w:r>
      <w:r w:rsidR="00D45984" w:rsidRPr="009C0665">
        <w:rPr>
          <w:szCs w:val="22"/>
          <w:lang w:val="sr-Latn-ME"/>
        </w:rPr>
        <w:t xml:space="preserve"> vedolizumab kako bi se smanjili njihovi rizici (</w:t>
      </w:r>
      <w:r w:rsidR="00166D72" w:rsidRPr="009C0665">
        <w:rPr>
          <w:szCs w:val="22"/>
          <w:lang w:val="sr-Latn-ME"/>
        </w:rPr>
        <w:t>vidjeti dio</w:t>
      </w:r>
      <w:r w:rsidR="00D45984" w:rsidRPr="009C0665">
        <w:rPr>
          <w:szCs w:val="22"/>
          <w:lang w:val="sr-Latn-ME"/>
        </w:rPr>
        <w:t xml:space="preserve"> 4.8).</w:t>
      </w:r>
    </w:p>
    <w:p w14:paraId="6553D397" w14:textId="77777777" w:rsidR="001B1E60" w:rsidRPr="009C0665" w:rsidRDefault="001B1E60" w:rsidP="004C7864">
      <w:pPr>
        <w:pStyle w:val="Header"/>
        <w:rPr>
          <w:szCs w:val="22"/>
          <w:lang w:val="sr-Latn-ME"/>
        </w:rPr>
      </w:pPr>
    </w:p>
    <w:p w14:paraId="5BE932ED" w14:textId="77777777" w:rsidR="00D45984" w:rsidRPr="009C0665" w:rsidRDefault="00D45984" w:rsidP="004C7864">
      <w:pPr>
        <w:pStyle w:val="Header"/>
        <w:rPr>
          <w:szCs w:val="22"/>
          <w:u w:val="single"/>
          <w:lang w:val="sr-Latn-ME"/>
        </w:rPr>
      </w:pPr>
      <w:r w:rsidRPr="009C0665">
        <w:rPr>
          <w:szCs w:val="22"/>
          <w:u w:val="single"/>
          <w:lang w:val="sr-Latn-ME"/>
        </w:rPr>
        <w:t>Infekcije</w:t>
      </w:r>
    </w:p>
    <w:p w14:paraId="1C539D98" w14:textId="77777777" w:rsidR="00D45984" w:rsidRPr="009C0665" w:rsidRDefault="00D45984" w:rsidP="004C7864">
      <w:pPr>
        <w:pStyle w:val="Header"/>
        <w:rPr>
          <w:szCs w:val="22"/>
          <w:lang w:val="sr-Latn-ME"/>
        </w:rPr>
      </w:pPr>
    </w:p>
    <w:p w14:paraId="4ED18E7C" w14:textId="4B994F7C" w:rsidR="00D45984" w:rsidRPr="009C0665" w:rsidRDefault="00D45984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Vedolizumab je antagonist integrina </w:t>
      </w:r>
      <w:r w:rsidR="00054848" w:rsidRPr="009C0665">
        <w:rPr>
          <w:szCs w:val="22"/>
          <w:lang w:val="sr-Latn-ME"/>
        </w:rPr>
        <w:t>selektivan</w:t>
      </w:r>
      <w:r w:rsidRPr="009C0665">
        <w:rPr>
          <w:szCs w:val="22"/>
          <w:lang w:val="sr-Latn-ME"/>
        </w:rPr>
        <w:t xml:space="preserve"> za </w:t>
      </w:r>
      <w:r w:rsidR="00054848" w:rsidRPr="009C0665">
        <w:rPr>
          <w:szCs w:val="22"/>
          <w:lang w:val="sr-Latn-ME"/>
        </w:rPr>
        <w:t>crijeva</w:t>
      </w:r>
      <w:r w:rsidRPr="009C0665">
        <w:rPr>
          <w:szCs w:val="22"/>
          <w:lang w:val="sr-Latn-ME"/>
        </w:rPr>
        <w:t xml:space="preserve"> bez utvrđene sistemske imunosupresivne aktivnosti (</w:t>
      </w:r>
      <w:r w:rsidR="00166D72" w:rsidRPr="009C0665">
        <w:rPr>
          <w:szCs w:val="22"/>
          <w:lang w:val="sr-Latn-ME"/>
        </w:rPr>
        <w:t>vidjeti dio</w:t>
      </w:r>
      <w:r w:rsidRPr="009C0665">
        <w:rPr>
          <w:szCs w:val="22"/>
          <w:lang w:val="sr-Latn-ME"/>
        </w:rPr>
        <w:t xml:space="preserve"> 5.1).</w:t>
      </w:r>
    </w:p>
    <w:p w14:paraId="585402B6" w14:textId="77777777" w:rsidR="00D45984" w:rsidRPr="009C0665" w:rsidRDefault="00D45984" w:rsidP="004C7864">
      <w:pPr>
        <w:pStyle w:val="Header"/>
        <w:rPr>
          <w:szCs w:val="22"/>
          <w:lang w:val="sr-Latn-ME"/>
        </w:rPr>
      </w:pPr>
    </w:p>
    <w:p w14:paraId="29F8EDE4" w14:textId="2B140693" w:rsidR="00E3218D" w:rsidRPr="009C0665" w:rsidRDefault="00054848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Ljekari</w:t>
      </w:r>
      <w:r w:rsidR="00D45984" w:rsidRPr="009C0665">
        <w:rPr>
          <w:szCs w:val="22"/>
          <w:lang w:val="sr-Latn-ME"/>
        </w:rPr>
        <w:t xml:space="preserve"> treba da imaju u vidu potencijalno povećan rizik od pojave oportunističkih infekcija ili infekcija za koje su </w:t>
      </w:r>
      <w:r w:rsidRPr="009C0665">
        <w:rPr>
          <w:szCs w:val="22"/>
          <w:lang w:val="sr-Latn-ME"/>
        </w:rPr>
        <w:t>crijeva</w:t>
      </w:r>
      <w:r w:rsidR="00D45984" w:rsidRPr="009C0665">
        <w:rPr>
          <w:szCs w:val="22"/>
          <w:lang w:val="sr-Latn-ME"/>
        </w:rPr>
        <w:t xml:space="preserve"> odbrambena barijera (</w:t>
      </w:r>
      <w:r w:rsidR="00166D72" w:rsidRPr="009C0665">
        <w:rPr>
          <w:szCs w:val="22"/>
          <w:lang w:val="sr-Latn-ME"/>
        </w:rPr>
        <w:t>vidjeti dio</w:t>
      </w:r>
      <w:r w:rsidR="00D45984" w:rsidRPr="009C0665">
        <w:rPr>
          <w:szCs w:val="22"/>
          <w:lang w:val="sr-Latn-ME"/>
        </w:rPr>
        <w:t xml:space="preserve"> 4.8). </w:t>
      </w:r>
      <w:r w:rsidR="00D26459" w:rsidRPr="009C0665">
        <w:rPr>
          <w:szCs w:val="22"/>
          <w:lang w:val="sr-Latn-ME"/>
        </w:rPr>
        <w:t>Liječenje</w:t>
      </w:r>
      <w:r w:rsidR="00D45984" w:rsidRPr="009C0665">
        <w:rPr>
          <w:szCs w:val="22"/>
          <w:lang w:val="sr-Latn-ME"/>
        </w:rPr>
        <w:t xml:space="preserve"> </w:t>
      </w:r>
      <w:r w:rsidR="00164F4C" w:rsidRPr="009C0665">
        <w:rPr>
          <w:szCs w:val="22"/>
          <w:lang w:val="sr-Latn-ME"/>
        </w:rPr>
        <w:t>vedolizumabom</w:t>
      </w:r>
      <w:r w:rsidR="00D45984" w:rsidRPr="009C0665">
        <w:rPr>
          <w:szCs w:val="22"/>
          <w:lang w:val="sr-Latn-ME"/>
        </w:rPr>
        <w:t xml:space="preserve"> ne sm</w:t>
      </w:r>
      <w:r w:rsidRPr="009C0665">
        <w:rPr>
          <w:szCs w:val="22"/>
          <w:lang w:val="sr-Latn-ME"/>
        </w:rPr>
        <w:t>ij</w:t>
      </w:r>
      <w:r w:rsidR="00D45984" w:rsidRPr="009C0665">
        <w:rPr>
          <w:szCs w:val="22"/>
          <w:lang w:val="sr-Latn-ME"/>
        </w:rPr>
        <w:t xml:space="preserve">e se započinjati kod pacijenata sa aktivnim teškim infekcijama sve dok se infekcije ne stave pod kontrolu, a </w:t>
      </w:r>
      <w:r w:rsidRPr="009C0665">
        <w:rPr>
          <w:szCs w:val="22"/>
          <w:lang w:val="sr-Latn-ME"/>
        </w:rPr>
        <w:t>ljekari</w:t>
      </w:r>
      <w:r w:rsidR="00D45984" w:rsidRPr="009C0665">
        <w:rPr>
          <w:szCs w:val="22"/>
          <w:lang w:val="sr-Latn-ME"/>
        </w:rPr>
        <w:t xml:space="preserve"> treba da razmotre odlaganje </w:t>
      </w:r>
      <w:r w:rsidR="00166D72" w:rsidRPr="009C0665">
        <w:rPr>
          <w:szCs w:val="22"/>
          <w:lang w:val="sr-Latn-ME"/>
        </w:rPr>
        <w:t>liječenja</w:t>
      </w:r>
      <w:r w:rsidR="00D45984" w:rsidRPr="009C0665">
        <w:rPr>
          <w:szCs w:val="22"/>
          <w:lang w:val="sr-Latn-ME"/>
        </w:rPr>
        <w:t xml:space="preserve"> kod pacijenata </w:t>
      </w:r>
      <w:r w:rsidR="006F13FB" w:rsidRPr="009C0665">
        <w:rPr>
          <w:szCs w:val="22"/>
          <w:lang w:val="sr-Latn-ME"/>
        </w:rPr>
        <w:t xml:space="preserve">kod </w:t>
      </w:r>
      <w:r w:rsidR="00D45984" w:rsidRPr="009C0665">
        <w:rPr>
          <w:szCs w:val="22"/>
          <w:lang w:val="sr-Latn-ME"/>
        </w:rPr>
        <w:t>koji</w:t>
      </w:r>
      <w:r w:rsidR="006F13FB" w:rsidRPr="009C0665">
        <w:rPr>
          <w:szCs w:val="22"/>
          <w:lang w:val="sr-Latn-ME"/>
        </w:rPr>
        <w:t>h</w:t>
      </w:r>
      <w:r w:rsidR="00D45984" w:rsidRPr="009C0665">
        <w:rPr>
          <w:szCs w:val="22"/>
          <w:lang w:val="sr-Latn-ME"/>
        </w:rPr>
        <w:t xml:space="preserve"> </w:t>
      </w:r>
      <w:r w:rsidR="006F13FB" w:rsidRPr="009C0665">
        <w:rPr>
          <w:szCs w:val="22"/>
          <w:lang w:val="sr-Latn-ME"/>
        </w:rPr>
        <w:t xml:space="preserve">se </w:t>
      </w:r>
      <w:r w:rsidR="00D45984" w:rsidRPr="009C0665">
        <w:rPr>
          <w:szCs w:val="22"/>
          <w:lang w:val="sr-Latn-ME"/>
        </w:rPr>
        <w:t>razvil</w:t>
      </w:r>
      <w:r w:rsidR="006F13FB" w:rsidRPr="009C0665">
        <w:rPr>
          <w:szCs w:val="22"/>
          <w:lang w:val="sr-Latn-ME"/>
        </w:rPr>
        <w:t>a</w:t>
      </w:r>
      <w:r w:rsidR="00D45984" w:rsidRPr="009C0665">
        <w:rPr>
          <w:szCs w:val="22"/>
          <w:lang w:val="sr-Latn-ME"/>
        </w:rPr>
        <w:t xml:space="preserve"> ozbiljn</w:t>
      </w:r>
      <w:r w:rsidR="006F13FB" w:rsidRPr="009C0665">
        <w:rPr>
          <w:szCs w:val="22"/>
          <w:lang w:val="sr-Latn-ME"/>
        </w:rPr>
        <w:t>a</w:t>
      </w:r>
      <w:r w:rsidR="00D45984" w:rsidRPr="009C0665">
        <w:rPr>
          <w:szCs w:val="22"/>
          <w:lang w:val="sr-Latn-ME"/>
        </w:rPr>
        <w:t xml:space="preserve"> infekcij</w:t>
      </w:r>
      <w:r w:rsidR="006F13FB" w:rsidRPr="009C0665">
        <w:rPr>
          <w:szCs w:val="22"/>
          <w:lang w:val="sr-Latn-ME"/>
        </w:rPr>
        <w:t>a</w:t>
      </w:r>
      <w:r w:rsidR="00D45984" w:rsidRPr="009C0665">
        <w:rPr>
          <w:szCs w:val="22"/>
          <w:lang w:val="sr-Latn-ME"/>
        </w:rPr>
        <w:t xml:space="preserve"> dok su na hroničnoj terapiji </w:t>
      </w:r>
      <w:r w:rsidR="00164F4C" w:rsidRPr="009C0665">
        <w:rPr>
          <w:szCs w:val="22"/>
          <w:lang w:val="sr-Latn-ME"/>
        </w:rPr>
        <w:t>vedolizumabom</w:t>
      </w:r>
      <w:r w:rsidR="00D45984" w:rsidRPr="009C0665">
        <w:rPr>
          <w:szCs w:val="22"/>
          <w:lang w:val="sr-Latn-ME"/>
        </w:rPr>
        <w:t xml:space="preserve">. Potreban je oprez kad se razmatra </w:t>
      </w:r>
      <w:r w:rsidRPr="009C0665">
        <w:rPr>
          <w:szCs w:val="22"/>
          <w:lang w:val="sr-Latn-ME"/>
        </w:rPr>
        <w:t>primjena</w:t>
      </w:r>
      <w:r w:rsidR="00D45984" w:rsidRPr="009C0665">
        <w:rPr>
          <w:szCs w:val="22"/>
          <w:lang w:val="sr-Latn-ME"/>
        </w:rPr>
        <w:t xml:space="preserve"> vedolizumaba kod pacijenata sa kontrolisanom teškom hroničnom infekcijom ili anamnezom povratnih teških infekcija. Pr</w:t>
      </w:r>
      <w:r w:rsidR="00736C4D" w:rsidRPr="009C0665">
        <w:rPr>
          <w:szCs w:val="22"/>
          <w:lang w:val="sr-Latn-ME"/>
        </w:rPr>
        <w:t>ij</w:t>
      </w:r>
      <w:r w:rsidR="00D45984" w:rsidRPr="009C0665">
        <w:rPr>
          <w:szCs w:val="22"/>
          <w:lang w:val="sr-Latn-ME"/>
        </w:rPr>
        <w:t xml:space="preserve">e, tokom i nakon </w:t>
      </w:r>
      <w:r w:rsidR="00166D72" w:rsidRPr="009C0665">
        <w:rPr>
          <w:szCs w:val="22"/>
          <w:lang w:val="sr-Latn-ME"/>
        </w:rPr>
        <w:t>liječenja</w:t>
      </w:r>
      <w:r w:rsidR="00D45984" w:rsidRPr="009C0665">
        <w:rPr>
          <w:szCs w:val="22"/>
          <w:lang w:val="sr-Latn-ME"/>
        </w:rPr>
        <w:t xml:space="preserve"> pacijenti moraju biti pod pažljivim nadzorom kako bi se uočile infekcije. </w:t>
      </w:r>
    </w:p>
    <w:p w14:paraId="168BF822" w14:textId="77777777" w:rsidR="00905E55" w:rsidRPr="009C0665" w:rsidRDefault="00905E55" w:rsidP="004C7864">
      <w:pPr>
        <w:pStyle w:val="Header"/>
        <w:rPr>
          <w:szCs w:val="22"/>
          <w:lang w:val="sr-Latn-ME"/>
        </w:rPr>
      </w:pPr>
    </w:p>
    <w:p w14:paraId="4DCAFB46" w14:textId="70A47789" w:rsidR="00D45984" w:rsidRPr="009C0665" w:rsidRDefault="00164F4C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Vedolizumab</w:t>
      </w:r>
      <w:r w:rsidR="00D45984" w:rsidRPr="009C0665">
        <w:rPr>
          <w:szCs w:val="22"/>
          <w:lang w:val="sr-Latn-ME"/>
        </w:rPr>
        <w:t xml:space="preserve"> je kontraindikovan kod pacijenata sa aktivnom tuberkulozom (</w:t>
      </w:r>
      <w:r w:rsidR="00166D72" w:rsidRPr="009C0665">
        <w:rPr>
          <w:szCs w:val="22"/>
          <w:lang w:val="sr-Latn-ME"/>
        </w:rPr>
        <w:t>vidjeti dio</w:t>
      </w:r>
      <w:r w:rsidR="00D45984" w:rsidRPr="009C0665">
        <w:rPr>
          <w:szCs w:val="22"/>
          <w:lang w:val="sr-Latn-ME"/>
        </w:rPr>
        <w:t xml:space="preserve"> 4.3). Pr</w:t>
      </w:r>
      <w:r w:rsidR="00736C4D" w:rsidRPr="009C0665">
        <w:rPr>
          <w:szCs w:val="22"/>
          <w:lang w:val="sr-Latn-ME"/>
        </w:rPr>
        <w:t>ij</w:t>
      </w:r>
      <w:r w:rsidR="00D45984" w:rsidRPr="009C0665">
        <w:rPr>
          <w:szCs w:val="22"/>
          <w:lang w:val="sr-Latn-ME"/>
        </w:rPr>
        <w:t xml:space="preserve">e početka </w:t>
      </w:r>
      <w:r w:rsidR="00166D72" w:rsidRPr="009C0665">
        <w:rPr>
          <w:szCs w:val="22"/>
          <w:lang w:val="sr-Latn-ME"/>
        </w:rPr>
        <w:t>liječenja</w:t>
      </w:r>
      <w:r w:rsidR="00D45984" w:rsidRPr="009C0665">
        <w:rPr>
          <w:szCs w:val="22"/>
          <w:lang w:val="sr-Latn-ME"/>
        </w:rPr>
        <w:t xml:space="preserve"> vedolizumabom pacijente je potrebno testirati na tuberkulozu u skladu sa </w:t>
      </w:r>
      <w:r w:rsidR="00797134" w:rsidRPr="009C0665">
        <w:rPr>
          <w:szCs w:val="22"/>
          <w:lang w:val="sr-Latn-ME"/>
        </w:rPr>
        <w:t xml:space="preserve">zvaničnim </w:t>
      </w:r>
      <w:r w:rsidR="00054848" w:rsidRPr="009C0665">
        <w:rPr>
          <w:szCs w:val="22"/>
          <w:lang w:val="sr-Latn-ME"/>
        </w:rPr>
        <w:t>smjernicama</w:t>
      </w:r>
      <w:r w:rsidR="00D45984" w:rsidRPr="009C0665">
        <w:rPr>
          <w:szCs w:val="22"/>
          <w:lang w:val="sr-Latn-ME"/>
        </w:rPr>
        <w:t>. Ako je dijagnostikovana latentna tuberkuloza, potrebno je pr</w:t>
      </w:r>
      <w:r w:rsidR="00736C4D" w:rsidRPr="009C0665">
        <w:rPr>
          <w:szCs w:val="22"/>
          <w:lang w:val="sr-Latn-ME"/>
        </w:rPr>
        <w:t>ij</w:t>
      </w:r>
      <w:r w:rsidR="00D45984" w:rsidRPr="009C0665">
        <w:rPr>
          <w:szCs w:val="22"/>
          <w:lang w:val="sr-Latn-ME"/>
        </w:rPr>
        <w:t xml:space="preserve">e početka </w:t>
      </w:r>
      <w:r w:rsidR="00166D72" w:rsidRPr="009C0665">
        <w:rPr>
          <w:szCs w:val="22"/>
          <w:lang w:val="sr-Latn-ME"/>
        </w:rPr>
        <w:t>liječenja</w:t>
      </w:r>
      <w:r w:rsidR="00D45984" w:rsidRPr="009C0665">
        <w:rPr>
          <w:szCs w:val="22"/>
          <w:lang w:val="sr-Latn-ME"/>
        </w:rPr>
        <w:t xml:space="preserve"> vedolizumabom započeti odgovarajuće antituberkulozno </w:t>
      </w:r>
      <w:r w:rsidR="00D26459" w:rsidRPr="009C0665">
        <w:rPr>
          <w:szCs w:val="22"/>
          <w:lang w:val="sr-Latn-ME"/>
        </w:rPr>
        <w:t>liječenje</w:t>
      </w:r>
      <w:r w:rsidR="00D45984" w:rsidRPr="009C0665">
        <w:rPr>
          <w:szCs w:val="22"/>
          <w:lang w:val="sr-Latn-ME"/>
        </w:rPr>
        <w:t xml:space="preserve"> u skladu sa </w:t>
      </w:r>
      <w:r w:rsidR="00797134" w:rsidRPr="009C0665">
        <w:rPr>
          <w:szCs w:val="22"/>
          <w:lang w:val="sr-Latn-ME"/>
        </w:rPr>
        <w:t xml:space="preserve">zvaničnim </w:t>
      </w:r>
      <w:r w:rsidR="00054848" w:rsidRPr="009C0665">
        <w:rPr>
          <w:szCs w:val="22"/>
          <w:lang w:val="sr-Latn-ME"/>
        </w:rPr>
        <w:t>smjernicama</w:t>
      </w:r>
      <w:r w:rsidR="00D45984" w:rsidRPr="009C0665">
        <w:rPr>
          <w:szCs w:val="22"/>
          <w:lang w:val="sr-Latn-ME"/>
        </w:rPr>
        <w:t xml:space="preserve">. Kod pacijenata kojima se postavi dijagnoza tuberkuloze tokom </w:t>
      </w:r>
      <w:r w:rsidR="00166D72" w:rsidRPr="009C0665">
        <w:rPr>
          <w:szCs w:val="22"/>
          <w:lang w:val="sr-Latn-ME"/>
        </w:rPr>
        <w:t>liječenja</w:t>
      </w:r>
      <w:r w:rsidR="00D45984" w:rsidRPr="009C0665">
        <w:rPr>
          <w:szCs w:val="22"/>
          <w:lang w:val="sr-Latn-ME"/>
        </w:rPr>
        <w:t xml:space="preserve"> vedolizumabom, </w:t>
      </w:r>
      <w:r w:rsidR="00AB003D" w:rsidRPr="009C0665">
        <w:rPr>
          <w:szCs w:val="22"/>
          <w:lang w:val="sr-Latn-ME"/>
        </w:rPr>
        <w:t>primjenu</w:t>
      </w:r>
      <w:r w:rsidR="00D45984" w:rsidRPr="009C0665">
        <w:rPr>
          <w:szCs w:val="22"/>
          <w:lang w:val="sr-Latn-ME"/>
        </w:rPr>
        <w:t xml:space="preserve"> vedolizumaba treba </w:t>
      </w:r>
      <w:r w:rsidR="00797134" w:rsidRPr="009C0665">
        <w:rPr>
          <w:szCs w:val="22"/>
          <w:lang w:val="sr-Latn-ME"/>
        </w:rPr>
        <w:t xml:space="preserve">privremeno </w:t>
      </w:r>
      <w:r w:rsidR="00D45984" w:rsidRPr="009C0665">
        <w:rPr>
          <w:szCs w:val="22"/>
          <w:lang w:val="sr-Latn-ME"/>
        </w:rPr>
        <w:t xml:space="preserve">prekinuti sve dok se ne </w:t>
      </w:r>
      <w:r w:rsidR="00054848" w:rsidRPr="009C0665">
        <w:rPr>
          <w:szCs w:val="22"/>
          <w:lang w:val="sr-Latn-ME"/>
        </w:rPr>
        <w:t>izliječi</w:t>
      </w:r>
      <w:r w:rsidR="00D45984" w:rsidRPr="009C0665">
        <w:rPr>
          <w:szCs w:val="22"/>
          <w:lang w:val="sr-Latn-ME"/>
        </w:rPr>
        <w:t xml:space="preserve"> tuberkulozna infekcija.</w:t>
      </w:r>
    </w:p>
    <w:p w14:paraId="7F169626" w14:textId="77777777" w:rsidR="00D45984" w:rsidRPr="009C0665" w:rsidRDefault="00D45984" w:rsidP="004C7864">
      <w:pPr>
        <w:pStyle w:val="Header"/>
        <w:rPr>
          <w:szCs w:val="22"/>
          <w:lang w:val="sr-Latn-ME"/>
        </w:rPr>
      </w:pPr>
    </w:p>
    <w:p w14:paraId="186F9B06" w14:textId="06874496" w:rsidR="00D45984" w:rsidRPr="009C0665" w:rsidRDefault="00AB003D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Primjene</w:t>
      </w:r>
      <w:r w:rsidR="00797134" w:rsidRPr="009C0665">
        <w:rPr>
          <w:szCs w:val="22"/>
          <w:lang w:val="sr-Latn-ME"/>
        </w:rPr>
        <w:t xml:space="preserve"> n</w:t>
      </w:r>
      <w:r w:rsidR="00D45984" w:rsidRPr="009C0665">
        <w:rPr>
          <w:szCs w:val="22"/>
          <w:lang w:val="sr-Latn-ME"/>
        </w:rPr>
        <w:t>eki</w:t>
      </w:r>
      <w:r w:rsidR="00797134" w:rsidRPr="009C0665">
        <w:rPr>
          <w:szCs w:val="22"/>
          <w:lang w:val="sr-Latn-ME"/>
        </w:rPr>
        <w:t>h</w:t>
      </w:r>
      <w:r w:rsidR="00D45984" w:rsidRPr="009C0665">
        <w:rPr>
          <w:szCs w:val="22"/>
          <w:lang w:val="sr-Latn-ME"/>
        </w:rPr>
        <w:t xml:space="preserve"> antagonist</w:t>
      </w:r>
      <w:r w:rsidR="00797134" w:rsidRPr="009C0665">
        <w:rPr>
          <w:szCs w:val="22"/>
          <w:lang w:val="sr-Latn-ME"/>
        </w:rPr>
        <w:t>a</w:t>
      </w:r>
      <w:r w:rsidR="00D45984" w:rsidRPr="009C0665">
        <w:rPr>
          <w:szCs w:val="22"/>
          <w:lang w:val="sr-Latn-ME"/>
        </w:rPr>
        <w:t xml:space="preserve"> integrina i neki</w:t>
      </w:r>
      <w:r w:rsidR="00797134" w:rsidRPr="009C0665">
        <w:rPr>
          <w:szCs w:val="22"/>
          <w:lang w:val="sr-Latn-ME"/>
        </w:rPr>
        <w:t>h</w:t>
      </w:r>
      <w:r w:rsidR="00D45984" w:rsidRPr="009C0665">
        <w:rPr>
          <w:szCs w:val="22"/>
          <w:lang w:val="sr-Latn-ME"/>
        </w:rPr>
        <w:t xml:space="preserve"> sistemski</w:t>
      </w:r>
      <w:r w:rsidR="00797134" w:rsidRPr="009C0665">
        <w:rPr>
          <w:szCs w:val="22"/>
          <w:lang w:val="sr-Latn-ME"/>
        </w:rPr>
        <w:t>h</w:t>
      </w:r>
      <w:r w:rsidR="00D45984" w:rsidRPr="009C0665">
        <w:rPr>
          <w:szCs w:val="22"/>
          <w:lang w:val="sr-Latn-ME"/>
        </w:rPr>
        <w:t xml:space="preserve"> imunosupresiv</w:t>
      </w:r>
      <w:r w:rsidR="00797134" w:rsidRPr="009C0665">
        <w:rPr>
          <w:szCs w:val="22"/>
          <w:lang w:val="sr-Latn-ME"/>
        </w:rPr>
        <w:t>a</w:t>
      </w:r>
      <w:r w:rsidR="00D45984" w:rsidRPr="009C0665">
        <w:rPr>
          <w:szCs w:val="22"/>
          <w:lang w:val="sr-Latn-ME"/>
        </w:rPr>
        <w:t xml:space="preserve"> povezan</w:t>
      </w:r>
      <w:r w:rsidR="00797134" w:rsidRPr="009C0665">
        <w:rPr>
          <w:szCs w:val="22"/>
          <w:lang w:val="sr-Latn-ME"/>
        </w:rPr>
        <w:t>e</w:t>
      </w:r>
      <w:r w:rsidR="00D45984" w:rsidRPr="009C0665">
        <w:rPr>
          <w:szCs w:val="22"/>
          <w:lang w:val="sr-Latn-ME"/>
        </w:rPr>
        <w:t xml:space="preserve"> su s</w:t>
      </w:r>
      <w:r w:rsidR="00797134" w:rsidRPr="009C0665">
        <w:rPr>
          <w:szCs w:val="22"/>
          <w:lang w:val="sr-Latn-ME"/>
        </w:rPr>
        <w:t xml:space="preserve">a pojavom </w:t>
      </w:r>
      <w:r w:rsidR="00D45984" w:rsidRPr="009C0665">
        <w:rPr>
          <w:szCs w:val="22"/>
          <w:lang w:val="sr-Latn-ME"/>
        </w:rPr>
        <w:t>progresivn</w:t>
      </w:r>
      <w:r w:rsidR="00797134" w:rsidRPr="009C0665">
        <w:rPr>
          <w:szCs w:val="22"/>
          <w:lang w:val="sr-Latn-ME"/>
        </w:rPr>
        <w:t>e</w:t>
      </w:r>
      <w:r w:rsidR="00D45984" w:rsidRPr="009C0665">
        <w:rPr>
          <w:szCs w:val="22"/>
          <w:lang w:val="sr-Latn-ME"/>
        </w:rPr>
        <w:t xml:space="preserve"> multifokaln</w:t>
      </w:r>
      <w:r w:rsidR="00797134" w:rsidRPr="009C0665">
        <w:rPr>
          <w:szCs w:val="22"/>
          <w:lang w:val="sr-Latn-ME"/>
        </w:rPr>
        <w:t>e</w:t>
      </w:r>
      <w:r w:rsidR="00D45984" w:rsidRPr="009C0665">
        <w:rPr>
          <w:szCs w:val="22"/>
          <w:lang w:val="sr-Latn-ME"/>
        </w:rPr>
        <w:t xml:space="preserve"> leukoencefalopatij</w:t>
      </w:r>
      <w:r w:rsidR="00797134" w:rsidRPr="009C0665">
        <w:rPr>
          <w:szCs w:val="22"/>
          <w:lang w:val="sr-Latn-ME"/>
        </w:rPr>
        <w:t>e</w:t>
      </w:r>
      <w:r w:rsidR="00D45984" w:rsidRPr="009C0665">
        <w:rPr>
          <w:szCs w:val="22"/>
          <w:lang w:val="sr-Latn-ME"/>
        </w:rPr>
        <w:t xml:space="preserve"> (PML) </w:t>
      </w:r>
      <w:r w:rsidR="00797134" w:rsidRPr="009C0665">
        <w:rPr>
          <w:szCs w:val="22"/>
          <w:lang w:val="sr-Latn-ME"/>
        </w:rPr>
        <w:t xml:space="preserve">što </w:t>
      </w:r>
      <w:r w:rsidR="00D45984" w:rsidRPr="009C0665">
        <w:rPr>
          <w:szCs w:val="22"/>
          <w:lang w:val="sr-Latn-ME"/>
        </w:rPr>
        <w:t xml:space="preserve">je </w:t>
      </w:r>
      <w:r w:rsidR="00054848" w:rsidRPr="009C0665">
        <w:rPr>
          <w:szCs w:val="22"/>
          <w:lang w:val="sr-Latn-ME"/>
        </w:rPr>
        <w:t>rijetka</w:t>
      </w:r>
      <w:r w:rsidR="00D45984" w:rsidRPr="009C0665">
        <w:rPr>
          <w:szCs w:val="22"/>
          <w:lang w:val="sr-Latn-ME"/>
        </w:rPr>
        <w:t xml:space="preserve"> oportunistička infekcija uzrokovana virusom</w:t>
      </w:r>
      <w:r w:rsidR="00797134" w:rsidRPr="009C0665">
        <w:rPr>
          <w:szCs w:val="22"/>
          <w:lang w:val="sr-Latn-ME"/>
        </w:rPr>
        <w:t xml:space="preserve"> </w:t>
      </w:r>
      <w:r w:rsidR="00802570" w:rsidRPr="009C0665">
        <w:rPr>
          <w:i/>
          <w:szCs w:val="22"/>
          <w:lang w:val="sr-Latn-ME"/>
        </w:rPr>
        <w:t>John Cunningham</w:t>
      </w:r>
      <w:r w:rsidR="00D45984" w:rsidRPr="009C0665">
        <w:rPr>
          <w:szCs w:val="22"/>
          <w:lang w:val="sr-Latn-ME"/>
        </w:rPr>
        <w:t xml:space="preserve"> (JC)</w:t>
      </w:r>
      <w:r w:rsidR="00797134" w:rsidRPr="009C0665">
        <w:rPr>
          <w:szCs w:val="22"/>
          <w:lang w:val="sr-Latn-ME"/>
        </w:rPr>
        <w:t xml:space="preserve"> i često sa smrtnim ishodom</w:t>
      </w:r>
      <w:r w:rsidR="00D45984" w:rsidRPr="009C0665">
        <w:rPr>
          <w:szCs w:val="22"/>
          <w:lang w:val="sr-Latn-ME"/>
        </w:rPr>
        <w:t xml:space="preserve">. Vezivanjem na integrin </w:t>
      </w:r>
      <w:r w:rsidR="00797134" w:rsidRPr="009C0665">
        <w:rPr>
          <w:szCs w:val="22"/>
          <w:lang w:val="sr-Latn-ME"/>
        </w:rPr>
        <w:t>afa</w:t>
      </w:r>
      <w:r w:rsidR="00D45984" w:rsidRPr="009C0665">
        <w:rPr>
          <w:szCs w:val="22"/>
          <w:vertAlign w:val="subscript"/>
          <w:lang w:val="sr-Latn-ME"/>
        </w:rPr>
        <w:t>4</w:t>
      </w:r>
      <w:r w:rsidR="00797134" w:rsidRPr="009C0665">
        <w:rPr>
          <w:szCs w:val="22"/>
          <w:lang w:val="sr-Latn-ME"/>
        </w:rPr>
        <w:t>beta</w:t>
      </w:r>
      <w:r w:rsidR="00D45984" w:rsidRPr="009C0665">
        <w:rPr>
          <w:szCs w:val="22"/>
          <w:vertAlign w:val="subscript"/>
          <w:lang w:val="sr-Latn-ME"/>
        </w:rPr>
        <w:t>7</w:t>
      </w:r>
      <w:r w:rsidR="00D45984" w:rsidRPr="009C0665">
        <w:rPr>
          <w:szCs w:val="22"/>
          <w:lang w:val="sr-Latn-ME"/>
        </w:rPr>
        <w:t xml:space="preserve"> izražen na limfocitima u </w:t>
      </w:r>
      <w:r w:rsidR="00054848" w:rsidRPr="009C0665">
        <w:rPr>
          <w:szCs w:val="22"/>
          <w:lang w:val="sr-Latn-ME"/>
        </w:rPr>
        <w:t>crijevima</w:t>
      </w:r>
      <w:r w:rsidR="00D45984" w:rsidRPr="009C0665">
        <w:rPr>
          <w:szCs w:val="22"/>
          <w:lang w:val="sr-Latn-ME"/>
        </w:rPr>
        <w:t>, vedolizumab postiže imunosupresivni efekat</w:t>
      </w:r>
      <w:r w:rsidR="00432988" w:rsidRPr="009C0665">
        <w:rPr>
          <w:szCs w:val="22"/>
          <w:lang w:val="sr-Latn-ME"/>
        </w:rPr>
        <w:t xml:space="preserve"> specifično</w:t>
      </w:r>
      <w:r w:rsidR="00E61542" w:rsidRPr="009C0665">
        <w:rPr>
          <w:szCs w:val="22"/>
          <w:lang w:val="sr-Latn-ME"/>
        </w:rPr>
        <w:t xml:space="preserve"> </w:t>
      </w:r>
      <w:r w:rsidR="00D45984" w:rsidRPr="009C0665">
        <w:rPr>
          <w:szCs w:val="22"/>
          <w:lang w:val="sr-Latn-ME"/>
        </w:rPr>
        <w:t xml:space="preserve">na </w:t>
      </w:r>
      <w:r w:rsidR="00054848" w:rsidRPr="009C0665">
        <w:rPr>
          <w:szCs w:val="22"/>
          <w:lang w:val="sr-Latn-ME"/>
        </w:rPr>
        <w:t>crijev</w:t>
      </w:r>
      <w:r w:rsidR="00432988" w:rsidRPr="009C0665">
        <w:rPr>
          <w:szCs w:val="22"/>
          <w:lang w:val="sr-Latn-ME"/>
        </w:rPr>
        <w:t xml:space="preserve">ima. </w:t>
      </w:r>
      <w:r w:rsidR="00960FCA" w:rsidRPr="009C0665">
        <w:rPr>
          <w:szCs w:val="22"/>
          <w:lang w:val="sr-Latn-ME"/>
        </w:rPr>
        <w:t>Iako nije uočen sistemski imunosupresivni efekat kod zdravih ispitanika, uticaj na sistemski imuni sistem pacijenata sa zapaljenskom bolešću creva ni</w:t>
      </w:r>
      <w:r w:rsidR="00864F85" w:rsidRPr="009C0665">
        <w:rPr>
          <w:szCs w:val="22"/>
          <w:lang w:val="sr-Latn-ME"/>
        </w:rPr>
        <w:t>je</w:t>
      </w:r>
      <w:r w:rsidR="00960FCA" w:rsidRPr="009C0665">
        <w:rPr>
          <w:szCs w:val="22"/>
          <w:lang w:val="sr-Latn-ME"/>
        </w:rPr>
        <w:t xml:space="preserve">su poznati. </w:t>
      </w:r>
    </w:p>
    <w:p w14:paraId="61C170EB" w14:textId="77777777" w:rsidR="0011299D" w:rsidRPr="009C0665" w:rsidRDefault="0011299D" w:rsidP="004C7864">
      <w:pPr>
        <w:pStyle w:val="Header"/>
        <w:rPr>
          <w:szCs w:val="22"/>
          <w:lang w:val="sr-Latn-ME"/>
        </w:rPr>
      </w:pPr>
    </w:p>
    <w:p w14:paraId="0C9AEDAE" w14:textId="4A180095" w:rsidR="00D45984" w:rsidRPr="009C0665" w:rsidRDefault="003E194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Z</w:t>
      </w:r>
      <w:r w:rsidR="00D45984" w:rsidRPr="009C0665">
        <w:rPr>
          <w:szCs w:val="22"/>
          <w:lang w:val="sr-Latn-ME"/>
        </w:rPr>
        <w:t xml:space="preserve">dravstveni radnici moraju </w:t>
      </w:r>
      <w:r w:rsidR="00797134" w:rsidRPr="009C0665">
        <w:rPr>
          <w:szCs w:val="22"/>
          <w:lang w:val="sr-Latn-ME"/>
        </w:rPr>
        <w:t xml:space="preserve">pratiti stanje </w:t>
      </w:r>
      <w:r w:rsidR="00D45984" w:rsidRPr="009C0665">
        <w:rPr>
          <w:szCs w:val="22"/>
          <w:lang w:val="sr-Latn-ME"/>
        </w:rPr>
        <w:t xml:space="preserve">pacijenata koji primaju vedolizumab </w:t>
      </w:r>
      <w:r w:rsidR="00797134" w:rsidRPr="009C0665">
        <w:rPr>
          <w:szCs w:val="22"/>
          <w:lang w:val="sr-Latn-ME"/>
        </w:rPr>
        <w:t xml:space="preserve">radi uočavanja </w:t>
      </w:r>
      <w:r w:rsidR="00D45984" w:rsidRPr="009C0665">
        <w:rPr>
          <w:szCs w:val="22"/>
          <w:lang w:val="sr-Latn-ME"/>
        </w:rPr>
        <w:t>pojav</w:t>
      </w:r>
      <w:r w:rsidR="00797134" w:rsidRPr="009C0665">
        <w:rPr>
          <w:szCs w:val="22"/>
          <w:lang w:val="sr-Latn-ME"/>
        </w:rPr>
        <w:t>e</w:t>
      </w:r>
      <w:r w:rsidR="00D45984" w:rsidRPr="009C0665">
        <w:rPr>
          <w:szCs w:val="22"/>
          <w:lang w:val="sr-Latn-ME"/>
        </w:rPr>
        <w:t xml:space="preserve"> ili pogoršanj</w:t>
      </w:r>
      <w:r w:rsidR="00797134" w:rsidRPr="009C0665">
        <w:rPr>
          <w:szCs w:val="22"/>
          <w:lang w:val="sr-Latn-ME"/>
        </w:rPr>
        <w:t>a</w:t>
      </w:r>
      <w:r w:rsidR="00D45984" w:rsidRPr="009C0665">
        <w:rPr>
          <w:szCs w:val="22"/>
          <w:lang w:val="sr-Latn-ME"/>
        </w:rPr>
        <w:t xml:space="preserve"> neuroloških znakova i simptoma, i uputiti pacijenta neurologu ako se oni pojave. </w:t>
      </w:r>
      <w:r w:rsidR="00F7334D" w:rsidRPr="009C0665">
        <w:rPr>
          <w:szCs w:val="22"/>
          <w:lang w:val="sr-Latn-ME"/>
        </w:rPr>
        <w:t xml:space="preserve">Pacijent mora dobiti Karticu s upozorenjima za pacijenta (vidjeti dio 4.2). </w:t>
      </w:r>
      <w:r w:rsidR="00D45984" w:rsidRPr="009C0665">
        <w:rPr>
          <w:szCs w:val="22"/>
          <w:lang w:val="sr-Latn-ME"/>
        </w:rPr>
        <w:t xml:space="preserve">Ako se sumnja na PML, potrebno je </w:t>
      </w:r>
      <w:r w:rsidR="005F3724" w:rsidRPr="009C0665">
        <w:rPr>
          <w:szCs w:val="22"/>
          <w:lang w:val="sr-Latn-ME"/>
        </w:rPr>
        <w:t xml:space="preserve">privremeno prekinuti </w:t>
      </w:r>
      <w:r w:rsidR="00D26459" w:rsidRPr="009C0665">
        <w:rPr>
          <w:szCs w:val="22"/>
          <w:lang w:val="sr-Latn-ME"/>
        </w:rPr>
        <w:t>liječenje</w:t>
      </w:r>
      <w:r w:rsidR="00D45984" w:rsidRPr="009C0665">
        <w:rPr>
          <w:szCs w:val="22"/>
          <w:lang w:val="sr-Latn-ME"/>
        </w:rPr>
        <w:t xml:space="preserve"> vedolizumabom; u slučaju potvrde, </w:t>
      </w:r>
      <w:r w:rsidR="00D26459" w:rsidRPr="009C0665">
        <w:rPr>
          <w:szCs w:val="22"/>
          <w:lang w:val="sr-Latn-ME"/>
        </w:rPr>
        <w:t>liječenje</w:t>
      </w:r>
      <w:r w:rsidR="00D45984" w:rsidRPr="009C0665">
        <w:rPr>
          <w:szCs w:val="22"/>
          <w:lang w:val="sr-Latn-ME"/>
        </w:rPr>
        <w:t xml:space="preserve"> se mora trajno </w:t>
      </w:r>
      <w:r w:rsidR="005F3724" w:rsidRPr="009C0665">
        <w:rPr>
          <w:szCs w:val="22"/>
          <w:lang w:val="sr-Latn-ME"/>
        </w:rPr>
        <w:t>obustaviti</w:t>
      </w:r>
      <w:r w:rsidR="00D45984" w:rsidRPr="009C0665">
        <w:rPr>
          <w:szCs w:val="22"/>
          <w:lang w:val="sr-Latn-ME"/>
        </w:rPr>
        <w:t>.</w:t>
      </w:r>
    </w:p>
    <w:p w14:paraId="2E9CDE0A" w14:textId="720A8907" w:rsidR="00D45984" w:rsidRPr="009C0665" w:rsidRDefault="00D45984" w:rsidP="004C7864">
      <w:pPr>
        <w:pStyle w:val="Header"/>
        <w:rPr>
          <w:szCs w:val="22"/>
          <w:lang w:val="sr-Latn-ME"/>
        </w:rPr>
      </w:pPr>
    </w:p>
    <w:p w14:paraId="1937D498" w14:textId="77777777" w:rsidR="00DB3145" w:rsidRPr="009C0665" w:rsidRDefault="00DB3145" w:rsidP="004C7864">
      <w:pPr>
        <w:pStyle w:val="Header"/>
        <w:rPr>
          <w:szCs w:val="22"/>
          <w:lang w:val="sr-Latn-ME"/>
        </w:rPr>
      </w:pPr>
    </w:p>
    <w:p w14:paraId="52FEF774" w14:textId="77777777" w:rsidR="00D45984" w:rsidRPr="009C0665" w:rsidRDefault="00D45984" w:rsidP="004C7864">
      <w:pPr>
        <w:pStyle w:val="Header"/>
        <w:rPr>
          <w:szCs w:val="22"/>
          <w:u w:val="single"/>
          <w:lang w:val="sr-Latn-ME"/>
        </w:rPr>
      </w:pPr>
      <w:r w:rsidRPr="009C0665">
        <w:rPr>
          <w:szCs w:val="22"/>
          <w:u w:val="single"/>
          <w:lang w:val="sr-Latn-ME"/>
        </w:rPr>
        <w:lastRenderedPageBreak/>
        <w:t>Maligne bolesti</w:t>
      </w:r>
    </w:p>
    <w:p w14:paraId="1A680478" w14:textId="77777777" w:rsidR="00D45984" w:rsidRPr="009C0665" w:rsidRDefault="00D45984" w:rsidP="004C7864">
      <w:pPr>
        <w:pStyle w:val="Header"/>
        <w:rPr>
          <w:szCs w:val="22"/>
          <w:lang w:val="sr-Latn-ME"/>
        </w:rPr>
      </w:pPr>
    </w:p>
    <w:p w14:paraId="23803594" w14:textId="6B8BFC0E" w:rsidR="00D45984" w:rsidRPr="009C0665" w:rsidRDefault="00D45984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Rizik </w:t>
      </w:r>
      <w:r w:rsidR="005F3724" w:rsidRPr="009C0665">
        <w:rPr>
          <w:szCs w:val="22"/>
          <w:lang w:val="sr-Latn-ME"/>
        </w:rPr>
        <w:t xml:space="preserve">od </w:t>
      </w:r>
      <w:r w:rsidRPr="009C0665">
        <w:rPr>
          <w:szCs w:val="22"/>
          <w:lang w:val="sr-Latn-ME"/>
        </w:rPr>
        <w:t xml:space="preserve">malignih bolesti povećan je kod pacijenata sa ulceroznim kolitisom i </w:t>
      </w:r>
      <w:r w:rsidR="00AB003D" w:rsidRPr="009C0665">
        <w:rPr>
          <w:szCs w:val="22"/>
          <w:lang w:val="sr-Latn-ME"/>
        </w:rPr>
        <w:t>Crohnovom</w:t>
      </w:r>
      <w:r w:rsidRPr="009C0665">
        <w:rPr>
          <w:szCs w:val="22"/>
          <w:lang w:val="sr-Latn-ME"/>
        </w:rPr>
        <w:t xml:space="preserve"> bolešću. Imunomodulatorni </w:t>
      </w:r>
      <w:r w:rsidR="00D26459" w:rsidRPr="009C0665">
        <w:rPr>
          <w:szCs w:val="22"/>
          <w:lang w:val="sr-Latn-ME"/>
        </w:rPr>
        <w:t>ljek</w:t>
      </w:r>
      <w:r w:rsidRPr="009C0665">
        <w:rPr>
          <w:szCs w:val="22"/>
          <w:lang w:val="sr-Latn-ME"/>
        </w:rPr>
        <w:t>ovi mogu povećati rizik od malignih bolesti (</w:t>
      </w:r>
      <w:r w:rsidR="00166D72" w:rsidRPr="009C0665">
        <w:rPr>
          <w:szCs w:val="22"/>
          <w:lang w:val="sr-Latn-ME"/>
        </w:rPr>
        <w:t>vidjeti dio</w:t>
      </w:r>
      <w:r w:rsidRPr="009C0665">
        <w:rPr>
          <w:szCs w:val="22"/>
          <w:lang w:val="sr-Latn-ME"/>
        </w:rPr>
        <w:t xml:space="preserve"> 4.8).</w:t>
      </w:r>
    </w:p>
    <w:p w14:paraId="08943B45" w14:textId="77777777" w:rsidR="00D45984" w:rsidRPr="009C0665" w:rsidRDefault="00D45984" w:rsidP="004C7864">
      <w:pPr>
        <w:pStyle w:val="Header"/>
        <w:rPr>
          <w:szCs w:val="22"/>
          <w:lang w:val="sr-Latn-ME"/>
        </w:rPr>
      </w:pPr>
    </w:p>
    <w:p w14:paraId="4B9EA4FA" w14:textId="0E5EEC29" w:rsidR="00DB3145" w:rsidRPr="009C0665" w:rsidRDefault="00D45984" w:rsidP="004C7864">
      <w:pPr>
        <w:pStyle w:val="Header"/>
        <w:rPr>
          <w:szCs w:val="22"/>
          <w:u w:val="single"/>
          <w:lang w:val="sr-Latn-ME"/>
        </w:rPr>
      </w:pPr>
      <w:r w:rsidRPr="009C0665">
        <w:rPr>
          <w:szCs w:val="22"/>
          <w:u w:val="single"/>
          <w:lang w:val="sr-Latn-ME"/>
        </w:rPr>
        <w:t xml:space="preserve">Prethodna i istovremena upotreba bioloških </w:t>
      </w:r>
      <w:r w:rsidR="004E77B0" w:rsidRPr="009C0665">
        <w:rPr>
          <w:szCs w:val="22"/>
          <w:u w:val="single"/>
          <w:lang w:val="sr-Latn-ME"/>
        </w:rPr>
        <w:t>ljekova</w:t>
      </w:r>
    </w:p>
    <w:p w14:paraId="118B5D0A" w14:textId="77777777" w:rsidR="00D45984" w:rsidRPr="009C0665" w:rsidRDefault="00D45984" w:rsidP="004C7864">
      <w:pPr>
        <w:pStyle w:val="Header"/>
        <w:rPr>
          <w:szCs w:val="22"/>
          <w:lang w:val="sr-Latn-ME"/>
        </w:rPr>
      </w:pPr>
    </w:p>
    <w:p w14:paraId="17A43290" w14:textId="229E07AE" w:rsidR="00D45984" w:rsidRPr="009C0665" w:rsidRDefault="00D45984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Nema podataka iz kliničkih ispitivanja o </w:t>
      </w:r>
      <w:r w:rsidR="00AB003D" w:rsidRPr="009C0665">
        <w:rPr>
          <w:szCs w:val="22"/>
          <w:lang w:val="sr-Latn-ME"/>
        </w:rPr>
        <w:t>primjeni</w:t>
      </w:r>
      <w:r w:rsidRPr="009C0665">
        <w:rPr>
          <w:szCs w:val="22"/>
          <w:lang w:val="sr-Latn-ME"/>
        </w:rPr>
        <w:t xml:space="preserve"> vedolizumaba kod pacijenata koji su prethodno l</w:t>
      </w:r>
      <w:r w:rsidR="004E77B0" w:rsidRPr="009C0665">
        <w:rPr>
          <w:szCs w:val="22"/>
          <w:lang w:val="sr-Latn-ME"/>
        </w:rPr>
        <w:t>ij</w:t>
      </w:r>
      <w:r w:rsidRPr="009C0665">
        <w:rPr>
          <w:szCs w:val="22"/>
          <w:lang w:val="sr-Latn-ME"/>
        </w:rPr>
        <w:t>ečeni natalizumabom ili rituksimabom.</w:t>
      </w:r>
      <w:r w:rsidR="00164F4C" w:rsidRPr="009C0665">
        <w:rPr>
          <w:szCs w:val="22"/>
          <w:lang w:val="sr-Latn-ME"/>
        </w:rPr>
        <w:t xml:space="preserve"> </w:t>
      </w:r>
    </w:p>
    <w:p w14:paraId="23995715" w14:textId="77777777" w:rsidR="0011299D" w:rsidRPr="009C0665" w:rsidRDefault="0011299D" w:rsidP="004C7864">
      <w:pPr>
        <w:pStyle w:val="Header"/>
        <w:rPr>
          <w:szCs w:val="22"/>
          <w:lang w:val="sr-Latn-ME"/>
        </w:rPr>
      </w:pPr>
    </w:p>
    <w:p w14:paraId="11347B28" w14:textId="51A36614" w:rsidR="00D45984" w:rsidRPr="009C0665" w:rsidRDefault="00D45984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Pacijenti prethodno izloženi natalizumabu trebalo bi da </w:t>
      </w:r>
      <w:r w:rsidR="005F3724" w:rsidRPr="009C0665">
        <w:rPr>
          <w:szCs w:val="22"/>
          <w:lang w:val="sr-Latn-ME"/>
        </w:rPr>
        <w:t xml:space="preserve">sačekaju </w:t>
      </w:r>
      <w:r w:rsidRPr="009C0665">
        <w:rPr>
          <w:szCs w:val="22"/>
          <w:lang w:val="sr-Latn-ME"/>
        </w:rPr>
        <w:t xml:space="preserve">najmanje 12 </w:t>
      </w:r>
      <w:r w:rsidR="00AB003D" w:rsidRPr="009C0665">
        <w:rPr>
          <w:szCs w:val="22"/>
          <w:lang w:val="sr-Latn-ME"/>
        </w:rPr>
        <w:t>nedjelja</w:t>
      </w:r>
      <w:r w:rsidRPr="009C0665">
        <w:rPr>
          <w:szCs w:val="22"/>
          <w:lang w:val="sr-Latn-ME"/>
        </w:rPr>
        <w:t xml:space="preserve"> pr</w:t>
      </w:r>
      <w:r w:rsidR="00736C4D" w:rsidRPr="009C0665">
        <w:rPr>
          <w:szCs w:val="22"/>
          <w:lang w:val="sr-Latn-ME"/>
        </w:rPr>
        <w:t>ij</w:t>
      </w:r>
      <w:r w:rsidRPr="009C0665">
        <w:rPr>
          <w:szCs w:val="22"/>
          <w:lang w:val="sr-Latn-ME"/>
        </w:rPr>
        <w:t xml:space="preserve">e početka </w:t>
      </w:r>
      <w:r w:rsidR="00166D72" w:rsidRPr="009C0665">
        <w:rPr>
          <w:szCs w:val="22"/>
          <w:lang w:val="sr-Latn-ME"/>
        </w:rPr>
        <w:t>liječenja</w:t>
      </w:r>
      <w:r w:rsidRPr="009C0665">
        <w:rPr>
          <w:szCs w:val="22"/>
          <w:lang w:val="sr-Latn-ME"/>
        </w:rPr>
        <w:t xml:space="preserve"> </w:t>
      </w:r>
      <w:r w:rsidR="00164F4C" w:rsidRPr="009C0665">
        <w:rPr>
          <w:szCs w:val="22"/>
          <w:lang w:val="sr-Latn-ME"/>
        </w:rPr>
        <w:t>vedolizumabom</w:t>
      </w:r>
      <w:r w:rsidRPr="009C0665">
        <w:rPr>
          <w:szCs w:val="22"/>
          <w:lang w:val="sr-Latn-ME"/>
        </w:rPr>
        <w:t>, osim ako kliničko stanje pacijenta ne iziskuje drugačije.</w:t>
      </w:r>
    </w:p>
    <w:p w14:paraId="256573E4" w14:textId="77777777" w:rsidR="00D45984" w:rsidRPr="009C0665" w:rsidRDefault="00D45984" w:rsidP="004C7864">
      <w:pPr>
        <w:pStyle w:val="Header"/>
        <w:rPr>
          <w:szCs w:val="22"/>
          <w:lang w:val="sr-Latn-ME"/>
        </w:rPr>
      </w:pPr>
    </w:p>
    <w:p w14:paraId="401BBACF" w14:textId="763C9855" w:rsidR="00D45984" w:rsidRPr="009C0665" w:rsidRDefault="00D45984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Nema podataka iz kliničkih ispitivanja o istovremenoj </w:t>
      </w:r>
      <w:r w:rsidR="00AB003D" w:rsidRPr="009C0665">
        <w:rPr>
          <w:szCs w:val="22"/>
          <w:lang w:val="sr-Latn-ME"/>
        </w:rPr>
        <w:t>primjeni</w:t>
      </w:r>
      <w:r w:rsidRPr="009C0665">
        <w:rPr>
          <w:szCs w:val="22"/>
          <w:lang w:val="sr-Latn-ME"/>
        </w:rPr>
        <w:t xml:space="preserve"> vedolizumaba sa biološkim imunosupresivima. Stoga se upotreba </w:t>
      </w:r>
      <w:r w:rsidR="00164F4C" w:rsidRPr="009C0665">
        <w:rPr>
          <w:szCs w:val="22"/>
          <w:lang w:val="sr-Latn-ME"/>
        </w:rPr>
        <w:t>vedolizumaba</w:t>
      </w:r>
      <w:r w:rsidRPr="009C0665">
        <w:rPr>
          <w:szCs w:val="22"/>
          <w:lang w:val="sr-Latn-ME"/>
        </w:rPr>
        <w:t xml:space="preserve"> kod takvih pacijenata ne preporučuje.</w:t>
      </w:r>
    </w:p>
    <w:p w14:paraId="02DA6DE5" w14:textId="77777777" w:rsidR="00D45984" w:rsidRPr="009C0665" w:rsidRDefault="00D45984" w:rsidP="004C7864">
      <w:pPr>
        <w:pStyle w:val="Header"/>
        <w:rPr>
          <w:szCs w:val="22"/>
          <w:lang w:val="sr-Latn-ME"/>
        </w:rPr>
      </w:pPr>
    </w:p>
    <w:p w14:paraId="10B6A3BD" w14:textId="3277857A" w:rsidR="00D45984" w:rsidRPr="009C0665" w:rsidRDefault="004E77B0" w:rsidP="004C7864">
      <w:pPr>
        <w:pStyle w:val="Header"/>
        <w:rPr>
          <w:szCs w:val="22"/>
          <w:u w:val="single"/>
          <w:lang w:val="sr-Latn-ME"/>
        </w:rPr>
      </w:pPr>
      <w:r w:rsidRPr="009C0665">
        <w:rPr>
          <w:szCs w:val="22"/>
          <w:u w:val="single"/>
          <w:lang w:val="sr-Latn-ME"/>
        </w:rPr>
        <w:t xml:space="preserve">Žive i </w:t>
      </w:r>
      <w:r w:rsidR="00C22617" w:rsidRPr="009C0665">
        <w:rPr>
          <w:szCs w:val="22"/>
          <w:u w:val="single"/>
          <w:lang w:val="sr-Latn-ME"/>
        </w:rPr>
        <w:t>preora</w:t>
      </w:r>
      <w:r w:rsidR="00864F85" w:rsidRPr="009C0665">
        <w:rPr>
          <w:szCs w:val="22"/>
          <w:u w:val="single"/>
          <w:lang w:val="sr-Latn-ME"/>
        </w:rPr>
        <w:t>l</w:t>
      </w:r>
      <w:r w:rsidR="00C22617" w:rsidRPr="009C0665">
        <w:rPr>
          <w:szCs w:val="22"/>
          <w:u w:val="single"/>
          <w:lang w:val="sr-Latn-ME"/>
        </w:rPr>
        <w:t>ne</w:t>
      </w:r>
      <w:r w:rsidRPr="009C0665">
        <w:rPr>
          <w:szCs w:val="22"/>
          <w:u w:val="single"/>
          <w:lang w:val="sr-Latn-ME"/>
        </w:rPr>
        <w:t xml:space="preserve"> vakcine</w:t>
      </w:r>
    </w:p>
    <w:p w14:paraId="49B45052" w14:textId="77777777" w:rsidR="00D45984" w:rsidRPr="009C0665" w:rsidRDefault="00D45984" w:rsidP="004C7864">
      <w:pPr>
        <w:pStyle w:val="Header"/>
        <w:rPr>
          <w:szCs w:val="22"/>
          <w:lang w:val="sr-Latn-ME"/>
        </w:rPr>
      </w:pPr>
    </w:p>
    <w:p w14:paraId="257A2F49" w14:textId="2929E9E2" w:rsidR="00D45984" w:rsidRPr="009C0665" w:rsidRDefault="00D45984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U placebom kontrolisanim ispitivanjima kod zdravih dobrovoljaca, pojedinačna doza od 750 mg vedolizumaba nije smanjila stepen zaštitnog imunog odgovora na virus hepatitisa B kod ispitanika koji su vakcinisani intramuskularno sa </w:t>
      </w:r>
      <w:r w:rsidR="00164F4C" w:rsidRPr="009C0665">
        <w:rPr>
          <w:szCs w:val="22"/>
          <w:lang w:val="sr-Latn-ME"/>
        </w:rPr>
        <w:t xml:space="preserve">3 </w:t>
      </w:r>
      <w:r w:rsidRPr="009C0665">
        <w:rPr>
          <w:szCs w:val="22"/>
          <w:lang w:val="sr-Latn-ME"/>
        </w:rPr>
        <w:t xml:space="preserve">doze rekombinantnog površinskog antigena hepatitisa B. Kod ispitanika koji su izloženi vedolizumabu </w:t>
      </w:r>
      <w:r w:rsidR="00AB003D" w:rsidRPr="009C0665">
        <w:rPr>
          <w:szCs w:val="22"/>
          <w:lang w:val="sr-Latn-ME"/>
        </w:rPr>
        <w:t>zabilježen</w:t>
      </w:r>
      <w:r w:rsidRPr="009C0665">
        <w:rPr>
          <w:szCs w:val="22"/>
          <w:lang w:val="sr-Latn-ME"/>
        </w:rPr>
        <w:t xml:space="preserve">a je niža stopa serokonverzije nakon primanja mrtve, peroralne vakcine protiv kolere. Uticaj na druge peroralne i nazalne vakcine nije poznat. Preporučuje se da se svi pacijenti adekvatno vakcinišu u skladu sa važećim </w:t>
      </w:r>
      <w:r w:rsidR="004E77B0" w:rsidRPr="009C0665">
        <w:rPr>
          <w:szCs w:val="22"/>
          <w:lang w:val="sr-Latn-ME"/>
        </w:rPr>
        <w:t>smjernicama</w:t>
      </w:r>
      <w:r w:rsidRPr="009C0665">
        <w:rPr>
          <w:szCs w:val="22"/>
          <w:lang w:val="sr-Latn-ME"/>
        </w:rPr>
        <w:t xml:space="preserve"> za imunizaciju pr</w:t>
      </w:r>
      <w:r w:rsidR="00736C4D" w:rsidRPr="009C0665">
        <w:rPr>
          <w:szCs w:val="22"/>
          <w:lang w:val="sr-Latn-ME"/>
        </w:rPr>
        <w:t>ij</w:t>
      </w:r>
      <w:r w:rsidRPr="009C0665">
        <w:rPr>
          <w:szCs w:val="22"/>
          <w:lang w:val="sr-Latn-ME"/>
        </w:rPr>
        <w:t xml:space="preserve">e početka </w:t>
      </w:r>
      <w:r w:rsidR="00166D72" w:rsidRPr="009C0665">
        <w:rPr>
          <w:szCs w:val="22"/>
          <w:lang w:val="sr-Latn-ME"/>
        </w:rPr>
        <w:t>liječenja</w:t>
      </w:r>
      <w:r w:rsidRPr="009C0665">
        <w:rPr>
          <w:szCs w:val="22"/>
          <w:lang w:val="sr-Latn-ME"/>
        </w:rPr>
        <w:t xml:space="preserve"> </w:t>
      </w:r>
      <w:r w:rsidR="00164F4C" w:rsidRPr="009C0665">
        <w:rPr>
          <w:szCs w:val="22"/>
          <w:lang w:val="sr-Latn-ME"/>
        </w:rPr>
        <w:t>vedolizumabom</w:t>
      </w:r>
      <w:r w:rsidRPr="009C0665">
        <w:rPr>
          <w:szCs w:val="22"/>
          <w:lang w:val="sr-Latn-ME"/>
        </w:rPr>
        <w:t xml:space="preserve">. Pacijenti koji primaju vedolizumab mogu nastaviti da primaju nežive vakcine. Nema podataka o sekundarnom prenošenju infekcije putem živih vakcina kod pacijenata koji primaju vedolizumab. Vakcinu protiv gripa treba </w:t>
      </w:r>
      <w:r w:rsidR="00AB003D" w:rsidRPr="009C0665">
        <w:rPr>
          <w:szCs w:val="22"/>
          <w:lang w:val="sr-Latn-ME"/>
        </w:rPr>
        <w:t>prim</w:t>
      </w:r>
      <w:r w:rsidR="003C52F8" w:rsidRPr="009C0665">
        <w:rPr>
          <w:szCs w:val="22"/>
          <w:lang w:val="sr-Latn-ME"/>
        </w:rPr>
        <w:t>i</w:t>
      </w:r>
      <w:r w:rsidR="00AB003D" w:rsidRPr="009C0665">
        <w:rPr>
          <w:szCs w:val="22"/>
          <w:lang w:val="sr-Latn-ME"/>
        </w:rPr>
        <w:t>jeni</w:t>
      </w:r>
      <w:r w:rsidRPr="009C0665">
        <w:rPr>
          <w:szCs w:val="22"/>
          <w:lang w:val="sr-Latn-ME"/>
        </w:rPr>
        <w:t xml:space="preserve">ti putem injekcije u skladu sa rutinskom kliničkom praksom. Druge žive vakcine mogu se davati istovremeno sa vedolizumabom samo ako korist jasno </w:t>
      </w:r>
      <w:r w:rsidR="00736C4D" w:rsidRPr="009C0665">
        <w:rPr>
          <w:szCs w:val="22"/>
          <w:lang w:val="sr-Latn-ME"/>
        </w:rPr>
        <w:t xml:space="preserve">prevazilazi </w:t>
      </w:r>
      <w:r w:rsidRPr="009C0665">
        <w:rPr>
          <w:szCs w:val="22"/>
          <w:lang w:val="sr-Latn-ME"/>
        </w:rPr>
        <w:t>rizik.</w:t>
      </w:r>
    </w:p>
    <w:p w14:paraId="5B74C0A9" w14:textId="77777777" w:rsidR="00D45984" w:rsidRPr="009C0665" w:rsidRDefault="00D45984" w:rsidP="004C7864">
      <w:pPr>
        <w:pStyle w:val="Header"/>
        <w:rPr>
          <w:szCs w:val="22"/>
          <w:lang w:val="sr-Latn-ME"/>
        </w:rPr>
      </w:pPr>
    </w:p>
    <w:p w14:paraId="290FF5A1" w14:textId="7D2DC6E5" w:rsidR="00D45984" w:rsidRPr="009C0665" w:rsidRDefault="00D45984" w:rsidP="004C7864">
      <w:pPr>
        <w:pStyle w:val="Header"/>
        <w:rPr>
          <w:szCs w:val="22"/>
          <w:u w:val="single"/>
          <w:lang w:val="sr-Latn-ME"/>
        </w:rPr>
      </w:pPr>
      <w:r w:rsidRPr="009C0665">
        <w:rPr>
          <w:szCs w:val="22"/>
          <w:u w:val="single"/>
          <w:lang w:val="sr-Latn-ME"/>
        </w:rPr>
        <w:t xml:space="preserve">Indukcija remisije </w:t>
      </w:r>
      <w:r w:rsidR="00D26459" w:rsidRPr="009C0665">
        <w:rPr>
          <w:szCs w:val="22"/>
          <w:u w:val="single"/>
          <w:lang w:val="sr-Latn-ME"/>
        </w:rPr>
        <w:t>Crohnove</w:t>
      </w:r>
      <w:r w:rsidRPr="009C0665">
        <w:rPr>
          <w:szCs w:val="22"/>
          <w:u w:val="single"/>
          <w:lang w:val="sr-Latn-ME"/>
        </w:rPr>
        <w:t xml:space="preserve"> bolesti</w:t>
      </w:r>
    </w:p>
    <w:p w14:paraId="644ED9FB" w14:textId="77777777" w:rsidR="00D45984" w:rsidRPr="009C0665" w:rsidRDefault="00D45984" w:rsidP="004C7864">
      <w:pPr>
        <w:pStyle w:val="Header"/>
        <w:rPr>
          <w:szCs w:val="22"/>
          <w:lang w:val="sr-Latn-ME"/>
        </w:rPr>
      </w:pPr>
    </w:p>
    <w:p w14:paraId="400D70BD" w14:textId="45A85D38" w:rsidR="00D45984" w:rsidRPr="009C0665" w:rsidRDefault="00D45984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Indukcija remisije </w:t>
      </w:r>
      <w:r w:rsidR="00D26459" w:rsidRPr="009C0665">
        <w:rPr>
          <w:szCs w:val="22"/>
          <w:lang w:val="sr-Latn-ME"/>
        </w:rPr>
        <w:t>Crohnove</w:t>
      </w:r>
      <w:r w:rsidRPr="009C0665">
        <w:rPr>
          <w:szCs w:val="22"/>
          <w:lang w:val="sr-Latn-ME"/>
        </w:rPr>
        <w:t xml:space="preserve"> bolesti može kod nekih pacijenata da traje do 14 </w:t>
      </w:r>
      <w:r w:rsidR="00AB003D" w:rsidRPr="009C0665">
        <w:rPr>
          <w:szCs w:val="22"/>
          <w:lang w:val="sr-Latn-ME"/>
        </w:rPr>
        <w:t>nedjelja</w:t>
      </w:r>
      <w:r w:rsidRPr="009C0665">
        <w:rPr>
          <w:szCs w:val="22"/>
          <w:lang w:val="sr-Latn-ME"/>
        </w:rPr>
        <w:t>. Razlozi za to ni</w:t>
      </w:r>
      <w:r w:rsidR="000B0D10" w:rsidRPr="009C0665">
        <w:rPr>
          <w:szCs w:val="22"/>
          <w:lang w:val="sr-Latn-ME"/>
        </w:rPr>
        <w:t>je</w:t>
      </w:r>
      <w:r w:rsidRPr="009C0665">
        <w:rPr>
          <w:szCs w:val="22"/>
          <w:lang w:val="sr-Latn-ME"/>
        </w:rPr>
        <w:t>su potpuno poznati i v</w:t>
      </w:r>
      <w:r w:rsidR="000B0D10" w:rsidRPr="009C0665">
        <w:rPr>
          <w:szCs w:val="22"/>
          <w:lang w:val="sr-Latn-ME"/>
        </w:rPr>
        <w:t>j</w:t>
      </w:r>
      <w:r w:rsidRPr="009C0665">
        <w:rPr>
          <w:szCs w:val="22"/>
          <w:lang w:val="sr-Latn-ME"/>
        </w:rPr>
        <w:t xml:space="preserve">erovatno su povezani sa mehanizmom </w:t>
      </w:r>
      <w:r w:rsidR="004E77B0" w:rsidRPr="009C0665">
        <w:rPr>
          <w:szCs w:val="22"/>
          <w:lang w:val="sr-Latn-ME"/>
        </w:rPr>
        <w:t>djelovanja</w:t>
      </w:r>
      <w:r w:rsidRPr="009C0665">
        <w:rPr>
          <w:szCs w:val="22"/>
          <w:lang w:val="sr-Latn-ME"/>
        </w:rPr>
        <w:t xml:space="preserve">. To se posebno mora uzeti u obzir kod pacijenata sa izrazito aktivnom bolešću na početku koja nije prethodno </w:t>
      </w:r>
      <w:r w:rsidR="004E77B0" w:rsidRPr="009C0665">
        <w:rPr>
          <w:szCs w:val="22"/>
          <w:lang w:val="sr-Latn-ME"/>
        </w:rPr>
        <w:t>liječena</w:t>
      </w:r>
      <w:r w:rsidRPr="009C0665">
        <w:rPr>
          <w:szCs w:val="22"/>
          <w:lang w:val="sr-Latn-ME"/>
        </w:rPr>
        <w:t xml:space="preserve"> TNF</w:t>
      </w:r>
      <w:r w:rsidR="00D2082A" w:rsidRPr="009C0665">
        <w:rPr>
          <w:szCs w:val="22"/>
          <w:lang w:val="sr-Latn-ME"/>
        </w:rPr>
        <w:t>-</w:t>
      </w:r>
      <w:r w:rsidR="00177F4F" w:rsidRPr="009C0665">
        <w:rPr>
          <w:szCs w:val="22"/>
          <w:lang w:val="sr-Latn-ME"/>
        </w:rPr>
        <w:t>alfa</w:t>
      </w:r>
      <w:r w:rsidRPr="009C0665">
        <w:rPr>
          <w:szCs w:val="22"/>
          <w:lang w:val="sr-Latn-ME"/>
        </w:rPr>
        <w:t xml:space="preserve"> antagonistima. (</w:t>
      </w:r>
      <w:r w:rsidR="00B07C91" w:rsidRPr="009C0665">
        <w:rPr>
          <w:szCs w:val="22"/>
          <w:lang w:val="sr-Latn-ME"/>
        </w:rPr>
        <w:t>vidjeti</w:t>
      </w:r>
      <w:r w:rsidRPr="009C0665">
        <w:rPr>
          <w:szCs w:val="22"/>
          <w:lang w:val="sr-Latn-ME"/>
        </w:rPr>
        <w:t xml:space="preserve"> takođe </w:t>
      </w:r>
      <w:r w:rsidR="00B07C91" w:rsidRPr="009C0665">
        <w:rPr>
          <w:szCs w:val="22"/>
          <w:lang w:val="sr-Latn-ME"/>
        </w:rPr>
        <w:t>dio</w:t>
      </w:r>
      <w:r w:rsidR="005F636B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5.1).</w:t>
      </w:r>
    </w:p>
    <w:p w14:paraId="5EAAD47B" w14:textId="77777777" w:rsidR="00D45984" w:rsidRPr="009C0665" w:rsidRDefault="00D45984" w:rsidP="004C7864">
      <w:pPr>
        <w:pStyle w:val="Header"/>
        <w:rPr>
          <w:szCs w:val="22"/>
          <w:lang w:val="sr-Latn-ME"/>
        </w:rPr>
      </w:pPr>
    </w:p>
    <w:p w14:paraId="5AA65A02" w14:textId="43522177" w:rsidR="00D45984" w:rsidRPr="009C0665" w:rsidRDefault="00D45984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Eksplorativne analize podgrupa iz kliničkih ispitivanja kod </w:t>
      </w:r>
      <w:r w:rsidR="00D26459" w:rsidRPr="009C0665">
        <w:rPr>
          <w:szCs w:val="22"/>
          <w:lang w:val="sr-Latn-ME"/>
        </w:rPr>
        <w:t>Crohnove</w:t>
      </w:r>
      <w:r w:rsidRPr="009C0665">
        <w:rPr>
          <w:szCs w:val="22"/>
          <w:lang w:val="sr-Latn-ME"/>
        </w:rPr>
        <w:t xml:space="preserve"> bolesti ukazuju da vedolizumab </w:t>
      </w:r>
      <w:r w:rsidR="00054848" w:rsidRPr="009C0665">
        <w:rPr>
          <w:szCs w:val="22"/>
          <w:lang w:val="sr-Latn-ME"/>
        </w:rPr>
        <w:t>prim</w:t>
      </w:r>
      <w:r w:rsidR="003C52F8" w:rsidRPr="009C0665">
        <w:rPr>
          <w:szCs w:val="22"/>
          <w:lang w:val="sr-Latn-ME"/>
        </w:rPr>
        <w:t>i</w:t>
      </w:r>
      <w:r w:rsidR="00054848" w:rsidRPr="009C0665">
        <w:rPr>
          <w:szCs w:val="22"/>
          <w:lang w:val="sr-Latn-ME"/>
        </w:rPr>
        <w:t>jenjen</w:t>
      </w:r>
      <w:r w:rsidRPr="009C0665">
        <w:rPr>
          <w:szCs w:val="22"/>
          <w:lang w:val="sr-Latn-ME"/>
        </w:rPr>
        <w:t xml:space="preserve"> kod pacijenata bez istovremenog </w:t>
      </w:r>
      <w:r w:rsidR="00166D72" w:rsidRPr="009C0665">
        <w:rPr>
          <w:szCs w:val="22"/>
          <w:lang w:val="sr-Latn-ME"/>
        </w:rPr>
        <w:t>liječenja</w:t>
      </w:r>
      <w:r w:rsidRPr="009C0665">
        <w:rPr>
          <w:szCs w:val="22"/>
          <w:lang w:val="sr-Latn-ME"/>
        </w:rPr>
        <w:t xml:space="preserve"> kortikosteroidima može biti manje efikasan u indukciji remisije </w:t>
      </w:r>
      <w:r w:rsidR="00D26459" w:rsidRPr="009C0665">
        <w:rPr>
          <w:szCs w:val="22"/>
          <w:lang w:val="sr-Latn-ME"/>
        </w:rPr>
        <w:t>Crohnove</w:t>
      </w:r>
      <w:r w:rsidRPr="009C0665">
        <w:rPr>
          <w:szCs w:val="22"/>
          <w:lang w:val="sr-Latn-ME"/>
        </w:rPr>
        <w:t xml:space="preserve"> bolesti u odnosu na pacijente koji već istovremeno uzimaju kortikosteroide (bez obzira na istovremeno uzimanje imunomodulatora; </w:t>
      </w:r>
      <w:r w:rsidR="00166D72" w:rsidRPr="009C0665">
        <w:rPr>
          <w:szCs w:val="22"/>
          <w:lang w:val="sr-Latn-ME"/>
        </w:rPr>
        <w:t>vidjeti dio</w:t>
      </w:r>
      <w:r w:rsidRPr="009C0665">
        <w:rPr>
          <w:szCs w:val="22"/>
          <w:lang w:val="sr-Latn-ME"/>
        </w:rPr>
        <w:t xml:space="preserve"> 5.1).</w:t>
      </w:r>
    </w:p>
    <w:p w14:paraId="3AD7EB13" w14:textId="77777777" w:rsidR="00CE09F3" w:rsidRPr="009C0665" w:rsidRDefault="00CE09F3" w:rsidP="004C7864">
      <w:pPr>
        <w:rPr>
          <w:szCs w:val="22"/>
          <w:lang w:val="sr-Latn-ME"/>
        </w:rPr>
      </w:pPr>
    </w:p>
    <w:p w14:paraId="08620468" w14:textId="4DE31B69" w:rsidR="00CE09F3" w:rsidRPr="009C0665" w:rsidRDefault="00CE09F3" w:rsidP="004C7864">
      <w:pPr>
        <w:rPr>
          <w:b/>
          <w:bCs/>
          <w:szCs w:val="22"/>
          <w:lang w:val="sr-Latn-ME"/>
        </w:rPr>
      </w:pPr>
      <w:r w:rsidRPr="009C0665">
        <w:rPr>
          <w:b/>
          <w:bCs/>
          <w:szCs w:val="22"/>
          <w:lang w:val="sr-Latn-ME"/>
        </w:rPr>
        <w:t xml:space="preserve">4.5. Interakcije sa drugim </w:t>
      </w:r>
      <w:r w:rsidR="00D26459" w:rsidRPr="009C0665">
        <w:rPr>
          <w:b/>
          <w:bCs/>
          <w:szCs w:val="22"/>
          <w:lang w:val="sr-Latn-ME"/>
        </w:rPr>
        <w:t>ljek</w:t>
      </w:r>
      <w:r w:rsidRPr="009C0665">
        <w:rPr>
          <w:b/>
          <w:bCs/>
          <w:szCs w:val="22"/>
          <w:lang w:val="sr-Latn-ME"/>
        </w:rPr>
        <w:t>ovima i druge vrste interakcija</w:t>
      </w:r>
    </w:p>
    <w:p w14:paraId="334FCEB7" w14:textId="77777777" w:rsidR="00D45984" w:rsidRPr="009C0665" w:rsidRDefault="00D45984" w:rsidP="004C7864">
      <w:pPr>
        <w:pStyle w:val="Header"/>
        <w:rPr>
          <w:szCs w:val="22"/>
          <w:lang w:val="sr-Latn-ME"/>
        </w:rPr>
      </w:pPr>
    </w:p>
    <w:p w14:paraId="17BA2085" w14:textId="4F97DCEA" w:rsidR="00D45984" w:rsidRPr="009C0665" w:rsidRDefault="00D45984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Ni</w:t>
      </w:r>
      <w:r w:rsidR="000B0D10" w:rsidRPr="009C0665">
        <w:rPr>
          <w:szCs w:val="22"/>
          <w:lang w:val="sr-Latn-ME"/>
        </w:rPr>
        <w:t>je</w:t>
      </w:r>
      <w:r w:rsidRPr="009C0665">
        <w:rPr>
          <w:szCs w:val="22"/>
          <w:lang w:val="sr-Latn-ME"/>
        </w:rPr>
        <w:t>su sprovedena ispitivanja interakcija.</w:t>
      </w:r>
    </w:p>
    <w:p w14:paraId="5A7E4038" w14:textId="77777777" w:rsidR="00D45984" w:rsidRPr="009C0665" w:rsidRDefault="00D45984" w:rsidP="004C7864">
      <w:pPr>
        <w:pStyle w:val="Header"/>
        <w:rPr>
          <w:szCs w:val="22"/>
          <w:lang w:val="sr-Latn-ME"/>
        </w:rPr>
      </w:pPr>
    </w:p>
    <w:p w14:paraId="38727D22" w14:textId="0E212544" w:rsidR="00D45984" w:rsidRPr="009C0665" w:rsidRDefault="00D45984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Vedolizumab je ispitan kod odraslih pacijenata sa ulceroznim kolitisom i </w:t>
      </w:r>
      <w:r w:rsidR="00AB003D" w:rsidRPr="009C0665">
        <w:rPr>
          <w:szCs w:val="22"/>
          <w:lang w:val="sr-Latn-ME"/>
        </w:rPr>
        <w:t>Crohnovom</w:t>
      </w:r>
      <w:r w:rsidRPr="009C0665">
        <w:rPr>
          <w:szCs w:val="22"/>
          <w:lang w:val="sr-Latn-ME"/>
        </w:rPr>
        <w:t xml:space="preserve"> bolešću uz istovremenu </w:t>
      </w:r>
      <w:r w:rsidR="00AB003D" w:rsidRPr="009C0665">
        <w:rPr>
          <w:szCs w:val="22"/>
          <w:lang w:val="sr-Latn-ME"/>
        </w:rPr>
        <w:t>primjenu</w:t>
      </w:r>
      <w:r w:rsidRPr="009C0665">
        <w:rPr>
          <w:szCs w:val="22"/>
          <w:lang w:val="sr-Latn-ME"/>
        </w:rPr>
        <w:t xml:space="preserve"> kortikosteroida, imunomodulatora (azatioprin, 6-merkaptopurin i metotreksat) kao i sa aminosalicilatima. Populacione farmakokinetičke analize ukazuju da istovremena </w:t>
      </w:r>
      <w:r w:rsidR="00054848" w:rsidRPr="009C0665">
        <w:rPr>
          <w:szCs w:val="22"/>
          <w:lang w:val="sr-Latn-ME"/>
        </w:rPr>
        <w:t>primjena</w:t>
      </w:r>
      <w:r w:rsidRPr="009C0665">
        <w:rPr>
          <w:szCs w:val="22"/>
          <w:lang w:val="sr-Latn-ME"/>
        </w:rPr>
        <w:t xml:space="preserve"> takvih </w:t>
      </w:r>
      <w:r w:rsidR="004E77B0" w:rsidRPr="009C0665">
        <w:rPr>
          <w:szCs w:val="22"/>
          <w:lang w:val="sr-Latn-ME"/>
        </w:rPr>
        <w:t>ljekova</w:t>
      </w:r>
      <w:r w:rsidRPr="009C0665">
        <w:rPr>
          <w:szCs w:val="22"/>
          <w:lang w:val="sr-Latn-ME"/>
        </w:rPr>
        <w:t xml:space="preserve"> nije imala klinički značajan </w:t>
      </w:r>
      <w:r w:rsidR="00177F4F" w:rsidRPr="009C0665">
        <w:rPr>
          <w:szCs w:val="22"/>
          <w:lang w:val="sr-Latn-ME"/>
        </w:rPr>
        <w:t xml:space="preserve">uticaj </w:t>
      </w:r>
      <w:r w:rsidRPr="009C0665">
        <w:rPr>
          <w:szCs w:val="22"/>
          <w:lang w:val="sr-Latn-ME"/>
        </w:rPr>
        <w:t xml:space="preserve">na farmakokinetiku vedolizumaba. </w:t>
      </w:r>
    </w:p>
    <w:p w14:paraId="1B37648F" w14:textId="577775AA" w:rsidR="00D45984" w:rsidRPr="009C0665" w:rsidRDefault="00D45984" w:rsidP="004C7864">
      <w:pPr>
        <w:pStyle w:val="Header"/>
        <w:rPr>
          <w:szCs w:val="22"/>
          <w:lang w:val="sr-Latn-ME"/>
        </w:rPr>
      </w:pPr>
    </w:p>
    <w:p w14:paraId="33E800E5" w14:textId="0306DF8F" w:rsidR="00391DDD" w:rsidRPr="009C0665" w:rsidRDefault="00391DDD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Kod odraslih pacijenata sa paučitisom, vedolizumab je </w:t>
      </w:r>
      <w:r w:rsidR="004E77B0" w:rsidRPr="009C0665">
        <w:rPr>
          <w:szCs w:val="22"/>
          <w:lang w:val="sr-Latn-ME"/>
        </w:rPr>
        <w:t>primjenjivan</w:t>
      </w:r>
      <w:r w:rsidRPr="009C0665">
        <w:rPr>
          <w:szCs w:val="22"/>
          <w:lang w:val="sr-Latn-ME"/>
        </w:rPr>
        <w:t xml:space="preserve"> istovremeno sa antibioticima (</w:t>
      </w:r>
      <w:r w:rsidR="00166D72" w:rsidRPr="009C0665">
        <w:rPr>
          <w:szCs w:val="22"/>
          <w:lang w:val="sr-Latn-ME"/>
        </w:rPr>
        <w:t>vidjeti dio</w:t>
      </w:r>
      <w:r w:rsidRPr="009C0665">
        <w:rPr>
          <w:szCs w:val="22"/>
          <w:lang w:val="sr-Latn-ME"/>
        </w:rPr>
        <w:t xml:space="preserve"> 5.1). Farmakokinetika vedolizumaba kod pacijenata sa paučitisom nije ispitana (</w:t>
      </w:r>
      <w:r w:rsidR="00166D72" w:rsidRPr="009C0665">
        <w:rPr>
          <w:szCs w:val="22"/>
          <w:lang w:val="sr-Latn-ME"/>
        </w:rPr>
        <w:t>vidjeti dio</w:t>
      </w:r>
      <w:r w:rsidRPr="009C0665">
        <w:rPr>
          <w:szCs w:val="22"/>
          <w:lang w:val="sr-Latn-ME"/>
        </w:rPr>
        <w:t xml:space="preserve"> 5.2).</w:t>
      </w:r>
    </w:p>
    <w:p w14:paraId="731E1BB8" w14:textId="77777777" w:rsidR="00391DDD" w:rsidRPr="009C0665" w:rsidRDefault="00391DDD" w:rsidP="004C7864">
      <w:pPr>
        <w:pStyle w:val="Header"/>
        <w:rPr>
          <w:szCs w:val="22"/>
          <w:lang w:val="sr-Latn-ME"/>
        </w:rPr>
      </w:pPr>
    </w:p>
    <w:p w14:paraId="1CE9E203" w14:textId="0297BE5D" w:rsidR="00391DDD" w:rsidRPr="009C0665" w:rsidRDefault="00E00F8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Dejstvo vedolizumaba na farmakokinetiku </w:t>
      </w:r>
      <w:r w:rsidR="000B0D10" w:rsidRPr="009C0665">
        <w:rPr>
          <w:szCs w:val="22"/>
          <w:lang w:val="sr-Latn-ME"/>
        </w:rPr>
        <w:t xml:space="preserve">često </w:t>
      </w:r>
      <w:r w:rsidRPr="009C0665">
        <w:rPr>
          <w:szCs w:val="22"/>
          <w:lang w:val="sr-Latn-ME"/>
        </w:rPr>
        <w:t xml:space="preserve">istovremeno </w:t>
      </w:r>
      <w:r w:rsidR="00054848" w:rsidRPr="009C0665">
        <w:rPr>
          <w:szCs w:val="22"/>
          <w:lang w:val="sr-Latn-ME"/>
        </w:rPr>
        <w:t>prim</w:t>
      </w:r>
      <w:r w:rsidR="003C52F8" w:rsidRPr="009C0665">
        <w:rPr>
          <w:szCs w:val="22"/>
          <w:lang w:val="sr-Latn-ME"/>
        </w:rPr>
        <w:t>i</w:t>
      </w:r>
      <w:r w:rsidR="00054848" w:rsidRPr="009C0665">
        <w:rPr>
          <w:szCs w:val="22"/>
          <w:lang w:val="sr-Latn-ME"/>
        </w:rPr>
        <w:t>jenjen</w:t>
      </w:r>
      <w:r w:rsidRPr="009C0665">
        <w:rPr>
          <w:szCs w:val="22"/>
          <w:lang w:val="sr-Latn-ME"/>
        </w:rPr>
        <w:t xml:space="preserve">ih </w:t>
      </w:r>
      <w:r w:rsidR="004E77B0" w:rsidRPr="009C0665">
        <w:rPr>
          <w:szCs w:val="22"/>
          <w:lang w:val="sr-Latn-ME"/>
        </w:rPr>
        <w:t>ljekova</w:t>
      </w:r>
      <w:r w:rsidRPr="009C0665">
        <w:rPr>
          <w:szCs w:val="22"/>
          <w:lang w:val="sr-Latn-ME"/>
        </w:rPr>
        <w:t xml:space="preserve"> nije ispitan.</w:t>
      </w:r>
    </w:p>
    <w:p w14:paraId="3719884F" w14:textId="77777777" w:rsidR="00D45984" w:rsidRPr="009C0665" w:rsidRDefault="00D45984" w:rsidP="004C7864">
      <w:pPr>
        <w:pStyle w:val="Header"/>
        <w:rPr>
          <w:szCs w:val="22"/>
          <w:u w:val="single"/>
          <w:lang w:val="sr-Latn-ME"/>
        </w:rPr>
      </w:pPr>
      <w:r w:rsidRPr="009C0665">
        <w:rPr>
          <w:szCs w:val="22"/>
          <w:u w:val="single"/>
          <w:lang w:val="sr-Latn-ME"/>
        </w:rPr>
        <w:lastRenderedPageBreak/>
        <w:t>Vakcinacij</w:t>
      </w:r>
      <w:r w:rsidR="00177F4F" w:rsidRPr="009C0665">
        <w:rPr>
          <w:szCs w:val="22"/>
          <w:u w:val="single"/>
          <w:lang w:val="sr-Latn-ME"/>
        </w:rPr>
        <w:t>e</w:t>
      </w:r>
    </w:p>
    <w:p w14:paraId="5A26AA25" w14:textId="77777777" w:rsidR="004E77B0" w:rsidRPr="009C0665" w:rsidRDefault="004E77B0" w:rsidP="004C7864">
      <w:pPr>
        <w:pStyle w:val="Header"/>
        <w:rPr>
          <w:szCs w:val="22"/>
          <w:lang w:val="sr-Latn-ME"/>
        </w:rPr>
      </w:pPr>
    </w:p>
    <w:p w14:paraId="698F07AD" w14:textId="1C06D9ED" w:rsidR="00D45984" w:rsidRPr="009C0665" w:rsidRDefault="00D45984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Žive vakcine, posebno žive peroralne vakcine, treba koristiti oprezno k</w:t>
      </w:r>
      <w:r w:rsidR="00177F4F" w:rsidRPr="009C0665">
        <w:rPr>
          <w:szCs w:val="22"/>
          <w:lang w:val="sr-Latn-ME"/>
        </w:rPr>
        <w:t>ada se</w:t>
      </w:r>
      <w:r w:rsidRPr="009C0665">
        <w:rPr>
          <w:szCs w:val="22"/>
          <w:lang w:val="sr-Latn-ME"/>
        </w:rPr>
        <w:t xml:space="preserve"> istovremen</w:t>
      </w:r>
      <w:r w:rsidR="00177F4F" w:rsidRPr="009C0665">
        <w:rPr>
          <w:szCs w:val="22"/>
          <w:lang w:val="sr-Latn-ME"/>
        </w:rPr>
        <w:t>o</w:t>
      </w:r>
      <w:r w:rsidRPr="009C0665">
        <w:rPr>
          <w:szCs w:val="22"/>
          <w:lang w:val="sr-Latn-ME"/>
        </w:rPr>
        <w:t xml:space="preserve"> </w:t>
      </w:r>
      <w:r w:rsidR="004E77B0" w:rsidRPr="009C0665">
        <w:rPr>
          <w:szCs w:val="22"/>
          <w:lang w:val="sr-Latn-ME"/>
        </w:rPr>
        <w:t>primjenjuju</w:t>
      </w:r>
      <w:r w:rsidRPr="009C0665">
        <w:rPr>
          <w:szCs w:val="22"/>
          <w:lang w:val="sr-Latn-ME"/>
        </w:rPr>
        <w:t xml:space="preserve"> </w:t>
      </w:r>
      <w:r w:rsidR="00177F4F" w:rsidRPr="009C0665">
        <w:rPr>
          <w:szCs w:val="22"/>
          <w:lang w:val="sr-Latn-ME"/>
        </w:rPr>
        <w:t xml:space="preserve">sa </w:t>
      </w:r>
      <w:r w:rsidR="00164F4C" w:rsidRPr="009C0665">
        <w:rPr>
          <w:szCs w:val="22"/>
          <w:lang w:val="sr-Latn-ME"/>
        </w:rPr>
        <w:t>vedolizumab</w:t>
      </w:r>
      <w:r w:rsidR="00177F4F" w:rsidRPr="009C0665">
        <w:rPr>
          <w:szCs w:val="22"/>
          <w:lang w:val="sr-Latn-ME"/>
        </w:rPr>
        <w:t>om</w:t>
      </w:r>
      <w:r w:rsidRPr="009C0665">
        <w:rPr>
          <w:szCs w:val="22"/>
          <w:lang w:val="sr-Latn-ME"/>
        </w:rPr>
        <w:t xml:space="preserve"> (</w:t>
      </w:r>
      <w:r w:rsidR="00166D72" w:rsidRPr="009C0665">
        <w:rPr>
          <w:szCs w:val="22"/>
          <w:lang w:val="sr-Latn-ME"/>
        </w:rPr>
        <w:t>vidjeti dio</w:t>
      </w:r>
      <w:r w:rsidR="005F636B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4.4).</w:t>
      </w:r>
    </w:p>
    <w:p w14:paraId="2490A19A" w14:textId="77777777" w:rsidR="000B0D10" w:rsidRPr="009C0665" w:rsidRDefault="000B0D10" w:rsidP="004C7864">
      <w:pPr>
        <w:rPr>
          <w:b/>
          <w:bCs/>
          <w:szCs w:val="22"/>
          <w:lang w:val="sr-Latn-ME"/>
        </w:rPr>
      </w:pPr>
    </w:p>
    <w:p w14:paraId="715FA1D3" w14:textId="3414FF3D" w:rsidR="00CE09F3" w:rsidRPr="009C0665" w:rsidRDefault="00CE09F3" w:rsidP="004C7864">
      <w:pPr>
        <w:rPr>
          <w:b/>
          <w:bCs/>
          <w:szCs w:val="22"/>
          <w:lang w:val="sr-Latn-ME"/>
        </w:rPr>
      </w:pPr>
      <w:r w:rsidRPr="009C0665">
        <w:rPr>
          <w:b/>
          <w:bCs/>
          <w:szCs w:val="22"/>
          <w:lang w:val="sr-Latn-ME"/>
        </w:rPr>
        <w:t>4.6. Plodnost, trudnoća i dojenje</w:t>
      </w:r>
    </w:p>
    <w:p w14:paraId="7CD008AB" w14:textId="77777777" w:rsidR="00D82914" w:rsidRPr="009C0665" w:rsidRDefault="00D82914" w:rsidP="004C7864">
      <w:pPr>
        <w:pStyle w:val="Header"/>
        <w:rPr>
          <w:szCs w:val="22"/>
          <w:u w:val="single"/>
          <w:lang w:val="sr-Latn-ME"/>
        </w:rPr>
      </w:pPr>
    </w:p>
    <w:p w14:paraId="4707F0DD" w14:textId="6A96A72D" w:rsidR="004B5C65" w:rsidRPr="009C0665" w:rsidRDefault="00847271" w:rsidP="004C7864">
      <w:pPr>
        <w:pStyle w:val="Header"/>
        <w:rPr>
          <w:szCs w:val="22"/>
          <w:u w:val="single"/>
          <w:lang w:val="sr-Latn-ME"/>
        </w:rPr>
      </w:pPr>
      <w:r w:rsidRPr="009C0665">
        <w:rPr>
          <w:szCs w:val="22"/>
          <w:u w:val="single"/>
          <w:lang w:val="sr-Latn-ME"/>
        </w:rPr>
        <w:t>Žene u reproduktivnom periodu</w:t>
      </w:r>
    </w:p>
    <w:p w14:paraId="1BE320AE" w14:textId="77777777" w:rsidR="000B0D10" w:rsidRPr="009C0665" w:rsidRDefault="000B0D10" w:rsidP="004C7864">
      <w:pPr>
        <w:pStyle w:val="Header"/>
        <w:rPr>
          <w:szCs w:val="22"/>
          <w:u w:val="single"/>
          <w:lang w:val="sr-Latn-ME"/>
        </w:rPr>
      </w:pPr>
    </w:p>
    <w:p w14:paraId="42C916C2" w14:textId="666A37AB" w:rsidR="00847271" w:rsidRPr="009C0665" w:rsidRDefault="0084727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Žen</w:t>
      </w:r>
      <w:r w:rsidR="000B0D10" w:rsidRPr="009C0665">
        <w:rPr>
          <w:szCs w:val="22"/>
          <w:lang w:val="sr-Latn-ME"/>
        </w:rPr>
        <w:t>e</w:t>
      </w:r>
      <w:r w:rsidRPr="009C0665">
        <w:rPr>
          <w:szCs w:val="22"/>
          <w:lang w:val="sr-Latn-ME"/>
        </w:rPr>
        <w:t xml:space="preserve"> u reproduktivnom periodu </w:t>
      </w:r>
      <w:r w:rsidR="000E6EB7" w:rsidRPr="009C0665">
        <w:rPr>
          <w:szCs w:val="22"/>
          <w:lang w:val="sr-Latn-ME"/>
        </w:rPr>
        <w:t>treba da koriste</w:t>
      </w:r>
      <w:r w:rsidRPr="009C0665">
        <w:rPr>
          <w:szCs w:val="22"/>
          <w:lang w:val="sr-Latn-ME"/>
        </w:rPr>
        <w:t xml:space="preserve"> efikasne kontracep</w:t>
      </w:r>
      <w:r w:rsidR="00DC145B" w:rsidRPr="009C0665">
        <w:rPr>
          <w:szCs w:val="22"/>
          <w:lang w:val="sr-Latn-ME"/>
        </w:rPr>
        <w:t>tivne m</w:t>
      </w:r>
      <w:r w:rsidR="004E77B0" w:rsidRPr="009C0665">
        <w:rPr>
          <w:szCs w:val="22"/>
          <w:lang w:val="sr-Latn-ME"/>
        </w:rPr>
        <w:t>j</w:t>
      </w:r>
      <w:r w:rsidR="00DC145B" w:rsidRPr="009C0665">
        <w:rPr>
          <w:szCs w:val="22"/>
          <w:lang w:val="sr-Latn-ME"/>
        </w:rPr>
        <w:t>ere</w:t>
      </w:r>
      <w:r w:rsidRPr="009C0665">
        <w:rPr>
          <w:szCs w:val="22"/>
          <w:lang w:val="sr-Latn-ME"/>
        </w:rPr>
        <w:t xml:space="preserve"> kako bi se spr</w:t>
      </w:r>
      <w:r w:rsidR="004E77B0" w:rsidRPr="009C0665">
        <w:rPr>
          <w:szCs w:val="22"/>
          <w:lang w:val="sr-Latn-ME"/>
        </w:rPr>
        <w:t>ij</w:t>
      </w:r>
      <w:r w:rsidRPr="009C0665">
        <w:rPr>
          <w:szCs w:val="22"/>
          <w:lang w:val="sr-Latn-ME"/>
        </w:rPr>
        <w:t xml:space="preserve">ečila trudnoća tokom i najmanje 18 </w:t>
      </w:r>
      <w:r w:rsidR="00AB003D" w:rsidRPr="009C0665">
        <w:rPr>
          <w:szCs w:val="22"/>
          <w:lang w:val="sr-Latn-ME"/>
        </w:rPr>
        <w:t>nedjelja</w:t>
      </w:r>
      <w:r w:rsidRPr="009C0665">
        <w:rPr>
          <w:szCs w:val="22"/>
          <w:lang w:val="sr-Latn-ME"/>
        </w:rPr>
        <w:t xml:space="preserve"> nakon </w:t>
      </w:r>
      <w:r w:rsidR="004E77B0" w:rsidRPr="009C0665">
        <w:rPr>
          <w:szCs w:val="22"/>
          <w:lang w:val="sr-Latn-ME"/>
        </w:rPr>
        <w:t>posljednje</w:t>
      </w:r>
      <w:r w:rsidRPr="009C0665">
        <w:rPr>
          <w:szCs w:val="22"/>
          <w:lang w:val="sr-Latn-ME"/>
        </w:rPr>
        <w:t xml:space="preserve"> </w:t>
      </w:r>
      <w:r w:rsidR="00AB003D" w:rsidRPr="009C0665">
        <w:rPr>
          <w:szCs w:val="22"/>
          <w:lang w:val="sr-Latn-ME"/>
        </w:rPr>
        <w:t>primjene</w:t>
      </w:r>
      <w:r w:rsidRPr="009C0665">
        <w:rPr>
          <w:szCs w:val="22"/>
          <w:lang w:val="sr-Latn-ME"/>
        </w:rPr>
        <w:t>.</w:t>
      </w:r>
    </w:p>
    <w:p w14:paraId="377AF4BB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030B8520" w14:textId="0C0CA3F2" w:rsidR="00847271" w:rsidRPr="009C0665" w:rsidRDefault="00847271" w:rsidP="004C7864">
      <w:pPr>
        <w:pStyle w:val="Header"/>
        <w:rPr>
          <w:szCs w:val="22"/>
          <w:u w:val="single"/>
          <w:lang w:val="sr-Latn-ME"/>
        </w:rPr>
      </w:pPr>
      <w:r w:rsidRPr="009C0665">
        <w:rPr>
          <w:szCs w:val="22"/>
          <w:u w:val="single"/>
          <w:lang w:val="sr-Latn-ME"/>
        </w:rPr>
        <w:t>Trudnoća</w:t>
      </w:r>
    </w:p>
    <w:p w14:paraId="5BFA3C7A" w14:textId="77777777" w:rsidR="000B0D10" w:rsidRPr="009C0665" w:rsidRDefault="000B0D10" w:rsidP="004C7864">
      <w:pPr>
        <w:pStyle w:val="Header"/>
        <w:rPr>
          <w:szCs w:val="22"/>
          <w:u w:val="single"/>
          <w:lang w:val="sr-Latn-ME"/>
        </w:rPr>
      </w:pPr>
    </w:p>
    <w:p w14:paraId="6BFED245" w14:textId="025BDA57" w:rsidR="00847271" w:rsidRPr="009C0665" w:rsidRDefault="0084727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Podaci o </w:t>
      </w:r>
      <w:r w:rsidR="00AB003D" w:rsidRPr="009C0665">
        <w:rPr>
          <w:szCs w:val="22"/>
          <w:lang w:val="sr-Latn-ME"/>
        </w:rPr>
        <w:t>primjeni</w:t>
      </w:r>
      <w:r w:rsidRPr="009C0665">
        <w:rPr>
          <w:szCs w:val="22"/>
          <w:lang w:val="sr-Latn-ME"/>
        </w:rPr>
        <w:t xml:space="preserve"> vedolizumaba kod trudnica su ograničeni.</w:t>
      </w:r>
    </w:p>
    <w:p w14:paraId="397E0513" w14:textId="77777777" w:rsidR="00E231A8" w:rsidRPr="009C0665" w:rsidRDefault="00E231A8" w:rsidP="004C7864">
      <w:pPr>
        <w:pStyle w:val="Header"/>
        <w:rPr>
          <w:szCs w:val="22"/>
          <w:lang w:val="sr-Latn-ME"/>
        </w:rPr>
      </w:pPr>
    </w:p>
    <w:p w14:paraId="64045F15" w14:textId="2B6885CE" w:rsidR="003C52F8" w:rsidRPr="009C0665" w:rsidRDefault="00042718" w:rsidP="004C7864">
      <w:pPr>
        <w:pStyle w:val="Header"/>
        <w:rPr>
          <w:szCs w:val="22"/>
          <w:lang w:val="sr-Latn-ME"/>
        </w:rPr>
      </w:pPr>
      <w:bookmarkStart w:id="1" w:name="_Hlk177559419"/>
      <w:r w:rsidRPr="009C0665">
        <w:rPr>
          <w:szCs w:val="22"/>
          <w:lang w:val="sr-Latn-ME"/>
        </w:rPr>
        <w:t>U maloj prospektivnoj opservacijskoj studiji stopa velikih urođenih mana bila je 7,4% kod 99 žena sa ulceroznim kolitisom ili Kronovom bolesti liječenih vedolizumabom i 5,6% kod 76 žena s ulceroznim kolitisom ili Kronovom bolesti liječenih drugim biološkim ljekovima (prilagođeni relativni rizik (RR) 1,07, 95%, interval pouzdanosti (CI): 0,33, 3,52).</w:t>
      </w:r>
    </w:p>
    <w:bookmarkEnd w:id="1"/>
    <w:p w14:paraId="29D5A35F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03E93920" w14:textId="5481C9B6" w:rsidR="00847271" w:rsidRPr="009C0665" w:rsidRDefault="0084727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Ispitivanja kod životinja ne ukazuju na direktan ili indirektan štetan uticaj što se tiče reproduktivne toksičnosti (</w:t>
      </w:r>
      <w:r w:rsidR="00166D72" w:rsidRPr="009C0665">
        <w:rPr>
          <w:szCs w:val="22"/>
          <w:lang w:val="sr-Latn-ME"/>
        </w:rPr>
        <w:t>vidjeti dio</w:t>
      </w:r>
      <w:r w:rsidR="005F636B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5.3).</w:t>
      </w:r>
    </w:p>
    <w:p w14:paraId="25412A49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50000C0F" w14:textId="13E69721" w:rsidR="00847271" w:rsidRPr="009C0665" w:rsidRDefault="000E6EB7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Kao </w:t>
      </w:r>
      <w:r w:rsidR="00054848" w:rsidRPr="009C0665">
        <w:rPr>
          <w:szCs w:val="22"/>
          <w:lang w:val="sr-Latn-ME"/>
        </w:rPr>
        <w:t>mjera</w:t>
      </w:r>
      <w:r w:rsidRPr="009C0665">
        <w:rPr>
          <w:szCs w:val="22"/>
          <w:lang w:val="sr-Latn-ME"/>
        </w:rPr>
        <w:t xml:space="preserve"> predostrožnosti, poželjno je </w:t>
      </w:r>
      <w:r w:rsidR="004E77B0" w:rsidRPr="009C0665">
        <w:rPr>
          <w:szCs w:val="22"/>
          <w:lang w:val="sr-Latn-ME"/>
        </w:rPr>
        <w:t>izbjegavati</w:t>
      </w:r>
      <w:r w:rsidRPr="009C0665">
        <w:rPr>
          <w:szCs w:val="22"/>
          <w:lang w:val="sr-Latn-ME"/>
        </w:rPr>
        <w:t xml:space="preserve"> upotrebu </w:t>
      </w:r>
      <w:r w:rsidR="0085729B" w:rsidRPr="009C0665">
        <w:rPr>
          <w:szCs w:val="22"/>
          <w:lang w:val="sr-Latn-ME"/>
        </w:rPr>
        <w:t>vedolizumaba</w:t>
      </w:r>
      <w:r w:rsidRPr="009C0665">
        <w:rPr>
          <w:szCs w:val="22"/>
          <w:lang w:val="sr-Latn-ME"/>
        </w:rPr>
        <w:t xml:space="preserve"> tokom trudnoće, osim ako koristi očigledno </w:t>
      </w:r>
      <w:r w:rsidR="000B0D10" w:rsidRPr="009C0665">
        <w:rPr>
          <w:szCs w:val="22"/>
          <w:lang w:val="sr-Latn-ME"/>
        </w:rPr>
        <w:t xml:space="preserve">prevazilazi </w:t>
      </w:r>
      <w:r w:rsidRPr="009C0665">
        <w:rPr>
          <w:szCs w:val="22"/>
          <w:lang w:val="sr-Latn-ME"/>
        </w:rPr>
        <w:t xml:space="preserve">potencijalni rizik za majku i </w:t>
      </w:r>
      <w:r w:rsidR="004E77B0" w:rsidRPr="009C0665">
        <w:rPr>
          <w:szCs w:val="22"/>
          <w:lang w:val="sr-Latn-ME"/>
        </w:rPr>
        <w:t>za plod</w:t>
      </w:r>
      <w:r w:rsidRPr="009C0665">
        <w:rPr>
          <w:szCs w:val="22"/>
          <w:lang w:val="sr-Latn-ME"/>
        </w:rPr>
        <w:t>.</w:t>
      </w:r>
    </w:p>
    <w:p w14:paraId="2CDB779D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7A88858B" w14:textId="715600C1" w:rsidR="00847271" w:rsidRPr="009C0665" w:rsidRDefault="00847271" w:rsidP="004C7864">
      <w:pPr>
        <w:pStyle w:val="Header"/>
        <w:rPr>
          <w:szCs w:val="22"/>
          <w:u w:val="single"/>
          <w:lang w:val="sr-Latn-ME"/>
        </w:rPr>
      </w:pPr>
      <w:r w:rsidRPr="009C0665">
        <w:rPr>
          <w:szCs w:val="22"/>
          <w:u w:val="single"/>
          <w:lang w:val="sr-Latn-ME"/>
        </w:rPr>
        <w:t>Dojenje</w:t>
      </w:r>
    </w:p>
    <w:p w14:paraId="2DD58009" w14:textId="0927FC5B" w:rsidR="003E1941" w:rsidRPr="009C0665" w:rsidRDefault="00432988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Zabilježen</w:t>
      </w:r>
      <w:r w:rsidR="004B5C65" w:rsidRPr="009C0665">
        <w:rPr>
          <w:szCs w:val="22"/>
          <w:lang w:val="sr-Latn-ME"/>
        </w:rPr>
        <w:t>o</w:t>
      </w:r>
      <w:r w:rsidRPr="009C0665">
        <w:rPr>
          <w:szCs w:val="22"/>
          <w:lang w:val="sr-Latn-ME"/>
        </w:rPr>
        <w:t xml:space="preserve"> je prisu</w:t>
      </w:r>
      <w:r w:rsidR="004B5C65" w:rsidRPr="009C0665">
        <w:rPr>
          <w:szCs w:val="22"/>
          <w:lang w:val="sr-Latn-ME"/>
        </w:rPr>
        <w:t>stvo</w:t>
      </w:r>
      <w:r w:rsidRPr="009C0665">
        <w:rPr>
          <w:szCs w:val="22"/>
          <w:lang w:val="sr-Latn-ME"/>
        </w:rPr>
        <w:t xml:space="preserve"> vedolizumaba u majčinom mlijeku. Uticaj vedolizumaba na odojčad i uticaj na proizvodnju mlijeka nijesu poznati. </w:t>
      </w:r>
    </w:p>
    <w:p w14:paraId="7E07E889" w14:textId="77777777" w:rsidR="00B01234" w:rsidRPr="009C0665" w:rsidRDefault="00B01234" w:rsidP="004C7864">
      <w:pPr>
        <w:pStyle w:val="Header"/>
        <w:rPr>
          <w:szCs w:val="22"/>
          <w:lang w:val="sr-Latn-ME"/>
        </w:rPr>
      </w:pPr>
    </w:p>
    <w:p w14:paraId="67681C2E" w14:textId="4D640CA6" w:rsidR="005C28D1" w:rsidRPr="009C0665" w:rsidRDefault="00BD0530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U ispitivanju laktacije samo na mlijeku, kojim se procjenjivala koncentracija vedolizumaba u majčinom mlijeku dojilja s aktivnim ulceroznim kolitisom ili Crohnovom bolešću koje su primale vedolizumab, koncentracija vedolizumaba u majčinom mlijeku bila je približno 0,4% do 2,2% koncentracija u majčinom serumu, dobijenih iz istorijskih ispitivanja vedolizumaba. Procijenjena prosječna dnevna doza vedolizumaba koju je dijete unijelo jest 0,02 mg/kg/dan, što je približno 21% prosječne dnevne doze majke, prilagođene tjelesnoj težini</w:t>
      </w:r>
      <w:r w:rsidR="005C28D1" w:rsidRPr="009C0665">
        <w:rPr>
          <w:szCs w:val="22"/>
          <w:lang w:val="sr-Latn-ME"/>
        </w:rPr>
        <w:t>.</w:t>
      </w:r>
    </w:p>
    <w:p w14:paraId="22D00F47" w14:textId="77777777" w:rsidR="00432988" w:rsidRPr="009C0665" w:rsidRDefault="00432988" w:rsidP="004C7864">
      <w:pPr>
        <w:pStyle w:val="Header"/>
        <w:rPr>
          <w:szCs w:val="22"/>
          <w:lang w:val="sr-Latn-ME"/>
        </w:rPr>
      </w:pPr>
    </w:p>
    <w:p w14:paraId="4029A5C9" w14:textId="72DBB59E" w:rsidR="005C28D1" w:rsidRPr="009C0665" w:rsidRDefault="00432988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Prilikom primjene vedolizumaba kod žena koje doje, potrebno je uzeti u obzir korist liječenja za ženu i potencijalni rizik po odojče.</w:t>
      </w:r>
    </w:p>
    <w:p w14:paraId="34540C55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1769EA8E" w14:textId="2A463ADE" w:rsidR="00847271" w:rsidRPr="009C0665" w:rsidRDefault="00847271" w:rsidP="004C7864">
      <w:pPr>
        <w:pStyle w:val="Header"/>
        <w:rPr>
          <w:szCs w:val="22"/>
          <w:u w:val="single"/>
          <w:lang w:val="sr-Latn-ME"/>
        </w:rPr>
      </w:pPr>
      <w:r w:rsidRPr="009C0665">
        <w:rPr>
          <w:szCs w:val="22"/>
          <w:u w:val="single"/>
          <w:lang w:val="sr-Latn-ME"/>
        </w:rPr>
        <w:t>Plodnost</w:t>
      </w:r>
    </w:p>
    <w:p w14:paraId="634D0FD1" w14:textId="77777777" w:rsidR="000B0D10" w:rsidRPr="009C0665" w:rsidRDefault="000B0D10" w:rsidP="004C7864">
      <w:pPr>
        <w:pStyle w:val="Header"/>
        <w:rPr>
          <w:szCs w:val="22"/>
          <w:u w:val="single"/>
          <w:lang w:val="sr-Latn-ME"/>
        </w:rPr>
      </w:pPr>
    </w:p>
    <w:p w14:paraId="5557FC9C" w14:textId="328C2619" w:rsidR="00847271" w:rsidRPr="009C0665" w:rsidRDefault="0084727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Nema podataka o uticaju vedolizumaba na plodnost kod ljudi. Uticaj na plodnost mužjaka i ženki ni</w:t>
      </w:r>
      <w:r w:rsidR="00E033AC" w:rsidRPr="009C0665">
        <w:rPr>
          <w:szCs w:val="22"/>
          <w:lang w:val="sr-Latn-ME"/>
        </w:rPr>
        <w:t>je</w:t>
      </w:r>
      <w:r w:rsidRPr="009C0665">
        <w:rPr>
          <w:szCs w:val="22"/>
          <w:lang w:val="sr-Latn-ME"/>
        </w:rPr>
        <w:t xml:space="preserve">su formalno </w:t>
      </w:r>
      <w:r w:rsidR="004E77B0" w:rsidRPr="009C0665">
        <w:rPr>
          <w:szCs w:val="22"/>
          <w:lang w:val="sr-Latn-ME"/>
        </w:rPr>
        <w:t>procijenjeni</w:t>
      </w:r>
      <w:r w:rsidRPr="009C0665">
        <w:rPr>
          <w:szCs w:val="22"/>
          <w:lang w:val="sr-Latn-ME"/>
        </w:rPr>
        <w:t xml:space="preserve"> u ispitivanjima na životinjama (</w:t>
      </w:r>
      <w:r w:rsidR="00166D72" w:rsidRPr="009C0665">
        <w:rPr>
          <w:szCs w:val="22"/>
          <w:lang w:val="sr-Latn-ME"/>
        </w:rPr>
        <w:t>vidjeti dio</w:t>
      </w:r>
      <w:r w:rsidR="005F636B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5.3).</w:t>
      </w:r>
    </w:p>
    <w:p w14:paraId="2B82E143" w14:textId="77777777" w:rsidR="00CE09F3" w:rsidRPr="009C0665" w:rsidRDefault="00CE09F3" w:rsidP="004C7864">
      <w:pPr>
        <w:rPr>
          <w:szCs w:val="22"/>
          <w:lang w:val="sr-Latn-ME"/>
        </w:rPr>
      </w:pPr>
    </w:p>
    <w:p w14:paraId="57089317" w14:textId="492BF168" w:rsidR="00CE09F3" w:rsidRPr="009C0665" w:rsidRDefault="00CE09F3" w:rsidP="004C7864">
      <w:pPr>
        <w:rPr>
          <w:b/>
          <w:bCs/>
          <w:spacing w:val="-8"/>
          <w:szCs w:val="22"/>
          <w:lang w:val="sr-Latn-ME"/>
        </w:rPr>
      </w:pPr>
      <w:r w:rsidRPr="009C0665">
        <w:rPr>
          <w:b/>
          <w:bCs/>
          <w:spacing w:val="-8"/>
          <w:szCs w:val="22"/>
          <w:lang w:val="sr-Latn-ME"/>
        </w:rPr>
        <w:t>4.7. Uticaj na sposobnost upravljanja vozilima i rukovanj</w:t>
      </w:r>
      <w:r w:rsidR="00897387" w:rsidRPr="009C0665">
        <w:rPr>
          <w:b/>
          <w:bCs/>
          <w:spacing w:val="-8"/>
          <w:szCs w:val="22"/>
          <w:lang w:val="sr-Latn-ME"/>
        </w:rPr>
        <w:t>e</w:t>
      </w:r>
      <w:r w:rsidRPr="009C0665">
        <w:rPr>
          <w:b/>
          <w:bCs/>
          <w:spacing w:val="-8"/>
          <w:szCs w:val="22"/>
          <w:lang w:val="sr-Latn-ME"/>
        </w:rPr>
        <w:t xml:space="preserve"> mašinama</w:t>
      </w:r>
    </w:p>
    <w:p w14:paraId="789EE196" w14:textId="77777777" w:rsidR="00897387" w:rsidRPr="009C0665" w:rsidRDefault="00897387" w:rsidP="004C7864">
      <w:pPr>
        <w:rPr>
          <w:szCs w:val="22"/>
          <w:lang w:val="sr-Latn-ME"/>
        </w:rPr>
      </w:pPr>
    </w:p>
    <w:p w14:paraId="7EFFCBB1" w14:textId="0E47EEC0" w:rsidR="00CE09F3" w:rsidRPr="009C0665" w:rsidRDefault="00164F4C" w:rsidP="004C7864">
      <w:pPr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Vedolizumab </w:t>
      </w:r>
      <w:r w:rsidR="00B440F5" w:rsidRPr="009C0665">
        <w:rPr>
          <w:szCs w:val="22"/>
          <w:lang w:val="sr-Latn-ME"/>
        </w:rPr>
        <w:t>ima</w:t>
      </w:r>
      <w:r w:rsidR="00847271" w:rsidRPr="009C0665">
        <w:rPr>
          <w:szCs w:val="22"/>
          <w:lang w:val="sr-Latn-ME"/>
        </w:rPr>
        <w:t xml:space="preserve"> mali uticaj na sposobnost upravljanja vozilima ili </w:t>
      </w:r>
      <w:r w:rsidR="00335D7B" w:rsidRPr="009C0665">
        <w:rPr>
          <w:szCs w:val="22"/>
          <w:lang w:val="sr-Latn-ME"/>
        </w:rPr>
        <w:t>rukovanja</w:t>
      </w:r>
      <w:r w:rsidR="00847271" w:rsidRPr="009C0665">
        <w:rPr>
          <w:szCs w:val="22"/>
          <w:lang w:val="sr-Latn-ME"/>
        </w:rPr>
        <w:t xml:space="preserve"> mašinama jer je kod malog broja pacijenata zapažena vrtoglavica.</w:t>
      </w:r>
    </w:p>
    <w:p w14:paraId="36364C8C" w14:textId="77777777" w:rsidR="00CE09F3" w:rsidRPr="009C0665" w:rsidRDefault="00CE09F3" w:rsidP="004C7864">
      <w:pPr>
        <w:rPr>
          <w:szCs w:val="22"/>
          <w:lang w:val="sr-Latn-ME"/>
        </w:rPr>
      </w:pPr>
    </w:p>
    <w:p w14:paraId="5C236B74" w14:textId="77777777" w:rsidR="00CE09F3" w:rsidRPr="009C0665" w:rsidRDefault="00CE09F3" w:rsidP="004C7864">
      <w:pPr>
        <w:rPr>
          <w:b/>
          <w:bCs/>
          <w:szCs w:val="22"/>
          <w:lang w:val="sr-Latn-ME"/>
        </w:rPr>
      </w:pPr>
      <w:r w:rsidRPr="009C0665">
        <w:rPr>
          <w:b/>
          <w:bCs/>
          <w:szCs w:val="22"/>
          <w:lang w:val="sr-Latn-ME"/>
        </w:rPr>
        <w:t>4.8. Neželjena dejstva</w:t>
      </w:r>
    </w:p>
    <w:p w14:paraId="55DE1DC0" w14:textId="77777777" w:rsidR="00164F4C" w:rsidRPr="009C0665" w:rsidRDefault="00164F4C" w:rsidP="004C7864">
      <w:pPr>
        <w:autoSpaceDE w:val="0"/>
        <w:autoSpaceDN w:val="0"/>
        <w:adjustRightInd w:val="0"/>
        <w:rPr>
          <w:noProof/>
          <w:szCs w:val="22"/>
          <w:u w:val="single"/>
          <w:lang w:val="sr-Latn-ME"/>
        </w:rPr>
      </w:pPr>
    </w:p>
    <w:p w14:paraId="339558E7" w14:textId="5E08D2DF" w:rsidR="00847271" w:rsidRPr="009C0665" w:rsidRDefault="00847271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  <w:r w:rsidRPr="009C0665">
        <w:rPr>
          <w:noProof/>
          <w:szCs w:val="22"/>
          <w:u w:val="single"/>
          <w:lang w:val="sr-Latn-ME"/>
        </w:rPr>
        <w:t>Sažetak bezb</w:t>
      </w:r>
      <w:r w:rsidR="003C52F8" w:rsidRPr="009C0665">
        <w:rPr>
          <w:noProof/>
          <w:szCs w:val="22"/>
          <w:u w:val="single"/>
          <w:lang w:val="sr-Latn-ME"/>
        </w:rPr>
        <w:t>j</w:t>
      </w:r>
      <w:r w:rsidRPr="009C0665">
        <w:rPr>
          <w:noProof/>
          <w:szCs w:val="22"/>
          <w:u w:val="single"/>
          <w:lang w:val="sr-Latn-ME"/>
        </w:rPr>
        <w:t>ednosnog profila</w:t>
      </w:r>
    </w:p>
    <w:p w14:paraId="03807202" w14:textId="1C0299A6" w:rsidR="00B440F5" w:rsidRPr="009C0665" w:rsidRDefault="00B440F5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  <w:r w:rsidRPr="009C0665">
        <w:rPr>
          <w:noProof/>
          <w:szCs w:val="22"/>
          <w:lang w:val="sr-Latn-ME"/>
        </w:rPr>
        <w:lastRenderedPageBreak/>
        <w:t xml:space="preserve">Najčešće prijavljivane neželjne reakcije su infekcije (kao što su nazofaringitis, infekcije gornjeg respiratornog trakta, bronhitis, </w:t>
      </w:r>
      <w:r w:rsidR="00335D7B" w:rsidRPr="009C0665">
        <w:rPr>
          <w:noProof/>
          <w:szCs w:val="22"/>
          <w:lang w:val="sr-Latn-ME"/>
        </w:rPr>
        <w:t xml:space="preserve">grip </w:t>
      </w:r>
      <w:r w:rsidRPr="009C0665">
        <w:rPr>
          <w:noProof/>
          <w:szCs w:val="22"/>
          <w:lang w:val="sr-Latn-ME"/>
        </w:rPr>
        <w:t>i sinuzitis), glavobolja, mu</w:t>
      </w:r>
      <w:r w:rsidR="00335D7B" w:rsidRPr="009C0665">
        <w:rPr>
          <w:noProof/>
          <w:szCs w:val="22"/>
          <w:lang w:val="sr-Latn-ME"/>
        </w:rPr>
        <w:t>čnin</w:t>
      </w:r>
      <w:r w:rsidRPr="009C0665">
        <w:rPr>
          <w:noProof/>
          <w:szCs w:val="22"/>
          <w:lang w:val="sr-Latn-ME"/>
        </w:rPr>
        <w:t xml:space="preserve">a, povišena </w:t>
      </w:r>
      <w:r w:rsidR="00335D7B" w:rsidRPr="009C0665">
        <w:rPr>
          <w:noProof/>
          <w:szCs w:val="22"/>
          <w:lang w:val="sr-Latn-ME"/>
        </w:rPr>
        <w:t>t</w:t>
      </w:r>
      <w:r w:rsidR="0085527E" w:rsidRPr="009C0665">
        <w:rPr>
          <w:noProof/>
          <w:szCs w:val="22"/>
          <w:lang w:val="sr-Latn-ME"/>
        </w:rPr>
        <w:t>j</w:t>
      </w:r>
      <w:r w:rsidR="00335D7B" w:rsidRPr="009C0665">
        <w:rPr>
          <w:noProof/>
          <w:szCs w:val="22"/>
          <w:lang w:val="sr-Latn-ME"/>
        </w:rPr>
        <w:t xml:space="preserve">elesna </w:t>
      </w:r>
      <w:r w:rsidRPr="009C0665">
        <w:rPr>
          <w:noProof/>
          <w:szCs w:val="22"/>
          <w:lang w:val="sr-Latn-ME"/>
        </w:rPr>
        <w:t>te</w:t>
      </w:r>
      <w:r w:rsidR="00054848" w:rsidRPr="009C0665">
        <w:rPr>
          <w:noProof/>
          <w:szCs w:val="22"/>
          <w:lang w:val="sr-Latn-ME"/>
        </w:rPr>
        <w:t>m</w:t>
      </w:r>
      <w:r w:rsidR="00D261A1" w:rsidRPr="009C0665">
        <w:rPr>
          <w:noProof/>
          <w:szCs w:val="22"/>
          <w:lang w:val="sr-Latn-ME"/>
        </w:rPr>
        <w:t>p</w:t>
      </w:r>
      <w:r w:rsidR="00054848" w:rsidRPr="009C0665">
        <w:rPr>
          <w:noProof/>
          <w:szCs w:val="22"/>
          <w:lang w:val="sr-Latn-ME"/>
        </w:rPr>
        <w:t>era</w:t>
      </w:r>
      <w:r w:rsidRPr="009C0665">
        <w:rPr>
          <w:noProof/>
          <w:szCs w:val="22"/>
          <w:lang w:val="sr-Latn-ME"/>
        </w:rPr>
        <w:t>tura, umor, kašalj, artralgija.</w:t>
      </w:r>
    </w:p>
    <w:p w14:paraId="71A27344" w14:textId="77777777" w:rsidR="00B440F5" w:rsidRPr="009C0665" w:rsidRDefault="00B440F5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002CEEEB" w14:textId="08586D7F" w:rsidR="00B440F5" w:rsidRPr="009C0665" w:rsidRDefault="00B440F5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  <w:r w:rsidRPr="009C0665">
        <w:rPr>
          <w:noProof/>
          <w:szCs w:val="22"/>
          <w:lang w:val="sr-Latn-ME"/>
        </w:rPr>
        <w:t xml:space="preserve">Reakcije povezane sa </w:t>
      </w:r>
      <w:r w:rsidR="00AB003D" w:rsidRPr="009C0665">
        <w:rPr>
          <w:noProof/>
          <w:szCs w:val="22"/>
          <w:lang w:val="sr-Latn-ME"/>
        </w:rPr>
        <w:t>primjenom</w:t>
      </w:r>
      <w:r w:rsidRPr="009C0665">
        <w:rPr>
          <w:noProof/>
          <w:szCs w:val="22"/>
          <w:lang w:val="sr-Latn-ME"/>
        </w:rPr>
        <w:t xml:space="preserve"> infuzije (sa simptomima kao što su dispneja, bronhospazam, urtikarija, </w:t>
      </w:r>
      <w:r w:rsidR="00335D7B" w:rsidRPr="009C0665">
        <w:rPr>
          <w:noProof/>
          <w:szCs w:val="22"/>
          <w:lang w:val="sr-Latn-ME"/>
        </w:rPr>
        <w:t xml:space="preserve">naleti </w:t>
      </w:r>
      <w:r w:rsidRPr="009C0665">
        <w:rPr>
          <w:noProof/>
          <w:szCs w:val="22"/>
          <w:lang w:val="sr-Latn-ME"/>
        </w:rPr>
        <w:t>crvenil</w:t>
      </w:r>
      <w:r w:rsidR="00335D7B" w:rsidRPr="009C0665">
        <w:rPr>
          <w:noProof/>
          <w:szCs w:val="22"/>
          <w:lang w:val="sr-Latn-ME"/>
        </w:rPr>
        <w:t>a,</w:t>
      </w:r>
      <w:r w:rsidRPr="009C0665">
        <w:rPr>
          <w:noProof/>
          <w:szCs w:val="22"/>
          <w:lang w:val="sr-Latn-ME"/>
        </w:rPr>
        <w:t xml:space="preserve"> osip, povišen krvni pritisak i ubrzani srčani ritam) su takođe prijavljivani kod pacijenata </w:t>
      </w:r>
      <w:r w:rsidR="00A63489" w:rsidRPr="009C0665">
        <w:rPr>
          <w:noProof/>
          <w:szCs w:val="22"/>
          <w:lang w:val="sr-Latn-ME"/>
        </w:rPr>
        <w:t>liječeni</w:t>
      </w:r>
      <w:r w:rsidRPr="009C0665">
        <w:rPr>
          <w:noProof/>
          <w:szCs w:val="22"/>
          <w:lang w:val="sr-Latn-ME"/>
        </w:rPr>
        <w:t>h vedolizumabom.</w:t>
      </w:r>
    </w:p>
    <w:p w14:paraId="56D6608C" w14:textId="77777777" w:rsidR="00847271" w:rsidRPr="009C0665" w:rsidRDefault="00847271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7942B705" w14:textId="77777777" w:rsidR="00847271" w:rsidRPr="009C0665" w:rsidRDefault="00847271" w:rsidP="004C7864">
      <w:pPr>
        <w:autoSpaceDE w:val="0"/>
        <w:autoSpaceDN w:val="0"/>
        <w:adjustRightInd w:val="0"/>
        <w:rPr>
          <w:noProof/>
          <w:szCs w:val="22"/>
          <w:u w:val="single"/>
          <w:lang w:val="sr-Latn-ME"/>
        </w:rPr>
      </w:pPr>
      <w:r w:rsidRPr="009C0665">
        <w:rPr>
          <w:noProof/>
          <w:szCs w:val="22"/>
          <w:u w:val="single"/>
          <w:lang w:val="sr-Latn-ME"/>
        </w:rPr>
        <w:t>Tabelarni prikaz neželjenih dejstava</w:t>
      </w:r>
    </w:p>
    <w:p w14:paraId="0F743314" w14:textId="77777777" w:rsidR="00847271" w:rsidRPr="009C0665" w:rsidRDefault="00847271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0C45A0ED" w14:textId="610C32F8" w:rsidR="00847271" w:rsidRPr="009C0665" w:rsidRDefault="004E77B0" w:rsidP="004C7864">
      <w:pPr>
        <w:tabs>
          <w:tab w:val="clear" w:pos="284"/>
          <w:tab w:val="left" w:pos="720"/>
        </w:tabs>
        <w:autoSpaceDE w:val="0"/>
        <w:autoSpaceDN w:val="0"/>
        <w:adjustRightInd w:val="0"/>
        <w:rPr>
          <w:szCs w:val="22"/>
          <w:lang w:val="sr-Latn-ME"/>
        </w:rPr>
      </w:pPr>
      <w:r w:rsidRPr="009C0665">
        <w:rPr>
          <w:noProof/>
          <w:szCs w:val="22"/>
          <w:lang w:val="sr-Latn-ME"/>
        </w:rPr>
        <w:t xml:space="preserve">Sljedeći </w:t>
      </w:r>
      <w:r w:rsidR="00626D8C" w:rsidRPr="009C0665">
        <w:rPr>
          <w:noProof/>
          <w:szCs w:val="22"/>
          <w:lang w:val="sr-Latn-ME"/>
        </w:rPr>
        <w:t>spisak</w:t>
      </w:r>
      <w:r w:rsidRPr="009C0665">
        <w:rPr>
          <w:noProof/>
          <w:szCs w:val="22"/>
          <w:lang w:val="sr-Latn-ME"/>
        </w:rPr>
        <w:t xml:space="preserve"> neželjenih dejstava zasniva se na iskustvu iz kliničkih ispitivanja i </w:t>
      </w:r>
      <w:r w:rsidR="0036255A" w:rsidRPr="009C0665">
        <w:rPr>
          <w:noProof/>
          <w:szCs w:val="22"/>
          <w:lang w:val="sr-Latn-ME"/>
        </w:rPr>
        <w:t>post-marketinško</w:t>
      </w:r>
      <w:r w:rsidR="00626D8C" w:rsidRPr="009C0665">
        <w:rPr>
          <w:noProof/>
          <w:szCs w:val="22"/>
          <w:lang w:val="sr-Latn-ME"/>
        </w:rPr>
        <w:t>g</w:t>
      </w:r>
      <w:r w:rsidR="0036255A" w:rsidRPr="009C0665">
        <w:rPr>
          <w:noProof/>
          <w:szCs w:val="22"/>
          <w:lang w:val="sr-Latn-ME"/>
        </w:rPr>
        <w:t xml:space="preserve"> period</w:t>
      </w:r>
      <w:r w:rsidR="00626D8C" w:rsidRPr="009C0665">
        <w:rPr>
          <w:noProof/>
          <w:szCs w:val="22"/>
          <w:lang w:val="sr-Latn-ME"/>
        </w:rPr>
        <w:t>a</w:t>
      </w:r>
      <w:r w:rsidR="0036255A" w:rsidRPr="009C0665">
        <w:rPr>
          <w:noProof/>
          <w:szCs w:val="22"/>
          <w:lang w:val="sr-Latn-ME"/>
        </w:rPr>
        <w:t xml:space="preserve"> </w:t>
      </w:r>
      <w:r w:rsidRPr="009C0665">
        <w:rPr>
          <w:noProof/>
          <w:szCs w:val="22"/>
          <w:lang w:val="sr-Latn-ME"/>
        </w:rPr>
        <w:t>i prikazan prema klasifikaciji sistema organa. Unutar klasifikacije sistema organa, neželjena dejstva su navedena prema sljedećim kriterijumima učestalosti: veoma česta (≥1/10); česta (≥1/100 do &lt;1/10); povremena (≥1/1.000 do &lt;1/100)</w:t>
      </w:r>
      <w:r w:rsidR="00B07C91" w:rsidRPr="009C0665">
        <w:rPr>
          <w:noProof/>
          <w:szCs w:val="22"/>
          <w:lang w:val="sr-Latn-ME"/>
        </w:rPr>
        <w:t xml:space="preserve">, </w:t>
      </w:r>
      <w:r w:rsidRPr="009C0665">
        <w:rPr>
          <w:noProof/>
          <w:szCs w:val="22"/>
          <w:lang w:val="sr-Latn-ME"/>
        </w:rPr>
        <w:t>veoma r</w:t>
      </w:r>
      <w:r w:rsidR="00E033AC" w:rsidRPr="009C0665">
        <w:rPr>
          <w:noProof/>
          <w:szCs w:val="22"/>
          <w:lang w:val="sr-Latn-ME"/>
        </w:rPr>
        <w:t>ij</w:t>
      </w:r>
      <w:r w:rsidRPr="009C0665">
        <w:rPr>
          <w:noProof/>
          <w:szCs w:val="22"/>
          <w:lang w:val="sr-Latn-ME"/>
        </w:rPr>
        <w:t>etka (&lt; 1/10000)</w:t>
      </w:r>
      <w:r w:rsidR="00B07C91" w:rsidRPr="009C0665">
        <w:rPr>
          <w:noProof/>
          <w:szCs w:val="22"/>
          <w:lang w:val="sr-Latn-ME"/>
        </w:rPr>
        <w:t xml:space="preserve"> i nepoznato (ne moze se proceniti iz dostupnih podataka)</w:t>
      </w:r>
      <w:r w:rsidRPr="009C0665">
        <w:rPr>
          <w:noProof/>
          <w:szCs w:val="22"/>
          <w:lang w:val="sr-Latn-ME"/>
        </w:rPr>
        <w:t>. Unutar svake grupe učestalosti, neželjena dejstva su nabrojana u smjeru smanjenja ozbiljnosti.</w:t>
      </w:r>
    </w:p>
    <w:p w14:paraId="663B5985" w14:textId="7A3BD52C" w:rsidR="00847271" w:rsidRPr="009C0665" w:rsidRDefault="00847271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646DE2EE" w14:textId="77777777" w:rsidR="000B092D" w:rsidRPr="009C0665" w:rsidRDefault="000B092D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0DE630B7" w14:textId="77777777" w:rsidR="00847271" w:rsidRPr="009C0665" w:rsidRDefault="00847271" w:rsidP="004C7864">
      <w:pPr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9C0665">
        <w:rPr>
          <w:b/>
          <w:bCs/>
          <w:szCs w:val="22"/>
          <w:lang w:val="sr-Latn-ME"/>
        </w:rPr>
        <w:t>Tabela 1. Neželjena dejstva</w:t>
      </w:r>
    </w:p>
    <w:tbl>
      <w:tblPr>
        <w:tblW w:w="95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3"/>
        <w:gridCol w:w="1422"/>
        <w:gridCol w:w="4931"/>
      </w:tblGrid>
      <w:tr w:rsidR="00847271" w:rsidRPr="009C0665" w14:paraId="49E8C7A9" w14:textId="77777777" w:rsidTr="007352AF">
        <w:trPr>
          <w:trHeight w:hRule="exact" w:val="516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79773" w14:textId="13BE90DF" w:rsidR="00847271" w:rsidRPr="009C0665" w:rsidRDefault="004E77B0" w:rsidP="004C7864">
            <w:pPr>
              <w:spacing w:line="252" w:lineRule="exact"/>
              <w:jc w:val="left"/>
              <w:rPr>
                <w:noProof/>
                <w:szCs w:val="22"/>
                <w:lang w:val="sr-Latn-ME"/>
              </w:rPr>
            </w:pPr>
            <w:r w:rsidRPr="009C0665">
              <w:rPr>
                <w:b/>
                <w:bCs/>
                <w:noProof/>
                <w:spacing w:val="1"/>
                <w:szCs w:val="22"/>
                <w:lang w:val="sr-Latn-ME"/>
              </w:rPr>
              <w:t xml:space="preserve">Klasifikacija </w:t>
            </w:r>
            <w:r w:rsidR="00E033AC" w:rsidRPr="009C0665">
              <w:rPr>
                <w:b/>
                <w:bCs/>
                <w:noProof/>
                <w:spacing w:val="1"/>
                <w:szCs w:val="22"/>
                <w:lang w:val="sr-Latn-ME"/>
              </w:rPr>
              <w:t>s</w:t>
            </w:r>
            <w:r w:rsidRPr="009C0665">
              <w:rPr>
                <w:b/>
                <w:bCs/>
                <w:noProof/>
                <w:spacing w:val="1"/>
                <w:szCs w:val="22"/>
                <w:lang w:val="sr-Latn-ME"/>
              </w:rPr>
              <w:t>istema organa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9EEBF" w14:textId="77777777" w:rsidR="00847271" w:rsidRPr="009C0665" w:rsidRDefault="00847271" w:rsidP="004C7864">
            <w:pPr>
              <w:spacing w:line="251" w:lineRule="exact"/>
              <w:rPr>
                <w:noProof/>
                <w:szCs w:val="22"/>
                <w:lang w:val="sr-Latn-ME"/>
              </w:rPr>
            </w:pPr>
            <w:r w:rsidRPr="009C0665">
              <w:rPr>
                <w:b/>
                <w:bCs/>
                <w:noProof/>
                <w:spacing w:val="-1"/>
                <w:szCs w:val="22"/>
                <w:lang w:val="sr-Latn-ME"/>
              </w:rPr>
              <w:t>U</w:t>
            </w:r>
            <w:r w:rsidRPr="009C0665">
              <w:rPr>
                <w:b/>
                <w:bCs/>
                <w:noProof/>
                <w:szCs w:val="22"/>
                <w:lang w:val="sr-Latn-ME"/>
              </w:rPr>
              <w:t>čes</w:t>
            </w:r>
            <w:r w:rsidRPr="009C0665">
              <w:rPr>
                <w:b/>
                <w:bCs/>
                <w:noProof/>
                <w:spacing w:val="1"/>
                <w:szCs w:val="22"/>
                <w:lang w:val="sr-Latn-ME"/>
              </w:rPr>
              <w:t>t</w:t>
            </w:r>
            <w:r w:rsidRPr="009C0665">
              <w:rPr>
                <w:b/>
                <w:bCs/>
                <w:noProof/>
                <w:spacing w:val="-2"/>
                <w:szCs w:val="22"/>
                <w:lang w:val="sr-Latn-ME"/>
              </w:rPr>
              <w:t>a</w:t>
            </w:r>
            <w:r w:rsidRPr="009C0665">
              <w:rPr>
                <w:b/>
                <w:bCs/>
                <w:noProof/>
                <w:spacing w:val="1"/>
                <w:szCs w:val="22"/>
                <w:lang w:val="sr-Latn-ME"/>
              </w:rPr>
              <w:t>l</w:t>
            </w:r>
            <w:r w:rsidRPr="009C0665">
              <w:rPr>
                <w:b/>
                <w:bCs/>
                <w:noProof/>
                <w:szCs w:val="22"/>
                <w:lang w:val="sr-Latn-ME"/>
              </w:rPr>
              <w:t>o</w:t>
            </w:r>
            <w:r w:rsidRPr="009C0665">
              <w:rPr>
                <w:b/>
                <w:bCs/>
                <w:noProof/>
                <w:spacing w:val="-2"/>
                <w:szCs w:val="22"/>
                <w:lang w:val="sr-Latn-ME"/>
              </w:rPr>
              <w:t>s</w:t>
            </w:r>
            <w:r w:rsidRPr="009C0665">
              <w:rPr>
                <w:b/>
                <w:bCs/>
                <w:noProof/>
                <w:szCs w:val="22"/>
                <w:lang w:val="sr-Latn-ME"/>
              </w:rPr>
              <w:t>t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8D24E" w14:textId="77777777" w:rsidR="00847271" w:rsidRPr="009C0665" w:rsidRDefault="00847271" w:rsidP="004C7864">
            <w:pPr>
              <w:spacing w:line="251" w:lineRule="exact"/>
              <w:rPr>
                <w:noProof/>
                <w:szCs w:val="22"/>
                <w:lang w:val="sr-Latn-ME"/>
              </w:rPr>
            </w:pPr>
            <w:r w:rsidRPr="009C0665">
              <w:rPr>
                <w:b/>
                <w:bCs/>
                <w:noProof/>
                <w:spacing w:val="-1"/>
                <w:szCs w:val="22"/>
                <w:lang w:val="sr-Latn-ME"/>
              </w:rPr>
              <w:t>Neželjeno dejstvo</w:t>
            </w:r>
            <w:r w:rsidRPr="009C0665">
              <w:rPr>
                <w:b/>
                <w:bCs/>
                <w:noProof/>
                <w:spacing w:val="1"/>
                <w:szCs w:val="22"/>
                <w:lang w:val="sr-Latn-ME"/>
              </w:rPr>
              <w:t>(a</w:t>
            </w:r>
            <w:r w:rsidRPr="009C0665">
              <w:rPr>
                <w:b/>
                <w:bCs/>
                <w:noProof/>
                <w:szCs w:val="22"/>
                <w:lang w:val="sr-Latn-ME"/>
              </w:rPr>
              <w:t>)</w:t>
            </w:r>
          </w:p>
        </w:tc>
      </w:tr>
      <w:tr w:rsidR="00ED3367" w:rsidRPr="009C0665" w14:paraId="25FB3AD0" w14:textId="77777777" w:rsidTr="007352AF">
        <w:trPr>
          <w:trHeight w:hRule="exact" w:val="262"/>
        </w:trPr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240899F" w14:textId="77777777" w:rsidR="00ED3367" w:rsidRPr="009C0665" w:rsidRDefault="00ED3367" w:rsidP="004C7864">
            <w:pPr>
              <w:spacing w:line="246" w:lineRule="exact"/>
              <w:jc w:val="lef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pacing w:val="-4"/>
                <w:szCs w:val="22"/>
                <w:lang w:val="sr-Latn-ME"/>
              </w:rPr>
              <w:t>I</w:t>
            </w:r>
            <w:r w:rsidRPr="009C0665">
              <w:rPr>
                <w:noProof/>
                <w:szCs w:val="22"/>
                <w:lang w:val="sr-Latn-ME"/>
              </w:rPr>
              <w:t>n</w:t>
            </w:r>
            <w:r w:rsidRPr="009C0665">
              <w:rPr>
                <w:noProof/>
                <w:spacing w:val="1"/>
                <w:szCs w:val="22"/>
                <w:lang w:val="sr-Latn-ME"/>
              </w:rPr>
              <w:t>f</w:t>
            </w:r>
            <w:r w:rsidRPr="009C0665">
              <w:rPr>
                <w:noProof/>
                <w:szCs w:val="22"/>
                <w:lang w:val="sr-Latn-ME"/>
              </w:rPr>
              <w:t>e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k</w:t>
            </w:r>
            <w:r w:rsidRPr="009C0665">
              <w:rPr>
                <w:noProof/>
                <w:szCs w:val="22"/>
                <w:lang w:val="sr-Latn-ME"/>
              </w:rPr>
              <w:t>c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Pr="009C0665">
              <w:rPr>
                <w:noProof/>
                <w:spacing w:val="3"/>
                <w:szCs w:val="22"/>
                <w:lang w:val="sr-Latn-ME"/>
              </w:rPr>
              <w:t>j</w:t>
            </w:r>
            <w:r w:rsidRPr="009C0665">
              <w:rPr>
                <w:noProof/>
                <w:szCs w:val="22"/>
                <w:lang w:val="sr-Latn-ME"/>
              </w:rPr>
              <w:t>e</w:t>
            </w:r>
            <w:r w:rsidRPr="009C0665">
              <w:rPr>
                <w:noProof/>
                <w:spacing w:val="-2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zCs w:val="22"/>
                <w:lang w:val="sr-Latn-ME"/>
              </w:rPr>
              <w:t>i</w:t>
            </w:r>
            <w:r w:rsidRPr="009C0665">
              <w:rPr>
                <w:noProof/>
                <w:spacing w:val="1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i</w:t>
            </w:r>
            <w:r w:rsidRPr="009C0665">
              <w:rPr>
                <w:noProof/>
                <w:szCs w:val="22"/>
                <w:lang w:val="sr-Latn-ME"/>
              </w:rPr>
              <w:t>n</w:t>
            </w:r>
            <w:r w:rsidRPr="009C0665">
              <w:rPr>
                <w:noProof/>
                <w:spacing w:val="1"/>
                <w:szCs w:val="22"/>
                <w:lang w:val="sr-Latn-ME"/>
              </w:rPr>
              <w:t>f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e</w:t>
            </w:r>
            <w:r w:rsidRPr="009C0665">
              <w:rPr>
                <w:noProof/>
                <w:szCs w:val="22"/>
                <w:lang w:val="sr-Latn-ME"/>
              </w:rPr>
              <w:t>s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t</w:t>
            </w:r>
            <w:r w:rsidRPr="009C0665">
              <w:rPr>
                <w:noProof/>
                <w:szCs w:val="22"/>
                <w:lang w:val="sr-Latn-ME"/>
              </w:rPr>
              <w:t>ac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i</w:t>
            </w:r>
            <w:r w:rsidRPr="009C0665">
              <w:rPr>
                <w:noProof/>
                <w:spacing w:val="1"/>
                <w:szCs w:val="22"/>
                <w:lang w:val="sr-Latn-ME"/>
              </w:rPr>
              <w:t>j</w:t>
            </w:r>
            <w:r w:rsidRPr="009C0665">
              <w:rPr>
                <w:noProof/>
                <w:szCs w:val="22"/>
                <w:lang w:val="sr-Latn-ME"/>
              </w:rPr>
              <w:t>e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C4978" w14:textId="77777777" w:rsidR="00ED3367" w:rsidRPr="009C0665" w:rsidRDefault="00ED3367" w:rsidP="004C7864">
            <w:pPr>
              <w:spacing w:line="246" w:lineRule="exac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pacing w:val="1"/>
                <w:szCs w:val="22"/>
                <w:lang w:val="sr-Latn-ME"/>
              </w:rPr>
              <w:t>V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eoma</w:t>
            </w:r>
            <w:r w:rsidRPr="009C0665">
              <w:rPr>
                <w:noProof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č</w:t>
            </w:r>
            <w:r w:rsidRPr="009C0665">
              <w:rPr>
                <w:noProof/>
                <w:szCs w:val="22"/>
                <w:lang w:val="sr-Latn-ME"/>
              </w:rPr>
              <w:t>e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s</w:t>
            </w:r>
            <w:r w:rsidRPr="009C0665">
              <w:rPr>
                <w:noProof/>
                <w:spacing w:val="1"/>
                <w:szCs w:val="22"/>
                <w:lang w:val="sr-Latn-ME"/>
              </w:rPr>
              <w:t>t</w:t>
            </w:r>
            <w:r w:rsidRPr="009C0665">
              <w:rPr>
                <w:noProof/>
                <w:szCs w:val="22"/>
                <w:lang w:val="sr-Latn-ME"/>
              </w:rPr>
              <w:t>o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B36A0" w14:textId="77777777" w:rsidR="00ED3367" w:rsidRPr="009C0665" w:rsidRDefault="00ED3367" w:rsidP="004C7864">
            <w:pPr>
              <w:spacing w:line="246" w:lineRule="exac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zCs w:val="22"/>
                <w:lang w:val="sr-Latn-ME"/>
              </w:rPr>
              <w:t>na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z</w:t>
            </w:r>
            <w:r w:rsidRPr="009C0665">
              <w:rPr>
                <w:noProof/>
                <w:szCs w:val="22"/>
                <w:lang w:val="sr-Latn-ME"/>
              </w:rPr>
              <w:t>o</w:t>
            </w:r>
            <w:r w:rsidRPr="009C0665">
              <w:rPr>
                <w:noProof/>
                <w:spacing w:val="1"/>
                <w:szCs w:val="22"/>
                <w:lang w:val="sr-Latn-ME"/>
              </w:rPr>
              <w:t>f</w:t>
            </w:r>
            <w:r w:rsidRPr="009C0665">
              <w:rPr>
                <w:noProof/>
                <w:szCs w:val="22"/>
                <w:lang w:val="sr-Latn-ME"/>
              </w:rPr>
              <w:t>a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r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Pr="009C0665">
              <w:rPr>
                <w:noProof/>
                <w:szCs w:val="22"/>
                <w:lang w:val="sr-Latn-ME"/>
              </w:rPr>
              <w:t>n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g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t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Pr="009C0665">
              <w:rPr>
                <w:noProof/>
                <w:szCs w:val="22"/>
                <w:lang w:val="sr-Latn-ME"/>
              </w:rPr>
              <w:t>s</w:t>
            </w:r>
          </w:p>
        </w:tc>
      </w:tr>
      <w:tr w:rsidR="00ED3367" w:rsidRPr="009C0665" w14:paraId="38FD19B9" w14:textId="77777777" w:rsidTr="007352AF">
        <w:trPr>
          <w:trHeight w:hRule="exact" w:val="1053"/>
        </w:trPr>
        <w:tc>
          <w:tcPr>
            <w:tcW w:w="31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0C0819" w14:textId="77777777" w:rsidR="00ED3367" w:rsidRPr="009C0665" w:rsidRDefault="00ED3367" w:rsidP="004C7864">
            <w:pPr>
              <w:tabs>
                <w:tab w:val="clear" w:pos="284"/>
              </w:tabs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F7E87" w14:textId="77777777" w:rsidR="00ED3367" w:rsidRPr="009C0665" w:rsidRDefault="00ED3367" w:rsidP="004C7864">
            <w:pPr>
              <w:spacing w:line="248" w:lineRule="exac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pacing w:val="-1"/>
                <w:szCs w:val="22"/>
                <w:lang w:val="sr-Latn-ME"/>
              </w:rPr>
              <w:t>Č</w:t>
            </w:r>
            <w:r w:rsidRPr="009C0665">
              <w:rPr>
                <w:noProof/>
                <w:szCs w:val="22"/>
                <w:lang w:val="sr-Latn-ME"/>
              </w:rPr>
              <w:t>es</w:t>
            </w:r>
            <w:r w:rsidRPr="009C0665">
              <w:rPr>
                <w:noProof/>
                <w:spacing w:val="1"/>
                <w:szCs w:val="22"/>
                <w:lang w:val="sr-Latn-ME"/>
              </w:rPr>
              <w:t>t</w:t>
            </w:r>
            <w:r w:rsidRPr="009C0665">
              <w:rPr>
                <w:noProof/>
                <w:szCs w:val="22"/>
                <w:lang w:val="sr-Latn-ME"/>
              </w:rPr>
              <w:t>o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5C5AC" w14:textId="756FEB86" w:rsidR="00ED3367" w:rsidRPr="009C0665" w:rsidRDefault="00ED3367" w:rsidP="004C7864">
            <w:pPr>
              <w:spacing w:line="248" w:lineRule="exact"/>
              <w:jc w:val="lef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pacing w:val="1"/>
                <w:szCs w:val="22"/>
                <w:lang w:val="sr-Latn-ME"/>
              </w:rPr>
              <w:t>pneumonija</w:t>
            </w:r>
            <w:r w:rsidRPr="009C0665">
              <w:rPr>
                <w:noProof/>
                <w:szCs w:val="22"/>
                <w:lang w:val="sr-Latn-ME"/>
              </w:rPr>
              <w:t xml:space="preserve">, infekcija uzrokovana bakterijom </w:t>
            </w:r>
            <w:r w:rsidRPr="009C0665">
              <w:rPr>
                <w:i/>
                <w:iCs/>
                <w:szCs w:val="22"/>
                <w:lang w:val="sr-Latn-ME" w:eastAsia="ja-JP"/>
              </w:rPr>
              <w:t>Clostridium difficile</w:t>
            </w:r>
            <w:r w:rsidRPr="009C0665">
              <w:rPr>
                <w:szCs w:val="22"/>
                <w:lang w:val="sr-Latn-ME" w:eastAsia="ja-JP"/>
              </w:rPr>
              <w:t xml:space="preserve">, </w:t>
            </w:r>
            <w:r w:rsidRPr="009C0665">
              <w:rPr>
                <w:noProof/>
                <w:szCs w:val="22"/>
                <w:lang w:val="sr-Latn-ME"/>
              </w:rPr>
              <w:t>b</w:t>
            </w:r>
            <w:r w:rsidRPr="009C0665">
              <w:rPr>
                <w:noProof/>
                <w:spacing w:val="1"/>
                <w:szCs w:val="22"/>
                <w:lang w:val="sr-Latn-ME"/>
              </w:rPr>
              <w:t>r</w:t>
            </w:r>
            <w:r w:rsidRPr="009C0665">
              <w:rPr>
                <w:noProof/>
                <w:szCs w:val="22"/>
                <w:lang w:val="sr-Latn-ME"/>
              </w:rPr>
              <w:t>on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h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t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Pr="009C0665">
              <w:rPr>
                <w:noProof/>
                <w:szCs w:val="22"/>
                <w:lang w:val="sr-Latn-ME"/>
              </w:rPr>
              <w:t xml:space="preserve">s, 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g</w:t>
            </w:r>
            <w:r w:rsidRPr="009C0665">
              <w:rPr>
                <w:noProof/>
                <w:szCs w:val="22"/>
                <w:lang w:val="sr-Latn-ME"/>
              </w:rPr>
              <w:t>a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s</w:t>
            </w:r>
            <w:r w:rsidRPr="009C0665">
              <w:rPr>
                <w:noProof/>
                <w:spacing w:val="1"/>
                <w:szCs w:val="22"/>
                <w:lang w:val="sr-Latn-ME"/>
              </w:rPr>
              <w:t>tr</w:t>
            </w:r>
            <w:r w:rsidRPr="009C0665">
              <w:rPr>
                <w:noProof/>
                <w:szCs w:val="22"/>
                <w:lang w:val="sr-Latn-ME"/>
              </w:rPr>
              <w:t>o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e</w:t>
            </w:r>
            <w:r w:rsidRPr="009C0665">
              <w:rPr>
                <w:noProof/>
                <w:szCs w:val="22"/>
                <w:lang w:val="sr-Latn-ME"/>
              </w:rPr>
              <w:t>n</w:t>
            </w:r>
            <w:r w:rsidRPr="009C0665">
              <w:rPr>
                <w:noProof/>
                <w:spacing w:val="1"/>
                <w:szCs w:val="22"/>
                <w:lang w:val="sr-Latn-ME"/>
              </w:rPr>
              <w:t>t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e</w:t>
            </w:r>
            <w:r w:rsidRPr="009C0665">
              <w:rPr>
                <w:noProof/>
                <w:spacing w:val="1"/>
                <w:szCs w:val="22"/>
                <w:lang w:val="sr-Latn-ME"/>
              </w:rPr>
              <w:t>r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it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Pr="009C0665">
              <w:rPr>
                <w:noProof/>
                <w:szCs w:val="22"/>
                <w:lang w:val="sr-Latn-ME"/>
              </w:rPr>
              <w:t>s,</w:t>
            </w:r>
            <w:r w:rsidRPr="009C0665">
              <w:rPr>
                <w:noProof/>
                <w:spacing w:val="-2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n</w:t>
            </w:r>
            <w:r w:rsidRPr="009C0665">
              <w:rPr>
                <w:noProof/>
                <w:spacing w:val="1"/>
                <w:szCs w:val="22"/>
                <w:lang w:val="sr-Latn-ME"/>
              </w:rPr>
              <w:t>f</w:t>
            </w:r>
            <w:r w:rsidRPr="009C0665">
              <w:rPr>
                <w:noProof/>
                <w:szCs w:val="22"/>
                <w:lang w:val="sr-Latn-ME"/>
              </w:rPr>
              <w:t>e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k</w:t>
            </w:r>
            <w:r w:rsidRPr="009C0665">
              <w:rPr>
                <w:noProof/>
                <w:szCs w:val="22"/>
                <w:lang w:val="sr-Latn-ME"/>
              </w:rPr>
              <w:t>c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i</w:t>
            </w:r>
            <w:r w:rsidRPr="009C0665">
              <w:rPr>
                <w:noProof/>
                <w:szCs w:val="22"/>
                <w:lang w:val="sr-Latn-ME"/>
              </w:rPr>
              <w:t>ja</w:t>
            </w:r>
            <w:r w:rsidR="00C14376" w:rsidRPr="009C0665">
              <w:rPr>
                <w:noProof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g</w:t>
            </w:r>
            <w:r w:rsidRPr="009C0665">
              <w:rPr>
                <w:noProof/>
                <w:szCs w:val="22"/>
                <w:lang w:val="sr-Latn-ME"/>
              </w:rPr>
              <w:t>o</w:t>
            </w:r>
            <w:r w:rsidRPr="009C0665">
              <w:rPr>
                <w:noProof/>
                <w:spacing w:val="1"/>
                <w:szCs w:val="22"/>
                <w:lang w:val="sr-Latn-ME"/>
              </w:rPr>
              <w:t>r</w:t>
            </w:r>
            <w:r w:rsidRPr="009C0665">
              <w:rPr>
                <w:noProof/>
                <w:szCs w:val="22"/>
                <w:lang w:val="sr-Latn-ME"/>
              </w:rPr>
              <w:t>n</w:t>
            </w:r>
            <w:r w:rsidRPr="009C0665">
              <w:rPr>
                <w:noProof/>
                <w:spacing w:val="1"/>
                <w:szCs w:val="22"/>
                <w:lang w:val="sr-Latn-ME"/>
              </w:rPr>
              <w:t>j</w:t>
            </w:r>
            <w:r w:rsidRPr="009C0665">
              <w:rPr>
                <w:noProof/>
                <w:szCs w:val="22"/>
                <w:lang w:val="sr-Latn-ME"/>
              </w:rPr>
              <w:t>ih</w:t>
            </w:r>
            <w:r w:rsidRPr="009C0665">
              <w:rPr>
                <w:noProof/>
                <w:spacing w:val="-2"/>
                <w:szCs w:val="22"/>
                <w:lang w:val="sr-Latn-ME"/>
              </w:rPr>
              <w:t xml:space="preserve"> disajnih puteva</w:t>
            </w:r>
            <w:r w:rsidRPr="009C0665">
              <w:rPr>
                <w:noProof/>
                <w:szCs w:val="22"/>
                <w:lang w:val="sr-Latn-ME"/>
              </w:rPr>
              <w:t xml:space="preserve">, 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g</w:t>
            </w:r>
            <w:r w:rsidRPr="009C0665">
              <w:rPr>
                <w:noProof/>
                <w:spacing w:val="1"/>
                <w:szCs w:val="22"/>
                <w:lang w:val="sr-Latn-ME"/>
              </w:rPr>
              <w:t>r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i</w:t>
            </w:r>
            <w:r w:rsidRPr="009C0665">
              <w:rPr>
                <w:noProof/>
                <w:szCs w:val="22"/>
                <w:lang w:val="sr-Latn-ME"/>
              </w:rPr>
              <w:t>p, s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Pr="009C0665">
              <w:rPr>
                <w:noProof/>
                <w:szCs w:val="22"/>
                <w:lang w:val="sr-Latn-ME"/>
              </w:rPr>
              <w:t>n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u</w:t>
            </w:r>
            <w:r w:rsidRPr="009C0665">
              <w:rPr>
                <w:noProof/>
                <w:szCs w:val="22"/>
                <w:lang w:val="sr-Latn-ME"/>
              </w:rPr>
              <w:t>z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i</w:t>
            </w:r>
            <w:r w:rsidRPr="009C0665">
              <w:rPr>
                <w:noProof/>
                <w:spacing w:val="1"/>
                <w:szCs w:val="22"/>
                <w:lang w:val="sr-Latn-ME"/>
              </w:rPr>
              <w:t>ti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s</w:t>
            </w:r>
            <w:r w:rsidRPr="009C0665">
              <w:rPr>
                <w:noProof/>
                <w:szCs w:val="22"/>
                <w:lang w:val="sr-Latn-ME"/>
              </w:rPr>
              <w:t xml:space="preserve">, </w:t>
            </w:r>
            <w:r w:rsidRPr="009C0665">
              <w:rPr>
                <w:noProof/>
                <w:spacing w:val="1"/>
                <w:szCs w:val="22"/>
                <w:lang w:val="sr-Latn-ME"/>
              </w:rPr>
              <w:t>f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a</w:t>
            </w:r>
            <w:r w:rsidRPr="009C0665">
              <w:rPr>
                <w:noProof/>
                <w:spacing w:val="1"/>
                <w:szCs w:val="22"/>
                <w:lang w:val="sr-Latn-ME"/>
              </w:rPr>
              <w:t>r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i</w:t>
            </w:r>
            <w:r w:rsidRPr="009C0665">
              <w:rPr>
                <w:noProof/>
                <w:szCs w:val="22"/>
                <w:lang w:val="sr-Latn-ME"/>
              </w:rPr>
              <w:t>n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g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it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i</w:t>
            </w:r>
            <w:r w:rsidRPr="009C0665">
              <w:rPr>
                <w:noProof/>
                <w:szCs w:val="22"/>
                <w:lang w:val="sr-Latn-ME"/>
              </w:rPr>
              <w:t>s, herpes zoster</w:t>
            </w:r>
          </w:p>
        </w:tc>
      </w:tr>
      <w:tr w:rsidR="00185C10" w:rsidRPr="009C0665" w14:paraId="13913F52" w14:textId="77777777" w:rsidTr="007352AF">
        <w:trPr>
          <w:trHeight w:val="548"/>
        </w:trPr>
        <w:tc>
          <w:tcPr>
            <w:tcW w:w="31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0D0978F" w14:textId="77777777" w:rsidR="00185C10" w:rsidRPr="009C0665" w:rsidRDefault="00185C10" w:rsidP="004C7864">
            <w:pPr>
              <w:tabs>
                <w:tab w:val="clear" w:pos="284"/>
              </w:tabs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D53427C" w14:textId="77777777" w:rsidR="00185C10" w:rsidRPr="009C0665" w:rsidRDefault="00185C10" w:rsidP="004C7864">
            <w:pPr>
              <w:spacing w:line="246" w:lineRule="exac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zCs w:val="22"/>
                <w:lang w:val="sr-Latn-ME"/>
              </w:rPr>
              <w:t>Povremeno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2A5A5A" w14:textId="77777777" w:rsidR="00185C10" w:rsidRPr="009C0665" w:rsidRDefault="00185C10" w:rsidP="004C7864">
            <w:pPr>
              <w:spacing w:line="246" w:lineRule="exact"/>
              <w:jc w:val="lef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pacing w:val="1"/>
                <w:szCs w:val="22"/>
                <w:lang w:val="sr-Latn-ME"/>
              </w:rPr>
              <w:t>respiratorna infekcija</w:t>
            </w:r>
            <w:r w:rsidRPr="009C0665">
              <w:rPr>
                <w:noProof/>
                <w:szCs w:val="22"/>
                <w:lang w:val="sr-Latn-ME"/>
              </w:rPr>
              <w:t>,</w:t>
            </w:r>
          </w:p>
          <w:p w14:paraId="79D8F739" w14:textId="4EE00B1D" w:rsidR="00185C10" w:rsidRPr="009C0665" w:rsidRDefault="00185C10" w:rsidP="004C7864">
            <w:pPr>
              <w:spacing w:line="254" w:lineRule="exact"/>
              <w:jc w:val="lef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pacing w:val="-2"/>
                <w:szCs w:val="22"/>
                <w:lang w:val="sr-Latn-ME"/>
              </w:rPr>
              <w:t>v</w:t>
            </w:r>
            <w:r w:rsidRPr="009C0665">
              <w:rPr>
                <w:noProof/>
                <w:szCs w:val="22"/>
                <w:lang w:val="sr-Latn-ME"/>
              </w:rPr>
              <w:t>u</w:t>
            </w:r>
            <w:r w:rsidRPr="009C0665">
              <w:rPr>
                <w:noProof/>
                <w:spacing w:val="1"/>
                <w:szCs w:val="22"/>
                <w:lang w:val="sr-Latn-ME"/>
              </w:rPr>
              <w:t>l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v</w:t>
            </w:r>
            <w:r w:rsidRPr="009C0665">
              <w:rPr>
                <w:noProof/>
                <w:spacing w:val="2"/>
                <w:szCs w:val="22"/>
                <w:lang w:val="sr-Latn-ME"/>
              </w:rPr>
              <w:t>o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v</w:t>
            </w:r>
            <w:r w:rsidRPr="009C0665">
              <w:rPr>
                <w:noProof/>
                <w:szCs w:val="22"/>
                <w:lang w:val="sr-Latn-ME"/>
              </w:rPr>
              <w:t>a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g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Pr="009C0665">
              <w:rPr>
                <w:noProof/>
                <w:szCs w:val="22"/>
                <w:lang w:val="sr-Latn-ME"/>
              </w:rPr>
              <w:t>na</w:t>
            </w:r>
            <w:r w:rsidRPr="009C0665">
              <w:rPr>
                <w:noProof/>
                <w:spacing w:val="1"/>
                <w:szCs w:val="22"/>
                <w:lang w:val="sr-Latn-ME"/>
              </w:rPr>
              <w:t>l</w:t>
            </w:r>
            <w:r w:rsidRPr="009C0665">
              <w:rPr>
                <w:noProof/>
                <w:szCs w:val="22"/>
                <w:lang w:val="sr-Latn-ME"/>
              </w:rPr>
              <w:t>na</w:t>
            </w:r>
            <w:r w:rsidRPr="009C0665">
              <w:rPr>
                <w:noProof/>
                <w:spacing w:val="1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k</w:t>
            </w:r>
            <w:r w:rsidRPr="009C0665">
              <w:rPr>
                <w:noProof/>
                <w:szCs w:val="22"/>
                <w:lang w:val="sr-Latn-ME"/>
              </w:rPr>
              <w:t>and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d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i</w:t>
            </w:r>
            <w:r w:rsidRPr="009C0665">
              <w:rPr>
                <w:noProof/>
                <w:spacing w:val="1"/>
                <w:szCs w:val="22"/>
                <w:lang w:val="sr-Latn-ME"/>
              </w:rPr>
              <w:t>j</w:t>
            </w:r>
            <w:r w:rsidRPr="009C0665">
              <w:rPr>
                <w:noProof/>
                <w:szCs w:val="22"/>
                <w:lang w:val="sr-Latn-ME"/>
              </w:rPr>
              <w:t>a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z</w:t>
            </w:r>
            <w:r w:rsidRPr="009C0665">
              <w:rPr>
                <w:noProof/>
                <w:szCs w:val="22"/>
                <w:lang w:val="sr-Latn-ME"/>
              </w:rPr>
              <w:t>a, o</w:t>
            </w:r>
            <w:r w:rsidRPr="009C0665">
              <w:rPr>
                <w:noProof/>
                <w:spacing w:val="1"/>
                <w:szCs w:val="22"/>
                <w:lang w:val="sr-Latn-ME"/>
              </w:rPr>
              <w:t>r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a</w:t>
            </w:r>
            <w:r w:rsidRPr="009C0665">
              <w:rPr>
                <w:noProof/>
                <w:spacing w:val="1"/>
                <w:szCs w:val="22"/>
                <w:lang w:val="sr-Latn-ME"/>
              </w:rPr>
              <w:t>l</w:t>
            </w:r>
            <w:r w:rsidRPr="009C0665">
              <w:rPr>
                <w:noProof/>
                <w:szCs w:val="22"/>
                <w:lang w:val="sr-Latn-ME"/>
              </w:rPr>
              <w:t xml:space="preserve">na 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k</w:t>
            </w:r>
            <w:r w:rsidRPr="009C0665">
              <w:rPr>
                <w:noProof/>
                <w:szCs w:val="22"/>
                <w:lang w:val="sr-Latn-ME"/>
              </w:rPr>
              <w:t>and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Pr="009C0665">
              <w:rPr>
                <w:noProof/>
                <w:szCs w:val="22"/>
                <w:lang w:val="sr-Latn-ME"/>
              </w:rPr>
              <w:t>d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i</w:t>
            </w:r>
            <w:r w:rsidRPr="009C0665">
              <w:rPr>
                <w:noProof/>
                <w:spacing w:val="1"/>
                <w:szCs w:val="22"/>
                <w:lang w:val="sr-Latn-ME"/>
              </w:rPr>
              <w:t>j</w:t>
            </w:r>
            <w:r w:rsidRPr="009C0665">
              <w:rPr>
                <w:noProof/>
                <w:szCs w:val="22"/>
                <w:lang w:val="sr-Latn-ME"/>
              </w:rPr>
              <w:t>a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z</w:t>
            </w:r>
            <w:r w:rsidRPr="009C0665">
              <w:rPr>
                <w:noProof/>
                <w:szCs w:val="22"/>
                <w:lang w:val="sr-Latn-ME"/>
              </w:rPr>
              <w:t>a</w:t>
            </w:r>
          </w:p>
        </w:tc>
      </w:tr>
      <w:tr w:rsidR="00ED3367" w:rsidRPr="009C0665" w14:paraId="16C057CD" w14:textId="77777777" w:rsidTr="007352AF">
        <w:trPr>
          <w:trHeight w:hRule="exact" w:val="464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C8CC" w14:textId="47B9392D" w:rsidR="00ED3367" w:rsidRPr="009C0665" w:rsidRDefault="00ED3367" w:rsidP="004C7864">
            <w:pPr>
              <w:spacing w:line="246" w:lineRule="exact"/>
              <w:jc w:val="lef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zCs w:val="22"/>
                <w:lang w:val="sr-Latn-ME"/>
              </w:rPr>
              <w:t>Poremećaji imunskog sistema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22F0" w14:textId="27D343BF" w:rsidR="00ED3367" w:rsidRPr="009C0665" w:rsidRDefault="00ED3367" w:rsidP="004C7864">
            <w:pPr>
              <w:spacing w:line="246" w:lineRule="exact"/>
              <w:rPr>
                <w:noProof/>
                <w:spacing w:val="1"/>
                <w:szCs w:val="22"/>
                <w:lang w:val="sr-Latn-ME"/>
              </w:rPr>
            </w:pPr>
            <w:r w:rsidRPr="009C0665">
              <w:rPr>
                <w:noProof/>
                <w:spacing w:val="1"/>
                <w:szCs w:val="22"/>
                <w:lang w:val="sr-Latn-ME"/>
              </w:rPr>
              <w:t>Veoma rijetko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0916" w14:textId="5AE07956" w:rsidR="00ED3367" w:rsidRPr="009C0665" w:rsidRDefault="00ED3367" w:rsidP="004C7864">
            <w:pPr>
              <w:spacing w:line="246" w:lineRule="exact"/>
              <w:rPr>
                <w:noProof/>
                <w:spacing w:val="-2"/>
                <w:szCs w:val="22"/>
                <w:lang w:val="sr-Latn-ME"/>
              </w:rPr>
            </w:pPr>
            <w:r w:rsidRPr="009C0665">
              <w:rPr>
                <w:noProof/>
                <w:spacing w:val="-2"/>
                <w:szCs w:val="22"/>
                <w:lang w:val="sr-Latn-ME"/>
              </w:rPr>
              <w:t>anafilaktička reakcija, anafilaktički šok</w:t>
            </w:r>
          </w:p>
        </w:tc>
      </w:tr>
      <w:tr w:rsidR="00847271" w:rsidRPr="009C0665" w14:paraId="1B91CB44" w14:textId="77777777" w:rsidTr="007352AF">
        <w:trPr>
          <w:trHeight w:hRule="exact" w:val="264"/>
        </w:trPr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E3F30" w14:textId="77777777" w:rsidR="00847271" w:rsidRPr="009C0665" w:rsidRDefault="00847271" w:rsidP="004C7864">
            <w:pPr>
              <w:spacing w:line="246" w:lineRule="exact"/>
              <w:jc w:val="lef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zCs w:val="22"/>
                <w:lang w:val="sr-Latn-ME"/>
              </w:rPr>
              <w:t>Po</w:t>
            </w:r>
            <w:r w:rsidRPr="009C0665">
              <w:rPr>
                <w:noProof/>
                <w:spacing w:val="1"/>
                <w:szCs w:val="22"/>
                <w:lang w:val="sr-Latn-ME"/>
              </w:rPr>
              <w:t>r</w:t>
            </w:r>
            <w:r w:rsidRPr="009C0665">
              <w:rPr>
                <w:noProof/>
                <w:szCs w:val="22"/>
                <w:lang w:val="sr-Latn-ME"/>
              </w:rPr>
              <w:t>e</w:t>
            </w:r>
            <w:r w:rsidRPr="009C0665">
              <w:rPr>
                <w:noProof/>
                <w:spacing w:val="-4"/>
                <w:szCs w:val="22"/>
                <w:lang w:val="sr-Latn-ME"/>
              </w:rPr>
              <w:t>m</w:t>
            </w:r>
            <w:r w:rsidRPr="009C0665">
              <w:rPr>
                <w:noProof/>
                <w:szCs w:val="22"/>
                <w:lang w:val="sr-Latn-ME"/>
              </w:rPr>
              <w:t>eć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a</w:t>
            </w:r>
            <w:r w:rsidRPr="009C0665">
              <w:rPr>
                <w:noProof/>
                <w:spacing w:val="1"/>
                <w:szCs w:val="22"/>
                <w:lang w:val="sr-Latn-ME"/>
              </w:rPr>
              <w:t>j</w:t>
            </w:r>
            <w:r w:rsidRPr="009C0665">
              <w:rPr>
                <w:noProof/>
                <w:szCs w:val="22"/>
                <w:lang w:val="sr-Latn-ME"/>
              </w:rPr>
              <w:t>i</w:t>
            </w:r>
            <w:r w:rsidRPr="009C0665">
              <w:rPr>
                <w:noProof/>
                <w:spacing w:val="1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pacing w:val="-2"/>
                <w:szCs w:val="22"/>
                <w:lang w:val="sr-Latn-ME"/>
              </w:rPr>
              <w:t xml:space="preserve">nervnog </w:t>
            </w:r>
            <w:r w:rsidRPr="009C0665">
              <w:rPr>
                <w:noProof/>
                <w:szCs w:val="22"/>
                <w:lang w:val="sr-Latn-ME"/>
              </w:rPr>
              <w:t>sistema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AF6BF" w14:textId="77777777" w:rsidR="00847271" w:rsidRPr="009C0665" w:rsidRDefault="00847271" w:rsidP="004C7864">
            <w:pPr>
              <w:spacing w:line="246" w:lineRule="exac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pacing w:val="1"/>
                <w:szCs w:val="22"/>
                <w:lang w:val="sr-Latn-ME"/>
              </w:rPr>
              <w:t>V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eoma</w:t>
            </w:r>
            <w:r w:rsidRPr="009C0665">
              <w:rPr>
                <w:noProof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č</w:t>
            </w:r>
            <w:r w:rsidRPr="009C0665">
              <w:rPr>
                <w:noProof/>
                <w:szCs w:val="22"/>
                <w:lang w:val="sr-Latn-ME"/>
              </w:rPr>
              <w:t>e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s</w:t>
            </w:r>
            <w:r w:rsidRPr="009C0665">
              <w:rPr>
                <w:noProof/>
                <w:spacing w:val="1"/>
                <w:szCs w:val="22"/>
                <w:lang w:val="sr-Latn-ME"/>
              </w:rPr>
              <w:t>t</w:t>
            </w:r>
            <w:r w:rsidRPr="009C0665">
              <w:rPr>
                <w:noProof/>
                <w:szCs w:val="22"/>
                <w:lang w:val="sr-Latn-ME"/>
              </w:rPr>
              <w:t>o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8BCDA" w14:textId="77777777" w:rsidR="00847271" w:rsidRPr="009C0665" w:rsidRDefault="00847271" w:rsidP="004C7864">
            <w:pPr>
              <w:spacing w:line="246" w:lineRule="exac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pacing w:val="-2"/>
                <w:szCs w:val="22"/>
                <w:lang w:val="sr-Latn-ME"/>
              </w:rPr>
              <w:t>g</w:t>
            </w:r>
            <w:r w:rsidRPr="009C0665">
              <w:rPr>
                <w:noProof/>
                <w:spacing w:val="1"/>
                <w:szCs w:val="22"/>
                <w:lang w:val="sr-Latn-ME"/>
              </w:rPr>
              <w:t>l</w:t>
            </w:r>
            <w:r w:rsidRPr="009C0665">
              <w:rPr>
                <w:noProof/>
                <w:szCs w:val="22"/>
                <w:lang w:val="sr-Latn-ME"/>
              </w:rPr>
              <w:t>a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v</w:t>
            </w:r>
            <w:r w:rsidRPr="009C0665">
              <w:rPr>
                <w:noProof/>
                <w:szCs w:val="22"/>
                <w:lang w:val="sr-Latn-ME"/>
              </w:rPr>
              <w:t>obo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l</w:t>
            </w:r>
            <w:r w:rsidRPr="009C0665">
              <w:rPr>
                <w:noProof/>
                <w:spacing w:val="3"/>
                <w:szCs w:val="22"/>
                <w:lang w:val="sr-Latn-ME"/>
              </w:rPr>
              <w:t>j</w:t>
            </w:r>
            <w:r w:rsidRPr="009C0665">
              <w:rPr>
                <w:noProof/>
                <w:szCs w:val="22"/>
                <w:lang w:val="sr-Latn-ME"/>
              </w:rPr>
              <w:t>a</w:t>
            </w:r>
          </w:p>
        </w:tc>
      </w:tr>
      <w:tr w:rsidR="00847271" w:rsidRPr="009C0665" w14:paraId="4CB9CEA2" w14:textId="77777777" w:rsidTr="007352AF">
        <w:trPr>
          <w:trHeight w:hRule="exact" w:val="262"/>
        </w:trPr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FC1E6" w14:textId="77777777" w:rsidR="00847271" w:rsidRPr="009C0665" w:rsidRDefault="00847271" w:rsidP="004C7864">
            <w:pPr>
              <w:tabs>
                <w:tab w:val="clear" w:pos="284"/>
              </w:tabs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E785D" w14:textId="77777777" w:rsidR="00847271" w:rsidRPr="009C0665" w:rsidRDefault="00847271" w:rsidP="004C7864">
            <w:pPr>
              <w:spacing w:line="246" w:lineRule="exac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pacing w:val="-1"/>
                <w:szCs w:val="22"/>
                <w:lang w:val="sr-Latn-ME"/>
              </w:rPr>
              <w:t>Č</w:t>
            </w:r>
            <w:r w:rsidRPr="009C0665">
              <w:rPr>
                <w:noProof/>
                <w:szCs w:val="22"/>
                <w:lang w:val="sr-Latn-ME"/>
              </w:rPr>
              <w:t>es</w:t>
            </w:r>
            <w:r w:rsidRPr="009C0665">
              <w:rPr>
                <w:noProof/>
                <w:spacing w:val="1"/>
                <w:szCs w:val="22"/>
                <w:lang w:val="sr-Latn-ME"/>
              </w:rPr>
              <w:t>t</w:t>
            </w:r>
            <w:r w:rsidRPr="009C0665">
              <w:rPr>
                <w:noProof/>
                <w:szCs w:val="22"/>
                <w:lang w:val="sr-Latn-ME"/>
              </w:rPr>
              <w:t>o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C392B" w14:textId="77777777" w:rsidR="00847271" w:rsidRPr="009C0665" w:rsidRDefault="00847271" w:rsidP="004C7864">
            <w:pPr>
              <w:spacing w:line="246" w:lineRule="exac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zCs w:val="22"/>
                <w:lang w:val="sr-Latn-ME"/>
              </w:rPr>
              <w:t>pa</w:t>
            </w:r>
            <w:r w:rsidRPr="009C0665">
              <w:rPr>
                <w:noProof/>
                <w:spacing w:val="1"/>
                <w:szCs w:val="22"/>
                <w:lang w:val="sr-Latn-ME"/>
              </w:rPr>
              <w:t>r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e</w:t>
            </w:r>
            <w:r w:rsidRPr="009C0665">
              <w:rPr>
                <w:noProof/>
                <w:szCs w:val="22"/>
                <w:lang w:val="sr-Latn-ME"/>
              </w:rPr>
              <w:t>s</w:t>
            </w:r>
            <w:r w:rsidRPr="009C0665">
              <w:rPr>
                <w:noProof/>
                <w:spacing w:val="1"/>
                <w:szCs w:val="22"/>
                <w:lang w:val="sr-Latn-ME"/>
              </w:rPr>
              <w:t>t</w:t>
            </w:r>
            <w:r w:rsidRPr="009C0665">
              <w:rPr>
                <w:noProof/>
                <w:szCs w:val="22"/>
                <w:lang w:val="sr-Latn-ME"/>
              </w:rPr>
              <w:t>e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z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i</w:t>
            </w:r>
            <w:r w:rsidRPr="009C0665">
              <w:rPr>
                <w:noProof/>
                <w:spacing w:val="1"/>
                <w:szCs w:val="22"/>
                <w:lang w:val="sr-Latn-ME"/>
              </w:rPr>
              <w:t>j</w:t>
            </w:r>
            <w:r w:rsidRPr="009C0665">
              <w:rPr>
                <w:noProof/>
                <w:szCs w:val="22"/>
                <w:lang w:val="sr-Latn-ME"/>
              </w:rPr>
              <w:t>a</w:t>
            </w:r>
          </w:p>
        </w:tc>
      </w:tr>
      <w:tr w:rsidR="00D82914" w:rsidRPr="009C0665" w14:paraId="3C4EB4A7" w14:textId="77777777" w:rsidTr="005D1262">
        <w:trPr>
          <w:trHeight w:hRule="exact" w:val="1256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F68B" w14:textId="7C4080BE" w:rsidR="00D82914" w:rsidRPr="009C0665" w:rsidRDefault="0036255A" w:rsidP="004C7864">
            <w:pPr>
              <w:tabs>
                <w:tab w:val="clear" w:pos="284"/>
              </w:tabs>
              <w:jc w:val="lef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zCs w:val="22"/>
                <w:lang w:val="sr-Latn-ME"/>
              </w:rPr>
              <w:t>Poremećaj oka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B0B4" w14:textId="1CACA3E2" w:rsidR="00D82914" w:rsidRPr="009C0665" w:rsidRDefault="00D82914" w:rsidP="004C7864">
            <w:pPr>
              <w:spacing w:line="246" w:lineRule="exact"/>
              <w:rPr>
                <w:noProof/>
                <w:szCs w:val="22"/>
                <w:lang w:val="sr-Latn-ME"/>
              </w:rPr>
            </w:pPr>
          </w:p>
          <w:p w14:paraId="1756F63C" w14:textId="138EAE79" w:rsidR="0036255A" w:rsidRPr="009C0665" w:rsidRDefault="007352AF" w:rsidP="004C7864">
            <w:pPr>
              <w:spacing w:line="246" w:lineRule="exact"/>
              <w:rPr>
                <w:noProof/>
                <w:spacing w:val="-1"/>
                <w:szCs w:val="22"/>
                <w:lang w:val="sr-Latn-ME"/>
              </w:rPr>
            </w:pPr>
            <w:r w:rsidRPr="009C0665">
              <w:rPr>
                <w:noProof/>
                <w:szCs w:val="22"/>
                <w:lang w:val="sr-Latn-ME"/>
              </w:rPr>
              <w:t>Povremeno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9F58" w14:textId="77777777" w:rsidR="0036255A" w:rsidRPr="009C0665" w:rsidRDefault="0036255A" w:rsidP="004C7864">
            <w:pPr>
              <w:spacing w:line="246" w:lineRule="exact"/>
              <w:rPr>
                <w:noProof/>
                <w:szCs w:val="22"/>
                <w:lang w:val="sr-Latn-ME"/>
              </w:rPr>
            </w:pPr>
          </w:p>
          <w:p w14:paraId="7E311710" w14:textId="5B70DDF5" w:rsidR="00D82914" w:rsidRPr="009C0665" w:rsidRDefault="0036255A" w:rsidP="004C7864">
            <w:pPr>
              <w:spacing w:line="246" w:lineRule="exac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zCs w:val="22"/>
                <w:lang w:val="sr-Latn-ME"/>
              </w:rPr>
              <w:t>zamućen vid</w:t>
            </w:r>
          </w:p>
        </w:tc>
      </w:tr>
      <w:tr w:rsidR="00847271" w:rsidRPr="009C0665" w14:paraId="4FB64F7C" w14:textId="77777777" w:rsidTr="007352AF">
        <w:trPr>
          <w:trHeight w:hRule="exact" w:val="264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53D9D" w14:textId="77777777" w:rsidR="00847271" w:rsidRPr="009C0665" w:rsidRDefault="00847271" w:rsidP="004C7864">
            <w:pPr>
              <w:spacing w:line="248" w:lineRule="exact"/>
              <w:jc w:val="lef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pacing w:val="1"/>
                <w:szCs w:val="22"/>
                <w:lang w:val="sr-Latn-ME"/>
              </w:rPr>
              <w:t xml:space="preserve">Vaskularni </w:t>
            </w:r>
            <w:r w:rsidRPr="009C0665">
              <w:rPr>
                <w:noProof/>
                <w:szCs w:val="22"/>
                <w:lang w:val="sr-Latn-ME"/>
              </w:rPr>
              <w:t>p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o</w:t>
            </w:r>
            <w:r w:rsidRPr="009C0665">
              <w:rPr>
                <w:noProof/>
                <w:spacing w:val="1"/>
                <w:szCs w:val="22"/>
                <w:lang w:val="sr-Latn-ME"/>
              </w:rPr>
              <w:t>r</w:t>
            </w:r>
            <w:r w:rsidRPr="009C0665">
              <w:rPr>
                <w:noProof/>
                <w:szCs w:val="22"/>
                <w:lang w:val="sr-Latn-ME"/>
              </w:rPr>
              <w:t>e</w:t>
            </w:r>
            <w:r w:rsidRPr="009C0665">
              <w:rPr>
                <w:noProof/>
                <w:spacing w:val="-4"/>
                <w:szCs w:val="22"/>
                <w:lang w:val="sr-Latn-ME"/>
              </w:rPr>
              <w:t>m</w:t>
            </w:r>
            <w:r w:rsidRPr="009C0665">
              <w:rPr>
                <w:noProof/>
                <w:szCs w:val="22"/>
                <w:lang w:val="sr-Latn-ME"/>
              </w:rPr>
              <w:t>eć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a</w:t>
            </w:r>
            <w:r w:rsidRPr="009C0665">
              <w:rPr>
                <w:noProof/>
                <w:spacing w:val="1"/>
                <w:szCs w:val="22"/>
                <w:lang w:val="sr-Latn-ME"/>
              </w:rPr>
              <w:t>ji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98CCC" w14:textId="77777777" w:rsidR="00847271" w:rsidRPr="009C0665" w:rsidRDefault="00847271" w:rsidP="004C7864">
            <w:pPr>
              <w:spacing w:line="248" w:lineRule="exac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pacing w:val="-1"/>
                <w:szCs w:val="22"/>
                <w:lang w:val="sr-Latn-ME"/>
              </w:rPr>
              <w:t>Č</w:t>
            </w:r>
            <w:r w:rsidRPr="009C0665">
              <w:rPr>
                <w:noProof/>
                <w:szCs w:val="22"/>
                <w:lang w:val="sr-Latn-ME"/>
              </w:rPr>
              <w:t>es</w:t>
            </w:r>
            <w:r w:rsidRPr="009C0665">
              <w:rPr>
                <w:noProof/>
                <w:spacing w:val="1"/>
                <w:szCs w:val="22"/>
                <w:lang w:val="sr-Latn-ME"/>
              </w:rPr>
              <w:t>t</w:t>
            </w:r>
            <w:r w:rsidRPr="009C0665">
              <w:rPr>
                <w:noProof/>
                <w:szCs w:val="22"/>
                <w:lang w:val="sr-Latn-ME"/>
              </w:rPr>
              <w:t>o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2B4302" w14:textId="77777777" w:rsidR="00847271" w:rsidRPr="009C0665" w:rsidRDefault="00847271" w:rsidP="004C7864">
            <w:pPr>
              <w:spacing w:line="248" w:lineRule="exac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zCs w:val="22"/>
                <w:lang w:val="sr-Latn-ME"/>
              </w:rPr>
              <w:t>h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Pr="009C0665">
              <w:rPr>
                <w:noProof/>
                <w:szCs w:val="22"/>
                <w:lang w:val="sr-Latn-ME"/>
              </w:rPr>
              <w:t>p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e</w:t>
            </w:r>
            <w:r w:rsidRPr="009C0665">
              <w:rPr>
                <w:noProof/>
                <w:spacing w:val="1"/>
                <w:szCs w:val="22"/>
                <w:lang w:val="sr-Latn-ME"/>
              </w:rPr>
              <w:t>rt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e</w:t>
            </w:r>
            <w:r w:rsidRPr="009C0665">
              <w:rPr>
                <w:noProof/>
                <w:szCs w:val="22"/>
                <w:lang w:val="sr-Latn-ME"/>
              </w:rPr>
              <w:t>n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z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i</w:t>
            </w:r>
            <w:r w:rsidRPr="009C0665">
              <w:rPr>
                <w:noProof/>
                <w:spacing w:val="3"/>
                <w:szCs w:val="22"/>
                <w:lang w:val="sr-Latn-ME"/>
              </w:rPr>
              <w:t>j</w:t>
            </w:r>
            <w:r w:rsidRPr="009C0665">
              <w:rPr>
                <w:noProof/>
                <w:szCs w:val="22"/>
                <w:lang w:val="sr-Latn-ME"/>
              </w:rPr>
              <w:t>a</w:t>
            </w:r>
          </w:p>
        </w:tc>
      </w:tr>
      <w:tr w:rsidR="00A63489" w:rsidRPr="009C0665" w14:paraId="4710C525" w14:textId="77777777" w:rsidTr="007352AF">
        <w:trPr>
          <w:trHeight w:val="255"/>
        </w:trPr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01424E3" w14:textId="77777777" w:rsidR="00A63489" w:rsidRPr="009C0665" w:rsidRDefault="00A63489" w:rsidP="004C7864">
            <w:pPr>
              <w:jc w:val="left"/>
              <w:rPr>
                <w:noProof/>
                <w:szCs w:val="22"/>
                <w:lang w:val="sr-Latn-ME"/>
              </w:rPr>
            </w:pPr>
            <w:r w:rsidRPr="009C0665">
              <w:rPr>
                <w:iCs/>
                <w:noProof/>
                <w:szCs w:val="22"/>
                <w:lang w:val="sr-Latn-ME"/>
              </w:rPr>
              <w:t>Respiratorni, torakalni i medijastinalni poremećaji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D7CDF7" w14:textId="77777777" w:rsidR="00A63489" w:rsidRPr="009C0665" w:rsidRDefault="00A63489" w:rsidP="004C7864">
            <w:pPr>
              <w:spacing w:line="246" w:lineRule="exac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pacing w:val="-1"/>
                <w:szCs w:val="22"/>
                <w:lang w:val="sr-Latn-ME"/>
              </w:rPr>
              <w:t>Č</w:t>
            </w:r>
            <w:r w:rsidRPr="009C0665">
              <w:rPr>
                <w:noProof/>
                <w:szCs w:val="22"/>
                <w:lang w:val="sr-Latn-ME"/>
              </w:rPr>
              <w:t>es</w:t>
            </w:r>
            <w:r w:rsidRPr="009C0665">
              <w:rPr>
                <w:noProof/>
                <w:spacing w:val="1"/>
                <w:szCs w:val="22"/>
                <w:lang w:val="sr-Latn-ME"/>
              </w:rPr>
              <w:t>t</w:t>
            </w:r>
            <w:r w:rsidRPr="009C0665">
              <w:rPr>
                <w:noProof/>
                <w:szCs w:val="22"/>
                <w:lang w:val="sr-Latn-ME"/>
              </w:rPr>
              <w:t>o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4ABB" w14:textId="23EDAC15" w:rsidR="00A63489" w:rsidRPr="009C0665" w:rsidRDefault="00A63489" w:rsidP="004C7864">
            <w:pPr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zCs w:val="22"/>
                <w:lang w:val="sr-Latn-ME"/>
              </w:rPr>
              <w:t>bol</w:t>
            </w:r>
            <w:r w:rsidRPr="009C0665">
              <w:rPr>
                <w:noProof/>
                <w:spacing w:val="1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zCs w:val="22"/>
                <w:lang w:val="sr-Latn-ME"/>
              </w:rPr>
              <w:t xml:space="preserve">u 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ž</w:t>
            </w:r>
            <w:r w:rsidRPr="009C0665">
              <w:rPr>
                <w:noProof/>
                <w:szCs w:val="22"/>
                <w:lang w:val="sr-Latn-ME"/>
              </w:rPr>
              <w:t>d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r</w:t>
            </w:r>
            <w:r w:rsidR="00DB4FD4" w:rsidRPr="009C0665">
              <w:rPr>
                <w:noProof/>
                <w:spacing w:val="-2"/>
                <w:szCs w:val="22"/>
                <w:lang w:val="sr-Latn-ME"/>
              </w:rPr>
              <w:t>ij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e</w:t>
            </w:r>
            <w:r w:rsidRPr="009C0665">
              <w:rPr>
                <w:noProof/>
                <w:spacing w:val="1"/>
                <w:szCs w:val="22"/>
                <w:lang w:val="sr-Latn-ME"/>
              </w:rPr>
              <w:t>l</w:t>
            </w:r>
            <w:r w:rsidRPr="009C0665">
              <w:rPr>
                <w:noProof/>
                <w:szCs w:val="22"/>
                <w:lang w:val="sr-Latn-ME"/>
              </w:rPr>
              <w:t>u</w:t>
            </w:r>
            <w:r w:rsidRPr="009C0665">
              <w:rPr>
                <w:noProof/>
                <w:spacing w:val="-2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zCs w:val="22"/>
                <w:lang w:val="sr-Latn-ME"/>
              </w:rPr>
              <w:t>i</w:t>
            </w:r>
            <w:r w:rsidRPr="009C0665">
              <w:rPr>
                <w:noProof/>
                <w:spacing w:val="1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g</w:t>
            </w:r>
            <w:r w:rsidRPr="009C0665">
              <w:rPr>
                <w:noProof/>
                <w:spacing w:val="1"/>
                <w:szCs w:val="22"/>
                <w:lang w:val="sr-Latn-ME"/>
              </w:rPr>
              <w:t>r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k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l</w:t>
            </w:r>
            <w:r w:rsidRPr="009C0665">
              <w:rPr>
                <w:noProof/>
                <w:spacing w:val="3"/>
                <w:szCs w:val="22"/>
                <w:lang w:val="sr-Latn-ME"/>
              </w:rPr>
              <w:t>j</w:t>
            </w:r>
            <w:r w:rsidRPr="009C0665">
              <w:rPr>
                <w:noProof/>
                <w:szCs w:val="22"/>
                <w:lang w:val="sr-Latn-ME"/>
              </w:rPr>
              <w:t>anu,</w:t>
            </w:r>
            <w:r w:rsidRPr="009C0665">
              <w:rPr>
                <w:noProof/>
                <w:spacing w:val="-2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zCs w:val="22"/>
                <w:lang w:val="sr-Latn-ME"/>
              </w:rPr>
              <w:t>n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az</w:t>
            </w:r>
            <w:r w:rsidRPr="009C0665">
              <w:rPr>
                <w:noProof/>
                <w:szCs w:val="22"/>
                <w:lang w:val="sr-Latn-ME"/>
              </w:rPr>
              <w:t>a</w:t>
            </w:r>
            <w:r w:rsidRPr="009C0665">
              <w:rPr>
                <w:noProof/>
                <w:spacing w:val="1"/>
                <w:szCs w:val="22"/>
                <w:lang w:val="sr-Latn-ME"/>
              </w:rPr>
              <w:t>l</w:t>
            </w:r>
            <w:r w:rsidRPr="009C0665">
              <w:rPr>
                <w:noProof/>
                <w:szCs w:val="22"/>
                <w:lang w:val="sr-Latn-ME"/>
              </w:rPr>
              <w:t>na</w:t>
            </w:r>
            <w:r w:rsidRPr="009C0665">
              <w:rPr>
                <w:noProof/>
                <w:spacing w:val="-2"/>
                <w:szCs w:val="22"/>
                <w:lang w:val="sr-Latn-ME"/>
              </w:rPr>
              <w:t xml:space="preserve"> k</w:t>
            </w:r>
            <w:r w:rsidRPr="009C0665">
              <w:rPr>
                <w:noProof/>
                <w:szCs w:val="22"/>
                <w:lang w:val="sr-Latn-ME"/>
              </w:rPr>
              <w:t>on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g</w:t>
            </w:r>
            <w:r w:rsidRPr="009C0665">
              <w:rPr>
                <w:noProof/>
                <w:szCs w:val="22"/>
                <w:lang w:val="sr-Latn-ME"/>
              </w:rPr>
              <w:t>es</w:t>
            </w:r>
            <w:r w:rsidRPr="009C0665">
              <w:rPr>
                <w:noProof/>
                <w:spacing w:val="1"/>
                <w:szCs w:val="22"/>
                <w:lang w:val="sr-Latn-ME"/>
              </w:rPr>
              <w:t>t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i</w:t>
            </w:r>
            <w:r w:rsidRPr="009C0665">
              <w:rPr>
                <w:noProof/>
                <w:spacing w:val="3"/>
                <w:szCs w:val="22"/>
                <w:lang w:val="sr-Latn-ME"/>
              </w:rPr>
              <w:t>j</w:t>
            </w:r>
            <w:r w:rsidRPr="009C0665">
              <w:rPr>
                <w:noProof/>
                <w:szCs w:val="22"/>
                <w:lang w:val="sr-Latn-ME"/>
              </w:rPr>
              <w:t xml:space="preserve">a, 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k</w:t>
            </w:r>
            <w:r w:rsidRPr="009C0665">
              <w:rPr>
                <w:noProof/>
                <w:szCs w:val="22"/>
                <w:lang w:val="sr-Latn-ME"/>
              </w:rPr>
              <w:t>aš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a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l</w:t>
            </w:r>
            <w:r w:rsidRPr="009C0665">
              <w:rPr>
                <w:noProof/>
                <w:szCs w:val="22"/>
                <w:lang w:val="sr-Latn-ME"/>
              </w:rPr>
              <w:t>j</w:t>
            </w:r>
          </w:p>
        </w:tc>
      </w:tr>
      <w:tr w:rsidR="00A63489" w:rsidRPr="009C0665" w14:paraId="3D5BCA7C" w14:textId="77777777" w:rsidTr="007352AF">
        <w:trPr>
          <w:trHeight w:hRule="exact" w:val="255"/>
        </w:trPr>
        <w:tc>
          <w:tcPr>
            <w:tcW w:w="3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6256" w14:textId="77777777" w:rsidR="00A63489" w:rsidRPr="009C0665" w:rsidRDefault="00A63489" w:rsidP="004C7864">
            <w:pPr>
              <w:jc w:val="left"/>
              <w:rPr>
                <w:iCs/>
                <w:noProof/>
                <w:szCs w:val="22"/>
                <w:lang w:val="sr-Latn-ME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74E17" w14:textId="0D8A8470" w:rsidR="00A63489" w:rsidRPr="009C0665" w:rsidRDefault="00A63489" w:rsidP="004C7864">
            <w:pPr>
              <w:spacing w:line="246" w:lineRule="exact"/>
              <w:rPr>
                <w:noProof/>
                <w:spacing w:val="-1"/>
                <w:szCs w:val="22"/>
                <w:lang w:val="sr-Latn-ME"/>
              </w:rPr>
            </w:pPr>
            <w:r w:rsidRPr="009C0665">
              <w:rPr>
                <w:noProof/>
                <w:spacing w:val="-1"/>
                <w:szCs w:val="22"/>
                <w:lang w:val="sr-Latn-ME"/>
              </w:rPr>
              <w:t>Nepoznato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A1D3" w14:textId="3DAC16D1" w:rsidR="00A63489" w:rsidRPr="009C0665" w:rsidRDefault="00DB4FD4" w:rsidP="004C7864">
            <w:pPr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zCs w:val="22"/>
                <w:lang w:val="sr-Latn-ME"/>
              </w:rPr>
              <w:t>i</w:t>
            </w:r>
            <w:r w:rsidR="00A63489" w:rsidRPr="009C0665">
              <w:rPr>
                <w:noProof/>
                <w:szCs w:val="22"/>
                <w:lang w:val="sr-Latn-ME"/>
              </w:rPr>
              <w:t>ntersticijalna bolest pluća</w:t>
            </w:r>
          </w:p>
        </w:tc>
      </w:tr>
      <w:tr w:rsidR="00847271" w:rsidRPr="009C0665" w14:paraId="38FF06F4" w14:textId="77777777" w:rsidTr="007352AF">
        <w:trPr>
          <w:trHeight w:hRule="exact" w:val="1022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F4C8" w14:textId="77777777" w:rsidR="00847271" w:rsidRPr="009C0665" w:rsidRDefault="00847271" w:rsidP="004C7864">
            <w:pPr>
              <w:spacing w:line="246" w:lineRule="exact"/>
              <w:jc w:val="lef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zCs w:val="22"/>
                <w:lang w:val="sr-Latn-ME"/>
              </w:rPr>
              <w:t>Gastrointestinalni poremećaji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67C6A" w14:textId="77777777" w:rsidR="00847271" w:rsidRPr="009C0665" w:rsidRDefault="00847271" w:rsidP="004C7864">
            <w:pPr>
              <w:spacing w:line="246" w:lineRule="exac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pacing w:val="-1"/>
                <w:szCs w:val="22"/>
                <w:lang w:val="sr-Latn-ME"/>
              </w:rPr>
              <w:t>Č</w:t>
            </w:r>
            <w:r w:rsidRPr="009C0665">
              <w:rPr>
                <w:noProof/>
                <w:szCs w:val="22"/>
                <w:lang w:val="sr-Latn-ME"/>
              </w:rPr>
              <w:t>es</w:t>
            </w:r>
            <w:r w:rsidRPr="009C0665">
              <w:rPr>
                <w:noProof/>
                <w:spacing w:val="1"/>
                <w:szCs w:val="22"/>
                <w:lang w:val="sr-Latn-ME"/>
              </w:rPr>
              <w:t>t</w:t>
            </w:r>
            <w:r w:rsidRPr="009C0665">
              <w:rPr>
                <w:noProof/>
                <w:szCs w:val="22"/>
                <w:lang w:val="sr-Latn-ME"/>
              </w:rPr>
              <w:t>o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FCD97" w14:textId="04173CB1" w:rsidR="00847271" w:rsidRPr="009C0665" w:rsidRDefault="00847271" w:rsidP="004C7864">
            <w:pPr>
              <w:spacing w:line="249" w:lineRule="exact"/>
              <w:jc w:val="lef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zCs w:val="22"/>
                <w:lang w:val="sr-Latn-ME"/>
              </w:rPr>
              <w:t>ana</w:t>
            </w:r>
            <w:r w:rsidRPr="009C0665">
              <w:rPr>
                <w:noProof/>
                <w:spacing w:val="1"/>
                <w:szCs w:val="22"/>
                <w:lang w:val="sr-Latn-ME"/>
              </w:rPr>
              <w:t>l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n</w:t>
            </w:r>
            <w:r w:rsidRPr="009C0665">
              <w:rPr>
                <w:noProof/>
                <w:szCs w:val="22"/>
                <w:lang w:val="sr-Latn-ME"/>
              </w:rPr>
              <w:t>i</w:t>
            </w:r>
            <w:r w:rsidRPr="009C0665">
              <w:rPr>
                <w:noProof/>
                <w:spacing w:val="1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a</w:t>
            </w:r>
            <w:r w:rsidRPr="009C0665">
              <w:rPr>
                <w:noProof/>
                <w:szCs w:val="22"/>
                <w:lang w:val="sr-Latn-ME"/>
              </w:rPr>
              <w:t>ps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c</w:t>
            </w:r>
            <w:r w:rsidRPr="009C0665">
              <w:rPr>
                <w:noProof/>
                <w:szCs w:val="22"/>
                <w:lang w:val="sr-Latn-ME"/>
              </w:rPr>
              <w:t>es, a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n</w:t>
            </w:r>
            <w:r w:rsidRPr="009C0665">
              <w:rPr>
                <w:noProof/>
                <w:szCs w:val="22"/>
                <w:lang w:val="sr-Latn-ME"/>
              </w:rPr>
              <w:t>a</w:t>
            </w:r>
            <w:r w:rsidRPr="009C0665">
              <w:rPr>
                <w:noProof/>
                <w:spacing w:val="1"/>
                <w:szCs w:val="22"/>
                <w:lang w:val="sr-Latn-ME"/>
              </w:rPr>
              <w:t>l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n</w:t>
            </w:r>
            <w:r w:rsidRPr="009C0665">
              <w:rPr>
                <w:noProof/>
                <w:szCs w:val="22"/>
                <w:lang w:val="sr-Latn-ME"/>
              </w:rPr>
              <w:t>a</w:t>
            </w:r>
            <w:r w:rsidRPr="009C0665">
              <w:rPr>
                <w:noProof/>
                <w:spacing w:val="1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f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Pr="009C0665">
              <w:rPr>
                <w:noProof/>
                <w:szCs w:val="22"/>
                <w:lang w:val="sr-Latn-ME"/>
              </w:rPr>
              <w:t>s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u</w:t>
            </w:r>
            <w:r w:rsidRPr="009C0665">
              <w:rPr>
                <w:noProof/>
                <w:spacing w:val="1"/>
                <w:szCs w:val="22"/>
                <w:lang w:val="sr-Latn-ME"/>
              </w:rPr>
              <w:t>r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a</w:t>
            </w:r>
            <w:r w:rsidRPr="009C0665">
              <w:rPr>
                <w:noProof/>
                <w:szCs w:val="22"/>
                <w:lang w:val="sr-Latn-ME"/>
              </w:rPr>
              <w:t>,</w:t>
            </w:r>
            <w:r w:rsidR="007A5DDB" w:rsidRPr="009C0665">
              <w:rPr>
                <w:noProof/>
                <w:spacing w:val="-4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pacing w:val="-4"/>
                <w:szCs w:val="22"/>
                <w:lang w:val="sr-Latn-ME"/>
              </w:rPr>
              <w:t>m</w:t>
            </w:r>
            <w:r w:rsidRPr="009C0665">
              <w:rPr>
                <w:noProof/>
                <w:szCs w:val="22"/>
                <w:lang w:val="sr-Latn-ME"/>
              </w:rPr>
              <w:t>učn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Pr="009C0665">
              <w:rPr>
                <w:noProof/>
                <w:szCs w:val="22"/>
                <w:lang w:val="sr-Latn-ME"/>
              </w:rPr>
              <w:t>na, d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i</w:t>
            </w:r>
            <w:r w:rsidRPr="009C0665">
              <w:rPr>
                <w:noProof/>
                <w:szCs w:val="22"/>
                <w:lang w:val="sr-Latn-ME"/>
              </w:rPr>
              <w:t>spep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s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i</w:t>
            </w:r>
            <w:r w:rsidRPr="009C0665">
              <w:rPr>
                <w:noProof/>
                <w:spacing w:val="1"/>
                <w:szCs w:val="22"/>
                <w:lang w:val="sr-Latn-ME"/>
              </w:rPr>
              <w:t>j</w:t>
            </w:r>
            <w:r w:rsidRPr="009C0665">
              <w:rPr>
                <w:noProof/>
                <w:szCs w:val="22"/>
                <w:lang w:val="sr-Latn-ME"/>
              </w:rPr>
              <w:t xml:space="preserve">a, 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k</w:t>
            </w:r>
            <w:r w:rsidRPr="009C0665">
              <w:rPr>
                <w:noProof/>
                <w:szCs w:val="22"/>
                <w:lang w:val="sr-Latn-ME"/>
              </w:rPr>
              <w:t>ons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ti</w:t>
            </w:r>
            <w:r w:rsidRPr="009C0665">
              <w:rPr>
                <w:noProof/>
                <w:szCs w:val="22"/>
                <w:lang w:val="sr-Latn-ME"/>
              </w:rPr>
              <w:t>pac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i</w:t>
            </w:r>
            <w:r w:rsidRPr="009C0665">
              <w:rPr>
                <w:noProof/>
                <w:spacing w:val="1"/>
                <w:szCs w:val="22"/>
                <w:lang w:val="sr-Latn-ME"/>
              </w:rPr>
              <w:t>j</w:t>
            </w:r>
            <w:r w:rsidRPr="009C0665">
              <w:rPr>
                <w:noProof/>
                <w:szCs w:val="22"/>
                <w:lang w:val="sr-Latn-ME"/>
              </w:rPr>
              <w:t>a, abdo</w:t>
            </w:r>
            <w:r w:rsidRPr="009C0665">
              <w:rPr>
                <w:noProof/>
                <w:spacing w:val="-4"/>
                <w:szCs w:val="22"/>
                <w:lang w:val="sr-Latn-ME"/>
              </w:rPr>
              <w:t>m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Pr="009C0665">
              <w:rPr>
                <w:noProof/>
                <w:szCs w:val="22"/>
                <w:lang w:val="sr-Latn-ME"/>
              </w:rPr>
              <w:t>na</w:t>
            </w:r>
            <w:r w:rsidRPr="009C0665">
              <w:rPr>
                <w:noProof/>
                <w:spacing w:val="1"/>
                <w:szCs w:val="22"/>
                <w:lang w:val="sr-Latn-ME"/>
              </w:rPr>
              <w:t>l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n</w:t>
            </w:r>
            <w:r w:rsidRPr="009C0665">
              <w:rPr>
                <w:noProof/>
                <w:szCs w:val="22"/>
                <w:lang w:val="sr-Latn-ME"/>
              </w:rPr>
              <w:t>a</w:t>
            </w:r>
            <w:r w:rsidRPr="009C0665">
              <w:rPr>
                <w:noProof/>
                <w:spacing w:val="1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zCs w:val="22"/>
                <w:lang w:val="sr-Latn-ME"/>
              </w:rPr>
              <w:t>d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i</w:t>
            </w:r>
            <w:r w:rsidRPr="009C0665">
              <w:rPr>
                <w:noProof/>
                <w:szCs w:val="22"/>
                <w:lang w:val="sr-Latn-ME"/>
              </w:rPr>
              <w:t>s</w:t>
            </w:r>
            <w:r w:rsidRPr="009C0665">
              <w:rPr>
                <w:noProof/>
                <w:spacing w:val="1"/>
                <w:szCs w:val="22"/>
                <w:lang w:val="sr-Latn-ME"/>
              </w:rPr>
              <w:t>t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e</w:t>
            </w:r>
            <w:r w:rsidRPr="009C0665">
              <w:rPr>
                <w:noProof/>
                <w:szCs w:val="22"/>
                <w:lang w:val="sr-Latn-ME"/>
              </w:rPr>
              <w:t>n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z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i</w:t>
            </w:r>
            <w:r w:rsidRPr="009C0665">
              <w:rPr>
                <w:noProof/>
                <w:spacing w:val="3"/>
                <w:szCs w:val="22"/>
                <w:lang w:val="sr-Latn-ME"/>
              </w:rPr>
              <w:t>j</w:t>
            </w:r>
            <w:r w:rsidRPr="009C0665">
              <w:rPr>
                <w:noProof/>
                <w:szCs w:val="22"/>
                <w:lang w:val="sr-Latn-ME"/>
              </w:rPr>
              <w:t>a,</w:t>
            </w:r>
            <w:r w:rsidRPr="009C0665">
              <w:rPr>
                <w:noProof/>
                <w:spacing w:val="-2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pacing w:val="1"/>
                <w:szCs w:val="22"/>
                <w:lang w:val="sr-Latn-ME"/>
              </w:rPr>
              <w:t>f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l</w:t>
            </w:r>
            <w:r w:rsidRPr="009C0665">
              <w:rPr>
                <w:noProof/>
                <w:szCs w:val="22"/>
                <w:lang w:val="sr-Latn-ME"/>
              </w:rPr>
              <w:t>a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t</w:t>
            </w:r>
            <w:r w:rsidRPr="009C0665">
              <w:rPr>
                <w:noProof/>
                <w:szCs w:val="22"/>
                <w:lang w:val="sr-Latn-ME"/>
              </w:rPr>
              <w:t>u</w:t>
            </w:r>
            <w:r w:rsidRPr="009C0665">
              <w:rPr>
                <w:noProof/>
                <w:spacing w:val="1"/>
                <w:szCs w:val="22"/>
                <w:lang w:val="sr-Latn-ME"/>
              </w:rPr>
              <w:t>l</w:t>
            </w:r>
            <w:r w:rsidRPr="009C0665">
              <w:rPr>
                <w:noProof/>
                <w:szCs w:val="22"/>
                <w:lang w:val="sr-Latn-ME"/>
              </w:rPr>
              <w:t>en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c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i</w:t>
            </w:r>
            <w:r w:rsidRPr="009C0665">
              <w:rPr>
                <w:noProof/>
                <w:spacing w:val="1"/>
                <w:szCs w:val="22"/>
                <w:lang w:val="sr-Latn-ME"/>
              </w:rPr>
              <w:t>j</w:t>
            </w:r>
            <w:r w:rsidRPr="009C0665">
              <w:rPr>
                <w:noProof/>
                <w:szCs w:val="22"/>
                <w:lang w:val="sr-Latn-ME"/>
              </w:rPr>
              <w:t>a,</w:t>
            </w:r>
            <w:r w:rsidR="007A5DDB" w:rsidRPr="009C0665">
              <w:rPr>
                <w:noProof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zCs w:val="22"/>
                <w:lang w:val="sr-Latn-ME"/>
              </w:rPr>
              <w:t>he</w:t>
            </w:r>
            <w:r w:rsidRPr="009C0665">
              <w:rPr>
                <w:noProof/>
                <w:spacing w:val="-4"/>
                <w:szCs w:val="22"/>
                <w:lang w:val="sr-Latn-ME"/>
              </w:rPr>
              <w:t>m</w:t>
            </w:r>
            <w:r w:rsidRPr="009C0665">
              <w:rPr>
                <w:noProof/>
                <w:szCs w:val="22"/>
                <w:lang w:val="sr-Latn-ME"/>
              </w:rPr>
              <w:t>o</w:t>
            </w:r>
            <w:r w:rsidRPr="009C0665">
              <w:rPr>
                <w:noProof/>
                <w:spacing w:val="1"/>
                <w:szCs w:val="22"/>
                <w:lang w:val="sr-Latn-ME"/>
              </w:rPr>
              <w:t>r</w:t>
            </w:r>
            <w:r w:rsidRPr="009C0665">
              <w:rPr>
                <w:noProof/>
                <w:szCs w:val="22"/>
                <w:lang w:val="sr-Latn-ME"/>
              </w:rPr>
              <w:t>o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Pr="009C0665">
              <w:rPr>
                <w:noProof/>
                <w:szCs w:val="22"/>
                <w:lang w:val="sr-Latn-ME"/>
              </w:rPr>
              <w:t>di</w:t>
            </w:r>
            <w:r w:rsidR="00E00F81" w:rsidRPr="009C0665">
              <w:rPr>
                <w:noProof/>
                <w:szCs w:val="22"/>
                <w:lang w:val="sr-Latn-ME"/>
              </w:rPr>
              <w:t>, rektalno krva</w:t>
            </w:r>
            <w:r w:rsidR="00AC1ED8" w:rsidRPr="009C0665">
              <w:rPr>
                <w:noProof/>
                <w:szCs w:val="22"/>
                <w:lang w:val="sr-Latn-ME"/>
              </w:rPr>
              <w:t>r</w:t>
            </w:r>
            <w:r w:rsidR="00E00F81" w:rsidRPr="009C0665">
              <w:rPr>
                <w:noProof/>
                <w:szCs w:val="22"/>
                <w:lang w:val="sr-Latn-ME"/>
              </w:rPr>
              <w:t>enje*</w:t>
            </w:r>
          </w:p>
        </w:tc>
      </w:tr>
      <w:tr w:rsidR="00847271" w:rsidRPr="009C0665" w14:paraId="633E16D9" w14:textId="77777777" w:rsidTr="007352AF">
        <w:trPr>
          <w:trHeight w:hRule="exact" w:val="516"/>
        </w:trPr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A841A" w14:textId="77777777" w:rsidR="00847271" w:rsidRPr="009C0665" w:rsidRDefault="00847271" w:rsidP="004C7864">
            <w:pPr>
              <w:spacing w:line="246" w:lineRule="exact"/>
              <w:jc w:val="lef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zCs w:val="22"/>
                <w:lang w:val="sr-Latn-ME"/>
              </w:rPr>
              <w:t>Po</w:t>
            </w:r>
            <w:r w:rsidRPr="009C0665">
              <w:rPr>
                <w:noProof/>
                <w:spacing w:val="1"/>
                <w:szCs w:val="22"/>
                <w:lang w:val="sr-Latn-ME"/>
              </w:rPr>
              <w:t>r</w:t>
            </w:r>
            <w:r w:rsidRPr="009C0665">
              <w:rPr>
                <w:noProof/>
                <w:szCs w:val="22"/>
                <w:lang w:val="sr-Latn-ME"/>
              </w:rPr>
              <w:t>e</w:t>
            </w:r>
            <w:r w:rsidRPr="009C0665">
              <w:rPr>
                <w:noProof/>
                <w:spacing w:val="-4"/>
                <w:szCs w:val="22"/>
                <w:lang w:val="sr-Latn-ME"/>
              </w:rPr>
              <w:t>m</w:t>
            </w:r>
            <w:r w:rsidRPr="009C0665">
              <w:rPr>
                <w:noProof/>
                <w:szCs w:val="22"/>
                <w:lang w:val="sr-Latn-ME"/>
              </w:rPr>
              <w:t>eć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a</w:t>
            </w:r>
            <w:r w:rsidRPr="009C0665">
              <w:rPr>
                <w:noProof/>
                <w:spacing w:val="1"/>
                <w:szCs w:val="22"/>
                <w:lang w:val="sr-Latn-ME"/>
              </w:rPr>
              <w:t>j</w:t>
            </w:r>
            <w:r w:rsidRPr="009C0665">
              <w:rPr>
                <w:noProof/>
                <w:szCs w:val="22"/>
                <w:lang w:val="sr-Latn-ME"/>
              </w:rPr>
              <w:t>i</w:t>
            </w:r>
            <w:r w:rsidRPr="009C0665">
              <w:rPr>
                <w:noProof/>
                <w:spacing w:val="1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k</w:t>
            </w:r>
            <w:r w:rsidRPr="009C0665">
              <w:rPr>
                <w:noProof/>
                <w:szCs w:val="22"/>
                <w:lang w:val="sr-Latn-ME"/>
              </w:rPr>
              <w:t>o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ž</w:t>
            </w:r>
            <w:r w:rsidRPr="009C0665">
              <w:rPr>
                <w:noProof/>
                <w:szCs w:val="22"/>
                <w:lang w:val="sr-Latn-ME"/>
              </w:rPr>
              <w:t>e</w:t>
            </w:r>
            <w:r w:rsidRPr="009C0665">
              <w:rPr>
                <w:noProof/>
                <w:spacing w:val="1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zCs w:val="22"/>
                <w:lang w:val="sr-Latn-ME"/>
              </w:rPr>
              <w:t>i</w:t>
            </w:r>
            <w:r w:rsidRPr="009C0665">
              <w:rPr>
                <w:noProof/>
                <w:spacing w:val="1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zCs w:val="22"/>
                <w:lang w:val="sr-Latn-ME"/>
              </w:rPr>
              <w:t>po</w:t>
            </w:r>
            <w:r w:rsidRPr="009C0665">
              <w:rPr>
                <w:noProof/>
                <w:spacing w:val="1"/>
                <w:szCs w:val="22"/>
                <w:lang w:val="sr-Latn-ME"/>
              </w:rPr>
              <w:t>t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k</w:t>
            </w:r>
            <w:r w:rsidRPr="009C0665">
              <w:rPr>
                <w:noProof/>
                <w:szCs w:val="22"/>
                <w:lang w:val="sr-Latn-ME"/>
              </w:rPr>
              <w:t>o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ž</w:t>
            </w:r>
            <w:r w:rsidRPr="009C0665">
              <w:rPr>
                <w:noProof/>
                <w:szCs w:val="22"/>
                <w:lang w:val="sr-Latn-ME"/>
              </w:rPr>
              <w:t xml:space="preserve">nog </w:t>
            </w:r>
            <w:r w:rsidRPr="009C0665">
              <w:rPr>
                <w:noProof/>
                <w:spacing w:val="1"/>
                <w:szCs w:val="22"/>
                <w:lang w:val="sr-Latn-ME"/>
              </w:rPr>
              <w:t>t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k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va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A9B88" w14:textId="77777777" w:rsidR="00847271" w:rsidRPr="009C0665" w:rsidRDefault="00847271" w:rsidP="004C7864">
            <w:pPr>
              <w:spacing w:line="246" w:lineRule="exac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pacing w:val="-1"/>
                <w:szCs w:val="22"/>
                <w:lang w:val="sr-Latn-ME"/>
              </w:rPr>
              <w:t>Č</w:t>
            </w:r>
            <w:r w:rsidRPr="009C0665">
              <w:rPr>
                <w:noProof/>
                <w:szCs w:val="22"/>
                <w:lang w:val="sr-Latn-ME"/>
              </w:rPr>
              <w:t>es</w:t>
            </w:r>
            <w:r w:rsidRPr="009C0665">
              <w:rPr>
                <w:noProof/>
                <w:spacing w:val="1"/>
                <w:szCs w:val="22"/>
                <w:lang w:val="sr-Latn-ME"/>
              </w:rPr>
              <w:t>t</w:t>
            </w:r>
            <w:r w:rsidRPr="009C0665">
              <w:rPr>
                <w:noProof/>
                <w:szCs w:val="22"/>
                <w:lang w:val="sr-Latn-ME"/>
              </w:rPr>
              <w:t>o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D9231" w14:textId="77777777" w:rsidR="00847271" w:rsidRPr="009C0665" w:rsidRDefault="00847271" w:rsidP="004C7864">
            <w:pPr>
              <w:spacing w:line="252" w:lineRule="exac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zCs w:val="22"/>
                <w:lang w:val="sr-Latn-ME"/>
              </w:rPr>
              <w:t>os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Pr="009C0665">
              <w:rPr>
                <w:noProof/>
                <w:szCs w:val="22"/>
                <w:lang w:val="sr-Latn-ME"/>
              </w:rPr>
              <w:t>p,</w:t>
            </w:r>
            <w:r w:rsidRPr="009C0665">
              <w:rPr>
                <w:noProof/>
                <w:spacing w:val="-2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zCs w:val="22"/>
                <w:lang w:val="sr-Latn-ME"/>
              </w:rPr>
              <w:t>p</w:t>
            </w:r>
            <w:r w:rsidRPr="009C0665">
              <w:rPr>
                <w:noProof/>
                <w:spacing w:val="1"/>
                <w:szCs w:val="22"/>
                <w:lang w:val="sr-Latn-ME"/>
              </w:rPr>
              <w:t>r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u</w:t>
            </w:r>
            <w:r w:rsidRPr="009C0665">
              <w:rPr>
                <w:noProof/>
                <w:spacing w:val="1"/>
                <w:szCs w:val="22"/>
                <w:lang w:val="sr-Latn-ME"/>
              </w:rPr>
              <w:t>r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i</w:t>
            </w:r>
            <w:r w:rsidRPr="009C0665">
              <w:rPr>
                <w:noProof/>
                <w:spacing w:val="1"/>
                <w:szCs w:val="22"/>
                <w:lang w:val="sr-Latn-ME"/>
              </w:rPr>
              <w:t>t</w:t>
            </w:r>
            <w:r w:rsidRPr="009C0665">
              <w:rPr>
                <w:noProof/>
                <w:szCs w:val="22"/>
                <w:lang w:val="sr-Latn-ME"/>
              </w:rPr>
              <w:t>us,</w:t>
            </w:r>
            <w:r w:rsidRPr="009C0665">
              <w:rPr>
                <w:noProof/>
                <w:spacing w:val="-2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zCs w:val="22"/>
                <w:lang w:val="sr-Latn-ME"/>
              </w:rPr>
              <w:t>e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k</w:t>
            </w:r>
            <w:r w:rsidRPr="009C0665">
              <w:rPr>
                <w:noProof/>
                <w:szCs w:val="22"/>
                <w:lang w:val="sr-Latn-ME"/>
              </w:rPr>
              <w:t>ce</w:t>
            </w:r>
            <w:r w:rsidRPr="009C0665">
              <w:rPr>
                <w:noProof/>
                <w:spacing w:val="-4"/>
                <w:szCs w:val="22"/>
                <w:lang w:val="sr-Latn-ME"/>
              </w:rPr>
              <w:t>m</w:t>
            </w:r>
            <w:r w:rsidRPr="009C0665">
              <w:rPr>
                <w:noProof/>
                <w:szCs w:val="22"/>
                <w:lang w:val="sr-Latn-ME"/>
              </w:rPr>
              <w:t>, e</w:t>
            </w:r>
            <w:r w:rsidRPr="009C0665">
              <w:rPr>
                <w:noProof/>
                <w:spacing w:val="1"/>
                <w:szCs w:val="22"/>
                <w:lang w:val="sr-Latn-ME"/>
              </w:rPr>
              <w:t>rit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e</w:t>
            </w:r>
            <w:r w:rsidRPr="009C0665">
              <w:rPr>
                <w:noProof/>
                <w:spacing w:val="-4"/>
                <w:szCs w:val="22"/>
                <w:lang w:val="sr-Latn-ME"/>
              </w:rPr>
              <w:t>m</w:t>
            </w:r>
            <w:r w:rsidRPr="009C0665">
              <w:rPr>
                <w:noProof/>
                <w:szCs w:val="22"/>
                <w:lang w:val="sr-Latn-ME"/>
              </w:rPr>
              <w:t>, noćno</w:t>
            </w:r>
            <w:r w:rsidR="007A5DDB" w:rsidRPr="009C0665">
              <w:rPr>
                <w:noProof/>
                <w:spacing w:val="-2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z</w:t>
            </w:r>
            <w:r w:rsidRPr="009C0665">
              <w:rPr>
                <w:noProof/>
                <w:szCs w:val="22"/>
                <w:lang w:val="sr-Latn-ME"/>
              </w:rPr>
              <w:t>no</w:t>
            </w:r>
            <w:r w:rsidRPr="009C0665">
              <w:rPr>
                <w:noProof/>
                <w:spacing w:val="3"/>
                <w:szCs w:val="22"/>
                <w:lang w:val="sr-Latn-ME"/>
              </w:rPr>
              <w:t>j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en</w:t>
            </w:r>
            <w:r w:rsidRPr="009C0665">
              <w:rPr>
                <w:noProof/>
                <w:spacing w:val="3"/>
                <w:szCs w:val="22"/>
                <w:lang w:val="sr-Latn-ME"/>
              </w:rPr>
              <w:t>j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e</w:t>
            </w:r>
            <w:r w:rsidRPr="009C0665">
              <w:rPr>
                <w:noProof/>
                <w:szCs w:val="22"/>
                <w:lang w:val="sr-Latn-ME"/>
              </w:rPr>
              <w:t>, a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k</w:t>
            </w:r>
            <w:r w:rsidRPr="009C0665">
              <w:rPr>
                <w:noProof/>
                <w:szCs w:val="22"/>
                <w:lang w:val="sr-Latn-ME"/>
              </w:rPr>
              <w:t>ne</w:t>
            </w:r>
          </w:p>
        </w:tc>
      </w:tr>
      <w:tr w:rsidR="00847271" w:rsidRPr="009C0665" w14:paraId="2024E96A" w14:textId="77777777" w:rsidTr="007352AF">
        <w:trPr>
          <w:trHeight w:hRule="exact" w:val="262"/>
        </w:trPr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F73BF" w14:textId="77777777" w:rsidR="00847271" w:rsidRPr="009C0665" w:rsidRDefault="00847271" w:rsidP="004C7864">
            <w:pPr>
              <w:tabs>
                <w:tab w:val="clear" w:pos="284"/>
              </w:tabs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85C52" w14:textId="77777777" w:rsidR="00847271" w:rsidRPr="009C0665" w:rsidRDefault="00847271" w:rsidP="004C7864">
            <w:pPr>
              <w:spacing w:line="246" w:lineRule="exac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zCs w:val="22"/>
                <w:lang w:val="sr-Latn-ME"/>
              </w:rPr>
              <w:t>Povremeno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AB23E" w14:textId="0A800E06" w:rsidR="00847271" w:rsidRPr="009C0665" w:rsidRDefault="00AC1ED8" w:rsidP="004C7864">
            <w:pPr>
              <w:spacing w:line="246" w:lineRule="exac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pacing w:val="1"/>
                <w:szCs w:val="22"/>
                <w:lang w:val="sr-Latn-ME"/>
              </w:rPr>
              <w:t>f</w:t>
            </w:r>
            <w:r w:rsidR="00847271" w:rsidRPr="009C0665">
              <w:rPr>
                <w:noProof/>
                <w:szCs w:val="22"/>
                <w:lang w:val="sr-Latn-ME"/>
              </w:rPr>
              <w:t>o</w:t>
            </w:r>
            <w:r w:rsidR="00847271" w:rsidRPr="009C0665">
              <w:rPr>
                <w:noProof/>
                <w:spacing w:val="-1"/>
                <w:szCs w:val="22"/>
                <w:lang w:val="sr-Latn-ME"/>
              </w:rPr>
              <w:t>l</w:t>
            </w:r>
            <w:r w:rsidR="00847271"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="00847271" w:rsidRPr="009C0665">
              <w:rPr>
                <w:noProof/>
                <w:spacing w:val="-2"/>
                <w:szCs w:val="22"/>
                <w:lang w:val="sr-Latn-ME"/>
              </w:rPr>
              <w:t>k</w:t>
            </w:r>
            <w:r w:rsidR="00847271" w:rsidRPr="009C0665">
              <w:rPr>
                <w:noProof/>
                <w:szCs w:val="22"/>
                <w:lang w:val="sr-Latn-ME"/>
              </w:rPr>
              <w:t>u</w:t>
            </w:r>
            <w:r w:rsidR="00847271" w:rsidRPr="009C0665">
              <w:rPr>
                <w:noProof/>
                <w:spacing w:val="1"/>
                <w:szCs w:val="22"/>
                <w:lang w:val="sr-Latn-ME"/>
              </w:rPr>
              <w:t>l</w:t>
            </w:r>
            <w:r w:rsidR="00847271" w:rsidRPr="009C0665">
              <w:rPr>
                <w:noProof/>
                <w:spacing w:val="-1"/>
                <w:szCs w:val="22"/>
                <w:lang w:val="sr-Latn-ME"/>
              </w:rPr>
              <w:t>i</w:t>
            </w:r>
            <w:r w:rsidR="00847271" w:rsidRPr="009C0665">
              <w:rPr>
                <w:noProof/>
                <w:spacing w:val="1"/>
                <w:szCs w:val="22"/>
                <w:lang w:val="sr-Latn-ME"/>
              </w:rPr>
              <w:t>tis</w:t>
            </w:r>
          </w:p>
        </w:tc>
      </w:tr>
      <w:tr w:rsidR="00847271" w:rsidRPr="009C0665" w14:paraId="3857E7D5" w14:textId="77777777" w:rsidTr="007352AF">
        <w:trPr>
          <w:trHeight w:hRule="exact" w:val="264"/>
        </w:trPr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B48C5" w14:textId="77777777" w:rsidR="00847271" w:rsidRPr="009C0665" w:rsidRDefault="00847271" w:rsidP="004C7864">
            <w:pPr>
              <w:spacing w:line="246" w:lineRule="exact"/>
              <w:jc w:val="lef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zCs w:val="22"/>
                <w:lang w:val="sr-Latn-ME"/>
              </w:rPr>
              <w:t>Po</w:t>
            </w:r>
            <w:r w:rsidRPr="009C0665">
              <w:rPr>
                <w:noProof/>
                <w:spacing w:val="1"/>
                <w:szCs w:val="22"/>
                <w:lang w:val="sr-Latn-ME"/>
              </w:rPr>
              <w:t>r</w:t>
            </w:r>
            <w:r w:rsidRPr="009C0665">
              <w:rPr>
                <w:noProof/>
                <w:szCs w:val="22"/>
                <w:lang w:val="sr-Latn-ME"/>
              </w:rPr>
              <w:t>e</w:t>
            </w:r>
            <w:r w:rsidRPr="009C0665">
              <w:rPr>
                <w:noProof/>
                <w:spacing w:val="-4"/>
                <w:szCs w:val="22"/>
                <w:lang w:val="sr-Latn-ME"/>
              </w:rPr>
              <w:t>m</w:t>
            </w:r>
            <w:r w:rsidRPr="009C0665">
              <w:rPr>
                <w:noProof/>
                <w:szCs w:val="22"/>
                <w:lang w:val="sr-Latn-ME"/>
              </w:rPr>
              <w:t>eć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a</w:t>
            </w:r>
            <w:r w:rsidRPr="009C0665">
              <w:rPr>
                <w:noProof/>
                <w:spacing w:val="1"/>
                <w:szCs w:val="22"/>
                <w:lang w:val="sr-Latn-ME"/>
              </w:rPr>
              <w:t>j</w:t>
            </w:r>
            <w:r w:rsidRPr="009C0665">
              <w:rPr>
                <w:noProof/>
                <w:szCs w:val="22"/>
                <w:lang w:val="sr-Latn-ME"/>
              </w:rPr>
              <w:t>i</w:t>
            </w:r>
            <w:r w:rsidRPr="009C0665">
              <w:rPr>
                <w:noProof/>
                <w:spacing w:val="1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pacing w:val="-4"/>
                <w:szCs w:val="22"/>
                <w:lang w:val="sr-Latn-ME"/>
              </w:rPr>
              <w:t>m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Pr="009C0665">
              <w:rPr>
                <w:noProof/>
                <w:szCs w:val="22"/>
                <w:lang w:val="sr-Latn-ME"/>
              </w:rPr>
              <w:t>š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Pr="009C0665">
              <w:rPr>
                <w:noProof/>
                <w:szCs w:val="22"/>
                <w:lang w:val="sr-Latn-ME"/>
              </w:rPr>
              <w:t>ćn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o</w:t>
            </w:r>
            <w:r w:rsidRPr="009C0665">
              <w:rPr>
                <w:noProof/>
                <w:spacing w:val="-4"/>
                <w:szCs w:val="22"/>
                <w:lang w:val="sr-Latn-ME"/>
              </w:rPr>
              <w:t>-</w:t>
            </w:r>
            <w:r w:rsidR="004B73DB" w:rsidRPr="009C0665">
              <w:rPr>
                <w:noProof/>
                <w:spacing w:val="-2"/>
                <w:szCs w:val="22"/>
                <w:lang w:val="sr-Latn-ME"/>
              </w:rPr>
              <w:t>koštanog</w:t>
            </w:r>
            <w:r w:rsidR="004B73DB" w:rsidRPr="009C0665">
              <w:rPr>
                <w:noProof/>
                <w:spacing w:val="1"/>
                <w:szCs w:val="22"/>
                <w:lang w:val="sr-Latn-ME"/>
              </w:rPr>
              <w:t xml:space="preserve"> sistema i 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v</w:t>
            </w:r>
            <w:r w:rsidRPr="009C0665">
              <w:rPr>
                <w:noProof/>
                <w:szCs w:val="22"/>
                <w:lang w:val="sr-Latn-ME"/>
              </w:rPr>
              <w:t>e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z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v</w:t>
            </w:r>
            <w:r w:rsidRPr="009C0665">
              <w:rPr>
                <w:noProof/>
                <w:szCs w:val="22"/>
                <w:lang w:val="sr-Latn-ME"/>
              </w:rPr>
              <w:t>nog</w:t>
            </w:r>
            <w:r w:rsidRPr="009C0665">
              <w:rPr>
                <w:noProof/>
                <w:spacing w:val="-2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pacing w:val="1"/>
                <w:szCs w:val="22"/>
                <w:lang w:val="sr-Latn-ME"/>
              </w:rPr>
              <w:t>t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k</w:t>
            </w:r>
            <w:r w:rsidRPr="009C0665">
              <w:rPr>
                <w:noProof/>
                <w:spacing w:val="3"/>
                <w:szCs w:val="22"/>
                <w:lang w:val="sr-Latn-ME"/>
              </w:rPr>
              <w:t>i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va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38F6D" w14:textId="77777777" w:rsidR="00847271" w:rsidRPr="009C0665" w:rsidRDefault="00847271" w:rsidP="004C7864">
            <w:pPr>
              <w:spacing w:line="246" w:lineRule="exac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pacing w:val="1"/>
                <w:szCs w:val="22"/>
                <w:lang w:val="sr-Latn-ME"/>
              </w:rPr>
              <w:t>V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eoma</w:t>
            </w:r>
            <w:r w:rsidRPr="009C0665">
              <w:rPr>
                <w:noProof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č</w:t>
            </w:r>
            <w:r w:rsidRPr="009C0665">
              <w:rPr>
                <w:noProof/>
                <w:szCs w:val="22"/>
                <w:lang w:val="sr-Latn-ME"/>
              </w:rPr>
              <w:t>e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s</w:t>
            </w:r>
            <w:r w:rsidRPr="009C0665">
              <w:rPr>
                <w:noProof/>
                <w:spacing w:val="1"/>
                <w:szCs w:val="22"/>
                <w:lang w:val="sr-Latn-ME"/>
              </w:rPr>
              <w:t>t</w:t>
            </w:r>
            <w:r w:rsidRPr="009C0665">
              <w:rPr>
                <w:noProof/>
                <w:szCs w:val="22"/>
                <w:lang w:val="sr-Latn-ME"/>
              </w:rPr>
              <w:t>o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2049D" w14:textId="6DA6A6BD" w:rsidR="00847271" w:rsidRPr="009C0665" w:rsidRDefault="00AC1ED8" w:rsidP="004C7864">
            <w:pPr>
              <w:spacing w:line="246" w:lineRule="exac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zCs w:val="22"/>
                <w:lang w:val="sr-Latn-ME"/>
              </w:rPr>
              <w:t>a</w:t>
            </w:r>
            <w:r w:rsidR="00847271" w:rsidRPr="009C0665">
              <w:rPr>
                <w:noProof/>
                <w:spacing w:val="1"/>
                <w:szCs w:val="22"/>
                <w:lang w:val="sr-Latn-ME"/>
              </w:rPr>
              <w:t>r</w:t>
            </w:r>
            <w:r w:rsidR="00847271" w:rsidRPr="009C0665">
              <w:rPr>
                <w:noProof/>
                <w:spacing w:val="-1"/>
                <w:szCs w:val="22"/>
                <w:lang w:val="sr-Latn-ME"/>
              </w:rPr>
              <w:t>t</w:t>
            </w:r>
            <w:r w:rsidR="00847271" w:rsidRPr="009C0665">
              <w:rPr>
                <w:noProof/>
                <w:spacing w:val="1"/>
                <w:szCs w:val="22"/>
                <w:lang w:val="sr-Latn-ME"/>
              </w:rPr>
              <w:t>r</w:t>
            </w:r>
            <w:r w:rsidR="00847271" w:rsidRPr="009C0665">
              <w:rPr>
                <w:noProof/>
                <w:spacing w:val="-2"/>
                <w:szCs w:val="22"/>
                <w:lang w:val="sr-Latn-ME"/>
              </w:rPr>
              <w:t>a</w:t>
            </w:r>
            <w:r w:rsidR="00847271" w:rsidRPr="009C0665">
              <w:rPr>
                <w:noProof/>
                <w:spacing w:val="1"/>
                <w:szCs w:val="22"/>
                <w:lang w:val="sr-Latn-ME"/>
              </w:rPr>
              <w:t>l</w:t>
            </w:r>
            <w:r w:rsidR="00847271" w:rsidRPr="009C0665">
              <w:rPr>
                <w:noProof/>
                <w:spacing w:val="-2"/>
                <w:szCs w:val="22"/>
                <w:lang w:val="sr-Latn-ME"/>
              </w:rPr>
              <w:t>g</w:t>
            </w:r>
            <w:r w:rsidR="00847271" w:rsidRPr="009C0665">
              <w:rPr>
                <w:noProof/>
                <w:spacing w:val="-1"/>
                <w:szCs w:val="22"/>
                <w:lang w:val="sr-Latn-ME"/>
              </w:rPr>
              <w:t>i</w:t>
            </w:r>
            <w:r w:rsidR="00847271" w:rsidRPr="009C0665">
              <w:rPr>
                <w:noProof/>
                <w:spacing w:val="3"/>
                <w:szCs w:val="22"/>
                <w:lang w:val="sr-Latn-ME"/>
              </w:rPr>
              <w:t>j</w:t>
            </w:r>
            <w:r w:rsidR="00847271" w:rsidRPr="009C0665">
              <w:rPr>
                <w:noProof/>
                <w:szCs w:val="22"/>
                <w:lang w:val="sr-Latn-ME"/>
              </w:rPr>
              <w:t>a</w:t>
            </w:r>
          </w:p>
        </w:tc>
      </w:tr>
      <w:tr w:rsidR="00847271" w:rsidRPr="009C0665" w14:paraId="0FA411EF" w14:textId="77777777" w:rsidTr="007352AF">
        <w:trPr>
          <w:trHeight w:hRule="exact" w:val="516"/>
        </w:trPr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5A654" w14:textId="77777777" w:rsidR="00847271" w:rsidRPr="009C0665" w:rsidRDefault="00847271" w:rsidP="004C7864">
            <w:pPr>
              <w:tabs>
                <w:tab w:val="clear" w:pos="284"/>
              </w:tabs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AB717" w14:textId="77777777" w:rsidR="00847271" w:rsidRPr="009C0665" w:rsidRDefault="00847271" w:rsidP="004C7864">
            <w:pPr>
              <w:spacing w:line="246" w:lineRule="exac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pacing w:val="-1"/>
                <w:szCs w:val="22"/>
                <w:lang w:val="sr-Latn-ME"/>
              </w:rPr>
              <w:t>Č</w:t>
            </w:r>
            <w:r w:rsidRPr="009C0665">
              <w:rPr>
                <w:noProof/>
                <w:szCs w:val="22"/>
                <w:lang w:val="sr-Latn-ME"/>
              </w:rPr>
              <w:t>es</w:t>
            </w:r>
            <w:r w:rsidRPr="009C0665">
              <w:rPr>
                <w:noProof/>
                <w:spacing w:val="1"/>
                <w:szCs w:val="22"/>
                <w:lang w:val="sr-Latn-ME"/>
              </w:rPr>
              <w:t>t</w:t>
            </w:r>
            <w:r w:rsidRPr="009C0665">
              <w:rPr>
                <w:noProof/>
                <w:szCs w:val="22"/>
                <w:lang w:val="sr-Latn-ME"/>
              </w:rPr>
              <w:t>o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EA746" w14:textId="77777777" w:rsidR="00847271" w:rsidRPr="009C0665" w:rsidRDefault="00847271" w:rsidP="004C7864">
            <w:pPr>
              <w:spacing w:line="252" w:lineRule="exac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pacing w:val="-4"/>
                <w:szCs w:val="22"/>
                <w:lang w:val="sr-Latn-ME"/>
              </w:rPr>
              <w:t>m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Pr="009C0665">
              <w:rPr>
                <w:noProof/>
                <w:szCs w:val="22"/>
                <w:lang w:val="sr-Latn-ME"/>
              </w:rPr>
              <w:t>š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Pr="009C0665">
              <w:rPr>
                <w:noProof/>
                <w:szCs w:val="22"/>
                <w:lang w:val="sr-Latn-ME"/>
              </w:rPr>
              <w:t>ćni</w:t>
            </w:r>
            <w:r w:rsidRPr="009C0665">
              <w:rPr>
                <w:noProof/>
                <w:spacing w:val="1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s</w:t>
            </w:r>
            <w:r w:rsidRPr="009C0665">
              <w:rPr>
                <w:noProof/>
                <w:szCs w:val="22"/>
                <w:lang w:val="sr-Latn-ME"/>
              </w:rPr>
              <w:t>pa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z</w:t>
            </w:r>
            <w:r w:rsidRPr="009C0665">
              <w:rPr>
                <w:noProof/>
                <w:spacing w:val="-4"/>
                <w:szCs w:val="22"/>
                <w:lang w:val="sr-Latn-ME"/>
              </w:rPr>
              <w:t>m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Pr="009C0665">
              <w:rPr>
                <w:noProof/>
                <w:szCs w:val="22"/>
                <w:lang w:val="sr-Latn-ME"/>
              </w:rPr>
              <w:t>, bo</w:t>
            </w:r>
            <w:r w:rsidRPr="009C0665">
              <w:rPr>
                <w:noProof/>
                <w:spacing w:val="1"/>
                <w:szCs w:val="22"/>
                <w:lang w:val="sr-Latn-ME"/>
              </w:rPr>
              <w:t>l</w:t>
            </w:r>
            <w:r w:rsidRPr="009C0665">
              <w:rPr>
                <w:noProof/>
                <w:szCs w:val="22"/>
                <w:lang w:val="sr-Latn-ME"/>
              </w:rPr>
              <w:t>o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v</w:t>
            </w:r>
            <w:r w:rsidRPr="009C0665">
              <w:rPr>
                <w:noProof/>
                <w:szCs w:val="22"/>
                <w:lang w:val="sr-Latn-ME"/>
              </w:rPr>
              <w:t>i</w:t>
            </w:r>
            <w:r w:rsidRPr="009C0665">
              <w:rPr>
                <w:noProof/>
                <w:spacing w:val="1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zCs w:val="22"/>
                <w:lang w:val="sr-Latn-ME"/>
              </w:rPr>
              <w:t xml:space="preserve">u 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l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e</w:t>
            </w:r>
            <w:r w:rsidRPr="009C0665">
              <w:rPr>
                <w:noProof/>
                <w:szCs w:val="22"/>
                <w:lang w:val="sr-Latn-ME"/>
              </w:rPr>
              <w:t>đ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Pr="009C0665">
              <w:rPr>
                <w:noProof/>
                <w:spacing w:val="-4"/>
                <w:szCs w:val="22"/>
                <w:lang w:val="sr-Latn-ME"/>
              </w:rPr>
              <w:t>m</w:t>
            </w:r>
            <w:r w:rsidRPr="009C0665">
              <w:rPr>
                <w:noProof/>
                <w:szCs w:val="22"/>
                <w:lang w:val="sr-Latn-ME"/>
              </w:rPr>
              <w:t>a,</w:t>
            </w:r>
            <w:r w:rsidR="007A5DDB" w:rsidRPr="009C0665">
              <w:rPr>
                <w:noProof/>
                <w:spacing w:val="-4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pacing w:val="-4"/>
                <w:szCs w:val="22"/>
                <w:lang w:val="sr-Latn-ME"/>
              </w:rPr>
              <w:t>m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Pr="009C0665">
              <w:rPr>
                <w:noProof/>
                <w:szCs w:val="22"/>
                <w:lang w:val="sr-Latn-ME"/>
              </w:rPr>
              <w:t>š</w:t>
            </w:r>
            <w:r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Pr="009C0665">
              <w:rPr>
                <w:noProof/>
                <w:szCs w:val="22"/>
                <w:lang w:val="sr-Latn-ME"/>
              </w:rPr>
              <w:t>ćna</w:t>
            </w:r>
            <w:r w:rsidRPr="009C0665">
              <w:rPr>
                <w:noProof/>
                <w:spacing w:val="1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s</w:t>
            </w:r>
            <w:r w:rsidRPr="009C0665">
              <w:rPr>
                <w:noProof/>
                <w:spacing w:val="1"/>
                <w:szCs w:val="22"/>
                <w:lang w:val="sr-Latn-ME"/>
              </w:rPr>
              <w:t>l</w:t>
            </w:r>
            <w:r w:rsidRPr="009C0665">
              <w:rPr>
                <w:noProof/>
                <w:szCs w:val="22"/>
                <w:lang w:val="sr-Latn-ME"/>
              </w:rPr>
              <w:t>ab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o</w:t>
            </w:r>
            <w:r w:rsidRPr="009C0665">
              <w:rPr>
                <w:noProof/>
                <w:szCs w:val="22"/>
                <w:lang w:val="sr-Latn-ME"/>
              </w:rPr>
              <w:t>s</w:t>
            </w:r>
            <w:r w:rsidRPr="009C0665">
              <w:rPr>
                <w:noProof/>
                <w:spacing w:val="1"/>
                <w:szCs w:val="22"/>
                <w:lang w:val="sr-Latn-ME"/>
              </w:rPr>
              <w:t>t</w:t>
            </w:r>
            <w:r w:rsidRPr="009C0665">
              <w:rPr>
                <w:noProof/>
                <w:szCs w:val="22"/>
                <w:lang w:val="sr-Latn-ME"/>
              </w:rPr>
              <w:t>,</w:t>
            </w:r>
            <w:r w:rsidRPr="009C0665">
              <w:rPr>
                <w:noProof/>
                <w:spacing w:val="-2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zCs w:val="22"/>
                <w:lang w:val="sr-Latn-ME"/>
              </w:rPr>
              <w:t>u</w:t>
            </w:r>
            <w:r w:rsidRPr="009C0665">
              <w:rPr>
                <w:noProof/>
                <w:spacing w:val="-4"/>
                <w:szCs w:val="22"/>
                <w:lang w:val="sr-Latn-ME"/>
              </w:rPr>
              <w:t>m</w:t>
            </w:r>
            <w:r w:rsidRPr="009C0665">
              <w:rPr>
                <w:noProof/>
                <w:szCs w:val="22"/>
                <w:lang w:val="sr-Latn-ME"/>
              </w:rPr>
              <w:t>or</w:t>
            </w:r>
            <w:r w:rsidR="004B73DB" w:rsidRPr="009C0665">
              <w:rPr>
                <w:noProof/>
                <w:szCs w:val="22"/>
                <w:lang w:val="sr-Latn-ME"/>
              </w:rPr>
              <w:t>, bol u ekstremitetima</w:t>
            </w:r>
          </w:p>
        </w:tc>
      </w:tr>
      <w:tr w:rsidR="00847271" w:rsidRPr="009C0665" w14:paraId="753F5A54" w14:textId="77777777" w:rsidTr="007352AF">
        <w:trPr>
          <w:trHeight w:hRule="exact" w:val="1323"/>
        </w:trPr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0A7B6" w14:textId="77777777" w:rsidR="00847271" w:rsidRPr="009C0665" w:rsidRDefault="00847271" w:rsidP="004C7864">
            <w:pPr>
              <w:spacing w:line="246" w:lineRule="exact"/>
              <w:jc w:val="lef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pacing w:val="-1"/>
                <w:szCs w:val="22"/>
                <w:lang w:val="sr-Latn-ME"/>
              </w:rPr>
              <w:t>O</w:t>
            </w:r>
            <w:r w:rsidRPr="009C0665">
              <w:rPr>
                <w:noProof/>
                <w:szCs w:val="22"/>
                <w:lang w:val="sr-Latn-ME"/>
              </w:rPr>
              <w:t>pšti</w:t>
            </w:r>
            <w:r w:rsidRPr="009C0665">
              <w:rPr>
                <w:noProof/>
                <w:spacing w:val="1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zCs w:val="22"/>
                <w:lang w:val="sr-Latn-ME"/>
              </w:rPr>
              <w:t>p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o</w:t>
            </w:r>
            <w:r w:rsidRPr="009C0665">
              <w:rPr>
                <w:noProof/>
                <w:spacing w:val="1"/>
                <w:szCs w:val="22"/>
                <w:lang w:val="sr-Latn-ME"/>
              </w:rPr>
              <w:t>r</w:t>
            </w:r>
            <w:r w:rsidRPr="009C0665">
              <w:rPr>
                <w:noProof/>
                <w:szCs w:val="22"/>
                <w:lang w:val="sr-Latn-ME"/>
              </w:rPr>
              <w:t>e</w:t>
            </w:r>
            <w:r w:rsidRPr="009C0665">
              <w:rPr>
                <w:noProof/>
                <w:spacing w:val="-4"/>
                <w:szCs w:val="22"/>
                <w:lang w:val="sr-Latn-ME"/>
              </w:rPr>
              <w:t>m</w:t>
            </w:r>
            <w:r w:rsidRPr="009C0665">
              <w:rPr>
                <w:noProof/>
                <w:szCs w:val="22"/>
                <w:lang w:val="sr-Latn-ME"/>
              </w:rPr>
              <w:t>eć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a</w:t>
            </w:r>
            <w:r w:rsidRPr="009C0665">
              <w:rPr>
                <w:noProof/>
                <w:spacing w:val="1"/>
                <w:szCs w:val="22"/>
                <w:lang w:val="sr-Latn-ME"/>
              </w:rPr>
              <w:t>j</w:t>
            </w:r>
            <w:r w:rsidRPr="009C0665">
              <w:rPr>
                <w:noProof/>
                <w:szCs w:val="22"/>
                <w:lang w:val="sr-Latn-ME"/>
              </w:rPr>
              <w:t>i</w:t>
            </w:r>
            <w:r w:rsidRPr="009C0665">
              <w:rPr>
                <w:noProof/>
                <w:spacing w:val="1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zCs w:val="22"/>
                <w:lang w:val="sr-Latn-ME"/>
              </w:rPr>
              <w:t>i</w:t>
            </w:r>
            <w:r w:rsidRPr="009C0665">
              <w:rPr>
                <w:noProof/>
                <w:spacing w:val="-1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pacing w:val="1"/>
                <w:szCs w:val="22"/>
                <w:lang w:val="sr-Latn-ME"/>
              </w:rPr>
              <w:t>r</w:t>
            </w:r>
            <w:r w:rsidRPr="009C0665">
              <w:rPr>
                <w:noProof/>
                <w:szCs w:val="22"/>
                <w:lang w:val="sr-Latn-ME"/>
              </w:rPr>
              <w:t>ea</w:t>
            </w:r>
            <w:r w:rsidRPr="009C0665">
              <w:rPr>
                <w:noProof/>
                <w:spacing w:val="-2"/>
                <w:szCs w:val="22"/>
                <w:lang w:val="sr-Latn-ME"/>
              </w:rPr>
              <w:t>k</w:t>
            </w:r>
            <w:r w:rsidRPr="009C0665">
              <w:rPr>
                <w:noProof/>
                <w:szCs w:val="22"/>
                <w:lang w:val="sr-Latn-ME"/>
              </w:rPr>
              <w:t>c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i</w:t>
            </w:r>
            <w:r w:rsidRPr="009C0665">
              <w:rPr>
                <w:noProof/>
                <w:spacing w:val="1"/>
                <w:szCs w:val="22"/>
                <w:lang w:val="sr-Latn-ME"/>
              </w:rPr>
              <w:t>j</w:t>
            </w:r>
            <w:r w:rsidRPr="009C0665">
              <w:rPr>
                <w:noProof/>
                <w:szCs w:val="22"/>
                <w:lang w:val="sr-Latn-ME"/>
              </w:rPr>
              <w:t>e</w:t>
            </w:r>
            <w:r w:rsidRPr="009C0665">
              <w:rPr>
                <w:noProof/>
                <w:spacing w:val="-2"/>
                <w:szCs w:val="22"/>
                <w:lang w:val="sr-Latn-ME"/>
              </w:rPr>
              <w:t xml:space="preserve"> </w:t>
            </w:r>
            <w:r w:rsidRPr="009C0665">
              <w:rPr>
                <w:noProof/>
                <w:szCs w:val="22"/>
                <w:lang w:val="sr-Latn-ME"/>
              </w:rPr>
              <w:t>na</w:t>
            </w:r>
          </w:p>
          <w:p w14:paraId="453EB933" w14:textId="624644AF" w:rsidR="00847271" w:rsidRPr="009C0665" w:rsidRDefault="00847271" w:rsidP="004C7864">
            <w:pPr>
              <w:spacing w:line="252" w:lineRule="exact"/>
              <w:jc w:val="lef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pacing w:val="-4"/>
                <w:szCs w:val="22"/>
                <w:lang w:val="sr-Latn-ME"/>
              </w:rPr>
              <w:t>m</w:t>
            </w:r>
            <w:r w:rsidR="00AC1ED8" w:rsidRPr="009C0665">
              <w:rPr>
                <w:noProof/>
                <w:spacing w:val="-4"/>
                <w:szCs w:val="22"/>
                <w:lang w:val="sr-Latn-ME"/>
              </w:rPr>
              <w:t>j</w:t>
            </w:r>
            <w:r w:rsidRPr="009C0665">
              <w:rPr>
                <w:noProof/>
                <w:szCs w:val="22"/>
                <w:lang w:val="sr-Latn-ME"/>
              </w:rPr>
              <w:t>es</w:t>
            </w:r>
            <w:r w:rsidRPr="009C0665">
              <w:rPr>
                <w:noProof/>
                <w:spacing w:val="-1"/>
                <w:szCs w:val="22"/>
                <w:lang w:val="sr-Latn-ME"/>
              </w:rPr>
              <w:t>t</w:t>
            </w:r>
            <w:r w:rsidRPr="009C0665">
              <w:rPr>
                <w:noProof/>
                <w:szCs w:val="22"/>
                <w:lang w:val="sr-Latn-ME"/>
              </w:rPr>
              <w:t xml:space="preserve">u </w:t>
            </w:r>
            <w:r w:rsidR="00AB003D" w:rsidRPr="009C0665">
              <w:rPr>
                <w:noProof/>
                <w:szCs w:val="22"/>
                <w:lang w:val="sr-Latn-ME"/>
              </w:rPr>
              <w:t>primjene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3A954" w14:textId="77777777" w:rsidR="00847271" w:rsidRPr="009C0665" w:rsidRDefault="00847271" w:rsidP="004C7864">
            <w:pPr>
              <w:spacing w:line="246" w:lineRule="exac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pacing w:val="-1"/>
                <w:szCs w:val="22"/>
                <w:lang w:val="sr-Latn-ME"/>
              </w:rPr>
              <w:t>Č</w:t>
            </w:r>
            <w:r w:rsidRPr="009C0665">
              <w:rPr>
                <w:noProof/>
                <w:szCs w:val="22"/>
                <w:lang w:val="sr-Latn-ME"/>
              </w:rPr>
              <w:t>es</w:t>
            </w:r>
            <w:r w:rsidRPr="009C0665">
              <w:rPr>
                <w:noProof/>
                <w:spacing w:val="1"/>
                <w:szCs w:val="22"/>
                <w:lang w:val="sr-Latn-ME"/>
              </w:rPr>
              <w:t>t</w:t>
            </w:r>
            <w:r w:rsidRPr="009C0665">
              <w:rPr>
                <w:noProof/>
                <w:szCs w:val="22"/>
                <w:lang w:val="sr-Latn-ME"/>
              </w:rPr>
              <w:t>o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0CC72" w14:textId="2D578118" w:rsidR="00847271" w:rsidRPr="009C0665" w:rsidRDefault="00AC1ED8" w:rsidP="004C7864">
            <w:pPr>
              <w:spacing w:line="246" w:lineRule="exac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zCs w:val="22"/>
                <w:lang w:val="sr-Latn-ME"/>
              </w:rPr>
              <w:t>p</w:t>
            </w:r>
            <w:r w:rsidR="00847271" w:rsidRPr="009C0665">
              <w:rPr>
                <w:noProof/>
                <w:spacing w:val="1"/>
                <w:szCs w:val="22"/>
                <w:lang w:val="sr-Latn-ME"/>
              </w:rPr>
              <w:t>ir</w:t>
            </w:r>
            <w:r w:rsidR="00847271" w:rsidRPr="009C0665">
              <w:rPr>
                <w:noProof/>
                <w:szCs w:val="22"/>
                <w:lang w:val="sr-Latn-ME"/>
              </w:rPr>
              <w:t>e</w:t>
            </w:r>
            <w:r w:rsidR="00847271" w:rsidRPr="009C0665">
              <w:rPr>
                <w:noProof/>
                <w:spacing w:val="-2"/>
                <w:szCs w:val="22"/>
                <w:lang w:val="sr-Latn-ME"/>
              </w:rPr>
              <w:t>k</w:t>
            </w:r>
            <w:r w:rsidR="00847271" w:rsidRPr="009C0665">
              <w:rPr>
                <w:noProof/>
                <w:szCs w:val="22"/>
                <w:lang w:val="sr-Latn-ME"/>
              </w:rPr>
              <w:t>s</w:t>
            </w:r>
            <w:r w:rsidR="00847271" w:rsidRPr="009C0665">
              <w:rPr>
                <w:noProof/>
                <w:spacing w:val="-1"/>
                <w:szCs w:val="22"/>
                <w:lang w:val="sr-Latn-ME"/>
              </w:rPr>
              <w:t>i</w:t>
            </w:r>
            <w:r w:rsidR="00847271" w:rsidRPr="009C0665">
              <w:rPr>
                <w:noProof/>
                <w:spacing w:val="1"/>
                <w:szCs w:val="22"/>
                <w:lang w:val="sr-Latn-ME"/>
              </w:rPr>
              <w:t>j</w:t>
            </w:r>
            <w:r w:rsidR="00847271" w:rsidRPr="009C0665">
              <w:rPr>
                <w:noProof/>
                <w:szCs w:val="22"/>
                <w:lang w:val="sr-Latn-ME"/>
              </w:rPr>
              <w:t>a</w:t>
            </w:r>
          </w:p>
          <w:p w14:paraId="72F81AC7" w14:textId="77777777" w:rsidR="00B07C91" w:rsidRPr="009C0665" w:rsidRDefault="00E00F81" w:rsidP="004C7864">
            <w:pPr>
              <w:spacing w:line="246" w:lineRule="exac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zCs w:val="22"/>
                <w:lang w:val="sr-Latn-ME"/>
              </w:rPr>
              <w:t>reakcije povezane sa infuzijom*</w:t>
            </w:r>
          </w:p>
          <w:p w14:paraId="2E93C027" w14:textId="63C81C4A" w:rsidR="00E00F81" w:rsidRPr="009C0665" w:rsidRDefault="00E00F81" w:rsidP="004C7864">
            <w:pPr>
              <w:spacing w:line="246" w:lineRule="exac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zCs w:val="22"/>
                <w:lang w:val="sr-Latn-ME"/>
              </w:rPr>
              <w:t>(astenija i nelagoda u grudnom košu</w:t>
            </w:r>
            <w:r w:rsidR="00CA31C1" w:rsidRPr="009C0665">
              <w:rPr>
                <w:noProof/>
                <w:szCs w:val="22"/>
                <w:lang w:val="sr-Latn-ME"/>
              </w:rPr>
              <w:t xml:space="preserve">*), </w:t>
            </w:r>
            <w:r w:rsidR="00CA31C1" w:rsidRPr="009C0665">
              <w:rPr>
                <w:noProof/>
                <w:spacing w:val="1"/>
                <w:szCs w:val="22"/>
                <w:lang w:val="sr-Latn-ME"/>
              </w:rPr>
              <w:t>r</w:t>
            </w:r>
            <w:r w:rsidR="00CA31C1" w:rsidRPr="009C0665">
              <w:rPr>
                <w:noProof/>
                <w:szCs w:val="22"/>
                <w:lang w:val="sr-Latn-ME"/>
              </w:rPr>
              <w:t>ea</w:t>
            </w:r>
            <w:r w:rsidR="00CA31C1" w:rsidRPr="009C0665">
              <w:rPr>
                <w:noProof/>
                <w:spacing w:val="-2"/>
                <w:szCs w:val="22"/>
                <w:lang w:val="sr-Latn-ME"/>
              </w:rPr>
              <w:t>k</w:t>
            </w:r>
            <w:r w:rsidR="00CA31C1" w:rsidRPr="009C0665">
              <w:rPr>
                <w:noProof/>
                <w:szCs w:val="22"/>
                <w:lang w:val="sr-Latn-ME"/>
              </w:rPr>
              <w:t>c</w:t>
            </w:r>
            <w:r w:rsidR="00CA31C1" w:rsidRPr="009C0665">
              <w:rPr>
                <w:noProof/>
                <w:spacing w:val="-1"/>
                <w:szCs w:val="22"/>
                <w:lang w:val="sr-Latn-ME"/>
              </w:rPr>
              <w:t>i</w:t>
            </w:r>
            <w:r w:rsidR="00CA31C1" w:rsidRPr="009C0665">
              <w:rPr>
                <w:noProof/>
                <w:spacing w:val="1"/>
                <w:szCs w:val="22"/>
                <w:lang w:val="sr-Latn-ME"/>
              </w:rPr>
              <w:t>j</w:t>
            </w:r>
            <w:r w:rsidR="00CA31C1" w:rsidRPr="009C0665">
              <w:rPr>
                <w:noProof/>
                <w:szCs w:val="22"/>
                <w:lang w:val="sr-Latn-ME"/>
              </w:rPr>
              <w:t>a</w:t>
            </w:r>
            <w:r w:rsidR="00CA31C1" w:rsidRPr="009C0665">
              <w:rPr>
                <w:noProof/>
                <w:spacing w:val="1"/>
                <w:szCs w:val="22"/>
                <w:lang w:val="sr-Latn-ME"/>
              </w:rPr>
              <w:t xml:space="preserve"> </w:t>
            </w:r>
            <w:r w:rsidR="00CA31C1" w:rsidRPr="009C0665">
              <w:rPr>
                <w:noProof/>
                <w:szCs w:val="22"/>
                <w:lang w:val="sr-Latn-ME"/>
              </w:rPr>
              <w:t>na</w:t>
            </w:r>
            <w:r w:rsidR="00CA31C1" w:rsidRPr="009C0665">
              <w:rPr>
                <w:noProof/>
                <w:spacing w:val="-2"/>
                <w:szCs w:val="22"/>
                <w:lang w:val="sr-Latn-ME"/>
              </w:rPr>
              <w:t xml:space="preserve"> </w:t>
            </w:r>
            <w:r w:rsidR="00CA31C1" w:rsidRPr="009C0665">
              <w:rPr>
                <w:noProof/>
                <w:spacing w:val="-4"/>
                <w:szCs w:val="22"/>
                <w:lang w:val="sr-Latn-ME"/>
              </w:rPr>
              <w:t>mj</w:t>
            </w:r>
            <w:r w:rsidR="00CA31C1" w:rsidRPr="009C0665">
              <w:rPr>
                <w:noProof/>
                <w:szCs w:val="22"/>
                <w:lang w:val="sr-Latn-ME"/>
              </w:rPr>
              <w:t>e</w:t>
            </w:r>
            <w:r w:rsidR="00CA31C1" w:rsidRPr="009C0665">
              <w:rPr>
                <w:noProof/>
                <w:spacing w:val="-2"/>
                <w:szCs w:val="22"/>
                <w:lang w:val="sr-Latn-ME"/>
              </w:rPr>
              <w:t>s</w:t>
            </w:r>
            <w:r w:rsidR="00CA31C1" w:rsidRPr="009C0665">
              <w:rPr>
                <w:noProof/>
                <w:spacing w:val="1"/>
                <w:szCs w:val="22"/>
                <w:lang w:val="sr-Latn-ME"/>
              </w:rPr>
              <w:t>t</w:t>
            </w:r>
            <w:r w:rsidR="00CA31C1" w:rsidRPr="009C0665">
              <w:rPr>
                <w:noProof/>
                <w:szCs w:val="22"/>
                <w:lang w:val="sr-Latn-ME"/>
              </w:rPr>
              <w:t xml:space="preserve">u </w:t>
            </w:r>
            <w:r w:rsidR="00CA31C1" w:rsidRPr="009C0665">
              <w:rPr>
                <w:noProof/>
                <w:spacing w:val="-2"/>
                <w:szCs w:val="22"/>
                <w:lang w:val="sr-Latn-ME"/>
              </w:rPr>
              <w:t xml:space="preserve">primjene </w:t>
            </w:r>
            <w:r w:rsidR="00CA31C1"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="00CA31C1" w:rsidRPr="009C0665">
              <w:rPr>
                <w:noProof/>
                <w:szCs w:val="22"/>
                <w:lang w:val="sr-Latn-ME"/>
              </w:rPr>
              <w:t>n</w:t>
            </w:r>
            <w:r w:rsidR="00CA31C1" w:rsidRPr="009C0665">
              <w:rPr>
                <w:noProof/>
                <w:spacing w:val="1"/>
                <w:szCs w:val="22"/>
                <w:lang w:val="sr-Latn-ME"/>
              </w:rPr>
              <w:t>f</w:t>
            </w:r>
            <w:r w:rsidR="00CA31C1" w:rsidRPr="009C0665">
              <w:rPr>
                <w:noProof/>
                <w:szCs w:val="22"/>
                <w:lang w:val="sr-Latn-ME"/>
              </w:rPr>
              <w:t>u</w:t>
            </w:r>
            <w:r w:rsidR="00CA31C1" w:rsidRPr="009C0665">
              <w:rPr>
                <w:noProof/>
                <w:spacing w:val="-2"/>
                <w:szCs w:val="22"/>
                <w:lang w:val="sr-Latn-ME"/>
              </w:rPr>
              <w:t>z</w:t>
            </w:r>
            <w:r w:rsidR="00CA31C1" w:rsidRPr="009C0665">
              <w:rPr>
                <w:noProof/>
                <w:spacing w:val="-1"/>
                <w:szCs w:val="22"/>
                <w:lang w:val="sr-Latn-ME"/>
              </w:rPr>
              <w:t>i</w:t>
            </w:r>
            <w:r w:rsidR="00CA31C1" w:rsidRPr="009C0665">
              <w:rPr>
                <w:noProof/>
                <w:spacing w:val="1"/>
                <w:szCs w:val="22"/>
                <w:lang w:val="sr-Latn-ME"/>
              </w:rPr>
              <w:t>j</w:t>
            </w:r>
            <w:r w:rsidR="00CA31C1" w:rsidRPr="009C0665">
              <w:rPr>
                <w:noProof/>
                <w:szCs w:val="22"/>
                <w:lang w:val="sr-Latn-ME"/>
              </w:rPr>
              <w:t>e</w:t>
            </w:r>
            <w:r w:rsidR="00CA31C1" w:rsidRPr="009C0665">
              <w:rPr>
                <w:noProof/>
                <w:spacing w:val="1"/>
                <w:szCs w:val="22"/>
                <w:lang w:val="sr-Latn-ME"/>
              </w:rPr>
              <w:t xml:space="preserve"> (</w:t>
            </w:r>
            <w:r w:rsidR="00CA31C1" w:rsidRPr="009C0665">
              <w:rPr>
                <w:noProof/>
                <w:szCs w:val="22"/>
                <w:lang w:val="sr-Latn-ME"/>
              </w:rPr>
              <w:t>u</w:t>
            </w:r>
            <w:r w:rsidR="00CA31C1" w:rsidRPr="009C0665">
              <w:rPr>
                <w:noProof/>
                <w:spacing w:val="-2"/>
                <w:szCs w:val="22"/>
                <w:lang w:val="sr-Latn-ME"/>
              </w:rPr>
              <w:t>k</w:t>
            </w:r>
            <w:r w:rsidR="00CA31C1" w:rsidRPr="009C0665">
              <w:rPr>
                <w:noProof/>
                <w:spacing w:val="-1"/>
                <w:szCs w:val="22"/>
                <w:lang w:val="sr-Latn-ME"/>
              </w:rPr>
              <w:t>l</w:t>
            </w:r>
            <w:r w:rsidR="00CA31C1" w:rsidRPr="009C0665">
              <w:rPr>
                <w:noProof/>
                <w:spacing w:val="3"/>
                <w:szCs w:val="22"/>
                <w:lang w:val="sr-Latn-ME"/>
              </w:rPr>
              <w:t>j</w:t>
            </w:r>
            <w:r w:rsidR="00CA31C1" w:rsidRPr="009C0665">
              <w:rPr>
                <w:noProof/>
                <w:szCs w:val="22"/>
                <w:lang w:val="sr-Latn-ME"/>
              </w:rPr>
              <w:t>uč</w:t>
            </w:r>
            <w:r w:rsidR="00CA31C1" w:rsidRPr="009C0665">
              <w:rPr>
                <w:noProof/>
                <w:spacing w:val="-2"/>
                <w:szCs w:val="22"/>
                <w:lang w:val="sr-Latn-ME"/>
              </w:rPr>
              <w:t>u</w:t>
            </w:r>
            <w:r w:rsidR="00CA31C1" w:rsidRPr="009C0665">
              <w:rPr>
                <w:noProof/>
                <w:spacing w:val="1"/>
                <w:szCs w:val="22"/>
                <w:lang w:val="sr-Latn-ME"/>
              </w:rPr>
              <w:t>j</w:t>
            </w:r>
            <w:r w:rsidR="00CA31C1" w:rsidRPr="009C0665">
              <w:rPr>
                <w:noProof/>
                <w:szCs w:val="22"/>
                <w:lang w:val="sr-Latn-ME"/>
              </w:rPr>
              <w:t>u</w:t>
            </w:r>
            <w:r w:rsidR="00CA31C1" w:rsidRPr="009C0665">
              <w:rPr>
                <w:noProof/>
                <w:spacing w:val="-2"/>
                <w:szCs w:val="22"/>
                <w:lang w:val="sr-Latn-ME"/>
              </w:rPr>
              <w:t>ć</w:t>
            </w:r>
            <w:r w:rsidR="00CA31C1" w:rsidRPr="009C0665">
              <w:rPr>
                <w:noProof/>
                <w:spacing w:val="-1"/>
                <w:szCs w:val="22"/>
                <w:lang w:val="sr-Latn-ME"/>
              </w:rPr>
              <w:t>i</w:t>
            </w:r>
            <w:r w:rsidR="00CA31C1" w:rsidRPr="009C0665">
              <w:rPr>
                <w:noProof/>
                <w:szCs w:val="22"/>
                <w:lang w:val="sr-Latn-ME"/>
              </w:rPr>
              <w:t>:</w:t>
            </w:r>
            <w:r w:rsidR="00CA31C1" w:rsidRPr="009C0665">
              <w:rPr>
                <w:noProof/>
                <w:spacing w:val="1"/>
                <w:szCs w:val="22"/>
                <w:lang w:val="sr-Latn-ME"/>
              </w:rPr>
              <w:t xml:space="preserve"> </w:t>
            </w:r>
            <w:r w:rsidR="00CA31C1" w:rsidRPr="009C0665">
              <w:rPr>
                <w:noProof/>
                <w:szCs w:val="22"/>
                <w:lang w:val="sr-Latn-ME"/>
              </w:rPr>
              <w:t>bol i</w:t>
            </w:r>
            <w:r w:rsidR="00CA31C1" w:rsidRPr="009C0665">
              <w:rPr>
                <w:noProof/>
                <w:spacing w:val="-1"/>
                <w:szCs w:val="22"/>
                <w:lang w:val="sr-Latn-ME"/>
              </w:rPr>
              <w:t xml:space="preserve"> </w:t>
            </w:r>
            <w:r w:rsidR="00CA31C1" w:rsidRPr="009C0665">
              <w:rPr>
                <w:noProof/>
                <w:szCs w:val="22"/>
                <w:lang w:val="sr-Latn-ME"/>
              </w:rPr>
              <w:t>iritacij</w:t>
            </w:r>
            <w:r w:rsidR="007352AF" w:rsidRPr="009C0665">
              <w:rPr>
                <w:noProof/>
                <w:szCs w:val="22"/>
                <w:lang w:val="sr-Latn-ME"/>
              </w:rPr>
              <w:t>a</w:t>
            </w:r>
            <w:r w:rsidR="00CA31C1" w:rsidRPr="009C0665">
              <w:rPr>
                <w:noProof/>
                <w:szCs w:val="22"/>
                <w:lang w:val="sr-Latn-ME"/>
              </w:rPr>
              <w:t xml:space="preserve"> na</w:t>
            </w:r>
            <w:r w:rsidR="00CA31C1" w:rsidRPr="009C0665">
              <w:rPr>
                <w:noProof/>
                <w:spacing w:val="1"/>
                <w:szCs w:val="22"/>
                <w:lang w:val="sr-Latn-ME"/>
              </w:rPr>
              <w:t xml:space="preserve"> </w:t>
            </w:r>
            <w:r w:rsidR="00CA31C1" w:rsidRPr="009C0665">
              <w:rPr>
                <w:noProof/>
                <w:spacing w:val="-4"/>
                <w:szCs w:val="22"/>
                <w:lang w:val="sr-Latn-ME"/>
              </w:rPr>
              <w:t>mj</w:t>
            </w:r>
            <w:r w:rsidR="00CA31C1" w:rsidRPr="009C0665">
              <w:rPr>
                <w:noProof/>
                <w:szCs w:val="22"/>
                <w:lang w:val="sr-Latn-ME"/>
              </w:rPr>
              <w:t>e</w:t>
            </w:r>
            <w:r w:rsidR="00CA31C1" w:rsidRPr="009C0665">
              <w:rPr>
                <w:noProof/>
                <w:spacing w:val="-2"/>
                <w:szCs w:val="22"/>
                <w:lang w:val="sr-Latn-ME"/>
              </w:rPr>
              <w:t>s</w:t>
            </w:r>
            <w:r w:rsidR="00CA31C1" w:rsidRPr="009C0665">
              <w:rPr>
                <w:noProof/>
                <w:spacing w:val="1"/>
                <w:szCs w:val="22"/>
                <w:lang w:val="sr-Latn-ME"/>
              </w:rPr>
              <w:t>t</w:t>
            </w:r>
            <w:r w:rsidR="00CA31C1" w:rsidRPr="009C0665">
              <w:rPr>
                <w:noProof/>
                <w:szCs w:val="22"/>
                <w:lang w:val="sr-Latn-ME"/>
              </w:rPr>
              <w:t>u</w:t>
            </w:r>
            <w:r w:rsidR="00CA31C1" w:rsidRPr="009C0665">
              <w:rPr>
                <w:noProof/>
                <w:spacing w:val="-2"/>
                <w:szCs w:val="22"/>
                <w:lang w:val="sr-Latn-ME"/>
              </w:rPr>
              <w:t xml:space="preserve"> </w:t>
            </w:r>
            <w:r w:rsidR="00CA31C1" w:rsidRPr="009C0665">
              <w:rPr>
                <w:noProof/>
                <w:spacing w:val="1"/>
                <w:szCs w:val="22"/>
                <w:lang w:val="sr-Latn-ME"/>
              </w:rPr>
              <w:t>i</w:t>
            </w:r>
            <w:r w:rsidR="00CA31C1" w:rsidRPr="009C0665">
              <w:rPr>
                <w:noProof/>
                <w:szCs w:val="22"/>
                <w:lang w:val="sr-Latn-ME"/>
              </w:rPr>
              <w:t>n</w:t>
            </w:r>
            <w:r w:rsidR="00CA31C1" w:rsidRPr="009C0665">
              <w:rPr>
                <w:noProof/>
                <w:spacing w:val="1"/>
                <w:szCs w:val="22"/>
                <w:lang w:val="sr-Latn-ME"/>
              </w:rPr>
              <w:t>f</w:t>
            </w:r>
            <w:r w:rsidR="00CA31C1" w:rsidRPr="009C0665">
              <w:rPr>
                <w:noProof/>
                <w:szCs w:val="22"/>
                <w:lang w:val="sr-Latn-ME"/>
              </w:rPr>
              <w:t>u</w:t>
            </w:r>
            <w:r w:rsidR="00CA31C1" w:rsidRPr="009C0665">
              <w:rPr>
                <w:noProof/>
                <w:spacing w:val="-2"/>
                <w:szCs w:val="22"/>
                <w:lang w:val="sr-Latn-ME"/>
              </w:rPr>
              <w:t>z</w:t>
            </w:r>
            <w:r w:rsidR="00CA31C1" w:rsidRPr="009C0665">
              <w:rPr>
                <w:noProof/>
                <w:spacing w:val="-1"/>
                <w:szCs w:val="22"/>
                <w:lang w:val="sr-Latn-ME"/>
              </w:rPr>
              <w:t>i</w:t>
            </w:r>
            <w:r w:rsidR="00CA31C1" w:rsidRPr="009C0665">
              <w:rPr>
                <w:noProof/>
                <w:spacing w:val="1"/>
                <w:szCs w:val="22"/>
                <w:lang w:val="sr-Latn-ME"/>
              </w:rPr>
              <w:t>j</w:t>
            </w:r>
            <w:r w:rsidR="00CA31C1" w:rsidRPr="009C0665">
              <w:rPr>
                <w:noProof/>
                <w:szCs w:val="22"/>
                <w:lang w:val="sr-Latn-ME"/>
              </w:rPr>
              <w:t>e</w:t>
            </w:r>
            <w:r w:rsidR="00CA31C1" w:rsidRPr="009C0665">
              <w:rPr>
                <w:noProof/>
                <w:spacing w:val="1"/>
                <w:szCs w:val="22"/>
                <w:lang w:val="sr-Latn-ME"/>
              </w:rPr>
              <w:t>)</w:t>
            </w:r>
          </w:p>
        </w:tc>
      </w:tr>
      <w:tr w:rsidR="00847271" w:rsidRPr="009C0665" w14:paraId="7F422B81" w14:textId="77777777" w:rsidTr="007352AF">
        <w:trPr>
          <w:trHeight w:hRule="exact" w:val="826"/>
        </w:trPr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93145" w14:textId="77777777" w:rsidR="00847271" w:rsidRPr="009C0665" w:rsidRDefault="00847271" w:rsidP="004C7864">
            <w:pPr>
              <w:tabs>
                <w:tab w:val="clear" w:pos="284"/>
              </w:tabs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3D525" w14:textId="77777777" w:rsidR="00847271" w:rsidRPr="009C0665" w:rsidRDefault="00847271" w:rsidP="004C7864">
            <w:pPr>
              <w:spacing w:line="248" w:lineRule="exac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zCs w:val="22"/>
                <w:lang w:val="sr-Latn-ME"/>
              </w:rPr>
              <w:t>Povremeno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4C54F" w14:textId="248D2A01" w:rsidR="00116FD7" w:rsidRPr="009C0665" w:rsidRDefault="004B73DB" w:rsidP="004C7864">
            <w:pPr>
              <w:spacing w:line="252" w:lineRule="exact"/>
              <w:jc w:val="left"/>
              <w:rPr>
                <w:noProof/>
                <w:szCs w:val="22"/>
                <w:lang w:val="sr-Latn-ME"/>
              </w:rPr>
            </w:pPr>
            <w:r w:rsidRPr="009C0665">
              <w:rPr>
                <w:noProof/>
                <w:spacing w:val="-2"/>
                <w:szCs w:val="22"/>
                <w:lang w:val="sr-Latn-ME"/>
              </w:rPr>
              <w:t>jeza,</w:t>
            </w:r>
            <w:r w:rsidR="00847271" w:rsidRPr="009C0665">
              <w:rPr>
                <w:noProof/>
                <w:szCs w:val="22"/>
                <w:lang w:val="sr-Latn-ME"/>
              </w:rPr>
              <w:t xml:space="preserve"> o</w:t>
            </w:r>
            <w:r w:rsidR="00847271" w:rsidRPr="009C0665">
              <w:rPr>
                <w:noProof/>
                <w:spacing w:val="-2"/>
                <w:szCs w:val="22"/>
                <w:lang w:val="sr-Latn-ME"/>
              </w:rPr>
              <w:t>s</w:t>
            </w:r>
            <w:r w:rsidR="00DB4FD4" w:rsidRPr="009C0665">
              <w:rPr>
                <w:noProof/>
                <w:spacing w:val="-2"/>
                <w:szCs w:val="22"/>
                <w:lang w:val="sr-Latn-ME"/>
              </w:rPr>
              <w:t>j</w:t>
            </w:r>
            <w:r w:rsidR="00847271" w:rsidRPr="009C0665">
              <w:rPr>
                <w:noProof/>
                <w:szCs w:val="22"/>
                <w:lang w:val="sr-Latn-ME"/>
              </w:rPr>
              <w:t>e</w:t>
            </w:r>
            <w:r w:rsidR="00847271" w:rsidRPr="009C0665">
              <w:rPr>
                <w:noProof/>
                <w:spacing w:val="-2"/>
                <w:szCs w:val="22"/>
                <w:lang w:val="sr-Latn-ME"/>
              </w:rPr>
              <w:t>ća</w:t>
            </w:r>
            <w:r w:rsidR="00847271" w:rsidRPr="009C0665">
              <w:rPr>
                <w:noProof/>
                <w:szCs w:val="22"/>
                <w:lang w:val="sr-Latn-ME"/>
              </w:rPr>
              <w:t>j h</w:t>
            </w:r>
            <w:r w:rsidR="00847271" w:rsidRPr="009C0665">
              <w:rPr>
                <w:noProof/>
                <w:spacing w:val="1"/>
                <w:szCs w:val="22"/>
                <w:lang w:val="sr-Latn-ME"/>
              </w:rPr>
              <w:t>l</w:t>
            </w:r>
            <w:r w:rsidR="00847271" w:rsidRPr="009C0665">
              <w:rPr>
                <w:noProof/>
                <w:szCs w:val="22"/>
                <w:lang w:val="sr-Latn-ME"/>
              </w:rPr>
              <w:t>adn</w:t>
            </w:r>
            <w:r w:rsidR="00847271" w:rsidRPr="009C0665">
              <w:rPr>
                <w:noProof/>
                <w:spacing w:val="-2"/>
                <w:szCs w:val="22"/>
                <w:lang w:val="sr-Latn-ME"/>
              </w:rPr>
              <w:t>o</w:t>
            </w:r>
            <w:r w:rsidR="00847271" w:rsidRPr="009C0665">
              <w:rPr>
                <w:noProof/>
                <w:szCs w:val="22"/>
                <w:lang w:val="sr-Latn-ME"/>
              </w:rPr>
              <w:t>će</w:t>
            </w:r>
          </w:p>
        </w:tc>
      </w:tr>
      <w:tr w:rsidR="00E00F81" w:rsidRPr="009C0665" w14:paraId="71377C53" w14:textId="77777777" w:rsidTr="007352AF">
        <w:trPr>
          <w:trHeight w:hRule="exact" w:val="347"/>
        </w:trPr>
        <w:tc>
          <w:tcPr>
            <w:tcW w:w="9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9901" w14:textId="6DB3E325" w:rsidR="00E00F81" w:rsidRPr="009C0665" w:rsidRDefault="00E00F81" w:rsidP="004C7864">
            <w:pPr>
              <w:spacing w:line="252" w:lineRule="exact"/>
              <w:rPr>
                <w:noProof/>
                <w:spacing w:val="1"/>
                <w:szCs w:val="22"/>
                <w:lang w:val="sr-Latn-ME"/>
              </w:rPr>
            </w:pPr>
            <w:r w:rsidRPr="009C0665">
              <w:rPr>
                <w:noProof/>
                <w:spacing w:val="1"/>
                <w:szCs w:val="22"/>
                <w:lang w:val="sr-Latn-ME"/>
              </w:rPr>
              <w:t xml:space="preserve">*Prijavljeno u EARNEST ispitivanju </w:t>
            </w:r>
            <w:r w:rsidR="00AB003D" w:rsidRPr="009C0665">
              <w:rPr>
                <w:noProof/>
                <w:spacing w:val="1"/>
                <w:szCs w:val="22"/>
                <w:lang w:val="sr-Latn-ME"/>
              </w:rPr>
              <w:t>primjene</w:t>
            </w:r>
            <w:r w:rsidRPr="009C0665">
              <w:rPr>
                <w:noProof/>
                <w:spacing w:val="1"/>
                <w:szCs w:val="22"/>
                <w:lang w:val="sr-Latn-ME"/>
              </w:rPr>
              <w:t xml:space="preserve"> kod paučitisa</w:t>
            </w:r>
          </w:p>
        </w:tc>
      </w:tr>
    </w:tbl>
    <w:p w14:paraId="1042F4CE" w14:textId="77777777" w:rsidR="00B07C91" w:rsidRPr="009C0665" w:rsidRDefault="00B07C91" w:rsidP="004C7864">
      <w:pPr>
        <w:autoSpaceDE w:val="0"/>
        <w:autoSpaceDN w:val="0"/>
        <w:adjustRightInd w:val="0"/>
        <w:rPr>
          <w:noProof/>
          <w:szCs w:val="22"/>
          <w:u w:val="single"/>
          <w:lang w:val="sr-Latn-ME"/>
        </w:rPr>
      </w:pPr>
    </w:p>
    <w:p w14:paraId="1E55485F" w14:textId="09E0CDC7" w:rsidR="00847271" w:rsidRPr="009C0665" w:rsidRDefault="00847271" w:rsidP="004C7864">
      <w:pPr>
        <w:autoSpaceDE w:val="0"/>
        <w:autoSpaceDN w:val="0"/>
        <w:adjustRightInd w:val="0"/>
        <w:rPr>
          <w:noProof/>
          <w:szCs w:val="22"/>
          <w:u w:val="single"/>
          <w:lang w:val="sr-Latn-ME"/>
        </w:rPr>
      </w:pPr>
      <w:r w:rsidRPr="009C0665">
        <w:rPr>
          <w:noProof/>
          <w:szCs w:val="22"/>
          <w:u w:val="single"/>
          <w:lang w:val="sr-Latn-ME"/>
        </w:rPr>
        <w:t>Opis odabranih neželjenih dejstava</w:t>
      </w:r>
    </w:p>
    <w:p w14:paraId="48C637AF" w14:textId="77777777" w:rsidR="00847271" w:rsidRPr="009C0665" w:rsidRDefault="00847271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7752FFE0" w14:textId="77777777" w:rsidR="00847271" w:rsidRPr="009C0665" w:rsidRDefault="00847271" w:rsidP="004C7864">
      <w:pPr>
        <w:autoSpaceDE w:val="0"/>
        <w:autoSpaceDN w:val="0"/>
        <w:adjustRightInd w:val="0"/>
        <w:rPr>
          <w:i/>
          <w:noProof/>
          <w:szCs w:val="22"/>
          <w:u w:val="single"/>
          <w:lang w:val="sr-Latn-ME"/>
        </w:rPr>
      </w:pPr>
      <w:r w:rsidRPr="009C0665">
        <w:rPr>
          <w:i/>
          <w:noProof/>
          <w:szCs w:val="22"/>
          <w:u w:val="single"/>
          <w:lang w:val="sr-Latn-ME"/>
        </w:rPr>
        <w:t>Reakcije povezane sa infuzijom</w:t>
      </w:r>
    </w:p>
    <w:p w14:paraId="462F2345" w14:textId="77777777" w:rsidR="00847271" w:rsidRPr="009C0665" w:rsidRDefault="00847271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1968E150" w14:textId="6CD034A4" w:rsidR="00847271" w:rsidRPr="009C0665" w:rsidRDefault="00847271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  <w:r w:rsidRPr="009C0665">
        <w:rPr>
          <w:noProof/>
          <w:szCs w:val="22"/>
          <w:lang w:val="sr-Latn-ME"/>
        </w:rPr>
        <w:t xml:space="preserve">U kontrolisanim ispitivanjima GEMINI </w:t>
      </w:r>
      <w:r w:rsidR="007375A2" w:rsidRPr="009C0665">
        <w:rPr>
          <w:noProof/>
          <w:szCs w:val="22"/>
          <w:lang w:val="sr-Latn-ME"/>
        </w:rPr>
        <w:t xml:space="preserve">1 </w:t>
      </w:r>
      <w:r w:rsidRPr="009C0665">
        <w:rPr>
          <w:noProof/>
          <w:szCs w:val="22"/>
          <w:lang w:val="sr-Latn-ME"/>
        </w:rPr>
        <w:t xml:space="preserve">i GEMINI </w:t>
      </w:r>
      <w:r w:rsidR="007375A2" w:rsidRPr="009C0665">
        <w:rPr>
          <w:noProof/>
          <w:szCs w:val="22"/>
          <w:lang w:val="sr-Latn-ME"/>
        </w:rPr>
        <w:t>2</w:t>
      </w:r>
      <w:r w:rsidR="00EE4C37" w:rsidRPr="009C0665">
        <w:rPr>
          <w:noProof/>
          <w:szCs w:val="22"/>
          <w:lang w:val="sr-Latn-ME"/>
        </w:rPr>
        <w:t xml:space="preserve"> (ulcerativni kolitis i Kronova bolest)</w:t>
      </w:r>
      <w:r w:rsidRPr="009C0665">
        <w:rPr>
          <w:noProof/>
          <w:szCs w:val="22"/>
          <w:lang w:val="sr-Latn-ME"/>
        </w:rPr>
        <w:t xml:space="preserve">, 4% pacijenata </w:t>
      </w:r>
      <w:r w:rsidR="00A63489" w:rsidRPr="009C0665">
        <w:rPr>
          <w:noProof/>
          <w:szCs w:val="22"/>
          <w:lang w:val="sr-Latn-ME"/>
        </w:rPr>
        <w:t>liječeni</w:t>
      </w:r>
      <w:r w:rsidRPr="009C0665">
        <w:rPr>
          <w:noProof/>
          <w:szCs w:val="22"/>
          <w:lang w:val="sr-Latn-ME"/>
        </w:rPr>
        <w:t xml:space="preserve">h vedolizumabom </w:t>
      </w:r>
      <w:r w:rsidR="00054848" w:rsidRPr="009C0665">
        <w:rPr>
          <w:noProof/>
          <w:szCs w:val="22"/>
          <w:lang w:val="sr-Latn-ME"/>
        </w:rPr>
        <w:t>prim</w:t>
      </w:r>
      <w:r w:rsidR="00AC1ED8" w:rsidRPr="009C0665">
        <w:rPr>
          <w:noProof/>
          <w:szCs w:val="22"/>
          <w:lang w:val="sr-Latn-ME"/>
        </w:rPr>
        <w:t>i</w:t>
      </w:r>
      <w:r w:rsidR="00054848" w:rsidRPr="009C0665">
        <w:rPr>
          <w:noProof/>
          <w:szCs w:val="22"/>
          <w:lang w:val="sr-Latn-ME"/>
        </w:rPr>
        <w:t>jenjen</w:t>
      </w:r>
      <w:r w:rsidR="007375A2" w:rsidRPr="009C0665">
        <w:rPr>
          <w:noProof/>
          <w:szCs w:val="22"/>
          <w:lang w:val="sr-Latn-ME"/>
        </w:rPr>
        <w:t xml:space="preserve">im intravenski </w:t>
      </w:r>
      <w:r w:rsidRPr="009C0665">
        <w:rPr>
          <w:noProof/>
          <w:szCs w:val="22"/>
          <w:lang w:val="sr-Latn-ME"/>
        </w:rPr>
        <w:t xml:space="preserve">i 3% pacijenata </w:t>
      </w:r>
      <w:r w:rsidR="00A63489" w:rsidRPr="009C0665">
        <w:rPr>
          <w:noProof/>
          <w:szCs w:val="22"/>
          <w:lang w:val="sr-Latn-ME"/>
        </w:rPr>
        <w:t>liječeni</w:t>
      </w:r>
      <w:r w:rsidRPr="009C0665">
        <w:rPr>
          <w:noProof/>
          <w:szCs w:val="22"/>
          <w:lang w:val="sr-Latn-ME"/>
        </w:rPr>
        <w:t xml:space="preserve">h placebom imali su </w:t>
      </w:r>
      <w:r w:rsidR="007A5DDB" w:rsidRPr="009C0665">
        <w:rPr>
          <w:noProof/>
          <w:szCs w:val="22"/>
          <w:lang w:val="sr-Latn-ME"/>
        </w:rPr>
        <w:t xml:space="preserve">neželjene reakcije </w:t>
      </w:r>
      <w:r w:rsidRPr="009C0665">
        <w:rPr>
          <w:noProof/>
          <w:szCs w:val="22"/>
          <w:lang w:val="sr-Latn-ME"/>
        </w:rPr>
        <w:t>koje su ispitivači definisali kao reakcije povezane sa infuzijom (RPI) (</w:t>
      </w:r>
      <w:r w:rsidR="00166D72" w:rsidRPr="009C0665">
        <w:rPr>
          <w:noProof/>
          <w:szCs w:val="22"/>
          <w:lang w:val="sr-Latn-ME"/>
        </w:rPr>
        <w:t>vidjeti dio</w:t>
      </w:r>
      <w:r w:rsidR="005F636B" w:rsidRPr="009C0665">
        <w:rPr>
          <w:noProof/>
          <w:szCs w:val="22"/>
          <w:lang w:val="sr-Latn-ME"/>
        </w:rPr>
        <w:t xml:space="preserve"> </w:t>
      </w:r>
      <w:r w:rsidRPr="009C0665">
        <w:rPr>
          <w:noProof/>
          <w:szCs w:val="22"/>
          <w:lang w:val="sr-Latn-ME"/>
        </w:rPr>
        <w:t>4.4). Nijedan individualni standardni pojam prijavljen kao RPI nije se dogodio u stopi većoj od 1%. Većina RPI bilo je blagog do um</w:t>
      </w:r>
      <w:r w:rsidR="00A63489" w:rsidRPr="009C0665">
        <w:rPr>
          <w:noProof/>
          <w:szCs w:val="22"/>
          <w:lang w:val="sr-Latn-ME"/>
        </w:rPr>
        <w:t>j</w:t>
      </w:r>
      <w:r w:rsidRPr="009C0665">
        <w:rPr>
          <w:noProof/>
          <w:szCs w:val="22"/>
          <w:lang w:val="sr-Latn-ME"/>
        </w:rPr>
        <w:t xml:space="preserve">erenog intenziteta, a &lt;1% reakcija imalo je za rezultat prekid </w:t>
      </w:r>
      <w:r w:rsidR="00166D72" w:rsidRPr="009C0665">
        <w:rPr>
          <w:noProof/>
          <w:szCs w:val="22"/>
          <w:lang w:val="sr-Latn-ME"/>
        </w:rPr>
        <w:t>liječenja</w:t>
      </w:r>
      <w:r w:rsidR="004B73DB" w:rsidRPr="009C0665">
        <w:rPr>
          <w:noProof/>
          <w:szCs w:val="22"/>
          <w:lang w:val="sr-Latn-ME"/>
        </w:rPr>
        <w:t xml:space="preserve"> u studiji</w:t>
      </w:r>
      <w:r w:rsidRPr="009C0665">
        <w:rPr>
          <w:noProof/>
          <w:szCs w:val="22"/>
          <w:lang w:val="sr-Latn-ME"/>
        </w:rPr>
        <w:t xml:space="preserve">. Uočene RPI su se povukle bez intervencija ili uz minimalne intervencije nakon </w:t>
      </w:r>
      <w:r w:rsidR="00AB003D" w:rsidRPr="009C0665">
        <w:rPr>
          <w:noProof/>
          <w:szCs w:val="22"/>
          <w:lang w:val="sr-Latn-ME"/>
        </w:rPr>
        <w:t>primjene</w:t>
      </w:r>
      <w:r w:rsidR="004B73DB" w:rsidRPr="009C0665">
        <w:rPr>
          <w:noProof/>
          <w:szCs w:val="22"/>
          <w:lang w:val="sr-Latn-ME"/>
        </w:rPr>
        <w:t xml:space="preserve"> </w:t>
      </w:r>
      <w:r w:rsidRPr="009C0665">
        <w:rPr>
          <w:noProof/>
          <w:szCs w:val="22"/>
          <w:lang w:val="sr-Latn-ME"/>
        </w:rPr>
        <w:t xml:space="preserve">infuzije. Većina reakcija povezanih sa infuzijom dogodila se u toku prva 2 sata. Kod onih pacijenata koji su imali reakcije povezane sa infuzijom, oni koji su primili vedolizumab </w:t>
      </w:r>
      <w:r w:rsidR="007375A2" w:rsidRPr="009C0665">
        <w:rPr>
          <w:noProof/>
          <w:szCs w:val="22"/>
          <w:lang w:val="sr-Latn-ME"/>
        </w:rPr>
        <w:t>intravenski</w:t>
      </w:r>
      <w:r w:rsidRPr="009C0665">
        <w:rPr>
          <w:noProof/>
          <w:szCs w:val="22"/>
          <w:lang w:val="sr-Latn-ME"/>
        </w:rPr>
        <w:t xml:space="preserve"> imali su više reakcija povezanih sa infuzijom unutar prva dva sata od </w:t>
      </w:r>
      <w:r w:rsidR="00AB003D" w:rsidRPr="009C0665">
        <w:rPr>
          <w:noProof/>
          <w:szCs w:val="22"/>
          <w:lang w:val="sr-Latn-ME"/>
        </w:rPr>
        <w:t>primjene</w:t>
      </w:r>
      <w:r w:rsidRPr="009C0665">
        <w:rPr>
          <w:noProof/>
          <w:szCs w:val="22"/>
          <w:lang w:val="sr-Latn-ME"/>
        </w:rPr>
        <w:t xml:space="preserve"> </w:t>
      </w:r>
      <w:r w:rsidR="00D26459" w:rsidRPr="009C0665">
        <w:rPr>
          <w:noProof/>
          <w:szCs w:val="22"/>
          <w:lang w:val="sr-Latn-ME"/>
        </w:rPr>
        <w:t>lijek</w:t>
      </w:r>
      <w:r w:rsidRPr="009C0665">
        <w:rPr>
          <w:noProof/>
          <w:szCs w:val="22"/>
          <w:lang w:val="sr-Latn-ME"/>
        </w:rPr>
        <w:t>a u odnosu na pacijente koji su primali placebo. Većina reakcija povezanih sa infuzijom ni</w:t>
      </w:r>
      <w:r w:rsidR="00DB4FD4" w:rsidRPr="009C0665">
        <w:rPr>
          <w:noProof/>
          <w:szCs w:val="22"/>
          <w:lang w:val="sr-Latn-ME"/>
        </w:rPr>
        <w:t>je</w:t>
      </w:r>
      <w:r w:rsidRPr="009C0665">
        <w:rPr>
          <w:noProof/>
          <w:szCs w:val="22"/>
          <w:lang w:val="sr-Latn-ME"/>
        </w:rPr>
        <w:t xml:space="preserve">su bile ozbiljne i dogodile su se tokom </w:t>
      </w:r>
      <w:r w:rsidR="00AB003D" w:rsidRPr="009C0665">
        <w:rPr>
          <w:noProof/>
          <w:szCs w:val="22"/>
          <w:lang w:val="sr-Latn-ME"/>
        </w:rPr>
        <w:t>primjene</w:t>
      </w:r>
      <w:r w:rsidRPr="009C0665">
        <w:rPr>
          <w:noProof/>
          <w:szCs w:val="22"/>
          <w:lang w:val="sr-Latn-ME"/>
        </w:rPr>
        <w:t xml:space="preserve"> infuzije ili unutar prvog sata nakon završetka infuzije.</w:t>
      </w:r>
    </w:p>
    <w:p w14:paraId="67988C55" w14:textId="77777777" w:rsidR="00847271" w:rsidRPr="009C0665" w:rsidRDefault="00847271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624C83A6" w14:textId="14E654E5" w:rsidR="00847271" w:rsidRPr="009C0665" w:rsidRDefault="00847271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  <w:r w:rsidRPr="009C0665">
        <w:rPr>
          <w:noProof/>
          <w:szCs w:val="22"/>
          <w:lang w:val="sr-Latn-ME"/>
        </w:rPr>
        <w:t>Jedn</w:t>
      </w:r>
      <w:r w:rsidR="007A5DDB" w:rsidRPr="009C0665">
        <w:rPr>
          <w:noProof/>
          <w:szCs w:val="22"/>
          <w:lang w:val="sr-Latn-ME"/>
        </w:rPr>
        <w:t>a</w:t>
      </w:r>
      <w:r w:rsidRPr="009C0665">
        <w:rPr>
          <w:noProof/>
          <w:szCs w:val="22"/>
          <w:lang w:val="sr-Latn-ME"/>
        </w:rPr>
        <w:t xml:space="preserve"> ozbiljn</w:t>
      </w:r>
      <w:r w:rsidR="007A5DDB" w:rsidRPr="009C0665">
        <w:rPr>
          <w:noProof/>
          <w:szCs w:val="22"/>
          <w:lang w:val="sr-Latn-ME"/>
        </w:rPr>
        <w:t>a</w:t>
      </w:r>
      <w:r w:rsidRPr="009C0665">
        <w:rPr>
          <w:noProof/>
          <w:szCs w:val="22"/>
          <w:lang w:val="sr-Latn-ME"/>
        </w:rPr>
        <w:t xml:space="preserve"> neželjen</w:t>
      </w:r>
      <w:r w:rsidR="007A5DDB" w:rsidRPr="009C0665">
        <w:rPr>
          <w:noProof/>
          <w:szCs w:val="22"/>
          <w:lang w:val="sr-Latn-ME"/>
        </w:rPr>
        <w:t>a</w:t>
      </w:r>
      <w:r w:rsidRPr="009C0665">
        <w:rPr>
          <w:noProof/>
          <w:szCs w:val="22"/>
          <w:lang w:val="sr-Latn-ME"/>
        </w:rPr>
        <w:t xml:space="preserve"> </w:t>
      </w:r>
      <w:r w:rsidR="007A5DDB" w:rsidRPr="009C0665">
        <w:rPr>
          <w:noProof/>
          <w:szCs w:val="22"/>
          <w:lang w:val="sr-Latn-ME"/>
        </w:rPr>
        <w:t xml:space="preserve">reakcija </w:t>
      </w:r>
      <w:r w:rsidRPr="009C0665">
        <w:rPr>
          <w:noProof/>
          <w:szCs w:val="22"/>
          <w:lang w:val="sr-Latn-ME"/>
        </w:rPr>
        <w:t>ob</w:t>
      </w:r>
      <w:r w:rsidR="00DB4FD4" w:rsidRPr="009C0665">
        <w:rPr>
          <w:noProof/>
          <w:szCs w:val="22"/>
          <w:lang w:val="sr-Latn-ME"/>
        </w:rPr>
        <w:t>i</w:t>
      </w:r>
      <w:r w:rsidRPr="009C0665">
        <w:rPr>
          <w:noProof/>
          <w:szCs w:val="22"/>
          <w:lang w:val="sr-Latn-ME"/>
        </w:rPr>
        <w:t>l</w:t>
      </w:r>
      <w:r w:rsidR="00DB4FD4" w:rsidRPr="009C0665">
        <w:rPr>
          <w:noProof/>
          <w:szCs w:val="22"/>
          <w:lang w:val="sr-Latn-ME"/>
        </w:rPr>
        <w:t>j</w:t>
      </w:r>
      <w:r w:rsidRPr="009C0665">
        <w:rPr>
          <w:noProof/>
          <w:szCs w:val="22"/>
          <w:lang w:val="sr-Latn-ME"/>
        </w:rPr>
        <w:t>ežen</w:t>
      </w:r>
      <w:r w:rsidR="007A5DDB" w:rsidRPr="009C0665">
        <w:rPr>
          <w:noProof/>
          <w:szCs w:val="22"/>
          <w:lang w:val="sr-Latn-ME"/>
        </w:rPr>
        <w:t>a</w:t>
      </w:r>
      <w:r w:rsidRPr="009C0665">
        <w:rPr>
          <w:noProof/>
          <w:szCs w:val="22"/>
          <w:lang w:val="sr-Latn-ME"/>
        </w:rPr>
        <w:t xml:space="preserve"> kao RPI prijavljen</w:t>
      </w:r>
      <w:r w:rsidR="007A5DDB" w:rsidRPr="009C0665">
        <w:rPr>
          <w:noProof/>
          <w:szCs w:val="22"/>
          <w:lang w:val="sr-Latn-ME"/>
        </w:rPr>
        <w:t>a</w:t>
      </w:r>
      <w:r w:rsidRPr="009C0665">
        <w:rPr>
          <w:noProof/>
          <w:szCs w:val="22"/>
          <w:lang w:val="sr-Latn-ME"/>
        </w:rPr>
        <w:t xml:space="preserve"> je kod pacijenta sa </w:t>
      </w:r>
      <w:r w:rsidR="00AB003D" w:rsidRPr="009C0665">
        <w:rPr>
          <w:noProof/>
          <w:szCs w:val="22"/>
          <w:lang w:val="sr-Latn-ME"/>
        </w:rPr>
        <w:t>Crohnovom</w:t>
      </w:r>
      <w:r w:rsidRPr="009C0665">
        <w:rPr>
          <w:noProof/>
          <w:szCs w:val="22"/>
          <w:lang w:val="sr-Latn-ME"/>
        </w:rPr>
        <w:t xml:space="preserve"> bolešću tokom </w:t>
      </w:r>
      <w:r w:rsidR="00AB003D" w:rsidRPr="009C0665">
        <w:rPr>
          <w:noProof/>
          <w:szCs w:val="22"/>
          <w:lang w:val="sr-Latn-ME"/>
        </w:rPr>
        <w:t>primjene</w:t>
      </w:r>
      <w:r w:rsidR="0046258D" w:rsidRPr="009C0665">
        <w:rPr>
          <w:noProof/>
          <w:szCs w:val="22"/>
          <w:lang w:val="sr-Latn-ME"/>
        </w:rPr>
        <w:t xml:space="preserve"> </w:t>
      </w:r>
      <w:r w:rsidRPr="009C0665">
        <w:rPr>
          <w:noProof/>
          <w:szCs w:val="22"/>
          <w:lang w:val="sr-Latn-ME"/>
        </w:rPr>
        <w:t xml:space="preserve">druge infuzije (prijavljeni simptomi bili su dispneja, bronhospazam, urtikarija, </w:t>
      </w:r>
      <w:r w:rsidR="0046258D" w:rsidRPr="009C0665">
        <w:rPr>
          <w:noProof/>
          <w:szCs w:val="22"/>
          <w:lang w:val="sr-Latn-ME"/>
        </w:rPr>
        <w:t xml:space="preserve">naleti </w:t>
      </w:r>
      <w:r w:rsidRPr="009C0665">
        <w:rPr>
          <w:noProof/>
          <w:szCs w:val="22"/>
          <w:lang w:val="sr-Latn-ME"/>
        </w:rPr>
        <w:t>crvenil</w:t>
      </w:r>
      <w:r w:rsidR="0046258D" w:rsidRPr="009C0665">
        <w:rPr>
          <w:noProof/>
          <w:szCs w:val="22"/>
          <w:lang w:val="sr-Latn-ME"/>
        </w:rPr>
        <w:t>a</w:t>
      </w:r>
      <w:r w:rsidRPr="009C0665">
        <w:rPr>
          <w:noProof/>
          <w:szCs w:val="22"/>
          <w:lang w:val="sr-Latn-ME"/>
        </w:rPr>
        <w:t>, osip, povišen krvni pritisak i ubrzani srčani ritam) ovaj pacijent je usp</w:t>
      </w:r>
      <w:r w:rsidR="00DB4FD4" w:rsidRPr="009C0665">
        <w:rPr>
          <w:noProof/>
          <w:szCs w:val="22"/>
          <w:lang w:val="sr-Latn-ME"/>
        </w:rPr>
        <w:t>j</w:t>
      </w:r>
      <w:r w:rsidRPr="009C0665">
        <w:rPr>
          <w:noProof/>
          <w:szCs w:val="22"/>
          <w:lang w:val="sr-Latn-ME"/>
        </w:rPr>
        <w:t>ešno izl</w:t>
      </w:r>
      <w:r w:rsidR="00DB4FD4" w:rsidRPr="009C0665">
        <w:rPr>
          <w:noProof/>
          <w:szCs w:val="22"/>
          <w:lang w:val="sr-Latn-ME"/>
        </w:rPr>
        <w:t>ij</w:t>
      </w:r>
      <w:r w:rsidRPr="009C0665">
        <w:rPr>
          <w:noProof/>
          <w:szCs w:val="22"/>
          <w:lang w:val="sr-Latn-ME"/>
        </w:rPr>
        <w:t xml:space="preserve">ečen uz prekid infuzije i </w:t>
      </w:r>
      <w:r w:rsidR="00D26459" w:rsidRPr="009C0665">
        <w:rPr>
          <w:noProof/>
          <w:szCs w:val="22"/>
          <w:lang w:val="sr-Latn-ME"/>
        </w:rPr>
        <w:t>liječenje</w:t>
      </w:r>
      <w:r w:rsidRPr="009C0665">
        <w:rPr>
          <w:noProof/>
          <w:szCs w:val="22"/>
          <w:lang w:val="sr-Latn-ME"/>
        </w:rPr>
        <w:t xml:space="preserve"> antihistaminikom i hidrokortizonom</w:t>
      </w:r>
      <w:r w:rsidR="0046258D" w:rsidRPr="009C0665">
        <w:rPr>
          <w:noProof/>
          <w:szCs w:val="22"/>
          <w:lang w:val="sr-Latn-ME"/>
        </w:rPr>
        <w:t xml:space="preserve"> </w:t>
      </w:r>
      <w:r w:rsidR="00054848" w:rsidRPr="009C0665">
        <w:rPr>
          <w:noProof/>
          <w:szCs w:val="22"/>
          <w:lang w:val="sr-Latn-ME"/>
        </w:rPr>
        <w:t>prim</w:t>
      </w:r>
      <w:r w:rsidR="0071718D" w:rsidRPr="009C0665">
        <w:rPr>
          <w:noProof/>
          <w:szCs w:val="22"/>
          <w:lang w:val="sr-Latn-ME"/>
        </w:rPr>
        <w:t>i</w:t>
      </w:r>
      <w:r w:rsidR="00054848" w:rsidRPr="009C0665">
        <w:rPr>
          <w:noProof/>
          <w:szCs w:val="22"/>
          <w:lang w:val="sr-Latn-ME"/>
        </w:rPr>
        <w:t>jenjen</w:t>
      </w:r>
      <w:r w:rsidR="0046258D" w:rsidRPr="009C0665">
        <w:rPr>
          <w:noProof/>
          <w:szCs w:val="22"/>
          <w:lang w:val="sr-Latn-ME"/>
        </w:rPr>
        <w:t>im intravenski</w:t>
      </w:r>
      <w:r w:rsidRPr="009C0665">
        <w:rPr>
          <w:noProof/>
          <w:szCs w:val="22"/>
          <w:lang w:val="sr-Latn-ME"/>
        </w:rPr>
        <w:t xml:space="preserve">. Kod pacijenata koji su primali vedolizumab </w:t>
      </w:r>
      <w:r w:rsidR="007375A2" w:rsidRPr="009C0665">
        <w:rPr>
          <w:noProof/>
          <w:szCs w:val="22"/>
          <w:lang w:val="sr-Latn-ME"/>
        </w:rPr>
        <w:t>intravenski</w:t>
      </w:r>
      <w:r w:rsidRPr="009C0665">
        <w:rPr>
          <w:noProof/>
          <w:szCs w:val="22"/>
          <w:lang w:val="sr-Latn-ME"/>
        </w:rPr>
        <w:t xml:space="preserve"> u </w:t>
      </w:r>
      <w:r w:rsidR="007A5DDB" w:rsidRPr="009C0665">
        <w:rPr>
          <w:noProof/>
          <w:szCs w:val="22"/>
          <w:lang w:val="sr-Latn-ME"/>
        </w:rPr>
        <w:t xml:space="preserve">0. </w:t>
      </w:r>
      <w:r w:rsidRPr="009C0665">
        <w:rPr>
          <w:noProof/>
          <w:szCs w:val="22"/>
          <w:lang w:val="sr-Latn-ME"/>
        </w:rPr>
        <w:t xml:space="preserve">i </w:t>
      </w:r>
      <w:r w:rsidR="007A5DDB" w:rsidRPr="009C0665">
        <w:rPr>
          <w:noProof/>
          <w:szCs w:val="22"/>
          <w:lang w:val="sr-Latn-ME"/>
        </w:rPr>
        <w:t xml:space="preserve">2. </w:t>
      </w:r>
      <w:r w:rsidR="00AB003D" w:rsidRPr="009C0665">
        <w:rPr>
          <w:noProof/>
          <w:szCs w:val="22"/>
          <w:lang w:val="sr-Latn-ME"/>
        </w:rPr>
        <w:t>nedjelji</w:t>
      </w:r>
      <w:r w:rsidRPr="009C0665">
        <w:rPr>
          <w:noProof/>
          <w:szCs w:val="22"/>
          <w:lang w:val="sr-Latn-ME"/>
        </w:rPr>
        <w:t xml:space="preserve">, nakon čega je </w:t>
      </w:r>
      <w:r w:rsidR="00054848" w:rsidRPr="009C0665">
        <w:rPr>
          <w:noProof/>
          <w:szCs w:val="22"/>
          <w:lang w:val="sr-Latn-ME"/>
        </w:rPr>
        <w:t>prim</w:t>
      </w:r>
      <w:r w:rsidR="0071718D" w:rsidRPr="009C0665">
        <w:rPr>
          <w:noProof/>
          <w:szCs w:val="22"/>
          <w:lang w:val="sr-Latn-ME"/>
        </w:rPr>
        <w:t>i</w:t>
      </w:r>
      <w:r w:rsidR="00054848" w:rsidRPr="009C0665">
        <w:rPr>
          <w:noProof/>
          <w:szCs w:val="22"/>
          <w:lang w:val="sr-Latn-ME"/>
        </w:rPr>
        <w:t>jenjen</w:t>
      </w:r>
      <w:r w:rsidRPr="009C0665">
        <w:rPr>
          <w:noProof/>
          <w:szCs w:val="22"/>
          <w:lang w:val="sr-Latn-ME"/>
        </w:rPr>
        <w:t xml:space="preserve"> placebo nije uočeno povećanje stope RPI nakon ponovnog </w:t>
      </w:r>
      <w:r w:rsidR="00166D72" w:rsidRPr="009C0665">
        <w:rPr>
          <w:noProof/>
          <w:szCs w:val="22"/>
          <w:lang w:val="sr-Latn-ME"/>
        </w:rPr>
        <w:t>liječenja</w:t>
      </w:r>
      <w:r w:rsidRPr="009C0665">
        <w:rPr>
          <w:noProof/>
          <w:szCs w:val="22"/>
          <w:lang w:val="sr-Latn-ME"/>
        </w:rPr>
        <w:t xml:space="preserve"> vedolizumabom </w:t>
      </w:r>
      <w:r w:rsidR="00AB003D" w:rsidRPr="009C0665">
        <w:rPr>
          <w:noProof/>
          <w:szCs w:val="22"/>
          <w:lang w:val="sr-Latn-ME"/>
        </w:rPr>
        <w:t>prim</w:t>
      </w:r>
      <w:r w:rsidR="0071718D" w:rsidRPr="009C0665">
        <w:rPr>
          <w:noProof/>
          <w:szCs w:val="22"/>
          <w:lang w:val="sr-Latn-ME"/>
        </w:rPr>
        <w:t>i</w:t>
      </w:r>
      <w:r w:rsidR="00AB003D" w:rsidRPr="009C0665">
        <w:rPr>
          <w:noProof/>
          <w:szCs w:val="22"/>
          <w:lang w:val="sr-Latn-ME"/>
        </w:rPr>
        <w:t>jenjenog</w:t>
      </w:r>
      <w:r w:rsidR="007375A2" w:rsidRPr="009C0665">
        <w:rPr>
          <w:noProof/>
          <w:szCs w:val="22"/>
          <w:lang w:val="sr-Latn-ME"/>
        </w:rPr>
        <w:t xml:space="preserve"> intravenski</w:t>
      </w:r>
      <w:r w:rsidRPr="009C0665">
        <w:rPr>
          <w:noProof/>
          <w:szCs w:val="22"/>
          <w:lang w:val="sr-Latn-ME"/>
        </w:rPr>
        <w:t xml:space="preserve"> nakon gubitka </w:t>
      </w:r>
      <w:r w:rsidR="0046258D" w:rsidRPr="009C0665">
        <w:rPr>
          <w:noProof/>
          <w:szCs w:val="22"/>
          <w:lang w:val="sr-Latn-ME"/>
        </w:rPr>
        <w:t xml:space="preserve">terapijskog </w:t>
      </w:r>
      <w:r w:rsidRPr="009C0665">
        <w:rPr>
          <w:noProof/>
          <w:szCs w:val="22"/>
          <w:lang w:val="sr-Latn-ME"/>
        </w:rPr>
        <w:t>odgovora.</w:t>
      </w:r>
    </w:p>
    <w:p w14:paraId="2C63714A" w14:textId="071A6888" w:rsidR="00847271" w:rsidRPr="009C0665" w:rsidRDefault="00847271" w:rsidP="004C7864">
      <w:pPr>
        <w:shd w:val="clear" w:color="auto" w:fill="FFFFFF" w:themeFill="background1"/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1B28EFB1" w14:textId="73FC976A" w:rsidR="00EE4C37" w:rsidRPr="009C0665" w:rsidRDefault="00EE4C37" w:rsidP="004C7864">
      <w:pPr>
        <w:shd w:val="clear" w:color="auto" w:fill="FFFFFF" w:themeFill="background1"/>
        <w:autoSpaceDE w:val="0"/>
        <w:autoSpaceDN w:val="0"/>
        <w:adjustRightInd w:val="0"/>
        <w:rPr>
          <w:noProof/>
          <w:szCs w:val="22"/>
          <w:lang w:val="sr-Latn-ME"/>
        </w:rPr>
      </w:pPr>
      <w:r w:rsidRPr="009C0665">
        <w:rPr>
          <w:noProof/>
          <w:szCs w:val="22"/>
          <w:lang w:val="sr-Latn-ME"/>
        </w:rPr>
        <w:t xml:space="preserve">U kontrolisanoj studiji EARNEST (paučitis) </w:t>
      </w:r>
      <w:r w:rsidR="00AB003D" w:rsidRPr="009C0665">
        <w:rPr>
          <w:noProof/>
          <w:szCs w:val="22"/>
          <w:lang w:val="sr-Latn-ME"/>
        </w:rPr>
        <w:t>primjene</w:t>
      </w:r>
      <w:r w:rsidRPr="009C0665">
        <w:rPr>
          <w:noProof/>
          <w:szCs w:val="22"/>
          <w:lang w:val="sr-Latn-ME"/>
        </w:rPr>
        <w:t xml:space="preserve"> intravenskog vedolizumaba, reakcije preos</w:t>
      </w:r>
      <w:r w:rsidR="00DB4FD4" w:rsidRPr="009C0665">
        <w:rPr>
          <w:noProof/>
          <w:szCs w:val="22"/>
          <w:lang w:val="sr-Latn-ME"/>
        </w:rPr>
        <w:t>j</w:t>
      </w:r>
      <w:r w:rsidRPr="009C0665">
        <w:rPr>
          <w:noProof/>
          <w:szCs w:val="22"/>
          <w:lang w:val="sr-Latn-ME"/>
        </w:rPr>
        <w:t xml:space="preserve">etljivosti, uključujući reakcije povezane sa infuzijom, prijavljene su kod 3 od 51 ispitanika (5,9%) u grupi koja je primala vedolizumab i kod 2 od 51 ispitanika (3,9%) u grupi koja je primala placebo. Pojedinačni preporučeni pojmovi uključivali su ulceraciju u ustima, oticanje, periferni edem, nelagodu u grudnom košu, asteniju, akutnu </w:t>
      </w:r>
      <w:r w:rsidR="00EA3998" w:rsidRPr="009C0665">
        <w:rPr>
          <w:noProof/>
          <w:szCs w:val="22"/>
          <w:lang w:val="sr-Latn-ME"/>
        </w:rPr>
        <w:t xml:space="preserve">povredu </w:t>
      </w:r>
      <w:r w:rsidRPr="009C0665">
        <w:rPr>
          <w:noProof/>
          <w:szCs w:val="22"/>
          <w:lang w:val="sr-Latn-ME"/>
        </w:rPr>
        <w:t xml:space="preserve">bubrega, opstruktivni poremećaj disajnih puteva i </w:t>
      </w:r>
      <w:r w:rsidR="00EA3998" w:rsidRPr="009C0665">
        <w:rPr>
          <w:noProof/>
          <w:szCs w:val="22"/>
          <w:lang w:val="sr-Latn-ME"/>
        </w:rPr>
        <w:t xml:space="preserve">nalete </w:t>
      </w:r>
      <w:r w:rsidRPr="009C0665">
        <w:rPr>
          <w:noProof/>
          <w:szCs w:val="22"/>
          <w:lang w:val="sr-Latn-ME"/>
        </w:rPr>
        <w:t>crvenila. Svi događaji prijavljeni su kao blagi do um</w:t>
      </w:r>
      <w:r w:rsidR="00DB4FD4" w:rsidRPr="009C0665">
        <w:rPr>
          <w:noProof/>
          <w:szCs w:val="22"/>
          <w:lang w:val="sr-Latn-ME"/>
        </w:rPr>
        <w:t>j</w:t>
      </w:r>
      <w:r w:rsidRPr="009C0665">
        <w:rPr>
          <w:noProof/>
          <w:szCs w:val="22"/>
          <w:lang w:val="sr-Latn-ME"/>
        </w:rPr>
        <w:t>ereni po intenzitetu, nijedan se nije smatrao ozbiljnim i nijedan nije rezultovao prekidom ispitivanja.</w:t>
      </w:r>
    </w:p>
    <w:p w14:paraId="29A4A6E1" w14:textId="77777777" w:rsidR="00EE4C37" w:rsidRPr="009C0665" w:rsidRDefault="00EE4C37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7DFDF2A1" w14:textId="77777777" w:rsidR="00847271" w:rsidRPr="009C0665" w:rsidRDefault="00847271" w:rsidP="004C7864">
      <w:pPr>
        <w:autoSpaceDE w:val="0"/>
        <w:autoSpaceDN w:val="0"/>
        <w:adjustRightInd w:val="0"/>
        <w:rPr>
          <w:i/>
          <w:noProof/>
          <w:szCs w:val="22"/>
          <w:u w:val="single"/>
          <w:lang w:val="sr-Latn-ME"/>
        </w:rPr>
      </w:pPr>
      <w:r w:rsidRPr="009C0665">
        <w:rPr>
          <w:i/>
          <w:noProof/>
          <w:szCs w:val="22"/>
          <w:u w:val="single"/>
          <w:lang w:val="sr-Latn-ME"/>
        </w:rPr>
        <w:t>Infekcije</w:t>
      </w:r>
    </w:p>
    <w:p w14:paraId="12520706" w14:textId="77777777" w:rsidR="00847271" w:rsidRPr="009C0665" w:rsidRDefault="00847271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6FE42075" w14:textId="7D3C86E5" w:rsidR="00847271" w:rsidRPr="009C0665" w:rsidRDefault="00847271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  <w:r w:rsidRPr="009C0665">
        <w:rPr>
          <w:noProof/>
          <w:szCs w:val="22"/>
          <w:lang w:val="sr-Latn-ME"/>
        </w:rPr>
        <w:t xml:space="preserve">U kontrolisanim ispitivanjima </w:t>
      </w:r>
      <w:r w:rsidR="005578CE" w:rsidRPr="009C0665">
        <w:rPr>
          <w:noProof/>
          <w:szCs w:val="22"/>
          <w:lang w:val="sr-Latn-ME"/>
        </w:rPr>
        <w:t xml:space="preserve">intravenske </w:t>
      </w:r>
      <w:r w:rsidR="00AB003D" w:rsidRPr="009C0665">
        <w:rPr>
          <w:noProof/>
          <w:szCs w:val="22"/>
          <w:lang w:val="sr-Latn-ME"/>
        </w:rPr>
        <w:t>primjene</w:t>
      </w:r>
      <w:r w:rsidR="005578CE" w:rsidRPr="009C0665">
        <w:rPr>
          <w:noProof/>
          <w:szCs w:val="22"/>
          <w:lang w:val="sr-Latn-ME"/>
        </w:rPr>
        <w:t xml:space="preserve"> vedolizumaba </w:t>
      </w:r>
      <w:r w:rsidRPr="009C0665">
        <w:rPr>
          <w:noProof/>
          <w:szCs w:val="22"/>
          <w:lang w:val="sr-Latn-ME"/>
        </w:rPr>
        <w:t xml:space="preserve">GEMINI </w:t>
      </w:r>
      <w:r w:rsidR="007375A2" w:rsidRPr="009C0665">
        <w:rPr>
          <w:noProof/>
          <w:szCs w:val="22"/>
          <w:lang w:val="sr-Latn-ME"/>
        </w:rPr>
        <w:t xml:space="preserve">1 </w:t>
      </w:r>
      <w:r w:rsidRPr="009C0665">
        <w:rPr>
          <w:noProof/>
          <w:szCs w:val="22"/>
          <w:lang w:val="sr-Latn-ME"/>
        </w:rPr>
        <w:t xml:space="preserve">i </w:t>
      </w:r>
      <w:r w:rsidR="007375A2" w:rsidRPr="009C0665">
        <w:rPr>
          <w:noProof/>
          <w:szCs w:val="22"/>
          <w:lang w:val="sr-Latn-ME"/>
        </w:rPr>
        <w:t>2</w:t>
      </w:r>
      <w:r w:rsidR="00EE4C37" w:rsidRPr="009C0665">
        <w:rPr>
          <w:noProof/>
          <w:szCs w:val="22"/>
          <w:lang w:val="sr-Latn-ME"/>
        </w:rPr>
        <w:t xml:space="preserve"> (ulcerativni kolitis i </w:t>
      </w:r>
      <w:r w:rsidR="00A63489" w:rsidRPr="009C0665">
        <w:rPr>
          <w:noProof/>
          <w:szCs w:val="22"/>
          <w:lang w:val="sr-Latn-ME"/>
        </w:rPr>
        <w:t>Ch</w:t>
      </w:r>
      <w:r w:rsidR="00EE4C37" w:rsidRPr="009C0665">
        <w:rPr>
          <w:noProof/>
          <w:szCs w:val="22"/>
          <w:lang w:val="sr-Latn-ME"/>
        </w:rPr>
        <w:t>ronova bolest)</w:t>
      </w:r>
      <w:r w:rsidRPr="009C0665">
        <w:rPr>
          <w:noProof/>
          <w:szCs w:val="22"/>
          <w:lang w:val="sr-Latn-ME"/>
        </w:rPr>
        <w:t xml:space="preserve">, </w:t>
      </w:r>
      <w:r w:rsidR="005578CE" w:rsidRPr="009C0665">
        <w:rPr>
          <w:noProof/>
          <w:szCs w:val="22"/>
          <w:lang w:val="sr-Latn-ME"/>
        </w:rPr>
        <w:t xml:space="preserve">učestalost </w:t>
      </w:r>
      <w:r w:rsidRPr="009C0665">
        <w:rPr>
          <w:noProof/>
          <w:szCs w:val="22"/>
          <w:lang w:val="sr-Latn-ME"/>
        </w:rPr>
        <w:t xml:space="preserve">infekcija iznosila je 0,85 po pacijent-godini kod pacijenata </w:t>
      </w:r>
      <w:r w:rsidR="00A63489" w:rsidRPr="009C0665">
        <w:rPr>
          <w:noProof/>
          <w:szCs w:val="22"/>
          <w:lang w:val="sr-Latn-ME"/>
        </w:rPr>
        <w:t>liječeni</w:t>
      </w:r>
      <w:r w:rsidRPr="009C0665">
        <w:rPr>
          <w:noProof/>
          <w:szCs w:val="22"/>
          <w:lang w:val="sr-Latn-ME"/>
        </w:rPr>
        <w:t xml:space="preserve">h vedolizumabom, a 0,70 po pacijent-godini kod pacijenata </w:t>
      </w:r>
      <w:r w:rsidR="00A63489" w:rsidRPr="009C0665">
        <w:rPr>
          <w:noProof/>
          <w:szCs w:val="22"/>
          <w:lang w:val="sr-Latn-ME"/>
        </w:rPr>
        <w:t>liječeni</w:t>
      </w:r>
      <w:r w:rsidRPr="009C0665">
        <w:rPr>
          <w:noProof/>
          <w:szCs w:val="22"/>
          <w:lang w:val="sr-Latn-ME"/>
        </w:rPr>
        <w:t>h placebom. Prvenstveno su se javljale sl</w:t>
      </w:r>
      <w:r w:rsidR="00DB4FD4" w:rsidRPr="009C0665">
        <w:rPr>
          <w:noProof/>
          <w:szCs w:val="22"/>
          <w:lang w:val="sr-Latn-ME"/>
        </w:rPr>
        <w:t>j</w:t>
      </w:r>
      <w:r w:rsidRPr="009C0665">
        <w:rPr>
          <w:noProof/>
          <w:szCs w:val="22"/>
          <w:lang w:val="sr-Latn-ME"/>
        </w:rPr>
        <w:t xml:space="preserve">edeće infekcije: nazofaringitis, infekcije gornjih disajnih puteva, sinuzitis i infekcije urinarnog trakta. Većina pacijenata nastavila je </w:t>
      </w:r>
      <w:r w:rsidR="00D26459" w:rsidRPr="009C0665">
        <w:rPr>
          <w:noProof/>
          <w:szCs w:val="22"/>
          <w:lang w:val="sr-Latn-ME"/>
        </w:rPr>
        <w:t>liječenje</w:t>
      </w:r>
      <w:r w:rsidRPr="009C0665">
        <w:rPr>
          <w:noProof/>
          <w:szCs w:val="22"/>
          <w:lang w:val="sr-Latn-ME"/>
        </w:rPr>
        <w:t xml:space="preserve"> vedolizumabom nakon povlačenja infekcije.</w:t>
      </w:r>
    </w:p>
    <w:p w14:paraId="1DBE19F3" w14:textId="77777777" w:rsidR="00847271" w:rsidRPr="009C0665" w:rsidRDefault="00847271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20F6330E" w14:textId="27EBCE32" w:rsidR="00847271" w:rsidRPr="009C0665" w:rsidRDefault="00847271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  <w:r w:rsidRPr="009C0665">
        <w:rPr>
          <w:noProof/>
          <w:szCs w:val="22"/>
          <w:lang w:val="sr-Latn-ME"/>
        </w:rPr>
        <w:t xml:space="preserve">U kontrolisanim ispitivanjima </w:t>
      </w:r>
      <w:r w:rsidR="005578CE" w:rsidRPr="009C0665">
        <w:rPr>
          <w:noProof/>
          <w:szCs w:val="22"/>
          <w:lang w:val="sr-Latn-ME"/>
        </w:rPr>
        <w:t xml:space="preserve">intravenske </w:t>
      </w:r>
      <w:r w:rsidR="00AB003D" w:rsidRPr="009C0665">
        <w:rPr>
          <w:noProof/>
          <w:szCs w:val="22"/>
          <w:lang w:val="sr-Latn-ME"/>
        </w:rPr>
        <w:t>primjene</w:t>
      </w:r>
      <w:r w:rsidR="005578CE" w:rsidRPr="009C0665">
        <w:rPr>
          <w:noProof/>
          <w:szCs w:val="22"/>
          <w:lang w:val="sr-Latn-ME"/>
        </w:rPr>
        <w:t xml:space="preserve"> vedolizumaba </w:t>
      </w:r>
      <w:r w:rsidRPr="009C0665">
        <w:rPr>
          <w:noProof/>
          <w:szCs w:val="22"/>
          <w:lang w:val="sr-Latn-ME"/>
        </w:rPr>
        <w:t xml:space="preserve">GEMINI </w:t>
      </w:r>
      <w:r w:rsidR="007375A2" w:rsidRPr="009C0665">
        <w:rPr>
          <w:noProof/>
          <w:szCs w:val="22"/>
          <w:lang w:val="sr-Latn-ME"/>
        </w:rPr>
        <w:t xml:space="preserve">1 </w:t>
      </w:r>
      <w:r w:rsidRPr="009C0665">
        <w:rPr>
          <w:noProof/>
          <w:szCs w:val="22"/>
          <w:lang w:val="sr-Latn-ME"/>
        </w:rPr>
        <w:t xml:space="preserve">i </w:t>
      </w:r>
      <w:r w:rsidR="007375A2" w:rsidRPr="009C0665">
        <w:rPr>
          <w:noProof/>
          <w:szCs w:val="22"/>
          <w:lang w:val="sr-Latn-ME"/>
        </w:rPr>
        <w:t>2</w:t>
      </w:r>
      <w:r w:rsidRPr="009C0665">
        <w:rPr>
          <w:noProof/>
          <w:szCs w:val="22"/>
          <w:lang w:val="sr-Latn-ME"/>
        </w:rPr>
        <w:t xml:space="preserve">, </w:t>
      </w:r>
      <w:r w:rsidR="005578CE" w:rsidRPr="009C0665">
        <w:rPr>
          <w:noProof/>
          <w:szCs w:val="22"/>
          <w:lang w:val="sr-Latn-ME"/>
        </w:rPr>
        <w:t xml:space="preserve">učestalost </w:t>
      </w:r>
      <w:r w:rsidRPr="009C0665">
        <w:rPr>
          <w:noProof/>
          <w:szCs w:val="22"/>
          <w:lang w:val="sr-Latn-ME"/>
        </w:rPr>
        <w:t xml:space="preserve">ozbiljnih infekcija iznosila je 0,07 po pacijent-godini kod pacijenata </w:t>
      </w:r>
      <w:r w:rsidR="00A63489" w:rsidRPr="009C0665">
        <w:rPr>
          <w:noProof/>
          <w:szCs w:val="22"/>
          <w:lang w:val="sr-Latn-ME"/>
        </w:rPr>
        <w:t>liječeni</w:t>
      </w:r>
      <w:r w:rsidRPr="009C0665">
        <w:rPr>
          <w:noProof/>
          <w:szCs w:val="22"/>
          <w:lang w:val="sr-Latn-ME"/>
        </w:rPr>
        <w:t xml:space="preserve">h vedolizumabom, a 0,06 po pacijent-godini kod pacijenata </w:t>
      </w:r>
      <w:r w:rsidR="00A63489" w:rsidRPr="009C0665">
        <w:rPr>
          <w:noProof/>
          <w:szCs w:val="22"/>
          <w:lang w:val="sr-Latn-ME"/>
        </w:rPr>
        <w:t>liječeni</w:t>
      </w:r>
      <w:r w:rsidRPr="009C0665">
        <w:rPr>
          <w:noProof/>
          <w:szCs w:val="22"/>
          <w:lang w:val="sr-Latn-ME"/>
        </w:rPr>
        <w:t xml:space="preserve">h placebom. Tokom vremena nije bilo značajnog </w:t>
      </w:r>
      <w:r w:rsidR="005578CE" w:rsidRPr="009C0665">
        <w:rPr>
          <w:noProof/>
          <w:szCs w:val="22"/>
          <w:lang w:val="sr-Latn-ME"/>
        </w:rPr>
        <w:t>povećanja</w:t>
      </w:r>
      <w:r w:rsidRPr="009C0665">
        <w:rPr>
          <w:noProof/>
          <w:szCs w:val="22"/>
          <w:lang w:val="sr-Latn-ME"/>
        </w:rPr>
        <w:t xml:space="preserve"> </w:t>
      </w:r>
      <w:r w:rsidR="005578CE" w:rsidRPr="009C0665">
        <w:rPr>
          <w:noProof/>
          <w:szCs w:val="22"/>
          <w:lang w:val="sr-Latn-ME"/>
        </w:rPr>
        <w:t xml:space="preserve">učestalosti </w:t>
      </w:r>
      <w:r w:rsidRPr="009C0665">
        <w:rPr>
          <w:noProof/>
          <w:szCs w:val="22"/>
          <w:lang w:val="sr-Latn-ME"/>
        </w:rPr>
        <w:t>ozbiljnih infekcija.</w:t>
      </w:r>
    </w:p>
    <w:p w14:paraId="20116745" w14:textId="182FA0E5" w:rsidR="00847271" w:rsidRPr="009C0665" w:rsidRDefault="00847271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763C4170" w14:textId="18FACC75" w:rsidR="00EE4C37" w:rsidRPr="009C0665" w:rsidRDefault="005078BA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  <w:r w:rsidRPr="009C0665">
        <w:rPr>
          <w:noProof/>
          <w:szCs w:val="22"/>
          <w:lang w:val="sr-Latn-ME"/>
        </w:rPr>
        <w:t xml:space="preserve">U kontrolisanoj studiji EARNEST (paučitis) </w:t>
      </w:r>
      <w:r w:rsidR="00AB003D" w:rsidRPr="009C0665">
        <w:rPr>
          <w:noProof/>
          <w:szCs w:val="22"/>
          <w:lang w:val="sr-Latn-ME"/>
        </w:rPr>
        <w:t>primjene</w:t>
      </w:r>
      <w:r w:rsidRPr="009C0665">
        <w:rPr>
          <w:noProof/>
          <w:szCs w:val="22"/>
          <w:lang w:val="sr-Latn-ME"/>
        </w:rPr>
        <w:t xml:space="preserve"> intravenskog vedolizumaba, samo kod 1 od 51 ispitanika (2.0%) u grupi koja je primala vedolizumab je došlo do pojave ozbiljnog gastroenteritisa. Ispitanik je hospitalizovan radi posmatranja, oporavio se od događaja i završio studiju.</w:t>
      </w:r>
    </w:p>
    <w:p w14:paraId="2E536C4D" w14:textId="77777777" w:rsidR="00EE4C37" w:rsidRPr="009C0665" w:rsidRDefault="00EE4C37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56B38AF8" w14:textId="790DD3AE" w:rsidR="00847271" w:rsidRPr="009C0665" w:rsidRDefault="00847271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  <w:r w:rsidRPr="009C0665">
        <w:rPr>
          <w:noProof/>
          <w:szCs w:val="22"/>
          <w:lang w:val="sr-Latn-ME"/>
        </w:rPr>
        <w:lastRenderedPageBreak/>
        <w:t>U kontrolisanim, otvorenim ispitivanjima</w:t>
      </w:r>
      <w:r w:rsidR="00EE4C37" w:rsidRPr="009C0665">
        <w:rPr>
          <w:noProof/>
          <w:szCs w:val="22"/>
          <w:lang w:val="sr-Latn-ME"/>
        </w:rPr>
        <w:t xml:space="preserve"> (ulcerativni kolitis i Kronova bolest)</w:t>
      </w:r>
      <w:r w:rsidRPr="009C0665">
        <w:rPr>
          <w:noProof/>
          <w:szCs w:val="22"/>
          <w:lang w:val="sr-Latn-ME"/>
        </w:rPr>
        <w:t xml:space="preserve"> </w:t>
      </w:r>
      <w:r w:rsidR="005578CE" w:rsidRPr="009C0665">
        <w:rPr>
          <w:noProof/>
          <w:szCs w:val="22"/>
          <w:lang w:val="sr-Latn-ME"/>
        </w:rPr>
        <w:t xml:space="preserve">intravenski </w:t>
      </w:r>
      <w:r w:rsidR="00AB003D" w:rsidRPr="009C0665">
        <w:rPr>
          <w:noProof/>
          <w:szCs w:val="22"/>
          <w:lang w:val="sr-Latn-ME"/>
        </w:rPr>
        <w:t>prim</w:t>
      </w:r>
      <w:r w:rsidR="0071718D" w:rsidRPr="009C0665">
        <w:rPr>
          <w:noProof/>
          <w:szCs w:val="22"/>
          <w:lang w:val="sr-Latn-ME"/>
        </w:rPr>
        <w:t>i</w:t>
      </w:r>
      <w:r w:rsidR="00AB003D" w:rsidRPr="009C0665">
        <w:rPr>
          <w:noProof/>
          <w:szCs w:val="22"/>
          <w:lang w:val="sr-Latn-ME"/>
        </w:rPr>
        <w:t>jenjenog</w:t>
      </w:r>
      <w:r w:rsidR="005578CE" w:rsidRPr="009C0665">
        <w:rPr>
          <w:noProof/>
          <w:szCs w:val="22"/>
          <w:lang w:val="sr-Latn-ME"/>
        </w:rPr>
        <w:t xml:space="preserve"> </w:t>
      </w:r>
      <w:r w:rsidRPr="009C0665">
        <w:rPr>
          <w:noProof/>
          <w:szCs w:val="22"/>
          <w:lang w:val="sr-Latn-ME"/>
        </w:rPr>
        <w:t>vedolizumaba kod odraslih prijavljene su ozbiljne infekcije koje uključuju tuberkulozu, sepsu (ponekad sa smrtnim ishodom), sepsu uzrokovanu salmonelom, meningitis uzrokovan listerijom i kolitis uzrokovan citomegalovirusom.</w:t>
      </w:r>
    </w:p>
    <w:p w14:paraId="40E7422E" w14:textId="77777777" w:rsidR="00847271" w:rsidRPr="009C0665" w:rsidRDefault="00847271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02E2C2BF" w14:textId="3243EC5F" w:rsidR="00847271" w:rsidRPr="009C0665" w:rsidRDefault="0008351C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  <w:r w:rsidRPr="009C0665">
        <w:rPr>
          <w:noProof/>
          <w:szCs w:val="22"/>
          <w:lang w:val="sr-Latn-ME"/>
        </w:rPr>
        <w:t xml:space="preserve">U kliničkim </w:t>
      </w:r>
      <w:r w:rsidR="005578CE" w:rsidRPr="009C0665">
        <w:rPr>
          <w:noProof/>
          <w:szCs w:val="22"/>
          <w:lang w:val="sr-Latn-ME"/>
        </w:rPr>
        <w:t>ispitivanjima</w:t>
      </w:r>
      <w:r w:rsidRPr="009C0665">
        <w:rPr>
          <w:noProof/>
          <w:szCs w:val="22"/>
          <w:lang w:val="sr-Latn-ME"/>
        </w:rPr>
        <w:t xml:space="preserve"> </w:t>
      </w:r>
      <w:r w:rsidR="005578CE" w:rsidRPr="009C0665">
        <w:rPr>
          <w:noProof/>
          <w:szCs w:val="22"/>
          <w:lang w:val="sr-Latn-ME"/>
        </w:rPr>
        <w:t xml:space="preserve">intravenski </w:t>
      </w:r>
      <w:r w:rsidR="00AB003D" w:rsidRPr="009C0665">
        <w:rPr>
          <w:noProof/>
          <w:szCs w:val="22"/>
          <w:lang w:val="sr-Latn-ME"/>
        </w:rPr>
        <w:t>prim</w:t>
      </w:r>
      <w:r w:rsidR="0071718D" w:rsidRPr="009C0665">
        <w:rPr>
          <w:noProof/>
          <w:szCs w:val="22"/>
          <w:lang w:val="sr-Latn-ME"/>
        </w:rPr>
        <w:t>i</w:t>
      </w:r>
      <w:r w:rsidR="00AB003D" w:rsidRPr="009C0665">
        <w:rPr>
          <w:noProof/>
          <w:szCs w:val="22"/>
          <w:lang w:val="sr-Latn-ME"/>
        </w:rPr>
        <w:t>jenjenog</w:t>
      </w:r>
      <w:r w:rsidR="005578CE" w:rsidRPr="009C0665">
        <w:rPr>
          <w:noProof/>
          <w:szCs w:val="22"/>
          <w:lang w:val="sr-Latn-ME"/>
        </w:rPr>
        <w:t xml:space="preserve"> </w:t>
      </w:r>
      <w:r w:rsidRPr="009C0665">
        <w:rPr>
          <w:noProof/>
          <w:szCs w:val="22"/>
          <w:lang w:val="sr-Latn-ME"/>
        </w:rPr>
        <w:t>vedolizumab</w:t>
      </w:r>
      <w:r w:rsidR="005578CE" w:rsidRPr="009C0665">
        <w:rPr>
          <w:noProof/>
          <w:szCs w:val="22"/>
          <w:lang w:val="sr-Latn-ME"/>
        </w:rPr>
        <w:t>a</w:t>
      </w:r>
      <w:r w:rsidR="005078BA" w:rsidRPr="009C0665">
        <w:rPr>
          <w:noProof/>
          <w:szCs w:val="22"/>
          <w:lang w:val="sr-Latn-ME"/>
        </w:rPr>
        <w:t xml:space="preserve"> (ulcerativni kolitis i Kronova bolest)</w:t>
      </w:r>
      <w:r w:rsidRPr="009C0665">
        <w:rPr>
          <w:noProof/>
          <w:szCs w:val="22"/>
          <w:lang w:val="sr-Latn-ME"/>
        </w:rPr>
        <w:t xml:space="preserve">, </w:t>
      </w:r>
      <w:r w:rsidR="005578CE" w:rsidRPr="009C0665">
        <w:rPr>
          <w:noProof/>
          <w:szCs w:val="22"/>
          <w:lang w:val="sr-Latn-ME"/>
        </w:rPr>
        <w:t xml:space="preserve">učestalost </w:t>
      </w:r>
      <w:r w:rsidRPr="009C0665">
        <w:rPr>
          <w:noProof/>
          <w:szCs w:val="22"/>
          <w:lang w:val="sr-Latn-ME"/>
        </w:rPr>
        <w:t xml:space="preserve">pojave infekcija kod pacijenata </w:t>
      </w:r>
      <w:r w:rsidR="00A63489" w:rsidRPr="009C0665">
        <w:rPr>
          <w:noProof/>
          <w:szCs w:val="22"/>
          <w:lang w:val="sr-Latn-ME"/>
        </w:rPr>
        <w:t>liječeni</w:t>
      </w:r>
      <w:r w:rsidRPr="009C0665">
        <w:rPr>
          <w:noProof/>
          <w:szCs w:val="22"/>
          <w:lang w:val="sr-Latn-ME"/>
        </w:rPr>
        <w:t xml:space="preserve">h vedolizumabom sa </w:t>
      </w:r>
      <w:r w:rsidR="005578CE" w:rsidRPr="009C0665">
        <w:rPr>
          <w:noProof/>
          <w:szCs w:val="22"/>
          <w:lang w:val="sr-Latn-ME"/>
        </w:rPr>
        <w:t>indeksom t</w:t>
      </w:r>
      <w:r w:rsidR="00DB4FD4" w:rsidRPr="009C0665">
        <w:rPr>
          <w:noProof/>
          <w:szCs w:val="22"/>
          <w:lang w:val="sr-Latn-ME"/>
        </w:rPr>
        <w:t>j</w:t>
      </w:r>
      <w:r w:rsidR="005578CE" w:rsidRPr="009C0665">
        <w:rPr>
          <w:noProof/>
          <w:szCs w:val="22"/>
          <w:lang w:val="sr-Latn-ME"/>
        </w:rPr>
        <w:t xml:space="preserve">elesne mase (engl. </w:t>
      </w:r>
      <w:r w:rsidR="00802570" w:rsidRPr="009C0665">
        <w:rPr>
          <w:i/>
          <w:noProof/>
          <w:szCs w:val="22"/>
          <w:lang w:val="sr-Latn-ME"/>
        </w:rPr>
        <w:t>body mass index</w:t>
      </w:r>
      <w:r w:rsidR="005578CE" w:rsidRPr="009C0665">
        <w:rPr>
          <w:noProof/>
          <w:szCs w:val="22"/>
          <w:lang w:val="sr-Latn-ME"/>
        </w:rPr>
        <w:t xml:space="preserve">, </w:t>
      </w:r>
      <w:r w:rsidRPr="009C0665">
        <w:rPr>
          <w:noProof/>
          <w:szCs w:val="22"/>
          <w:lang w:val="sr-Latn-ME"/>
        </w:rPr>
        <w:t>BMI</w:t>
      </w:r>
      <w:r w:rsidR="005578CE" w:rsidRPr="009C0665">
        <w:rPr>
          <w:noProof/>
          <w:szCs w:val="22"/>
          <w:lang w:val="sr-Latn-ME"/>
        </w:rPr>
        <w:t>)</w:t>
      </w:r>
      <w:r w:rsidRPr="009C0665">
        <w:rPr>
          <w:noProof/>
          <w:szCs w:val="22"/>
          <w:lang w:val="sr-Latn-ME"/>
        </w:rPr>
        <w:t xml:space="preserve"> od 30kg/m</w:t>
      </w:r>
      <w:r w:rsidRPr="009C0665">
        <w:rPr>
          <w:noProof/>
          <w:szCs w:val="22"/>
          <w:vertAlign w:val="superscript"/>
          <w:lang w:val="sr-Latn-ME"/>
        </w:rPr>
        <w:t>2</w:t>
      </w:r>
      <w:r w:rsidRPr="009C0665">
        <w:rPr>
          <w:noProof/>
          <w:szCs w:val="22"/>
          <w:lang w:val="sr-Latn-ME"/>
        </w:rPr>
        <w:t xml:space="preserve"> i većim je bila veća nego kod pacijenata sa BMI manjim od 30</w:t>
      </w:r>
      <w:r w:rsidR="0071718D" w:rsidRPr="009C0665">
        <w:rPr>
          <w:noProof/>
          <w:szCs w:val="22"/>
          <w:lang w:val="sr-Latn-ME"/>
        </w:rPr>
        <w:t xml:space="preserve"> </w:t>
      </w:r>
      <w:r w:rsidRPr="009C0665">
        <w:rPr>
          <w:noProof/>
          <w:szCs w:val="22"/>
          <w:lang w:val="sr-Latn-ME"/>
        </w:rPr>
        <w:t>kg/m</w:t>
      </w:r>
      <w:r w:rsidRPr="009C0665">
        <w:rPr>
          <w:noProof/>
          <w:szCs w:val="22"/>
          <w:vertAlign w:val="superscript"/>
          <w:lang w:val="sr-Latn-ME"/>
        </w:rPr>
        <w:t>2</w:t>
      </w:r>
      <w:r w:rsidRPr="009C0665">
        <w:rPr>
          <w:noProof/>
          <w:szCs w:val="22"/>
          <w:lang w:val="sr-Latn-ME"/>
        </w:rPr>
        <w:t>.</w:t>
      </w:r>
    </w:p>
    <w:p w14:paraId="5055B94E" w14:textId="77777777" w:rsidR="0008351C" w:rsidRPr="009C0665" w:rsidRDefault="0008351C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03B2CDB8" w14:textId="467B3917" w:rsidR="0008351C" w:rsidRPr="009C0665" w:rsidRDefault="0008351C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  <w:r w:rsidRPr="009C0665">
        <w:rPr>
          <w:noProof/>
          <w:szCs w:val="22"/>
          <w:lang w:val="sr-Latn-ME"/>
        </w:rPr>
        <w:t xml:space="preserve">U kliničkim </w:t>
      </w:r>
      <w:r w:rsidR="005578CE" w:rsidRPr="009C0665">
        <w:rPr>
          <w:noProof/>
          <w:szCs w:val="22"/>
          <w:lang w:val="sr-Latn-ME"/>
        </w:rPr>
        <w:t>ispitivanjima</w:t>
      </w:r>
      <w:r w:rsidRPr="009C0665">
        <w:rPr>
          <w:noProof/>
          <w:szCs w:val="22"/>
          <w:lang w:val="sr-Latn-ME"/>
        </w:rPr>
        <w:t xml:space="preserve"> </w:t>
      </w:r>
      <w:r w:rsidR="005578CE" w:rsidRPr="009C0665">
        <w:rPr>
          <w:noProof/>
          <w:szCs w:val="22"/>
          <w:lang w:val="sr-Latn-ME"/>
        </w:rPr>
        <w:t xml:space="preserve">intravenski </w:t>
      </w:r>
      <w:r w:rsidR="00AB003D" w:rsidRPr="009C0665">
        <w:rPr>
          <w:noProof/>
          <w:szCs w:val="22"/>
          <w:lang w:val="sr-Latn-ME"/>
        </w:rPr>
        <w:t>primjenjenog</w:t>
      </w:r>
      <w:r w:rsidR="005578CE" w:rsidRPr="009C0665">
        <w:rPr>
          <w:noProof/>
          <w:szCs w:val="22"/>
          <w:lang w:val="sr-Latn-ME"/>
        </w:rPr>
        <w:t xml:space="preserve"> </w:t>
      </w:r>
      <w:r w:rsidRPr="009C0665">
        <w:rPr>
          <w:noProof/>
          <w:szCs w:val="22"/>
          <w:lang w:val="sr-Latn-ME"/>
        </w:rPr>
        <w:t>vedolizumab</w:t>
      </w:r>
      <w:r w:rsidR="005578CE" w:rsidRPr="009C0665">
        <w:rPr>
          <w:noProof/>
          <w:szCs w:val="22"/>
          <w:lang w:val="sr-Latn-ME"/>
        </w:rPr>
        <w:t>a</w:t>
      </w:r>
      <w:r w:rsidR="005078BA" w:rsidRPr="009C0665">
        <w:rPr>
          <w:noProof/>
          <w:szCs w:val="22"/>
          <w:lang w:val="sr-Latn-ME"/>
        </w:rPr>
        <w:t xml:space="preserve"> (ulcerativni kolitis i Kronova bolest)</w:t>
      </w:r>
      <w:r w:rsidRPr="009C0665">
        <w:rPr>
          <w:noProof/>
          <w:szCs w:val="22"/>
          <w:lang w:val="sr-Latn-ME"/>
        </w:rPr>
        <w:t xml:space="preserve">, prijavljena je nešto veća incidenca pojave ozbiljnih infekcija kod pacijenata </w:t>
      </w:r>
      <w:r w:rsidR="00A63489" w:rsidRPr="009C0665">
        <w:rPr>
          <w:noProof/>
          <w:szCs w:val="22"/>
          <w:lang w:val="sr-Latn-ME"/>
        </w:rPr>
        <w:t>liječeni</w:t>
      </w:r>
      <w:r w:rsidRPr="009C0665">
        <w:rPr>
          <w:noProof/>
          <w:szCs w:val="22"/>
          <w:lang w:val="sr-Latn-ME"/>
        </w:rPr>
        <w:t>h vedolizumabom koji su prethodno bili na terapiji antagonistima TNF</w:t>
      </w:r>
      <w:r w:rsidR="005578CE" w:rsidRPr="009C0665">
        <w:rPr>
          <w:noProof/>
          <w:szCs w:val="22"/>
          <w:lang w:val="sr-Latn-ME"/>
        </w:rPr>
        <w:t>alfa</w:t>
      </w:r>
      <w:r w:rsidRPr="009C0665">
        <w:rPr>
          <w:noProof/>
          <w:szCs w:val="22"/>
          <w:lang w:val="sr-Latn-ME"/>
        </w:rPr>
        <w:t>, u poređenju sa pacijentima koji nikada prethodno ni</w:t>
      </w:r>
      <w:r w:rsidR="008B65FD" w:rsidRPr="009C0665">
        <w:rPr>
          <w:noProof/>
          <w:szCs w:val="22"/>
          <w:lang w:val="sr-Latn-ME"/>
        </w:rPr>
        <w:t>je</w:t>
      </w:r>
      <w:r w:rsidRPr="009C0665">
        <w:rPr>
          <w:noProof/>
          <w:szCs w:val="22"/>
          <w:lang w:val="sr-Latn-ME"/>
        </w:rPr>
        <w:t xml:space="preserve">su </w:t>
      </w:r>
      <w:r w:rsidR="005578CE" w:rsidRPr="009C0665">
        <w:rPr>
          <w:noProof/>
          <w:szCs w:val="22"/>
          <w:lang w:val="sr-Latn-ME"/>
        </w:rPr>
        <w:t xml:space="preserve">bili na </w:t>
      </w:r>
      <w:r w:rsidRPr="009C0665">
        <w:rPr>
          <w:noProof/>
          <w:szCs w:val="22"/>
          <w:lang w:val="sr-Latn-ME"/>
        </w:rPr>
        <w:t>terapij</w:t>
      </w:r>
      <w:r w:rsidR="005578CE" w:rsidRPr="009C0665">
        <w:rPr>
          <w:noProof/>
          <w:szCs w:val="22"/>
          <w:lang w:val="sr-Latn-ME"/>
        </w:rPr>
        <w:t>i</w:t>
      </w:r>
      <w:r w:rsidRPr="009C0665">
        <w:rPr>
          <w:noProof/>
          <w:szCs w:val="22"/>
          <w:lang w:val="sr-Latn-ME"/>
        </w:rPr>
        <w:t xml:space="preserve"> antagonist</w:t>
      </w:r>
      <w:r w:rsidR="005578CE" w:rsidRPr="009C0665">
        <w:rPr>
          <w:noProof/>
          <w:szCs w:val="22"/>
          <w:lang w:val="sr-Latn-ME"/>
        </w:rPr>
        <w:t>im</w:t>
      </w:r>
      <w:r w:rsidRPr="009C0665">
        <w:rPr>
          <w:noProof/>
          <w:szCs w:val="22"/>
          <w:lang w:val="sr-Latn-ME"/>
        </w:rPr>
        <w:t>a TNF</w:t>
      </w:r>
      <w:r w:rsidR="005578CE" w:rsidRPr="009C0665">
        <w:rPr>
          <w:noProof/>
          <w:szCs w:val="22"/>
          <w:lang w:val="sr-Latn-ME"/>
        </w:rPr>
        <w:t>alfa</w:t>
      </w:r>
      <w:r w:rsidRPr="009C0665">
        <w:rPr>
          <w:noProof/>
          <w:szCs w:val="22"/>
          <w:lang w:val="sr-Latn-ME"/>
        </w:rPr>
        <w:t>.</w:t>
      </w:r>
    </w:p>
    <w:p w14:paraId="52832B2C" w14:textId="77777777" w:rsidR="00ED3367" w:rsidRPr="009C0665" w:rsidRDefault="00ED3367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5BF52A72" w14:textId="61834FC3" w:rsidR="0071718D" w:rsidRPr="009C0665" w:rsidRDefault="00847271" w:rsidP="004C7864">
      <w:pPr>
        <w:autoSpaceDE w:val="0"/>
        <w:autoSpaceDN w:val="0"/>
        <w:adjustRightInd w:val="0"/>
        <w:rPr>
          <w:i/>
          <w:noProof/>
          <w:szCs w:val="22"/>
          <w:u w:val="single"/>
          <w:lang w:val="sr-Latn-ME"/>
        </w:rPr>
      </w:pPr>
      <w:r w:rsidRPr="009C0665">
        <w:rPr>
          <w:i/>
          <w:noProof/>
          <w:szCs w:val="22"/>
          <w:u w:val="single"/>
          <w:lang w:val="sr-Latn-ME"/>
        </w:rPr>
        <w:t>Maligne bolesti</w:t>
      </w:r>
    </w:p>
    <w:p w14:paraId="3EBAA103" w14:textId="7B502798" w:rsidR="00847271" w:rsidRPr="009C0665" w:rsidRDefault="00450568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  <w:r w:rsidRPr="009C0665">
        <w:rPr>
          <w:noProof/>
          <w:szCs w:val="22"/>
          <w:lang w:val="sr-Latn-ME"/>
        </w:rPr>
        <w:t>Uopšteno</w:t>
      </w:r>
      <w:r w:rsidR="00847271" w:rsidRPr="009C0665">
        <w:rPr>
          <w:noProof/>
          <w:szCs w:val="22"/>
          <w:lang w:val="sr-Latn-ME"/>
        </w:rPr>
        <w:t xml:space="preserve">, rezultati </w:t>
      </w:r>
      <w:r w:rsidRPr="009C0665">
        <w:rPr>
          <w:noProof/>
          <w:szCs w:val="22"/>
          <w:lang w:val="sr-Latn-ME"/>
        </w:rPr>
        <w:t xml:space="preserve">iz </w:t>
      </w:r>
      <w:r w:rsidR="00847271" w:rsidRPr="009C0665">
        <w:rPr>
          <w:noProof/>
          <w:szCs w:val="22"/>
          <w:lang w:val="sr-Latn-ME"/>
        </w:rPr>
        <w:t xml:space="preserve">kliničkog programa za sada ne ukazuju na povećani rizik od pojave malignih bolesti </w:t>
      </w:r>
      <w:r w:rsidRPr="009C0665">
        <w:rPr>
          <w:noProof/>
          <w:szCs w:val="22"/>
          <w:lang w:val="sr-Latn-ME"/>
        </w:rPr>
        <w:t xml:space="preserve">izazvanih </w:t>
      </w:r>
      <w:r w:rsidR="00D26459" w:rsidRPr="009C0665">
        <w:rPr>
          <w:noProof/>
          <w:szCs w:val="22"/>
          <w:lang w:val="sr-Latn-ME"/>
        </w:rPr>
        <w:t>liječenje</w:t>
      </w:r>
      <w:r w:rsidRPr="009C0665">
        <w:rPr>
          <w:noProof/>
          <w:szCs w:val="22"/>
          <w:lang w:val="sr-Latn-ME"/>
        </w:rPr>
        <w:t>m</w:t>
      </w:r>
      <w:r w:rsidR="00847271" w:rsidRPr="009C0665">
        <w:rPr>
          <w:noProof/>
          <w:szCs w:val="22"/>
          <w:lang w:val="sr-Latn-ME"/>
        </w:rPr>
        <w:t xml:space="preserve"> vedolizumabom; međutim, broj malignih bolesti bio je mali, a dugoročna izloženost ograničena. Dugoročne proc</w:t>
      </w:r>
      <w:r w:rsidR="008B65FD" w:rsidRPr="009C0665">
        <w:rPr>
          <w:noProof/>
          <w:szCs w:val="22"/>
          <w:lang w:val="sr-Latn-ME"/>
        </w:rPr>
        <w:t>j</w:t>
      </w:r>
      <w:r w:rsidR="00847271" w:rsidRPr="009C0665">
        <w:rPr>
          <w:noProof/>
          <w:szCs w:val="22"/>
          <w:lang w:val="sr-Latn-ME"/>
        </w:rPr>
        <w:t>ene bezb</w:t>
      </w:r>
      <w:r w:rsidR="008B65FD" w:rsidRPr="009C0665">
        <w:rPr>
          <w:noProof/>
          <w:szCs w:val="22"/>
          <w:lang w:val="sr-Latn-ME"/>
        </w:rPr>
        <w:t>j</w:t>
      </w:r>
      <w:r w:rsidR="00847271" w:rsidRPr="009C0665">
        <w:rPr>
          <w:noProof/>
          <w:szCs w:val="22"/>
          <w:lang w:val="sr-Latn-ME"/>
        </w:rPr>
        <w:t>ednosti su u toku.</w:t>
      </w:r>
    </w:p>
    <w:p w14:paraId="4D0BFEA2" w14:textId="77777777" w:rsidR="00A75EC9" w:rsidRPr="009C0665" w:rsidRDefault="00A75EC9" w:rsidP="004C7864">
      <w:pPr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3B6F52E6" w14:textId="77777777" w:rsidR="00897387" w:rsidRPr="009C0665" w:rsidRDefault="00897387" w:rsidP="004C7864">
      <w:pPr>
        <w:spacing w:line="276" w:lineRule="auto"/>
        <w:rPr>
          <w:rFonts w:eastAsia="Calibri"/>
          <w:szCs w:val="22"/>
          <w:u w:val="single"/>
          <w:lang w:val="sr-Latn-ME"/>
        </w:rPr>
      </w:pPr>
      <w:r w:rsidRPr="009C0665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38CC24B0" w14:textId="77777777" w:rsidR="00897387" w:rsidRPr="009C0665" w:rsidRDefault="00897387" w:rsidP="004C7864">
      <w:pPr>
        <w:rPr>
          <w:rFonts w:eastAsia="Calibri"/>
          <w:szCs w:val="22"/>
          <w:lang w:val="sr-Latn-ME"/>
        </w:rPr>
      </w:pPr>
      <w:r w:rsidRPr="009C0665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0AA83355" w14:textId="77777777" w:rsidR="00897387" w:rsidRPr="009C0665" w:rsidRDefault="00897387" w:rsidP="004C786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C0665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71C5EA9D" w14:textId="77777777" w:rsidR="00897387" w:rsidRPr="009C0665" w:rsidRDefault="00897387" w:rsidP="004C786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C0665">
        <w:rPr>
          <w:rFonts w:eastAsia="Calibri"/>
          <w:sz w:val="22"/>
          <w:szCs w:val="22"/>
          <w:lang w:val="sr-Latn-ME"/>
        </w:rPr>
        <w:t>Odjeljenje za farmakovigilancu</w:t>
      </w:r>
    </w:p>
    <w:p w14:paraId="50C685B7" w14:textId="77777777" w:rsidR="00897387" w:rsidRPr="009C0665" w:rsidRDefault="00897387" w:rsidP="004C786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C0665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6B04A0E8" w14:textId="77777777" w:rsidR="00897387" w:rsidRPr="009C0665" w:rsidRDefault="00897387" w:rsidP="004C7864">
      <w:pPr>
        <w:pStyle w:val="NoSpacing"/>
        <w:rPr>
          <w:rFonts w:eastAsia="Calibri"/>
          <w:sz w:val="22"/>
          <w:szCs w:val="22"/>
          <w:lang w:val="sr-Latn-ME"/>
        </w:rPr>
      </w:pPr>
    </w:p>
    <w:p w14:paraId="2B9DE5E9" w14:textId="77777777" w:rsidR="00897387" w:rsidRPr="009C0665" w:rsidRDefault="00897387" w:rsidP="004C786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C0665">
        <w:rPr>
          <w:rFonts w:eastAsia="Calibri"/>
          <w:sz w:val="22"/>
          <w:szCs w:val="22"/>
          <w:lang w:val="sr-Latn-ME"/>
        </w:rPr>
        <w:t>tel: +382 (0) 20 310 280</w:t>
      </w:r>
    </w:p>
    <w:p w14:paraId="6389D869" w14:textId="77777777" w:rsidR="00897387" w:rsidRPr="009C0665" w:rsidRDefault="00897387" w:rsidP="004C786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C0665">
        <w:rPr>
          <w:rFonts w:eastAsia="Calibri"/>
          <w:sz w:val="22"/>
          <w:szCs w:val="22"/>
          <w:lang w:val="sr-Latn-ME"/>
        </w:rPr>
        <w:t>fax: +382 (0) 20 310 581</w:t>
      </w:r>
    </w:p>
    <w:p w14:paraId="3A4019E6" w14:textId="77777777" w:rsidR="00897387" w:rsidRPr="009C0665" w:rsidRDefault="0021612E" w:rsidP="004C786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897387" w:rsidRPr="009C0665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482E59A8" w14:textId="77777777" w:rsidR="00897387" w:rsidRPr="009C0665" w:rsidRDefault="0021612E" w:rsidP="004C7864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897387" w:rsidRPr="009C0665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3941AF90" w14:textId="1DE3402C" w:rsidR="00CE09F3" w:rsidRPr="009C0665" w:rsidRDefault="00897387" w:rsidP="004C7864">
      <w:pPr>
        <w:rPr>
          <w:rFonts w:eastAsia="Calibri"/>
          <w:szCs w:val="22"/>
          <w:lang w:val="sr-Latn-ME"/>
        </w:rPr>
      </w:pPr>
      <w:r w:rsidRPr="009C0665">
        <w:rPr>
          <w:rFonts w:eastAsia="Calibri"/>
          <w:szCs w:val="22"/>
          <w:lang w:val="sr-Latn-ME"/>
        </w:rPr>
        <w:t>putem IS zdravstvene zaštite</w:t>
      </w:r>
    </w:p>
    <w:p w14:paraId="5025034A" w14:textId="77777777" w:rsidR="00A56C5D" w:rsidRPr="009C0665" w:rsidRDefault="00A56C5D" w:rsidP="004C786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C0665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36FBFEF5" w14:textId="77777777" w:rsidR="00A56C5D" w:rsidRPr="009C0665" w:rsidRDefault="00A56C5D" w:rsidP="004C7864">
      <w:pPr>
        <w:pStyle w:val="NoSpacing"/>
        <w:rPr>
          <w:rFonts w:eastAsia="Calibri"/>
          <w:sz w:val="22"/>
          <w:szCs w:val="22"/>
          <w:lang w:val="sr-Latn-ME"/>
        </w:rPr>
      </w:pPr>
    </w:p>
    <w:p w14:paraId="7C70C502" w14:textId="77777777" w:rsidR="00A56C5D" w:rsidRPr="009C0665" w:rsidRDefault="00A56C5D" w:rsidP="004C7864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9C0665">
        <w:rPr>
          <w:b/>
          <w:bCs/>
          <w:noProof/>
          <w:szCs w:val="22"/>
        </w:rPr>
        <w:drawing>
          <wp:inline distT="0" distB="0" distL="0" distR="0" wp14:anchorId="0D42CCEC" wp14:editId="185F6A10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F9081F" w14:textId="77777777" w:rsidR="00CE09F3" w:rsidRPr="009C0665" w:rsidRDefault="00CE09F3" w:rsidP="004C7864">
      <w:pPr>
        <w:rPr>
          <w:noProof/>
          <w:szCs w:val="22"/>
          <w:u w:val="single"/>
          <w:lang w:val="sr-Latn-ME"/>
        </w:rPr>
      </w:pPr>
    </w:p>
    <w:p w14:paraId="17B95AD1" w14:textId="77777777" w:rsidR="00CE09F3" w:rsidRPr="009C0665" w:rsidRDefault="00CE09F3" w:rsidP="004C7864">
      <w:pPr>
        <w:rPr>
          <w:b/>
          <w:bCs/>
          <w:szCs w:val="22"/>
          <w:lang w:val="sr-Latn-ME"/>
        </w:rPr>
      </w:pPr>
      <w:r w:rsidRPr="009C0665">
        <w:rPr>
          <w:b/>
          <w:bCs/>
          <w:szCs w:val="22"/>
          <w:lang w:val="sr-Latn-ME"/>
        </w:rPr>
        <w:t>4.9. Predoziranje</w:t>
      </w:r>
    </w:p>
    <w:p w14:paraId="3CDDB754" w14:textId="77777777" w:rsidR="00450568" w:rsidRPr="009C0665" w:rsidRDefault="00450568" w:rsidP="004C7864">
      <w:pPr>
        <w:rPr>
          <w:b/>
          <w:bCs/>
          <w:szCs w:val="22"/>
          <w:lang w:val="sr-Latn-ME"/>
        </w:rPr>
      </w:pPr>
    </w:p>
    <w:p w14:paraId="20CEDC39" w14:textId="3C5E56C4" w:rsidR="00CE09F3" w:rsidRPr="009C0665" w:rsidRDefault="00847271" w:rsidP="004C7864">
      <w:pPr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U kliničkim ispitivanjima </w:t>
      </w:r>
      <w:r w:rsidR="00450568" w:rsidRPr="009C0665">
        <w:rPr>
          <w:szCs w:val="22"/>
          <w:lang w:val="sr-Latn-ME"/>
        </w:rPr>
        <w:t xml:space="preserve">intravenski su </w:t>
      </w:r>
      <w:r w:rsidR="00A63489" w:rsidRPr="009C0665">
        <w:rPr>
          <w:szCs w:val="22"/>
          <w:lang w:val="sr-Latn-ME"/>
        </w:rPr>
        <w:t>primjenjivane</w:t>
      </w:r>
      <w:r w:rsidRPr="009C0665">
        <w:rPr>
          <w:szCs w:val="22"/>
          <w:lang w:val="sr-Latn-ME"/>
        </w:rPr>
        <w:t xml:space="preserve"> doze do 10 mg/kg (približno 2,5 puta v</w:t>
      </w:r>
      <w:r w:rsidR="00450568" w:rsidRPr="009C0665">
        <w:rPr>
          <w:szCs w:val="22"/>
          <w:lang w:val="sr-Latn-ME"/>
        </w:rPr>
        <w:t>eće</w:t>
      </w:r>
      <w:r w:rsidRPr="009C0665">
        <w:rPr>
          <w:szCs w:val="22"/>
          <w:lang w:val="sr-Latn-ME"/>
        </w:rPr>
        <w:t xml:space="preserve"> od preporučene doze). U kliničkim ispitivanjima nije </w:t>
      </w:r>
      <w:r w:rsidR="00450568" w:rsidRPr="009C0665">
        <w:rPr>
          <w:szCs w:val="22"/>
          <w:lang w:val="sr-Latn-ME"/>
        </w:rPr>
        <w:t xml:space="preserve">uočena </w:t>
      </w:r>
      <w:r w:rsidRPr="009C0665">
        <w:rPr>
          <w:szCs w:val="22"/>
          <w:lang w:val="sr-Latn-ME"/>
        </w:rPr>
        <w:t xml:space="preserve">toksičnost koja bi </w:t>
      </w:r>
      <w:r w:rsidR="00A63489" w:rsidRPr="009C0665">
        <w:rPr>
          <w:szCs w:val="22"/>
          <w:lang w:val="sr-Latn-ME"/>
        </w:rPr>
        <w:t>zaht</w:t>
      </w:r>
      <w:r w:rsidR="008B65FD" w:rsidRPr="009C0665">
        <w:rPr>
          <w:szCs w:val="22"/>
          <w:lang w:val="sr-Latn-ME"/>
        </w:rPr>
        <w:t>i</w:t>
      </w:r>
      <w:r w:rsidR="00A63489" w:rsidRPr="009C0665">
        <w:rPr>
          <w:szCs w:val="22"/>
          <w:lang w:val="sr-Latn-ME"/>
        </w:rPr>
        <w:t>jevala</w:t>
      </w:r>
      <w:r w:rsidRPr="009C0665">
        <w:rPr>
          <w:szCs w:val="22"/>
          <w:lang w:val="sr-Latn-ME"/>
        </w:rPr>
        <w:t xml:space="preserve"> ograničenje doze.</w:t>
      </w:r>
    </w:p>
    <w:p w14:paraId="3AE32DDB" w14:textId="3049387B" w:rsidR="001B1E60" w:rsidRPr="009C0665" w:rsidRDefault="001B1E60" w:rsidP="004C7864">
      <w:pPr>
        <w:rPr>
          <w:szCs w:val="22"/>
          <w:lang w:val="sr-Latn-ME"/>
        </w:rPr>
      </w:pPr>
    </w:p>
    <w:p w14:paraId="040887E0" w14:textId="77777777" w:rsidR="00DB3145" w:rsidRPr="009C0665" w:rsidRDefault="00DB3145" w:rsidP="004C7864">
      <w:pPr>
        <w:rPr>
          <w:szCs w:val="22"/>
          <w:lang w:val="sr-Latn-ME"/>
        </w:rPr>
      </w:pPr>
    </w:p>
    <w:p w14:paraId="3862F869" w14:textId="643B67D4" w:rsidR="00CE09F3" w:rsidRPr="009C0665" w:rsidRDefault="00CE09F3" w:rsidP="004C7864">
      <w:pPr>
        <w:pStyle w:val="NASLOV123"/>
        <w:spacing w:before="0" w:after="0"/>
        <w:rPr>
          <w:lang w:val="sr-Latn-ME"/>
        </w:rPr>
      </w:pPr>
      <w:r w:rsidRPr="009C0665">
        <w:rPr>
          <w:lang w:val="sr-Latn-ME"/>
        </w:rPr>
        <w:t>5.</w:t>
      </w:r>
      <w:r w:rsidR="00897387" w:rsidRPr="009C0665">
        <w:rPr>
          <w:lang w:val="sr-Latn-ME"/>
        </w:rPr>
        <w:tab/>
      </w:r>
      <w:r w:rsidRPr="009C0665">
        <w:rPr>
          <w:lang w:val="sr-Latn-ME"/>
        </w:rPr>
        <w:t>FARMAKOLOŠKI PODACI</w:t>
      </w:r>
    </w:p>
    <w:p w14:paraId="560B1684" w14:textId="77777777" w:rsidR="00EA3998" w:rsidRPr="009C0665" w:rsidRDefault="00EA3998" w:rsidP="004C7864">
      <w:pPr>
        <w:pStyle w:val="NASLOV123"/>
        <w:spacing w:before="0" w:after="0"/>
        <w:rPr>
          <w:lang w:val="sr-Latn-ME"/>
        </w:rPr>
      </w:pPr>
    </w:p>
    <w:p w14:paraId="47E0A36B" w14:textId="77777777" w:rsidR="00CE09F3" w:rsidRPr="009C0665" w:rsidRDefault="00CE09F3" w:rsidP="004C7864">
      <w:pPr>
        <w:rPr>
          <w:b/>
          <w:bCs/>
          <w:szCs w:val="22"/>
          <w:lang w:val="sr-Latn-ME"/>
        </w:rPr>
      </w:pPr>
      <w:r w:rsidRPr="009C0665">
        <w:rPr>
          <w:b/>
          <w:bCs/>
          <w:szCs w:val="22"/>
          <w:lang w:val="sr-Latn-ME"/>
        </w:rPr>
        <w:t>5.1. Farmakodinamski podaci</w:t>
      </w:r>
    </w:p>
    <w:p w14:paraId="0FEA2075" w14:textId="77777777" w:rsidR="00450568" w:rsidRPr="009C0665" w:rsidRDefault="00450568" w:rsidP="004C7864">
      <w:pPr>
        <w:rPr>
          <w:b/>
          <w:bCs/>
          <w:szCs w:val="22"/>
          <w:lang w:val="sr-Latn-ME"/>
        </w:rPr>
      </w:pPr>
    </w:p>
    <w:p w14:paraId="23EBE127" w14:textId="16C745D9" w:rsidR="00CE09F3" w:rsidRPr="009C0665" w:rsidRDefault="00CE09F3" w:rsidP="004C7864">
      <w:pPr>
        <w:rPr>
          <w:b/>
          <w:bCs/>
          <w:szCs w:val="22"/>
          <w:lang w:val="sr-Latn-ME"/>
        </w:rPr>
      </w:pPr>
      <w:r w:rsidRPr="009C0665">
        <w:rPr>
          <w:szCs w:val="22"/>
          <w:lang w:val="sr-Latn-ME"/>
        </w:rPr>
        <w:t>Farmakoterapijska grupa:</w:t>
      </w:r>
      <w:r w:rsidR="00847271" w:rsidRPr="009C0665">
        <w:rPr>
          <w:szCs w:val="22"/>
          <w:lang w:val="sr-Latn-ME"/>
        </w:rPr>
        <w:t xml:space="preserve"> imunosupresiv</w:t>
      </w:r>
      <w:r w:rsidR="008B65FD" w:rsidRPr="009C0665">
        <w:rPr>
          <w:szCs w:val="22"/>
          <w:lang w:val="sr-Latn-ME"/>
        </w:rPr>
        <w:t>i</w:t>
      </w:r>
      <w:r w:rsidR="00450568" w:rsidRPr="009C0665">
        <w:rPr>
          <w:szCs w:val="22"/>
          <w:lang w:val="sr-Latn-ME"/>
        </w:rPr>
        <w:t>;</w:t>
      </w:r>
      <w:r w:rsidR="00847271" w:rsidRPr="009C0665">
        <w:rPr>
          <w:szCs w:val="22"/>
          <w:lang w:val="sr-Latn-ME"/>
        </w:rPr>
        <w:t xml:space="preserve"> </w:t>
      </w:r>
      <w:r w:rsidR="00E231A8" w:rsidRPr="009C0665">
        <w:rPr>
          <w:szCs w:val="22"/>
          <w:lang w:val="sr-Latn-ME"/>
        </w:rPr>
        <w:t>monoklonska anti</w:t>
      </w:r>
      <w:r w:rsidR="00067AED" w:rsidRPr="009C0665">
        <w:rPr>
          <w:szCs w:val="22"/>
          <w:lang w:val="sr-Latn-ME"/>
        </w:rPr>
        <w:t>t</w:t>
      </w:r>
      <w:r w:rsidR="00E231A8" w:rsidRPr="009C0665">
        <w:rPr>
          <w:szCs w:val="22"/>
          <w:lang w:val="sr-Latn-ME"/>
        </w:rPr>
        <w:t>i</w:t>
      </w:r>
      <w:r w:rsidR="00067AED" w:rsidRPr="009C0665">
        <w:rPr>
          <w:szCs w:val="22"/>
          <w:lang w:val="sr-Latn-ME"/>
        </w:rPr>
        <w:t>j</w:t>
      </w:r>
      <w:r w:rsidR="00E231A8" w:rsidRPr="009C0665">
        <w:rPr>
          <w:szCs w:val="22"/>
          <w:lang w:val="sr-Latn-ME"/>
        </w:rPr>
        <w:t>ela</w:t>
      </w:r>
    </w:p>
    <w:p w14:paraId="2B2954EF" w14:textId="77777777" w:rsidR="00CE09F3" w:rsidRPr="009C0665" w:rsidRDefault="00CE09F3" w:rsidP="004C7864">
      <w:pPr>
        <w:rPr>
          <w:szCs w:val="22"/>
          <w:lang w:val="sr-Latn-ME"/>
        </w:rPr>
      </w:pPr>
    </w:p>
    <w:p w14:paraId="45173D7E" w14:textId="3C49BC96" w:rsidR="00E61542" w:rsidRPr="009C0665" w:rsidRDefault="00CE09F3" w:rsidP="005D1262">
      <w:pPr>
        <w:rPr>
          <w:szCs w:val="22"/>
          <w:lang w:val="sr-Latn-ME"/>
        </w:rPr>
      </w:pPr>
      <w:r w:rsidRPr="009C0665">
        <w:rPr>
          <w:szCs w:val="22"/>
          <w:lang w:val="sr-Latn-ME"/>
        </w:rPr>
        <w:lastRenderedPageBreak/>
        <w:t xml:space="preserve">ATC </w:t>
      </w:r>
      <w:r w:rsidR="00897387" w:rsidRPr="009C0665">
        <w:rPr>
          <w:szCs w:val="22"/>
          <w:lang w:val="sr-Latn-ME"/>
        </w:rPr>
        <w:t>kod</w:t>
      </w:r>
      <w:r w:rsidRPr="009C0665">
        <w:rPr>
          <w:szCs w:val="22"/>
          <w:lang w:val="sr-Latn-ME"/>
        </w:rPr>
        <w:t>:</w:t>
      </w:r>
      <w:r w:rsidR="00847271" w:rsidRPr="009C0665">
        <w:rPr>
          <w:b/>
          <w:bCs/>
          <w:szCs w:val="22"/>
          <w:lang w:val="sr-Latn-ME"/>
        </w:rPr>
        <w:t xml:space="preserve"> </w:t>
      </w:r>
      <w:r w:rsidR="00E231A8" w:rsidRPr="009C0665">
        <w:rPr>
          <w:szCs w:val="22"/>
          <w:lang w:val="sr-Latn-ME"/>
        </w:rPr>
        <w:t>L04AG05</w:t>
      </w:r>
    </w:p>
    <w:p w14:paraId="49E82CEB" w14:textId="77777777" w:rsidR="00DB3145" w:rsidRPr="009C0665" w:rsidRDefault="00DB3145" w:rsidP="004C7864">
      <w:pPr>
        <w:pStyle w:val="Header"/>
        <w:rPr>
          <w:szCs w:val="22"/>
          <w:u w:val="single"/>
          <w:lang w:val="sr-Latn-ME"/>
        </w:rPr>
      </w:pPr>
    </w:p>
    <w:p w14:paraId="279EF027" w14:textId="6487D44B" w:rsidR="007A5DDB" w:rsidRPr="009C0665" w:rsidRDefault="007A5DDB" w:rsidP="004C7864">
      <w:pPr>
        <w:pStyle w:val="Header"/>
        <w:rPr>
          <w:szCs w:val="22"/>
          <w:u w:val="single"/>
          <w:lang w:val="sr-Latn-ME"/>
        </w:rPr>
      </w:pPr>
      <w:r w:rsidRPr="009C0665">
        <w:rPr>
          <w:szCs w:val="22"/>
          <w:u w:val="single"/>
          <w:lang w:val="sr-Latn-ME"/>
        </w:rPr>
        <w:t>Mehanizam dejstva</w:t>
      </w:r>
    </w:p>
    <w:p w14:paraId="176FD8CB" w14:textId="77777777" w:rsidR="0085729B" w:rsidRPr="009C0665" w:rsidRDefault="0085729B" w:rsidP="004C7864">
      <w:pPr>
        <w:pStyle w:val="Header"/>
        <w:rPr>
          <w:szCs w:val="22"/>
          <w:u w:val="single"/>
          <w:lang w:val="sr-Latn-ME"/>
        </w:rPr>
      </w:pPr>
    </w:p>
    <w:p w14:paraId="38DCA84E" w14:textId="5292D16D" w:rsidR="00847271" w:rsidRPr="009C0665" w:rsidRDefault="0084727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Vedolizumab je biološki imunosupresiv </w:t>
      </w:r>
      <w:r w:rsidR="00A63489" w:rsidRPr="009C0665">
        <w:rPr>
          <w:szCs w:val="22"/>
          <w:lang w:val="sr-Latn-ME"/>
        </w:rPr>
        <w:t>selektivan</w:t>
      </w:r>
      <w:r w:rsidRPr="009C0665">
        <w:rPr>
          <w:szCs w:val="22"/>
          <w:lang w:val="sr-Latn-ME"/>
        </w:rPr>
        <w:t xml:space="preserve"> za </w:t>
      </w:r>
      <w:r w:rsidR="00054848" w:rsidRPr="009C0665">
        <w:rPr>
          <w:szCs w:val="22"/>
          <w:lang w:val="sr-Latn-ME"/>
        </w:rPr>
        <w:t>crijeva</w:t>
      </w:r>
      <w:r w:rsidRPr="009C0665">
        <w:rPr>
          <w:szCs w:val="22"/>
          <w:lang w:val="sr-Latn-ME"/>
        </w:rPr>
        <w:t>. To je humanizovano monoklonsko anit</w:t>
      </w:r>
      <w:r w:rsidR="008B65FD" w:rsidRPr="009C0665">
        <w:rPr>
          <w:szCs w:val="22"/>
          <w:lang w:val="sr-Latn-ME"/>
        </w:rPr>
        <w:t>ij</w:t>
      </w:r>
      <w:r w:rsidRPr="009C0665">
        <w:rPr>
          <w:szCs w:val="22"/>
          <w:lang w:val="sr-Latn-ME"/>
        </w:rPr>
        <w:t>elo koje se specifično ve</w:t>
      </w:r>
      <w:r w:rsidR="00450568" w:rsidRPr="009C0665">
        <w:rPr>
          <w:szCs w:val="22"/>
          <w:lang w:val="sr-Latn-ME"/>
        </w:rPr>
        <w:t>zuje</w:t>
      </w:r>
      <w:r w:rsidRPr="009C0665">
        <w:rPr>
          <w:szCs w:val="22"/>
          <w:lang w:val="sr-Latn-ME"/>
        </w:rPr>
        <w:t xml:space="preserve"> na integrin </w:t>
      </w:r>
      <w:r w:rsidR="00450568" w:rsidRPr="009C0665">
        <w:rPr>
          <w:szCs w:val="22"/>
          <w:lang w:val="sr-Latn-ME"/>
        </w:rPr>
        <w:t>alfa</w:t>
      </w:r>
      <w:r w:rsidRPr="009C0665">
        <w:rPr>
          <w:szCs w:val="22"/>
          <w:vertAlign w:val="subscript"/>
          <w:lang w:val="sr-Latn-ME"/>
        </w:rPr>
        <w:t>4</w:t>
      </w:r>
      <w:r w:rsidR="00450568" w:rsidRPr="009C0665">
        <w:rPr>
          <w:szCs w:val="22"/>
          <w:lang w:val="sr-Latn-ME"/>
        </w:rPr>
        <w:t>beta</w:t>
      </w:r>
      <w:r w:rsidRPr="009C0665">
        <w:rPr>
          <w:szCs w:val="22"/>
          <w:vertAlign w:val="subscript"/>
          <w:lang w:val="sr-Latn-ME"/>
        </w:rPr>
        <w:t>7</w:t>
      </w:r>
      <w:r w:rsidRPr="009C0665">
        <w:rPr>
          <w:szCs w:val="22"/>
          <w:lang w:val="sr-Latn-ME"/>
        </w:rPr>
        <w:t xml:space="preserve"> koji je pretežno prisutan na T </w:t>
      </w:r>
      <w:r w:rsidRPr="009C0665">
        <w:rPr>
          <w:i/>
          <w:szCs w:val="22"/>
          <w:lang w:val="sr-Latn-ME"/>
        </w:rPr>
        <w:t>helper</w:t>
      </w:r>
      <w:r w:rsidRPr="009C0665">
        <w:rPr>
          <w:szCs w:val="22"/>
          <w:lang w:val="sr-Latn-ME"/>
        </w:rPr>
        <w:t xml:space="preserve"> limfocitima u </w:t>
      </w:r>
      <w:r w:rsidR="00054848" w:rsidRPr="009C0665">
        <w:rPr>
          <w:szCs w:val="22"/>
          <w:lang w:val="sr-Latn-ME"/>
        </w:rPr>
        <w:t>crijevima</w:t>
      </w:r>
      <w:r w:rsidRPr="009C0665">
        <w:rPr>
          <w:szCs w:val="22"/>
          <w:lang w:val="sr-Latn-ME"/>
        </w:rPr>
        <w:t xml:space="preserve">. Vezivanjem za </w:t>
      </w:r>
      <w:r w:rsidR="00450568" w:rsidRPr="009C0665">
        <w:rPr>
          <w:szCs w:val="22"/>
          <w:lang w:val="sr-Latn-ME"/>
        </w:rPr>
        <w:t>alfa</w:t>
      </w:r>
      <w:r w:rsidRPr="009C0665">
        <w:rPr>
          <w:szCs w:val="22"/>
          <w:vertAlign w:val="subscript"/>
          <w:lang w:val="sr-Latn-ME"/>
        </w:rPr>
        <w:t>4</w:t>
      </w:r>
      <w:r w:rsidR="00450568" w:rsidRPr="009C0665">
        <w:rPr>
          <w:szCs w:val="22"/>
          <w:lang w:val="sr-Latn-ME"/>
        </w:rPr>
        <w:t>beta</w:t>
      </w:r>
      <w:r w:rsidRPr="009C0665">
        <w:rPr>
          <w:szCs w:val="22"/>
          <w:vertAlign w:val="subscript"/>
          <w:lang w:val="sr-Latn-ME"/>
        </w:rPr>
        <w:t>7</w:t>
      </w:r>
      <w:r w:rsidRPr="009C0665">
        <w:rPr>
          <w:szCs w:val="22"/>
          <w:lang w:val="sr-Latn-ME"/>
        </w:rPr>
        <w:t xml:space="preserve"> na određenim limfocitima vedolizumab inhibira adheziju tih ćelija na mukozno adresinski ćelijski adhezijski mo</w:t>
      </w:r>
      <w:r w:rsidR="00D26459" w:rsidRPr="009C0665">
        <w:rPr>
          <w:szCs w:val="22"/>
          <w:lang w:val="sr-Latn-ME"/>
        </w:rPr>
        <w:t>lijek</w:t>
      </w:r>
      <w:r w:rsidRPr="009C0665">
        <w:rPr>
          <w:szCs w:val="22"/>
          <w:lang w:val="sr-Latn-ME"/>
        </w:rPr>
        <w:t>ul-1 (MAdCAM-1), ali ne i na vaskularni ćelijski adhezijski mo</w:t>
      </w:r>
      <w:r w:rsidR="00D26459" w:rsidRPr="009C0665">
        <w:rPr>
          <w:szCs w:val="22"/>
          <w:lang w:val="sr-Latn-ME"/>
        </w:rPr>
        <w:t>lijek</w:t>
      </w:r>
      <w:r w:rsidRPr="009C0665">
        <w:rPr>
          <w:szCs w:val="22"/>
          <w:lang w:val="sr-Latn-ME"/>
        </w:rPr>
        <w:t xml:space="preserve">ul-1 (VCAM-1). MAdCAM-1 je uglavnom </w:t>
      </w:r>
      <w:r w:rsidR="0047181E" w:rsidRPr="009C0665">
        <w:rPr>
          <w:szCs w:val="22"/>
          <w:lang w:val="sr-Latn-ME"/>
        </w:rPr>
        <w:t>prisutan</w:t>
      </w:r>
      <w:r w:rsidRPr="009C0665">
        <w:rPr>
          <w:szCs w:val="22"/>
          <w:lang w:val="sr-Latn-ME"/>
        </w:rPr>
        <w:t xml:space="preserve"> na endotelnim ćelijama </w:t>
      </w:r>
      <w:r w:rsidR="00054848" w:rsidRPr="009C0665">
        <w:rPr>
          <w:szCs w:val="22"/>
          <w:lang w:val="sr-Latn-ME"/>
        </w:rPr>
        <w:t>crijeva</w:t>
      </w:r>
      <w:r w:rsidRPr="009C0665">
        <w:rPr>
          <w:szCs w:val="22"/>
          <w:lang w:val="sr-Latn-ME"/>
        </w:rPr>
        <w:t xml:space="preserve"> i igra ključnu ulogu u naseljavanju T limfocita u tkiva gastrointestinalnog trakta. Vedolizumab se ne ve</w:t>
      </w:r>
      <w:r w:rsidR="00450568" w:rsidRPr="009C0665">
        <w:rPr>
          <w:szCs w:val="22"/>
          <w:lang w:val="sr-Latn-ME"/>
        </w:rPr>
        <w:t>zuje</w:t>
      </w:r>
      <w:r w:rsidRPr="009C0665">
        <w:rPr>
          <w:szCs w:val="22"/>
          <w:lang w:val="sr-Latn-ME"/>
        </w:rPr>
        <w:t xml:space="preserve"> na integrine </w:t>
      </w:r>
      <w:r w:rsidR="00450568" w:rsidRPr="009C0665">
        <w:rPr>
          <w:szCs w:val="22"/>
          <w:lang w:val="sr-Latn-ME"/>
        </w:rPr>
        <w:t>alfa</w:t>
      </w:r>
      <w:r w:rsidRPr="009C0665">
        <w:rPr>
          <w:szCs w:val="22"/>
          <w:vertAlign w:val="subscript"/>
          <w:lang w:val="sr-Latn-ME"/>
        </w:rPr>
        <w:t>4</w:t>
      </w:r>
      <w:r w:rsidR="00450568" w:rsidRPr="009C0665">
        <w:rPr>
          <w:szCs w:val="22"/>
          <w:lang w:val="sr-Latn-ME"/>
        </w:rPr>
        <w:t>beta</w:t>
      </w:r>
      <w:r w:rsidRPr="009C0665">
        <w:rPr>
          <w:szCs w:val="22"/>
          <w:vertAlign w:val="subscript"/>
          <w:lang w:val="sr-Latn-ME"/>
        </w:rPr>
        <w:t>1</w:t>
      </w:r>
      <w:r w:rsidRPr="009C0665">
        <w:rPr>
          <w:szCs w:val="22"/>
          <w:lang w:val="sr-Latn-ME"/>
        </w:rPr>
        <w:t xml:space="preserve"> i </w:t>
      </w:r>
      <w:r w:rsidR="00450568" w:rsidRPr="009C0665">
        <w:rPr>
          <w:szCs w:val="22"/>
          <w:lang w:val="sr-Latn-ME"/>
        </w:rPr>
        <w:t>alfa</w:t>
      </w:r>
      <w:r w:rsidRPr="009C0665">
        <w:rPr>
          <w:szCs w:val="22"/>
          <w:vertAlign w:val="subscript"/>
          <w:lang w:val="sr-Latn-ME"/>
        </w:rPr>
        <w:t>E</w:t>
      </w:r>
      <w:r w:rsidR="00450568" w:rsidRPr="009C0665">
        <w:rPr>
          <w:szCs w:val="22"/>
          <w:lang w:val="sr-Latn-ME"/>
        </w:rPr>
        <w:t>beta</w:t>
      </w:r>
      <w:r w:rsidRPr="009C0665">
        <w:rPr>
          <w:szCs w:val="22"/>
          <w:vertAlign w:val="subscript"/>
          <w:lang w:val="sr-Latn-ME"/>
        </w:rPr>
        <w:t>7</w:t>
      </w:r>
      <w:r w:rsidRPr="009C0665">
        <w:rPr>
          <w:szCs w:val="22"/>
          <w:lang w:val="sr-Latn-ME"/>
        </w:rPr>
        <w:t xml:space="preserve"> niti inhibira njihovu funkciju.</w:t>
      </w:r>
    </w:p>
    <w:p w14:paraId="043199E6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7DE9ACB2" w14:textId="26362FF5" w:rsidR="00847271" w:rsidRPr="009C0665" w:rsidRDefault="0084727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Integrin </w:t>
      </w:r>
      <w:r w:rsidR="006F08B1" w:rsidRPr="009C0665">
        <w:rPr>
          <w:szCs w:val="22"/>
          <w:lang w:val="sr-Latn-ME"/>
        </w:rPr>
        <w:t>alfa</w:t>
      </w:r>
      <w:r w:rsidRPr="009C0665">
        <w:rPr>
          <w:szCs w:val="22"/>
          <w:vertAlign w:val="subscript"/>
          <w:lang w:val="sr-Latn-ME"/>
        </w:rPr>
        <w:t>4</w:t>
      </w:r>
      <w:r w:rsidR="006F08B1" w:rsidRPr="009C0665">
        <w:rPr>
          <w:szCs w:val="22"/>
          <w:lang w:val="sr-Latn-ME"/>
        </w:rPr>
        <w:t>beta</w:t>
      </w:r>
      <w:r w:rsidRPr="009C0665">
        <w:rPr>
          <w:szCs w:val="22"/>
          <w:vertAlign w:val="subscript"/>
          <w:lang w:val="sr-Latn-ME"/>
        </w:rPr>
        <w:t>7</w:t>
      </w:r>
      <w:r w:rsidRPr="009C0665">
        <w:rPr>
          <w:szCs w:val="22"/>
          <w:lang w:val="sr-Latn-ME"/>
        </w:rPr>
        <w:t xml:space="preserve"> je izražen na izdvojenoj podgrupi memorijskih T helper limfocita koji pretežno migriraju u </w:t>
      </w:r>
      <w:r w:rsidR="0047181E" w:rsidRPr="009C0665">
        <w:rPr>
          <w:szCs w:val="22"/>
          <w:lang w:val="sr-Latn-ME"/>
        </w:rPr>
        <w:t>gastrointestinalni</w:t>
      </w:r>
      <w:r w:rsidRPr="009C0665">
        <w:rPr>
          <w:szCs w:val="22"/>
          <w:lang w:val="sr-Latn-ME"/>
        </w:rPr>
        <w:t xml:space="preserve"> (GI) trakt i uzrokuju </w:t>
      </w:r>
      <w:r w:rsidR="008B65FD" w:rsidRPr="009C0665">
        <w:rPr>
          <w:szCs w:val="22"/>
          <w:lang w:val="sr-Latn-ME"/>
        </w:rPr>
        <w:t xml:space="preserve">inflamaciju </w:t>
      </w:r>
      <w:r w:rsidRPr="009C0665">
        <w:rPr>
          <w:szCs w:val="22"/>
          <w:lang w:val="sr-Latn-ME"/>
        </w:rPr>
        <w:t xml:space="preserve">koja je karakteristična za ulcerozni kolitis i Kronovu bolest, oba oboljenja su hronična, zapaljenska, imunološki posredovana stanja </w:t>
      </w:r>
      <w:r w:rsidR="0047181E" w:rsidRPr="009C0665">
        <w:rPr>
          <w:szCs w:val="22"/>
          <w:lang w:val="sr-Latn-ME"/>
        </w:rPr>
        <w:t>gastrointestinalnog</w:t>
      </w:r>
      <w:r w:rsidRPr="009C0665">
        <w:rPr>
          <w:szCs w:val="22"/>
          <w:lang w:val="sr-Latn-ME"/>
        </w:rPr>
        <w:t xml:space="preserve"> trakta. Vedolizumab smanjuje gastrointestinalnu </w:t>
      </w:r>
      <w:r w:rsidR="008B65FD" w:rsidRPr="009C0665">
        <w:rPr>
          <w:szCs w:val="22"/>
          <w:lang w:val="sr-Latn-ME"/>
        </w:rPr>
        <w:t xml:space="preserve">inflamaciju </w:t>
      </w:r>
      <w:r w:rsidRPr="009C0665">
        <w:rPr>
          <w:szCs w:val="22"/>
          <w:lang w:val="sr-Latn-ME"/>
        </w:rPr>
        <w:t>kod pacijenata sa ulceroznim kolitisom</w:t>
      </w:r>
      <w:r w:rsidR="005078BA" w:rsidRPr="009C0665">
        <w:rPr>
          <w:szCs w:val="22"/>
          <w:lang w:val="sr-Latn-ME"/>
        </w:rPr>
        <w:t>,</w:t>
      </w:r>
      <w:r w:rsidR="003E1941" w:rsidRPr="009C0665">
        <w:rPr>
          <w:szCs w:val="22"/>
          <w:lang w:val="sr-Latn-ME"/>
        </w:rPr>
        <w:t xml:space="preserve"> </w:t>
      </w:r>
      <w:r w:rsidR="003E1941" w:rsidRPr="009C0665">
        <w:rPr>
          <w:i/>
          <w:iCs/>
          <w:szCs w:val="22"/>
          <w:lang w:val="sr-Latn-ME"/>
        </w:rPr>
        <w:t xml:space="preserve">Chronovom </w:t>
      </w:r>
      <w:r w:rsidR="003E1941" w:rsidRPr="009C0665">
        <w:rPr>
          <w:szCs w:val="22"/>
          <w:lang w:val="sr-Latn-ME"/>
        </w:rPr>
        <w:t>bolešću</w:t>
      </w:r>
      <w:r w:rsidR="00E61542" w:rsidRPr="009C0665">
        <w:rPr>
          <w:szCs w:val="22"/>
          <w:lang w:val="sr-Latn-ME"/>
        </w:rPr>
        <w:t xml:space="preserve"> </w:t>
      </w:r>
      <w:r w:rsidR="005078BA" w:rsidRPr="009C0665">
        <w:rPr>
          <w:szCs w:val="22"/>
          <w:lang w:val="sr-Latn-ME"/>
        </w:rPr>
        <w:t>i paučitisom</w:t>
      </w:r>
      <w:r w:rsidRPr="009C0665">
        <w:rPr>
          <w:szCs w:val="22"/>
          <w:lang w:val="sr-Latn-ME"/>
        </w:rPr>
        <w:t xml:space="preserve">. Inhibirajući interakciju </w:t>
      </w:r>
      <w:r w:rsidR="006F08B1" w:rsidRPr="009C0665">
        <w:rPr>
          <w:szCs w:val="22"/>
          <w:lang w:val="sr-Latn-ME"/>
        </w:rPr>
        <w:t>alfa</w:t>
      </w:r>
      <w:r w:rsidRPr="009C0665">
        <w:rPr>
          <w:szCs w:val="22"/>
          <w:vertAlign w:val="subscript"/>
          <w:lang w:val="sr-Latn-ME"/>
        </w:rPr>
        <w:t>4</w:t>
      </w:r>
      <w:r w:rsidR="006F08B1" w:rsidRPr="009C0665">
        <w:rPr>
          <w:szCs w:val="22"/>
          <w:lang w:val="sr-Latn-ME"/>
        </w:rPr>
        <w:t>beta</w:t>
      </w:r>
      <w:r w:rsidRPr="009C0665">
        <w:rPr>
          <w:szCs w:val="22"/>
          <w:vertAlign w:val="subscript"/>
          <w:lang w:val="sr-Latn-ME"/>
        </w:rPr>
        <w:t>7</w:t>
      </w:r>
      <w:r w:rsidRPr="009C0665">
        <w:rPr>
          <w:szCs w:val="22"/>
          <w:lang w:val="sr-Latn-ME"/>
        </w:rPr>
        <w:t xml:space="preserve"> s MAdCAM-1 vedolizumab </w:t>
      </w:r>
      <w:r w:rsidR="00A63489" w:rsidRPr="009C0665">
        <w:rPr>
          <w:szCs w:val="22"/>
          <w:lang w:val="sr-Latn-ME"/>
        </w:rPr>
        <w:t>sprječava</w:t>
      </w:r>
      <w:r w:rsidRPr="009C0665">
        <w:rPr>
          <w:szCs w:val="22"/>
          <w:lang w:val="sr-Latn-ME"/>
        </w:rPr>
        <w:t xml:space="preserve"> transmigraciju cr</w:t>
      </w:r>
      <w:r w:rsidR="00A63489" w:rsidRPr="009C0665">
        <w:rPr>
          <w:szCs w:val="22"/>
          <w:lang w:val="sr-Latn-ME"/>
        </w:rPr>
        <w:t>ij</w:t>
      </w:r>
      <w:r w:rsidRPr="009C0665">
        <w:rPr>
          <w:szCs w:val="22"/>
          <w:lang w:val="sr-Latn-ME"/>
        </w:rPr>
        <w:t xml:space="preserve">evnih memorijskih T helper limfocita kroz vaskularni endotel u parenhimsko tkivo kod nehumanih primata, i podstiče reverzibilno trostruko povećanje broja tih ćelija u perifernoj krvi. Mišji prekursor vedolizumaba ublažio je </w:t>
      </w:r>
      <w:r w:rsidR="008B65FD" w:rsidRPr="009C0665">
        <w:rPr>
          <w:szCs w:val="22"/>
          <w:lang w:val="sr-Latn-ME"/>
        </w:rPr>
        <w:t xml:space="preserve">inflamaciju </w:t>
      </w:r>
      <w:r w:rsidRPr="009C0665">
        <w:rPr>
          <w:szCs w:val="22"/>
          <w:lang w:val="sr-Latn-ME"/>
        </w:rPr>
        <w:t>u gastrointestinalnom traktu kod kolitičnih majmuna, vrste pinč tamarina, koji služe kao model za ulcerozni kolitis.</w:t>
      </w:r>
    </w:p>
    <w:p w14:paraId="089325F3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1023835E" w14:textId="0A99AF04" w:rsidR="00847271" w:rsidRPr="009C0665" w:rsidRDefault="0084727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Kod zdravih ispitanika, pacijenata sa ulceroznim kolitisom ili pacijenata sa </w:t>
      </w:r>
      <w:r w:rsidR="00AB003D" w:rsidRPr="009C0665">
        <w:rPr>
          <w:szCs w:val="22"/>
          <w:lang w:val="sr-Latn-ME"/>
        </w:rPr>
        <w:t>Crohnovom</w:t>
      </w:r>
      <w:r w:rsidRPr="009C0665">
        <w:rPr>
          <w:szCs w:val="22"/>
          <w:lang w:val="sr-Latn-ME"/>
        </w:rPr>
        <w:t xml:space="preserve"> bolešću </w:t>
      </w:r>
      <w:r w:rsidR="00054848" w:rsidRPr="009C0665">
        <w:rPr>
          <w:szCs w:val="22"/>
          <w:lang w:val="sr-Latn-ME"/>
        </w:rPr>
        <w:t>primjena</w:t>
      </w:r>
      <w:r w:rsidR="006F08B1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vedolizumab ne dovodi do povećanja nivoa neutrofila, bazofila, eozinofila, B-helper i citotoksičnih T limfocita, ukupnih memorijskih T helper limfocita, monocita ili prirodnih ćelija ubica (NK ćelije) u perifernoj krvi bez uočene leukocitoze.</w:t>
      </w:r>
    </w:p>
    <w:p w14:paraId="3D736771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0F544008" w14:textId="3A61C6AB" w:rsidR="00847271" w:rsidRPr="009C0665" w:rsidRDefault="0084727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Vedolizumab nije uticao na imuni odgovor i pojavu zapaljenskih procesa u centralnom nervnom sistemu kod eksperimentalnog autoimunog encefalomijelitisa kod primata, model za multiplu sklerozu. Vedolizumab nije uticao na imun</w:t>
      </w:r>
      <w:r w:rsidR="006F08B1" w:rsidRPr="009C0665">
        <w:rPr>
          <w:szCs w:val="22"/>
          <w:lang w:val="sr-Latn-ME"/>
        </w:rPr>
        <w:t>sk</w:t>
      </w:r>
      <w:r w:rsidRPr="009C0665">
        <w:rPr>
          <w:szCs w:val="22"/>
          <w:lang w:val="sr-Latn-ME"/>
        </w:rPr>
        <w:t>e odgovore na provokaciju antigenom u dermisu i mišićima (</w:t>
      </w:r>
      <w:r w:rsidR="00166D72" w:rsidRPr="009C0665">
        <w:rPr>
          <w:szCs w:val="22"/>
          <w:lang w:val="sr-Latn-ME"/>
        </w:rPr>
        <w:t>vidjeti dio</w:t>
      </w:r>
      <w:r w:rsidRPr="009C0665">
        <w:rPr>
          <w:szCs w:val="22"/>
          <w:lang w:val="sr-Latn-ME"/>
        </w:rPr>
        <w:t xml:space="preserve"> 4.4). Nasuprot tome, vedolizumab je inhibirao imun</w:t>
      </w:r>
      <w:r w:rsidR="006F08B1" w:rsidRPr="009C0665">
        <w:rPr>
          <w:szCs w:val="22"/>
          <w:lang w:val="sr-Latn-ME"/>
        </w:rPr>
        <w:t>sk</w:t>
      </w:r>
      <w:r w:rsidRPr="009C0665">
        <w:rPr>
          <w:szCs w:val="22"/>
          <w:lang w:val="sr-Latn-ME"/>
        </w:rPr>
        <w:t>i odgovor na gastrointestinalnu provokaciju antigenom kod zdravih dobrovoljaca (</w:t>
      </w:r>
      <w:r w:rsidR="00166D72" w:rsidRPr="009C0665">
        <w:rPr>
          <w:szCs w:val="22"/>
          <w:lang w:val="sr-Latn-ME"/>
        </w:rPr>
        <w:t>vidjeti dio</w:t>
      </w:r>
      <w:r w:rsidRPr="009C0665">
        <w:rPr>
          <w:szCs w:val="22"/>
          <w:lang w:val="sr-Latn-ME"/>
        </w:rPr>
        <w:t xml:space="preserve"> 4.4).</w:t>
      </w:r>
    </w:p>
    <w:p w14:paraId="2E292E8D" w14:textId="77777777" w:rsidR="00AD759A" w:rsidRPr="009C0665" w:rsidRDefault="00AD759A" w:rsidP="004C7864">
      <w:pPr>
        <w:pStyle w:val="Header"/>
        <w:rPr>
          <w:szCs w:val="22"/>
          <w:lang w:val="sr-Latn-ME"/>
        </w:rPr>
      </w:pPr>
    </w:p>
    <w:p w14:paraId="7E624C19" w14:textId="77777777" w:rsidR="007E4BD3" w:rsidRPr="009C0665" w:rsidRDefault="007E4BD3" w:rsidP="004C7864">
      <w:pPr>
        <w:pStyle w:val="Header"/>
        <w:rPr>
          <w:szCs w:val="22"/>
          <w:u w:val="single"/>
          <w:lang w:val="sr-Latn-ME"/>
        </w:rPr>
      </w:pPr>
      <w:r w:rsidRPr="009C0665">
        <w:rPr>
          <w:szCs w:val="22"/>
          <w:u w:val="single"/>
          <w:lang w:val="sr-Latn-ME"/>
        </w:rPr>
        <w:t>Imunogenost</w:t>
      </w:r>
    </w:p>
    <w:p w14:paraId="1C0E4EA0" w14:textId="77777777" w:rsidR="007E4BD3" w:rsidRPr="009C0665" w:rsidRDefault="007E4BD3" w:rsidP="004C7864">
      <w:pPr>
        <w:pStyle w:val="Header"/>
        <w:rPr>
          <w:szCs w:val="22"/>
          <w:lang w:val="sr-Latn-ME"/>
        </w:rPr>
      </w:pPr>
    </w:p>
    <w:p w14:paraId="6BEB0732" w14:textId="70322650" w:rsidR="007E4BD3" w:rsidRPr="009C0665" w:rsidRDefault="007E4BD3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Tokom liječenja vedolizumabom mogu se razviti antitijela na vedolizumab, od kojih je većina neutrališuća.</w:t>
      </w:r>
    </w:p>
    <w:p w14:paraId="4EF4ADAB" w14:textId="77777777" w:rsidR="00A75EC9" w:rsidRPr="009C0665" w:rsidRDefault="00A75EC9" w:rsidP="004C7864">
      <w:pPr>
        <w:pStyle w:val="Header"/>
        <w:rPr>
          <w:szCs w:val="22"/>
          <w:lang w:val="sr-Latn-ME"/>
        </w:rPr>
      </w:pPr>
    </w:p>
    <w:p w14:paraId="327FF669" w14:textId="2D97543C" w:rsidR="007E4BD3" w:rsidRPr="009C0665" w:rsidRDefault="007E4BD3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Stvaranje anti-vedolizumab antitijela povezano je sa povećanim klirensom vedolizumaba i nižim stopama kliničke remisije.</w:t>
      </w:r>
    </w:p>
    <w:p w14:paraId="218743A9" w14:textId="77777777" w:rsidR="00A75EC9" w:rsidRPr="009C0665" w:rsidRDefault="00A75EC9" w:rsidP="004C7864">
      <w:pPr>
        <w:pStyle w:val="Header"/>
        <w:rPr>
          <w:szCs w:val="22"/>
          <w:lang w:val="sr-Latn-ME"/>
        </w:rPr>
      </w:pPr>
    </w:p>
    <w:p w14:paraId="721CEDB0" w14:textId="77777777" w:rsidR="007E4BD3" w:rsidRPr="009C0665" w:rsidRDefault="007E4BD3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Kod ispitanika sa anti-vedolizumab antitijelima su nakon primljene infuzije vedolizumaba, prijavljene reakcije povezane sa primjenom infuzije.</w:t>
      </w:r>
    </w:p>
    <w:p w14:paraId="02A642F4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3F633114" w14:textId="77777777" w:rsidR="00847271" w:rsidRPr="009C0665" w:rsidRDefault="00847271" w:rsidP="004C7864">
      <w:pPr>
        <w:pStyle w:val="Header"/>
        <w:rPr>
          <w:szCs w:val="22"/>
          <w:u w:val="single"/>
          <w:lang w:val="sr-Latn-ME"/>
        </w:rPr>
      </w:pPr>
      <w:r w:rsidRPr="009C0665">
        <w:rPr>
          <w:szCs w:val="22"/>
          <w:u w:val="single"/>
          <w:lang w:val="sr-Latn-ME"/>
        </w:rPr>
        <w:t>Farmakodinam</w:t>
      </w:r>
      <w:r w:rsidR="006F08B1" w:rsidRPr="009C0665">
        <w:rPr>
          <w:szCs w:val="22"/>
          <w:u w:val="single"/>
          <w:lang w:val="sr-Latn-ME"/>
        </w:rPr>
        <w:t>sko dejstvo</w:t>
      </w:r>
    </w:p>
    <w:p w14:paraId="5B5EAD13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5A229674" w14:textId="09357E16" w:rsidR="00847271" w:rsidRPr="009C0665" w:rsidRDefault="0084727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U kliničkim ispitivanjima </w:t>
      </w:r>
      <w:r w:rsidR="006F08B1" w:rsidRPr="009C0665">
        <w:rPr>
          <w:szCs w:val="22"/>
          <w:lang w:val="sr-Latn-ME"/>
        </w:rPr>
        <w:t xml:space="preserve">intravenski </w:t>
      </w:r>
      <w:r w:rsidR="00AB003D" w:rsidRPr="009C0665">
        <w:rPr>
          <w:szCs w:val="22"/>
          <w:lang w:val="sr-Latn-ME"/>
        </w:rPr>
        <w:t>prim</w:t>
      </w:r>
      <w:r w:rsidR="00F50083" w:rsidRPr="009C0665">
        <w:rPr>
          <w:szCs w:val="22"/>
          <w:lang w:val="sr-Latn-ME"/>
        </w:rPr>
        <w:t>i</w:t>
      </w:r>
      <w:r w:rsidR="00AB003D" w:rsidRPr="009C0665">
        <w:rPr>
          <w:szCs w:val="22"/>
          <w:lang w:val="sr-Latn-ME"/>
        </w:rPr>
        <w:t>jenjenog</w:t>
      </w:r>
      <w:r w:rsidR="006F08B1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vedolizumaba</w:t>
      </w:r>
      <w:r w:rsidR="00B95371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 xml:space="preserve">u dozama od </w:t>
      </w:r>
      <w:r w:rsidR="00E231A8" w:rsidRPr="009C0665">
        <w:rPr>
          <w:szCs w:val="22"/>
          <w:lang w:val="sr-Latn-ME"/>
        </w:rPr>
        <w:t>0,</w:t>
      </w:r>
      <w:r w:rsidRPr="009C0665">
        <w:rPr>
          <w:szCs w:val="22"/>
          <w:lang w:val="sr-Latn-ME"/>
        </w:rPr>
        <w:t xml:space="preserve">2 do 10 mg/kg kod pacijenata je uočeno zasićenje receptora </w:t>
      </w:r>
      <w:r w:rsidR="006F08B1" w:rsidRPr="009C0665">
        <w:rPr>
          <w:szCs w:val="22"/>
          <w:lang w:val="sr-Latn-ME"/>
        </w:rPr>
        <w:t>alfa</w:t>
      </w:r>
      <w:r w:rsidRPr="009C0665">
        <w:rPr>
          <w:szCs w:val="22"/>
          <w:vertAlign w:val="subscript"/>
          <w:lang w:val="sr-Latn-ME"/>
        </w:rPr>
        <w:t>4</w:t>
      </w:r>
      <w:r w:rsidR="006F08B1" w:rsidRPr="009C0665">
        <w:rPr>
          <w:szCs w:val="22"/>
          <w:lang w:val="sr-Latn-ME"/>
        </w:rPr>
        <w:t>beta</w:t>
      </w:r>
      <w:r w:rsidRPr="009C0665">
        <w:rPr>
          <w:szCs w:val="22"/>
          <w:vertAlign w:val="subscript"/>
          <w:lang w:val="sr-Latn-ME"/>
        </w:rPr>
        <w:t>7</w:t>
      </w:r>
      <w:r w:rsidRPr="009C0665">
        <w:rPr>
          <w:szCs w:val="22"/>
          <w:lang w:val="sr-Latn-ME"/>
        </w:rPr>
        <w:t xml:space="preserve"> veće od 95% na podgrupi cirkulišućih limfocita uključenih u imuni odgovor u </w:t>
      </w:r>
      <w:r w:rsidR="00054848" w:rsidRPr="009C0665">
        <w:rPr>
          <w:szCs w:val="22"/>
          <w:lang w:val="sr-Latn-ME"/>
        </w:rPr>
        <w:t>crijevima</w:t>
      </w:r>
      <w:r w:rsidRPr="009C0665">
        <w:rPr>
          <w:szCs w:val="22"/>
          <w:lang w:val="sr-Latn-ME"/>
        </w:rPr>
        <w:t>.</w:t>
      </w:r>
    </w:p>
    <w:p w14:paraId="7BF2D733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2E36B16B" w14:textId="334DAF1A" w:rsidR="00847271" w:rsidRPr="009C0665" w:rsidRDefault="0084727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Vedolizumab nije uticao na migraciju CD4</w:t>
      </w:r>
      <w:r w:rsidRPr="009C0665">
        <w:rPr>
          <w:szCs w:val="22"/>
          <w:vertAlign w:val="superscript"/>
          <w:lang w:val="sr-Latn-ME"/>
        </w:rPr>
        <w:t>+</w:t>
      </w:r>
      <w:r w:rsidRPr="009C0665">
        <w:rPr>
          <w:szCs w:val="22"/>
          <w:lang w:val="sr-Latn-ME"/>
        </w:rPr>
        <w:t xml:space="preserve"> i CD8</w:t>
      </w:r>
      <w:r w:rsidRPr="009C0665">
        <w:rPr>
          <w:szCs w:val="22"/>
          <w:vertAlign w:val="superscript"/>
          <w:lang w:val="sr-Latn-ME"/>
        </w:rPr>
        <w:t>+</w:t>
      </w:r>
      <w:r w:rsidRPr="009C0665">
        <w:rPr>
          <w:szCs w:val="22"/>
          <w:lang w:val="sr-Latn-ME"/>
        </w:rPr>
        <w:t xml:space="preserve"> limfocita u CNS-u što se ogleda u izostanku prom</w:t>
      </w:r>
      <w:r w:rsidR="00A63489" w:rsidRPr="009C0665">
        <w:rPr>
          <w:szCs w:val="22"/>
          <w:lang w:val="sr-Latn-ME"/>
        </w:rPr>
        <w:t>j</w:t>
      </w:r>
      <w:r w:rsidRPr="009C0665">
        <w:rPr>
          <w:szCs w:val="22"/>
          <w:lang w:val="sr-Latn-ME"/>
        </w:rPr>
        <w:t>ene u odnosu CD4</w:t>
      </w:r>
      <w:r w:rsidRPr="009C0665">
        <w:rPr>
          <w:szCs w:val="22"/>
          <w:vertAlign w:val="superscript"/>
          <w:lang w:val="sr-Latn-ME"/>
        </w:rPr>
        <w:t>+</w:t>
      </w:r>
      <w:r w:rsidRPr="009C0665">
        <w:rPr>
          <w:szCs w:val="22"/>
          <w:lang w:val="sr-Latn-ME"/>
        </w:rPr>
        <w:t xml:space="preserve"> /CD8</w:t>
      </w:r>
      <w:r w:rsidRPr="009C0665">
        <w:rPr>
          <w:szCs w:val="22"/>
          <w:vertAlign w:val="superscript"/>
          <w:lang w:val="sr-Latn-ME"/>
        </w:rPr>
        <w:t>+</w:t>
      </w:r>
      <w:r w:rsidRPr="009C0665">
        <w:rPr>
          <w:szCs w:val="22"/>
          <w:lang w:val="sr-Latn-ME"/>
        </w:rPr>
        <w:t xml:space="preserve"> u cerebrospinalnoj tečnosti pr</w:t>
      </w:r>
      <w:r w:rsidR="008B65FD" w:rsidRPr="009C0665">
        <w:rPr>
          <w:szCs w:val="22"/>
          <w:lang w:val="sr-Latn-ME"/>
        </w:rPr>
        <w:t>ij</w:t>
      </w:r>
      <w:r w:rsidRPr="009C0665">
        <w:rPr>
          <w:szCs w:val="22"/>
          <w:lang w:val="sr-Latn-ME"/>
        </w:rPr>
        <w:t xml:space="preserve">e i nakon </w:t>
      </w:r>
      <w:r w:rsidR="00AB003D" w:rsidRPr="009C0665">
        <w:rPr>
          <w:szCs w:val="22"/>
          <w:lang w:val="sr-Latn-ME"/>
        </w:rPr>
        <w:t>primjene</w:t>
      </w:r>
      <w:r w:rsidRPr="009C0665">
        <w:rPr>
          <w:szCs w:val="22"/>
          <w:lang w:val="sr-Latn-ME"/>
        </w:rPr>
        <w:t xml:space="preserve"> vedolizumaba kod zdravih dobrovoljaca. Ovi podaci su u skladu sa ispitivanjima kod primata kod kojih nije </w:t>
      </w:r>
      <w:r w:rsidR="00AB003D" w:rsidRPr="009C0665">
        <w:rPr>
          <w:szCs w:val="22"/>
          <w:lang w:val="sr-Latn-ME"/>
        </w:rPr>
        <w:t>zabilježen</w:t>
      </w:r>
      <w:r w:rsidRPr="009C0665">
        <w:rPr>
          <w:szCs w:val="22"/>
          <w:lang w:val="sr-Latn-ME"/>
        </w:rPr>
        <w:t xml:space="preserve"> uticaj na imun</w:t>
      </w:r>
      <w:r w:rsidR="001D1C34" w:rsidRPr="009C0665">
        <w:rPr>
          <w:szCs w:val="22"/>
          <w:lang w:val="sr-Latn-ME"/>
        </w:rPr>
        <w:t>sk</w:t>
      </w:r>
      <w:r w:rsidRPr="009C0665">
        <w:rPr>
          <w:szCs w:val="22"/>
          <w:lang w:val="sr-Latn-ME"/>
        </w:rPr>
        <w:t>i odgovor centralnog nervnog sistema.</w:t>
      </w:r>
    </w:p>
    <w:p w14:paraId="03413350" w14:textId="4D73C7CB" w:rsidR="00847271" w:rsidRDefault="00847271" w:rsidP="004C7864">
      <w:pPr>
        <w:pStyle w:val="Header"/>
        <w:rPr>
          <w:szCs w:val="22"/>
          <w:lang w:val="sr-Latn-ME"/>
        </w:rPr>
      </w:pPr>
    </w:p>
    <w:p w14:paraId="6DC49A40" w14:textId="77777777" w:rsidR="006920A4" w:rsidRPr="009C0665" w:rsidRDefault="006920A4" w:rsidP="004C7864">
      <w:pPr>
        <w:pStyle w:val="Header"/>
        <w:rPr>
          <w:szCs w:val="22"/>
          <w:lang w:val="sr-Latn-ME"/>
        </w:rPr>
      </w:pPr>
    </w:p>
    <w:p w14:paraId="775A2494" w14:textId="23571885" w:rsidR="00847271" w:rsidRPr="009C0665" w:rsidRDefault="00847271" w:rsidP="004C7864">
      <w:pPr>
        <w:pStyle w:val="Header"/>
        <w:rPr>
          <w:szCs w:val="22"/>
          <w:u w:val="single"/>
          <w:lang w:val="sr-Latn-ME"/>
        </w:rPr>
      </w:pPr>
      <w:r w:rsidRPr="009C0665">
        <w:rPr>
          <w:szCs w:val="22"/>
          <w:u w:val="single"/>
          <w:lang w:val="sr-Latn-ME"/>
        </w:rPr>
        <w:lastRenderedPageBreak/>
        <w:t>Klinička efikasnost</w:t>
      </w:r>
      <w:r w:rsidR="00B95371" w:rsidRPr="009C0665">
        <w:rPr>
          <w:szCs w:val="22"/>
          <w:u w:val="single"/>
          <w:lang w:val="sr-Latn-ME"/>
        </w:rPr>
        <w:t xml:space="preserve"> i bezb</w:t>
      </w:r>
      <w:r w:rsidR="00897387" w:rsidRPr="009C0665">
        <w:rPr>
          <w:szCs w:val="22"/>
          <w:u w:val="single"/>
          <w:lang w:val="sr-Latn-ME"/>
        </w:rPr>
        <w:t>j</w:t>
      </w:r>
      <w:r w:rsidR="00B95371" w:rsidRPr="009C0665">
        <w:rPr>
          <w:szCs w:val="22"/>
          <w:u w:val="single"/>
          <w:lang w:val="sr-Latn-ME"/>
        </w:rPr>
        <w:t>ednost</w:t>
      </w:r>
    </w:p>
    <w:p w14:paraId="203B84DD" w14:textId="77777777" w:rsidR="007F0450" w:rsidRPr="009C0665" w:rsidRDefault="007F0450" w:rsidP="004C7864">
      <w:pPr>
        <w:pStyle w:val="Header"/>
        <w:rPr>
          <w:szCs w:val="22"/>
          <w:lang w:val="sr-Latn-ME"/>
        </w:rPr>
      </w:pPr>
    </w:p>
    <w:p w14:paraId="4D0A7AE4" w14:textId="77777777" w:rsidR="00847271" w:rsidRPr="009C0665" w:rsidRDefault="00847271" w:rsidP="004C7864">
      <w:pPr>
        <w:pStyle w:val="Header"/>
        <w:rPr>
          <w:i/>
          <w:szCs w:val="22"/>
          <w:u w:val="single"/>
          <w:lang w:val="sr-Latn-ME"/>
        </w:rPr>
      </w:pPr>
      <w:r w:rsidRPr="009C0665">
        <w:rPr>
          <w:i/>
          <w:szCs w:val="22"/>
          <w:u w:val="single"/>
          <w:lang w:val="sr-Latn-ME"/>
        </w:rPr>
        <w:t>Ulcerozni kolitis</w:t>
      </w:r>
    </w:p>
    <w:p w14:paraId="2619564B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35105071" w14:textId="30A8BA6B" w:rsidR="00847271" w:rsidRPr="009C0665" w:rsidRDefault="0084727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Efikasnost i </w:t>
      </w:r>
      <w:r w:rsidR="00A63489" w:rsidRPr="009C0665">
        <w:rPr>
          <w:szCs w:val="22"/>
          <w:lang w:val="sr-Latn-ME"/>
        </w:rPr>
        <w:t>bezbjednost</w:t>
      </w:r>
      <w:r w:rsidRPr="009C0665">
        <w:rPr>
          <w:szCs w:val="22"/>
          <w:lang w:val="sr-Latn-ME"/>
        </w:rPr>
        <w:t xml:space="preserve"> </w:t>
      </w:r>
      <w:r w:rsidR="0085729B" w:rsidRPr="009C0665">
        <w:rPr>
          <w:szCs w:val="22"/>
          <w:lang w:val="sr-Latn-ME"/>
        </w:rPr>
        <w:t>intravensk</w:t>
      </w:r>
      <w:r w:rsidR="001D1C34" w:rsidRPr="009C0665">
        <w:rPr>
          <w:szCs w:val="22"/>
          <w:lang w:val="sr-Latn-ME"/>
        </w:rPr>
        <w:t xml:space="preserve">i </w:t>
      </w:r>
      <w:r w:rsidR="00AB003D" w:rsidRPr="009C0665">
        <w:rPr>
          <w:szCs w:val="22"/>
          <w:lang w:val="sr-Latn-ME"/>
        </w:rPr>
        <w:t>prim</w:t>
      </w:r>
      <w:r w:rsidR="00F50083" w:rsidRPr="009C0665">
        <w:rPr>
          <w:szCs w:val="22"/>
          <w:lang w:val="sr-Latn-ME"/>
        </w:rPr>
        <w:t>i</w:t>
      </w:r>
      <w:r w:rsidR="00AB003D" w:rsidRPr="009C0665">
        <w:rPr>
          <w:szCs w:val="22"/>
          <w:lang w:val="sr-Latn-ME"/>
        </w:rPr>
        <w:t>jenjenog</w:t>
      </w:r>
      <w:r w:rsidR="0085729B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vedolizumaba u l</w:t>
      </w:r>
      <w:r w:rsidR="008B65FD" w:rsidRPr="009C0665">
        <w:rPr>
          <w:szCs w:val="22"/>
          <w:lang w:val="sr-Latn-ME"/>
        </w:rPr>
        <w:t>ij</w:t>
      </w:r>
      <w:r w:rsidRPr="009C0665">
        <w:rPr>
          <w:szCs w:val="22"/>
          <w:lang w:val="sr-Latn-ME"/>
        </w:rPr>
        <w:t xml:space="preserve">ečenju odraslih pacijenata sa </w:t>
      </w:r>
      <w:r w:rsidR="00A63489" w:rsidRPr="009C0665">
        <w:rPr>
          <w:szCs w:val="22"/>
          <w:lang w:val="sr-Latn-ME"/>
        </w:rPr>
        <w:t>umjereno</w:t>
      </w:r>
      <w:r w:rsidRPr="009C0665">
        <w:rPr>
          <w:szCs w:val="22"/>
          <w:lang w:val="sr-Latn-ME"/>
        </w:rPr>
        <w:t xml:space="preserve"> do izrazito aktivnim ulceroznim kolitisom (Mayo </w:t>
      </w:r>
      <w:r w:rsidR="00B555A9" w:rsidRPr="009C0665">
        <w:rPr>
          <w:szCs w:val="22"/>
          <w:lang w:val="sr-Latn-ME"/>
        </w:rPr>
        <w:t>skor</w:t>
      </w:r>
      <w:r w:rsidR="001D1C34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 xml:space="preserve">6 do 12, endoskopski </w:t>
      </w:r>
      <w:r w:rsidR="00B555A9" w:rsidRPr="009C0665">
        <w:rPr>
          <w:szCs w:val="22"/>
          <w:lang w:val="sr-Latn-ME"/>
        </w:rPr>
        <w:t xml:space="preserve">subskor </w:t>
      </w:r>
      <w:r w:rsidRPr="009C0665">
        <w:rPr>
          <w:szCs w:val="22"/>
          <w:lang w:val="sr-Latn-ME"/>
        </w:rPr>
        <w:t>≥</w:t>
      </w:r>
      <w:r w:rsidR="00F50083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2) dokazane su u randomizovanom, dvostruko sl</w:t>
      </w:r>
      <w:r w:rsidR="00A63489" w:rsidRPr="009C0665">
        <w:rPr>
          <w:szCs w:val="22"/>
          <w:lang w:val="sr-Latn-ME"/>
        </w:rPr>
        <w:t>ij</w:t>
      </w:r>
      <w:r w:rsidRPr="009C0665">
        <w:rPr>
          <w:szCs w:val="22"/>
          <w:lang w:val="sr-Latn-ME"/>
        </w:rPr>
        <w:t>epom, placebom kontrolisanom ispitivanju u kojem su oc</w:t>
      </w:r>
      <w:r w:rsidR="00F50083" w:rsidRPr="009C0665">
        <w:rPr>
          <w:szCs w:val="22"/>
          <w:lang w:val="sr-Latn-ME"/>
        </w:rPr>
        <w:t>i</w:t>
      </w:r>
      <w:r w:rsidR="00A63489" w:rsidRPr="009C0665">
        <w:rPr>
          <w:szCs w:val="22"/>
          <w:lang w:val="sr-Latn-ME"/>
        </w:rPr>
        <w:t>j</w:t>
      </w:r>
      <w:r w:rsidRPr="009C0665">
        <w:rPr>
          <w:szCs w:val="22"/>
          <w:lang w:val="sr-Latn-ME"/>
        </w:rPr>
        <w:t xml:space="preserve">enjeni </w:t>
      </w:r>
      <w:r w:rsidR="001D1C34" w:rsidRPr="009C0665">
        <w:rPr>
          <w:szCs w:val="22"/>
          <w:lang w:val="sr-Latn-ME"/>
        </w:rPr>
        <w:t xml:space="preserve">parametri praćenja </w:t>
      </w:r>
      <w:r w:rsidRPr="009C0665">
        <w:rPr>
          <w:szCs w:val="22"/>
          <w:lang w:val="sr-Latn-ME"/>
        </w:rPr>
        <w:t xml:space="preserve">efikasnosti u 6. i 52. </w:t>
      </w:r>
      <w:r w:rsidR="00AB003D" w:rsidRPr="009C0665">
        <w:rPr>
          <w:szCs w:val="22"/>
          <w:lang w:val="sr-Latn-ME"/>
        </w:rPr>
        <w:t>nedjelji</w:t>
      </w:r>
      <w:r w:rsidRPr="009C0665">
        <w:rPr>
          <w:szCs w:val="22"/>
          <w:lang w:val="sr-Latn-ME"/>
        </w:rPr>
        <w:t xml:space="preserve"> (GEMINI </w:t>
      </w:r>
      <w:r w:rsidR="001D1C34" w:rsidRPr="009C0665">
        <w:rPr>
          <w:szCs w:val="22"/>
          <w:lang w:val="sr-Latn-ME"/>
        </w:rPr>
        <w:t>1</w:t>
      </w:r>
      <w:r w:rsidRPr="009C0665">
        <w:rPr>
          <w:szCs w:val="22"/>
          <w:lang w:val="sr-Latn-ME"/>
        </w:rPr>
        <w:t>). Uključeni pacijenti ni</w:t>
      </w:r>
      <w:r w:rsidR="008B65FD" w:rsidRPr="009C0665">
        <w:rPr>
          <w:szCs w:val="22"/>
          <w:lang w:val="sr-Latn-ME"/>
        </w:rPr>
        <w:t>je</w:t>
      </w:r>
      <w:r w:rsidRPr="009C0665">
        <w:rPr>
          <w:szCs w:val="22"/>
          <w:lang w:val="sr-Latn-ME"/>
        </w:rPr>
        <w:t xml:space="preserve">su </w:t>
      </w:r>
      <w:r w:rsidR="001D1C34" w:rsidRPr="009C0665">
        <w:rPr>
          <w:szCs w:val="22"/>
          <w:lang w:val="sr-Latn-ME"/>
        </w:rPr>
        <w:t xml:space="preserve">postigli terapijski odgovor </w:t>
      </w:r>
      <w:r w:rsidRPr="009C0665">
        <w:rPr>
          <w:szCs w:val="22"/>
          <w:lang w:val="sr-Latn-ME"/>
        </w:rPr>
        <w:t>na barem jednu standardnu terapiju, uključujući kortikosteroide, imunomodulatore i/ili antagonist TNF</w:t>
      </w:r>
      <w:r w:rsidR="00CD01ED" w:rsidRPr="009C0665">
        <w:rPr>
          <w:bCs/>
          <w:szCs w:val="22"/>
          <w:lang w:val="sr-Latn-ME"/>
        </w:rPr>
        <w:t>α</w:t>
      </w:r>
      <w:r w:rsidRPr="009C0665">
        <w:rPr>
          <w:szCs w:val="22"/>
          <w:lang w:val="sr-Latn-ME"/>
        </w:rPr>
        <w:t xml:space="preserve"> infliksimab (uključujući i pacijente bez odgovora na primarno </w:t>
      </w:r>
      <w:r w:rsidR="00D26459" w:rsidRPr="009C0665">
        <w:rPr>
          <w:szCs w:val="22"/>
          <w:lang w:val="sr-Latn-ME"/>
        </w:rPr>
        <w:t>liječenje</w:t>
      </w:r>
      <w:r w:rsidRPr="009C0665">
        <w:rPr>
          <w:szCs w:val="22"/>
          <w:lang w:val="sr-Latn-ME"/>
        </w:rPr>
        <w:t>). Bil</w:t>
      </w:r>
      <w:r w:rsidR="001D1C34" w:rsidRPr="009C0665">
        <w:rPr>
          <w:szCs w:val="22"/>
          <w:lang w:val="sr-Latn-ME"/>
        </w:rPr>
        <w:t>a</w:t>
      </w:r>
      <w:r w:rsidRPr="009C0665">
        <w:rPr>
          <w:szCs w:val="22"/>
          <w:lang w:val="sr-Latn-ME"/>
        </w:rPr>
        <w:t xml:space="preserve"> </w:t>
      </w:r>
      <w:r w:rsidR="001D1C34" w:rsidRPr="009C0665">
        <w:rPr>
          <w:szCs w:val="22"/>
          <w:lang w:val="sr-Latn-ME"/>
        </w:rPr>
        <w:t>je</w:t>
      </w:r>
      <w:r w:rsidRPr="009C0665">
        <w:rPr>
          <w:szCs w:val="22"/>
          <w:lang w:val="sr-Latn-ME"/>
        </w:rPr>
        <w:t xml:space="preserve"> dopušten</w:t>
      </w:r>
      <w:r w:rsidR="001D1C34" w:rsidRPr="009C0665">
        <w:rPr>
          <w:szCs w:val="22"/>
          <w:lang w:val="sr-Latn-ME"/>
        </w:rPr>
        <w:t xml:space="preserve">a </w:t>
      </w:r>
      <w:r w:rsidR="00054848" w:rsidRPr="009C0665">
        <w:rPr>
          <w:szCs w:val="22"/>
          <w:lang w:val="sr-Latn-ME"/>
        </w:rPr>
        <w:t>primjena</w:t>
      </w:r>
      <w:r w:rsidRPr="009C0665">
        <w:rPr>
          <w:szCs w:val="22"/>
          <w:lang w:val="sr-Latn-ME"/>
        </w:rPr>
        <w:t xml:space="preserve"> istovremen</w:t>
      </w:r>
      <w:r w:rsidR="001D1C34" w:rsidRPr="009C0665">
        <w:rPr>
          <w:szCs w:val="22"/>
          <w:lang w:val="sr-Latn-ME"/>
        </w:rPr>
        <w:t>ih</w:t>
      </w:r>
      <w:r w:rsidRPr="009C0665">
        <w:rPr>
          <w:szCs w:val="22"/>
          <w:lang w:val="sr-Latn-ME"/>
        </w:rPr>
        <w:t xml:space="preserve"> stabiln</w:t>
      </w:r>
      <w:r w:rsidR="001D1C34" w:rsidRPr="009C0665">
        <w:rPr>
          <w:szCs w:val="22"/>
          <w:lang w:val="sr-Latn-ME"/>
        </w:rPr>
        <w:t>ih</w:t>
      </w:r>
      <w:r w:rsidRPr="009C0665">
        <w:rPr>
          <w:szCs w:val="22"/>
          <w:lang w:val="sr-Latn-ME"/>
        </w:rPr>
        <w:t xml:space="preserve"> doz</w:t>
      </w:r>
      <w:r w:rsidR="001D1C34" w:rsidRPr="009C0665">
        <w:rPr>
          <w:szCs w:val="22"/>
          <w:lang w:val="sr-Latn-ME"/>
        </w:rPr>
        <w:t>a</w:t>
      </w:r>
      <w:r w:rsidRPr="009C0665">
        <w:rPr>
          <w:szCs w:val="22"/>
          <w:lang w:val="sr-Latn-ME"/>
        </w:rPr>
        <w:t xml:space="preserve"> oralnih aminosalicilata, kortikosteroida i/ili imunomodulatora.</w:t>
      </w:r>
    </w:p>
    <w:p w14:paraId="4DEAC6AF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42D4F3ED" w14:textId="6CA33AB1" w:rsidR="00847271" w:rsidRPr="009C0665" w:rsidRDefault="0084727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Za proc</w:t>
      </w:r>
      <w:r w:rsidR="00B24F93" w:rsidRPr="009C0665">
        <w:rPr>
          <w:szCs w:val="22"/>
          <w:lang w:val="sr-Latn-ME"/>
        </w:rPr>
        <w:t>j</w:t>
      </w:r>
      <w:r w:rsidRPr="009C0665">
        <w:rPr>
          <w:szCs w:val="22"/>
          <w:lang w:val="sr-Latn-ME"/>
        </w:rPr>
        <w:t xml:space="preserve">enu rezultata u 6. </w:t>
      </w:r>
      <w:r w:rsidR="00AB003D" w:rsidRPr="009C0665">
        <w:rPr>
          <w:szCs w:val="22"/>
          <w:lang w:val="sr-Latn-ME"/>
        </w:rPr>
        <w:t>nedjelji</w:t>
      </w:r>
      <w:r w:rsidRPr="009C0665">
        <w:rPr>
          <w:szCs w:val="22"/>
          <w:lang w:val="sr-Latn-ME"/>
        </w:rPr>
        <w:t>, 374 pacijenta su dvostruko-sl</w:t>
      </w:r>
      <w:r w:rsidR="00A63489" w:rsidRPr="009C0665">
        <w:rPr>
          <w:szCs w:val="22"/>
          <w:lang w:val="sr-Latn-ME"/>
        </w:rPr>
        <w:t>ij</w:t>
      </w:r>
      <w:r w:rsidRPr="009C0665">
        <w:rPr>
          <w:szCs w:val="22"/>
          <w:lang w:val="sr-Latn-ME"/>
        </w:rPr>
        <w:t>epo randomizovana (3:2) za primanje vedolizumaba</w:t>
      </w:r>
      <w:r w:rsidR="001D1C34" w:rsidRPr="009C0665">
        <w:rPr>
          <w:szCs w:val="22"/>
          <w:lang w:val="sr-Latn-ME"/>
        </w:rPr>
        <w:t xml:space="preserve"> u dozi od</w:t>
      </w:r>
      <w:r w:rsidRPr="009C0665">
        <w:rPr>
          <w:szCs w:val="22"/>
          <w:lang w:val="sr-Latn-ME"/>
        </w:rPr>
        <w:t xml:space="preserve"> 300 mg ili placeba u </w:t>
      </w:r>
      <w:r w:rsidR="001D1C34" w:rsidRPr="009C0665">
        <w:rPr>
          <w:szCs w:val="22"/>
          <w:lang w:val="sr-Latn-ME"/>
        </w:rPr>
        <w:t>0.</w:t>
      </w:r>
      <w:r w:rsidRPr="009C0665">
        <w:rPr>
          <w:szCs w:val="22"/>
          <w:lang w:val="sr-Latn-ME"/>
        </w:rPr>
        <w:t xml:space="preserve"> i </w:t>
      </w:r>
      <w:r w:rsidR="001D1C34" w:rsidRPr="009C0665">
        <w:rPr>
          <w:szCs w:val="22"/>
          <w:lang w:val="sr-Latn-ME"/>
        </w:rPr>
        <w:t>2.</w:t>
      </w:r>
      <w:r w:rsidRPr="009C0665">
        <w:rPr>
          <w:szCs w:val="22"/>
          <w:lang w:val="sr-Latn-ME"/>
        </w:rPr>
        <w:t xml:space="preserve"> </w:t>
      </w:r>
      <w:r w:rsidR="00AB003D" w:rsidRPr="009C0665">
        <w:rPr>
          <w:szCs w:val="22"/>
          <w:lang w:val="sr-Latn-ME"/>
        </w:rPr>
        <w:t>nedjelji</w:t>
      </w:r>
      <w:r w:rsidRPr="009C0665">
        <w:rPr>
          <w:szCs w:val="22"/>
          <w:lang w:val="sr-Latn-ME"/>
        </w:rPr>
        <w:t xml:space="preserve">. Primarni parametar </w:t>
      </w:r>
      <w:r w:rsidR="001D1C34" w:rsidRPr="009C0665">
        <w:rPr>
          <w:szCs w:val="22"/>
          <w:lang w:val="sr-Latn-ME"/>
        </w:rPr>
        <w:t xml:space="preserve">praćenja </w:t>
      </w:r>
      <w:r w:rsidRPr="009C0665">
        <w:rPr>
          <w:szCs w:val="22"/>
          <w:lang w:val="sr-Latn-ME"/>
        </w:rPr>
        <w:t>efikasnosti bio je ud</w:t>
      </w:r>
      <w:r w:rsidR="00B24F93" w:rsidRPr="009C0665">
        <w:rPr>
          <w:szCs w:val="22"/>
          <w:lang w:val="sr-Latn-ME"/>
        </w:rPr>
        <w:t>i</w:t>
      </w:r>
      <w:r w:rsidRPr="009C0665">
        <w:rPr>
          <w:szCs w:val="22"/>
          <w:lang w:val="sr-Latn-ME"/>
        </w:rPr>
        <w:t>o pacijenata sa kliničkim odgovorom (definisan kao smanjenje ukupn</w:t>
      </w:r>
      <w:r w:rsidR="00B555A9" w:rsidRPr="009C0665">
        <w:rPr>
          <w:szCs w:val="22"/>
          <w:lang w:val="sr-Latn-ME"/>
        </w:rPr>
        <w:t>og</w:t>
      </w:r>
      <w:r w:rsidRPr="009C0665">
        <w:rPr>
          <w:szCs w:val="22"/>
          <w:lang w:val="sr-Latn-ME"/>
        </w:rPr>
        <w:t xml:space="preserve"> Mayo </w:t>
      </w:r>
      <w:r w:rsidR="00B555A9" w:rsidRPr="009C0665">
        <w:rPr>
          <w:szCs w:val="22"/>
          <w:lang w:val="sr-Latn-ME"/>
        </w:rPr>
        <w:t>skora</w:t>
      </w:r>
      <w:r w:rsidR="001D1C34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za ≥</w:t>
      </w:r>
      <w:r w:rsidR="00F50083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3 boda i ≥</w:t>
      </w:r>
      <w:r w:rsidR="00F50083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30% od početnih vr</w:t>
      </w:r>
      <w:r w:rsidR="00B24F93" w:rsidRPr="009C0665">
        <w:rPr>
          <w:szCs w:val="22"/>
          <w:lang w:val="sr-Latn-ME"/>
        </w:rPr>
        <w:t>ij</w:t>
      </w:r>
      <w:r w:rsidRPr="009C0665">
        <w:rPr>
          <w:szCs w:val="22"/>
          <w:lang w:val="sr-Latn-ME"/>
        </w:rPr>
        <w:t xml:space="preserve">ednosti </w:t>
      </w:r>
      <w:r w:rsidR="001D1C34" w:rsidRPr="009C0665">
        <w:rPr>
          <w:szCs w:val="22"/>
          <w:lang w:val="sr-Latn-ME"/>
        </w:rPr>
        <w:t xml:space="preserve">praćeno </w:t>
      </w:r>
      <w:r w:rsidRPr="009C0665">
        <w:rPr>
          <w:szCs w:val="22"/>
          <w:lang w:val="sr-Latn-ME"/>
        </w:rPr>
        <w:t xml:space="preserve">dodatnim smanjenjem </w:t>
      </w:r>
      <w:r w:rsidR="00B555A9" w:rsidRPr="009C0665">
        <w:rPr>
          <w:szCs w:val="22"/>
          <w:lang w:val="sr-Latn-ME"/>
        </w:rPr>
        <w:t xml:space="preserve">subskora </w:t>
      </w:r>
      <w:r w:rsidRPr="009C0665">
        <w:rPr>
          <w:szCs w:val="22"/>
          <w:lang w:val="sr-Latn-ME"/>
        </w:rPr>
        <w:t>rektalnog krvarenja od ≥</w:t>
      </w:r>
      <w:r w:rsidR="00F50083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1 boda ili apsolutnim podrezultatom rektalnog krvarenja od ≤</w:t>
      </w:r>
      <w:r w:rsidR="00F50083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 xml:space="preserve">1 boda) u 6. </w:t>
      </w:r>
      <w:r w:rsidR="00AB003D" w:rsidRPr="009C0665">
        <w:rPr>
          <w:szCs w:val="22"/>
          <w:lang w:val="sr-Latn-ME"/>
        </w:rPr>
        <w:t>nedjelji</w:t>
      </w:r>
      <w:r w:rsidRPr="009C0665">
        <w:rPr>
          <w:szCs w:val="22"/>
          <w:lang w:val="sr-Latn-ME"/>
        </w:rPr>
        <w:t xml:space="preserve">. Tabela 2. prikazuje rezultate </w:t>
      </w:r>
      <w:r w:rsidR="00B555A9" w:rsidRPr="009C0665">
        <w:rPr>
          <w:szCs w:val="22"/>
          <w:lang w:val="sr-Latn-ME"/>
        </w:rPr>
        <w:t>proc</w:t>
      </w:r>
      <w:r w:rsidR="00A63489" w:rsidRPr="009C0665">
        <w:rPr>
          <w:szCs w:val="22"/>
          <w:lang w:val="sr-Latn-ME"/>
        </w:rPr>
        <w:t>j</w:t>
      </w:r>
      <w:r w:rsidR="00B555A9" w:rsidRPr="009C0665">
        <w:rPr>
          <w:szCs w:val="22"/>
          <w:lang w:val="sr-Latn-ME"/>
        </w:rPr>
        <w:t xml:space="preserve">ene </w:t>
      </w:r>
      <w:r w:rsidRPr="009C0665">
        <w:rPr>
          <w:szCs w:val="22"/>
          <w:lang w:val="sr-Latn-ME"/>
        </w:rPr>
        <w:t>primarnih i sekundarnih parametara efikasnosti.</w:t>
      </w:r>
    </w:p>
    <w:p w14:paraId="0CF78DB1" w14:textId="77777777" w:rsidR="00847271" w:rsidRPr="009C0665" w:rsidRDefault="00847271" w:rsidP="004C7864">
      <w:pPr>
        <w:pStyle w:val="Header"/>
        <w:tabs>
          <w:tab w:val="left" w:pos="284"/>
        </w:tabs>
        <w:rPr>
          <w:szCs w:val="22"/>
          <w:lang w:val="sr-Latn-M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41"/>
        <w:gridCol w:w="2441"/>
        <w:gridCol w:w="2441"/>
      </w:tblGrid>
      <w:tr w:rsidR="00847271" w:rsidRPr="009C0665" w14:paraId="708D7FFF" w14:textId="77777777" w:rsidTr="00847271">
        <w:trPr>
          <w:trHeight w:val="147"/>
        </w:trPr>
        <w:tc>
          <w:tcPr>
            <w:tcW w:w="73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037ADF" w14:textId="67924D3D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/>
                <w:bCs/>
                <w:szCs w:val="22"/>
                <w:lang w:val="sr-Latn-ME"/>
              </w:rPr>
              <w:t xml:space="preserve">Tabela 2. Rezultati efikasnosti u ispitivanju GEMINI </w:t>
            </w:r>
            <w:r w:rsidR="00B95371" w:rsidRPr="009C0665">
              <w:rPr>
                <w:b/>
                <w:bCs/>
                <w:szCs w:val="22"/>
                <w:lang w:val="sr-Latn-ME"/>
              </w:rPr>
              <w:t xml:space="preserve">1 </w:t>
            </w:r>
            <w:r w:rsidRPr="009C0665">
              <w:rPr>
                <w:b/>
                <w:bCs/>
                <w:szCs w:val="22"/>
                <w:lang w:val="sr-Latn-ME"/>
              </w:rPr>
              <w:t xml:space="preserve">u 6. </w:t>
            </w:r>
            <w:r w:rsidR="00AB003D" w:rsidRPr="009C0665">
              <w:rPr>
                <w:b/>
                <w:bCs/>
                <w:szCs w:val="22"/>
                <w:lang w:val="sr-Latn-ME"/>
              </w:rPr>
              <w:t>nedjelji</w:t>
            </w:r>
            <w:r w:rsidRPr="009C0665">
              <w:rPr>
                <w:b/>
                <w:bCs/>
                <w:szCs w:val="22"/>
                <w:lang w:val="sr-Latn-ME"/>
              </w:rPr>
              <w:t xml:space="preserve"> </w:t>
            </w:r>
          </w:p>
        </w:tc>
      </w:tr>
      <w:tr w:rsidR="00847271" w:rsidRPr="009C0665" w14:paraId="31AE1C00" w14:textId="77777777" w:rsidTr="00847271">
        <w:trPr>
          <w:trHeight w:val="271"/>
        </w:trPr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74424F" w14:textId="52732C4F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Ishod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20C776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Placebo</w:t>
            </w:r>
          </w:p>
          <w:p w14:paraId="4690CFF6" w14:textId="77777777" w:rsidR="00847271" w:rsidRPr="009C0665" w:rsidRDefault="00B1676E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n</w:t>
            </w:r>
            <w:r w:rsidR="00847271" w:rsidRPr="009C0665">
              <w:rPr>
                <w:bCs/>
                <w:szCs w:val="22"/>
                <w:lang w:val="sr-Latn-ME"/>
              </w:rPr>
              <w:t>=149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86DEE4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Vedolizumab</w:t>
            </w:r>
            <w:r w:rsidR="00B555A9" w:rsidRPr="009C0665">
              <w:rPr>
                <w:bCs/>
                <w:szCs w:val="22"/>
                <w:lang w:val="sr-Latn-ME"/>
              </w:rPr>
              <w:t xml:space="preserve"> IV</w:t>
            </w:r>
          </w:p>
          <w:p w14:paraId="1D21B875" w14:textId="77777777" w:rsidR="00847271" w:rsidRPr="009C0665" w:rsidRDefault="00B1676E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n</w:t>
            </w:r>
            <w:r w:rsidR="00847271" w:rsidRPr="009C0665">
              <w:rPr>
                <w:bCs/>
                <w:szCs w:val="22"/>
                <w:lang w:val="sr-Latn-ME"/>
              </w:rPr>
              <w:t>=225</w:t>
            </w:r>
          </w:p>
        </w:tc>
      </w:tr>
      <w:tr w:rsidR="00847271" w:rsidRPr="009C0665" w14:paraId="0396A01A" w14:textId="77777777" w:rsidTr="00847271">
        <w:trPr>
          <w:trHeight w:val="145"/>
        </w:trPr>
        <w:tc>
          <w:tcPr>
            <w:tcW w:w="2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74E804" w14:textId="2777B72E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Klinički odgovor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5CE40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26%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F63D32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47%*</w:t>
            </w:r>
          </w:p>
        </w:tc>
      </w:tr>
      <w:tr w:rsidR="00847271" w:rsidRPr="009C0665" w14:paraId="1A10CA0E" w14:textId="77777777" w:rsidTr="00847271">
        <w:trPr>
          <w:trHeight w:val="154"/>
        </w:trPr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8BF84" w14:textId="36BB2971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Klinička remisija§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7FC06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5%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C608D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17%†</w:t>
            </w:r>
          </w:p>
        </w:tc>
      </w:tr>
      <w:tr w:rsidR="00847271" w:rsidRPr="009C0665" w14:paraId="399B9E00" w14:textId="77777777" w:rsidTr="00847271">
        <w:trPr>
          <w:trHeight w:val="154"/>
        </w:trPr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2443D8" w14:textId="4531A3B3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Za</w:t>
            </w:r>
            <w:r w:rsidR="00D26459" w:rsidRPr="009C0665">
              <w:rPr>
                <w:bCs/>
                <w:szCs w:val="22"/>
                <w:lang w:val="sr-Latn-ME"/>
              </w:rPr>
              <w:t>liječenje</w:t>
            </w:r>
            <w:r w:rsidRPr="009C0665">
              <w:rPr>
                <w:bCs/>
                <w:szCs w:val="22"/>
                <w:lang w:val="sr-Latn-ME"/>
              </w:rPr>
              <w:t xml:space="preserve"> sluzokože</w:t>
            </w:r>
            <w:r w:rsidRPr="009C0665">
              <w:rPr>
                <w:szCs w:val="22"/>
                <w:vertAlign w:val="superscript"/>
                <w:lang w:val="sr-Latn-ME"/>
              </w:rPr>
              <w:t>¶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4B7742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25%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2AE4E2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41%‡</w:t>
            </w:r>
          </w:p>
        </w:tc>
      </w:tr>
      <w:tr w:rsidR="00847271" w:rsidRPr="009C0665" w14:paraId="4C756801" w14:textId="77777777" w:rsidTr="00847271">
        <w:trPr>
          <w:trHeight w:val="777"/>
        </w:trPr>
        <w:tc>
          <w:tcPr>
            <w:tcW w:w="732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092F0F" w14:textId="77777777" w:rsidR="00847271" w:rsidRPr="009C0665" w:rsidRDefault="00847271" w:rsidP="004C7864">
            <w:pPr>
              <w:pStyle w:val="Header"/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 xml:space="preserve">*p&lt;0,0001 </w:t>
            </w:r>
          </w:p>
          <w:p w14:paraId="555F09BF" w14:textId="77777777" w:rsidR="00847271" w:rsidRPr="009C0665" w:rsidRDefault="00847271" w:rsidP="004C7864">
            <w:pPr>
              <w:pStyle w:val="Header"/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 xml:space="preserve">†p≤0,001 </w:t>
            </w:r>
          </w:p>
          <w:p w14:paraId="3A05C02D" w14:textId="77777777" w:rsidR="00847271" w:rsidRPr="009C0665" w:rsidRDefault="00847271" w:rsidP="004C7864">
            <w:pPr>
              <w:pStyle w:val="Header"/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 xml:space="preserve">‡p&lt;0,05 </w:t>
            </w:r>
          </w:p>
          <w:p w14:paraId="09AA4562" w14:textId="79DCE706" w:rsidR="00847271" w:rsidRPr="009C0665" w:rsidRDefault="00847271" w:rsidP="004C7864">
            <w:pPr>
              <w:pStyle w:val="Header"/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>§Klinička remisija: Ukupn</w:t>
            </w:r>
            <w:r w:rsidR="00B555A9" w:rsidRPr="009C0665">
              <w:rPr>
                <w:szCs w:val="22"/>
                <w:lang w:val="sr-Latn-ME"/>
              </w:rPr>
              <w:t>i</w:t>
            </w:r>
            <w:r w:rsidRPr="009C0665">
              <w:rPr>
                <w:szCs w:val="22"/>
                <w:lang w:val="sr-Latn-ME"/>
              </w:rPr>
              <w:t xml:space="preserve"> Mayo </w:t>
            </w:r>
            <w:r w:rsidR="00B555A9" w:rsidRPr="009C0665">
              <w:rPr>
                <w:szCs w:val="22"/>
                <w:lang w:val="sr-Latn-ME"/>
              </w:rPr>
              <w:t>skor</w:t>
            </w:r>
            <w:r w:rsidRPr="009C0665">
              <w:rPr>
                <w:szCs w:val="22"/>
                <w:lang w:val="sr-Latn-ME"/>
              </w:rPr>
              <w:t xml:space="preserve"> ≤</w:t>
            </w:r>
            <w:r w:rsidR="00F50083" w:rsidRPr="009C0665">
              <w:rPr>
                <w:szCs w:val="22"/>
                <w:lang w:val="sr-Latn-ME"/>
              </w:rPr>
              <w:t xml:space="preserve"> </w:t>
            </w:r>
            <w:r w:rsidRPr="009C0665">
              <w:rPr>
                <w:szCs w:val="22"/>
                <w:lang w:val="sr-Latn-ME"/>
              </w:rPr>
              <w:t xml:space="preserve">2 boda i bez individualnog </w:t>
            </w:r>
            <w:r w:rsidR="00B555A9" w:rsidRPr="009C0665">
              <w:rPr>
                <w:szCs w:val="22"/>
                <w:lang w:val="sr-Latn-ME"/>
              </w:rPr>
              <w:t xml:space="preserve">subskora </w:t>
            </w:r>
            <w:r w:rsidRPr="009C0665">
              <w:rPr>
                <w:szCs w:val="22"/>
                <w:lang w:val="sr-Latn-ME"/>
              </w:rPr>
              <w:t>&gt;</w:t>
            </w:r>
            <w:r w:rsidR="00F50083" w:rsidRPr="009C0665">
              <w:rPr>
                <w:szCs w:val="22"/>
                <w:lang w:val="sr-Latn-ME"/>
              </w:rPr>
              <w:t xml:space="preserve"> </w:t>
            </w:r>
            <w:r w:rsidRPr="009C0665">
              <w:rPr>
                <w:szCs w:val="22"/>
                <w:lang w:val="sr-Latn-ME"/>
              </w:rPr>
              <w:t xml:space="preserve">1 boda </w:t>
            </w:r>
          </w:p>
          <w:p w14:paraId="2A537F0C" w14:textId="73D4A2BA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szCs w:val="22"/>
                <w:vertAlign w:val="superscript"/>
                <w:lang w:val="sr-Latn-ME"/>
              </w:rPr>
              <w:t>¶</w:t>
            </w:r>
            <w:r w:rsidRPr="009C0665">
              <w:rPr>
                <w:szCs w:val="22"/>
                <w:lang w:val="sr-Latn-ME"/>
              </w:rPr>
              <w:t>Za</w:t>
            </w:r>
            <w:r w:rsidR="00D26459" w:rsidRPr="009C0665">
              <w:rPr>
                <w:szCs w:val="22"/>
                <w:lang w:val="sr-Latn-ME"/>
              </w:rPr>
              <w:t>lečenje</w:t>
            </w:r>
            <w:r w:rsidRPr="009C0665">
              <w:rPr>
                <w:szCs w:val="22"/>
                <w:lang w:val="sr-Latn-ME"/>
              </w:rPr>
              <w:t xml:space="preserve"> sluz</w:t>
            </w:r>
            <w:r w:rsidR="00B555A9" w:rsidRPr="009C0665">
              <w:rPr>
                <w:szCs w:val="22"/>
                <w:lang w:val="sr-Latn-ME"/>
              </w:rPr>
              <w:t>okož</w:t>
            </w:r>
            <w:r w:rsidRPr="009C0665">
              <w:rPr>
                <w:szCs w:val="22"/>
                <w:lang w:val="sr-Latn-ME"/>
              </w:rPr>
              <w:t xml:space="preserve">e: Mayo endoskopski </w:t>
            </w:r>
            <w:r w:rsidR="00B555A9" w:rsidRPr="009C0665">
              <w:rPr>
                <w:szCs w:val="22"/>
                <w:lang w:val="sr-Latn-ME"/>
              </w:rPr>
              <w:t xml:space="preserve">subskor </w:t>
            </w:r>
            <w:r w:rsidRPr="009C0665">
              <w:rPr>
                <w:szCs w:val="22"/>
                <w:lang w:val="sr-Latn-ME"/>
              </w:rPr>
              <w:t>≤</w:t>
            </w:r>
            <w:r w:rsidR="00F50083" w:rsidRPr="009C0665">
              <w:rPr>
                <w:szCs w:val="22"/>
                <w:lang w:val="sr-Latn-ME"/>
              </w:rPr>
              <w:t xml:space="preserve"> </w:t>
            </w:r>
            <w:r w:rsidRPr="009C0665">
              <w:rPr>
                <w:szCs w:val="22"/>
                <w:lang w:val="sr-Latn-ME"/>
              </w:rPr>
              <w:t>1 boda</w:t>
            </w:r>
            <w:r w:rsidRPr="009C0665">
              <w:rPr>
                <w:bCs/>
                <w:szCs w:val="22"/>
                <w:lang w:val="sr-Latn-ME"/>
              </w:rPr>
              <w:t xml:space="preserve"> </w:t>
            </w:r>
          </w:p>
          <w:p w14:paraId="64347B91" w14:textId="2C5DECD5" w:rsidR="007F0450" w:rsidRPr="009C0665" w:rsidRDefault="007F0450" w:rsidP="004C7864">
            <w:pPr>
              <w:pStyle w:val="Header"/>
              <w:rPr>
                <w:bCs/>
                <w:szCs w:val="22"/>
                <w:lang w:val="sr-Latn-ME"/>
              </w:rPr>
            </w:pPr>
          </w:p>
        </w:tc>
      </w:tr>
    </w:tbl>
    <w:p w14:paraId="4F23D1A5" w14:textId="7A2FFBC7" w:rsidR="00847271" w:rsidRPr="009C0665" w:rsidRDefault="00847271" w:rsidP="004C7864">
      <w:pPr>
        <w:pStyle w:val="Header"/>
        <w:rPr>
          <w:bCs/>
          <w:szCs w:val="22"/>
          <w:lang w:val="sr-Latn-ME"/>
        </w:rPr>
      </w:pPr>
      <w:r w:rsidRPr="009C0665">
        <w:rPr>
          <w:bCs/>
          <w:szCs w:val="22"/>
          <w:lang w:val="sr-Latn-ME"/>
        </w:rPr>
        <w:t>Povoljni uticaj vedolizumaba na klinički odgovor, remisiju i za</w:t>
      </w:r>
      <w:r w:rsidR="00D26459" w:rsidRPr="009C0665">
        <w:rPr>
          <w:bCs/>
          <w:szCs w:val="22"/>
          <w:lang w:val="sr-Latn-ME"/>
        </w:rPr>
        <w:t>liječenje</w:t>
      </w:r>
      <w:r w:rsidRPr="009C0665">
        <w:rPr>
          <w:bCs/>
          <w:szCs w:val="22"/>
          <w:lang w:val="sr-Latn-ME"/>
        </w:rPr>
        <w:t xml:space="preserve"> slu</w:t>
      </w:r>
      <w:r w:rsidR="00B555A9" w:rsidRPr="009C0665">
        <w:rPr>
          <w:bCs/>
          <w:szCs w:val="22"/>
          <w:lang w:val="sr-Latn-ME"/>
        </w:rPr>
        <w:t>zokože</w:t>
      </w:r>
      <w:r w:rsidRPr="009C0665">
        <w:rPr>
          <w:bCs/>
          <w:szCs w:val="22"/>
          <w:lang w:val="sr-Latn-ME"/>
        </w:rPr>
        <w:t xml:space="preserve"> uočen je i kod pacijenata koji ni</w:t>
      </w:r>
      <w:r w:rsidR="00B24F93" w:rsidRPr="009C0665">
        <w:rPr>
          <w:bCs/>
          <w:szCs w:val="22"/>
          <w:lang w:val="sr-Latn-ME"/>
        </w:rPr>
        <w:t>je</w:t>
      </w:r>
      <w:r w:rsidRPr="009C0665">
        <w:rPr>
          <w:bCs/>
          <w:szCs w:val="22"/>
          <w:lang w:val="sr-Latn-ME"/>
        </w:rPr>
        <w:t xml:space="preserve">su prethodno </w:t>
      </w:r>
      <w:r w:rsidR="00B555A9" w:rsidRPr="009C0665">
        <w:rPr>
          <w:bCs/>
          <w:szCs w:val="22"/>
          <w:lang w:val="sr-Latn-ME"/>
        </w:rPr>
        <w:t xml:space="preserve">primali </w:t>
      </w:r>
      <w:r w:rsidRPr="009C0665">
        <w:rPr>
          <w:bCs/>
          <w:szCs w:val="22"/>
          <w:lang w:val="sr-Latn-ME"/>
        </w:rPr>
        <w:t>antagoniste TNF</w:t>
      </w:r>
      <w:r w:rsidR="00B555A9" w:rsidRPr="009C0665">
        <w:rPr>
          <w:bCs/>
          <w:szCs w:val="22"/>
          <w:lang w:val="sr-Latn-ME"/>
        </w:rPr>
        <w:t>alfa</w:t>
      </w:r>
      <w:r w:rsidRPr="009C0665">
        <w:rPr>
          <w:bCs/>
          <w:szCs w:val="22"/>
          <w:lang w:val="sr-Latn-ME"/>
        </w:rPr>
        <w:t xml:space="preserve"> kao i kod onih sa </w:t>
      </w:r>
      <w:r w:rsidR="00A63489" w:rsidRPr="009C0665">
        <w:rPr>
          <w:bCs/>
          <w:szCs w:val="22"/>
          <w:lang w:val="sr-Latn-ME"/>
        </w:rPr>
        <w:t>neuspješnom</w:t>
      </w:r>
      <w:r w:rsidRPr="009C0665">
        <w:rPr>
          <w:bCs/>
          <w:szCs w:val="22"/>
          <w:lang w:val="sr-Latn-ME"/>
        </w:rPr>
        <w:t xml:space="preserve"> prethodnom terapijom TNFα antagonistima.</w:t>
      </w:r>
    </w:p>
    <w:p w14:paraId="1DDAEDB7" w14:textId="77777777" w:rsidR="007F0450" w:rsidRPr="009C0665" w:rsidRDefault="007F0450" w:rsidP="004C7864">
      <w:pPr>
        <w:pStyle w:val="Header"/>
        <w:rPr>
          <w:bCs/>
          <w:szCs w:val="22"/>
          <w:lang w:val="sr-Latn-ME"/>
        </w:rPr>
      </w:pPr>
    </w:p>
    <w:p w14:paraId="2C2E7445" w14:textId="4C73C88B" w:rsidR="00847271" w:rsidRPr="009C0665" w:rsidRDefault="00847271" w:rsidP="004C7864">
      <w:pPr>
        <w:pStyle w:val="Header"/>
        <w:rPr>
          <w:bCs/>
          <w:szCs w:val="22"/>
          <w:lang w:val="sr-Latn-ME"/>
        </w:rPr>
      </w:pPr>
      <w:r w:rsidRPr="009C0665">
        <w:rPr>
          <w:bCs/>
          <w:szCs w:val="22"/>
          <w:lang w:val="sr-Latn-ME"/>
        </w:rPr>
        <w:t xml:space="preserve">U ispitivanju GEMINI </w:t>
      </w:r>
      <w:r w:rsidR="00B95371" w:rsidRPr="009C0665">
        <w:rPr>
          <w:bCs/>
          <w:szCs w:val="22"/>
          <w:lang w:val="sr-Latn-ME"/>
        </w:rPr>
        <w:t>1</w:t>
      </w:r>
      <w:r w:rsidR="00CD01ED" w:rsidRPr="009C0665">
        <w:rPr>
          <w:bCs/>
          <w:szCs w:val="22"/>
          <w:lang w:val="sr-Latn-ME"/>
        </w:rPr>
        <w:t>,</w:t>
      </w:r>
      <w:r w:rsidR="00B95371" w:rsidRPr="009C0665">
        <w:rPr>
          <w:bCs/>
          <w:szCs w:val="22"/>
          <w:lang w:val="sr-Latn-ME"/>
        </w:rPr>
        <w:t xml:space="preserve"> </w:t>
      </w:r>
      <w:r w:rsidRPr="009C0665">
        <w:rPr>
          <w:bCs/>
          <w:szCs w:val="22"/>
          <w:lang w:val="sr-Latn-ME"/>
        </w:rPr>
        <w:t>dv</w:t>
      </w:r>
      <w:r w:rsidR="00A63489" w:rsidRPr="009C0665">
        <w:rPr>
          <w:bCs/>
          <w:szCs w:val="22"/>
          <w:lang w:val="sr-Latn-ME"/>
        </w:rPr>
        <w:t>ij</w:t>
      </w:r>
      <w:r w:rsidRPr="009C0665">
        <w:rPr>
          <w:bCs/>
          <w:szCs w:val="22"/>
          <w:lang w:val="sr-Latn-ME"/>
        </w:rPr>
        <w:t xml:space="preserve">e kohorte pacijenata primile su vedolizumab u </w:t>
      </w:r>
      <w:r w:rsidR="00B95371" w:rsidRPr="009C0665">
        <w:rPr>
          <w:bCs/>
          <w:szCs w:val="22"/>
          <w:lang w:val="sr-Latn-ME"/>
        </w:rPr>
        <w:t xml:space="preserve">0. </w:t>
      </w:r>
      <w:r w:rsidRPr="009C0665">
        <w:rPr>
          <w:bCs/>
          <w:szCs w:val="22"/>
          <w:lang w:val="sr-Latn-ME"/>
        </w:rPr>
        <w:t xml:space="preserve">i </w:t>
      </w:r>
      <w:r w:rsidR="00B95371" w:rsidRPr="009C0665">
        <w:rPr>
          <w:bCs/>
          <w:szCs w:val="22"/>
          <w:lang w:val="sr-Latn-ME"/>
        </w:rPr>
        <w:t>2.</w:t>
      </w:r>
      <w:r w:rsidRPr="009C0665">
        <w:rPr>
          <w:bCs/>
          <w:szCs w:val="22"/>
          <w:lang w:val="sr-Latn-ME"/>
        </w:rPr>
        <w:t xml:space="preserve">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>: u kohorti 1 pacijenti su dvostruko-sl</w:t>
      </w:r>
      <w:r w:rsidR="00A63489" w:rsidRPr="009C0665">
        <w:rPr>
          <w:bCs/>
          <w:szCs w:val="22"/>
          <w:lang w:val="sr-Latn-ME"/>
        </w:rPr>
        <w:t>ij</w:t>
      </w:r>
      <w:r w:rsidRPr="009C0665">
        <w:rPr>
          <w:bCs/>
          <w:szCs w:val="22"/>
          <w:lang w:val="sr-Latn-ME"/>
        </w:rPr>
        <w:t>epo randomizovani za primanje vedolizumaba</w:t>
      </w:r>
      <w:r w:rsidR="00B555A9" w:rsidRPr="009C0665">
        <w:rPr>
          <w:bCs/>
          <w:szCs w:val="22"/>
          <w:lang w:val="sr-Latn-ME"/>
        </w:rPr>
        <w:t xml:space="preserve"> u dozi od</w:t>
      </w:r>
      <w:r w:rsidRPr="009C0665">
        <w:rPr>
          <w:bCs/>
          <w:szCs w:val="22"/>
          <w:lang w:val="sr-Latn-ME"/>
        </w:rPr>
        <w:t xml:space="preserve"> 300 mg ili placeba, a pacijenti iz kohorte 2 su otvoreno l</w:t>
      </w:r>
      <w:r w:rsidR="00A63489" w:rsidRPr="009C0665">
        <w:rPr>
          <w:bCs/>
          <w:szCs w:val="22"/>
          <w:lang w:val="sr-Latn-ME"/>
        </w:rPr>
        <w:t>ij</w:t>
      </w:r>
      <w:r w:rsidRPr="009C0665">
        <w:rPr>
          <w:bCs/>
          <w:szCs w:val="22"/>
          <w:lang w:val="sr-Latn-ME"/>
        </w:rPr>
        <w:t>ečeni vedolizumabom 300 mg. Za proc</w:t>
      </w:r>
      <w:r w:rsidR="00B24F93" w:rsidRPr="009C0665">
        <w:rPr>
          <w:bCs/>
          <w:szCs w:val="22"/>
          <w:lang w:val="sr-Latn-ME"/>
        </w:rPr>
        <w:t>j</w:t>
      </w:r>
      <w:r w:rsidRPr="009C0665">
        <w:rPr>
          <w:bCs/>
          <w:szCs w:val="22"/>
          <w:lang w:val="sr-Latn-ME"/>
        </w:rPr>
        <w:t xml:space="preserve">enu efikasnosti u 52.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>, 373 pacijenta iz kohorte 1 i 2 koji su l</w:t>
      </w:r>
      <w:r w:rsidR="00A63489" w:rsidRPr="009C0665">
        <w:rPr>
          <w:bCs/>
          <w:szCs w:val="22"/>
          <w:lang w:val="sr-Latn-ME"/>
        </w:rPr>
        <w:t>ij</w:t>
      </w:r>
      <w:r w:rsidRPr="009C0665">
        <w:rPr>
          <w:bCs/>
          <w:szCs w:val="22"/>
          <w:lang w:val="sr-Latn-ME"/>
        </w:rPr>
        <w:t xml:space="preserve">ečeni vedolizumabom i koji su postigli klinički odgovor u 6.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 randomizovani su na dvostruko-sl</w:t>
      </w:r>
      <w:r w:rsidR="00A63489" w:rsidRPr="009C0665">
        <w:rPr>
          <w:bCs/>
          <w:szCs w:val="22"/>
          <w:lang w:val="sr-Latn-ME"/>
        </w:rPr>
        <w:t>ij</w:t>
      </w:r>
      <w:r w:rsidRPr="009C0665">
        <w:rPr>
          <w:bCs/>
          <w:szCs w:val="22"/>
          <w:lang w:val="sr-Latn-ME"/>
        </w:rPr>
        <w:t>epi način (1:1:1) za jedan od sl</w:t>
      </w:r>
      <w:r w:rsidR="00B24F93" w:rsidRPr="009C0665">
        <w:rPr>
          <w:bCs/>
          <w:szCs w:val="22"/>
          <w:lang w:val="sr-Latn-ME"/>
        </w:rPr>
        <w:t>j</w:t>
      </w:r>
      <w:r w:rsidRPr="009C0665">
        <w:rPr>
          <w:bCs/>
          <w:szCs w:val="22"/>
          <w:lang w:val="sr-Latn-ME"/>
        </w:rPr>
        <w:t xml:space="preserve">edećih režima počevši od 6. </w:t>
      </w:r>
      <w:r w:rsidR="00166D72" w:rsidRPr="009C0665">
        <w:rPr>
          <w:bCs/>
          <w:szCs w:val="22"/>
          <w:lang w:val="sr-Latn-ME"/>
        </w:rPr>
        <w:t>nedjelje</w:t>
      </w:r>
      <w:r w:rsidRPr="009C0665">
        <w:rPr>
          <w:bCs/>
          <w:szCs w:val="22"/>
          <w:lang w:val="sr-Latn-ME"/>
        </w:rPr>
        <w:t>: vedolizumab</w:t>
      </w:r>
      <w:r w:rsidR="00B555A9" w:rsidRPr="009C0665">
        <w:rPr>
          <w:bCs/>
          <w:szCs w:val="22"/>
          <w:lang w:val="sr-Latn-ME"/>
        </w:rPr>
        <w:t xml:space="preserve"> u dozi od</w:t>
      </w:r>
      <w:r w:rsidRPr="009C0665">
        <w:rPr>
          <w:bCs/>
          <w:szCs w:val="22"/>
          <w:lang w:val="sr-Latn-ME"/>
        </w:rPr>
        <w:t xml:space="preserve"> 300 mg svake </w:t>
      </w:r>
      <w:r w:rsidR="00C95E89" w:rsidRPr="009C0665">
        <w:rPr>
          <w:bCs/>
          <w:szCs w:val="22"/>
          <w:lang w:val="sr-Latn-ME"/>
        </w:rPr>
        <w:t xml:space="preserve">8. </w:t>
      </w:r>
      <w:r w:rsidR="00166D72" w:rsidRPr="009C0665">
        <w:rPr>
          <w:bCs/>
          <w:szCs w:val="22"/>
          <w:lang w:val="sr-Latn-ME"/>
        </w:rPr>
        <w:t>nedjelje</w:t>
      </w:r>
      <w:r w:rsidRPr="009C0665">
        <w:rPr>
          <w:bCs/>
          <w:szCs w:val="22"/>
          <w:lang w:val="sr-Latn-ME"/>
        </w:rPr>
        <w:t xml:space="preserve">, vedolizumab </w:t>
      </w:r>
      <w:r w:rsidR="00B555A9" w:rsidRPr="009C0665">
        <w:rPr>
          <w:bCs/>
          <w:szCs w:val="22"/>
          <w:lang w:val="sr-Latn-ME"/>
        </w:rPr>
        <w:t xml:space="preserve">u dozi od </w:t>
      </w:r>
      <w:r w:rsidRPr="009C0665">
        <w:rPr>
          <w:bCs/>
          <w:szCs w:val="22"/>
          <w:lang w:val="sr-Latn-ME"/>
        </w:rPr>
        <w:t xml:space="preserve">300 mg svake </w:t>
      </w:r>
      <w:r w:rsidR="00C95E89" w:rsidRPr="009C0665">
        <w:rPr>
          <w:bCs/>
          <w:szCs w:val="22"/>
          <w:lang w:val="sr-Latn-ME"/>
        </w:rPr>
        <w:t xml:space="preserve">4. </w:t>
      </w:r>
      <w:r w:rsidR="00166D72" w:rsidRPr="009C0665">
        <w:rPr>
          <w:bCs/>
          <w:szCs w:val="22"/>
          <w:lang w:val="sr-Latn-ME"/>
        </w:rPr>
        <w:t>nedjelje</w:t>
      </w:r>
      <w:r w:rsidRPr="009C0665">
        <w:rPr>
          <w:bCs/>
          <w:szCs w:val="22"/>
          <w:lang w:val="sr-Latn-ME"/>
        </w:rPr>
        <w:t xml:space="preserve"> ili placebo svake </w:t>
      </w:r>
      <w:r w:rsidR="00C95E89" w:rsidRPr="009C0665">
        <w:rPr>
          <w:bCs/>
          <w:szCs w:val="22"/>
          <w:lang w:val="sr-Latn-ME"/>
        </w:rPr>
        <w:t xml:space="preserve">4. </w:t>
      </w:r>
      <w:r w:rsidR="00166D72" w:rsidRPr="009C0665">
        <w:rPr>
          <w:bCs/>
          <w:szCs w:val="22"/>
          <w:lang w:val="sr-Latn-ME"/>
        </w:rPr>
        <w:t>nedjelje</w:t>
      </w:r>
      <w:r w:rsidRPr="009C0665">
        <w:rPr>
          <w:bCs/>
          <w:szCs w:val="22"/>
          <w:lang w:val="sr-Latn-ME"/>
        </w:rPr>
        <w:t xml:space="preserve">. Počevši od 6. </w:t>
      </w:r>
      <w:r w:rsidR="00166D72" w:rsidRPr="009C0665">
        <w:rPr>
          <w:bCs/>
          <w:szCs w:val="22"/>
          <w:lang w:val="sr-Latn-ME"/>
        </w:rPr>
        <w:t>nedjelje</w:t>
      </w:r>
      <w:r w:rsidRPr="009C0665">
        <w:rPr>
          <w:bCs/>
          <w:szCs w:val="22"/>
          <w:lang w:val="sr-Latn-ME"/>
        </w:rPr>
        <w:t xml:space="preserve">, od pacijenata koji su </w:t>
      </w:r>
      <w:r w:rsidR="00B555A9" w:rsidRPr="009C0665">
        <w:rPr>
          <w:bCs/>
          <w:szCs w:val="22"/>
          <w:lang w:val="sr-Latn-ME"/>
        </w:rPr>
        <w:t xml:space="preserve">primali </w:t>
      </w:r>
      <w:r w:rsidRPr="009C0665">
        <w:rPr>
          <w:bCs/>
          <w:szCs w:val="22"/>
          <w:lang w:val="sr-Latn-ME"/>
        </w:rPr>
        <w:t>kortikosteroide i postigli klinički odgovor, tražilo se da počnu da smanjuju dozu kortikosteroida.</w:t>
      </w:r>
    </w:p>
    <w:p w14:paraId="0D2F3FEE" w14:textId="32FC3ABD" w:rsidR="00847271" w:rsidRPr="009C0665" w:rsidRDefault="00847271" w:rsidP="004C7864">
      <w:pPr>
        <w:pStyle w:val="Header"/>
        <w:tabs>
          <w:tab w:val="left" w:pos="284"/>
        </w:tabs>
        <w:rPr>
          <w:bCs/>
          <w:szCs w:val="22"/>
          <w:lang w:val="sr-Latn-ME"/>
        </w:rPr>
      </w:pPr>
      <w:r w:rsidRPr="009C0665">
        <w:rPr>
          <w:szCs w:val="22"/>
          <w:lang w:val="sr-Latn-ME"/>
        </w:rPr>
        <w:t xml:space="preserve">Primarni parametar </w:t>
      </w:r>
      <w:r w:rsidR="007F0450" w:rsidRPr="009C0665">
        <w:rPr>
          <w:szCs w:val="22"/>
          <w:lang w:val="sr-Latn-ME"/>
        </w:rPr>
        <w:t xml:space="preserve">praćenja </w:t>
      </w:r>
      <w:r w:rsidRPr="009C0665">
        <w:rPr>
          <w:szCs w:val="22"/>
          <w:lang w:val="sr-Latn-ME"/>
        </w:rPr>
        <w:t xml:space="preserve">efikasnosti </w:t>
      </w:r>
      <w:r w:rsidRPr="009C0665">
        <w:rPr>
          <w:bCs/>
          <w:szCs w:val="22"/>
          <w:lang w:val="sr-Latn-ME"/>
        </w:rPr>
        <w:t xml:space="preserve">bio je broj pacijenata u kliničkoj remisiji u 52.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. Tabela 3 prikazuje rezultate primarnih i sekundarnih parametara </w:t>
      </w:r>
      <w:r w:rsidR="007F0450" w:rsidRPr="009C0665">
        <w:rPr>
          <w:bCs/>
          <w:szCs w:val="22"/>
          <w:lang w:val="sr-Latn-ME"/>
        </w:rPr>
        <w:t xml:space="preserve">praćenja </w:t>
      </w:r>
      <w:r w:rsidRPr="009C0665">
        <w:rPr>
          <w:bCs/>
          <w:szCs w:val="22"/>
          <w:lang w:val="sr-Latn-ME"/>
        </w:rPr>
        <w:t>efikasnosti.</w:t>
      </w:r>
    </w:p>
    <w:p w14:paraId="68B43E2A" w14:textId="77777777" w:rsidR="00847271" w:rsidRPr="009C0665" w:rsidRDefault="00847271" w:rsidP="004C7864">
      <w:pPr>
        <w:pStyle w:val="Header"/>
        <w:tabs>
          <w:tab w:val="left" w:pos="284"/>
        </w:tabs>
        <w:rPr>
          <w:szCs w:val="22"/>
          <w:lang w:val="sr-Latn-M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2409"/>
        <w:gridCol w:w="1731"/>
      </w:tblGrid>
      <w:tr w:rsidR="00847271" w:rsidRPr="009C0665" w14:paraId="522F6B5B" w14:textId="77777777" w:rsidTr="00847271">
        <w:trPr>
          <w:trHeight w:val="147"/>
        </w:trPr>
        <w:tc>
          <w:tcPr>
            <w:tcW w:w="91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C1ADA4" w14:textId="40AF94BD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/>
                <w:bCs/>
                <w:szCs w:val="22"/>
                <w:lang w:val="sr-Latn-ME"/>
              </w:rPr>
              <w:t xml:space="preserve">Tabela 3. Rezultati efikasnosti u ispitivanju GEMINI </w:t>
            </w:r>
            <w:r w:rsidR="00C95E89" w:rsidRPr="009C0665">
              <w:rPr>
                <w:b/>
                <w:bCs/>
                <w:szCs w:val="22"/>
                <w:lang w:val="sr-Latn-ME"/>
              </w:rPr>
              <w:t xml:space="preserve">1 </w:t>
            </w:r>
            <w:r w:rsidRPr="009C0665">
              <w:rPr>
                <w:b/>
                <w:bCs/>
                <w:szCs w:val="22"/>
                <w:lang w:val="sr-Latn-ME"/>
              </w:rPr>
              <w:t xml:space="preserve">u 52. </w:t>
            </w:r>
            <w:r w:rsidR="00AB003D" w:rsidRPr="009C0665">
              <w:rPr>
                <w:b/>
                <w:bCs/>
                <w:szCs w:val="22"/>
                <w:lang w:val="sr-Latn-ME"/>
              </w:rPr>
              <w:t>nedjelji</w:t>
            </w:r>
            <w:r w:rsidRPr="009C0665">
              <w:rPr>
                <w:b/>
                <w:bCs/>
                <w:szCs w:val="22"/>
                <w:lang w:val="sr-Latn-ME"/>
              </w:rPr>
              <w:t xml:space="preserve"> </w:t>
            </w:r>
          </w:p>
        </w:tc>
      </w:tr>
      <w:tr w:rsidR="00847271" w:rsidRPr="009C0665" w14:paraId="4A3C262F" w14:textId="77777777" w:rsidTr="00847271">
        <w:trPr>
          <w:trHeight w:val="851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668CA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</w:p>
          <w:p w14:paraId="425EC1FC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</w:p>
          <w:p w14:paraId="4844A7A8" w14:textId="2152B5C3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Ishod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0A85C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</w:p>
          <w:p w14:paraId="21A77A1C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Placebo</w:t>
            </w:r>
          </w:p>
          <w:p w14:paraId="31044FDA" w14:textId="77777777" w:rsidR="00847271" w:rsidRPr="009C0665" w:rsidRDefault="00B1676E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n </w:t>
            </w:r>
            <w:r w:rsidR="00847271" w:rsidRPr="009C0665">
              <w:rPr>
                <w:bCs/>
                <w:szCs w:val="22"/>
                <w:lang w:val="sr-Latn-ME"/>
              </w:rPr>
              <w:t>= 126*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782335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Vedolizumab</w:t>
            </w:r>
            <w:r w:rsidR="00B555A9" w:rsidRPr="009C0665">
              <w:rPr>
                <w:bCs/>
                <w:szCs w:val="22"/>
                <w:lang w:val="sr-Latn-ME"/>
              </w:rPr>
              <w:t xml:space="preserve"> IV</w:t>
            </w:r>
          </w:p>
          <w:p w14:paraId="54EB66E5" w14:textId="4A49C42E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svakih 8 </w:t>
            </w:r>
            <w:r w:rsidR="00AB003D" w:rsidRPr="009C0665">
              <w:rPr>
                <w:bCs/>
                <w:szCs w:val="22"/>
                <w:lang w:val="sr-Latn-ME"/>
              </w:rPr>
              <w:t>nedjelja</w:t>
            </w:r>
          </w:p>
          <w:p w14:paraId="65D73355" w14:textId="77777777" w:rsidR="00847271" w:rsidRPr="009C0665" w:rsidRDefault="00B1676E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n </w:t>
            </w:r>
            <w:r w:rsidR="00847271" w:rsidRPr="009C0665">
              <w:rPr>
                <w:bCs/>
                <w:szCs w:val="22"/>
                <w:lang w:val="sr-Latn-ME"/>
              </w:rPr>
              <w:t>= 122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D94369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Vedolizumab</w:t>
            </w:r>
            <w:r w:rsidR="00B555A9" w:rsidRPr="009C0665">
              <w:rPr>
                <w:bCs/>
                <w:szCs w:val="22"/>
                <w:lang w:val="sr-Latn-ME"/>
              </w:rPr>
              <w:t xml:space="preserve"> IV</w:t>
            </w:r>
          </w:p>
          <w:p w14:paraId="28FBCC77" w14:textId="4D2803FB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svake 4 </w:t>
            </w:r>
            <w:r w:rsidR="00166D72" w:rsidRPr="009C0665">
              <w:rPr>
                <w:bCs/>
                <w:szCs w:val="22"/>
                <w:lang w:val="sr-Latn-ME"/>
              </w:rPr>
              <w:t>nedjelje</w:t>
            </w:r>
          </w:p>
          <w:p w14:paraId="5EDFC958" w14:textId="77777777" w:rsidR="00847271" w:rsidRPr="009C0665" w:rsidRDefault="00B1676E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n </w:t>
            </w:r>
            <w:r w:rsidR="00847271" w:rsidRPr="009C0665">
              <w:rPr>
                <w:bCs/>
                <w:szCs w:val="22"/>
                <w:lang w:val="sr-Latn-ME"/>
              </w:rPr>
              <w:t>= 125</w:t>
            </w:r>
          </w:p>
        </w:tc>
      </w:tr>
      <w:tr w:rsidR="00847271" w:rsidRPr="009C0665" w14:paraId="0FE3E58A" w14:textId="77777777" w:rsidTr="00847271">
        <w:trPr>
          <w:trHeight w:val="154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91C487" w14:textId="7D13AB5D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Klinička remisija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2D0E49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16%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89FCE9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42%†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B8355D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45%†</w:t>
            </w:r>
          </w:p>
        </w:tc>
      </w:tr>
      <w:tr w:rsidR="00847271" w:rsidRPr="009C0665" w14:paraId="664ECC4F" w14:textId="77777777" w:rsidTr="00847271">
        <w:trPr>
          <w:trHeight w:val="1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98DD0" w14:textId="76A21175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Trajni klinički odgovor</w:t>
            </w:r>
            <w:r w:rsidRPr="009C0665">
              <w:rPr>
                <w:szCs w:val="22"/>
                <w:vertAlign w:val="superscript"/>
                <w:lang w:val="sr-Latn-ME"/>
              </w:rPr>
              <w:t>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2449E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24%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F5C5B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57%†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6EBBF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52%†</w:t>
            </w:r>
          </w:p>
        </w:tc>
      </w:tr>
      <w:tr w:rsidR="00847271" w:rsidRPr="009C0665" w14:paraId="119A005C" w14:textId="77777777" w:rsidTr="00847271">
        <w:trPr>
          <w:trHeight w:val="1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00EF4D" w14:textId="11DA79B1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Za</w:t>
            </w:r>
            <w:r w:rsidR="00D26459" w:rsidRPr="009C0665">
              <w:rPr>
                <w:bCs/>
                <w:szCs w:val="22"/>
                <w:lang w:val="sr-Latn-ME"/>
              </w:rPr>
              <w:t>liječenje</w:t>
            </w:r>
            <w:r w:rsidRPr="009C0665">
              <w:rPr>
                <w:bCs/>
                <w:szCs w:val="22"/>
                <w:lang w:val="sr-Latn-ME"/>
              </w:rPr>
              <w:t xml:space="preserve"> sluzokože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95FCC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20%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CF4A4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52%†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12281F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56%†</w:t>
            </w:r>
          </w:p>
        </w:tc>
      </w:tr>
      <w:tr w:rsidR="00847271" w:rsidRPr="009C0665" w14:paraId="3FE41A92" w14:textId="77777777" w:rsidTr="00847271">
        <w:trPr>
          <w:trHeight w:val="1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0C8DC1" w14:textId="4284AD50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lastRenderedPageBreak/>
              <w:t>Trajna klinička remisija#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71820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9%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57CDB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20%§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A3D9B8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24%‡</w:t>
            </w:r>
          </w:p>
        </w:tc>
      </w:tr>
      <w:tr w:rsidR="00847271" w:rsidRPr="009C0665" w14:paraId="1756DADB" w14:textId="77777777" w:rsidTr="00847271">
        <w:trPr>
          <w:trHeight w:val="154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DC2BC1" w14:textId="76F9C0FB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Klinička remisija bez kortikosteroida♠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87675A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14%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94B22E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31%§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8430F5" w14:textId="77777777" w:rsidR="00847271" w:rsidRPr="009C0665" w:rsidRDefault="00847271" w:rsidP="004C7864">
            <w:pPr>
              <w:pStyle w:val="Header"/>
              <w:jc w:val="cent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45%†</w:t>
            </w:r>
          </w:p>
        </w:tc>
      </w:tr>
      <w:tr w:rsidR="00847271" w:rsidRPr="009C0665" w14:paraId="4861F6A8" w14:textId="77777777" w:rsidTr="00847271">
        <w:trPr>
          <w:trHeight w:val="1409"/>
        </w:trPr>
        <w:tc>
          <w:tcPr>
            <w:tcW w:w="91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16D1B5" w14:textId="69ED64FE" w:rsidR="00847271" w:rsidRPr="009C0665" w:rsidRDefault="00847271" w:rsidP="004C7864">
            <w:pPr>
              <w:pStyle w:val="Header"/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 xml:space="preserve">*Grupa koja je primala placebo uključuje one ispitanike koji su primali vedolizumab u 0. </w:t>
            </w:r>
            <w:r w:rsidR="00B555A9" w:rsidRPr="009C0665">
              <w:rPr>
                <w:szCs w:val="22"/>
                <w:lang w:val="sr-Latn-ME"/>
              </w:rPr>
              <w:t xml:space="preserve">i </w:t>
            </w:r>
            <w:r w:rsidRPr="009C0665">
              <w:rPr>
                <w:szCs w:val="22"/>
                <w:lang w:val="sr-Latn-ME"/>
              </w:rPr>
              <w:t xml:space="preserve">2. </w:t>
            </w:r>
            <w:r w:rsidR="00AB003D" w:rsidRPr="009C0665">
              <w:rPr>
                <w:szCs w:val="22"/>
                <w:lang w:val="sr-Latn-ME"/>
              </w:rPr>
              <w:t>nedjelji</w:t>
            </w:r>
            <w:r w:rsidRPr="009C0665">
              <w:rPr>
                <w:szCs w:val="22"/>
                <w:lang w:val="sr-Latn-ME"/>
              </w:rPr>
              <w:t xml:space="preserve"> </w:t>
            </w:r>
            <w:r w:rsidR="00B555A9" w:rsidRPr="009C0665">
              <w:rPr>
                <w:szCs w:val="22"/>
                <w:lang w:val="sr-Latn-ME"/>
              </w:rPr>
              <w:t>i</w:t>
            </w:r>
            <w:r w:rsidRPr="009C0665">
              <w:rPr>
                <w:szCs w:val="22"/>
                <w:lang w:val="sr-Latn-ME"/>
              </w:rPr>
              <w:t xml:space="preserve"> bili</w:t>
            </w:r>
            <w:r w:rsidR="00B555A9" w:rsidRPr="009C0665">
              <w:rPr>
                <w:szCs w:val="22"/>
                <w:lang w:val="sr-Latn-ME"/>
              </w:rPr>
              <w:t xml:space="preserve"> su</w:t>
            </w:r>
            <w:r w:rsidRPr="009C0665">
              <w:rPr>
                <w:szCs w:val="22"/>
                <w:lang w:val="sr-Latn-ME"/>
              </w:rPr>
              <w:t xml:space="preserve"> randomizovani da primaju placebo od 6. do 52. </w:t>
            </w:r>
            <w:r w:rsidR="00166D72" w:rsidRPr="009C0665">
              <w:rPr>
                <w:szCs w:val="22"/>
                <w:lang w:val="sr-Latn-ME"/>
              </w:rPr>
              <w:t>nedjelje</w:t>
            </w:r>
            <w:r w:rsidRPr="009C0665">
              <w:rPr>
                <w:szCs w:val="22"/>
                <w:lang w:val="sr-Latn-ME"/>
              </w:rPr>
              <w:t>.</w:t>
            </w:r>
          </w:p>
          <w:p w14:paraId="5877F7E6" w14:textId="77777777" w:rsidR="00847271" w:rsidRPr="009C0665" w:rsidRDefault="00847271" w:rsidP="004C7864">
            <w:pPr>
              <w:pStyle w:val="Header"/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>†p&lt;0,0001</w:t>
            </w:r>
          </w:p>
          <w:p w14:paraId="0D6E292B" w14:textId="77777777" w:rsidR="00847271" w:rsidRPr="009C0665" w:rsidRDefault="00847271" w:rsidP="004C7864">
            <w:pPr>
              <w:pStyle w:val="Header"/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>‡p&lt;0,001</w:t>
            </w:r>
          </w:p>
          <w:p w14:paraId="562E1EB3" w14:textId="77777777" w:rsidR="00847271" w:rsidRPr="009C0665" w:rsidRDefault="00847271" w:rsidP="004C7864">
            <w:pPr>
              <w:pStyle w:val="Header"/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>§p&lt;0,05</w:t>
            </w:r>
          </w:p>
          <w:p w14:paraId="425CAF30" w14:textId="66A20B90" w:rsidR="00847271" w:rsidRPr="009C0665" w:rsidRDefault="00847271" w:rsidP="004C7864">
            <w:pPr>
              <w:pStyle w:val="Header"/>
              <w:rPr>
                <w:szCs w:val="22"/>
                <w:lang w:val="sr-Latn-ME"/>
              </w:rPr>
            </w:pPr>
            <w:r w:rsidRPr="009C0665">
              <w:rPr>
                <w:szCs w:val="22"/>
                <w:vertAlign w:val="superscript"/>
                <w:lang w:val="sr-Latn-ME"/>
              </w:rPr>
              <w:t>¶</w:t>
            </w:r>
            <w:r w:rsidRPr="009C0665">
              <w:rPr>
                <w:szCs w:val="22"/>
                <w:lang w:val="sr-Latn-ME"/>
              </w:rPr>
              <w:t xml:space="preserve">Trajni klinički odgovor: klinički odgovor u </w:t>
            </w:r>
            <w:r w:rsidR="00AB003D" w:rsidRPr="009C0665">
              <w:rPr>
                <w:szCs w:val="22"/>
                <w:lang w:val="sr-Latn-ME"/>
              </w:rPr>
              <w:t>nedjelja</w:t>
            </w:r>
            <w:r w:rsidRPr="009C0665">
              <w:rPr>
                <w:szCs w:val="22"/>
                <w:lang w:val="sr-Latn-ME"/>
              </w:rPr>
              <w:t>ma 6</w:t>
            </w:r>
            <w:r w:rsidR="007A6344" w:rsidRPr="009C0665">
              <w:rPr>
                <w:szCs w:val="22"/>
                <w:lang w:val="sr-Latn-ME"/>
              </w:rPr>
              <w:t>.</w:t>
            </w:r>
            <w:r w:rsidRPr="009C0665">
              <w:rPr>
                <w:szCs w:val="22"/>
                <w:lang w:val="sr-Latn-ME"/>
              </w:rPr>
              <w:t xml:space="preserve"> i 52</w:t>
            </w:r>
            <w:r w:rsidR="007A6344" w:rsidRPr="009C0665">
              <w:rPr>
                <w:szCs w:val="22"/>
                <w:lang w:val="sr-Latn-ME"/>
              </w:rPr>
              <w:t>.</w:t>
            </w:r>
          </w:p>
          <w:p w14:paraId="78B9AF6F" w14:textId="02AC1B87" w:rsidR="00847271" w:rsidRPr="009C0665" w:rsidRDefault="00847271" w:rsidP="004C7864">
            <w:pPr>
              <w:pStyle w:val="Header"/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 xml:space="preserve">#Trajna klinička remisija: klinička remisija u </w:t>
            </w:r>
            <w:r w:rsidR="00AB003D" w:rsidRPr="009C0665">
              <w:rPr>
                <w:szCs w:val="22"/>
                <w:lang w:val="sr-Latn-ME"/>
              </w:rPr>
              <w:t>nedjelja</w:t>
            </w:r>
            <w:r w:rsidRPr="009C0665">
              <w:rPr>
                <w:szCs w:val="22"/>
                <w:lang w:val="sr-Latn-ME"/>
              </w:rPr>
              <w:t>ma 6</w:t>
            </w:r>
            <w:r w:rsidR="007A6344" w:rsidRPr="009C0665">
              <w:rPr>
                <w:szCs w:val="22"/>
                <w:lang w:val="sr-Latn-ME"/>
              </w:rPr>
              <w:t>.</w:t>
            </w:r>
            <w:r w:rsidRPr="009C0665">
              <w:rPr>
                <w:szCs w:val="22"/>
                <w:lang w:val="sr-Latn-ME"/>
              </w:rPr>
              <w:t xml:space="preserve"> i 52</w:t>
            </w:r>
            <w:r w:rsidR="007A6344" w:rsidRPr="009C0665">
              <w:rPr>
                <w:szCs w:val="22"/>
                <w:lang w:val="sr-Latn-ME"/>
              </w:rPr>
              <w:t>.</w:t>
            </w:r>
          </w:p>
          <w:p w14:paraId="3EBA5D8D" w14:textId="77777777" w:rsidR="00847271" w:rsidRPr="009C0665" w:rsidRDefault="00847271" w:rsidP="004C7864">
            <w:pPr>
              <w:pStyle w:val="Header"/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 xml:space="preserve">♠Klinička remisija bez kortikosteroida: Pacijenti koji su </w:t>
            </w:r>
            <w:r w:rsidR="0059269C" w:rsidRPr="009C0665">
              <w:rPr>
                <w:szCs w:val="22"/>
                <w:lang w:val="sr-Latn-ME"/>
              </w:rPr>
              <w:t>na početku</w:t>
            </w:r>
            <w:r w:rsidRPr="009C0665">
              <w:rPr>
                <w:szCs w:val="22"/>
                <w:lang w:val="sr-Latn-ME"/>
              </w:rPr>
              <w:t xml:space="preserve"> ispitivanj</w:t>
            </w:r>
            <w:r w:rsidR="0059269C" w:rsidRPr="009C0665">
              <w:rPr>
                <w:szCs w:val="22"/>
                <w:lang w:val="sr-Latn-ME"/>
              </w:rPr>
              <w:t xml:space="preserve">a </w:t>
            </w:r>
            <w:r w:rsidRPr="009C0665">
              <w:rPr>
                <w:szCs w:val="22"/>
                <w:lang w:val="sr-Latn-ME"/>
              </w:rPr>
              <w:t xml:space="preserve">koristili oralne kortikosteroide i počevši od 6. </w:t>
            </w:r>
            <w:r w:rsidR="00166D72" w:rsidRPr="009C0665">
              <w:rPr>
                <w:szCs w:val="22"/>
                <w:lang w:val="sr-Latn-ME"/>
              </w:rPr>
              <w:t>nedjelje</w:t>
            </w:r>
            <w:r w:rsidRPr="009C0665">
              <w:rPr>
                <w:szCs w:val="22"/>
                <w:lang w:val="sr-Latn-ME"/>
              </w:rPr>
              <w:t xml:space="preserve"> prekinuli njihovo uzimanje i bili su u kliničkoj remisiji u 52. </w:t>
            </w:r>
            <w:r w:rsidR="00AB003D" w:rsidRPr="009C0665">
              <w:rPr>
                <w:szCs w:val="22"/>
                <w:lang w:val="sr-Latn-ME"/>
              </w:rPr>
              <w:t>nedjelji</w:t>
            </w:r>
            <w:r w:rsidRPr="009C0665">
              <w:rPr>
                <w:szCs w:val="22"/>
                <w:lang w:val="sr-Latn-ME"/>
              </w:rPr>
              <w:t>. Broj pacijenata bio je n</w:t>
            </w:r>
            <w:r w:rsidR="00CD01ED" w:rsidRPr="009C0665">
              <w:rPr>
                <w:szCs w:val="22"/>
                <w:lang w:val="sr-Latn-ME"/>
              </w:rPr>
              <w:t xml:space="preserve"> </w:t>
            </w:r>
            <w:r w:rsidRPr="009C0665">
              <w:rPr>
                <w:szCs w:val="22"/>
                <w:lang w:val="sr-Latn-ME"/>
              </w:rPr>
              <w:t>=</w:t>
            </w:r>
            <w:r w:rsidR="00CD01ED" w:rsidRPr="009C0665">
              <w:rPr>
                <w:szCs w:val="22"/>
                <w:lang w:val="sr-Latn-ME"/>
              </w:rPr>
              <w:t xml:space="preserve"> </w:t>
            </w:r>
            <w:r w:rsidRPr="009C0665">
              <w:rPr>
                <w:szCs w:val="22"/>
                <w:lang w:val="sr-Latn-ME"/>
              </w:rPr>
              <w:t>72 za placebo, n</w:t>
            </w:r>
            <w:r w:rsidR="00CD01ED" w:rsidRPr="009C0665">
              <w:rPr>
                <w:szCs w:val="22"/>
                <w:lang w:val="sr-Latn-ME"/>
              </w:rPr>
              <w:t xml:space="preserve"> </w:t>
            </w:r>
            <w:r w:rsidRPr="009C0665">
              <w:rPr>
                <w:szCs w:val="22"/>
                <w:lang w:val="sr-Latn-ME"/>
              </w:rPr>
              <w:t>= 70 za vedolizumab svak</w:t>
            </w:r>
            <w:r w:rsidR="0059269C" w:rsidRPr="009C0665">
              <w:rPr>
                <w:szCs w:val="22"/>
                <w:lang w:val="sr-Latn-ME"/>
              </w:rPr>
              <w:t>ih</w:t>
            </w:r>
            <w:r w:rsidRPr="009C0665">
              <w:rPr>
                <w:szCs w:val="22"/>
                <w:lang w:val="sr-Latn-ME"/>
              </w:rPr>
              <w:t xml:space="preserve"> </w:t>
            </w:r>
            <w:r w:rsidR="0059269C" w:rsidRPr="009C0665">
              <w:rPr>
                <w:szCs w:val="22"/>
                <w:lang w:val="sr-Latn-ME"/>
              </w:rPr>
              <w:t>8</w:t>
            </w:r>
            <w:r w:rsidRPr="009C0665">
              <w:rPr>
                <w:szCs w:val="22"/>
                <w:lang w:val="sr-Latn-ME"/>
              </w:rPr>
              <w:t xml:space="preserve"> </w:t>
            </w:r>
            <w:r w:rsidR="00AB003D" w:rsidRPr="009C0665">
              <w:rPr>
                <w:szCs w:val="22"/>
                <w:lang w:val="sr-Latn-ME"/>
              </w:rPr>
              <w:t>nedjelja</w:t>
            </w:r>
            <w:r w:rsidRPr="009C0665">
              <w:rPr>
                <w:szCs w:val="22"/>
                <w:lang w:val="sr-Latn-ME"/>
              </w:rPr>
              <w:t xml:space="preserve"> i n</w:t>
            </w:r>
            <w:r w:rsidR="00CD01ED" w:rsidRPr="009C0665">
              <w:rPr>
                <w:szCs w:val="22"/>
                <w:lang w:val="sr-Latn-ME"/>
              </w:rPr>
              <w:t xml:space="preserve"> </w:t>
            </w:r>
            <w:r w:rsidRPr="009C0665">
              <w:rPr>
                <w:szCs w:val="22"/>
                <w:lang w:val="sr-Latn-ME"/>
              </w:rPr>
              <w:t>=</w:t>
            </w:r>
            <w:r w:rsidR="00CD01ED" w:rsidRPr="009C0665">
              <w:rPr>
                <w:szCs w:val="22"/>
                <w:lang w:val="sr-Latn-ME"/>
              </w:rPr>
              <w:t xml:space="preserve"> </w:t>
            </w:r>
            <w:r w:rsidRPr="009C0665">
              <w:rPr>
                <w:szCs w:val="22"/>
                <w:lang w:val="sr-Latn-ME"/>
              </w:rPr>
              <w:t>73 za vedolizumab svak</w:t>
            </w:r>
            <w:r w:rsidR="0059269C" w:rsidRPr="009C0665">
              <w:rPr>
                <w:szCs w:val="22"/>
                <w:lang w:val="sr-Latn-ME"/>
              </w:rPr>
              <w:t>ih</w:t>
            </w:r>
            <w:r w:rsidRPr="009C0665">
              <w:rPr>
                <w:szCs w:val="22"/>
                <w:lang w:val="sr-Latn-ME"/>
              </w:rPr>
              <w:t xml:space="preserve"> </w:t>
            </w:r>
            <w:r w:rsidR="0059269C" w:rsidRPr="009C0665">
              <w:rPr>
                <w:szCs w:val="22"/>
                <w:lang w:val="sr-Latn-ME"/>
              </w:rPr>
              <w:t>4</w:t>
            </w:r>
            <w:r w:rsidRPr="009C0665">
              <w:rPr>
                <w:szCs w:val="22"/>
                <w:lang w:val="sr-Latn-ME"/>
              </w:rPr>
              <w:t xml:space="preserve"> </w:t>
            </w:r>
            <w:r w:rsidR="00AB003D" w:rsidRPr="009C0665">
              <w:rPr>
                <w:szCs w:val="22"/>
                <w:lang w:val="sr-Latn-ME"/>
              </w:rPr>
              <w:t>nedjelja</w:t>
            </w:r>
            <w:r w:rsidRPr="009C0665">
              <w:rPr>
                <w:szCs w:val="22"/>
                <w:lang w:val="sr-Latn-ME"/>
              </w:rPr>
              <w:t>.</w:t>
            </w:r>
          </w:p>
          <w:p w14:paraId="068C1DDA" w14:textId="5670C174" w:rsidR="007F0450" w:rsidRPr="009C0665" w:rsidRDefault="007F0450" w:rsidP="004C7864">
            <w:pPr>
              <w:pStyle w:val="Header"/>
              <w:rPr>
                <w:bCs/>
                <w:szCs w:val="22"/>
                <w:lang w:val="sr-Latn-ME"/>
              </w:rPr>
            </w:pPr>
          </w:p>
        </w:tc>
      </w:tr>
    </w:tbl>
    <w:p w14:paraId="7140694A" w14:textId="41C5929B" w:rsidR="00847271" w:rsidRPr="009C0665" w:rsidRDefault="00847271" w:rsidP="004C7864">
      <w:pPr>
        <w:pStyle w:val="Header"/>
        <w:rPr>
          <w:bCs/>
          <w:szCs w:val="22"/>
          <w:lang w:val="sr-Latn-ME"/>
        </w:rPr>
      </w:pPr>
      <w:r w:rsidRPr="009C0665">
        <w:rPr>
          <w:bCs/>
          <w:szCs w:val="22"/>
          <w:lang w:val="sr-Latn-ME"/>
        </w:rPr>
        <w:t>Eksplorat</w:t>
      </w:r>
      <w:r w:rsidR="0059269C" w:rsidRPr="009C0665">
        <w:rPr>
          <w:bCs/>
          <w:szCs w:val="22"/>
          <w:lang w:val="sr-Latn-ME"/>
        </w:rPr>
        <w:t>orne</w:t>
      </w:r>
      <w:r w:rsidRPr="009C0665">
        <w:rPr>
          <w:bCs/>
          <w:szCs w:val="22"/>
          <w:lang w:val="sr-Latn-ME"/>
        </w:rPr>
        <w:t xml:space="preserve"> analize daju dodatne podatke o ključnim ispitivanim subpopulacijama. Približno jedna trećina pacijenata nije odgovorila na prethodno </w:t>
      </w:r>
      <w:r w:rsidR="00D26459" w:rsidRPr="009C0665">
        <w:rPr>
          <w:bCs/>
          <w:szCs w:val="22"/>
          <w:lang w:val="sr-Latn-ME"/>
        </w:rPr>
        <w:t>liječenje</w:t>
      </w:r>
      <w:r w:rsidRPr="009C0665">
        <w:rPr>
          <w:bCs/>
          <w:szCs w:val="22"/>
          <w:lang w:val="sr-Latn-ME"/>
        </w:rPr>
        <w:t xml:space="preserve"> antagonistom TNF</w:t>
      </w:r>
      <w:r w:rsidR="0047181E" w:rsidRPr="009C0665">
        <w:rPr>
          <w:bCs/>
          <w:szCs w:val="22"/>
          <w:lang w:val="sr-Latn-ME"/>
        </w:rPr>
        <w:t>-</w:t>
      </w:r>
      <w:r w:rsidR="0059269C" w:rsidRPr="009C0665">
        <w:rPr>
          <w:bCs/>
          <w:szCs w:val="22"/>
          <w:lang w:val="sr-Latn-ME"/>
        </w:rPr>
        <w:t>alfa</w:t>
      </w:r>
      <w:r w:rsidRPr="009C0665">
        <w:rPr>
          <w:bCs/>
          <w:szCs w:val="22"/>
          <w:lang w:val="sr-Latn-ME"/>
        </w:rPr>
        <w:t>. Od tih pacijenata, 37% onih koji su primali vedolizumab svak</w:t>
      </w:r>
      <w:r w:rsidR="0059269C" w:rsidRPr="009C0665">
        <w:rPr>
          <w:bCs/>
          <w:szCs w:val="22"/>
          <w:lang w:val="sr-Latn-ME"/>
        </w:rPr>
        <w:t>ih</w:t>
      </w:r>
      <w:r w:rsidRPr="009C0665">
        <w:rPr>
          <w:bCs/>
          <w:szCs w:val="22"/>
          <w:lang w:val="sr-Latn-ME"/>
        </w:rPr>
        <w:t xml:space="preserve"> </w:t>
      </w:r>
      <w:r w:rsidR="00C95E89" w:rsidRPr="009C0665">
        <w:rPr>
          <w:bCs/>
          <w:szCs w:val="22"/>
          <w:lang w:val="sr-Latn-ME"/>
        </w:rPr>
        <w:t xml:space="preserve">8 </w:t>
      </w:r>
      <w:r w:rsidR="00AB003D" w:rsidRPr="009C0665">
        <w:rPr>
          <w:bCs/>
          <w:szCs w:val="22"/>
          <w:lang w:val="sr-Latn-ME"/>
        </w:rPr>
        <w:t>nedjelja</w:t>
      </w:r>
      <w:r w:rsidRPr="009C0665">
        <w:rPr>
          <w:bCs/>
          <w:szCs w:val="22"/>
          <w:lang w:val="sr-Latn-ME"/>
        </w:rPr>
        <w:t xml:space="preserve">, 35% onih koji su primali vedolizumab svake </w:t>
      </w:r>
      <w:r w:rsidR="00C95E89" w:rsidRPr="009C0665">
        <w:rPr>
          <w:bCs/>
          <w:szCs w:val="22"/>
          <w:lang w:val="sr-Latn-ME"/>
        </w:rPr>
        <w:t>4</w:t>
      </w:r>
      <w:r w:rsidRPr="009C0665">
        <w:rPr>
          <w:bCs/>
          <w:szCs w:val="22"/>
          <w:lang w:val="sr-Latn-ME"/>
        </w:rPr>
        <w:t xml:space="preserve"> </w:t>
      </w:r>
      <w:r w:rsidR="00166D72" w:rsidRPr="009C0665">
        <w:rPr>
          <w:bCs/>
          <w:szCs w:val="22"/>
          <w:lang w:val="sr-Latn-ME"/>
        </w:rPr>
        <w:t>nedjelje</w:t>
      </w:r>
      <w:r w:rsidRPr="009C0665">
        <w:rPr>
          <w:bCs/>
          <w:szCs w:val="22"/>
          <w:lang w:val="sr-Latn-ME"/>
        </w:rPr>
        <w:t xml:space="preserve"> i 5% onih koji su primali placebo postiglo je kliničku remisiju u 52.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>. Kod pacijenata koji prethodno ni</w:t>
      </w:r>
      <w:r w:rsidR="00B24F93" w:rsidRPr="009C0665">
        <w:rPr>
          <w:bCs/>
          <w:szCs w:val="22"/>
          <w:lang w:val="sr-Latn-ME"/>
        </w:rPr>
        <w:t>je</w:t>
      </w:r>
      <w:r w:rsidRPr="009C0665">
        <w:rPr>
          <w:bCs/>
          <w:szCs w:val="22"/>
          <w:lang w:val="sr-Latn-ME"/>
        </w:rPr>
        <w:t xml:space="preserve">su </w:t>
      </w:r>
      <w:r w:rsidR="007A6344" w:rsidRPr="009C0665">
        <w:rPr>
          <w:bCs/>
          <w:szCs w:val="22"/>
          <w:lang w:val="sr-Latn-ME"/>
        </w:rPr>
        <w:t xml:space="preserve">postigli terapijski </w:t>
      </w:r>
      <w:r w:rsidRPr="009C0665">
        <w:rPr>
          <w:bCs/>
          <w:szCs w:val="22"/>
          <w:lang w:val="sr-Latn-ME"/>
        </w:rPr>
        <w:t xml:space="preserve">odgovor na </w:t>
      </w:r>
      <w:r w:rsidR="00D26459" w:rsidRPr="009C0665">
        <w:rPr>
          <w:bCs/>
          <w:szCs w:val="22"/>
          <w:lang w:val="sr-Latn-ME"/>
        </w:rPr>
        <w:t>liječenje</w:t>
      </w:r>
      <w:r w:rsidRPr="009C0665">
        <w:rPr>
          <w:bCs/>
          <w:szCs w:val="22"/>
          <w:lang w:val="sr-Latn-ME"/>
        </w:rPr>
        <w:t xml:space="preserve"> antagonistom TNF</w:t>
      </w:r>
      <w:r w:rsidR="0047181E" w:rsidRPr="009C0665">
        <w:rPr>
          <w:bCs/>
          <w:szCs w:val="22"/>
          <w:lang w:val="sr-Latn-ME"/>
        </w:rPr>
        <w:t>-</w:t>
      </w:r>
      <w:r w:rsidR="007A6344" w:rsidRPr="009C0665">
        <w:rPr>
          <w:bCs/>
          <w:szCs w:val="22"/>
          <w:lang w:val="sr-Latn-ME"/>
        </w:rPr>
        <w:t>alfa</w:t>
      </w:r>
      <w:r w:rsidRPr="009C0665">
        <w:rPr>
          <w:bCs/>
          <w:szCs w:val="22"/>
          <w:lang w:val="sr-Latn-ME"/>
        </w:rPr>
        <w:t xml:space="preserve"> uočeno je, u grupi koja je primala vedolizumab svak</w:t>
      </w:r>
      <w:r w:rsidR="007A6344" w:rsidRPr="009C0665">
        <w:rPr>
          <w:bCs/>
          <w:szCs w:val="22"/>
          <w:lang w:val="sr-Latn-ME"/>
        </w:rPr>
        <w:t>ih</w:t>
      </w:r>
      <w:r w:rsidRPr="009C0665">
        <w:rPr>
          <w:bCs/>
          <w:szCs w:val="22"/>
          <w:lang w:val="sr-Latn-ME"/>
        </w:rPr>
        <w:t xml:space="preserve"> </w:t>
      </w:r>
      <w:r w:rsidR="00C95E89" w:rsidRPr="009C0665">
        <w:rPr>
          <w:bCs/>
          <w:szCs w:val="22"/>
          <w:lang w:val="sr-Latn-ME"/>
        </w:rPr>
        <w:t xml:space="preserve">8 </w:t>
      </w:r>
      <w:r w:rsidR="00AB003D" w:rsidRPr="009C0665">
        <w:rPr>
          <w:bCs/>
          <w:szCs w:val="22"/>
          <w:lang w:val="sr-Latn-ME"/>
        </w:rPr>
        <w:t>nedjelja</w:t>
      </w:r>
      <w:r w:rsidRPr="009C0665">
        <w:rPr>
          <w:bCs/>
          <w:szCs w:val="22"/>
          <w:lang w:val="sr-Latn-ME"/>
        </w:rPr>
        <w:t>, vedolizumab svak</w:t>
      </w:r>
      <w:r w:rsidR="00E17A06" w:rsidRPr="009C0665">
        <w:rPr>
          <w:bCs/>
          <w:szCs w:val="22"/>
          <w:lang w:val="sr-Latn-ME"/>
        </w:rPr>
        <w:t>ih</w:t>
      </w:r>
      <w:r w:rsidRPr="009C0665">
        <w:rPr>
          <w:bCs/>
          <w:szCs w:val="22"/>
          <w:lang w:val="sr-Latn-ME"/>
        </w:rPr>
        <w:t xml:space="preserve"> </w:t>
      </w:r>
      <w:r w:rsidR="00C95E89" w:rsidRPr="009C0665">
        <w:rPr>
          <w:bCs/>
          <w:szCs w:val="22"/>
          <w:lang w:val="sr-Latn-ME"/>
        </w:rPr>
        <w:t xml:space="preserve">4 </w:t>
      </w:r>
      <w:r w:rsidR="00AB003D" w:rsidRPr="009C0665">
        <w:rPr>
          <w:bCs/>
          <w:szCs w:val="22"/>
          <w:lang w:val="sr-Latn-ME"/>
        </w:rPr>
        <w:t>nedjelja</w:t>
      </w:r>
      <w:r w:rsidRPr="009C0665">
        <w:rPr>
          <w:bCs/>
          <w:szCs w:val="22"/>
          <w:lang w:val="sr-Latn-ME"/>
        </w:rPr>
        <w:t xml:space="preserve"> odnosno placebo svak</w:t>
      </w:r>
      <w:r w:rsidR="00E17A06" w:rsidRPr="009C0665">
        <w:rPr>
          <w:bCs/>
          <w:szCs w:val="22"/>
          <w:lang w:val="sr-Latn-ME"/>
        </w:rPr>
        <w:t>ih</w:t>
      </w:r>
      <w:r w:rsidRPr="009C0665">
        <w:rPr>
          <w:bCs/>
          <w:szCs w:val="22"/>
          <w:lang w:val="sr-Latn-ME"/>
        </w:rPr>
        <w:t xml:space="preserve"> </w:t>
      </w:r>
      <w:r w:rsidR="00C95E89" w:rsidRPr="009C0665">
        <w:rPr>
          <w:bCs/>
          <w:szCs w:val="22"/>
          <w:lang w:val="sr-Latn-ME"/>
        </w:rPr>
        <w:t>4</w:t>
      </w:r>
      <w:r w:rsidRPr="009C0665">
        <w:rPr>
          <w:bCs/>
          <w:szCs w:val="22"/>
          <w:lang w:val="sr-Latn-ME"/>
        </w:rPr>
        <w:t xml:space="preserve"> </w:t>
      </w:r>
      <w:r w:rsidR="00AB003D" w:rsidRPr="009C0665">
        <w:rPr>
          <w:bCs/>
          <w:szCs w:val="22"/>
          <w:lang w:val="sr-Latn-ME"/>
        </w:rPr>
        <w:t>nedjelja</w:t>
      </w:r>
      <w:r w:rsidRPr="009C0665">
        <w:rPr>
          <w:bCs/>
          <w:szCs w:val="22"/>
          <w:lang w:val="sr-Latn-ME"/>
        </w:rPr>
        <w:t>, poboljšanje u trajnom kliničkom odgovoru (47%, 43%, 16%), zal</w:t>
      </w:r>
      <w:r w:rsidR="00A63489" w:rsidRPr="009C0665">
        <w:rPr>
          <w:bCs/>
          <w:szCs w:val="22"/>
          <w:lang w:val="sr-Latn-ME"/>
        </w:rPr>
        <w:t>j</w:t>
      </w:r>
      <w:r w:rsidRPr="009C0665">
        <w:rPr>
          <w:bCs/>
          <w:szCs w:val="22"/>
          <w:lang w:val="sr-Latn-ME"/>
        </w:rPr>
        <w:t>ečenju sluzokože (42%, 48%, 8%), trajnoj kliničkoj remisiji (21%, 13%, 3%) i kliničkoj remisiji bez kortikosteroida (23%, 32%, 4%).</w:t>
      </w:r>
    </w:p>
    <w:p w14:paraId="4F14290E" w14:textId="77777777" w:rsidR="00847271" w:rsidRPr="009C0665" w:rsidRDefault="00847271" w:rsidP="004C7864">
      <w:pPr>
        <w:pStyle w:val="Header"/>
        <w:rPr>
          <w:bCs/>
          <w:szCs w:val="22"/>
          <w:lang w:val="sr-Latn-ME"/>
        </w:rPr>
      </w:pPr>
    </w:p>
    <w:p w14:paraId="5377CA96" w14:textId="684093FD" w:rsidR="00847271" w:rsidRPr="009C0665" w:rsidRDefault="00847271" w:rsidP="004C7864">
      <w:pPr>
        <w:pStyle w:val="Header"/>
        <w:rPr>
          <w:bCs/>
          <w:szCs w:val="22"/>
          <w:lang w:val="sr-Latn-ME"/>
        </w:rPr>
      </w:pPr>
      <w:r w:rsidRPr="009C0665">
        <w:rPr>
          <w:bCs/>
          <w:szCs w:val="22"/>
          <w:lang w:val="sr-Latn-ME"/>
        </w:rPr>
        <w:t xml:space="preserve">Pacijenti kod kojih nije postignut odgovor na </w:t>
      </w:r>
      <w:r w:rsidR="00D26459" w:rsidRPr="009C0665">
        <w:rPr>
          <w:bCs/>
          <w:szCs w:val="22"/>
          <w:lang w:val="sr-Latn-ME"/>
        </w:rPr>
        <w:t>liječenje</w:t>
      </w:r>
      <w:r w:rsidRPr="009C0665">
        <w:rPr>
          <w:bCs/>
          <w:szCs w:val="22"/>
          <w:lang w:val="sr-Latn-ME"/>
        </w:rPr>
        <w:t xml:space="preserve"> u 6.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 nastavili su ispitivanje, pa su primali vedolizumab svake </w:t>
      </w:r>
      <w:r w:rsidR="00C95E89" w:rsidRPr="009C0665">
        <w:rPr>
          <w:bCs/>
          <w:szCs w:val="22"/>
          <w:lang w:val="sr-Latn-ME"/>
        </w:rPr>
        <w:t xml:space="preserve">4. </w:t>
      </w:r>
      <w:r w:rsidR="00166D72" w:rsidRPr="009C0665">
        <w:rPr>
          <w:bCs/>
          <w:szCs w:val="22"/>
          <w:lang w:val="sr-Latn-ME"/>
        </w:rPr>
        <w:t>nedjelje</w:t>
      </w:r>
      <w:r w:rsidRPr="009C0665">
        <w:rPr>
          <w:bCs/>
          <w:szCs w:val="22"/>
          <w:lang w:val="sr-Latn-ME"/>
        </w:rPr>
        <w:t>. Klinički odgovor na osnovu d</w:t>
      </w:r>
      <w:r w:rsidR="00A63489" w:rsidRPr="009C0665">
        <w:rPr>
          <w:bCs/>
          <w:szCs w:val="22"/>
          <w:lang w:val="sr-Latn-ME"/>
        </w:rPr>
        <w:t>j</w:t>
      </w:r>
      <w:r w:rsidRPr="009C0665">
        <w:rPr>
          <w:bCs/>
          <w:szCs w:val="22"/>
          <w:lang w:val="sr-Latn-ME"/>
        </w:rPr>
        <w:t>elimičn</w:t>
      </w:r>
      <w:r w:rsidR="00B24F93" w:rsidRPr="009C0665">
        <w:rPr>
          <w:bCs/>
          <w:szCs w:val="22"/>
          <w:lang w:val="sr-Latn-ME"/>
        </w:rPr>
        <w:t>og</w:t>
      </w:r>
      <w:r w:rsidRPr="009C0665">
        <w:rPr>
          <w:bCs/>
          <w:szCs w:val="22"/>
          <w:lang w:val="sr-Latn-ME"/>
        </w:rPr>
        <w:t xml:space="preserve"> Mayo </w:t>
      </w:r>
      <w:r w:rsidR="00E17A06" w:rsidRPr="009C0665">
        <w:rPr>
          <w:bCs/>
          <w:szCs w:val="22"/>
          <w:lang w:val="sr-Latn-ME"/>
        </w:rPr>
        <w:t xml:space="preserve">skora </w:t>
      </w:r>
      <w:r w:rsidRPr="009C0665">
        <w:rPr>
          <w:bCs/>
          <w:szCs w:val="22"/>
          <w:lang w:val="sr-Latn-ME"/>
        </w:rPr>
        <w:t xml:space="preserve">postignut je u 10. i 14.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 kod većeg </w:t>
      </w:r>
      <w:r w:rsidR="00E17A06" w:rsidRPr="009C0665">
        <w:rPr>
          <w:bCs/>
          <w:szCs w:val="22"/>
          <w:lang w:val="sr-Latn-ME"/>
        </w:rPr>
        <w:t>ud</w:t>
      </w:r>
      <w:r w:rsidR="00B24F93" w:rsidRPr="009C0665">
        <w:rPr>
          <w:bCs/>
          <w:szCs w:val="22"/>
          <w:lang w:val="sr-Latn-ME"/>
        </w:rPr>
        <w:t>j</w:t>
      </w:r>
      <w:r w:rsidR="00E17A06" w:rsidRPr="009C0665">
        <w:rPr>
          <w:bCs/>
          <w:szCs w:val="22"/>
          <w:lang w:val="sr-Latn-ME"/>
        </w:rPr>
        <w:t xml:space="preserve">ela </w:t>
      </w:r>
      <w:r w:rsidRPr="009C0665">
        <w:rPr>
          <w:bCs/>
          <w:szCs w:val="22"/>
          <w:lang w:val="sr-Latn-ME"/>
        </w:rPr>
        <w:t xml:space="preserve">pacijenata </w:t>
      </w:r>
      <w:r w:rsidR="00A63489" w:rsidRPr="009C0665">
        <w:rPr>
          <w:bCs/>
          <w:szCs w:val="22"/>
          <w:lang w:val="sr-Latn-ME"/>
        </w:rPr>
        <w:t>liječeni</w:t>
      </w:r>
      <w:r w:rsidRPr="009C0665">
        <w:rPr>
          <w:bCs/>
          <w:szCs w:val="22"/>
          <w:lang w:val="sr-Latn-ME"/>
        </w:rPr>
        <w:t>h vedolizumabom (32% odnosno 39%) u odnosu na pacijente koji su primali placebo (15% odnosno 21%).</w:t>
      </w:r>
    </w:p>
    <w:p w14:paraId="35A3C7CA" w14:textId="77777777" w:rsidR="00847271" w:rsidRPr="009C0665" w:rsidRDefault="00847271" w:rsidP="004C7864">
      <w:pPr>
        <w:pStyle w:val="Header"/>
        <w:rPr>
          <w:bCs/>
          <w:szCs w:val="22"/>
          <w:lang w:val="sr-Latn-ME"/>
        </w:rPr>
      </w:pPr>
    </w:p>
    <w:p w14:paraId="67346E6A" w14:textId="12CD3C8A" w:rsidR="00847271" w:rsidRPr="009C0665" w:rsidRDefault="00847271" w:rsidP="004C7864">
      <w:pPr>
        <w:pStyle w:val="Header"/>
        <w:rPr>
          <w:bCs/>
          <w:szCs w:val="22"/>
          <w:lang w:val="sr-Latn-ME"/>
        </w:rPr>
      </w:pPr>
      <w:r w:rsidRPr="009C0665">
        <w:rPr>
          <w:bCs/>
          <w:szCs w:val="22"/>
          <w:lang w:val="sr-Latn-ME"/>
        </w:rPr>
        <w:t>Pacijenti koji</w:t>
      </w:r>
      <w:r w:rsidR="00E17A06" w:rsidRPr="009C0665">
        <w:rPr>
          <w:bCs/>
          <w:szCs w:val="22"/>
          <w:lang w:val="sr-Latn-ME"/>
        </w:rPr>
        <w:t xml:space="preserve"> su izgubili</w:t>
      </w:r>
      <w:r w:rsidRPr="009C0665">
        <w:rPr>
          <w:bCs/>
          <w:szCs w:val="22"/>
          <w:lang w:val="sr-Latn-ME"/>
        </w:rPr>
        <w:t xml:space="preserve"> terapijsk</w:t>
      </w:r>
      <w:r w:rsidR="00E17A06" w:rsidRPr="009C0665">
        <w:rPr>
          <w:bCs/>
          <w:szCs w:val="22"/>
          <w:lang w:val="sr-Latn-ME"/>
        </w:rPr>
        <w:t>i</w:t>
      </w:r>
      <w:r w:rsidRPr="009C0665">
        <w:rPr>
          <w:bCs/>
          <w:szCs w:val="22"/>
          <w:lang w:val="sr-Latn-ME"/>
        </w:rPr>
        <w:t xml:space="preserve"> odgovor na vedolizumab </w:t>
      </w:r>
      <w:r w:rsidR="00054848" w:rsidRPr="009C0665">
        <w:rPr>
          <w:bCs/>
          <w:szCs w:val="22"/>
          <w:lang w:val="sr-Latn-ME"/>
        </w:rPr>
        <w:t>prim</w:t>
      </w:r>
      <w:r w:rsidR="00CD01ED" w:rsidRPr="009C0665">
        <w:rPr>
          <w:bCs/>
          <w:szCs w:val="22"/>
          <w:lang w:val="sr-Latn-ME"/>
        </w:rPr>
        <w:t>i</w:t>
      </w:r>
      <w:r w:rsidR="00054848" w:rsidRPr="009C0665">
        <w:rPr>
          <w:bCs/>
          <w:szCs w:val="22"/>
          <w:lang w:val="sr-Latn-ME"/>
        </w:rPr>
        <w:t>jenjen</w:t>
      </w:r>
      <w:r w:rsidRPr="009C0665">
        <w:rPr>
          <w:bCs/>
          <w:szCs w:val="22"/>
          <w:lang w:val="sr-Latn-ME"/>
        </w:rPr>
        <w:t xml:space="preserve"> na svakih </w:t>
      </w:r>
      <w:r w:rsidR="00C95E89" w:rsidRPr="009C0665">
        <w:rPr>
          <w:bCs/>
          <w:szCs w:val="22"/>
          <w:lang w:val="sr-Latn-ME"/>
        </w:rPr>
        <w:t xml:space="preserve">8 </w:t>
      </w:r>
      <w:r w:rsidR="00AB003D" w:rsidRPr="009C0665">
        <w:rPr>
          <w:bCs/>
          <w:szCs w:val="22"/>
          <w:lang w:val="sr-Latn-ME"/>
        </w:rPr>
        <w:t>nedjelja</w:t>
      </w:r>
      <w:r w:rsidRPr="009C0665">
        <w:rPr>
          <w:bCs/>
          <w:szCs w:val="22"/>
          <w:lang w:val="sr-Latn-ME"/>
        </w:rPr>
        <w:t xml:space="preserve"> mogli su da uđu u otvoreni nastavak ispitivanja i primaju vedolizumab svake </w:t>
      </w:r>
      <w:r w:rsidR="00C95E89" w:rsidRPr="009C0665">
        <w:rPr>
          <w:bCs/>
          <w:szCs w:val="22"/>
          <w:lang w:val="sr-Latn-ME"/>
        </w:rPr>
        <w:t xml:space="preserve">4. </w:t>
      </w:r>
      <w:r w:rsidR="00166D72" w:rsidRPr="009C0665">
        <w:rPr>
          <w:bCs/>
          <w:szCs w:val="22"/>
          <w:lang w:val="sr-Latn-ME"/>
        </w:rPr>
        <w:t>nedjelje</w:t>
      </w:r>
      <w:r w:rsidRPr="009C0665">
        <w:rPr>
          <w:bCs/>
          <w:szCs w:val="22"/>
          <w:lang w:val="sr-Latn-ME"/>
        </w:rPr>
        <w:t xml:space="preserve">. Kod tih pacijenata klinička remisija postignuta je kod 25% pacijenata u 28.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 i 52.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>.</w:t>
      </w:r>
    </w:p>
    <w:p w14:paraId="617CD723" w14:textId="77777777" w:rsidR="00847271" w:rsidRPr="009C0665" w:rsidRDefault="00847271" w:rsidP="004C7864">
      <w:pPr>
        <w:pStyle w:val="Header"/>
        <w:rPr>
          <w:bCs/>
          <w:szCs w:val="22"/>
          <w:lang w:val="sr-Latn-ME"/>
        </w:rPr>
      </w:pPr>
    </w:p>
    <w:p w14:paraId="0D563282" w14:textId="540467D2" w:rsidR="00847271" w:rsidRPr="009C0665" w:rsidRDefault="00847271" w:rsidP="004C7864">
      <w:pPr>
        <w:pStyle w:val="Header"/>
        <w:rPr>
          <w:bCs/>
          <w:szCs w:val="22"/>
          <w:lang w:val="sr-Latn-ME"/>
        </w:rPr>
      </w:pPr>
      <w:r w:rsidRPr="009C0665">
        <w:rPr>
          <w:bCs/>
          <w:szCs w:val="22"/>
          <w:lang w:val="sr-Latn-ME"/>
        </w:rPr>
        <w:t xml:space="preserve">Pacijenti kod kojih je </w:t>
      </w:r>
      <w:r w:rsidR="00AB003D" w:rsidRPr="009C0665">
        <w:rPr>
          <w:bCs/>
          <w:szCs w:val="22"/>
          <w:lang w:val="sr-Latn-ME"/>
        </w:rPr>
        <w:t>zabilježen</w:t>
      </w:r>
      <w:r w:rsidRPr="009C0665">
        <w:rPr>
          <w:bCs/>
          <w:szCs w:val="22"/>
          <w:lang w:val="sr-Latn-ME"/>
        </w:rPr>
        <w:t xml:space="preserve"> klinički odgovor nakon primanja vedolizumaba u </w:t>
      </w:r>
      <w:r w:rsidR="00C95E89" w:rsidRPr="009C0665">
        <w:rPr>
          <w:bCs/>
          <w:szCs w:val="22"/>
          <w:lang w:val="sr-Latn-ME"/>
        </w:rPr>
        <w:t xml:space="preserve">0. </w:t>
      </w:r>
      <w:r w:rsidRPr="009C0665">
        <w:rPr>
          <w:bCs/>
          <w:szCs w:val="22"/>
          <w:lang w:val="sr-Latn-ME"/>
        </w:rPr>
        <w:t xml:space="preserve">i u </w:t>
      </w:r>
      <w:r w:rsidR="00C95E89" w:rsidRPr="009C0665">
        <w:rPr>
          <w:bCs/>
          <w:szCs w:val="22"/>
          <w:lang w:val="sr-Latn-ME"/>
        </w:rPr>
        <w:t xml:space="preserve">2.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, koji su </w:t>
      </w:r>
      <w:r w:rsidR="005078BA" w:rsidRPr="009C0665">
        <w:rPr>
          <w:bCs/>
          <w:szCs w:val="22"/>
          <w:lang w:val="sr-Latn-ME"/>
        </w:rPr>
        <w:t>zatim</w:t>
      </w:r>
      <w:r w:rsidR="00C95E89" w:rsidRPr="009C0665">
        <w:rPr>
          <w:bCs/>
          <w:szCs w:val="22"/>
          <w:lang w:val="sr-Latn-ME"/>
        </w:rPr>
        <w:t xml:space="preserve"> </w:t>
      </w:r>
      <w:r w:rsidRPr="009C0665">
        <w:rPr>
          <w:bCs/>
          <w:szCs w:val="22"/>
          <w:lang w:val="sr-Latn-ME"/>
        </w:rPr>
        <w:t xml:space="preserve">randomizovani u grupu koja je primala placebo (od 6. do 52. </w:t>
      </w:r>
      <w:r w:rsidR="00166D72" w:rsidRPr="009C0665">
        <w:rPr>
          <w:bCs/>
          <w:szCs w:val="22"/>
          <w:lang w:val="sr-Latn-ME"/>
        </w:rPr>
        <w:t>nedjelje</w:t>
      </w:r>
      <w:r w:rsidRPr="009C0665">
        <w:rPr>
          <w:bCs/>
          <w:szCs w:val="22"/>
          <w:lang w:val="sr-Latn-ME"/>
        </w:rPr>
        <w:t xml:space="preserve">) i </w:t>
      </w:r>
      <w:r w:rsidR="0047181E" w:rsidRPr="009C0665">
        <w:rPr>
          <w:bCs/>
          <w:szCs w:val="22"/>
          <w:lang w:val="sr-Latn-ME"/>
        </w:rPr>
        <w:t>nakon</w:t>
      </w:r>
      <w:r w:rsidRPr="009C0665">
        <w:rPr>
          <w:bCs/>
          <w:szCs w:val="22"/>
          <w:lang w:val="sr-Latn-ME"/>
        </w:rPr>
        <w:t xml:space="preserve"> čega </w:t>
      </w:r>
      <w:r w:rsidR="00E17A06" w:rsidRPr="009C0665">
        <w:rPr>
          <w:bCs/>
          <w:szCs w:val="22"/>
          <w:lang w:val="sr-Latn-ME"/>
        </w:rPr>
        <w:t>su izgubili</w:t>
      </w:r>
      <w:r w:rsidRPr="009C0665">
        <w:rPr>
          <w:bCs/>
          <w:szCs w:val="22"/>
          <w:lang w:val="sr-Latn-ME"/>
        </w:rPr>
        <w:t xml:space="preserve"> odgovor na </w:t>
      </w:r>
      <w:r w:rsidR="00D26459" w:rsidRPr="009C0665">
        <w:rPr>
          <w:bCs/>
          <w:szCs w:val="22"/>
          <w:lang w:val="sr-Latn-ME"/>
        </w:rPr>
        <w:t>liječenje</w:t>
      </w:r>
      <w:r w:rsidRPr="009C0665">
        <w:rPr>
          <w:bCs/>
          <w:szCs w:val="22"/>
          <w:lang w:val="sr-Latn-ME"/>
        </w:rPr>
        <w:t xml:space="preserve">, mogli su da uđu u otvoreni nastavak ispitivanja i primaju vedolizumab svake </w:t>
      </w:r>
      <w:r w:rsidR="00C95E89" w:rsidRPr="009C0665">
        <w:rPr>
          <w:bCs/>
          <w:szCs w:val="22"/>
          <w:lang w:val="sr-Latn-ME"/>
        </w:rPr>
        <w:t xml:space="preserve">4 </w:t>
      </w:r>
      <w:r w:rsidR="00166D72" w:rsidRPr="009C0665">
        <w:rPr>
          <w:bCs/>
          <w:szCs w:val="22"/>
          <w:lang w:val="sr-Latn-ME"/>
        </w:rPr>
        <w:t>nedjelje</w:t>
      </w:r>
      <w:r w:rsidRPr="009C0665">
        <w:rPr>
          <w:bCs/>
          <w:szCs w:val="22"/>
          <w:lang w:val="sr-Latn-ME"/>
        </w:rPr>
        <w:t xml:space="preserve">. Kod tih pacijenata klinička remisija postignuta je kod 45% pacijenata </w:t>
      </w:r>
      <w:r w:rsidR="00E17A06" w:rsidRPr="009C0665">
        <w:rPr>
          <w:bCs/>
          <w:szCs w:val="22"/>
          <w:lang w:val="sr-Latn-ME"/>
        </w:rPr>
        <w:t>do</w:t>
      </w:r>
      <w:r w:rsidRPr="009C0665">
        <w:rPr>
          <w:bCs/>
          <w:szCs w:val="22"/>
          <w:lang w:val="sr-Latn-ME"/>
        </w:rPr>
        <w:t xml:space="preserve"> 28. </w:t>
      </w:r>
      <w:r w:rsidR="00166D72" w:rsidRPr="009C0665">
        <w:rPr>
          <w:bCs/>
          <w:szCs w:val="22"/>
          <w:lang w:val="sr-Latn-ME"/>
        </w:rPr>
        <w:t>nedjelje</w:t>
      </w:r>
      <w:r w:rsidRPr="009C0665">
        <w:rPr>
          <w:bCs/>
          <w:szCs w:val="22"/>
          <w:lang w:val="sr-Latn-ME"/>
        </w:rPr>
        <w:t xml:space="preserve"> i kod 36% </w:t>
      </w:r>
      <w:r w:rsidR="00E17A06" w:rsidRPr="009C0665">
        <w:rPr>
          <w:bCs/>
          <w:szCs w:val="22"/>
          <w:lang w:val="sr-Latn-ME"/>
        </w:rPr>
        <w:t>do</w:t>
      </w:r>
      <w:r w:rsidRPr="009C0665">
        <w:rPr>
          <w:bCs/>
          <w:szCs w:val="22"/>
          <w:lang w:val="sr-Latn-ME"/>
        </w:rPr>
        <w:t xml:space="preserve"> 52. </w:t>
      </w:r>
      <w:r w:rsidR="00166D72" w:rsidRPr="009C0665">
        <w:rPr>
          <w:bCs/>
          <w:szCs w:val="22"/>
          <w:lang w:val="sr-Latn-ME"/>
        </w:rPr>
        <w:t>nedjelje</w:t>
      </w:r>
      <w:r w:rsidRPr="009C0665">
        <w:rPr>
          <w:bCs/>
          <w:szCs w:val="22"/>
          <w:lang w:val="sr-Latn-ME"/>
        </w:rPr>
        <w:t>.</w:t>
      </w:r>
    </w:p>
    <w:p w14:paraId="3EDC6212" w14:textId="77777777" w:rsidR="00847271" w:rsidRPr="009C0665" w:rsidRDefault="00847271" w:rsidP="004C7864">
      <w:pPr>
        <w:pStyle w:val="Header"/>
        <w:rPr>
          <w:bCs/>
          <w:szCs w:val="22"/>
          <w:lang w:val="sr-Latn-ME"/>
        </w:rPr>
      </w:pPr>
    </w:p>
    <w:p w14:paraId="27AB12E6" w14:textId="12250F3C" w:rsidR="00847271" w:rsidRPr="009C0665" w:rsidRDefault="00847271" w:rsidP="004C7864">
      <w:pPr>
        <w:pStyle w:val="Header"/>
        <w:rPr>
          <w:bCs/>
          <w:szCs w:val="22"/>
          <w:lang w:val="sr-Latn-ME"/>
        </w:rPr>
      </w:pPr>
      <w:r w:rsidRPr="009C0665">
        <w:rPr>
          <w:bCs/>
          <w:szCs w:val="22"/>
          <w:lang w:val="sr-Latn-ME"/>
        </w:rPr>
        <w:t xml:space="preserve">U </w:t>
      </w:r>
      <w:r w:rsidR="00E17A06" w:rsidRPr="009C0665">
        <w:rPr>
          <w:bCs/>
          <w:szCs w:val="22"/>
          <w:lang w:val="sr-Latn-ME"/>
        </w:rPr>
        <w:t xml:space="preserve">ovom </w:t>
      </w:r>
      <w:r w:rsidRPr="009C0665">
        <w:rPr>
          <w:bCs/>
          <w:szCs w:val="22"/>
          <w:lang w:val="sr-Latn-ME"/>
        </w:rPr>
        <w:t xml:space="preserve">otvorenom nastavku ispitivanja, korist </w:t>
      </w:r>
      <w:r w:rsidR="00166D72" w:rsidRPr="009C0665">
        <w:rPr>
          <w:bCs/>
          <w:szCs w:val="22"/>
          <w:lang w:val="sr-Latn-ME"/>
        </w:rPr>
        <w:t>liječenja</w:t>
      </w:r>
      <w:r w:rsidRPr="009C0665">
        <w:rPr>
          <w:bCs/>
          <w:szCs w:val="22"/>
          <w:lang w:val="sr-Latn-ME"/>
        </w:rPr>
        <w:t xml:space="preserve"> vedolizumabom proc</w:t>
      </w:r>
      <w:r w:rsidR="00B24F93" w:rsidRPr="009C0665">
        <w:rPr>
          <w:bCs/>
          <w:szCs w:val="22"/>
          <w:lang w:val="sr-Latn-ME"/>
        </w:rPr>
        <w:t>ij</w:t>
      </w:r>
      <w:r w:rsidRPr="009C0665">
        <w:rPr>
          <w:bCs/>
          <w:szCs w:val="22"/>
          <w:lang w:val="sr-Latn-ME"/>
        </w:rPr>
        <w:t xml:space="preserve">enjena prema </w:t>
      </w:r>
      <w:r w:rsidR="00A63489" w:rsidRPr="009C0665">
        <w:rPr>
          <w:bCs/>
          <w:szCs w:val="22"/>
          <w:lang w:val="sr-Latn-ME"/>
        </w:rPr>
        <w:t>djelimičnom</w:t>
      </w:r>
      <w:r w:rsidRPr="009C0665">
        <w:rPr>
          <w:bCs/>
          <w:szCs w:val="22"/>
          <w:lang w:val="sr-Latn-ME"/>
        </w:rPr>
        <w:t xml:space="preserve"> Mayo </w:t>
      </w:r>
      <w:r w:rsidR="00E17A06" w:rsidRPr="009C0665">
        <w:rPr>
          <w:bCs/>
          <w:szCs w:val="22"/>
          <w:lang w:val="sr-Latn-ME"/>
        </w:rPr>
        <w:t>skoru</w:t>
      </w:r>
      <w:r w:rsidRPr="009C0665">
        <w:rPr>
          <w:bCs/>
          <w:szCs w:val="22"/>
          <w:lang w:val="sr-Latn-ME"/>
        </w:rPr>
        <w:t xml:space="preserve">, kliničkoj remisiji i kliničkom odgovoru bila je prisutna do </w:t>
      </w:r>
      <w:r w:rsidR="007E4BD3" w:rsidRPr="009C0665">
        <w:rPr>
          <w:bCs/>
          <w:szCs w:val="22"/>
          <w:lang w:val="sr-Latn-ME"/>
        </w:rPr>
        <w:t xml:space="preserve">196 </w:t>
      </w:r>
      <w:r w:rsidR="00166D72" w:rsidRPr="009C0665">
        <w:rPr>
          <w:bCs/>
          <w:szCs w:val="22"/>
          <w:lang w:val="sr-Latn-ME"/>
        </w:rPr>
        <w:t>nedjelj</w:t>
      </w:r>
      <w:r w:rsidR="009F5055" w:rsidRPr="009C0665">
        <w:rPr>
          <w:bCs/>
          <w:szCs w:val="22"/>
          <w:lang w:val="sr-Latn-ME"/>
        </w:rPr>
        <w:t>a</w:t>
      </w:r>
      <w:r w:rsidRPr="009C0665">
        <w:rPr>
          <w:bCs/>
          <w:szCs w:val="22"/>
          <w:lang w:val="sr-Latn-ME"/>
        </w:rPr>
        <w:t>.</w:t>
      </w:r>
    </w:p>
    <w:p w14:paraId="6900CA88" w14:textId="77777777" w:rsidR="00847271" w:rsidRPr="009C0665" w:rsidRDefault="00847271" w:rsidP="004C7864">
      <w:pPr>
        <w:pStyle w:val="Header"/>
        <w:rPr>
          <w:bCs/>
          <w:szCs w:val="22"/>
          <w:lang w:val="sr-Latn-ME"/>
        </w:rPr>
      </w:pPr>
    </w:p>
    <w:p w14:paraId="5E66C076" w14:textId="3F73AA6A" w:rsidR="00847271" w:rsidRPr="009C0665" w:rsidRDefault="00847271" w:rsidP="004C7864">
      <w:pPr>
        <w:pStyle w:val="Header"/>
        <w:rPr>
          <w:bCs/>
          <w:szCs w:val="22"/>
          <w:lang w:val="sr-Latn-ME"/>
        </w:rPr>
      </w:pPr>
      <w:r w:rsidRPr="009C0665">
        <w:rPr>
          <w:bCs/>
          <w:szCs w:val="22"/>
          <w:lang w:val="sr-Latn-ME"/>
        </w:rPr>
        <w:t xml:space="preserve">Kvalitet života povezan sa zdravljem (engl. </w:t>
      </w:r>
      <w:r w:rsidR="00802570" w:rsidRPr="009C0665">
        <w:rPr>
          <w:bCs/>
          <w:i/>
          <w:szCs w:val="22"/>
          <w:lang w:val="sr-Latn-ME"/>
        </w:rPr>
        <w:t>Health-related quality of life</w:t>
      </w:r>
      <w:r w:rsidR="00E17A06" w:rsidRPr="009C0665">
        <w:rPr>
          <w:bCs/>
          <w:i/>
          <w:szCs w:val="22"/>
          <w:lang w:val="sr-Latn-ME"/>
        </w:rPr>
        <w:t>,</w:t>
      </w:r>
      <w:r w:rsidR="00E17A06" w:rsidRPr="009C0665">
        <w:rPr>
          <w:bCs/>
          <w:szCs w:val="22"/>
          <w:lang w:val="sr-Latn-ME"/>
        </w:rPr>
        <w:t xml:space="preserve"> HRQOL</w:t>
      </w:r>
      <w:r w:rsidRPr="009C0665">
        <w:rPr>
          <w:bCs/>
          <w:szCs w:val="22"/>
          <w:lang w:val="sr-Latn-ME"/>
        </w:rPr>
        <w:t xml:space="preserve">) </w:t>
      </w:r>
      <w:r w:rsidR="00A63489" w:rsidRPr="009C0665">
        <w:rPr>
          <w:bCs/>
          <w:szCs w:val="22"/>
          <w:lang w:val="sr-Latn-ME"/>
        </w:rPr>
        <w:t>procijenjen</w:t>
      </w:r>
      <w:r w:rsidRPr="009C0665">
        <w:rPr>
          <w:bCs/>
          <w:szCs w:val="22"/>
          <w:lang w:val="sr-Latn-ME"/>
        </w:rPr>
        <w:t xml:space="preserve"> je Upitnikom o inflamatornoj (zapaljenskoj) bolesti </w:t>
      </w:r>
      <w:r w:rsidR="00054848" w:rsidRPr="009C0665">
        <w:rPr>
          <w:bCs/>
          <w:szCs w:val="22"/>
          <w:lang w:val="sr-Latn-ME"/>
        </w:rPr>
        <w:t>crijeva</w:t>
      </w:r>
      <w:r w:rsidRPr="009C0665">
        <w:rPr>
          <w:bCs/>
          <w:szCs w:val="22"/>
          <w:lang w:val="sr-Latn-ME"/>
        </w:rPr>
        <w:t xml:space="preserve"> (engl. </w:t>
      </w:r>
      <w:r w:rsidR="00802570" w:rsidRPr="009C0665">
        <w:rPr>
          <w:bCs/>
          <w:i/>
          <w:szCs w:val="22"/>
          <w:lang w:val="sr-Latn-ME"/>
        </w:rPr>
        <w:t>Inflammatory Bowel Disease Questionnaire</w:t>
      </w:r>
      <w:r w:rsidR="00040B32" w:rsidRPr="009C0665">
        <w:rPr>
          <w:bCs/>
          <w:szCs w:val="22"/>
          <w:lang w:val="sr-Latn-ME"/>
        </w:rPr>
        <w:t>,</w:t>
      </w:r>
      <w:r w:rsidR="00E17A06" w:rsidRPr="009C0665">
        <w:rPr>
          <w:bCs/>
          <w:szCs w:val="22"/>
          <w:lang w:val="sr-Latn-ME"/>
        </w:rPr>
        <w:t xml:space="preserve"> IBDQ</w:t>
      </w:r>
      <w:r w:rsidRPr="009C0665">
        <w:rPr>
          <w:bCs/>
          <w:szCs w:val="22"/>
          <w:lang w:val="sr-Latn-ME"/>
        </w:rPr>
        <w:t>), instrumentom specifičnim za bolest, kao i upitnicima SF-36 i EQ-5D koji se smatraju opštom m</w:t>
      </w:r>
      <w:r w:rsidR="00A63489" w:rsidRPr="009C0665">
        <w:rPr>
          <w:bCs/>
          <w:szCs w:val="22"/>
          <w:lang w:val="sr-Latn-ME"/>
        </w:rPr>
        <w:t>j</w:t>
      </w:r>
      <w:r w:rsidRPr="009C0665">
        <w:rPr>
          <w:bCs/>
          <w:szCs w:val="22"/>
          <w:lang w:val="sr-Latn-ME"/>
        </w:rPr>
        <w:t>erom. Eksplorat</w:t>
      </w:r>
      <w:r w:rsidR="00040B32" w:rsidRPr="009C0665">
        <w:rPr>
          <w:bCs/>
          <w:szCs w:val="22"/>
          <w:lang w:val="sr-Latn-ME"/>
        </w:rPr>
        <w:t>orne</w:t>
      </w:r>
      <w:r w:rsidRPr="009C0665">
        <w:rPr>
          <w:bCs/>
          <w:szCs w:val="22"/>
          <w:lang w:val="sr-Latn-ME"/>
        </w:rPr>
        <w:t xml:space="preserve"> analize pokazuju da su u 6. i 52.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 prema rezultatima upitnika EQ-5D i EQ-5D VAS, svih podskala IBDQ (simptomi na </w:t>
      </w:r>
      <w:r w:rsidR="00054848" w:rsidRPr="009C0665">
        <w:rPr>
          <w:bCs/>
          <w:szCs w:val="22"/>
          <w:lang w:val="sr-Latn-ME"/>
        </w:rPr>
        <w:t>crijevima</w:t>
      </w:r>
      <w:r w:rsidRPr="009C0665">
        <w:rPr>
          <w:bCs/>
          <w:szCs w:val="22"/>
          <w:lang w:val="sr-Latn-ME"/>
        </w:rPr>
        <w:t>, sistemska funkcija, emocionalna funkcija i društvena funkcija) i svih podskala SF-36 uključujući i Sažetak fizičke komponente (</w:t>
      </w:r>
      <w:r w:rsidR="00040B32" w:rsidRPr="009C0665">
        <w:rPr>
          <w:bCs/>
          <w:szCs w:val="22"/>
          <w:lang w:val="sr-Latn-ME"/>
        </w:rPr>
        <w:t xml:space="preserve">engl. </w:t>
      </w:r>
      <w:r w:rsidR="00802570" w:rsidRPr="009C0665">
        <w:rPr>
          <w:bCs/>
          <w:i/>
          <w:szCs w:val="22"/>
          <w:lang w:val="sr-Latn-ME"/>
        </w:rPr>
        <w:t>physical component summary</w:t>
      </w:r>
      <w:r w:rsidR="00040B32" w:rsidRPr="009C0665">
        <w:rPr>
          <w:bCs/>
          <w:szCs w:val="22"/>
          <w:lang w:val="sr-Latn-ME"/>
        </w:rPr>
        <w:t xml:space="preserve">, </w:t>
      </w:r>
      <w:r w:rsidRPr="009C0665">
        <w:rPr>
          <w:bCs/>
          <w:szCs w:val="22"/>
          <w:lang w:val="sr-Latn-ME"/>
        </w:rPr>
        <w:t>PCS) i Sažetak mentalne komponente (</w:t>
      </w:r>
      <w:r w:rsidR="00040B32" w:rsidRPr="009C0665">
        <w:rPr>
          <w:bCs/>
          <w:szCs w:val="22"/>
          <w:lang w:val="sr-Latn-ME"/>
        </w:rPr>
        <w:t xml:space="preserve">engl. </w:t>
      </w:r>
      <w:r w:rsidR="00802570" w:rsidRPr="009C0665">
        <w:rPr>
          <w:bCs/>
          <w:i/>
          <w:szCs w:val="22"/>
          <w:lang w:val="sr-Latn-ME"/>
        </w:rPr>
        <w:t>mental component summary</w:t>
      </w:r>
      <w:r w:rsidR="00040B32" w:rsidRPr="009C0665">
        <w:rPr>
          <w:bCs/>
          <w:szCs w:val="22"/>
          <w:lang w:val="sr-Latn-ME"/>
        </w:rPr>
        <w:t xml:space="preserve">, </w:t>
      </w:r>
      <w:r w:rsidRPr="009C0665">
        <w:rPr>
          <w:bCs/>
          <w:szCs w:val="22"/>
          <w:lang w:val="sr-Latn-ME"/>
        </w:rPr>
        <w:t xml:space="preserve">MCS), u grupama koje su primale vedolizumab </w:t>
      </w:r>
      <w:r w:rsidR="00AB003D" w:rsidRPr="009C0665">
        <w:rPr>
          <w:bCs/>
          <w:szCs w:val="22"/>
          <w:lang w:val="sr-Latn-ME"/>
        </w:rPr>
        <w:t>zabilježen</w:t>
      </w:r>
      <w:r w:rsidRPr="009C0665">
        <w:rPr>
          <w:bCs/>
          <w:szCs w:val="22"/>
          <w:lang w:val="sr-Latn-ME"/>
        </w:rPr>
        <w:t>a klinički značajna poboljšanja koja su bila značajno veća u poređenju sa grupom koja je primala placebo.</w:t>
      </w:r>
    </w:p>
    <w:p w14:paraId="26F24EC7" w14:textId="77777777" w:rsidR="00847271" w:rsidRPr="009C0665" w:rsidRDefault="00847271" w:rsidP="004C7864">
      <w:pPr>
        <w:pStyle w:val="Header"/>
        <w:rPr>
          <w:bCs/>
          <w:szCs w:val="22"/>
          <w:lang w:val="sr-Latn-ME"/>
        </w:rPr>
      </w:pPr>
    </w:p>
    <w:p w14:paraId="38C4EEF3" w14:textId="0BAFAC45" w:rsidR="00847271" w:rsidRPr="009C0665" w:rsidRDefault="0015489B" w:rsidP="004C7864">
      <w:pPr>
        <w:pStyle w:val="Header"/>
        <w:rPr>
          <w:i/>
          <w:szCs w:val="22"/>
          <w:u w:val="single"/>
          <w:lang w:val="sr-Latn-ME"/>
        </w:rPr>
      </w:pPr>
      <w:r w:rsidRPr="009C0665">
        <w:rPr>
          <w:i/>
          <w:szCs w:val="22"/>
          <w:u w:val="single"/>
          <w:lang w:val="sr-Latn-ME"/>
        </w:rPr>
        <w:t>Ch</w:t>
      </w:r>
      <w:r w:rsidR="00847271" w:rsidRPr="009C0665">
        <w:rPr>
          <w:i/>
          <w:szCs w:val="22"/>
          <w:u w:val="single"/>
          <w:lang w:val="sr-Latn-ME"/>
        </w:rPr>
        <w:t>ronova bolest</w:t>
      </w:r>
    </w:p>
    <w:p w14:paraId="760FC521" w14:textId="77777777" w:rsidR="00847271" w:rsidRPr="009C0665" w:rsidRDefault="00847271" w:rsidP="004C7864">
      <w:pPr>
        <w:pStyle w:val="Header"/>
        <w:rPr>
          <w:bCs/>
          <w:szCs w:val="22"/>
          <w:lang w:val="sr-Latn-ME"/>
        </w:rPr>
      </w:pPr>
    </w:p>
    <w:p w14:paraId="6966A26E" w14:textId="535D6D43" w:rsidR="00847271" w:rsidRPr="009C0665" w:rsidRDefault="00847271" w:rsidP="004C7864">
      <w:pPr>
        <w:pStyle w:val="Header"/>
        <w:rPr>
          <w:bCs/>
          <w:szCs w:val="22"/>
          <w:lang w:val="sr-Latn-ME"/>
        </w:rPr>
      </w:pPr>
      <w:r w:rsidRPr="009C0665">
        <w:rPr>
          <w:bCs/>
          <w:szCs w:val="22"/>
          <w:lang w:val="sr-Latn-ME"/>
        </w:rPr>
        <w:t xml:space="preserve">Efikasnost i </w:t>
      </w:r>
      <w:r w:rsidR="00A63489" w:rsidRPr="009C0665">
        <w:rPr>
          <w:bCs/>
          <w:szCs w:val="22"/>
          <w:lang w:val="sr-Latn-ME"/>
        </w:rPr>
        <w:t>bezbjednost</w:t>
      </w:r>
      <w:r w:rsidRPr="009C0665">
        <w:rPr>
          <w:bCs/>
          <w:szCs w:val="22"/>
          <w:lang w:val="sr-Latn-ME"/>
        </w:rPr>
        <w:t xml:space="preserve"> vedolizumaba </w:t>
      </w:r>
      <w:r w:rsidR="00AB003D" w:rsidRPr="009C0665">
        <w:rPr>
          <w:bCs/>
          <w:szCs w:val="22"/>
          <w:lang w:val="sr-Latn-ME"/>
        </w:rPr>
        <w:t>prim</w:t>
      </w:r>
      <w:r w:rsidR="009A5CD4" w:rsidRPr="009C0665">
        <w:rPr>
          <w:bCs/>
          <w:szCs w:val="22"/>
          <w:lang w:val="sr-Latn-ME"/>
        </w:rPr>
        <w:t>i</w:t>
      </w:r>
      <w:r w:rsidR="00AB003D" w:rsidRPr="009C0665">
        <w:rPr>
          <w:bCs/>
          <w:szCs w:val="22"/>
          <w:lang w:val="sr-Latn-ME"/>
        </w:rPr>
        <w:t>jenjenog</w:t>
      </w:r>
      <w:r w:rsidR="00C95E89" w:rsidRPr="009C0665">
        <w:rPr>
          <w:bCs/>
          <w:szCs w:val="22"/>
          <w:lang w:val="sr-Latn-ME"/>
        </w:rPr>
        <w:t xml:space="preserve"> intravenski</w:t>
      </w:r>
      <w:r w:rsidRPr="009C0665">
        <w:rPr>
          <w:bCs/>
          <w:szCs w:val="22"/>
          <w:lang w:val="sr-Latn-ME"/>
        </w:rPr>
        <w:t xml:space="preserve"> u l</w:t>
      </w:r>
      <w:r w:rsidR="00B24F93" w:rsidRPr="009C0665">
        <w:rPr>
          <w:bCs/>
          <w:szCs w:val="22"/>
          <w:lang w:val="sr-Latn-ME"/>
        </w:rPr>
        <w:t>ij</w:t>
      </w:r>
      <w:r w:rsidRPr="009C0665">
        <w:rPr>
          <w:bCs/>
          <w:szCs w:val="22"/>
          <w:lang w:val="sr-Latn-ME"/>
        </w:rPr>
        <w:t xml:space="preserve">ečenju odraslih pacijenata sa </w:t>
      </w:r>
      <w:r w:rsidR="00A63489" w:rsidRPr="009C0665">
        <w:rPr>
          <w:bCs/>
          <w:szCs w:val="22"/>
          <w:lang w:val="sr-Latn-ME"/>
        </w:rPr>
        <w:t>umjereno</w:t>
      </w:r>
      <w:r w:rsidRPr="009C0665">
        <w:rPr>
          <w:bCs/>
          <w:szCs w:val="22"/>
          <w:lang w:val="sr-Latn-ME"/>
        </w:rPr>
        <w:t xml:space="preserve"> do izrazito aktivnom </w:t>
      </w:r>
      <w:r w:rsidR="00AB003D" w:rsidRPr="009C0665">
        <w:rPr>
          <w:bCs/>
          <w:szCs w:val="22"/>
          <w:lang w:val="sr-Latn-ME"/>
        </w:rPr>
        <w:t>Crohnovom</w:t>
      </w:r>
      <w:r w:rsidRPr="009C0665">
        <w:rPr>
          <w:bCs/>
          <w:szCs w:val="22"/>
          <w:lang w:val="sr-Latn-ME"/>
        </w:rPr>
        <w:t xml:space="preserve"> bolešću (indeks aktivnosti </w:t>
      </w:r>
      <w:r w:rsidR="00D26459" w:rsidRPr="009C0665">
        <w:rPr>
          <w:bCs/>
          <w:szCs w:val="22"/>
          <w:lang w:val="sr-Latn-ME"/>
        </w:rPr>
        <w:t>Crohnove</w:t>
      </w:r>
      <w:r w:rsidRPr="009C0665">
        <w:rPr>
          <w:bCs/>
          <w:szCs w:val="22"/>
          <w:lang w:val="sr-Latn-ME"/>
        </w:rPr>
        <w:t xml:space="preserve"> bolesti [</w:t>
      </w:r>
      <w:r w:rsidR="006909B2" w:rsidRPr="009C0665">
        <w:rPr>
          <w:bCs/>
          <w:szCs w:val="22"/>
          <w:lang w:val="sr-Latn-ME"/>
        </w:rPr>
        <w:t xml:space="preserve">engl. </w:t>
      </w:r>
      <w:r w:rsidR="00802570" w:rsidRPr="009C0665">
        <w:rPr>
          <w:bCs/>
          <w:i/>
          <w:szCs w:val="22"/>
          <w:lang w:val="sr-Latn-ME"/>
        </w:rPr>
        <w:t xml:space="preserve">Crohn’s </w:t>
      </w:r>
      <w:r w:rsidR="00802570" w:rsidRPr="009C0665">
        <w:rPr>
          <w:bCs/>
          <w:i/>
          <w:szCs w:val="22"/>
          <w:lang w:val="sr-Latn-ME"/>
        </w:rPr>
        <w:lastRenderedPageBreak/>
        <w:t>disease index</w:t>
      </w:r>
      <w:r w:rsidR="006909B2" w:rsidRPr="009C0665">
        <w:rPr>
          <w:bCs/>
          <w:szCs w:val="22"/>
          <w:lang w:val="sr-Latn-ME"/>
        </w:rPr>
        <w:t xml:space="preserve">, </w:t>
      </w:r>
      <w:r w:rsidRPr="009C0665">
        <w:rPr>
          <w:bCs/>
          <w:szCs w:val="22"/>
          <w:lang w:val="sr-Latn-ME"/>
        </w:rPr>
        <w:t xml:space="preserve">CDAI] 220 do 450) ispitane su u dva ispitivanja (GEMINI </w:t>
      </w:r>
      <w:r w:rsidR="00C95E89" w:rsidRPr="009C0665">
        <w:rPr>
          <w:bCs/>
          <w:szCs w:val="22"/>
          <w:lang w:val="sr-Latn-ME"/>
        </w:rPr>
        <w:t xml:space="preserve">2 </w:t>
      </w:r>
      <w:r w:rsidRPr="009C0665">
        <w:rPr>
          <w:bCs/>
          <w:szCs w:val="22"/>
          <w:lang w:val="sr-Latn-ME"/>
        </w:rPr>
        <w:t xml:space="preserve">i </w:t>
      </w:r>
      <w:r w:rsidR="00C95E89" w:rsidRPr="009C0665">
        <w:rPr>
          <w:bCs/>
          <w:szCs w:val="22"/>
          <w:lang w:val="sr-Latn-ME"/>
        </w:rPr>
        <w:t>3</w:t>
      </w:r>
      <w:r w:rsidRPr="009C0665">
        <w:rPr>
          <w:bCs/>
          <w:szCs w:val="22"/>
          <w:lang w:val="sr-Latn-ME"/>
        </w:rPr>
        <w:t>). Uključeni pacijenti ni</w:t>
      </w:r>
      <w:r w:rsidR="00B24F93" w:rsidRPr="009C0665">
        <w:rPr>
          <w:bCs/>
          <w:szCs w:val="22"/>
          <w:lang w:val="sr-Latn-ME"/>
        </w:rPr>
        <w:t>je</w:t>
      </w:r>
      <w:r w:rsidRPr="009C0665">
        <w:rPr>
          <w:bCs/>
          <w:szCs w:val="22"/>
          <w:lang w:val="sr-Latn-ME"/>
        </w:rPr>
        <w:t>su odgovorili na barem jednu standardnu terapiju, uključujući kortikosteroide, imunomodulatore i/ili antagoniste TNF</w:t>
      </w:r>
      <w:r w:rsidR="009A5CD4" w:rsidRPr="009C0665">
        <w:rPr>
          <w:bCs/>
          <w:szCs w:val="22"/>
          <w:lang w:val="sr-Latn-ME"/>
        </w:rPr>
        <w:t>α</w:t>
      </w:r>
      <w:r w:rsidRPr="009C0665">
        <w:rPr>
          <w:bCs/>
          <w:szCs w:val="22"/>
          <w:lang w:val="sr-Latn-ME"/>
        </w:rPr>
        <w:t xml:space="preserve"> (uključujući i pacijente bez odgovora na primarno </w:t>
      </w:r>
      <w:r w:rsidR="00D26459" w:rsidRPr="009C0665">
        <w:rPr>
          <w:bCs/>
          <w:szCs w:val="22"/>
          <w:lang w:val="sr-Latn-ME"/>
        </w:rPr>
        <w:t>liječenje</w:t>
      </w:r>
      <w:r w:rsidRPr="009C0665">
        <w:rPr>
          <w:bCs/>
          <w:szCs w:val="22"/>
          <w:lang w:val="sr-Latn-ME"/>
        </w:rPr>
        <w:t>). Bile su dopuštene istovremene stabilne doze oralnih kortikosteroida, imunomodulatora i antibiotika.</w:t>
      </w:r>
    </w:p>
    <w:p w14:paraId="21723BDE" w14:textId="31BCACB9" w:rsidR="00847271" w:rsidRPr="009C0665" w:rsidRDefault="00847271" w:rsidP="004C7864">
      <w:pPr>
        <w:pStyle w:val="Header"/>
        <w:rPr>
          <w:bCs/>
          <w:szCs w:val="22"/>
          <w:lang w:val="sr-Latn-ME"/>
        </w:rPr>
      </w:pPr>
      <w:r w:rsidRPr="009C0665">
        <w:rPr>
          <w:bCs/>
          <w:szCs w:val="22"/>
          <w:lang w:val="sr-Latn-ME"/>
        </w:rPr>
        <w:t xml:space="preserve">Ispitivanje GEMINI </w:t>
      </w:r>
      <w:r w:rsidR="00BE6377" w:rsidRPr="009C0665">
        <w:rPr>
          <w:bCs/>
          <w:szCs w:val="22"/>
          <w:lang w:val="sr-Latn-ME"/>
        </w:rPr>
        <w:t xml:space="preserve">2 </w:t>
      </w:r>
      <w:r w:rsidRPr="009C0665">
        <w:rPr>
          <w:bCs/>
          <w:szCs w:val="22"/>
          <w:lang w:val="sr-Latn-ME"/>
        </w:rPr>
        <w:t>bilo je randomizovano, dvostruko sl</w:t>
      </w:r>
      <w:r w:rsidR="00A63489" w:rsidRPr="009C0665">
        <w:rPr>
          <w:bCs/>
          <w:szCs w:val="22"/>
          <w:lang w:val="sr-Latn-ME"/>
        </w:rPr>
        <w:t>ij</w:t>
      </w:r>
      <w:r w:rsidRPr="009C0665">
        <w:rPr>
          <w:bCs/>
          <w:szCs w:val="22"/>
          <w:lang w:val="sr-Latn-ME"/>
        </w:rPr>
        <w:t xml:space="preserve">epo, placebom kontrolisano ispitivanje </w:t>
      </w:r>
      <w:r w:rsidR="006909B2" w:rsidRPr="009C0665">
        <w:rPr>
          <w:bCs/>
          <w:szCs w:val="22"/>
          <w:lang w:val="sr-Latn-ME"/>
        </w:rPr>
        <w:t>za</w:t>
      </w:r>
      <w:r w:rsidRPr="009C0665">
        <w:rPr>
          <w:bCs/>
          <w:szCs w:val="22"/>
          <w:lang w:val="sr-Latn-ME"/>
        </w:rPr>
        <w:t xml:space="preserve"> proc</w:t>
      </w:r>
      <w:r w:rsidR="00B24F93" w:rsidRPr="009C0665">
        <w:rPr>
          <w:bCs/>
          <w:szCs w:val="22"/>
          <w:lang w:val="sr-Latn-ME"/>
        </w:rPr>
        <w:t>j</w:t>
      </w:r>
      <w:r w:rsidRPr="009C0665">
        <w:rPr>
          <w:bCs/>
          <w:szCs w:val="22"/>
          <w:lang w:val="sr-Latn-ME"/>
        </w:rPr>
        <w:t>en</w:t>
      </w:r>
      <w:r w:rsidR="006909B2" w:rsidRPr="009C0665">
        <w:rPr>
          <w:bCs/>
          <w:szCs w:val="22"/>
          <w:lang w:val="sr-Latn-ME"/>
        </w:rPr>
        <w:t>u</w:t>
      </w:r>
      <w:r w:rsidRPr="009C0665">
        <w:rPr>
          <w:bCs/>
          <w:szCs w:val="22"/>
          <w:lang w:val="sr-Latn-ME"/>
        </w:rPr>
        <w:t xml:space="preserve"> </w:t>
      </w:r>
      <w:r w:rsidR="006909B2" w:rsidRPr="009C0665">
        <w:rPr>
          <w:bCs/>
          <w:szCs w:val="22"/>
          <w:lang w:val="sr-Latn-ME"/>
        </w:rPr>
        <w:t xml:space="preserve">parametara praćenja </w:t>
      </w:r>
      <w:r w:rsidRPr="009C0665">
        <w:rPr>
          <w:bCs/>
          <w:szCs w:val="22"/>
          <w:lang w:val="sr-Latn-ME"/>
        </w:rPr>
        <w:t xml:space="preserve">efikasnosti u 6. i 52.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>. Pacijenti (n</w:t>
      </w:r>
      <w:r w:rsidR="009A5CD4" w:rsidRPr="009C0665">
        <w:rPr>
          <w:bCs/>
          <w:szCs w:val="22"/>
          <w:lang w:val="sr-Latn-ME"/>
        </w:rPr>
        <w:t xml:space="preserve"> </w:t>
      </w:r>
      <w:r w:rsidRPr="009C0665">
        <w:rPr>
          <w:bCs/>
          <w:szCs w:val="22"/>
          <w:lang w:val="sr-Latn-ME"/>
        </w:rPr>
        <w:t>=</w:t>
      </w:r>
      <w:r w:rsidR="009A5CD4" w:rsidRPr="009C0665">
        <w:rPr>
          <w:bCs/>
          <w:szCs w:val="22"/>
          <w:lang w:val="sr-Latn-ME"/>
        </w:rPr>
        <w:t xml:space="preserve"> </w:t>
      </w:r>
      <w:r w:rsidRPr="009C0665">
        <w:rPr>
          <w:bCs/>
          <w:szCs w:val="22"/>
          <w:lang w:val="sr-Latn-ME"/>
        </w:rPr>
        <w:t>368) su dvostruko sl</w:t>
      </w:r>
      <w:r w:rsidR="00A63489" w:rsidRPr="009C0665">
        <w:rPr>
          <w:bCs/>
          <w:szCs w:val="22"/>
          <w:lang w:val="sr-Latn-ME"/>
        </w:rPr>
        <w:t>ij</w:t>
      </w:r>
      <w:r w:rsidRPr="009C0665">
        <w:rPr>
          <w:bCs/>
          <w:szCs w:val="22"/>
          <w:lang w:val="sr-Latn-ME"/>
        </w:rPr>
        <w:t xml:space="preserve">epo randomizovani (3:2) za primanje </w:t>
      </w:r>
      <w:r w:rsidR="00BE6377" w:rsidRPr="009C0665">
        <w:rPr>
          <w:bCs/>
          <w:szCs w:val="22"/>
          <w:lang w:val="sr-Latn-ME"/>
        </w:rPr>
        <w:t xml:space="preserve">2 </w:t>
      </w:r>
      <w:r w:rsidRPr="009C0665">
        <w:rPr>
          <w:bCs/>
          <w:szCs w:val="22"/>
          <w:lang w:val="sr-Latn-ME"/>
        </w:rPr>
        <w:t>doze vedolizumaba</w:t>
      </w:r>
      <w:r w:rsidR="00A42960" w:rsidRPr="009C0665">
        <w:rPr>
          <w:bCs/>
          <w:szCs w:val="22"/>
          <w:lang w:val="sr-Latn-ME"/>
        </w:rPr>
        <w:t xml:space="preserve"> od</w:t>
      </w:r>
      <w:r w:rsidRPr="009C0665">
        <w:rPr>
          <w:bCs/>
          <w:szCs w:val="22"/>
          <w:lang w:val="sr-Latn-ME"/>
        </w:rPr>
        <w:t xml:space="preserve"> 300 mg ili placeba u </w:t>
      </w:r>
      <w:r w:rsidR="00BE6377" w:rsidRPr="009C0665">
        <w:rPr>
          <w:bCs/>
          <w:szCs w:val="22"/>
          <w:lang w:val="sr-Latn-ME"/>
        </w:rPr>
        <w:t xml:space="preserve">0. </w:t>
      </w:r>
      <w:r w:rsidRPr="009C0665">
        <w:rPr>
          <w:bCs/>
          <w:szCs w:val="22"/>
          <w:lang w:val="sr-Latn-ME"/>
        </w:rPr>
        <w:t xml:space="preserve">i </w:t>
      </w:r>
      <w:r w:rsidR="00BE6377" w:rsidRPr="009C0665">
        <w:rPr>
          <w:bCs/>
          <w:szCs w:val="22"/>
          <w:lang w:val="sr-Latn-ME"/>
        </w:rPr>
        <w:t xml:space="preserve">2.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. Dva </w:t>
      </w:r>
      <w:r w:rsidRPr="009C0665">
        <w:rPr>
          <w:szCs w:val="22"/>
          <w:lang w:val="sr-Latn-ME"/>
        </w:rPr>
        <w:t xml:space="preserve">primarna parametra </w:t>
      </w:r>
      <w:r w:rsidRPr="009C0665">
        <w:rPr>
          <w:bCs/>
          <w:szCs w:val="22"/>
          <w:lang w:val="sr-Latn-ME"/>
        </w:rPr>
        <w:t>bila su ud</w:t>
      </w:r>
      <w:r w:rsidR="00B24F93" w:rsidRPr="009C0665">
        <w:rPr>
          <w:bCs/>
          <w:szCs w:val="22"/>
          <w:lang w:val="sr-Latn-ME"/>
        </w:rPr>
        <w:t>i</w:t>
      </w:r>
      <w:r w:rsidRPr="009C0665">
        <w:rPr>
          <w:bCs/>
          <w:szCs w:val="22"/>
          <w:lang w:val="sr-Latn-ME"/>
        </w:rPr>
        <w:t>o pacijenata u kliničkoj remisiji (definisan kao rezultat CDAI ≤</w:t>
      </w:r>
      <w:r w:rsidR="009A5CD4" w:rsidRPr="009C0665">
        <w:rPr>
          <w:bCs/>
          <w:szCs w:val="22"/>
          <w:lang w:val="sr-Latn-ME"/>
        </w:rPr>
        <w:t xml:space="preserve"> </w:t>
      </w:r>
      <w:r w:rsidRPr="009C0665">
        <w:rPr>
          <w:bCs/>
          <w:szCs w:val="22"/>
          <w:lang w:val="sr-Latn-ME"/>
        </w:rPr>
        <w:t xml:space="preserve">150 bodova) u 6.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 i ud</w:t>
      </w:r>
      <w:r w:rsidR="00B24F93" w:rsidRPr="009C0665">
        <w:rPr>
          <w:bCs/>
          <w:szCs w:val="22"/>
          <w:lang w:val="sr-Latn-ME"/>
        </w:rPr>
        <w:t>i</w:t>
      </w:r>
      <w:r w:rsidRPr="009C0665">
        <w:rPr>
          <w:bCs/>
          <w:szCs w:val="22"/>
          <w:lang w:val="sr-Latn-ME"/>
        </w:rPr>
        <w:t>o pacijenata sa pojačanim kliničkim odgovorom (definisan kao smanjenje od ≥</w:t>
      </w:r>
      <w:r w:rsidR="009A5CD4" w:rsidRPr="009C0665">
        <w:rPr>
          <w:bCs/>
          <w:szCs w:val="22"/>
          <w:lang w:val="sr-Latn-ME"/>
        </w:rPr>
        <w:t xml:space="preserve"> </w:t>
      </w:r>
      <w:r w:rsidRPr="009C0665">
        <w:rPr>
          <w:bCs/>
          <w:szCs w:val="22"/>
          <w:lang w:val="sr-Latn-ME"/>
        </w:rPr>
        <w:t>100 bodova na rezultatu CDAI u odnosu na vr</w:t>
      </w:r>
      <w:r w:rsidR="00B24F93" w:rsidRPr="009C0665">
        <w:rPr>
          <w:bCs/>
          <w:szCs w:val="22"/>
          <w:lang w:val="sr-Latn-ME"/>
        </w:rPr>
        <w:t>ij</w:t>
      </w:r>
      <w:r w:rsidRPr="009C0665">
        <w:rPr>
          <w:bCs/>
          <w:szCs w:val="22"/>
          <w:lang w:val="sr-Latn-ME"/>
        </w:rPr>
        <w:t>ednosti pr</w:t>
      </w:r>
      <w:r w:rsidR="00B24F93" w:rsidRPr="009C0665">
        <w:rPr>
          <w:bCs/>
          <w:szCs w:val="22"/>
          <w:lang w:val="sr-Latn-ME"/>
        </w:rPr>
        <w:t>ij</w:t>
      </w:r>
      <w:r w:rsidRPr="009C0665">
        <w:rPr>
          <w:bCs/>
          <w:szCs w:val="22"/>
          <w:lang w:val="sr-Latn-ME"/>
        </w:rPr>
        <w:t xml:space="preserve">e početka ispitivanja) u 6.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 (</w:t>
      </w:r>
      <w:r w:rsidR="00A63489" w:rsidRPr="009C0665">
        <w:rPr>
          <w:bCs/>
          <w:szCs w:val="22"/>
          <w:lang w:val="sr-Latn-ME"/>
        </w:rPr>
        <w:t>vidjeti</w:t>
      </w:r>
      <w:r w:rsidRPr="009C0665">
        <w:rPr>
          <w:bCs/>
          <w:szCs w:val="22"/>
          <w:lang w:val="sr-Latn-ME"/>
        </w:rPr>
        <w:t xml:space="preserve"> tab</w:t>
      </w:r>
      <w:r w:rsidR="00A42960" w:rsidRPr="009C0665">
        <w:rPr>
          <w:bCs/>
          <w:szCs w:val="22"/>
          <w:lang w:val="sr-Latn-ME"/>
        </w:rPr>
        <w:t>elu</w:t>
      </w:r>
      <w:r w:rsidRPr="009C0665">
        <w:rPr>
          <w:bCs/>
          <w:szCs w:val="22"/>
          <w:lang w:val="sr-Latn-ME"/>
        </w:rPr>
        <w:t xml:space="preserve"> 4).</w:t>
      </w:r>
    </w:p>
    <w:p w14:paraId="366F6853" w14:textId="77777777" w:rsidR="00847271" w:rsidRPr="009C0665" w:rsidRDefault="00847271" w:rsidP="004C7864">
      <w:pPr>
        <w:pStyle w:val="Header"/>
        <w:rPr>
          <w:bCs/>
          <w:szCs w:val="22"/>
          <w:lang w:val="sr-Latn-ME"/>
        </w:rPr>
      </w:pPr>
    </w:p>
    <w:p w14:paraId="6B02063A" w14:textId="19635CCC" w:rsidR="00847271" w:rsidRPr="009C0665" w:rsidRDefault="00847271" w:rsidP="004C7864">
      <w:pPr>
        <w:pStyle w:val="Header"/>
        <w:rPr>
          <w:bCs/>
          <w:szCs w:val="22"/>
          <w:lang w:val="sr-Latn-ME"/>
        </w:rPr>
      </w:pPr>
      <w:r w:rsidRPr="009C0665">
        <w:rPr>
          <w:bCs/>
          <w:szCs w:val="22"/>
          <w:lang w:val="sr-Latn-ME"/>
        </w:rPr>
        <w:t xml:space="preserve">U ispitivanju GEMINI </w:t>
      </w:r>
      <w:r w:rsidR="00BE6377" w:rsidRPr="009C0665">
        <w:rPr>
          <w:bCs/>
          <w:szCs w:val="22"/>
          <w:lang w:val="sr-Latn-ME"/>
        </w:rPr>
        <w:t>2</w:t>
      </w:r>
      <w:r w:rsidRPr="009C0665">
        <w:rPr>
          <w:bCs/>
          <w:szCs w:val="22"/>
          <w:lang w:val="sr-Latn-ME"/>
        </w:rPr>
        <w:t xml:space="preserve"> dv</w:t>
      </w:r>
      <w:r w:rsidR="00A63489" w:rsidRPr="009C0665">
        <w:rPr>
          <w:bCs/>
          <w:szCs w:val="22"/>
          <w:lang w:val="sr-Latn-ME"/>
        </w:rPr>
        <w:t>ij</w:t>
      </w:r>
      <w:r w:rsidRPr="009C0665">
        <w:rPr>
          <w:bCs/>
          <w:szCs w:val="22"/>
          <w:lang w:val="sr-Latn-ME"/>
        </w:rPr>
        <w:t xml:space="preserve">e kohorte pacijenata primile su vedolizumab u nultoj i drugoj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: u kohorti 1 pacijenti su dvostruko </w:t>
      </w:r>
      <w:r w:rsidR="00A63489" w:rsidRPr="009C0665">
        <w:rPr>
          <w:bCs/>
          <w:szCs w:val="22"/>
          <w:lang w:val="sr-Latn-ME"/>
        </w:rPr>
        <w:t>slijepo</w:t>
      </w:r>
      <w:r w:rsidRPr="009C0665">
        <w:rPr>
          <w:bCs/>
          <w:szCs w:val="22"/>
          <w:lang w:val="sr-Latn-ME"/>
        </w:rPr>
        <w:t xml:space="preserve"> randomizovani za primanje bilo vedolizumaba </w:t>
      </w:r>
      <w:r w:rsidR="00A42960" w:rsidRPr="009C0665">
        <w:rPr>
          <w:bCs/>
          <w:szCs w:val="22"/>
          <w:lang w:val="sr-Latn-ME"/>
        </w:rPr>
        <w:t xml:space="preserve">u dozi od </w:t>
      </w:r>
      <w:r w:rsidRPr="009C0665">
        <w:rPr>
          <w:bCs/>
          <w:szCs w:val="22"/>
          <w:lang w:val="sr-Latn-ME"/>
        </w:rPr>
        <w:t xml:space="preserve">300 mg ili placeba, a pacijenti iz kohorte 2 su primali vedolizumab </w:t>
      </w:r>
      <w:r w:rsidR="00A42960" w:rsidRPr="009C0665">
        <w:rPr>
          <w:bCs/>
          <w:szCs w:val="22"/>
          <w:lang w:val="sr-Latn-ME"/>
        </w:rPr>
        <w:t xml:space="preserve">u dozi od </w:t>
      </w:r>
      <w:r w:rsidRPr="009C0665">
        <w:rPr>
          <w:bCs/>
          <w:szCs w:val="22"/>
          <w:lang w:val="sr-Latn-ME"/>
        </w:rPr>
        <w:t xml:space="preserve">300 mg u ispitivanju </w:t>
      </w:r>
      <w:r w:rsidR="0047181E" w:rsidRPr="009C0665">
        <w:rPr>
          <w:bCs/>
          <w:szCs w:val="22"/>
          <w:lang w:val="sr-Latn-ME"/>
        </w:rPr>
        <w:t>otvorenog</w:t>
      </w:r>
      <w:r w:rsidRPr="009C0665">
        <w:rPr>
          <w:bCs/>
          <w:szCs w:val="22"/>
          <w:lang w:val="sr-Latn-ME"/>
        </w:rPr>
        <w:t xml:space="preserve"> tipa. Za proc</w:t>
      </w:r>
      <w:r w:rsidR="00F40A2C" w:rsidRPr="009C0665">
        <w:rPr>
          <w:bCs/>
          <w:szCs w:val="22"/>
          <w:lang w:val="sr-Latn-ME"/>
        </w:rPr>
        <w:t>j</w:t>
      </w:r>
      <w:r w:rsidRPr="009C0665">
        <w:rPr>
          <w:bCs/>
          <w:szCs w:val="22"/>
          <w:lang w:val="sr-Latn-ME"/>
        </w:rPr>
        <w:t xml:space="preserve">enu </w:t>
      </w:r>
      <w:r w:rsidR="00A42960" w:rsidRPr="009C0665">
        <w:rPr>
          <w:bCs/>
          <w:szCs w:val="22"/>
          <w:lang w:val="sr-Latn-ME"/>
        </w:rPr>
        <w:t xml:space="preserve">efikasnosti </w:t>
      </w:r>
      <w:r w:rsidRPr="009C0665">
        <w:rPr>
          <w:bCs/>
          <w:szCs w:val="22"/>
          <w:lang w:val="sr-Latn-ME"/>
        </w:rPr>
        <w:t xml:space="preserve">u 52.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, 461 pacijent iz kohorte 1 i 2 koji su </w:t>
      </w:r>
      <w:r w:rsidR="00A63489" w:rsidRPr="009C0665">
        <w:rPr>
          <w:bCs/>
          <w:szCs w:val="22"/>
          <w:lang w:val="sr-Latn-ME"/>
        </w:rPr>
        <w:t>liječeni</w:t>
      </w:r>
      <w:r w:rsidRPr="009C0665">
        <w:rPr>
          <w:bCs/>
          <w:szCs w:val="22"/>
          <w:lang w:val="sr-Latn-ME"/>
        </w:rPr>
        <w:t xml:space="preserve"> vedolizumabom i koji su postigli klinički odgovor u 6.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 (definisan kao smanjenje od ≥</w:t>
      </w:r>
      <w:r w:rsidR="009A5CD4" w:rsidRPr="009C0665">
        <w:rPr>
          <w:bCs/>
          <w:szCs w:val="22"/>
          <w:lang w:val="sr-Latn-ME"/>
        </w:rPr>
        <w:t xml:space="preserve"> </w:t>
      </w:r>
      <w:r w:rsidRPr="009C0665">
        <w:rPr>
          <w:bCs/>
          <w:szCs w:val="22"/>
          <w:lang w:val="sr-Latn-ME"/>
        </w:rPr>
        <w:t>70 bodova u rezultatu CDAI u odnosu na vr</w:t>
      </w:r>
      <w:r w:rsidR="00F40A2C" w:rsidRPr="009C0665">
        <w:rPr>
          <w:bCs/>
          <w:szCs w:val="22"/>
          <w:lang w:val="sr-Latn-ME"/>
        </w:rPr>
        <w:t>ij</w:t>
      </w:r>
      <w:r w:rsidRPr="009C0665">
        <w:rPr>
          <w:bCs/>
          <w:szCs w:val="22"/>
          <w:lang w:val="sr-Latn-ME"/>
        </w:rPr>
        <w:t>ednosti pr</w:t>
      </w:r>
      <w:r w:rsidR="00F40A2C" w:rsidRPr="009C0665">
        <w:rPr>
          <w:bCs/>
          <w:szCs w:val="22"/>
          <w:lang w:val="sr-Latn-ME"/>
        </w:rPr>
        <w:t>ij</w:t>
      </w:r>
      <w:r w:rsidRPr="009C0665">
        <w:rPr>
          <w:bCs/>
          <w:szCs w:val="22"/>
          <w:lang w:val="sr-Latn-ME"/>
        </w:rPr>
        <w:t xml:space="preserve">e početka ispitivanja) dvostruko </w:t>
      </w:r>
      <w:r w:rsidR="00A63489" w:rsidRPr="009C0665">
        <w:rPr>
          <w:bCs/>
          <w:szCs w:val="22"/>
          <w:lang w:val="sr-Latn-ME"/>
        </w:rPr>
        <w:t>slijepo</w:t>
      </w:r>
      <w:r w:rsidRPr="009C0665">
        <w:rPr>
          <w:bCs/>
          <w:szCs w:val="22"/>
          <w:lang w:val="sr-Latn-ME"/>
        </w:rPr>
        <w:t xml:space="preserve"> su randomizovani (1:1:1) u jedan od sl</w:t>
      </w:r>
      <w:r w:rsidR="00F40A2C" w:rsidRPr="009C0665">
        <w:rPr>
          <w:bCs/>
          <w:szCs w:val="22"/>
          <w:lang w:val="sr-Latn-ME"/>
        </w:rPr>
        <w:t>j</w:t>
      </w:r>
      <w:r w:rsidRPr="009C0665">
        <w:rPr>
          <w:bCs/>
          <w:szCs w:val="22"/>
          <w:lang w:val="sr-Latn-ME"/>
        </w:rPr>
        <w:t xml:space="preserve">edećih režima počevši od 6. </w:t>
      </w:r>
      <w:r w:rsidR="00166D72" w:rsidRPr="009C0665">
        <w:rPr>
          <w:bCs/>
          <w:szCs w:val="22"/>
          <w:lang w:val="sr-Latn-ME"/>
        </w:rPr>
        <w:t>nedjelje</w:t>
      </w:r>
      <w:r w:rsidRPr="009C0665">
        <w:rPr>
          <w:bCs/>
          <w:szCs w:val="22"/>
          <w:lang w:val="sr-Latn-ME"/>
        </w:rPr>
        <w:t>: vedolizumab</w:t>
      </w:r>
      <w:r w:rsidR="00A42960" w:rsidRPr="009C0665">
        <w:rPr>
          <w:bCs/>
          <w:szCs w:val="22"/>
          <w:lang w:val="sr-Latn-ME"/>
        </w:rPr>
        <w:t xml:space="preserve"> u dozi od</w:t>
      </w:r>
      <w:r w:rsidRPr="009C0665">
        <w:rPr>
          <w:bCs/>
          <w:szCs w:val="22"/>
          <w:lang w:val="sr-Latn-ME"/>
        </w:rPr>
        <w:t xml:space="preserve"> 300 mg svake </w:t>
      </w:r>
      <w:r w:rsidR="00BE6377" w:rsidRPr="009C0665">
        <w:rPr>
          <w:bCs/>
          <w:szCs w:val="22"/>
          <w:lang w:val="sr-Latn-ME"/>
        </w:rPr>
        <w:t xml:space="preserve">8. </w:t>
      </w:r>
      <w:r w:rsidR="00166D72" w:rsidRPr="009C0665">
        <w:rPr>
          <w:bCs/>
          <w:szCs w:val="22"/>
          <w:lang w:val="sr-Latn-ME"/>
        </w:rPr>
        <w:t>nedjelje</w:t>
      </w:r>
      <w:r w:rsidRPr="009C0665">
        <w:rPr>
          <w:bCs/>
          <w:szCs w:val="22"/>
          <w:lang w:val="sr-Latn-ME"/>
        </w:rPr>
        <w:t>, vedolizumab</w:t>
      </w:r>
      <w:r w:rsidR="00A42960" w:rsidRPr="009C0665">
        <w:rPr>
          <w:bCs/>
          <w:szCs w:val="22"/>
          <w:lang w:val="sr-Latn-ME"/>
        </w:rPr>
        <w:t xml:space="preserve"> u dozi od</w:t>
      </w:r>
      <w:r w:rsidRPr="009C0665">
        <w:rPr>
          <w:bCs/>
          <w:szCs w:val="22"/>
          <w:lang w:val="sr-Latn-ME"/>
        </w:rPr>
        <w:t xml:space="preserve"> 300 mg svake </w:t>
      </w:r>
      <w:r w:rsidR="00BE6377" w:rsidRPr="009C0665">
        <w:rPr>
          <w:bCs/>
          <w:szCs w:val="22"/>
          <w:lang w:val="sr-Latn-ME"/>
        </w:rPr>
        <w:t xml:space="preserve">4. </w:t>
      </w:r>
      <w:r w:rsidR="00166D72" w:rsidRPr="009C0665">
        <w:rPr>
          <w:bCs/>
          <w:szCs w:val="22"/>
          <w:lang w:val="sr-Latn-ME"/>
        </w:rPr>
        <w:t>nedjelje</w:t>
      </w:r>
      <w:r w:rsidRPr="009C0665">
        <w:rPr>
          <w:bCs/>
          <w:szCs w:val="22"/>
          <w:lang w:val="sr-Latn-ME"/>
        </w:rPr>
        <w:t xml:space="preserve"> ili placebo svake </w:t>
      </w:r>
      <w:r w:rsidR="00BE6377" w:rsidRPr="009C0665">
        <w:rPr>
          <w:bCs/>
          <w:szCs w:val="22"/>
          <w:lang w:val="sr-Latn-ME"/>
        </w:rPr>
        <w:t xml:space="preserve">4. </w:t>
      </w:r>
      <w:r w:rsidR="00166D72" w:rsidRPr="009C0665">
        <w:rPr>
          <w:bCs/>
          <w:szCs w:val="22"/>
          <w:lang w:val="sr-Latn-ME"/>
        </w:rPr>
        <w:t>nedjelje</w:t>
      </w:r>
      <w:r w:rsidRPr="009C0665">
        <w:rPr>
          <w:bCs/>
          <w:szCs w:val="22"/>
          <w:lang w:val="sr-Latn-ME"/>
        </w:rPr>
        <w:t xml:space="preserve">. Od pacijenata koji su uzimali kortikosteroide i u 6.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 su pokazivali klinički odgovor tražilo se da počnu da smanjuju dozu kortikosteroida. </w:t>
      </w:r>
      <w:r w:rsidRPr="009C0665">
        <w:rPr>
          <w:szCs w:val="22"/>
          <w:lang w:val="sr-Latn-ME"/>
        </w:rPr>
        <w:t>Primarni parametar efikasnosti</w:t>
      </w:r>
      <w:r w:rsidRPr="009C0665">
        <w:rPr>
          <w:bCs/>
          <w:szCs w:val="22"/>
          <w:lang w:val="sr-Latn-ME"/>
        </w:rPr>
        <w:t xml:space="preserve"> bio je </w:t>
      </w:r>
      <w:r w:rsidR="00A42960" w:rsidRPr="009C0665">
        <w:rPr>
          <w:bCs/>
          <w:szCs w:val="22"/>
          <w:lang w:val="sr-Latn-ME"/>
        </w:rPr>
        <w:t>ud</w:t>
      </w:r>
      <w:r w:rsidR="00F40A2C" w:rsidRPr="009C0665">
        <w:rPr>
          <w:bCs/>
          <w:szCs w:val="22"/>
          <w:lang w:val="sr-Latn-ME"/>
        </w:rPr>
        <w:t>i</w:t>
      </w:r>
      <w:r w:rsidR="00A42960" w:rsidRPr="009C0665">
        <w:rPr>
          <w:bCs/>
          <w:szCs w:val="22"/>
          <w:lang w:val="sr-Latn-ME"/>
        </w:rPr>
        <w:t xml:space="preserve">o </w:t>
      </w:r>
      <w:r w:rsidRPr="009C0665">
        <w:rPr>
          <w:bCs/>
          <w:szCs w:val="22"/>
          <w:lang w:val="sr-Latn-ME"/>
        </w:rPr>
        <w:t xml:space="preserve">pacijenata u kliničkoj remisiji u 52.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 (</w:t>
      </w:r>
      <w:r w:rsidR="00A63489" w:rsidRPr="009C0665">
        <w:rPr>
          <w:bCs/>
          <w:szCs w:val="22"/>
          <w:lang w:val="sr-Latn-ME"/>
        </w:rPr>
        <w:t>vidjeti</w:t>
      </w:r>
      <w:r w:rsidRPr="009C0665">
        <w:rPr>
          <w:bCs/>
          <w:szCs w:val="22"/>
          <w:lang w:val="sr-Latn-ME"/>
        </w:rPr>
        <w:t xml:space="preserve"> tabelu 5).</w:t>
      </w:r>
    </w:p>
    <w:p w14:paraId="47B5C340" w14:textId="77777777" w:rsidR="00847271" w:rsidRPr="009C0665" w:rsidRDefault="00847271" w:rsidP="004C7864">
      <w:pPr>
        <w:pStyle w:val="Header"/>
        <w:rPr>
          <w:bCs/>
          <w:szCs w:val="22"/>
          <w:lang w:val="sr-Latn-ME"/>
        </w:rPr>
      </w:pPr>
    </w:p>
    <w:p w14:paraId="2310428C" w14:textId="0DD6A6BC" w:rsidR="00847271" w:rsidRPr="009C0665" w:rsidRDefault="00847271" w:rsidP="004C7864">
      <w:pPr>
        <w:pStyle w:val="Header"/>
        <w:tabs>
          <w:tab w:val="left" w:pos="284"/>
        </w:tabs>
        <w:rPr>
          <w:bCs/>
          <w:szCs w:val="22"/>
          <w:lang w:val="sr-Latn-ME"/>
        </w:rPr>
      </w:pPr>
      <w:r w:rsidRPr="009C0665">
        <w:rPr>
          <w:bCs/>
          <w:szCs w:val="22"/>
          <w:lang w:val="sr-Latn-ME"/>
        </w:rPr>
        <w:t xml:space="preserve">Ispitivanje GEMINI </w:t>
      </w:r>
      <w:r w:rsidR="00BE020D" w:rsidRPr="009C0665">
        <w:rPr>
          <w:bCs/>
          <w:szCs w:val="22"/>
          <w:lang w:val="sr-Latn-ME"/>
        </w:rPr>
        <w:t>3</w:t>
      </w:r>
      <w:r w:rsidRPr="009C0665">
        <w:rPr>
          <w:bCs/>
          <w:szCs w:val="22"/>
          <w:lang w:val="sr-Latn-ME"/>
        </w:rPr>
        <w:t xml:space="preserve"> bilo je drugo randomizovano, dvostruko </w:t>
      </w:r>
      <w:r w:rsidR="00A63489" w:rsidRPr="009C0665">
        <w:rPr>
          <w:bCs/>
          <w:szCs w:val="22"/>
          <w:lang w:val="sr-Latn-ME"/>
        </w:rPr>
        <w:t>slijepo</w:t>
      </w:r>
      <w:r w:rsidRPr="009C0665">
        <w:rPr>
          <w:bCs/>
          <w:szCs w:val="22"/>
          <w:lang w:val="sr-Latn-ME"/>
        </w:rPr>
        <w:t xml:space="preserve">, placebom kontrolisano kliničko ispitivanje za </w:t>
      </w:r>
      <w:r w:rsidR="00A63489" w:rsidRPr="009C0665">
        <w:rPr>
          <w:bCs/>
          <w:szCs w:val="22"/>
          <w:lang w:val="sr-Latn-ME"/>
        </w:rPr>
        <w:t>ocjenu</w:t>
      </w:r>
      <w:r w:rsidRPr="009C0665">
        <w:rPr>
          <w:bCs/>
          <w:szCs w:val="22"/>
          <w:lang w:val="sr-Latn-ME"/>
        </w:rPr>
        <w:t xml:space="preserve"> efikasnosti u 6. i 10.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 u podgrupi pacijenata koji su definisani kao oni koji ni</w:t>
      </w:r>
      <w:r w:rsidR="00F40A2C" w:rsidRPr="009C0665">
        <w:rPr>
          <w:bCs/>
          <w:szCs w:val="22"/>
          <w:lang w:val="sr-Latn-ME"/>
        </w:rPr>
        <w:t>je</w:t>
      </w:r>
      <w:r w:rsidRPr="009C0665">
        <w:rPr>
          <w:bCs/>
          <w:szCs w:val="22"/>
          <w:lang w:val="sr-Latn-ME"/>
        </w:rPr>
        <w:t xml:space="preserve">su odgovorili na barem jedno standardno </w:t>
      </w:r>
      <w:r w:rsidR="00D26459" w:rsidRPr="009C0665">
        <w:rPr>
          <w:bCs/>
          <w:szCs w:val="22"/>
          <w:lang w:val="sr-Latn-ME"/>
        </w:rPr>
        <w:t>liječenje</w:t>
      </w:r>
      <w:r w:rsidRPr="009C0665">
        <w:rPr>
          <w:bCs/>
          <w:szCs w:val="22"/>
          <w:lang w:val="sr-Latn-ME"/>
        </w:rPr>
        <w:t xml:space="preserve"> i na </w:t>
      </w:r>
      <w:r w:rsidR="00D26459" w:rsidRPr="009C0665">
        <w:rPr>
          <w:bCs/>
          <w:szCs w:val="22"/>
          <w:lang w:val="sr-Latn-ME"/>
        </w:rPr>
        <w:t>liječenje</w:t>
      </w:r>
      <w:r w:rsidRPr="009C0665">
        <w:rPr>
          <w:bCs/>
          <w:szCs w:val="22"/>
          <w:lang w:val="sr-Latn-ME"/>
        </w:rPr>
        <w:t xml:space="preserve"> antagonistima TNF</w:t>
      </w:r>
      <w:r w:rsidR="0047181E" w:rsidRPr="009C0665">
        <w:rPr>
          <w:bCs/>
          <w:szCs w:val="22"/>
          <w:lang w:val="sr-Latn-ME"/>
        </w:rPr>
        <w:t>-</w:t>
      </w:r>
      <w:r w:rsidR="00A42960" w:rsidRPr="009C0665">
        <w:rPr>
          <w:bCs/>
          <w:szCs w:val="22"/>
          <w:lang w:val="sr-Latn-ME"/>
        </w:rPr>
        <w:t>alfa</w:t>
      </w:r>
      <w:r w:rsidRPr="009C0665">
        <w:rPr>
          <w:bCs/>
          <w:szCs w:val="22"/>
          <w:lang w:val="sr-Latn-ME"/>
        </w:rPr>
        <w:t xml:space="preserve"> (uključujući pacijente koji ni</w:t>
      </w:r>
      <w:r w:rsidR="00F40A2C" w:rsidRPr="009C0665">
        <w:rPr>
          <w:bCs/>
          <w:szCs w:val="22"/>
          <w:lang w:val="sr-Latn-ME"/>
        </w:rPr>
        <w:t>je</w:t>
      </w:r>
      <w:r w:rsidRPr="009C0665">
        <w:rPr>
          <w:bCs/>
          <w:szCs w:val="22"/>
          <w:lang w:val="sr-Latn-ME"/>
        </w:rPr>
        <w:t xml:space="preserve">su primarno reagovali na </w:t>
      </w:r>
      <w:r w:rsidR="00D26459" w:rsidRPr="009C0665">
        <w:rPr>
          <w:bCs/>
          <w:szCs w:val="22"/>
          <w:lang w:val="sr-Latn-ME"/>
        </w:rPr>
        <w:t>liječenje</w:t>
      </w:r>
      <w:r w:rsidRPr="009C0665">
        <w:rPr>
          <w:bCs/>
          <w:szCs w:val="22"/>
          <w:lang w:val="sr-Latn-ME"/>
        </w:rPr>
        <w:t xml:space="preserve">) kao i u ukupnoj populaciji koja je takođe uključivala </w:t>
      </w:r>
      <w:r w:rsidR="00A42960" w:rsidRPr="009C0665">
        <w:rPr>
          <w:bCs/>
          <w:szCs w:val="22"/>
          <w:lang w:val="sr-Latn-ME"/>
        </w:rPr>
        <w:t>pacijent</w:t>
      </w:r>
      <w:r w:rsidRPr="009C0665">
        <w:rPr>
          <w:bCs/>
          <w:szCs w:val="22"/>
          <w:lang w:val="sr-Latn-ME"/>
        </w:rPr>
        <w:t>e koji ni</w:t>
      </w:r>
      <w:r w:rsidR="00F40A2C" w:rsidRPr="009C0665">
        <w:rPr>
          <w:bCs/>
          <w:szCs w:val="22"/>
          <w:lang w:val="sr-Latn-ME"/>
        </w:rPr>
        <w:t>je</w:t>
      </w:r>
      <w:r w:rsidRPr="009C0665">
        <w:rPr>
          <w:bCs/>
          <w:szCs w:val="22"/>
          <w:lang w:val="sr-Latn-ME"/>
        </w:rPr>
        <w:t>su odgovorili na barem jednu standardnu terapiju i pr</w:t>
      </w:r>
      <w:r w:rsidR="00F40A2C" w:rsidRPr="009C0665">
        <w:rPr>
          <w:bCs/>
          <w:szCs w:val="22"/>
          <w:lang w:val="sr-Latn-ME"/>
        </w:rPr>
        <w:t>ij</w:t>
      </w:r>
      <w:r w:rsidRPr="009C0665">
        <w:rPr>
          <w:bCs/>
          <w:szCs w:val="22"/>
          <w:lang w:val="sr-Latn-ME"/>
        </w:rPr>
        <w:t>e ni</w:t>
      </w:r>
      <w:r w:rsidR="00F40A2C" w:rsidRPr="009C0665">
        <w:rPr>
          <w:bCs/>
          <w:szCs w:val="22"/>
          <w:lang w:val="sr-Latn-ME"/>
        </w:rPr>
        <w:t>je</w:t>
      </w:r>
      <w:r w:rsidRPr="009C0665">
        <w:rPr>
          <w:bCs/>
          <w:szCs w:val="22"/>
          <w:lang w:val="sr-Latn-ME"/>
        </w:rPr>
        <w:t>su primali terapiju antagonistima TNF</w:t>
      </w:r>
      <w:r w:rsidR="0047181E" w:rsidRPr="009C0665">
        <w:rPr>
          <w:bCs/>
          <w:szCs w:val="22"/>
          <w:lang w:val="sr-Latn-ME"/>
        </w:rPr>
        <w:t>-</w:t>
      </w:r>
      <w:r w:rsidR="00A42960" w:rsidRPr="009C0665">
        <w:rPr>
          <w:bCs/>
          <w:szCs w:val="22"/>
          <w:lang w:val="sr-Latn-ME"/>
        </w:rPr>
        <w:t>alfa</w:t>
      </w:r>
      <w:r w:rsidRPr="009C0665">
        <w:rPr>
          <w:bCs/>
          <w:szCs w:val="22"/>
          <w:lang w:val="sr-Latn-ME"/>
        </w:rPr>
        <w:t>. Pacijenti (n</w:t>
      </w:r>
      <w:r w:rsidR="009A5CD4" w:rsidRPr="009C0665">
        <w:rPr>
          <w:bCs/>
          <w:szCs w:val="22"/>
          <w:lang w:val="sr-Latn-ME"/>
        </w:rPr>
        <w:t xml:space="preserve"> </w:t>
      </w:r>
      <w:r w:rsidRPr="009C0665">
        <w:rPr>
          <w:bCs/>
          <w:szCs w:val="22"/>
          <w:lang w:val="sr-Latn-ME"/>
        </w:rPr>
        <w:t>=</w:t>
      </w:r>
      <w:r w:rsidR="009A5CD4" w:rsidRPr="009C0665">
        <w:rPr>
          <w:bCs/>
          <w:szCs w:val="22"/>
          <w:lang w:val="sr-Latn-ME"/>
        </w:rPr>
        <w:t xml:space="preserve"> </w:t>
      </w:r>
      <w:r w:rsidRPr="009C0665">
        <w:rPr>
          <w:bCs/>
          <w:szCs w:val="22"/>
          <w:lang w:val="sr-Latn-ME"/>
        </w:rPr>
        <w:t>416), među kojima približno 75% njih nije odgovorilo na terapiju antagonistima TNF</w:t>
      </w:r>
      <w:r w:rsidR="0047181E" w:rsidRPr="009C0665">
        <w:rPr>
          <w:bCs/>
          <w:szCs w:val="22"/>
          <w:lang w:val="sr-Latn-ME"/>
        </w:rPr>
        <w:t>-</w:t>
      </w:r>
      <w:r w:rsidR="00A42960" w:rsidRPr="009C0665">
        <w:rPr>
          <w:bCs/>
          <w:szCs w:val="22"/>
          <w:lang w:val="sr-Latn-ME"/>
        </w:rPr>
        <w:t>alfa</w:t>
      </w:r>
      <w:r w:rsidRPr="009C0665">
        <w:rPr>
          <w:bCs/>
          <w:szCs w:val="22"/>
          <w:lang w:val="sr-Latn-ME"/>
        </w:rPr>
        <w:t xml:space="preserve">, su dvostruko </w:t>
      </w:r>
      <w:r w:rsidR="00A63489" w:rsidRPr="009C0665">
        <w:rPr>
          <w:bCs/>
          <w:szCs w:val="22"/>
          <w:lang w:val="sr-Latn-ME"/>
        </w:rPr>
        <w:t>slijepo</w:t>
      </w:r>
      <w:r w:rsidRPr="009C0665">
        <w:rPr>
          <w:bCs/>
          <w:szCs w:val="22"/>
          <w:lang w:val="sr-Latn-ME"/>
        </w:rPr>
        <w:t xml:space="preserve"> randomizovani (1:1) za primanje ili vedolizumaba </w:t>
      </w:r>
      <w:r w:rsidR="00A42960" w:rsidRPr="009C0665">
        <w:rPr>
          <w:bCs/>
          <w:szCs w:val="22"/>
          <w:lang w:val="sr-Latn-ME"/>
        </w:rPr>
        <w:t xml:space="preserve">u dozi od </w:t>
      </w:r>
      <w:r w:rsidRPr="009C0665">
        <w:rPr>
          <w:bCs/>
          <w:szCs w:val="22"/>
          <w:lang w:val="sr-Latn-ME"/>
        </w:rPr>
        <w:t xml:space="preserve">300 mg ili placeba u </w:t>
      </w:r>
      <w:r w:rsidR="00A42960" w:rsidRPr="009C0665">
        <w:rPr>
          <w:bCs/>
          <w:szCs w:val="22"/>
          <w:lang w:val="sr-Latn-ME"/>
        </w:rPr>
        <w:t>0</w:t>
      </w:r>
      <w:r w:rsidRPr="009C0665">
        <w:rPr>
          <w:bCs/>
          <w:szCs w:val="22"/>
          <w:lang w:val="sr-Latn-ME"/>
        </w:rPr>
        <w:t xml:space="preserve">, </w:t>
      </w:r>
      <w:r w:rsidR="00A42960" w:rsidRPr="009C0665">
        <w:rPr>
          <w:bCs/>
          <w:szCs w:val="22"/>
          <w:lang w:val="sr-Latn-ME"/>
        </w:rPr>
        <w:t>2.</w:t>
      </w:r>
      <w:r w:rsidRPr="009C0665">
        <w:rPr>
          <w:bCs/>
          <w:szCs w:val="22"/>
          <w:lang w:val="sr-Latn-ME"/>
        </w:rPr>
        <w:t xml:space="preserve"> i </w:t>
      </w:r>
      <w:r w:rsidR="00A42960" w:rsidRPr="009C0665">
        <w:rPr>
          <w:bCs/>
          <w:szCs w:val="22"/>
          <w:lang w:val="sr-Latn-ME"/>
        </w:rPr>
        <w:t>6.</w:t>
      </w:r>
      <w:r w:rsidRPr="009C0665">
        <w:rPr>
          <w:bCs/>
          <w:szCs w:val="22"/>
          <w:lang w:val="sr-Latn-ME"/>
        </w:rPr>
        <w:t xml:space="preserve">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. Primarni </w:t>
      </w:r>
      <w:r w:rsidRPr="009C0665">
        <w:rPr>
          <w:szCs w:val="22"/>
          <w:lang w:val="sr-Latn-ME"/>
        </w:rPr>
        <w:t xml:space="preserve">parametar </w:t>
      </w:r>
      <w:r w:rsidR="00A42960" w:rsidRPr="009C0665">
        <w:rPr>
          <w:szCs w:val="22"/>
          <w:lang w:val="sr-Latn-ME"/>
        </w:rPr>
        <w:t xml:space="preserve">praćenja </w:t>
      </w:r>
      <w:r w:rsidRPr="009C0665">
        <w:rPr>
          <w:bCs/>
          <w:szCs w:val="22"/>
          <w:lang w:val="sr-Latn-ME"/>
        </w:rPr>
        <w:t>bio je ud</w:t>
      </w:r>
      <w:r w:rsidR="00F40A2C" w:rsidRPr="009C0665">
        <w:rPr>
          <w:bCs/>
          <w:szCs w:val="22"/>
          <w:lang w:val="sr-Latn-ME"/>
        </w:rPr>
        <w:t>i</w:t>
      </w:r>
      <w:r w:rsidRPr="009C0665">
        <w:rPr>
          <w:bCs/>
          <w:szCs w:val="22"/>
          <w:lang w:val="sr-Latn-ME"/>
        </w:rPr>
        <w:t xml:space="preserve">o pacijenata u kliničkoj remisiji u 6.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 u subpopulaciji pacijenata koji ni</w:t>
      </w:r>
      <w:r w:rsidR="00F40A2C" w:rsidRPr="009C0665">
        <w:rPr>
          <w:bCs/>
          <w:szCs w:val="22"/>
          <w:lang w:val="sr-Latn-ME"/>
        </w:rPr>
        <w:t>je</w:t>
      </w:r>
      <w:r w:rsidRPr="009C0665">
        <w:rPr>
          <w:bCs/>
          <w:szCs w:val="22"/>
          <w:lang w:val="sr-Latn-ME"/>
        </w:rPr>
        <w:t>su reagovali na antagonist TNF</w:t>
      </w:r>
      <w:r w:rsidR="0047181E" w:rsidRPr="009C0665">
        <w:rPr>
          <w:bCs/>
          <w:szCs w:val="22"/>
          <w:lang w:val="sr-Latn-ME"/>
        </w:rPr>
        <w:t>-</w:t>
      </w:r>
      <w:r w:rsidR="00A42960" w:rsidRPr="009C0665">
        <w:rPr>
          <w:bCs/>
          <w:szCs w:val="22"/>
          <w:lang w:val="sr-Latn-ME"/>
        </w:rPr>
        <w:t>alfa</w:t>
      </w:r>
      <w:r w:rsidRPr="009C0665">
        <w:rPr>
          <w:bCs/>
          <w:szCs w:val="22"/>
          <w:lang w:val="sr-Latn-ME"/>
        </w:rPr>
        <w:t xml:space="preserve">. Kao što je navedeno u tabeli 4, iako primarni </w:t>
      </w:r>
      <w:r w:rsidR="00A42960" w:rsidRPr="009C0665">
        <w:rPr>
          <w:bCs/>
          <w:szCs w:val="22"/>
          <w:lang w:val="sr-Latn-ME"/>
        </w:rPr>
        <w:t xml:space="preserve">parametar praćenja </w:t>
      </w:r>
      <w:r w:rsidRPr="009C0665">
        <w:rPr>
          <w:bCs/>
          <w:szCs w:val="22"/>
          <w:lang w:val="sr-Latn-ME"/>
        </w:rPr>
        <w:t>nije ostvaren, eksplorativne analize pokazuju da su uočeni klinički značajni rezultati.</w:t>
      </w:r>
    </w:p>
    <w:p w14:paraId="41D5B599" w14:textId="77777777" w:rsidR="00847271" w:rsidRPr="009C0665" w:rsidRDefault="00847271" w:rsidP="004C7864">
      <w:pPr>
        <w:pStyle w:val="Header"/>
        <w:tabs>
          <w:tab w:val="left" w:pos="284"/>
        </w:tabs>
        <w:rPr>
          <w:bCs/>
          <w:szCs w:val="22"/>
          <w:lang w:val="sr-Latn-M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283"/>
        <w:gridCol w:w="284"/>
        <w:gridCol w:w="142"/>
        <w:gridCol w:w="1984"/>
        <w:gridCol w:w="142"/>
        <w:gridCol w:w="3510"/>
      </w:tblGrid>
      <w:tr w:rsidR="00847271" w:rsidRPr="009C0665" w14:paraId="48B66D0B" w14:textId="77777777" w:rsidTr="00C85BC4">
        <w:trPr>
          <w:trHeight w:val="274"/>
        </w:trPr>
        <w:tc>
          <w:tcPr>
            <w:tcW w:w="94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A48606" w14:textId="214C0A73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/>
                <w:bCs/>
                <w:szCs w:val="22"/>
                <w:lang w:val="sr-Latn-ME"/>
              </w:rPr>
              <w:t xml:space="preserve">Tabela 4. Rezultati efikasnosti u ispitivanjima GEMINI </w:t>
            </w:r>
            <w:r w:rsidR="00BE020D" w:rsidRPr="009C0665">
              <w:rPr>
                <w:b/>
                <w:bCs/>
                <w:szCs w:val="22"/>
                <w:lang w:val="sr-Latn-ME"/>
              </w:rPr>
              <w:t xml:space="preserve">2 </w:t>
            </w:r>
            <w:r w:rsidRPr="009C0665">
              <w:rPr>
                <w:b/>
                <w:bCs/>
                <w:szCs w:val="22"/>
                <w:lang w:val="sr-Latn-ME"/>
              </w:rPr>
              <w:t xml:space="preserve">i </w:t>
            </w:r>
            <w:r w:rsidR="00BE020D" w:rsidRPr="009C0665">
              <w:rPr>
                <w:b/>
                <w:bCs/>
                <w:szCs w:val="22"/>
                <w:lang w:val="sr-Latn-ME"/>
              </w:rPr>
              <w:t xml:space="preserve">3 </w:t>
            </w:r>
            <w:r w:rsidRPr="009C0665">
              <w:rPr>
                <w:b/>
                <w:bCs/>
                <w:szCs w:val="22"/>
                <w:lang w:val="sr-Latn-ME"/>
              </w:rPr>
              <w:t xml:space="preserve">u 6. i 10. </w:t>
            </w:r>
            <w:r w:rsidR="00AB003D" w:rsidRPr="009C0665">
              <w:rPr>
                <w:b/>
                <w:bCs/>
                <w:szCs w:val="22"/>
                <w:lang w:val="sr-Latn-ME"/>
              </w:rPr>
              <w:t>nedjelji</w:t>
            </w:r>
            <w:r w:rsidRPr="009C0665">
              <w:rPr>
                <w:b/>
                <w:bCs/>
                <w:szCs w:val="22"/>
                <w:lang w:val="sr-Latn-ME"/>
              </w:rPr>
              <w:t xml:space="preserve"> </w:t>
            </w:r>
          </w:p>
        </w:tc>
      </w:tr>
      <w:tr w:rsidR="00847271" w:rsidRPr="009C0665" w14:paraId="064015DB" w14:textId="77777777" w:rsidTr="00C85BC4">
        <w:trPr>
          <w:trHeight w:val="274"/>
        </w:trPr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82292C" w14:textId="77777777" w:rsidR="00847271" w:rsidRPr="009C0665" w:rsidRDefault="00A42960" w:rsidP="004C7864">
            <w:pPr>
              <w:pStyle w:val="Header"/>
              <w:jc w:val="left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Ispitivanje</w:t>
            </w:r>
          </w:p>
          <w:p w14:paraId="31723F39" w14:textId="77777777" w:rsidR="00847271" w:rsidRPr="009C0665" w:rsidRDefault="00A42960" w:rsidP="004C7864">
            <w:pPr>
              <w:pStyle w:val="Header"/>
              <w:jc w:val="left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Parametar praćenja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F03711" w14:textId="77777777" w:rsidR="00847271" w:rsidRPr="009C0665" w:rsidRDefault="00847271" w:rsidP="004C7864">
            <w:pPr>
              <w:pStyle w:val="Header"/>
              <w:jc w:val="left"/>
              <w:rPr>
                <w:bCs/>
                <w:szCs w:val="22"/>
                <w:lang w:val="sr-Latn-ME"/>
              </w:rPr>
            </w:pPr>
            <w:r w:rsidRPr="009C0665">
              <w:rPr>
                <w:b/>
                <w:bCs/>
                <w:szCs w:val="22"/>
                <w:lang w:val="sr-Latn-ME"/>
              </w:rPr>
              <w:t xml:space="preserve">Placebo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7D33FC" w14:textId="77777777" w:rsidR="00847271" w:rsidRPr="009C0665" w:rsidRDefault="00847271" w:rsidP="004C7864">
            <w:pPr>
              <w:pStyle w:val="Header"/>
              <w:jc w:val="left"/>
              <w:rPr>
                <w:bCs/>
                <w:szCs w:val="22"/>
                <w:lang w:val="sr-Latn-ME"/>
              </w:rPr>
            </w:pPr>
            <w:r w:rsidRPr="009C0665">
              <w:rPr>
                <w:b/>
                <w:bCs/>
                <w:szCs w:val="22"/>
                <w:lang w:val="sr-Latn-ME"/>
              </w:rPr>
              <w:t>Vedolizumab</w:t>
            </w:r>
            <w:r w:rsidR="00C85BC4" w:rsidRPr="009C0665">
              <w:rPr>
                <w:b/>
                <w:bCs/>
                <w:szCs w:val="22"/>
                <w:lang w:val="sr-Latn-ME"/>
              </w:rPr>
              <w:t xml:space="preserve"> IV</w:t>
            </w:r>
            <w:r w:rsidRPr="009C0665">
              <w:rPr>
                <w:b/>
                <w:bCs/>
                <w:szCs w:val="22"/>
                <w:lang w:val="sr-Latn-ME"/>
              </w:rPr>
              <w:t xml:space="preserve"> </w:t>
            </w:r>
          </w:p>
        </w:tc>
      </w:tr>
      <w:tr w:rsidR="00847271" w:rsidRPr="009C0665" w14:paraId="1C8EF6D1" w14:textId="77777777" w:rsidTr="00C85BC4">
        <w:trPr>
          <w:trHeight w:val="147"/>
        </w:trPr>
        <w:tc>
          <w:tcPr>
            <w:tcW w:w="94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9314B9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/>
                <w:bCs/>
                <w:szCs w:val="22"/>
                <w:lang w:val="sr-Latn-ME"/>
              </w:rPr>
              <w:t xml:space="preserve">Ispitivanje GEMINI </w:t>
            </w:r>
            <w:r w:rsidR="00BE020D" w:rsidRPr="009C0665">
              <w:rPr>
                <w:b/>
                <w:bCs/>
                <w:szCs w:val="22"/>
                <w:lang w:val="sr-Latn-ME"/>
              </w:rPr>
              <w:t xml:space="preserve">2 </w:t>
            </w:r>
          </w:p>
        </w:tc>
      </w:tr>
      <w:tr w:rsidR="00847271" w:rsidRPr="009C0665" w14:paraId="0952A2F1" w14:textId="77777777" w:rsidTr="00C85BC4">
        <w:trPr>
          <w:trHeight w:val="145"/>
        </w:trPr>
        <w:tc>
          <w:tcPr>
            <w:tcW w:w="946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39F8233" w14:textId="3AC645B1" w:rsidR="00847271" w:rsidRPr="009C0665" w:rsidRDefault="00847271" w:rsidP="004C7864">
            <w:pPr>
              <w:pStyle w:val="Header"/>
              <w:jc w:val="left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Klinička remisija, 6. </w:t>
            </w:r>
            <w:r w:rsidR="00AB003D" w:rsidRPr="009C0665">
              <w:rPr>
                <w:bCs/>
                <w:szCs w:val="22"/>
                <w:lang w:val="sr-Latn-ME"/>
              </w:rPr>
              <w:t>nedjelja</w:t>
            </w:r>
            <w:r w:rsidRPr="009C0665">
              <w:rPr>
                <w:bCs/>
                <w:szCs w:val="22"/>
                <w:lang w:val="sr-Latn-ME"/>
              </w:rPr>
              <w:t xml:space="preserve"> </w:t>
            </w:r>
          </w:p>
        </w:tc>
      </w:tr>
      <w:tr w:rsidR="00847271" w:rsidRPr="009C0665" w14:paraId="281A0A0F" w14:textId="77777777" w:rsidTr="00C85BC4">
        <w:trPr>
          <w:trHeight w:val="154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41A4CF" w14:textId="77777777" w:rsidR="00847271" w:rsidRPr="009C0665" w:rsidRDefault="00847271" w:rsidP="004C7864">
            <w:pPr>
              <w:pStyle w:val="Header"/>
              <w:jc w:val="left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Ukupno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5C67F2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7% (n = 148) 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CAB72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15%* (n = 220) </w:t>
            </w:r>
          </w:p>
        </w:tc>
      </w:tr>
      <w:tr w:rsidR="00847271" w:rsidRPr="009C0665" w14:paraId="7AC2406B" w14:textId="77777777" w:rsidTr="00C85BC4">
        <w:trPr>
          <w:trHeight w:val="271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00AC88" w14:textId="203EAFF8" w:rsidR="00847271" w:rsidRPr="009C0665" w:rsidRDefault="00A63489" w:rsidP="004C7864">
            <w:pPr>
              <w:pStyle w:val="Header"/>
              <w:jc w:val="left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Neuspjeh</w:t>
            </w:r>
            <w:r w:rsidR="00847271" w:rsidRPr="009C0665">
              <w:rPr>
                <w:bCs/>
                <w:szCs w:val="22"/>
                <w:lang w:val="sr-Latn-ME"/>
              </w:rPr>
              <w:t xml:space="preserve"> </w:t>
            </w:r>
            <w:r w:rsidR="00166D72" w:rsidRPr="009C0665">
              <w:rPr>
                <w:bCs/>
                <w:szCs w:val="22"/>
                <w:lang w:val="sr-Latn-ME"/>
              </w:rPr>
              <w:t>liječenja</w:t>
            </w:r>
            <w:r w:rsidR="00847271" w:rsidRPr="009C0665">
              <w:rPr>
                <w:bCs/>
                <w:szCs w:val="22"/>
                <w:lang w:val="sr-Latn-ME"/>
              </w:rPr>
              <w:t xml:space="preserve"> antagonistom </w:t>
            </w:r>
          </w:p>
          <w:p w14:paraId="56E79108" w14:textId="3EF92889" w:rsidR="00847271" w:rsidRPr="009C0665" w:rsidRDefault="00847271" w:rsidP="004C7864">
            <w:pPr>
              <w:pStyle w:val="Header"/>
              <w:jc w:val="left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(antagonistima) TNF</w:t>
            </w:r>
            <w:r w:rsidR="0047181E" w:rsidRPr="009C0665">
              <w:rPr>
                <w:bCs/>
                <w:szCs w:val="22"/>
                <w:lang w:val="sr-Latn-ME"/>
              </w:rPr>
              <w:t>-</w:t>
            </w:r>
            <w:r w:rsidR="00C85BC4" w:rsidRPr="009C0665">
              <w:rPr>
                <w:bCs/>
                <w:szCs w:val="22"/>
                <w:lang w:val="sr-Latn-ME"/>
              </w:rPr>
              <w:t>alfa</w:t>
            </w:r>
            <w:r w:rsidRPr="009C0665">
              <w:rPr>
                <w:bCs/>
                <w:szCs w:val="22"/>
                <w:lang w:val="sr-Latn-ME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B3BF85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4% (n = 70) 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6FC19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11% (n = 105) </w:t>
            </w:r>
          </w:p>
        </w:tc>
      </w:tr>
      <w:tr w:rsidR="00847271" w:rsidRPr="009C0665" w14:paraId="6883AE5A" w14:textId="77777777" w:rsidTr="00C85BC4">
        <w:trPr>
          <w:trHeight w:val="271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2E33F3" w14:textId="573A400C" w:rsidR="00847271" w:rsidRPr="009C0665" w:rsidRDefault="00847271" w:rsidP="004C7864">
            <w:pPr>
              <w:pStyle w:val="Header"/>
              <w:jc w:val="left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Bez prethodnog </w:t>
            </w:r>
            <w:r w:rsidR="00166D72" w:rsidRPr="009C0665">
              <w:rPr>
                <w:bCs/>
                <w:szCs w:val="22"/>
                <w:lang w:val="sr-Latn-ME"/>
              </w:rPr>
              <w:t>liječenja</w:t>
            </w:r>
            <w:r w:rsidRPr="009C0665">
              <w:rPr>
                <w:bCs/>
                <w:szCs w:val="22"/>
                <w:lang w:val="sr-Latn-ME"/>
              </w:rPr>
              <w:t xml:space="preserve"> </w:t>
            </w:r>
          </w:p>
          <w:p w14:paraId="4C8B941E" w14:textId="7794F7FE" w:rsidR="00847271" w:rsidRPr="009C0665" w:rsidRDefault="00847271" w:rsidP="004C7864">
            <w:pPr>
              <w:pStyle w:val="Header"/>
              <w:jc w:val="left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TNF</w:t>
            </w:r>
            <w:r w:rsidR="0047181E" w:rsidRPr="009C0665">
              <w:rPr>
                <w:bCs/>
                <w:szCs w:val="22"/>
                <w:lang w:val="sr-Latn-ME"/>
              </w:rPr>
              <w:t>-</w:t>
            </w:r>
            <w:r w:rsidR="00C85BC4" w:rsidRPr="009C0665">
              <w:rPr>
                <w:bCs/>
                <w:szCs w:val="22"/>
                <w:lang w:val="sr-Latn-ME"/>
              </w:rPr>
              <w:t>alfa</w:t>
            </w:r>
            <w:r w:rsidRPr="009C0665">
              <w:rPr>
                <w:bCs/>
                <w:szCs w:val="22"/>
                <w:lang w:val="sr-Latn-ME"/>
              </w:rPr>
              <w:t xml:space="preserve"> antagonistom (antagonistima)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BE2E7F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9% (n = 76) 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0A91AF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17% (n = 109) </w:t>
            </w:r>
          </w:p>
        </w:tc>
      </w:tr>
      <w:tr w:rsidR="00847271" w:rsidRPr="009C0665" w14:paraId="7B213273" w14:textId="77777777" w:rsidTr="00C85BC4">
        <w:trPr>
          <w:trHeight w:val="145"/>
        </w:trPr>
        <w:tc>
          <w:tcPr>
            <w:tcW w:w="946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EC4B359" w14:textId="526E218D" w:rsidR="00847271" w:rsidRPr="009C0665" w:rsidRDefault="00847271" w:rsidP="004C7864">
            <w:pPr>
              <w:pStyle w:val="Header"/>
              <w:jc w:val="left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Pojačani klinički odgovor, 6. </w:t>
            </w:r>
            <w:r w:rsidR="00AB003D" w:rsidRPr="009C0665">
              <w:rPr>
                <w:bCs/>
                <w:szCs w:val="22"/>
                <w:lang w:val="sr-Latn-ME"/>
              </w:rPr>
              <w:t>nedjelja</w:t>
            </w:r>
            <w:r w:rsidRPr="009C0665">
              <w:rPr>
                <w:bCs/>
                <w:szCs w:val="22"/>
                <w:lang w:val="sr-Latn-ME"/>
              </w:rPr>
              <w:t xml:space="preserve"> </w:t>
            </w:r>
          </w:p>
        </w:tc>
      </w:tr>
      <w:tr w:rsidR="00847271" w:rsidRPr="009C0665" w14:paraId="6BD67769" w14:textId="77777777" w:rsidTr="00C85BC4">
        <w:trPr>
          <w:trHeight w:val="154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994CCE" w14:textId="77777777" w:rsidR="00847271" w:rsidRPr="009C0665" w:rsidRDefault="00847271" w:rsidP="004C7864">
            <w:pPr>
              <w:pStyle w:val="Header"/>
              <w:jc w:val="left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Ukupno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244B62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26% (n = 148) 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6CD28E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31%† (n = 220) </w:t>
            </w:r>
          </w:p>
        </w:tc>
      </w:tr>
      <w:tr w:rsidR="00847271" w:rsidRPr="009C0665" w14:paraId="2159FD5B" w14:textId="77777777" w:rsidTr="00C85BC4">
        <w:trPr>
          <w:trHeight w:val="27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AFF194" w14:textId="28B0ADDB" w:rsidR="00847271" w:rsidRPr="009C0665" w:rsidRDefault="00A63489" w:rsidP="004C7864">
            <w:pPr>
              <w:pStyle w:val="Header"/>
              <w:jc w:val="left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Neuspjeh</w:t>
            </w:r>
            <w:r w:rsidR="00847271" w:rsidRPr="009C0665">
              <w:rPr>
                <w:bCs/>
                <w:szCs w:val="22"/>
                <w:lang w:val="sr-Latn-ME"/>
              </w:rPr>
              <w:t xml:space="preserve"> </w:t>
            </w:r>
            <w:r w:rsidR="00166D72" w:rsidRPr="009C0665">
              <w:rPr>
                <w:bCs/>
                <w:szCs w:val="22"/>
                <w:lang w:val="sr-Latn-ME"/>
              </w:rPr>
              <w:t>liječenja</w:t>
            </w:r>
            <w:r w:rsidR="00847271" w:rsidRPr="009C0665">
              <w:rPr>
                <w:bCs/>
                <w:szCs w:val="22"/>
                <w:lang w:val="sr-Latn-ME"/>
              </w:rPr>
              <w:t xml:space="preserve"> antagonistom </w:t>
            </w:r>
          </w:p>
          <w:p w14:paraId="01D38D1E" w14:textId="28FABE84" w:rsidR="00847271" w:rsidRPr="009C0665" w:rsidRDefault="00847271" w:rsidP="004C7864">
            <w:pPr>
              <w:pStyle w:val="Header"/>
              <w:jc w:val="left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(antagonistima) TNF</w:t>
            </w:r>
            <w:r w:rsidR="0047181E" w:rsidRPr="009C0665">
              <w:rPr>
                <w:bCs/>
                <w:szCs w:val="22"/>
                <w:lang w:val="sr-Latn-ME"/>
              </w:rPr>
              <w:t>-</w:t>
            </w:r>
            <w:r w:rsidR="00C85BC4" w:rsidRPr="009C0665">
              <w:rPr>
                <w:bCs/>
                <w:szCs w:val="22"/>
                <w:lang w:val="sr-Latn-ME"/>
              </w:rPr>
              <w:t>alfa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BD95CEA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23% (n = 70) 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CE4C82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24% (n = 105) </w:t>
            </w:r>
          </w:p>
        </w:tc>
      </w:tr>
      <w:tr w:rsidR="00847271" w:rsidRPr="009C0665" w14:paraId="56B97A66" w14:textId="77777777" w:rsidTr="00C85BC4">
        <w:trPr>
          <w:trHeight w:val="271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5955A4" w14:textId="1AEB06BA" w:rsidR="00847271" w:rsidRPr="009C0665" w:rsidRDefault="00847271" w:rsidP="004C7864">
            <w:pPr>
              <w:pStyle w:val="Header"/>
              <w:jc w:val="left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Bez prethodnog </w:t>
            </w:r>
            <w:r w:rsidR="00166D72" w:rsidRPr="009C0665">
              <w:rPr>
                <w:bCs/>
                <w:szCs w:val="22"/>
                <w:lang w:val="sr-Latn-ME"/>
              </w:rPr>
              <w:t>liječenja</w:t>
            </w:r>
            <w:r w:rsidRPr="009C0665">
              <w:rPr>
                <w:bCs/>
                <w:szCs w:val="22"/>
                <w:lang w:val="sr-Latn-ME"/>
              </w:rPr>
              <w:t xml:space="preserve"> </w:t>
            </w:r>
          </w:p>
          <w:p w14:paraId="4237364A" w14:textId="366B8F84" w:rsidR="00847271" w:rsidRPr="009C0665" w:rsidRDefault="00847271" w:rsidP="004C7864">
            <w:pPr>
              <w:pStyle w:val="Header"/>
              <w:jc w:val="left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TNF</w:t>
            </w:r>
            <w:r w:rsidR="0047181E" w:rsidRPr="009C0665">
              <w:rPr>
                <w:bCs/>
                <w:szCs w:val="22"/>
                <w:lang w:val="sr-Latn-ME"/>
              </w:rPr>
              <w:t>-</w:t>
            </w:r>
            <w:r w:rsidR="00C85BC4" w:rsidRPr="009C0665">
              <w:rPr>
                <w:bCs/>
                <w:szCs w:val="22"/>
                <w:lang w:val="sr-Latn-ME"/>
              </w:rPr>
              <w:t>alfa</w:t>
            </w:r>
            <w:r w:rsidRPr="009C0665">
              <w:rPr>
                <w:bCs/>
                <w:szCs w:val="22"/>
                <w:lang w:val="sr-Latn-ME"/>
              </w:rPr>
              <w:t xml:space="preserve"> antagonistom (antagonistima)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2A9A2F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30% (n = 76) 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69ED18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42% (n = 109) </w:t>
            </w:r>
          </w:p>
        </w:tc>
      </w:tr>
      <w:tr w:rsidR="00847271" w:rsidRPr="009C0665" w14:paraId="2F3FFA31" w14:textId="77777777" w:rsidTr="00847271">
        <w:trPr>
          <w:gridAfter w:val="6"/>
          <w:wAfter w:w="6345" w:type="dxa"/>
          <w:trHeight w:val="5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97C3D" w14:textId="33EDA68D" w:rsidR="00847271" w:rsidRPr="009C0665" w:rsidRDefault="00A63489" w:rsidP="004C7864">
            <w:pPr>
              <w:pStyle w:val="Header"/>
              <w:jc w:val="left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lastRenderedPageBreak/>
              <w:t>Promjena</w:t>
            </w:r>
            <w:r w:rsidR="00847271" w:rsidRPr="009C0665">
              <w:rPr>
                <w:bCs/>
                <w:szCs w:val="22"/>
                <w:lang w:val="sr-Latn-ME"/>
              </w:rPr>
              <w:t xml:space="preserve"> nivoa serumskog C- reaktivnog proteina u odnosu na vr</w:t>
            </w:r>
            <w:r w:rsidR="00F40A2C" w:rsidRPr="009C0665">
              <w:rPr>
                <w:bCs/>
                <w:szCs w:val="22"/>
                <w:lang w:val="sr-Latn-ME"/>
              </w:rPr>
              <w:t>ij</w:t>
            </w:r>
            <w:r w:rsidR="00847271" w:rsidRPr="009C0665">
              <w:rPr>
                <w:bCs/>
                <w:szCs w:val="22"/>
                <w:lang w:val="sr-Latn-ME"/>
              </w:rPr>
              <w:t>ednosti pr</w:t>
            </w:r>
            <w:r w:rsidR="00F40A2C" w:rsidRPr="009C0665">
              <w:rPr>
                <w:bCs/>
                <w:szCs w:val="22"/>
                <w:lang w:val="sr-Latn-ME"/>
              </w:rPr>
              <w:t>ij</w:t>
            </w:r>
            <w:r w:rsidR="00847271" w:rsidRPr="009C0665">
              <w:rPr>
                <w:bCs/>
                <w:szCs w:val="22"/>
                <w:lang w:val="sr-Latn-ME"/>
              </w:rPr>
              <w:t xml:space="preserve">e ispitivanja do 6. </w:t>
            </w:r>
            <w:r w:rsidR="00166D72" w:rsidRPr="009C0665">
              <w:rPr>
                <w:bCs/>
                <w:szCs w:val="22"/>
                <w:lang w:val="sr-Latn-ME"/>
              </w:rPr>
              <w:t>nedjelje</w:t>
            </w:r>
            <w:r w:rsidR="00847271" w:rsidRPr="009C0665">
              <w:rPr>
                <w:bCs/>
                <w:szCs w:val="22"/>
                <w:lang w:val="sr-Latn-ME"/>
              </w:rPr>
              <w:t>,</w:t>
            </w:r>
            <w:r w:rsidR="00C85BC4" w:rsidRPr="009C0665">
              <w:rPr>
                <w:bCs/>
                <w:szCs w:val="22"/>
                <w:lang w:val="sr-Latn-ME"/>
              </w:rPr>
              <w:t xml:space="preserve"> </w:t>
            </w:r>
            <w:r w:rsidR="00847271" w:rsidRPr="009C0665">
              <w:rPr>
                <w:bCs/>
                <w:szCs w:val="22"/>
                <w:lang w:val="sr-Latn-ME"/>
              </w:rPr>
              <w:t>medijan</w:t>
            </w:r>
            <w:r w:rsidR="00C85BC4" w:rsidRPr="009C0665">
              <w:rPr>
                <w:bCs/>
                <w:szCs w:val="22"/>
                <w:lang w:val="sr-Latn-ME"/>
              </w:rPr>
              <w:t>a</w:t>
            </w:r>
            <w:r w:rsidR="00847271" w:rsidRPr="009C0665">
              <w:rPr>
                <w:bCs/>
                <w:szCs w:val="22"/>
                <w:lang w:val="sr-Latn-ME"/>
              </w:rPr>
              <w:t xml:space="preserve"> (mikrograma/m</w:t>
            </w:r>
            <w:r w:rsidR="00F40A2C" w:rsidRPr="009C0665">
              <w:rPr>
                <w:bCs/>
                <w:szCs w:val="22"/>
                <w:lang w:val="sr-Latn-ME"/>
              </w:rPr>
              <w:t>l</w:t>
            </w:r>
            <w:r w:rsidR="00847271" w:rsidRPr="009C0665">
              <w:rPr>
                <w:bCs/>
                <w:szCs w:val="22"/>
                <w:lang w:val="sr-Latn-ME"/>
              </w:rPr>
              <w:t xml:space="preserve">) </w:t>
            </w:r>
          </w:p>
        </w:tc>
      </w:tr>
      <w:tr w:rsidR="00847271" w:rsidRPr="009C0665" w14:paraId="4110F5D7" w14:textId="77777777" w:rsidTr="00C85BC4">
        <w:trPr>
          <w:trHeight w:val="154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6DEEF6" w14:textId="77777777" w:rsidR="00847271" w:rsidRPr="009C0665" w:rsidRDefault="00847271" w:rsidP="004C7864">
            <w:pPr>
              <w:pStyle w:val="Header"/>
              <w:jc w:val="left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Ukupno‡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751FF2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-0.5 (n = 147) </w:t>
            </w:r>
          </w:p>
        </w:tc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5752D1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-0.9 (n = 220) </w:t>
            </w:r>
          </w:p>
        </w:tc>
      </w:tr>
      <w:tr w:rsidR="00847271" w:rsidRPr="009C0665" w14:paraId="1119A1A9" w14:textId="77777777" w:rsidTr="00C85BC4">
        <w:trPr>
          <w:trHeight w:val="147"/>
        </w:trPr>
        <w:tc>
          <w:tcPr>
            <w:tcW w:w="946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2B411BF" w14:textId="77777777" w:rsidR="00847271" w:rsidRPr="009C0665" w:rsidRDefault="00847271" w:rsidP="004C7864">
            <w:pPr>
              <w:pStyle w:val="Header"/>
              <w:jc w:val="left"/>
              <w:rPr>
                <w:bCs/>
                <w:szCs w:val="22"/>
                <w:lang w:val="sr-Latn-ME"/>
              </w:rPr>
            </w:pPr>
            <w:r w:rsidRPr="009C0665">
              <w:rPr>
                <w:b/>
                <w:bCs/>
                <w:szCs w:val="22"/>
                <w:lang w:val="sr-Latn-ME"/>
              </w:rPr>
              <w:t xml:space="preserve">Ispitivanje GEMINI </w:t>
            </w:r>
            <w:r w:rsidR="00BE020D" w:rsidRPr="009C0665">
              <w:rPr>
                <w:b/>
                <w:bCs/>
                <w:szCs w:val="22"/>
                <w:lang w:val="sr-Latn-ME"/>
              </w:rPr>
              <w:t xml:space="preserve">3 </w:t>
            </w:r>
          </w:p>
        </w:tc>
      </w:tr>
      <w:tr w:rsidR="00847271" w:rsidRPr="009C0665" w14:paraId="132FA716" w14:textId="77777777" w:rsidTr="00C85BC4">
        <w:trPr>
          <w:trHeight w:val="145"/>
        </w:trPr>
        <w:tc>
          <w:tcPr>
            <w:tcW w:w="946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F5B78A2" w14:textId="286CE4C1" w:rsidR="00847271" w:rsidRPr="009C0665" w:rsidRDefault="00847271" w:rsidP="004C7864">
            <w:pPr>
              <w:pStyle w:val="Header"/>
              <w:jc w:val="left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Klinička remisija, 6. </w:t>
            </w:r>
            <w:r w:rsidR="00AB003D" w:rsidRPr="009C0665">
              <w:rPr>
                <w:bCs/>
                <w:szCs w:val="22"/>
                <w:lang w:val="sr-Latn-ME"/>
              </w:rPr>
              <w:t>nedjelja</w:t>
            </w:r>
            <w:r w:rsidRPr="009C0665">
              <w:rPr>
                <w:bCs/>
                <w:szCs w:val="22"/>
                <w:lang w:val="sr-Latn-ME"/>
              </w:rPr>
              <w:t xml:space="preserve"> </w:t>
            </w:r>
          </w:p>
        </w:tc>
      </w:tr>
      <w:tr w:rsidR="00847271" w:rsidRPr="009C0665" w14:paraId="6E939A7C" w14:textId="77777777" w:rsidTr="00C85BC4">
        <w:trPr>
          <w:trHeight w:val="154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29AE5E" w14:textId="1303701A" w:rsidR="00847271" w:rsidRPr="009C0665" w:rsidRDefault="00847271" w:rsidP="004C7864">
            <w:pPr>
              <w:pStyle w:val="Header"/>
              <w:jc w:val="left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Ukupno</w:t>
            </w:r>
            <w:r w:rsidRPr="009C0665">
              <w:rPr>
                <w:bCs/>
                <w:szCs w:val="22"/>
                <w:vertAlign w:val="superscript"/>
                <w:lang w:val="sr-Latn-ME"/>
              </w:rPr>
              <w:t>‡</w:t>
            </w:r>
            <w:r w:rsidRPr="009C0665">
              <w:rPr>
                <w:bCs/>
                <w:szCs w:val="22"/>
                <w:lang w:val="sr-Latn-ME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13088B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12% (n = 207) </w:t>
            </w:r>
          </w:p>
        </w:tc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3B7F67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19% (n = 209) </w:t>
            </w:r>
          </w:p>
        </w:tc>
      </w:tr>
      <w:tr w:rsidR="00847271" w:rsidRPr="009C0665" w14:paraId="57F737A8" w14:textId="77777777" w:rsidTr="00C85BC4">
        <w:trPr>
          <w:trHeight w:val="28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9A81DB" w14:textId="3606963E" w:rsidR="00847271" w:rsidRPr="009C0665" w:rsidRDefault="00A63489" w:rsidP="004C7864">
            <w:pPr>
              <w:pStyle w:val="Header"/>
              <w:jc w:val="left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Neuspjeh</w:t>
            </w:r>
            <w:r w:rsidR="00847271" w:rsidRPr="009C0665">
              <w:rPr>
                <w:bCs/>
                <w:szCs w:val="22"/>
                <w:lang w:val="sr-Latn-ME"/>
              </w:rPr>
              <w:t xml:space="preserve"> </w:t>
            </w:r>
            <w:r w:rsidR="00166D72" w:rsidRPr="009C0665">
              <w:rPr>
                <w:bCs/>
                <w:szCs w:val="22"/>
                <w:lang w:val="sr-Latn-ME"/>
              </w:rPr>
              <w:t>liječenja</w:t>
            </w:r>
            <w:r w:rsidR="00847271" w:rsidRPr="009C0665">
              <w:rPr>
                <w:bCs/>
                <w:szCs w:val="22"/>
                <w:lang w:val="sr-Latn-ME"/>
              </w:rPr>
              <w:t xml:space="preserve"> antagonistom </w:t>
            </w:r>
          </w:p>
          <w:p w14:paraId="55747D4F" w14:textId="6099671F" w:rsidR="00847271" w:rsidRPr="009C0665" w:rsidRDefault="00847271" w:rsidP="004C7864">
            <w:pPr>
              <w:pStyle w:val="Default"/>
              <w:tabs>
                <w:tab w:val="center" w:pos="4536"/>
                <w:tab w:val="right" w:pos="9072"/>
              </w:tabs>
              <w:autoSpaceDE/>
              <w:autoSpaceDN/>
              <w:adjustRightInd/>
              <w:rPr>
                <w:bCs/>
                <w:sz w:val="22"/>
                <w:szCs w:val="22"/>
                <w:lang w:val="sr-Latn-ME"/>
              </w:rPr>
            </w:pPr>
            <w:r w:rsidRPr="009C0665">
              <w:rPr>
                <w:bCs/>
                <w:sz w:val="22"/>
                <w:szCs w:val="22"/>
                <w:lang w:val="sr-Latn-ME"/>
              </w:rPr>
              <w:t>(antagonistima) TNF</w:t>
            </w:r>
            <w:r w:rsidR="0047181E" w:rsidRPr="009C0665">
              <w:rPr>
                <w:bCs/>
                <w:sz w:val="22"/>
                <w:szCs w:val="22"/>
                <w:lang w:val="sr-Latn-ME"/>
              </w:rPr>
              <w:t>-</w:t>
            </w:r>
            <w:r w:rsidR="00C85BC4" w:rsidRPr="009C0665">
              <w:rPr>
                <w:bCs/>
                <w:sz w:val="22"/>
                <w:szCs w:val="22"/>
                <w:lang w:val="sr-Latn-ME"/>
              </w:rPr>
              <w:t>alfa</w:t>
            </w:r>
            <w:r w:rsidR="00FD4AF4" w:rsidRPr="009C0665">
              <w:rPr>
                <w:sz w:val="22"/>
                <w:szCs w:val="22"/>
                <w:vertAlign w:val="superscript"/>
                <w:lang w:val="sr-Latn-ME"/>
              </w:rPr>
              <w:t xml:space="preserve">¶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F815DD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12% (n = 157) </w:t>
            </w:r>
          </w:p>
        </w:tc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6BBB23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15%§ (n = 158) </w:t>
            </w:r>
          </w:p>
        </w:tc>
      </w:tr>
      <w:tr w:rsidR="00847271" w:rsidRPr="009C0665" w14:paraId="007406BB" w14:textId="77777777" w:rsidTr="00C85BC4">
        <w:trPr>
          <w:trHeight w:val="27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1F114E" w14:textId="0E3F3EE2" w:rsidR="00847271" w:rsidRPr="009C0665" w:rsidRDefault="00847271" w:rsidP="004C7864">
            <w:pPr>
              <w:pStyle w:val="Header"/>
              <w:jc w:val="left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Bez prethodnog </w:t>
            </w:r>
            <w:r w:rsidR="00166D72" w:rsidRPr="009C0665">
              <w:rPr>
                <w:bCs/>
                <w:szCs w:val="22"/>
                <w:lang w:val="sr-Latn-ME"/>
              </w:rPr>
              <w:t>liječenja</w:t>
            </w:r>
            <w:r w:rsidRPr="009C0665">
              <w:rPr>
                <w:bCs/>
                <w:szCs w:val="22"/>
                <w:lang w:val="sr-Latn-ME"/>
              </w:rPr>
              <w:t xml:space="preserve"> TNF</w:t>
            </w:r>
            <w:r w:rsidR="0047181E" w:rsidRPr="009C0665">
              <w:rPr>
                <w:bCs/>
                <w:szCs w:val="22"/>
                <w:lang w:val="sr-Latn-ME"/>
              </w:rPr>
              <w:t>-</w:t>
            </w:r>
            <w:r w:rsidR="00C85BC4" w:rsidRPr="009C0665">
              <w:rPr>
                <w:bCs/>
                <w:szCs w:val="22"/>
                <w:lang w:val="sr-Latn-ME"/>
              </w:rPr>
              <w:t>alfa</w:t>
            </w:r>
            <w:r w:rsidRPr="009C0665">
              <w:rPr>
                <w:bCs/>
                <w:szCs w:val="22"/>
                <w:lang w:val="sr-Latn-ME"/>
              </w:rPr>
              <w:t xml:space="preserve"> antagonistom (antagonistima)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E7BF0B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12% (n = 50) </w:t>
            </w:r>
          </w:p>
        </w:tc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98DD71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31% (n = 51) </w:t>
            </w:r>
          </w:p>
        </w:tc>
      </w:tr>
      <w:tr w:rsidR="00847271" w:rsidRPr="009C0665" w14:paraId="004C4B30" w14:textId="77777777" w:rsidTr="00C85BC4">
        <w:trPr>
          <w:trHeight w:val="145"/>
        </w:trPr>
        <w:tc>
          <w:tcPr>
            <w:tcW w:w="946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E32DCC4" w14:textId="651994BE" w:rsidR="00847271" w:rsidRPr="009C0665" w:rsidRDefault="00847271" w:rsidP="004C7864">
            <w:pPr>
              <w:pStyle w:val="Header"/>
              <w:jc w:val="left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Klinička remisija, 10. </w:t>
            </w:r>
            <w:r w:rsidR="00AB003D" w:rsidRPr="009C0665">
              <w:rPr>
                <w:bCs/>
                <w:szCs w:val="22"/>
                <w:lang w:val="sr-Latn-ME"/>
              </w:rPr>
              <w:t>nedjelja</w:t>
            </w:r>
            <w:r w:rsidRPr="009C0665">
              <w:rPr>
                <w:bCs/>
                <w:szCs w:val="22"/>
                <w:lang w:val="sr-Latn-ME"/>
              </w:rPr>
              <w:t xml:space="preserve"> </w:t>
            </w:r>
          </w:p>
        </w:tc>
      </w:tr>
      <w:tr w:rsidR="00847271" w:rsidRPr="009C0665" w14:paraId="5C21FAE1" w14:textId="77777777" w:rsidTr="00C85BC4">
        <w:trPr>
          <w:trHeight w:val="14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ED1262" w14:textId="77777777" w:rsidR="00847271" w:rsidRPr="009C0665" w:rsidRDefault="00847271" w:rsidP="004C7864">
            <w:pPr>
              <w:pStyle w:val="Header"/>
              <w:jc w:val="left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Ukupno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E6F7F1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13% (n = 207) </w:t>
            </w:r>
          </w:p>
        </w:tc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C2C590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29% (n = 209) </w:t>
            </w:r>
          </w:p>
        </w:tc>
      </w:tr>
      <w:tr w:rsidR="00847271" w:rsidRPr="009C0665" w14:paraId="54F2EA71" w14:textId="77777777" w:rsidTr="00C85BC4">
        <w:trPr>
          <w:trHeight w:val="279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A27437" w14:textId="4E642B11" w:rsidR="00847271" w:rsidRPr="009C0665" w:rsidRDefault="00A63489" w:rsidP="004C7864">
            <w:pPr>
              <w:pStyle w:val="Header"/>
              <w:jc w:val="left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Neuspjeh</w:t>
            </w:r>
            <w:r w:rsidR="00847271" w:rsidRPr="009C0665">
              <w:rPr>
                <w:bCs/>
                <w:szCs w:val="22"/>
                <w:lang w:val="sr-Latn-ME"/>
              </w:rPr>
              <w:t xml:space="preserve"> </w:t>
            </w:r>
            <w:r w:rsidR="00166D72" w:rsidRPr="009C0665">
              <w:rPr>
                <w:bCs/>
                <w:szCs w:val="22"/>
                <w:lang w:val="sr-Latn-ME"/>
              </w:rPr>
              <w:t>liječenja</w:t>
            </w:r>
            <w:r w:rsidR="00847271" w:rsidRPr="009C0665">
              <w:rPr>
                <w:bCs/>
                <w:szCs w:val="22"/>
                <w:lang w:val="sr-Latn-ME"/>
              </w:rPr>
              <w:t xml:space="preserve"> antagonistom </w:t>
            </w:r>
          </w:p>
          <w:p w14:paraId="595119BA" w14:textId="586C1DAC" w:rsidR="00847271" w:rsidRPr="009C0665" w:rsidRDefault="00847271" w:rsidP="004C7864">
            <w:pPr>
              <w:pStyle w:val="Default"/>
              <w:tabs>
                <w:tab w:val="center" w:pos="4536"/>
                <w:tab w:val="right" w:pos="9072"/>
              </w:tabs>
              <w:autoSpaceDE/>
              <w:autoSpaceDN/>
              <w:adjustRightInd/>
              <w:rPr>
                <w:bCs/>
                <w:sz w:val="22"/>
                <w:szCs w:val="22"/>
                <w:lang w:val="sr-Latn-ME"/>
              </w:rPr>
            </w:pPr>
            <w:r w:rsidRPr="009C0665">
              <w:rPr>
                <w:bCs/>
                <w:sz w:val="22"/>
                <w:szCs w:val="22"/>
                <w:lang w:val="sr-Latn-ME"/>
              </w:rPr>
              <w:t>(antagonistima) TNF</w:t>
            </w:r>
            <w:r w:rsidR="0047181E" w:rsidRPr="009C0665">
              <w:rPr>
                <w:bCs/>
                <w:sz w:val="22"/>
                <w:szCs w:val="22"/>
                <w:lang w:val="sr-Latn-ME"/>
              </w:rPr>
              <w:t>-</w:t>
            </w:r>
            <w:r w:rsidR="00C85BC4" w:rsidRPr="009C0665">
              <w:rPr>
                <w:bCs/>
                <w:sz w:val="22"/>
                <w:szCs w:val="22"/>
                <w:lang w:val="sr-Latn-ME"/>
              </w:rPr>
              <w:t>alfa</w:t>
            </w:r>
            <w:r w:rsidR="00FD4AF4" w:rsidRPr="009C0665">
              <w:rPr>
                <w:sz w:val="22"/>
                <w:szCs w:val="22"/>
                <w:vertAlign w:val="superscript"/>
                <w:lang w:val="sr-Latn-ME"/>
              </w:rPr>
              <w:t xml:space="preserve">¶,‡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54D3CF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12% (n = 157) </w:t>
            </w:r>
          </w:p>
        </w:tc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4E5A82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27% (n = 158) </w:t>
            </w:r>
          </w:p>
        </w:tc>
      </w:tr>
      <w:tr w:rsidR="00847271" w:rsidRPr="009C0665" w14:paraId="61338B9F" w14:textId="77777777" w:rsidTr="00C85BC4">
        <w:trPr>
          <w:trHeight w:val="27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18DA41" w14:textId="1BD90A45" w:rsidR="00847271" w:rsidRPr="009C0665" w:rsidRDefault="00847271" w:rsidP="004C7864">
            <w:pPr>
              <w:pStyle w:val="Header"/>
              <w:jc w:val="left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Bez prethodnog </w:t>
            </w:r>
            <w:r w:rsidR="00166D72" w:rsidRPr="009C0665">
              <w:rPr>
                <w:bCs/>
                <w:szCs w:val="22"/>
                <w:lang w:val="sr-Latn-ME"/>
              </w:rPr>
              <w:t>liječenja</w:t>
            </w:r>
            <w:r w:rsidRPr="009C0665">
              <w:rPr>
                <w:bCs/>
                <w:szCs w:val="22"/>
                <w:lang w:val="sr-Latn-ME"/>
              </w:rPr>
              <w:t xml:space="preserve"> TNF</w:t>
            </w:r>
            <w:r w:rsidR="0047181E" w:rsidRPr="009C0665">
              <w:rPr>
                <w:bCs/>
                <w:szCs w:val="22"/>
                <w:lang w:val="sr-Latn-ME"/>
              </w:rPr>
              <w:t>-</w:t>
            </w:r>
            <w:r w:rsidR="00C85BC4" w:rsidRPr="009C0665">
              <w:rPr>
                <w:bCs/>
                <w:szCs w:val="22"/>
                <w:lang w:val="sr-Latn-ME"/>
              </w:rPr>
              <w:t>alfa</w:t>
            </w:r>
            <w:r w:rsidRPr="009C0665">
              <w:rPr>
                <w:bCs/>
                <w:szCs w:val="22"/>
                <w:lang w:val="sr-Latn-ME"/>
              </w:rPr>
              <w:t xml:space="preserve"> antagonistom (antagonistima)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79A3FE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16% (n = 50) </w:t>
            </w:r>
          </w:p>
        </w:tc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94F97B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35% (n = 51) </w:t>
            </w:r>
          </w:p>
        </w:tc>
      </w:tr>
      <w:tr w:rsidR="00847271" w:rsidRPr="009C0665" w14:paraId="7F9D4632" w14:textId="77777777" w:rsidTr="00C85BC4">
        <w:trPr>
          <w:trHeight w:val="154"/>
        </w:trPr>
        <w:tc>
          <w:tcPr>
            <w:tcW w:w="946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1803C7D" w14:textId="77777777" w:rsidR="00847271" w:rsidRPr="009C0665" w:rsidRDefault="00847271" w:rsidP="004C7864">
            <w:pPr>
              <w:pStyle w:val="Header"/>
              <w:jc w:val="left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Održana klinička remisija</w:t>
            </w:r>
            <w:r w:rsidRPr="009C0665">
              <w:rPr>
                <w:bCs/>
                <w:szCs w:val="22"/>
                <w:vertAlign w:val="superscript"/>
                <w:lang w:val="sr-Latn-ME"/>
              </w:rPr>
              <w:t>#¶</w:t>
            </w:r>
            <w:r w:rsidRPr="009C0665">
              <w:rPr>
                <w:bCs/>
                <w:szCs w:val="22"/>
                <w:lang w:val="sr-Latn-ME"/>
              </w:rPr>
              <w:t xml:space="preserve"> </w:t>
            </w:r>
          </w:p>
        </w:tc>
      </w:tr>
      <w:tr w:rsidR="00847271" w:rsidRPr="009C0665" w14:paraId="7F6829A1" w14:textId="77777777" w:rsidTr="00C85BC4">
        <w:trPr>
          <w:trHeight w:val="14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9AF49C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Ukupno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A6D5AC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8% (n = 207) </w:t>
            </w:r>
          </w:p>
        </w:tc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5FE886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15% (n = 209) </w:t>
            </w:r>
          </w:p>
        </w:tc>
      </w:tr>
      <w:tr w:rsidR="00847271" w:rsidRPr="009C0665" w14:paraId="0E2F8660" w14:textId="77777777" w:rsidTr="00C85BC4">
        <w:trPr>
          <w:trHeight w:val="279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11F43B" w14:textId="7C45B6F9" w:rsidR="00847271" w:rsidRPr="009C0665" w:rsidRDefault="00A63489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Neuspjeh</w:t>
            </w:r>
            <w:r w:rsidR="00847271" w:rsidRPr="009C0665">
              <w:rPr>
                <w:bCs/>
                <w:szCs w:val="22"/>
                <w:lang w:val="sr-Latn-ME"/>
              </w:rPr>
              <w:t xml:space="preserve"> </w:t>
            </w:r>
            <w:r w:rsidR="00166D72" w:rsidRPr="009C0665">
              <w:rPr>
                <w:bCs/>
                <w:szCs w:val="22"/>
                <w:lang w:val="sr-Latn-ME"/>
              </w:rPr>
              <w:t>liječenja</w:t>
            </w:r>
            <w:r w:rsidR="00847271" w:rsidRPr="009C0665">
              <w:rPr>
                <w:bCs/>
                <w:szCs w:val="22"/>
                <w:lang w:val="sr-Latn-ME"/>
              </w:rPr>
              <w:t xml:space="preserve"> antagonistom </w:t>
            </w:r>
          </w:p>
          <w:p w14:paraId="7DD36741" w14:textId="73D2960C" w:rsidR="00847271" w:rsidRPr="009C0665" w:rsidRDefault="00847271" w:rsidP="004C7864">
            <w:pPr>
              <w:pStyle w:val="Default"/>
              <w:tabs>
                <w:tab w:val="center" w:pos="4536"/>
                <w:tab w:val="right" w:pos="9072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  <w:lang w:val="sr-Latn-ME"/>
              </w:rPr>
            </w:pPr>
            <w:r w:rsidRPr="009C0665">
              <w:rPr>
                <w:bCs/>
                <w:sz w:val="22"/>
                <w:szCs w:val="22"/>
                <w:lang w:val="sr-Latn-ME"/>
              </w:rPr>
              <w:t>(antagonistima) TNF</w:t>
            </w:r>
            <w:r w:rsidR="0047181E" w:rsidRPr="009C0665">
              <w:rPr>
                <w:bCs/>
                <w:sz w:val="22"/>
                <w:szCs w:val="22"/>
                <w:lang w:val="sr-Latn-ME"/>
              </w:rPr>
              <w:t>-</w:t>
            </w:r>
            <w:r w:rsidR="00C85BC4" w:rsidRPr="009C0665">
              <w:rPr>
                <w:bCs/>
                <w:sz w:val="22"/>
                <w:szCs w:val="22"/>
                <w:lang w:val="sr-Latn-ME"/>
              </w:rPr>
              <w:t>alfa</w:t>
            </w:r>
            <w:r w:rsidR="00FD4AF4" w:rsidRPr="009C0665">
              <w:rPr>
                <w:sz w:val="22"/>
                <w:szCs w:val="22"/>
                <w:vertAlign w:val="superscript"/>
                <w:lang w:val="sr-Latn-ME"/>
              </w:rPr>
              <w:t xml:space="preserve">¶,‡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2D1111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8% (n = 157) </w:t>
            </w:r>
          </w:p>
        </w:tc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F474BF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12% (n = 158) </w:t>
            </w:r>
          </w:p>
        </w:tc>
      </w:tr>
      <w:tr w:rsidR="00847271" w:rsidRPr="009C0665" w14:paraId="2C156982" w14:textId="77777777" w:rsidTr="00C85BC4">
        <w:trPr>
          <w:trHeight w:val="27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42D330" w14:textId="6AEFAAD4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Bez prethodnog </w:t>
            </w:r>
            <w:r w:rsidR="00166D72" w:rsidRPr="009C0665">
              <w:rPr>
                <w:bCs/>
                <w:szCs w:val="22"/>
                <w:lang w:val="sr-Latn-ME"/>
              </w:rPr>
              <w:t>liječenja</w:t>
            </w:r>
            <w:r w:rsidRPr="009C0665">
              <w:rPr>
                <w:bCs/>
                <w:szCs w:val="22"/>
                <w:lang w:val="sr-Latn-ME"/>
              </w:rPr>
              <w:t xml:space="preserve"> TNF</w:t>
            </w:r>
            <w:r w:rsidR="0047181E" w:rsidRPr="009C0665">
              <w:rPr>
                <w:bCs/>
                <w:szCs w:val="22"/>
                <w:lang w:val="sr-Latn-ME"/>
              </w:rPr>
              <w:t>-</w:t>
            </w:r>
            <w:r w:rsidR="00C85BC4" w:rsidRPr="009C0665">
              <w:rPr>
                <w:bCs/>
                <w:szCs w:val="22"/>
                <w:lang w:val="sr-Latn-ME"/>
              </w:rPr>
              <w:t>alfa</w:t>
            </w:r>
            <w:r w:rsidRPr="009C0665">
              <w:rPr>
                <w:bCs/>
                <w:szCs w:val="22"/>
                <w:lang w:val="sr-Latn-ME"/>
              </w:rPr>
              <w:t xml:space="preserve"> </w:t>
            </w:r>
            <w:r w:rsidR="00C85BC4" w:rsidRPr="009C0665">
              <w:rPr>
                <w:bCs/>
                <w:szCs w:val="22"/>
                <w:lang w:val="sr-Latn-ME"/>
              </w:rPr>
              <w:t>a</w:t>
            </w:r>
            <w:r w:rsidRPr="009C0665">
              <w:rPr>
                <w:bCs/>
                <w:szCs w:val="22"/>
                <w:lang w:val="sr-Latn-ME"/>
              </w:rPr>
              <w:t xml:space="preserve">ntagonistom (antagonistima)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ACA8C3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8% (n = 50) </w:t>
            </w:r>
          </w:p>
        </w:tc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D30FE4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26% (n = 51) </w:t>
            </w:r>
          </w:p>
        </w:tc>
      </w:tr>
      <w:tr w:rsidR="00847271" w:rsidRPr="009C0665" w14:paraId="01A193CE" w14:textId="77777777" w:rsidTr="00C85BC4">
        <w:trPr>
          <w:trHeight w:val="145"/>
        </w:trPr>
        <w:tc>
          <w:tcPr>
            <w:tcW w:w="94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7D653C" w14:textId="4ACCECEC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Pojačani klinički odgovor, 6. </w:t>
            </w:r>
            <w:r w:rsidR="00AB003D" w:rsidRPr="009C0665">
              <w:rPr>
                <w:bCs/>
                <w:szCs w:val="22"/>
                <w:lang w:val="sr-Latn-ME"/>
              </w:rPr>
              <w:t>nedjelja</w:t>
            </w:r>
            <w:r w:rsidRPr="009C0665">
              <w:rPr>
                <w:bCs/>
                <w:szCs w:val="22"/>
                <w:lang w:val="sr-Latn-ME"/>
              </w:rPr>
              <w:t xml:space="preserve"> </w:t>
            </w:r>
          </w:p>
        </w:tc>
      </w:tr>
      <w:tr w:rsidR="00847271" w:rsidRPr="009C0665" w14:paraId="7E6506E6" w14:textId="77777777" w:rsidTr="00C85BC4">
        <w:trPr>
          <w:trHeight w:val="145"/>
        </w:trPr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AFF39E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Ukupno^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21CD91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23% (n = 207) 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D7F87F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39% (n = 209) </w:t>
            </w:r>
          </w:p>
        </w:tc>
      </w:tr>
      <w:tr w:rsidR="00847271" w:rsidRPr="009C0665" w14:paraId="2FEEA321" w14:textId="77777777" w:rsidTr="00C85BC4">
        <w:trPr>
          <w:trHeight w:val="27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C69726" w14:textId="249423FC" w:rsidR="00847271" w:rsidRPr="009C0665" w:rsidRDefault="00A63489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>Neuspjeh</w:t>
            </w:r>
            <w:r w:rsidR="00847271" w:rsidRPr="009C0665">
              <w:rPr>
                <w:bCs/>
                <w:szCs w:val="22"/>
                <w:lang w:val="sr-Latn-ME"/>
              </w:rPr>
              <w:t xml:space="preserve"> </w:t>
            </w:r>
            <w:r w:rsidR="00166D72" w:rsidRPr="009C0665">
              <w:rPr>
                <w:bCs/>
                <w:szCs w:val="22"/>
                <w:lang w:val="sr-Latn-ME"/>
              </w:rPr>
              <w:t>liječenja</w:t>
            </w:r>
            <w:r w:rsidR="00847271" w:rsidRPr="009C0665">
              <w:rPr>
                <w:bCs/>
                <w:szCs w:val="22"/>
                <w:lang w:val="sr-Latn-ME"/>
              </w:rPr>
              <w:t xml:space="preserve"> antagonistom </w:t>
            </w:r>
          </w:p>
          <w:p w14:paraId="51A14E5E" w14:textId="183E22F7" w:rsidR="00847271" w:rsidRPr="009C0665" w:rsidRDefault="00847271" w:rsidP="004C7864">
            <w:pPr>
              <w:pStyle w:val="Default"/>
              <w:tabs>
                <w:tab w:val="center" w:pos="4536"/>
                <w:tab w:val="right" w:pos="9072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  <w:lang w:val="sr-Latn-ME"/>
              </w:rPr>
            </w:pPr>
            <w:r w:rsidRPr="009C0665">
              <w:rPr>
                <w:bCs/>
                <w:sz w:val="22"/>
                <w:szCs w:val="22"/>
                <w:lang w:val="sr-Latn-ME"/>
              </w:rPr>
              <w:t>(antagonistima) TNF</w:t>
            </w:r>
            <w:r w:rsidR="0047181E" w:rsidRPr="009C0665">
              <w:rPr>
                <w:bCs/>
                <w:sz w:val="22"/>
                <w:szCs w:val="22"/>
                <w:lang w:val="sr-Latn-ME"/>
              </w:rPr>
              <w:t>-</w:t>
            </w:r>
            <w:r w:rsidR="00C85BC4" w:rsidRPr="009C0665">
              <w:rPr>
                <w:bCs/>
                <w:sz w:val="22"/>
                <w:szCs w:val="22"/>
                <w:lang w:val="sr-Latn-ME"/>
              </w:rPr>
              <w:t>alfa</w:t>
            </w:r>
            <w:r w:rsidR="00FD4AF4" w:rsidRPr="009C0665">
              <w:rPr>
                <w:sz w:val="22"/>
                <w:szCs w:val="22"/>
                <w:vertAlign w:val="superscript"/>
                <w:lang w:val="sr-Latn-ME"/>
              </w:rPr>
              <w:t xml:space="preserve">‡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484384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22% (n = 157) </w:t>
            </w:r>
          </w:p>
        </w:tc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52F0D9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39% (n = 158) </w:t>
            </w:r>
          </w:p>
        </w:tc>
      </w:tr>
      <w:tr w:rsidR="00847271" w:rsidRPr="009C0665" w14:paraId="1A8968AD" w14:textId="77777777" w:rsidTr="00C85BC4">
        <w:trPr>
          <w:trHeight w:val="27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F4EAD9" w14:textId="3B4A198A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Bez prethodnog </w:t>
            </w:r>
            <w:r w:rsidR="00166D72" w:rsidRPr="009C0665">
              <w:rPr>
                <w:bCs/>
                <w:szCs w:val="22"/>
                <w:lang w:val="sr-Latn-ME"/>
              </w:rPr>
              <w:t>liječenja</w:t>
            </w:r>
            <w:r w:rsidRPr="009C0665">
              <w:rPr>
                <w:bCs/>
                <w:szCs w:val="22"/>
                <w:lang w:val="sr-Latn-ME"/>
              </w:rPr>
              <w:t xml:space="preserve"> TNF</w:t>
            </w:r>
            <w:r w:rsidR="0047181E" w:rsidRPr="009C0665">
              <w:rPr>
                <w:bCs/>
                <w:szCs w:val="22"/>
                <w:lang w:val="sr-Latn-ME"/>
              </w:rPr>
              <w:t>-</w:t>
            </w:r>
            <w:r w:rsidR="00C85BC4" w:rsidRPr="009C0665">
              <w:rPr>
                <w:bCs/>
                <w:szCs w:val="22"/>
                <w:lang w:val="sr-Latn-ME"/>
              </w:rPr>
              <w:t>alfa</w:t>
            </w:r>
            <w:r w:rsidRPr="009C0665">
              <w:rPr>
                <w:bCs/>
                <w:szCs w:val="22"/>
                <w:lang w:val="sr-Latn-ME"/>
              </w:rPr>
              <w:t xml:space="preserve"> antagonistom (antagonistima) ^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E27A11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24% (n = 50) </w:t>
            </w:r>
          </w:p>
        </w:tc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71EC77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bCs/>
                <w:szCs w:val="22"/>
                <w:lang w:val="sr-Latn-ME"/>
              </w:rPr>
              <w:t xml:space="preserve">39% (n = 51) </w:t>
            </w:r>
          </w:p>
        </w:tc>
      </w:tr>
      <w:tr w:rsidR="00847271" w:rsidRPr="009C0665" w14:paraId="6C739136" w14:textId="77777777" w:rsidTr="00C85BC4">
        <w:trPr>
          <w:trHeight w:val="601"/>
        </w:trPr>
        <w:tc>
          <w:tcPr>
            <w:tcW w:w="946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481675A" w14:textId="6595A13A" w:rsidR="00847271" w:rsidRPr="009C0665" w:rsidRDefault="00847271" w:rsidP="004C7864">
            <w:pPr>
              <w:pStyle w:val="Header"/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>*p</w:t>
            </w:r>
            <w:r w:rsidR="002D4617" w:rsidRPr="009C0665">
              <w:rPr>
                <w:szCs w:val="22"/>
                <w:lang w:val="sr-Latn-ME"/>
              </w:rPr>
              <w:t xml:space="preserve"> </w:t>
            </w:r>
            <w:r w:rsidRPr="009C0665">
              <w:rPr>
                <w:szCs w:val="22"/>
                <w:lang w:val="sr-Latn-ME"/>
              </w:rPr>
              <w:t>&lt;</w:t>
            </w:r>
            <w:r w:rsidR="002D4617" w:rsidRPr="009C0665">
              <w:rPr>
                <w:szCs w:val="22"/>
                <w:lang w:val="sr-Latn-ME"/>
              </w:rPr>
              <w:t xml:space="preserve"> </w:t>
            </w:r>
            <w:r w:rsidRPr="009C0665">
              <w:rPr>
                <w:szCs w:val="22"/>
                <w:lang w:val="sr-Latn-ME"/>
              </w:rPr>
              <w:t xml:space="preserve">0,05 </w:t>
            </w:r>
          </w:p>
          <w:p w14:paraId="1366AB82" w14:textId="77777777" w:rsidR="00847271" w:rsidRPr="009C0665" w:rsidRDefault="00847271" w:rsidP="004C7864">
            <w:pPr>
              <w:pStyle w:val="Header"/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 xml:space="preserve">†nije statistički značajno </w:t>
            </w:r>
          </w:p>
          <w:p w14:paraId="64CE5C76" w14:textId="79718705" w:rsidR="00847271" w:rsidRPr="009C0665" w:rsidRDefault="00847271" w:rsidP="004C7864">
            <w:pPr>
              <w:pStyle w:val="Header"/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 xml:space="preserve">‡sekundarni parametar </w:t>
            </w:r>
            <w:r w:rsidR="00C85BC4" w:rsidRPr="009C0665">
              <w:rPr>
                <w:szCs w:val="22"/>
                <w:lang w:val="sr-Latn-ME"/>
              </w:rPr>
              <w:t>praćenja</w:t>
            </w:r>
            <w:r w:rsidRPr="009C0665">
              <w:rPr>
                <w:szCs w:val="22"/>
                <w:lang w:val="sr-Latn-ME"/>
              </w:rPr>
              <w:t xml:space="preserve"> treba gledati kao </w:t>
            </w:r>
            <w:r w:rsidR="00316D64" w:rsidRPr="009C0665">
              <w:rPr>
                <w:szCs w:val="22"/>
                <w:lang w:val="sr-Latn-ME"/>
              </w:rPr>
              <w:t>eksploatirani</w:t>
            </w:r>
            <w:r w:rsidRPr="009C0665">
              <w:rPr>
                <w:szCs w:val="22"/>
                <w:lang w:val="sr-Latn-ME"/>
              </w:rPr>
              <w:t xml:space="preserve"> putem prethodno navedenog postupka</w:t>
            </w:r>
            <w:r w:rsidR="00C85BC4" w:rsidRPr="009C0665">
              <w:rPr>
                <w:szCs w:val="22"/>
                <w:lang w:val="sr-Latn-ME"/>
              </w:rPr>
              <w:t xml:space="preserve"> </w:t>
            </w:r>
            <w:r w:rsidRPr="009C0665">
              <w:rPr>
                <w:szCs w:val="22"/>
                <w:lang w:val="sr-Latn-ME"/>
              </w:rPr>
              <w:t xml:space="preserve">statističkog testiranja </w:t>
            </w:r>
          </w:p>
          <w:p w14:paraId="5BBE0A95" w14:textId="2C8884D7" w:rsidR="00847271" w:rsidRPr="009C0665" w:rsidRDefault="00847271" w:rsidP="004C7864">
            <w:pPr>
              <w:pStyle w:val="Header"/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>§nije statistički značajno, drugi ishodi stoga ni</w:t>
            </w:r>
            <w:r w:rsidR="00F40A2C" w:rsidRPr="009C0665">
              <w:rPr>
                <w:szCs w:val="22"/>
                <w:lang w:val="sr-Latn-ME"/>
              </w:rPr>
              <w:t>je</w:t>
            </w:r>
            <w:r w:rsidRPr="009C0665">
              <w:rPr>
                <w:szCs w:val="22"/>
                <w:lang w:val="sr-Latn-ME"/>
              </w:rPr>
              <w:t xml:space="preserve">su statistički testirani </w:t>
            </w:r>
          </w:p>
          <w:p w14:paraId="24A8EFAA" w14:textId="654030F8" w:rsidR="00847271" w:rsidRPr="009C0665" w:rsidRDefault="00847271" w:rsidP="004C7864">
            <w:pPr>
              <w:pStyle w:val="Header"/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>¶n</w:t>
            </w:r>
            <w:r w:rsidR="002D4617" w:rsidRPr="009C0665">
              <w:rPr>
                <w:szCs w:val="22"/>
                <w:lang w:val="sr-Latn-ME"/>
              </w:rPr>
              <w:t xml:space="preserve"> </w:t>
            </w:r>
            <w:r w:rsidRPr="009C0665">
              <w:rPr>
                <w:szCs w:val="22"/>
                <w:lang w:val="sr-Latn-ME"/>
              </w:rPr>
              <w:t>=</w:t>
            </w:r>
            <w:r w:rsidR="002D4617" w:rsidRPr="009C0665">
              <w:rPr>
                <w:szCs w:val="22"/>
                <w:lang w:val="sr-Latn-ME"/>
              </w:rPr>
              <w:t xml:space="preserve"> </w:t>
            </w:r>
            <w:r w:rsidRPr="009C0665">
              <w:rPr>
                <w:szCs w:val="22"/>
                <w:lang w:val="sr-Latn-ME"/>
              </w:rPr>
              <w:t>157 za placebo i n</w:t>
            </w:r>
            <w:r w:rsidR="002D4617" w:rsidRPr="009C0665">
              <w:rPr>
                <w:szCs w:val="22"/>
                <w:lang w:val="sr-Latn-ME"/>
              </w:rPr>
              <w:t xml:space="preserve"> </w:t>
            </w:r>
            <w:r w:rsidRPr="009C0665">
              <w:rPr>
                <w:szCs w:val="22"/>
                <w:lang w:val="sr-Latn-ME"/>
              </w:rPr>
              <w:t>=</w:t>
            </w:r>
            <w:r w:rsidR="002D4617" w:rsidRPr="009C0665">
              <w:rPr>
                <w:szCs w:val="22"/>
                <w:lang w:val="sr-Latn-ME"/>
              </w:rPr>
              <w:t xml:space="preserve"> </w:t>
            </w:r>
            <w:r w:rsidRPr="009C0665">
              <w:rPr>
                <w:szCs w:val="22"/>
                <w:lang w:val="sr-Latn-ME"/>
              </w:rPr>
              <w:t xml:space="preserve">158 za vedolizumab </w:t>
            </w:r>
          </w:p>
          <w:p w14:paraId="7FFF180F" w14:textId="259D0FBE" w:rsidR="00847271" w:rsidRPr="009C0665" w:rsidRDefault="00847271" w:rsidP="004C7864">
            <w:pPr>
              <w:pStyle w:val="Header"/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 xml:space="preserve">#Održana klinička remisija: klinička remisija u 6. i 10. </w:t>
            </w:r>
            <w:r w:rsidR="00AB003D" w:rsidRPr="009C0665">
              <w:rPr>
                <w:szCs w:val="22"/>
                <w:lang w:val="sr-Latn-ME"/>
              </w:rPr>
              <w:t>nedjelji</w:t>
            </w:r>
            <w:r w:rsidRPr="009C0665">
              <w:rPr>
                <w:szCs w:val="22"/>
                <w:lang w:val="sr-Latn-ME"/>
              </w:rPr>
              <w:t xml:space="preserve"> </w:t>
            </w:r>
          </w:p>
          <w:p w14:paraId="784AE657" w14:textId="77777777" w:rsidR="00847271" w:rsidRPr="009C0665" w:rsidRDefault="00847271" w:rsidP="004C7864">
            <w:pPr>
              <w:pStyle w:val="Header"/>
              <w:rPr>
                <w:bCs/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>^Eksplorat</w:t>
            </w:r>
            <w:r w:rsidR="00C85BC4" w:rsidRPr="009C0665">
              <w:rPr>
                <w:szCs w:val="22"/>
                <w:lang w:val="sr-Latn-ME"/>
              </w:rPr>
              <w:t>orni</w:t>
            </w:r>
            <w:r w:rsidRPr="009C0665">
              <w:rPr>
                <w:szCs w:val="22"/>
                <w:lang w:val="sr-Latn-ME"/>
              </w:rPr>
              <w:t xml:space="preserve"> ishod </w:t>
            </w:r>
          </w:p>
        </w:tc>
      </w:tr>
    </w:tbl>
    <w:p w14:paraId="6FDC1436" w14:textId="77777777" w:rsidR="001B1E60" w:rsidRPr="009C0665" w:rsidRDefault="001B1E60" w:rsidP="004C7864">
      <w:pPr>
        <w:pStyle w:val="Header"/>
        <w:tabs>
          <w:tab w:val="left" w:pos="284"/>
        </w:tabs>
        <w:rPr>
          <w:szCs w:val="22"/>
          <w:lang w:val="sr-Latn-M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1417"/>
        <w:gridCol w:w="142"/>
        <w:gridCol w:w="2126"/>
        <w:gridCol w:w="142"/>
        <w:gridCol w:w="1559"/>
        <w:gridCol w:w="173"/>
      </w:tblGrid>
      <w:tr w:rsidR="00847271" w:rsidRPr="009C0665" w14:paraId="4CB5B140" w14:textId="77777777" w:rsidTr="00847271">
        <w:trPr>
          <w:trHeight w:val="147"/>
        </w:trPr>
        <w:tc>
          <w:tcPr>
            <w:tcW w:w="92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00547A" w14:textId="46481D69" w:rsidR="00847271" w:rsidRPr="009C0665" w:rsidRDefault="00847271" w:rsidP="004C7864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9C0665">
              <w:rPr>
                <w:b/>
                <w:bCs/>
                <w:sz w:val="22"/>
                <w:szCs w:val="22"/>
                <w:lang w:val="sr-Latn-ME"/>
              </w:rPr>
              <w:t xml:space="preserve">Tabela 5. Rezultati efikasnosti u ispitivanju GEMINI </w:t>
            </w:r>
            <w:r w:rsidR="00BE020D" w:rsidRPr="009C0665">
              <w:rPr>
                <w:b/>
                <w:bCs/>
                <w:sz w:val="22"/>
                <w:szCs w:val="22"/>
                <w:lang w:val="sr-Latn-ME"/>
              </w:rPr>
              <w:t xml:space="preserve">2 </w:t>
            </w:r>
            <w:r w:rsidRPr="009C0665">
              <w:rPr>
                <w:b/>
                <w:bCs/>
                <w:sz w:val="22"/>
                <w:szCs w:val="22"/>
                <w:lang w:val="sr-Latn-ME"/>
              </w:rPr>
              <w:t xml:space="preserve">u 52. </w:t>
            </w:r>
            <w:r w:rsidR="00AB003D" w:rsidRPr="009C0665">
              <w:rPr>
                <w:b/>
                <w:bCs/>
                <w:sz w:val="22"/>
                <w:szCs w:val="22"/>
                <w:lang w:val="sr-Latn-ME"/>
              </w:rPr>
              <w:t>nedjelji</w:t>
            </w:r>
            <w:r w:rsidRPr="009C0665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847271" w:rsidRPr="009C0665" w14:paraId="1725A516" w14:textId="77777777" w:rsidTr="00847271">
        <w:trPr>
          <w:trHeight w:val="398"/>
        </w:trPr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DB16C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</w:p>
          <w:p w14:paraId="326C7FE2" w14:textId="576A23A4" w:rsidR="00847271" w:rsidRPr="009C0665" w:rsidRDefault="002D4617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C0665">
              <w:rPr>
                <w:sz w:val="22"/>
                <w:szCs w:val="22"/>
                <w:lang w:val="sr-Latn-ME"/>
              </w:rPr>
              <w:t xml:space="preserve">                                                                        </w:t>
            </w:r>
            <w:r w:rsidR="00847271" w:rsidRPr="009C0665">
              <w:rPr>
                <w:sz w:val="22"/>
                <w:szCs w:val="22"/>
                <w:lang w:val="sr-Latn-ME"/>
              </w:rPr>
              <w:t>Placebo</w:t>
            </w:r>
          </w:p>
          <w:p w14:paraId="0772E07D" w14:textId="12727E7D" w:rsidR="00847271" w:rsidRPr="009C0665" w:rsidRDefault="002D4617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C0665">
              <w:rPr>
                <w:sz w:val="22"/>
                <w:szCs w:val="22"/>
                <w:lang w:val="sr-Latn-ME"/>
              </w:rPr>
              <w:t xml:space="preserve">                                                                         </w:t>
            </w:r>
            <w:r w:rsidR="00847271" w:rsidRPr="009C0665">
              <w:rPr>
                <w:sz w:val="22"/>
                <w:szCs w:val="22"/>
                <w:lang w:val="sr-Latn-ME"/>
              </w:rPr>
              <w:t>N=153*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1AD7A7" w14:textId="3F1B45C4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C0665">
              <w:rPr>
                <w:sz w:val="22"/>
                <w:szCs w:val="22"/>
                <w:lang w:val="sr-Latn-ME"/>
              </w:rPr>
              <w:t>Vedolizumab</w:t>
            </w:r>
            <w:r w:rsidR="00E43275" w:rsidRPr="009C0665">
              <w:rPr>
                <w:sz w:val="22"/>
                <w:szCs w:val="22"/>
                <w:lang w:val="sr-Latn-ME"/>
              </w:rPr>
              <w:t xml:space="preserve"> IV</w:t>
            </w:r>
          </w:p>
          <w:p w14:paraId="69CFFD01" w14:textId="2EC6E081" w:rsidR="00847271" w:rsidRPr="009C0665" w:rsidRDefault="00E43275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C0665">
              <w:rPr>
                <w:sz w:val="22"/>
                <w:szCs w:val="22"/>
                <w:lang w:val="sr-Latn-ME"/>
              </w:rPr>
              <w:t>s</w:t>
            </w:r>
            <w:r w:rsidR="00847271" w:rsidRPr="009C0665">
              <w:rPr>
                <w:sz w:val="22"/>
                <w:szCs w:val="22"/>
                <w:lang w:val="sr-Latn-ME"/>
              </w:rPr>
              <w:t>vak</w:t>
            </w:r>
            <w:r w:rsidRPr="009C0665">
              <w:rPr>
                <w:sz w:val="22"/>
                <w:szCs w:val="22"/>
                <w:lang w:val="sr-Latn-ME"/>
              </w:rPr>
              <w:t>ih</w:t>
            </w:r>
            <w:r w:rsidR="00847271" w:rsidRPr="009C0665">
              <w:rPr>
                <w:sz w:val="22"/>
                <w:szCs w:val="22"/>
                <w:lang w:val="sr-Latn-ME"/>
              </w:rPr>
              <w:t xml:space="preserve"> 8 </w:t>
            </w:r>
            <w:r w:rsidR="00AB003D" w:rsidRPr="009C0665">
              <w:rPr>
                <w:sz w:val="22"/>
                <w:szCs w:val="22"/>
                <w:lang w:val="sr-Latn-ME"/>
              </w:rPr>
              <w:t>nedjelja</w:t>
            </w:r>
          </w:p>
          <w:p w14:paraId="6B29F94F" w14:textId="1E9F8D0E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C0665">
              <w:rPr>
                <w:sz w:val="22"/>
                <w:szCs w:val="22"/>
                <w:lang w:val="sr-Latn-ME"/>
              </w:rPr>
              <w:t>N=154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E45C2" w14:textId="77777777" w:rsidR="00116FD7" w:rsidRPr="009C0665" w:rsidRDefault="00847271" w:rsidP="004C7864">
            <w:pPr>
              <w:pStyle w:val="Default"/>
              <w:tabs>
                <w:tab w:val="left" w:pos="1658"/>
              </w:tabs>
              <w:jc w:val="center"/>
              <w:rPr>
                <w:sz w:val="22"/>
                <w:szCs w:val="22"/>
                <w:lang w:val="sr-Latn-ME"/>
              </w:rPr>
            </w:pPr>
            <w:r w:rsidRPr="009C0665">
              <w:rPr>
                <w:sz w:val="22"/>
                <w:szCs w:val="22"/>
                <w:lang w:val="sr-Latn-ME"/>
              </w:rPr>
              <w:t>Vedolizumab</w:t>
            </w:r>
            <w:r w:rsidR="00E43275" w:rsidRPr="009C0665">
              <w:rPr>
                <w:sz w:val="22"/>
                <w:szCs w:val="22"/>
                <w:lang w:val="sr-Latn-ME"/>
              </w:rPr>
              <w:t xml:space="preserve"> IV</w:t>
            </w:r>
          </w:p>
          <w:p w14:paraId="09D6F946" w14:textId="58D8ECA5" w:rsidR="00116FD7" w:rsidRPr="009C0665" w:rsidRDefault="00E43275" w:rsidP="004C7864">
            <w:pPr>
              <w:pStyle w:val="Default"/>
              <w:tabs>
                <w:tab w:val="left" w:pos="1658"/>
              </w:tabs>
              <w:jc w:val="center"/>
              <w:rPr>
                <w:sz w:val="22"/>
                <w:szCs w:val="22"/>
                <w:lang w:val="sr-Latn-ME"/>
              </w:rPr>
            </w:pPr>
            <w:r w:rsidRPr="009C0665">
              <w:rPr>
                <w:sz w:val="22"/>
                <w:szCs w:val="22"/>
                <w:lang w:val="sr-Latn-ME"/>
              </w:rPr>
              <w:t>s</w:t>
            </w:r>
            <w:r w:rsidR="00847271" w:rsidRPr="009C0665">
              <w:rPr>
                <w:sz w:val="22"/>
                <w:szCs w:val="22"/>
                <w:lang w:val="sr-Latn-ME"/>
              </w:rPr>
              <w:t>vak</w:t>
            </w:r>
            <w:r w:rsidRPr="009C0665">
              <w:rPr>
                <w:sz w:val="22"/>
                <w:szCs w:val="22"/>
                <w:lang w:val="sr-Latn-ME"/>
              </w:rPr>
              <w:t>e</w:t>
            </w:r>
            <w:r w:rsidR="00847271" w:rsidRPr="009C0665">
              <w:rPr>
                <w:sz w:val="22"/>
                <w:szCs w:val="22"/>
                <w:lang w:val="sr-Latn-ME"/>
              </w:rPr>
              <w:t xml:space="preserve"> 4 </w:t>
            </w:r>
            <w:r w:rsidR="00166D72" w:rsidRPr="009C0665">
              <w:rPr>
                <w:sz w:val="22"/>
                <w:szCs w:val="22"/>
                <w:lang w:val="sr-Latn-ME"/>
              </w:rPr>
              <w:t>nedjelje</w:t>
            </w:r>
            <w:r w:rsidR="00847271" w:rsidRPr="009C0665">
              <w:rPr>
                <w:sz w:val="22"/>
                <w:szCs w:val="22"/>
                <w:lang w:val="sr-Latn-ME"/>
              </w:rPr>
              <w:t xml:space="preserve"> N=154</w:t>
            </w:r>
          </w:p>
        </w:tc>
      </w:tr>
      <w:tr w:rsidR="00847271" w:rsidRPr="009C0665" w14:paraId="04B034E7" w14:textId="77777777" w:rsidTr="0084727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3AE861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</w:p>
          <w:p w14:paraId="60F18B3B" w14:textId="69F323E8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C0665">
              <w:rPr>
                <w:sz w:val="22"/>
                <w:szCs w:val="22"/>
                <w:lang w:val="sr-Latn-ME"/>
              </w:rPr>
              <w:t>Klinička remisija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7746E7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</w:p>
          <w:p w14:paraId="53E7D80B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C0665">
              <w:rPr>
                <w:sz w:val="22"/>
                <w:szCs w:val="22"/>
                <w:lang w:val="sr-Latn-ME"/>
              </w:rPr>
              <w:t>22%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580CD2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</w:p>
          <w:p w14:paraId="4CF07A34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C0665">
              <w:rPr>
                <w:sz w:val="22"/>
                <w:szCs w:val="22"/>
                <w:lang w:val="sr-Latn-ME"/>
              </w:rPr>
              <w:t>39%†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8CF349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</w:p>
          <w:p w14:paraId="7A5E09F0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C0665">
              <w:rPr>
                <w:sz w:val="22"/>
                <w:szCs w:val="22"/>
                <w:lang w:val="sr-Latn-ME"/>
              </w:rPr>
              <w:t>36%‡</w:t>
            </w:r>
          </w:p>
        </w:tc>
      </w:tr>
      <w:tr w:rsidR="00847271" w:rsidRPr="009C0665" w14:paraId="4FFDB812" w14:textId="77777777" w:rsidTr="00847271">
        <w:trPr>
          <w:trHeight w:val="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6EA2701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</w:p>
          <w:p w14:paraId="0FE74E32" w14:textId="2FB5629C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C0665">
              <w:rPr>
                <w:sz w:val="22"/>
                <w:szCs w:val="22"/>
                <w:lang w:val="sr-Latn-ME"/>
              </w:rPr>
              <w:t>Pojačan klinički odgovor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F9F51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</w:p>
          <w:p w14:paraId="677FC762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C0665">
              <w:rPr>
                <w:sz w:val="22"/>
                <w:szCs w:val="22"/>
                <w:lang w:val="sr-Latn-ME"/>
              </w:rPr>
              <w:t>30%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0D617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</w:p>
          <w:p w14:paraId="1CF201E1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C0665">
              <w:rPr>
                <w:sz w:val="22"/>
                <w:szCs w:val="22"/>
                <w:lang w:val="sr-Latn-ME"/>
              </w:rPr>
              <w:t>44%‡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EE032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</w:p>
          <w:p w14:paraId="062B8E46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C0665">
              <w:rPr>
                <w:sz w:val="22"/>
                <w:szCs w:val="22"/>
                <w:lang w:val="sr-Latn-ME"/>
              </w:rPr>
              <w:t>45%‡</w:t>
            </w:r>
          </w:p>
        </w:tc>
      </w:tr>
      <w:tr w:rsidR="00847271" w:rsidRPr="009C0665" w14:paraId="1B073566" w14:textId="77777777" w:rsidTr="00847271">
        <w:trPr>
          <w:trHeight w:val="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38B5D8F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</w:p>
          <w:p w14:paraId="24911AAE" w14:textId="5C94C0A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C0665">
              <w:rPr>
                <w:sz w:val="22"/>
                <w:szCs w:val="22"/>
                <w:lang w:val="sr-Latn-ME"/>
              </w:rPr>
              <w:t>Klinička remisija bez kortikosteroida§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955FB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</w:p>
          <w:p w14:paraId="7A24770A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C0665">
              <w:rPr>
                <w:sz w:val="22"/>
                <w:szCs w:val="22"/>
                <w:lang w:val="sr-Latn-ME"/>
              </w:rPr>
              <w:t>16%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7BA62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</w:p>
          <w:p w14:paraId="31B63644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C0665">
              <w:rPr>
                <w:sz w:val="22"/>
                <w:szCs w:val="22"/>
                <w:lang w:val="sr-Latn-ME"/>
              </w:rPr>
              <w:t>32%‡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CA16D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</w:p>
          <w:p w14:paraId="34D99A74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C0665">
              <w:rPr>
                <w:sz w:val="22"/>
                <w:szCs w:val="22"/>
                <w:lang w:val="sr-Latn-ME"/>
              </w:rPr>
              <w:t>29%‡</w:t>
            </w:r>
          </w:p>
        </w:tc>
      </w:tr>
      <w:tr w:rsidR="00847271" w:rsidRPr="009C0665" w14:paraId="5AF5E34D" w14:textId="77777777" w:rsidTr="00847271">
        <w:trPr>
          <w:gridAfter w:val="1"/>
          <w:wAfter w:w="173" w:type="dxa"/>
          <w:trHeight w:val="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85B0C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</w:p>
          <w:p w14:paraId="35E9E920" w14:textId="51AFB988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C0665">
              <w:rPr>
                <w:sz w:val="22"/>
                <w:szCs w:val="22"/>
                <w:lang w:val="sr-Latn-ME"/>
              </w:rPr>
              <w:t>Trajna klinička remisija</w:t>
            </w:r>
            <w:r w:rsidRPr="009C0665">
              <w:rPr>
                <w:sz w:val="22"/>
                <w:szCs w:val="22"/>
                <w:vertAlign w:val="superscript"/>
                <w:lang w:val="sr-Latn-ME"/>
              </w:rPr>
              <w:t>¶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13D93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</w:p>
          <w:p w14:paraId="69C41F25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C0665">
              <w:rPr>
                <w:sz w:val="22"/>
                <w:szCs w:val="22"/>
                <w:lang w:val="sr-Latn-ME"/>
              </w:rPr>
              <w:t>14%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BBA1E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</w:p>
          <w:p w14:paraId="254FC50D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C0665">
              <w:rPr>
                <w:sz w:val="22"/>
                <w:szCs w:val="22"/>
                <w:lang w:val="sr-Latn-ME"/>
              </w:rPr>
              <w:t>21%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74763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</w:p>
          <w:p w14:paraId="498A5544" w14:textId="77777777" w:rsidR="00847271" w:rsidRPr="009C0665" w:rsidRDefault="00847271" w:rsidP="004C7864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C0665">
              <w:rPr>
                <w:sz w:val="22"/>
                <w:szCs w:val="22"/>
                <w:lang w:val="sr-Latn-ME"/>
              </w:rPr>
              <w:t>16%</w:t>
            </w:r>
          </w:p>
        </w:tc>
      </w:tr>
    </w:tbl>
    <w:p w14:paraId="261DE1C8" w14:textId="3F8CD44F" w:rsidR="00847271" w:rsidRPr="009C0665" w:rsidRDefault="0084727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*Grupa koja je primala placebo uključuje one ispitanike koji su primali vedolizumab u </w:t>
      </w:r>
      <w:r w:rsidR="00E43275" w:rsidRPr="009C0665">
        <w:rPr>
          <w:szCs w:val="22"/>
          <w:lang w:val="sr-Latn-ME"/>
        </w:rPr>
        <w:t>0.</w:t>
      </w:r>
      <w:r w:rsidRPr="009C0665">
        <w:rPr>
          <w:szCs w:val="22"/>
          <w:lang w:val="sr-Latn-ME"/>
        </w:rPr>
        <w:t xml:space="preserve"> i </w:t>
      </w:r>
      <w:r w:rsidR="00E43275" w:rsidRPr="009C0665">
        <w:rPr>
          <w:szCs w:val="22"/>
          <w:lang w:val="sr-Latn-ME"/>
        </w:rPr>
        <w:t>2.</w:t>
      </w:r>
      <w:r w:rsidRPr="009C0665">
        <w:rPr>
          <w:szCs w:val="22"/>
          <w:lang w:val="sr-Latn-ME"/>
        </w:rPr>
        <w:t xml:space="preserve"> </w:t>
      </w:r>
      <w:r w:rsidR="00AB003D" w:rsidRPr="009C0665">
        <w:rPr>
          <w:szCs w:val="22"/>
          <w:lang w:val="sr-Latn-ME"/>
        </w:rPr>
        <w:t>nedjelji</w:t>
      </w:r>
      <w:r w:rsidRPr="009C0665">
        <w:rPr>
          <w:szCs w:val="22"/>
          <w:lang w:val="sr-Latn-ME"/>
        </w:rPr>
        <w:t xml:space="preserve"> pa su randomizovani za primanje placeba od 6. do 52. </w:t>
      </w:r>
      <w:r w:rsidR="00166D72" w:rsidRPr="009C0665">
        <w:rPr>
          <w:szCs w:val="22"/>
          <w:lang w:val="sr-Latn-ME"/>
        </w:rPr>
        <w:t>nedjelje</w:t>
      </w:r>
      <w:r w:rsidRPr="009C0665">
        <w:rPr>
          <w:szCs w:val="22"/>
          <w:lang w:val="sr-Latn-ME"/>
        </w:rPr>
        <w:t>.</w:t>
      </w:r>
    </w:p>
    <w:p w14:paraId="636B8335" w14:textId="4CCC82EB" w:rsidR="00847271" w:rsidRPr="009C0665" w:rsidRDefault="00802570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vertAlign w:val="superscript"/>
          <w:lang w:val="sr-Latn-ME"/>
        </w:rPr>
        <w:t>†</w:t>
      </w:r>
      <w:r w:rsidR="00847271" w:rsidRPr="009C0665">
        <w:rPr>
          <w:szCs w:val="22"/>
          <w:lang w:val="sr-Latn-ME"/>
        </w:rPr>
        <w:t>p</w:t>
      </w:r>
      <w:r w:rsidR="002D4617" w:rsidRPr="009C0665">
        <w:rPr>
          <w:szCs w:val="22"/>
          <w:lang w:val="sr-Latn-ME"/>
        </w:rPr>
        <w:t xml:space="preserve"> </w:t>
      </w:r>
      <w:r w:rsidR="00847271" w:rsidRPr="009C0665">
        <w:rPr>
          <w:szCs w:val="22"/>
          <w:lang w:val="sr-Latn-ME"/>
        </w:rPr>
        <w:t>&lt;</w:t>
      </w:r>
      <w:r w:rsidR="002D4617" w:rsidRPr="009C0665">
        <w:rPr>
          <w:szCs w:val="22"/>
          <w:lang w:val="sr-Latn-ME"/>
        </w:rPr>
        <w:t xml:space="preserve"> </w:t>
      </w:r>
      <w:r w:rsidR="00847271" w:rsidRPr="009C0665">
        <w:rPr>
          <w:szCs w:val="22"/>
          <w:lang w:val="sr-Latn-ME"/>
        </w:rPr>
        <w:t>0,001</w:t>
      </w:r>
    </w:p>
    <w:p w14:paraId="2E956205" w14:textId="5883880E" w:rsidR="00847271" w:rsidRPr="009C0665" w:rsidRDefault="00802570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vertAlign w:val="superscript"/>
          <w:lang w:val="sr-Latn-ME"/>
        </w:rPr>
        <w:t>‡</w:t>
      </w:r>
      <w:r w:rsidR="00847271" w:rsidRPr="009C0665">
        <w:rPr>
          <w:szCs w:val="22"/>
          <w:lang w:val="sr-Latn-ME"/>
        </w:rPr>
        <w:t>p</w:t>
      </w:r>
      <w:r w:rsidR="002D4617" w:rsidRPr="009C0665">
        <w:rPr>
          <w:szCs w:val="22"/>
          <w:lang w:val="sr-Latn-ME"/>
        </w:rPr>
        <w:t xml:space="preserve"> </w:t>
      </w:r>
      <w:r w:rsidR="00847271" w:rsidRPr="009C0665">
        <w:rPr>
          <w:szCs w:val="22"/>
          <w:lang w:val="sr-Latn-ME"/>
        </w:rPr>
        <w:t>&lt;</w:t>
      </w:r>
      <w:r w:rsidR="002D4617" w:rsidRPr="009C0665">
        <w:rPr>
          <w:szCs w:val="22"/>
          <w:lang w:val="sr-Latn-ME"/>
        </w:rPr>
        <w:t xml:space="preserve"> </w:t>
      </w:r>
      <w:r w:rsidR="00847271" w:rsidRPr="009C0665">
        <w:rPr>
          <w:szCs w:val="22"/>
          <w:lang w:val="sr-Latn-ME"/>
        </w:rPr>
        <w:t>0,05</w:t>
      </w:r>
    </w:p>
    <w:p w14:paraId="33DE2485" w14:textId="79BD7C8E" w:rsidR="00847271" w:rsidRPr="009C0665" w:rsidRDefault="00802570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vertAlign w:val="superscript"/>
          <w:lang w:val="sr-Latn-ME"/>
        </w:rPr>
        <w:lastRenderedPageBreak/>
        <w:t>§</w:t>
      </w:r>
      <w:r w:rsidR="00847271" w:rsidRPr="009C0665">
        <w:rPr>
          <w:szCs w:val="22"/>
          <w:lang w:val="sr-Latn-ME"/>
        </w:rPr>
        <w:t xml:space="preserve">Klinička remisija bez kortikosteroida: Pacijenti koji su pri uključivanju u ispitivanje koristili oralne kortikosteroide i koji su počevši od 6. </w:t>
      </w:r>
      <w:r w:rsidR="00166D72" w:rsidRPr="009C0665">
        <w:rPr>
          <w:szCs w:val="22"/>
          <w:lang w:val="sr-Latn-ME"/>
        </w:rPr>
        <w:t>nedjelje</w:t>
      </w:r>
      <w:r w:rsidR="00847271" w:rsidRPr="009C0665">
        <w:rPr>
          <w:szCs w:val="22"/>
          <w:lang w:val="sr-Latn-ME"/>
        </w:rPr>
        <w:t xml:space="preserve"> prekinuli </w:t>
      </w:r>
      <w:r w:rsidR="00D26459" w:rsidRPr="009C0665">
        <w:rPr>
          <w:szCs w:val="22"/>
          <w:lang w:val="sr-Latn-ME"/>
        </w:rPr>
        <w:t>liječenje</w:t>
      </w:r>
      <w:r w:rsidR="00847271" w:rsidRPr="009C0665">
        <w:rPr>
          <w:szCs w:val="22"/>
          <w:lang w:val="sr-Latn-ME"/>
        </w:rPr>
        <w:t xml:space="preserve"> kortikosteroidima, te su bili u kliničkoj remisiji u 52. </w:t>
      </w:r>
      <w:r w:rsidR="00AB003D" w:rsidRPr="009C0665">
        <w:rPr>
          <w:szCs w:val="22"/>
          <w:lang w:val="sr-Latn-ME"/>
        </w:rPr>
        <w:t>nedjelji</w:t>
      </w:r>
      <w:r w:rsidR="00847271" w:rsidRPr="009C0665">
        <w:rPr>
          <w:szCs w:val="22"/>
          <w:lang w:val="sr-Latn-ME"/>
        </w:rPr>
        <w:t>. Brojevi pacijenata bili su n</w:t>
      </w:r>
      <w:r w:rsidR="002D4617" w:rsidRPr="009C0665">
        <w:rPr>
          <w:szCs w:val="22"/>
          <w:lang w:val="sr-Latn-ME"/>
        </w:rPr>
        <w:t xml:space="preserve"> </w:t>
      </w:r>
      <w:r w:rsidR="00847271" w:rsidRPr="009C0665">
        <w:rPr>
          <w:szCs w:val="22"/>
          <w:lang w:val="sr-Latn-ME"/>
        </w:rPr>
        <w:t>=</w:t>
      </w:r>
      <w:r w:rsidR="002D4617" w:rsidRPr="009C0665">
        <w:rPr>
          <w:szCs w:val="22"/>
          <w:lang w:val="sr-Latn-ME"/>
        </w:rPr>
        <w:t xml:space="preserve"> </w:t>
      </w:r>
      <w:r w:rsidR="00847271" w:rsidRPr="009C0665">
        <w:rPr>
          <w:szCs w:val="22"/>
          <w:lang w:val="sr-Latn-ME"/>
        </w:rPr>
        <w:t>82 za placebo, n</w:t>
      </w:r>
      <w:r w:rsidR="002D4617" w:rsidRPr="009C0665">
        <w:rPr>
          <w:szCs w:val="22"/>
          <w:lang w:val="sr-Latn-ME"/>
        </w:rPr>
        <w:t xml:space="preserve"> </w:t>
      </w:r>
      <w:r w:rsidR="00847271" w:rsidRPr="009C0665">
        <w:rPr>
          <w:szCs w:val="22"/>
          <w:lang w:val="sr-Latn-ME"/>
        </w:rPr>
        <w:t>=</w:t>
      </w:r>
      <w:r w:rsidR="002D4617" w:rsidRPr="009C0665">
        <w:rPr>
          <w:szCs w:val="22"/>
          <w:lang w:val="sr-Latn-ME"/>
        </w:rPr>
        <w:t xml:space="preserve"> </w:t>
      </w:r>
      <w:r w:rsidR="00847271" w:rsidRPr="009C0665">
        <w:rPr>
          <w:szCs w:val="22"/>
          <w:lang w:val="sr-Latn-ME"/>
        </w:rPr>
        <w:t xml:space="preserve">82 za vedolizumab svake </w:t>
      </w:r>
      <w:r w:rsidR="00E43275" w:rsidRPr="009C0665">
        <w:rPr>
          <w:szCs w:val="22"/>
          <w:lang w:val="sr-Latn-ME"/>
        </w:rPr>
        <w:t xml:space="preserve">8. </w:t>
      </w:r>
      <w:r w:rsidR="00166D72" w:rsidRPr="009C0665">
        <w:rPr>
          <w:szCs w:val="22"/>
          <w:lang w:val="sr-Latn-ME"/>
        </w:rPr>
        <w:t>nedjelje</w:t>
      </w:r>
      <w:r w:rsidR="00847271" w:rsidRPr="009C0665">
        <w:rPr>
          <w:szCs w:val="22"/>
          <w:lang w:val="sr-Latn-ME"/>
        </w:rPr>
        <w:t xml:space="preserve"> i n</w:t>
      </w:r>
      <w:r w:rsidR="002D4617" w:rsidRPr="009C0665">
        <w:rPr>
          <w:szCs w:val="22"/>
          <w:lang w:val="sr-Latn-ME"/>
        </w:rPr>
        <w:t xml:space="preserve"> </w:t>
      </w:r>
      <w:r w:rsidR="00847271" w:rsidRPr="009C0665">
        <w:rPr>
          <w:szCs w:val="22"/>
          <w:lang w:val="sr-Latn-ME"/>
        </w:rPr>
        <w:t>=</w:t>
      </w:r>
      <w:r w:rsidR="002D4617" w:rsidRPr="009C0665">
        <w:rPr>
          <w:szCs w:val="22"/>
          <w:lang w:val="sr-Latn-ME"/>
        </w:rPr>
        <w:t xml:space="preserve"> </w:t>
      </w:r>
      <w:r w:rsidR="00847271" w:rsidRPr="009C0665">
        <w:rPr>
          <w:szCs w:val="22"/>
          <w:lang w:val="sr-Latn-ME"/>
        </w:rPr>
        <w:t xml:space="preserve">80 za vedolizumab svake </w:t>
      </w:r>
      <w:r w:rsidR="00E43275" w:rsidRPr="009C0665">
        <w:rPr>
          <w:szCs w:val="22"/>
          <w:lang w:val="sr-Latn-ME"/>
        </w:rPr>
        <w:t>4.</w:t>
      </w:r>
      <w:r w:rsidR="00847271" w:rsidRPr="009C0665">
        <w:rPr>
          <w:szCs w:val="22"/>
          <w:lang w:val="sr-Latn-ME"/>
        </w:rPr>
        <w:t xml:space="preserve"> </w:t>
      </w:r>
      <w:r w:rsidR="00166D72" w:rsidRPr="009C0665">
        <w:rPr>
          <w:szCs w:val="22"/>
          <w:lang w:val="sr-Latn-ME"/>
        </w:rPr>
        <w:t>nedjelje</w:t>
      </w:r>
    </w:p>
    <w:p w14:paraId="6C2BDFD3" w14:textId="473AB98B" w:rsidR="00847271" w:rsidRPr="009C0665" w:rsidRDefault="0084727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vertAlign w:val="superscript"/>
          <w:lang w:val="sr-Latn-ME"/>
        </w:rPr>
        <w:t>¶</w:t>
      </w:r>
      <w:r w:rsidRPr="009C0665">
        <w:rPr>
          <w:szCs w:val="22"/>
          <w:lang w:val="sr-Latn-ME"/>
        </w:rPr>
        <w:t>Trajna klinička remisija: Klinička remisija kod ≥</w:t>
      </w:r>
      <w:r w:rsidR="002D4617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80% studijskih pos</w:t>
      </w:r>
      <w:r w:rsidR="00A63489" w:rsidRPr="009C0665">
        <w:rPr>
          <w:szCs w:val="22"/>
          <w:lang w:val="sr-Latn-ME"/>
        </w:rPr>
        <w:t>j</w:t>
      </w:r>
      <w:r w:rsidRPr="009C0665">
        <w:rPr>
          <w:szCs w:val="22"/>
          <w:lang w:val="sr-Latn-ME"/>
        </w:rPr>
        <w:t>eta uključujući završnu pos</w:t>
      </w:r>
      <w:r w:rsidR="00A63489" w:rsidRPr="009C0665">
        <w:rPr>
          <w:szCs w:val="22"/>
          <w:lang w:val="sr-Latn-ME"/>
        </w:rPr>
        <w:t>j</w:t>
      </w:r>
      <w:r w:rsidRPr="009C0665">
        <w:rPr>
          <w:szCs w:val="22"/>
          <w:lang w:val="sr-Latn-ME"/>
        </w:rPr>
        <w:t>etu (</w:t>
      </w:r>
      <w:r w:rsidR="00E43275" w:rsidRPr="009C0665">
        <w:rPr>
          <w:szCs w:val="22"/>
          <w:lang w:val="sr-Latn-ME"/>
        </w:rPr>
        <w:t xml:space="preserve">52. </w:t>
      </w:r>
      <w:r w:rsidR="00AB003D" w:rsidRPr="009C0665">
        <w:rPr>
          <w:szCs w:val="22"/>
          <w:lang w:val="sr-Latn-ME"/>
        </w:rPr>
        <w:t>nedjelja</w:t>
      </w:r>
      <w:r w:rsidRPr="009C0665">
        <w:rPr>
          <w:szCs w:val="22"/>
          <w:lang w:val="sr-Latn-ME"/>
        </w:rPr>
        <w:t>)</w:t>
      </w:r>
    </w:p>
    <w:p w14:paraId="6A3695DD" w14:textId="77777777" w:rsidR="00847271" w:rsidRPr="009C0665" w:rsidRDefault="00847271" w:rsidP="004C7864">
      <w:pPr>
        <w:pStyle w:val="Header"/>
        <w:rPr>
          <w:bCs/>
          <w:szCs w:val="22"/>
          <w:lang w:val="sr-Latn-ME"/>
        </w:rPr>
      </w:pPr>
    </w:p>
    <w:p w14:paraId="4B2034FF" w14:textId="6A065F03" w:rsidR="00847271" w:rsidRPr="009C0665" w:rsidRDefault="00847271" w:rsidP="004C7864">
      <w:pPr>
        <w:pStyle w:val="Header"/>
        <w:rPr>
          <w:bCs/>
          <w:szCs w:val="22"/>
          <w:lang w:val="sr-Latn-ME"/>
        </w:rPr>
      </w:pPr>
      <w:r w:rsidRPr="009C0665">
        <w:rPr>
          <w:bCs/>
          <w:szCs w:val="22"/>
          <w:lang w:val="sr-Latn-ME"/>
        </w:rPr>
        <w:t>Eksplorat</w:t>
      </w:r>
      <w:r w:rsidR="00E43275" w:rsidRPr="009C0665">
        <w:rPr>
          <w:bCs/>
          <w:szCs w:val="22"/>
          <w:lang w:val="sr-Latn-ME"/>
        </w:rPr>
        <w:t>orne</w:t>
      </w:r>
      <w:r w:rsidRPr="009C0665">
        <w:rPr>
          <w:bCs/>
          <w:szCs w:val="22"/>
          <w:lang w:val="sr-Latn-ME"/>
        </w:rPr>
        <w:t xml:space="preserve"> analize is</w:t>
      </w:r>
      <w:r w:rsidR="00F40A2C" w:rsidRPr="009C0665">
        <w:rPr>
          <w:bCs/>
          <w:szCs w:val="22"/>
          <w:lang w:val="sr-Latn-ME"/>
        </w:rPr>
        <w:t>pitale</w:t>
      </w:r>
      <w:r w:rsidRPr="009C0665">
        <w:rPr>
          <w:bCs/>
          <w:szCs w:val="22"/>
          <w:lang w:val="sr-Latn-ME"/>
        </w:rPr>
        <w:t xml:space="preserve"> su </w:t>
      </w:r>
      <w:r w:rsidR="00A63489" w:rsidRPr="009C0665">
        <w:rPr>
          <w:bCs/>
          <w:szCs w:val="22"/>
          <w:lang w:val="sr-Latn-ME"/>
        </w:rPr>
        <w:t>djelovanje</w:t>
      </w:r>
      <w:r w:rsidRPr="009C0665">
        <w:rPr>
          <w:bCs/>
          <w:szCs w:val="22"/>
          <w:lang w:val="sr-Latn-ME"/>
        </w:rPr>
        <w:t xml:space="preserve"> istovremene </w:t>
      </w:r>
      <w:r w:rsidR="00AB003D" w:rsidRPr="009C0665">
        <w:rPr>
          <w:bCs/>
          <w:szCs w:val="22"/>
          <w:lang w:val="sr-Latn-ME"/>
        </w:rPr>
        <w:t>primjene</w:t>
      </w:r>
      <w:r w:rsidRPr="009C0665">
        <w:rPr>
          <w:bCs/>
          <w:szCs w:val="22"/>
          <w:lang w:val="sr-Latn-ME"/>
        </w:rPr>
        <w:t xml:space="preserve"> kortikosteroida i imunomodulatora na indukciju remisije sa vedolizumabom. Kombinovana terapija, najviše sa istovremeno </w:t>
      </w:r>
      <w:r w:rsidR="00054848" w:rsidRPr="009C0665">
        <w:rPr>
          <w:bCs/>
          <w:szCs w:val="22"/>
          <w:lang w:val="sr-Latn-ME"/>
        </w:rPr>
        <w:t>prim</w:t>
      </w:r>
      <w:r w:rsidR="002D4617" w:rsidRPr="009C0665">
        <w:rPr>
          <w:bCs/>
          <w:szCs w:val="22"/>
          <w:lang w:val="sr-Latn-ME"/>
        </w:rPr>
        <w:t>i</w:t>
      </w:r>
      <w:r w:rsidR="00054848" w:rsidRPr="009C0665">
        <w:rPr>
          <w:bCs/>
          <w:szCs w:val="22"/>
          <w:lang w:val="sr-Latn-ME"/>
        </w:rPr>
        <w:t>jenjen</w:t>
      </w:r>
      <w:r w:rsidRPr="009C0665">
        <w:rPr>
          <w:bCs/>
          <w:szCs w:val="22"/>
          <w:lang w:val="sr-Latn-ME"/>
        </w:rPr>
        <w:t xml:space="preserve">im kortikosteroidima, pokazala se </w:t>
      </w:r>
      <w:r w:rsidR="00E43275" w:rsidRPr="009C0665">
        <w:rPr>
          <w:bCs/>
          <w:szCs w:val="22"/>
          <w:lang w:val="sr-Latn-ME"/>
        </w:rPr>
        <w:t xml:space="preserve">efikasnijom </w:t>
      </w:r>
      <w:r w:rsidRPr="009C0665">
        <w:rPr>
          <w:bCs/>
          <w:szCs w:val="22"/>
          <w:lang w:val="sr-Latn-ME"/>
        </w:rPr>
        <w:t xml:space="preserve">u indukciji remisije u Kronovoj bolesti od </w:t>
      </w:r>
      <w:r w:rsidR="00E43275" w:rsidRPr="009C0665">
        <w:rPr>
          <w:bCs/>
          <w:szCs w:val="22"/>
          <w:lang w:val="sr-Latn-ME"/>
        </w:rPr>
        <w:t xml:space="preserve">samog </w:t>
      </w:r>
      <w:r w:rsidRPr="009C0665">
        <w:rPr>
          <w:bCs/>
          <w:szCs w:val="22"/>
          <w:lang w:val="sr-Latn-ME"/>
        </w:rPr>
        <w:t xml:space="preserve">vedolizumaba ili sa istovremeno </w:t>
      </w:r>
      <w:r w:rsidR="00054848" w:rsidRPr="009C0665">
        <w:rPr>
          <w:bCs/>
          <w:szCs w:val="22"/>
          <w:lang w:val="sr-Latn-ME"/>
        </w:rPr>
        <w:t>prim</w:t>
      </w:r>
      <w:r w:rsidR="002D4617" w:rsidRPr="009C0665">
        <w:rPr>
          <w:bCs/>
          <w:szCs w:val="22"/>
          <w:lang w:val="sr-Latn-ME"/>
        </w:rPr>
        <w:t>i</w:t>
      </w:r>
      <w:r w:rsidR="00054848" w:rsidRPr="009C0665">
        <w:rPr>
          <w:bCs/>
          <w:szCs w:val="22"/>
          <w:lang w:val="sr-Latn-ME"/>
        </w:rPr>
        <w:t>jenjen</w:t>
      </w:r>
      <w:r w:rsidRPr="009C0665">
        <w:rPr>
          <w:bCs/>
          <w:szCs w:val="22"/>
          <w:lang w:val="sr-Latn-ME"/>
        </w:rPr>
        <w:t xml:space="preserve">im imunomodulatorima, koji su pokazali manju razliku u stopi remisije u odnosu na placebo. Stopa kliničke remisije u ispitivanju GEMINI </w:t>
      </w:r>
      <w:r w:rsidR="00BE020D" w:rsidRPr="009C0665">
        <w:rPr>
          <w:bCs/>
          <w:szCs w:val="22"/>
          <w:lang w:val="sr-Latn-ME"/>
        </w:rPr>
        <w:t xml:space="preserve">2 </w:t>
      </w:r>
      <w:r w:rsidRPr="009C0665">
        <w:rPr>
          <w:bCs/>
          <w:szCs w:val="22"/>
          <w:lang w:val="sr-Latn-ME"/>
        </w:rPr>
        <w:t xml:space="preserve">u 6.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 iznosila je 10% (razlika u odnosu na placebo bila je 2%, 95%-tni interval </w:t>
      </w:r>
      <w:r w:rsidR="00A63489" w:rsidRPr="009C0665">
        <w:rPr>
          <w:bCs/>
          <w:szCs w:val="22"/>
          <w:lang w:val="sr-Latn-ME"/>
        </w:rPr>
        <w:t>povjerenja</w:t>
      </w:r>
      <w:r w:rsidR="00E43275" w:rsidRPr="009C0665">
        <w:rPr>
          <w:bCs/>
          <w:szCs w:val="22"/>
          <w:lang w:val="sr-Latn-ME"/>
        </w:rPr>
        <w:t xml:space="preserve"> (engl. </w:t>
      </w:r>
      <w:r w:rsidR="00802570" w:rsidRPr="009C0665">
        <w:rPr>
          <w:bCs/>
          <w:i/>
          <w:szCs w:val="22"/>
          <w:lang w:val="sr-Latn-ME"/>
        </w:rPr>
        <w:t>confiden</w:t>
      </w:r>
      <w:r w:rsidR="00E43275" w:rsidRPr="009C0665">
        <w:rPr>
          <w:bCs/>
          <w:i/>
          <w:szCs w:val="22"/>
          <w:lang w:val="sr-Latn-ME"/>
        </w:rPr>
        <w:t>ce</w:t>
      </w:r>
      <w:r w:rsidR="00802570" w:rsidRPr="009C0665">
        <w:rPr>
          <w:bCs/>
          <w:i/>
          <w:szCs w:val="22"/>
          <w:lang w:val="sr-Latn-ME"/>
        </w:rPr>
        <w:t xml:space="preserve"> interval</w:t>
      </w:r>
      <w:r w:rsidR="00E43275" w:rsidRPr="009C0665">
        <w:rPr>
          <w:bCs/>
          <w:szCs w:val="22"/>
          <w:lang w:val="sr-Latn-ME"/>
        </w:rPr>
        <w:t>, CI)</w:t>
      </w:r>
      <w:r w:rsidRPr="009C0665">
        <w:rPr>
          <w:bCs/>
          <w:szCs w:val="22"/>
          <w:lang w:val="sr-Latn-ME"/>
        </w:rPr>
        <w:t xml:space="preserve">: -6, 10) kad se terapija </w:t>
      </w:r>
      <w:r w:rsidR="00A63489" w:rsidRPr="009C0665">
        <w:rPr>
          <w:bCs/>
          <w:szCs w:val="22"/>
          <w:lang w:val="sr-Latn-ME"/>
        </w:rPr>
        <w:t>primjenjivala</w:t>
      </w:r>
      <w:r w:rsidRPr="009C0665">
        <w:rPr>
          <w:bCs/>
          <w:szCs w:val="22"/>
          <w:lang w:val="sr-Latn-ME"/>
        </w:rPr>
        <w:t xml:space="preserve"> bez kortikosteroida u poređenju sa 20% (razlika u odnosu na placebo 14%, 95</w:t>
      </w:r>
      <w:r w:rsidR="00E43275" w:rsidRPr="009C0665">
        <w:rPr>
          <w:bCs/>
          <w:szCs w:val="22"/>
          <w:lang w:val="sr-Latn-ME"/>
        </w:rPr>
        <w:t>% CI</w:t>
      </w:r>
      <w:r w:rsidRPr="009C0665">
        <w:rPr>
          <w:bCs/>
          <w:szCs w:val="22"/>
          <w:lang w:val="sr-Latn-ME"/>
        </w:rPr>
        <w:t xml:space="preserve"> : -1, 29) uz istovremenu </w:t>
      </w:r>
      <w:r w:rsidR="00AB003D" w:rsidRPr="009C0665">
        <w:rPr>
          <w:bCs/>
          <w:szCs w:val="22"/>
          <w:lang w:val="sr-Latn-ME"/>
        </w:rPr>
        <w:t>primjenu</w:t>
      </w:r>
      <w:r w:rsidRPr="009C0665">
        <w:rPr>
          <w:bCs/>
          <w:szCs w:val="22"/>
          <w:lang w:val="sr-Latn-ME"/>
        </w:rPr>
        <w:t xml:space="preserve"> kortikosteroida. U 6. i 10.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 ispitivanja GEMINI </w:t>
      </w:r>
      <w:r w:rsidR="00BE020D" w:rsidRPr="009C0665">
        <w:rPr>
          <w:bCs/>
          <w:szCs w:val="22"/>
          <w:lang w:val="sr-Latn-ME"/>
        </w:rPr>
        <w:t>3</w:t>
      </w:r>
      <w:r w:rsidRPr="009C0665">
        <w:rPr>
          <w:bCs/>
          <w:szCs w:val="22"/>
          <w:lang w:val="sr-Latn-ME"/>
        </w:rPr>
        <w:t xml:space="preserve"> odgovarajuće stope kliničke remisije iznosile su 18% (razlika u odnosu na placebo 3%, 95%</w:t>
      </w:r>
      <w:r w:rsidR="00E43275" w:rsidRPr="009C0665">
        <w:rPr>
          <w:bCs/>
          <w:szCs w:val="22"/>
          <w:lang w:val="sr-Latn-ME"/>
        </w:rPr>
        <w:t xml:space="preserve"> CI</w:t>
      </w:r>
      <w:r w:rsidRPr="009C0665">
        <w:rPr>
          <w:bCs/>
          <w:szCs w:val="22"/>
          <w:lang w:val="sr-Latn-ME"/>
        </w:rPr>
        <w:t>: -7, 13) i 22% (razlika u odnosu na placebo 8%, 95%</w:t>
      </w:r>
      <w:r w:rsidR="00E43275" w:rsidRPr="009C0665">
        <w:rPr>
          <w:bCs/>
          <w:szCs w:val="22"/>
          <w:lang w:val="sr-Latn-ME"/>
        </w:rPr>
        <w:t xml:space="preserve"> CI</w:t>
      </w:r>
      <w:r w:rsidRPr="009C0665">
        <w:rPr>
          <w:bCs/>
          <w:szCs w:val="22"/>
          <w:lang w:val="sr-Latn-ME"/>
        </w:rPr>
        <w:t xml:space="preserve">: - 3, 19) kad se terapija </w:t>
      </w:r>
      <w:r w:rsidR="00A63489" w:rsidRPr="009C0665">
        <w:rPr>
          <w:bCs/>
          <w:szCs w:val="22"/>
          <w:lang w:val="sr-Latn-ME"/>
        </w:rPr>
        <w:t>primjenjivala</w:t>
      </w:r>
      <w:r w:rsidRPr="009C0665">
        <w:rPr>
          <w:bCs/>
          <w:szCs w:val="22"/>
          <w:lang w:val="sr-Latn-ME"/>
        </w:rPr>
        <w:t xml:space="preserve"> bez kortikosteroida u poređenju sa 20% (razlika u odnosu na placebo 11%, 95%</w:t>
      </w:r>
      <w:r w:rsidR="00BE69A2" w:rsidRPr="009C0665">
        <w:rPr>
          <w:bCs/>
          <w:szCs w:val="22"/>
          <w:lang w:val="sr-Latn-ME"/>
        </w:rPr>
        <w:t xml:space="preserve"> CI</w:t>
      </w:r>
      <w:r w:rsidRPr="009C0665">
        <w:rPr>
          <w:bCs/>
          <w:szCs w:val="22"/>
          <w:lang w:val="sr-Latn-ME"/>
        </w:rPr>
        <w:t>: 2, 20) i 35% (razlika u odnosu na placebo 23%, 95%</w:t>
      </w:r>
      <w:r w:rsidR="00BE69A2" w:rsidRPr="009C0665">
        <w:rPr>
          <w:bCs/>
          <w:szCs w:val="22"/>
          <w:lang w:val="sr-Latn-ME"/>
        </w:rPr>
        <w:t xml:space="preserve"> CI</w:t>
      </w:r>
      <w:r w:rsidRPr="009C0665">
        <w:rPr>
          <w:bCs/>
          <w:szCs w:val="22"/>
          <w:lang w:val="sr-Latn-ME"/>
        </w:rPr>
        <w:t xml:space="preserve">: 12, 33) uz istovremenu </w:t>
      </w:r>
      <w:r w:rsidR="00AB003D" w:rsidRPr="009C0665">
        <w:rPr>
          <w:bCs/>
          <w:szCs w:val="22"/>
          <w:lang w:val="sr-Latn-ME"/>
        </w:rPr>
        <w:t>primjenu</w:t>
      </w:r>
      <w:r w:rsidRPr="009C0665">
        <w:rPr>
          <w:bCs/>
          <w:szCs w:val="22"/>
          <w:lang w:val="sr-Latn-ME"/>
        </w:rPr>
        <w:t xml:space="preserve"> kortikosteroida. Ovi efekti</w:t>
      </w:r>
      <w:r w:rsidR="00BE69A2" w:rsidRPr="009C0665">
        <w:rPr>
          <w:bCs/>
          <w:szCs w:val="22"/>
          <w:lang w:val="sr-Latn-ME"/>
        </w:rPr>
        <w:t xml:space="preserve"> su</w:t>
      </w:r>
      <w:r w:rsidRPr="009C0665">
        <w:rPr>
          <w:bCs/>
          <w:szCs w:val="22"/>
          <w:lang w:val="sr-Latn-ME"/>
        </w:rPr>
        <w:t xml:space="preserve"> </w:t>
      </w:r>
      <w:r w:rsidR="00AB003D" w:rsidRPr="009C0665">
        <w:rPr>
          <w:bCs/>
          <w:szCs w:val="22"/>
          <w:lang w:val="sr-Latn-ME"/>
        </w:rPr>
        <w:t>zabilježen</w:t>
      </w:r>
      <w:r w:rsidRPr="009C0665">
        <w:rPr>
          <w:bCs/>
          <w:szCs w:val="22"/>
          <w:lang w:val="sr-Latn-ME"/>
        </w:rPr>
        <w:t xml:space="preserve">i bez obzira na to </w:t>
      </w:r>
      <w:r w:rsidR="00BE69A2" w:rsidRPr="009C0665">
        <w:rPr>
          <w:bCs/>
          <w:szCs w:val="22"/>
          <w:lang w:val="sr-Latn-ME"/>
        </w:rPr>
        <w:t>da</w:t>
      </w:r>
      <w:r w:rsidRPr="009C0665">
        <w:rPr>
          <w:bCs/>
          <w:szCs w:val="22"/>
          <w:lang w:val="sr-Latn-ME"/>
        </w:rPr>
        <w:t xml:space="preserve"> li </w:t>
      </w:r>
      <w:r w:rsidR="00BE69A2" w:rsidRPr="009C0665">
        <w:rPr>
          <w:bCs/>
          <w:szCs w:val="22"/>
          <w:lang w:val="sr-Latn-ME"/>
        </w:rPr>
        <w:t xml:space="preserve">su </w:t>
      </w:r>
      <w:r w:rsidRPr="009C0665">
        <w:rPr>
          <w:bCs/>
          <w:szCs w:val="22"/>
          <w:lang w:val="sr-Latn-ME"/>
        </w:rPr>
        <w:t xml:space="preserve">se istovremeno </w:t>
      </w:r>
      <w:r w:rsidR="00A63489" w:rsidRPr="009C0665">
        <w:rPr>
          <w:bCs/>
          <w:szCs w:val="22"/>
          <w:lang w:val="sr-Latn-ME"/>
        </w:rPr>
        <w:t>primjenjivali</w:t>
      </w:r>
      <w:r w:rsidRPr="009C0665">
        <w:rPr>
          <w:bCs/>
          <w:szCs w:val="22"/>
          <w:lang w:val="sr-Latn-ME"/>
        </w:rPr>
        <w:t xml:space="preserve"> i imunomodulatori ili n</w:t>
      </w:r>
      <w:r w:rsidR="00BE69A2" w:rsidRPr="009C0665">
        <w:rPr>
          <w:bCs/>
          <w:szCs w:val="22"/>
          <w:lang w:val="sr-Latn-ME"/>
        </w:rPr>
        <w:t>e</w:t>
      </w:r>
      <w:r w:rsidRPr="009C0665">
        <w:rPr>
          <w:bCs/>
          <w:szCs w:val="22"/>
          <w:lang w:val="sr-Latn-ME"/>
        </w:rPr>
        <w:t>.</w:t>
      </w:r>
    </w:p>
    <w:p w14:paraId="2D9E0230" w14:textId="77777777" w:rsidR="00847271" w:rsidRPr="009C0665" w:rsidRDefault="00847271" w:rsidP="004C7864">
      <w:pPr>
        <w:pStyle w:val="Header"/>
        <w:rPr>
          <w:bCs/>
          <w:szCs w:val="22"/>
          <w:lang w:val="sr-Latn-ME"/>
        </w:rPr>
      </w:pPr>
    </w:p>
    <w:p w14:paraId="21C6C654" w14:textId="782DD047" w:rsidR="00847271" w:rsidRPr="009C0665" w:rsidRDefault="00847271" w:rsidP="004C7864">
      <w:pPr>
        <w:pStyle w:val="Header"/>
        <w:rPr>
          <w:bCs/>
          <w:szCs w:val="22"/>
          <w:lang w:val="sr-Latn-ME"/>
        </w:rPr>
      </w:pPr>
      <w:r w:rsidRPr="009C0665">
        <w:rPr>
          <w:bCs/>
          <w:szCs w:val="22"/>
          <w:lang w:val="sr-Latn-ME"/>
        </w:rPr>
        <w:t>Eksplorat</w:t>
      </w:r>
      <w:r w:rsidR="00BE69A2" w:rsidRPr="009C0665">
        <w:rPr>
          <w:bCs/>
          <w:szCs w:val="22"/>
          <w:lang w:val="sr-Latn-ME"/>
        </w:rPr>
        <w:t>or</w:t>
      </w:r>
      <w:r w:rsidRPr="009C0665">
        <w:rPr>
          <w:bCs/>
          <w:szCs w:val="22"/>
          <w:lang w:val="sr-Latn-ME"/>
        </w:rPr>
        <w:t xml:space="preserve">ne analize daju dodatne podatke o ključnim ispitivanim subpopulacijama. U ispitivanju GEMINI </w:t>
      </w:r>
      <w:r w:rsidR="00BE020D" w:rsidRPr="009C0665">
        <w:rPr>
          <w:bCs/>
          <w:szCs w:val="22"/>
          <w:lang w:val="sr-Latn-ME"/>
        </w:rPr>
        <w:t>2</w:t>
      </w:r>
      <w:r w:rsidRPr="009C0665">
        <w:rPr>
          <w:bCs/>
          <w:szCs w:val="22"/>
          <w:lang w:val="sr-Latn-ME"/>
        </w:rPr>
        <w:t xml:space="preserve"> približno polovina pacijenata prethodno nije odgovorila na terapiju antagonistom TNF</w:t>
      </w:r>
      <w:r w:rsidR="002D4617" w:rsidRPr="009C0665">
        <w:rPr>
          <w:bCs/>
          <w:szCs w:val="22"/>
          <w:lang w:val="sr-Latn-ME"/>
        </w:rPr>
        <w:t>α</w:t>
      </w:r>
      <w:r w:rsidRPr="009C0665">
        <w:rPr>
          <w:bCs/>
          <w:szCs w:val="22"/>
          <w:lang w:val="sr-Latn-ME"/>
        </w:rPr>
        <w:t>. Od ovih pacijenata, 28% onih koji su primali vedolizumab svak</w:t>
      </w:r>
      <w:r w:rsidR="00BE69A2" w:rsidRPr="009C0665">
        <w:rPr>
          <w:bCs/>
          <w:szCs w:val="22"/>
          <w:lang w:val="sr-Latn-ME"/>
        </w:rPr>
        <w:t>ih</w:t>
      </w:r>
      <w:r w:rsidRPr="009C0665">
        <w:rPr>
          <w:bCs/>
          <w:szCs w:val="22"/>
          <w:lang w:val="sr-Latn-ME"/>
        </w:rPr>
        <w:t xml:space="preserve"> </w:t>
      </w:r>
      <w:r w:rsidR="00BE020D" w:rsidRPr="009C0665">
        <w:rPr>
          <w:bCs/>
          <w:szCs w:val="22"/>
          <w:lang w:val="sr-Latn-ME"/>
        </w:rPr>
        <w:t xml:space="preserve">8 </w:t>
      </w:r>
      <w:r w:rsidR="00AB003D" w:rsidRPr="009C0665">
        <w:rPr>
          <w:bCs/>
          <w:szCs w:val="22"/>
          <w:lang w:val="sr-Latn-ME"/>
        </w:rPr>
        <w:t>nedjelja</w:t>
      </w:r>
      <w:r w:rsidRPr="009C0665">
        <w:rPr>
          <w:bCs/>
          <w:szCs w:val="22"/>
          <w:lang w:val="sr-Latn-ME"/>
        </w:rPr>
        <w:t xml:space="preserve">, 27% onih koji su primali vedolizumab svake </w:t>
      </w:r>
      <w:r w:rsidR="00BE020D" w:rsidRPr="009C0665">
        <w:rPr>
          <w:bCs/>
          <w:szCs w:val="22"/>
          <w:lang w:val="sr-Latn-ME"/>
        </w:rPr>
        <w:t>4</w:t>
      </w:r>
      <w:r w:rsidRPr="009C0665">
        <w:rPr>
          <w:bCs/>
          <w:szCs w:val="22"/>
          <w:lang w:val="sr-Latn-ME"/>
        </w:rPr>
        <w:t xml:space="preserve"> </w:t>
      </w:r>
      <w:r w:rsidR="00166D72" w:rsidRPr="009C0665">
        <w:rPr>
          <w:bCs/>
          <w:szCs w:val="22"/>
          <w:lang w:val="sr-Latn-ME"/>
        </w:rPr>
        <w:t>nedjelje</w:t>
      </w:r>
      <w:r w:rsidRPr="009C0665">
        <w:rPr>
          <w:bCs/>
          <w:szCs w:val="22"/>
          <w:lang w:val="sr-Latn-ME"/>
        </w:rPr>
        <w:t xml:space="preserve"> i 13% onih koji su primali placebo postiglo je kliničku remisiju u 52.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. Pojačani klinički odgovor postignut je </w:t>
      </w:r>
      <w:r w:rsidR="00BE69A2" w:rsidRPr="009C0665">
        <w:rPr>
          <w:bCs/>
          <w:szCs w:val="22"/>
          <w:lang w:val="sr-Latn-ME"/>
        </w:rPr>
        <w:t>kod</w:t>
      </w:r>
      <w:r w:rsidRPr="009C0665">
        <w:rPr>
          <w:bCs/>
          <w:szCs w:val="22"/>
          <w:lang w:val="sr-Latn-ME"/>
        </w:rPr>
        <w:t xml:space="preserve"> 29%, 38% odnosno 21% pacijenata, a klinička remisija bez kortikosteroida postignuta je kod 24%, 16% odnosno 0% pacijenata.</w:t>
      </w:r>
    </w:p>
    <w:p w14:paraId="61B344A7" w14:textId="77777777" w:rsidR="00847271" w:rsidRPr="009C0665" w:rsidRDefault="00847271" w:rsidP="004C7864">
      <w:pPr>
        <w:pStyle w:val="Header"/>
        <w:rPr>
          <w:bCs/>
          <w:szCs w:val="22"/>
          <w:lang w:val="sr-Latn-ME"/>
        </w:rPr>
      </w:pPr>
    </w:p>
    <w:p w14:paraId="355DA717" w14:textId="06F9C96D" w:rsidR="00847271" w:rsidRPr="009C0665" w:rsidRDefault="00847271" w:rsidP="004C7864">
      <w:pPr>
        <w:pStyle w:val="Header"/>
        <w:rPr>
          <w:bCs/>
          <w:szCs w:val="22"/>
          <w:lang w:val="sr-Latn-ME"/>
        </w:rPr>
      </w:pPr>
      <w:r w:rsidRPr="009C0665">
        <w:rPr>
          <w:bCs/>
          <w:szCs w:val="22"/>
          <w:lang w:val="sr-Latn-ME"/>
        </w:rPr>
        <w:t xml:space="preserve">Pacijenti </w:t>
      </w:r>
      <w:r w:rsidR="00BE69A2" w:rsidRPr="009C0665">
        <w:rPr>
          <w:bCs/>
          <w:szCs w:val="22"/>
          <w:lang w:val="sr-Latn-ME"/>
        </w:rPr>
        <w:t xml:space="preserve">kod </w:t>
      </w:r>
      <w:r w:rsidRPr="009C0665">
        <w:rPr>
          <w:bCs/>
          <w:szCs w:val="22"/>
          <w:lang w:val="sr-Latn-ME"/>
        </w:rPr>
        <w:t>koji</w:t>
      </w:r>
      <w:r w:rsidR="00BE69A2" w:rsidRPr="009C0665">
        <w:rPr>
          <w:bCs/>
          <w:szCs w:val="22"/>
          <w:lang w:val="sr-Latn-ME"/>
        </w:rPr>
        <w:t>h</w:t>
      </w:r>
      <w:r w:rsidRPr="009C0665">
        <w:rPr>
          <w:bCs/>
          <w:szCs w:val="22"/>
          <w:lang w:val="sr-Latn-ME"/>
        </w:rPr>
        <w:t xml:space="preserve"> </w:t>
      </w:r>
      <w:r w:rsidR="00BE69A2" w:rsidRPr="009C0665">
        <w:rPr>
          <w:bCs/>
          <w:szCs w:val="22"/>
          <w:lang w:val="sr-Latn-ME"/>
        </w:rPr>
        <w:t>nije</w:t>
      </w:r>
      <w:r w:rsidRPr="009C0665">
        <w:rPr>
          <w:bCs/>
          <w:szCs w:val="22"/>
          <w:lang w:val="sr-Latn-ME"/>
        </w:rPr>
        <w:t xml:space="preserve"> postig</w:t>
      </w:r>
      <w:r w:rsidR="00BE69A2" w:rsidRPr="009C0665">
        <w:rPr>
          <w:bCs/>
          <w:szCs w:val="22"/>
          <w:lang w:val="sr-Latn-ME"/>
        </w:rPr>
        <w:t>nut terapijski</w:t>
      </w:r>
      <w:r w:rsidRPr="009C0665">
        <w:rPr>
          <w:bCs/>
          <w:szCs w:val="22"/>
          <w:lang w:val="sr-Latn-ME"/>
        </w:rPr>
        <w:t xml:space="preserve"> odgovor u 6.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 u ispitivanju GEMINI II zadržani su u ispitivanju </w:t>
      </w:r>
      <w:r w:rsidR="00BE69A2" w:rsidRPr="009C0665">
        <w:rPr>
          <w:bCs/>
          <w:szCs w:val="22"/>
          <w:lang w:val="sr-Latn-ME"/>
        </w:rPr>
        <w:t>i</w:t>
      </w:r>
      <w:r w:rsidRPr="009C0665">
        <w:rPr>
          <w:bCs/>
          <w:szCs w:val="22"/>
          <w:lang w:val="sr-Latn-ME"/>
        </w:rPr>
        <w:t xml:space="preserve"> primali </w:t>
      </w:r>
      <w:r w:rsidR="00BE69A2" w:rsidRPr="009C0665">
        <w:rPr>
          <w:bCs/>
          <w:szCs w:val="22"/>
          <w:lang w:val="sr-Latn-ME"/>
        </w:rPr>
        <w:t xml:space="preserve">su </w:t>
      </w:r>
      <w:r w:rsidRPr="009C0665">
        <w:rPr>
          <w:bCs/>
          <w:szCs w:val="22"/>
          <w:lang w:val="sr-Latn-ME"/>
        </w:rPr>
        <w:t xml:space="preserve">vedolizumab svake </w:t>
      </w:r>
      <w:r w:rsidR="00BE020D" w:rsidRPr="009C0665">
        <w:rPr>
          <w:bCs/>
          <w:szCs w:val="22"/>
          <w:lang w:val="sr-Latn-ME"/>
        </w:rPr>
        <w:t xml:space="preserve">4 </w:t>
      </w:r>
      <w:r w:rsidR="00166D72" w:rsidRPr="009C0665">
        <w:rPr>
          <w:bCs/>
          <w:szCs w:val="22"/>
          <w:lang w:val="sr-Latn-ME"/>
        </w:rPr>
        <w:t>nedjelje</w:t>
      </w:r>
      <w:r w:rsidRPr="009C0665">
        <w:rPr>
          <w:bCs/>
          <w:szCs w:val="22"/>
          <w:lang w:val="sr-Latn-ME"/>
        </w:rPr>
        <w:t xml:space="preserve">. Pojačan klinički odgovor uočen je u 10. i 14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 </w:t>
      </w:r>
      <w:r w:rsidR="00BE69A2" w:rsidRPr="009C0665">
        <w:rPr>
          <w:bCs/>
          <w:szCs w:val="22"/>
          <w:lang w:val="sr-Latn-ME"/>
        </w:rPr>
        <w:t>kod</w:t>
      </w:r>
      <w:r w:rsidRPr="009C0665">
        <w:rPr>
          <w:bCs/>
          <w:szCs w:val="22"/>
          <w:lang w:val="sr-Latn-ME"/>
        </w:rPr>
        <w:t xml:space="preserve"> veće</w:t>
      </w:r>
      <w:r w:rsidR="00BE69A2" w:rsidRPr="009C0665">
        <w:rPr>
          <w:bCs/>
          <w:szCs w:val="22"/>
          <w:lang w:val="sr-Latn-ME"/>
        </w:rPr>
        <w:t>g</w:t>
      </w:r>
      <w:r w:rsidRPr="009C0665">
        <w:rPr>
          <w:bCs/>
          <w:szCs w:val="22"/>
          <w:lang w:val="sr-Latn-ME"/>
        </w:rPr>
        <w:t xml:space="preserve"> ud</w:t>
      </w:r>
      <w:r w:rsidR="00A30ED2" w:rsidRPr="009C0665">
        <w:rPr>
          <w:bCs/>
          <w:szCs w:val="22"/>
          <w:lang w:val="sr-Latn-ME"/>
        </w:rPr>
        <w:t>j</w:t>
      </w:r>
      <w:r w:rsidRPr="009C0665">
        <w:rPr>
          <w:bCs/>
          <w:szCs w:val="22"/>
          <w:lang w:val="sr-Latn-ME"/>
        </w:rPr>
        <w:t>el</w:t>
      </w:r>
      <w:r w:rsidR="00BE69A2" w:rsidRPr="009C0665">
        <w:rPr>
          <w:bCs/>
          <w:szCs w:val="22"/>
          <w:lang w:val="sr-Latn-ME"/>
        </w:rPr>
        <w:t>a</w:t>
      </w:r>
      <w:r w:rsidRPr="009C0665">
        <w:rPr>
          <w:bCs/>
          <w:szCs w:val="22"/>
          <w:lang w:val="sr-Latn-ME"/>
        </w:rPr>
        <w:t xml:space="preserve"> kod pacijenata l</w:t>
      </w:r>
      <w:r w:rsidR="00A30ED2" w:rsidRPr="009C0665">
        <w:rPr>
          <w:bCs/>
          <w:szCs w:val="22"/>
          <w:lang w:val="sr-Latn-ME"/>
        </w:rPr>
        <w:t>ij</w:t>
      </w:r>
      <w:r w:rsidRPr="009C0665">
        <w:rPr>
          <w:bCs/>
          <w:szCs w:val="22"/>
          <w:lang w:val="sr-Latn-ME"/>
        </w:rPr>
        <w:t xml:space="preserve">ečenih vedolizumabom 16% odnosno 22%, u poređenju sa pacijentima koji su primali placebo 7% odnosno 12%. Nije bilo klinički značajne razlike u kliničkoj remisiji između grupa u ovim vremenskim tačkama. Analize kliničke remisije u 52.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 kod pacijenata koji ni</w:t>
      </w:r>
      <w:r w:rsidR="00A30ED2" w:rsidRPr="009C0665">
        <w:rPr>
          <w:bCs/>
          <w:szCs w:val="22"/>
          <w:lang w:val="sr-Latn-ME"/>
        </w:rPr>
        <w:t>je</w:t>
      </w:r>
      <w:r w:rsidRPr="009C0665">
        <w:rPr>
          <w:bCs/>
          <w:szCs w:val="22"/>
          <w:lang w:val="sr-Latn-ME"/>
        </w:rPr>
        <w:t xml:space="preserve">su </w:t>
      </w:r>
      <w:r w:rsidR="00BE69A2" w:rsidRPr="009C0665">
        <w:rPr>
          <w:bCs/>
          <w:szCs w:val="22"/>
          <w:lang w:val="sr-Latn-ME"/>
        </w:rPr>
        <w:t xml:space="preserve">postigli </w:t>
      </w:r>
      <w:r w:rsidRPr="009C0665">
        <w:rPr>
          <w:bCs/>
          <w:szCs w:val="22"/>
          <w:lang w:val="sr-Latn-ME"/>
        </w:rPr>
        <w:t xml:space="preserve">odgovor na terapiju u 6.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, već su odgovor postigli u 10. ili 14.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 ukazuju da bolesnici sa </w:t>
      </w:r>
      <w:r w:rsidR="00AB003D" w:rsidRPr="009C0665">
        <w:rPr>
          <w:bCs/>
          <w:szCs w:val="22"/>
          <w:lang w:val="sr-Latn-ME"/>
        </w:rPr>
        <w:t>Crohnovom</w:t>
      </w:r>
      <w:r w:rsidRPr="009C0665">
        <w:rPr>
          <w:bCs/>
          <w:szCs w:val="22"/>
          <w:lang w:val="sr-Latn-ME"/>
        </w:rPr>
        <w:t xml:space="preserve"> bolešću koji ne odgovore na </w:t>
      </w:r>
      <w:r w:rsidR="00D26459" w:rsidRPr="009C0665">
        <w:rPr>
          <w:bCs/>
          <w:szCs w:val="22"/>
          <w:lang w:val="sr-Latn-ME"/>
        </w:rPr>
        <w:t>liječenje</w:t>
      </w:r>
      <w:r w:rsidRPr="009C0665">
        <w:rPr>
          <w:bCs/>
          <w:szCs w:val="22"/>
          <w:lang w:val="sr-Latn-ME"/>
        </w:rPr>
        <w:t xml:space="preserve"> mogu imati koristi od doze vedolizumaba u 10.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>.</w:t>
      </w:r>
    </w:p>
    <w:p w14:paraId="64DFF0D3" w14:textId="77777777" w:rsidR="00847271" w:rsidRPr="009C0665" w:rsidRDefault="00847271" w:rsidP="004C7864">
      <w:pPr>
        <w:pStyle w:val="Header"/>
        <w:rPr>
          <w:bCs/>
          <w:szCs w:val="22"/>
          <w:lang w:val="sr-Latn-ME"/>
        </w:rPr>
      </w:pPr>
    </w:p>
    <w:p w14:paraId="7E26B5D3" w14:textId="5D2F188E" w:rsidR="00847271" w:rsidRPr="009C0665" w:rsidRDefault="00847271" w:rsidP="004C7864">
      <w:pPr>
        <w:pStyle w:val="Header"/>
        <w:rPr>
          <w:bCs/>
          <w:szCs w:val="22"/>
          <w:lang w:val="sr-Latn-ME"/>
        </w:rPr>
      </w:pPr>
      <w:r w:rsidRPr="009C0665">
        <w:rPr>
          <w:bCs/>
          <w:szCs w:val="22"/>
          <w:lang w:val="sr-Latn-ME"/>
        </w:rPr>
        <w:t>Pacijenti kod kojih je izostao odgovor na vedolizumab pri l</w:t>
      </w:r>
      <w:r w:rsidR="00A30ED2" w:rsidRPr="009C0665">
        <w:rPr>
          <w:bCs/>
          <w:szCs w:val="22"/>
          <w:lang w:val="sr-Latn-ME"/>
        </w:rPr>
        <w:t>ij</w:t>
      </w:r>
      <w:r w:rsidRPr="009C0665">
        <w:rPr>
          <w:bCs/>
          <w:szCs w:val="22"/>
          <w:lang w:val="sr-Latn-ME"/>
        </w:rPr>
        <w:t xml:space="preserve">ečenju svake </w:t>
      </w:r>
      <w:r w:rsidR="00BE020D" w:rsidRPr="009C0665">
        <w:rPr>
          <w:bCs/>
          <w:szCs w:val="22"/>
          <w:lang w:val="sr-Latn-ME"/>
        </w:rPr>
        <w:t xml:space="preserve">8. </w:t>
      </w:r>
      <w:r w:rsidR="00166D72" w:rsidRPr="009C0665">
        <w:rPr>
          <w:bCs/>
          <w:szCs w:val="22"/>
          <w:lang w:val="sr-Latn-ME"/>
        </w:rPr>
        <w:t>nedjelje</w:t>
      </w:r>
      <w:r w:rsidRPr="009C0665">
        <w:rPr>
          <w:bCs/>
          <w:szCs w:val="22"/>
          <w:lang w:val="sr-Latn-ME"/>
        </w:rPr>
        <w:t xml:space="preserve"> u ispitivanju GEMINI </w:t>
      </w:r>
      <w:r w:rsidR="00BE020D" w:rsidRPr="009C0665">
        <w:rPr>
          <w:bCs/>
          <w:szCs w:val="22"/>
          <w:lang w:val="sr-Latn-ME"/>
        </w:rPr>
        <w:t>2</w:t>
      </w:r>
      <w:r w:rsidRPr="009C0665">
        <w:rPr>
          <w:bCs/>
          <w:szCs w:val="22"/>
          <w:lang w:val="sr-Latn-ME"/>
        </w:rPr>
        <w:t xml:space="preserve">, mogli su da uđu u otvoreni nastavak ispitivanja i primaju vedolizumab svake </w:t>
      </w:r>
      <w:r w:rsidR="00BE020D" w:rsidRPr="009C0665">
        <w:rPr>
          <w:bCs/>
          <w:szCs w:val="22"/>
          <w:lang w:val="sr-Latn-ME"/>
        </w:rPr>
        <w:t xml:space="preserve">4. </w:t>
      </w:r>
      <w:r w:rsidR="00166D72" w:rsidRPr="009C0665">
        <w:rPr>
          <w:bCs/>
          <w:szCs w:val="22"/>
          <w:lang w:val="sr-Latn-ME"/>
        </w:rPr>
        <w:t>nedjelje</w:t>
      </w:r>
      <w:r w:rsidRPr="009C0665">
        <w:rPr>
          <w:bCs/>
          <w:szCs w:val="22"/>
          <w:lang w:val="sr-Latn-ME"/>
        </w:rPr>
        <w:t xml:space="preserve">. Kod tih pacijenata klinička remisija postignuta je kod 23% pacijenata u 28.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 i kod 32% pacijenata u 52.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>.</w:t>
      </w:r>
    </w:p>
    <w:p w14:paraId="2E1A646D" w14:textId="77777777" w:rsidR="00BE020D" w:rsidRPr="009C0665" w:rsidRDefault="00BE020D" w:rsidP="004C7864">
      <w:pPr>
        <w:pStyle w:val="Header"/>
        <w:rPr>
          <w:bCs/>
          <w:szCs w:val="22"/>
          <w:lang w:val="sr-Latn-ME"/>
        </w:rPr>
      </w:pPr>
    </w:p>
    <w:p w14:paraId="458B7E57" w14:textId="4B8D51A5" w:rsidR="00847271" w:rsidRPr="009C0665" w:rsidRDefault="00847271" w:rsidP="004C7864">
      <w:pPr>
        <w:pStyle w:val="Header"/>
        <w:rPr>
          <w:bCs/>
          <w:szCs w:val="22"/>
          <w:lang w:val="sr-Latn-ME"/>
        </w:rPr>
      </w:pPr>
      <w:r w:rsidRPr="009C0665">
        <w:rPr>
          <w:bCs/>
          <w:szCs w:val="22"/>
          <w:lang w:val="sr-Latn-ME"/>
        </w:rPr>
        <w:t xml:space="preserve">Pacijenti koji su postigli klinički odgovor nakon primanja vedolizumaba u </w:t>
      </w:r>
      <w:r w:rsidR="00BE020D" w:rsidRPr="009C0665">
        <w:rPr>
          <w:bCs/>
          <w:szCs w:val="22"/>
          <w:lang w:val="sr-Latn-ME"/>
        </w:rPr>
        <w:t xml:space="preserve">0. </w:t>
      </w:r>
      <w:r w:rsidRPr="009C0665">
        <w:rPr>
          <w:bCs/>
          <w:szCs w:val="22"/>
          <w:lang w:val="sr-Latn-ME"/>
        </w:rPr>
        <w:t xml:space="preserve">i </w:t>
      </w:r>
      <w:r w:rsidR="00BE020D" w:rsidRPr="009C0665">
        <w:rPr>
          <w:bCs/>
          <w:szCs w:val="22"/>
          <w:lang w:val="sr-Latn-ME"/>
        </w:rPr>
        <w:t>2.</w:t>
      </w:r>
      <w:r w:rsidRPr="009C0665">
        <w:rPr>
          <w:bCs/>
          <w:szCs w:val="22"/>
          <w:lang w:val="sr-Latn-ME"/>
        </w:rPr>
        <w:t xml:space="preserve">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 i </w:t>
      </w:r>
      <w:r w:rsidR="00E409DE" w:rsidRPr="009C0665">
        <w:rPr>
          <w:bCs/>
          <w:szCs w:val="22"/>
          <w:lang w:val="sr-Latn-ME"/>
        </w:rPr>
        <w:t xml:space="preserve">zatim </w:t>
      </w:r>
      <w:r w:rsidRPr="009C0665">
        <w:rPr>
          <w:bCs/>
          <w:szCs w:val="22"/>
          <w:lang w:val="sr-Latn-ME"/>
        </w:rPr>
        <w:t xml:space="preserve">su randomizovani u grupu koja je primala placebo (od 6. do 52. </w:t>
      </w:r>
      <w:r w:rsidR="0047181E" w:rsidRPr="009C0665">
        <w:rPr>
          <w:bCs/>
          <w:szCs w:val="22"/>
          <w:lang w:val="sr-Latn-ME"/>
        </w:rPr>
        <w:t>nedjelje</w:t>
      </w:r>
      <w:r w:rsidRPr="009C0665">
        <w:rPr>
          <w:bCs/>
          <w:szCs w:val="22"/>
          <w:lang w:val="sr-Latn-ME"/>
        </w:rPr>
        <w:t xml:space="preserve">) i nakon toga izgubili odgovor na </w:t>
      </w:r>
      <w:r w:rsidR="00D26459" w:rsidRPr="009C0665">
        <w:rPr>
          <w:bCs/>
          <w:szCs w:val="22"/>
          <w:lang w:val="sr-Latn-ME"/>
        </w:rPr>
        <w:t>liječenje</w:t>
      </w:r>
      <w:r w:rsidRPr="009C0665">
        <w:rPr>
          <w:bCs/>
          <w:szCs w:val="22"/>
          <w:lang w:val="sr-Latn-ME"/>
        </w:rPr>
        <w:t xml:space="preserve">, mogli su da uđu u otvoreni nastavak ispitivanja i primaju vedolizumab svake </w:t>
      </w:r>
      <w:r w:rsidR="00BE020D" w:rsidRPr="009C0665">
        <w:rPr>
          <w:bCs/>
          <w:szCs w:val="22"/>
          <w:lang w:val="sr-Latn-ME"/>
        </w:rPr>
        <w:t xml:space="preserve">4. </w:t>
      </w:r>
      <w:r w:rsidR="00166D72" w:rsidRPr="009C0665">
        <w:rPr>
          <w:bCs/>
          <w:szCs w:val="22"/>
          <w:lang w:val="sr-Latn-ME"/>
        </w:rPr>
        <w:t>nedjelje</w:t>
      </w:r>
      <w:r w:rsidRPr="009C0665">
        <w:rPr>
          <w:bCs/>
          <w:szCs w:val="22"/>
          <w:lang w:val="sr-Latn-ME"/>
        </w:rPr>
        <w:t xml:space="preserve">. Kod tih pacijenata klinička remisija postignuta je kod 46% pacijenata do 28. </w:t>
      </w:r>
      <w:r w:rsidR="00166D72" w:rsidRPr="009C0665">
        <w:rPr>
          <w:bCs/>
          <w:szCs w:val="22"/>
          <w:lang w:val="sr-Latn-ME"/>
        </w:rPr>
        <w:t>nedjelje</w:t>
      </w:r>
      <w:r w:rsidRPr="009C0665">
        <w:rPr>
          <w:bCs/>
          <w:szCs w:val="22"/>
          <w:lang w:val="sr-Latn-ME"/>
        </w:rPr>
        <w:t xml:space="preserve">, kao i kod 41% pacijenata do 52. </w:t>
      </w:r>
      <w:r w:rsidR="00166D72" w:rsidRPr="009C0665">
        <w:rPr>
          <w:bCs/>
          <w:szCs w:val="22"/>
          <w:lang w:val="sr-Latn-ME"/>
        </w:rPr>
        <w:t>nedjelje</w:t>
      </w:r>
      <w:r w:rsidRPr="009C0665">
        <w:rPr>
          <w:bCs/>
          <w:szCs w:val="22"/>
          <w:lang w:val="sr-Latn-ME"/>
        </w:rPr>
        <w:t>.</w:t>
      </w:r>
    </w:p>
    <w:p w14:paraId="137ABA28" w14:textId="77777777" w:rsidR="00847271" w:rsidRPr="009C0665" w:rsidRDefault="00847271" w:rsidP="004C7864">
      <w:pPr>
        <w:pStyle w:val="Header"/>
        <w:rPr>
          <w:bCs/>
          <w:szCs w:val="22"/>
          <w:lang w:val="sr-Latn-ME"/>
        </w:rPr>
      </w:pPr>
    </w:p>
    <w:p w14:paraId="66444F3F" w14:textId="7BABCCD7" w:rsidR="00847271" w:rsidRPr="009C0665" w:rsidRDefault="00847271" w:rsidP="004C7864">
      <w:pPr>
        <w:pStyle w:val="Header"/>
        <w:rPr>
          <w:bCs/>
          <w:szCs w:val="22"/>
          <w:lang w:val="sr-Latn-ME"/>
        </w:rPr>
      </w:pPr>
      <w:r w:rsidRPr="009C0665">
        <w:rPr>
          <w:bCs/>
          <w:szCs w:val="22"/>
          <w:lang w:val="sr-Latn-ME"/>
        </w:rPr>
        <w:t xml:space="preserve">U ovom otvorenom nastavku ispitivanja klinička remisija i klinički odgovor </w:t>
      </w:r>
      <w:r w:rsidR="00AB003D" w:rsidRPr="009C0665">
        <w:rPr>
          <w:bCs/>
          <w:szCs w:val="22"/>
          <w:lang w:val="sr-Latn-ME"/>
        </w:rPr>
        <w:t>zabilježen</w:t>
      </w:r>
      <w:r w:rsidRPr="009C0665">
        <w:rPr>
          <w:bCs/>
          <w:szCs w:val="22"/>
          <w:lang w:val="sr-Latn-ME"/>
        </w:rPr>
        <w:t xml:space="preserve">i su kod pacijenata do </w:t>
      </w:r>
      <w:r w:rsidR="00113739" w:rsidRPr="009C0665">
        <w:rPr>
          <w:bCs/>
          <w:szCs w:val="22"/>
          <w:lang w:val="sr-Latn-ME"/>
        </w:rPr>
        <w:t>196</w:t>
      </w:r>
      <w:r w:rsidRPr="009C0665">
        <w:rPr>
          <w:bCs/>
          <w:szCs w:val="22"/>
          <w:lang w:val="sr-Latn-ME"/>
        </w:rPr>
        <w:t xml:space="preserve"> </w:t>
      </w:r>
      <w:r w:rsidR="00166D72" w:rsidRPr="009C0665">
        <w:rPr>
          <w:bCs/>
          <w:szCs w:val="22"/>
          <w:lang w:val="sr-Latn-ME"/>
        </w:rPr>
        <w:t>nedjelj</w:t>
      </w:r>
      <w:r w:rsidR="0015489B" w:rsidRPr="009C0665">
        <w:rPr>
          <w:bCs/>
          <w:szCs w:val="22"/>
          <w:lang w:val="sr-Latn-ME"/>
        </w:rPr>
        <w:t>a</w:t>
      </w:r>
      <w:r w:rsidRPr="009C0665">
        <w:rPr>
          <w:bCs/>
          <w:szCs w:val="22"/>
          <w:lang w:val="sr-Latn-ME"/>
        </w:rPr>
        <w:t>.</w:t>
      </w:r>
    </w:p>
    <w:p w14:paraId="65A0FEFF" w14:textId="77777777" w:rsidR="00847271" w:rsidRPr="009C0665" w:rsidRDefault="00847271" w:rsidP="004C7864">
      <w:pPr>
        <w:pStyle w:val="Header"/>
        <w:rPr>
          <w:bCs/>
          <w:szCs w:val="22"/>
          <w:lang w:val="sr-Latn-ME"/>
        </w:rPr>
      </w:pPr>
    </w:p>
    <w:p w14:paraId="6C63780B" w14:textId="5BA557FF" w:rsidR="00847271" w:rsidRPr="009C0665" w:rsidRDefault="00847271" w:rsidP="004C7864">
      <w:pPr>
        <w:pStyle w:val="Header"/>
        <w:rPr>
          <w:bCs/>
          <w:szCs w:val="22"/>
          <w:lang w:val="sr-Latn-ME"/>
        </w:rPr>
      </w:pPr>
      <w:r w:rsidRPr="009C0665">
        <w:rPr>
          <w:bCs/>
          <w:szCs w:val="22"/>
          <w:lang w:val="sr-Latn-ME"/>
        </w:rPr>
        <w:t>Eksplorat</w:t>
      </w:r>
      <w:r w:rsidR="00E409DE" w:rsidRPr="009C0665">
        <w:rPr>
          <w:bCs/>
          <w:szCs w:val="22"/>
          <w:lang w:val="sr-Latn-ME"/>
        </w:rPr>
        <w:t>orne</w:t>
      </w:r>
      <w:r w:rsidRPr="009C0665">
        <w:rPr>
          <w:bCs/>
          <w:szCs w:val="22"/>
          <w:lang w:val="sr-Latn-ME"/>
        </w:rPr>
        <w:t xml:space="preserve"> analize pokazale su da su u ispitivanju GEMINI </w:t>
      </w:r>
      <w:r w:rsidR="00E409DE" w:rsidRPr="009C0665">
        <w:rPr>
          <w:bCs/>
          <w:szCs w:val="22"/>
          <w:lang w:val="sr-Latn-ME"/>
        </w:rPr>
        <w:t>2</w:t>
      </w:r>
      <w:r w:rsidRPr="009C0665">
        <w:rPr>
          <w:bCs/>
          <w:szCs w:val="22"/>
          <w:lang w:val="sr-Latn-ME"/>
        </w:rPr>
        <w:t xml:space="preserve"> uočena klinički značajna poboljšanja uz vedolizumab </w:t>
      </w:r>
      <w:r w:rsidR="00054848" w:rsidRPr="009C0665">
        <w:rPr>
          <w:bCs/>
          <w:szCs w:val="22"/>
          <w:lang w:val="sr-Latn-ME"/>
        </w:rPr>
        <w:t>prim</w:t>
      </w:r>
      <w:r w:rsidR="00B27FA3" w:rsidRPr="009C0665">
        <w:rPr>
          <w:bCs/>
          <w:szCs w:val="22"/>
          <w:lang w:val="sr-Latn-ME"/>
        </w:rPr>
        <w:t>i</w:t>
      </w:r>
      <w:r w:rsidR="00054848" w:rsidRPr="009C0665">
        <w:rPr>
          <w:bCs/>
          <w:szCs w:val="22"/>
          <w:lang w:val="sr-Latn-ME"/>
        </w:rPr>
        <w:t>jenjen</w:t>
      </w:r>
      <w:r w:rsidRPr="009C0665">
        <w:rPr>
          <w:bCs/>
          <w:szCs w:val="22"/>
          <w:lang w:val="sr-Latn-ME"/>
        </w:rPr>
        <w:t xml:space="preserve"> svake </w:t>
      </w:r>
      <w:r w:rsidR="00BE020D" w:rsidRPr="009C0665">
        <w:rPr>
          <w:bCs/>
          <w:szCs w:val="22"/>
          <w:lang w:val="sr-Latn-ME"/>
        </w:rPr>
        <w:t xml:space="preserve">4 </w:t>
      </w:r>
      <w:r w:rsidR="00166D72" w:rsidRPr="009C0665">
        <w:rPr>
          <w:bCs/>
          <w:szCs w:val="22"/>
          <w:lang w:val="sr-Latn-ME"/>
        </w:rPr>
        <w:t>nedjelje</w:t>
      </w:r>
      <w:r w:rsidRPr="009C0665">
        <w:rPr>
          <w:bCs/>
          <w:szCs w:val="22"/>
          <w:lang w:val="sr-Latn-ME"/>
        </w:rPr>
        <w:t xml:space="preserve"> i svak</w:t>
      </w:r>
      <w:r w:rsidR="00E409DE" w:rsidRPr="009C0665">
        <w:rPr>
          <w:bCs/>
          <w:szCs w:val="22"/>
          <w:lang w:val="sr-Latn-ME"/>
        </w:rPr>
        <w:t>ih</w:t>
      </w:r>
      <w:r w:rsidRPr="009C0665">
        <w:rPr>
          <w:bCs/>
          <w:szCs w:val="22"/>
          <w:lang w:val="sr-Latn-ME"/>
        </w:rPr>
        <w:t xml:space="preserve"> </w:t>
      </w:r>
      <w:r w:rsidR="00BE020D" w:rsidRPr="009C0665">
        <w:rPr>
          <w:bCs/>
          <w:szCs w:val="22"/>
          <w:lang w:val="sr-Latn-ME"/>
        </w:rPr>
        <w:t>8</w:t>
      </w:r>
      <w:r w:rsidRPr="009C0665">
        <w:rPr>
          <w:bCs/>
          <w:szCs w:val="22"/>
          <w:lang w:val="sr-Latn-ME"/>
        </w:rPr>
        <w:t xml:space="preserve"> </w:t>
      </w:r>
      <w:r w:rsidR="00AB003D" w:rsidRPr="009C0665">
        <w:rPr>
          <w:bCs/>
          <w:szCs w:val="22"/>
          <w:lang w:val="sr-Latn-ME"/>
        </w:rPr>
        <w:t>nedjelja</w:t>
      </w:r>
      <w:r w:rsidRPr="009C0665">
        <w:rPr>
          <w:bCs/>
          <w:szCs w:val="22"/>
          <w:lang w:val="sr-Latn-ME"/>
        </w:rPr>
        <w:t xml:space="preserve"> i ta su poboljšanja bila </w:t>
      </w:r>
      <w:r w:rsidR="00E409DE" w:rsidRPr="009C0665">
        <w:rPr>
          <w:bCs/>
          <w:szCs w:val="22"/>
          <w:lang w:val="sr-Latn-ME"/>
        </w:rPr>
        <w:t xml:space="preserve">značajno </w:t>
      </w:r>
      <w:r w:rsidRPr="009C0665">
        <w:rPr>
          <w:bCs/>
          <w:szCs w:val="22"/>
          <w:lang w:val="sr-Latn-ME"/>
        </w:rPr>
        <w:t xml:space="preserve">veća u poređenju sa grupom koja je primala placebo od početka do 52. </w:t>
      </w:r>
      <w:r w:rsidR="00166D72" w:rsidRPr="009C0665">
        <w:rPr>
          <w:bCs/>
          <w:szCs w:val="22"/>
          <w:lang w:val="sr-Latn-ME"/>
        </w:rPr>
        <w:t>nedjelje</w:t>
      </w:r>
      <w:r w:rsidRPr="009C0665">
        <w:rPr>
          <w:bCs/>
          <w:szCs w:val="22"/>
          <w:lang w:val="sr-Latn-ME"/>
        </w:rPr>
        <w:t xml:space="preserve"> prema skalama EQ-5D i EQ-5D VAS, ukupnom IBDQ rezultatu, kao i IBDQ podskalama za cr</w:t>
      </w:r>
      <w:r w:rsidR="004F038C" w:rsidRPr="009C0665">
        <w:rPr>
          <w:bCs/>
          <w:szCs w:val="22"/>
          <w:lang w:val="sr-Latn-ME"/>
        </w:rPr>
        <w:t>ij</w:t>
      </w:r>
      <w:r w:rsidRPr="009C0665">
        <w:rPr>
          <w:bCs/>
          <w:szCs w:val="22"/>
          <w:lang w:val="sr-Latn-ME"/>
        </w:rPr>
        <w:t>evne simptome i sistemsku funkciju.</w:t>
      </w:r>
    </w:p>
    <w:p w14:paraId="3F011E0E" w14:textId="21DD0F26" w:rsidR="00847271" w:rsidRDefault="00847271" w:rsidP="004C7864">
      <w:pPr>
        <w:pStyle w:val="Header"/>
        <w:rPr>
          <w:bCs/>
          <w:szCs w:val="22"/>
          <w:lang w:val="sr-Latn-ME"/>
        </w:rPr>
      </w:pPr>
    </w:p>
    <w:p w14:paraId="16924E91" w14:textId="3252D053" w:rsidR="005078BA" w:rsidRPr="009C0665" w:rsidRDefault="005078BA" w:rsidP="004C7864">
      <w:pPr>
        <w:pStyle w:val="Header"/>
        <w:rPr>
          <w:bCs/>
          <w:i/>
          <w:iCs/>
          <w:szCs w:val="22"/>
          <w:u w:val="single"/>
          <w:lang w:val="sr-Latn-ME"/>
        </w:rPr>
      </w:pPr>
      <w:r w:rsidRPr="009C0665">
        <w:rPr>
          <w:bCs/>
          <w:i/>
          <w:iCs/>
          <w:szCs w:val="22"/>
          <w:u w:val="single"/>
          <w:lang w:val="sr-Latn-ME"/>
        </w:rPr>
        <w:lastRenderedPageBreak/>
        <w:t>Paučitis</w:t>
      </w:r>
    </w:p>
    <w:p w14:paraId="0221550D" w14:textId="2E0ED7AC" w:rsidR="005078BA" w:rsidRPr="009C0665" w:rsidRDefault="005078BA" w:rsidP="004C7864">
      <w:pPr>
        <w:pStyle w:val="Header"/>
        <w:rPr>
          <w:bCs/>
          <w:szCs w:val="22"/>
          <w:lang w:val="sr-Latn-ME"/>
        </w:rPr>
      </w:pPr>
    </w:p>
    <w:p w14:paraId="136C663A" w14:textId="3EBD93E5" w:rsidR="00737DD6" w:rsidRPr="009C0665" w:rsidRDefault="00737DD6" w:rsidP="004C7864">
      <w:pPr>
        <w:pStyle w:val="Header"/>
        <w:rPr>
          <w:bCs/>
          <w:szCs w:val="22"/>
          <w:lang w:val="sr-Latn-ME"/>
        </w:rPr>
      </w:pPr>
      <w:r w:rsidRPr="009C0665">
        <w:rPr>
          <w:bCs/>
          <w:szCs w:val="22"/>
          <w:lang w:val="sr-Latn-ME"/>
        </w:rPr>
        <w:t xml:space="preserve">Efikasnost i </w:t>
      </w:r>
      <w:r w:rsidR="00A63489" w:rsidRPr="009C0665">
        <w:rPr>
          <w:bCs/>
          <w:szCs w:val="22"/>
          <w:lang w:val="sr-Latn-ME"/>
        </w:rPr>
        <w:t>bezbjednost</w:t>
      </w:r>
      <w:r w:rsidRPr="009C0665">
        <w:rPr>
          <w:bCs/>
          <w:szCs w:val="22"/>
          <w:lang w:val="sr-Latn-ME"/>
        </w:rPr>
        <w:t xml:space="preserve"> </w:t>
      </w:r>
      <w:r w:rsidR="00AB003D" w:rsidRPr="009C0665">
        <w:rPr>
          <w:bCs/>
          <w:szCs w:val="22"/>
          <w:lang w:val="sr-Latn-ME"/>
        </w:rPr>
        <w:t>primjene</w:t>
      </w:r>
      <w:r w:rsidRPr="009C0665">
        <w:rPr>
          <w:bCs/>
          <w:szCs w:val="22"/>
          <w:lang w:val="sr-Latn-ME"/>
        </w:rPr>
        <w:t xml:space="preserve"> intravenskog vedolizumaba u l</w:t>
      </w:r>
      <w:r w:rsidR="00A30ED2" w:rsidRPr="009C0665">
        <w:rPr>
          <w:bCs/>
          <w:szCs w:val="22"/>
          <w:lang w:val="sr-Latn-ME"/>
        </w:rPr>
        <w:t>ij</w:t>
      </w:r>
      <w:r w:rsidRPr="009C0665">
        <w:rPr>
          <w:bCs/>
          <w:szCs w:val="22"/>
          <w:lang w:val="sr-Latn-ME"/>
        </w:rPr>
        <w:t xml:space="preserve">ečenju odraslih pacijenata sa hroničnim paučitisom dokazane su u randomizovanom, dvostruko </w:t>
      </w:r>
      <w:r w:rsidR="00A63489" w:rsidRPr="009C0665">
        <w:rPr>
          <w:bCs/>
          <w:szCs w:val="22"/>
          <w:lang w:val="sr-Latn-ME"/>
        </w:rPr>
        <w:t>slijepo</w:t>
      </w:r>
      <w:r w:rsidRPr="009C0665">
        <w:rPr>
          <w:bCs/>
          <w:szCs w:val="22"/>
          <w:lang w:val="sr-Latn-ME"/>
        </w:rPr>
        <w:t>m, placebo kontroli</w:t>
      </w:r>
      <w:r w:rsidR="00780F32" w:rsidRPr="009C0665">
        <w:rPr>
          <w:bCs/>
          <w:szCs w:val="22"/>
          <w:lang w:val="sr-Latn-ME"/>
        </w:rPr>
        <w:t>s</w:t>
      </w:r>
      <w:r w:rsidRPr="009C0665">
        <w:rPr>
          <w:bCs/>
          <w:szCs w:val="22"/>
          <w:lang w:val="sr-Latn-ME"/>
        </w:rPr>
        <w:t>anom ispitivanju u kojem se proc</w:t>
      </w:r>
      <w:r w:rsidR="004F038C" w:rsidRPr="009C0665">
        <w:rPr>
          <w:bCs/>
          <w:szCs w:val="22"/>
          <w:lang w:val="sr-Latn-ME"/>
        </w:rPr>
        <w:t>j</w:t>
      </w:r>
      <w:r w:rsidRPr="009C0665">
        <w:rPr>
          <w:bCs/>
          <w:szCs w:val="22"/>
          <w:lang w:val="sr-Latn-ME"/>
        </w:rPr>
        <w:t xml:space="preserve">enjivala efikasnost u 14. i 34.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 (EARNEST). Uključeni pacijenti bili su podvrgnuti proktoko</w:t>
      </w:r>
      <w:r w:rsidR="00D26459" w:rsidRPr="009C0665">
        <w:rPr>
          <w:bCs/>
          <w:szCs w:val="22"/>
          <w:lang w:val="sr-Latn-ME"/>
        </w:rPr>
        <w:t>lek</w:t>
      </w:r>
      <w:r w:rsidRPr="009C0665">
        <w:rPr>
          <w:bCs/>
          <w:szCs w:val="22"/>
          <w:lang w:val="sr-Latn-ME"/>
        </w:rPr>
        <w:t xml:space="preserve">tomiji i analnoj anastomozi ilealne </w:t>
      </w:r>
      <w:r w:rsidR="00A30ED2" w:rsidRPr="009C0665">
        <w:rPr>
          <w:bCs/>
          <w:szCs w:val="22"/>
          <w:lang w:val="sr-Latn-ME"/>
        </w:rPr>
        <w:t xml:space="preserve">kesice </w:t>
      </w:r>
      <w:r w:rsidRPr="009C0665">
        <w:rPr>
          <w:bCs/>
          <w:szCs w:val="22"/>
          <w:lang w:val="sr-Latn-ME"/>
        </w:rPr>
        <w:t xml:space="preserve">(engl. </w:t>
      </w:r>
      <w:r w:rsidRPr="009C0665">
        <w:rPr>
          <w:bCs/>
          <w:i/>
          <w:iCs/>
          <w:szCs w:val="22"/>
          <w:lang w:val="sr-Latn-ME"/>
        </w:rPr>
        <w:t>ileal pouch anal anastomosis</w:t>
      </w:r>
      <w:r w:rsidRPr="009C0665">
        <w:rPr>
          <w:bCs/>
          <w:szCs w:val="22"/>
          <w:lang w:val="sr-Latn-ME"/>
        </w:rPr>
        <w:t>, IPAA) zbog ulceroznog kolitisa najmanje godinu dana pr</w:t>
      </w:r>
      <w:r w:rsidR="00A30ED2" w:rsidRPr="009C0665">
        <w:rPr>
          <w:bCs/>
          <w:szCs w:val="22"/>
          <w:lang w:val="sr-Latn-ME"/>
        </w:rPr>
        <w:t>ij</w:t>
      </w:r>
      <w:r w:rsidRPr="009C0665">
        <w:rPr>
          <w:bCs/>
          <w:szCs w:val="22"/>
          <w:lang w:val="sr-Latn-ME"/>
        </w:rPr>
        <w:t>e randomizacije i razvili su aktivni hronični paučitis definisan kao zavisan o</w:t>
      </w:r>
      <w:r w:rsidR="00A30ED2" w:rsidRPr="009C0665">
        <w:rPr>
          <w:bCs/>
          <w:szCs w:val="22"/>
          <w:lang w:val="sr-Latn-ME"/>
        </w:rPr>
        <w:t>d</w:t>
      </w:r>
      <w:r w:rsidRPr="009C0665">
        <w:rPr>
          <w:bCs/>
          <w:szCs w:val="22"/>
          <w:lang w:val="sr-Latn-ME"/>
        </w:rPr>
        <w:t xml:space="preserve"> antibioti</w:t>
      </w:r>
      <w:r w:rsidR="00A30ED2" w:rsidRPr="009C0665">
        <w:rPr>
          <w:bCs/>
          <w:szCs w:val="22"/>
          <w:lang w:val="sr-Latn-ME"/>
        </w:rPr>
        <w:t>ka</w:t>
      </w:r>
      <w:r w:rsidRPr="009C0665">
        <w:rPr>
          <w:bCs/>
          <w:szCs w:val="22"/>
          <w:lang w:val="sr-Latn-ME"/>
        </w:rPr>
        <w:t xml:space="preserve"> (rekurentan) ili otporan na antibiotike, sa početnim rezultatom modifikovanog indeksa aktivnosti paučitisa (mPDAI) ≥ 5 i endoskopskim podrezultatom ≥ 2. Svi su pacijenti istovremeno primali antibiotsku terapiju ciprofloksacinom od 500 mg dvaput dnevno od početka </w:t>
      </w:r>
      <w:r w:rsidR="00166D72" w:rsidRPr="009C0665">
        <w:rPr>
          <w:bCs/>
          <w:szCs w:val="22"/>
          <w:lang w:val="sr-Latn-ME"/>
        </w:rPr>
        <w:t>liječenja</w:t>
      </w:r>
      <w:r w:rsidRPr="009C0665">
        <w:rPr>
          <w:bCs/>
          <w:szCs w:val="22"/>
          <w:lang w:val="sr-Latn-ME"/>
        </w:rPr>
        <w:t xml:space="preserve"> do 4. </w:t>
      </w:r>
      <w:r w:rsidR="00166D72" w:rsidRPr="009C0665">
        <w:rPr>
          <w:bCs/>
          <w:szCs w:val="22"/>
          <w:lang w:val="sr-Latn-ME"/>
        </w:rPr>
        <w:t>nedjelje</w:t>
      </w:r>
      <w:r w:rsidRPr="009C0665">
        <w:rPr>
          <w:bCs/>
          <w:szCs w:val="22"/>
          <w:lang w:val="sr-Latn-ME"/>
        </w:rPr>
        <w:t>. Pacijenti su tokom ispitivanja primali dodatne antibiotike prema potrebi, uključujući zbog pogoršanja paučitisa.</w:t>
      </w:r>
    </w:p>
    <w:p w14:paraId="09DF8F43" w14:textId="77777777" w:rsidR="00CA3FE6" w:rsidRPr="009C0665" w:rsidRDefault="00CA3FE6" w:rsidP="004C7864">
      <w:pPr>
        <w:pStyle w:val="Header"/>
        <w:rPr>
          <w:bCs/>
          <w:szCs w:val="22"/>
          <w:lang w:val="sr-Latn-ME"/>
        </w:rPr>
      </w:pPr>
    </w:p>
    <w:p w14:paraId="0A749AF5" w14:textId="779AC1BC" w:rsidR="005078BA" w:rsidRPr="009C0665" w:rsidRDefault="00737DD6" w:rsidP="004C7864">
      <w:pPr>
        <w:pStyle w:val="Header"/>
        <w:rPr>
          <w:bCs/>
          <w:szCs w:val="22"/>
          <w:lang w:val="sr-Latn-ME"/>
        </w:rPr>
      </w:pPr>
      <w:r w:rsidRPr="009C0665">
        <w:rPr>
          <w:bCs/>
          <w:szCs w:val="22"/>
          <w:lang w:val="sr-Latn-ME"/>
        </w:rPr>
        <w:t xml:space="preserve">Pacijenti (n = 102) su randomizovani (1:1) za primanje intravenskog vedolizumaba 300 mg ili intravenskog placeba u 0, 2. i 6.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 te svakih 8 </w:t>
      </w:r>
      <w:r w:rsidR="00AB003D" w:rsidRPr="009C0665">
        <w:rPr>
          <w:bCs/>
          <w:szCs w:val="22"/>
          <w:lang w:val="sr-Latn-ME"/>
        </w:rPr>
        <w:t>nedjelja</w:t>
      </w:r>
      <w:r w:rsidRPr="009C0665">
        <w:rPr>
          <w:bCs/>
          <w:szCs w:val="22"/>
          <w:lang w:val="sr-Latn-ME"/>
        </w:rPr>
        <w:t xml:space="preserve"> nakon toga, do 30. </w:t>
      </w:r>
      <w:r w:rsidR="00166D72" w:rsidRPr="009C0665">
        <w:rPr>
          <w:bCs/>
          <w:szCs w:val="22"/>
          <w:lang w:val="sr-Latn-ME"/>
        </w:rPr>
        <w:t>nedjelje</w:t>
      </w:r>
      <w:r w:rsidRPr="009C0665">
        <w:rPr>
          <w:bCs/>
          <w:szCs w:val="22"/>
          <w:lang w:val="sr-Latn-ME"/>
        </w:rPr>
        <w:t>. Primarn</w:t>
      </w:r>
      <w:r w:rsidR="00CA3FE6" w:rsidRPr="009C0665">
        <w:rPr>
          <w:bCs/>
          <w:szCs w:val="22"/>
          <w:lang w:val="sr-Latn-ME"/>
        </w:rPr>
        <w:t>i parametar praćenja</w:t>
      </w:r>
      <w:r w:rsidRPr="009C0665">
        <w:rPr>
          <w:bCs/>
          <w:szCs w:val="22"/>
          <w:lang w:val="sr-Latn-ME"/>
        </w:rPr>
        <w:t xml:space="preserve"> bi</w:t>
      </w:r>
      <w:r w:rsidR="00CA3FE6" w:rsidRPr="009C0665">
        <w:rPr>
          <w:bCs/>
          <w:szCs w:val="22"/>
          <w:lang w:val="sr-Latn-ME"/>
        </w:rPr>
        <w:t>o</w:t>
      </w:r>
      <w:r w:rsidRPr="009C0665">
        <w:rPr>
          <w:bCs/>
          <w:szCs w:val="22"/>
          <w:lang w:val="sr-Latn-ME"/>
        </w:rPr>
        <w:t xml:space="preserve"> je klinička remisija (definisana kao mPDAI rezultat &lt; 5 i smanjenje ukupnog rezultata mPDAI za ≥ 2 boda u odnosu na početnu vr</w:t>
      </w:r>
      <w:r w:rsidR="00A30ED2" w:rsidRPr="009C0665">
        <w:rPr>
          <w:bCs/>
          <w:szCs w:val="22"/>
          <w:lang w:val="sr-Latn-ME"/>
        </w:rPr>
        <w:t>ij</w:t>
      </w:r>
      <w:r w:rsidRPr="009C0665">
        <w:rPr>
          <w:bCs/>
          <w:szCs w:val="22"/>
          <w:lang w:val="sr-Latn-ME"/>
        </w:rPr>
        <w:t xml:space="preserve">ednost) u 14.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. Tabela 6 prikazuje rezultate primarnih i sekundarnih </w:t>
      </w:r>
      <w:r w:rsidR="00CA3FE6" w:rsidRPr="009C0665">
        <w:rPr>
          <w:bCs/>
          <w:szCs w:val="22"/>
          <w:lang w:val="sr-Latn-ME"/>
        </w:rPr>
        <w:t>parametara praćenja</w:t>
      </w:r>
      <w:r w:rsidRPr="009C0665">
        <w:rPr>
          <w:bCs/>
          <w:szCs w:val="22"/>
          <w:lang w:val="sr-Latn-ME"/>
        </w:rPr>
        <w:t xml:space="preserve"> u 14.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 xml:space="preserve">, a Tabela 7 prikazuje rezultate sekundarnih </w:t>
      </w:r>
      <w:r w:rsidR="00CA3FE6" w:rsidRPr="009C0665">
        <w:rPr>
          <w:bCs/>
          <w:szCs w:val="22"/>
          <w:lang w:val="sr-Latn-ME"/>
        </w:rPr>
        <w:t>parametara praćenja</w:t>
      </w:r>
      <w:r w:rsidRPr="009C0665">
        <w:rPr>
          <w:bCs/>
          <w:szCs w:val="22"/>
          <w:lang w:val="sr-Latn-ME"/>
        </w:rPr>
        <w:t xml:space="preserve"> u 34.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>.</w:t>
      </w:r>
    </w:p>
    <w:p w14:paraId="700701CA" w14:textId="3B2074FF" w:rsidR="00737DD6" w:rsidRPr="009C0665" w:rsidRDefault="00737DD6" w:rsidP="004C7864">
      <w:pPr>
        <w:pStyle w:val="Header"/>
        <w:rPr>
          <w:bCs/>
          <w:szCs w:val="22"/>
          <w:lang w:val="sr-Latn-ME"/>
        </w:rPr>
      </w:pPr>
    </w:p>
    <w:p w14:paraId="67353A05" w14:textId="18233221" w:rsidR="00737DD6" w:rsidRPr="009C0665" w:rsidRDefault="00737DD6" w:rsidP="004C7864">
      <w:pPr>
        <w:pStyle w:val="Header"/>
        <w:rPr>
          <w:b/>
          <w:szCs w:val="22"/>
          <w:lang w:val="sr-Latn-ME"/>
        </w:rPr>
      </w:pPr>
      <w:r w:rsidRPr="009C0665">
        <w:rPr>
          <w:b/>
          <w:szCs w:val="22"/>
          <w:lang w:val="sr-Latn-ME"/>
        </w:rPr>
        <w:t xml:space="preserve">Tabela 6. Rezultati efikasnosti u 14. </w:t>
      </w:r>
      <w:r w:rsidR="00AB003D" w:rsidRPr="009C0665">
        <w:rPr>
          <w:b/>
          <w:szCs w:val="22"/>
          <w:lang w:val="sr-Latn-ME"/>
        </w:rPr>
        <w:t>nedjelji</w:t>
      </w:r>
      <w:r w:rsidRPr="009C0665">
        <w:rPr>
          <w:b/>
          <w:szCs w:val="22"/>
          <w:lang w:val="sr-Latn-ME"/>
        </w:rPr>
        <w:t xml:space="preserve"> studije EARNEST</w:t>
      </w:r>
    </w:p>
    <w:tbl>
      <w:tblPr>
        <w:tblW w:w="893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410"/>
        <w:gridCol w:w="1275"/>
        <w:gridCol w:w="2127"/>
        <w:gridCol w:w="3122"/>
      </w:tblGrid>
      <w:tr w:rsidR="00737DD6" w:rsidRPr="009C0665" w14:paraId="14905BBB" w14:textId="77777777" w:rsidTr="005D1262">
        <w:trPr>
          <w:tblHeader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F3AD41" w14:textId="3F05B4F4" w:rsidR="00737DD6" w:rsidRPr="009C0665" w:rsidRDefault="00CA3FE6" w:rsidP="004C7864">
            <w:pPr>
              <w:pStyle w:val="table-heading-9"/>
              <w:keepLines/>
              <w:spacing w:before="0" w:after="0"/>
              <w:rPr>
                <w:b w:val="0"/>
                <w:sz w:val="22"/>
                <w:szCs w:val="22"/>
                <w:lang w:val="sr-Latn-ME"/>
              </w:rPr>
            </w:pPr>
            <w:r w:rsidRPr="009C0665">
              <w:rPr>
                <w:b w:val="0"/>
                <w:sz w:val="22"/>
                <w:szCs w:val="22"/>
                <w:lang w:val="sr-Latn-ME"/>
              </w:rPr>
              <w:t>Parametar praćenja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4A8D39" w14:textId="77777777" w:rsidR="00737DD6" w:rsidRPr="009C0665" w:rsidRDefault="00737DD6" w:rsidP="004C7864">
            <w:pPr>
              <w:pStyle w:val="table-heading-9centered"/>
              <w:keepLines/>
              <w:spacing w:before="0" w:after="0"/>
              <w:rPr>
                <w:b w:val="0"/>
                <w:sz w:val="22"/>
                <w:szCs w:val="22"/>
                <w:lang w:val="sr-Latn-ME"/>
              </w:rPr>
            </w:pPr>
            <w:r w:rsidRPr="009C0665">
              <w:rPr>
                <w:b w:val="0"/>
                <w:sz w:val="22"/>
                <w:szCs w:val="22"/>
                <w:lang w:val="sr-Latn-ME"/>
              </w:rPr>
              <w:t>Placebo</w:t>
            </w:r>
            <w:r w:rsidRPr="009C0665">
              <w:rPr>
                <w:b w:val="0"/>
                <w:sz w:val="22"/>
                <w:szCs w:val="22"/>
                <w:lang w:val="sr-Latn-ME"/>
              </w:rPr>
              <w:br/>
              <w:t>n = 51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18B227" w14:textId="77777777" w:rsidR="00737DD6" w:rsidRPr="009C0665" w:rsidRDefault="00737DD6" w:rsidP="004C7864">
            <w:pPr>
              <w:pStyle w:val="table-heading-9centered"/>
              <w:keepLines/>
              <w:spacing w:before="0" w:after="0"/>
              <w:rPr>
                <w:b w:val="0"/>
                <w:sz w:val="22"/>
                <w:szCs w:val="22"/>
                <w:lang w:val="sr-Latn-ME"/>
              </w:rPr>
            </w:pPr>
            <w:r w:rsidRPr="009C0665">
              <w:rPr>
                <w:b w:val="0"/>
                <w:sz w:val="22"/>
                <w:szCs w:val="22"/>
                <w:lang w:val="sr-Latn-ME"/>
              </w:rPr>
              <w:t>Vedolizumab IV</w:t>
            </w:r>
            <w:r w:rsidRPr="009C0665">
              <w:rPr>
                <w:b w:val="0"/>
                <w:sz w:val="22"/>
                <w:szCs w:val="22"/>
                <w:lang w:val="sr-Latn-ME"/>
              </w:rPr>
              <w:br/>
              <w:t>n = 51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7751F7" w14:textId="689031B0" w:rsidR="00737DD6" w:rsidRPr="009C0665" w:rsidRDefault="00737DD6" w:rsidP="004C7864">
            <w:pPr>
              <w:pStyle w:val="table-heading-9centered"/>
              <w:keepLines/>
              <w:spacing w:before="0" w:after="0"/>
              <w:rPr>
                <w:b w:val="0"/>
                <w:sz w:val="22"/>
                <w:szCs w:val="22"/>
                <w:lang w:val="sr-Latn-ME"/>
              </w:rPr>
            </w:pPr>
            <w:r w:rsidRPr="009C0665">
              <w:rPr>
                <w:b w:val="0"/>
                <w:sz w:val="22"/>
                <w:szCs w:val="22"/>
                <w:lang w:val="sr-Latn-ME"/>
              </w:rPr>
              <w:t>Razlika</w:t>
            </w:r>
            <w:r w:rsidRPr="009C0665">
              <w:rPr>
                <w:b w:val="0"/>
                <w:sz w:val="22"/>
                <w:szCs w:val="22"/>
                <w:lang w:val="sr-Latn-ME"/>
              </w:rPr>
              <w:br/>
              <w:t>Vedolizumab-Placebo (95% CI)</w:t>
            </w:r>
            <w:r w:rsidRPr="009C0665">
              <w:rPr>
                <w:b w:val="0"/>
                <w:sz w:val="22"/>
                <w:szCs w:val="22"/>
                <w:lang w:val="sr-Latn-ME"/>
              </w:rPr>
              <w:br/>
              <w:t>[postotni bodovi]</w:t>
            </w:r>
          </w:p>
        </w:tc>
      </w:tr>
      <w:tr w:rsidR="00737DD6" w:rsidRPr="009C0665" w14:paraId="64234BDA" w14:textId="77777777" w:rsidTr="005D1262">
        <w:tc>
          <w:tcPr>
            <w:tcW w:w="2410" w:type="dxa"/>
            <w:tcBorders>
              <w:top w:val="single" w:sz="4" w:space="0" w:color="auto"/>
            </w:tcBorders>
          </w:tcPr>
          <w:p w14:paraId="011BD719" w14:textId="50523580" w:rsidR="00737DD6" w:rsidRPr="009C0665" w:rsidRDefault="00737DD6" w:rsidP="004C7864">
            <w:pPr>
              <w:pStyle w:val="table-body-9"/>
              <w:keepNext/>
              <w:keepLines/>
              <w:spacing w:before="0" w:after="0"/>
              <w:rPr>
                <w:sz w:val="22"/>
                <w:szCs w:val="22"/>
                <w:lang w:val="sr-Latn-ME"/>
              </w:rPr>
            </w:pPr>
            <w:r w:rsidRPr="009C0665">
              <w:rPr>
                <w:sz w:val="22"/>
                <w:szCs w:val="22"/>
                <w:lang w:val="sr-Latn-ME"/>
              </w:rPr>
              <w:t>Klinička remisija*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4179C78" w14:textId="77777777" w:rsidR="00737DD6" w:rsidRPr="009C0665" w:rsidRDefault="00737DD6" w:rsidP="004C7864">
            <w:pPr>
              <w:pStyle w:val="EUtablebody-9centered"/>
              <w:keepNext/>
              <w:keepLines/>
              <w:spacing w:before="0" w:after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C0665">
              <w:rPr>
                <w:rFonts w:ascii="Times New Roman" w:hAnsi="Times New Roman"/>
                <w:sz w:val="22"/>
                <w:szCs w:val="22"/>
                <w:lang w:val="sr-Latn-ME"/>
              </w:rPr>
              <w:t>9.8%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8DA7EE3" w14:textId="77777777" w:rsidR="00737DD6" w:rsidRPr="009C0665" w:rsidRDefault="00737DD6" w:rsidP="004C7864">
            <w:pPr>
              <w:pStyle w:val="EUtablebody-9centered"/>
              <w:keepNext/>
              <w:keepLines/>
              <w:spacing w:before="0" w:after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C0665">
              <w:rPr>
                <w:rFonts w:ascii="Times New Roman" w:hAnsi="Times New Roman"/>
                <w:sz w:val="22"/>
                <w:szCs w:val="22"/>
                <w:lang w:val="sr-Latn-ME"/>
              </w:rPr>
              <w:t>31.4%</w:t>
            </w:r>
            <w:r w:rsidRPr="009C0665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†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center"/>
          </w:tcPr>
          <w:p w14:paraId="3142A0E5" w14:textId="77777777" w:rsidR="00737DD6" w:rsidRPr="009C0665" w:rsidRDefault="00737DD6" w:rsidP="004C7864">
            <w:pPr>
              <w:pStyle w:val="EUtablebody-9centered"/>
              <w:keepNext/>
              <w:keepLines/>
              <w:spacing w:before="0" w:after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C0665">
              <w:rPr>
                <w:rFonts w:ascii="Times New Roman" w:hAnsi="Times New Roman"/>
                <w:sz w:val="22"/>
                <w:szCs w:val="22"/>
                <w:lang w:val="sr-Latn-ME"/>
              </w:rPr>
              <w:t>21.6 (4.9, 37.5)</w:t>
            </w:r>
          </w:p>
        </w:tc>
      </w:tr>
      <w:tr w:rsidR="00737DD6" w:rsidRPr="009C0665" w14:paraId="20F72B62" w14:textId="77777777" w:rsidTr="005D1262">
        <w:tc>
          <w:tcPr>
            <w:tcW w:w="2410" w:type="dxa"/>
            <w:vAlign w:val="center"/>
          </w:tcPr>
          <w:p w14:paraId="3921E228" w14:textId="23F4E04F" w:rsidR="00737DD6" w:rsidRPr="009C0665" w:rsidRDefault="00737DD6" w:rsidP="004C7864">
            <w:pPr>
              <w:keepLines/>
              <w:widowControl w:val="0"/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>PDAI remisija</w:t>
            </w:r>
            <w:r w:rsidRPr="009C0665">
              <w:rPr>
                <w:szCs w:val="22"/>
                <w:vertAlign w:val="superscript"/>
                <w:lang w:val="sr-Latn-ME"/>
              </w:rPr>
              <w:t>‡</w:t>
            </w:r>
            <w:r w:rsidRPr="009C0665">
              <w:rPr>
                <w:szCs w:val="22"/>
                <w:lang w:val="sr-Latn-ME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3EDEAF3" w14:textId="77777777" w:rsidR="00737DD6" w:rsidRPr="009C0665" w:rsidRDefault="00737DD6" w:rsidP="004C7864">
            <w:pPr>
              <w:pStyle w:val="EUtablebody-9centered"/>
              <w:keepNext/>
              <w:keepLines/>
              <w:spacing w:before="0" w:after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C0665">
              <w:rPr>
                <w:rFonts w:ascii="Times New Roman" w:hAnsi="Times New Roman"/>
                <w:sz w:val="22"/>
                <w:szCs w:val="22"/>
                <w:lang w:val="sr-Latn-ME"/>
              </w:rPr>
              <w:t>9.8%</w:t>
            </w:r>
          </w:p>
        </w:tc>
        <w:tc>
          <w:tcPr>
            <w:tcW w:w="2127" w:type="dxa"/>
            <w:vAlign w:val="center"/>
          </w:tcPr>
          <w:p w14:paraId="395B64FD" w14:textId="77777777" w:rsidR="00737DD6" w:rsidRPr="009C0665" w:rsidRDefault="00737DD6" w:rsidP="004C7864">
            <w:pPr>
              <w:pStyle w:val="EUtablebody-9centered"/>
              <w:keepNext/>
              <w:keepLines/>
              <w:spacing w:before="0" w:after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C0665">
              <w:rPr>
                <w:rFonts w:ascii="Times New Roman" w:hAnsi="Times New Roman"/>
                <w:sz w:val="22"/>
                <w:szCs w:val="22"/>
                <w:lang w:val="sr-Latn-ME"/>
              </w:rPr>
              <w:t>35.3%</w:t>
            </w:r>
          </w:p>
        </w:tc>
        <w:tc>
          <w:tcPr>
            <w:tcW w:w="3122" w:type="dxa"/>
            <w:vAlign w:val="center"/>
          </w:tcPr>
          <w:p w14:paraId="023E094B" w14:textId="77777777" w:rsidR="00737DD6" w:rsidRPr="009C0665" w:rsidRDefault="00737DD6" w:rsidP="004C7864">
            <w:pPr>
              <w:pStyle w:val="EUtablebody-9centered"/>
              <w:keepNext/>
              <w:keepLines/>
              <w:spacing w:before="0" w:after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C0665">
              <w:rPr>
                <w:rFonts w:ascii="Times New Roman" w:hAnsi="Times New Roman"/>
                <w:sz w:val="22"/>
                <w:szCs w:val="22"/>
                <w:lang w:val="sr-Latn-ME"/>
              </w:rPr>
              <w:t>25.5 (8.0, 41.4)</w:t>
            </w:r>
          </w:p>
        </w:tc>
      </w:tr>
      <w:tr w:rsidR="00737DD6" w:rsidRPr="009C0665" w14:paraId="57D18A4E" w14:textId="77777777" w:rsidTr="005D1262">
        <w:tc>
          <w:tcPr>
            <w:tcW w:w="2410" w:type="dxa"/>
            <w:tcBorders>
              <w:bottom w:val="single" w:sz="4" w:space="0" w:color="auto"/>
            </w:tcBorders>
          </w:tcPr>
          <w:p w14:paraId="45481DBA" w14:textId="69668F04" w:rsidR="00737DD6" w:rsidRPr="009C0665" w:rsidRDefault="00737DD6" w:rsidP="004C7864">
            <w:pPr>
              <w:keepLines/>
              <w:widowControl w:val="0"/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>Klinički odgovor</w:t>
            </w:r>
            <w:r w:rsidRPr="009C0665">
              <w:rPr>
                <w:szCs w:val="22"/>
                <w:vertAlign w:val="superscript"/>
                <w:lang w:val="sr-Latn-ME"/>
              </w:rPr>
              <w:t>§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AA95237" w14:textId="77777777" w:rsidR="00737DD6" w:rsidRPr="009C0665" w:rsidRDefault="00737DD6" w:rsidP="004C7864">
            <w:pPr>
              <w:pStyle w:val="EUtablebody-9centered"/>
              <w:keepNext/>
              <w:keepLines/>
              <w:spacing w:before="0" w:after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C0665">
              <w:rPr>
                <w:rFonts w:ascii="Times New Roman" w:hAnsi="Times New Roman"/>
                <w:sz w:val="22"/>
                <w:szCs w:val="22"/>
                <w:lang w:val="sr-Latn-ME"/>
              </w:rPr>
              <w:t>33.3%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CC40C87" w14:textId="77777777" w:rsidR="00737DD6" w:rsidRPr="009C0665" w:rsidRDefault="00737DD6" w:rsidP="004C7864">
            <w:pPr>
              <w:pStyle w:val="EUtablebody-9centered"/>
              <w:keepNext/>
              <w:keepLines/>
              <w:spacing w:before="0" w:after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C0665">
              <w:rPr>
                <w:rFonts w:ascii="Times New Roman" w:hAnsi="Times New Roman"/>
                <w:sz w:val="22"/>
                <w:szCs w:val="22"/>
                <w:lang w:val="sr-Latn-ME"/>
              </w:rPr>
              <w:t>62.7%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14:paraId="18217D53" w14:textId="77777777" w:rsidR="00737DD6" w:rsidRPr="009C0665" w:rsidRDefault="00737DD6" w:rsidP="004C7864">
            <w:pPr>
              <w:pStyle w:val="EUtablebody-9centered"/>
              <w:keepNext/>
              <w:keepLines/>
              <w:spacing w:before="0" w:after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C0665">
              <w:rPr>
                <w:rFonts w:ascii="Times New Roman" w:hAnsi="Times New Roman"/>
                <w:sz w:val="22"/>
                <w:szCs w:val="22"/>
                <w:lang w:val="sr-Latn-ME"/>
              </w:rPr>
              <w:t>29.4 (8.0, 47.6)</w:t>
            </w:r>
          </w:p>
        </w:tc>
      </w:tr>
      <w:tr w:rsidR="00737DD6" w:rsidRPr="009C0665" w14:paraId="75AE4F2D" w14:textId="77777777" w:rsidTr="005D1262">
        <w:trPr>
          <w:trHeight w:val="1188"/>
        </w:trPr>
        <w:tc>
          <w:tcPr>
            <w:tcW w:w="8934" w:type="dxa"/>
            <w:gridSpan w:val="4"/>
            <w:tcBorders>
              <w:top w:val="single" w:sz="4" w:space="0" w:color="auto"/>
            </w:tcBorders>
          </w:tcPr>
          <w:p w14:paraId="1CB3B22C" w14:textId="7D70DD88" w:rsidR="00737DD6" w:rsidRPr="009C0665" w:rsidRDefault="00737DD6" w:rsidP="004C7864">
            <w:pPr>
              <w:pStyle w:val="Default"/>
              <w:jc w:val="both"/>
              <w:rPr>
                <w:rFonts w:eastAsia="SimSun"/>
                <w:sz w:val="22"/>
                <w:szCs w:val="22"/>
                <w:lang w:val="sr-Latn-ME"/>
              </w:rPr>
            </w:pPr>
            <w:r w:rsidRPr="009C0665">
              <w:rPr>
                <w:sz w:val="22"/>
                <w:szCs w:val="22"/>
                <w:lang w:val="sr-Latn-ME"/>
              </w:rPr>
              <w:t>*Klinička remisija</w:t>
            </w:r>
            <w:r w:rsidRPr="009C0665">
              <w:rPr>
                <w:rFonts w:eastAsia="SimSun"/>
                <w:sz w:val="22"/>
                <w:szCs w:val="22"/>
                <w:lang w:val="sr-Latn-ME"/>
              </w:rPr>
              <w:t xml:space="preserve"> je definisana kao mPDAI skor &lt; 5 i smanjenje ukupnog mPDAI skora od ≥ 2 boda od početne vr</w:t>
            </w:r>
            <w:r w:rsidR="00A30ED2" w:rsidRPr="009C0665">
              <w:rPr>
                <w:rFonts w:eastAsia="SimSun"/>
                <w:sz w:val="22"/>
                <w:szCs w:val="22"/>
                <w:lang w:val="sr-Latn-ME"/>
              </w:rPr>
              <w:t>ij</w:t>
            </w:r>
            <w:r w:rsidRPr="009C0665">
              <w:rPr>
                <w:rFonts w:eastAsia="SimSun"/>
                <w:sz w:val="22"/>
                <w:szCs w:val="22"/>
                <w:lang w:val="sr-Latn-ME"/>
              </w:rPr>
              <w:t>ednosti</w:t>
            </w:r>
          </w:p>
          <w:p w14:paraId="34C701AD" w14:textId="7E48E9AF" w:rsidR="00737DD6" w:rsidRPr="009C0665" w:rsidRDefault="00737DD6" w:rsidP="004C7864">
            <w:pPr>
              <w:keepLines/>
              <w:widowControl w:val="0"/>
              <w:ind w:hanging="230"/>
              <w:rPr>
                <w:szCs w:val="22"/>
                <w:lang w:val="sr-Latn-ME"/>
              </w:rPr>
            </w:pPr>
            <w:r w:rsidRPr="009C0665">
              <w:rPr>
                <w:szCs w:val="22"/>
                <w:vertAlign w:val="superscript"/>
                <w:lang w:val="sr-Latn-ME"/>
              </w:rPr>
              <w:t>†</w:t>
            </w:r>
            <w:r w:rsidR="00CA3FE6" w:rsidRPr="009C0665">
              <w:rPr>
                <w:szCs w:val="22"/>
                <w:vertAlign w:val="superscript"/>
                <w:lang w:val="sr-Latn-ME"/>
              </w:rPr>
              <w:t xml:space="preserve">     </w:t>
            </w:r>
            <w:r w:rsidRPr="009C0665">
              <w:rPr>
                <w:szCs w:val="22"/>
                <w:lang w:val="sr-Latn-ME"/>
              </w:rPr>
              <w:t>p &lt; 0.05</w:t>
            </w:r>
          </w:p>
          <w:p w14:paraId="51980C75" w14:textId="7B12403E" w:rsidR="00737DD6" w:rsidRPr="009C0665" w:rsidRDefault="00737DD6" w:rsidP="004C7864">
            <w:pPr>
              <w:keepLines/>
              <w:widowControl w:val="0"/>
              <w:ind w:hanging="230"/>
              <w:rPr>
                <w:szCs w:val="22"/>
                <w:lang w:val="sr-Latn-ME"/>
              </w:rPr>
            </w:pPr>
            <w:r w:rsidRPr="009C0665">
              <w:rPr>
                <w:szCs w:val="22"/>
                <w:vertAlign w:val="superscript"/>
                <w:lang w:val="sr-Latn-ME"/>
              </w:rPr>
              <w:t>‡</w:t>
            </w:r>
            <w:r w:rsidR="00CA3FE6" w:rsidRPr="009C0665">
              <w:rPr>
                <w:szCs w:val="22"/>
                <w:vertAlign w:val="superscript"/>
                <w:lang w:val="sr-Latn-ME"/>
              </w:rPr>
              <w:t xml:space="preserve">     </w:t>
            </w:r>
            <w:r w:rsidRPr="009C0665">
              <w:rPr>
                <w:rFonts w:eastAsia="SimSun"/>
                <w:szCs w:val="22"/>
                <w:lang w:val="sr-Latn-ME"/>
              </w:rPr>
              <w:t>PDAI remisija je definisana kao PDAI skor &lt; 7 i smanjenje PDAI skora od ≥ 3 boda od početne vr</w:t>
            </w:r>
            <w:r w:rsidR="00A30ED2" w:rsidRPr="009C0665">
              <w:rPr>
                <w:rFonts w:eastAsia="SimSun"/>
                <w:szCs w:val="22"/>
                <w:lang w:val="sr-Latn-ME"/>
              </w:rPr>
              <w:t>ij</w:t>
            </w:r>
            <w:r w:rsidRPr="009C0665">
              <w:rPr>
                <w:rFonts w:eastAsia="SimSun"/>
                <w:szCs w:val="22"/>
                <w:lang w:val="sr-Latn-ME"/>
              </w:rPr>
              <w:t>ednosti</w:t>
            </w:r>
          </w:p>
          <w:p w14:paraId="5122D0B3" w14:textId="6E3C6701" w:rsidR="00737DD6" w:rsidRPr="009C0665" w:rsidRDefault="00737DD6" w:rsidP="004C7864">
            <w:pPr>
              <w:keepLines/>
              <w:widowControl w:val="0"/>
              <w:ind w:hanging="230"/>
              <w:rPr>
                <w:szCs w:val="22"/>
                <w:lang w:val="sr-Latn-ME"/>
              </w:rPr>
            </w:pPr>
            <w:r w:rsidRPr="009C0665">
              <w:rPr>
                <w:szCs w:val="22"/>
                <w:vertAlign w:val="superscript"/>
                <w:lang w:val="sr-Latn-ME"/>
              </w:rPr>
              <w:t>§</w:t>
            </w:r>
            <w:r w:rsidR="00CA3FE6" w:rsidRPr="009C0665">
              <w:rPr>
                <w:szCs w:val="22"/>
                <w:vertAlign w:val="superscript"/>
                <w:lang w:val="sr-Latn-ME"/>
              </w:rPr>
              <w:t xml:space="preserve">     </w:t>
            </w:r>
            <w:r w:rsidRPr="009C0665">
              <w:rPr>
                <w:color w:val="000000"/>
                <w:szCs w:val="22"/>
                <w:lang w:val="sr-Latn-ME"/>
              </w:rPr>
              <w:t>Klinički odgovor je definisan kao smanjenje mPDAI skora od ≥ 2 boda od početne vr</w:t>
            </w:r>
            <w:r w:rsidR="001B03FD" w:rsidRPr="009C0665">
              <w:rPr>
                <w:color w:val="000000"/>
                <w:szCs w:val="22"/>
                <w:lang w:val="sr-Latn-ME"/>
              </w:rPr>
              <w:t>ij</w:t>
            </w:r>
            <w:r w:rsidRPr="009C0665">
              <w:rPr>
                <w:color w:val="000000"/>
                <w:szCs w:val="22"/>
                <w:lang w:val="sr-Latn-ME"/>
              </w:rPr>
              <w:t>ednosti</w:t>
            </w:r>
          </w:p>
          <w:p w14:paraId="3FAD47F5" w14:textId="77777777" w:rsidR="00737DD6" w:rsidRPr="009C0665" w:rsidRDefault="00737DD6" w:rsidP="004C7864">
            <w:pPr>
              <w:keepLines/>
              <w:widowControl w:val="0"/>
              <w:ind w:hanging="230"/>
              <w:rPr>
                <w:szCs w:val="22"/>
                <w:lang w:val="sr-Latn-ME"/>
              </w:rPr>
            </w:pPr>
          </w:p>
        </w:tc>
      </w:tr>
    </w:tbl>
    <w:p w14:paraId="66E62C85" w14:textId="4CD9B6AB" w:rsidR="00737DD6" w:rsidRPr="009C0665" w:rsidRDefault="00737DD6" w:rsidP="004C7864">
      <w:pPr>
        <w:pStyle w:val="Header"/>
        <w:rPr>
          <w:bCs/>
          <w:szCs w:val="22"/>
          <w:lang w:val="sr-Latn-ME"/>
        </w:rPr>
      </w:pPr>
      <w:r w:rsidRPr="009C0665">
        <w:rPr>
          <w:b/>
          <w:szCs w:val="22"/>
          <w:lang w:val="sr-Latn-ME"/>
        </w:rPr>
        <w:t xml:space="preserve">Tabela 7. Rezultati efikasnosti u 34. </w:t>
      </w:r>
      <w:r w:rsidR="00AB003D" w:rsidRPr="009C0665">
        <w:rPr>
          <w:b/>
          <w:szCs w:val="22"/>
          <w:lang w:val="sr-Latn-ME"/>
        </w:rPr>
        <w:t>nedjelji</w:t>
      </w:r>
      <w:r w:rsidRPr="009C0665">
        <w:rPr>
          <w:b/>
          <w:szCs w:val="22"/>
          <w:lang w:val="sr-Latn-ME"/>
        </w:rPr>
        <w:t xml:space="preserve"> studije EARNEST</w:t>
      </w: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2694"/>
        <w:gridCol w:w="1275"/>
        <w:gridCol w:w="2127"/>
        <w:gridCol w:w="3122"/>
      </w:tblGrid>
      <w:tr w:rsidR="00737DD6" w:rsidRPr="009C0665" w14:paraId="20D3374F" w14:textId="77777777" w:rsidTr="00B454D4">
        <w:trPr>
          <w:tblHeader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00D0B2" w14:textId="4D138E8A" w:rsidR="00737DD6" w:rsidRPr="009C0665" w:rsidRDefault="00CA3FE6" w:rsidP="004C7864">
            <w:pPr>
              <w:pStyle w:val="table-heading-9"/>
              <w:keepLines/>
              <w:spacing w:before="0" w:after="0"/>
              <w:rPr>
                <w:b w:val="0"/>
                <w:sz w:val="22"/>
                <w:szCs w:val="22"/>
                <w:lang w:val="sr-Latn-ME"/>
              </w:rPr>
            </w:pPr>
            <w:r w:rsidRPr="009C0665">
              <w:rPr>
                <w:b w:val="0"/>
                <w:sz w:val="22"/>
                <w:szCs w:val="22"/>
                <w:lang w:val="sr-Latn-ME"/>
              </w:rPr>
              <w:t>Parametar praćenja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5305F2" w14:textId="77777777" w:rsidR="00737DD6" w:rsidRPr="009C0665" w:rsidRDefault="00737DD6" w:rsidP="004C7864">
            <w:pPr>
              <w:pStyle w:val="table-heading-9centered"/>
              <w:keepLines/>
              <w:spacing w:before="0" w:after="0"/>
              <w:rPr>
                <w:b w:val="0"/>
                <w:sz w:val="22"/>
                <w:szCs w:val="22"/>
                <w:lang w:val="sr-Latn-ME"/>
              </w:rPr>
            </w:pPr>
            <w:r w:rsidRPr="009C0665">
              <w:rPr>
                <w:b w:val="0"/>
                <w:sz w:val="22"/>
                <w:szCs w:val="22"/>
                <w:lang w:val="sr-Latn-ME"/>
              </w:rPr>
              <w:t>Placebo</w:t>
            </w:r>
            <w:r w:rsidRPr="009C0665">
              <w:rPr>
                <w:b w:val="0"/>
                <w:sz w:val="22"/>
                <w:szCs w:val="22"/>
                <w:lang w:val="sr-Latn-ME"/>
              </w:rPr>
              <w:br/>
              <w:t>n = 51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17E11E" w14:textId="77777777" w:rsidR="00737DD6" w:rsidRPr="009C0665" w:rsidRDefault="00737DD6" w:rsidP="004C7864">
            <w:pPr>
              <w:pStyle w:val="table-heading-9centered"/>
              <w:keepLines/>
              <w:spacing w:before="0" w:after="0"/>
              <w:rPr>
                <w:b w:val="0"/>
                <w:sz w:val="22"/>
                <w:szCs w:val="22"/>
                <w:lang w:val="sr-Latn-ME"/>
              </w:rPr>
            </w:pPr>
            <w:r w:rsidRPr="009C0665">
              <w:rPr>
                <w:b w:val="0"/>
                <w:sz w:val="22"/>
                <w:szCs w:val="22"/>
                <w:lang w:val="sr-Latn-ME"/>
              </w:rPr>
              <w:t>Vedolizumab IV</w:t>
            </w:r>
            <w:r w:rsidRPr="009C0665">
              <w:rPr>
                <w:b w:val="0"/>
                <w:sz w:val="22"/>
                <w:szCs w:val="22"/>
                <w:lang w:val="sr-Latn-ME"/>
              </w:rPr>
              <w:br/>
              <w:t>n = 51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240B53" w14:textId="77777777" w:rsidR="00737DD6" w:rsidRPr="009C0665" w:rsidRDefault="00737DD6" w:rsidP="004C7864">
            <w:pPr>
              <w:pStyle w:val="table-heading-9centered"/>
              <w:keepLines/>
              <w:spacing w:before="0" w:after="0"/>
              <w:rPr>
                <w:b w:val="0"/>
                <w:sz w:val="22"/>
                <w:szCs w:val="22"/>
                <w:lang w:val="sr-Latn-ME"/>
              </w:rPr>
            </w:pPr>
            <w:r w:rsidRPr="009C0665">
              <w:rPr>
                <w:b w:val="0"/>
                <w:sz w:val="22"/>
                <w:szCs w:val="22"/>
                <w:lang w:val="sr-Latn-ME"/>
              </w:rPr>
              <w:t>Razlika</w:t>
            </w:r>
            <w:r w:rsidRPr="009C0665">
              <w:rPr>
                <w:b w:val="0"/>
                <w:sz w:val="22"/>
                <w:szCs w:val="22"/>
                <w:lang w:val="sr-Latn-ME"/>
              </w:rPr>
              <w:br/>
              <w:t>Vedolizumab-Placebo (95% CI)</w:t>
            </w:r>
            <w:r w:rsidRPr="009C0665">
              <w:rPr>
                <w:b w:val="0"/>
                <w:sz w:val="22"/>
                <w:szCs w:val="22"/>
                <w:lang w:val="sr-Latn-ME"/>
              </w:rPr>
              <w:br/>
              <w:t>[postotni bodovi]</w:t>
            </w:r>
          </w:p>
        </w:tc>
      </w:tr>
      <w:tr w:rsidR="00737DD6" w:rsidRPr="009C0665" w14:paraId="46EF623C" w14:textId="77777777" w:rsidTr="00B454D4">
        <w:tc>
          <w:tcPr>
            <w:tcW w:w="2694" w:type="dxa"/>
            <w:tcBorders>
              <w:top w:val="single" w:sz="4" w:space="0" w:color="auto"/>
            </w:tcBorders>
          </w:tcPr>
          <w:p w14:paraId="61FDA877" w14:textId="77777777" w:rsidR="00737DD6" w:rsidRPr="009C0665" w:rsidRDefault="00737DD6" w:rsidP="004C7864">
            <w:pPr>
              <w:pStyle w:val="table-body-9"/>
              <w:keepNext/>
              <w:keepLines/>
              <w:spacing w:before="0" w:after="0"/>
              <w:rPr>
                <w:sz w:val="22"/>
                <w:szCs w:val="22"/>
                <w:lang w:val="sr-Latn-ME"/>
              </w:rPr>
            </w:pPr>
            <w:r w:rsidRPr="009C0665">
              <w:rPr>
                <w:sz w:val="22"/>
                <w:szCs w:val="22"/>
                <w:lang w:val="sr-Latn-ME"/>
              </w:rPr>
              <w:t>Klinička remisija*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B34C41B" w14:textId="2D59CC32" w:rsidR="00737DD6" w:rsidRPr="009C0665" w:rsidRDefault="00737DD6" w:rsidP="004C7864">
            <w:pPr>
              <w:pStyle w:val="EUtablebody-9centered"/>
              <w:keepNext/>
              <w:keepLines/>
              <w:spacing w:before="0" w:after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C0665">
              <w:rPr>
                <w:rFonts w:ascii="Times New Roman" w:hAnsi="Times New Roman"/>
                <w:sz w:val="22"/>
                <w:szCs w:val="22"/>
                <w:lang w:val="sr-Latn-ME"/>
              </w:rPr>
              <w:t>17.6%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25428B6" w14:textId="471B2F09" w:rsidR="00737DD6" w:rsidRPr="009C0665" w:rsidRDefault="00737DD6" w:rsidP="004C7864">
            <w:pPr>
              <w:pStyle w:val="EUtablebody-9centered"/>
              <w:keepNext/>
              <w:keepLines/>
              <w:spacing w:before="0" w:after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C0665">
              <w:rPr>
                <w:rFonts w:ascii="Times New Roman" w:hAnsi="Times New Roman"/>
                <w:sz w:val="22"/>
                <w:szCs w:val="22"/>
                <w:lang w:val="sr-Latn-ME"/>
              </w:rPr>
              <w:t>35.3%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center"/>
          </w:tcPr>
          <w:p w14:paraId="41AA8CFB" w14:textId="03632000" w:rsidR="00737DD6" w:rsidRPr="009C0665" w:rsidRDefault="00737DD6" w:rsidP="004C7864">
            <w:pPr>
              <w:pStyle w:val="EUtablebody-9centered"/>
              <w:keepNext/>
              <w:keepLines/>
              <w:spacing w:before="0" w:after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C0665">
              <w:rPr>
                <w:rFonts w:ascii="Times New Roman" w:hAnsi="Times New Roman"/>
                <w:sz w:val="22"/>
                <w:szCs w:val="22"/>
                <w:lang w:val="sr-Latn-ME"/>
              </w:rPr>
              <w:t>17.6 (0.3, 35.1)</w:t>
            </w:r>
          </w:p>
        </w:tc>
      </w:tr>
      <w:tr w:rsidR="00737DD6" w:rsidRPr="009C0665" w14:paraId="270F4792" w14:textId="77777777" w:rsidTr="00737DD6">
        <w:tc>
          <w:tcPr>
            <w:tcW w:w="2694" w:type="dxa"/>
            <w:vAlign w:val="center"/>
          </w:tcPr>
          <w:p w14:paraId="68986499" w14:textId="77777777" w:rsidR="00737DD6" w:rsidRPr="009C0665" w:rsidRDefault="00737DD6" w:rsidP="004C7864">
            <w:pPr>
              <w:keepLines/>
              <w:widowControl w:val="0"/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>PDAI remisija</w:t>
            </w:r>
            <w:r w:rsidRPr="009C0665">
              <w:rPr>
                <w:szCs w:val="22"/>
                <w:vertAlign w:val="superscript"/>
                <w:lang w:val="sr-Latn-ME"/>
              </w:rPr>
              <w:t>‡</w:t>
            </w:r>
            <w:r w:rsidRPr="009C0665">
              <w:rPr>
                <w:szCs w:val="22"/>
                <w:lang w:val="sr-Latn-ME"/>
              </w:rPr>
              <w:t xml:space="preserve"> </w:t>
            </w:r>
          </w:p>
        </w:tc>
        <w:tc>
          <w:tcPr>
            <w:tcW w:w="1275" w:type="dxa"/>
          </w:tcPr>
          <w:p w14:paraId="39582264" w14:textId="6D94D800" w:rsidR="00737DD6" w:rsidRPr="009C0665" w:rsidRDefault="00737DD6" w:rsidP="004C7864">
            <w:pPr>
              <w:pStyle w:val="EUtablebody-9centered"/>
              <w:keepNext/>
              <w:keepLines/>
              <w:spacing w:before="0" w:after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C0665">
              <w:rPr>
                <w:rFonts w:ascii="Times New Roman" w:hAnsi="Times New Roman"/>
                <w:sz w:val="22"/>
                <w:szCs w:val="22"/>
                <w:lang w:val="sr-Latn-ME"/>
              </w:rPr>
              <w:t>17.6%</w:t>
            </w:r>
          </w:p>
        </w:tc>
        <w:tc>
          <w:tcPr>
            <w:tcW w:w="2127" w:type="dxa"/>
            <w:vAlign w:val="bottom"/>
          </w:tcPr>
          <w:p w14:paraId="052C23E2" w14:textId="4202C047" w:rsidR="00737DD6" w:rsidRPr="009C0665" w:rsidRDefault="00737DD6" w:rsidP="004C7864">
            <w:pPr>
              <w:pStyle w:val="EUtablebody-9centered"/>
              <w:keepNext/>
              <w:keepLines/>
              <w:spacing w:before="0" w:after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C0665">
              <w:rPr>
                <w:rFonts w:ascii="Times New Roman" w:hAnsi="Times New Roman"/>
                <w:sz w:val="22"/>
                <w:szCs w:val="22"/>
                <w:lang w:val="sr-Latn-ME"/>
              </w:rPr>
              <w:t>37.3%</w:t>
            </w:r>
          </w:p>
        </w:tc>
        <w:tc>
          <w:tcPr>
            <w:tcW w:w="3122" w:type="dxa"/>
            <w:vAlign w:val="bottom"/>
          </w:tcPr>
          <w:p w14:paraId="09694882" w14:textId="0C26F5E3" w:rsidR="00737DD6" w:rsidRPr="009C0665" w:rsidRDefault="00737DD6" w:rsidP="004C7864">
            <w:pPr>
              <w:pStyle w:val="EUtablebody-9centered"/>
              <w:keepNext/>
              <w:keepLines/>
              <w:spacing w:before="0" w:after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C0665">
              <w:rPr>
                <w:rFonts w:ascii="Times New Roman" w:hAnsi="Times New Roman"/>
                <w:sz w:val="22"/>
                <w:szCs w:val="22"/>
                <w:lang w:val="sr-Latn-ME"/>
              </w:rPr>
              <w:t>19.6 (1.9, 37.0)</w:t>
            </w:r>
          </w:p>
        </w:tc>
      </w:tr>
      <w:tr w:rsidR="00737DD6" w:rsidRPr="009C0665" w14:paraId="4BE29E8B" w14:textId="77777777" w:rsidTr="00B454D4">
        <w:tc>
          <w:tcPr>
            <w:tcW w:w="2694" w:type="dxa"/>
            <w:tcBorders>
              <w:bottom w:val="single" w:sz="4" w:space="0" w:color="auto"/>
            </w:tcBorders>
          </w:tcPr>
          <w:p w14:paraId="10396331" w14:textId="77777777" w:rsidR="00737DD6" w:rsidRPr="009C0665" w:rsidRDefault="00737DD6" w:rsidP="004C7864">
            <w:pPr>
              <w:keepLines/>
              <w:widowControl w:val="0"/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>Klinički odgovor</w:t>
            </w:r>
            <w:r w:rsidRPr="009C0665">
              <w:rPr>
                <w:szCs w:val="22"/>
                <w:vertAlign w:val="superscript"/>
                <w:lang w:val="sr-Latn-ME"/>
              </w:rPr>
              <w:t>§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49EF64B" w14:textId="06E3EDB2" w:rsidR="00737DD6" w:rsidRPr="009C0665" w:rsidRDefault="00737DD6" w:rsidP="004C7864">
            <w:pPr>
              <w:pStyle w:val="EUtablebody-9centered"/>
              <w:keepNext/>
              <w:keepLines/>
              <w:spacing w:before="0" w:after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C0665">
              <w:rPr>
                <w:rFonts w:ascii="Times New Roman" w:hAnsi="Times New Roman"/>
                <w:sz w:val="22"/>
                <w:szCs w:val="22"/>
                <w:lang w:val="sr-Latn-ME"/>
              </w:rPr>
              <w:t>29.4%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15B4428" w14:textId="52910B9F" w:rsidR="00737DD6" w:rsidRPr="009C0665" w:rsidRDefault="00737DD6" w:rsidP="004C7864">
            <w:pPr>
              <w:pStyle w:val="EUtablebody-9centered"/>
              <w:keepNext/>
              <w:keepLines/>
              <w:spacing w:before="0" w:after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C0665">
              <w:rPr>
                <w:rFonts w:ascii="Times New Roman" w:hAnsi="Times New Roman"/>
                <w:sz w:val="22"/>
                <w:szCs w:val="22"/>
                <w:lang w:val="sr-Latn-ME"/>
              </w:rPr>
              <w:t>51.0%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14:paraId="0552931E" w14:textId="0678E961" w:rsidR="00737DD6" w:rsidRPr="009C0665" w:rsidRDefault="00737DD6" w:rsidP="004C7864">
            <w:pPr>
              <w:pStyle w:val="EUtablebody-9centered"/>
              <w:keepNext/>
              <w:keepLines/>
              <w:spacing w:before="0" w:after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C0665">
              <w:rPr>
                <w:rFonts w:ascii="Times New Roman" w:hAnsi="Times New Roman"/>
                <w:sz w:val="22"/>
                <w:szCs w:val="22"/>
                <w:lang w:val="sr-Latn-ME"/>
              </w:rPr>
              <w:t>21.6 (1.9, 39.8)</w:t>
            </w:r>
          </w:p>
        </w:tc>
      </w:tr>
      <w:tr w:rsidR="00737DD6" w:rsidRPr="009C0665" w14:paraId="0D09CD48" w14:textId="77777777" w:rsidTr="005D1262">
        <w:trPr>
          <w:trHeight w:val="1024"/>
        </w:trPr>
        <w:tc>
          <w:tcPr>
            <w:tcW w:w="9218" w:type="dxa"/>
            <w:gridSpan w:val="4"/>
            <w:tcBorders>
              <w:top w:val="single" w:sz="4" w:space="0" w:color="auto"/>
            </w:tcBorders>
          </w:tcPr>
          <w:p w14:paraId="3D9563B4" w14:textId="77B61352" w:rsidR="00737DD6" w:rsidRPr="009C0665" w:rsidRDefault="00737DD6" w:rsidP="004C7864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9C0665">
              <w:rPr>
                <w:sz w:val="22"/>
                <w:szCs w:val="22"/>
                <w:lang w:val="sr-Latn-ME"/>
              </w:rPr>
              <w:t>*Klinička remisija</w:t>
            </w:r>
            <w:r w:rsidRPr="009C0665">
              <w:rPr>
                <w:rFonts w:eastAsia="SimSun"/>
                <w:sz w:val="22"/>
                <w:szCs w:val="22"/>
                <w:lang w:val="sr-Latn-ME"/>
              </w:rPr>
              <w:t xml:space="preserve"> je definisana kao mPDAI skor &lt; 5 i smanjenje ukupnog mPDAI skora od ≥ 2 boda od početne vr</w:t>
            </w:r>
            <w:r w:rsidR="001B03FD" w:rsidRPr="009C0665">
              <w:rPr>
                <w:rFonts w:eastAsia="SimSun"/>
                <w:sz w:val="22"/>
                <w:szCs w:val="22"/>
                <w:lang w:val="sr-Latn-ME"/>
              </w:rPr>
              <w:t>ij</w:t>
            </w:r>
            <w:r w:rsidRPr="009C0665">
              <w:rPr>
                <w:rFonts w:eastAsia="SimSun"/>
                <w:sz w:val="22"/>
                <w:szCs w:val="22"/>
                <w:lang w:val="sr-Latn-ME"/>
              </w:rPr>
              <w:t>ednosti</w:t>
            </w:r>
          </w:p>
          <w:p w14:paraId="271ED878" w14:textId="3E627A52" w:rsidR="00737DD6" w:rsidRPr="009C0665" w:rsidRDefault="00737DD6" w:rsidP="004C7864">
            <w:pPr>
              <w:keepLines/>
              <w:widowControl w:val="0"/>
              <w:ind w:hanging="230"/>
              <w:rPr>
                <w:szCs w:val="22"/>
                <w:lang w:val="sr-Latn-ME"/>
              </w:rPr>
            </w:pPr>
            <w:r w:rsidRPr="009C0665">
              <w:rPr>
                <w:szCs w:val="22"/>
                <w:vertAlign w:val="superscript"/>
                <w:lang w:val="sr-Latn-ME"/>
              </w:rPr>
              <w:t>‡</w:t>
            </w:r>
            <w:r w:rsidR="00CA3FE6" w:rsidRPr="009C0665">
              <w:rPr>
                <w:szCs w:val="22"/>
                <w:vertAlign w:val="superscript"/>
                <w:lang w:val="sr-Latn-ME"/>
              </w:rPr>
              <w:t xml:space="preserve">     </w:t>
            </w:r>
            <w:r w:rsidRPr="009C0665">
              <w:rPr>
                <w:rFonts w:eastAsia="SimSun"/>
                <w:szCs w:val="22"/>
                <w:lang w:val="sr-Latn-ME"/>
              </w:rPr>
              <w:t>PDAI remisija je definisana kao PDAI skor &lt; 7 i smanjenje PDAI skora od ≥ 3 boda od početne vr</w:t>
            </w:r>
            <w:r w:rsidR="001B03FD" w:rsidRPr="009C0665">
              <w:rPr>
                <w:rFonts w:eastAsia="SimSun"/>
                <w:szCs w:val="22"/>
                <w:lang w:val="sr-Latn-ME"/>
              </w:rPr>
              <w:t>ij</w:t>
            </w:r>
            <w:r w:rsidRPr="009C0665">
              <w:rPr>
                <w:rFonts w:eastAsia="SimSun"/>
                <w:szCs w:val="22"/>
                <w:lang w:val="sr-Latn-ME"/>
              </w:rPr>
              <w:t>ednosti</w:t>
            </w:r>
          </w:p>
          <w:p w14:paraId="65633288" w14:textId="453D5567" w:rsidR="00737DD6" w:rsidRPr="009C0665" w:rsidRDefault="00CA3FE6" w:rsidP="004C7864">
            <w:pPr>
              <w:keepLines/>
              <w:widowControl w:val="0"/>
              <w:ind w:hanging="230"/>
              <w:rPr>
                <w:szCs w:val="22"/>
                <w:lang w:val="sr-Latn-ME"/>
              </w:rPr>
            </w:pPr>
            <w:r w:rsidRPr="009C0665">
              <w:rPr>
                <w:szCs w:val="22"/>
                <w:vertAlign w:val="superscript"/>
                <w:lang w:val="sr-Latn-ME"/>
              </w:rPr>
              <w:t xml:space="preserve">       </w:t>
            </w:r>
            <w:r w:rsidR="00737DD6" w:rsidRPr="009C0665">
              <w:rPr>
                <w:szCs w:val="22"/>
                <w:vertAlign w:val="superscript"/>
                <w:lang w:val="sr-Latn-ME"/>
              </w:rPr>
              <w:t>§</w:t>
            </w:r>
            <w:r w:rsidR="00737DD6" w:rsidRPr="009C0665">
              <w:rPr>
                <w:color w:val="000000"/>
                <w:szCs w:val="22"/>
                <w:lang w:val="sr-Latn-ME"/>
              </w:rPr>
              <w:t xml:space="preserve">Klinički odgovor je definisan kao smanjenje mPDAI skora </w:t>
            </w:r>
            <w:r w:rsidR="00B27FA3" w:rsidRPr="009C0665">
              <w:rPr>
                <w:color w:val="000000"/>
                <w:szCs w:val="22"/>
                <w:lang w:val="sr-Latn-ME"/>
              </w:rPr>
              <w:t>za</w:t>
            </w:r>
            <w:r w:rsidR="00737DD6" w:rsidRPr="009C0665">
              <w:rPr>
                <w:color w:val="000000"/>
                <w:szCs w:val="22"/>
                <w:lang w:val="sr-Latn-ME"/>
              </w:rPr>
              <w:t xml:space="preserve"> ≥ 2 boda od početne vr</w:t>
            </w:r>
            <w:r w:rsidR="001B03FD" w:rsidRPr="009C0665">
              <w:rPr>
                <w:color w:val="000000"/>
                <w:szCs w:val="22"/>
                <w:lang w:val="sr-Latn-ME"/>
              </w:rPr>
              <w:t>ij</w:t>
            </w:r>
            <w:r w:rsidR="00737DD6" w:rsidRPr="009C0665">
              <w:rPr>
                <w:color w:val="000000"/>
                <w:szCs w:val="22"/>
                <w:lang w:val="sr-Latn-ME"/>
              </w:rPr>
              <w:t>ednosti</w:t>
            </w:r>
          </w:p>
          <w:p w14:paraId="29967B6D" w14:textId="77777777" w:rsidR="00737DD6" w:rsidRPr="009C0665" w:rsidRDefault="00737DD6" w:rsidP="004C7864">
            <w:pPr>
              <w:keepLines/>
              <w:widowControl w:val="0"/>
              <w:rPr>
                <w:szCs w:val="22"/>
                <w:lang w:val="sr-Latn-ME"/>
              </w:rPr>
            </w:pPr>
          </w:p>
        </w:tc>
      </w:tr>
    </w:tbl>
    <w:p w14:paraId="665854A7" w14:textId="4979A5F0" w:rsidR="00062E9B" w:rsidRPr="009C0665" w:rsidRDefault="00062E9B" w:rsidP="004C7864">
      <w:pPr>
        <w:pStyle w:val="Header"/>
        <w:rPr>
          <w:bCs/>
          <w:szCs w:val="22"/>
          <w:lang w:val="sr-Latn-ME"/>
        </w:rPr>
      </w:pPr>
      <w:r w:rsidRPr="009C0665">
        <w:rPr>
          <w:bCs/>
          <w:szCs w:val="22"/>
          <w:lang w:val="sr-Latn-ME"/>
        </w:rPr>
        <w:t>Približno dv</w:t>
      </w:r>
      <w:r w:rsidR="00A63489" w:rsidRPr="009C0665">
        <w:rPr>
          <w:bCs/>
          <w:szCs w:val="22"/>
          <w:lang w:val="sr-Latn-ME"/>
        </w:rPr>
        <w:t>ij</w:t>
      </w:r>
      <w:r w:rsidRPr="009C0665">
        <w:rPr>
          <w:bCs/>
          <w:szCs w:val="22"/>
          <w:lang w:val="sr-Latn-ME"/>
        </w:rPr>
        <w:t>e trećine pacijenata prethodno je (za ulcerozni kolitis ili paučitis) primilo terapiju TNFα antagonistima (33 u grupi l</w:t>
      </w:r>
      <w:r w:rsidR="00A63489" w:rsidRPr="009C0665">
        <w:rPr>
          <w:bCs/>
          <w:szCs w:val="22"/>
          <w:lang w:val="sr-Latn-ME"/>
        </w:rPr>
        <w:t>ij</w:t>
      </w:r>
      <w:r w:rsidRPr="009C0665">
        <w:rPr>
          <w:bCs/>
          <w:szCs w:val="22"/>
          <w:lang w:val="sr-Latn-ME"/>
        </w:rPr>
        <w:t xml:space="preserve">ečenoj vedolizumabom i 31 u grupi sa placebom). Među tim pacijentima, 33,3% onih u grupi sa vedolizumabom postiglo je kliničku remisiju u 14. </w:t>
      </w:r>
      <w:r w:rsidR="00AB003D" w:rsidRPr="009C0665">
        <w:rPr>
          <w:bCs/>
          <w:szCs w:val="22"/>
          <w:lang w:val="sr-Latn-ME"/>
        </w:rPr>
        <w:t>nedjelji</w:t>
      </w:r>
      <w:r w:rsidRPr="009C0665">
        <w:rPr>
          <w:bCs/>
          <w:szCs w:val="22"/>
          <w:lang w:val="sr-Latn-ME"/>
        </w:rPr>
        <w:t>, u poređenju sa 9,7% u grupi sa placebom.</w:t>
      </w:r>
    </w:p>
    <w:p w14:paraId="7B706670" w14:textId="2B838F5A" w:rsidR="009C0665" w:rsidRDefault="009C0665" w:rsidP="004C7864">
      <w:pPr>
        <w:pStyle w:val="Header"/>
        <w:rPr>
          <w:bCs/>
          <w:szCs w:val="22"/>
          <w:lang w:val="sr-Latn-ME"/>
        </w:rPr>
      </w:pPr>
    </w:p>
    <w:p w14:paraId="711F3B25" w14:textId="24CE47D1" w:rsidR="006920A4" w:rsidRDefault="006920A4" w:rsidP="004C7864">
      <w:pPr>
        <w:pStyle w:val="Header"/>
        <w:rPr>
          <w:bCs/>
          <w:szCs w:val="22"/>
          <w:lang w:val="sr-Latn-ME"/>
        </w:rPr>
      </w:pPr>
    </w:p>
    <w:p w14:paraId="18A5EBAE" w14:textId="52ADEDD3" w:rsidR="006920A4" w:rsidRDefault="006920A4" w:rsidP="004C7864">
      <w:pPr>
        <w:pStyle w:val="Header"/>
        <w:rPr>
          <w:bCs/>
          <w:szCs w:val="22"/>
          <w:lang w:val="sr-Latn-ME"/>
        </w:rPr>
      </w:pPr>
    </w:p>
    <w:p w14:paraId="75898B6B" w14:textId="77777777" w:rsidR="006920A4" w:rsidRPr="009C0665" w:rsidRDefault="006920A4" w:rsidP="004C7864">
      <w:pPr>
        <w:pStyle w:val="Header"/>
        <w:rPr>
          <w:bCs/>
          <w:szCs w:val="22"/>
          <w:lang w:val="sr-Latn-ME"/>
        </w:rPr>
      </w:pPr>
    </w:p>
    <w:p w14:paraId="28EAD3D5" w14:textId="0C861012" w:rsidR="00847271" w:rsidRDefault="00847271" w:rsidP="004C7864">
      <w:pPr>
        <w:pStyle w:val="Header"/>
        <w:rPr>
          <w:bCs/>
          <w:szCs w:val="22"/>
          <w:u w:val="single"/>
          <w:lang w:val="sr-Latn-ME"/>
        </w:rPr>
      </w:pPr>
      <w:r w:rsidRPr="009C0665">
        <w:rPr>
          <w:bCs/>
          <w:szCs w:val="22"/>
          <w:u w:val="single"/>
          <w:lang w:val="sr-Latn-ME"/>
        </w:rPr>
        <w:lastRenderedPageBreak/>
        <w:t>Pedijatrijska populacija</w:t>
      </w:r>
    </w:p>
    <w:p w14:paraId="0E233651" w14:textId="77777777" w:rsidR="006920A4" w:rsidRPr="009C0665" w:rsidRDefault="006920A4" w:rsidP="004C7864">
      <w:pPr>
        <w:pStyle w:val="Header"/>
        <w:rPr>
          <w:bCs/>
          <w:szCs w:val="22"/>
          <w:u w:val="single"/>
          <w:lang w:val="sr-Latn-ME"/>
        </w:rPr>
      </w:pPr>
    </w:p>
    <w:p w14:paraId="53CD5690" w14:textId="0E992404" w:rsidR="00847271" w:rsidRPr="009C0665" w:rsidRDefault="00847271" w:rsidP="004C7864">
      <w:pPr>
        <w:pStyle w:val="Header"/>
        <w:tabs>
          <w:tab w:val="left" w:pos="284"/>
        </w:tabs>
        <w:rPr>
          <w:bCs/>
          <w:szCs w:val="22"/>
          <w:lang w:val="sr-Latn-ME"/>
        </w:rPr>
      </w:pPr>
      <w:r w:rsidRPr="009C0665">
        <w:rPr>
          <w:bCs/>
          <w:szCs w:val="22"/>
          <w:lang w:val="sr-Latn-ME"/>
        </w:rPr>
        <w:t xml:space="preserve">Evropska agencija za </w:t>
      </w:r>
      <w:r w:rsidR="00D26459" w:rsidRPr="009C0665">
        <w:rPr>
          <w:bCs/>
          <w:szCs w:val="22"/>
          <w:lang w:val="sr-Latn-ME"/>
        </w:rPr>
        <w:t>ljek</w:t>
      </w:r>
      <w:r w:rsidRPr="009C0665">
        <w:rPr>
          <w:bCs/>
          <w:szCs w:val="22"/>
          <w:lang w:val="sr-Latn-ME"/>
        </w:rPr>
        <w:t xml:space="preserve">ove je odložila obavezu podnošenja rezultata ispitivanja </w:t>
      </w:r>
      <w:r w:rsidR="00D26459" w:rsidRPr="009C0665">
        <w:rPr>
          <w:bCs/>
          <w:szCs w:val="22"/>
          <w:lang w:val="sr-Latn-ME"/>
        </w:rPr>
        <w:t>lijek</w:t>
      </w:r>
      <w:r w:rsidRPr="009C0665">
        <w:rPr>
          <w:bCs/>
          <w:szCs w:val="22"/>
          <w:lang w:val="sr-Latn-ME"/>
        </w:rPr>
        <w:t>a vedolizumab u jednoj ili više podgrupa pedijatrijske populacije sa ulceroznim kolitisom</w:t>
      </w:r>
      <w:r w:rsidR="00062E9B" w:rsidRPr="009C0665">
        <w:rPr>
          <w:bCs/>
          <w:szCs w:val="22"/>
          <w:lang w:val="sr-Latn-ME"/>
        </w:rPr>
        <w:t xml:space="preserve">, </w:t>
      </w:r>
      <w:r w:rsidR="00AB003D" w:rsidRPr="009C0665">
        <w:rPr>
          <w:bCs/>
          <w:szCs w:val="22"/>
          <w:lang w:val="sr-Latn-ME"/>
        </w:rPr>
        <w:t>Crohnovom</w:t>
      </w:r>
      <w:r w:rsidRPr="009C0665">
        <w:rPr>
          <w:bCs/>
          <w:szCs w:val="22"/>
          <w:lang w:val="sr-Latn-ME"/>
        </w:rPr>
        <w:t xml:space="preserve"> bolešću </w:t>
      </w:r>
      <w:r w:rsidR="00062E9B" w:rsidRPr="009C0665">
        <w:rPr>
          <w:bCs/>
          <w:szCs w:val="22"/>
          <w:lang w:val="sr-Latn-ME"/>
        </w:rPr>
        <w:t xml:space="preserve">i paučitisom </w:t>
      </w:r>
      <w:r w:rsidRPr="009C0665">
        <w:rPr>
          <w:bCs/>
          <w:szCs w:val="22"/>
          <w:lang w:val="sr-Latn-ME"/>
        </w:rPr>
        <w:t>(</w:t>
      </w:r>
      <w:r w:rsidR="00166D72" w:rsidRPr="009C0665">
        <w:rPr>
          <w:bCs/>
          <w:szCs w:val="22"/>
          <w:lang w:val="sr-Latn-ME"/>
        </w:rPr>
        <w:t>vidjeti dio</w:t>
      </w:r>
      <w:r w:rsidR="005F636B" w:rsidRPr="009C0665">
        <w:rPr>
          <w:bCs/>
          <w:szCs w:val="22"/>
          <w:lang w:val="sr-Latn-ME"/>
        </w:rPr>
        <w:t xml:space="preserve"> </w:t>
      </w:r>
      <w:r w:rsidRPr="009C0665">
        <w:rPr>
          <w:bCs/>
          <w:szCs w:val="22"/>
          <w:lang w:val="sr-Latn-ME"/>
        </w:rPr>
        <w:t>4.2</w:t>
      </w:r>
      <w:r w:rsidR="00B1676E" w:rsidRPr="009C0665">
        <w:rPr>
          <w:bCs/>
          <w:szCs w:val="22"/>
          <w:lang w:val="sr-Latn-ME"/>
        </w:rPr>
        <w:t xml:space="preserve"> za informacije o </w:t>
      </w:r>
      <w:r w:rsidR="00AB003D" w:rsidRPr="009C0665">
        <w:rPr>
          <w:bCs/>
          <w:szCs w:val="22"/>
          <w:lang w:val="sr-Latn-ME"/>
        </w:rPr>
        <w:t>primjeni</w:t>
      </w:r>
      <w:r w:rsidR="0085729B" w:rsidRPr="009C0665">
        <w:rPr>
          <w:bCs/>
          <w:szCs w:val="22"/>
          <w:lang w:val="sr-Latn-ME"/>
        </w:rPr>
        <w:t xml:space="preserve"> kod d</w:t>
      </w:r>
      <w:r w:rsidR="00752F11" w:rsidRPr="009C0665">
        <w:rPr>
          <w:bCs/>
          <w:szCs w:val="22"/>
          <w:lang w:val="sr-Latn-ME"/>
        </w:rPr>
        <w:t>j</w:t>
      </w:r>
      <w:r w:rsidR="0085729B" w:rsidRPr="009C0665">
        <w:rPr>
          <w:bCs/>
          <w:szCs w:val="22"/>
          <w:lang w:val="sr-Latn-ME"/>
        </w:rPr>
        <w:t>ece</w:t>
      </w:r>
      <w:r w:rsidRPr="009C0665">
        <w:rPr>
          <w:bCs/>
          <w:szCs w:val="22"/>
          <w:lang w:val="sr-Latn-ME"/>
        </w:rPr>
        <w:t>).</w:t>
      </w:r>
    </w:p>
    <w:p w14:paraId="077EB765" w14:textId="77777777" w:rsidR="00CE09F3" w:rsidRPr="009C0665" w:rsidRDefault="00CE09F3" w:rsidP="004C7864">
      <w:pPr>
        <w:rPr>
          <w:szCs w:val="22"/>
          <w:lang w:val="sr-Latn-ME"/>
        </w:rPr>
      </w:pPr>
    </w:p>
    <w:p w14:paraId="234E5271" w14:textId="77777777" w:rsidR="00CE09F3" w:rsidRPr="009C0665" w:rsidRDefault="00CE09F3" w:rsidP="004C7864">
      <w:pPr>
        <w:rPr>
          <w:b/>
          <w:bCs/>
          <w:szCs w:val="22"/>
          <w:lang w:val="sr-Latn-ME"/>
        </w:rPr>
      </w:pPr>
      <w:r w:rsidRPr="009C0665">
        <w:rPr>
          <w:b/>
          <w:bCs/>
          <w:szCs w:val="22"/>
          <w:lang w:val="sr-Latn-ME"/>
        </w:rPr>
        <w:t>5.2. Farmakokinetički podaci</w:t>
      </w:r>
    </w:p>
    <w:p w14:paraId="0EBD8E19" w14:textId="77777777" w:rsidR="00E409DE" w:rsidRPr="009C0665" w:rsidRDefault="00E409DE" w:rsidP="004C7864">
      <w:pPr>
        <w:rPr>
          <w:b/>
          <w:bCs/>
          <w:szCs w:val="22"/>
          <w:lang w:val="sr-Latn-ME"/>
        </w:rPr>
      </w:pPr>
    </w:p>
    <w:p w14:paraId="19010EC8" w14:textId="33B60220" w:rsidR="00847271" w:rsidRPr="009C0665" w:rsidRDefault="0084727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Farmakokinet</w:t>
      </w:r>
      <w:r w:rsidR="00E409DE" w:rsidRPr="009C0665">
        <w:rPr>
          <w:szCs w:val="22"/>
          <w:lang w:val="sr-Latn-ME"/>
        </w:rPr>
        <w:t>ika</w:t>
      </w:r>
      <w:r w:rsidRPr="009C0665">
        <w:rPr>
          <w:szCs w:val="22"/>
          <w:lang w:val="sr-Latn-ME"/>
        </w:rPr>
        <w:t xml:space="preserve"> pojedinačne i uzastopnih doza vedolizumaba ispitani su kod zdravih dobrovoljaca kao i kod pacijenata sa </w:t>
      </w:r>
      <w:r w:rsidR="00A63489" w:rsidRPr="009C0665">
        <w:rPr>
          <w:szCs w:val="22"/>
          <w:lang w:val="sr-Latn-ME"/>
        </w:rPr>
        <w:t>umjereno</w:t>
      </w:r>
      <w:r w:rsidRPr="009C0665">
        <w:rPr>
          <w:szCs w:val="22"/>
          <w:lang w:val="sr-Latn-ME"/>
        </w:rPr>
        <w:t xml:space="preserve"> do izrazito aktivnim ulceroznim kolitisom ili </w:t>
      </w:r>
      <w:r w:rsidR="00AB003D" w:rsidRPr="009C0665">
        <w:rPr>
          <w:szCs w:val="22"/>
          <w:lang w:val="sr-Latn-ME"/>
        </w:rPr>
        <w:t>Crohnovom</w:t>
      </w:r>
      <w:r w:rsidRPr="009C0665">
        <w:rPr>
          <w:szCs w:val="22"/>
          <w:lang w:val="sr-Latn-ME"/>
        </w:rPr>
        <w:t xml:space="preserve"> bolešću.</w:t>
      </w:r>
      <w:r w:rsidR="00062E9B" w:rsidRPr="009C0665">
        <w:rPr>
          <w:szCs w:val="22"/>
          <w:lang w:val="sr-Latn-ME"/>
        </w:rPr>
        <w:t xml:space="preserve"> Farmakokinetika vedolizumaba nije ispitana kod pacijenata sa paučitisom, ali se očekuje sličnost sa pacijentima sa </w:t>
      </w:r>
      <w:r w:rsidR="00A63489" w:rsidRPr="009C0665">
        <w:rPr>
          <w:szCs w:val="22"/>
          <w:lang w:val="sr-Latn-ME"/>
        </w:rPr>
        <w:t>umjereno</w:t>
      </w:r>
      <w:r w:rsidR="00062E9B" w:rsidRPr="009C0665">
        <w:rPr>
          <w:szCs w:val="22"/>
          <w:lang w:val="sr-Latn-ME"/>
        </w:rPr>
        <w:t xml:space="preserve"> do izrazito aktivnim ulceroznim kolitisom ili </w:t>
      </w:r>
      <w:r w:rsidR="00AB003D" w:rsidRPr="009C0665">
        <w:rPr>
          <w:szCs w:val="22"/>
          <w:lang w:val="sr-Latn-ME"/>
        </w:rPr>
        <w:t>Crohnovom</w:t>
      </w:r>
      <w:r w:rsidR="00062E9B" w:rsidRPr="009C0665">
        <w:rPr>
          <w:szCs w:val="22"/>
          <w:lang w:val="sr-Latn-ME"/>
        </w:rPr>
        <w:t xml:space="preserve"> bolešću.</w:t>
      </w:r>
    </w:p>
    <w:p w14:paraId="58A0BCE3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297B2D14" w14:textId="522DBC0B" w:rsidR="00847271" w:rsidRPr="009C0665" w:rsidRDefault="0084727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Kod pacijenata koji su primili 300 mg vedolizumaba kroz 30-minutnu intravensku infuziju u </w:t>
      </w:r>
      <w:r w:rsidR="00E409DE" w:rsidRPr="009C0665">
        <w:rPr>
          <w:szCs w:val="22"/>
          <w:lang w:val="sr-Latn-ME"/>
        </w:rPr>
        <w:t xml:space="preserve">0. </w:t>
      </w:r>
      <w:r w:rsidRPr="009C0665">
        <w:rPr>
          <w:szCs w:val="22"/>
          <w:lang w:val="sr-Latn-ME"/>
        </w:rPr>
        <w:t xml:space="preserve">i </w:t>
      </w:r>
      <w:r w:rsidR="00E409DE" w:rsidRPr="009C0665">
        <w:rPr>
          <w:szCs w:val="22"/>
          <w:lang w:val="sr-Latn-ME"/>
        </w:rPr>
        <w:t xml:space="preserve">2. </w:t>
      </w:r>
      <w:r w:rsidR="00AB003D" w:rsidRPr="009C0665">
        <w:rPr>
          <w:szCs w:val="22"/>
          <w:lang w:val="sr-Latn-ME"/>
        </w:rPr>
        <w:t>nedjelji</w:t>
      </w:r>
      <w:r w:rsidRPr="009C0665">
        <w:rPr>
          <w:szCs w:val="22"/>
          <w:lang w:val="sr-Latn-ME"/>
        </w:rPr>
        <w:t>, srednja vr</w:t>
      </w:r>
      <w:r w:rsidR="001B03FD" w:rsidRPr="009C0665">
        <w:rPr>
          <w:szCs w:val="22"/>
          <w:lang w:val="sr-Latn-ME"/>
        </w:rPr>
        <w:t>ij</w:t>
      </w:r>
      <w:r w:rsidRPr="009C0665">
        <w:rPr>
          <w:szCs w:val="22"/>
          <w:lang w:val="sr-Latn-ME"/>
        </w:rPr>
        <w:t xml:space="preserve">ednost najniže koncentracije </w:t>
      </w:r>
      <w:r w:rsidR="00E409DE" w:rsidRPr="009C0665">
        <w:rPr>
          <w:szCs w:val="22"/>
          <w:lang w:val="sr-Latn-ME"/>
        </w:rPr>
        <w:t xml:space="preserve">u serumu </w:t>
      </w:r>
      <w:r w:rsidRPr="009C0665">
        <w:rPr>
          <w:szCs w:val="22"/>
          <w:lang w:val="sr-Latn-ME"/>
        </w:rPr>
        <w:t xml:space="preserve">u 6. </w:t>
      </w:r>
      <w:r w:rsidR="00AB003D" w:rsidRPr="009C0665">
        <w:rPr>
          <w:szCs w:val="22"/>
          <w:lang w:val="sr-Latn-ME"/>
        </w:rPr>
        <w:t>nedjelji</w:t>
      </w:r>
      <w:r w:rsidRPr="009C0665">
        <w:rPr>
          <w:szCs w:val="22"/>
          <w:lang w:val="sr-Latn-ME"/>
        </w:rPr>
        <w:t xml:space="preserve"> bila je 27,9 mikrograma/m</w:t>
      </w:r>
      <w:r w:rsidR="001B03FD" w:rsidRPr="009C0665">
        <w:rPr>
          <w:szCs w:val="22"/>
          <w:lang w:val="sr-Latn-ME"/>
        </w:rPr>
        <w:t>l</w:t>
      </w:r>
      <w:r w:rsidRPr="009C0665">
        <w:rPr>
          <w:szCs w:val="22"/>
          <w:lang w:val="sr-Latn-ME"/>
        </w:rPr>
        <w:t xml:space="preserve"> (SD± 15,51) kod ulceroznog kolitisa i 26,8 mikrograma/m</w:t>
      </w:r>
      <w:r w:rsidR="001B03FD" w:rsidRPr="009C0665">
        <w:rPr>
          <w:szCs w:val="22"/>
          <w:lang w:val="sr-Latn-ME"/>
        </w:rPr>
        <w:t>l</w:t>
      </w:r>
      <w:r w:rsidRPr="009C0665">
        <w:rPr>
          <w:szCs w:val="22"/>
          <w:lang w:val="sr-Latn-ME"/>
        </w:rPr>
        <w:t xml:space="preserve"> (SD ± 17,45) kod </w:t>
      </w:r>
      <w:r w:rsidR="00D26459" w:rsidRPr="009C0665">
        <w:rPr>
          <w:szCs w:val="22"/>
          <w:lang w:val="sr-Latn-ME"/>
        </w:rPr>
        <w:t>Crohnove</w:t>
      </w:r>
      <w:r w:rsidRPr="009C0665">
        <w:rPr>
          <w:szCs w:val="22"/>
          <w:lang w:val="sr-Latn-ME"/>
        </w:rPr>
        <w:t xml:space="preserve"> bolesti. </w:t>
      </w:r>
      <w:r w:rsidR="00BE020D" w:rsidRPr="009C0665">
        <w:rPr>
          <w:szCs w:val="22"/>
          <w:lang w:val="sr-Latn-ME"/>
        </w:rPr>
        <w:t xml:space="preserve">U </w:t>
      </w:r>
      <w:r w:rsidR="0085729B" w:rsidRPr="009C0665">
        <w:rPr>
          <w:szCs w:val="22"/>
          <w:lang w:val="sr-Latn-ME"/>
        </w:rPr>
        <w:t>ispitivanjima</w:t>
      </w:r>
      <w:r w:rsidR="00BE020D" w:rsidRPr="009C0665">
        <w:rPr>
          <w:szCs w:val="22"/>
          <w:lang w:val="sr-Latn-ME"/>
        </w:rPr>
        <w:t xml:space="preserve"> sa intravenski</w:t>
      </w:r>
      <w:r w:rsidR="00E409DE" w:rsidRPr="009C0665">
        <w:rPr>
          <w:szCs w:val="22"/>
          <w:lang w:val="sr-Latn-ME"/>
        </w:rPr>
        <w:t xml:space="preserve"> </w:t>
      </w:r>
      <w:r w:rsidR="00054848" w:rsidRPr="009C0665">
        <w:rPr>
          <w:szCs w:val="22"/>
          <w:lang w:val="sr-Latn-ME"/>
        </w:rPr>
        <w:t>prim</w:t>
      </w:r>
      <w:r w:rsidR="00B27FA3" w:rsidRPr="009C0665">
        <w:rPr>
          <w:szCs w:val="22"/>
          <w:lang w:val="sr-Latn-ME"/>
        </w:rPr>
        <w:t>i</w:t>
      </w:r>
      <w:r w:rsidR="00054848" w:rsidRPr="009C0665">
        <w:rPr>
          <w:szCs w:val="22"/>
          <w:lang w:val="sr-Latn-ME"/>
        </w:rPr>
        <w:t>jenjen</w:t>
      </w:r>
      <w:r w:rsidR="00E409DE" w:rsidRPr="009C0665">
        <w:rPr>
          <w:szCs w:val="22"/>
          <w:lang w:val="sr-Latn-ME"/>
        </w:rPr>
        <w:t>im</w:t>
      </w:r>
      <w:r w:rsidR="00BE020D" w:rsidRPr="009C0665">
        <w:rPr>
          <w:szCs w:val="22"/>
          <w:lang w:val="sr-Latn-ME"/>
        </w:rPr>
        <w:t xml:space="preserve"> vedolizumabom, p</w:t>
      </w:r>
      <w:r w:rsidRPr="009C0665">
        <w:rPr>
          <w:szCs w:val="22"/>
          <w:lang w:val="sr-Latn-ME"/>
        </w:rPr>
        <w:t xml:space="preserve">očevši od 6. </w:t>
      </w:r>
      <w:r w:rsidR="00166D72" w:rsidRPr="009C0665">
        <w:rPr>
          <w:szCs w:val="22"/>
          <w:lang w:val="sr-Latn-ME"/>
        </w:rPr>
        <w:t>nedjelje</w:t>
      </w:r>
      <w:r w:rsidRPr="009C0665">
        <w:rPr>
          <w:szCs w:val="22"/>
          <w:lang w:val="sr-Latn-ME"/>
        </w:rPr>
        <w:t xml:space="preserve">, pacijenti su primali 300 mg vedolizumaba </w:t>
      </w:r>
      <w:r w:rsidR="00BE020D" w:rsidRPr="009C0665">
        <w:rPr>
          <w:szCs w:val="22"/>
          <w:lang w:val="sr-Latn-ME"/>
        </w:rPr>
        <w:t>intravenski</w:t>
      </w:r>
      <w:r w:rsidRPr="009C0665">
        <w:rPr>
          <w:szCs w:val="22"/>
          <w:lang w:val="sr-Latn-ME"/>
        </w:rPr>
        <w:t xml:space="preserve"> svak</w:t>
      </w:r>
      <w:r w:rsidR="00E409DE" w:rsidRPr="009C0665">
        <w:rPr>
          <w:szCs w:val="22"/>
          <w:lang w:val="sr-Latn-ME"/>
        </w:rPr>
        <w:t>ih</w:t>
      </w:r>
      <w:r w:rsidRPr="009C0665">
        <w:rPr>
          <w:szCs w:val="22"/>
          <w:lang w:val="sr-Latn-ME"/>
        </w:rPr>
        <w:t xml:space="preserve"> </w:t>
      </w:r>
      <w:r w:rsidR="00BE020D" w:rsidRPr="009C0665">
        <w:rPr>
          <w:szCs w:val="22"/>
          <w:lang w:val="sr-Latn-ME"/>
        </w:rPr>
        <w:t xml:space="preserve">8 </w:t>
      </w:r>
      <w:r w:rsidRPr="009C0665">
        <w:rPr>
          <w:szCs w:val="22"/>
          <w:lang w:val="sr-Latn-ME"/>
        </w:rPr>
        <w:t xml:space="preserve">ili </w:t>
      </w:r>
      <w:r w:rsidR="00BE020D" w:rsidRPr="009C0665">
        <w:rPr>
          <w:szCs w:val="22"/>
          <w:lang w:val="sr-Latn-ME"/>
        </w:rPr>
        <w:t xml:space="preserve">4 </w:t>
      </w:r>
      <w:r w:rsidR="00166D72" w:rsidRPr="009C0665">
        <w:rPr>
          <w:szCs w:val="22"/>
          <w:lang w:val="sr-Latn-ME"/>
        </w:rPr>
        <w:t>nedjelje</w:t>
      </w:r>
      <w:r w:rsidRPr="009C0665">
        <w:rPr>
          <w:szCs w:val="22"/>
          <w:lang w:val="sr-Latn-ME"/>
        </w:rPr>
        <w:t>. Kod pacijenata sa ulceroznim kolitisom, srednja vr</w:t>
      </w:r>
      <w:r w:rsidR="001B03FD" w:rsidRPr="009C0665">
        <w:rPr>
          <w:szCs w:val="22"/>
          <w:lang w:val="sr-Latn-ME"/>
        </w:rPr>
        <w:t>ij</w:t>
      </w:r>
      <w:r w:rsidRPr="009C0665">
        <w:rPr>
          <w:szCs w:val="22"/>
          <w:lang w:val="sr-Latn-ME"/>
        </w:rPr>
        <w:t xml:space="preserve">ednost </w:t>
      </w:r>
      <w:r w:rsidR="00E409DE" w:rsidRPr="009C0665">
        <w:rPr>
          <w:szCs w:val="22"/>
          <w:lang w:val="sr-Latn-ME"/>
        </w:rPr>
        <w:t xml:space="preserve">najmanje </w:t>
      </w:r>
      <w:r w:rsidRPr="009C0665">
        <w:rPr>
          <w:szCs w:val="22"/>
          <w:lang w:val="sr-Latn-ME"/>
        </w:rPr>
        <w:t xml:space="preserve">koncentracije </w:t>
      </w:r>
      <w:r w:rsidR="00E409DE" w:rsidRPr="009C0665">
        <w:rPr>
          <w:szCs w:val="22"/>
          <w:lang w:val="sr-Latn-ME"/>
        </w:rPr>
        <w:t xml:space="preserve">u serumu </w:t>
      </w:r>
      <w:r w:rsidRPr="009C0665">
        <w:rPr>
          <w:szCs w:val="22"/>
          <w:lang w:val="sr-Latn-ME"/>
        </w:rPr>
        <w:t>u ravnotežnom stanju bila je 11,2 mikrograma/m</w:t>
      </w:r>
      <w:r w:rsidR="001B03FD" w:rsidRPr="009C0665">
        <w:rPr>
          <w:szCs w:val="22"/>
          <w:lang w:val="sr-Latn-ME"/>
        </w:rPr>
        <w:t>l</w:t>
      </w:r>
      <w:r w:rsidRPr="009C0665">
        <w:rPr>
          <w:szCs w:val="22"/>
          <w:lang w:val="sr-Latn-ME"/>
        </w:rPr>
        <w:t xml:space="preserve"> (SD ± 7,24) odnosno 38,3 mikrograma/m</w:t>
      </w:r>
      <w:r w:rsidR="001B03FD" w:rsidRPr="009C0665">
        <w:rPr>
          <w:szCs w:val="22"/>
          <w:lang w:val="sr-Latn-ME"/>
        </w:rPr>
        <w:t>l</w:t>
      </w:r>
      <w:r w:rsidRPr="009C0665">
        <w:rPr>
          <w:szCs w:val="22"/>
          <w:lang w:val="sr-Latn-ME"/>
        </w:rPr>
        <w:t xml:space="preserve"> (SD ± 24,43)</w:t>
      </w:r>
      <w:r w:rsidR="00707A31" w:rsidRPr="009C0665">
        <w:rPr>
          <w:szCs w:val="22"/>
          <w:lang w:val="sr-Latn-ME"/>
        </w:rPr>
        <w:t>, redom</w:t>
      </w:r>
      <w:r w:rsidRPr="009C0665">
        <w:rPr>
          <w:szCs w:val="22"/>
          <w:lang w:val="sr-Latn-ME"/>
        </w:rPr>
        <w:t xml:space="preserve">. Kod pacijenata sa </w:t>
      </w:r>
      <w:r w:rsidR="00AB003D" w:rsidRPr="009C0665">
        <w:rPr>
          <w:szCs w:val="22"/>
          <w:lang w:val="sr-Latn-ME"/>
        </w:rPr>
        <w:t>Crohnovom</w:t>
      </w:r>
      <w:r w:rsidRPr="009C0665">
        <w:rPr>
          <w:szCs w:val="22"/>
          <w:lang w:val="sr-Latn-ME"/>
        </w:rPr>
        <w:t xml:space="preserve"> bolešću, srednja vr</w:t>
      </w:r>
      <w:r w:rsidR="001B03FD" w:rsidRPr="009C0665">
        <w:rPr>
          <w:szCs w:val="22"/>
          <w:lang w:val="sr-Latn-ME"/>
        </w:rPr>
        <w:t>ij</w:t>
      </w:r>
      <w:r w:rsidRPr="009C0665">
        <w:rPr>
          <w:szCs w:val="22"/>
          <w:lang w:val="sr-Latn-ME"/>
        </w:rPr>
        <w:t xml:space="preserve">ednost </w:t>
      </w:r>
      <w:r w:rsidR="00E409DE" w:rsidRPr="009C0665">
        <w:rPr>
          <w:szCs w:val="22"/>
          <w:lang w:val="sr-Latn-ME"/>
        </w:rPr>
        <w:t xml:space="preserve">najmanje </w:t>
      </w:r>
      <w:r w:rsidRPr="009C0665">
        <w:rPr>
          <w:szCs w:val="22"/>
          <w:lang w:val="sr-Latn-ME"/>
        </w:rPr>
        <w:t>koncentracij</w:t>
      </w:r>
      <w:r w:rsidR="00E409DE" w:rsidRPr="009C0665">
        <w:rPr>
          <w:szCs w:val="22"/>
          <w:lang w:val="sr-Latn-ME"/>
        </w:rPr>
        <w:t>e u serumu</w:t>
      </w:r>
      <w:r w:rsidRPr="009C0665">
        <w:rPr>
          <w:szCs w:val="22"/>
          <w:lang w:val="sr-Latn-ME"/>
        </w:rPr>
        <w:t xml:space="preserve"> u ravnotežnom stanju bila je 13,0 mikrograma/m</w:t>
      </w:r>
      <w:r w:rsidR="001B03FD" w:rsidRPr="009C0665">
        <w:rPr>
          <w:szCs w:val="22"/>
          <w:lang w:val="sr-Latn-ME"/>
        </w:rPr>
        <w:t>l</w:t>
      </w:r>
      <w:r w:rsidRPr="009C0665">
        <w:rPr>
          <w:szCs w:val="22"/>
          <w:lang w:val="sr-Latn-ME"/>
        </w:rPr>
        <w:t xml:space="preserve"> (SD ± 9,08) odnosno 34,8 mikrograma/m</w:t>
      </w:r>
      <w:r w:rsidR="001B03FD" w:rsidRPr="009C0665">
        <w:rPr>
          <w:szCs w:val="22"/>
          <w:lang w:val="sr-Latn-ME"/>
        </w:rPr>
        <w:t>l</w:t>
      </w:r>
      <w:r w:rsidRPr="009C0665">
        <w:rPr>
          <w:szCs w:val="22"/>
          <w:lang w:val="sr-Latn-ME"/>
        </w:rPr>
        <w:t xml:space="preserve"> (SD ± 22,55)</w:t>
      </w:r>
      <w:r w:rsidR="00707A31" w:rsidRPr="009C0665">
        <w:rPr>
          <w:szCs w:val="22"/>
          <w:lang w:val="sr-Latn-ME"/>
        </w:rPr>
        <w:t>, redom</w:t>
      </w:r>
      <w:r w:rsidRPr="009C0665">
        <w:rPr>
          <w:szCs w:val="22"/>
          <w:lang w:val="sr-Latn-ME"/>
        </w:rPr>
        <w:t>.</w:t>
      </w:r>
    </w:p>
    <w:p w14:paraId="757D1F38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5C23A812" w14:textId="77777777" w:rsidR="00847271" w:rsidRPr="009C0665" w:rsidRDefault="00847271" w:rsidP="004C7864">
      <w:pPr>
        <w:pStyle w:val="Header"/>
        <w:rPr>
          <w:szCs w:val="22"/>
          <w:u w:val="single"/>
          <w:lang w:val="sr-Latn-ME"/>
        </w:rPr>
      </w:pPr>
      <w:r w:rsidRPr="009C0665">
        <w:rPr>
          <w:szCs w:val="22"/>
          <w:u w:val="single"/>
          <w:lang w:val="sr-Latn-ME"/>
        </w:rPr>
        <w:t>Distribucija</w:t>
      </w:r>
    </w:p>
    <w:p w14:paraId="5EF396C6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41EC1AC6" w14:textId="4A030023" w:rsidR="00847271" w:rsidRPr="009C0665" w:rsidRDefault="00E409DE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P</w:t>
      </w:r>
      <w:r w:rsidR="00847271" w:rsidRPr="009C0665">
        <w:rPr>
          <w:szCs w:val="22"/>
          <w:lang w:val="sr-Latn-ME"/>
        </w:rPr>
        <w:t>opulacione farmakokineti</w:t>
      </w:r>
      <w:r w:rsidRPr="009C0665">
        <w:rPr>
          <w:szCs w:val="22"/>
          <w:lang w:val="sr-Latn-ME"/>
        </w:rPr>
        <w:t>č</w:t>
      </w:r>
      <w:r w:rsidR="00847271" w:rsidRPr="009C0665">
        <w:rPr>
          <w:szCs w:val="22"/>
          <w:lang w:val="sr-Latn-ME"/>
        </w:rPr>
        <w:t xml:space="preserve">ke </w:t>
      </w:r>
      <w:r w:rsidRPr="009C0665">
        <w:rPr>
          <w:szCs w:val="22"/>
          <w:lang w:val="sr-Latn-ME"/>
        </w:rPr>
        <w:t xml:space="preserve">analize </w:t>
      </w:r>
      <w:r w:rsidR="00847271" w:rsidRPr="009C0665">
        <w:rPr>
          <w:szCs w:val="22"/>
          <w:lang w:val="sr-Latn-ME"/>
        </w:rPr>
        <w:t>ukazuju da je volumen distribucije vedolizumaba približno</w:t>
      </w:r>
      <w:r w:rsidR="00BE020D" w:rsidRPr="009C0665">
        <w:rPr>
          <w:szCs w:val="22"/>
          <w:lang w:val="sr-Latn-ME"/>
        </w:rPr>
        <w:t xml:space="preserve"> </w:t>
      </w:r>
      <w:r w:rsidR="00847271" w:rsidRPr="009C0665">
        <w:rPr>
          <w:szCs w:val="22"/>
          <w:lang w:val="sr-Latn-ME"/>
        </w:rPr>
        <w:t xml:space="preserve">5 litara. Vezivanje vedolizumaba za proteine plazme nije ispitano. Vedolizumab je terapijsko monoklonsko </w:t>
      </w:r>
      <w:r w:rsidR="00A63489" w:rsidRPr="009C0665">
        <w:rPr>
          <w:szCs w:val="22"/>
          <w:lang w:val="sr-Latn-ME"/>
        </w:rPr>
        <w:t>antitijelo</w:t>
      </w:r>
      <w:r w:rsidR="00847271" w:rsidRPr="009C0665">
        <w:rPr>
          <w:szCs w:val="22"/>
          <w:lang w:val="sr-Latn-ME"/>
        </w:rPr>
        <w:t xml:space="preserve"> za koje se ne očekuje da će se vezati za proteine plazme.</w:t>
      </w:r>
    </w:p>
    <w:p w14:paraId="19CBE68A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3E57EFFC" w14:textId="5041C174" w:rsidR="00847271" w:rsidRPr="009C0665" w:rsidRDefault="0084727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Vedolizumab ne prolazi hemato-encefalnu barijeru nakon intravenske </w:t>
      </w:r>
      <w:r w:rsidR="00AB003D" w:rsidRPr="009C0665">
        <w:rPr>
          <w:szCs w:val="22"/>
          <w:lang w:val="sr-Latn-ME"/>
        </w:rPr>
        <w:t>primjene</w:t>
      </w:r>
      <w:r w:rsidRPr="009C0665">
        <w:rPr>
          <w:szCs w:val="22"/>
          <w:lang w:val="sr-Latn-ME"/>
        </w:rPr>
        <w:t>. Vedolizumab</w:t>
      </w:r>
      <w:r w:rsidR="001C51A1" w:rsidRPr="009C0665">
        <w:rPr>
          <w:szCs w:val="22"/>
          <w:lang w:val="sr-Latn-ME"/>
        </w:rPr>
        <w:t xml:space="preserve"> u dozi od</w:t>
      </w:r>
      <w:r w:rsidRPr="009C0665">
        <w:rPr>
          <w:szCs w:val="22"/>
          <w:lang w:val="sr-Latn-ME"/>
        </w:rPr>
        <w:t xml:space="preserve"> 450</w:t>
      </w:r>
      <w:r w:rsidR="001C51A1" w:rsidRPr="009C0665">
        <w:rPr>
          <w:szCs w:val="22"/>
          <w:lang w:val="sr-Latn-ME"/>
        </w:rPr>
        <w:t> </w:t>
      </w:r>
      <w:r w:rsidRPr="009C0665">
        <w:rPr>
          <w:szCs w:val="22"/>
          <w:lang w:val="sr-Latn-ME"/>
        </w:rPr>
        <w:t xml:space="preserve">mg </w:t>
      </w:r>
      <w:r w:rsidR="00054848" w:rsidRPr="009C0665">
        <w:rPr>
          <w:szCs w:val="22"/>
          <w:lang w:val="sr-Latn-ME"/>
        </w:rPr>
        <w:t>prim</w:t>
      </w:r>
      <w:r w:rsidR="00B27FA3" w:rsidRPr="009C0665">
        <w:rPr>
          <w:szCs w:val="22"/>
          <w:lang w:val="sr-Latn-ME"/>
        </w:rPr>
        <w:t>i</w:t>
      </w:r>
      <w:r w:rsidR="00054848" w:rsidRPr="009C0665">
        <w:rPr>
          <w:szCs w:val="22"/>
          <w:lang w:val="sr-Latn-ME"/>
        </w:rPr>
        <w:t>jenjen</w:t>
      </w:r>
      <w:r w:rsidRPr="009C0665">
        <w:rPr>
          <w:szCs w:val="22"/>
          <w:lang w:val="sr-Latn-ME"/>
        </w:rPr>
        <w:t xml:space="preserve"> intravenski nije detektovan u cerebrospinalnoj tečnosti zdravih ispitanika.</w:t>
      </w:r>
    </w:p>
    <w:p w14:paraId="4E9E64B2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2D89EBD0" w14:textId="77777777" w:rsidR="00847271" w:rsidRPr="009C0665" w:rsidRDefault="00847271" w:rsidP="004C7864">
      <w:pPr>
        <w:pStyle w:val="Header"/>
        <w:rPr>
          <w:szCs w:val="22"/>
          <w:u w:val="single"/>
          <w:lang w:val="sr-Latn-ME"/>
        </w:rPr>
      </w:pPr>
      <w:r w:rsidRPr="009C0665">
        <w:rPr>
          <w:szCs w:val="22"/>
          <w:u w:val="single"/>
          <w:lang w:val="sr-Latn-ME"/>
        </w:rPr>
        <w:t>Eliminacija</w:t>
      </w:r>
    </w:p>
    <w:p w14:paraId="1F285AAA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6A2AE5E6" w14:textId="70859F9F" w:rsidR="00847271" w:rsidRPr="009C0665" w:rsidRDefault="001C51A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P</w:t>
      </w:r>
      <w:r w:rsidR="00847271" w:rsidRPr="009C0665">
        <w:rPr>
          <w:szCs w:val="22"/>
          <w:lang w:val="sr-Latn-ME"/>
        </w:rPr>
        <w:t>opulacione farmakokineti</w:t>
      </w:r>
      <w:r w:rsidRPr="009C0665">
        <w:rPr>
          <w:szCs w:val="22"/>
          <w:lang w:val="sr-Latn-ME"/>
        </w:rPr>
        <w:t>č</w:t>
      </w:r>
      <w:r w:rsidR="00847271" w:rsidRPr="009C0665">
        <w:rPr>
          <w:szCs w:val="22"/>
          <w:lang w:val="sr-Latn-ME"/>
        </w:rPr>
        <w:t>ke</w:t>
      </w:r>
      <w:r w:rsidRPr="009C0665">
        <w:rPr>
          <w:szCs w:val="22"/>
          <w:lang w:val="sr-Latn-ME"/>
        </w:rPr>
        <w:t xml:space="preserve"> analize</w:t>
      </w:r>
      <w:r w:rsidR="00847271" w:rsidRPr="009C0665">
        <w:rPr>
          <w:szCs w:val="22"/>
          <w:lang w:val="sr-Latn-ME"/>
        </w:rPr>
        <w:t xml:space="preserve"> </w:t>
      </w:r>
      <w:r w:rsidR="00BD0530" w:rsidRPr="009C0665">
        <w:rPr>
          <w:szCs w:val="22"/>
          <w:lang w:val="sr-Latn-ME"/>
        </w:rPr>
        <w:t xml:space="preserve">zasnovane na podacima iz intravenske i subkutane primjene </w:t>
      </w:r>
      <w:r w:rsidR="00847271" w:rsidRPr="009C0665">
        <w:rPr>
          <w:szCs w:val="22"/>
          <w:lang w:val="sr-Latn-ME"/>
        </w:rPr>
        <w:t xml:space="preserve">ukazuju da </w:t>
      </w:r>
      <w:r w:rsidR="00BD0530" w:rsidRPr="009C0665">
        <w:rPr>
          <w:szCs w:val="22"/>
          <w:lang w:val="sr-Latn-ME"/>
        </w:rPr>
        <w:t xml:space="preserve">je klirens </w:t>
      </w:r>
      <w:r w:rsidR="00847271" w:rsidRPr="009C0665">
        <w:rPr>
          <w:szCs w:val="22"/>
          <w:lang w:val="sr-Latn-ME"/>
        </w:rPr>
        <w:t>vedolizumab</w:t>
      </w:r>
      <w:r w:rsidR="005475BE" w:rsidRPr="009C0665">
        <w:rPr>
          <w:szCs w:val="22"/>
          <w:lang w:val="sr-Latn-ME"/>
        </w:rPr>
        <w:t>a</w:t>
      </w:r>
      <w:r w:rsidR="00847271" w:rsidRPr="009C0665">
        <w:rPr>
          <w:szCs w:val="22"/>
          <w:lang w:val="sr-Latn-ME"/>
        </w:rPr>
        <w:t xml:space="preserve"> približno </w:t>
      </w:r>
      <w:r w:rsidR="00692912" w:rsidRPr="009C0665">
        <w:rPr>
          <w:szCs w:val="22"/>
          <w:lang w:val="sr-Latn-ME"/>
        </w:rPr>
        <w:t>0,</w:t>
      </w:r>
      <w:r w:rsidR="00BD0530" w:rsidRPr="009C0665">
        <w:rPr>
          <w:szCs w:val="22"/>
          <w:lang w:val="sr-Latn-ME"/>
        </w:rPr>
        <w:t xml:space="preserve">162 </w:t>
      </w:r>
      <w:r w:rsidR="005475BE" w:rsidRPr="009C0665">
        <w:rPr>
          <w:szCs w:val="22"/>
          <w:lang w:val="sr-Latn-ME"/>
        </w:rPr>
        <w:t>l</w:t>
      </w:r>
      <w:r w:rsidR="00847271" w:rsidRPr="009C0665">
        <w:rPr>
          <w:szCs w:val="22"/>
          <w:lang w:val="sr-Latn-ME"/>
        </w:rPr>
        <w:t>/dan</w:t>
      </w:r>
      <w:r w:rsidR="005475BE" w:rsidRPr="009C0665">
        <w:rPr>
          <w:szCs w:val="22"/>
          <w:lang w:val="sr-Latn-ME"/>
        </w:rPr>
        <w:t xml:space="preserve"> </w:t>
      </w:r>
      <w:r w:rsidR="00BD0530" w:rsidRPr="009C0665">
        <w:rPr>
          <w:szCs w:val="22"/>
          <w:lang w:val="sr-Latn-ME"/>
        </w:rPr>
        <w:t xml:space="preserve">(putem linearne eliminacije) </w:t>
      </w:r>
      <w:r w:rsidR="00847271" w:rsidRPr="009C0665">
        <w:rPr>
          <w:szCs w:val="22"/>
          <w:lang w:val="sr-Latn-ME"/>
        </w:rPr>
        <w:t>i</w:t>
      </w:r>
      <w:r w:rsidR="005475BE" w:rsidRPr="009C0665">
        <w:rPr>
          <w:szCs w:val="22"/>
          <w:lang w:val="sr-Latn-ME"/>
        </w:rPr>
        <w:t xml:space="preserve"> da je</w:t>
      </w:r>
      <w:r w:rsidR="00847271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poluvr</w:t>
      </w:r>
      <w:r w:rsidR="00A63489" w:rsidRPr="009C0665">
        <w:rPr>
          <w:szCs w:val="22"/>
          <w:lang w:val="sr-Latn-ME"/>
        </w:rPr>
        <w:t>ij</w:t>
      </w:r>
      <w:r w:rsidRPr="009C0665">
        <w:rPr>
          <w:szCs w:val="22"/>
          <w:lang w:val="sr-Latn-ME"/>
        </w:rPr>
        <w:t>eme eliminacije u serumu</w:t>
      </w:r>
      <w:r w:rsidR="00692912" w:rsidRPr="009C0665">
        <w:rPr>
          <w:szCs w:val="22"/>
          <w:lang w:val="sr-Latn-ME"/>
        </w:rPr>
        <w:t xml:space="preserve"> </w:t>
      </w:r>
      <w:r w:rsidR="00BD0530" w:rsidRPr="009C0665">
        <w:rPr>
          <w:szCs w:val="22"/>
          <w:lang w:val="sr-Latn-ME"/>
        </w:rPr>
        <w:t xml:space="preserve">26 </w:t>
      </w:r>
      <w:r w:rsidR="00847271" w:rsidRPr="009C0665">
        <w:rPr>
          <w:szCs w:val="22"/>
          <w:lang w:val="sr-Latn-ME"/>
        </w:rPr>
        <w:t xml:space="preserve">dana. Tačan put eliminacije vedolizumaba nije poznat. Populacione farmakokinetičke analize </w:t>
      </w:r>
      <w:r w:rsidRPr="009C0665">
        <w:rPr>
          <w:szCs w:val="22"/>
          <w:lang w:val="sr-Latn-ME"/>
        </w:rPr>
        <w:t>sugerišu</w:t>
      </w:r>
      <w:r w:rsidR="00847271" w:rsidRPr="009C0665">
        <w:rPr>
          <w:szCs w:val="22"/>
          <w:lang w:val="sr-Latn-ME"/>
        </w:rPr>
        <w:t xml:space="preserve"> da, iako </w:t>
      </w:r>
      <w:r w:rsidR="005475BE" w:rsidRPr="009C0665">
        <w:rPr>
          <w:szCs w:val="22"/>
          <w:lang w:val="sr-Latn-ME"/>
        </w:rPr>
        <w:t xml:space="preserve">niske </w:t>
      </w:r>
      <w:r w:rsidRPr="009C0665">
        <w:rPr>
          <w:szCs w:val="22"/>
          <w:lang w:val="sr-Latn-ME"/>
        </w:rPr>
        <w:t>vr</w:t>
      </w:r>
      <w:r w:rsidR="005475BE" w:rsidRPr="009C0665">
        <w:rPr>
          <w:szCs w:val="22"/>
          <w:lang w:val="sr-Latn-ME"/>
        </w:rPr>
        <w:t>ij</w:t>
      </w:r>
      <w:r w:rsidRPr="009C0665">
        <w:rPr>
          <w:szCs w:val="22"/>
          <w:lang w:val="sr-Latn-ME"/>
        </w:rPr>
        <w:t>ednosti</w:t>
      </w:r>
      <w:r w:rsidR="00847271" w:rsidRPr="009C0665">
        <w:rPr>
          <w:szCs w:val="22"/>
          <w:lang w:val="sr-Latn-ME"/>
        </w:rPr>
        <w:t xml:space="preserve"> albumina</w:t>
      </w:r>
      <w:r w:rsidR="00260D65" w:rsidRPr="009C0665">
        <w:rPr>
          <w:szCs w:val="22"/>
          <w:lang w:val="sr-Latn-ME"/>
        </w:rPr>
        <w:t>,</w:t>
      </w:r>
      <w:r w:rsidR="00847271" w:rsidRPr="009C0665">
        <w:rPr>
          <w:szCs w:val="22"/>
          <w:lang w:val="sr-Latn-ME"/>
        </w:rPr>
        <w:t>povećana t</w:t>
      </w:r>
      <w:r w:rsidR="005475BE" w:rsidRPr="009C0665">
        <w:rPr>
          <w:szCs w:val="22"/>
          <w:lang w:val="sr-Latn-ME"/>
        </w:rPr>
        <w:t>j</w:t>
      </w:r>
      <w:r w:rsidR="00847271" w:rsidRPr="009C0665">
        <w:rPr>
          <w:szCs w:val="22"/>
          <w:lang w:val="sr-Latn-ME"/>
        </w:rPr>
        <w:t>elesna masa</w:t>
      </w:r>
      <w:r w:rsidR="007E4BD3" w:rsidRPr="009C0665">
        <w:rPr>
          <w:szCs w:val="22"/>
          <w:lang w:val="sr-Latn-ME"/>
        </w:rPr>
        <w:t xml:space="preserve"> i</w:t>
      </w:r>
      <w:r w:rsidR="00847271" w:rsidRPr="009C0665">
        <w:rPr>
          <w:szCs w:val="22"/>
          <w:lang w:val="sr-Latn-ME"/>
        </w:rPr>
        <w:t xml:space="preserve"> </w:t>
      </w:r>
      <w:r w:rsidR="00260D65" w:rsidRPr="009C0665">
        <w:rPr>
          <w:szCs w:val="22"/>
          <w:lang w:val="sr-Latn-ME"/>
        </w:rPr>
        <w:t xml:space="preserve"> </w:t>
      </w:r>
      <w:r w:rsidR="00847271" w:rsidRPr="009C0665">
        <w:rPr>
          <w:szCs w:val="22"/>
          <w:lang w:val="sr-Latn-ME"/>
        </w:rPr>
        <w:t>pre</w:t>
      </w:r>
      <w:r w:rsidR="00ED3367" w:rsidRPr="009C0665">
        <w:rPr>
          <w:szCs w:val="22"/>
          <w:lang w:val="sr-Latn-ME"/>
        </w:rPr>
        <w:t>thodno</w:t>
      </w:r>
      <w:r w:rsidR="00847271" w:rsidRPr="009C0665">
        <w:rPr>
          <w:szCs w:val="22"/>
          <w:lang w:val="sr-Latn-ME"/>
        </w:rPr>
        <w:t xml:space="preserve"> </w:t>
      </w:r>
      <w:r w:rsidR="00D26459" w:rsidRPr="009C0665">
        <w:rPr>
          <w:szCs w:val="22"/>
          <w:lang w:val="sr-Latn-ME"/>
        </w:rPr>
        <w:t>liječenj</w:t>
      </w:r>
      <w:r w:rsidR="00ED3367" w:rsidRPr="009C0665">
        <w:rPr>
          <w:szCs w:val="22"/>
          <w:lang w:val="sr-Latn-ME"/>
        </w:rPr>
        <w:t>e</w:t>
      </w:r>
      <w:r w:rsidR="00847271" w:rsidRPr="009C0665">
        <w:rPr>
          <w:szCs w:val="22"/>
          <w:lang w:val="sr-Latn-ME"/>
        </w:rPr>
        <w:t xml:space="preserve"> </w:t>
      </w:r>
      <w:r w:rsidR="00A63489" w:rsidRPr="009C0665">
        <w:rPr>
          <w:szCs w:val="22"/>
          <w:lang w:val="sr-Latn-ME"/>
        </w:rPr>
        <w:t>ljekovima</w:t>
      </w:r>
      <w:r w:rsidR="00847271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 xml:space="preserve">antagonistima </w:t>
      </w:r>
      <w:r w:rsidR="00847271" w:rsidRPr="009C0665">
        <w:rPr>
          <w:szCs w:val="22"/>
          <w:lang w:val="sr-Latn-ME"/>
        </w:rPr>
        <w:t>TNF</w:t>
      </w:r>
      <w:r w:rsidR="007E4BD3" w:rsidRPr="009C0665">
        <w:rPr>
          <w:szCs w:val="22"/>
          <w:lang w:val="sr-Latn-ME"/>
        </w:rPr>
        <w:t xml:space="preserve"> </w:t>
      </w:r>
      <w:r w:rsidR="00847271" w:rsidRPr="009C0665">
        <w:rPr>
          <w:szCs w:val="22"/>
          <w:lang w:val="sr-Latn-ME"/>
        </w:rPr>
        <w:t>mogu povećati klirens vedolizumaba, opseg njihovog uticaja se ne smatra klinički značajn</w:t>
      </w:r>
      <w:r w:rsidRPr="009C0665">
        <w:rPr>
          <w:szCs w:val="22"/>
          <w:lang w:val="sr-Latn-ME"/>
        </w:rPr>
        <w:t>i</w:t>
      </w:r>
      <w:r w:rsidR="00847271" w:rsidRPr="009C0665">
        <w:rPr>
          <w:szCs w:val="22"/>
          <w:lang w:val="sr-Latn-ME"/>
        </w:rPr>
        <w:t>m.</w:t>
      </w:r>
    </w:p>
    <w:p w14:paraId="5B6659D1" w14:textId="77777777" w:rsidR="001B1E60" w:rsidRPr="009C0665" w:rsidRDefault="001B1E60" w:rsidP="004C7864">
      <w:pPr>
        <w:pStyle w:val="Header"/>
        <w:rPr>
          <w:szCs w:val="22"/>
          <w:lang w:val="sr-Latn-ME"/>
        </w:rPr>
      </w:pPr>
    </w:p>
    <w:p w14:paraId="00909287" w14:textId="77777777" w:rsidR="00847271" w:rsidRPr="009C0665" w:rsidRDefault="00847271" w:rsidP="004C7864">
      <w:pPr>
        <w:pStyle w:val="Header"/>
        <w:rPr>
          <w:szCs w:val="22"/>
          <w:u w:val="single"/>
          <w:lang w:val="sr-Latn-ME"/>
        </w:rPr>
      </w:pPr>
      <w:r w:rsidRPr="009C0665">
        <w:rPr>
          <w:szCs w:val="22"/>
          <w:u w:val="single"/>
          <w:lang w:val="sr-Latn-ME"/>
        </w:rPr>
        <w:t>Linearnost</w:t>
      </w:r>
    </w:p>
    <w:p w14:paraId="4551F23A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73C662DA" w14:textId="036A8C4F" w:rsidR="00847271" w:rsidRPr="009C0665" w:rsidRDefault="0084727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Vedolizumab je pokazao linearnu farmakokinetiku pri serumskim koncentracijama većim od 1</w:t>
      </w:r>
      <w:r w:rsidR="001C51A1" w:rsidRPr="009C0665">
        <w:rPr>
          <w:szCs w:val="22"/>
          <w:lang w:val="sr-Latn-ME"/>
        </w:rPr>
        <w:t> </w:t>
      </w:r>
      <w:r w:rsidRPr="009C0665">
        <w:rPr>
          <w:szCs w:val="22"/>
          <w:lang w:val="sr-Latn-ME"/>
        </w:rPr>
        <w:t>mikrograma/m</w:t>
      </w:r>
      <w:r w:rsidR="004F038C" w:rsidRPr="009C0665">
        <w:rPr>
          <w:szCs w:val="22"/>
          <w:lang w:val="sr-Latn-ME"/>
        </w:rPr>
        <w:t>l</w:t>
      </w:r>
      <w:r w:rsidRPr="009C0665">
        <w:rPr>
          <w:szCs w:val="22"/>
          <w:lang w:val="sr-Latn-ME"/>
        </w:rPr>
        <w:t>.</w:t>
      </w:r>
    </w:p>
    <w:p w14:paraId="1CCB2AF3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 </w:t>
      </w:r>
    </w:p>
    <w:p w14:paraId="393B7987" w14:textId="77777777" w:rsidR="00847271" w:rsidRPr="009C0665" w:rsidRDefault="00847271" w:rsidP="004C7864">
      <w:pPr>
        <w:pStyle w:val="Header"/>
        <w:rPr>
          <w:szCs w:val="22"/>
          <w:u w:val="single"/>
          <w:lang w:val="sr-Latn-ME"/>
        </w:rPr>
      </w:pPr>
      <w:r w:rsidRPr="009C0665">
        <w:rPr>
          <w:szCs w:val="22"/>
          <w:u w:val="single"/>
          <w:lang w:val="sr-Latn-ME"/>
        </w:rPr>
        <w:t>Posebne grupe pacijenata</w:t>
      </w:r>
    </w:p>
    <w:p w14:paraId="39B2144C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7FC182CB" w14:textId="7317D4BF" w:rsidR="00CE09F3" w:rsidRPr="009C0665" w:rsidRDefault="00847271" w:rsidP="004C7864">
      <w:pPr>
        <w:rPr>
          <w:szCs w:val="22"/>
          <w:lang w:val="sr-Latn-ME"/>
        </w:rPr>
      </w:pPr>
      <w:r w:rsidRPr="009C0665">
        <w:rPr>
          <w:szCs w:val="22"/>
          <w:lang w:val="sr-Latn-ME"/>
        </w:rPr>
        <w:t>Starosn</w:t>
      </w:r>
      <w:r w:rsidR="005475BE" w:rsidRPr="009C0665">
        <w:rPr>
          <w:szCs w:val="22"/>
          <w:lang w:val="sr-Latn-ME"/>
        </w:rPr>
        <w:t>a</w:t>
      </w:r>
      <w:r w:rsidRPr="009C0665">
        <w:rPr>
          <w:szCs w:val="22"/>
          <w:lang w:val="sr-Latn-ME"/>
        </w:rPr>
        <w:t xml:space="preserve"> dob ne utiče na klirens vedolizumaba kod pacijenata sa ulceroznim kolitisom i </w:t>
      </w:r>
      <w:r w:rsidR="00AB003D" w:rsidRPr="009C0665">
        <w:rPr>
          <w:szCs w:val="22"/>
          <w:lang w:val="sr-Latn-ME"/>
        </w:rPr>
        <w:t>Crohnovom</w:t>
      </w:r>
      <w:r w:rsidRPr="009C0665">
        <w:rPr>
          <w:szCs w:val="22"/>
          <w:lang w:val="sr-Latn-ME"/>
        </w:rPr>
        <w:t xml:space="preserve"> bolešću na osnovu populacione farmakokinetičke analize.</w:t>
      </w:r>
      <w:r w:rsidR="00252879" w:rsidRPr="009C0665">
        <w:rPr>
          <w:szCs w:val="22"/>
          <w:lang w:val="sr-Latn-ME"/>
        </w:rPr>
        <w:t xml:space="preserve"> Nije za očekivati da starosna dob pacijenata sa paučitisom utiče na klirens vedolizumaba. </w:t>
      </w:r>
      <w:r w:rsidRPr="009C0665">
        <w:rPr>
          <w:szCs w:val="22"/>
          <w:lang w:val="sr-Latn-ME"/>
        </w:rPr>
        <w:t>Ni</w:t>
      </w:r>
      <w:r w:rsidR="005475BE" w:rsidRPr="009C0665">
        <w:rPr>
          <w:szCs w:val="22"/>
          <w:lang w:val="sr-Latn-ME"/>
        </w:rPr>
        <w:t>je</w:t>
      </w:r>
      <w:r w:rsidRPr="009C0665">
        <w:rPr>
          <w:szCs w:val="22"/>
          <w:lang w:val="sr-Latn-ME"/>
        </w:rPr>
        <w:t xml:space="preserve">su sprovedena formalna ispitivanja </w:t>
      </w:r>
      <w:r w:rsidR="001C51A1" w:rsidRPr="009C0665">
        <w:rPr>
          <w:szCs w:val="22"/>
          <w:lang w:val="sr-Latn-ME"/>
        </w:rPr>
        <w:t xml:space="preserve">za </w:t>
      </w:r>
      <w:r w:rsidRPr="009C0665">
        <w:rPr>
          <w:szCs w:val="22"/>
          <w:lang w:val="sr-Latn-ME"/>
        </w:rPr>
        <w:t>proc</w:t>
      </w:r>
      <w:r w:rsidR="005475BE" w:rsidRPr="009C0665">
        <w:rPr>
          <w:szCs w:val="22"/>
          <w:lang w:val="sr-Latn-ME"/>
        </w:rPr>
        <w:t>j</w:t>
      </w:r>
      <w:r w:rsidRPr="009C0665">
        <w:rPr>
          <w:szCs w:val="22"/>
          <w:lang w:val="sr-Latn-ME"/>
        </w:rPr>
        <w:t>en</w:t>
      </w:r>
      <w:r w:rsidR="001C51A1" w:rsidRPr="009C0665">
        <w:rPr>
          <w:szCs w:val="22"/>
          <w:lang w:val="sr-Latn-ME"/>
        </w:rPr>
        <w:t>u</w:t>
      </w:r>
      <w:r w:rsidRPr="009C0665">
        <w:rPr>
          <w:szCs w:val="22"/>
          <w:lang w:val="sr-Latn-ME"/>
        </w:rPr>
        <w:t xml:space="preserve"> uticaja oštećenja </w:t>
      </w:r>
      <w:r w:rsidR="001C51A1" w:rsidRPr="009C0665">
        <w:rPr>
          <w:szCs w:val="22"/>
          <w:lang w:val="sr-Latn-ME"/>
        </w:rPr>
        <w:t xml:space="preserve">funkcije </w:t>
      </w:r>
      <w:r w:rsidRPr="009C0665">
        <w:rPr>
          <w:szCs w:val="22"/>
          <w:lang w:val="sr-Latn-ME"/>
        </w:rPr>
        <w:t>bubrega ili jetre na farmakokinetiku vedolizumaba.</w:t>
      </w:r>
    </w:p>
    <w:p w14:paraId="3DC3A81F" w14:textId="07ED1CB8" w:rsidR="00847271" w:rsidRDefault="00847271" w:rsidP="004C7864">
      <w:pPr>
        <w:rPr>
          <w:szCs w:val="22"/>
          <w:lang w:val="sr-Latn-ME"/>
        </w:rPr>
      </w:pPr>
    </w:p>
    <w:p w14:paraId="2E73638F" w14:textId="3B37C733" w:rsidR="009C0665" w:rsidRDefault="009C0665" w:rsidP="004C7864">
      <w:pPr>
        <w:rPr>
          <w:szCs w:val="22"/>
          <w:lang w:val="sr-Latn-ME"/>
        </w:rPr>
      </w:pPr>
    </w:p>
    <w:p w14:paraId="65E1BB6D" w14:textId="750E0DB0" w:rsidR="009C0665" w:rsidRDefault="009C0665" w:rsidP="004C7864">
      <w:pPr>
        <w:rPr>
          <w:szCs w:val="22"/>
          <w:lang w:val="sr-Latn-ME"/>
        </w:rPr>
      </w:pPr>
    </w:p>
    <w:p w14:paraId="372FFC98" w14:textId="75FC60FC" w:rsidR="009C0665" w:rsidRDefault="009C0665" w:rsidP="004C7864">
      <w:pPr>
        <w:rPr>
          <w:szCs w:val="22"/>
          <w:lang w:val="sr-Latn-ME"/>
        </w:rPr>
      </w:pPr>
    </w:p>
    <w:p w14:paraId="6E21888C" w14:textId="77777777" w:rsidR="009C0665" w:rsidRPr="009C0665" w:rsidRDefault="009C0665" w:rsidP="004C7864">
      <w:pPr>
        <w:rPr>
          <w:szCs w:val="22"/>
          <w:lang w:val="sr-Latn-ME"/>
        </w:rPr>
      </w:pPr>
    </w:p>
    <w:p w14:paraId="16158934" w14:textId="004D9A5E" w:rsidR="00CE09F3" w:rsidRPr="009C0665" w:rsidRDefault="00CE09F3" w:rsidP="004C7864">
      <w:pPr>
        <w:rPr>
          <w:b/>
          <w:bCs/>
          <w:szCs w:val="22"/>
          <w:lang w:val="sr-Latn-ME"/>
        </w:rPr>
      </w:pPr>
      <w:r w:rsidRPr="009C0665">
        <w:rPr>
          <w:b/>
          <w:bCs/>
          <w:szCs w:val="22"/>
          <w:lang w:val="sr-Latn-ME"/>
        </w:rPr>
        <w:t>5.3. Pretklinički podaci o bezb</w:t>
      </w:r>
      <w:r w:rsidR="00897387" w:rsidRPr="009C0665">
        <w:rPr>
          <w:b/>
          <w:bCs/>
          <w:szCs w:val="22"/>
          <w:lang w:val="sr-Latn-ME"/>
        </w:rPr>
        <w:t>j</w:t>
      </w:r>
      <w:r w:rsidRPr="009C0665">
        <w:rPr>
          <w:b/>
          <w:bCs/>
          <w:szCs w:val="22"/>
          <w:lang w:val="sr-Latn-ME"/>
        </w:rPr>
        <w:t>ednosti</w:t>
      </w:r>
    </w:p>
    <w:p w14:paraId="533D3E7F" w14:textId="77777777" w:rsidR="00810581" w:rsidRPr="009C0665" w:rsidRDefault="00810581" w:rsidP="004C7864">
      <w:pPr>
        <w:pStyle w:val="Header"/>
        <w:rPr>
          <w:szCs w:val="22"/>
          <w:lang w:val="sr-Latn-ME"/>
        </w:rPr>
      </w:pPr>
    </w:p>
    <w:p w14:paraId="6F936739" w14:textId="7449925A" w:rsidR="00847271" w:rsidRPr="009C0665" w:rsidRDefault="0081058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Pretklinički podaci ne ukazuju na poseban rizik za ljude na osnovu konvencionalnih ispitivanja bezb</w:t>
      </w:r>
      <w:r w:rsidR="005475BE" w:rsidRPr="009C0665">
        <w:rPr>
          <w:szCs w:val="22"/>
          <w:lang w:val="sr-Latn-ME"/>
        </w:rPr>
        <w:t>j</w:t>
      </w:r>
      <w:r w:rsidRPr="009C0665">
        <w:rPr>
          <w:szCs w:val="22"/>
          <w:lang w:val="sr-Latn-ME"/>
        </w:rPr>
        <w:t>ednosne farmakologije, toksičnosti ponovljenih doza, genotoksičnosti, ka</w:t>
      </w:r>
      <w:r w:rsidR="005475BE" w:rsidRPr="009C0665">
        <w:rPr>
          <w:szCs w:val="22"/>
          <w:lang w:val="sr-Latn-ME"/>
        </w:rPr>
        <w:t>ncerogenosti</w:t>
      </w:r>
      <w:r w:rsidRPr="009C0665">
        <w:rPr>
          <w:szCs w:val="22"/>
          <w:lang w:val="sr-Latn-ME"/>
        </w:rPr>
        <w:t>, reproduktivne i razvojne toksičnosti.</w:t>
      </w:r>
    </w:p>
    <w:p w14:paraId="04EBF4CA" w14:textId="77777777" w:rsidR="00810581" w:rsidRPr="009C0665" w:rsidRDefault="00810581" w:rsidP="004C7864">
      <w:pPr>
        <w:pStyle w:val="Header"/>
        <w:rPr>
          <w:szCs w:val="22"/>
          <w:lang w:val="sr-Latn-ME"/>
        </w:rPr>
      </w:pPr>
    </w:p>
    <w:p w14:paraId="6B1A9F41" w14:textId="600543CB" w:rsidR="00847271" w:rsidRPr="009C0665" w:rsidRDefault="0081058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Dugotrajna </w:t>
      </w:r>
      <w:r w:rsidR="00847271" w:rsidRPr="009C0665">
        <w:rPr>
          <w:szCs w:val="22"/>
          <w:lang w:val="sr-Latn-ME"/>
        </w:rPr>
        <w:t xml:space="preserve">ispitivanja </w:t>
      </w:r>
      <w:r w:rsidRPr="009C0665">
        <w:rPr>
          <w:szCs w:val="22"/>
          <w:lang w:val="sr-Latn-ME"/>
        </w:rPr>
        <w:t xml:space="preserve">na životinjama sa vedolizumabom </w:t>
      </w:r>
      <w:r w:rsidR="00847271" w:rsidRPr="009C0665">
        <w:rPr>
          <w:szCs w:val="22"/>
          <w:lang w:val="sr-Latn-ME"/>
        </w:rPr>
        <w:t>za proc</w:t>
      </w:r>
      <w:r w:rsidR="00D53203" w:rsidRPr="009C0665">
        <w:rPr>
          <w:szCs w:val="22"/>
          <w:lang w:val="sr-Latn-ME"/>
        </w:rPr>
        <w:t>j</w:t>
      </w:r>
      <w:r w:rsidR="00847271" w:rsidRPr="009C0665">
        <w:rPr>
          <w:szCs w:val="22"/>
          <w:lang w:val="sr-Latn-ME"/>
        </w:rPr>
        <w:t>enu njegovog ka</w:t>
      </w:r>
      <w:r w:rsidR="001C51A1" w:rsidRPr="009C0665">
        <w:rPr>
          <w:szCs w:val="22"/>
          <w:lang w:val="sr-Latn-ME"/>
        </w:rPr>
        <w:t>rcino</w:t>
      </w:r>
      <w:r w:rsidR="00847271" w:rsidRPr="009C0665">
        <w:rPr>
          <w:szCs w:val="22"/>
          <w:lang w:val="sr-Latn-ME"/>
        </w:rPr>
        <w:t>genog potencijala ni</w:t>
      </w:r>
      <w:r w:rsidR="00D53203" w:rsidRPr="009C0665">
        <w:rPr>
          <w:szCs w:val="22"/>
          <w:lang w:val="sr-Latn-ME"/>
        </w:rPr>
        <w:t>je</w:t>
      </w:r>
      <w:r w:rsidR="00847271" w:rsidRPr="009C0665">
        <w:rPr>
          <w:szCs w:val="22"/>
          <w:lang w:val="sr-Latn-ME"/>
        </w:rPr>
        <w:t>su sprovedena jer farmakološki modeli odgovora na monoklonska antit</w:t>
      </w:r>
      <w:r w:rsidR="00D53203" w:rsidRPr="009C0665">
        <w:rPr>
          <w:szCs w:val="22"/>
          <w:lang w:val="sr-Latn-ME"/>
        </w:rPr>
        <w:t>ij</w:t>
      </w:r>
      <w:r w:rsidR="00847271" w:rsidRPr="009C0665">
        <w:rPr>
          <w:szCs w:val="22"/>
          <w:lang w:val="sr-Latn-ME"/>
        </w:rPr>
        <w:t>ela ne postoje. Kod vrsta koje su farmako</w:t>
      </w:r>
      <w:r w:rsidR="00E418B8" w:rsidRPr="009C0665">
        <w:rPr>
          <w:szCs w:val="22"/>
          <w:lang w:val="sr-Latn-ME"/>
        </w:rPr>
        <w:t>loški</w:t>
      </w:r>
      <w:r w:rsidR="00847271" w:rsidRPr="009C0665">
        <w:rPr>
          <w:szCs w:val="22"/>
          <w:lang w:val="sr-Latn-ME"/>
        </w:rPr>
        <w:t xml:space="preserve"> reagovale na </w:t>
      </w:r>
      <w:r w:rsidR="00D26459" w:rsidRPr="009C0665">
        <w:rPr>
          <w:szCs w:val="22"/>
          <w:lang w:val="sr-Latn-ME"/>
        </w:rPr>
        <w:t>liječenje</w:t>
      </w:r>
      <w:r w:rsidR="00847271" w:rsidRPr="009C0665">
        <w:rPr>
          <w:szCs w:val="22"/>
          <w:lang w:val="sr-Latn-ME"/>
        </w:rPr>
        <w:t xml:space="preserve"> (majmuni roda cynomolgus (makaki majmuni)) nije bilo dokaza ćelijske hiperplazije ili sistemske imunomodulacije koja bi mogla biti povezana sa onkogenezom u 13- i 26- </w:t>
      </w:r>
      <w:r w:rsidR="00A63489" w:rsidRPr="009C0665">
        <w:rPr>
          <w:szCs w:val="22"/>
          <w:lang w:val="sr-Latn-ME"/>
        </w:rPr>
        <w:t>nedjeljnim</w:t>
      </w:r>
      <w:r w:rsidR="00847271" w:rsidRPr="009C0665">
        <w:rPr>
          <w:szCs w:val="22"/>
          <w:lang w:val="sr-Latn-ME"/>
        </w:rPr>
        <w:t xml:space="preserve"> toksikološkim ispitivanjima. Takođe, ni</w:t>
      </w:r>
      <w:r w:rsidR="00D53203" w:rsidRPr="009C0665">
        <w:rPr>
          <w:szCs w:val="22"/>
          <w:lang w:val="sr-Latn-ME"/>
        </w:rPr>
        <w:t>je</w:t>
      </w:r>
      <w:r w:rsidR="00847271" w:rsidRPr="009C0665">
        <w:rPr>
          <w:szCs w:val="22"/>
          <w:lang w:val="sr-Latn-ME"/>
        </w:rPr>
        <w:t xml:space="preserve">su otkriveni efekti vedolizumaba na brzinu proliferacije ili citotoksičnost ćelijskih linija humanih tumora koje eksprimiraju integrin </w:t>
      </w:r>
      <w:r w:rsidR="00E418B8" w:rsidRPr="009C0665">
        <w:rPr>
          <w:szCs w:val="22"/>
          <w:lang w:val="sr-Latn-ME"/>
        </w:rPr>
        <w:t>alfa</w:t>
      </w:r>
      <w:r w:rsidR="00847271" w:rsidRPr="009C0665">
        <w:rPr>
          <w:szCs w:val="22"/>
          <w:vertAlign w:val="subscript"/>
          <w:lang w:val="sr-Latn-ME"/>
        </w:rPr>
        <w:t>4</w:t>
      </w:r>
      <w:r w:rsidR="00E418B8" w:rsidRPr="009C0665">
        <w:rPr>
          <w:szCs w:val="22"/>
          <w:lang w:val="sr-Latn-ME"/>
        </w:rPr>
        <w:t>beta</w:t>
      </w:r>
      <w:r w:rsidR="00847271" w:rsidRPr="009C0665">
        <w:rPr>
          <w:szCs w:val="22"/>
          <w:vertAlign w:val="subscript"/>
          <w:lang w:val="sr-Latn-ME"/>
        </w:rPr>
        <w:t>7</w:t>
      </w:r>
      <w:r w:rsidR="00847271" w:rsidRPr="009C0665">
        <w:rPr>
          <w:szCs w:val="22"/>
          <w:lang w:val="sr-Latn-ME"/>
        </w:rPr>
        <w:t xml:space="preserve"> </w:t>
      </w:r>
      <w:r w:rsidR="00802570" w:rsidRPr="009C0665">
        <w:rPr>
          <w:i/>
          <w:szCs w:val="22"/>
          <w:lang w:val="sr-Latn-ME"/>
        </w:rPr>
        <w:t>in vitro</w:t>
      </w:r>
      <w:r w:rsidR="00847271" w:rsidRPr="009C0665">
        <w:rPr>
          <w:szCs w:val="22"/>
          <w:lang w:val="sr-Latn-ME"/>
        </w:rPr>
        <w:t>.</w:t>
      </w:r>
    </w:p>
    <w:p w14:paraId="775C7174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30795E43" w14:textId="2C15BF87" w:rsidR="00847271" w:rsidRPr="009C0665" w:rsidRDefault="0084727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Ni</w:t>
      </w:r>
      <w:r w:rsidR="00D53203" w:rsidRPr="009C0665">
        <w:rPr>
          <w:szCs w:val="22"/>
          <w:lang w:val="sr-Latn-ME"/>
        </w:rPr>
        <w:t>je</w:t>
      </w:r>
      <w:r w:rsidRPr="009C0665">
        <w:rPr>
          <w:szCs w:val="22"/>
          <w:lang w:val="sr-Latn-ME"/>
        </w:rPr>
        <w:t xml:space="preserve">su sprovedena ispitivanja plodnosti </w:t>
      </w:r>
      <w:r w:rsidR="00810581" w:rsidRPr="009C0665">
        <w:rPr>
          <w:szCs w:val="22"/>
          <w:lang w:val="sr-Latn-ME"/>
        </w:rPr>
        <w:t xml:space="preserve">kod životinja </w:t>
      </w:r>
      <w:r w:rsidRPr="009C0665">
        <w:rPr>
          <w:szCs w:val="22"/>
          <w:lang w:val="sr-Latn-ME"/>
        </w:rPr>
        <w:t>sa vedolizumabom. Konačan zaključak o uticaju na reproduktivne organe mužjaka kod ispitivanja toksičnosti ponovljene doze na makaki majmunima se ne može don</w:t>
      </w:r>
      <w:r w:rsidR="00D53203" w:rsidRPr="009C0665">
        <w:rPr>
          <w:szCs w:val="22"/>
          <w:lang w:val="sr-Latn-ME"/>
        </w:rPr>
        <w:t>ij</w:t>
      </w:r>
      <w:r w:rsidRPr="009C0665">
        <w:rPr>
          <w:szCs w:val="22"/>
          <w:lang w:val="sr-Latn-ME"/>
        </w:rPr>
        <w:t>eti</w:t>
      </w:r>
      <w:r w:rsidR="00B1676E" w:rsidRPr="009C0665">
        <w:rPr>
          <w:szCs w:val="22"/>
          <w:lang w:val="sr-Latn-ME"/>
        </w:rPr>
        <w:t>.</w:t>
      </w:r>
      <w:r w:rsidRPr="009C0665">
        <w:rPr>
          <w:szCs w:val="22"/>
          <w:lang w:val="sr-Latn-ME"/>
        </w:rPr>
        <w:t xml:space="preserve"> </w:t>
      </w:r>
      <w:r w:rsidR="00810581" w:rsidRPr="009C0665">
        <w:rPr>
          <w:szCs w:val="22"/>
          <w:lang w:val="sr-Latn-ME"/>
        </w:rPr>
        <w:t>S o</w:t>
      </w:r>
      <w:r w:rsidR="00B1676E" w:rsidRPr="009C0665">
        <w:rPr>
          <w:szCs w:val="22"/>
          <w:lang w:val="sr-Latn-ME"/>
        </w:rPr>
        <w:t xml:space="preserve">bzirom </w:t>
      </w:r>
      <w:r w:rsidRPr="009C0665">
        <w:rPr>
          <w:szCs w:val="22"/>
          <w:lang w:val="sr-Latn-ME"/>
        </w:rPr>
        <w:t xml:space="preserve">na to da se vedolizumab ne vezuje za tkivo muških reproduktivnih organa kod majmuna i ljudi i obzirom na intaktnu plodnost uočenu kod mužjaka miševa sa deficitom </w:t>
      </w:r>
      <w:r w:rsidR="00E418B8" w:rsidRPr="009C0665">
        <w:rPr>
          <w:szCs w:val="22"/>
          <w:lang w:val="sr-Latn-ME"/>
        </w:rPr>
        <w:t>beta</w:t>
      </w:r>
      <w:r w:rsidRPr="009C0665">
        <w:rPr>
          <w:szCs w:val="22"/>
          <w:lang w:val="sr-Latn-ME"/>
        </w:rPr>
        <w:t>7 integrina, uticaj vedolizumaba na plodnost muškaraca se ne očekuje.</w:t>
      </w:r>
    </w:p>
    <w:p w14:paraId="3B21F234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205581C5" w14:textId="45808759" w:rsidR="00847271" w:rsidRPr="009C0665" w:rsidRDefault="00054848" w:rsidP="004C7864">
      <w:pPr>
        <w:pStyle w:val="Header"/>
        <w:tabs>
          <w:tab w:val="left" w:pos="284"/>
        </w:tabs>
        <w:rPr>
          <w:szCs w:val="22"/>
          <w:lang w:val="sr-Latn-ME"/>
        </w:rPr>
      </w:pPr>
      <w:r w:rsidRPr="009C0665">
        <w:rPr>
          <w:szCs w:val="22"/>
          <w:lang w:val="sr-Latn-ME"/>
        </w:rPr>
        <w:t>Primjena</w:t>
      </w:r>
      <w:r w:rsidR="00847271" w:rsidRPr="009C0665">
        <w:rPr>
          <w:szCs w:val="22"/>
          <w:lang w:val="sr-Latn-ME"/>
        </w:rPr>
        <w:t xml:space="preserve"> vedolizumaba kod gravidnih makaki majmuna tokom dužeg </w:t>
      </w:r>
      <w:r w:rsidR="00E418B8" w:rsidRPr="009C0665">
        <w:rPr>
          <w:szCs w:val="22"/>
          <w:lang w:val="sr-Latn-ME"/>
        </w:rPr>
        <w:t xml:space="preserve">perioda </w:t>
      </w:r>
      <w:r w:rsidR="00847271" w:rsidRPr="009C0665">
        <w:rPr>
          <w:szCs w:val="22"/>
          <w:lang w:val="sr-Latn-ME"/>
        </w:rPr>
        <w:t>gestacije nije dokazala teratogeni uticaj, ni uticaj na prenatalni ili postnatalni razvoj kod mladunčadi starosti do 6 m</w:t>
      </w:r>
      <w:r w:rsidR="00D53203" w:rsidRPr="009C0665">
        <w:rPr>
          <w:szCs w:val="22"/>
          <w:lang w:val="sr-Latn-ME"/>
        </w:rPr>
        <w:t>j</w:t>
      </w:r>
      <w:r w:rsidR="00847271" w:rsidRPr="009C0665">
        <w:rPr>
          <w:szCs w:val="22"/>
          <w:lang w:val="sr-Latn-ME"/>
        </w:rPr>
        <w:t>eseci. Niske koncentracije (&lt;300 mikrograma/</w:t>
      </w:r>
      <w:r w:rsidR="00D53203" w:rsidRPr="009C0665">
        <w:rPr>
          <w:szCs w:val="22"/>
          <w:lang w:val="sr-Latn-ME"/>
        </w:rPr>
        <w:t>l</w:t>
      </w:r>
      <w:r w:rsidR="00847271" w:rsidRPr="009C0665">
        <w:rPr>
          <w:szCs w:val="22"/>
          <w:lang w:val="sr-Latn-ME"/>
        </w:rPr>
        <w:t>) vedolizumaba uočene su 28. dana nakon okota u m</w:t>
      </w:r>
      <w:r w:rsidR="00D26459" w:rsidRPr="009C0665">
        <w:rPr>
          <w:szCs w:val="22"/>
          <w:lang w:val="sr-Latn-ME"/>
        </w:rPr>
        <w:t>lijek</w:t>
      </w:r>
      <w:r w:rsidR="00847271" w:rsidRPr="009C0665">
        <w:rPr>
          <w:szCs w:val="22"/>
          <w:lang w:val="sr-Latn-ME"/>
        </w:rPr>
        <w:t xml:space="preserve">u 3 od 11 ženki makaki majmuna koje su svake </w:t>
      </w:r>
      <w:r w:rsidR="00E418B8" w:rsidRPr="009C0665">
        <w:rPr>
          <w:szCs w:val="22"/>
          <w:lang w:val="sr-Latn-ME"/>
        </w:rPr>
        <w:t xml:space="preserve">2. </w:t>
      </w:r>
      <w:r w:rsidR="00166D72" w:rsidRPr="009C0665">
        <w:rPr>
          <w:szCs w:val="22"/>
          <w:lang w:val="sr-Latn-ME"/>
        </w:rPr>
        <w:t>nedjelje</w:t>
      </w:r>
      <w:r w:rsidR="00847271" w:rsidRPr="009C0665">
        <w:rPr>
          <w:szCs w:val="22"/>
          <w:lang w:val="sr-Latn-ME"/>
        </w:rPr>
        <w:t xml:space="preserve"> primale 100 mg/kg vedolizumaba, ali ne kod životinja koje su primale 10 mg/kg. </w:t>
      </w:r>
    </w:p>
    <w:p w14:paraId="74546588" w14:textId="7F0527FB" w:rsidR="007A4639" w:rsidRPr="009C0665" w:rsidRDefault="007A4639" w:rsidP="004C7864">
      <w:pPr>
        <w:pStyle w:val="Header"/>
        <w:tabs>
          <w:tab w:val="left" w:pos="284"/>
        </w:tabs>
        <w:rPr>
          <w:szCs w:val="22"/>
          <w:lang w:val="sr-Latn-ME"/>
        </w:rPr>
      </w:pPr>
    </w:p>
    <w:p w14:paraId="03DBC4F1" w14:textId="77777777" w:rsidR="00DB3145" w:rsidRPr="009C0665" w:rsidRDefault="00DB3145" w:rsidP="004C7864">
      <w:pPr>
        <w:pStyle w:val="Header"/>
        <w:tabs>
          <w:tab w:val="left" w:pos="284"/>
        </w:tabs>
        <w:rPr>
          <w:szCs w:val="22"/>
          <w:lang w:val="sr-Latn-ME"/>
        </w:rPr>
      </w:pPr>
    </w:p>
    <w:p w14:paraId="0B6023FB" w14:textId="77777777" w:rsidR="00CE09F3" w:rsidRPr="009C0665" w:rsidRDefault="00CE09F3" w:rsidP="004C7864">
      <w:pPr>
        <w:pStyle w:val="NASLOV123"/>
        <w:spacing w:before="0" w:after="0"/>
        <w:rPr>
          <w:lang w:val="sr-Latn-ME"/>
        </w:rPr>
      </w:pPr>
      <w:r w:rsidRPr="009C0665">
        <w:rPr>
          <w:lang w:val="sr-Latn-ME"/>
        </w:rPr>
        <w:t>6. FARMACEUTSKI PODACI</w:t>
      </w:r>
    </w:p>
    <w:p w14:paraId="57334778" w14:textId="77777777" w:rsidR="00DB3145" w:rsidRPr="009C0665" w:rsidRDefault="00DB3145" w:rsidP="004C7864">
      <w:pPr>
        <w:rPr>
          <w:b/>
          <w:bCs/>
          <w:szCs w:val="22"/>
          <w:lang w:val="sr-Latn-ME"/>
        </w:rPr>
      </w:pPr>
    </w:p>
    <w:p w14:paraId="02511D9E" w14:textId="5FCD0485" w:rsidR="00CE09F3" w:rsidRPr="009C0665" w:rsidRDefault="00CE09F3" w:rsidP="004C7864">
      <w:pPr>
        <w:rPr>
          <w:b/>
          <w:bCs/>
          <w:szCs w:val="22"/>
          <w:lang w:val="sr-Latn-ME"/>
        </w:rPr>
      </w:pPr>
      <w:r w:rsidRPr="009C0665">
        <w:rPr>
          <w:b/>
          <w:bCs/>
          <w:szCs w:val="22"/>
          <w:lang w:val="sr-Latn-ME"/>
        </w:rPr>
        <w:t>6.1. Lista pomoćnih supstanci</w:t>
      </w:r>
      <w:r w:rsidR="00897387" w:rsidRPr="009C0665">
        <w:rPr>
          <w:b/>
          <w:bCs/>
          <w:szCs w:val="22"/>
          <w:lang w:val="sr-Latn-ME"/>
        </w:rPr>
        <w:t xml:space="preserve"> (ekscipijenasa)</w:t>
      </w:r>
    </w:p>
    <w:p w14:paraId="7CE9EA2C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34C98788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L-histidin</w:t>
      </w:r>
    </w:p>
    <w:p w14:paraId="32614C64" w14:textId="7B1E3A05" w:rsidR="00847271" w:rsidRPr="009C0665" w:rsidRDefault="0084727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L-histidin</w:t>
      </w:r>
      <w:r w:rsidR="000B092D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hidrohlorid</w:t>
      </w:r>
    </w:p>
    <w:p w14:paraId="59BC65F4" w14:textId="3861F706" w:rsidR="00847271" w:rsidRPr="009C0665" w:rsidRDefault="000B092D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L-arginin </w:t>
      </w:r>
      <w:r w:rsidR="00847271" w:rsidRPr="009C0665">
        <w:rPr>
          <w:szCs w:val="22"/>
          <w:lang w:val="sr-Latn-ME"/>
        </w:rPr>
        <w:t>hidrohlorid</w:t>
      </w:r>
    </w:p>
    <w:p w14:paraId="2BA02260" w14:textId="77777777" w:rsidR="00847271" w:rsidRPr="009C0665" w:rsidRDefault="00E418B8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S</w:t>
      </w:r>
      <w:r w:rsidR="005D1DBF" w:rsidRPr="009C0665">
        <w:rPr>
          <w:szCs w:val="22"/>
          <w:lang w:val="sr-Latn-ME"/>
        </w:rPr>
        <w:t>aharoza</w:t>
      </w:r>
    </w:p>
    <w:p w14:paraId="39538375" w14:textId="77777777" w:rsidR="00847271" w:rsidRPr="009C0665" w:rsidRDefault="00E418B8" w:rsidP="004C7864">
      <w:pPr>
        <w:pStyle w:val="Header"/>
        <w:tabs>
          <w:tab w:val="left" w:pos="284"/>
        </w:tabs>
        <w:rPr>
          <w:szCs w:val="22"/>
          <w:lang w:val="sr-Latn-ME"/>
        </w:rPr>
      </w:pPr>
      <w:r w:rsidRPr="009C0665">
        <w:rPr>
          <w:szCs w:val="22"/>
          <w:lang w:val="sr-Latn-ME"/>
        </w:rPr>
        <w:t>P</w:t>
      </w:r>
      <w:r w:rsidR="00847271" w:rsidRPr="009C0665">
        <w:rPr>
          <w:szCs w:val="22"/>
          <w:lang w:val="sr-Latn-ME"/>
        </w:rPr>
        <w:t>olisorbat 80</w:t>
      </w:r>
    </w:p>
    <w:p w14:paraId="53E6FD63" w14:textId="77777777" w:rsidR="00CE09F3" w:rsidRPr="009C0665" w:rsidRDefault="00CE09F3" w:rsidP="004C7864">
      <w:pPr>
        <w:rPr>
          <w:szCs w:val="22"/>
          <w:lang w:val="sr-Latn-ME"/>
        </w:rPr>
      </w:pPr>
    </w:p>
    <w:p w14:paraId="5F93AFA8" w14:textId="3BA5EEBA" w:rsidR="00CE09F3" w:rsidRPr="009C0665" w:rsidRDefault="00CE09F3" w:rsidP="004C7864">
      <w:pPr>
        <w:rPr>
          <w:b/>
          <w:bCs/>
          <w:szCs w:val="22"/>
          <w:lang w:val="sr-Latn-ME"/>
        </w:rPr>
      </w:pPr>
      <w:r w:rsidRPr="009C0665">
        <w:rPr>
          <w:b/>
          <w:bCs/>
          <w:szCs w:val="22"/>
          <w:lang w:val="sr-Latn-ME"/>
        </w:rPr>
        <w:t>6.2. Inkompatibilnost</w:t>
      </w:r>
      <w:r w:rsidR="007A4639" w:rsidRPr="009C0665">
        <w:rPr>
          <w:b/>
          <w:bCs/>
          <w:szCs w:val="22"/>
          <w:lang w:val="sr-Latn-ME"/>
        </w:rPr>
        <w:t>i</w:t>
      </w:r>
    </w:p>
    <w:p w14:paraId="3FC6A110" w14:textId="77777777" w:rsidR="00847271" w:rsidRPr="009C0665" w:rsidRDefault="00847271" w:rsidP="004C7864">
      <w:pPr>
        <w:rPr>
          <w:szCs w:val="22"/>
          <w:lang w:val="sr-Latn-ME"/>
        </w:rPr>
      </w:pPr>
    </w:p>
    <w:p w14:paraId="421DC545" w14:textId="4558C415" w:rsidR="00CE09F3" w:rsidRPr="009C0665" w:rsidRDefault="00847271" w:rsidP="004C7864">
      <w:pPr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Zbog nedostatka ispitivanja kompatibilnosti, ovaj </w:t>
      </w:r>
      <w:r w:rsidR="00D26459" w:rsidRPr="009C0665">
        <w:rPr>
          <w:szCs w:val="22"/>
          <w:lang w:val="sr-Latn-ME"/>
        </w:rPr>
        <w:t>lijek</w:t>
      </w:r>
      <w:r w:rsidRPr="009C0665">
        <w:rPr>
          <w:szCs w:val="22"/>
          <w:lang w:val="sr-Latn-ME"/>
        </w:rPr>
        <w:t xml:space="preserve"> se ne sm</w:t>
      </w:r>
      <w:r w:rsidR="00A63489" w:rsidRPr="009C0665">
        <w:rPr>
          <w:szCs w:val="22"/>
          <w:lang w:val="sr-Latn-ME"/>
        </w:rPr>
        <w:t>ij</w:t>
      </w:r>
      <w:r w:rsidRPr="009C0665">
        <w:rPr>
          <w:szCs w:val="22"/>
          <w:lang w:val="sr-Latn-ME"/>
        </w:rPr>
        <w:t>e m</w:t>
      </w:r>
      <w:r w:rsidR="00A63489" w:rsidRPr="009C0665">
        <w:rPr>
          <w:szCs w:val="22"/>
          <w:lang w:val="sr-Latn-ME"/>
        </w:rPr>
        <w:t>ij</w:t>
      </w:r>
      <w:r w:rsidRPr="009C0665">
        <w:rPr>
          <w:szCs w:val="22"/>
          <w:lang w:val="sr-Latn-ME"/>
        </w:rPr>
        <w:t xml:space="preserve">ešati sa drugim </w:t>
      </w:r>
      <w:r w:rsidR="00A63489" w:rsidRPr="009C0665">
        <w:rPr>
          <w:szCs w:val="22"/>
          <w:lang w:val="sr-Latn-ME"/>
        </w:rPr>
        <w:t>ljekovima</w:t>
      </w:r>
      <w:r w:rsidRPr="009C0665">
        <w:rPr>
          <w:szCs w:val="22"/>
          <w:lang w:val="sr-Latn-ME"/>
        </w:rPr>
        <w:t>.</w:t>
      </w:r>
    </w:p>
    <w:p w14:paraId="0B25B579" w14:textId="77777777" w:rsidR="00CE09F3" w:rsidRPr="009C0665" w:rsidRDefault="00CE09F3" w:rsidP="004C7864">
      <w:pPr>
        <w:rPr>
          <w:szCs w:val="22"/>
          <w:lang w:val="sr-Latn-ME"/>
        </w:rPr>
      </w:pPr>
    </w:p>
    <w:p w14:paraId="40AF886C" w14:textId="77777777" w:rsidR="00CE09F3" w:rsidRPr="009C0665" w:rsidRDefault="00CE09F3" w:rsidP="004C7864">
      <w:pPr>
        <w:rPr>
          <w:b/>
          <w:bCs/>
          <w:szCs w:val="22"/>
          <w:lang w:val="sr-Latn-ME"/>
        </w:rPr>
      </w:pPr>
      <w:r w:rsidRPr="009C0665">
        <w:rPr>
          <w:b/>
          <w:bCs/>
          <w:szCs w:val="22"/>
          <w:lang w:val="sr-Latn-ME"/>
        </w:rPr>
        <w:t>6.3. Rok upotrebe</w:t>
      </w:r>
    </w:p>
    <w:p w14:paraId="29116A2F" w14:textId="77777777" w:rsidR="00BB29CB" w:rsidRPr="009C0665" w:rsidRDefault="00BB29CB" w:rsidP="004C7864">
      <w:pPr>
        <w:pStyle w:val="Header"/>
        <w:rPr>
          <w:szCs w:val="22"/>
          <w:lang w:val="sr-Latn-ME"/>
        </w:rPr>
      </w:pPr>
    </w:p>
    <w:p w14:paraId="507CE3A8" w14:textId="77777777" w:rsidR="00BC444F" w:rsidRPr="009C0665" w:rsidRDefault="00BC444F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Rok upotrebe prije prvog otvaranja:</w:t>
      </w:r>
    </w:p>
    <w:p w14:paraId="0FE04DDB" w14:textId="1ECE28F2" w:rsidR="00847271" w:rsidRPr="009C0665" w:rsidRDefault="0084727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>3 godine</w:t>
      </w:r>
      <w:r w:rsidR="00BC444F" w:rsidRPr="009C0665">
        <w:rPr>
          <w:szCs w:val="22"/>
          <w:lang w:val="sr-Latn-ME"/>
        </w:rPr>
        <w:t>.</w:t>
      </w:r>
    </w:p>
    <w:p w14:paraId="2B177651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3E22DE43" w14:textId="77777777" w:rsidR="00566EE8" w:rsidRPr="009C0665" w:rsidRDefault="00566EE8" w:rsidP="004C7864">
      <w:pPr>
        <w:pStyle w:val="Header"/>
        <w:tabs>
          <w:tab w:val="left" w:pos="284"/>
        </w:tabs>
        <w:rPr>
          <w:szCs w:val="22"/>
          <w:lang w:val="sr-Latn-ME"/>
        </w:rPr>
      </w:pPr>
      <w:r w:rsidRPr="009C0665">
        <w:rPr>
          <w:szCs w:val="22"/>
          <w:lang w:val="sr-Latn-ME"/>
        </w:rPr>
        <w:t>Rok upotrebe nakon rekonstitucije i razblaživanja:</w:t>
      </w:r>
    </w:p>
    <w:p w14:paraId="5AB58C33" w14:textId="595F3DAB" w:rsidR="00566EE8" w:rsidRPr="009C0665" w:rsidRDefault="00C41419" w:rsidP="004C7864">
      <w:pPr>
        <w:pStyle w:val="Header"/>
        <w:tabs>
          <w:tab w:val="left" w:pos="284"/>
        </w:tabs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Stabilnost rekonstituisanog rastvora </w:t>
      </w:r>
      <w:r w:rsidR="00C743B1" w:rsidRPr="009C0665">
        <w:rPr>
          <w:szCs w:val="22"/>
          <w:lang w:val="sr-Latn-ME"/>
        </w:rPr>
        <w:t xml:space="preserve">tokom </w:t>
      </w:r>
      <w:r w:rsidR="00566EE8" w:rsidRPr="009C0665">
        <w:rPr>
          <w:szCs w:val="22"/>
          <w:lang w:val="sr-Latn-ME"/>
        </w:rPr>
        <w:t>upotreb</w:t>
      </w:r>
      <w:r w:rsidR="00C743B1" w:rsidRPr="009C0665">
        <w:rPr>
          <w:szCs w:val="22"/>
          <w:lang w:val="sr-Latn-ME"/>
        </w:rPr>
        <w:t>e</w:t>
      </w:r>
      <w:r w:rsidR="00566EE8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 xml:space="preserve">u bočici dokazana je tokom 8 sati </w:t>
      </w:r>
      <w:r w:rsidR="00566EE8" w:rsidRPr="009C0665">
        <w:rPr>
          <w:szCs w:val="22"/>
          <w:lang w:val="sr-Latn-ME"/>
        </w:rPr>
        <w:t>na temperaturi</w:t>
      </w:r>
      <w:r w:rsidRPr="009C0665">
        <w:rPr>
          <w:szCs w:val="22"/>
          <w:lang w:val="sr-Latn-ME"/>
        </w:rPr>
        <w:t xml:space="preserve"> </w:t>
      </w:r>
      <w:r w:rsidR="00C76D4A" w:rsidRPr="009C0665">
        <w:rPr>
          <w:szCs w:val="22"/>
          <w:lang w:val="sr-Latn-ME"/>
        </w:rPr>
        <w:t xml:space="preserve">od </w:t>
      </w:r>
      <w:r w:rsidRPr="009C0665">
        <w:rPr>
          <w:szCs w:val="22"/>
          <w:lang w:val="sr-Latn-ME"/>
        </w:rPr>
        <w:t>2°C</w:t>
      </w:r>
      <w:r w:rsidR="00566EE8" w:rsidRPr="009C0665">
        <w:rPr>
          <w:szCs w:val="22"/>
          <w:lang w:val="sr-Latn-ME"/>
        </w:rPr>
        <w:t xml:space="preserve"> </w:t>
      </w:r>
      <w:r w:rsidR="00C76D4A" w:rsidRPr="009C0665">
        <w:rPr>
          <w:szCs w:val="22"/>
          <w:lang w:val="sr-Latn-ME"/>
        </w:rPr>
        <w:t>do</w:t>
      </w:r>
      <w:r w:rsidR="00566EE8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 xml:space="preserve">8°C. Stabilnost </w:t>
      </w:r>
      <w:r w:rsidR="00A91538" w:rsidRPr="009C0665">
        <w:rPr>
          <w:szCs w:val="22"/>
          <w:lang w:val="sr-Latn-ME"/>
        </w:rPr>
        <w:t xml:space="preserve">razblaženog </w:t>
      </w:r>
      <w:r w:rsidRPr="009C0665">
        <w:rPr>
          <w:szCs w:val="22"/>
          <w:lang w:val="sr-Latn-ME"/>
        </w:rPr>
        <w:t>rastvora u 0,9%</w:t>
      </w:r>
      <w:r w:rsidR="00A91538" w:rsidRPr="009C0665">
        <w:rPr>
          <w:szCs w:val="22"/>
          <w:lang w:val="sr-Latn-ME"/>
        </w:rPr>
        <w:t xml:space="preserve"> sterilnom izotoničnom</w:t>
      </w:r>
      <w:r w:rsidRPr="009C0665">
        <w:rPr>
          <w:szCs w:val="22"/>
          <w:lang w:val="sr-Latn-ME"/>
        </w:rPr>
        <w:t xml:space="preserve"> rastvoru natrijum hlorida</w:t>
      </w:r>
      <w:r w:rsidR="00A91538" w:rsidRPr="009C0665">
        <w:rPr>
          <w:szCs w:val="22"/>
          <w:lang w:val="sr-Latn-ME"/>
        </w:rPr>
        <w:t xml:space="preserve"> (9</w:t>
      </w:r>
      <w:r w:rsidR="00566EE8" w:rsidRPr="009C0665">
        <w:rPr>
          <w:szCs w:val="22"/>
          <w:lang w:val="sr-Latn-ME"/>
        </w:rPr>
        <w:t> </w:t>
      </w:r>
      <w:r w:rsidR="00A91538" w:rsidRPr="009C0665">
        <w:rPr>
          <w:szCs w:val="22"/>
          <w:lang w:val="sr-Latn-ME"/>
        </w:rPr>
        <w:t>mg/m</w:t>
      </w:r>
      <w:r w:rsidR="00C743B1" w:rsidRPr="009C0665">
        <w:rPr>
          <w:szCs w:val="22"/>
          <w:lang w:val="sr-Latn-ME"/>
        </w:rPr>
        <w:t>l</w:t>
      </w:r>
      <w:r w:rsidR="00A91538" w:rsidRPr="009C0665">
        <w:rPr>
          <w:szCs w:val="22"/>
          <w:lang w:val="sr-Latn-ME"/>
        </w:rPr>
        <w:t>)</w:t>
      </w:r>
      <w:r w:rsidRPr="009C0665">
        <w:rPr>
          <w:szCs w:val="22"/>
          <w:lang w:val="sr-Latn-ME"/>
        </w:rPr>
        <w:t xml:space="preserve"> u kesi za infuziju dokazana je tokom 12 sati </w:t>
      </w:r>
      <w:r w:rsidR="00566EE8" w:rsidRPr="009C0665">
        <w:rPr>
          <w:szCs w:val="22"/>
          <w:lang w:val="sr-Latn-ME"/>
        </w:rPr>
        <w:t xml:space="preserve">na temperaturi </w:t>
      </w:r>
      <w:r w:rsidR="001A333C" w:rsidRPr="009C0665">
        <w:rPr>
          <w:szCs w:val="22"/>
          <w:lang w:val="sr-Latn-ME"/>
        </w:rPr>
        <w:t xml:space="preserve">od </w:t>
      </w:r>
      <w:r w:rsidRPr="009C0665">
        <w:rPr>
          <w:szCs w:val="22"/>
          <w:lang w:val="sr-Latn-ME"/>
        </w:rPr>
        <w:t>20°C</w:t>
      </w:r>
      <w:r w:rsidR="00566EE8" w:rsidRPr="009C0665">
        <w:rPr>
          <w:szCs w:val="22"/>
          <w:lang w:val="sr-Latn-ME"/>
        </w:rPr>
        <w:t xml:space="preserve"> </w:t>
      </w:r>
      <w:r w:rsidR="001A333C" w:rsidRPr="009C0665">
        <w:rPr>
          <w:szCs w:val="22"/>
          <w:lang w:val="sr-Latn-ME"/>
        </w:rPr>
        <w:t>do</w:t>
      </w:r>
      <w:r w:rsidR="00566EE8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 xml:space="preserve">25°C ili 24 sata </w:t>
      </w:r>
      <w:r w:rsidR="00A87CDC" w:rsidRPr="009C0665">
        <w:rPr>
          <w:szCs w:val="22"/>
          <w:lang w:val="sr-Latn-ME"/>
        </w:rPr>
        <w:t>na</w:t>
      </w:r>
      <w:r w:rsidR="00566EE8" w:rsidRPr="009C0665">
        <w:rPr>
          <w:szCs w:val="22"/>
          <w:lang w:val="sr-Latn-ME"/>
        </w:rPr>
        <w:t xml:space="preserve"> temperaturi</w:t>
      </w:r>
      <w:r w:rsidR="00A87CDC" w:rsidRPr="009C0665">
        <w:rPr>
          <w:szCs w:val="22"/>
          <w:lang w:val="sr-Latn-ME"/>
        </w:rPr>
        <w:t xml:space="preserve"> </w:t>
      </w:r>
      <w:r w:rsidR="001A333C" w:rsidRPr="009C0665">
        <w:rPr>
          <w:szCs w:val="22"/>
          <w:lang w:val="sr-Latn-ME"/>
        </w:rPr>
        <w:t xml:space="preserve">od </w:t>
      </w:r>
      <w:r w:rsidRPr="009C0665">
        <w:rPr>
          <w:szCs w:val="22"/>
          <w:lang w:val="sr-Latn-ME"/>
        </w:rPr>
        <w:t>2°C</w:t>
      </w:r>
      <w:r w:rsidR="00566EE8" w:rsidRPr="009C0665">
        <w:rPr>
          <w:szCs w:val="22"/>
          <w:lang w:val="sr-Latn-ME"/>
        </w:rPr>
        <w:t xml:space="preserve"> </w:t>
      </w:r>
      <w:r w:rsidR="001A333C" w:rsidRPr="009C0665">
        <w:rPr>
          <w:szCs w:val="22"/>
          <w:lang w:val="sr-Latn-ME"/>
        </w:rPr>
        <w:t>do</w:t>
      </w:r>
      <w:r w:rsidR="00566EE8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 xml:space="preserve">8°C. </w:t>
      </w:r>
    </w:p>
    <w:p w14:paraId="0240C047" w14:textId="77777777" w:rsidR="00BC444F" w:rsidRPr="009C0665" w:rsidRDefault="00BC444F" w:rsidP="004C7864">
      <w:pPr>
        <w:pStyle w:val="Header"/>
        <w:tabs>
          <w:tab w:val="left" w:pos="284"/>
        </w:tabs>
        <w:rPr>
          <w:szCs w:val="22"/>
          <w:lang w:val="sr-Latn-ME"/>
        </w:rPr>
      </w:pPr>
    </w:p>
    <w:p w14:paraId="01D074E5" w14:textId="310AB9D6" w:rsidR="00566EE8" w:rsidRPr="009C0665" w:rsidRDefault="00C41419" w:rsidP="004C7864">
      <w:pPr>
        <w:pStyle w:val="Header"/>
        <w:tabs>
          <w:tab w:val="left" w:pos="284"/>
        </w:tabs>
        <w:rPr>
          <w:szCs w:val="22"/>
          <w:lang w:val="sr-Latn-ME"/>
        </w:rPr>
      </w:pPr>
      <w:r w:rsidRPr="009C0665">
        <w:rPr>
          <w:szCs w:val="22"/>
          <w:lang w:val="sr-Latn-ME"/>
        </w:rPr>
        <w:t>Kombinovana stabilnost</w:t>
      </w:r>
      <w:r w:rsidR="00BC444F" w:rsidRPr="009C0665">
        <w:rPr>
          <w:szCs w:val="22"/>
          <w:lang w:val="sr-Latn-ME"/>
        </w:rPr>
        <w:t xml:space="preserve"> rastvora</w:t>
      </w:r>
      <w:r w:rsidRPr="009C0665">
        <w:rPr>
          <w:szCs w:val="22"/>
          <w:lang w:val="sr-Latn-ME"/>
        </w:rPr>
        <w:t xml:space="preserve"> </w:t>
      </w:r>
      <w:r w:rsidR="00B62C97" w:rsidRPr="009C0665">
        <w:rPr>
          <w:szCs w:val="22"/>
          <w:lang w:val="sr-Latn-ME"/>
        </w:rPr>
        <w:t xml:space="preserve">vedolizumaba </w:t>
      </w:r>
      <w:r w:rsidRPr="009C0665">
        <w:rPr>
          <w:szCs w:val="22"/>
          <w:lang w:val="sr-Latn-ME"/>
        </w:rPr>
        <w:t xml:space="preserve">u bočici i </w:t>
      </w:r>
      <w:r w:rsidR="00B62C97" w:rsidRPr="009C0665">
        <w:rPr>
          <w:szCs w:val="22"/>
          <w:lang w:val="sr-Latn-ME"/>
        </w:rPr>
        <w:t xml:space="preserve">infuzionoj </w:t>
      </w:r>
      <w:r w:rsidRPr="009C0665">
        <w:rPr>
          <w:szCs w:val="22"/>
          <w:lang w:val="sr-Latn-ME"/>
        </w:rPr>
        <w:t>kesi sa 0,9%</w:t>
      </w:r>
      <w:r w:rsidR="00B62C97" w:rsidRPr="009C0665">
        <w:rPr>
          <w:szCs w:val="22"/>
          <w:lang w:val="sr-Latn-ME"/>
        </w:rPr>
        <w:t xml:space="preserve"> sterilnim izotoničnim</w:t>
      </w:r>
      <w:r w:rsidRPr="009C0665">
        <w:rPr>
          <w:szCs w:val="22"/>
          <w:lang w:val="sr-Latn-ME"/>
        </w:rPr>
        <w:t xml:space="preserve"> (9 mg/ml) rastvorom natrijum hlorida za injekciju iznosi ukupno 12 sati </w:t>
      </w:r>
      <w:r w:rsidR="0083557B" w:rsidRPr="009C0665">
        <w:rPr>
          <w:szCs w:val="22"/>
          <w:lang w:val="sr-Latn-ME"/>
        </w:rPr>
        <w:t xml:space="preserve">na </w:t>
      </w:r>
      <w:r w:rsidR="00566EE8" w:rsidRPr="009C0665">
        <w:rPr>
          <w:szCs w:val="22"/>
          <w:lang w:val="sr-Latn-ME"/>
        </w:rPr>
        <w:t xml:space="preserve">temperaturi </w:t>
      </w:r>
      <w:r w:rsidR="001A333C" w:rsidRPr="009C0665">
        <w:rPr>
          <w:szCs w:val="22"/>
          <w:lang w:val="sr-Latn-ME"/>
        </w:rPr>
        <w:t xml:space="preserve">od </w:t>
      </w:r>
      <w:r w:rsidRPr="009C0665">
        <w:rPr>
          <w:szCs w:val="22"/>
          <w:lang w:val="sr-Latn-ME"/>
        </w:rPr>
        <w:t>20°C</w:t>
      </w:r>
      <w:r w:rsidR="00566EE8" w:rsidRPr="009C0665">
        <w:rPr>
          <w:szCs w:val="22"/>
          <w:lang w:val="sr-Latn-ME"/>
        </w:rPr>
        <w:t xml:space="preserve"> </w:t>
      </w:r>
      <w:r w:rsidR="001A333C" w:rsidRPr="009C0665">
        <w:rPr>
          <w:szCs w:val="22"/>
          <w:lang w:val="sr-Latn-ME"/>
        </w:rPr>
        <w:t>do</w:t>
      </w:r>
      <w:r w:rsidR="00566EE8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 xml:space="preserve">25°C ili 24 sata </w:t>
      </w:r>
      <w:r w:rsidR="0083557B" w:rsidRPr="009C0665">
        <w:rPr>
          <w:szCs w:val="22"/>
          <w:lang w:val="sr-Latn-ME"/>
        </w:rPr>
        <w:t xml:space="preserve">na </w:t>
      </w:r>
      <w:r w:rsidR="00566EE8" w:rsidRPr="009C0665">
        <w:rPr>
          <w:szCs w:val="22"/>
          <w:lang w:val="sr-Latn-ME"/>
        </w:rPr>
        <w:t xml:space="preserve">temperaturi </w:t>
      </w:r>
      <w:r w:rsidR="001A333C" w:rsidRPr="009C0665">
        <w:rPr>
          <w:szCs w:val="22"/>
          <w:lang w:val="sr-Latn-ME"/>
        </w:rPr>
        <w:t xml:space="preserve">od </w:t>
      </w:r>
      <w:r w:rsidRPr="009C0665">
        <w:rPr>
          <w:szCs w:val="22"/>
          <w:lang w:val="sr-Latn-ME"/>
        </w:rPr>
        <w:t>2°C</w:t>
      </w:r>
      <w:r w:rsidR="001A333C" w:rsidRPr="009C0665">
        <w:rPr>
          <w:szCs w:val="22"/>
          <w:lang w:val="sr-Latn-ME"/>
        </w:rPr>
        <w:t xml:space="preserve"> do </w:t>
      </w:r>
      <w:r w:rsidRPr="009C0665">
        <w:rPr>
          <w:szCs w:val="22"/>
          <w:lang w:val="sr-Latn-ME"/>
        </w:rPr>
        <w:t xml:space="preserve">8°C. </w:t>
      </w:r>
      <w:r w:rsidR="0083557B" w:rsidRPr="009C0665">
        <w:rPr>
          <w:szCs w:val="22"/>
          <w:lang w:val="sr-Latn-ME"/>
        </w:rPr>
        <w:t xml:space="preserve">Vremenski interval </w:t>
      </w:r>
      <w:r w:rsidRPr="009C0665">
        <w:rPr>
          <w:szCs w:val="22"/>
          <w:lang w:val="sr-Latn-ME"/>
        </w:rPr>
        <w:t xml:space="preserve">od 24 sata može uključivati do 8 sati </w:t>
      </w:r>
      <w:r w:rsidR="0083557B" w:rsidRPr="009C0665">
        <w:rPr>
          <w:szCs w:val="22"/>
          <w:lang w:val="sr-Latn-ME"/>
        </w:rPr>
        <w:t xml:space="preserve">na </w:t>
      </w:r>
      <w:r w:rsidR="001A333C" w:rsidRPr="009C0665">
        <w:rPr>
          <w:szCs w:val="22"/>
          <w:lang w:val="sr-Latn-ME"/>
        </w:rPr>
        <w:lastRenderedPageBreak/>
        <w:t>temperaturi</w:t>
      </w:r>
      <w:r w:rsidR="00566EE8" w:rsidRPr="009C0665">
        <w:rPr>
          <w:szCs w:val="22"/>
          <w:lang w:val="sr-Latn-ME"/>
        </w:rPr>
        <w:t xml:space="preserve"> </w:t>
      </w:r>
      <w:r w:rsidR="001A333C" w:rsidRPr="009C0665">
        <w:rPr>
          <w:szCs w:val="22"/>
          <w:lang w:val="sr-Latn-ME"/>
        </w:rPr>
        <w:t xml:space="preserve">od </w:t>
      </w:r>
      <w:r w:rsidRPr="009C0665">
        <w:rPr>
          <w:szCs w:val="22"/>
          <w:lang w:val="sr-Latn-ME"/>
        </w:rPr>
        <w:t>2°C</w:t>
      </w:r>
      <w:r w:rsidR="001A333C" w:rsidRPr="009C0665">
        <w:rPr>
          <w:szCs w:val="22"/>
          <w:lang w:val="sr-Latn-ME"/>
        </w:rPr>
        <w:t xml:space="preserve"> do </w:t>
      </w:r>
      <w:r w:rsidRPr="009C0665">
        <w:rPr>
          <w:szCs w:val="22"/>
          <w:lang w:val="sr-Latn-ME"/>
        </w:rPr>
        <w:t xml:space="preserve">8°C za rekonstituisani rastvor u bočici i do 12 sati </w:t>
      </w:r>
      <w:r w:rsidR="0083557B" w:rsidRPr="009C0665">
        <w:rPr>
          <w:szCs w:val="22"/>
          <w:lang w:val="sr-Latn-ME"/>
        </w:rPr>
        <w:t xml:space="preserve">na </w:t>
      </w:r>
      <w:r w:rsidR="00566EE8" w:rsidRPr="009C0665">
        <w:rPr>
          <w:szCs w:val="22"/>
          <w:lang w:val="sr-Latn-ME"/>
        </w:rPr>
        <w:t xml:space="preserve">temperaturi </w:t>
      </w:r>
      <w:r w:rsidR="001A333C" w:rsidRPr="009C0665">
        <w:rPr>
          <w:szCs w:val="22"/>
          <w:lang w:val="sr-Latn-ME"/>
        </w:rPr>
        <w:t xml:space="preserve">od </w:t>
      </w:r>
      <w:r w:rsidRPr="009C0665">
        <w:rPr>
          <w:szCs w:val="22"/>
          <w:lang w:val="sr-Latn-ME"/>
        </w:rPr>
        <w:t>20°C</w:t>
      </w:r>
      <w:r w:rsidR="00A4478A" w:rsidRPr="009C0665">
        <w:rPr>
          <w:szCs w:val="22"/>
          <w:lang w:val="sr-Latn-ME"/>
        </w:rPr>
        <w:t xml:space="preserve"> </w:t>
      </w:r>
      <w:r w:rsidR="001A333C" w:rsidRPr="009C0665">
        <w:rPr>
          <w:szCs w:val="22"/>
          <w:lang w:val="sr-Latn-ME"/>
        </w:rPr>
        <w:t xml:space="preserve">do </w:t>
      </w:r>
      <w:r w:rsidR="00A4478A" w:rsidRPr="009C0665">
        <w:rPr>
          <w:szCs w:val="22"/>
          <w:lang w:val="sr-Latn-ME"/>
        </w:rPr>
        <w:t>2</w:t>
      </w:r>
      <w:r w:rsidRPr="009C0665">
        <w:rPr>
          <w:szCs w:val="22"/>
          <w:lang w:val="sr-Latn-ME"/>
        </w:rPr>
        <w:t>5°C za raz</w:t>
      </w:r>
      <w:r w:rsidR="00566EE8" w:rsidRPr="009C0665">
        <w:rPr>
          <w:szCs w:val="22"/>
          <w:lang w:val="sr-Latn-ME"/>
        </w:rPr>
        <w:t>blaženi</w:t>
      </w:r>
      <w:r w:rsidRPr="009C0665">
        <w:rPr>
          <w:szCs w:val="22"/>
          <w:lang w:val="sr-Latn-ME"/>
        </w:rPr>
        <w:t xml:space="preserve"> rastvor u </w:t>
      </w:r>
      <w:r w:rsidR="00566EE8" w:rsidRPr="009C0665">
        <w:rPr>
          <w:szCs w:val="22"/>
          <w:lang w:val="sr-Latn-ME"/>
        </w:rPr>
        <w:t xml:space="preserve">infuzionoj </w:t>
      </w:r>
      <w:r w:rsidRPr="009C0665">
        <w:rPr>
          <w:szCs w:val="22"/>
          <w:lang w:val="sr-Latn-ME"/>
        </w:rPr>
        <w:t xml:space="preserve">kesi, ali kesa za infuziju mora biti </w:t>
      </w:r>
      <w:r w:rsidR="00A63489" w:rsidRPr="009C0665">
        <w:rPr>
          <w:szCs w:val="22"/>
          <w:lang w:val="sr-Latn-ME"/>
        </w:rPr>
        <w:t>smještena</w:t>
      </w:r>
      <w:r w:rsidRPr="009C0665">
        <w:rPr>
          <w:szCs w:val="22"/>
          <w:lang w:val="sr-Latn-ME"/>
        </w:rPr>
        <w:t xml:space="preserve"> u frižider (</w:t>
      </w:r>
      <w:r w:rsidR="00566EE8" w:rsidRPr="009C0665">
        <w:rPr>
          <w:szCs w:val="22"/>
          <w:lang w:val="sr-Latn-ME"/>
        </w:rPr>
        <w:t xml:space="preserve">na temperaturi </w:t>
      </w:r>
      <w:r w:rsidR="001A333C" w:rsidRPr="009C0665">
        <w:rPr>
          <w:szCs w:val="22"/>
          <w:lang w:val="sr-Latn-ME"/>
        </w:rPr>
        <w:t xml:space="preserve">od </w:t>
      </w:r>
      <w:r w:rsidRPr="009C0665">
        <w:rPr>
          <w:szCs w:val="22"/>
          <w:lang w:val="sr-Latn-ME"/>
        </w:rPr>
        <w:t>2°C</w:t>
      </w:r>
      <w:r w:rsidR="0047181E" w:rsidRPr="009C0665">
        <w:rPr>
          <w:szCs w:val="22"/>
          <w:lang w:val="sr-Latn-ME"/>
        </w:rPr>
        <w:t xml:space="preserve"> </w:t>
      </w:r>
      <w:r w:rsidR="001A333C" w:rsidRPr="009C0665">
        <w:rPr>
          <w:szCs w:val="22"/>
          <w:lang w:val="sr-Latn-ME"/>
        </w:rPr>
        <w:t xml:space="preserve">do </w:t>
      </w:r>
      <w:r w:rsidRPr="009C0665">
        <w:rPr>
          <w:szCs w:val="22"/>
          <w:lang w:val="sr-Latn-ME"/>
        </w:rPr>
        <w:t xml:space="preserve">8°C) tokom preostalog </w:t>
      </w:r>
      <w:r w:rsidR="0083557B" w:rsidRPr="009C0665">
        <w:rPr>
          <w:szCs w:val="22"/>
          <w:lang w:val="sr-Latn-ME"/>
        </w:rPr>
        <w:t>vremenskog intervala</w:t>
      </w:r>
      <w:r w:rsidRPr="009C0665">
        <w:rPr>
          <w:szCs w:val="22"/>
          <w:lang w:val="sr-Latn-ME"/>
        </w:rPr>
        <w:t xml:space="preserve"> od 24 sata. </w:t>
      </w:r>
    </w:p>
    <w:p w14:paraId="3AA6D9EA" w14:textId="77777777" w:rsidR="00BC444F" w:rsidRPr="009C0665" w:rsidRDefault="00BC444F" w:rsidP="004C7864">
      <w:pPr>
        <w:pStyle w:val="Header"/>
        <w:tabs>
          <w:tab w:val="left" w:pos="284"/>
        </w:tabs>
        <w:rPr>
          <w:szCs w:val="22"/>
          <w:lang w:val="sr-Latn-ME"/>
        </w:rPr>
      </w:pPr>
    </w:p>
    <w:p w14:paraId="35212C0A" w14:textId="77777777" w:rsidR="00C41419" w:rsidRPr="009C0665" w:rsidRDefault="00C41419" w:rsidP="004C7864">
      <w:pPr>
        <w:pStyle w:val="Header"/>
        <w:tabs>
          <w:tab w:val="left" w:pos="284"/>
        </w:tabs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Ne zamrzavati rekonstituisani rastvor u bočici ili </w:t>
      </w:r>
      <w:r w:rsidR="0083557B" w:rsidRPr="009C0665">
        <w:rPr>
          <w:szCs w:val="22"/>
          <w:lang w:val="sr-Latn-ME"/>
        </w:rPr>
        <w:t xml:space="preserve">razblaženi </w:t>
      </w:r>
      <w:r w:rsidRPr="009C0665">
        <w:rPr>
          <w:szCs w:val="22"/>
          <w:lang w:val="sr-Latn-ME"/>
        </w:rPr>
        <w:t>rastvor u infuzi</w:t>
      </w:r>
      <w:r w:rsidR="00CD1BEC" w:rsidRPr="009C0665">
        <w:rPr>
          <w:szCs w:val="22"/>
          <w:lang w:val="sr-Latn-ME"/>
        </w:rPr>
        <w:t>onoj kesi</w:t>
      </w:r>
      <w:r w:rsidRPr="009C0665">
        <w:rPr>
          <w:szCs w:val="22"/>
          <w:lang w:val="sr-Latn-ME"/>
        </w:rPr>
        <w:t>.</w:t>
      </w:r>
    </w:p>
    <w:p w14:paraId="54A353FA" w14:textId="77777777" w:rsidR="00C41419" w:rsidRPr="009C0665" w:rsidRDefault="00C41419" w:rsidP="004C7864">
      <w:pPr>
        <w:pStyle w:val="Header"/>
        <w:tabs>
          <w:tab w:val="left" w:pos="284"/>
        </w:tabs>
        <w:rPr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7"/>
        <w:gridCol w:w="3008"/>
        <w:gridCol w:w="3000"/>
      </w:tblGrid>
      <w:tr w:rsidR="00C41419" w:rsidRPr="009C0665" w14:paraId="335A2758" w14:textId="77777777" w:rsidTr="00C41419">
        <w:tc>
          <w:tcPr>
            <w:tcW w:w="3209" w:type="dxa"/>
            <w:vMerge w:val="restart"/>
          </w:tcPr>
          <w:p w14:paraId="18D96E39" w14:textId="77777777" w:rsidR="00C41419" w:rsidRPr="009C0665" w:rsidRDefault="00C41419" w:rsidP="004C7864">
            <w:pPr>
              <w:pStyle w:val="Header"/>
              <w:tabs>
                <w:tab w:val="left" w:pos="284"/>
              </w:tabs>
              <w:rPr>
                <w:szCs w:val="22"/>
                <w:lang w:val="sr-Latn-ME"/>
              </w:rPr>
            </w:pPr>
          </w:p>
        </w:tc>
        <w:tc>
          <w:tcPr>
            <w:tcW w:w="6420" w:type="dxa"/>
            <w:gridSpan w:val="2"/>
          </w:tcPr>
          <w:p w14:paraId="6866305C" w14:textId="77777777" w:rsidR="00C41419" w:rsidRPr="009C0665" w:rsidRDefault="00C41419" w:rsidP="004C7864">
            <w:pPr>
              <w:pStyle w:val="Header"/>
              <w:tabs>
                <w:tab w:val="left" w:pos="284"/>
              </w:tabs>
              <w:jc w:val="center"/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>Uslovi čuvanja</w:t>
            </w:r>
          </w:p>
        </w:tc>
      </w:tr>
      <w:tr w:rsidR="00C41419" w:rsidRPr="009C0665" w14:paraId="0CDF744B" w14:textId="77777777" w:rsidTr="00C41419">
        <w:tc>
          <w:tcPr>
            <w:tcW w:w="3209" w:type="dxa"/>
            <w:vMerge/>
          </w:tcPr>
          <w:p w14:paraId="24A4205B" w14:textId="77777777" w:rsidR="00C41419" w:rsidRPr="009C0665" w:rsidRDefault="00C41419" w:rsidP="004C7864">
            <w:pPr>
              <w:pStyle w:val="Header"/>
              <w:tabs>
                <w:tab w:val="left" w:pos="284"/>
              </w:tabs>
              <w:rPr>
                <w:szCs w:val="22"/>
                <w:lang w:val="sr-Latn-ME"/>
              </w:rPr>
            </w:pPr>
          </w:p>
        </w:tc>
        <w:tc>
          <w:tcPr>
            <w:tcW w:w="3210" w:type="dxa"/>
          </w:tcPr>
          <w:p w14:paraId="4779FE2D" w14:textId="7D679EA7" w:rsidR="00C41419" w:rsidRPr="009C0665" w:rsidRDefault="00C41419" w:rsidP="004C7864">
            <w:pPr>
              <w:pStyle w:val="Header"/>
              <w:tabs>
                <w:tab w:val="left" w:pos="284"/>
              </w:tabs>
              <w:jc w:val="center"/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>Frižider (2°C</w:t>
            </w:r>
            <w:r w:rsidR="00CD1BEC" w:rsidRPr="009C0665">
              <w:rPr>
                <w:szCs w:val="22"/>
                <w:lang w:val="sr-Latn-ME"/>
              </w:rPr>
              <w:t xml:space="preserve"> </w:t>
            </w:r>
            <w:r w:rsidRPr="009C0665">
              <w:rPr>
                <w:szCs w:val="22"/>
                <w:lang w:val="sr-Latn-ME"/>
              </w:rPr>
              <w:t>-</w:t>
            </w:r>
            <w:r w:rsidR="00CD1BEC" w:rsidRPr="009C0665">
              <w:rPr>
                <w:szCs w:val="22"/>
                <w:lang w:val="sr-Latn-ME"/>
              </w:rPr>
              <w:t xml:space="preserve"> </w:t>
            </w:r>
            <w:r w:rsidRPr="009C0665">
              <w:rPr>
                <w:szCs w:val="22"/>
                <w:lang w:val="sr-Latn-ME"/>
              </w:rPr>
              <w:t>8°C)</w:t>
            </w:r>
          </w:p>
        </w:tc>
        <w:tc>
          <w:tcPr>
            <w:tcW w:w="3210" w:type="dxa"/>
          </w:tcPr>
          <w:p w14:paraId="2E18EA40" w14:textId="7173E054" w:rsidR="00C41419" w:rsidRPr="009C0665" w:rsidRDefault="00C41419" w:rsidP="004C7864">
            <w:pPr>
              <w:pStyle w:val="Header"/>
              <w:tabs>
                <w:tab w:val="left" w:pos="284"/>
              </w:tabs>
              <w:jc w:val="center"/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>20°C</w:t>
            </w:r>
            <w:r w:rsidR="00CD1BEC" w:rsidRPr="009C0665">
              <w:rPr>
                <w:szCs w:val="22"/>
                <w:lang w:val="sr-Latn-ME"/>
              </w:rPr>
              <w:t xml:space="preserve"> </w:t>
            </w:r>
            <w:r w:rsidRPr="009C0665">
              <w:rPr>
                <w:szCs w:val="22"/>
                <w:lang w:val="sr-Latn-ME"/>
              </w:rPr>
              <w:t>-</w:t>
            </w:r>
            <w:r w:rsidR="00CD1BEC" w:rsidRPr="009C0665">
              <w:rPr>
                <w:szCs w:val="22"/>
                <w:lang w:val="sr-Latn-ME"/>
              </w:rPr>
              <w:t xml:space="preserve"> </w:t>
            </w:r>
            <w:r w:rsidRPr="009C0665">
              <w:rPr>
                <w:szCs w:val="22"/>
                <w:lang w:val="sr-Latn-ME"/>
              </w:rPr>
              <w:t>25°C</w:t>
            </w:r>
          </w:p>
        </w:tc>
      </w:tr>
      <w:tr w:rsidR="00C41419" w:rsidRPr="009C0665" w14:paraId="0A7FDB41" w14:textId="77777777" w:rsidTr="00C41419">
        <w:tc>
          <w:tcPr>
            <w:tcW w:w="3209" w:type="dxa"/>
          </w:tcPr>
          <w:p w14:paraId="737D08F5" w14:textId="14385C56" w:rsidR="00C41419" w:rsidRPr="009C0665" w:rsidRDefault="00A63489" w:rsidP="004C7864">
            <w:pPr>
              <w:pStyle w:val="Header"/>
              <w:tabs>
                <w:tab w:val="left" w:pos="284"/>
              </w:tabs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>Rekonstituisani</w:t>
            </w:r>
            <w:r w:rsidR="00C41419" w:rsidRPr="009C0665">
              <w:rPr>
                <w:szCs w:val="22"/>
                <w:lang w:val="sr-Latn-ME"/>
              </w:rPr>
              <w:t xml:space="preserve"> rastvor u bočici</w:t>
            </w:r>
          </w:p>
        </w:tc>
        <w:tc>
          <w:tcPr>
            <w:tcW w:w="3210" w:type="dxa"/>
          </w:tcPr>
          <w:p w14:paraId="1ECD832F" w14:textId="77777777" w:rsidR="00C41419" w:rsidRPr="009C0665" w:rsidRDefault="00C41419" w:rsidP="004C7864">
            <w:pPr>
              <w:pStyle w:val="Header"/>
              <w:tabs>
                <w:tab w:val="left" w:pos="284"/>
              </w:tabs>
              <w:jc w:val="center"/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>8 sati</w:t>
            </w:r>
          </w:p>
        </w:tc>
        <w:tc>
          <w:tcPr>
            <w:tcW w:w="3210" w:type="dxa"/>
          </w:tcPr>
          <w:p w14:paraId="4D2E765E" w14:textId="77777777" w:rsidR="00C41419" w:rsidRPr="009C0665" w:rsidRDefault="00C41419" w:rsidP="004C7864">
            <w:pPr>
              <w:pStyle w:val="Header"/>
              <w:tabs>
                <w:tab w:val="left" w:pos="284"/>
              </w:tabs>
              <w:jc w:val="center"/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>Ne čuvati</w:t>
            </w:r>
            <w:r w:rsidRPr="009C0665">
              <w:rPr>
                <w:szCs w:val="22"/>
                <w:vertAlign w:val="superscript"/>
                <w:lang w:val="sr-Latn-ME"/>
              </w:rPr>
              <w:t>1</w:t>
            </w:r>
          </w:p>
        </w:tc>
      </w:tr>
      <w:tr w:rsidR="00C41419" w:rsidRPr="009C0665" w14:paraId="29E12D90" w14:textId="77777777" w:rsidTr="00C41419">
        <w:tc>
          <w:tcPr>
            <w:tcW w:w="3209" w:type="dxa"/>
          </w:tcPr>
          <w:p w14:paraId="660AFDB0" w14:textId="77777777" w:rsidR="00C41419" w:rsidRPr="009C0665" w:rsidRDefault="0083557B" w:rsidP="004C7864">
            <w:pPr>
              <w:pStyle w:val="Header"/>
              <w:tabs>
                <w:tab w:val="left" w:pos="284"/>
              </w:tabs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 xml:space="preserve">Razblažen </w:t>
            </w:r>
            <w:r w:rsidR="00C41419" w:rsidRPr="009C0665">
              <w:rPr>
                <w:szCs w:val="22"/>
                <w:lang w:val="sr-Latn-ME"/>
              </w:rPr>
              <w:t>rastvor u 0,9% rastvoru natrijum hlorida</w:t>
            </w:r>
          </w:p>
        </w:tc>
        <w:tc>
          <w:tcPr>
            <w:tcW w:w="3210" w:type="dxa"/>
          </w:tcPr>
          <w:p w14:paraId="4EB3482A" w14:textId="77777777" w:rsidR="00C41419" w:rsidRPr="009C0665" w:rsidRDefault="00C41419" w:rsidP="004C7864">
            <w:pPr>
              <w:pStyle w:val="Header"/>
              <w:tabs>
                <w:tab w:val="left" w:pos="284"/>
              </w:tabs>
              <w:jc w:val="center"/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>24 sata</w:t>
            </w:r>
            <w:r w:rsidRPr="009C0665">
              <w:rPr>
                <w:szCs w:val="22"/>
                <w:vertAlign w:val="superscript"/>
                <w:lang w:val="sr-Latn-ME"/>
              </w:rPr>
              <w:t>2,3</w:t>
            </w:r>
          </w:p>
        </w:tc>
        <w:tc>
          <w:tcPr>
            <w:tcW w:w="3210" w:type="dxa"/>
          </w:tcPr>
          <w:p w14:paraId="4EE45D6E" w14:textId="77777777" w:rsidR="00C41419" w:rsidRPr="009C0665" w:rsidRDefault="00C41419" w:rsidP="004C7864">
            <w:pPr>
              <w:pStyle w:val="Header"/>
              <w:tabs>
                <w:tab w:val="left" w:pos="284"/>
              </w:tabs>
              <w:jc w:val="center"/>
              <w:rPr>
                <w:szCs w:val="22"/>
                <w:lang w:val="sr-Latn-ME"/>
              </w:rPr>
            </w:pPr>
            <w:r w:rsidRPr="009C0665">
              <w:rPr>
                <w:szCs w:val="22"/>
                <w:lang w:val="sr-Latn-ME"/>
              </w:rPr>
              <w:t>12 sati</w:t>
            </w:r>
            <w:r w:rsidRPr="009C0665">
              <w:rPr>
                <w:szCs w:val="22"/>
                <w:vertAlign w:val="superscript"/>
                <w:lang w:val="sr-Latn-ME"/>
              </w:rPr>
              <w:t>2</w:t>
            </w:r>
          </w:p>
        </w:tc>
      </w:tr>
    </w:tbl>
    <w:p w14:paraId="3E9DB6AB" w14:textId="77777777" w:rsidR="00C41419" w:rsidRPr="009C0665" w:rsidRDefault="00C41419" w:rsidP="004C7864">
      <w:pPr>
        <w:pStyle w:val="Header"/>
        <w:tabs>
          <w:tab w:val="left" w:pos="284"/>
        </w:tabs>
        <w:rPr>
          <w:sz w:val="20"/>
          <w:szCs w:val="22"/>
          <w:lang w:val="sr-Latn-ME"/>
        </w:rPr>
      </w:pPr>
      <w:r w:rsidRPr="009C0665">
        <w:rPr>
          <w:sz w:val="20"/>
          <w:szCs w:val="22"/>
          <w:vertAlign w:val="superscript"/>
          <w:lang w:val="sr-Latn-ME"/>
        </w:rPr>
        <w:t>1</w:t>
      </w:r>
      <w:r w:rsidRPr="009C0665">
        <w:rPr>
          <w:sz w:val="20"/>
          <w:szCs w:val="22"/>
          <w:lang w:val="sr-Latn-ME"/>
        </w:rPr>
        <w:t xml:space="preserve">Za rekonstituisanje je dozvoljeno do 30 minuta. </w:t>
      </w:r>
    </w:p>
    <w:p w14:paraId="4375914B" w14:textId="7683CB0B" w:rsidR="00C41419" w:rsidRPr="009C0665" w:rsidRDefault="00C41419" w:rsidP="004C7864">
      <w:pPr>
        <w:pStyle w:val="Header"/>
        <w:tabs>
          <w:tab w:val="left" w:pos="284"/>
        </w:tabs>
        <w:rPr>
          <w:sz w:val="20"/>
          <w:szCs w:val="22"/>
          <w:lang w:val="sr-Latn-ME"/>
        </w:rPr>
      </w:pPr>
      <w:r w:rsidRPr="009C0665">
        <w:rPr>
          <w:sz w:val="20"/>
          <w:szCs w:val="22"/>
          <w:vertAlign w:val="superscript"/>
          <w:lang w:val="sr-Latn-ME"/>
        </w:rPr>
        <w:t>2</w:t>
      </w:r>
      <w:r w:rsidRPr="009C0665">
        <w:rPr>
          <w:sz w:val="20"/>
          <w:szCs w:val="22"/>
          <w:lang w:val="sr-Latn-ME"/>
        </w:rPr>
        <w:t>Navedeno vr</w:t>
      </w:r>
      <w:r w:rsidR="00A63489" w:rsidRPr="009C0665">
        <w:rPr>
          <w:sz w:val="20"/>
          <w:szCs w:val="22"/>
          <w:lang w:val="sr-Latn-ME"/>
        </w:rPr>
        <w:t>ij</w:t>
      </w:r>
      <w:r w:rsidRPr="009C0665">
        <w:rPr>
          <w:sz w:val="20"/>
          <w:szCs w:val="22"/>
          <w:lang w:val="sr-Latn-ME"/>
        </w:rPr>
        <w:t>eme pretpostavlja da se rekonstituisani rastvor</w:t>
      </w:r>
      <w:r w:rsidR="0076005D" w:rsidRPr="009C0665">
        <w:rPr>
          <w:sz w:val="20"/>
          <w:szCs w:val="22"/>
          <w:lang w:val="sr-Latn-ME"/>
        </w:rPr>
        <w:t xml:space="preserve"> odmah razblažuje</w:t>
      </w:r>
      <w:r w:rsidRPr="009C0665">
        <w:rPr>
          <w:sz w:val="20"/>
          <w:szCs w:val="22"/>
          <w:lang w:val="sr-Latn-ME"/>
        </w:rPr>
        <w:t xml:space="preserve"> u 0,9%-tno</w:t>
      </w:r>
      <w:r w:rsidR="0076005D" w:rsidRPr="009C0665">
        <w:rPr>
          <w:sz w:val="20"/>
          <w:szCs w:val="22"/>
          <w:lang w:val="sr-Latn-ME"/>
        </w:rPr>
        <w:t>m</w:t>
      </w:r>
      <w:r w:rsidRPr="009C0665">
        <w:rPr>
          <w:sz w:val="20"/>
          <w:szCs w:val="22"/>
          <w:lang w:val="sr-Latn-ME"/>
        </w:rPr>
        <w:t xml:space="preserve"> (9 mg/m</w:t>
      </w:r>
      <w:r w:rsidR="00A4478A" w:rsidRPr="009C0665">
        <w:rPr>
          <w:sz w:val="20"/>
          <w:szCs w:val="22"/>
          <w:lang w:val="sr-Latn-ME"/>
        </w:rPr>
        <w:t>l</w:t>
      </w:r>
      <w:r w:rsidRPr="009C0665">
        <w:rPr>
          <w:sz w:val="20"/>
          <w:szCs w:val="22"/>
          <w:lang w:val="sr-Latn-ME"/>
        </w:rPr>
        <w:t xml:space="preserve">) </w:t>
      </w:r>
      <w:r w:rsidR="0076005D" w:rsidRPr="009C0665">
        <w:rPr>
          <w:sz w:val="20"/>
          <w:szCs w:val="22"/>
          <w:lang w:val="sr-Latn-ME"/>
        </w:rPr>
        <w:t>rastvoru</w:t>
      </w:r>
      <w:r w:rsidRPr="009C0665">
        <w:rPr>
          <w:sz w:val="20"/>
          <w:szCs w:val="22"/>
          <w:lang w:val="sr-Latn-ME"/>
        </w:rPr>
        <w:t xml:space="preserve"> natrij</w:t>
      </w:r>
      <w:r w:rsidR="0076005D" w:rsidRPr="009C0665">
        <w:rPr>
          <w:sz w:val="20"/>
          <w:szCs w:val="22"/>
          <w:lang w:val="sr-Latn-ME"/>
        </w:rPr>
        <w:t>um</w:t>
      </w:r>
      <w:r w:rsidRPr="009C0665">
        <w:rPr>
          <w:sz w:val="20"/>
          <w:szCs w:val="22"/>
          <w:lang w:val="sr-Latn-ME"/>
        </w:rPr>
        <w:t xml:space="preserve"> </w:t>
      </w:r>
      <w:r w:rsidR="0076005D" w:rsidRPr="009C0665">
        <w:rPr>
          <w:sz w:val="20"/>
          <w:szCs w:val="22"/>
          <w:lang w:val="sr-Latn-ME"/>
        </w:rPr>
        <w:t>h</w:t>
      </w:r>
      <w:r w:rsidRPr="009C0665">
        <w:rPr>
          <w:sz w:val="20"/>
          <w:szCs w:val="22"/>
          <w:lang w:val="sr-Latn-ME"/>
        </w:rPr>
        <w:t xml:space="preserve">lorida i čuva samo u </w:t>
      </w:r>
      <w:r w:rsidR="0076005D" w:rsidRPr="009C0665">
        <w:rPr>
          <w:sz w:val="20"/>
          <w:szCs w:val="22"/>
          <w:lang w:val="sr-Latn-ME"/>
        </w:rPr>
        <w:t>kesi</w:t>
      </w:r>
      <w:r w:rsidRPr="009C0665">
        <w:rPr>
          <w:sz w:val="20"/>
          <w:szCs w:val="22"/>
          <w:lang w:val="sr-Latn-ME"/>
        </w:rPr>
        <w:t xml:space="preserve"> za infuziju. Sv</w:t>
      </w:r>
      <w:r w:rsidR="0076005D" w:rsidRPr="009C0665">
        <w:rPr>
          <w:sz w:val="20"/>
          <w:szCs w:val="22"/>
          <w:lang w:val="sr-Latn-ME"/>
        </w:rPr>
        <w:t>e</w:t>
      </w:r>
      <w:r w:rsidRPr="009C0665">
        <w:rPr>
          <w:sz w:val="20"/>
          <w:szCs w:val="22"/>
          <w:lang w:val="sr-Latn-ME"/>
        </w:rPr>
        <w:t xml:space="preserve"> vr</w:t>
      </w:r>
      <w:r w:rsidR="00A63489" w:rsidRPr="009C0665">
        <w:rPr>
          <w:sz w:val="20"/>
          <w:szCs w:val="22"/>
          <w:lang w:val="sr-Latn-ME"/>
        </w:rPr>
        <w:t>ij</w:t>
      </w:r>
      <w:r w:rsidRPr="009C0665">
        <w:rPr>
          <w:sz w:val="20"/>
          <w:szCs w:val="22"/>
          <w:lang w:val="sr-Latn-ME"/>
        </w:rPr>
        <w:t>eme u kojem se rekonstitui</w:t>
      </w:r>
      <w:r w:rsidR="0076005D" w:rsidRPr="009C0665">
        <w:rPr>
          <w:sz w:val="20"/>
          <w:szCs w:val="22"/>
          <w:lang w:val="sr-Latn-ME"/>
        </w:rPr>
        <w:t>s</w:t>
      </w:r>
      <w:r w:rsidRPr="009C0665">
        <w:rPr>
          <w:sz w:val="20"/>
          <w:szCs w:val="22"/>
          <w:lang w:val="sr-Latn-ME"/>
        </w:rPr>
        <w:t>an</w:t>
      </w:r>
      <w:r w:rsidR="0076005D" w:rsidRPr="009C0665">
        <w:rPr>
          <w:sz w:val="20"/>
          <w:szCs w:val="22"/>
          <w:lang w:val="sr-Latn-ME"/>
        </w:rPr>
        <w:t>i</w:t>
      </w:r>
      <w:r w:rsidRPr="009C0665">
        <w:rPr>
          <w:sz w:val="20"/>
          <w:szCs w:val="22"/>
          <w:lang w:val="sr-Latn-ME"/>
        </w:rPr>
        <w:t xml:space="preserve"> </w:t>
      </w:r>
      <w:r w:rsidR="0076005D" w:rsidRPr="009C0665">
        <w:rPr>
          <w:sz w:val="20"/>
          <w:szCs w:val="22"/>
          <w:lang w:val="sr-Latn-ME"/>
        </w:rPr>
        <w:t>rastvor</w:t>
      </w:r>
      <w:r w:rsidRPr="009C0665">
        <w:rPr>
          <w:sz w:val="20"/>
          <w:szCs w:val="22"/>
          <w:lang w:val="sr-Latn-ME"/>
        </w:rPr>
        <w:t xml:space="preserve"> čuva u bočici treba oduzeti od vremena u kojem se </w:t>
      </w:r>
      <w:r w:rsidR="0076005D" w:rsidRPr="009C0665">
        <w:rPr>
          <w:sz w:val="20"/>
          <w:szCs w:val="22"/>
          <w:lang w:val="sr-Latn-ME"/>
        </w:rPr>
        <w:t>rastvor</w:t>
      </w:r>
      <w:r w:rsidRPr="009C0665">
        <w:rPr>
          <w:sz w:val="20"/>
          <w:szCs w:val="22"/>
          <w:lang w:val="sr-Latn-ME"/>
        </w:rPr>
        <w:t xml:space="preserve"> može čuvati u </w:t>
      </w:r>
      <w:r w:rsidR="0076005D" w:rsidRPr="009C0665">
        <w:rPr>
          <w:sz w:val="20"/>
          <w:szCs w:val="22"/>
          <w:lang w:val="sr-Latn-ME"/>
        </w:rPr>
        <w:t>kesi</w:t>
      </w:r>
      <w:r w:rsidRPr="009C0665">
        <w:rPr>
          <w:sz w:val="20"/>
          <w:szCs w:val="22"/>
          <w:lang w:val="sr-Latn-ME"/>
        </w:rPr>
        <w:t xml:space="preserve"> za infuziju. </w:t>
      </w:r>
    </w:p>
    <w:p w14:paraId="1053B58D" w14:textId="6AD47C20" w:rsidR="00C41419" w:rsidRPr="009C0665" w:rsidRDefault="00C41419" w:rsidP="004C7864">
      <w:pPr>
        <w:pStyle w:val="Header"/>
        <w:tabs>
          <w:tab w:val="left" w:pos="284"/>
        </w:tabs>
        <w:rPr>
          <w:sz w:val="20"/>
          <w:szCs w:val="22"/>
          <w:lang w:val="sr-Latn-ME"/>
        </w:rPr>
      </w:pPr>
      <w:r w:rsidRPr="009C0665">
        <w:rPr>
          <w:sz w:val="20"/>
          <w:szCs w:val="22"/>
          <w:vertAlign w:val="superscript"/>
          <w:lang w:val="sr-Latn-ME"/>
        </w:rPr>
        <w:t>3</w:t>
      </w:r>
      <w:r w:rsidRPr="009C0665">
        <w:rPr>
          <w:sz w:val="20"/>
          <w:szCs w:val="22"/>
          <w:lang w:val="sr-Latn-ME"/>
        </w:rPr>
        <w:t>T</w:t>
      </w:r>
      <w:r w:rsidR="0083557B" w:rsidRPr="009C0665">
        <w:rPr>
          <w:sz w:val="20"/>
          <w:szCs w:val="22"/>
          <w:lang w:val="sr-Latn-ME"/>
        </w:rPr>
        <w:t>aj</w:t>
      </w:r>
      <w:r w:rsidRPr="009C0665">
        <w:rPr>
          <w:sz w:val="20"/>
          <w:szCs w:val="22"/>
          <w:lang w:val="sr-Latn-ME"/>
        </w:rPr>
        <w:t xml:space="preserve"> </w:t>
      </w:r>
      <w:r w:rsidR="0083557B" w:rsidRPr="009C0665">
        <w:rPr>
          <w:sz w:val="20"/>
          <w:szCs w:val="22"/>
          <w:lang w:val="sr-Latn-ME"/>
        </w:rPr>
        <w:t xml:space="preserve">vremenski interval </w:t>
      </w:r>
      <w:r w:rsidRPr="009C0665">
        <w:rPr>
          <w:sz w:val="20"/>
          <w:szCs w:val="22"/>
          <w:lang w:val="sr-Latn-ME"/>
        </w:rPr>
        <w:t>može uključiti do 12 sati</w:t>
      </w:r>
      <w:r w:rsidR="00CB7126" w:rsidRPr="009C0665">
        <w:rPr>
          <w:sz w:val="20"/>
          <w:szCs w:val="22"/>
          <w:lang w:val="sr-Latn-ME"/>
        </w:rPr>
        <w:t xml:space="preserve"> na</w:t>
      </w:r>
      <w:r w:rsidRPr="009C0665">
        <w:rPr>
          <w:sz w:val="20"/>
          <w:szCs w:val="22"/>
          <w:lang w:val="sr-Latn-ME"/>
        </w:rPr>
        <w:t xml:space="preserve"> </w:t>
      </w:r>
      <w:r w:rsidR="00CD1BEC" w:rsidRPr="009C0665">
        <w:rPr>
          <w:sz w:val="20"/>
          <w:szCs w:val="22"/>
          <w:lang w:val="sr-Latn-ME"/>
        </w:rPr>
        <w:t xml:space="preserve">temperaturi </w:t>
      </w:r>
      <w:r w:rsidR="00CB7126" w:rsidRPr="009C0665">
        <w:rPr>
          <w:sz w:val="20"/>
          <w:szCs w:val="22"/>
          <w:lang w:val="sr-Latn-ME"/>
        </w:rPr>
        <w:t xml:space="preserve">od </w:t>
      </w:r>
      <w:r w:rsidRPr="009C0665">
        <w:rPr>
          <w:sz w:val="20"/>
          <w:szCs w:val="22"/>
          <w:lang w:val="sr-Latn-ME"/>
        </w:rPr>
        <w:t>20°C</w:t>
      </w:r>
      <w:r w:rsidR="00CB7126" w:rsidRPr="009C0665">
        <w:rPr>
          <w:sz w:val="20"/>
          <w:szCs w:val="22"/>
          <w:lang w:val="sr-Latn-ME"/>
        </w:rPr>
        <w:t xml:space="preserve"> do </w:t>
      </w:r>
      <w:r w:rsidRPr="009C0665">
        <w:rPr>
          <w:sz w:val="20"/>
          <w:szCs w:val="22"/>
          <w:lang w:val="sr-Latn-ME"/>
        </w:rPr>
        <w:t>2</w:t>
      </w:r>
      <w:r w:rsidR="00F94ED1" w:rsidRPr="009C0665">
        <w:rPr>
          <w:sz w:val="20"/>
          <w:szCs w:val="22"/>
          <w:lang w:val="sr-Latn-ME"/>
        </w:rPr>
        <w:t>5</w:t>
      </w:r>
      <w:r w:rsidRPr="009C0665">
        <w:rPr>
          <w:sz w:val="20"/>
          <w:szCs w:val="22"/>
          <w:lang w:val="sr-Latn-ME"/>
        </w:rPr>
        <w:t>°C.</w:t>
      </w:r>
    </w:p>
    <w:p w14:paraId="23755B0C" w14:textId="77777777" w:rsidR="00BC444F" w:rsidRPr="009C0665" w:rsidRDefault="00BC444F" w:rsidP="004C7864">
      <w:pPr>
        <w:rPr>
          <w:szCs w:val="22"/>
          <w:lang w:val="sr-Latn-ME"/>
        </w:rPr>
      </w:pPr>
    </w:p>
    <w:p w14:paraId="286B815C" w14:textId="264067D4" w:rsidR="00CE09F3" w:rsidRPr="009C0665" w:rsidRDefault="00CE09F3" w:rsidP="004C7864">
      <w:pPr>
        <w:rPr>
          <w:b/>
          <w:bCs/>
          <w:szCs w:val="22"/>
          <w:lang w:val="sr-Latn-ME"/>
        </w:rPr>
      </w:pPr>
      <w:r w:rsidRPr="009C0665">
        <w:rPr>
          <w:b/>
          <w:bCs/>
          <w:szCs w:val="22"/>
          <w:lang w:val="sr-Latn-ME"/>
        </w:rPr>
        <w:t>6.4. Posebne m</w:t>
      </w:r>
      <w:r w:rsidR="00897387" w:rsidRPr="009C0665">
        <w:rPr>
          <w:b/>
          <w:bCs/>
          <w:szCs w:val="22"/>
          <w:lang w:val="sr-Latn-ME"/>
        </w:rPr>
        <w:t>j</w:t>
      </w:r>
      <w:r w:rsidRPr="009C0665">
        <w:rPr>
          <w:b/>
          <w:bCs/>
          <w:szCs w:val="22"/>
          <w:lang w:val="sr-Latn-ME"/>
        </w:rPr>
        <w:t>ere opreza pri čuvanju</w:t>
      </w:r>
      <w:r w:rsidR="00897387" w:rsidRPr="009C0665">
        <w:rPr>
          <w:b/>
          <w:bCs/>
          <w:szCs w:val="22"/>
          <w:lang w:val="sr-Latn-ME"/>
        </w:rPr>
        <w:t xml:space="preserve"> lijeka</w:t>
      </w:r>
    </w:p>
    <w:p w14:paraId="3F4E78C5" w14:textId="77777777" w:rsidR="00CD1BEC" w:rsidRPr="009C0665" w:rsidRDefault="00CD1BEC" w:rsidP="004C7864">
      <w:pPr>
        <w:rPr>
          <w:b/>
          <w:bCs/>
          <w:szCs w:val="22"/>
          <w:lang w:val="sr-Latn-ME"/>
        </w:rPr>
      </w:pPr>
    </w:p>
    <w:p w14:paraId="407BE8F2" w14:textId="0388181E" w:rsidR="00692912" w:rsidRPr="009C0665" w:rsidRDefault="00847271" w:rsidP="004C7864">
      <w:pPr>
        <w:pStyle w:val="Header"/>
        <w:tabs>
          <w:tab w:val="left" w:pos="284"/>
        </w:tabs>
        <w:rPr>
          <w:szCs w:val="22"/>
          <w:lang w:val="sr-Latn-ME"/>
        </w:rPr>
      </w:pPr>
      <w:r w:rsidRPr="009C0665">
        <w:rPr>
          <w:szCs w:val="22"/>
          <w:lang w:val="sr-Latn-ME"/>
        </w:rPr>
        <w:t>Čuvati u frižideru (</w:t>
      </w:r>
      <w:r w:rsidR="00CD1BEC" w:rsidRPr="009C0665">
        <w:rPr>
          <w:szCs w:val="22"/>
          <w:lang w:val="sr-Latn-ME"/>
        </w:rPr>
        <w:t xml:space="preserve">na temperaturi </w:t>
      </w:r>
      <w:r w:rsidRPr="009C0665">
        <w:rPr>
          <w:szCs w:val="22"/>
          <w:lang w:val="sr-Latn-ME"/>
        </w:rPr>
        <w:t xml:space="preserve">2°C </w:t>
      </w:r>
      <w:r w:rsidR="00BC444F" w:rsidRPr="009C0665">
        <w:rPr>
          <w:szCs w:val="22"/>
          <w:lang w:val="sr-Latn-ME"/>
        </w:rPr>
        <w:t>-</w:t>
      </w:r>
      <w:r w:rsidRPr="009C0665">
        <w:rPr>
          <w:szCs w:val="22"/>
          <w:lang w:val="sr-Latn-ME"/>
        </w:rPr>
        <w:t xml:space="preserve"> 8°C). </w:t>
      </w:r>
      <w:r w:rsidR="00657B41" w:rsidRPr="009C0665">
        <w:rPr>
          <w:szCs w:val="22"/>
          <w:lang w:val="sr-Latn-ME"/>
        </w:rPr>
        <w:t>Bočicu čuvati u spolj</w:t>
      </w:r>
      <w:r w:rsidR="00CB7126" w:rsidRPr="009C0665">
        <w:rPr>
          <w:szCs w:val="22"/>
          <w:lang w:val="sr-Latn-ME"/>
        </w:rPr>
        <w:t>ašnje</w:t>
      </w:r>
      <w:r w:rsidR="00657B41" w:rsidRPr="009C0665">
        <w:rPr>
          <w:szCs w:val="22"/>
          <w:lang w:val="sr-Latn-ME"/>
        </w:rPr>
        <w:t>m pakovanju radi zaštite od sv</w:t>
      </w:r>
      <w:r w:rsidR="00AA51CB" w:rsidRPr="009C0665">
        <w:rPr>
          <w:szCs w:val="22"/>
          <w:lang w:val="sr-Latn-ME"/>
        </w:rPr>
        <w:t>j</w:t>
      </w:r>
      <w:r w:rsidR="00657B41" w:rsidRPr="009C0665">
        <w:rPr>
          <w:szCs w:val="22"/>
          <w:lang w:val="sr-Latn-ME"/>
        </w:rPr>
        <w:t>etlosti</w:t>
      </w:r>
      <w:r w:rsidRPr="009C0665">
        <w:rPr>
          <w:szCs w:val="22"/>
          <w:lang w:val="sr-Latn-ME"/>
        </w:rPr>
        <w:t>.</w:t>
      </w:r>
    </w:p>
    <w:p w14:paraId="10D48AB6" w14:textId="77777777" w:rsidR="00BC444F" w:rsidRPr="009C0665" w:rsidRDefault="00BC444F" w:rsidP="004C7864">
      <w:pPr>
        <w:pStyle w:val="Header"/>
        <w:tabs>
          <w:tab w:val="left" w:pos="284"/>
        </w:tabs>
        <w:rPr>
          <w:szCs w:val="22"/>
          <w:lang w:val="sr-Latn-ME"/>
        </w:rPr>
      </w:pPr>
    </w:p>
    <w:p w14:paraId="6CA45B69" w14:textId="1711F46B" w:rsidR="00847271" w:rsidRPr="009C0665" w:rsidRDefault="00847271" w:rsidP="004C7864">
      <w:pPr>
        <w:pStyle w:val="Header"/>
        <w:tabs>
          <w:tab w:val="left" w:pos="284"/>
        </w:tabs>
        <w:rPr>
          <w:szCs w:val="22"/>
          <w:lang w:val="sr-Latn-ME"/>
        </w:rPr>
      </w:pPr>
      <w:r w:rsidRPr="009C0665">
        <w:rPr>
          <w:szCs w:val="22"/>
          <w:lang w:val="sr-Latn-ME"/>
        </w:rPr>
        <w:t>Za uslove čuvanja nakon rekonstitucije i raz</w:t>
      </w:r>
      <w:r w:rsidR="00CD1BEC" w:rsidRPr="009C0665">
        <w:rPr>
          <w:szCs w:val="22"/>
          <w:lang w:val="sr-Latn-ME"/>
        </w:rPr>
        <w:t>blaživanja</w:t>
      </w:r>
      <w:r w:rsidRPr="009C0665">
        <w:rPr>
          <w:szCs w:val="22"/>
          <w:lang w:val="sr-Latn-ME"/>
        </w:rPr>
        <w:t xml:space="preserve"> </w:t>
      </w:r>
      <w:r w:rsidR="00D26459" w:rsidRPr="009C0665">
        <w:rPr>
          <w:szCs w:val="22"/>
          <w:lang w:val="sr-Latn-ME"/>
        </w:rPr>
        <w:t>lijek</w:t>
      </w:r>
      <w:r w:rsidRPr="009C0665">
        <w:rPr>
          <w:szCs w:val="22"/>
          <w:lang w:val="sr-Latn-ME"/>
        </w:rPr>
        <w:t xml:space="preserve">a, </w:t>
      </w:r>
      <w:r w:rsidR="00BC444F" w:rsidRPr="009C0665">
        <w:rPr>
          <w:szCs w:val="22"/>
          <w:lang w:val="sr-Latn-ME"/>
        </w:rPr>
        <w:t>pogledati</w:t>
      </w:r>
      <w:r w:rsidR="00166D72" w:rsidRPr="009C0665">
        <w:rPr>
          <w:szCs w:val="22"/>
          <w:lang w:val="sr-Latn-ME"/>
        </w:rPr>
        <w:t xml:space="preserve"> dio</w:t>
      </w:r>
      <w:r w:rsidR="005F636B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6.3.</w:t>
      </w:r>
    </w:p>
    <w:p w14:paraId="7853C0A1" w14:textId="77777777" w:rsidR="00CE09F3" w:rsidRPr="009C0665" w:rsidRDefault="00CE09F3" w:rsidP="004C7864">
      <w:pPr>
        <w:rPr>
          <w:szCs w:val="22"/>
          <w:lang w:val="sr-Latn-ME"/>
        </w:rPr>
      </w:pPr>
    </w:p>
    <w:p w14:paraId="4011D97F" w14:textId="7D34632B" w:rsidR="00CE09F3" w:rsidRPr="009C0665" w:rsidRDefault="0022223A" w:rsidP="004C7864">
      <w:pPr>
        <w:rPr>
          <w:b/>
          <w:bCs/>
          <w:szCs w:val="22"/>
          <w:lang w:val="sr-Latn-ME"/>
        </w:rPr>
      </w:pPr>
      <w:r w:rsidRPr="009C0665">
        <w:rPr>
          <w:b/>
          <w:bCs/>
          <w:szCs w:val="22"/>
          <w:lang w:val="sr-Latn-ME"/>
        </w:rPr>
        <w:t xml:space="preserve">6.5. </w:t>
      </w:r>
      <w:r w:rsidR="00897387" w:rsidRPr="009C0665">
        <w:rPr>
          <w:b/>
          <w:bCs/>
          <w:szCs w:val="22"/>
          <w:lang w:val="sr-Latn-ME"/>
        </w:rPr>
        <w:t xml:space="preserve">Vrsta </w:t>
      </w:r>
      <w:r w:rsidR="00CE09F3" w:rsidRPr="009C0665">
        <w:rPr>
          <w:b/>
          <w:bCs/>
          <w:szCs w:val="22"/>
          <w:lang w:val="sr-Latn-ME"/>
        </w:rPr>
        <w:t>i sadržaj pakovanja</w:t>
      </w:r>
      <w:r w:rsidR="00F42610" w:rsidRPr="009C0665">
        <w:rPr>
          <w:b/>
          <w:bCs/>
          <w:szCs w:val="22"/>
          <w:lang w:val="sr-Latn-ME"/>
        </w:rPr>
        <w:t xml:space="preserve"> </w:t>
      </w:r>
    </w:p>
    <w:p w14:paraId="07D1C477" w14:textId="77777777" w:rsidR="001B1E60" w:rsidRPr="009C0665" w:rsidRDefault="001B1E60" w:rsidP="004C7864">
      <w:pPr>
        <w:rPr>
          <w:b/>
          <w:bCs/>
          <w:szCs w:val="22"/>
          <w:lang w:val="sr-Latn-ME"/>
        </w:rPr>
      </w:pPr>
    </w:p>
    <w:p w14:paraId="156ACF37" w14:textId="26DA6538" w:rsidR="00847271" w:rsidRPr="009C0665" w:rsidRDefault="00283C13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Unutrašnje pakovanje je </w:t>
      </w:r>
      <w:r w:rsidR="00847271" w:rsidRPr="009C0665">
        <w:rPr>
          <w:szCs w:val="22"/>
          <w:lang w:val="sr-Latn-ME"/>
        </w:rPr>
        <w:t>staklen</w:t>
      </w:r>
      <w:r w:rsidRPr="009C0665">
        <w:rPr>
          <w:szCs w:val="22"/>
          <w:lang w:val="sr-Latn-ME"/>
        </w:rPr>
        <w:t>a</w:t>
      </w:r>
      <w:r w:rsidR="00847271" w:rsidRPr="009C0665">
        <w:rPr>
          <w:szCs w:val="22"/>
          <w:lang w:val="sr-Latn-ME"/>
        </w:rPr>
        <w:t xml:space="preserve"> bočic</w:t>
      </w:r>
      <w:r w:rsidRPr="009C0665">
        <w:rPr>
          <w:szCs w:val="22"/>
          <w:lang w:val="sr-Latn-ME"/>
        </w:rPr>
        <w:t>a</w:t>
      </w:r>
      <w:r w:rsidR="00847271" w:rsidRPr="009C0665">
        <w:rPr>
          <w:szCs w:val="22"/>
          <w:lang w:val="sr-Latn-ME"/>
        </w:rPr>
        <w:t xml:space="preserve"> tipa </w:t>
      </w:r>
      <w:r w:rsidR="00BC444F" w:rsidRPr="009C0665">
        <w:rPr>
          <w:szCs w:val="22"/>
          <w:lang w:val="sr-Latn-ME"/>
        </w:rPr>
        <w:t>I</w:t>
      </w:r>
      <w:r w:rsidR="00847271" w:rsidRPr="009C0665">
        <w:rPr>
          <w:szCs w:val="22"/>
          <w:lang w:val="sr-Latn-ME"/>
        </w:rPr>
        <w:t xml:space="preserve"> (20 m</w:t>
      </w:r>
      <w:r w:rsidR="004F038C" w:rsidRPr="009C0665">
        <w:rPr>
          <w:szCs w:val="22"/>
          <w:lang w:val="sr-Latn-ME"/>
        </w:rPr>
        <w:t>l</w:t>
      </w:r>
      <w:r w:rsidR="00847271" w:rsidRPr="009C0665">
        <w:rPr>
          <w:szCs w:val="22"/>
          <w:lang w:val="sr-Latn-ME"/>
        </w:rPr>
        <w:t xml:space="preserve">) </w:t>
      </w:r>
      <w:r w:rsidR="00F94ED1" w:rsidRPr="009C0665">
        <w:rPr>
          <w:szCs w:val="22"/>
          <w:lang w:val="sr-Latn-ME"/>
        </w:rPr>
        <w:t xml:space="preserve">u kojoj se nalazi prašak za koncentrat za rastvor za infuziju, </w:t>
      </w:r>
      <w:r w:rsidR="00847271" w:rsidRPr="009C0665">
        <w:rPr>
          <w:szCs w:val="22"/>
          <w:lang w:val="sr-Latn-ME"/>
        </w:rPr>
        <w:t>opremljen</w:t>
      </w:r>
      <w:r w:rsidRPr="009C0665">
        <w:rPr>
          <w:szCs w:val="22"/>
          <w:lang w:val="sr-Latn-ME"/>
        </w:rPr>
        <w:t>a</w:t>
      </w:r>
      <w:r w:rsidR="00847271" w:rsidRPr="009C0665">
        <w:rPr>
          <w:szCs w:val="22"/>
          <w:lang w:val="sr-Latn-ME"/>
        </w:rPr>
        <w:t xml:space="preserve"> gumenim čepom i aluminijsk</w:t>
      </w:r>
      <w:r w:rsidR="0083557B" w:rsidRPr="009C0665">
        <w:rPr>
          <w:szCs w:val="22"/>
          <w:lang w:val="sr-Latn-ME"/>
        </w:rPr>
        <w:t>o</w:t>
      </w:r>
      <w:r w:rsidR="00847271" w:rsidRPr="009C0665">
        <w:rPr>
          <w:szCs w:val="22"/>
          <w:lang w:val="sr-Latn-ME"/>
        </w:rPr>
        <w:t xml:space="preserve">m </w:t>
      </w:r>
      <w:r w:rsidR="0083557B" w:rsidRPr="009C0665">
        <w:rPr>
          <w:szCs w:val="22"/>
          <w:lang w:val="sr-Latn-ME"/>
        </w:rPr>
        <w:t xml:space="preserve">kapicom zaštićenom </w:t>
      </w:r>
      <w:r w:rsidR="00847271" w:rsidRPr="009C0665">
        <w:rPr>
          <w:szCs w:val="22"/>
          <w:lang w:val="sr-Latn-ME"/>
        </w:rPr>
        <w:t xml:space="preserve">plastičnim </w:t>
      </w:r>
      <w:r w:rsidR="0083557B" w:rsidRPr="009C0665">
        <w:rPr>
          <w:szCs w:val="22"/>
          <w:lang w:val="sr-Latn-ME"/>
        </w:rPr>
        <w:t>poklopcem</w:t>
      </w:r>
      <w:r w:rsidR="00847271" w:rsidRPr="009C0665">
        <w:rPr>
          <w:szCs w:val="22"/>
          <w:lang w:val="sr-Latn-ME"/>
        </w:rPr>
        <w:t>.</w:t>
      </w:r>
    </w:p>
    <w:p w14:paraId="2DEF82FB" w14:textId="2369DF9A" w:rsidR="00CE09F3" w:rsidRPr="009C0665" w:rsidRDefault="000F4FB9" w:rsidP="004C7864">
      <w:pPr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Spoljašnje pakovanje je složiva kartonska kutija u kojoj se nalazi </w:t>
      </w:r>
      <w:r w:rsidR="00E03BB4" w:rsidRPr="009C0665">
        <w:rPr>
          <w:szCs w:val="22"/>
          <w:lang w:val="sr-Latn-ME"/>
        </w:rPr>
        <w:t>jedna</w:t>
      </w:r>
      <w:r w:rsidRPr="009C0665">
        <w:rPr>
          <w:szCs w:val="22"/>
          <w:lang w:val="sr-Latn-ME"/>
        </w:rPr>
        <w:t xml:space="preserve"> bočica sa praškom za koncentrat za rastvor za infuziju i Uputstvo za </w:t>
      </w:r>
      <w:r w:rsidR="00D26459" w:rsidRPr="009C0665">
        <w:rPr>
          <w:szCs w:val="22"/>
          <w:lang w:val="sr-Latn-ME"/>
        </w:rPr>
        <w:t>lijek</w:t>
      </w:r>
      <w:r w:rsidR="00847271" w:rsidRPr="009C0665">
        <w:rPr>
          <w:szCs w:val="22"/>
          <w:lang w:val="sr-Latn-ME"/>
        </w:rPr>
        <w:t>.</w:t>
      </w:r>
    </w:p>
    <w:p w14:paraId="5880B538" w14:textId="77777777" w:rsidR="00847271" w:rsidRPr="009C0665" w:rsidRDefault="00847271" w:rsidP="004C7864">
      <w:pPr>
        <w:rPr>
          <w:szCs w:val="22"/>
          <w:lang w:val="sr-Latn-ME"/>
        </w:rPr>
      </w:pPr>
    </w:p>
    <w:p w14:paraId="5CB4FD9C" w14:textId="5B6A71C3" w:rsidR="00CE09F3" w:rsidRPr="009C0665" w:rsidRDefault="00CE09F3" w:rsidP="004C7864">
      <w:pPr>
        <w:rPr>
          <w:b/>
          <w:bCs/>
          <w:szCs w:val="22"/>
          <w:lang w:val="sr-Latn-ME"/>
        </w:rPr>
      </w:pPr>
      <w:r w:rsidRPr="009C0665">
        <w:rPr>
          <w:b/>
          <w:bCs/>
          <w:szCs w:val="22"/>
          <w:lang w:val="sr-Latn-ME"/>
        </w:rPr>
        <w:t xml:space="preserve">6.6. </w:t>
      </w:r>
      <w:r w:rsidR="00897387" w:rsidRPr="009C0665">
        <w:rPr>
          <w:b/>
          <w:bCs/>
          <w:color w:val="000000"/>
          <w:szCs w:val="22"/>
          <w:lang w:val="sr-Latn-ME"/>
        </w:rPr>
        <w:t>Posebne mjere opreza pri odlaganju materijala koji treba odbaciti nakon primjene lijeka</w:t>
      </w:r>
      <w:r w:rsidR="00897387" w:rsidRPr="009C0665">
        <w:rPr>
          <w:b/>
          <w:bCs/>
          <w:szCs w:val="22"/>
          <w:lang w:val="sr-Latn-ME"/>
        </w:rPr>
        <w:t xml:space="preserve"> (i druga uputstva za rukovanje lijekom)</w:t>
      </w:r>
    </w:p>
    <w:p w14:paraId="26722277" w14:textId="77777777" w:rsidR="00CE09F3" w:rsidRPr="009C0665" w:rsidRDefault="00CE09F3" w:rsidP="004C7864">
      <w:pPr>
        <w:rPr>
          <w:szCs w:val="22"/>
          <w:lang w:val="sr-Latn-ME"/>
        </w:rPr>
      </w:pPr>
    </w:p>
    <w:p w14:paraId="03A0EC14" w14:textId="3DB59E27" w:rsidR="00847271" w:rsidRPr="009C0665" w:rsidRDefault="00847271" w:rsidP="004C7864">
      <w:pPr>
        <w:pStyle w:val="Header"/>
        <w:rPr>
          <w:szCs w:val="22"/>
          <w:u w:val="single"/>
          <w:lang w:val="sr-Latn-ME"/>
        </w:rPr>
      </w:pPr>
      <w:r w:rsidRPr="009C0665">
        <w:rPr>
          <w:szCs w:val="22"/>
          <w:u w:val="single"/>
          <w:lang w:val="sr-Latn-ME"/>
        </w:rPr>
        <w:t xml:space="preserve">Uputstvo za rekonstituciju i </w:t>
      </w:r>
      <w:r w:rsidR="00AB003D" w:rsidRPr="009C0665">
        <w:rPr>
          <w:szCs w:val="22"/>
          <w:u w:val="single"/>
          <w:lang w:val="sr-Latn-ME"/>
        </w:rPr>
        <w:t>primjenu</w:t>
      </w:r>
      <w:r w:rsidR="00283C13" w:rsidRPr="009C0665">
        <w:rPr>
          <w:szCs w:val="22"/>
          <w:u w:val="single"/>
          <w:lang w:val="sr-Latn-ME"/>
        </w:rPr>
        <w:t xml:space="preserve"> </w:t>
      </w:r>
      <w:r w:rsidRPr="009C0665">
        <w:rPr>
          <w:szCs w:val="22"/>
          <w:u w:val="single"/>
          <w:lang w:val="sr-Latn-ME"/>
        </w:rPr>
        <w:t>infuzij</w:t>
      </w:r>
      <w:r w:rsidR="00283C13" w:rsidRPr="009C0665">
        <w:rPr>
          <w:szCs w:val="22"/>
          <w:u w:val="single"/>
          <w:lang w:val="sr-Latn-ME"/>
        </w:rPr>
        <w:t>e</w:t>
      </w:r>
    </w:p>
    <w:p w14:paraId="7CF2E251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0CE13A7C" w14:textId="2F9DD076" w:rsidR="0083557B" w:rsidRPr="009C0665" w:rsidRDefault="00847271" w:rsidP="004C7864">
      <w:pPr>
        <w:pStyle w:val="Header"/>
        <w:numPr>
          <w:ilvl w:val="0"/>
          <w:numId w:val="5"/>
        </w:numPr>
        <w:ind w:left="0" w:firstLine="0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Pri pripremi rastvora </w:t>
      </w:r>
      <w:r w:rsidR="00D26459" w:rsidRPr="009C0665">
        <w:rPr>
          <w:szCs w:val="22"/>
          <w:lang w:val="sr-Latn-ME"/>
        </w:rPr>
        <w:t>lijek</w:t>
      </w:r>
      <w:r w:rsidRPr="009C0665">
        <w:rPr>
          <w:szCs w:val="22"/>
          <w:lang w:val="sr-Latn-ME"/>
        </w:rPr>
        <w:t>a Entyvio za intravensku infuziju pridržavajte se aseptične tehnike.</w:t>
      </w:r>
    </w:p>
    <w:p w14:paraId="378D60AB" w14:textId="77777777" w:rsidR="0083557B" w:rsidRPr="009C0665" w:rsidRDefault="0083557B" w:rsidP="004C7864">
      <w:pPr>
        <w:pStyle w:val="Header"/>
        <w:rPr>
          <w:szCs w:val="22"/>
          <w:lang w:val="sr-Latn-ME"/>
        </w:rPr>
      </w:pPr>
    </w:p>
    <w:p w14:paraId="45C24DBF" w14:textId="319621F8" w:rsidR="0083557B" w:rsidRPr="009C0665" w:rsidRDefault="00847271" w:rsidP="004C7864">
      <w:pPr>
        <w:pStyle w:val="Header"/>
        <w:numPr>
          <w:ilvl w:val="0"/>
          <w:numId w:val="5"/>
        </w:numPr>
        <w:ind w:left="0" w:firstLine="0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Uklonite </w:t>
      </w:r>
      <w:r w:rsidRPr="009C0665">
        <w:rPr>
          <w:szCs w:val="22"/>
          <w:lang w:val="sr-Latn-ME"/>
        </w:rPr>
        <w:tab/>
      </w:r>
      <w:r w:rsidR="0083557B" w:rsidRPr="009C0665">
        <w:rPr>
          <w:szCs w:val="22"/>
          <w:lang w:val="sr-Latn-ME"/>
        </w:rPr>
        <w:t xml:space="preserve">poklopac </w:t>
      </w:r>
      <w:r w:rsidRPr="009C0665">
        <w:rPr>
          <w:szCs w:val="22"/>
          <w:lang w:val="sr-Latn-ME"/>
        </w:rPr>
        <w:t xml:space="preserve">sa bočice i obrišite </w:t>
      </w:r>
      <w:r w:rsidR="0083557B" w:rsidRPr="009C0665">
        <w:rPr>
          <w:szCs w:val="22"/>
          <w:lang w:val="sr-Latn-ME"/>
        </w:rPr>
        <w:t xml:space="preserve">čep </w:t>
      </w:r>
      <w:r w:rsidRPr="009C0665">
        <w:rPr>
          <w:szCs w:val="22"/>
          <w:lang w:val="sr-Latn-ME"/>
        </w:rPr>
        <w:t>alkoholnom vatom. Rekonstituišite vedolizumab sa 4,8 m</w:t>
      </w:r>
      <w:r w:rsidR="00BB3F0A" w:rsidRPr="009C0665">
        <w:rPr>
          <w:szCs w:val="22"/>
          <w:lang w:val="sr-Latn-ME"/>
        </w:rPr>
        <w:t>l</w:t>
      </w:r>
      <w:r w:rsidRPr="009C0665">
        <w:rPr>
          <w:szCs w:val="22"/>
          <w:lang w:val="sr-Latn-ME"/>
        </w:rPr>
        <w:t xml:space="preserve"> sterilne vode za injekcije </w:t>
      </w:r>
      <w:r w:rsidR="006C40D2" w:rsidRPr="009C0665">
        <w:rPr>
          <w:szCs w:val="22"/>
          <w:lang w:val="sr-Latn-ME"/>
        </w:rPr>
        <w:t>na sobnoj temperaturi (</w:t>
      </w:r>
      <w:r w:rsidR="001B1E60" w:rsidRPr="009C0665">
        <w:rPr>
          <w:szCs w:val="22"/>
          <w:lang w:val="sr-Latn-ME"/>
        </w:rPr>
        <w:t xml:space="preserve">od </w:t>
      </w:r>
      <w:r w:rsidR="006C40D2" w:rsidRPr="009C0665">
        <w:rPr>
          <w:szCs w:val="22"/>
          <w:lang w:val="sr-Latn-ME"/>
        </w:rPr>
        <w:t>20°C</w:t>
      </w:r>
      <w:r w:rsidR="001B1E60" w:rsidRPr="009C0665">
        <w:rPr>
          <w:szCs w:val="22"/>
          <w:lang w:val="sr-Latn-ME"/>
        </w:rPr>
        <w:t xml:space="preserve"> do </w:t>
      </w:r>
      <w:r w:rsidR="006C40D2" w:rsidRPr="009C0665">
        <w:rPr>
          <w:szCs w:val="22"/>
          <w:lang w:val="sr-Latn-ME"/>
        </w:rPr>
        <w:t xml:space="preserve">25°C) </w:t>
      </w:r>
      <w:r w:rsidRPr="009C0665">
        <w:rPr>
          <w:szCs w:val="22"/>
          <w:lang w:val="sr-Latn-ME"/>
        </w:rPr>
        <w:t>upotrebom šprica sa iglom veličine 21G</w:t>
      </w:r>
      <w:r w:rsidR="00660C78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-</w:t>
      </w:r>
      <w:r w:rsidR="00660C78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25G.</w:t>
      </w:r>
    </w:p>
    <w:p w14:paraId="4A2D791E" w14:textId="77777777" w:rsidR="0083557B" w:rsidRPr="009C0665" w:rsidRDefault="0083557B" w:rsidP="004C7864">
      <w:pPr>
        <w:pStyle w:val="Header"/>
        <w:rPr>
          <w:szCs w:val="22"/>
          <w:lang w:val="sr-Latn-ME"/>
        </w:rPr>
      </w:pPr>
    </w:p>
    <w:p w14:paraId="4D8C60D8" w14:textId="118FAD7D" w:rsidR="0083557B" w:rsidRPr="009C0665" w:rsidRDefault="00847271" w:rsidP="004C7864">
      <w:pPr>
        <w:pStyle w:val="Header"/>
        <w:numPr>
          <w:ilvl w:val="0"/>
          <w:numId w:val="5"/>
        </w:numPr>
        <w:ind w:left="0" w:firstLine="0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Umetnite iglu u bočicu kroz središte čepa i </w:t>
      </w:r>
      <w:r w:rsidR="00A63489" w:rsidRPr="009C0665">
        <w:rPr>
          <w:szCs w:val="22"/>
          <w:lang w:val="sr-Latn-ME"/>
        </w:rPr>
        <w:t>usmjerite</w:t>
      </w:r>
      <w:r w:rsidRPr="009C0665">
        <w:rPr>
          <w:szCs w:val="22"/>
          <w:lang w:val="sr-Latn-ME"/>
        </w:rPr>
        <w:t xml:space="preserve"> mlaz tečnosti prema zidu bočice kako biste izb</w:t>
      </w:r>
      <w:r w:rsidR="00BB3F0A" w:rsidRPr="009C0665">
        <w:rPr>
          <w:szCs w:val="22"/>
          <w:lang w:val="sr-Latn-ME"/>
        </w:rPr>
        <w:t>j</w:t>
      </w:r>
      <w:r w:rsidRPr="009C0665">
        <w:rPr>
          <w:szCs w:val="22"/>
          <w:lang w:val="sr-Latn-ME"/>
        </w:rPr>
        <w:t xml:space="preserve">egli </w:t>
      </w:r>
      <w:r w:rsidR="00A63489" w:rsidRPr="009C0665">
        <w:rPr>
          <w:szCs w:val="22"/>
          <w:lang w:val="sr-Latn-ME"/>
        </w:rPr>
        <w:t>prekomjerno</w:t>
      </w:r>
      <w:r w:rsidRPr="009C0665">
        <w:rPr>
          <w:szCs w:val="22"/>
          <w:lang w:val="sr-Latn-ME"/>
        </w:rPr>
        <w:t xml:space="preserve"> </w:t>
      </w:r>
      <w:r w:rsidR="00283C13" w:rsidRPr="009C0665">
        <w:rPr>
          <w:szCs w:val="22"/>
          <w:lang w:val="sr-Latn-ME"/>
        </w:rPr>
        <w:t>stvaranje p</w:t>
      </w:r>
      <w:r w:rsidR="00A63489" w:rsidRPr="009C0665">
        <w:rPr>
          <w:szCs w:val="22"/>
          <w:lang w:val="sr-Latn-ME"/>
        </w:rPr>
        <w:t>j</w:t>
      </w:r>
      <w:r w:rsidR="00283C13" w:rsidRPr="009C0665">
        <w:rPr>
          <w:szCs w:val="22"/>
          <w:lang w:val="sr-Latn-ME"/>
        </w:rPr>
        <w:t>ene</w:t>
      </w:r>
      <w:r w:rsidRPr="009C0665">
        <w:rPr>
          <w:szCs w:val="22"/>
          <w:lang w:val="sr-Latn-ME"/>
        </w:rPr>
        <w:t>.</w:t>
      </w:r>
    </w:p>
    <w:p w14:paraId="1D6C1C5B" w14:textId="77777777" w:rsidR="0083557B" w:rsidRPr="009C0665" w:rsidRDefault="0083557B" w:rsidP="004C7864">
      <w:pPr>
        <w:pStyle w:val="Header"/>
        <w:rPr>
          <w:szCs w:val="22"/>
          <w:lang w:val="sr-Latn-ME"/>
        </w:rPr>
      </w:pPr>
    </w:p>
    <w:p w14:paraId="57889963" w14:textId="77777777" w:rsidR="00847271" w:rsidRPr="009C0665" w:rsidRDefault="00847271" w:rsidP="004C7864">
      <w:pPr>
        <w:pStyle w:val="Header"/>
        <w:numPr>
          <w:ilvl w:val="0"/>
          <w:numId w:val="5"/>
        </w:numPr>
        <w:ind w:left="0" w:firstLine="0"/>
        <w:rPr>
          <w:szCs w:val="22"/>
          <w:lang w:val="sr-Latn-ME"/>
        </w:rPr>
      </w:pPr>
      <w:r w:rsidRPr="009C0665">
        <w:rPr>
          <w:szCs w:val="22"/>
          <w:lang w:val="sr-Latn-ME"/>
        </w:rPr>
        <w:t>Lagano vrtite bočicu najmanje 15 sekundi. Nemojte snažno tresti niti okretati.</w:t>
      </w:r>
    </w:p>
    <w:p w14:paraId="2E714C00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4B7D5818" w14:textId="263E391A" w:rsidR="00847271" w:rsidRPr="009C0665" w:rsidRDefault="00847271" w:rsidP="004C7864">
      <w:pPr>
        <w:pStyle w:val="Header"/>
        <w:numPr>
          <w:ilvl w:val="0"/>
          <w:numId w:val="5"/>
        </w:numPr>
        <w:ind w:left="0" w:firstLine="0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Neka bočica odstoji do 20 minuta </w:t>
      </w:r>
      <w:r w:rsidR="006C40D2" w:rsidRPr="009C0665">
        <w:rPr>
          <w:szCs w:val="22"/>
          <w:lang w:val="sr-Latn-ME"/>
        </w:rPr>
        <w:t>na sobnoj temperaturi (</w:t>
      </w:r>
      <w:r w:rsidR="001B1E60" w:rsidRPr="009C0665">
        <w:rPr>
          <w:szCs w:val="22"/>
          <w:lang w:val="sr-Latn-ME"/>
        </w:rPr>
        <w:t xml:space="preserve">od </w:t>
      </w:r>
      <w:r w:rsidR="006C40D2" w:rsidRPr="009C0665">
        <w:rPr>
          <w:szCs w:val="22"/>
          <w:lang w:val="sr-Latn-ME"/>
        </w:rPr>
        <w:t>20°C</w:t>
      </w:r>
      <w:r w:rsidR="001B1E60" w:rsidRPr="009C0665">
        <w:rPr>
          <w:szCs w:val="22"/>
          <w:lang w:val="sr-Latn-ME"/>
        </w:rPr>
        <w:t xml:space="preserve"> do </w:t>
      </w:r>
      <w:r w:rsidR="006C40D2" w:rsidRPr="009C0665">
        <w:rPr>
          <w:szCs w:val="22"/>
          <w:lang w:val="sr-Latn-ME"/>
        </w:rPr>
        <w:t xml:space="preserve">25°C) </w:t>
      </w:r>
      <w:r w:rsidRPr="009C0665">
        <w:rPr>
          <w:szCs w:val="22"/>
          <w:lang w:val="sr-Latn-ME"/>
        </w:rPr>
        <w:t>kako bi se omogućila rekonstitucija i sl</w:t>
      </w:r>
      <w:r w:rsidR="00BB3F0A" w:rsidRPr="009C0665">
        <w:rPr>
          <w:szCs w:val="22"/>
          <w:lang w:val="sr-Latn-ME"/>
        </w:rPr>
        <w:t>ij</w:t>
      </w:r>
      <w:r w:rsidRPr="009C0665">
        <w:rPr>
          <w:szCs w:val="22"/>
          <w:lang w:val="sr-Latn-ME"/>
        </w:rPr>
        <w:t xml:space="preserve">eganje </w:t>
      </w:r>
      <w:r w:rsidR="00752F11" w:rsidRPr="009C0665">
        <w:rPr>
          <w:szCs w:val="22"/>
          <w:lang w:val="sr-Latn-ME"/>
        </w:rPr>
        <w:t>pjene</w:t>
      </w:r>
      <w:r w:rsidRPr="009C0665">
        <w:rPr>
          <w:szCs w:val="22"/>
          <w:lang w:val="sr-Latn-ME"/>
        </w:rPr>
        <w:t>; bočicu za to vr</w:t>
      </w:r>
      <w:r w:rsidR="00752F11" w:rsidRPr="009C0665">
        <w:rPr>
          <w:szCs w:val="22"/>
          <w:lang w:val="sr-Latn-ME"/>
        </w:rPr>
        <w:t>ij</w:t>
      </w:r>
      <w:r w:rsidRPr="009C0665">
        <w:rPr>
          <w:szCs w:val="22"/>
          <w:lang w:val="sr-Latn-ME"/>
        </w:rPr>
        <w:t>eme možete vrt</w:t>
      </w:r>
      <w:r w:rsidR="00752F11" w:rsidRPr="009C0665">
        <w:rPr>
          <w:szCs w:val="22"/>
          <w:lang w:val="sr-Latn-ME"/>
        </w:rPr>
        <w:t>j</w:t>
      </w:r>
      <w:r w:rsidRPr="009C0665">
        <w:rPr>
          <w:szCs w:val="22"/>
          <w:lang w:val="sr-Latn-ME"/>
        </w:rPr>
        <w:t xml:space="preserve">eti i </w:t>
      </w:r>
      <w:r w:rsidR="00752F11" w:rsidRPr="009C0665">
        <w:rPr>
          <w:szCs w:val="22"/>
          <w:lang w:val="sr-Latn-ME"/>
        </w:rPr>
        <w:t>provjeravati</w:t>
      </w:r>
      <w:r w:rsidRPr="009C0665">
        <w:rPr>
          <w:szCs w:val="22"/>
          <w:lang w:val="sr-Latn-ME"/>
        </w:rPr>
        <w:t xml:space="preserve"> rastvaranje. Ako se sadržaj ne rastvori u potpunosti nakon 20 minuta, pričekajte još dodatnih 10 minuta.</w:t>
      </w:r>
    </w:p>
    <w:p w14:paraId="22A95E1F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568C9717" w14:textId="5B5FFBD9" w:rsidR="00847271" w:rsidRPr="009C0665" w:rsidRDefault="00847271" w:rsidP="004C7864">
      <w:pPr>
        <w:pStyle w:val="Header"/>
        <w:numPr>
          <w:ilvl w:val="0"/>
          <w:numId w:val="5"/>
        </w:numPr>
        <w:ind w:left="0" w:firstLine="0"/>
        <w:rPr>
          <w:szCs w:val="22"/>
          <w:lang w:val="sr-Latn-ME"/>
        </w:rPr>
      </w:pPr>
      <w:r w:rsidRPr="009C0665">
        <w:rPr>
          <w:szCs w:val="22"/>
          <w:lang w:val="sr-Latn-ME"/>
        </w:rPr>
        <w:t>Pr</w:t>
      </w:r>
      <w:r w:rsidR="00F94ED1" w:rsidRPr="009C0665">
        <w:rPr>
          <w:szCs w:val="22"/>
          <w:lang w:val="sr-Latn-ME"/>
        </w:rPr>
        <w:t>ij</w:t>
      </w:r>
      <w:r w:rsidRPr="009C0665">
        <w:rPr>
          <w:szCs w:val="22"/>
          <w:lang w:val="sr-Latn-ME"/>
        </w:rPr>
        <w:t xml:space="preserve">e </w:t>
      </w:r>
      <w:r w:rsidR="00C313F3" w:rsidRPr="009C0665">
        <w:rPr>
          <w:szCs w:val="22"/>
          <w:lang w:val="sr-Latn-ME"/>
        </w:rPr>
        <w:t>razblaživanja prov</w:t>
      </w:r>
      <w:r w:rsidR="00752F11" w:rsidRPr="009C0665">
        <w:rPr>
          <w:szCs w:val="22"/>
          <w:lang w:val="sr-Latn-ME"/>
        </w:rPr>
        <w:t>j</w:t>
      </w:r>
      <w:r w:rsidR="00C313F3" w:rsidRPr="009C0665">
        <w:rPr>
          <w:szCs w:val="22"/>
          <w:lang w:val="sr-Latn-ME"/>
        </w:rPr>
        <w:t xml:space="preserve">erite </w:t>
      </w:r>
      <w:r w:rsidRPr="009C0665">
        <w:rPr>
          <w:szCs w:val="22"/>
          <w:lang w:val="sr-Latn-ME"/>
        </w:rPr>
        <w:t xml:space="preserve">u rekonstituisanom </w:t>
      </w:r>
      <w:r w:rsidR="0083557B" w:rsidRPr="009C0665">
        <w:rPr>
          <w:szCs w:val="22"/>
          <w:lang w:val="sr-Latn-ME"/>
        </w:rPr>
        <w:t>rastvoru</w:t>
      </w:r>
      <w:r w:rsidRPr="009C0665">
        <w:rPr>
          <w:szCs w:val="22"/>
          <w:lang w:val="sr-Latn-ME"/>
        </w:rPr>
        <w:t xml:space="preserve"> prisustvo čestica i prom</w:t>
      </w:r>
      <w:r w:rsidR="00752F11" w:rsidRPr="009C0665">
        <w:rPr>
          <w:szCs w:val="22"/>
          <w:lang w:val="sr-Latn-ME"/>
        </w:rPr>
        <w:t>j</w:t>
      </w:r>
      <w:r w:rsidRPr="009C0665">
        <w:rPr>
          <w:szCs w:val="22"/>
          <w:lang w:val="sr-Latn-ME"/>
        </w:rPr>
        <w:t>enu boje. Rastvor mora biti bistar ili opalescentan, bezbojan do sv</w:t>
      </w:r>
      <w:r w:rsidR="00BB3F0A" w:rsidRPr="009C0665">
        <w:rPr>
          <w:szCs w:val="22"/>
          <w:lang w:val="sr-Latn-ME"/>
        </w:rPr>
        <w:t>ij</w:t>
      </w:r>
      <w:r w:rsidRPr="009C0665">
        <w:rPr>
          <w:szCs w:val="22"/>
          <w:lang w:val="sr-Latn-ME"/>
        </w:rPr>
        <w:t>etložut i bez vidljivih čestica. Rekonstituisan rastvor nekarakteristične boje ili koji sadrži čestice ne sm</w:t>
      </w:r>
      <w:r w:rsidR="00752F11" w:rsidRPr="009C0665">
        <w:rPr>
          <w:szCs w:val="22"/>
          <w:lang w:val="sr-Latn-ME"/>
        </w:rPr>
        <w:t>ij</w:t>
      </w:r>
      <w:r w:rsidRPr="009C0665">
        <w:rPr>
          <w:szCs w:val="22"/>
          <w:lang w:val="sr-Latn-ME"/>
        </w:rPr>
        <w:t xml:space="preserve">e se </w:t>
      </w:r>
      <w:r w:rsidR="00AB003D" w:rsidRPr="009C0665">
        <w:rPr>
          <w:szCs w:val="22"/>
          <w:lang w:val="sr-Latn-ME"/>
        </w:rPr>
        <w:t>primjeni</w:t>
      </w:r>
      <w:r w:rsidRPr="009C0665">
        <w:rPr>
          <w:szCs w:val="22"/>
          <w:lang w:val="sr-Latn-ME"/>
        </w:rPr>
        <w:t>ti.</w:t>
      </w:r>
    </w:p>
    <w:p w14:paraId="6A8D204C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431D06BC" w14:textId="77777777" w:rsidR="00847271" w:rsidRPr="009C0665" w:rsidRDefault="00C313F3" w:rsidP="004C7864">
      <w:pPr>
        <w:pStyle w:val="Header"/>
        <w:numPr>
          <w:ilvl w:val="0"/>
          <w:numId w:val="5"/>
        </w:numPr>
        <w:ind w:left="0" w:firstLine="0"/>
        <w:rPr>
          <w:szCs w:val="22"/>
          <w:lang w:val="sr-Latn-ME"/>
        </w:rPr>
      </w:pPr>
      <w:r w:rsidRPr="009C0665">
        <w:rPr>
          <w:szCs w:val="22"/>
          <w:lang w:val="sr-Latn-ME"/>
        </w:rPr>
        <w:t>Nakon rastvaranja</w:t>
      </w:r>
      <w:r w:rsidR="00847271" w:rsidRPr="009C0665">
        <w:rPr>
          <w:szCs w:val="22"/>
          <w:lang w:val="sr-Latn-ME"/>
        </w:rPr>
        <w:t>, lagano preokrenite bočicu tri puta.</w:t>
      </w:r>
    </w:p>
    <w:p w14:paraId="4B982F31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28573CED" w14:textId="69E79333" w:rsidR="00847271" w:rsidRPr="009C0665" w:rsidRDefault="006C40D2" w:rsidP="004C7864">
      <w:pPr>
        <w:pStyle w:val="Header"/>
        <w:numPr>
          <w:ilvl w:val="0"/>
          <w:numId w:val="5"/>
        </w:numPr>
        <w:ind w:left="0" w:firstLine="0"/>
        <w:rPr>
          <w:szCs w:val="22"/>
          <w:lang w:val="sr-Latn-ME"/>
        </w:rPr>
      </w:pPr>
      <w:r w:rsidRPr="009C0665">
        <w:rPr>
          <w:szCs w:val="22"/>
          <w:lang w:val="sr-Latn-ME"/>
        </w:rPr>
        <w:t>Odmah i</w:t>
      </w:r>
      <w:r w:rsidR="00847271" w:rsidRPr="009C0665">
        <w:rPr>
          <w:szCs w:val="22"/>
          <w:lang w:val="sr-Latn-ME"/>
        </w:rPr>
        <w:t>zvucite 5 m</w:t>
      </w:r>
      <w:r w:rsidR="00BB3F0A" w:rsidRPr="009C0665">
        <w:rPr>
          <w:szCs w:val="22"/>
          <w:lang w:val="sr-Latn-ME"/>
        </w:rPr>
        <w:t>l</w:t>
      </w:r>
      <w:r w:rsidR="00847271" w:rsidRPr="009C0665">
        <w:rPr>
          <w:szCs w:val="22"/>
          <w:lang w:val="sr-Latn-ME"/>
        </w:rPr>
        <w:t xml:space="preserve"> (300 mg) rekonstitui</w:t>
      </w:r>
      <w:r w:rsidRPr="009C0665">
        <w:rPr>
          <w:szCs w:val="22"/>
          <w:lang w:val="sr-Latn-ME"/>
        </w:rPr>
        <w:t>s</w:t>
      </w:r>
      <w:r w:rsidR="00847271" w:rsidRPr="009C0665">
        <w:rPr>
          <w:szCs w:val="22"/>
          <w:lang w:val="sr-Latn-ME"/>
        </w:rPr>
        <w:t xml:space="preserve">anog </w:t>
      </w:r>
      <w:r w:rsidR="00D26459" w:rsidRPr="009C0665">
        <w:rPr>
          <w:szCs w:val="22"/>
          <w:lang w:val="sr-Latn-ME"/>
        </w:rPr>
        <w:t>lijek</w:t>
      </w:r>
      <w:r w:rsidR="00847271" w:rsidRPr="009C0665">
        <w:rPr>
          <w:szCs w:val="22"/>
          <w:lang w:val="sr-Latn-ME"/>
        </w:rPr>
        <w:t>a Entyvio upotrebom šprica sa iglom</w:t>
      </w:r>
      <w:r w:rsidR="00660C78" w:rsidRPr="009C0665">
        <w:rPr>
          <w:szCs w:val="22"/>
          <w:lang w:val="sr-Latn-ME"/>
        </w:rPr>
        <w:t xml:space="preserve"> veličine</w:t>
      </w:r>
      <w:r w:rsidR="00847271" w:rsidRPr="009C0665">
        <w:rPr>
          <w:szCs w:val="22"/>
          <w:lang w:val="sr-Latn-ME"/>
        </w:rPr>
        <w:t xml:space="preserve"> 21G</w:t>
      </w:r>
      <w:r w:rsidR="00660C78" w:rsidRPr="009C0665">
        <w:rPr>
          <w:szCs w:val="22"/>
          <w:lang w:val="sr-Latn-ME"/>
        </w:rPr>
        <w:t xml:space="preserve"> </w:t>
      </w:r>
      <w:r w:rsidR="00847271" w:rsidRPr="009C0665">
        <w:rPr>
          <w:szCs w:val="22"/>
          <w:lang w:val="sr-Latn-ME"/>
        </w:rPr>
        <w:t>-</w:t>
      </w:r>
      <w:r w:rsidR="00660C78" w:rsidRPr="009C0665">
        <w:rPr>
          <w:szCs w:val="22"/>
          <w:lang w:val="sr-Latn-ME"/>
        </w:rPr>
        <w:t xml:space="preserve"> </w:t>
      </w:r>
      <w:r w:rsidR="00847271" w:rsidRPr="009C0665">
        <w:rPr>
          <w:szCs w:val="22"/>
          <w:lang w:val="sr-Latn-ME"/>
        </w:rPr>
        <w:t>25G.</w:t>
      </w:r>
    </w:p>
    <w:p w14:paraId="35C90692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7C0DEAE6" w14:textId="73D77557" w:rsidR="00847271" w:rsidRPr="009C0665" w:rsidRDefault="00847271" w:rsidP="004C7864">
      <w:pPr>
        <w:pStyle w:val="Header"/>
        <w:numPr>
          <w:ilvl w:val="0"/>
          <w:numId w:val="5"/>
        </w:numPr>
        <w:ind w:left="0" w:firstLine="0"/>
        <w:rPr>
          <w:szCs w:val="22"/>
          <w:lang w:val="sr-Latn-ME"/>
        </w:rPr>
      </w:pPr>
      <w:r w:rsidRPr="009C0665">
        <w:rPr>
          <w:szCs w:val="22"/>
          <w:lang w:val="sr-Latn-ME"/>
        </w:rPr>
        <w:t>Dodajte 5 m</w:t>
      </w:r>
      <w:r w:rsidR="00BB3F0A" w:rsidRPr="009C0665">
        <w:rPr>
          <w:szCs w:val="22"/>
          <w:lang w:val="sr-Latn-ME"/>
        </w:rPr>
        <w:t>l</w:t>
      </w:r>
      <w:r w:rsidRPr="009C0665">
        <w:rPr>
          <w:szCs w:val="22"/>
          <w:lang w:val="sr-Latn-ME"/>
        </w:rPr>
        <w:t xml:space="preserve"> (300 mg) rekonstituisanog </w:t>
      </w:r>
      <w:r w:rsidR="00D26459" w:rsidRPr="009C0665">
        <w:rPr>
          <w:szCs w:val="22"/>
          <w:lang w:val="sr-Latn-ME"/>
        </w:rPr>
        <w:t>lijek</w:t>
      </w:r>
      <w:r w:rsidRPr="009C0665">
        <w:rPr>
          <w:szCs w:val="22"/>
          <w:lang w:val="sr-Latn-ME"/>
        </w:rPr>
        <w:t>a Entyvio u 250 m</w:t>
      </w:r>
      <w:r w:rsidR="00BB3F0A" w:rsidRPr="009C0665">
        <w:rPr>
          <w:szCs w:val="22"/>
          <w:lang w:val="sr-Latn-ME"/>
        </w:rPr>
        <w:t>l</w:t>
      </w:r>
      <w:r w:rsidRPr="009C0665">
        <w:rPr>
          <w:szCs w:val="22"/>
          <w:lang w:val="sr-Latn-ME"/>
        </w:rPr>
        <w:t xml:space="preserve"> 0,9%-nog</w:t>
      </w:r>
      <w:r w:rsidR="006C40D2" w:rsidRPr="009C0665">
        <w:rPr>
          <w:szCs w:val="22"/>
          <w:lang w:val="sr-Latn-ME"/>
        </w:rPr>
        <w:t xml:space="preserve"> </w:t>
      </w:r>
      <w:r w:rsidR="00C313F3" w:rsidRPr="009C0665">
        <w:rPr>
          <w:szCs w:val="22"/>
          <w:lang w:val="sr-Latn-ME"/>
        </w:rPr>
        <w:t>sterilnog izotoničnog rastvora natrijum</w:t>
      </w:r>
      <w:r w:rsidR="0024699B" w:rsidRPr="009C0665">
        <w:rPr>
          <w:szCs w:val="22"/>
          <w:lang w:val="sr-Latn-ME"/>
        </w:rPr>
        <w:t xml:space="preserve"> </w:t>
      </w:r>
      <w:r w:rsidR="00C313F3" w:rsidRPr="009C0665">
        <w:rPr>
          <w:szCs w:val="22"/>
          <w:lang w:val="sr-Latn-ME"/>
        </w:rPr>
        <w:t xml:space="preserve">hlorida </w:t>
      </w:r>
      <w:r w:rsidR="006C40D2" w:rsidRPr="009C0665">
        <w:rPr>
          <w:szCs w:val="22"/>
          <w:lang w:val="sr-Latn-ME"/>
        </w:rPr>
        <w:t>(9</w:t>
      </w:r>
      <w:r w:rsidR="00660C78" w:rsidRPr="009C0665">
        <w:rPr>
          <w:szCs w:val="22"/>
          <w:lang w:val="sr-Latn-ME"/>
        </w:rPr>
        <w:t xml:space="preserve"> </w:t>
      </w:r>
      <w:r w:rsidR="006C40D2" w:rsidRPr="009C0665">
        <w:rPr>
          <w:szCs w:val="22"/>
          <w:lang w:val="sr-Latn-ME"/>
        </w:rPr>
        <w:t>mg/m</w:t>
      </w:r>
      <w:r w:rsidR="00BB3F0A" w:rsidRPr="009C0665">
        <w:rPr>
          <w:szCs w:val="22"/>
          <w:lang w:val="sr-Latn-ME"/>
        </w:rPr>
        <w:t>l</w:t>
      </w:r>
      <w:r w:rsidR="006C40D2" w:rsidRPr="009C0665">
        <w:rPr>
          <w:szCs w:val="22"/>
          <w:lang w:val="sr-Latn-ME"/>
        </w:rPr>
        <w:t>)</w:t>
      </w:r>
      <w:r w:rsidRPr="009C0665">
        <w:rPr>
          <w:szCs w:val="22"/>
          <w:lang w:val="sr-Latn-ME"/>
        </w:rPr>
        <w:t xml:space="preserve"> i lagano </w:t>
      </w:r>
      <w:r w:rsidR="00752F11" w:rsidRPr="009C0665">
        <w:rPr>
          <w:szCs w:val="22"/>
          <w:lang w:val="sr-Latn-ME"/>
        </w:rPr>
        <w:t>promiješajte</w:t>
      </w:r>
      <w:r w:rsidRPr="009C0665">
        <w:rPr>
          <w:szCs w:val="22"/>
          <w:lang w:val="sr-Latn-ME"/>
        </w:rPr>
        <w:t xml:space="preserve"> kesu za infuziju (ne morate izvući 5 m</w:t>
      </w:r>
      <w:r w:rsidR="00BB3F0A" w:rsidRPr="009C0665">
        <w:rPr>
          <w:szCs w:val="22"/>
          <w:lang w:val="sr-Latn-ME"/>
        </w:rPr>
        <w:t>l</w:t>
      </w:r>
      <w:r w:rsidRPr="009C0665">
        <w:rPr>
          <w:szCs w:val="22"/>
          <w:lang w:val="sr-Latn-ME"/>
        </w:rPr>
        <w:t xml:space="preserve"> 0,9%-nog </w:t>
      </w:r>
      <w:r w:rsidR="00C313F3" w:rsidRPr="009C0665">
        <w:rPr>
          <w:szCs w:val="22"/>
          <w:lang w:val="sr-Latn-ME"/>
        </w:rPr>
        <w:t xml:space="preserve">sterilnog izotoničnog </w:t>
      </w:r>
      <w:r w:rsidRPr="009C0665">
        <w:rPr>
          <w:szCs w:val="22"/>
          <w:lang w:val="sr-Latn-ME"/>
        </w:rPr>
        <w:t>rastvora natrijum</w:t>
      </w:r>
      <w:r w:rsidR="004D1851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hlorida</w:t>
      </w:r>
      <w:r w:rsidR="00C313F3" w:rsidRPr="009C0665">
        <w:rPr>
          <w:szCs w:val="22"/>
          <w:lang w:val="sr-Latn-ME"/>
        </w:rPr>
        <w:t xml:space="preserve"> (9mg/m</w:t>
      </w:r>
      <w:r w:rsidR="00BB3F0A" w:rsidRPr="009C0665">
        <w:rPr>
          <w:szCs w:val="22"/>
          <w:lang w:val="sr-Latn-ME"/>
        </w:rPr>
        <w:t>l</w:t>
      </w:r>
      <w:r w:rsidR="00C313F3" w:rsidRPr="009C0665">
        <w:rPr>
          <w:szCs w:val="22"/>
          <w:lang w:val="sr-Latn-ME"/>
        </w:rPr>
        <w:t>)</w:t>
      </w:r>
      <w:r w:rsidRPr="009C0665">
        <w:rPr>
          <w:szCs w:val="22"/>
          <w:lang w:val="sr-Latn-ME"/>
        </w:rPr>
        <w:t xml:space="preserve"> iz kese za infuziju pr</w:t>
      </w:r>
      <w:r w:rsidR="00BB3F0A" w:rsidRPr="009C0665">
        <w:rPr>
          <w:szCs w:val="22"/>
          <w:lang w:val="sr-Latn-ME"/>
        </w:rPr>
        <w:t>ij</w:t>
      </w:r>
      <w:r w:rsidRPr="009C0665">
        <w:rPr>
          <w:szCs w:val="22"/>
          <w:lang w:val="sr-Latn-ME"/>
        </w:rPr>
        <w:t xml:space="preserve">e dodavanja </w:t>
      </w:r>
      <w:r w:rsidR="00D26459" w:rsidRPr="009C0665">
        <w:rPr>
          <w:szCs w:val="22"/>
          <w:lang w:val="sr-Latn-ME"/>
        </w:rPr>
        <w:t>lijek</w:t>
      </w:r>
      <w:r w:rsidRPr="009C0665">
        <w:rPr>
          <w:szCs w:val="22"/>
          <w:lang w:val="sr-Latn-ME"/>
        </w:rPr>
        <w:t xml:space="preserve">a Entyvio). Nemojte dodavati druge </w:t>
      </w:r>
      <w:r w:rsidR="00D26459" w:rsidRPr="009C0665">
        <w:rPr>
          <w:szCs w:val="22"/>
          <w:lang w:val="sr-Latn-ME"/>
        </w:rPr>
        <w:t>ljek</w:t>
      </w:r>
      <w:r w:rsidRPr="009C0665">
        <w:rPr>
          <w:szCs w:val="22"/>
          <w:lang w:val="sr-Latn-ME"/>
        </w:rPr>
        <w:t xml:space="preserve">ove u pripremljeni rastvor za infuziju ili komplet za intravensku infuziju. Rastvor za infuziju </w:t>
      </w:r>
      <w:r w:rsidR="00AB003D" w:rsidRPr="009C0665">
        <w:rPr>
          <w:szCs w:val="22"/>
          <w:lang w:val="sr-Latn-ME"/>
        </w:rPr>
        <w:t>primjeni</w:t>
      </w:r>
      <w:r w:rsidRPr="009C0665">
        <w:rPr>
          <w:szCs w:val="22"/>
          <w:lang w:val="sr-Latn-ME"/>
        </w:rPr>
        <w:t>te tokom 30 minuta (</w:t>
      </w:r>
      <w:r w:rsidR="00166D72" w:rsidRPr="009C0665">
        <w:rPr>
          <w:szCs w:val="22"/>
          <w:lang w:val="sr-Latn-ME"/>
        </w:rPr>
        <w:t>vidjeti dio</w:t>
      </w:r>
      <w:r w:rsidR="005F636B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4.2).</w:t>
      </w:r>
    </w:p>
    <w:p w14:paraId="3CF96DEB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47FAADA8" w14:textId="0762EB02" w:rsidR="00847271" w:rsidRPr="009C0665" w:rsidRDefault="0084727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Nakon rekonstitucije, rastvor za infuziju treba </w:t>
      </w:r>
      <w:r w:rsidR="00752F11" w:rsidRPr="009C0665">
        <w:rPr>
          <w:szCs w:val="22"/>
          <w:lang w:val="sr-Latn-ME"/>
        </w:rPr>
        <w:t>upotrijebiti</w:t>
      </w:r>
      <w:r w:rsidRPr="009C0665">
        <w:rPr>
          <w:szCs w:val="22"/>
          <w:lang w:val="sr-Latn-ME"/>
        </w:rPr>
        <w:t xml:space="preserve"> što je pr</w:t>
      </w:r>
      <w:r w:rsidR="00BB3F0A" w:rsidRPr="009C0665">
        <w:rPr>
          <w:szCs w:val="22"/>
          <w:lang w:val="sr-Latn-ME"/>
        </w:rPr>
        <w:t>ij</w:t>
      </w:r>
      <w:r w:rsidRPr="009C0665">
        <w:rPr>
          <w:szCs w:val="22"/>
          <w:lang w:val="sr-Latn-ME"/>
        </w:rPr>
        <w:t xml:space="preserve">e moguće. </w:t>
      </w:r>
      <w:r w:rsidR="0024699B" w:rsidRPr="009C0665">
        <w:rPr>
          <w:noProof/>
          <w:szCs w:val="22"/>
          <w:lang w:val="sr-Latn-ME"/>
        </w:rPr>
        <w:t>Ne zamrzavati.</w:t>
      </w:r>
      <w:r w:rsidR="0024699B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>Neiskorišćeni d</w:t>
      </w:r>
      <w:r w:rsidR="00752F11" w:rsidRPr="009C0665">
        <w:rPr>
          <w:szCs w:val="22"/>
          <w:lang w:val="sr-Latn-ME"/>
        </w:rPr>
        <w:t>i</w:t>
      </w:r>
      <w:r w:rsidRPr="009C0665">
        <w:rPr>
          <w:szCs w:val="22"/>
          <w:lang w:val="sr-Latn-ME"/>
        </w:rPr>
        <w:t>o</w:t>
      </w:r>
      <w:r w:rsidR="00C313F3" w:rsidRPr="009C0665">
        <w:rPr>
          <w:szCs w:val="22"/>
          <w:lang w:val="sr-Latn-ME"/>
        </w:rPr>
        <w:t xml:space="preserve"> rekonstituisanog</w:t>
      </w:r>
      <w:r w:rsidRPr="009C0665">
        <w:rPr>
          <w:szCs w:val="22"/>
          <w:lang w:val="sr-Latn-ME"/>
        </w:rPr>
        <w:t xml:space="preserve"> rastvora </w:t>
      </w:r>
      <w:r w:rsidR="00C313F3" w:rsidRPr="009C0665">
        <w:rPr>
          <w:szCs w:val="22"/>
          <w:lang w:val="sr-Latn-ME"/>
        </w:rPr>
        <w:t xml:space="preserve">i rastvora </w:t>
      </w:r>
      <w:r w:rsidRPr="009C0665">
        <w:rPr>
          <w:szCs w:val="22"/>
          <w:lang w:val="sr-Latn-ME"/>
        </w:rPr>
        <w:t>za infuziju nemojte čuvati za ponovnu upotrebu.</w:t>
      </w:r>
    </w:p>
    <w:p w14:paraId="76E4E556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463F163E" w14:textId="60BA27DD" w:rsidR="00847271" w:rsidRPr="009C0665" w:rsidRDefault="00847271" w:rsidP="004C7864">
      <w:pPr>
        <w:pStyle w:val="Header"/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Svaka bočica </w:t>
      </w:r>
      <w:r w:rsidR="00D26459" w:rsidRPr="009C0665">
        <w:rPr>
          <w:szCs w:val="22"/>
          <w:lang w:val="sr-Latn-ME"/>
        </w:rPr>
        <w:t>lijek</w:t>
      </w:r>
      <w:r w:rsidRPr="009C0665">
        <w:rPr>
          <w:szCs w:val="22"/>
          <w:lang w:val="sr-Latn-ME"/>
        </w:rPr>
        <w:t xml:space="preserve">a je </w:t>
      </w:r>
      <w:r w:rsidR="00752F11" w:rsidRPr="009C0665">
        <w:rPr>
          <w:szCs w:val="22"/>
          <w:lang w:val="sr-Latn-ME"/>
        </w:rPr>
        <w:t>namijenjena</w:t>
      </w:r>
      <w:r w:rsidRPr="009C0665">
        <w:rPr>
          <w:szCs w:val="22"/>
          <w:lang w:val="sr-Latn-ME"/>
        </w:rPr>
        <w:t xml:space="preserve"> samo za jednokratnu upotrebu.</w:t>
      </w:r>
    </w:p>
    <w:p w14:paraId="7D45280E" w14:textId="77777777" w:rsidR="00847271" w:rsidRPr="009C0665" w:rsidRDefault="00847271" w:rsidP="004C7864">
      <w:pPr>
        <w:pStyle w:val="Header"/>
        <w:rPr>
          <w:szCs w:val="22"/>
          <w:lang w:val="sr-Latn-ME"/>
        </w:rPr>
      </w:pPr>
    </w:p>
    <w:p w14:paraId="611E91A0" w14:textId="47A1FE54" w:rsidR="00847271" w:rsidRPr="009C0665" w:rsidRDefault="006C5F6F" w:rsidP="004C7864">
      <w:pPr>
        <w:pStyle w:val="Header"/>
        <w:tabs>
          <w:tab w:val="left" w:pos="284"/>
        </w:tabs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Svu neiskorišćenu količinu </w:t>
      </w:r>
      <w:r w:rsidR="00D26459" w:rsidRPr="009C0665">
        <w:rPr>
          <w:szCs w:val="22"/>
          <w:lang w:val="sr-Latn-ME"/>
        </w:rPr>
        <w:t>lijek</w:t>
      </w:r>
      <w:r w:rsidRPr="009C0665">
        <w:rPr>
          <w:szCs w:val="22"/>
          <w:lang w:val="sr-Latn-ME"/>
        </w:rPr>
        <w:t>a</w:t>
      </w:r>
      <w:r w:rsidR="00847271" w:rsidRPr="009C0665">
        <w:rPr>
          <w:szCs w:val="22"/>
          <w:lang w:val="sr-Latn-ME"/>
        </w:rPr>
        <w:t xml:space="preserve"> ili otpadn</w:t>
      </w:r>
      <w:r w:rsidRPr="009C0665">
        <w:rPr>
          <w:szCs w:val="22"/>
          <w:lang w:val="sr-Latn-ME"/>
        </w:rPr>
        <w:t>og</w:t>
      </w:r>
      <w:r w:rsidR="00847271" w:rsidRPr="009C0665">
        <w:rPr>
          <w:szCs w:val="22"/>
          <w:lang w:val="sr-Latn-ME"/>
        </w:rPr>
        <w:t xml:space="preserve"> materijal</w:t>
      </w:r>
      <w:r w:rsidRPr="009C0665">
        <w:rPr>
          <w:szCs w:val="22"/>
          <w:lang w:val="sr-Latn-ME"/>
        </w:rPr>
        <w:t>a</w:t>
      </w:r>
      <w:r w:rsidR="00897FDB" w:rsidRPr="009C0665">
        <w:rPr>
          <w:szCs w:val="22"/>
          <w:lang w:val="sr-Latn-ME"/>
        </w:rPr>
        <w:t xml:space="preserve"> </w:t>
      </w:r>
      <w:r w:rsidRPr="009C0665">
        <w:rPr>
          <w:szCs w:val="22"/>
          <w:lang w:val="sr-Latn-ME"/>
        </w:rPr>
        <w:t xml:space="preserve">nakon njegove upotrebe treba ukloniti, </w:t>
      </w:r>
      <w:r w:rsidR="00847271" w:rsidRPr="009C0665">
        <w:rPr>
          <w:szCs w:val="22"/>
          <w:lang w:val="sr-Latn-ME"/>
        </w:rPr>
        <w:t>u skladu sa važećim propisima.</w:t>
      </w:r>
    </w:p>
    <w:p w14:paraId="2CA6A4F9" w14:textId="42656685" w:rsidR="007A4639" w:rsidRDefault="007A4639" w:rsidP="004C7864">
      <w:pPr>
        <w:pStyle w:val="Header"/>
        <w:tabs>
          <w:tab w:val="left" w:pos="284"/>
        </w:tabs>
        <w:rPr>
          <w:szCs w:val="22"/>
          <w:lang w:val="sr-Latn-ME"/>
        </w:rPr>
      </w:pPr>
    </w:p>
    <w:p w14:paraId="471AD781" w14:textId="77777777" w:rsidR="009C0665" w:rsidRPr="009C0665" w:rsidRDefault="009C0665" w:rsidP="004C7864">
      <w:pPr>
        <w:pStyle w:val="Header"/>
        <w:tabs>
          <w:tab w:val="left" w:pos="284"/>
        </w:tabs>
        <w:rPr>
          <w:szCs w:val="22"/>
          <w:lang w:val="sr-Latn-ME"/>
        </w:rPr>
      </w:pPr>
    </w:p>
    <w:p w14:paraId="6CC5A0BB" w14:textId="77777777" w:rsidR="00CE09F3" w:rsidRPr="009C0665" w:rsidRDefault="00CE09F3" w:rsidP="004C7864">
      <w:pPr>
        <w:pStyle w:val="NASLOV123"/>
        <w:spacing w:before="0" w:after="0"/>
        <w:rPr>
          <w:lang w:val="sr-Latn-ME"/>
        </w:rPr>
      </w:pPr>
      <w:r w:rsidRPr="009C0665">
        <w:rPr>
          <w:lang w:val="sr-Latn-ME"/>
        </w:rPr>
        <w:t xml:space="preserve">7. NOSILAC DOZVOLE </w:t>
      </w:r>
    </w:p>
    <w:p w14:paraId="0852BF0F" w14:textId="77777777" w:rsidR="00660C78" w:rsidRPr="009C0665" w:rsidRDefault="00660C78" w:rsidP="004C7864">
      <w:pPr>
        <w:pStyle w:val="NASLOV123"/>
        <w:spacing w:before="0" w:after="0"/>
        <w:contextualSpacing/>
        <w:rPr>
          <w:b w:val="0"/>
          <w:lang w:val="sr-Latn-ME"/>
        </w:rPr>
      </w:pPr>
    </w:p>
    <w:p w14:paraId="3D058B99" w14:textId="1FF08B0E" w:rsidR="00847271" w:rsidRPr="009C0665" w:rsidRDefault="004F038C" w:rsidP="004C7864">
      <w:pPr>
        <w:pStyle w:val="NASLOV123"/>
        <w:spacing w:before="0" w:after="0"/>
        <w:contextualSpacing/>
        <w:rPr>
          <w:b w:val="0"/>
          <w:lang w:val="sr-Latn-ME"/>
        </w:rPr>
      </w:pPr>
      <w:r w:rsidRPr="009C0665">
        <w:rPr>
          <w:b w:val="0"/>
          <w:lang w:val="sr-Latn-ME"/>
        </w:rPr>
        <w:t>Glosarij d.o.o.</w:t>
      </w:r>
      <w:r w:rsidR="00660C78" w:rsidRPr="009C0665">
        <w:rPr>
          <w:b w:val="0"/>
          <w:lang w:val="sr-Latn-ME"/>
        </w:rPr>
        <w:t xml:space="preserve"> Podgorica</w:t>
      </w:r>
      <w:r w:rsidRPr="009C0665">
        <w:rPr>
          <w:b w:val="0"/>
          <w:lang w:val="sr-Latn-ME"/>
        </w:rPr>
        <w:t>, Vojislavljevića 76, 81000 Podgorica, Crna Gora</w:t>
      </w:r>
    </w:p>
    <w:p w14:paraId="05E3C6EB" w14:textId="4ADEA8DC" w:rsidR="004F038C" w:rsidRPr="009C0665" w:rsidRDefault="004F038C" w:rsidP="004C7864">
      <w:pPr>
        <w:pStyle w:val="NASLOV123"/>
        <w:spacing w:before="0" w:after="0"/>
        <w:rPr>
          <w:b w:val="0"/>
          <w:bCs/>
          <w:lang w:val="sr-Latn-ME"/>
        </w:rPr>
      </w:pPr>
    </w:p>
    <w:p w14:paraId="5B00D81C" w14:textId="77777777" w:rsidR="00660C78" w:rsidRPr="009C0665" w:rsidRDefault="00660C78" w:rsidP="004C7864">
      <w:pPr>
        <w:pStyle w:val="NASLOV123"/>
        <w:spacing w:before="0" w:after="0"/>
        <w:rPr>
          <w:b w:val="0"/>
          <w:bCs/>
          <w:lang w:val="sr-Latn-ME"/>
        </w:rPr>
      </w:pPr>
    </w:p>
    <w:p w14:paraId="7DCA6174" w14:textId="4C3969D4" w:rsidR="00CE09F3" w:rsidRPr="009C0665" w:rsidRDefault="00CE09F3" w:rsidP="004C7864">
      <w:pPr>
        <w:pStyle w:val="NASLOV123"/>
        <w:spacing w:before="0" w:after="0"/>
        <w:rPr>
          <w:lang w:val="sr-Latn-ME"/>
        </w:rPr>
      </w:pPr>
      <w:r w:rsidRPr="009C0665">
        <w:rPr>
          <w:lang w:val="sr-Latn-ME"/>
        </w:rPr>
        <w:t xml:space="preserve">8. BROJ DOZVOLE ZA STAVLJANJE </w:t>
      </w:r>
      <w:r w:rsidR="00D26459" w:rsidRPr="009C0665">
        <w:rPr>
          <w:lang w:val="sr-Latn-ME"/>
        </w:rPr>
        <w:t>LIJEK</w:t>
      </w:r>
      <w:r w:rsidRPr="009C0665">
        <w:rPr>
          <w:lang w:val="sr-Latn-ME"/>
        </w:rPr>
        <w:t>A U PROMET</w:t>
      </w:r>
    </w:p>
    <w:p w14:paraId="661AD477" w14:textId="77777777" w:rsidR="00660C78" w:rsidRPr="009C0665" w:rsidRDefault="00660C78" w:rsidP="004C7864">
      <w:pPr>
        <w:pStyle w:val="NASLOV123"/>
        <w:spacing w:before="0" w:after="0"/>
        <w:rPr>
          <w:b w:val="0"/>
          <w:bCs/>
          <w:lang w:val="sr-Latn-ME"/>
        </w:rPr>
      </w:pPr>
    </w:p>
    <w:p w14:paraId="3F80D372" w14:textId="088D0DB7" w:rsidR="00660C78" w:rsidRPr="009C0665" w:rsidRDefault="009C0665" w:rsidP="004C7864">
      <w:pPr>
        <w:pStyle w:val="NASLOV123"/>
        <w:spacing w:before="0" w:after="0"/>
        <w:rPr>
          <w:b w:val="0"/>
          <w:bCs/>
          <w:lang w:val="sr-Latn-ME"/>
        </w:rPr>
      </w:pPr>
      <w:r w:rsidRPr="009C0665">
        <w:rPr>
          <w:b w:val="0"/>
          <w:bCs/>
          <w:lang w:val="sr-Latn-ME"/>
        </w:rPr>
        <w:t>2030/25/2798 - 6175</w:t>
      </w:r>
    </w:p>
    <w:p w14:paraId="50891AFB" w14:textId="38476964" w:rsidR="007A4639" w:rsidRDefault="007A4639" w:rsidP="004C7864">
      <w:pPr>
        <w:pStyle w:val="NASLOV123"/>
        <w:spacing w:before="0" w:after="0"/>
        <w:rPr>
          <w:b w:val="0"/>
          <w:bCs/>
          <w:lang w:val="sr-Latn-ME"/>
        </w:rPr>
      </w:pPr>
    </w:p>
    <w:p w14:paraId="26A2EE82" w14:textId="77777777" w:rsidR="006920A4" w:rsidRPr="009C0665" w:rsidRDefault="006920A4" w:rsidP="004C7864">
      <w:pPr>
        <w:pStyle w:val="NASLOV123"/>
        <w:spacing w:before="0" w:after="0"/>
        <w:rPr>
          <w:b w:val="0"/>
          <w:bCs/>
          <w:lang w:val="sr-Latn-ME"/>
        </w:rPr>
      </w:pPr>
      <w:bookmarkStart w:id="2" w:name="_GoBack"/>
      <w:bookmarkEnd w:id="2"/>
    </w:p>
    <w:p w14:paraId="415B2FA7" w14:textId="2ECDFEF2" w:rsidR="007A4639" w:rsidRPr="009C0665" w:rsidRDefault="00CE09F3" w:rsidP="004C7864">
      <w:pPr>
        <w:pStyle w:val="NASLOV123"/>
        <w:spacing w:before="0" w:after="0"/>
        <w:jc w:val="both"/>
        <w:rPr>
          <w:lang w:val="sr-Latn-ME"/>
        </w:rPr>
      </w:pPr>
      <w:r w:rsidRPr="009C0665">
        <w:rPr>
          <w:lang w:val="sr-Latn-ME"/>
        </w:rPr>
        <w:t>9. DATUM PRVE DOZVOLE</w:t>
      </w:r>
      <w:r w:rsidR="007A4639" w:rsidRPr="009C0665">
        <w:rPr>
          <w:lang w:val="sr-Latn-ME"/>
        </w:rPr>
        <w:t>/</w:t>
      </w:r>
      <w:r w:rsidRPr="009C0665">
        <w:rPr>
          <w:lang w:val="sr-Latn-ME"/>
        </w:rPr>
        <w:t xml:space="preserve">OBNOVE DOZVOLE ZA STAVLJANJE </w:t>
      </w:r>
      <w:r w:rsidR="00D26459" w:rsidRPr="009C0665">
        <w:rPr>
          <w:lang w:val="sr-Latn-ME"/>
        </w:rPr>
        <w:t>LIJEK</w:t>
      </w:r>
      <w:r w:rsidRPr="009C0665">
        <w:rPr>
          <w:lang w:val="sr-Latn-ME"/>
        </w:rPr>
        <w:t>A U PROMET</w:t>
      </w:r>
    </w:p>
    <w:p w14:paraId="1A64CFE4" w14:textId="77777777" w:rsidR="00660C78" w:rsidRPr="009C0665" w:rsidRDefault="00660C78" w:rsidP="004C7864">
      <w:pPr>
        <w:rPr>
          <w:szCs w:val="22"/>
          <w:lang w:val="sr-Latn-ME"/>
        </w:rPr>
      </w:pPr>
    </w:p>
    <w:p w14:paraId="2CD69F1E" w14:textId="349A95C6" w:rsidR="00CE09F3" w:rsidRPr="009C0665" w:rsidRDefault="00660C78" w:rsidP="004C7864">
      <w:pPr>
        <w:rPr>
          <w:szCs w:val="22"/>
          <w:lang w:val="sr-Latn-ME"/>
        </w:rPr>
      </w:pPr>
      <w:r w:rsidRPr="009C0665">
        <w:rPr>
          <w:szCs w:val="22"/>
          <w:lang w:val="sr-Latn-ME"/>
        </w:rPr>
        <w:t xml:space="preserve">Datum prve dozvole: </w:t>
      </w:r>
      <w:r w:rsidR="00752F11" w:rsidRPr="009C0665">
        <w:rPr>
          <w:szCs w:val="22"/>
          <w:lang w:val="sr-Latn-ME"/>
        </w:rPr>
        <w:t>26.09.2016. godine</w:t>
      </w:r>
    </w:p>
    <w:p w14:paraId="297093BD" w14:textId="473F1FC8" w:rsidR="00660C78" w:rsidRPr="009C0665" w:rsidRDefault="00660C78" w:rsidP="004C7864">
      <w:pPr>
        <w:rPr>
          <w:szCs w:val="22"/>
          <w:lang w:val="sr-Latn-ME"/>
        </w:rPr>
      </w:pPr>
      <w:r w:rsidRPr="009C0665">
        <w:rPr>
          <w:szCs w:val="22"/>
          <w:lang w:val="sr-Latn-ME"/>
        </w:rPr>
        <w:t>Datum poslednje obnove dozvole:</w:t>
      </w:r>
      <w:r w:rsidR="009C0665">
        <w:rPr>
          <w:szCs w:val="22"/>
          <w:lang w:val="sr-Latn-ME"/>
        </w:rPr>
        <w:t xml:space="preserve"> </w:t>
      </w:r>
      <w:r w:rsidR="009C0665" w:rsidRPr="009C0665">
        <w:rPr>
          <w:szCs w:val="22"/>
          <w:lang w:val="sr-Latn-ME"/>
        </w:rPr>
        <w:t>31.07.2025. godine</w:t>
      </w:r>
    </w:p>
    <w:p w14:paraId="6237BE41" w14:textId="7E7164D2" w:rsidR="007A4639" w:rsidRPr="009C0665" w:rsidRDefault="007A4639" w:rsidP="004C7864">
      <w:pPr>
        <w:rPr>
          <w:szCs w:val="22"/>
          <w:lang w:val="sr-Latn-ME"/>
        </w:rPr>
      </w:pPr>
    </w:p>
    <w:p w14:paraId="5F35C2E6" w14:textId="77777777" w:rsidR="00660C78" w:rsidRPr="009C0665" w:rsidRDefault="00660C78" w:rsidP="004C7864">
      <w:pPr>
        <w:rPr>
          <w:szCs w:val="22"/>
          <w:lang w:val="sr-Latn-ME"/>
        </w:rPr>
      </w:pPr>
    </w:p>
    <w:p w14:paraId="4A892010" w14:textId="77777777" w:rsidR="00CE09F3" w:rsidRPr="009C0665" w:rsidRDefault="00CE09F3" w:rsidP="004C7864">
      <w:pPr>
        <w:pStyle w:val="NASLOV123"/>
        <w:spacing w:before="0" w:after="0"/>
        <w:rPr>
          <w:lang w:val="sr-Latn-ME"/>
        </w:rPr>
      </w:pPr>
      <w:r w:rsidRPr="009C0665">
        <w:rPr>
          <w:lang w:val="sr-Latn-ME"/>
        </w:rPr>
        <w:t>10. DATUM REVIZIJE TEKSTA</w:t>
      </w:r>
    </w:p>
    <w:p w14:paraId="542BC8A9" w14:textId="2AA8A930" w:rsidR="00923865" w:rsidRDefault="00923865" w:rsidP="004C7864">
      <w:pPr>
        <w:rPr>
          <w:bCs/>
          <w:szCs w:val="22"/>
          <w:lang w:val="sr-Latn-ME"/>
        </w:rPr>
      </w:pPr>
    </w:p>
    <w:p w14:paraId="236F6DBB" w14:textId="3E3CF866" w:rsidR="009C0665" w:rsidRPr="009C0665" w:rsidRDefault="009C0665" w:rsidP="004C7864">
      <w:pPr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>Jul, 2025. godine</w:t>
      </w:r>
    </w:p>
    <w:sectPr w:rsidR="009C0665" w:rsidRPr="009C0665" w:rsidSect="005D1262">
      <w:footerReference w:type="even" r:id="rId12"/>
      <w:footerReference w:type="default" r:id="rId13"/>
      <w:pgSz w:w="11907" w:h="16840" w:code="9"/>
      <w:pgMar w:top="1008" w:right="1411" w:bottom="1008" w:left="1411" w:header="734" w:footer="734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EC677C" w16cex:dateUtc="2025-06-17T06:31:00Z"/>
  <w16cex:commentExtensible w16cex:durableId="2BEB6C6B" w16cex:dateUtc="2025-06-17T06:51:00Z"/>
  <w16cex:commentExtensible w16cex:durableId="717826E2" w16cex:dateUtc="2025-06-17T06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9BC410" w16cid:durableId="5FEC677C"/>
  <w16cid:commentId w16cid:paraId="47B57E58" w16cid:durableId="2BEB6C6B"/>
  <w16cid:commentId w16cid:paraId="5FF887A3" w16cid:durableId="717826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EEB8C" w14:textId="77777777" w:rsidR="0021612E" w:rsidRDefault="0021612E">
      <w:r>
        <w:separator/>
      </w:r>
    </w:p>
  </w:endnote>
  <w:endnote w:type="continuationSeparator" w:id="0">
    <w:p w14:paraId="7F7F7229" w14:textId="77777777" w:rsidR="0021612E" w:rsidRDefault="0021612E">
      <w:r>
        <w:continuationSeparator/>
      </w:r>
    </w:p>
  </w:endnote>
  <w:endnote w:type="continuationNotice" w:id="1">
    <w:p w14:paraId="0ACE6C09" w14:textId="77777777" w:rsidR="0021612E" w:rsidRDefault="002161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2901C" w14:textId="77777777" w:rsidR="00DB3145" w:rsidRDefault="00DB3145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EF739D" w14:textId="77777777" w:rsidR="00DB3145" w:rsidRDefault="00DB31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90D87" w14:textId="6C75DB50" w:rsidR="00DB3145" w:rsidRPr="005D1262" w:rsidRDefault="0021612E" w:rsidP="00CE09F3">
    <w:pPr>
      <w:pStyle w:val="Footer"/>
      <w:tabs>
        <w:tab w:val="left" w:pos="5448"/>
      </w:tabs>
      <w:spacing w:before="360"/>
      <w:jc w:val="center"/>
      <w:rPr>
        <w:sz w:val="24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 w:val="24"/>
        </w:rPr>
      </w:sdtEndPr>
      <w:sdtContent>
        <w:sdt>
          <w:sdtPr>
            <w:rPr>
              <w:sz w:val="24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DB3145" w:rsidRPr="005D1262">
              <w:rPr>
                <w:sz w:val="20"/>
                <w:szCs w:val="18"/>
              </w:rPr>
              <w:fldChar w:fldCharType="begin"/>
            </w:r>
            <w:r w:rsidR="00DB3145" w:rsidRPr="005D1262">
              <w:rPr>
                <w:sz w:val="20"/>
                <w:szCs w:val="18"/>
              </w:rPr>
              <w:instrText xml:space="preserve"> PAGE </w:instrText>
            </w:r>
            <w:r w:rsidR="00DB3145" w:rsidRPr="005D1262">
              <w:rPr>
                <w:sz w:val="20"/>
                <w:szCs w:val="18"/>
              </w:rPr>
              <w:fldChar w:fldCharType="separate"/>
            </w:r>
            <w:r w:rsidR="006920A4">
              <w:rPr>
                <w:noProof/>
                <w:sz w:val="20"/>
                <w:szCs w:val="18"/>
              </w:rPr>
              <w:t>20</w:t>
            </w:r>
            <w:r w:rsidR="00DB3145" w:rsidRPr="005D1262">
              <w:rPr>
                <w:sz w:val="20"/>
                <w:szCs w:val="18"/>
              </w:rPr>
              <w:fldChar w:fldCharType="end"/>
            </w:r>
            <w:r w:rsidR="00DB3145" w:rsidRPr="005D1262">
              <w:rPr>
                <w:sz w:val="20"/>
                <w:szCs w:val="18"/>
              </w:rPr>
              <w:t xml:space="preserve"> / </w:t>
            </w:r>
            <w:r w:rsidR="00DB3145" w:rsidRPr="005D1262">
              <w:rPr>
                <w:sz w:val="20"/>
                <w:szCs w:val="18"/>
              </w:rPr>
              <w:fldChar w:fldCharType="begin"/>
            </w:r>
            <w:r w:rsidR="00DB3145" w:rsidRPr="005D1262">
              <w:rPr>
                <w:sz w:val="20"/>
                <w:szCs w:val="18"/>
              </w:rPr>
              <w:instrText xml:space="preserve"> NUMPAGES  </w:instrText>
            </w:r>
            <w:r w:rsidR="00DB3145" w:rsidRPr="005D1262">
              <w:rPr>
                <w:sz w:val="20"/>
                <w:szCs w:val="18"/>
              </w:rPr>
              <w:fldChar w:fldCharType="separate"/>
            </w:r>
            <w:r w:rsidR="006920A4">
              <w:rPr>
                <w:noProof/>
                <w:sz w:val="20"/>
                <w:szCs w:val="18"/>
              </w:rPr>
              <w:t>20</w:t>
            </w:r>
            <w:r w:rsidR="00DB3145" w:rsidRPr="005D1262">
              <w:rPr>
                <w:sz w:val="20"/>
                <w:szCs w:val="18"/>
              </w:rPr>
              <w:fldChar w:fldCharType="end"/>
            </w:r>
          </w:sdtContent>
        </w:sdt>
      </w:sdtContent>
    </w:sdt>
  </w:p>
  <w:p w14:paraId="3CA8E350" w14:textId="77777777" w:rsidR="00DB3145" w:rsidRPr="00C536C2" w:rsidRDefault="00DB3145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F959E" w14:textId="77777777" w:rsidR="0021612E" w:rsidRDefault="0021612E">
      <w:r>
        <w:separator/>
      </w:r>
    </w:p>
  </w:footnote>
  <w:footnote w:type="continuationSeparator" w:id="0">
    <w:p w14:paraId="23180E72" w14:textId="77777777" w:rsidR="0021612E" w:rsidRDefault="0021612E">
      <w:r>
        <w:continuationSeparator/>
      </w:r>
    </w:p>
  </w:footnote>
  <w:footnote w:type="continuationNotice" w:id="1">
    <w:p w14:paraId="241A54CB" w14:textId="77777777" w:rsidR="0021612E" w:rsidRDefault="002161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0BB"/>
    <w:multiLevelType w:val="hybridMultilevel"/>
    <w:tmpl w:val="EEA60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2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1C43F18"/>
    <w:multiLevelType w:val="hybridMultilevel"/>
    <w:tmpl w:val="7C928CAE"/>
    <w:lvl w:ilvl="0" w:tplc="E82ECEF2">
      <w:start w:val="1"/>
      <w:numFmt w:val="decimal"/>
      <w:suff w:val="space"/>
      <w:lvlText w:val="%1."/>
      <w:lvlJc w:val="left"/>
      <w:pPr>
        <w:ind w:left="340" w:hanging="56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0539"/>
    <w:multiLevelType w:val="hybridMultilevel"/>
    <w:tmpl w:val="8D3EEB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BB0DAB"/>
    <w:multiLevelType w:val="hybridMultilevel"/>
    <w:tmpl w:val="5C00D89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7"/>
    </w:lvlOverride>
  </w:num>
  <w:num w:numId="3">
    <w:abstractNumId w:val="6"/>
  </w:num>
  <w:num w:numId="4">
    <w:abstractNumId w:val="0"/>
  </w:num>
  <w:num w:numId="5">
    <w:abstractNumId w:val="3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315A"/>
    <w:rsid w:val="00017801"/>
    <w:rsid w:val="000236F5"/>
    <w:rsid w:val="00040B32"/>
    <w:rsid w:val="00042718"/>
    <w:rsid w:val="000450BF"/>
    <w:rsid w:val="00054848"/>
    <w:rsid w:val="0005798D"/>
    <w:rsid w:val="00062E9B"/>
    <w:rsid w:val="00064273"/>
    <w:rsid w:val="00067AED"/>
    <w:rsid w:val="00077D24"/>
    <w:rsid w:val="0008351C"/>
    <w:rsid w:val="00083BE0"/>
    <w:rsid w:val="000951A5"/>
    <w:rsid w:val="00095FB6"/>
    <w:rsid w:val="0009758B"/>
    <w:rsid w:val="000A0F4A"/>
    <w:rsid w:val="000B092D"/>
    <w:rsid w:val="000B0D10"/>
    <w:rsid w:val="000C6374"/>
    <w:rsid w:val="000D5631"/>
    <w:rsid w:val="000E6B77"/>
    <w:rsid w:val="000E6EB7"/>
    <w:rsid w:val="000E75C0"/>
    <w:rsid w:val="000F4FB9"/>
    <w:rsid w:val="0011299D"/>
    <w:rsid w:val="00113739"/>
    <w:rsid w:val="00114D12"/>
    <w:rsid w:val="00116FD7"/>
    <w:rsid w:val="0012019E"/>
    <w:rsid w:val="00127AC1"/>
    <w:rsid w:val="001305C1"/>
    <w:rsid w:val="00137568"/>
    <w:rsid w:val="00141639"/>
    <w:rsid w:val="0014180A"/>
    <w:rsid w:val="001466B4"/>
    <w:rsid w:val="0015489B"/>
    <w:rsid w:val="00164F4C"/>
    <w:rsid w:val="00166D72"/>
    <w:rsid w:val="00173D18"/>
    <w:rsid w:val="00175772"/>
    <w:rsid w:val="00175A7E"/>
    <w:rsid w:val="00177F4F"/>
    <w:rsid w:val="001828E6"/>
    <w:rsid w:val="00185906"/>
    <w:rsid w:val="00185C10"/>
    <w:rsid w:val="0018601D"/>
    <w:rsid w:val="00186399"/>
    <w:rsid w:val="00196E0F"/>
    <w:rsid w:val="001A333C"/>
    <w:rsid w:val="001A6820"/>
    <w:rsid w:val="001B03FD"/>
    <w:rsid w:val="001B1E60"/>
    <w:rsid w:val="001B706A"/>
    <w:rsid w:val="001C51A1"/>
    <w:rsid w:val="001D10C9"/>
    <w:rsid w:val="001D1C34"/>
    <w:rsid w:val="001E0A07"/>
    <w:rsid w:val="001E6145"/>
    <w:rsid w:val="001F2D4E"/>
    <w:rsid w:val="001F39B6"/>
    <w:rsid w:val="001F4B77"/>
    <w:rsid w:val="001F7E6D"/>
    <w:rsid w:val="002051FF"/>
    <w:rsid w:val="0021612E"/>
    <w:rsid w:val="00216600"/>
    <w:rsid w:val="0022218E"/>
    <w:rsid w:val="0022223A"/>
    <w:rsid w:val="00240FF4"/>
    <w:rsid w:val="0024132F"/>
    <w:rsid w:val="00242DCD"/>
    <w:rsid w:val="00245460"/>
    <w:rsid w:val="0024699B"/>
    <w:rsid w:val="00247C5C"/>
    <w:rsid w:val="00252550"/>
    <w:rsid w:val="00252879"/>
    <w:rsid w:val="00260D65"/>
    <w:rsid w:val="00273BE0"/>
    <w:rsid w:val="00283C13"/>
    <w:rsid w:val="002B6F6A"/>
    <w:rsid w:val="002C0FBF"/>
    <w:rsid w:val="002C575B"/>
    <w:rsid w:val="002D2D6B"/>
    <w:rsid w:val="002D30D0"/>
    <w:rsid w:val="002D4617"/>
    <w:rsid w:val="002D4AFA"/>
    <w:rsid w:val="002F5E2F"/>
    <w:rsid w:val="003057CF"/>
    <w:rsid w:val="00306FAE"/>
    <w:rsid w:val="00316D64"/>
    <w:rsid w:val="00316FC0"/>
    <w:rsid w:val="00335D7B"/>
    <w:rsid w:val="00341503"/>
    <w:rsid w:val="003452C0"/>
    <w:rsid w:val="0036255A"/>
    <w:rsid w:val="00382252"/>
    <w:rsid w:val="00383195"/>
    <w:rsid w:val="00387523"/>
    <w:rsid w:val="00391DDD"/>
    <w:rsid w:val="003943FB"/>
    <w:rsid w:val="00394951"/>
    <w:rsid w:val="003A2DF8"/>
    <w:rsid w:val="003B2082"/>
    <w:rsid w:val="003C18A4"/>
    <w:rsid w:val="003C52F8"/>
    <w:rsid w:val="003E1941"/>
    <w:rsid w:val="003E222C"/>
    <w:rsid w:val="003E2928"/>
    <w:rsid w:val="003E3365"/>
    <w:rsid w:val="003E3EC7"/>
    <w:rsid w:val="00401CFC"/>
    <w:rsid w:val="004123CD"/>
    <w:rsid w:val="00415F55"/>
    <w:rsid w:val="004234ED"/>
    <w:rsid w:val="00427D41"/>
    <w:rsid w:val="00432988"/>
    <w:rsid w:val="004432B2"/>
    <w:rsid w:val="00450568"/>
    <w:rsid w:val="0046258D"/>
    <w:rsid w:val="00462C33"/>
    <w:rsid w:val="0047181E"/>
    <w:rsid w:val="0048402D"/>
    <w:rsid w:val="0048583B"/>
    <w:rsid w:val="00492248"/>
    <w:rsid w:val="00497648"/>
    <w:rsid w:val="004978A5"/>
    <w:rsid w:val="004B5A11"/>
    <w:rsid w:val="004B5C65"/>
    <w:rsid w:val="004B73DB"/>
    <w:rsid w:val="004B7A50"/>
    <w:rsid w:val="004C6D79"/>
    <w:rsid w:val="004C7864"/>
    <w:rsid w:val="004D1851"/>
    <w:rsid w:val="004D230F"/>
    <w:rsid w:val="004D47B8"/>
    <w:rsid w:val="004E77B0"/>
    <w:rsid w:val="004F038C"/>
    <w:rsid w:val="00503974"/>
    <w:rsid w:val="005078BA"/>
    <w:rsid w:val="0052230B"/>
    <w:rsid w:val="00525A8A"/>
    <w:rsid w:val="005276F0"/>
    <w:rsid w:val="00530909"/>
    <w:rsid w:val="00537D0D"/>
    <w:rsid w:val="0054640D"/>
    <w:rsid w:val="005475BE"/>
    <w:rsid w:val="005546A3"/>
    <w:rsid w:val="005578CE"/>
    <w:rsid w:val="00564DFC"/>
    <w:rsid w:val="00566EE8"/>
    <w:rsid w:val="00573F12"/>
    <w:rsid w:val="0059269C"/>
    <w:rsid w:val="005A1F71"/>
    <w:rsid w:val="005A2988"/>
    <w:rsid w:val="005A3A2A"/>
    <w:rsid w:val="005B3388"/>
    <w:rsid w:val="005B7512"/>
    <w:rsid w:val="005C28D1"/>
    <w:rsid w:val="005C3F73"/>
    <w:rsid w:val="005C7891"/>
    <w:rsid w:val="005D1262"/>
    <w:rsid w:val="005D1DBF"/>
    <w:rsid w:val="005D6097"/>
    <w:rsid w:val="005F3724"/>
    <w:rsid w:val="005F636B"/>
    <w:rsid w:val="00603302"/>
    <w:rsid w:val="00604E4F"/>
    <w:rsid w:val="006054EE"/>
    <w:rsid w:val="006118B6"/>
    <w:rsid w:val="00626D8C"/>
    <w:rsid w:val="006270C0"/>
    <w:rsid w:val="00630195"/>
    <w:rsid w:val="006361DE"/>
    <w:rsid w:val="00636A69"/>
    <w:rsid w:val="006559AF"/>
    <w:rsid w:val="00657B41"/>
    <w:rsid w:val="00660C78"/>
    <w:rsid w:val="00660ED5"/>
    <w:rsid w:val="006909B2"/>
    <w:rsid w:val="006920A4"/>
    <w:rsid w:val="00692912"/>
    <w:rsid w:val="00693874"/>
    <w:rsid w:val="00693F46"/>
    <w:rsid w:val="006C40D2"/>
    <w:rsid w:val="006C5F6F"/>
    <w:rsid w:val="006D18F8"/>
    <w:rsid w:val="006E6D5E"/>
    <w:rsid w:val="006F08B1"/>
    <w:rsid w:val="006F13FB"/>
    <w:rsid w:val="006F158F"/>
    <w:rsid w:val="006F355D"/>
    <w:rsid w:val="00707A31"/>
    <w:rsid w:val="00710231"/>
    <w:rsid w:val="0071718D"/>
    <w:rsid w:val="007313EE"/>
    <w:rsid w:val="007332F3"/>
    <w:rsid w:val="007352AF"/>
    <w:rsid w:val="00736C4D"/>
    <w:rsid w:val="007375A2"/>
    <w:rsid w:val="00737DD6"/>
    <w:rsid w:val="00740BD6"/>
    <w:rsid w:val="00742B4F"/>
    <w:rsid w:val="00743DDC"/>
    <w:rsid w:val="00747961"/>
    <w:rsid w:val="00751257"/>
    <w:rsid w:val="00752F11"/>
    <w:rsid w:val="0076005D"/>
    <w:rsid w:val="007644B7"/>
    <w:rsid w:val="00764648"/>
    <w:rsid w:val="007672F3"/>
    <w:rsid w:val="00780F32"/>
    <w:rsid w:val="00797134"/>
    <w:rsid w:val="007A4639"/>
    <w:rsid w:val="007A5DDB"/>
    <w:rsid w:val="007A6344"/>
    <w:rsid w:val="007B16C4"/>
    <w:rsid w:val="007B4CD0"/>
    <w:rsid w:val="007C2D7E"/>
    <w:rsid w:val="007C3758"/>
    <w:rsid w:val="007C5E25"/>
    <w:rsid w:val="007C779C"/>
    <w:rsid w:val="007D17FD"/>
    <w:rsid w:val="007D48C5"/>
    <w:rsid w:val="007E06F0"/>
    <w:rsid w:val="007E4BD3"/>
    <w:rsid w:val="007F0450"/>
    <w:rsid w:val="007F4701"/>
    <w:rsid w:val="00802570"/>
    <w:rsid w:val="00802DFC"/>
    <w:rsid w:val="00810581"/>
    <w:rsid w:val="008120FB"/>
    <w:rsid w:val="00814781"/>
    <w:rsid w:val="0081595D"/>
    <w:rsid w:val="00826086"/>
    <w:rsid w:val="008264E4"/>
    <w:rsid w:val="00826DB4"/>
    <w:rsid w:val="00834DBB"/>
    <w:rsid w:val="0083557B"/>
    <w:rsid w:val="008361C4"/>
    <w:rsid w:val="00842FFB"/>
    <w:rsid w:val="00847271"/>
    <w:rsid w:val="008508F3"/>
    <w:rsid w:val="0085527E"/>
    <w:rsid w:val="0085729B"/>
    <w:rsid w:val="00860753"/>
    <w:rsid w:val="0086265A"/>
    <w:rsid w:val="0086351A"/>
    <w:rsid w:val="00864F85"/>
    <w:rsid w:val="00866184"/>
    <w:rsid w:val="008747CD"/>
    <w:rsid w:val="00874B61"/>
    <w:rsid w:val="00897387"/>
    <w:rsid w:val="00897FDB"/>
    <w:rsid w:val="008A250F"/>
    <w:rsid w:val="008A48B7"/>
    <w:rsid w:val="008A6EC6"/>
    <w:rsid w:val="008B3EB5"/>
    <w:rsid w:val="008B65FD"/>
    <w:rsid w:val="008C5809"/>
    <w:rsid w:val="008D4D94"/>
    <w:rsid w:val="008D78C9"/>
    <w:rsid w:val="008E0FC9"/>
    <w:rsid w:val="00905E55"/>
    <w:rsid w:val="00913684"/>
    <w:rsid w:val="009233A8"/>
    <w:rsid w:val="00923865"/>
    <w:rsid w:val="0093016E"/>
    <w:rsid w:val="00934B4D"/>
    <w:rsid w:val="009543D9"/>
    <w:rsid w:val="00955C75"/>
    <w:rsid w:val="0095733C"/>
    <w:rsid w:val="00960FCA"/>
    <w:rsid w:val="009677DF"/>
    <w:rsid w:val="00976FBF"/>
    <w:rsid w:val="009822D6"/>
    <w:rsid w:val="009946F8"/>
    <w:rsid w:val="00996E6B"/>
    <w:rsid w:val="009A1D64"/>
    <w:rsid w:val="009A5CD4"/>
    <w:rsid w:val="009B1292"/>
    <w:rsid w:val="009B2430"/>
    <w:rsid w:val="009B28E7"/>
    <w:rsid w:val="009B3209"/>
    <w:rsid w:val="009B338B"/>
    <w:rsid w:val="009B58AD"/>
    <w:rsid w:val="009B7935"/>
    <w:rsid w:val="009C0665"/>
    <w:rsid w:val="009C7BA2"/>
    <w:rsid w:val="009D1161"/>
    <w:rsid w:val="009D667B"/>
    <w:rsid w:val="009F4449"/>
    <w:rsid w:val="009F5055"/>
    <w:rsid w:val="00A01510"/>
    <w:rsid w:val="00A02252"/>
    <w:rsid w:val="00A071DD"/>
    <w:rsid w:val="00A127F1"/>
    <w:rsid w:val="00A17683"/>
    <w:rsid w:val="00A27130"/>
    <w:rsid w:val="00A30ED2"/>
    <w:rsid w:val="00A42960"/>
    <w:rsid w:val="00A4478A"/>
    <w:rsid w:val="00A56C5D"/>
    <w:rsid w:val="00A63489"/>
    <w:rsid w:val="00A7021E"/>
    <w:rsid w:val="00A7147C"/>
    <w:rsid w:val="00A75EC9"/>
    <w:rsid w:val="00A7660B"/>
    <w:rsid w:val="00A86897"/>
    <w:rsid w:val="00A87CDC"/>
    <w:rsid w:val="00A91538"/>
    <w:rsid w:val="00A95733"/>
    <w:rsid w:val="00A95A98"/>
    <w:rsid w:val="00AA32D5"/>
    <w:rsid w:val="00AA51CB"/>
    <w:rsid w:val="00AB003D"/>
    <w:rsid w:val="00AB5465"/>
    <w:rsid w:val="00AB57DF"/>
    <w:rsid w:val="00AC1ED8"/>
    <w:rsid w:val="00AC7ACD"/>
    <w:rsid w:val="00AD1650"/>
    <w:rsid w:val="00AD55D0"/>
    <w:rsid w:val="00AD759A"/>
    <w:rsid w:val="00AF1A07"/>
    <w:rsid w:val="00AF37DB"/>
    <w:rsid w:val="00B01234"/>
    <w:rsid w:val="00B07C91"/>
    <w:rsid w:val="00B12A78"/>
    <w:rsid w:val="00B1676E"/>
    <w:rsid w:val="00B24F93"/>
    <w:rsid w:val="00B26FAC"/>
    <w:rsid w:val="00B27FA3"/>
    <w:rsid w:val="00B31AA2"/>
    <w:rsid w:val="00B41FB0"/>
    <w:rsid w:val="00B440F5"/>
    <w:rsid w:val="00B454D4"/>
    <w:rsid w:val="00B5420A"/>
    <w:rsid w:val="00B5513B"/>
    <w:rsid w:val="00B555A9"/>
    <w:rsid w:val="00B62C97"/>
    <w:rsid w:val="00B7379D"/>
    <w:rsid w:val="00B74C0B"/>
    <w:rsid w:val="00B8400D"/>
    <w:rsid w:val="00B93A37"/>
    <w:rsid w:val="00B95371"/>
    <w:rsid w:val="00B95F26"/>
    <w:rsid w:val="00BA1819"/>
    <w:rsid w:val="00BA5A22"/>
    <w:rsid w:val="00BA6E4E"/>
    <w:rsid w:val="00BB29CB"/>
    <w:rsid w:val="00BB3F0A"/>
    <w:rsid w:val="00BB55E5"/>
    <w:rsid w:val="00BC444F"/>
    <w:rsid w:val="00BD0530"/>
    <w:rsid w:val="00BD725A"/>
    <w:rsid w:val="00BE020D"/>
    <w:rsid w:val="00BE6377"/>
    <w:rsid w:val="00BE69A2"/>
    <w:rsid w:val="00BF3750"/>
    <w:rsid w:val="00C06244"/>
    <w:rsid w:val="00C14376"/>
    <w:rsid w:val="00C157CA"/>
    <w:rsid w:val="00C22617"/>
    <w:rsid w:val="00C313F3"/>
    <w:rsid w:val="00C41419"/>
    <w:rsid w:val="00C536C2"/>
    <w:rsid w:val="00C55F47"/>
    <w:rsid w:val="00C56E2E"/>
    <w:rsid w:val="00C64A31"/>
    <w:rsid w:val="00C743B1"/>
    <w:rsid w:val="00C76D4A"/>
    <w:rsid w:val="00C82E8B"/>
    <w:rsid w:val="00C85BC4"/>
    <w:rsid w:val="00C91D50"/>
    <w:rsid w:val="00C95E89"/>
    <w:rsid w:val="00CA31C1"/>
    <w:rsid w:val="00CA3FE6"/>
    <w:rsid w:val="00CB7126"/>
    <w:rsid w:val="00CC4C88"/>
    <w:rsid w:val="00CD01ED"/>
    <w:rsid w:val="00CD0B1F"/>
    <w:rsid w:val="00CD1BEC"/>
    <w:rsid w:val="00CD3F96"/>
    <w:rsid w:val="00CD4F80"/>
    <w:rsid w:val="00CE09F3"/>
    <w:rsid w:val="00CE3AEF"/>
    <w:rsid w:val="00CE76DA"/>
    <w:rsid w:val="00CF2F96"/>
    <w:rsid w:val="00D05DD0"/>
    <w:rsid w:val="00D07333"/>
    <w:rsid w:val="00D11E94"/>
    <w:rsid w:val="00D2082A"/>
    <w:rsid w:val="00D261A1"/>
    <w:rsid w:val="00D26459"/>
    <w:rsid w:val="00D30389"/>
    <w:rsid w:val="00D337F6"/>
    <w:rsid w:val="00D35599"/>
    <w:rsid w:val="00D438C5"/>
    <w:rsid w:val="00D45984"/>
    <w:rsid w:val="00D45B27"/>
    <w:rsid w:val="00D52CDB"/>
    <w:rsid w:val="00D53203"/>
    <w:rsid w:val="00D61710"/>
    <w:rsid w:val="00D6611E"/>
    <w:rsid w:val="00D73F11"/>
    <w:rsid w:val="00D82423"/>
    <w:rsid w:val="00D82914"/>
    <w:rsid w:val="00D85F37"/>
    <w:rsid w:val="00DB0F5A"/>
    <w:rsid w:val="00DB3145"/>
    <w:rsid w:val="00DB4534"/>
    <w:rsid w:val="00DB4FD4"/>
    <w:rsid w:val="00DC08E0"/>
    <w:rsid w:val="00DC145B"/>
    <w:rsid w:val="00DC29E5"/>
    <w:rsid w:val="00DC7124"/>
    <w:rsid w:val="00DD2A82"/>
    <w:rsid w:val="00DD3BC2"/>
    <w:rsid w:val="00DF2EB7"/>
    <w:rsid w:val="00DF46E4"/>
    <w:rsid w:val="00E00F81"/>
    <w:rsid w:val="00E033AC"/>
    <w:rsid w:val="00E03BB4"/>
    <w:rsid w:val="00E04856"/>
    <w:rsid w:val="00E150C4"/>
    <w:rsid w:val="00E17A06"/>
    <w:rsid w:val="00E204BA"/>
    <w:rsid w:val="00E227F2"/>
    <w:rsid w:val="00E231A8"/>
    <w:rsid w:val="00E3155D"/>
    <w:rsid w:val="00E3218D"/>
    <w:rsid w:val="00E409DE"/>
    <w:rsid w:val="00E418B8"/>
    <w:rsid w:val="00E43275"/>
    <w:rsid w:val="00E50CD3"/>
    <w:rsid w:val="00E51E3F"/>
    <w:rsid w:val="00E56089"/>
    <w:rsid w:val="00E61542"/>
    <w:rsid w:val="00E67744"/>
    <w:rsid w:val="00E8110D"/>
    <w:rsid w:val="00E83E9D"/>
    <w:rsid w:val="00E87BE1"/>
    <w:rsid w:val="00EA020F"/>
    <w:rsid w:val="00EA1F85"/>
    <w:rsid w:val="00EA3998"/>
    <w:rsid w:val="00EB4C49"/>
    <w:rsid w:val="00EC4238"/>
    <w:rsid w:val="00EC7898"/>
    <w:rsid w:val="00EC7AFC"/>
    <w:rsid w:val="00ED0AF7"/>
    <w:rsid w:val="00ED1088"/>
    <w:rsid w:val="00ED3367"/>
    <w:rsid w:val="00ED4585"/>
    <w:rsid w:val="00ED735F"/>
    <w:rsid w:val="00EE4C37"/>
    <w:rsid w:val="00EF6C98"/>
    <w:rsid w:val="00F203BE"/>
    <w:rsid w:val="00F33966"/>
    <w:rsid w:val="00F40A2C"/>
    <w:rsid w:val="00F42610"/>
    <w:rsid w:val="00F46304"/>
    <w:rsid w:val="00F46728"/>
    <w:rsid w:val="00F50083"/>
    <w:rsid w:val="00F5775F"/>
    <w:rsid w:val="00F63F24"/>
    <w:rsid w:val="00F64CAB"/>
    <w:rsid w:val="00F668DA"/>
    <w:rsid w:val="00F7334D"/>
    <w:rsid w:val="00F86149"/>
    <w:rsid w:val="00F94ED1"/>
    <w:rsid w:val="00F95195"/>
    <w:rsid w:val="00F96D3D"/>
    <w:rsid w:val="00FB0FEF"/>
    <w:rsid w:val="00FB3463"/>
    <w:rsid w:val="00FB7CDC"/>
    <w:rsid w:val="00FC1776"/>
    <w:rsid w:val="00FC29D2"/>
    <w:rsid w:val="00FD4AF4"/>
    <w:rsid w:val="00FE63D4"/>
    <w:rsid w:val="00FF0D13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EAEDBD"/>
  <w15:docId w15:val="{C528A5DF-87BA-44A0-AF86-0F585DB6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1595D"/>
    <w:rPr>
      <w:sz w:val="22"/>
      <w:szCs w:val="24"/>
    </w:rPr>
  </w:style>
  <w:style w:type="paragraph" w:customStyle="1" w:styleId="Default">
    <w:name w:val="Default"/>
    <w:rsid w:val="00847271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C41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95A98"/>
    <w:rPr>
      <w:sz w:val="22"/>
      <w:szCs w:val="24"/>
    </w:rPr>
  </w:style>
  <w:style w:type="paragraph" w:customStyle="1" w:styleId="EUtablebody-9centered">
    <w:name w:val="EU table body-9 centered"/>
    <w:basedOn w:val="Normal"/>
    <w:uiPriority w:val="99"/>
    <w:qFormat/>
    <w:rsid w:val="00737DD6"/>
    <w:pPr>
      <w:tabs>
        <w:tab w:val="clear" w:pos="284"/>
      </w:tabs>
      <w:spacing w:before="40" w:after="40"/>
      <w:jc w:val="center"/>
    </w:pPr>
    <w:rPr>
      <w:rFonts w:ascii="Verdana" w:hAnsi="Verdana"/>
      <w:sz w:val="18"/>
    </w:rPr>
  </w:style>
  <w:style w:type="paragraph" w:customStyle="1" w:styleId="table-body-9">
    <w:name w:val="table-body-9"/>
    <w:basedOn w:val="Normal"/>
    <w:qFormat/>
    <w:rsid w:val="00737DD6"/>
    <w:pPr>
      <w:tabs>
        <w:tab w:val="clear" w:pos="284"/>
      </w:tabs>
      <w:spacing w:before="40" w:after="40"/>
      <w:jc w:val="left"/>
    </w:pPr>
    <w:rPr>
      <w:sz w:val="18"/>
    </w:rPr>
  </w:style>
  <w:style w:type="paragraph" w:customStyle="1" w:styleId="table-heading-9">
    <w:name w:val="table-heading-9"/>
    <w:basedOn w:val="Normal"/>
    <w:qFormat/>
    <w:rsid w:val="00737DD6"/>
    <w:pPr>
      <w:keepNext/>
      <w:widowControl w:val="0"/>
      <w:tabs>
        <w:tab w:val="clear" w:pos="284"/>
      </w:tabs>
      <w:spacing w:before="40" w:after="40"/>
      <w:jc w:val="left"/>
    </w:pPr>
    <w:rPr>
      <w:b/>
      <w:sz w:val="18"/>
    </w:rPr>
  </w:style>
  <w:style w:type="paragraph" w:customStyle="1" w:styleId="table-heading-9centered">
    <w:name w:val="table-heading-9 centered"/>
    <w:basedOn w:val="table-heading-9"/>
    <w:qFormat/>
    <w:rsid w:val="00737DD6"/>
    <w:pPr>
      <w:jc w:val="center"/>
    </w:pPr>
  </w:style>
  <w:style w:type="paragraph" w:styleId="NoSpacing">
    <w:name w:val="No Spacing"/>
    <w:uiPriority w:val="1"/>
    <w:qFormat/>
    <w:rsid w:val="00897387"/>
    <w:rPr>
      <w:sz w:val="24"/>
      <w:szCs w:val="24"/>
    </w:rPr>
  </w:style>
  <w:style w:type="character" w:styleId="Hyperlink">
    <w:name w:val="Hyperlink"/>
    <w:basedOn w:val="DefaultParagraphFont"/>
    <w:rsid w:val="008973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BEB27-F6F2-45D3-BDA7-17DFDAC9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20</Pages>
  <Words>8837</Words>
  <Characters>50376</Characters>
  <Application>Microsoft Office Word</Application>
  <DocSecurity>0</DocSecurity>
  <Lines>419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Takeda</Company>
  <LinksUpToDate>false</LinksUpToDate>
  <CharactersWithSpaces>59095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Jovana Jovanovic</cp:lastModifiedBy>
  <cp:revision>7</cp:revision>
  <cp:lastPrinted>2016-07-25T08:52:00Z</cp:lastPrinted>
  <dcterms:created xsi:type="dcterms:W3CDTF">2025-07-28T05:23:00Z</dcterms:created>
  <dcterms:modified xsi:type="dcterms:W3CDTF">2025-07-31T11:26:00Z</dcterms:modified>
</cp:coreProperties>
</file>