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B8FEB" w14:textId="77777777" w:rsidR="00257763" w:rsidRPr="0043654C" w:rsidRDefault="00257763">
      <w:pPr>
        <w:rPr>
          <w:b/>
          <w:bCs/>
          <w:i/>
          <w:iCs/>
          <w:szCs w:val="22"/>
          <w:u w:val="single"/>
          <w:lang w:val="sr-Latn-ME"/>
        </w:rPr>
      </w:pPr>
    </w:p>
    <w:p w14:paraId="5BBCE616" w14:textId="77777777" w:rsidR="00257763" w:rsidRPr="0043654C" w:rsidRDefault="00D426A3">
      <w:pPr>
        <w:jc w:val="center"/>
        <w:rPr>
          <w:b/>
          <w:bCs/>
          <w:iCs/>
          <w:szCs w:val="22"/>
          <w:u w:val="single"/>
          <w:lang w:val="sr-Latn-ME"/>
        </w:rPr>
      </w:pPr>
      <w:r w:rsidRPr="0043654C">
        <w:rPr>
          <w:b/>
          <w:bCs/>
          <w:iCs/>
          <w:szCs w:val="22"/>
          <w:u w:val="single"/>
          <w:lang w:val="sr-Latn-ME"/>
        </w:rPr>
        <w:t>SAŽETAK KARAKTERISTIKA LIJEKA</w:t>
      </w:r>
    </w:p>
    <w:p w14:paraId="78D3D146" w14:textId="77777777" w:rsidR="00257763" w:rsidRPr="0043654C" w:rsidRDefault="00257763">
      <w:pPr>
        <w:rPr>
          <w:b/>
          <w:bCs/>
          <w:i/>
          <w:iCs/>
          <w:szCs w:val="22"/>
          <w:u w:val="single"/>
          <w:lang w:val="sr-Latn-ME"/>
        </w:rPr>
      </w:pPr>
    </w:p>
    <w:p w14:paraId="71107139" w14:textId="77777777" w:rsidR="00257763" w:rsidRPr="0043654C" w:rsidRDefault="00257763">
      <w:pPr>
        <w:rPr>
          <w:szCs w:val="22"/>
          <w:lang w:val="sr-Latn-ME"/>
        </w:rPr>
      </w:pPr>
    </w:p>
    <w:p w14:paraId="1ED48F38" w14:textId="77777777" w:rsidR="00257763" w:rsidRPr="0043654C" w:rsidRDefault="00D426A3" w:rsidP="00A30145">
      <w:pPr>
        <w:tabs>
          <w:tab w:val="left" w:pos="540"/>
        </w:tabs>
        <w:jc w:val="both"/>
        <w:rPr>
          <w:b/>
          <w:bCs/>
          <w:szCs w:val="22"/>
          <w:lang w:val="sr-Latn-ME"/>
        </w:rPr>
      </w:pPr>
      <w:r w:rsidRPr="0043654C">
        <w:rPr>
          <w:b/>
          <w:bCs/>
          <w:szCs w:val="22"/>
          <w:lang w:val="sr-Latn-ME"/>
        </w:rPr>
        <w:t>1.</w:t>
      </w:r>
      <w:r w:rsidRPr="0043654C">
        <w:rPr>
          <w:b/>
          <w:bCs/>
          <w:szCs w:val="22"/>
          <w:lang w:val="sr-Latn-ME"/>
        </w:rPr>
        <w:tab/>
        <w:t>NAZIV LIJEKA</w:t>
      </w:r>
    </w:p>
    <w:p w14:paraId="5B872664" w14:textId="77777777" w:rsidR="00257763" w:rsidRPr="0043654C" w:rsidRDefault="00257763" w:rsidP="00A30145">
      <w:pPr>
        <w:jc w:val="both"/>
        <w:rPr>
          <w:szCs w:val="22"/>
          <w:lang w:val="sr-Latn-ME"/>
        </w:rPr>
      </w:pPr>
    </w:p>
    <w:p w14:paraId="6AD8BC5E" w14:textId="77777777" w:rsidR="00257763" w:rsidRPr="0043654C" w:rsidRDefault="00D426A3" w:rsidP="00A30145">
      <w:pPr>
        <w:widowControl w:val="0"/>
        <w:jc w:val="both"/>
        <w:rPr>
          <w:noProof/>
          <w:szCs w:val="22"/>
          <w:lang w:val="sr-Latn-ME"/>
        </w:rPr>
      </w:pPr>
      <w:r w:rsidRPr="0043654C">
        <w:rPr>
          <w:noProof/>
          <w:szCs w:val="22"/>
          <w:lang w:val="sr-Latn-ME"/>
        </w:rPr>
        <w:t>Valomindo, 80 mg + 1,5 mg, tableta sa modifikovanim oslobađanjem</w:t>
      </w:r>
    </w:p>
    <w:p w14:paraId="17BF4D86" w14:textId="77777777" w:rsidR="00257763" w:rsidRPr="0043654C" w:rsidRDefault="00257763" w:rsidP="00A30145">
      <w:pPr>
        <w:jc w:val="both"/>
        <w:rPr>
          <w:bCs/>
          <w:szCs w:val="22"/>
          <w:lang w:val="sr-Latn-ME"/>
        </w:rPr>
      </w:pPr>
    </w:p>
    <w:p w14:paraId="210DCC66" w14:textId="77777777" w:rsidR="00257763" w:rsidRPr="0043654C" w:rsidRDefault="00D426A3" w:rsidP="00A30145">
      <w:pPr>
        <w:jc w:val="both"/>
        <w:rPr>
          <w:szCs w:val="22"/>
          <w:lang w:val="sr-Latn-ME"/>
        </w:rPr>
      </w:pPr>
      <w:r w:rsidRPr="0043654C">
        <w:rPr>
          <w:szCs w:val="22"/>
          <w:lang w:val="sr-Latn-ME"/>
        </w:rPr>
        <w:t>INN:</w:t>
      </w:r>
      <w:r w:rsidRPr="0043654C">
        <w:rPr>
          <w:noProof/>
          <w:szCs w:val="22"/>
          <w:lang w:val="sr-Latn-ME"/>
        </w:rPr>
        <w:t xml:space="preserve"> valsartan, indapamid</w:t>
      </w:r>
    </w:p>
    <w:p w14:paraId="296719CE" w14:textId="77777777" w:rsidR="00257763" w:rsidRPr="0043654C" w:rsidRDefault="00257763" w:rsidP="00A30145">
      <w:pPr>
        <w:jc w:val="both"/>
        <w:rPr>
          <w:szCs w:val="22"/>
          <w:lang w:val="sr-Latn-ME"/>
        </w:rPr>
      </w:pPr>
    </w:p>
    <w:p w14:paraId="7355C8E0" w14:textId="77777777" w:rsidR="00257763" w:rsidRPr="0043654C" w:rsidRDefault="00257763" w:rsidP="00A30145">
      <w:pPr>
        <w:jc w:val="both"/>
        <w:rPr>
          <w:bCs/>
          <w:szCs w:val="22"/>
          <w:lang w:val="sr-Latn-ME"/>
        </w:rPr>
      </w:pPr>
    </w:p>
    <w:p w14:paraId="3D083FCC" w14:textId="77777777" w:rsidR="00257763" w:rsidRPr="0043654C" w:rsidRDefault="00D426A3" w:rsidP="00A30145">
      <w:pPr>
        <w:tabs>
          <w:tab w:val="left" w:pos="540"/>
        </w:tabs>
        <w:jc w:val="both"/>
        <w:rPr>
          <w:b/>
          <w:bCs/>
          <w:szCs w:val="22"/>
          <w:lang w:val="sr-Latn-ME"/>
        </w:rPr>
      </w:pPr>
      <w:r w:rsidRPr="0043654C">
        <w:rPr>
          <w:b/>
          <w:bCs/>
          <w:szCs w:val="22"/>
          <w:lang w:val="sr-Latn-ME"/>
        </w:rPr>
        <w:t xml:space="preserve">2. </w:t>
      </w:r>
      <w:r w:rsidRPr="0043654C">
        <w:rPr>
          <w:b/>
          <w:bCs/>
          <w:szCs w:val="22"/>
          <w:lang w:val="sr-Latn-ME"/>
        </w:rPr>
        <w:tab/>
        <w:t>KVALITATIVNI I KVANTITATIVNI SASTAV</w:t>
      </w:r>
    </w:p>
    <w:p w14:paraId="008449DC" w14:textId="77777777" w:rsidR="00257763" w:rsidRPr="0043654C" w:rsidRDefault="00257763" w:rsidP="00A30145">
      <w:pPr>
        <w:jc w:val="both"/>
        <w:rPr>
          <w:szCs w:val="22"/>
          <w:lang w:val="sr-Latn-ME"/>
        </w:rPr>
      </w:pPr>
    </w:p>
    <w:p w14:paraId="4798D01A" w14:textId="77777777" w:rsidR="00257763" w:rsidRPr="0043654C" w:rsidRDefault="00D426A3" w:rsidP="00A30145">
      <w:pPr>
        <w:widowControl w:val="0"/>
        <w:autoSpaceDE w:val="0"/>
        <w:autoSpaceDN w:val="0"/>
        <w:adjustRightInd w:val="0"/>
        <w:jc w:val="both"/>
        <w:rPr>
          <w:szCs w:val="22"/>
          <w:lang w:val="sr-Latn-ME"/>
        </w:rPr>
      </w:pPr>
      <w:r w:rsidRPr="0043654C">
        <w:rPr>
          <w:szCs w:val="22"/>
          <w:lang w:val="sr-Latn-ME"/>
        </w:rPr>
        <w:t>Svaka tableta sadrži 80 mg valsartana i 1,5 mg indapamida.</w:t>
      </w:r>
    </w:p>
    <w:p w14:paraId="4C745C2C" w14:textId="77777777" w:rsidR="00257763" w:rsidRPr="0043654C" w:rsidRDefault="00257763" w:rsidP="00A30145">
      <w:pPr>
        <w:jc w:val="both"/>
        <w:rPr>
          <w:szCs w:val="22"/>
          <w:lang w:val="sr-Latn-ME"/>
        </w:rPr>
      </w:pPr>
    </w:p>
    <w:p w14:paraId="2700DEF3" w14:textId="77777777" w:rsidR="00257763" w:rsidRPr="0043654C" w:rsidRDefault="00D426A3" w:rsidP="00A30145">
      <w:pPr>
        <w:jc w:val="both"/>
        <w:rPr>
          <w:szCs w:val="22"/>
          <w:lang w:val="sr-Latn-ME"/>
        </w:rPr>
      </w:pPr>
      <w:r w:rsidRPr="0043654C">
        <w:rPr>
          <w:szCs w:val="22"/>
          <w:lang w:val="sr-Latn-ME"/>
        </w:rPr>
        <w:t>Za spisak svih ekscipijenasa, pogledati dio 6.1.</w:t>
      </w:r>
    </w:p>
    <w:p w14:paraId="6775D762" w14:textId="77777777" w:rsidR="00257763" w:rsidRPr="0043654C" w:rsidRDefault="00257763" w:rsidP="00A30145">
      <w:pPr>
        <w:jc w:val="both"/>
        <w:rPr>
          <w:szCs w:val="22"/>
          <w:lang w:val="sr-Latn-ME"/>
        </w:rPr>
      </w:pPr>
    </w:p>
    <w:p w14:paraId="2ED4B2E7" w14:textId="77777777" w:rsidR="00257763" w:rsidRPr="0043654C" w:rsidRDefault="00257763" w:rsidP="00A30145">
      <w:pPr>
        <w:jc w:val="both"/>
        <w:rPr>
          <w:szCs w:val="22"/>
          <w:lang w:val="sr-Latn-ME"/>
        </w:rPr>
      </w:pPr>
    </w:p>
    <w:p w14:paraId="30E01BC4" w14:textId="77777777" w:rsidR="00257763" w:rsidRPr="0043654C" w:rsidRDefault="00D426A3" w:rsidP="00A30145">
      <w:pPr>
        <w:tabs>
          <w:tab w:val="left" w:pos="540"/>
        </w:tabs>
        <w:jc w:val="both"/>
        <w:rPr>
          <w:b/>
          <w:bCs/>
          <w:szCs w:val="22"/>
          <w:lang w:val="sr-Latn-ME"/>
        </w:rPr>
      </w:pPr>
      <w:r w:rsidRPr="0043654C">
        <w:rPr>
          <w:b/>
          <w:bCs/>
          <w:szCs w:val="22"/>
          <w:lang w:val="sr-Latn-ME"/>
        </w:rPr>
        <w:t xml:space="preserve">3. </w:t>
      </w:r>
      <w:r w:rsidRPr="0043654C">
        <w:rPr>
          <w:b/>
          <w:bCs/>
          <w:szCs w:val="22"/>
          <w:lang w:val="sr-Latn-ME"/>
        </w:rPr>
        <w:tab/>
        <w:t xml:space="preserve">FARMACEUTSKI OBLIK </w:t>
      </w:r>
    </w:p>
    <w:p w14:paraId="2095EB7F" w14:textId="77777777" w:rsidR="00257763" w:rsidRPr="0043654C" w:rsidRDefault="00257763" w:rsidP="00A30145">
      <w:pPr>
        <w:jc w:val="both"/>
        <w:rPr>
          <w:bCs/>
          <w:szCs w:val="22"/>
          <w:lang w:val="sr-Latn-ME"/>
        </w:rPr>
      </w:pPr>
    </w:p>
    <w:p w14:paraId="327830F1" w14:textId="77777777" w:rsidR="00257763" w:rsidRPr="0043654C" w:rsidRDefault="00D426A3" w:rsidP="00A30145">
      <w:pPr>
        <w:widowControl w:val="0"/>
        <w:jc w:val="both"/>
        <w:rPr>
          <w:noProof/>
          <w:szCs w:val="22"/>
          <w:lang w:val="sr-Latn-ME"/>
        </w:rPr>
      </w:pPr>
      <w:r w:rsidRPr="0043654C">
        <w:rPr>
          <w:noProof/>
          <w:szCs w:val="22"/>
          <w:lang w:val="sr-Latn-ME"/>
        </w:rPr>
        <w:t>Tableta sa modifikovanim oslobađanjem</w:t>
      </w:r>
    </w:p>
    <w:p w14:paraId="47FA642B" w14:textId="77777777" w:rsidR="00257763" w:rsidRPr="0043654C" w:rsidRDefault="00257763" w:rsidP="00A30145">
      <w:pPr>
        <w:widowControl w:val="0"/>
        <w:jc w:val="both"/>
        <w:rPr>
          <w:noProof/>
          <w:szCs w:val="22"/>
          <w:highlight w:val="yellow"/>
          <w:lang w:val="sr-Latn-ME"/>
        </w:rPr>
      </w:pPr>
    </w:p>
    <w:p w14:paraId="6BE19E8F" w14:textId="39B3FCDB" w:rsidR="00257763" w:rsidRPr="0043654C" w:rsidRDefault="00AE03A2" w:rsidP="00A30145">
      <w:pPr>
        <w:widowControl w:val="0"/>
        <w:jc w:val="both"/>
        <w:rPr>
          <w:noProof/>
          <w:szCs w:val="22"/>
          <w:lang w:val="sr-Latn-ME"/>
        </w:rPr>
      </w:pPr>
      <w:r w:rsidRPr="0043654C">
        <w:rPr>
          <w:noProof/>
          <w:szCs w:val="22"/>
          <w:lang w:val="sr-Latn-ME"/>
        </w:rPr>
        <w:t>O</w:t>
      </w:r>
      <w:r w:rsidR="00D426A3" w:rsidRPr="0043654C">
        <w:rPr>
          <w:noProof/>
          <w:szCs w:val="22"/>
          <w:lang w:val="sr-Latn-ME"/>
        </w:rPr>
        <w:t>krugle, bikonveksne dvoslojne tablete. Jedan sloj je svijetlo ružičast</w:t>
      </w:r>
      <w:r w:rsidRPr="0043654C">
        <w:rPr>
          <w:noProof/>
          <w:szCs w:val="22"/>
          <w:lang w:val="sr-Latn-ME"/>
        </w:rPr>
        <w:t>e boje</w:t>
      </w:r>
      <w:r w:rsidR="00D426A3" w:rsidRPr="0043654C">
        <w:rPr>
          <w:noProof/>
          <w:szCs w:val="22"/>
          <w:lang w:val="sr-Latn-ME"/>
        </w:rPr>
        <w:t>, prošaran, sa oznakom VI1. Drugi sloj je bijel</w:t>
      </w:r>
      <w:r w:rsidRPr="0043654C">
        <w:rPr>
          <w:noProof/>
          <w:szCs w:val="22"/>
          <w:lang w:val="sr-Latn-ME"/>
        </w:rPr>
        <w:t>e</w:t>
      </w:r>
      <w:r w:rsidR="00D426A3" w:rsidRPr="0043654C">
        <w:rPr>
          <w:noProof/>
          <w:szCs w:val="22"/>
          <w:lang w:val="sr-Latn-ME"/>
        </w:rPr>
        <w:t xml:space="preserve"> do žuto bijel</w:t>
      </w:r>
      <w:r w:rsidRPr="0043654C">
        <w:rPr>
          <w:noProof/>
          <w:szCs w:val="22"/>
          <w:lang w:val="sr-Latn-ME"/>
        </w:rPr>
        <w:t>e boje</w:t>
      </w:r>
      <w:r w:rsidR="00D426A3" w:rsidRPr="0043654C">
        <w:rPr>
          <w:noProof/>
          <w:szCs w:val="22"/>
          <w:lang w:val="sr-Latn-ME"/>
        </w:rPr>
        <w:t xml:space="preserve">. </w:t>
      </w:r>
      <w:r w:rsidRPr="0043654C">
        <w:rPr>
          <w:noProof/>
          <w:szCs w:val="22"/>
          <w:lang w:val="sr-Latn-ME"/>
        </w:rPr>
        <w:t>P</w:t>
      </w:r>
      <w:r w:rsidR="00D426A3" w:rsidRPr="0043654C">
        <w:rPr>
          <w:noProof/>
          <w:szCs w:val="22"/>
          <w:lang w:val="sr-Latn-ME"/>
        </w:rPr>
        <w:t xml:space="preserve">rečnik </w:t>
      </w:r>
      <w:r w:rsidRPr="0043654C">
        <w:rPr>
          <w:noProof/>
          <w:szCs w:val="22"/>
          <w:lang w:val="sr-Latn-ME"/>
        </w:rPr>
        <w:t xml:space="preserve">tablete je </w:t>
      </w:r>
      <w:r w:rsidR="00D426A3" w:rsidRPr="0043654C">
        <w:rPr>
          <w:noProof/>
          <w:szCs w:val="22"/>
          <w:lang w:val="sr-Latn-ME"/>
        </w:rPr>
        <w:t>približno 11 mm.</w:t>
      </w:r>
    </w:p>
    <w:p w14:paraId="498CC517" w14:textId="77777777" w:rsidR="00257763" w:rsidRPr="0043654C" w:rsidRDefault="00257763" w:rsidP="00A30145">
      <w:pPr>
        <w:jc w:val="both"/>
        <w:rPr>
          <w:bCs/>
          <w:szCs w:val="22"/>
          <w:lang w:val="sr-Latn-ME"/>
        </w:rPr>
      </w:pPr>
    </w:p>
    <w:p w14:paraId="3871E7FC" w14:textId="77777777" w:rsidR="00257763" w:rsidRPr="0043654C" w:rsidRDefault="00257763" w:rsidP="00A30145">
      <w:pPr>
        <w:jc w:val="both"/>
        <w:rPr>
          <w:bCs/>
          <w:szCs w:val="22"/>
          <w:lang w:val="sr-Latn-ME"/>
        </w:rPr>
      </w:pPr>
    </w:p>
    <w:p w14:paraId="04DD8638" w14:textId="77777777" w:rsidR="00257763" w:rsidRPr="0043654C" w:rsidRDefault="00D426A3" w:rsidP="00A30145">
      <w:pPr>
        <w:tabs>
          <w:tab w:val="left" w:pos="540"/>
        </w:tabs>
        <w:jc w:val="both"/>
        <w:rPr>
          <w:b/>
          <w:bCs/>
          <w:szCs w:val="22"/>
          <w:lang w:val="sr-Latn-ME"/>
        </w:rPr>
      </w:pPr>
      <w:r w:rsidRPr="0043654C">
        <w:rPr>
          <w:b/>
          <w:bCs/>
          <w:szCs w:val="22"/>
          <w:lang w:val="sr-Latn-ME"/>
        </w:rPr>
        <w:t xml:space="preserve">4. </w:t>
      </w:r>
      <w:r w:rsidRPr="0043654C">
        <w:rPr>
          <w:b/>
          <w:bCs/>
          <w:szCs w:val="22"/>
          <w:lang w:val="sr-Latn-ME"/>
        </w:rPr>
        <w:tab/>
        <w:t>KLINIČKI PODACI</w:t>
      </w:r>
    </w:p>
    <w:p w14:paraId="4172B363" w14:textId="77777777" w:rsidR="00257763" w:rsidRPr="0043654C" w:rsidRDefault="00257763" w:rsidP="00A30145">
      <w:pPr>
        <w:tabs>
          <w:tab w:val="left" w:pos="540"/>
        </w:tabs>
        <w:jc w:val="both"/>
        <w:rPr>
          <w:bCs/>
          <w:szCs w:val="22"/>
          <w:lang w:val="sr-Latn-ME"/>
        </w:rPr>
      </w:pPr>
    </w:p>
    <w:p w14:paraId="6858BAC6" w14:textId="77777777" w:rsidR="00257763" w:rsidRPr="0043654C" w:rsidRDefault="00D426A3" w:rsidP="00A30145">
      <w:pPr>
        <w:tabs>
          <w:tab w:val="left" w:pos="540"/>
        </w:tabs>
        <w:jc w:val="both"/>
        <w:rPr>
          <w:b/>
          <w:bCs/>
          <w:szCs w:val="22"/>
          <w:lang w:val="sr-Latn-ME"/>
        </w:rPr>
      </w:pPr>
      <w:r w:rsidRPr="0043654C">
        <w:rPr>
          <w:b/>
          <w:bCs/>
          <w:szCs w:val="22"/>
          <w:lang w:val="sr-Latn-ME"/>
        </w:rPr>
        <w:t xml:space="preserve">4.1. </w:t>
      </w:r>
      <w:r w:rsidRPr="0043654C">
        <w:rPr>
          <w:b/>
          <w:bCs/>
          <w:szCs w:val="22"/>
          <w:lang w:val="sr-Latn-ME"/>
        </w:rPr>
        <w:tab/>
        <w:t>Terapijske indikacije</w:t>
      </w:r>
    </w:p>
    <w:p w14:paraId="2F0227A8" w14:textId="77777777" w:rsidR="00257763" w:rsidRPr="0043654C" w:rsidRDefault="00257763" w:rsidP="00A30145">
      <w:pPr>
        <w:tabs>
          <w:tab w:val="left" w:pos="540"/>
        </w:tabs>
        <w:jc w:val="both"/>
        <w:rPr>
          <w:bCs/>
          <w:szCs w:val="22"/>
          <w:lang w:val="sr-Latn-ME"/>
        </w:rPr>
      </w:pPr>
    </w:p>
    <w:p w14:paraId="00B816D3"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Lijek Valomindo je indikovan za liječenje esencijalne hipertenzije kao supstituciona terapija kod odraslih pacijenata koji su adekvatno kontrolisani valsartanom i indapamidom koji se daju istovremeno u istoj dozi kao u ovoj kombinaciji, ali kao zasebne tablete.</w:t>
      </w:r>
    </w:p>
    <w:p w14:paraId="3150585F" w14:textId="77777777" w:rsidR="00257763" w:rsidRPr="0043654C" w:rsidRDefault="00257763" w:rsidP="00A30145">
      <w:pPr>
        <w:tabs>
          <w:tab w:val="left" w:pos="540"/>
        </w:tabs>
        <w:jc w:val="both"/>
        <w:rPr>
          <w:bCs/>
          <w:szCs w:val="22"/>
          <w:lang w:val="sr-Latn-ME"/>
        </w:rPr>
      </w:pPr>
    </w:p>
    <w:p w14:paraId="725B056F" w14:textId="77777777" w:rsidR="00257763" w:rsidRPr="0043654C" w:rsidRDefault="00D426A3" w:rsidP="00A30145">
      <w:pPr>
        <w:tabs>
          <w:tab w:val="left" w:pos="540"/>
        </w:tabs>
        <w:jc w:val="both"/>
        <w:rPr>
          <w:b/>
          <w:bCs/>
          <w:szCs w:val="22"/>
          <w:lang w:val="sr-Latn-ME"/>
        </w:rPr>
      </w:pPr>
      <w:r w:rsidRPr="0043654C">
        <w:rPr>
          <w:b/>
          <w:bCs/>
          <w:szCs w:val="22"/>
          <w:lang w:val="sr-Latn-ME"/>
        </w:rPr>
        <w:t xml:space="preserve">4.2. </w:t>
      </w:r>
      <w:r w:rsidRPr="0043654C">
        <w:rPr>
          <w:b/>
          <w:bCs/>
          <w:szCs w:val="22"/>
          <w:lang w:val="sr-Latn-ME"/>
        </w:rPr>
        <w:tab/>
        <w:t>Doziranje i način primjene</w:t>
      </w:r>
    </w:p>
    <w:p w14:paraId="28EC5F43" w14:textId="77777777" w:rsidR="00257763" w:rsidRPr="0043654C" w:rsidRDefault="00257763" w:rsidP="00A30145">
      <w:pPr>
        <w:tabs>
          <w:tab w:val="left" w:pos="540"/>
        </w:tabs>
        <w:jc w:val="both"/>
        <w:rPr>
          <w:bCs/>
          <w:szCs w:val="22"/>
          <w:lang w:val="sr-Latn-ME"/>
        </w:rPr>
      </w:pPr>
    </w:p>
    <w:p w14:paraId="0F0F46D0" w14:textId="77777777" w:rsidR="00257763" w:rsidRPr="0043654C" w:rsidRDefault="00D426A3" w:rsidP="00A30145">
      <w:pPr>
        <w:tabs>
          <w:tab w:val="left" w:pos="540"/>
        </w:tabs>
        <w:jc w:val="both"/>
        <w:rPr>
          <w:bCs/>
          <w:szCs w:val="22"/>
          <w:u w:val="single"/>
          <w:lang w:val="sr-Latn-ME"/>
        </w:rPr>
      </w:pPr>
      <w:r w:rsidRPr="0043654C">
        <w:rPr>
          <w:bCs/>
          <w:szCs w:val="22"/>
          <w:u w:val="single"/>
          <w:lang w:val="sr-Latn-ME"/>
        </w:rPr>
        <w:t>Doziranje</w:t>
      </w:r>
    </w:p>
    <w:p w14:paraId="581C5940" w14:textId="77777777" w:rsidR="00257763" w:rsidRPr="0043654C" w:rsidRDefault="00257763" w:rsidP="00A30145">
      <w:pPr>
        <w:tabs>
          <w:tab w:val="left" w:pos="540"/>
        </w:tabs>
        <w:jc w:val="both"/>
        <w:rPr>
          <w:bCs/>
          <w:szCs w:val="22"/>
          <w:u w:val="single"/>
          <w:lang w:val="sr-Latn-ME"/>
        </w:rPr>
      </w:pPr>
    </w:p>
    <w:p w14:paraId="5298D539"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Preporučena dnevna doza je jedna tableta date jačine.</w:t>
      </w:r>
    </w:p>
    <w:p w14:paraId="4C38D7E7"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Kombinacija fiksne doze nije prikladna za početnu terapiju.</w:t>
      </w:r>
    </w:p>
    <w:p w14:paraId="3BBF9DD9" w14:textId="77777777" w:rsidR="00257763" w:rsidRPr="0043654C" w:rsidRDefault="00257763" w:rsidP="00A30145">
      <w:pPr>
        <w:autoSpaceDE w:val="0"/>
        <w:autoSpaceDN w:val="0"/>
        <w:adjustRightInd w:val="0"/>
        <w:jc w:val="both"/>
        <w:rPr>
          <w:szCs w:val="22"/>
          <w:lang w:val="sr-Latn-ME"/>
        </w:rPr>
      </w:pPr>
    </w:p>
    <w:p w14:paraId="41175B02"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Prije prelaska na lijek Valomindo pacijente treba kontrolisati na stabilne doze monokomponenti koje se uzimaju u isto vrijeme. Doza lijeka Valomindo treba da se zasniva na dozama pojedinačnih komponenti ove kombinacije u trenutku promjene.</w:t>
      </w:r>
    </w:p>
    <w:p w14:paraId="380B3903" w14:textId="77777777" w:rsidR="00257763" w:rsidRPr="0043654C" w:rsidRDefault="00257763" w:rsidP="00A30145">
      <w:pPr>
        <w:autoSpaceDE w:val="0"/>
        <w:autoSpaceDN w:val="0"/>
        <w:adjustRightInd w:val="0"/>
        <w:jc w:val="both"/>
        <w:rPr>
          <w:szCs w:val="22"/>
          <w:lang w:val="sr-Latn-ME"/>
        </w:rPr>
      </w:pPr>
    </w:p>
    <w:p w14:paraId="21970767"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Ako je potrebna promjena doze, treba je izvršiti individualnom titracijom pojedinačnih sastojaka ove kombinacije.</w:t>
      </w:r>
    </w:p>
    <w:p w14:paraId="3A03AFB1"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3A77F8C3" w14:textId="77777777" w:rsidR="00257763" w:rsidRPr="0043654C" w:rsidRDefault="00D426A3" w:rsidP="00A30145">
      <w:pPr>
        <w:widowControl w:val="0"/>
        <w:autoSpaceDE w:val="0"/>
        <w:autoSpaceDN w:val="0"/>
        <w:adjustRightInd w:val="0"/>
        <w:jc w:val="both"/>
        <w:rPr>
          <w:rFonts w:eastAsia="Calibri"/>
          <w:noProof/>
          <w:szCs w:val="22"/>
          <w:u w:val="single"/>
          <w:lang w:val="sr-Latn-ME"/>
        </w:rPr>
      </w:pPr>
      <w:r w:rsidRPr="0043654C">
        <w:rPr>
          <w:rFonts w:eastAsia="Calibri"/>
          <w:noProof/>
          <w:szCs w:val="22"/>
          <w:u w:val="single"/>
          <w:lang w:val="sr-Latn-ME"/>
        </w:rPr>
        <w:t>Posebne populacije</w:t>
      </w:r>
    </w:p>
    <w:p w14:paraId="278F140D"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37010DF1" w14:textId="77777777" w:rsidR="00257763" w:rsidRPr="0043654C" w:rsidRDefault="00D426A3" w:rsidP="00A30145">
      <w:pPr>
        <w:widowControl w:val="0"/>
        <w:autoSpaceDE w:val="0"/>
        <w:autoSpaceDN w:val="0"/>
        <w:adjustRightInd w:val="0"/>
        <w:jc w:val="both"/>
        <w:rPr>
          <w:rFonts w:eastAsia="Calibri"/>
          <w:i/>
          <w:noProof/>
          <w:szCs w:val="22"/>
          <w:u w:val="single"/>
          <w:lang w:val="sr-Latn-ME"/>
        </w:rPr>
      </w:pPr>
      <w:r w:rsidRPr="0043654C">
        <w:rPr>
          <w:rFonts w:eastAsia="Calibri"/>
          <w:i/>
          <w:noProof/>
          <w:szCs w:val="22"/>
          <w:u w:val="single"/>
          <w:lang w:val="sr-Latn-ME"/>
        </w:rPr>
        <w:t>Starije osobe</w:t>
      </w:r>
    </w:p>
    <w:p w14:paraId="3E809A83"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Kod starijih osoba kreatinin u plazmi se mora prilagoditi starosti, težini i polu. Stariji pacijenti mogu da se liječe lijekom Valomindo kada je bubrežna funkcija normalna ili samo minimalno oštećena.</w:t>
      </w:r>
    </w:p>
    <w:p w14:paraId="4CB0DDAE" w14:textId="77777777" w:rsidR="00D92516" w:rsidRDefault="00D92516" w:rsidP="00A30145">
      <w:pPr>
        <w:widowControl w:val="0"/>
        <w:autoSpaceDE w:val="0"/>
        <w:autoSpaceDN w:val="0"/>
        <w:adjustRightInd w:val="0"/>
        <w:jc w:val="both"/>
        <w:rPr>
          <w:rFonts w:eastAsia="Calibri"/>
          <w:i/>
          <w:noProof/>
          <w:szCs w:val="22"/>
          <w:u w:val="single"/>
          <w:lang w:val="sr-Latn-ME"/>
        </w:rPr>
      </w:pPr>
    </w:p>
    <w:p w14:paraId="66B463C3" w14:textId="6C13BFC5" w:rsidR="00257763" w:rsidRPr="0043654C" w:rsidRDefault="00D426A3" w:rsidP="00A30145">
      <w:pPr>
        <w:widowControl w:val="0"/>
        <w:autoSpaceDE w:val="0"/>
        <w:autoSpaceDN w:val="0"/>
        <w:adjustRightInd w:val="0"/>
        <w:jc w:val="both"/>
        <w:rPr>
          <w:rFonts w:eastAsia="Calibri"/>
          <w:i/>
          <w:noProof/>
          <w:szCs w:val="22"/>
          <w:u w:val="single"/>
          <w:lang w:val="sr-Latn-ME"/>
        </w:rPr>
      </w:pPr>
      <w:r w:rsidRPr="0043654C">
        <w:rPr>
          <w:rFonts w:eastAsia="Calibri"/>
          <w:i/>
          <w:noProof/>
          <w:szCs w:val="22"/>
          <w:u w:val="single"/>
          <w:lang w:val="sr-Latn-ME"/>
        </w:rPr>
        <w:t>Oštećenje bubrega</w:t>
      </w:r>
    </w:p>
    <w:p w14:paraId="31641751"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Kod teškog zatajenja bubrega (klirens kreatinina ispod 30 ml/min) liječenje je kontraindikovano.</w:t>
      </w:r>
    </w:p>
    <w:p w14:paraId="67DF5258"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lastRenderedPageBreak/>
        <w:t>Tiazidni i srodni diuretici su potpuno efikasni samo kada je bubrežna funkcija normalna ili samo minimalno oštećena.</w:t>
      </w:r>
    </w:p>
    <w:p w14:paraId="7D66E497"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6F5C60E6" w14:textId="77777777" w:rsidR="00257763" w:rsidRPr="0043654C" w:rsidRDefault="00D426A3" w:rsidP="00A30145">
      <w:pPr>
        <w:widowControl w:val="0"/>
        <w:autoSpaceDE w:val="0"/>
        <w:autoSpaceDN w:val="0"/>
        <w:adjustRightInd w:val="0"/>
        <w:jc w:val="both"/>
        <w:rPr>
          <w:rFonts w:eastAsia="Calibri"/>
          <w:i/>
          <w:noProof/>
          <w:szCs w:val="22"/>
          <w:u w:val="single"/>
          <w:lang w:val="sr-Latn-ME"/>
        </w:rPr>
      </w:pPr>
      <w:r w:rsidRPr="0043654C">
        <w:rPr>
          <w:rFonts w:eastAsia="Calibri"/>
          <w:i/>
          <w:noProof/>
          <w:szCs w:val="22"/>
          <w:u w:val="single"/>
          <w:lang w:val="sr-Latn-ME"/>
        </w:rPr>
        <w:t>Oštećenje jetre</w:t>
      </w:r>
    </w:p>
    <w:p w14:paraId="45FE550F"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 xml:space="preserve">Kod pacijenata sa blagim do umjerenim oštećenjem jetre, doza lijeka valsartan ne smije biti veća od 80 mg. </w:t>
      </w:r>
    </w:p>
    <w:p w14:paraId="491203E1" w14:textId="48F822A4"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 xml:space="preserve">Lijek Valomindo je kontraindikovan kod pacijenata sa teškim oštećenjem jetre, bilijarnom cirozom i kod pacijenata sa holestazom (vidjeti </w:t>
      </w:r>
      <w:r w:rsidR="00AE03A2" w:rsidRPr="0043654C">
        <w:rPr>
          <w:rFonts w:eastAsia="Calibri"/>
          <w:noProof/>
          <w:szCs w:val="22"/>
          <w:lang w:val="sr-Latn-ME"/>
        </w:rPr>
        <w:t xml:space="preserve">djelove </w:t>
      </w:r>
      <w:r w:rsidRPr="0043654C">
        <w:rPr>
          <w:rFonts w:eastAsia="Calibri"/>
          <w:noProof/>
          <w:szCs w:val="22"/>
          <w:lang w:val="sr-Latn-ME"/>
        </w:rPr>
        <w:t>4.3, 4.4 i 5.2).</w:t>
      </w:r>
    </w:p>
    <w:p w14:paraId="532BAA00"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4D25A4FB" w14:textId="77777777" w:rsidR="00257763" w:rsidRPr="0043654C" w:rsidRDefault="00D426A3" w:rsidP="00A30145">
      <w:pPr>
        <w:widowControl w:val="0"/>
        <w:autoSpaceDE w:val="0"/>
        <w:autoSpaceDN w:val="0"/>
        <w:adjustRightInd w:val="0"/>
        <w:jc w:val="both"/>
        <w:rPr>
          <w:rFonts w:eastAsia="Calibri"/>
          <w:noProof/>
          <w:szCs w:val="22"/>
          <w:u w:val="single"/>
          <w:lang w:val="sr-Latn-ME"/>
        </w:rPr>
      </w:pPr>
      <w:r w:rsidRPr="0043654C">
        <w:rPr>
          <w:rFonts w:eastAsia="Calibri"/>
          <w:noProof/>
          <w:szCs w:val="22"/>
          <w:u w:val="single"/>
          <w:lang w:val="sr-Latn-ME"/>
        </w:rPr>
        <w:t>Pedijatrijska populacija</w:t>
      </w:r>
    </w:p>
    <w:p w14:paraId="38370900" w14:textId="77777777" w:rsidR="00257763" w:rsidRPr="0043654C" w:rsidRDefault="00D426A3" w:rsidP="00A30145">
      <w:pPr>
        <w:autoSpaceDE w:val="0"/>
        <w:autoSpaceDN w:val="0"/>
        <w:adjustRightInd w:val="0"/>
        <w:jc w:val="both"/>
        <w:rPr>
          <w:szCs w:val="22"/>
          <w:lang w:val="sr-Latn-ME"/>
        </w:rPr>
      </w:pPr>
      <w:r w:rsidRPr="0043654C">
        <w:rPr>
          <w:szCs w:val="22"/>
          <w:lang w:val="sr-Latn-ME"/>
        </w:rPr>
        <w:t>Nije preporučljiva primjena lijeka Valomindo kod djece i adolescenata uzrasta ispod 18 godina.</w:t>
      </w:r>
    </w:p>
    <w:p w14:paraId="32611A58" w14:textId="77777777" w:rsidR="00257763" w:rsidRPr="0043654C" w:rsidRDefault="00D426A3" w:rsidP="00A30145">
      <w:pPr>
        <w:widowControl w:val="0"/>
        <w:autoSpaceDE w:val="0"/>
        <w:autoSpaceDN w:val="0"/>
        <w:adjustRightInd w:val="0"/>
        <w:jc w:val="both"/>
        <w:rPr>
          <w:szCs w:val="22"/>
          <w:lang w:val="sr-Latn-ME"/>
        </w:rPr>
      </w:pPr>
      <w:r w:rsidRPr="0043654C">
        <w:rPr>
          <w:szCs w:val="22"/>
          <w:lang w:val="sr-Latn-ME"/>
        </w:rPr>
        <w:t>Bezbjednost i efikasnost lijeka Valomindo nije utvrđena kod ove populacije.</w:t>
      </w:r>
    </w:p>
    <w:p w14:paraId="523C7789" w14:textId="77777777" w:rsidR="00257763" w:rsidRPr="0043654C" w:rsidRDefault="00257763" w:rsidP="00A30145">
      <w:pPr>
        <w:tabs>
          <w:tab w:val="left" w:pos="540"/>
        </w:tabs>
        <w:jc w:val="both"/>
        <w:rPr>
          <w:bCs/>
          <w:szCs w:val="22"/>
          <w:u w:val="single"/>
          <w:lang w:val="sr-Latn-ME"/>
        </w:rPr>
      </w:pPr>
    </w:p>
    <w:p w14:paraId="74C2AD3D" w14:textId="77777777" w:rsidR="00257763" w:rsidRPr="0043654C" w:rsidRDefault="00D426A3" w:rsidP="00A30145">
      <w:pPr>
        <w:tabs>
          <w:tab w:val="left" w:pos="540"/>
        </w:tabs>
        <w:jc w:val="both"/>
        <w:rPr>
          <w:bCs/>
          <w:szCs w:val="22"/>
          <w:u w:val="single"/>
          <w:lang w:val="sr-Latn-ME"/>
        </w:rPr>
      </w:pPr>
      <w:r w:rsidRPr="0043654C">
        <w:rPr>
          <w:bCs/>
          <w:szCs w:val="22"/>
          <w:u w:val="single"/>
          <w:lang w:val="sr-Latn-ME"/>
        </w:rPr>
        <w:t>Način primjene</w:t>
      </w:r>
    </w:p>
    <w:p w14:paraId="6B7D01A2" w14:textId="77777777" w:rsidR="00257763" w:rsidRPr="0043654C" w:rsidRDefault="00D426A3" w:rsidP="00A30145">
      <w:pPr>
        <w:jc w:val="both"/>
        <w:rPr>
          <w:szCs w:val="22"/>
          <w:lang w:val="sr-Latn-ME"/>
        </w:rPr>
      </w:pPr>
      <w:r w:rsidRPr="0043654C">
        <w:rPr>
          <w:szCs w:val="22"/>
          <w:lang w:val="sr-Latn-ME"/>
        </w:rPr>
        <w:t>Oralna upotreba</w:t>
      </w:r>
    </w:p>
    <w:p w14:paraId="35B48316" w14:textId="77777777" w:rsidR="00257763" w:rsidRPr="0043654C" w:rsidRDefault="00D426A3" w:rsidP="00A30145">
      <w:pPr>
        <w:tabs>
          <w:tab w:val="left" w:pos="540"/>
        </w:tabs>
        <w:jc w:val="both"/>
        <w:rPr>
          <w:rFonts w:eastAsia="Calibri"/>
          <w:noProof/>
          <w:szCs w:val="22"/>
          <w:lang w:val="sr-Latn-ME"/>
        </w:rPr>
      </w:pPr>
      <w:r w:rsidRPr="0043654C">
        <w:rPr>
          <w:rFonts w:eastAsia="Calibri"/>
          <w:noProof/>
          <w:szCs w:val="22"/>
          <w:lang w:val="sr-Latn-ME"/>
        </w:rPr>
        <w:t>Lijek Valomindo može da se uzima nezavisno od obroka i treba ga uzimati sa vodom.</w:t>
      </w:r>
    </w:p>
    <w:p w14:paraId="6915B7BC" w14:textId="77777777" w:rsidR="00257763" w:rsidRPr="0043654C" w:rsidRDefault="00257763" w:rsidP="00A30145">
      <w:pPr>
        <w:tabs>
          <w:tab w:val="left" w:pos="540"/>
        </w:tabs>
        <w:jc w:val="both"/>
        <w:rPr>
          <w:bCs/>
          <w:szCs w:val="22"/>
          <w:lang w:val="sr-Latn-ME"/>
        </w:rPr>
      </w:pPr>
    </w:p>
    <w:p w14:paraId="013691D9" w14:textId="77777777" w:rsidR="00257763" w:rsidRPr="0043654C" w:rsidRDefault="00D426A3" w:rsidP="00A30145">
      <w:pPr>
        <w:tabs>
          <w:tab w:val="left" w:pos="540"/>
        </w:tabs>
        <w:jc w:val="both"/>
        <w:rPr>
          <w:b/>
          <w:bCs/>
          <w:szCs w:val="22"/>
          <w:lang w:val="sr-Latn-ME"/>
        </w:rPr>
      </w:pPr>
      <w:r w:rsidRPr="0043654C">
        <w:rPr>
          <w:b/>
          <w:bCs/>
          <w:szCs w:val="22"/>
          <w:lang w:val="sr-Latn-ME"/>
        </w:rPr>
        <w:t xml:space="preserve">4.3. </w:t>
      </w:r>
      <w:r w:rsidRPr="0043654C">
        <w:rPr>
          <w:b/>
          <w:bCs/>
          <w:szCs w:val="22"/>
          <w:lang w:val="sr-Latn-ME"/>
        </w:rPr>
        <w:tab/>
        <w:t>Kontraindikacije</w:t>
      </w:r>
    </w:p>
    <w:p w14:paraId="2585F08D" w14:textId="77777777" w:rsidR="00257763" w:rsidRPr="0043654C" w:rsidRDefault="00257763" w:rsidP="00A30145">
      <w:pPr>
        <w:tabs>
          <w:tab w:val="left" w:pos="540"/>
        </w:tabs>
        <w:jc w:val="both"/>
        <w:rPr>
          <w:bCs/>
          <w:szCs w:val="22"/>
          <w:lang w:val="sr-Latn-ME"/>
        </w:rPr>
      </w:pPr>
    </w:p>
    <w:p w14:paraId="1E6A05FA" w14:textId="7255D98C" w:rsidR="00257763" w:rsidRPr="0043654C" w:rsidRDefault="00D426A3" w:rsidP="00A30145">
      <w:pPr>
        <w:widowControl w:val="0"/>
        <w:numPr>
          <w:ilvl w:val="0"/>
          <w:numId w:val="26"/>
        </w:numPr>
        <w:autoSpaceDE w:val="0"/>
        <w:autoSpaceDN w:val="0"/>
        <w:adjustRightInd w:val="0"/>
        <w:spacing w:line="240" w:lineRule="auto"/>
        <w:ind w:left="567" w:hanging="567"/>
        <w:jc w:val="both"/>
        <w:rPr>
          <w:rFonts w:eastAsia="Calibri"/>
          <w:noProof/>
          <w:szCs w:val="22"/>
          <w:lang w:val="sr-Latn-ME"/>
        </w:rPr>
      </w:pPr>
      <w:r w:rsidRPr="0043654C">
        <w:rPr>
          <w:bCs/>
          <w:szCs w:val="22"/>
          <w:lang w:val="sr-Latn-ME"/>
        </w:rPr>
        <w:t xml:space="preserve">Preosjetljivost na aktivne supstance, druge sulfonamide ili bilo koju od pomoćnih supstanci navedenih u </w:t>
      </w:r>
      <w:r w:rsidR="00AE03A2" w:rsidRPr="0043654C">
        <w:rPr>
          <w:bCs/>
          <w:szCs w:val="22"/>
          <w:lang w:val="sr-Latn-ME"/>
        </w:rPr>
        <w:t xml:space="preserve">dijelu </w:t>
      </w:r>
      <w:r w:rsidRPr="0043654C">
        <w:rPr>
          <w:bCs/>
          <w:szCs w:val="22"/>
          <w:lang w:val="sr-Latn-ME"/>
        </w:rPr>
        <w:t>6.1.</w:t>
      </w:r>
    </w:p>
    <w:p w14:paraId="64740200" w14:textId="77777777" w:rsidR="00257763" w:rsidRPr="0043654C" w:rsidRDefault="00D426A3" w:rsidP="00A30145">
      <w:pPr>
        <w:widowControl w:val="0"/>
        <w:numPr>
          <w:ilvl w:val="0"/>
          <w:numId w:val="26"/>
        </w:numPr>
        <w:autoSpaceDE w:val="0"/>
        <w:autoSpaceDN w:val="0"/>
        <w:adjustRightInd w:val="0"/>
        <w:spacing w:line="240" w:lineRule="auto"/>
        <w:ind w:left="567" w:hanging="567"/>
        <w:jc w:val="both"/>
        <w:rPr>
          <w:rFonts w:eastAsia="Calibri"/>
          <w:noProof/>
          <w:szCs w:val="22"/>
          <w:lang w:val="sr-Latn-ME"/>
        </w:rPr>
      </w:pPr>
      <w:r w:rsidRPr="0043654C">
        <w:rPr>
          <w:bCs/>
          <w:szCs w:val="22"/>
          <w:lang w:val="sr-Latn-ME"/>
        </w:rPr>
        <w:t>Teško oštećenje jetre, bilijarna ciroza, holestaza ili hepatična encefalopatija.</w:t>
      </w:r>
    </w:p>
    <w:p w14:paraId="517DA8B5" w14:textId="6287C63F" w:rsidR="00257763" w:rsidRPr="0043654C" w:rsidRDefault="00D426A3" w:rsidP="00A30145">
      <w:pPr>
        <w:widowControl w:val="0"/>
        <w:numPr>
          <w:ilvl w:val="0"/>
          <w:numId w:val="26"/>
        </w:numPr>
        <w:autoSpaceDE w:val="0"/>
        <w:autoSpaceDN w:val="0"/>
        <w:adjustRightInd w:val="0"/>
        <w:spacing w:line="240" w:lineRule="auto"/>
        <w:ind w:left="567" w:hanging="567"/>
        <w:jc w:val="both"/>
        <w:rPr>
          <w:rFonts w:eastAsia="Calibri"/>
          <w:noProof/>
          <w:szCs w:val="22"/>
          <w:lang w:val="sr-Latn-ME"/>
        </w:rPr>
      </w:pPr>
      <w:r w:rsidRPr="0043654C">
        <w:rPr>
          <w:bCs/>
          <w:szCs w:val="22"/>
          <w:lang w:val="sr-Latn-ME"/>
        </w:rPr>
        <w:t xml:space="preserve">Drugi i treći trimestar trudnoće (vidjeti </w:t>
      </w:r>
      <w:r w:rsidR="00AE03A2" w:rsidRPr="0043654C">
        <w:rPr>
          <w:bCs/>
          <w:szCs w:val="22"/>
          <w:lang w:val="sr-Latn-ME"/>
        </w:rPr>
        <w:t xml:space="preserve">djelove </w:t>
      </w:r>
      <w:r w:rsidRPr="0043654C">
        <w:rPr>
          <w:bCs/>
          <w:szCs w:val="22"/>
          <w:lang w:val="sr-Latn-ME"/>
        </w:rPr>
        <w:t>4.4 i 4.6).</w:t>
      </w:r>
    </w:p>
    <w:p w14:paraId="5CBDFCB9" w14:textId="0DCD386E" w:rsidR="00257763" w:rsidRPr="0043654C" w:rsidRDefault="00D426A3" w:rsidP="00A30145">
      <w:pPr>
        <w:widowControl w:val="0"/>
        <w:numPr>
          <w:ilvl w:val="0"/>
          <w:numId w:val="26"/>
        </w:numPr>
        <w:autoSpaceDE w:val="0"/>
        <w:autoSpaceDN w:val="0"/>
        <w:adjustRightInd w:val="0"/>
        <w:spacing w:line="240" w:lineRule="auto"/>
        <w:ind w:left="567" w:hanging="567"/>
        <w:jc w:val="both"/>
        <w:rPr>
          <w:rFonts w:eastAsia="Calibri"/>
          <w:noProof/>
          <w:szCs w:val="22"/>
          <w:lang w:val="sr-Latn-ME"/>
        </w:rPr>
      </w:pPr>
      <w:r w:rsidRPr="0043654C">
        <w:rPr>
          <w:bCs/>
          <w:szCs w:val="22"/>
          <w:lang w:val="sr-Latn-ME"/>
        </w:rPr>
        <w:t>Istovremena upotreba lijeka Valomindo sa ljekovima koji sadrže aliskiren je kontraindikovana kod pacijenata sa dijabetes melitusom ili oštećenjem bubrega (GFR &lt; 60 ml/min/1,73 m</w:t>
      </w:r>
      <w:r w:rsidRPr="0043654C">
        <w:rPr>
          <w:bCs/>
          <w:szCs w:val="22"/>
          <w:vertAlign w:val="superscript"/>
          <w:lang w:val="sr-Latn-ME"/>
        </w:rPr>
        <w:t>2</w:t>
      </w:r>
      <w:r w:rsidRPr="0043654C">
        <w:rPr>
          <w:bCs/>
          <w:szCs w:val="22"/>
          <w:lang w:val="sr-Latn-ME"/>
        </w:rPr>
        <w:t xml:space="preserve">) (vidjeti </w:t>
      </w:r>
      <w:r w:rsidR="00AE03A2" w:rsidRPr="0043654C">
        <w:rPr>
          <w:bCs/>
          <w:szCs w:val="22"/>
          <w:lang w:val="sr-Latn-ME"/>
        </w:rPr>
        <w:t xml:space="preserve">djelove </w:t>
      </w:r>
      <w:r w:rsidRPr="0043654C">
        <w:rPr>
          <w:bCs/>
          <w:szCs w:val="22"/>
          <w:lang w:val="sr-Latn-ME"/>
        </w:rPr>
        <w:t>4.5 i 5.1).</w:t>
      </w:r>
    </w:p>
    <w:p w14:paraId="7F951E4B" w14:textId="77777777" w:rsidR="00257763" w:rsidRPr="0043654C" w:rsidRDefault="00D426A3" w:rsidP="00A30145">
      <w:pPr>
        <w:widowControl w:val="0"/>
        <w:numPr>
          <w:ilvl w:val="0"/>
          <w:numId w:val="26"/>
        </w:numPr>
        <w:autoSpaceDE w:val="0"/>
        <w:autoSpaceDN w:val="0"/>
        <w:adjustRightInd w:val="0"/>
        <w:spacing w:line="240" w:lineRule="auto"/>
        <w:ind w:left="567" w:hanging="567"/>
        <w:jc w:val="both"/>
        <w:rPr>
          <w:rFonts w:eastAsia="Calibri"/>
          <w:noProof/>
          <w:szCs w:val="22"/>
          <w:lang w:val="sr-Latn-ME"/>
        </w:rPr>
      </w:pPr>
      <w:r w:rsidRPr="0043654C">
        <w:rPr>
          <w:bCs/>
          <w:szCs w:val="22"/>
          <w:lang w:val="sr-Latn-ME"/>
        </w:rPr>
        <w:t>Teško zatajenje bubrega.</w:t>
      </w:r>
    </w:p>
    <w:p w14:paraId="16B82254" w14:textId="77777777" w:rsidR="00257763" w:rsidRPr="0043654C" w:rsidRDefault="00D426A3" w:rsidP="00A30145">
      <w:pPr>
        <w:widowControl w:val="0"/>
        <w:numPr>
          <w:ilvl w:val="0"/>
          <w:numId w:val="26"/>
        </w:numPr>
        <w:autoSpaceDE w:val="0"/>
        <w:autoSpaceDN w:val="0"/>
        <w:adjustRightInd w:val="0"/>
        <w:spacing w:line="240" w:lineRule="auto"/>
        <w:ind w:left="567" w:hanging="567"/>
        <w:jc w:val="both"/>
        <w:rPr>
          <w:rFonts w:eastAsia="Calibri"/>
          <w:noProof/>
          <w:szCs w:val="22"/>
          <w:lang w:val="sr-Latn-ME"/>
        </w:rPr>
      </w:pPr>
      <w:r w:rsidRPr="0043654C">
        <w:rPr>
          <w:bCs/>
          <w:szCs w:val="22"/>
          <w:lang w:val="sr-Latn-ME"/>
        </w:rPr>
        <w:t>Hipokalijemija.</w:t>
      </w:r>
    </w:p>
    <w:p w14:paraId="3109A664" w14:textId="77777777" w:rsidR="00257763" w:rsidRPr="0043654C" w:rsidRDefault="00257763" w:rsidP="00A30145">
      <w:pPr>
        <w:tabs>
          <w:tab w:val="left" w:pos="540"/>
        </w:tabs>
        <w:jc w:val="both"/>
        <w:rPr>
          <w:bCs/>
          <w:szCs w:val="22"/>
          <w:lang w:val="sr-Latn-ME"/>
        </w:rPr>
      </w:pPr>
    </w:p>
    <w:p w14:paraId="5A4114CE" w14:textId="77777777" w:rsidR="00257763" w:rsidRPr="0043654C" w:rsidRDefault="00D426A3" w:rsidP="00A30145">
      <w:pPr>
        <w:tabs>
          <w:tab w:val="left" w:pos="540"/>
        </w:tabs>
        <w:jc w:val="both"/>
        <w:rPr>
          <w:b/>
          <w:bCs/>
          <w:szCs w:val="22"/>
          <w:lang w:val="sr-Latn-ME"/>
        </w:rPr>
      </w:pPr>
      <w:r w:rsidRPr="0043654C">
        <w:rPr>
          <w:b/>
          <w:bCs/>
          <w:szCs w:val="22"/>
          <w:lang w:val="sr-Latn-ME"/>
        </w:rPr>
        <w:t xml:space="preserve">4.4. </w:t>
      </w:r>
      <w:r w:rsidRPr="0043654C">
        <w:rPr>
          <w:b/>
          <w:bCs/>
          <w:szCs w:val="22"/>
          <w:lang w:val="sr-Latn-ME"/>
        </w:rPr>
        <w:tab/>
        <w:t>Posebna upozorenja i mjere opreza pri upotrebi lijeka</w:t>
      </w:r>
    </w:p>
    <w:p w14:paraId="0DC811CF" w14:textId="77777777" w:rsidR="00257763" w:rsidRPr="0043654C" w:rsidRDefault="00257763" w:rsidP="00A30145">
      <w:pPr>
        <w:tabs>
          <w:tab w:val="left" w:pos="540"/>
        </w:tabs>
        <w:jc w:val="both"/>
        <w:rPr>
          <w:bCs/>
          <w:szCs w:val="22"/>
          <w:lang w:val="sr-Latn-ME"/>
        </w:rPr>
      </w:pPr>
    </w:p>
    <w:p w14:paraId="4F5FE60D" w14:textId="77777777" w:rsidR="00257763" w:rsidRPr="0043654C" w:rsidRDefault="00D426A3" w:rsidP="00A30145">
      <w:pPr>
        <w:widowControl w:val="0"/>
        <w:autoSpaceDE w:val="0"/>
        <w:autoSpaceDN w:val="0"/>
        <w:adjustRightInd w:val="0"/>
        <w:jc w:val="both"/>
        <w:rPr>
          <w:rFonts w:eastAsia="Calibri"/>
          <w:noProof/>
          <w:szCs w:val="22"/>
          <w:u w:val="single"/>
          <w:lang w:val="sr-Latn-ME"/>
        </w:rPr>
      </w:pPr>
      <w:r w:rsidRPr="0043654C">
        <w:rPr>
          <w:rFonts w:eastAsia="Calibri"/>
          <w:noProof/>
          <w:szCs w:val="22"/>
          <w:u w:val="single"/>
          <w:lang w:val="sr-Latn-ME"/>
        </w:rPr>
        <w:t>Kalijum u plazmi</w:t>
      </w:r>
    </w:p>
    <w:p w14:paraId="2D094EE0"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Ne preporučuje se istovremena primjena valsartana sa suplementima kalijuma, diureticima koji štede kalijum, zamjenama soli koje sadrže kalijum ili drugim ljekovima koji mogu povećati nivo kalijuma (heparin, itd.). Monitoring kalijuma treba preduzeti prema potrebi.</w:t>
      </w:r>
    </w:p>
    <w:p w14:paraId="5923AC28"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489070FE"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Smanjenje kalijuma sa hipokalijemijom je glavni rizik od primjene tiazida i srodnih diuretika. Rizik od pojave hipokalijemije (&lt;3,4 mmol/l) mora se spriječiti kod određenih visokorizičnih populacija, tj. starijih osoba, pothranjenih i/ili polimedikativnih, cirotičnih pacijenata sa edemom i ascitesom, koronarne arterijske bolesti i srčane insuficijencije. U ovoj situaciji hipokalijemija povećava srčanu toksičnost preparata digitalisa i rizik od aritmija.</w:t>
      </w:r>
    </w:p>
    <w:p w14:paraId="684BA0C7"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3863F0B3"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 xml:space="preserve">Pojedinci sa dugim QT intervalom su takođe u opasnosti, bilo da je porijeklo urođeno ili jatrogeno. Hipokalijemija, kao i bradikardija, tada su predisponirajući faktor za nastanak teških aritmija, posebno potencijalno fatalnih </w:t>
      </w:r>
      <w:r w:rsidRPr="0043654C">
        <w:rPr>
          <w:rFonts w:eastAsia="Calibri"/>
          <w:i/>
          <w:noProof/>
          <w:szCs w:val="22"/>
          <w:lang w:val="sr-Latn-ME"/>
        </w:rPr>
        <w:t>torsades de pointes</w:t>
      </w:r>
      <w:r w:rsidRPr="0043654C">
        <w:rPr>
          <w:rFonts w:eastAsia="Calibri"/>
          <w:noProof/>
          <w:szCs w:val="22"/>
          <w:lang w:val="sr-Latn-ME"/>
        </w:rPr>
        <w:t>.</w:t>
      </w:r>
    </w:p>
    <w:p w14:paraId="6D15C6E9"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777CC836"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U svim gore navedenim situacijama potrebno je češće praćenje kalijuma u plazmi. Prvo mjerenje kalijuma u plazmi treba obaviti tokom prve nedjelje nakon početka liječenja.</w:t>
      </w:r>
    </w:p>
    <w:p w14:paraId="0919AB4B"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38CD1079"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Detekcija hipokalijemije zahtijeva njenu korekciju. Hipokalijemija pronađena u kombinaciji sa niskom koncentracijom magnezijuma u serumu može biti otporna na liječenje osim ako se ne koriguje magnezijum u serumu.</w:t>
      </w:r>
    </w:p>
    <w:p w14:paraId="2DFDBC96" w14:textId="77777777" w:rsidR="00257763" w:rsidRPr="0043654C" w:rsidRDefault="00257763" w:rsidP="00A30145">
      <w:pPr>
        <w:widowControl w:val="0"/>
        <w:autoSpaceDE w:val="0"/>
        <w:autoSpaceDN w:val="0"/>
        <w:adjustRightInd w:val="0"/>
        <w:jc w:val="both"/>
        <w:rPr>
          <w:rFonts w:eastAsia="Calibri"/>
          <w:noProof/>
          <w:szCs w:val="22"/>
          <w:u w:val="single"/>
          <w:lang w:val="sr-Latn-ME"/>
        </w:rPr>
      </w:pPr>
    </w:p>
    <w:p w14:paraId="7A389D08" w14:textId="77777777" w:rsidR="00257763" w:rsidRPr="0043654C" w:rsidRDefault="00D426A3" w:rsidP="00A30145">
      <w:pPr>
        <w:widowControl w:val="0"/>
        <w:autoSpaceDE w:val="0"/>
        <w:autoSpaceDN w:val="0"/>
        <w:adjustRightInd w:val="0"/>
        <w:jc w:val="both"/>
        <w:rPr>
          <w:rFonts w:eastAsia="Calibri"/>
          <w:noProof/>
          <w:szCs w:val="22"/>
          <w:u w:val="single"/>
          <w:lang w:val="sr-Latn-ME"/>
        </w:rPr>
      </w:pPr>
      <w:r w:rsidRPr="0043654C">
        <w:rPr>
          <w:rFonts w:eastAsia="Calibri"/>
          <w:noProof/>
          <w:szCs w:val="22"/>
          <w:u w:val="single"/>
          <w:lang w:val="sr-Latn-ME"/>
        </w:rPr>
        <w:t>Natrijum u plazmi</w:t>
      </w:r>
    </w:p>
    <w:p w14:paraId="68ED343D"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Prije početka liječenja lijekom Valomindo potrebno je korigovati smanjenje natrijuma i/ili volumena.</w:t>
      </w:r>
    </w:p>
    <w:p w14:paraId="6EF9FD92"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0781BC15"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lastRenderedPageBreak/>
        <w:t>Natrijum u plazmi se mora mjeriti prije početka liječenja indapamidom, a zatim u redovnim intervalima nakon toga. Pad natrijuma u plazmi u početku može biti asimptomatski i stoga je redovno praćenje neophodno, a trebalo bi da bude još češće kod starijih osoba i pacijenata sa cirozom (vidjeti odeljke 4.8 i 4.9). Svako liječenje diureticima može uzrokovati hiponatrijemiju, ponekad sa vrlo ozbiljnim posljedicama. Hiponatrijemija sa hipovolemijom može biti odgovorna za dehidrataciju i ortostatsku hipotenziju.</w:t>
      </w:r>
    </w:p>
    <w:p w14:paraId="171936CA"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3D57AFF6"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Istovremeni gubitak hloridnih jona može dovesti do sekundarne kompenzatorne metaboličke alkaloze: učestalost i stepen ovog efekta su mali.</w:t>
      </w:r>
    </w:p>
    <w:p w14:paraId="68063C44"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5242FCFB" w14:textId="77777777" w:rsidR="00257763" w:rsidRPr="0043654C" w:rsidRDefault="00D426A3" w:rsidP="00A30145">
      <w:pPr>
        <w:widowControl w:val="0"/>
        <w:autoSpaceDE w:val="0"/>
        <w:autoSpaceDN w:val="0"/>
        <w:adjustRightInd w:val="0"/>
        <w:jc w:val="both"/>
        <w:rPr>
          <w:rFonts w:eastAsia="Calibri"/>
          <w:noProof/>
          <w:szCs w:val="22"/>
          <w:u w:val="single"/>
          <w:lang w:val="sr-Latn-ME"/>
        </w:rPr>
      </w:pPr>
      <w:r w:rsidRPr="0043654C">
        <w:rPr>
          <w:rFonts w:eastAsia="Calibri"/>
          <w:noProof/>
          <w:szCs w:val="22"/>
          <w:u w:val="single"/>
          <w:lang w:val="sr-Latn-ME"/>
        </w:rPr>
        <w:t>Magnezijum u plazmi</w:t>
      </w:r>
    </w:p>
    <w:p w14:paraId="6EF001D2" w14:textId="14FA89C3"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 xml:space="preserve">Pokazalo se da tiazidi i srodni diuretici uključujući indapamid povećavaju izlučivanje magnezijuma u urinu, što može dovesti do hipomagnezijemije (vidjeti </w:t>
      </w:r>
      <w:r w:rsidR="00AE03A2" w:rsidRPr="0043654C">
        <w:rPr>
          <w:rFonts w:eastAsia="Calibri"/>
          <w:noProof/>
          <w:szCs w:val="22"/>
          <w:lang w:val="sr-Latn-ME"/>
        </w:rPr>
        <w:t xml:space="preserve">odjelove </w:t>
      </w:r>
      <w:r w:rsidRPr="0043654C">
        <w:rPr>
          <w:rFonts w:eastAsia="Calibri"/>
          <w:noProof/>
          <w:szCs w:val="22"/>
          <w:lang w:val="sr-Latn-ME"/>
        </w:rPr>
        <w:t>4.5 i 4.8).</w:t>
      </w:r>
    </w:p>
    <w:p w14:paraId="0882D0ED"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1D95BC7D" w14:textId="77777777" w:rsidR="00257763" w:rsidRPr="0043654C" w:rsidRDefault="00D426A3" w:rsidP="00A30145">
      <w:pPr>
        <w:widowControl w:val="0"/>
        <w:autoSpaceDE w:val="0"/>
        <w:autoSpaceDN w:val="0"/>
        <w:adjustRightInd w:val="0"/>
        <w:jc w:val="both"/>
        <w:rPr>
          <w:rFonts w:eastAsia="Calibri"/>
          <w:noProof/>
          <w:szCs w:val="22"/>
          <w:u w:val="single"/>
          <w:lang w:val="sr-Latn-ME"/>
        </w:rPr>
      </w:pPr>
      <w:r w:rsidRPr="0043654C">
        <w:rPr>
          <w:rFonts w:eastAsia="Calibri"/>
          <w:noProof/>
          <w:szCs w:val="22"/>
          <w:u w:val="single"/>
          <w:lang w:val="sr-Latn-ME"/>
        </w:rPr>
        <w:t>Kalcijum u plazmi</w:t>
      </w:r>
    </w:p>
    <w:p w14:paraId="146CB738"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Tiazidni i srodni diuretici mogu da smanje izlučivanje kalcijuma u urinu i uzrokuju blagi i prolazni porast kalcijuma u plazmi. Hiperkalcijemija može biti posljedica prethodno neprepoznatog hiperparatireoidizma.</w:t>
      </w:r>
    </w:p>
    <w:p w14:paraId="29BD8E7A"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680F9B76"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Liječenje treba obustaviti prije ispitivanja funkcije paratireoidne žlijezde.</w:t>
      </w:r>
    </w:p>
    <w:p w14:paraId="39CBE019"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5D60FDF1" w14:textId="77777777" w:rsidR="00257763" w:rsidRPr="0043654C" w:rsidRDefault="00D426A3" w:rsidP="00A30145">
      <w:pPr>
        <w:widowControl w:val="0"/>
        <w:autoSpaceDE w:val="0"/>
        <w:autoSpaceDN w:val="0"/>
        <w:adjustRightInd w:val="0"/>
        <w:jc w:val="both"/>
        <w:rPr>
          <w:rFonts w:eastAsia="Calibri"/>
          <w:noProof/>
          <w:szCs w:val="22"/>
          <w:u w:val="single"/>
          <w:lang w:val="sr-Latn-ME"/>
        </w:rPr>
      </w:pPr>
      <w:r w:rsidRPr="0043654C">
        <w:rPr>
          <w:rFonts w:eastAsia="Calibri"/>
          <w:noProof/>
          <w:szCs w:val="22"/>
          <w:u w:val="single"/>
          <w:lang w:val="sr-Latn-ME"/>
        </w:rPr>
        <w:t>Glukoza u krvi</w:t>
      </w:r>
    </w:p>
    <w:p w14:paraId="6CFADEBD"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Praćenje glukoze u krvi važno je kod dijabetičara, posebno u prisustvu hipokalijemije.</w:t>
      </w:r>
    </w:p>
    <w:p w14:paraId="6F3FF0D8"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030775CD" w14:textId="77777777" w:rsidR="00257763" w:rsidRPr="0043654C" w:rsidRDefault="00D426A3" w:rsidP="00A30145">
      <w:pPr>
        <w:widowControl w:val="0"/>
        <w:autoSpaceDE w:val="0"/>
        <w:autoSpaceDN w:val="0"/>
        <w:adjustRightInd w:val="0"/>
        <w:jc w:val="both"/>
        <w:rPr>
          <w:rFonts w:eastAsia="Calibri"/>
          <w:noProof/>
          <w:szCs w:val="22"/>
          <w:u w:val="single"/>
          <w:lang w:val="sr-Latn-ME"/>
        </w:rPr>
      </w:pPr>
      <w:r w:rsidRPr="0043654C">
        <w:rPr>
          <w:rFonts w:eastAsia="Calibri"/>
          <w:noProof/>
          <w:szCs w:val="22"/>
          <w:u w:val="single"/>
          <w:lang w:val="sr-Latn-ME"/>
        </w:rPr>
        <w:t>Mokraćna kiselina</w:t>
      </w:r>
    </w:p>
    <w:p w14:paraId="503ED92B"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Sklonost napadima gihta može biti povećana kod pacijenata sa hiperurikemijom liječenih indapamidom.</w:t>
      </w:r>
    </w:p>
    <w:p w14:paraId="161E1A19" w14:textId="77777777" w:rsidR="00257763" w:rsidRPr="0043654C" w:rsidRDefault="00257763" w:rsidP="00A30145">
      <w:pPr>
        <w:widowControl w:val="0"/>
        <w:autoSpaceDE w:val="0"/>
        <w:autoSpaceDN w:val="0"/>
        <w:adjustRightInd w:val="0"/>
        <w:jc w:val="both"/>
        <w:rPr>
          <w:rFonts w:eastAsia="Calibri"/>
          <w:color w:val="000000"/>
          <w:szCs w:val="22"/>
          <w:lang w:val="sr-Latn-ME"/>
        </w:rPr>
      </w:pPr>
    </w:p>
    <w:p w14:paraId="1BDBE28A" w14:textId="77777777" w:rsidR="00257763" w:rsidRPr="0043654C" w:rsidRDefault="00D426A3" w:rsidP="00A30145">
      <w:pPr>
        <w:widowControl w:val="0"/>
        <w:autoSpaceDE w:val="0"/>
        <w:autoSpaceDN w:val="0"/>
        <w:adjustRightInd w:val="0"/>
        <w:jc w:val="both"/>
        <w:rPr>
          <w:rFonts w:eastAsia="Calibri"/>
          <w:noProof/>
          <w:szCs w:val="22"/>
          <w:u w:val="single"/>
          <w:lang w:val="sr-Latn-ME"/>
        </w:rPr>
      </w:pPr>
      <w:r w:rsidRPr="0043654C">
        <w:rPr>
          <w:rFonts w:eastAsia="Calibri"/>
          <w:noProof/>
          <w:szCs w:val="22"/>
          <w:u w:val="single"/>
          <w:lang w:val="sr-Latn-ME"/>
        </w:rPr>
        <w:t>Oštećenje funkcije bubrega</w:t>
      </w:r>
    </w:p>
    <w:p w14:paraId="5D8E771D"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Tiazidni i srodni diuretici su potpuno efikasni samo kada je bubrežna funkcija normalna ili samo minimalno oštećena (kreatinin u plazmi ispod nivoa reda od 25 mg/l, tj. 220 µmol/l kod odrasle osobe). Kod starijih osoba ovaj kreatinin u plazmi se mora prilagoditi u odnosu na godine, težinu i pol.</w:t>
      </w:r>
    </w:p>
    <w:p w14:paraId="3D7C691B"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Hipovolemija, uzrokovana gubitkom vode i natrijuma izazvanog diuretikom na početku liječenja, uzrokuje smanjenje glomerularne filtracije. To može dovesti do povećanja uree u krvi i kreatinina u plazmi. Ova prolazna funkcionalna bubrežna insuficijencija nema nikakve posljedice kod osoba sa normalnom bubrežnom funkcijom, ali može pogoršati već postojeću bubrežnu insuficijenciju.</w:t>
      </w:r>
    </w:p>
    <w:p w14:paraId="68D8F4EB"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6638B97B" w14:textId="77777777" w:rsidR="00257763" w:rsidRPr="0043654C" w:rsidRDefault="00D426A3" w:rsidP="00A30145">
      <w:pPr>
        <w:widowControl w:val="0"/>
        <w:autoSpaceDE w:val="0"/>
        <w:autoSpaceDN w:val="0"/>
        <w:adjustRightInd w:val="0"/>
        <w:jc w:val="both"/>
        <w:rPr>
          <w:rFonts w:eastAsia="Calibri"/>
          <w:noProof/>
          <w:szCs w:val="22"/>
          <w:u w:val="single"/>
          <w:lang w:val="sr-Latn-ME"/>
        </w:rPr>
      </w:pPr>
      <w:r w:rsidRPr="0043654C">
        <w:rPr>
          <w:rFonts w:eastAsia="Calibri"/>
          <w:noProof/>
          <w:szCs w:val="22"/>
          <w:u w:val="single"/>
          <w:lang w:val="sr-Latn-ME"/>
        </w:rPr>
        <w:t>Stenoza renalne arterije</w:t>
      </w:r>
    </w:p>
    <w:p w14:paraId="293082EB"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Kod pacijenata sa bilateralnom stenozom bubrežne arterije ili stenozom bubrega u slučaju odsustva drugog, bezbjedna upotreba valsartana nije utvrđena.</w:t>
      </w:r>
    </w:p>
    <w:p w14:paraId="451B460A"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 xml:space="preserve">Kratkotrajna primjena valsartana kod dvanaest pacijenata sa renovaskularnom hipertenzijom koja je posljedica unilateralne stenoze bubrežne arterije nije izazvala nikakve značajne promjene u bubrežnoj hemodinamici, serumskom kreatininu ili azotu iz uree u krvi (eng. </w:t>
      </w:r>
      <w:r w:rsidRPr="0043654C">
        <w:rPr>
          <w:rFonts w:eastAsia="Calibri"/>
          <w:i/>
          <w:noProof/>
          <w:szCs w:val="22"/>
          <w:lang w:val="sr-Latn-ME"/>
        </w:rPr>
        <w:t>blood urea nitrogen</w:t>
      </w:r>
      <w:r w:rsidRPr="0043654C">
        <w:rPr>
          <w:rFonts w:eastAsia="Calibri"/>
          <w:noProof/>
          <w:szCs w:val="22"/>
          <w:lang w:val="sr-Latn-ME"/>
        </w:rPr>
        <w:t xml:space="preserve"> – BUN). Međutim, drugi ljekovi koji utiču na sistem renin-angiotenzin mogu da povećaju ureu u krvi i kreatinin u serumu kod pacijenata sa unilateralnom stenozom bubrežne arterije, te se stoga preporučuje praćenje bubrežne funkcije kada se pacijenti liječe valsartanom.</w:t>
      </w:r>
    </w:p>
    <w:p w14:paraId="425AD136"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3118EDD1" w14:textId="77777777" w:rsidR="00257763" w:rsidRPr="0043654C" w:rsidRDefault="00D426A3" w:rsidP="00A30145">
      <w:pPr>
        <w:widowControl w:val="0"/>
        <w:autoSpaceDE w:val="0"/>
        <w:autoSpaceDN w:val="0"/>
        <w:adjustRightInd w:val="0"/>
        <w:jc w:val="both"/>
        <w:rPr>
          <w:rFonts w:eastAsia="Calibri"/>
          <w:noProof/>
          <w:szCs w:val="22"/>
          <w:u w:val="single"/>
          <w:lang w:val="sr-Latn-ME"/>
        </w:rPr>
      </w:pPr>
      <w:r w:rsidRPr="0043654C">
        <w:rPr>
          <w:rFonts w:eastAsia="Calibri"/>
          <w:noProof/>
          <w:szCs w:val="22"/>
          <w:u w:val="single"/>
          <w:lang w:val="sr-Latn-ME"/>
        </w:rPr>
        <w:t>Transplantacija bubrega</w:t>
      </w:r>
    </w:p>
    <w:p w14:paraId="246845AA"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Trenutno nema iskustva o bezbjednoj upotrebi valsartana kod pacijenata koji su nedavno bili podvrgnuti transplantaciji bubrega.</w:t>
      </w:r>
    </w:p>
    <w:p w14:paraId="4F456353"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34003574" w14:textId="77777777" w:rsidR="00257763" w:rsidRPr="0043654C" w:rsidRDefault="00D426A3" w:rsidP="00A30145">
      <w:pPr>
        <w:widowControl w:val="0"/>
        <w:autoSpaceDE w:val="0"/>
        <w:autoSpaceDN w:val="0"/>
        <w:adjustRightInd w:val="0"/>
        <w:jc w:val="both"/>
        <w:rPr>
          <w:rFonts w:eastAsia="Calibri"/>
          <w:noProof/>
          <w:szCs w:val="22"/>
          <w:u w:val="single"/>
          <w:lang w:val="sr-Latn-ME"/>
        </w:rPr>
      </w:pPr>
      <w:r w:rsidRPr="0043654C">
        <w:rPr>
          <w:rFonts w:eastAsia="Calibri"/>
          <w:noProof/>
          <w:szCs w:val="22"/>
          <w:u w:val="single"/>
          <w:lang w:val="sr-Latn-ME"/>
        </w:rPr>
        <w:t>Intestinalni angioedem</w:t>
      </w:r>
    </w:p>
    <w:p w14:paraId="77296723" w14:textId="05D8A1DC" w:rsidR="00257763" w:rsidRPr="00D92516"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Intestinalni angioedem prijavljen je kod pacijenata koji su liječeni antagonistima receptora angiotenzina II uključujući valsartan (vidjeti dio 4.8). Kod tih pacijenata se ispoljavao kao bol u stomaku, mučnina, povraćanje i proliv. Simptomi su se povukli nakon prekida primjene antagonista receptora angiotenzina II. Ako se dijagnostikuje intestinalni angioedem, potrebno je prekinuti primjenu valsartana i započeti odgovarajuće praćenje dok se ne postigne potpuno povlačenje simptoma.</w:t>
      </w:r>
    </w:p>
    <w:p w14:paraId="0A66B157" w14:textId="77777777" w:rsidR="00257763" w:rsidRPr="0043654C" w:rsidRDefault="00D426A3" w:rsidP="00A30145">
      <w:pPr>
        <w:widowControl w:val="0"/>
        <w:autoSpaceDE w:val="0"/>
        <w:autoSpaceDN w:val="0"/>
        <w:adjustRightInd w:val="0"/>
        <w:jc w:val="both"/>
        <w:rPr>
          <w:rFonts w:eastAsia="Calibri"/>
          <w:noProof/>
          <w:szCs w:val="22"/>
          <w:u w:val="single"/>
          <w:lang w:val="sr-Latn-ME"/>
        </w:rPr>
      </w:pPr>
      <w:r w:rsidRPr="0043654C">
        <w:rPr>
          <w:rFonts w:eastAsia="Calibri"/>
          <w:noProof/>
          <w:szCs w:val="22"/>
          <w:u w:val="single"/>
          <w:lang w:val="sr-Latn-ME"/>
        </w:rPr>
        <w:lastRenderedPageBreak/>
        <w:t>Oštećenje jetre</w:t>
      </w:r>
    </w:p>
    <w:p w14:paraId="20AE0164" w14:textId="6A83C159" w:rsidR="00257763" w:rsidRPr="0043654C" w:rsidRDefault="00D426A3" w:rsidP="00A30145">
      <w:pPr>
        <w:jc w:val="both"/>
        <w:rPr>
          <w:szCs w:val="22"/>
          <w:lang w:val="sr-Latn-ME"/>
        </w:rPr>
      </w:pPr>
      <w:r w:rsidRPr="0043654C">
        <w:rPr>
          <w:szCs w:val="22"/>
          <w:lang w:val="sr-Latn-ME"/>
        </w:rPr>
        <w:t xml:space="preserve">Lijek Valomindo je kontraindikovan kod pacijenata sa teškim oštećenjem jetre, bilijarnom cirozom i kod pacijenata sa holestazom (vidjeti </w:t>
      </w:r>
      <w:r w:rsidR="00AE03A2" w:rsidRPr="0043654C">
        <w:rPr>
          <w:szCs w:val="22"/>
          <w:lang w:val="sr-Latn-ME"/>
        </w:rPr>
        <w:t xml:space="preserve">djelove </w:t>
      </w:r>
      <w:r w:rsidRPr="0043654C">
        <w:rPr>
          <w:szCs w:val="22"/>
          <w:lang w:val="sr-Latn-ME"/>
        </w:rPr>
        <w:t>4.2, 4.3 i 5.2).</w:t>
      </w:r>
    </w:p>
    <w:p w14:paraId="4E78284D" w14:textId="77777777" w:rsidR="00257763" w:rsidRPr="0043654C" w:rsidRDefault="00257763" w:rsidP="00A30145">
      <w:pPr>
        <w:jc w:val="both"/>
        <w:rPr>
          <w:szCs w:val="22"/>
          <w:lang w:val="sr-Latn-ME"/>
        </w:rPr>
      </w:pPr>
    </w:p>
    <w:p w14:paraId="72AEFD0B" w14:textId="77777777" w:rsidR="00257763" w:rsidRPr="0043654C" w:rsidRDefault="00D426A3" w:rsidP="00A30145">
      <w:pPr>
        <w:jc w:val="both"/>
        <w:rPr>
          <w:szCs w:val="22"/>
          <w:lang w:val="sr-Latn-ME"/>
        </w:rPr>
      </w:pPr>
      <w:r w:rsidRPr="0043654C">
        <w:rPr>
          <w:szCs w:val="22"/>
          <w:lang w:val="sr-Latn-ME"/>
        </w:rPr>
        <w:t>Kada je funkcija jetre oštećena, diuretici srodni tiazidima mogu da uzrokuju jetrenu encefalopatiju, posebno u slučaju neravnoteže elektrolita. Sa davanjem diuretika mora se odmah prekinuti ako se to dogodi.</w:t>
      </w:r>
    </w:p>
    <w:p w14:paraId="3E2E7E7D"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18B7660B" w14:textId="77777777" w:rsidR="00257763" w:rsidRPr="0043654C" w:rsidRDefault="00D426A3" w:rsidP="00A30145">
      <w:pPr>
        <w:widowControl w:val="0"/>
        <w:autoSpaceDE w:val="0"/>
        <w:autoSpaceDN w:val="0"/>
        <w:adjustRightInd w:val="0"/>
        <w:jc w:val="both"/>
        <w:rPr>
          <w:rFonts w:eastAsia="Calibri"/>
          <w:noProof/>
          <w:szCs w:val="22"/>
          <w:u w:val="single"/>
          <w:lang w:val="sr-Latn-ME"/>
        </w:rPr>
      </w:pPr>
      <w:r w:rsidRPr="0043654C">
        <w:rPr>
          <w:rFonts w:eastAsia="Calibri"/>
          <w:noProof/>
          <w:szCs w:val="22"/>
          <w:u w:val="single"/>
          <w:lang w:val="sr-Latn-ME"/>
        </w:rPr>
        <w:t>Primarni hiperaldosteronizam</w:t>
      </w:r>
    </w:p>
    <w:p w14:paraId="4ED2654C"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Pacijente sa primarnim hiperaldosteronizmom ne treba liječiti valsartanom, jer njihov renin-angiotenzin sistem nije aktiviran.</w:t>
      </w:r>
    </w:p>
    <w:p w14:paraId="78850260"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21B9210D" w14:textId="77777777" w:rsidR="00257763" w:rsidRPr="0043654C" w:rsidRDefault="00D426A3" w:rsidP="00A30145">
      <w:pPr>
        <w:widowControl w:val="0"/>
        <w:autoSpaceDE w:val="0"/>
        <w:autoSpaceDN w:val="0"/>
        <w:adjustRightInd w:val="0"/>
        <w:jc w:val="both"/>
        <w:rPr>
          <w:rFonts w:eastAsia="Calibri"/>
          <w:noProof/>
          <w:szCs w:val="22"/>
          <w:u w:val="single"/>
          <w:lang w:val="sr-Latn-ME"/>
        </w:rPr>
      </w:pPr>
      <w:r w:rsidRPr="0043654C">
        <w:rPr>
          <w:rFonts w:eastAsia="Calibri"/>
          <w:noProof/>
          <w:szCs w:val="22"/>
          <w:u w:val="single"/>
          <w:lang w:val="sr-Latn-ME"/>
        </w:rPr>
        <w:t>Stenoza aortnog i mitralnog zaliska, obstruktivna hipertrofična kardiomiopatija</w:t>
      </w:r>
    </w:p>
    <w:p w14:paraId="5635B315"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 xml:space="preserve">Kao i kod svih drugih vazodilatatora, poseban oprez je indikovan kod pacijenata koji pate od aortne ili mitralne stenoze, ili hipertrofične opstruktivne kardiomiopatije (eng. </w:t>
      </w:r>
      <w:r w:rsidRPr="0043654C">
        <w:rPr>
          <w:rFonts w:eastAsia="Calibri"/>
          <w:i/>
          <w:noProof/>
          <w:szCs w:val="22"/>
          <w:lang w:val="sr-Latn-ME"/>
        </w:rPr>
        <w:t>hypertrophic obstructive cardiomyopathy</w:t>
      </w:r>
      <w:r w:rsidRPr="0043654C">
        <w:rPr>
          <w:rFonts w:eastAsia="Calibri"/>
          <w:noProof/>
          <w:szCs w:val="22"/>
          <w:lang w:val="sr-Latn-ME"/>
        </w:rPr>
        <w:t xml:space="preserve"> – HOCM).</w:t>
      </w:r>
    </w:p>
    <w:p w14:paraId="652411C8" w14:textId="77777777" w:rsidR="00257763" w:rsidRPr="0043654C" w:rsidRDefault="00257763" w:rsidP="00A30145">
      <w:pPr>
        <w:widowControl w:val="0"/>
        <w:autoSpaceDE w:val="0"/>
        <w:autoSpaceDN w:val="0"/>
        <w:adjustRightInd w:val="0"/>
        <w:jc w:val="both"/>
        <w:rPr>
          <w:rFonts w:eastAsia="Calibri"/>
          <w:noProof/>
          <w:szCs w:val="22"/>
          <w:u w:val="single"/>
          <w:lang w:val="sr-Latn-ME"/>
        </w:rPr>
      </w:pPr>
    </w:p>
    <w:p w14:paraId="33CB07BD" w14:textId="77777777" w:rsidR="00257763" w:rsidRPr="0043654C" w:rsidRDefault="00D426A3" w:rsidP="00A30145">
      <w:pPr>
        <w:widowControl w:val="0"/>
        <w:autoSpaceDE w:val="0"/>
        <w:autoSpaceDN w:val="0"/>
        <w:adjustRightInd w:val="0"/>
        <w:jc w:val="both"/>
        <w:rPr>
          <w:rFonts w:eastAsia="Calibri"/>
          <w:noProof/>
          <w:szCs w:val="22"/>
          <w:u w:val="single"/>
          <w:lang w:val="sr-Latn-ME"/>
        </w:rPr>
      </w:pPr>
      <w:r w:rsidRPr="0043654C">
        <w:rPr>
          <w:rFonts w:eastAsia="Calibri"/>
          <w:noProof/>
          <w:szCs w:val="22"/>
          <w:u w:val="single"/>
          <w:lang w:val="sr-Latn-ME"/>
        </w:rPr>
        <w:t>Trudnoća</w:t>
      </w:r>
    </w:p>
    <w:p w14:paraId="0EF4AE96" w14:textId="5B9D666C"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 xml:space="preserve">Sa primjenom antagonista angiotenzin II receptora (eng. </w:t>
      </w:r>
      <w:r w:rsidRPr="0043654C">
        <w:rPr>
          <w:rFonts w:eastAsia="Calibri"/>
          <w:i/>
          <w:noProof/>
          <w:szCs w:val="22"/>
          <w:lang w:val="sr-Latn-ME"/>
        </w:rPr>
        <w:t>Angiotensin receptor blocker</w:t>
      </w:r>
      <w:r w:rsidRPr="0043654C">
        <w:rPr>
          <w:rFonts w:eastAsia="Calibri"/>
          <w:noProof/>
          <w:szCs w:val="22"/>
          <w:lang w:val="sr-Latn-ME"/>
        </w:rPr>
        <w:t xml:space="preserve"> – ARB) ne bi trebalo da se započinje tokom trudnoće. Osim ako se nastavak terapije ARB smatra neophodnim, pacijentkinje koje planiraju trudnoću treba da pređu na alternativnu antihipertenzivnu terapiju koja ima utvrđen bezbjednosni profil za upotrebu u trudnoći. Kada se utvrdi trudnoća, liječenje ARB treba odmah prekinuti i, ako je potrebno, započeti alternativnu terapiju (vidjeti </w:t>
      </w:r>
      <w:r w:rsidR="00AE03A2" w:rsidRPr="0043654C">
        <w:rPr>
          <w:rFonts w:eastAsia="Calibri"/>
          <w:noProof/>
          <w:szCs w:val="22"/>
          <w:lang w:val="sr-Latn-ME"/>
        </w:rPr>
        <w:t xml:space="preserve">djelove </w:t>
      </w:r>
      <w:r w:rsidRPr="0043654C">
        <w:rPr>
          <w:rFonts w:eastAsia="Calibri"/>
          <w:noProof/>
          <w:szCs w:val="22"/>
          <w:lang w:val="sr-Latn-ME"/>
        </w:rPr>
        <w:t>4.3 i 4.6).</w:t>
      </w:r>
    </w:p>
    <w:p w14:paraId="5BDA6A8F"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6536E762" w14:textId="77777777" w:rsidR="00257763" w:rsidRPr="0043654C" w:rsidRDefault="00D426A3" w:rsidP="00A30145">
      <w:pPr>
        <w:autoSpaceDE w:val="0"/>
        <w:autoSpaceDN w:val="0"/>
        <w:adjustRightInd w:val="0"/>
        <w:jc w:val="both"/>
        <w:rPr>
          <w:rFonts w:eastAsia="Calibri"/>
          <w:iCs/>
          <w:noProof/>
          <w:szCs w:val="22"/>
          <w:u w:val="single"/>
          <w:lang w:val="sr-Latn-ME" w:eastAsia="sv-SE"/>
        </w:rPr>
      </w:pPr>
      <w:r w:rsidRPr="0043654C">
        <w:rPr>
          <w:rFonts w:eastAsia="Calibri"/>
          <w:iCs/>
          <w:noProof/>
          <w:szCs w:val="22"/>
          <w:u w:val="single"/>
          <w:lang w:val="sr-Latn-ME" w:eastAsia="sv-SE"/>
        </w:rPr>
        <w:t>Isotrija angioedema</w:t>
      </w:r>
    </w:p>
    <w:p w14:paraId="065788FA" w14:textId="406F1713" w:rsidR="00257763" w:rsidRPr="0043654C" w:rsidRDefault="00D426A3" w:rsidP="00A30145">
      <w:pPr>
        <w:autoSpaceDE w:val="0"/>
        <w:autoSpaceDN w:val="0"/>
        <w:adjustRightInd w:val="0"/>
        <w:jc w:val="both"/>
        <w:rPr>
          <w:rFonts w:eastAsia="Calibri"/>
          <w:iCs/>
          <w:noProof/>
          <w:szCs w:val="22"/>
          <w:lang w:val="sr-Latn-ME" w:eastAsia="sv-SE"/>
        </w:rPr>
      </w:pPr>
      <w:r w:rsidRPr="0043654C">
        <w:rPr>
          <w:rFonts w:eastAsia="Calibri"/>
          <w:iCs/>
          <w:noProof/>
          <w:szCs w:val="22"/>
          <w:lang w:val="sr-Latn-ME" w:eastAsia="sv-SE"/>
        </w:rPr>
        <w:t xml:space="preserve">Angioedem, uključujući oticanje larinksa i glotisa, koji uzrokuje opstrukciju disajnih puteva i/ili oticanje lica, usana, ždrijela i/ili jezika je prijavljen kod pacijenata liječenih valsartanom; neki od ovih pacijenata su prethodno imali angioedem sa drugim ljekovima uključujući ACE inhibitore. Lijek Valomindo treba odmah obustaviti kod pacijenata koji razviju angioedem, a lijek Valomindo se ne smije ponovo primjenjivati ​​(vidjeti </w:t>
      </w:r>
      <w:r w:rsidR="00AE03A2" w:rsidRPr="0043654C">
        <w:rPr>
          <w:rFonts w:eastAsia="Calibri"/>
          <w:iCs/>
          <w:noProof/>
          <w:szCs w:val="22"/>
          <w:lang w:val="sr-Latn-ME" w:eastAsia="sv-SE"/>
        </w:rPr>
        <w:t xml:space="preserve">dio </w:t>
      </w:r>
      <w:r w:rsidRPr="0043654C">
        <w:rPr>
          <w:rFonts w:eastAsia="Calibri"/>
          <w:iCs/>
          <w:noProof/>
          <w:szCs w:val="22"/>
          <w:lang w:val="sr-Latn-ME" w:eastAsia="sv-SE"/>
        </w:rPr>
        <w:t>4.8).</w:t>
      </w:r>
    </w:p>
    <w:p w14:paraId="672E8149" w14:textId="77777777" w:rsidR="00257763" w:rsidRPr="0043654C" w:rsidRDefault="00257763" w:rsidP="00A30145">
      <w:pPr>
        <w:widowControl w:val="0"/>
        <w:autoSpaceDE w:val="0"/>
        <w:autoSpaceDN w:val="0"/>
        <w:adjustRightInd w:val="0"/>
        <w:jc w:val="both"/>
        <w:rPr>
          <w:rFonts w:eastAsia="Calibri"/>
          <w:noProof/>
          <w:szCs w:val="22"/>
          <w:highlight w:val="darkGray"/>
          <w:lang w:val="sr-Latn-ME"/>
        </w:rPr>
      </w:pPr>
    </w:p>
    <w:p w14:paraId="7E22BCA2" w14:textId="77777777" w:rsidR="00257763" w:rsidRPr="0043654C" w:rsidRDefault="00D426A3" w:rsidP="00A30145">
      <w:pPr>
        <w:autoSpaceDE w:val="0"/>
        <w:autoSpaceDN w:val="0"/>
        <w:adjustRightInd w:val="0"/>
        <w:jc w:val="both"/>
        <w:rPr>
          <w:rFonts w:eastAsia="Calibri"/>
          <w:iCs/>
          <w:noProof/>
          <w:szCs w:val="22"/>
          <w:u w:val="single"/>
          <w:lang w:val="sr-Latn-ME"/>
        </w:rPr>
      </w:pPr>
      <w:r w:rsidRPr="0043654C">
        <w:rPr>
          <w:rFonts w:eastAsia="Calibri"/>
          <w:iCs/>
          <w:noProof/>
          <w:szCs w:val="22"/>
          <w:u w:val="single"/>
          <w:lang w:val="sr-Latn-ME"/>
        </w:rPr>
        <w:t>Dvostruka blokada renin</w:t>
      </w:r>
      <w:r w:rsidRPr="0043654C">
        <w:rPr>
          <w:rFonts w:eastAsia="Calibri"/>
          <w:iCs/>
          <w:noProof/>
          <w:szCs w:val="22"/>
          <w:u w:val="single"/>
          <w:lang w:val="sr-Latn-ME"/>
        </w:rPr>
        <w:noBreakHyphen/>
        <w:t>angiotenzin</w:t>
      </w:r>
      <w:r w:rsidRPr="0043654C">
        <w:rPr>
          <w:rFonts w:eastAsia="Calibri"/>
          <w:iCs/>
          <w:noProof/>
          <w:szCs w:val="22"/>
          <w:u w:val="single"/>
          <w:lang w:val="sr-Latn-ME"/>
        </w:rPr>
        <w:noBreakHyphen/>
        <w:t>aldosteron sistema (RAAS)</w:t>
      </w:r>
    </w:p>
    <w:p w14:paraId="15ABA15E" w14:textId="00D50594" w:rsidR="00257763" w:rsidRPr="0043654C" w:rsidRDefault="00D426A3" w:rsidP="00A30145">
      <w:pPr>
        <w:widowControl w:val="0"/>
        <w:autoSpaceDE w:val="0"/>
        <w:autoSpaceDN w:val="0"/>
        <w:adjustRightInd w:val="0"/>
        <w:jc w:val="both"/>
        <w:rPr>
          <w:rFonts w:eastAsia="Calibri" w:cs="AdvTimes"/>
          <w:iCs/>
          <w:noProof/>
          <w:szCs w:val="22"/>
          <w:lang w:val="sr-Latn-ME"/>
        </w:rPr>
      </w:pPr>
      <w:r w:rsidRPr="0043654C">
        <w:rPr>
          <w:rFonts w:eastAsia="Calibri" w:cs="AdvTimes"/>
          <w:iCs/>
          <w:noProof/>
          <w:szCs w:val="22"/>
          <w:lang w:val="sr-Latn-ME"/>
        </w:rPr>
        <w:t xml:space="preserve">Postoje dokazi da istovremena primjena ACE inhibitora, ARB ili aliskirena povećava rizik od hipotenzije, hiperkalijemije i smanjene bubrežne funkcije (uključujući akutno zatajenje bubrega). Zbog toga se ne preporučuje dvostruka blokada RAAS kombinovanom upotrebom ACE inhibitora, ARB ili aliskirena (vidjeti </w:t>
      </w:r>
      <w:r w:rsidR="00AE03A2" w:rsidRPr="0043654C">
        <w:rPr>
          <w:rFonts w:eastAsia="Calibri" w:cs="AdvTimes"/>
          <w:iCs/>
          <w:noProof/>
          <w:szCs w:val="22"/>
          <w:lang w:val="sr-Latn-ME"/>
        </w:rPr>
        <w:t xml:space="preserve">djelove </w:t>
      </w:r>
      <w:r w:rsidRPr="0043654C">
        <w:rPr>
          <w:rFonts w:eastAsia="Calibri" w:cs="AdvTimes"/>
          <w:iCs/>
          <w:noProof/>
          <w:szCs w:val="22"/>
          <w:lang w:val="sr-Latn-ME"/>
        </w:rPr>
        <w:t>4.5 i 5.1).</w:t>
      </w:r>
    </w:p>
    <w:p w14:paraId="745A5934" w14:textId="77777777" w:rsidR="00257763" w:rsidRPr="0043654C" w:rsidRDefault="00D426A3" w:rsidP="00A30145">
      <w:pPr>
        <w:widowControl w:val="0"/>
        <w:autoSpaceDE w:val="0"/>
        <w:autoSpaceDN w:val="0"/>
        <w:adjustRightInd w:val="0"/>
        <w:jc w:val="both"/>
        <w:rPr>
          <w:rFonts w:eastAsia="Calibri" w:cs="AdvTimes"/>
          <w:iCs/>
          <w:noProof/>
          <w:szCs w:val="22"/>
          <w:lang w:val="sr-Latn-ME"/>
        </w:rPr>
      </w:pPr>
      <w:r w:rsidRPr="0043654C">
        <w:rPr>
          <w:rFonts w:eastAsia="Calibri" w:cs="AdvTimes"/>
          <w:iCs/>
          <w:noProof/>
          <w:szCs w:val="22"/>
          <w:lang w:val="sr-Latn-ME"/>
        </w:rPr>
        <w:t>Ako se terapija dvostrukom blokadom smatra apsolutno neophodnom, ona se smije primjenjivati samo pod nadzorom specijaliste i uz česte pomne kontrole bubrežne funkcije, elektrolita i krvnog pritiska.</w:t>
      </w:r>
    </w:p>
    <w:p w14:paraId="491D19B9" w14:textId="77777777" w:rsidR="00257763" w:rsidRPr="0043654C" w:rsidRDefault="00D426A3" w:rsidP="00A30145">
      <w:pPr>
        <w:widowControl w:val="0"/>
        <w:autoSpaceDE w:val="0"/>
        <w:autoSpaceDN w:val="0"/>
        <w:adjustRightInd w:val="0"/>
        <w:jc w:val="both"/>
        <w:rPr>
          <w:rFonts w:eastAsia="Calibri" w:cs="AdvTimes"/>
          <w:iCs/>
          <w:noProof/>
          <w:szCs w:val="22"/>
          <w:lang w:val="sr-Latn-ME"/>
        </w:rPr>
      </w:pPr>
      <w:r w:rsidRPr="0043654C">
        <w:rPr>
          <w:rFonts w:eastAsia="Calibri" w:cs="AdvTimes"/>
          <w:iCs/>
          <w:noProof/>
          <w:szCs w:val="22"/>
          <w:lang w:val="sr-Latn-ME"/>
        </w:rPr>
        <w:t>ACE inhibitori i ARB se ne smiju koristiti istovremeno kod pacijenata sa dijabetičkom nefropatijom.</w:t>
      </w:r>
    </w:p>
    <w:p w14:paraId="7C70B588" w14:textId="77777777" w:rsidR="00257763" w:rsidRPr="0043654C" w:rsidRDefault="00257763" w:rsidP="00A30145">
      <w:pPr>
        <w:widowControl w:val="0"/>
        <w:autoSpaceDE w:val="0"/>
        <w:autoSpaceDN w:val="0"/>
        <w:adjustRightInd w:val="0"/>
        <w:jc w:val="both"/>
        <w:rPr>
          <w:rFonts w:eastAsia="Calibri"/>
          <w:noProof/>
          <w:szCs w:val="22"/>
          <w:highlight w:val="darkGray"/>
          <w:lang w:val="sr-Latn-ME"/>
        </w:rPr>
      </w:pPr>
    </w:p>
    <w:p w14:paraId="0AF10EC2" w14:textId="77777777" w:rsidR="00257763" w:rsidRPr="0043654C" w:rsidRDefault="00D426A3" w:rsidP="00A30145">
      <w:pPr>
        <w:autoSpaceDE w:val="0"/>
        <w:autoSpaceDN w:val="0"/>
        <w:adjustRightInd w:val="0"/>
        <w:jc w:val="both"/>
        <w:rPr>
          <w:rFonts w:eastAsia="Calibri"/>
          <w:iCs/>
          <w:noProof/>
          <w:szCs w:val="22"/>
          <w:u w:val="single"/>
          <w:lang w:val="sr-Latn-ME"/>
        </w:rPr>
      </w:pPr>
      <w:r w:rsidRPr="0043654C">
        <w:rPr>
          <w:rFonts w:eastAsia="Calibri"/>
          <w:iCs/>
          <w:noProof/>
          <w:szCs w:val="22"/>
          <w:u w:val="single"/>
          <w:lang w:val="sr-Latn-ME"/>
        </w:rPr>
        <w:t>Fotosenzitivnost</w:t>
      </w:r>
    </w:p>
    <w:p w14:paraId="5CCFCEC3" w14:textId="0743B1CC" w:rsidR="00257763" w:rsidRPr="0043654C" w:rsidRDefault="00D426A3" w:rsidP="00A30145">
      <w:pPr>
        <w:jc w:val="both"/>
        <w:rPr>
          <w:bCs/>
          <w:szCs w:val="22"/>
          <w:lang w:val="sr-Latn-ME"/>
        </w:rPr>
      </w:pPr>
      <w:r w:rsidRPr="0043654C">
        <w:rPr>
          <w:bCs/>
          <w:szCs w:val="22"/>
          <w:lang w:val="sr-Latn-ME"/>
        </w:rPr>
        <w:t xml:space="preserve">Prijavljeni su slučajevi reakcija fotosenzitivnosti sa tiazidima i diureticima srodnim tiazidima (vidjeti </w:t>
      </w:r>
      <w:r w:rsidR="00AE03A2" w:rsidRPr="0043654C">
        <w:rPr>
          <w:bCs/>
          <w:szCs w:val="22"/>
          <w:lang w:val="sr-Latn-ME"/>
        </w:rPr>
        <w:t xml:space="preserve">dio </w:t>
      </w:r>
      <w:r w:rsidRPr="0043654C">
        <w:rPr>
          <w:bCs/>
          <w:szCs w:val="22"/>
          <w:lang w:val="sr-Latn-ME"/>
        </w:rPr>
        <w:t>4.8). Ako se tokom terapije javi reakcija fotosenzitivnosti, preporučuje se prekid terapije. Ako se smatra da je ponovna primjena diuretika neophodna, preporučuje se zaštita područja izloženih suncu ili vještačkim UVA zracima.</w:t>
      </w:r>
      <w:r w:rsidRPr="0043654C">
        <w:rPr>
          <w:lang w:val="sr-Latn-ME"/>
        </w:rPr>
        <w:t xml:space="preserve"> </w:t>
      </w:r>
    </w:p>
    <w:p w14:paraId="2B3C0813" w14:textId="77777777" w:rsidR="00257763" w:rsidRPr="0043654C" w:rsidRDefault="00D426A3" w:rsidP="00A30145">
      <w:pPr>
        <w:autoSpaceDE w:val="0"/>
        <w:autoSpaceDN w:val="0"/>
        <w:adjustRightInd w:val="0"/>
        <w:jc w:val="both"/>
        <w:rPr>
          <w:rFonts w:eastAsia="Calibri"/>
          <w:iCs/>
          <w:noProof/>
          <w:szCs w:val="22"/>
          <w:u w:val="single"/>
          <w:lang w:val="sr-Latn-ME"/>
        </w:rPr>
      </w:pPr>
      <w:r w:rsidRPr="0043654C">
        <w:rPr>
          <w:rFonts w:eastAsia="Calibri"/>
          <w:iCs/>
          <w:noProof/>
          <w:szCs w:val="22"/>
          <w:u w:val="single"/>
          <w:lang w:val="sr-Latn-ME"/>
        </w:rPr>
        <w:t>Horoidalna efuzija, akutna miopija i sekundarni glaukom zatvorenog ugla</w:t>
      </w:r>
    </w:p>
    <w:p w14:paraId="390E96B2" w14:textId="77777777" w:rsidR="00257763" w:rsidRPr="0043654C" w:rsidRDefault="00D426A3" w:rsidP="00A30145">
      <w:pPr>
        <w:autoSpaceDE w:val="0"/>
        <w:autoSpaceDN w:val="0"/>
        <w:adjustRightInd w:val="0"/>
        <w:jc w:val="both"/>
        <w:rPr>
          <w:rFonts w:eastAsia="Calibri"/>
          <w:iCs/>
          <w:noProof/>
          <w:szCs w:val="22"/>
          <w:lang w:val="sr-Latn-ME"/>
        </w:rPr>
      </w:pPr>
      <w:r w:rsidRPr="0043654C">
        <w:rPr>
          <w:rFonts w:eastAsia="Calibri"/>
          <w:iCs/>
          <w:noProof/>
          <w:szCs w:val="22"/>
          <w:lang w:val="sr-Latn-ME"/>
        </w:rPr>
        <w:t>Ljekovi na bazi sulfonamida ili derivata sulfonamida mogu da uzrokuju idiosinkratičnu reakciju koja rezultira horoidalnim izlivom sa defektom vidnog polja, prolaznom kratkovidnošću i akutnim glaukomom zatvorenog ugla. Simptomi uključuju akutni početak smanjene oštrine vida ili očne boli i obično se javljaju u roku od nekoliko sati do nedjelja od početka primjene lijeka. Neliječeni akutni glaukom zatvorenog ugla može da dovede do trajnog gubitka vida. Primarni tretman je prestanak uzimanja lijeka što je prije moguće. Možda će biti potrebno da se razmotri hitno medicinsko ili hirurško liječenje ako intraokularni pritisak ostane nekontrolisan. Faktori rizika za razvoj akutnog glaukoma zatvorenog ugla mogu uključivati ​​anamnezu alergije na sulfonamide ili penicilin.</w:t>
      </w:r>
    </w:p>
    <w:p w14:paraId="7FB803AD" w14:textId="77777777" w:rsidR="00257763" w:rsidRPr="0043654C" w:rsidRDefault="00257763" w:rsidP="00A30145">
      <w:pPr>
        <w:tabs>
          <w:tab w:val="left" w:pos="540"/>
        </w:tabs>
        <w:jc w:val="both"/>
        <w:rPr>
          <w:bCs/>
          <w:szCs w:val="22"/>
          <w:lang w:val="sr-Latn-ME"/>
        </w:rPr>
      </w:pPr>
    </w:p>
    <w:p w14:paraId="5171FBF5" w14:textId="77777777" w:rsidR="00AE03A2" w:rsidRPr="0043654C" w:rsidRDefault="00AE03A2" w:rsidP="00A30145">
      <w:pPr>
        <w:tabs>
          <w:tab w:val="left" w:pos="540"/>
        </w:tabs>
        <w:jc w:val="both"/>
        <w:rPr>
          <w:bCs/>
          <w:szCs w:val="22"/>
          <w:lang w:val="sr-Latn-ME"/>
        </w:rPr>
      </w:pPr>
    </w:p>
    <w:p w14:paraId="1CDBC670" w14:textId="77777777" w:rsidR="00257763" w:rsidRPr="0043654C" w:rsidRDefault="00D426A3" w:rsidP="00A30145">
      <w:pPr>
        <w:tabs>
          <w:tab w:val="left" w:pos="540"/>
        </w:tabs>
        <w:jc w:val="both"/>
        <w:rPr>
          <w:b/>
          <w:bCs/>
          <w:szCs w:val="22"/>
          <w:lang w:val="sr-Latn-ME"/>
        </w:rPr>
      </w:pPr>
      <w:r w:rsidRPr="0043654C">
        <w:rPr>
          <w:b/>
          <w:bCs/>
          <w:szCs w:val="22"/>
          <w:lang w:val="sr-Latn-ME"/>
        </w:rPr>
        <w:lastRenderedPageBreak/>
        <w:t>4.5.</w:t>
      </w:r>
      <w:r w:rsidRPr="0043654C">
        <w:rPr>
          <w:b/>
          <w:bCs/>
          <w:szCs w:val="22"/>
          <w:lang w:val="sr-Latn-ME"/>
        </w:rPr>
        <w:tab/>
        <w:t>Interakcije sa drugim ljekovima i druge vrste interakcija</w:t>
      </w:r>
    </w:p>
    <w:p w14:paraId="365887C3" w14:textId="77777777" w:rsidR="00257763" w:rsidRPr="0043654C" w:rsidRDefault="00257763" w:rsidP="00A30145">
      <w:pPr>
        <w:tabs>
          <w:tab w:val="left" w:pos="540"/>
        </w:tabs>
        <w:jc w:val="both"/>
        <w:rPr>
          <w:bCs/>
          <w:szCs w:val="22"/>
          <w:lang w:val="sr-Latn-ME"/>
        </w:rPr>
      </w:pPr>
    </w:p>
    <w:p w14:paraId="7D5D0BD8" w14:textId="77777777" w:rsidR="00257763" w:rsidRPr="0043654C" w:rsidRDefault="00D426A3" w:rsidP="00A30145">
      <w:pPr>
        <w:widowControl w:val="0"/>
        <w:autoSpaceDE w:val="0"/>
        <w:autoSpaceDN w:val="0"/>
        <w:adjustRightInd w:val="0"/>
        <w:jc w:val="both"/>
        <w:rPr>
          <w:rFonts w:eastAsia="Calibri"/>
          <w:b/>
          <w:i/>
          <w:iCs/>
          <w:noProof/>
          <w:szCs w:val="22"/>
          <w:lang w:val="sr-Latn-ME"/>
        </w:rPr>
      </w:pPr>
      <w:r w:rsidRPr="0043654C">
        <w:rPr>
          <w:rFonts w:eastAsia="Calibri"/>
          <w:b/>
          <w:i/>
          <w:iCs/>
          <w:noProof/>
          <w:szCs w:val="22"/>
          <w:lang w:val="sr-Latn-ME"/>
        </w:rPr>
        <w:t>Povezano sa valsartanom</w:t>
      </w:r>
    </w:p>
    <w:p w14:paraId="759C4CA9" w14:textId="77777777" w:rsidR="00257763" w:rsidRPr="0043654C" w:rsidRDefault="00257763" w:rsidP="00A30145">
      <w:pPr>
        <w:widowControl w:val="0"/>
        <w:autoSpaceDE w:val="0"/>
        <w:autoSpaceDN w:val="0"/>
        <w:adjustRightInd w:val="0"/>
        <w:jc w:val="both"/>
        <w:rPr>
          <w:rFonts w:eastAsia="Calibri"/>
          <w:i/>
          <w:iCs/>
          <w:noProof/>
          <w:szCs w:val="22"/>
          <w:lang w:val="sr-Latn-ME"/>
        </w:rPr>
      </w:pPr>
    </w:p>
    <w:p w14:paraId="0835DE84" w14:textId="77777777" w:rsidR="00257763" w:rsidRPr="0043654C" w:rsidRDefault="00D426A3" w:rsidP="00A30145">
      <w:pPr>
        <w:widowControl w:val="0"/>
        <w:autoSpaceDE w:val="0"/>
        <w:autoSpaceDN w:val="0"/>
        <w:adjustRightInd w:val="0"/>
        <w:jc w:val="both"/>
        <w:rPr>
          <w:rFonts w:eastAsia="Calibri"/>
          <w:i/>
          <w:iCs/>
          <w:noProof/>
          <w:szCs w:val="22"/>
          <w:lang w:val="sr-Latn-ME"/>
        </w:rPr>
      </w:pPr>
      <w:r w:rsidRPr="0043654C">
        <w:rPr>
          <w:rFonts w:eastAsia="Calibri"/>
          <w:i/>
          <w:iCs/>
          <w:noProof/>
          <w:szCs w:val="22"/>
          <w:lang w:val="sr-Latn-ME"/>
        </w:rPr>
        <w:t>Dvostruka blokada Renin-Angiotenzin-Aldosteron Sistema (RAAS) sa ARB, ACE inhibitorima ili aliskirenom:</w:t>
      </w:r>
    </w:p>
    <w:p w14:paraId="15A62FD1" w14:textId="4B0886F9" w:rsidR="00257763" w:rsidRPr="0043654C" w:rsidRDefault="00D426A3" w:rsidP="00A30145">
      <w:pPr>
        <w:widowControl w:val="0"/>
        <w:autoSpaceDE w:val="0"/>
        <w:autoSpaceDN w:val="0"/>
        <w:adjustRightInd w:val="0"/>
        <w:jc w:val="both"/>
        <w:rPr>
          <w:rFonts w:eastAsia="Calibri"/>
          <w:iCs/>
          <w:noProof/>
          <w:szCs w:val="22"/>
          <w:lang w:val="sr-Latn-ME"/>
        </w:rPr>
      </w:pPr>
      <w:r w:rsidRPr="0043654C">
        <w:rPr>
          <w:rFonts w:eastAsia="Calibri"/>
          <w:iCs/>
          <w:noProof/>
          <w:szCs w:val="22"/>
          <w:lang w:val="sr-Latn-ME"/>
        </w:rPr>
        <w:t xml:space="preserve">Podaci iz kliničkih ispitivanja pokazali su da je dvostruka blokada renin-angiotenzin-aldosteron-sistema (RAAS) kroz kombinovanu upotrebu ACE inhibitora, ARB ili aliskirena povezana sa većom učestalošću neželjenih dejstava kao što su hipotenzija, hiperkalijemija i smanjena bubrežna funkcija (uključujući akutno zatajenje bubrega) u poređenju sa upotrebom jednog lijeka koji djeluje na RAAS (vidjeti </w:t>
      </w:r>
      <w:r w:rsidR="00AE03A2" w:rsidRPr="0043654C">
        <w:rPr>
          <w:rFonts w:eastAsia="Calibri"/>
          <w:iCs/>
          <w:noProof/>
          <w:szCs w:val="22"/>
          <w:lang w:val="sr-Latn-ME"/>
        </w:rPr>
        <w:t xml:space="preserve">djelove </w:t>
      </w:r>
      <w:r w:rsidRPr="0043654C">
        <w:rPr>
          <w:rFonts w:eastAsia="Calibri"/>
          <w:iCs/>
          <w:noProof/>
          <w:szCs w:val="22"/>
          <w:lang w:val="sr-Latn-ME"/>
        </w:rPr>
        <w:t>4.3, 4.4 i 5.1).</w:t>
      </w:r>
    </w:p>
    <w:p w14:paraId="238531CE"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47D46D40" w14:textId="77777777" w:rsidR="00257763" w:rsidRPr="0043654C" w:rsidRDefault="00D426A3" w:rsidP="00A30145">
      <w:pPr>
        <w:widowControl w:val="0"/>
        <w:autoSpaceDE w:val="0"/>
        <w:autoSpaceDN w:val="0"/>
        <w:adjustRightInd w:val="0"/>
        <w:jc w:val="both"/>
        <w:rPr>
          <w:rFonts w:eastAsia="Calibri"/>
          <w:i/>
          <w:noProof/>
          <w:szCs w:val="22"/>
          <w:u w:val="single"/>
          <w:lang w:val="sr-Latn-ME"/>
        </w:rPr>
      </w:pPr>
      <w:r w:rsidRPr="0043654C">
        <w:rPr>
          <w:rFonts w:eastAsia="Calibri"/>
          <w:i/>
          <w:noProof/>
          <w:szCs w:val="22"/>
          <w:u w:val="single"/>
          <w:lang w:val="sr-Latn-ME"/>
        </w:rPr>
        <w:t>Istovremena primjena nije preporučljiva</w:t>
      </w:r>
    </w:p>
    <w:p w14:paraId="3B6FF9AE"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51CA6259" w14:textId="77777777" w:rsidR="00257763" w:rsidRPr="0043654C" w:rsidRDefault="00D426A3" w:rsidP="00A30145">
      <w:pPr>
        <w:widowControl w:val="0"/>
        <w:autoSpaceDE w:val="0"/>
        <w:autoSpaceDN w:val="0"/>
        <w:adjustRightInd w:val="0"/>
        <w:jc w:val="both"/>
        <w:rPr>
          <w:rFonts w:eastAsia="Calibri"/>
          <w:i/>
          <w:noProof/>
          <w:szCs w:val="22"/>
          <w:lang w:val="sr-Latn-ME"/>
        </w:rPr>
      </w:pPr>
      <w:r w:rsidRPr="0043654C">
        <w:rPr>
          <w:rFonts w:eastAsia="Calibri"/>
          <w:i/>
          <w:noProof/>
          <w:szCs w:val="22"/>
          <w:lang w:val="sr-Latn-ME"/>
        </w:rPr>
        <w:t>Litijum:</w:t>
      </w:r>
    </w:p>
    <w:p w14:paraId="5C2BDDE0"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Prijavljeno je reverzibilno povećanje koncentracije litijuma u serumu i toksičnost tokom istovremene primjene litijuma sa inhibitorima angiotenzin kovertujućeg enzima ili antagonistima angiotenzin II receptora, uključujući valsartan. Ako se kombinacija pokaže neophodnom, preporučuje se pažljivo praćenje nivoa litijuma u serumu. Ako se koristi i diuretik, vjerovatno se može dodatno povećati rizik od toksičnosti litijuma.</w:t>
      </w:r>
    </w:p>
    <w:p w14:paraId="19EBC9A5"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05A38EAB" w14:textId="77777777" w:rsidR="00257763" w:rsidRPr="0043654C" w:rsidRDefault="00D426A3" w:rsidP="00A30145">
      <w:pPr>
        <w:widowControl w:val="0"/>
        <w:autoSpaceDE w:val="0"/>
        <w:autoSpaceDN w:val="0"/>
        <w:adjustRightInd w:val="0"/>
        <w:jc w:val="both"/>
        <w:rPr>
          <w:rFonts w:eastAsia="Calibri"/>
          <w:i/>
          <w:noProof/>
          <w:szCs w:val="22"/>
          <w:lang w:val="sr-Latn-ME"/>
        </w:rPr>
      </w:pPr>
      <w:r w:rsidRPr="0043654C">
        <w:rPr>
          <w:rFonts w:eastAsia="Calibri"/>
          <w:i/>
          <w:noProof/>
          <w:szCs w:val="22"/>
          <w:lang w:val="sr-Latn-ME"/>
        </w:rPr>
        <w:t>Diuretici koji štede kalijum, suplemetni kalijuma, zamjene za so koje sadrže kalijum i druge supstance koje mogu da povećaju nivo kalijuma:</w:t>
      </w:r>
    </w:p>
    <w:p w14:paraId="6EA4F3C9"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Ako se smatra da je lijek koji utiče na nivo kalijuma potreban u kombinaciji sa valsartanom, savjetuje se praćenje nivoa kalijuma u plazmi.</w:t>
      </w:r>
    </w:p>
    <w:p w14:paraId="492952AA"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51552C48" w14:textId="77777777" w:rsidR="00257763" w:rsidRPr="0043654C" w:rsidRDefault="00D426A3" w:rsidP="00A30145">
      <w:pPr>
        <w:widowControl w:val="0"/>
        <w:autoSpaceDE w:val="0"/>
        <w:autoSpaceDN w:val="0"/>
        <w:adjustRightInd w:val="0"/>
        <w:jc w:val="both"/>
        <w:rPr>
          <w:rFonts w:eastAsia="Calibri"/>
          <w:i/>
          <w:noProof/>
          <w:szCs w:val="22"/>
          <w:u w:val="single"/>
          <w:lang w:val="sr-Latn-ME"/>
        </w:rPr>
      </w:pPr>
      <w:r w:rsidRPr="0043654C">
        <w:rPr>
          <w:rFonts w:eastAsia="Calibri"/>
          <w:i/>
          <w:noProof/>
          <w:szCs w:val="22"/>
          <w:u w:val="single"/>
          <w:lang w:val="sr-Latn-ME"/>
        </w:rPr>
        <w:t>Neophodan oprez pri istovremenoj primjeni</w:t>
      </w:r>
    </w:p>
    <w:p w14:paraId="4B90AEE8"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0892D194" w14:textId="77777777" w:rsidR="00257763" w:rsidRPr="0043654C" w:rsidRDefault="00D426A3" w:rsidP="00A30145">
      <w:pPr>
        <w:widowControl w:val="0"/>
        <w:autoSpaceDE w:val="0"/>
        <w:autoSpaceDN w:val="0"/>
        <w:adjustRightInd w:val="0"/>
        <w:jc w:val="both"/>
        <w:rPr>
          <w:rFonts w:eastAsia="Calibri"/>
          <w:i/>
          <w:noProof/>
          <w:szCs w:val="22"/>
          <w:lang w:val="sr-Latn-ME"/>
        </w:rPr>
      </w:pPr>
      <w:r w:rsidRPr="0043654C">
        <w:rPr>
          <w:rFonts w:eastAsia="Calibri"/>
          <w:i/>
          <w:noProof/>
          <w:szCs w:val="22"/>
          <w:lang w:val="sr-Latn-ME"/>
        </w:rPr>
        <w:t>Nesteroidni antiinflamatorni ljekovi (NSAIL), uključujući selektivne COX-2 inhibitore, acetilsalicilna kiselina &gt;3 g/dan) i neselektivni NSAIL:</w:t>
      </w:r>
    </w:p>
    <w:p w14:paraId="037EBF56"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Kada se antagonisti angiotenzin II receptora daju istovremeno sa NSAIL, može doći do slabljenja antihipertenzivnog efekta. Nadalje, istovremena primjena antagonista angiotenzin II receptora i NSAIL može dovesti do povećanog rizika od pogoršanja bubrežne funkcije i povećanja kalijuma u serumu. Stoga se preporučuje praćenje bubrežne funkcije na početku liječenja, kao i adekvatna hidratacija pacijenta.</w:t>
      </w:r>
    </w:p>
    <w:p w14:paraId="307EEBEF"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102DF151" w14:textId="77777777" w:rsidR="00257763" w:rsidRPr="0043654C" w:rsidRDefault="00D426A3" w:rsidP="00A30145">
      <w:pPr>
        <w:autoSpaceDE w:val="0"/>
        <w:autoSpaceDN w:val="0"/>
        <w:adjustRightInd w:val="0"/>
        <w:jc w:val="both"/>
        <w:rPr>
          <w:rFonts w:eastAsia="Calibri"/>
          <w:i/>
          <w:noProof/>
          <w:szCs w:val="22"/>
          <w:lang w:val="sr-Latn-ME"/>
        </w:rPr>
      </w:pPr>
      <w:r w:rsidRPr="0043654C">
        <w:rPr>
          <w:rFonts w:eastAsia="Calibri"/>
          <w:i/>
          <w:noProof/>
          <w:szCs w:val="22"/>
          <w:lang w:val="sr-Latn-ME"/>
        </w:rPr>
        <w:t>Transporteri:</w:t>
      </w:r>
    </w:p>
    <w:p w14:paraId="4D8F5A76" w14:textId="77777777" w:rsidR="00257763" w:rsidRPr="0043654C" w:rsidRDefault="00D426A3" w:rsidP="00A30145">
      <w:pPr>
        <w:autoSpaceDE w:val="0"/>
        <w:autoSpaceDN w:val="0"/>
        <w:adjustRightInd w:val="0"/>
        <w:jc w:val="both"/>
        <w:rPr>
          <w:rFonts w:eastAsia="Calibri"/>
          <w:noProof/>
          <w:szCs w:val="22"/>
          <w:lang w:val="sr-Latn-ME"/>
        </w:rPr>
      </w:pPr>
      <w:r w:rsidRPr="0043654C">
        <w:rPr>
          <w:rFonts w:eastAsia="Calibri"/>
          <w:i/>
          <w:noProof/>
          <w:szCs w:val="22"/>
          <w:lang w:val="sr-Latn-ME"/>
        </w:rPr>
        <w:t>In vitro</w:t>
      </w:r>
      <w:r w:rsidRPr="0043654C">
        <w:rPr>
          <w:rFonts w:eastAsia="Calibri"/>
          <w:noProof/>
          <w:szCs w:val="22"/>
          <w:lang w:val="sr-Latn-ME"/>
        </w:rPr>
        <w:t xml:space="preserve"> podaci pokazuju da je valsartan supstrat jetrenog transportera OATP1B1/OATP1B3 i jetrenog efluks transportera MRP2. Klinički značaj ovog nalaza je nepoznat. Istovremena primjena inhibitora transportera preuzimanja (npr. rifampin, ciklosporin) ili efluks transportera (npr. ritonavira) može da poveća sistemsku izloženost valsartanu. Budite oprezni kada započinjete ili završavate istovremeno liječenje takvim ljekovima.</w:t>
      </w:r>
    </w:p>
    <w:p w14:paraId="0F8E36E3"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5DDC6A05" w14:textId="77777777" w:rsidR="00257763" w:rsidRPr="0043654C" w:rsidRDefault="00D426A3" w:rsidP="00A30145">
      <w:pPr>
        <w:widowControl w:val="0"/>
        <w:autoSpaceDE w:val="0"/>
        <w:autoSpaceDN w:val="0"/>
        <w:adjustRightInd w:val="0"/>
        <w:jc w:val="both"/>
        <w:rPr>
          <w:rFonts w:eastAsia="Calibri"/>
          <w:i/>
          <w:noProof/>
          <w:szCs w:val="22"/>
          <w:lang w:val="sr-Latn-ME"/>
        </w:rPr>
      </w:pPr>
      <w:r w:rsidRPr="0043654C">
        <w:rPr>
          <w:rFonts w:eastAsia="Calibri"/>
          <w:i/>
          <w:noProof/>
          <w:szCs w:val="22"/>
          <w:lang w:val="sr-Latn-ME"/>
        </w:rPr>
        <w:t>Ostalo:</w:t>
      </w:r>
    </w:p>
    <w:p w14:paraId="6BDC2D90"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U studijama interakcije ljekova sa ​​valsartanom nisu pronađene interakcije od kliničkog značaja sa valsartanom ili bilo kojom od sljedećih supstanci: cimetidin, varfarin, furosemid, digoksin, atenolol, indometacin, hidrohlortiazid, amlodipin, glibenklamid.</w:t>
      </w:r>
    </w:p>
    <w:p w14:paraId="78CCCECB"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642627B9" w14:textId="77777777" w:rsidR="00257763" w:rsidRPr="0043654C" w:rsidRDefault="00D426A3" w:rsidP="00A30145">
      <w:pPr>
        <w:widowControl w:val="0"/>
        <w:autoSpaceDE w:val="0"/>
        <w:autoSpaceDN w:val="0"/>
        <w:adjustRightInd w:val="0"/>
        <w:jc w:val="both"/>
        <w:rPr>
          <w:rFonts w:eastAsia="Calibri"/>
          <w:b/>
          <w:i/>
          <w:iCs/>
          <w:noProof/>
          <w:szCs w:val="22"/>
          <w:lang w:val="sr-Latn-ME"/>
        </w:rPr>
      </w:pPr>
      <w:r w:rsidRPr="0043654C">
        <w:rPr>
          <w:rFonts w:eastAsia="Calibri"/>
          <w:b/>
          <w:i/>
          <w:iCs/>
          <w:noProof/>
          <w:szCs w:val="22"/>
          <w:lang w:val="sr-Latn-ME"/>
        </w:rPr>
        <w:t>Povezano sa indapamidom</w:t>
      </w:r>
    </w:p>
    <w:p w14:paraId="26CEC64A"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6599D5CE" w14:textId="77777777" w:rsidR="00257763" w:rsidRPr="0043654C" w:rsidRDefault="00D426A3" w:rsidP="00A30145">
      <w:pPr>
        <w:widowControl w:val="0"/>
        <w:autoSpaceDE w:val="0"/>
        <w:autoSpaceDN w:val="0"/>
        <w:adjustRightInd w:val="0"/>
        <w:jc w:val="both"/>
        <w:rPr>
          <w:rFonts w:eastAsia="Calibri"/>
          <w:i/>
          <w:noProof/>
          <w:szCs w:val="22"/>
          <w:u w:val="single"/>
          <w:lang w:val="sr-Latn-ME"/>
        </w:rPr>
      </w:pPr>
      <w:r w:rsidRPr="0043654C">
        <w:rPr>
          <w:rFonts w:eastAsia="Calibri"/>
          <w:i/>
          <w:noProof/>
          <w:szCs w:val="22"/>
          <w:u w:val="single"/>
          <w:lang w:val="sr-Latn-ME"/>
        </w:rPr>
        <w:t>Kombinacije koje se ne preporučuju</w:t>
      </w:r>
    </w:p>
    <w:p w14:paraId="59AC2044" w14:textId="77777777" w:rsidR="00257763" w:rsidRPr="0043654C" w:rsidRDefault="00257763" w:rsidP="00A30145">
      <w:pPr>
        <w:jc w:val="both"/>
        <w:rPr>
          <w:i/>
          <w:szCs w:val="22"/>
          <w:lang w:val="sr-Latn-ME"/>
        </w:rPr>
      </w:pPr>
    </w:p>
    <w:p w14:paraId="3B5EC824" w14:textId="77777777" w:rsidR="00257763" w:rsidRPr="0043654C" w:rsidRDefault="00D426A3" w:rsidP="00A30145">
      <w:pPr>
        <w:jc w:val="both"/>
        <w:rPr>
          <w:i/>
          <w:szCs w:val="22"/>
          <w:lang w:val="sr-Latn-ME"/>
        </w:rPr>
      </w:pPr>
      <w:r w:rsidRPr="0043654C">
        <w:rPr>
          <w:i/>
          <w:szCs w:val="22"/>
          <w:lang w:val="sr-Latn-ME"/>
        </w:rPr>
        <w:t>Litijum:</w:t>
      </w:r>
    </w:p>
    <w:p w14:paraId="3E30D516" w14:textId="77777777" w:rsidR="00257763" w:rsidRPr="0043654C" w:rsidRDefault="00D426A3" w:rsidP="00A30145">
      <w:pPr>
        <w:jc w:val="both"/>
        <w:rPr>
          <w:szCs w:val="22"/>
          <w:lang w:val="sr-Latn-ME"/>
        </w:rPr>
      </w:pPr>
      <w:r w:rsidRPr="0043654C">
        <w:rPr>
          <w:szCs w:val="22"/>
          <w:lang w:val="sr-Latn-ME"/>
        </w:rPr>
        <w:t>Povećana koncentracija litijuma u plazmi sa znacima predoziranja, kao kod dijete bez soli (smanjenje izlučivanja litijuma u urinu). Međutim, ako je upotreba diuretika neophodna, potrebno je pažljivo praćenje litijuma u plazmi i prilagođavanje doze.</w:t>
      </w:r>
    </w:p>
    <w:p w14:paraId="1F93E869" w14:textId="77777777" w:rsidR="00257763" w:rsidRPr="0043654C" w:rsidRDefault="00D426A3" w:rsidP="00A30145">
      <w:pPr>
        <w:widowControl w:val="0"/>
        <w:autoSpaceDE w:val="0"/>
        <w:autoSpaceDN w:val="0"/>
        <w:adjustRightInd w:val="0"/>
        <w:jc w:val="both"/>
        <w:rPr>
          <w:rFonts w:eastAsia="Calibri"/>
          <w:i/>
          <w:noProof/>
          <w:szCs w:val="22"/>
          <w:u w:val="single"/>
          <w:lang w:val="sr-Latn-ME"/>
        </w:rPr>
      </w:pPr>
      <w:r w:rsidRPr="0043654C">
        <w:rPr>
          <w:rFonts w:eastAsia="Calibri"/>
          <w:i/>
          <w:noProof/>
          <w:szCs w:val="22"/>
          <w:u w:val="single"/>
          <w:lang w:val="sr-Latn-ME"/>
        </w:rPr>
        <w:lastRenderedPageBreak/>
        <w:t>Kombinacije koje zahtijevaju oprez pri primjeni</w:t>
      </w:r>
    </w:p>
    <w:p w14:paraId="0847C603" w14:textId="77777777" w:rsidR="00257763" w:rsidRPr="0043654C" w:rsidRDefault="00257763" w:rsidP="00A30145">
      <w:pPr>
        <w:jc w:val="both"/>
        <w:rPr>
          <w:i/>
          <w:szCs w:val="22"/>
          <w:lang w:val="sr-Latn-ME"/>
        </w:rPr>
      </w:pPr>
    </w:p>
    <w:p w14:paraId="4484079A" w14:textId="77777777" w:rsidR="00257763" w:rsidRPr="0043654C" w:rsidRDefault="00D426A3" w:rsidP="00A30145">
      <w:pPr>
        <w:jc w:val="both"/>
        <w:rPr>
          <w:i/>
          <w:szCs w:val="22"/>
          <w:lang w:val="sr-Latn-ME"/>
        </w:rPr>
      </w:pPr>
      <w:r w:rsidRPr="0043654C">
        <w:rPr>
          <w:i/>
          <w:szCs w:val="22"/>
          <w:lang w:val="sr-Latn-ME"/>
        </w:rPr>
        <w:t>Ljekovi koji uzrokuju torsades de pointes:</w:t>
      </w:r>
    </w:p>
    <w:p w14:paraId="182486B9" w14:textId="77777777" w:rsidR="00257763" w:rsidRPr="0043654C" w:rsidRDefault="00D426A3" w:rsidP="00A30145">
      <w:pPr>
        <w:numPr>
          <w:ilvl w:val="0"/>
          <w:numId w:val="27"/>
        </w:numPr>
        <w:spacing w:line="240" w:lineRule="auto"/>
        <w:jc w:val="both"/>
        <w:rPr>
          <w:szCs w:val="22"/>
          <w:lang w:val="sr-Latn-ME"/>
        </w:rPr>
      </w:pPr>
      <w:r w:rsidRPr="0043654C">
        <w:rPr>
          <w:szCs w:val="22"/>
          <w:lang w:val="sr-Latn-ME"/>
        </w:rPr>
        <w:t>antiaritmici klase Ia (hinidin, hidrohinidin, dizopiramid),</w:t>
      </w:r>
    </w:p>
    <w:p w14:paraId="4C5130A3" w14:textId="77777777" w:rsidR="00257763" w:rsidRPr="0043654C" w:rsidRDefault="00D426A3" w:rsidP="00A30145">
      <w:pPr>
        <w:numPr>
          <w:ilvl w:val="0"/>
          <w:numId w:val="27"/>
        </w:numPr>
        <w:spacing w:line="240" w:lineRule="auto"/>
        <w:jc w:val="both"/>
        <w:rPr>
          <w:szCs w:val="22"/>
          <w:lang w:val="sr-Latn-ME"/>
        </w:rPr>
      </w:pPr>
      <w:r w:rsidRPr="0043654C">
        <w:rPr>
          <w:szCs w:val="22"/>
          <w:lang w:val="sr-Latn-ME"/>
        </w:rPr>
        <w:t>antiaritmici klase III (amjodaron, sotalol, dofetilid, ibutilid),</w:t>
      </w:r>
    </w:p>
    <w:p w14:paraId="61C3B75A" w14:textId="77777777" w:rsidR="00257763" w:rsidRPr="0043654C" w:rsidRDefault="00D426A3" w:rsidP="00A30145">
      <w:pPr>
        <w:numPr>
          <w:ilvl w:val="0"/>
          <w:numId w:val="27"/>
        </w:numPr>
        <w:spacing w:line="240" w:lineRule="auto"/>
        <w:jc w:val="both"/>
        <w:rPr>
          <w:szCs w:val="22"/>
          <w:lang w:val="sr-Latn-ME"/>
        </w:rPr>
      </w:pPr>
      <w:r w:rsidRPr="0043654C">
        <w:rPr>
          <w:szCs w:val="22"/>
          <w:lang w:val="sr-Latn-ME"/>
        </w:rPr>
        <w:t>neki antipsihotici: fenotiazini (hlorpromazin, cijamemazin, levomepromazin, tioridazin, trifluoperazin),</w:t>
      </w:r>
    </w:p>
    <w:p w14:paraId="2C5DE53E" w14:textId="77777777" w:rsidR="00257763" w:rsidRPr="0043654C" w:rsidRDefault="00D426A3" w:rsidP="00A30145">
      <w:pPr>
        <w:numPr>
          <w:ilvl w:val="0"/>
          <w:numId w:val="27"/>
        </w:numPr>
        <w:spacing w:line="240" w:lineRule="auto"/>
        <w:jc w:val="both"/>
        <w:rPr>
          <w:szCs w:val="22"/>
          <w:lang w:val="sr-Latn-ME"/>
        </w:rPr>
      </w:pPr>
      <w:r w:rsidRPr="0043654C">
        <w:rPr>
          <w:szCs w:val="22"/>
          <w:lang w:val="sr-Latn-ME"/>
        </w:rPr>
        <w:t>benzamidi (amisulprid, sulpirid, sultoprid, tiaprid),</w:t>
      </w:r>
    </w:p>
    <w:p w14:paraId="2930446E" w14:textId="77777777" w:rsidR="00257763" w:rsidRPr="0043654C" w:rsidRDefault="00D426A3" w:rsidP="00A30145">
      <w:pPr>
        <w:numPr>
          <w:ilvl w:val="0"/>
          <w:numId w:val="27"/>
        </w:numPr>
        <w:spacing w:line="240" w:lineRule="auto"/>
        <w:jc w:val="both"/>
        <w:rPr>
          <w:szCs w:val="22"/>
          <w:lang w:val="sr-Latn-ME"/>
        </w:rPr>
      </w:pPr>
      <w:r w:rsidRPr="0043654C">
        <w:rPr>
          <w:szCs w:val="22"/>
          <w:lang w:val="sr-Latn-ME"/>
        </w:rPr>
        <w:t>butirofenoni (droperidol, haloperidol),</w:t>
      </w:r>
    </w:p>
    <w:p w14:paraId="3BBDFFAF" w14:textId="77777777" w:rsidR="00257763" w:rsidRPr="0043654C" w:rsidRDefault="00D426A3" w:rsidP="00A30145">
      <w:pPr>
        <w:numPr>
          <w:ilvl w:val="0"/>
          <w:numId w:val="27"/>
        </w:numPr>
        <w:spacing w:line="240" w:lineRule="auto"/>
        <w:jc w:val="both"/>
        <w:rPr>
          <w:szCs w:val="22"/>
          <w:lang w:val="sr-Latn-ME"/>
        </w:rPr>
      </w:pPr>
      <w:r w:rsidRPr="0043654C">
        <w:rPr>
          <w:szCs w:val="22"/>
          <w:lang w:val="sr-Latn-ME"/>
        </w:rPr>
        <w:t>ostalo: bepridil, cisaprid, difemanil, eritromicin IV, halofantrin, mizolastin, pentamidin, sparfloksacin, moksifloksacin, vinkamin IV.</w:t>
      </w:r>
    </w:p>
    <w:p w14:paraId="0306C09C" w14:textId="77777777" w:rsidR="00257763" w:rsidRPr="0043654C" w:rsidRDefault="00D426A3" w:rsidP="00A30145">
      <w:pPr>
        <w:jc w:val="both"/>
        <w:rPr>
          <w:szCs w:val="22"/>
          <w:lang w:val="sr-Latn-ME"/>
        </w:rPr>
      </w:pPr>
      <w:r w:rsidRPr="0043654C">
        <w:rPr>
          <w:szCs w:val="22"/>
          <w:lang w:val="sr-Latn-ME"/>
        </w:rPr>
        <w:t xml:space="preserve">Povećan rizik od ventrikularnih aritmija, posebno </w:t>
      </w:r>
      <w:r w:rsidRPr="0043654C">
        <w:rPr>
          <w:i/>
          <w:szCs w:val="22"/>
          <w:lang w:val="sr-Latn-ME"/>
        </w:rPr>
        <w:t>torsades de pointes</w:t>
      </w:r>
      <w:r w:rsidRPr="0043654C">
        <w:rPr>
          <w:szCs w:val="22"/>
          <w:lang w:val="sr-Latn-ME"/>
        </w:rPr>
        <w:t xml:space="preserve"> (hipokalijemija je faktor rizika). Pratiti hipokalijemiju i korigovati, ako je potrebno, prije uvođenja ove kombinacije. Potrebno je kliničko praćenje, praćenje plazma elektrolita i EKG monitoring. Koristite supstance koje nemaju nedostatak izazivanja </w:t>
      </w:r>
      <w:r w:rsidRPr="0043654C">
        <w:rPr>
          <w:i/>
          <w:szCs w:val="22"/>
          <w:lang w:val="sr-Latn-ME"/>
        </w:rPr>
        <w:t>torsades de pointes</w:t>
      </w:r>
      <w:r w:rsidRPr="0043654C">
        <w:rPr>
          <w:szCs w:val="22"/>
          <w:lang w:val="sr-Latn-ME"/>
        </w:rPr>
        <w:t xml:space="preserve"> u prisustvu hipokalijemije.</w:t>
      </w:r>
    </w:p>
    <w:p w14:paraId="3517C098" w14:textId="77777777" w:rsidR="00257763" w:rsidRPr="0043654C" w:rsidRDefault="00257763" w:rsidP="00A30145">
      <w:pPr>
        <w:jc w:val="both"/>
        <w:rPr>
          <w:szCs w:val="22"/>
          <w:lang w:val="sr-Latn-ME"/>
        </w:rPr>
      </w:pPr>
    </w:p>
    <w:p w14:paraId="6B44493B" w14:textId="77777777" w:rsidR="00257763" w:rsidRPr="0043654C" w:rsidRDefault="00D426A3" w:rsidP="00A30145">
      <w:pPr>
        <w:jc w:val="both"/>
        <w:rPr>
          <w:i/>
          <w:szCs w:val="22"/>
          <w:lang w:val="sr-Latn-ME"/>
        </w:rPr>
      </w:pPr>
      <w:r w:rsidRPr="0043654C">
        <w:rPr>
          <w:i/>
          <w:szCs w:val="22"/>
          <w:lang w:val="sr-Latn-ME"/>
        </w:rPr>
        <w:t>Nesteroidni antiinflamatorni ljekovi (sistemska primjena) uključujući COX-2 selektivne inhibitore, visoke doze salicilne kiseline (</w:t>
      </w:r>
      <w:r w:rsidRPr="0043654C">
        <w:rPr>
          <w:rFonts w:ascii="Arial" w:hAnsi="Arial" w:cs="Arial"/>
          <w:bCs/>
          <w:iCs/>
          <w:szCs w:val="22"/>
          <w:lang w:val="sr-Latn-ME"/>
        </w:rPr>
        <w:t>≥</w:t>
      </w:r>
      <w:r w:rsidRPr="0043654C">
        <w:rPr>
          <w:i/>
          <w:szCs w:val="22"/>
          <w:lang w:val="sr-Latn-ME"/>
        </w:rPr>
        <w:t>3 g/dan):</w:t>
      </w:r>
    </w:p>
    <w:p w14:paraId="35BA4E40" w14:textId="77777777" w:rsidR="00257763" w:rsidRPr="0043654C" w:rsidRDefault="00D426A3" w:rsidP="00A30145">
      <w:pPr>
        <w:jc w:val="both"/>
        <w:rPr>
          <w:szCs w:val="22"/>
          <w:lang w:val="sr-Latn-ME"/>
        </w:rPr>
      </w:pPr>
      <w:r w:rsidRPr="0043654C">
        <w:rPr>
          <w:szCs w:val="22"/>
          <w:lang w:val="sr-Latn-ME"/>
        </w:rPr>
        <w:t>Moguće smanjenje antihipertenzivnog efekta indapamida. Rizik od akutnog zatajenja bubrega kod dehidriranih pacijenata (smanjena glomerularna filtracija). Hidrirajte pacijenta; pratiti funkciju bubrega na početku liječenja.</w:t>
      </w:r>
    </w:p>
    <w:p w14:paraId="4758C3CB" w14:textId="77777777" w:rsidR="00257763" w:rsidRPr="0043654C" w:rsidRDefault="00257763" w:rsidP="00A30145">
      <w:pPr>
        <w:jc w:val="both"/>
        <w:rPr>
          <w:szCs w:val="22"/>
          <w:lang w:val="sr-Latn-ME"/>
        </w:rPr>
      </w:pPr>
    </w:p>
    <w:p w14:paraId="335C14B8" w14:textId="77777777" w:rsidR="00257763" w:rsidRPr="0043654C" w:rsidRDefault="00D426A3" w:rsidP="00A30145">
      <w:pPr>
        <w:jc w:val="both"/>
        <w:rPr>
          <w:i/>
          <w:szCs w:val="22"/>
          <w:lang w:val="sr-Latn-ME"/>
        </w:rPr>
      </w:pPr>
      <w:r w:rsidRPr="0043654C">
        <w:rPr>
          <w:i/>
          <w:szCs w:val="22"/>
          <w:lang w:val="sr-Latn-ME"/>
        </w:rPr>
        <w:t>Inhibitori angiotenzin konvertujućeg enzima (ACE):</w:t>
      </w:r>
    </w:p>
    <w:p w14:paraId="6E93A5BE" w14:textId="77777777" w:rsidR="00257763" w:rsidRPr="0043654C" w:rsidRDefault="00D426A3" w:rsidP="00A30145">
      <w:pPr>
        <w:spacing w:line="240" w:lineRule="auto"/>
        <w:jc w:val="both"/>
        <w:rPr>
          <w:szCs w:val="22"/>
          <w:lang w:val="sr-Latn-ME"/>
        </w:rPr>
      </w:pPr>
      <w:r w:rsidRPr="0043654C">
        <w:rPr>
          <w:szCs w:val="22"/>
          <w:lang w:val="sr-Latn-ME"/>
        </w:rPr>
        <w:t>Rizik od iznenadne hipotenzije i/ili akutne bubrežne insuficijencije kada se liječenje ACE započne u prisustvu postojećeg nedostatka natrijuma (posebno kod pacijenata sa stenozom bubrežne arterije).</w:t>
      </w:r>
    </w:p>
    <w:p w14:paraId="314A4E21" w14:textId="77777777" w:rsidR="00257763" w:rsidRPr="0043654C" w:rsidRDefault="00D426A3" w:rsidP="00A30145">
      <w:pPr>
        <w:spacing w:line="240" w:lineRule="auto"/>
        <w:jc w:val="both"/>
        <w:rPr>
          <w:szCs w:val="22"/>
          <w:lang w:val="sr-Latn-ME"/>
        </w:rPr>
      </w:pPr>
      <w:r w:rsidRPr="0043654C">
        <w:rPr>
          <w:szCs w:val="22"/>
          <w:lang w:val="sr-Latn-ME"/>
        </w:rPr>
        <w:t>Kod hipertenzije, kada je prethodno liječenje diureticima moglo uzrokovati smanjenje natrijuma, potrebno je:</w:t>
      </w:r>
    </w:p>
    <w:p w14:paraId="0AA4153E" w14:textId="77777777" w:rsidR="00257763" w:rsidRPr="0043654C" w:rsidRDefault="00D426A3" w:rsidP="00A30145">
      <w:pPr>
        <w:numPr>
          <w:ilvl w:val="0"/>
          <w:numId w:val="28"/>
        </w:numPr>
        <w:spacing w:line="240" w:lineRule="auto"/>
        <w:jc w:val="both"/>
        <w:rPr>
          <w:szCs w:val="22"/>
          <w:lang w:val="sr-Latn-ME"/>
        </w:rPr>
      </w:pPr>
      <w:r w:rsidRPr="0043654C">
        <w:rPr>
          <w:szCs w:val="22"/>
          <w:lang w:val="sr-Latn-ME"/>
        </w:rPr>
        <w:t>ili prekinuti primjenu diuretika 3 dana prije početka liječenja ACE inhibitorom i ponovo započeti hipokalijemijski diuretik ako je potrebno;</w:t>
      </w:r>
    </w:p>
    <w:p w14:paraId="53CFA96A" w14:textId="77777777" w:rsidR="00257763" w:rsidRPr="0043654C" w:rsidRDefault="00D426A3" w:rsidP="00A30145">
      <w:pPr>
        <w:numPr>
          <w:ilvl w:val="0"/>
          <w:numId w:val="28"/>
        </w:numPr>
        <w:spacing w:line="240" w:lineRule="auto"/>
        <w:jc w:val="both"/>
        <w:rPr>
          <w:szCs w:val="22"/>
          <w:lang w:val="sr-Latn-ME"/>
        </w:rPr>
      </w:pPr>
      <w:r w:rsidRPr="0043654C">
        <w:rPr>
          <w:szCs w:val="22"/>
          <w:lang w:val="sr-Latn-ME"/>
        </w:rPr>
        <w:t>ili dati male početne doze ACE inhibitora i postepeno povećavati dozu.</w:t>
      </w:r>
    </w:p>
    <w:p w14:paraId="60A322B2" w14:textId="77777777" w:rsidR="00257763" w:rsidRPr="0043654C" w:rsidRDefault="00257763" w:rsidP="00A30145">
      <w:pPr>
        <w:jc w:val="both"/>
        <w:rPr>
          <w:iCs/>
          <w:szCs w:val="22"/>
          <w:lang w:val="sr-Latn-ME"/>
        </w:rPr>
      </w:pPr>
    </w:p>
    <w:p w14:paraId="6D76E2AC" w14:textId="77777777" w:rsidR="00257763" w:rsidRPr="0043654C" w:rsidRDefault="00D426A3" w:rsidP="00A30145">
      <w:pPr>
        <w:jc w:val="both"/>
        <w:rPr>
          <w:szCs w:val="22"/>
          <w:lang w:val="sr-Latn-ME"/>
        </w:rPr>
      </w:pPr>
      <w:r w:rsidRPr="0043654C">
        <w:rPr>
          <w:szCs w:val="22"/>
          <w:lang w:val="sr-Latn-ME"/>
        </w:rPr>
        <w:t>Kod kongestivne srčane insuficijencije započnite sa vrlo niskom dozom ACE inhibitora, moguće nakon smanjenja doze istovremeno primijenjenog hipokalijemijskog diuretika.</w:t>
      </w:r>
    </w:p>
    <w:p w14:paraId="04E2E2CA" w14:textId="77777777" w:rsidR="00257763" w:rsidRPr="0043654C" w:rsidRDefault="00257763" w:rsidP="00A30145">
      <w:pPr>
        <w:jc w:val="both"/>
        <w:rPr>
          <w:szCs w:val="22"/>
          <w:lang w:val="sr-Latn-ME"/>
        </w:rPr>
      </w:pPr>
    </w:p>
    <w:p w14:paraId="0F230E11" w14:textId="77777777" w:rsidR="00257763" w:rsidRPr="0043654C" w:rsidRDefault="00D426A3" w:rsidP="00A30145">
      <w:pPr>
        <w:jc w:val="both"/>
        <w:rPr>
          <w:szCs w:val="22"/>
          <w:lang w:val="sr-Latn-ME"/>
        </w:rPr>
      </w:pPr>
      <w:r w:rsidRPr="0043654C">
        <w:rPr>
          <w:szCs w:val="22"/>
          <w:lang w:val="sr-Latn-ME"/>
        </w:rPr>
        <w:t>U svim slučajevima pratiti funkciju bubrega (kreatinin u plazmi) tokom prvih nedjelja liječenja ACE inhibitorom.</w:t>
      </w:r>
    </w:p>
    <w:p w14:paraId="4EDF5BDF" w14:textId="77777777" w:rsidR="00257763" w:rsidRPr="0043654C" w:rsidRDefault="00257763" w:rsidP="00A30145">
      <w:pPr>
        <w:jc w:val="both"/>
        <w:rPr>
          <w:szCs w:val="22"/>
          <w:lang w:val="sr-Latn-ME"/>
        </w:rPr>
      </w:pPr>
    </w:p>
    <w:p w14:paraId="69D44E9B" w14:textId="77777777" w:rsidR="00257763" w:rsidRPr="0043654C" w:rsidRDefault="00D426A3" w:rsidP="00A30145">
      <w:pPr>
        <w:jc w:val="both"/>
        <w:rPr>
          <w:szCs w:val="22"/>
          <w:lang w:val="sr-Latn-ME"/>
        </w:rPr>
      </w:pPr>
      <w:r w:rsidRPr="0043654C">
        <w:rPr>
          <w:i/>
          <w:szCs w:val="22"/>
          <w:lang w:val="sr-Latn-ME"/>
        </w:rPr>
        <w:t>Ostali ljekovi koji uzrokuju hipokalijemiju:</w:t>
      </w:r>
      <w:r w:rsidRPr="0043654C">
        <w:rPr>
          <w:szCs w:val="22"/>
          <w:lang w:val="sr-Latn-ME"/>
        </w:rPr>
        <w:t xml:space="preserve"> amfotericin B (IV), gluko- and mineralo-kortikoidi (sistemska primjena), tetrakozaktid, stimulativni laksativi.</w:t>
      </w:r>
    </w:p>
    <w:p w14:paraId="10D86CEC" w14:textId="77777777" w:rsidR="00257763" w:rsidRPr="0043654C" w:rsidRDefault="00D426A3" w:rsidP="00A30145">
      <w:pPr>
        <w:jc w:val="both"/>
        <w:rPr>
          <w:szCs w:val="22"/>
          <w:lang w:val="sr-Latn-ME"/>
        </w:rPr>
      </w:pPr>
      <w:r w:rsidRPr="0043654C">
        <w:rPr>
          <w:szCs w:val="22"/>
          <w:lang w:val="sr-Latn-ME"/>
        </w:rPr>
        <w:t>Povećan rizik od hipokalijemije (aditivni efekat). Pratiti kalijum u plazmi i korigovati ako je potrebno. Posebno treba imati na umu u slučaju istovremenog liječenja digitalisom. Koristiti nestimulativne laksative.</w:t>
      </w:r>
    </w:p>
    <w:p w14:paraId="59D760B1" w14:textId="77777777" w:rsidR="00257763" w:rsidRPr="0043654C" w:rsidRDefault="00257763" w:rsidP="00A30145">
      <w:pPr>
        <w:jc w:val="both"/>
        <w:rPr>
          <w:szCs w:val="22"/>
          <w:lang w:val="sr-Latn-ME"/>
        </w:rPr>
      </w:pPr>
    </w:p>
    <w:p w14:paraId="36A540AA" w14:textId="77777777" w:rsidR="00257763" w:rsidRPr="0043654C" w:rsidRDefault="00D426A3" w:rsidP="00A30145">
      <w:pPr>
        <w:jc w:val="both"/>
        <w:rPr>
          <w:i/>
          <w:szCs w:val="22"/>
          <w:lang w:val="sr-Latn-ME"/>
        </w:rPr>
      </w:pPr>
      <w:r w:rsidRPr="0043654C">
        <w:rPr>
          <w:i/>
          <w:szCs w:val="22"/>
          <w:lang w:val="sr-Latn-ME"/>
        </w:rPr>
        <w:t>Baklofen:</w:t>
      </w:r>
    </w:p>
    <w:p w14:paraId="7CAE95D7" w14:textId="77777777" w:rsidR="00257763" w:rsidRPr="0043654C" w:rsidRDefault="00D426A3" w:rsidP="00A30145">
      <w:pPr>
        <w:jc w:val="both"/>
        <w:rPr>
          <w:szCs w:val="22"/>
          <w:lang w:val="sr-Latn-ME"/>
        </w:rPr>
      </w:pPr>
      <w:r w:rsidRPr="0043654C">
        <w:rPr>
          <w:szCs w:val="22"/>
          <w:lang w:val="sr-Latn-ME"/>
        </w:rPr>
        <w:t>Povećan antihipertenzivni efekat.</w:t>
      </w:r>
    </w:p>
    <w:p w14:paraId="50B76260" w14:textId="77777777" w:rsidR="00257763" w:rsidRPr="0043654C" w:rsidRDefault="00D426A3" w:rsidP="00A30145">
      <w:pPr>
        <w:jc w:val="both"/>
        <w:rPr>
          <w:szCs w:val="22"/>
          <w:lang w:val="sr-Latn-ME"/>
        </w:rPr>
      </w:pPr>
      <w:r w:rsidRPr="0043654C">
        <w:rPr>
          <w:szCs w:val="22"/>
          <w:lang w:val="sr-Latn-ME"/>
        </w:rPr>
        <w:t>Hidrirati pacijenta; pratiti funkciju bubrega na početku terapije.</w:t>
      </w:r>
    </w:p>
    <w:p w14:paraId="2645CDB9" w14:textId="77777777" w:rsidR="00257763" w:rsidRPr="0043654C" w:rsidRDefault="00257763" w:rsidP="00A30145">
      <w:pPr>
        <w:jc w:val="both"/>
        <w:rPr>
          <w:szCs w:val="22"/>
          <w:lang w:val="sr-Latn-ME"/>
        </w:rPr>
      </w:pPr>
    </w:p>
    <w:p w14:paraId="5EF20BAB" w14:textId="77777777" w:rsidR="00257763" w:rsidRPr="0043654C" w:rsidRDefault="00D426A3" w:rsidP="00A30145">
      <w:pPr>
        <w:jc w:val="both"/>
        <w:rPr>
          <w:i/>
          <w:szCs w:val="22"/>
          <w:lang w:val="sr-Latn-ME"/>
        </w:rPr>
      </w:pPr>
      <w:r w:rsidRPr="0043654C">
        <w:rPr>
          <w:i/>
          <w:szCs w:val="22"/>
          <w:lang w:val="sr-Latn-ME"/>
        </w:rPr>
        <w:t>Preparati digitalisa:</w:t>
      </w:r>
    </w:p>
    <w:p w14:paraId="06B69AAF" w14:textId="77777777" w:rsidR="00257763" w:rsidRPr="0043654C" w:rsidRDefault="00D426A3" w:rsidP="00A30145">
      <w:pPr>
        <w:jc w:val="both"/>
        <w:rPr>
          <w:szCs w:val="22"/>
          <w:lang w:val="sr-Latn-ME"/>
        </w:rPr>
      </w:pPr>
      <w:r w:rsidRPr="0043654C">
        <w:rPr>
          <w:szCs w:val="22"/>
          <w:lang w:val="sr-Latn-ME"/>
        </w:rPr>
        <w:t>Hipokalijemija i/ili hipomagnezijemija predisponiraju toksičnim efektima digitalisa.</w:t>
      </w:r>
    </w:p>
    <w:p w14:paraId="2658CCD8" w14:textId="77777777" w:rsidR="00257763" w:rsidRPr="0043654C" w:rsidRDefault="00D426A3" w:rsidP="00A30145">
      <w:pPr>
        <w:jc w:val="both"/>
        <w:rPr>
          <w:szCs w:val="22"/>
          <w:lang w:val="sr-Latn-ME"/>
        </w:rPr>
      </w:pPr>
      <w:r w:rsidRPr="0043654C">
        <w:rPr>
          <w:szCs w:val="22"/>
          <w:lang w:val="sr-Latn-ME"/>
        </w:rPr>
        <w:t>Pratiti kalijum, magnezijum u plazmi i EKG i, ako je potrebno, prilagoditi terapiju.</w:t>
      </w:r>
    </w:p>
    <w:p w14:paraId="37B746D2" w14:textId="77777777" w:rsidR="00257763" w:rsidRPr="0043654C" w:rsidRDefault="00257763" w:rsidP="00A30145">
      <w:pPr>
        <w:jc w:val="both"/>
        <w:rPr>
          <w:szCs w:val="22"/>
          <w:lang w:val="sr-Latn-ME"/>
        </w:rPr>
      </w:pPr>
    </w:p>
    <w:p w14:paraId="0D24C3A7" w14:textId="34AD87CF" w:rsidR="00257763" w:rsidRDefault="00D426A3" w:rsidP="00A30145">
      <w:pPr>
        <w:widowControl w:val="0"/>
        <w:autoSpaceDE w:val="0"/>
        <w:autoSpaceDN w:val="0"/>
        <w:adjustRightInd w:val="0"/>
        <w:jc w:val="both"/>
        <w:rPr>
          <w:rFonts w:eastAsia="Calibri"/>
          <w:i/>
          <w:noProof/>
          <w:szCs w:val="22"/>
          <w:u w:val="single"/>
          <w:lang w:val="sr-Latn-ME"/>
        </w:rPr>
      </w:pPr>
      <w:r w:rsidRPr="0043654C">
        <w:rPr>
          <w:rFonts w:eastAsia="Calibri"/>
          <w:i/>
          <w:noProof/>
          <w:szCs w:val="22"/>
          <w:u w:val="single"/>
          <w:lang w:val="sr-Latn-ME"/>
        </w:rPr>
        <w:t>Kombinacije koje zahtijevaju poseban oprez</w:t>
      </w:r>
    </w:p>
    <w:p w14:paraId="003FF0F0" w14:textId="77777777" w:rsidR="00D92516" w:rsidRPr="0043654C" w:rsidRDefault="00D92516" w:rsidP="00A30145">
      <w:pPr>
        <w:widowControl w:val="0"/>
        <w:autoSpaceDE w:val="0"/>
        <w:autoSpaceDN w:val="0"/>
        <w:adjustRightInd w:val="0"/>
        <w:jc w:val="both"/>
        <w:rPr>
          <w:rFonts w:eastAsia="Calibri"/>
          <w:i/>
          <w:noProof/>
          <w:szCs w:val="22"/>
          <w:u w:val="single"/>
          <w:lang w:val="sr-Latn-ME"/>
        </w:rPr>
      </w:pPr>
    </w:p>
    <w:p w14:paraId="56729D95" w14:textId="77777777" w:rsidR="00257763" w:rsidRPr="0043654C" w:rsidRDefault="00D426A3" w:rsidP="00A30145">
      <w:pPr>
        <w:widowControl w:val="0"/>
        <w:tabs>
          <w:tab w:val="left" w:pos="4395"/>
        </w:tabs>
        <w:jc w:val="both"/>
        <w:rPr>
          <w:i/>
          <w:szCs w:val="22"/>
          <w:lang w:val="sr-Latn-ME"/>
        </w:rPr>
      </w:pPr>
      <w:r w:rsidRPr="0043654C">
        <w:rPr>
          <w:i/>
          <w:szCs w:val="22"/>
          <w:lang w:val="sr-Latn-ME"/>
        </w:rPr>
        <w:t>Alopurinol</w:t>
      </w:r>
    </w:p>
    <w:p w14:paraId="061434A6" w14:textId="77777777" w:rsidR="00257763" w:rsidRPr="0043654C" w:rsidRDefault="00D426A3" w:rsidP="00A30145">
      <w:pPr>
        <w:jc w:val="both"/>
        <w:rPr>
          <w:szCs w:val="22"/>
          <w:lang w:val="sr-Latn-ME"/>
        </w:rPr>
      </w:pPr>
      <w:r w:rsidRPr="0043654C">
        <w:rPr>
          <w:szCs w:val="22"/>
          <w:lang w:val="sr-Latn-ME"/>
        </w:rPr>
        <w:t>Istovremeno liječenje indapamidom može povećati učestalost reakcija preosjetljivosti na alopurinol.</w:t>
      </w:r>
    </w:p>
    <w:p w14:paraId="50347DC6" w14:textId="77777777" w:rsidR="00257763" w:rsidRPr="0043654C" w:rsidRDefault="00257763" w:rsidP="00A30145">
      <w:pPr>
        <w:jc w:val="both"/>
        <w:rPr>
          <w:b/>
          <w:i/>
          <w:szCs w:val="22"/>
          <w:lang w:val="sr-Latn-ME"/>
        </w:rPr>
      </w:pPr>
    </w:p>
    <w:p w14:paraId="47AE5828" w14:textId="107729FC" w:rsidR="00257763" w:rsidRDefault="00D426A3" w:rsidP="00A30145">
      <w:pPr>
        <w:jc w:val="both"/>
        <w:rPr>
          <w:i/>
          <w:szCs w:val="22"/>
          <w:u w:val="single"/>
          <w:lang w:val="sr-Latn-ME"/>
        </w:rPr>
      </w:pPr>
      <w:r w:rsidRPr="0043654C">
        <w:rPr>
          <w:i/>
          <w:szCs w:val="22"/>
          <w:u w:val="single"/>
          <w:lang w:val="sr-Latn-ME"/>
        </w:rPr>
        <w:lastRenderedPageBreak/>
        <w:t>Kombinacije koje treba uzeti u obzir</w:t>
      </w:r>
    </w:p>
    <w:p w14:paraId="46925C06" w14:textId="77777777" w:rsidR="00D92516" w:rsidRPr="0043654C" w:rsidRDefault="00D92516" w:rsidP="00A30145">
      <w:pPr>
        <w:jc w:val="both"/>
        <w:rPr>
          <w:i/>
          <w:szCs w:val="22"/>
          <w:u w:val="single"/>
          <w:lang w:val="sr-Latn-ME"/>
        </w:rPr>
      </w:pPr>
    </w:p>
    <w:p w14:paraId="0678E2BB" w14:textId="77777777" w:rsidR="00257763" w:rsidRPr="0043654C" w:rsidRDefault="00D426A3" w:rsidP="00A30145">
      <w:pPr>
        <w:jc w:val="both"/>
        <w:rPr>
          <w:i/>
          <w:szCs w:val="22"/>
          <w:lang w:val="sr-Latn-ME"/>
        </w:rPr>
      </w:pPr>
      <w:r w:rsidRPr="0043654C">
        <w:rPr>
          <w:i/>
          <w:szCs w:val="22"/>
          <w:lang w:val="sr-Latn-ME"/>
        </w:rPr>
        <w:t>Diuretici koji štede kalijum (amilorid, spironolakton, triamteren):</w:t>
      </w:r>
    </w:p>
    <w:p w14:paraId="669EDE7F" w14:textId="77777777" w:rsidR="00257763" w:rsidRPr="0043654C" w:rsidRDefault="00D426A3" w:rsidP="00A30145">
      <w:pPr>
        <w:jc w:val="both"/>
        <w:rPr>
          <w:szCs w:val="22"/>
          <w:lang w:val="sr-Latn-ME"/>
        </w:rPr>
      </w:pPr>
      <w:r w:rsidRPr="0043654C">
        <w:rPr>
          <w:szCs w:val="22"/>
          <w:lang w:val="sr-Latn-ME"/>
        </w:rPr>
        <w:t>Dok su racionalne kombinacije korisne kod nekih pacijenata, hipokalijemija ili hiperkalijemija (posebno kod pacijenata sa zatajenjem bubrega ili dijabetesom) se i dalje mogu javiti. Kalijum u plazmi i EKG treba pratiti i, ako je potrebno, revidirati liječenje.</w:t>
      </w:r>
    </w:p>
    <w:p w14:paraId="77CAA1AC" w14:textId="77777777" w:rsidR="00257763" w:rsidRPr="0043654C" w:rsidRDefault="00257763" w:rsidP="00A30145">
      <w:pPr>
        <w:jc w:val="both"/>
        <w:rPr>
          <w:szCs w:val="22"/>
          <w:lang w:val="sr-Latn-ME"/>
        </w:rPr>
      </w:pPr>
    </w:p>
    <w:p w14:paraId="33A94722" w14:textId="77777777" w:rsidR="00257763" w:rsidRPr="0043654C" w:rsidRDefault="00D426A3" w:rsidP="00A30145">
      <w:pPr>
        <w:jc w:val="both"/>
        <w:rPr>
          <w:i/>
          <w:szCs w:val="22"/>
          <w:lang w:val="sr-Latn-ME"/>
        </w:rPr>
      </w:pPr>
      <w:r w:rsidRPr="0043654C">
        <w:rPr>
          <w:i/>
          <w:szCs w:val="22"/>
          <w:lang w:val="sr-Latn-ME"/>
        </w:rPr>
        <w:t>Metformin:</w:t>
      </w:r>
    </w:p>
    <w:p w14:paraId="001AC2BD" w14:textId="77777777" w:rsidR="00257763" w:rsidRPr="0043654C" w:rsidRDefault="00D426A3" w:rsidP="00A30145">
      <w:pPr>
        <w:jc w:val="both"/>
        <w:rPr>
          <w:szCs w:val="22"/>
          <w:lang w:val="sr-Latn-ME"/>
        </w:rPr>
      </w:pPr>
      <w:r w:rsidRPr="0043654C">
        <w:rPr>
          <w:szCs w:val="22"/>
          <w:lang w:val="sr-Latn-ME"/>
        </w:rPr>
        <w:t>Povećan rizik od laktoacidoze izazvane metforminom zbog mogućnosti funkcionalnog zatajenja bubrega povezanog sa diureticima, a posebno sa diureticima petlje. Nemojte koristiti metformin kada kreatinin u plazmi prelazi 15 mg/l (135 µmol/l) kod muškaraca i 12 mg/l (110 µmol/l) kod žena.</w:t>
      </w:r>
    </w:p>
    <w:p w14:paraId="1DAD88E8" w14:textId="77777777" w:rsidR="00257763" w:rsidRPr="0043654C" w:rsidRDefault="00257763" w:rsidP="00A30145">
      <w:pPr>
        <w:jc w:val="both"/>
        <w:rPr>
          <w:szCs w:val="22"/>
          <w:lang w:val="sr-Latn-ME"/>
        </w:rPr>
      </w:pPr>
    </w:p>
    <w:p w14:paraId="2569E142" w14:textId="77777777" w:rsidR="00257763" w:rsidRPr="0043654C" w:rsidRDefault="00D426A3" w:rsidP="00A30145">
      <w:pPr>
        <w:jc w:val="both"/>
        <w:rPr>
          <w:i/>
          <w:szCs w:val="22"/>
          <w:lang w:val="sr-Latn-ME"/>
        </w:rPr>
      </w:pPr>
      <w:r w:rsidRPr="0043654C">
        <w:rPr>
          <w:i/>
          <w:szCs w:val="22"/>
          <w:lang w:val="sr-Latn-ME"/>
        </w:rPr>
        <w:t>Jodirana kontrastna sredstva:</w:t>
      </w:r>
    </w:p>
    <w:p w14:paraId="69F372F2" w14:textId="77777777" w:rsidR="00257763" w:rsidRPr="0043654C" w:rsidRDefault="00D426A3" w:rsidP="00A30145">
      <w:pPr>
        <w:jc w:val="both"/>
        <w:rPr>
          <w:szCs w:val="22"/>
          <w:lang w:val="sr-Latn-ME"/>
        </w:rPr>
      </w:pPr>
      <w:r w:rsidRPr="0043654C">
        <w:rPr>
          <w:szCs w:val="22"/>
          <w:lang w:val="sr-Latn-ME"/>
        </w:rPr>
        <w:t>U prisustvu dehidratacije uzrokovane diureticima povećan je rizik od akutnog zatajenja bubrega, posebno kada se koriste velike doze jodiranih kontrastnih sredstava.</w:t>
      </w:r>
    </w:p>
    <w:p w14:paraId="3B8DA32D" w14:textId="77777777" w:rsidR="00257763" w:rsidRPr="0043654C" w:rsidRDefault="00D426A3" w:rsidP="00A30145">
      <w:pPr>
        <w:jc w:val="both"/>
        <w:rPr>
          <w:szCs w:val="22"/>
          <w:lang w:val="sr-Latn-ME"/>
        </w:rPr>
      </w:pPr>
      <w:r w:rsidRPr="0043654C">
        <w:rPr>
          <w:szCs w:val="22"/>
          <w:lang w:val="sr-Latn-ME"/>
        </w:rPr>
        <w:t>Neophodna je rehidratacija prije primjene jodiranog sredstva.</w:t>
      </w:r>
    </w:p>
    <w:p w14:paraId="43B9D974" w14:textId="77777777" w:rsidR="00257763" w:rsidRPr="0043654C" w:rsidRDefault="00257763" w:rsidP="00A30145">
      <w:pPr>
        <w:jc w:val="both"/>
        <w:rPr>
          <w:szCs w:val="22"/>
          <w:lang w:val="sr-Latn-ME"/>
        </w:rPr>
      </w:pPr>
    </w:p>
    <w:p w14:paraId="4BD80464" w14:textId="77777777" w:rsidR="00257763" w:rsidRPr="0043654C" w:rsidRDefault="00D426A3" w:rsidP="00A30145">
      <w:pPr>
        <w:jc w:val="both"/>
        <w:rPr>
          <w:i/>
          <w:szCs w:val="22"/>
          <w:lang w:val="sr-Latn-ME"/>
        </w:rPr>
      </w:pPr>
      <w:r w:rsidRPr="0043654C">
        <w:rPr>
          <w:i/>
          <w:szCs w:val="22"/>
          <w:lang w:val="sr-Latn-ME"/>
        </w:rPr>
        <w:t>Antidepresivi imipramin tipa, neuroleptici:</w:t>
      </w:r>
    </w:p>
    <w:p w14:paraId="392D5495" w14:textId="77777777" w:rsidR="00257763" w:rsidRPr="0043654C" w:rsidRDefault="00D426A3" w:rsidP="00A30145">
      <w:pPr>
        <w:jc w:val="both"/>
        <w:rPr>
          <w:szCs w:val="22"/>
          <w:lang w:val="sr-Latn-ME"/>
        </w:rPr>
      </w:pPr>
      <w:r w:rsidRPr="0043654C">
        <w:rPr>
          <w:szCs w:val="22"/>
          <w:lang w:val="sr-Latn-ME"/>
        </w:rPr>
        <w:t>Antihipertenzivni efekat i povećan rizik od ortostatske hipotenzije je povećan (aditivni efekat).</w:t>
      </w:r>
    </w:p>
    <w:p w14:paraId="1B12B352" w14:textId="77777777" w:rsidR="00257763" w:rsidRPr="0043654C" w:rsidRDefault="00257763" w:rsidP="00A30145">
      <w:pPr>
        <w:jc w:val="both"/>
        <w:rPr>
          <w:szCs w:val="22"/>
          <w:lang w:val="sr-Latn-ME"/>
        </w:rPr>
      </w:pPr>
    </w:p>
    <w:p w14:paraId="37760670" w14:textId="77777777" w:rsidR="00257763" w:rsidRPr="0043654C" w:rsidRDefault="00D426A3" w:rsidP="00A30145">
      <w:pPr>
        <w:jc w:val="both"/>
        <w:rPr>
          <w:i/>
          <w:szCs w:val="22"/>
          <w:lang w:val="sr-Latn-ME"/>
        </w:rPr>
      </w:pPr>
      <w:r w:rsidRPr="0043654C">
        <w:rPr>
          <w:i/>
          <w:szCs w:val="22"/>
          <w:lang w:val="sr-Latn-ME"/>
        </w:rPr>
        <w:t>Kalcijum (soli):</w:t>
      </w:r>
    </w:p>
    <w:p w14:paraId="45E1D2A0" w14:textId="77777777" w:rsidR="00257763" w:rsidRPr="0043654C" w:rsidRDefault="00D426A3" w:rsidP="00A30145">
      <w:pPr>
        <w:jc w:val="both"/>
        <w:rPr>
          <w:szCs w:val="22"/>
          <w:lang w:val="sr-Latn-ME"/>
        </w:rPr>
      </w:pPr>
      <w:r w:rsidRPr="0043654C">
        <w:rPr>
          <w:szCs w:val="22"/>
          <w:lang w:val="sr-Latn-ME"/>
        </w:rPr>
        <w:t>Rizik od hiperkalcijemije usljed smanjene eliminacije kalcijuma urinom.</w:t>
      </w:r>
    </w:p>
    <w:p w14:paraId="035A1919" w14:textId="77777777" w:rsidR="00257763" w:rsidRPr="0043654C" w:rsidRDefault="00257763" w:rsidP="00A30145">
      <w:pPr>
        <w:jc w:val="both"/>
        <w:rPr>
          <w:szCs w:val="22"/>
          <w:lang w:val="sr-Latn-ME"/>
        </w:rPr>
      </w:pPr>
    </w:p>
    <w:p w14:paraId="328186CF" w14:textId="77777777" w:rsidR="00257763" w:rsidRPr="0043654C" w:rsidRDefault="00D426A3" w:rsidP="00A30145">
      <w:pPr>
        <w:jc w:val="both"/>
        <w:rPr>
          <w:i/>
          <w:szCs w:val="22"/>
          <w:lang w:val="sr-Latn-ME"/>
        </w:rPr>
      </w:pPr>
      <w:r w:rsidRPr="0043654C">
        <w:rPr>
          <w:i/>
          <w:szCs w:val="22"/>
          <w:lang w:val="sr-Latn-ME"/>
        </w:rPr>
        <w:t>Ciklosporin, takrolimus:</w:t>
      </w:r>
    </w:p>
    <w:p w14:paraId="2E1D8BEA" w14:textId="77777777" w:rsidR="00257763" w:rsidRPr="0043654C" w:rsidRDefault="00D426A3" w:rsidP="00A30145">
      <w:pPr>
        <w:jc w:val="both"/>
        <w:rPr>
          <w:szCs w:val="22"/>
          <w:lang w:val="sr-Latn-ME"/>
        </w:rPr>
      </w:pPr>
      <w:r w:rsidRPr="0043654C">
        <w:rPr>
          <w:szCs w:val="22"/>
          <w:lang w:val="sr-Latn-ME"/>
        </w:rPr>
        <w:t>Rizik od povećanja kreatinina u plazmi bez ikakvih promjena u nivoima ciklosporina u cirkulaciji, čak i u odsustvu nedostatka vode/natrijuma.</w:t>
      </w:r>
    </w:p>
    <w:p w14:paraId="3E8D6C3F" w14:textId="77777777" w:rsidR="00257763" w:rsidRPr="0043654C" w:rsidRDefault="00257763" w:rsidP="00A30145">
      <w:pPr>
        <w:jc w:val="both"/>
        <w:rPr>
          <w:szCs w:val="22"/>
          <w:lang w:val="sr-Latn-ME"/>
        </w:rPr>
      </w:pPr>
    </w:p>
    <w:p w14:paraId="527E775D" w14:textId="77777777" w:rsidR="00257763" w:rsidRPr="0043654C" w:rsidRDefault="00D426A3" w:rsidP="00A30145">
      <w:pPr>
        <w:jc w:val="both"/>
        <w:rPr>
          <w:i/>
          <w:szCs w:val="22"/>
          <w:lang w:val="sr-Latn-ME"/>
        </w:rPr>
      </w:pPr>
      <w:r w:rsidRPr="0043654C">
        <w:rPr>
          <w:i/>
          <w:szCs w:val="22"/>
          <w:lang w:val="sr-Latn-ME"/>
        </w:rPr>
        <w:t>Kortikosteroidi, tetrakozaktid (sistemska primjena):</w:t>
      </w:r>
    </w:p>
    <w:p w14:paraId="58B619C1" w14:textId="77777777" w:rsidR="00257763" w:rsidRPr="0043654C" w:rsidRDefault="00D426A3" w:rsidP="00A30145">
      <w:pPr>
        <w:jc w:val="both"/>
        <w:rPr>
          <w:szCs w:val="22"/>
          <w:lang w:val="sr-Latn-ME"/>
        </w:rPr>
      </w:pPr>
      <w:r w:rsidRPr="0043654C">
        <w:rPr>
          <w:szCs w:val="22"/>
          <w:lang w:val="sr-Latn-ME"/>
        </w:rPr>
        <w:t>Smanjen antihipertenzivni efekat (zadržavanje vode/natrijuma usljed kortikosteroida).</w:t>
      </w:r>
    </w:p>
    <w:p w14:paraId="5D06DB53" w14:textId="77777777" w:rsidR="00257763" w:rsidRPr="0043654C" w:rsidRDefault="00257763" w:rsidP="00A30145">
      <w:pPr>
        <w:tabs>
          <w:tab w:val="left" w:pos="540"/>
        </w:tabs>
        <w:jc w:val="both"/>
        <w:rPr>
          <w:bCs/>
          <w:szCs w:val="22"/>
          <w:lang w:val="sr-Latn-ME"/>
        </w:rPr>
      </w:pPr>
    </w:p>
    <w:p w14:paraId="6B18F3AA" w14:textId="77777777" w:rsidR="00257763" w:rsidRPr="0043654C" w:rsidRDefault="00D426A3" w:rsidP="00A30145">
      <w:pPr>
        <w:tabs>
          <w:tab w:val="left" w:pos="540"/>
        </w:tabs>
        <w:jc w:val="both"/>
        <w:rPr>
          <w:b/>
          <w:szCs w:val="22"/>
          <w:lang w:val="sr-Latn-ME"/>
        </w:rPr>
      </w:pPr>
      <w:r w:rsidRPr="0043654C">
        <w:rPr>
          <w:b/>
          <w:bCs/>
          <w:szCs w:val="22"/>
          <w:lang w:val="sr-Latn-ME"/>
        </w:rPr>
        <w:t xml:space="preserve">4.6. </w:t>
      </w:r>
      <w:r w:rsidRPr="0043654C">
        <w:rPr>
          <w:b/>
          <w:bCs/>
          <w:szCs w:val="22"/>
          <w:lang w:val="sr-Latn-ME"/>
        </w:rPr>
        <w:tab/>
      </w:r>
      <w:r w:rsidRPr="0043654C">
        <w:rPr>
          <w:b/>
          <w:szCs w:val="22"/>
          <w:lang w:val="sr-Latn-ME"/>
        </w:rPr>
        <w:t>Plodnost, trudnoća i dojenje</w:t>
      </w:r>
    </w:p>
    <w:p w14:paraId="3748ABE8" w14:textId="77777777" w:rsidR="00257763" w:rsidRPr="0043654C" w:rsidRDefault="00257763" w:rsidP="00A30145">
      <w:pPr>
        <w:tabs>
          <w:tab w:val="left" w:pos="540"/>
        </w:tabs>
        <w:jc w:val="both"/>
        <w:rPr>
          <w:szCs w:val="22"/>
          <w:u w:val="single"/>
          <w:lang w:val="sr-Latn-ME"/>
        </w:rPr>
      </w:pPr>
    </w:p>
    <w:p w14:paraId="79F7B387" w14:textId="77777777" w:rsidR="00257763" w:rsidRPr="0043654C" w:rsidRDefault="00D426A3" w:rsidP="00A30145">
      <w:pPr>
        <w:tabs>
          <w:tab w:val="left" w:pos="540"/>
        </w:tabs>
        <w:jc w:val="both"/>
        <w:rPr>
          <w:b/>
          <w:bCs/>
          <w:szCs w:val="22"/>
          <w:lang w:val="sr-Latn-ME"/>
        </w:rPr>
      </w:pPr>
      <w:r w:rsidRPr="0043654C">
        <w:rPr>
          <w:szCs w:val="22"/>
          <w:u w:val="single"/>
          <w:lang w:val="sr-Latn-ME"/>
        </w:rPr>
        <w:t>Trudnoća</w:t>
      </w:r>
    </w:p>
    <w:p w14:paraId="2EAF307D"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11E3FB5D" w14:textId="1CC981C8" w:rsidR="00257763" w:rsidRPr="0043654C" w:rsidRDefault="00D426A3" w:rsidP="00A3014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eastAsia="Calibri"/>
          <w:noProof/>
          <w:szCs w:val="22"/>
          <w:lang w:val="sr-Latn-ME"/>
        </w:rPr>
      </w:pPr>
      <w:r w:rsidRPr="0043654C">
        <w:rPr>
          <w:rFonts w:eastAsia="Calibri"/>
          <w:noProof/>
          <w:szCs w:val="22"/>
          <w:lang w:val="sr-Latn-ME"/>
        </w:rPr>
        <w:t xml:space="preserve">Upotreba antagonista angiotenzin II receptora (eng. </w:t>
      </w:r>
      <w:r w:rsidRPr="0043654C">
        <w:rPr>
          <w:rFonts w:eastAsia="Calibri"/>
          <w:i/>
          <w:noProof/>
          <w:szCs w:val="22"/>
          <w:lang w:val="sr-Latn-ME"/>
        </w:rPr>
        <w:t>Angiotensin receptor blocker</w:t>
      </w:r>
      <w:r w:rsidRPr="0043654C">
        <w:rPr>
          <w:rFonts w:eastAsia="Calibri"/>
          <w:noProof/>
          <w:szCs w:val="22"/>
          <w:lang w:val="sr-Latn-ME"/>
        </w:rPr>
        <w:t xml:space="preserve"> – ARB) se ne preporučuje tokom prvog trimestra trudnoće (vidjeti </w:t>
      </w:r>
      <w:r w:rsidR="00AE03A2" w:rsidRPr="0043654C">
        <w:rPr>
          <w:rFonts w:eastAsia="Calibri"/>
          <w:noProof/>
          <w:szCs w:val="22"/>
          <w:lang w:val="sr-Latn-ME"/>
        </w:rPr>
        <w:t xml:space="preserve">dio </w:t>
      </w:r>
      <w:r w:rsidRPr="0043654C">
        <w:rPr>
          <w:rFonts w:eastAsia="Calibri"/>
          <w:noProof/>
          <w:szCs w:val="22"/>
          <w:lang w:val="sr-Latn-ME"/>
        </w:rPr>
        <w:t xml:space="preserve">4.4). Upotreba ARB je kontraindikovana tokom drugog i trećeg trimestra trudnoće (videti </w:t>
      </w:r>
      <w:r w:rsidR="00AE03A2" w:rsidRPr="0043654C">
        <w:rPr>
          <w:rFonts w:eastAsia="Calibri"/>
          <w:noProof/>
          <w:szCs w:val="22"/>
          <w:lang w:val="sr-Latn-ME"/>
        </w:rPr>
        <w:t xml:space="preserve">dio </w:t>
      </w:r>
      <w:r w:rsidRPr="0043654C">
        <w:rPr>
          <w:rFonts w:eastAsia="Calibri"/>
          <w:noProof/>
          <w:szCs w:val="22"/>
          <w:lang w:val="sr-Latn-ME"/>
        </w:rPr>
        <w:t>4.3 i 4.4).</w:t>
      </w:r>
    </w:p>
    <w:p w14:paraId="722ECAFD"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082E528F"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Epidemiološki dokazi o riziku teratogenosti nakon izlaganja ACE inhibitorima tokom prvog trimestra trudnoće nisu bili konačni; međutim, mali porast rizika se ne može isključiti. Iako ne postoje kontrolisani epidemiološki podaci o riziku od ARB, slični rizici mogu postojati za ovu klasu ljekova. Osim ako se nastavak terapije ARB ne smatra neophodnim, pacijentkinje koje planiraju trudnoću treba da pređu na alternativnu antihipertenzivnu terapiju koja ima utvrđen bezbjednosni profil za upotrebu u trudnoći. Kada se utvrdi trudnoća, sa liječenjem ARB treba odmah prekinuti i, ako je potrebno, započeti alternativnu terapiju.</w:t>
      </w:r>
    </w:p>
    <w:p w14:paraId="7421FB28"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56AD2B1C" w14:textId="7984A740"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 xml:space="preserve">Poznato je da izloženost terapiji ARB tokom drugog i trećeg trimestra izaziva fetotoksičnost kod ljudi (smanjena bubrežna funkcija, oligohidramnion, retardacija okoštavanja lobanje) i neonatalnu toksičnost (zatajenje bubrega, hipotenzija, hiperkalijemija); vidjeti takođe </w:t>
      </w:r>
      <w:r w:rsidR="00AE03A2" w:rsidRPr="0043654C">
        <w:rPr>
          <w:rFonts w:eastAsia="Calibri"/>
          <w:noProof/>
          <w:szCs w:val="22"/>
          <w:lang w:val="sr-Latn-ME"/>
        </w:rPr>
        <w:t xml:space="preserve">dio </w:t>
      </w:r>
      <w:r w:rsidRPr="0043654C">
        <w:rPr>
          <w:rFonts w:eastAsia="Calibri"/>
          <w:noProof/>
          <w:szCs w:val="22"/>
          <w:lang w:val="sr-Latn-ME"/>
        </w:rPr>
        <w:t>5.3 „Pretklinički podaci o bezbjednosti“.</w:t>
      </w:r>
    </w:p>
    <w:p w14:paraId="4C5BBB7F"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Ukoliko je do izlaganja ARB došlo od drugog tromjesečja trudnoće, preporučuje se ultrazvučna kontrola bubrežne funkcije i lobanje.</w:t>
      </w:r>
    </w:p>
    <w:p w14:paraId="7634C74F"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61CF092C" w14:textId="3D129A9E" w:rsidR="00257763" w:rsidRPr="0043654C" w:rsidRDefault="00D426A3" w:rsidP="00A30145">
      <w:pPr>
        <w:jc w:val="both"/>
        <w:rPr>
          <w:szCs w:val="22"/>
          <w:lang w:val="sr-Latn-ME"/>
        </w:rPr>
      </w:pPr>
      <w:r w:rsidRPr="0043654C">
        <w:rPr>
          <w:szCs w:val="22"/>
          <w:lang w:val="sr-Latn-ME"/>
        </w:rPr>
        <w:t xml:space="preserve">Dojenčad čije su majke uzimale ARB treba pažljivo pratiti zbog hipotenzije (vidjeti takođe </w:t>
      </w:r>
      <w:r w:rsidR="00AE03A2" w:rsidRPr="0043654C">
        <w:rPr>
          <w:szCs w:val="22"/>
          <w:lang w:val="sr-Latn-ME"/>
        </w:rPr>
        <w:t>djelove</w:t>
      </w:r>
      <w:r w:rsidRPr="0043654C">
        <w:rPr>
          <w:szCs w:val="22"/>
          <w:lang w:val="sr-Latn-ME"/>
        </w:rPr>
        <w:t xml:space="preserve"> 4.3 i 4.4).</w:t>
      </w:r>
    </w:p>
    <w:p w14:paraId="5E9FD757"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35151633" w14:textId="77777777" w:rsidR="00257763" w:rsidRPr="0043654C" w:rsidRDefault="00D426A3" w:rsidP="00A30145">
      <w:pPr>
        <w:jc w:val="both"/>
        <w:rPr>
          <w:szCs w:val="22"/>
          <w:lang w:val="sr-Latn-ME"/>
        </w:rPr>
      </w:pPr>
      <w:r w:rsidRPr="0043654C">
        <w:rPr>
          <w:szCs w:val="22"/>
          <w:lang w:val="sr-Latn-ME"/>
        </w:rPr>
        <w:t>Nema podataka ili je ograničena količina podataka (manje od 300 ishoda trudnoće) o upotrebi indapamida kod trudnica. Produžena izloženost tiazidu tokom trećeg tromjesečja trudnoće može da smanji volumen plazme majke kao i uteroplacentarni protok krvi, što može da uzrokuje feto-placentarnu ishemiju i usporavanje rasta.</w:t>
      </w:r>
    </w:p>
    <w:p w14:paraId="05016418" w14:textId="77777777" w:rsidR="00257763" w:rsidRPr="0043654C" w:rsidRDefault="00257763" w:rsidP="00A30145">
      <w:pPr>
        <w:jc w:val="both"/>
        <w:rPr>
          <w:szCs w:val="22"/>
          <w:lang w:val="sr-Latn-ME"/>
        </w:rPr>
      </w:pPr>
    </w:p>
    <w:p w14:paraId="21699DB9" w14:textId="0DC26ADB" w:rsidR="00257763" w:rsidRPr="0043654C" w:rsidRDefault="00D426A3" w:rsidP="00A30145">
      <w:pPr>
        <w:jc w:val="both"/>
        <w:rPr>
          <w:szCs w:val="22"/>
          <w:lang w:val="sr-Latn-ME"/>
        </w:rPr>
      </w:pPr>
      <w:r w:rsidRPr="0043654C">
        <w:rPr>
          <w:szCs w:val="22"/>
          <w:lang w:val="sr-Latn-ME"/>
        </w:rPr>
        <w:t xml:space="preserve">Studije na životinjama ne ukazuju na direktne ili indirektne štetne efekte u pogledu reproduktivne toksičnosti (vidjeti </w:t>
      </w:r>
      <w:r w:rsidR="00AE03A2" w:rsidRPr="0043654C">
        <w:rPr>
          <w:szCs w:val="22"/>
          <w:lang w:val="sr-Latn-ME"/>
        </w:rPr>
        <w:t xml:space="preserve">dio </w:t>
      </w:r>
      <w:r w:rsidRPr="0043654C">
        <w:rPr>
          <w:szCs w:val="22"/>
          <w:lang w:val="sr-Latn-ME"/>
        </w:rPr>
        <w:t>5.3).</w:t>
      </w:r>
    </w:p>
    <w:p w14:paraId="6BD4941A" w14:textId="77777777" w:rsidR="00257763" w:rsidRPr="0043654C" w:rsidRDefault="00257763" w:rsidP="00A30145">
      <w:pPr>
        <w:tabs>
          <w:tab w:val="left" w:pos="540"/>
        </w:tabs>
        <w:jc w:val="both"/>
        <w:rPr>
          <w:szCs w:val="22"/>
          <w:u w:val="single"/>
          <w:lang w:val="sr-Latn-ME"/>
        </w:rPr>
      </w:pPr>
    </w:p>
    <w:p w14:paraId="554297BD" w14:textId="77777777" w:rsidR="00257763" w:rsidRPr="0043654C" w:rsidRDefault="00D426A3" w:rsidP="00A30145">
      <w:pPr>
        <w:tabs>
          <w:tab w:val="left" w:pos="540"/>
        </w:tabs>
        <w:jc w:val="both"/>
        <w:rPr>
          <w:szCs w:val="22"/>
          <w:u w:val="single"/>
          <w:lang w:val="sr-Latn-ME"/>
        </w:rPr>
      </w:pPr>
      <w:r w:rsidRPr="0043654C">
        <w:rPr>
          <w:szCs w:val="22"/>
          <w:u w:val="single"/>
          <w:lang w:val="sr-Latn-ME"/>
        </w:rPr>
        <w:t>Dojenje</w:t>
      </w:r>
    </w:p>
    <w:p w14:paraId="76C415E2" w14:textId="77777777" w:rsidR="00257763" w:rsidRPr="0043654C" w:rsidRDefault="00257763" w:rsidP="00A30145">
      <w:pPr>
        <w:tabs>
          <w:tab w:val="left" w:pos="540"/>
        </w:tabs>
        <w:jc w:val="both"/>
        <w:rPr>
          <w:szCs w:val="22"/>
          <w:u w:val="single"/>
          <w:lang w:val="sr-Latn-ME"/>
        </w:rPr>
      </w:pPr>
    </w:p>
    <w:p w14:paraId="5B887257"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Lijek Valomindo ne treba koristiti tokom dojenja.</w:t>
      </w:r>
    </w:p>
    <w:p w14:paraId="1C975B89"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759F47C5"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Budući da nema dostupnih informacija o upotrebi valsartana tokom dojenja, valsartan se ne preporučuje, a poželjni su alternativni tretmani sa bolje utvrđenim bezbjednosnim profilima tokom dojenja, posebno tokom dojenja novorođenčeta ili nedonoščadi.</w:t>
      </w:r>
    </w:p>
    <w:p w14:paraId="7A9148D3"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32A3B506"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Nema dovoljno informacija o izlučivanju indapamida/metabolita u majčino mlijeko. Može doći do preosjetljivosti na ljekove koji su derivati sulfonamida i hipokalijemije. Ne može se isključiti rizik po novorođenčad/dojenčad.</w:t>
      </w:r>
    </w:p>
    <w:p w14:paraId="4D647016"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Indapamid je blisko povezan sa tiazidnim diureticima koji su, tokom dojenja, povezani sa smanjenjem ili čak supresijom laktacije.</w:t>
      </w:r>
    </w:p>
    <w:p w14:paraId="212CCBB8" w14:textId="77777777" w:rsidR="00257763" w:rsidRPr="0043654C" w:rsidRDefault="00257763" w:rsidP="00A30145">
      <w:pPr>
        <w:tabs>
          <w:tab w:val="left" w:pos="540"/>
        </w:tabs>
        <w:jc w:val="both"/>
        <w:rPr>
          <w:szCs w:val="22"/>
          <w:u w:val="single"/>
          <w:lang w:val="sr-Latn-ME"/>
        </w:rPr>
      </w:pPr>
    </w:p>
    <w:p w14:paraId="4E900F82" w14:textId="77777777" w:rsidR="00257763" w:rsidRPr="0043654C" w:rsidRDefault="00D426A3" w:rsidP="00A30145">
      <w:pPr>
        <w:tabs>
          <w:tab w:val="left" w:pos="540"/>
        </w:tabs>
        <w:jc w:val="both"/>
        <w:rPr>
          <w:szCs w:val="22"/>
          <w:u w:val="single"/>
          <w:lang w:val="sr-Latn-ME"/>
        </w:rPr>
      </w:pPr>
      <w:r w:rsidRPr="0043654C">
        <w:rPr>
          <w:szCs w:val="22"/>
          <w:u w:val="single"/>
          <w:lang w:val="sr-Latn-ME"/>
        </w:rPr>
        <w:t>Plodnost</w:t>
      </w:r>
    </w:p>
    <w:p w14:paraId="07AFDAE0" w14:textId="77777777" w:rsidR="00257763" w:rsidRPr="0043654C" w:rsidRDefault="00257763" w:rsidP="00A30145">
      <w:pPr>
        <w:tabs>
          <w:tab w:val="left" w:pos="540"/>
        </w:tabs>
        <w:ind w:left="540" w:hanging="540"/>
        <w:jc w:val="both"/>
        <w:rPr>
          <w:szCs w:val="22"/>
          <w:u w:val="single"/>
          <w:lang w:val="sr-Latn-ME"/>
        </w:rPr>
      </w:pPr>
    </w:p>
    <w:p w14:paraId="006C8564"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Valsartan nije imao štetne efekte na reproduktivne performanse mužjaka ili ženki pacova pri oralnim dozama do 200 mg/kg/dan. Ova doza je 6 puta veća od maksimalne preporučene doze za ljude na bazi mg/m</w:t>
      </w:r>
      <w:r w:rsidRPr="0043654C">
        <w:rPr>
          <w:rFonts w:eastAsia="Calibri"/>
          <w:noProof/>
          <w:szCs w:val="22"/>
          <w:vertAlign w:val="superscript"/>
          <w:lang w:val="sr-Latn-ME"/>
        </w:rPr>
        <w:t>2</w:t>
      </w:r>
      <w:r w:rsidRPr="0043654C">
        <w:rPr>
          <w:rFonts w:eastAsia="Calibri"/>
          <w:noProof/>
          <w:szCs w:val="22"/>
          <w:lang w:val="sr-Latn-ME"/>
        </w:rPr>
        <w:t xml:space="preserve"> (proračuni pretpostavljaju oralnu dozu od 320 mg/dan i pacijenta od 60 kg).</w:t>
      </w:r>
    </w:p>
    <w:p w14:paraId="5E4601C7"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3EBF0ED4" w14:textId="768A03A9"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 xml:space="preserve">Studije reproduktivne toksičnosti nisu pokazale uticaj na plodnost kod ženki i mužjaka pacova (vidjeti </w:t>
      </w:r>
      <w:r w:rsidR="00AE03A2" w:rsidRPr="0043654C">
        <w:rPr>
          <w:rFonts w:eastAsia="Calibri"/>
          <w:noProof/>
          <w:szCs w:val="22"/>
          <w:lang w:val="sr-Latn-ME"/>
        </w:rPr>
        <w:t xml:space="preserve">dio </w:t>
      </w:r>
      <w:r w:rsidRPr="0043654C">
        <w:rPr>
          <w:rFonts w:eastAsia="Calibri"/>
          <w:noProof/>
          <w:szCs w:val="22"/>
          <w:lang w:val="sr-Latn-ME"/>
        </w:rPr>
        <w:t>5.3). Ne očekuju se nikakvi efekti na plodnost ljudi.</w:t>
      </w:r>
    </w:p>
    <w:p w14:paraId="42A8B0A9" w14:textId="77777777" w:rsidR="00257763" w:rsidRPr="0043654C" w:rsidRDefault="00257763" w:rsidP="00A30145">
      <w:pPr>
        <w:tabs>
          <w:tab w:val="left" w:pos="540"/>
        </w:tabs>
        <w:ind w:left="540" w:hanging="540"/>
        <w:jc w:val="both"/>
        <w:rPr>
          <w:b/>
          <w:bCs/>
          <w:szCs w:val="22"/>
          <w:lang w:val="sr-Latn-ME"/>
        </w:rPr>
      </w:pPr>
    </w:p>
    <w:p w14:paraId="5C8E0E79" w14:textId="77777777" w:rsidR="00257763" w:rsidRPr="0043654C" w:rsidRDefault="00D426A3" w:rsidP="00A30145">
      <w:pPr>
        <w:tabs>
          <w:tab w:val="left" w:pos="540"/>
        </w:tabs>
        <w:ind w:left="540" w:hanging="540"/>
        <w:jc w:val="both"/>
        <w:rPr>
          <w:b/>
          <w:bCs/>
          <w:szCs w:val="22"/>
          <w:lang w:val="sr-Latn-ME"/>
        </w:rPr>
      </w:pPr>
      <w:r w:rsidRPr="0043654C">
        <w:rPr>
          <w:b/>
          <w:bCs/>
          <w:szCs w:val="22"/>
          <w:lang w:val="sr-Latn-ME"/>
        </w:rPr>
        <w:t xml:space="preserve">4.7. </w:t>
      </w:r>
      <w:r w:rsidRPr="0043654C">
        <w:rPr>
          <w:b/>
          <w:bCs/>
          <w:szCs w:val="22"/>
          <w:lang w:val="sr-Latn-ME"/>
        </w:rPr>
        <w:tab/>
        <w:t>Uticaj na sposobnost upravljanja vozilima i rukovanje mašinama</w:t>
      </w:r>
    </w:p>
    <w:p w14:paraId="50CE11F2" w14:textId="77777777" w:rsidR="00257763" w:rsidRPr="0043654C" w:rsidRDefault="00257763" w:rsidP="00A30145">
      <w:pPr>
        <w:tabs>
          <w:tab w:val="left" w:pos="540"/>
        </w:tabs>
        <w:jc w:val="both"/>
        <w:rPr>
          <w:b/>
          <w:bCs/>
          <w:szCs w:val="22"/>
          <w:lang w:val="sr-Latn-ME"/>
        </w:rPr>
      </w:pPr>
    </w:p>
    <w:p w14:paraId="0C935087" w14:textId="77777777" w:rsidR="00257763" w:rsidRPr="0043654C" w:rsidRDefault="00D426A3" w:rsidP="00A30145">
      <w:pPr>
        <w:jc w:val="both"/>
        <w:rPr>
          <w:szCs w:val="22"/>
          <w:lang w:val="sr-Latn-ME"/>
        </w:rPr>
      </w:pPr>
      <w:r w:rsidRPr="0043654C">
        <w:rPr>
          <w:szCs w:val="22"/>
          <w:lang w:val="sr-Latn-ME"/>
        </w:rPr>
        <w:t>Valsartan/indapamid može da izazove različite reakcije u pogledu sniženja krvnog pritiska u pojedinačnim slučajevima, posebno na početku liječenja. Prilikom upravljanja vozilima ili rukovanja mašinama treba imati u vidu da se mogu javiti vrtoglavica ili umor.</w:t>
      </w:r>
    </w:p>
    <w:p w14:paraId="0A84F5D5" w14:textId="77777777" w:rsidR="00257763" w:rsidRPr="0043654C" w:rsidRDefault="00257763" w:rsidP="00A30145">
      <w:pPr>
        <w:tabs>
          <w:tab w:val="left" w:pos="540"/>
        </w:tabs>
        <w:jc w:val="both"/>
        <w:rPr>
          <w:b/>
          <w:bCs/>
          <w:szCs w:val="22"/>
          <w:lang w:val="sr-Latn-ME"/>
        </w:rPr>
      </w:pPr>
    </w:p>
    <w:p w14:paraId="29D794FE" w14:textId="77777777" w:rsidR="00257763" w:rsidRPr="0043654C" w:rsidRDefault="00D426A3" w:rsidP="00A30145">
      <w:pPr>
        <w:tabs>
          <w:tab w:val="left" w:pos="540"/>
        </w:tabs>
        <w:jc w:val="both"/>
        <w:rPr>
          <w:b/>
          <w:bCs/>
          <w:szCs w:val="22"/>
          <w:lang w:val="sr-Latn-ME"/>
        </w:rPr>
      </w:pPr>
      <w:r w:rsidRPr="0043654C">
        <w:rPr>
          <w:b/>
          <w:bCs/>
          <w:szCs w:val="22"/>
          <w:lang w:val="sr-Latn-ME"/>
        </w:rPr>
        <w:t xml:space="preserve">4.8. </w:t>
      </w:r>
      <w:r w:rsidRPr="0043654C">
        <w:rPr>
          <w:b/>
          <w:bCs/>
          <w:szCs w:val="22"/>
          <w:lang w:val="sr-Latn-ME"/>
        </w:rPr>
        <w:tab/>
        <w:t>Neželjena dejstva</w:t>
      </w:r>
    </w:p>
    <w:p w14:paraId="4E7B98FB" w14:textId="77777777" w:rsidR="00257763" w:rsidRPr="0043654C" w:rsidRDefault="00257763" w:rsidP="00A30145">
      <w:pPr>
        <w:tabs>
          <w:tab w:val="left" w:pos="540"/>
        </w:tabs>
        <w:jc w:val="both"/>
        <w:rPr>
          <w:b/>
          <w:bCs/>
          <w:szCs w:val="22"/>
          <w:lang w:val="sr-Latn-ME"/>
        </w:rPr>
      </w:pPr>
    </w:p>
    <w:p w14:paraId="76A8C4AD" w14:textId="77777777" w:rsidR="00257763" w:rsidRPr="0043654C" w:rsidRDefault="00D426A3" w:rsidP="00A30145">
      <w:pPr>
        <w:widowControl w:val="0"/>
        <w:numPr>
          <w:ilvl w:val="0"/>
          <w:numId w:val="29"/>
        </w:numPr>
        <w:jc w:val="both"/>
        <w:rPr>
          <w:szCs w:val="22"/>
          <w:lang w:val="sr-Latn-ME"/>
        </w:rPr>
      </w:pPr>
      <w:r w:rsidRPr="0043654C">
        <w:rPr>
          <w:noProof/>
          <w:szCs w:val="22"/>
          <w:lang w:val="sr-Latn-ME"/>
        </w:rPr>
        <w:t>Veoma česta (</w:t>
      </w:r>
      <w:r w:rsidRPr="0043654C">
        <w:rPr>
          <w:noProof/>
          <w:szCs w:val="22"/>
          <w:lang w:val="sr-Latn-ME"/>
        </w:rPr>
        <w:sym w:font="Symbol" w:char="F0B3"/>
      </w:r>
      <w:r w:rsidRPr="0043654C">
        <w:rPr>
          <w:noProof/>
          <w:szCs w:val="22"/>
          <w:lang w:val="sr-Latn-ME"/>
        </w:rPr>
        <w:t xml:space="preserve"> 1/10)</w:t>
      </w:r>
    </w:p>
    <w:p w14:paraId="438E057A" w14:textId="77777777" w:rsidR="00257763" w:rsidRPr="0043654C" w:rsidRDefault="00D426A3" w:rsidP="00A30145">
      <w:pPr>
        <w:widowControl w:val="0"/>
        <w:numPr>
          <w:ilvl w:val="0"/>
          <w:numId w:val="29"/>
        </w:numPr>
        <w:jc w:val="both"/>
        <w:rPr>
          <w:noProof/>
          <w:szCs w:val="22"/>
          <w:lang w:val="sr-Latn-ME"/>
        </w:rPr>
      </w:pPr>
      <w:r w:rsidRPr="0043654C">
        <w:rPr>
          <w:noProof/>
          <w:szCs w:val="22"/>
          <w:lang w:val="sr-Latn-ME"/>
        </w:rPr>
        <w:t>Česta (</w:t>
      </w:r>
      <w:r w:rsidRPr="0043654C">
        <w:rPr>
          <w:noProof/>
          <w:szCs w:val="22"/>
          <w:lang w:val="sr-Latn-ME"/>
        </w:rPr>
        <w:sym w:font="Symbol" w:char="F0B3"/>
      </w:r>
      <w:r w:rsidRPr="0043654C">
        <w:rPr>
          <w:noProof/>
          <w:szCs w:val="22"/>
          <w:lang w:val="sr-Latn-ME"/>
        </w:rPr>
        <w:t xml:space="preserve"> 1/100 to &lt; 1/10)</w:t>
      </w:r>
    </w:p>
    <w:p w14:paraId="3A74F110" w14:textId="77777777" w:rsidR="00257763" w:rsidRPr="0043654C" w:rsidRDefault="00D426A3" w:rsidP="00A30145">
      <w:pPr>
        <w:widowControl w:val="0"/>
        <w:numPr>
          <w:ilvl w:val="0"/>
          <w:numId w:val="29"/>
        </w:numPr>
        <w:jc w:val="both"/>
        <w:rPr>
          <w:noProof/>
          <w:szCs w:val="22"/>
          <w:lang w:val="sr-Latn-ME"/>
        </w:rPr>
      </w:pPr>
      <w:r w:rsidRPr="0043654C">
        <w:rPr>
          <w:noProof/>
          <w:szCs w:val="22"/>
          <w:lang w:val="sr-Latn-ME"/>
        </w:rPr>
        <w:t>Povremena (</w:t>
      </w:r>
      <w:r w:rsidRPr="0043654C">
        <w:rPr>
          <w:noProof/>
          <w:szCs w:val="22"/>
          <w:lang w:val="sr-Latn-ME"/>
        </w:rPr>
        <w:sym w:font="Symbol" w:char="F0B3"/>
      </w:r>
      <w:r w:rsidRPr="0043654C">
        <w:rPr>
          <w:noProof/>
          <w:szCs w:val="22"/>
          <w:lang w:val="sr-Latn-ME"/>
        </w:rPr>
        <w:t xml:space="preserve"> 1/1 000 to &lt; 1/100)</w:t>
      </w:r>
    </w:p>
    <w:p w14:paraId="3350C130" w14:textId="77777777" w:rsidR="00257763" w:rsidRPr="0043654C" w:rsidRDefault="00D426A3" w:rsidP="00A30145">
      <w:pPr>
        <w:widowControl w:val="0"/>
        <w:numPr>
          <w:ilvl w:val="0"/>
          <w:numId w:val="29"/>
        </w:numPr>
        <w:jc w:val="both"/>
        <w:rPr>
          <w:noProof/>
          <w:szCs w:val="22"/>
          <w:lang w:val="sr-Latn-ME"/>
        </w:rPr>
      </w:pPr>
      <w:r w:rsidRPr="0043654C">
        <w:rPr>
          <w:noProof/>
          <w:szCs w:val="22"/>
          <w:lang w:val="sr-Latn-ME"/>
        </w:rPr>
        <w:t>Rijetka (</w:t>
      </w:r>
      <w:r w:rsidRPr="0043654C">
        <w:rPr>
          <w:noProof/>
          <w:szCs w:val="22"/>
          <w:lang w:val="sr-Latn-ME"/>
        </w:rPr>
        <w:sym w:font="Symbol" w:char="F0B3"/>
      </w:r>
      <w:r w:rsidRPr="0043654C">
        <w:rPr>
          <w:noProof/>
          <w:szCs w:val="22"/>
          <w:lang w:val="sr-Latn-ME"/>
        </w:rPr>
        <w:t xml:space="preserve"> 1/10 000 to &lt; 1/1 000)</w:t>
      </w:r>
    </w:p>
    <w:p w14:paraId="3C102821" w14:textId="77777777" w:rsidR="00257763" w:rsidRPr="0043654C" w:rsidRDefault="00D426A3" w:rsidP="00A30145">
      <w:pPr>
        <w:widowControl w:val="0"/>
        <w:numPr>
          <w:ilvl w:val="0"/>
          <w:numId w:val="29"/>
        </w:numPr>
        <w:jc w:val="both"/>
        <w:rPr>
          <w:noProof/>
          <w:szCs w:val="22"/>
          <w:lang w:val="sr-Latn-ME"/>
        </w:rPr>
      </w:pPr>
      <w:r w:rsidRPr="0043654C">
        <w:rPr>
          <w:noProof/>
          <w:szCs w:val="22"/>
          <w:lang w:val="sr-Latn-ME"/>
        </w:rPr>
        <w:t>Veoma rijetka (&lt; 1/10 000)</w:t>
      </w:r>
    </w:p>
    <w:p w14:paraId="52E03DB9" w14:textId="77777777" w:rsidR="00257763" w:rsidRPr="0043654C" w:rsidRDefault="00D426A3" w:rsidP="00A30145">
      <w:pPr>
        <w:widowControl w:val="0"/>
        <w:numPr>
          <w:ilvl w:val="0"/>
          <w:numId w:val="29"/>
        </w:numPr>
        <w:jc w:val="both"/>
        <w:rPr>
          <w:noProof/>
          <w:szCs w:val="22"/>
          <w:lang w:val="sr-Latn-ME"/>
        </w:rPr>
      </w:pPr>
      <w:r w:rsidRPr="0043654C">
        <w:rPr>
          <w:noProof/>
          <w:szCs w:val="22"/>
          <w:lang w:val="sr-Latn-ME"/>
        </w:rPr>
        <w:t>Nepoznata (učestalost se ne može utvrditi na osnovu dostupnih podataka)</w:t>
      </w:r>
    </w:p>
    <w:p w14:paraId="7FACC3D6" w14:textId="77777777" w:rsidR="00257763" w:rsidRPr="0043654C" w:rsidRDefault="00257763" w:rsidP="00A30145">
      <w:pPr>
        <w:widowControl w:val="0"/>
        <w:jc w:val="both"/>
        <w:rPr>
          <w:iCs/>
          <w:szCs w:val="22"/>
          <w:lang w:val="sr-Latn-ME"/>
        </w:rPr>
      </w:pPr>
    </w:p>
    <w:p w14:paraId="21E1DC95" w14:textId="77777777" w:rsidR="00257763" w:rsidRPr="0043654C" w:rsidRDefault="00D426A3" w:rsidP="00A30145">
      <w:pPr>
        <w:jc w:val="both"/>
        <w:rPr>
          <w:szCs w:val="22"/>
          <w:u w:val="single"/>
          <w:lang w:val="sr-Latn-ME"/>
        </w:rPr>
      </w:pPr>
      <w:r w:rsidRPr="0043654C">
        <w:rPr>
          <w:szCs w:val="22"/>
          <w:u w:val="single"/>
          <w:lang w:val="sr-Latn-ME"/>
        </w:rPr>
        <w:t>Sažetak bezbjednosnog profila</w:t>
      </w:r>
    </w:p>
    <w:p w14:paraId="70D81312"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U kontrolisanim kliničkim studijama sa valsartanom kod odraslih pacijenata sa hipertenzijom ukupna incidencija neželjenih reakcija bila je uporediva sa placebom i u skladu je sa farmakologijom valsartana. Čini se da učestalost neželjenih reakcija nije povezana sa dozom ili trajanjem liječenja, a takođe nije pokazana povezanost sa polom, dobi ili rasom. Neželjene reakcije prijavljene u kliničkim studijama sa valsartanom, postmarketinškim iskustvima i laboratorijskim nalazima navedeni su u nastavku prema klasi organskih sistema.</w:t>
      </w:r>
    </w:p>
    <w:p w14:paraId="2C609CAA"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1166FACE"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 xml:space="preserve">Najčešće prijavljivane neželjene reakcije pri liječenju indapamidom su hipokalijemija, reakcije </w:t>
      </w:r>
      <w:r w:rsidRPr="0043654C">
        <w:rPr>
          <w:rFonts w:eastAsia="Calibri"/>
          <w:noProof/>
          <w:szCs w:val="22"/>
          <w:lang w:val="sr-Latn-ME"/>
        </w:rPr>
        <w:lastRenderedPageBreak/>
        <w:t>preosjetljivosti, uglavnom dermatološke, kod osoba sa predispozicijom za alergijske i astmatične reakcije i makulopapulozni osip. Većina neželjenih reakcija koje se tiču ​​kliničkih ili laboratorijskih parametara zavisi od doze.</w:t>
      </w:r>
    </w:p>
    <w:p w14:paraId="36B06A88"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28F3B801" w14:textId="77777777" w:rsidR="00257763" w:rsidRPr="0043654C" w:rsidRDefault="00D426A3" w:rsidP="00A30145">
      <w:pPr>
        <w:autoSpaceDE w:val="0"/>
        <w:autoSpaceDN w:val="0"/>
        <w:adjustRightInd w:val="0"/>
        <w:contextualSpacing/>
        <w:jc w:val="both"/>
        <w:rPr>
          <w:rFonts w:eastAsia="Calibri"/>
          <w:szCs w:val="22"/>
          <w:u w:val="single"/>
          <w:lang w:val="sr-Latn-ME"/>
        </w:rPr>
      </w:pPr>
      <w:r w:rsidRPr="0043654C">
        <w:rPr>
          <w:rFonts w:eastAsia="Calibri"/>
          <w:szCs w:val="22"/>
          <w:u w:val="single"/>
          <w:lang w:val="sr-Latn-ME"/>
        </w:rPr>
        <w:t>Tabelarni sažetak neželjenih reakcija</w:t>
      </w:r>
    </w:p>
    <w:p w14:paraId="28E6B49D" w14:textId="77777777" w:rsidR="00257763" w:rsidRPr="0043654C" w:rsidRDefault="00257763" w:rsidP="00A30145">
      <w:pPr>
        <w:autoSpaceDE w:val="0"/>
        <w:autoSpaceDN w:val="0"/>
        <w:adjustRightInd w:val="0"/>
        <w:jc w:val="both"/>
        <w:rPr>
          <w:i/>
          <w:szCs w:val="22"/>
          <w:lang w:val="sr-Latn-ME"/>
        </w:rPr>
      </w:pPr>
    </w:p>
    <w:p w14:paraId="35ABB1FE" w14:textId="77777777" w:rsidR="00257763" w:rsidRPr="0043654C" w:rsidRDefault="00D426A3" w:rsidP="00A30145">
      <w:pPr>
        <w:autoSpaceDE w:val="0"/>
        <w:autoSpaceDN w:val="0"/>
        <w:adjustRightInd w:val="0"/>
        <w:jc w:val="both"/>
        <w:rPr>
          <w:szCs w:val="22"/>
          <w:lang w:val="sr-Latn-ME"/>
        </w:rPr>
      </w:pPr>
      <w:r w:rsidRPr="0043654C">
        <w:rPr>
          <w:szCs w:val="22"/>
          <w:lang w:val="sr-Latn-ME"/>
        </w:rPr>
        <w:t>Unutar svake grupe učestalosti neželjene reakcije su prikazane prema opadajućoj ozbiljnosti.</w:t>
      </w:r>
    </w:p>
    <w:p w14:paraId="16D837A4" w14:textId="77777777" w:rsidR="00257763" w:rsidRPr="0043654C" w:rsidRDefault="00257763" w:rsidP="00A30145">
      <w:pPr>
        <w:autoSpaceDE w:val="0"/>
        <w:autoSpaceDN w:val="0"/>
        <w:adjustRightInd w:val="0"/>
        <w:jc w:val="both"/>
        <w:rPr>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3830"/>
        <w:gridCol w:w="1276"/>
        <w:gridCol w:w="1411"/>
      </w:tblGrid>
      <w:tr w:rsidR="00257763" w:rsidRPr="0043654C" w14:paraId="2F5A3B29" w14:textId="77777777">
        <w:trPr>
          <w:trHeight w:val="689"/>
          <w:jc w:val="center"/>
        </w:trPr>
        <w:tc>
          <w:tcPr>
            <w:tcW w:w="2544" w:type="dxa"/>
            <w:tcBorders>
              <w:bottom w:val="single" w:sz="4" w:space="0" w:color="auto"/>
            </w:tcBorders>
            <w:vAlign w:val="center"/>
          </w:tcPr>
          <w:p w14:paraId="7FDB444C" w14:textId="77777777" w:rsidR="00257763" w:rsidRPr="0043654C" w:rsidRDefault="00D426A3" w:rsidP="00A30145">
            <w:pPr>
              <w:jc w:val="both"/>
              <w:rPr>
                <w:b/>
                <w:bCs/>
                <w:szCs w:val="22"/>
                <w:lang w:val="sr-Latn-ME"/>
              </w:rPr>
            </w:pPr>
            <w:r w:rsidRPr="0043654C">
              <w:rPr>
                <w:b/>
                <w:bCs/>
                <w:szCs w:val="22"/>
                <w:lang w:val="sr-Latn-ME"/>
              </w:rPr>
              <w:t>MedDRA</w:t>
            </w:r>
          </w:p>
          <w:p w14:paraId="19D820E1" w14:textId="77777777" w:rsidR="00257763" w:rsidRPr="0043654C" w:rsidRDefault="00D426A3" w:rsidP="00A30145">
            <w:pPr>
              <w:jc w:val="both"/>
              <w:rPr>
                <w:b/>
                <w:bCs/>
                <w:szCs w:val="22"/>
                <w:lang w:val="sr-Latn-ME"/>
              </w:rPr>
            </w:pPr>
            <w:r w:rsidRPr="0043654C">
              <w:rPr>
                <w:b/>
                <w:bCs/>
                <w:szCs w:val="22"/>
                <w:lang w:val="sr-Latn-ME"/>
              </w:rPr>
              <w:t>klasifikacija Sistema organa</w:t>
            </w:r>
          </w:p>
        </w:tc>
        <w:tc>
          <w:tcPr>
            <w:tcW w:w="3830" w:type="dxa"/>
            <w:vAlign w:val="center"/>
          </w:tcPr>
          <w:p w14:paraId="13722897" w14:textId="77777777" w:rsidR="00257763" w:rsidRPr="0043654C" w:rsidRDefault="00D426A3" w:rsidP="00A30145">
            <w:pPr>
              <w:jc w:val="both"/>
              <w:rPr>
                <w:b/>
                <w:bCs/>
                <w:szCs w:val="22"/>
                <w:lang w:val="sr-Latn-ME"/>
              </w:rPr>
            </w:pPr>
            <w:r w:rsidRPr="0043654C">
              <w:rPr>
                <w:b/>
                <w:bCs/>
                <w:szCs w:val="22"/>
                <w:lang w:val="sr-Latn-ME"/>
              </w:rPr>
              <w:t>Neželjena dejstva</w:t>
            </w:r>
          </w:p>
        </w:tc>
        <w:tc>
          <w:tcPr>
            <w:tcW w:w="1276" w:type="dxa"/>
          </w:tcPr>
          <w:p w14:paraId="1D8BDBF6" w14:textId="77777777" w:rsidR="00257763" w:rsidRPr="0043654C" w:rsidRDefault="00D426A3" w:rsidP="00A30145">
            <w:pPr>
              <w:jc w:val="both"/>
              <w:rPr>
                <w:b/>
                <w:bCs/>
                <w:szCs w:val="22"/>
                <w:lang w:val="sr-Latn-ME"/>
              </w:rPr>
            </w:pPr>
            <w:r w:rsidRPr="0043654C">
              <w:rPr>
                <w:b/>
                <w:bCs/>
                <w:szCs w:val="22"/>
                <w:lang w:val="sr-Latn-ME"/>
              </w:rPr>
              <w:t>Valsartan</w:t>
            </w:r>
          </w:p>
        </w:tc>
        <w:tc>
          <w:tcPr>
            <w:tcW w:w="1411" w:type="dxa"/>
          </w:tcPr>
          <w:p w14:paraId="19821B33" w14:textId="77777777" w:rsidR="00257763" w:rsidRPr="0043654C" w:rsidRDefault="00D426A3" w:rsidP="00A30145">
            <w:pPr>
              <w:jc w:val="both"/>
              <w:rPr>
                <w:b/>
                <w:bCs/>
                <w:szCs w:val="22"/>
                <w:lang w:val="sr-Latn-ME"/>
              </w:rPr>
            </w:pPr>
            <w:r w:rsidRPr="0043654C">
              <w:rPr>
                <w:b/>
                <w:bCs/>
                <w:szCs w:val="22"/>
                <w:lang w:val="sr-Latn-ME"/>
              </w:rPr>
              <w:t>Indapamid</w:t>
            </w:r>
          </w:p>
        </w:tc>
      </w:tr>
      <w:tr w:rsidR="00257763" w:rsidRPr="0043654C" w14:paraId="3F991AC3" w14:textId="77777777">
        <w:trPr>
          <w:trHeight w:val="278"/>
          <w:jc w:val="center"/>
        </w:trPr>
        <w:tc>
          <w:tcPr>
            <w:tcW w:w="2544" w:type="dxa"/>
            <w:vMerge w:val="restart"/>
            <w:tcBorders>
              <w:top w:val="single" w:sz="4" w:space="0" w:color="auto"/>
            </w:tcBorders>
            <w:vAlign w:val="center"/>
          </w:tcPr>
          <w:p w14:paraId="339C603F" w14:textId="77777777" w:rsidR="00257763" w:rsidRPr="0043654C" w:rsidRDefault="00D426A3" w:rsidP="00A30145">
            <w:pPr>
              <w:jc w:val="both"/>
              <w:rPr>
                <w:bCs/>
                <w:i/>
                <w:szCs w:val="22"/>
                <w:lang w:val="sr-Latn-ME"/>
              </w:rPr>
            </w:pPr>
            <w:r w:rsidRPr="0043654C">
              <w:rPr>
                <w:bCs/>
                <w:i/>
                <w:szCs w:val="22"/>
                <w:lang w:val="sr-Latn-ME"/>
              </w:rPr>
              <w:t>Poremećaji krvi i limfnog sistema</w:t>
            </w:r>
          </w:p>
        </w:tc>
        <w:tc>
          <w:tcPr>
            <w:tcW w:w="3830" w:type="dxa"/>
            <w:tcBorders>
              <w:top w:val="single" w:sz="4" w:space="0" w:color="auto"/>
            </w:tcBorders>
            <w:vAlign w:val="center"/>
          </w:tcPr>
          <w:p w14:paraId="11252E40" w14:textId="77777777" w:rsidR="00257763" w:rsidRPr="0043654C" w:rsidRDefault="00D426A3" w:rsidP="00A30145">
            <w:pPr>
              <w:jc w:val="both"/>
              <w:rPr>
                <w:szCs w:val="22"/>
                <w:lang w:val="sr-Latn-ME"/>
              </w:rPr>
            </w:pPr>
            <w:r w:rsidRPr="0043654C">
              <w:rPr>
                <w:szCs w:val="22"/>
                <w:lang w:val="sr-Latn-ME"/>
              </w:rPr>
              <w:t>Agranulocitoza</w:t>
            </w:r>
          </w:p>
        </w:tc>
        <w:tc>
          <w:tcPr>
            <w:tcW w:w="1276" w:type="dxa"/>
            <w:tcBorders>
              <w:top w:val="single" w:sz="4" w:space="0" w:color="auto"/>
            </w:tcBorders>
            <w:vAlign w:val="center"/>
          </w:tcPr>
          <w:p w14:paraId="5A6C0D2A" w14:textId="77777777" w:rsidR="00257763" w:rsidRPr="0043654C" w:rsidRDefault="00D426A3" w:rsidP="00A30145">
            <w:pPr>
              <w:jc w:val="both"/>
              <w:rPr>
                <w:szCs w:val="22"/>
                <w:lang w:val="sr-Latn-ME"/>
              </w:rPr>
            </w:pPr>
            <w:r w:rsidRPr="0043654C">
              <w:rPr>
                <w:szCs w:val="22"/>
                <w:lang w:val="sr-Latn-ME"/>
              </w:rPr>
              <w:t>–</w:t>
            </w:r>
          </w:p>
        </w:tc>
        <w:tc>
          <w:tcPr>
            <w:tcW w:w="1411" w:type="dxa"/>
            <w:tcBorders>
              <w:top w:val="single" w:sz="4" w:space="0" w:color="auto"/>
            </w:tcBorders>
            <w:vAlign w:val="center"/>
          </w:tcPr>
          <w:p w14:paraId="7E41DBC5" w14:textId="77777777" w:rsidR="00257763" w:rsidRPr="0043654C" w:rsidRDefault="00D426A3" w:rsidP="00A30145">
            <w:pPr>
              <w:jc w:val="both"/>
              <w:rPr>
                <w:szCs w:val="22"/>
                <w:lang w:val="sr-Latn-ME"/>
              </w:rPr>
            </w:pPr>
            <w:r w:rsidRPr="0043654C">
              <w:rPr>
                <w:szCs w:val="22"/>
                <w:lang w:val="sr-Latn-ME"/>
              </w:rPr>
              <w:t>Veoma rijetko</w:t>
            </w:r>
          </w:p>
        </w:tc>
      </w:tr>
      <w:tr w:rsidR="00257763" w:rsidRPr="0043654C" w14:paraId="4F5D6F33" w14:textId="77777777">
        <w:trPr>
          <w:trHeight w:val="278"/>
          <w:jc w:val="center"/>
        </w:trPr>
        <w:tc>
          <w:tcPr>
            <w:tcW w:w="2544" w:type="dxa"/>
            <w:vMerge/>
            <w:vAlign w:val="center"/>
          </w:tcPr>
          <w:p w14:paraId="6FA490F7" w14:textId="77777777" w:rsidR="00257763" w:rsidRPr="0043654C" w:rsidRDefault="00257763" w:rsidP="00A30145">
            <w:pPr>
              <w:jc w:val="both"/>
              <w:rPr>
                <w:bCs/>
                <w:i/>
                <w:szCs w:val="22"/>
                <w:lang w:val="sr-Latn-ME"/>
              </w:rPr>
            </w:pPr>
          </w:p>
        </w:tc>
        <w:tc>
          <w:tcPr>
            <w:tcW w:w="3830" w:type="dxa"/>
            <w:tcBorders>
              <w:top w:val="single" w:sz="4" w:space="0" w:color="auto"/>
            </w:tcBorders>
            <w:vAlign w:val="center"/>
          </w:tcPr>
          <w:p w14:paraId="175A43AD" w14:textId="77777777" w:rsidR="00257763" w:rsidRPr="0043654C" w:rsidRDefault="00D426A3" w:rsidP="00A30145">
            <w:pPr>
              <w:jc w:val="both"/>
              <w:rPr>
                <w:szCs w:val="22"/>
                <w:lang w:val="sr-Latn-ME"/>
              </w:rPr>
            </w:pPr>
            <w:r w:rsidRPr="0043654C">
              <w:rPr>
                <w:szCs w:val="22"/>
                <w:lang w:val="sr-Latn-ME"/>
              </w:rPr>
              <w:t>Aplastična anemija</w:t>
            </w:r>
          </w:p>
        </w:tc>
        <w:tc>
          <w:tcPr>
            <w:tcW w:w="1276" w:type="dxa"/>
            <w:tcBorders>
              <w:top w:val="single" w:sz="4" w:space="0" w:color="auto"/>
            </w:tcBorders>
            <w:vAlign w:val="center"/>
          </w:tcPr>
          <w:p w14:paraId="7CE305B5" w14:textId="77777777" w:rsidR="00257763" w:rsidRPr="0043654C" w:rsidRDefault="00D426A3" w:rsidP="00A30145">
            <w:pPr>
              <w:jc w:val="both"/>
              <w:rPr>
                <w:szCs w:val="22"/>
                <w:lang w:val="sr-Latn-ME"/>
              </w:rPr>
            </w:pPr>
            <w:r w:rsidRPr="0043654C">
              <w:rPr>
                <w:szCs w:val="22"/>
                <w:lang w:val="sr-Latn-ME"/>
              </w:rPr>
              <w:t>–</w:t>
            </w:r>
          </w:p>
        </w:tc>
        <w:tc>
          <w:tcPr>
            <w:tcW w:w="1411" w:type="dxa"/>
            <w:tcBorders>
              <w:top w:val="single" w:sz="4" w:space="0" w:color="auto"/>
            </w:tcBorders>
            <w:vAlign w:val="center"/>
          </w:tcPr>
          <w:p w14:paraId="2C5EE3FF" w14:textId="77777777" w:rsidR="00257763" w:rsidRPr="0043654C" w:rsidRDefault="00D426A3" w:rsidP="00A30145">
            <w:pPr>
              <w:jc w:val="both"/>
              <w:rPr>
                <w:szCs w:val="22"/>
                <w:lang w:val="sr-Latn-ME"/>
              </w:rPr>
            </w:pPr>
            <w:r w:rsidRPr="0043654C">
              <w:rPr>
                <w:szCs w:val="22"/>
                <w:lang w:val="sr-Latn-ME"/>
              </w:rPr>
              <w:t>Veoma rijetko</w:t>
            </w:r>
          </w:p>
        </w:tc>
      </w:tr>
      <w:tr w:rsidR="00257763" w:rsidRPr="0043654C" w14:paraId="73EF4B43" w14:textId="77777777">
        <w:trPr>
          <w:trHeight w:val="278"/>
          <w:jc w:val="center"/>
        </w:trPr>
        <w:tc>
          <w:tcPr>
            <w:tcW w:w="2544" w:type="dxa"/>
            <w:vMerge/>
            <w:vAlign w:val="center"/>
          </w:tcPr>
          <w:p w14:paraId="4E7FCEE5" w14:textId="77777777" w:rsidR="00257763" w:rsidRPr="0043654C" w:rsidRDefault="00257763" w:rsidP="00A30145">
            <w:pPr>
              <w:jc w:val="both"/>
              <w:rPr>
                <w:bCs/>
                <w:i/>
                <w:szCs w:val="22"/>
                <w:lang w:val="sr-Latn-ME"/>
              </w:rPr>
            </w:pPr>
          </w:p>
        </w:tc>
        <w:tc>
          <w:tcPr>
            <w:tcW w:w="3830" w:type="dxa"/>
            <w:tcBorders>
              <w:top w:val="single" w:sz="4" w:space="0" w:color="auto"/>
            </w:tcBorders>
            <w:vAlign w:val="center"/>
          </w:tcPr>
          <w:p w14:paraId="1830F917" w14:textId="77777777" w:rsidR="00257763" w:rsidRPr="0043654C" w:rsidRDefault="00D426A3" w:rsidP="00A30145">
            <w:pPr>
              <w:jc w:val="both"/>
              <w:rPr>
                <w:szCs w:val="22"/>
                <w:lang w:val="sr-Latn-ME"/>
              </w:rPr>
            </w:pPr>
            <w:r w:rsidRPr="0043654C">
              <w:rPr>
                <w:szCs w:val="22"/>
                <w:lang w:val="sr-Latn-ME"/>
              </w:rPr>
              <w:t>Hemolitička anemija</w:t>
            </w:r>
          </w:p>
        </w:tc>
        <w:tc>
          <w:tcPr>
            <w:tcW w:w="1276" w:type="dxa"/>
            <w:tcBorders>
              <w:top w:val="single" w:sz="4" w:space="0" w:color="auto"/>
            </w:tcBorders>
            <w:vAlign w:val="center"/>
          </w:tcPr>
          <w:p w14:paraId="29D0AF4A" w14:textId="77777777" w:rsidR="00257763" w:rsidRPr="0043654C" w:rsidRDefault="00D426A3" w:rsidP="00A30145">
            <w:pPr>
              <w:jc w:val="both"/>
              <w:rPr>
                <w:szCs w:val="22"/>
                <w:lang w:val="sr-Latn-ME"/>
              </w:rPr>
            </w:pPr>
            <w:r w:rsidRPr="0043654C">
              <w:rPr>
                <w:szCs w:val="22"/>
                <w:lang w:val="sr-Latn-ME"/>
              </w:rPr>
              <w:t>–</w:t>
            </w:r>
          </w:p>
        </w:tc>
        <w:tc>
          <w:tcPr>
            <w:tcW w:w="1411" w:type="dxa"/>
            <w:tcBorders>
              <w:top w:val="single" w:sz="4" w:space="0" w:color="auto"/>
            </w:tcBorders>
            <w:vAlign w:val="center"/>
          </w:tcPr>
          <w:p w14:paraId="45E16BBF" w14:textId="77777777" w:rsidR="00257763" w:rsidRPr="0043654C" w:rsidRDefault="00D426A3" w:rsidP="00A30145">
            <w:pPr>
              <w:jc w:val="both"/>
              <w:rPr>
                <w:szCs w:val="22"/>
                <w:lang w:val="sr-Latn-ME"/>
              </w:rPr>
            </w:pPr>
            <w:r w:rsidRPr="0043654C">
              <w:rPr>
                <w:szCs w:val="22"/>
                <w:lang w:val="sr-Latn-ME"/>
              </w:rPr>
              <w:t>Veoma rijetko</w:t>
            </w:r>
          </w:p>
        </w:tc>
      </w:tr>
      <w:tr w:rsidR="00257763" w:rsidRPr="0043654C" w14:paraId="3E585F8E" w14:textId="77777777">
        <w:trPr>
          <w:trHeight w:val="277"/>
          <w:jc w:val="center"/>
        </w:trPr>
        <w:tc>
          <w:tcPr>
            <w:tcW w:w="2544" w:type="dxa"/>
            <w:vMerge/>
            <w:vAlign w:val="center"/>
          </w:tcPr>
          <w:p w14:paraId="3E27311E" w14:textId="77777777" w:rsidR="00257763" w:rsidRPr="0043654C" w:rsidRDefault="00257763" w:rsidP="00A30145">
            <w:pPr>
              <w:jc w:val="both"/>
              <w:rPr>
                <w:i/>
                <w:szCs w:val="22"/>
                <w:lang w:val="sr-Latn-ME"/>
              </w:rPr>
            </w:pPr>
          </w:p>
        </w:tc>
        <w:tc>
          <w:tcPr>
            <w:tcW w:w="3830" w:type="dxa"/>
            <w:vAlign w:val="center"/>
          </w:tcPr>
          <w:p w14:paraId="00941568" w14:textId="77777777" w:rsidR="00257763" w:rsidRPr="0043654C" w:rsidRDefault="00D426A3" w:rsidP="00A30145">
            <w:pPr>
              <w:jc w:val="both"/>
              <w:rPr>
                <w:szCs w:val="22"/>
                <w:lang w:val="sr-Latn-ME"/>
              </w:rPr>
            </w:pPr>
            <w:r w:rsidRPr="0043654C">
              <w:rPr>
                <w:szCs w:val="22"/>
                <w:lang w:val="sr-Latn-ME"/>
              </w:rPr>
              <w:t>Leukopenija</w:t>
            </w:r>
          </w:p>
        </w:tc>
        <w:tc>
          <w:tcPr>
            <w:tcW w:w="1276" w:type="dxa"/>
            <w:vAlign w:val="center"/>
          </w:tcPr>
          <w:p w14:paraId="4C05F186"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1B0F8B1C" w14:textId="77777777" w:rsidR="00257763" w:rsidRPr="0043654C" w:rsidRDefault="00D426A3" w:rsidP="00A30145">
            <w:pPr>
              <w:jc w:val="both"/>
              <w:rPr>
                <w:szCs w:val="22"/>
                <w:lang w:val="sr-Latn-ME"/>
              </w:rPr>
            </w:pPr>
            <w:r w:rsidRPr="0043654C">
              <w:rPr>
                <w:szCs w:val="22"/>
                <w:lang w:val="sr-Latn-ME"/>
              </w:rPr>
              <w:t>Veoma rijetko</w:t>
            </w:r>
          </w:p>
        </w:tc>
      </w:tr>
      <w:tr w:rsidR="00257763" w:rsidRPr="0043654C" w14:paraId="52C5451F" w14:textId="77777777">
        <w:trPr>
          <w:trHeight w:val="277"/>
          <w:jc w:val="center"/>
        </w:trPr>
        <w:tc>
          <w:tcPr>
            <w:tcW w:w="2544" w:type="dxa"/>
            <w:vMerge/>
            <w:vAlign w:val="center"/>
          </w:tcPr>
          <w:p w14:paraId="5F568EC5" w14:textId="77777777" w:rsidR="00257763" w:rsidRPr="0043654C" w:rsidRDefault="00257763" w:rsidP="00A30145">
            <w:pPr>
              <w:jc w:val="both"/>
              <w:rPr>
                <w:i/>
                <w:szCs w:val="22"/>
                <w:lang w:val="sr-Latn-ME"/>
              </w:rPr>
            </w:pPr>
          </w:p>
        </w:tc>
        <w:tc>
          <w:tcPr>
            <w:tcW w:w="3830" w:type="dxa"/>
            <w:vAlign w:val="center"/>
          </w:tcPr>
          <w:p w14:paraId="16B000A6" w14:textId="77777777" w:rsidR="00257763" w:rsidRPr="0043654C" w:rsidRDefault="00D426A3" w:rsidP="00A30145">
            <w:pPr>
              <w:jc w:val="both"/>
              <w:rPr>
                <w:szCs w:val="22"/>
                <w:lang w:val="sr-Latn-ME"/>
              </w:rPr>
            </w:pPr>
            <w:r w:rsidRPr="0043654C">
              <w:rPr>
                <w:szCs w:val="22"/>
                <w:lang w:val="sr-Latn-ME"/>
              </w:rPr>
              <w:t>Trombocitopenija</w:t>
            </w:r>
          </w:p>
        </w:tc>
        <w:tc>
          <w:tcPr>
            <w:tcW w:w="1276" w:type="dxa"/>
            <w:vAlign w:val="center"/>
          </w:tcPr>
          <w:p w14:paraId="7915950D" w14:textId="77777777" w:rsidR="00257763" w:rsidRPr="0043654C" w:rsidRDefault="00D426A3" w:rsidP="00A30145">
            <w:pPr>
              <w:jc w:val="both"/>
              <w:rPr>
                <w:szCs w:val="22"/>
                <w:lang w:val="sr-Latn-ME"/>
              </w:rPr>
            </w:pPr>
            <w:r w:rsidRPr="0043654C">
              <w:rPr>
                <w:szCs w:val="22"/>
                <w:lang w:val="sr-Latn-ME"/>
              </w:rPr>
              <w:t>Nepoznato</w:t>
            </w:r>
          </w:p>
        </w:tc>
        <w:tc>
          <w:tcPr>
            <w:tcW w:w="1411" w:type="dxa"/>
            <w:vAlign w:val="center"/>
          </w:tcPr>
          <w:p w14:paraId="4C040F21" w14:textId="77777777" w:rsidR="00257763" w:rsidRPr="0043654C" w:rsidRDefault="00D426A3" w:rsidP="00A30145">
            <w:pPr>
              <w:jc w:val="both"/>
              <w:rPr>
                <w:szCs w:val="22"/>
                <w:lang w:val="sr-Latn-ME"/>
              </w:rPr>
            </w:pPr>
            <w:r w:rsidRPr="0043654C">
              <w:rPr>
                <w:szCs w:val="22"/>
                <w:lang w:val="sr-Latn-ME"/>
              </w:rPr>
              <w:t>Veoma rijetko</w:t>
            </w:r>
          </w:p>
        </w:tc>
      </w:tr>
      <w:tr w:rsidR="00257763" w:rsidRPr="0043654C" w14:paraId="10072D4E" w14:textId="77777777">
        <w:trPr>
          <w:trHeight w:val="277"/>
          <w:jc w:val="center"/>
        </w:trPr>
        <w:tc>
          <w:tcPr>
            <w:tcW w:w="2544" w:type="dxa"/>
            <w:vMerge/>
            <w:vAlign w:val="center"/>
          </w:tcPr>
          <w:p w14:paraId="74F991D2" w14:textId="77777777" w:rsidR="00257763" w:rsidRPr="0043654C" w:rsidRDefault="00257763" w:rsidP="00A30145">
            <w:pPr>
              <w:jc w:val="both"/>
              <w:rPr>
                <w:i/>
                <w:szCs w:val="22"/>
                <w:lang w:val="sr-Latn-ME"/>
              </w:rPr>
            </w:pPr>
          </w:p>
        </w:tc>
        <w:tc>
          <w:tcPr>
            <w:tcW w:w="3830" w:type="dxa"/>
            <w:vAlign w:val="center"/>
          </w:tcPr>
          <w:p w14:paraId="255C2425" w14:textId="77777777" w:rsidR="00257763" w:rsidRPr="0043654C" w:rsidRDefault="00D426A3" w:rsidP="00A30145">
            <w:pPr>
              <w:jc w:val="both"/>
              <w:rPr>
                <w:szCs w:val="22"/>
                <w:lang w:val="sr-Latn-ME"/>
              </w:rPr>
            </w:pPr>
            <w:r w:rsidRPr="0043654C">
              <w:rPr>
                <w:szCs w:val="22"/>
                <w:lang w:val="sr-Latn-ME"/>
              </w:rPr>
              <w:t>Smanjenje hemoglobina, smanjenje hematokrita, neutropenija</w:t>
            </w:r>
          </w:p>
        </w:tc>
        <w:tc>
          <w:tcPr>
            <w:tcW w:w="1276" w:type="dxa"/>
            <w:vAlign w:val="center"/>
          </w:tcPr>
          <w:p w14:paraId="5AE366D9" w14:textId="77777777" w:rsidR="00257763" w:rsidRPr="0043654C" w:rsidRDefault="00D426A3" w:rsidP="00A30145">
            <w:pPr>
              <w:jc w:val="both"/>
              <w:rPr>
                <w:szCs w:val="22"/>
                <w:lang w:val="sr-Latn-ME"/>
              </w:rPr>
            </w:pPr>
            <w:r w:rsidRPr="0043654C">
              <w:rPr>
                <w:szCs w:val="22"/>
                <w:lang w:val="sr-Latn-ME"/>
              </w:rPr>
              <w:t>Nepoznato</w:t>
            </w:r>
          </w:p>
        </w:tc>
        <w:tc>
          <w:tcPr>
            <w:tcW w:w="1411" w:type="dxa"/>
            <w:vAlign w:val="center"/>
          </w:tcPr>
          <w:p w14:paraId="60ED70A4" w14:textId="77777777" w:rsidR="00257763" w:rsidRPr="0043654C" w:rsidRDefault="00D426A3" w:rsidP="00A30145">
            <w:pPr>
              <w:jc w:val="both"/>
              <w:rPr>
                <w:szCs w:val="22"/>
                <w:lang w:val="sr-Latn-ME"/>
              </w:rPr>
            </w:pPr>
            <w:r w:rsidRPr="0043654C">
              <w:rPr>
                <w:szCs w:val="22"/>
                <w:lang w:val="sr-Latn-ME"/>
              </w:rPr>
              <w:t>–</w:t>
            </w:r>
          </w:p>
        </w:tc>
      </w:tr>
      <w:tr w:rsidR="00257763" w:rsidRPr="0043654C" w14:paraId="7A3C971E" w14:textId="77777777">
        <w:trPr>
          <w:trHeight w:val="277"/>
          <w:jc w:val="center"/>
        </w:trPr>
        <w:tc>
          <w:tcPr>
            <w:tcW w:w="2544" w:type="dxa"/>
            <w:vAlign w:val="center"/>
          </w:tcPr>
          <w:p w14:paraId="7E61C81F" w14:textId="77777777" w:rsidR="00257763" w:rsidRPr="0043654C" w:rsidRDefault="00D426A3" w:rsidP="00A30145">
            <w:pPr>
              <w:jc w:val="both"/>
              <w:rPr>
                <w:i/>
                <w:szCs w:val="22"/>
                <w:lang w:val="sr-Latn-ME"/>
              </w:rPr>
            </w:pPr>
            <w:r w:rsidRPr="0043654C">
              <w:rPr>
                <w:i/>
                <w:szCs w:val="22"/>
                <w:lang w:val="sr-Latn-ME"/>
              </w:rPr>
              <w:t>Imunološki poremećaji</w:t>
            </w:r>
          </w:p>
        </w:tc>
        <w:tc>
          <w:tcPr>
            <w:tcW w:w="3830" w:type="dxa"/>
            <w:vAlign w:val="center"/>
          </w:tcPr>
          <w:p w14:paraId="084755B6" w14:textId="77777777" w:rsidR="00257763" w:rsidRPr="0043654C" w:rsidRDefault="00D426A3" w:rsidP="00A30145">
            <w:pPr>
              <w:jc w:val="both"/>
              <w:rPr>
                <w:szCs w:val="22"/>
                <w:lang w:val="sr-Latn-ME"/>
              </w:rPr>
            </w:pPr>
            <w:r w:rsidRPr="0043654C">
              <w:rPr>
                <w:szCs w:val="22"/>
                <w:lang w:val="sr-Latn-ME"/>
              </w:rPr>
              <w:t>Hipersenzitivnost uključujući serumsku bolest</w:t>
            </w:r>
          </w:p>
        </w:tc>
        <w:tc>
          <w:tcPr>
            <w:tcW w:w="1276" w:type="dxa"/>
            <w:vAlign w:val="center"/>
          </w:tcPr>
          <w:p w14:paraId="33AFD1C1" w14:textId="77777777" w:rsidR="00257763" w:rsidRPr="0043654C" w:rsidRDefault="00D426A3" w:rsidP="00A30145">
            <w:pPr>
              <w:jc w:val="both"/>
              <w:rPr>
                <w:szCs w:val="22"/>
                <w:lang w:val="sr-Latn-ME"/>
              </w:rPr>
            </w:pPr>
            <w:r w:rsidRPr="0043654C">
              <w:rPr>
                <w:szCs w:val="22"/>
                <w:lang w:val="sr-Latn-ME"/>
              </w:rPr>
              <w:t>Nepoznato</w:t>
            </w:r>
          </w:p>
        </w:tc>
        <w:tc>
          <w:tcPr>
            <w:tcW w:w="1411" w:type="dxa"/>
            <w:vAlign w:val="center"/>
          </w:tcPr>
          <w:p w14:paraId="7B0E9A26" w14:textId="77777777" w:rsidR="00257763" w:rsidRPr="0043654C" w:rsidRDefault="00D426A3" w:rsidP="00A30145">
            <w:pPr>
              <w:jc w:val="both"/>
              <w:rPr>
                <w:szCs w:val="22"/>
                <w:lang w:val="sr-Latn-ME"/>
              </w:rPr>
            </w:pPr>
            <w:r w:rsidRPr="0043654C">
              <w:rPr>
                <w:szCs w:val="22"/>
                <w:lang w:val="sr-Latn-ME"/>
              </w:rPr>
              <w:t>–</w:t>
            </w:r>
          </w:p>
        </w:tc>
      </w:tr>
      <w:tr w:rsidR="00257763" w:rsidRPr="0043654C" w14:paraId="723D42BB" w14:textId="77777777">
        <w:trPr>
          <w:trHeight w:val="342"/>
          <w:jc w:val="center"/>
        </w:trPr>
        <w:tc>
          <w:tcPr>
            <w:tcW w:w="2544" w:type="dxa"/>
            <w:vMerge w:val="restart"/>
            <w:vAlign w:val="center"/>
          </w:tcPr>
          <w:p w14:paraId="017E48B9" w14:textId="77777777" w:rsidR="00257763" w:rsidRPr="0043654C" w:rsidRDefault="00D426A3" w:rsidP="00A30145">
            <w:pPr>
              <w:jc w:val="both"/>
              <w:rPr>
                <w:bCs/>
                <w:i/>
                <w:szCs w:val="22"/>
                <w:lang w:val="sr-Latn-ME"/>
              </w:rPr>
            </w:pPr>
            <w:r w:rsidRPr="0043654C">
              <w:rPr>
                <w:bCs/>
                <w:i/>
                <w:szCs w:val="22"/>
                <w:lang w:val="sr-Latn-ME"/>
              </w:rPr>
              <w:t>Poremećaji metabolizma i ishrane</w:t>
            </w:r>
          </w:p>
        </w:tc>
        <w:tc>
          <w:tcPr>
            <w:tcW w:w="3830" w:type="dxa"/>
            <w:vAlign w:val="center"/>
          </w:tcPr>
          <w:p w14:paraId="64B88732" w14:textId="77777777" w:rsidR="00257763" w:rsidRPr="0043654C" w:rsidRDefault="00D426A3" w:rsidP="00A30145">
            <w:pPr>
              <w:jc w:val="both"/>
              <w:rPr>
                <w:szCs w:val="22"/>
                <w:lang w:val="sr-Latn-ME"/>
              </w:rPr>
            </w:pPr>
            <w:r w:rsidRPr="0043654C">
              <w:rPr>
                <w:szCs w:val="22"/>
                <w:lang w:val="sr-Latn-ME"/>
              </w:rPr>
              <w:t>Hiperkalcijemija</w:t>
            </w:r>
          </w:p>
        </w:tc>
        <w:tc>
          <w:tcPr>
            <w:tcW w:w="1276" w:type="dxa"/>
            <w:vAlign w:val="center"/>
          </w:tcPr>
          <w:p w14:paraId="16276687"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0095146D" w14:textId="77777777" w:rsidR="00257763" w:rsidRPr="0043654C" w:rsidRDefault="00D426A3" w:rsidP="00A30145">
            <w:pPr>
              <w:jc w:val="both"/>
              <w:rPr>
                <w:szCs w:val="22"/>
                <w:lang w:val="sr-Latn-ME"/>
              </w:rPr>
            </w:pPr>
            <w:r w:rsidRPr="0043654C">
              <w:rPr>
                <w:szCs w:val="22"/>
                <w:lang w:val="sr-Latn-ME"/>
              </w:rPr>
              <w:t>Veoma rijetko</w:t>
            </w:r>
          </w:p>
        </w:tc>
      </w:tr>
      <w:tr w:rsidR="00257763" w:rsidRPr="0043654C" w14:paraId="4F6871BB" w14:textId="77777777">
        <w:trPr>
          <w:trHeight w:val="342"/>
          <w:jc w:val="center"/>
        </w:trPr>
        <w:tc>
          <w:tcPr>
            <w:tcW w:w="2544" w:type="dxa"/>
            <w:vMerge/>
            <w:vAlign w:val="center"/>
          </w:tcPr>
          <w:p w14:paraId="3335F56C" w14:textId="77777777" w:rsidR="00257763" w:rsidRPr="0043654C" w:rsidRDefault="00257763" w:rsidP="00A30145">
            <w:pPr>
              <w:jc w:val="both"/>
              <w:rPr>
                <w:bCs/>
                <w:i/>
                <w:szCs w:val="22"/>
                <w:lang w:val="sr-Latn-ME"/>
              </w:rPr>
            </w:pPr>
          </w:p>
        </w:tc>
        <w:tc>
          <w:tcPr>
            <w:tcW w:w="3830" w:type="dxa"/>
            <w:vAlign w:val="center"/>
          </w:tcPr>
          <w:p w14:paraId="38150E6C" w14:textId="27BB5BC3" w:rsidR="00257763" w:rsidRPr="0043654C" w:rsidRDefault="00D426A3">
            <w:pPr>
              <w:jc w:val="both"/>
              <w:rPr>
                <w:szCs w:val="22"/>
                <w:lang w:val="sr-Latn-ME"/>
              </w:rPr>
            </w:pPr>
            <w:r w:rsidRPr="0043654C">
              <w:rPr>
                <w:szCs w:val="22"/>
                <w:lang w:val="sr-Latn-ME"/>
              </w:rPr>
              <w:t xml:space="preserve">Hipokalijemija (vidjeti </w:t>
            </w:r>
            <w:r w:rsidR="00AE03A2" w:rsidRPr="0043654C">
              <w:rPr>
                <w:szCs w:val="22"/>
                <w:lang w:val="sr-Latn-ME"/>
              </w:rPr>
              <w:t xml:space="preserve">dio </w:t>
            </w:r>
            <w:r w:rsidRPr="0043654C">
              <w:rPr>
                <w:szCs w:val="22"/>
                <w:lang w:val="sr-Latn-ME"/>
              </w:rPr>
              <w:t>4.4)</w:t>
            </w:r>
          </w:p>
        </w:tc>
        <w:tc>
          <w:tcPr>
            <w:tcW w:w="1276" w:type="dxa"/>
            <w:vAlign w:val="center"/>
          </w:tcPr>
          <w:p w14:paraId="1AD70513"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45EA7A73" w14:textId="77777777" w:rsidR="00257763" w:rsidRPr="0043654C" w:rsidRDefault="00D426A3" w:rsidP="00A30145">
            <w:pPr>
              <w:jc w:val="both"/>
              <w:rPr>
                <w:szCs w:val="22"/>
                <w:lang w:val="sr-Latn-ME"/>
              </w:rPr>
            </w:pPr>
            <w:r w:rsidRPr="0043654C">
              <w:rPr>
                <w:szCs w:val="22"/>
                <w:lang w:val="sr-Latn-ME"/>
              </w:rPr>
              <w:t>Često</w:t>
            </w:r>
          </w:p>
        </w:tc>
      </w:tr>
      <w:tr w:rsidR="00257763" w:rsidRPr="0043654C" w14:paraId="466D32A6" w14:textId="77777777">
        <w:trPr>
          <w:trHeight w:val="342"/>
          <w:jc w:val="center"/>
        </w:trPr>
        <w:tc>
          <w:tcPr>
            <w:tcW w:w="2544" w:type="dxa"/>
            <w:vMerge/>
            <w:vAlign w:val="center"/>
          </w:tcPr>
          <w:p w14:paraId="74DFF89C" w14:textId="77777777" w:rsidR="00257763" w:rsidRPr="0043654C" w:rsidRDefault="00257763" w:rsidP="00A30145">
            <w:pPr>
              <w:jc w:val="both"/>
              <w:rPr>
                <w:bCs/>
                <w:i/>
                <w:szCs w:val="22"/>
                <w:lang w:val="sr-Latn-ME"/>
              </w:rPr>
            </w:pPr>
          </w:p>
        </w:tc>
        <w:tc>
          <w:tcPr>
            <w:tcW w:w="3830" w:type="dxa"/>
            <w:vAlign w:val="center"/>
          </w:tcPr>
          <w:p w14:paraId="4F51652B" w14:textId="59BC1AEF" w:rsidR="00257763" w:rsidRPr="0043654C" w:rsidRDefault="00D426A3">
            <w:pPr>
              <w:jc w:val="both"/>
              <w:rPr>
                <w:szCs w:val="22"/>
                <w:lang w:val="sr-Latn-ME"/>
              </w:rPr>
            </w:pPr>
            <w:r w:rsidRPr="0043654C">
              <w:rPr>
                <w:szCs w:val="22"/>
                <w:lang w:val="sr-Latn-ME"/>
              </w:rPr>
              <w:t xml:space="preserve">Hiponatrijemija (vidjeti </w:t>
            </w:r>
            <w:r w:rsidR="00AE03A2" w:rsidRPr="0043654C">
              <w:rPr>
                <w:szCs w:val="22"/>
                <w:lang w:val="sr-Latn-ME"/>
              </w:rPr>
              <w:t xml:space="preserve">dio </w:t>
            </w:r>
            <w:r w:rsidRPr="0043654C">
              <w:rPr>
                <w:szCs w:val="22"/>
                <w:lang w:val="sr-Latn-ME"/>
              </w:rPr>
              <w:t>4.4)</w:t>
            </w:r>
          </w:p>
        </w:tc>
        <w:tc>
          <w:tcPr>
            <w:tcW w:w="1276" w:type="dxa"/>
            <w:vAlign w:val="center"/>
          </w:tcPr>
          <w:p w14:paraId="00A2FD10" w14:textId="77777777" w:rsidR="00257763" w:rsidRPr="0043654C" w:rsidRDefault="00D426A3" w:rsidP="00A30145">
            <w:pPr>
              <w:jc w:val="both"/>
              <w:rPr>
                <w:szCs w:val="22"/>
                <w:lang w:val="sr-Latn-ME"/>
              </w:rPr>
            </w:pPr>
            <w:r w:rsidRPr="0043654C">
              <w:rPr>
                <w:szCs w:val="22"/>
                <w:lang w:val="sr-Latn-ME"/>
              </w:rPr>
              <w:t>Nepoznato</w:t>
            </w:r>
          </w:p>
        </w:tc>
        <w:tc>
          <w:tcPr>
            <w:tcW w:w="1411" w:type="dxa"/>
            <w:vAlign w:val="center"/>
          </w:tcPr>
          <w:p w14:paraId="07D30B82" w14:textId="77777777" w:rsidR="00257763" w:rsidRPr="0043654C" w:rsidRDefault="00D426A3" w:rsidP="00A30145">
            <w:pPr>
              <w:jc w:val="both"/>
              <w:rPr>
                <w:szCs w:val="22"/>
                <w:lang w:val="sr-Latn-ME"/>
              </w:rPr>
            </w:pPr>
            <w:r w:rsidRPr="0043654C">
              <w:rPr>
                <w:szCs w:val="22"/>
                <w:lang w:val="sr-Latn-ME"/>
              </w:rPr>
              <w:t>Povremeno</w:t>
            </w:r>
          </w:p>
        </w:tc>
      </w:tr>
      <w:tr w:rsidR="00257763" w:rsidRPr="0043654C" w14:paraId="647FAF82" w14:textId="77777777">
        <w:trPr>
          <w:trHeight w:val="342"/>
          <w:jc w:val="center"/>
        </w:trPr>
        <w:tc>
          <w:tcPr>
            <w:tcW w:w="2544" w:type="dxa"/>
            <w:vMerge/>
            <w:vAlign w:val="center"/>
          </w:tcPr>
          <w:p w14:paraId="663CE707" w14:textId="77777777" w:rsidR="00257763" w:rsidRPr="0043654C" w:rsidRDefault="00257763" w:rsidP="00A30145">
            <w:pPr>
              <w:jc w:val="both"/>
              <w:rPr>
                <w:bCs/>
                <w:i/>
                <w:szCs w:val="22"/>
                <w:lang w:val="sr-Latn-ME"/>
              </w:rPr>
            </w:pPr>
          </w:p>
        </w:tc>
        <w:tc>
          <w:tcPr>
            <w:tcW w:w="3830" w:type="dxa"/>
            <w:vAlign w:val="center"/>
          </w:tcPr>
          <w:p w14:paraId="4977DC19" w14:textId="77777777" w:rsidR="00257763" w:rsidRPr="0043654C" w:rsidRDefault="00D426A3" w:rsidP="00A30145">
            <w:pPr>
              <w:jc w:val="both"/>
              <w:rPr>
                <w:lang w:val="sr-Latn-ME"/>
              </w:rPr>
            </w:pPr>
            <w:r w:rsidRPr="0043654C">
              <w:rPr>
                <w:szCs w:val="22"/>
                <w:lang w:val="sr-Latn-ME"/>
              </w:rPr>
              <w:t>Hipohloremija</w:t>
            </w:r>
          </w:p>
        </w:tc>
        <w:tc>
          <w:tcPr>
            <w:tcW w:w="1276" w:type="dxa"/>
            <w:vAlign w:val="center"/>
          </w:tcPr>
          <w:p w14:paraId="16437BC8"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35F0732F" w14:textId="77777777" w:rsidR="00257763" w:rsidRPr="0043654C" w:rsidRDefault="00D426A3" w:rsidP="00A30145">
            <w:pPr>
              <w:jc w:val="both"/>
              <w:rPr>
                <w:szCs w:val="22"/>
                <w:lang w:val="sr-Latn-ME"/>
              </w:rPr>
            </w:pPr>
            <w:r w:rsidRPr="0043654C">
              <w:rPr>
                <w:szCs w:val="22"/>
                <w:lang w:val="sr-Latn-ME"/>
              </w:rPr>
              <w:t>Rijetko</w:t>
            </w:r>
          </w:p>
        </w:tc>
      </w:tr>
      <w:tr w:rsidR="00257763" w:rsidRPr="0043654C" w14:paraId="00069727" w14:textId="77777777">
        <w:trPr>
          <w:trHeight w:val="342"/>
          <w:jc w:val="center"/>
        </w:trPr>
        <w:tc>
          <w:tcPr>
            <w:tcW w:w="2544" w:type="dxa"/>
            <w:vMerge/>
            <w:vAlign w:val="center"/>
          </w:tcPr>
          <w:p w14:paraId="117CFB7A" w14:textId="77777777" w:rsidR="00257763" w:rsidRPr="0043654C" w:rsidRDefault="00257763" w:rsidP="00A30145">
            <w:pPr>
              <w:jc w:val="both"/>
              <w:rPr>
                <w:bCs/>
                <w:i/>
                <w:szCs w:val="22"/>
                <w:lang w:val="sr-Latn-ME"/>
              </w:rPr>
            </w:pPr>
          </w:p>
        </w:tc>
        <w:tc>
          <w:tcPr>
            <w:tcW w:w="3830" w:type="dxa"/>
            <w:vAlign w:val="center"/>
          </w:tcPr>
          <w:p w14:paraId="02C8245B" w14:textId="77777777" w:rsidR="00257763" w:rsidRPr="0043654C" w:rsidRDefault="00D426A3" w:rsidP="00A30145">
            <w:pPr>
              <w:jc w:val="both"/>
              <w:rPr>
                <w:lang w:val="sr-Latn-ME"/>
              </w:rPr>
            </w:pPr>
            <w:r w:rsidRPr="0043654C">
              <w:rPr>
                <w:szCs w:val="22"/>
                <w:lang w:val="sr-Latn-ME"/>
              </w:rPr>
              <w:t>Hipomagnezemija</w:t>
            </w:r>
          </w:p>
        </w:tc>
        <w:tc>
          <w:tcPr>
            <w:tcW w:w="1276" w:type="dxa"/>
            <w:vAlign w:val="center"/>
          </w:tcPr>
          <w:p w14:paraId="532770E7"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2B233074" w14:textId="77777777" w:rsidR="00257763" w:rsidRPr="0043654C" w:rsidRDefault="00D426A3" w:rsidP="00A30145">
            <w:pPr>
              <w:jc w:val="both"/>
              <w:rPr>
                <w:szCs w:val="22"/>
                <w:lang w:val="sr-Latn-ME"/>
              </w:rPr>
            </w:pPr>
            <w:r w:rsidRPr="0043654C">
              <w:rPr>
                <w:szCs w:val="22"/>
                <w:lang w:val="sr-Latn-ME"/>
              </w:rPr>
              <w:t>Rijetko</w:t>
            </w:r>
          </w:p>
        </w:tc>
      </w:tr>
      <w:tr w:rsidR="00257763" w:rsidRPr="0043654C" w14:paraId="4C030324" w14:textId="77777777">
        <w:trPr>
          <w:trHeight w:val="342"/>
          <w:jc w:val="center"/>
        </w:trPr>
        <w:tc>
          <w:tcPr>
            <w:tcW w:w="2544" w:type="dxa"/>
            <w:vMerge/>
            <w:vAlign w:val="center"/>
          </w:tcPr>
          <w:p w14:paraId="17E171D0" w14:textId="77777777" w:rsidR="00257763" w:rsidRPr="0043654C" w:rsidRDefault="00257763" w:rsidP="00A30145">
            <w:pPr>
              <w:jc w:val="both"/>
              <w:rPr>
                <w:bCs/>
                <w:i/>
                <w:szCs w:val="22"/>
                <w:lang w:val="sr-Latn-ME"/>
              </w:rPr>
            </w:pPr>
          </w:p>
        </w:tc>
        <w:tc>
          <w:tcPr>
            <w:tcW w:w="3830" w:type="dxa"/>
            <w:vAlign w:val="center"/>
          </w:tcPr>
          <w:p w14:paraId="3ED7E658" w14:textId="77777777" w:rsidR="00257763" w:rsidRPr="0043654C" w:rsidRDefault="00D426A3" w:rsidP="00A30145">
            <w:pPr>
              <w:jc w:val="both"/>
              <w:rPr>
                <w:szCs w:val="22"/>
                <w:lang w:val="sr-Latn-ME"/>
              </w:rPr>
            </w:pPr>
            <w:r w:rsidRPr="0043654C">
              <w:rPr>
                <w:szCs w:val="22"/>
                <w:lang w:val="sr-Latn-ME"/>
              </w:rPr>
              <w:t>Povećanje kalijuma u serumu</w:t>
            </w:r>
          </w:p>
        </w:tc>
        <w:tc>
          <w:tcPr>
            <w:tcW w:w="1276" w:type="dxa"/>
            <w:vAlign w:val="center"/>
          </w:tcPr>
          <w:p w14:paraId="7BACA4C9" w14:textId="77777777" w:rsidR="00257763" w:rsidRPr="0043654C" w:rsidRDefault="00D426A3" w:rsidP="00A30145">
            <w:pPr>
              <w:jc w:val="both"/>
              <w:rPr>
                <w:szCs w:val="22"/>
                <w:lang w:val="sr-Latn-ME"/>
              </w:rPr>
            </w:pPr>
            <w:r w:rsidRPr="0043654C">
              <w:rPr>
                <w:szCs w:val="22"/>
                <w:lang w:val="sr-Latn-ME"/>
              </w:rPr>
              <w:t>Nepoznato</w:t>
            </w:r>
          </w:p>
        </w:tc>
        <w:tc>
          <w:tcPr>
            <w:tcW w:w="1411" w:type="dxa"/>
            <w:vAlign w:val="center"/>
          </w:tcPr>
          <w:p w14:paraId="293AB373" w14:textId="77777777" w:rsidR="00257763" w:rsidRPr="0043654C" w:rsidRDefault="00D426A3" w:rsidP="00A30145">
            <w:pPr>
              <w:jc w:val="both"/>
              <w:rPr>
                <w:szCs w:val="22"/>
                <w:lang w:val="sr-Latn-ME"/>
              </w:rPr>
            </w:pPr>
            <w:r w:rsidRPr="0043654C">
              <w:rPr>
                <w:szCs w:val="22"/>
                <w:lang w:val="sr-Latn-ME"/>
              </w:rPr>
              <w:t>–</w:t>
            </w:r>
          </w:p>
        </w:tc>
      </w:tr>
      <w:tr w:rsidR="00257763" w:rsidRPr="0043654C" w14:paraId="6ED49F16" w14:textId="77777777">
        <w:trPr>
          <w:trHeight w:val="281"/>
          <w:jc w:val="center"/>
        </w:trPr>
        <w:tc>
          <w:tcPr>
            <w:tcW w:w="2544" w:type="dxa"/>
            <w:vMerge w:val="restart"/>
            <w:vAlign w:val="center"/>
          </w:tcPr>
          <w:p w14:paraId="2A9C570B" w14:textId="77777777" w:rsidR="00257763" w:rsidRPr="0043654C" w:rsidRDefault="00D426A3" w:rsidP="00A30145">
            <w:pPr>
              <w:jc w:val="both"/>
              <w:rPr>
                <w:bCs/>
                <w:i/>
                <w:szCs w:val="22"/>
                <w:lang w:val="sr-Latn-ME"/>
              </w:rPr>
            </w:pPr>
            <w:r w:rsidRPr="0043654C">
              <w:rPr>
                <w:bCs/>
                <w:i/>
                <w:szCs w:val="22"/>
                <w:lang w:val="sr-Latn-ME"/>
              </w:rPr>
              <w:t xml:space="preserve">Poremećaji nervnog sistema </w:t>
            </w:r>
          </w:p>
        </w:tc>
        <w:tc>
          <w:tcPr>
            <w:tcW w:w="3830" w:type="dxa"/>
            <w:vAlign w:val="center"/>
          </w:tcPr>
          <w:p w14:paraId="4AC4081A" w14:textId="77777777" w:rsidR="00257763" w:rsidRPr="0043654C" w:rsidRDefault="00D426A3" w:rsidP="00A30145">
            <w:pPr>
              <w:jc w:val="both"/>
              <w:rPr>
                <w:szCs w:val="22"/>
                <w:lang w:val="sr-Latn-ME"/>
              </w:rPr>
            </w:pPr>
            <w:r w:rsidRPr="0043654C">
              <w:rPr>
                <w:szCs w:val="22"/>
                <w:lang w:val="sr-Latn-ME"/>
              </w:rPr>
              <w:t xml:space="preserve">Vertigo </w:t>
            </w:r>
          </w:p>
        </w:tc>
        <w:tc>
          <w:tcPr>
            <w:tcW w:w="1276" w:type="dxa"/>
            <w:vAlign w:val="center"/>
          </w:tcPr>
          <w:p w14:paraId="5D77B5BE" w14:textId="77777777" w:rsidR="00257763" w:rsidRPr="0043654C" w:rsidRDefault="00D426A3" w:rsidP="00A30145">
            <w:pPr>
              <w:jc w:val="both"/>
              <w:rPr>
                <w:szCs w:val="22"/>
                <w:lang w:val="sr-Latn-ME"/>
              </w:rPr>
            </w:pPr>
            <w:r w:rsidRPr="0043654C">
              <w:rPr>
                <w:szCs w:val="22"/>
                <w:lang w:val="sr-Latn-ME"/>
              </w:rPr>
              <w:t>Povremeno</w:t>
            </w:r>
          </w:p>
        </w:tc>
        <w:tc>
          <w:tcPr>
            <w:tcW w:w="1411" w:type="dxa"/>
            <w:vAlign w:val="center"/>
          </w:tcPr>
          <w:p w14:paraId="5484343B" w14:textId="77777777" w:rsidR="00257763" w:rsidRPr="0043654C" w:rsidRDefault="00D426A3" w:rsidP="00A30145">
            <w:pPr>
              <w:jc w:val="both"/>
              <w:rPr>
                <w:szCs w:val="22"/>
                <w:lang w:val="sr-Latn-ME"/>
              </w:rPr>
            </w:pPr>
            <w:r w:rsidRPr="0043654C">
              <w:rPr>
                <w:szCs w:val="22"/>
                <w:lang w:val="sr-Latn-ME"/>
              </w:rPr>
              <w:t>Rijetko</w:t>
            </w:r>
          </w:p>
        </w:tc>
      </w:tr>
      <w:tr w:rsidR="00257763" w:rsidRPr="0043654C" w14:paraId="4F476584" w14:textId="77777777">
        <w:trPr>
          <w:trHeight w:val="258"/>
          <w:jc w:val="center"/>
        </w:trPr>
        <w:tc>
          <w:tcPr>
            <w:tcW w:w="2544" w:type="dxa"/>
            <w:vMerge/>
            <w:vAlign w:val="center"/>
          </w:tcPr>
          <w:p w14:paraId="6DE7FF28" w14:textId="77777777" w:rsidR="00257763" w:rsidRPr="0043654C" w:rsidRDefault="00257763" w:rsidP="00A30145">
            <w:pPr>
              <w:jc w:val="both"/>
              <w:rPr>
                <w:bCs/>
                <w:i/>
                <w:szCs w:val="22"/>
                <w:lang w:val="sr-Latn-ME"/>
              </w:rPr>
            </w:pPr>
          </w:p>
        </w:tc>
        <w:tc>
          <w:tcPr>
            <w:tcW w:w="3830" w:type="dxa"/>
            <w:vAlign w:val="center"/>
          </w:tcPr>
          <w:p w14:paraId="78349E95" w14:textId="77777777" w:rsidR="00257763" w:rsidRPr="0043654C" w:rsidRDefault="00D426A3" w:rsidP="00A30145">
            <w:pPr>
              <w:jc w:val="both"/>
              <w:rPr>
                <w:szCs w:val="22"/>
                <w:lang w:val="sr-Latn-ME"/>
              </w:rPr>
            </w:pPr>
            <w:r w:rsidRPr="0043654C">
              <w:rPr>
                <w:szCs w:val="22"/>
                <w:lang w:val="sr-Latn-ME"/>
              </w:rPr>
              <w:t>Glavobolja</w:t>
            </w:r>
          </w:p>
        </w:tc>
        <w:tc>
          <w:tcPr>
            <w:tcW w:w="1276" w:type="dxa"/>
            <w:vAlign w:val="center"/>
          </w:tcPr>
          <w:p w14:paraId="15B4C07A"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5248D605" w14:textId="77777777" w:rsidR="00257763" w:rsidRPr="0043654C" w:rsidRDefault="00D426A3" w:rsidP="00A30145">
            <w:pPr>
              <w:jc w:val="both"/>
              <w:rPr>
                <w:szCs w:val="22"/>
                <w:lang w:val="sr-Latn-ME"/>
              </w:rPr>
            </w:pPr>
            <w:r w:rsidRPr="0043654C">
              <w:rPr>
                <w:szCs w:val="22"/>
                <w:lang w:val="sr-Latn-ME"/>
              </w:rPr>
              <w:t>Rijetko</w:t>
            </w:r>
          </w:p>
        </w:tc>
      </w:tr>
      <w:tr w:rsidR="00257763" w:rsidRPr="0043654C" w14:paraId="36971160" w14:textId="77777777">
        <w:trPr>
          <w:trHeight w:val="79"/>
          <w:jc w:val="center"/>
        </w:trPr>
        <w:tc>
          <w:tcPr>
            <w:tcW w:w="2544" w:type="dxa"/>
            <w:vMerge/>
            <w:vAlign w:val="center"/>
          </w:tcPr>
          <w:p w14:paraId="010E61C8" w14:textId="77777777" w:rsidR="00257763" w:rsidRPr="0043654C" w:rsidRDefault="00257763" w:rsidP="00A30145">
            <w:pPr>
              <w:jc w:val="both"/>
              <w:rPr>
                <w:bCs/>
                <w:i/>
                <w:szCs w:val="22"/>
                <w:lang w:val="sr-Latn-ME"/>
              </w:rPr>
            </w:pPr>
          </w:p>
        </w:tc>
        <w:tc>
          <w:tcPr>
            <w:tcW w:w="3830" w:type="dxa"/>
            <w:vAlign w:val="center"/>
          </w:tcPr>
          <w:p w14:paraId="1FC9ED8E" w14:textId="77777777" w:rsidR="00257763" w:rsidRPr="0043654C" w:rsidRDefault="00D426A3" w:rsidP="00A30145">
            <w:pPr>
              <w:jc w:val="both"/>
              <w:rPr>
                <w:szCs w:val="22"/>
                <w:lang w:val="sr-Latn-ME"/>
              </w:rPr>
            </w:pPr>
            <w:r w:rsidRPr="0043654C">
              <w:rPr>
                <w:szCs w:val="22"/>
                <w:lang w:val="sr-Latn-ME"/>
              </w:rPr>
              <w:t>Parestezija</w:t>
            </w:r>
          </w:p>
        </w:tc>
        <w:tc>
          <w:tcPr>
            <w:tcW w:w="1276" w:type="dxa"/>
            <w:vAlign w:val="center"/>
          </w:tcPr>
          <w:p w14:paraId="20AB2766"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6113259E" w14:textId="77777777" w:rsidR="00257763" w:rsidRPr="0043654C" w:rsidRDefault="00D426A3" w:rsidP="00A30145">
            <w:pPr>
              <w:jc w:val="both"/>
              <w:rPr>
                <w:szCs w:val="22"/>
                <w:lang w:val="sr-Latn-ME"/>
              </w:rPr>
            </w:pPr>
            <w:r w:rsidRPr="0043654C">
              <w:rPr>
                <w:szCs w:val="22"/>
                <w:lang w:val="sr-Latn-ME"/>
              </w:rPr>
              <w:t>Rijetko</w:t>
            </w:r>
          </w:p>
        </w:tc>
      </w:tr>
      <w:tr w:rsidR="00257763" w:rsidRPr="0043654C" w14:paraId="6137AC45" w14:textId="77777777">
        <w:trPr>
          <w:trHeight w:val="79"/>
          <w:jc w:val="center"/>
        </w:trPr>
        <w:tc>
          <w:tcPr>
            <w:tcW w:w="2544" w:type="dxa"/>
            <w:vMerge/>
            <w:vAlign w:val="center"/>
          </w:tcPr>
          <w:p w14:paraId="5C82727B" w14:textId="77777777" w:rsidR="00257763" w:rsidRPr="0043654C" w:rsidRDefault="00257763" w:rsidP="00A30145">
            <w:pPr>
              <w:jc w:val="both"/>
              <w:rPr>
                <w:bCs/>
                <w:i/>
                <w:szCs w:val="22"/>
                <w:lang w:val="sr-Latn-ME"/>
              </w:rPr>
            </w:pPr>
          </w:p>
        </w:tc>
        <w:tc>
          <w:tcPr>
            <w:tcW w:w="3830" w:type="dxa"/>
            <w:vAlign w:val="center"/>
          </w:tcPr>
          <w:p w14:paraId="136EB406" w14:textId="77777777" w:rsidR="00257763" w:rsidRPr="0043654C" w:rsidRDefault="00D426A3" w:rsidP="00A30145">
            <w:pPr>
              <w:jc w:val="both"/>
              <w:rPr>
                <w:szCs w:val="22"/>
                <w:lang w:val="sr-Latn-ME"/>
              </w:rPr>
            </w:pPr>
            <w:r w:rsidRPr="0043654C">
              <w:rPr>
                <w:szCs w:val="22"/>
                <w:lang w:val="sr-Latn-ME"/>
              </w:rPr>
              <w:t>Sinkopa</w:t>
            </w:r>
          </w:p>
        </w:tc>
        <w:tc>
          <w:tcPr>
            <w:tcW w:w="1276" w:type="dxa"/>
            <w:vAlign w:val="center"/>
          </w:tcPr>
          <w:p w14:paraId="18FD0DC5"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3F05EBE6" w14:textId="77777777" w:rsidR="00257763" w:rsidRPr="0043654C" w:rsidRDefault="00D426A3" w:rsidP="00A30145">
            <w:pPr>
              <w:jc w:val="both"/>
              <w:rPr>
                <w:szCs w:val="22"/>
                <w:lang w:val="sr-Latn-ME"/>
              </w:rPr>
            </w:pPr>
            <w:r w:rsidRPr="0043654C">
              <w:rPr>
                <w:szCs w:val="22"/>
                <w:lang w:val="sr-Latn-ME"/>
              </w:rPr>
              <w:t>Nepoznato</w:t>
            </w:r>
          </w:p>
        </w:tc>
      </w:tr>
      <w:tr w:rsidR="00257763" w:rsidRPr="0043654C" w14:paraId="3F220EA8" w14:textId="77777777">
        <w:trPr>
          <w:trHeight w:val="79"/>
          <w:jc w:val="center"/>
        </w:trPr>
        <w:tc>
          <w:tcPr>
            <w:tcW w:w="2544" w:type="dxa"/>
            <w:vMerge w:val="restart"/>
            <w:vAlign w:val="center"/>
          </w:tcPr>
          <w:p w14:paraId="2FD8CB7A" w14:textId="77777777" w:rsidR="00257763" w:rsidRPr="0043654C" w:rsidRDefault="00D426A3" w:rsidP="00A30145">
            <w:pPr>
              <w:jc w:val="both"/>
              <w:rPr>
                <w:bCs/>
                <w:i/>
                <w:szCs w:val="22"/>
                <w:lang w:val="sr-Latn-ME"/>
              </w:rPr>
            </w:pPr>
            <w:r w:rsidRPr="0043654C">
              <w:rPr>
                <w:bCs/>
                <w:i/>
                <w:szCs w:val="22"/>
                <w:lang w:val="sr-Latn-ME"/>
              </w:rPr>
              <w:t>Poremećaji oka</w:t>
            </w:r>
          </w:p>
        </w:tc>
        <w:tc>
          <w:tcPr>
            <w:tcW w:w="3830" w:type="dxa"/>
            <w:vAlign w:val="center"/>
          </w:tcPr>
          <w:p w14:paraId="2B02DD31" w14:textId="77777777" w:rsidR="00257763" w:rsidRPr="0043654C" w:rsidRDefault="00D426A3" w:rsidP="00A30145">
            <w:pPr>
              <w:jc w:val="both"/>
              <w:rPr>
                <w:szCs w:val="22"/>
                <w:lang w:val="sr-Latn-ME"/>
              </w:rPr>
            </w:pPr>
            <w:r w:rsidRPr="0043654C">
              <w:rPr>
                <w:szCs w:val="22"/>
                <w:lang w:val="sr-Latn-ME"/>
              </w:rPr>
              <w:t>Miopija</w:t>
            </w:r>
          </w:p>
        </w:tc>
        <w:tc>
          <w:tcPr>
            <w:tcW w:w="1276" w:type="dxa"/>
            <w:vAlign w:val="center"/>
          </w:tcPr>
          <w:p w14:paraId="27EC5A6C"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3155AEDC" w14:textId="77777777" w:rsidR="00257763" w:rsidRPr="0043654C" w:rsidRDefault="00D426A3" w:rsidP="00A30145">
            <w:pPr>
              <w:jc w:val="both"/>
              <w:rPr>
                <w:szCs w:val="22"/>
                <w:lang w:val="sr-Latn-ME"/>
              </w:rPr>
            </w:pPr>
            <w:r w:rsidRPr="0043654C">
              <w:rPr>
                <w:szCs w:val="22"/>
                <w:lang w:val="sr-Latn-ME"/>
              </w:rPr>
              <w:t>Nepoznato</w:t>
            </w:r>
          </w:p>
        </w:tc>
      </w:tr>
      <w:tr w:rsidR="00257763" w:rsidRPr="0043654C" w14:paraId="1BDA63ED" w14:textId="77777777">
        <w:trPr>
          <w:trHeight w:val="79"/>
          <w:jc w:val="center"/>
        </w:trPr>
        <w:tc>
          <w:tcPr>
            <w:tcW w:w="2544" w:type="dxa"/>
            <w:vMerge/>
            <w:vAlign w:val="center"/>
          </w:tcPr>
          <w:p w14:paraId="1899099E" w14:textId="77777777" w:rsidR="00257763" w:rsidRPr="0043654C" w:rsidRDefault="00257763" w:rsidP="00A30145">
            <w:pPr>
              <w:jc w:val="both"/>
              <w:rPr>
                <w:bCs/>
                <w:i/>
                <w:szCs w:val="22"/>
                <w:lang w:val="sr-Latn-ME"/>
              </w:rPr>
            </w:pPr>
          </w:p>
        </w:tc>
        <w:tc>
          <w:tcPr>
            <w:tcW w:w="3830" w:type="dxa"/>
            <w:vAlign w:val="center"/>
          </w:tcPr>
          <w:p w14:paraId="4212A9EC" w14:textId="77777777" w:rsidR="00257763" w:rsidRPr="0043654C" w:rsidRDefault="00D426A3" w:rsidP="00A30145">
            <w:pPr>
              <w:jc w:val="both"/>
              <w:rPr>
                <w:szCs w:val="22"/>
                <w:lang w:val="sr-Latn-ME"/>
              </w:rPr>
            </w:pPr>
            <w:r w:rsidRPr="0043654C">
              <w:rPr>
                <w:szCs w:val="22"/>
                <w:lang w:val="sr-Latn-ME"/>
              </w:rPr>
              <w:t>Zamućen vid</w:t>
            </w:r>
          </w:p>
        </w:tc>
        <w:tc>
          <w:tcPr>
            <w:tcW w:w="1276" w:type="dxa"/>
            <w:vAlign w:val="center"/>
          </w:tcPr>
          <w:p w14:paraId="610D8D10"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5FE97FD8" w14:textId="77777777" w:rsidR="00257763" w:rsidRPr="0043654C" w:rsidRDefault="00D426A3" w:rsidP="00A30145">
            <w:pPr>
              <w:jc w:val="both"/>
              <w:rPr>
                <w:szCs w:val="22"/>
                <w:lang w:val="sr-Latn-ME"/>
              </w:rPr>
            </w:pPr>
            <w:r w:rsidRPr="0043654C">
              <w:rPr>
                <w:szCs w:val="22"/>
                <w:lang w:val="sr-Latn-ME"/>
              </w:rPr>
              <w:t>Nepoznato</w:t>
            </w:r>
          </w:p>
        </w:tc>
      </w:tr>
      <w:tr w:rsidR="00257763" w:rsidRPr="0043654C" w14:paraId="26328F62" w14:textId="77777777">
        <w:trPr>
          <w:trHeight w:val="79"/>
          <w:jc w:val="center"/>
        </w:trPr>
        <w:tc>
          <w:tcPr>
            <w:tcW w:w="2544" w:type="dxa"/>
            <w:vMerge/>
            <w:vAlign w:val="center"/>
          </w:tcPr>
          <w:p w14:paraId="24384880" w14:textId="77777777" w:rsidR="00257763" w:rsidRPr="0043654C" w:rsidRDefault="00257763" w:rsidP="00A30145">
            <w:pPr>
              <w:jc w:val="both"/>
              <w:rPr>
                <w:bCs/>
                <w:i/>
                <w:szCs w:val="22"/>
                <w:lang w:val="sr-Latn-ME"/>
              </w:rPr>
            </w:pPr>
          </w:p>
        </w:tc>
        <w:tc>
          <w:tcPr>
            <w:tcW w:w="3830" w:type="dxa"/>
            <w:vAlign w:val="center"/>
          </w:tcPr>
          <w:p w14:paraId="1E422254" w14:textId="77777777" w:rsidR="00257763" w:rsidRPr="0043654C" w:rsidRDefault="00D426A3" w:rsidP="00A30145">
            <w:pPr>
              <w:jc w:val="both"/>
              <w:rPr>
                <w:szCs w:val="22"/>
                <w:lang w:val="sr-Latn-ME"/>
              </w:rPr>
            </w:pPr>
            <w:r w:rsidRPr="0043654C">
              <w:rPr>
                <w:szCs w:val="22"/>
                <w:lang w:val="sr-Latn-ME"/>
              </w:rPr>
              <w:t>Oštećenje vida</w:t>
            </w:r>
          </w:p>
        </w:tc>
        <w:tc>
          <w:tcPr>
            <w:tcW w:w="1276" w:type="dxa"/>
            <w:vAlign w:val="center"/>
          </w:tcPr>
          <w:p w14:paraId="6A2BC376"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2BF662A1" w14:textId="77777777" w:rsidR="00257763" w:rsidRPr="0043654C" w:rsidRDefault="00D426A3" w:rsidP="00A30145">
            <w:pPr>
              <w:jc w:val="both"/>
              <w:rPr>
                <w:szCs w:val="22"/>
                <w:lang w:val="sr-Latn-ME"/>
              </w:rPr>
            </w:pPr>
            <w:r w:rsidRPr="0043654C">
              <w:rPr>
                <w:szCs w:val="22"/>
                <w:lang w:val="sr-Latn-ME"/>
              </w:rPr>
              <w:t>Nepoznato</w:t>
            </w:r>
          </w:p>
        </w:tc>
      </w:tr>
      <w:tr w:rsidR="00257763" w:rsidRPr="0043654C" w14:paraId="481E20FC" w14:textId="77777777">
        <w:trPr>
          <w:trHeight w:val="79"/>
          <w:jc w:val="center"/>
        </w:trPr>
        <w:tc>
          <w:tcPr>
            <w:tcW w:w="2544" w:type="dxa"/>
            <w:vMerge/>
            <w:vAlign w:val="center"/>
          </w:tcPr>
          <w:p w14:paraId="7CB374B8" w14:textId="77777777" w:rsidR="00257763" w:rsidRPr="0043654C" w:rsidRDefault="00257763" w:rsidP="00A30145">
            <w:pPr>
              <w:jc w:val="both"/>
              <w:rPr>
                <w:bCs/>
                <w:i/>
                <w:szCs w:val="22"/>
                <w:lang w:val="sr-Latn-ME"/>
              </w:rPr>
            </w:pPr>
          </w:p>
        </w:tc>
        <w:tc>
          <w:tcPr>
            <w:tcW w:w="3830" w:type="dxa"/>
            <w:vAlign w:val="center"/>
          </w:tcPr>
          <w:p w14:paraId="0B91BA0C" w14:textId="77777777" w:rsidR="00257763" w:rsidRPr="0043654C" w:rsidRDefault="00D426A3" w:rsidP="00A30145">
            <w:pPr>
              <w:jc w:val="both"/>
              <w:rPr>
                <w:szCs w:val="22"/>
                <w:lang w:val="sr-Latn-ME"/>
              </w:rPr>
            </w:pPr>
            <w:r w:rsidRPr="0043654C">
              <w:rPr>
                <w:szCs w:val="22"/>
                <w:lang w:val="sr-Latn-ME"/>
              </w:rPr>
              <w:t>Akutni glaukom zatvorenog ugla</w:t>
            </w:r>
          </w:p>
        </w:tc>
        <w:tc>
          <w:tcPr>
            <w:tcW w:w="1276" w:type="dxa"/>
            <w:vAlign w:val="center"/>
          </w:tcPr>
          <w:p w14:paraId="709B13EE"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08588CCC" w14:textId="77777777" w:rsidR="00257763" w:rsidRPr="0043654C" w:rsidRDefault="00D426A3" w:rsidP="00A30145">
            <w:pPr>
              <w:jc w:val="both"/>
              <w:rPr>
                <w:szCs w:val="22"/>
                <w:lang w:val="sr-Latn-ME"/>
              </w:rPr>
            </w:pPr>
            <w:r w:rsidRPr="0043654C">
              <w:rPr>
                <w:szCs w:val="22"/>
                <w:lang w:val="sr-Latn-ME"/>
              </w:rPr>
              <w:t>Nepoznato</w:t>
            </w:r>
          </w:p>
        </w:tc>
      </w:tr>
      <w:tr w:rsidR="00257763" w:rsidRPr="0043654C" w14:paraId="68AD1D9E" w14:textId="77777777">
        <w:trPr>
          <w:trHeight w:val="79"/>
          <w:jc w:val="center"/>
        </w:trPr>
        <w:tc>
          <w:tcPr>
            <w:tcW w:w="2544" w:type="dxa"/>
            <w:vMerge/>
            <w:vAlign w:val="center"/>
          </w:tcPr>
          <w:p w14:paraId="46E44A33" w14:textId="77777777" w:rsidR="00257763" w:rsidRPr="0043654C" w:rsidRDefault="00257763" w:rsidP="00A30145">
            <w:pPr>
              <w:jc w:val="both"/>
              <w:rPr>
                <w:bCs/>
                <w:i/>
                <w:szCs w:val="22"/>
                <w:lang w:val="sr-Latn-ME"/>
              </w:rPr>
            </w:pPr>
          </w:p>
        </w:tc>
        <w:tc>
          <w:tcPr>
            <w:tcW w:w="3830" w:type="dxa"/>
            <w:vAlign w:val="center"/>
          </w:tcPr>
          <w:p w14:paraId="3EFF5A86" w14:textId="77777777" w:rsidR="00257763" w:rsidRPr="0043654C" w:rsidRDefault="00D426A3" w:rsidP="00A30145">
            <w:pPr>
              <w:jc w:val="both"/>
              <w:rPr>
                <w:szCs w:val="22"/>
                <w:lang w:val="sr-Latn-ME"/>
              </w:rPr>
            </w:pPr>
            <w:r w:rsidRPr="0043654C">
              <w:rPr>
                <w:szCs w:val="22"/>
                <w:lang w:val="sr-Latn-ME"/>
              </w:rPr>
              <w:t>Horoidalna efuzija</w:t>
            </w:r>
          </w:p>
        </w:tc>
        <w:tc>
          <w:tcPr>
            <w:tcW w:w="1276" w:type="dxa"/>
            <w:vAlign w:val="center"/>
          </w:tcPr>
          <w:p w14:paraId="654091E8"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792A5934" w14:textId="77777777" w:rsidR="00257763" w:rsidRPr="0043654C" w:rsidRDefault="00D426A3" w:rsidP="00A30145">
            <w:pPr>
              <w:jc w:val="both"/>
              <w:rPr>
                <w:szCs w:val="22"/>
                <w:lang w:val="sr-Latn-ME"/>
              </w:rPr>
            </w:pPr>
            <w:r w:rsidRPr="0043654C">
              <w:rPr>
                <w:szCs w:val="22"/>
                <w:lang w:val="sr-Latn-ME"/>
              </w:rPr>
              <w:t>Nepoznato</w:t>
            </w:r>
          </w:p>
        </w:tc>
      </w:tr>
      <w:tr w:rsidR="00257763" w:rsidRPr="0043654C" w14:paraId="09975A0D" w14:textId="77777777">
        <w:trPr>
          <w:trHeight w:val="381"/>
          <w:jc w:val="center"/>
        </w:trPr>
        <w:tc>
          <w:tcPr>
            <w:tcW w:w="2544" w:type="dxa"/>
            <w:vMerge w:val="restart"/>
            <w:vAlign w:val="center"/>
          </w:tcPr>
          <w:p w14:paraId="54562ECF" w14:textId="77777777" w:rsidR="00257763" w:rsidRPr="0043654C" w:rsidRDefault="00D426A3" w:rsidP="00A30145">
            <w:pPr>
              <w:jc w:val="both"/>
              <w:rPr>
                <w:bCs/>
                <w:i/>
                <w:szCs w:val="22"/>
                <w:lang w:val="sr-Latn-ME"/>
              </w:rPr>
            </w:pPr>
            <w:r w:rsidRPr="0043654C">
              <w:rPr>
                <w:bCs/>
                <w:i/>
                <w:szCs w:val="22"/>
                <w:lang w:val="sr-Latn-ME"/>
              </w:rPr>
              <w:t>Kardiološki poremećaji</w:t>
            </w:r>
          </w:p>
        </w:tc>
        <w:tc>
          <w:tcPr>
            <w:tcW w:w="3830" w:type="dxa"/>
            <w:vAlign w:val="center"/>
          </w:tcPr>
          <w:p w14:paraId="094E9112" w14:textId="77777777" w:rsidR="00257763" w:rsidRPr="0043654C" w:rsidRDefault="00D426A3" w:rsidP="00A30145">
            <w:pPr>
              <w:jc w:val="both"/>
              <w:rPr>
                <w:szCs w:val="22"/>
                <w:lang w:val="sr-Latn-ME"/>
              </w:rPr>
            </w:pPr>
            <w:r w:rsidRPr="0043654C">
              <w:rPr>
                <w:szCs w:val="22"/>
                <w:lang w:val="sr-Latn-ME"/>
              </w:rPr>
              <w:t>Aritmija</w:t>
            </w:r>
          </w:p>
        </w:tc>
        <w:tc>
          <w:tcPr>
            <w:tcW w:w="1276" w:type="dxa"/>
            <w:vAlign w:val="center"/>
          </w:tcPr>
          <w:p w14:paraId="26201929"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38720785" w14:textId="77777777" w:rsidR="00257763" w:rsidRPr="0043654C" w:rsidRDefault="00D426A3" w:rsidP="00A30145">
            <w:pPr>
              <w:jc w:val="both"/>
              <w:rPr>
                <w:szCs w:val="22"/>
                <w:lang w:val="sr-Latn-ME"/>
              </w:rPr>
            </w:pPr>
            <w:r w:rsidRPr="0043654C">
              <w:rPr>
                <w:szCs w:val="22"/>
                <w:lang w:val="sr-Latn-ME"/>
              </w:rPr>
              <w:t>Veoma rijetko</w:t>
            </w:r>
          </w:p>
        </w:tc>
      </w:tr>
      <w:tr w:rsidR="00257763" w:rsidRPr="0043654C" w14:paraId="11755C6E" w14:textId="77777777">
        <w:trPr>
          <w:trHeight w:val="381"/>
          <w:jc w:val="center"/>
        </w:trPr>
        <w:tc>
          <w:tcPr>
            <w:tcW w:w="2544" w:type="dxa"/>
            <w:vMerge/>
            <w:vAlign w:val="center"/>
          </w:tcPr>
          <w:p w14:paraId="0E666B4F" w14:textId="77777777" w:rsidR="00257763" w:rsidRPr="0043654C" w:rsidRDefault="00257763" w:rsidP="00A30145">
            <w:pPr>
              <w:jc w:val="both"/>
              <w:rPr>
                <w:bCs/>
                <w:i/>
                <w:szCs w:val="22"/>
                <w:lang w:val="sr-Latn-ME"/>
              </w:rPr>
            </w:pPr>
          </w:p>
        </w:tc>
        <w:tc>
          <w:tcPr>
            <w:tcW w:w="3830" w:type="dxa"/>
            <w:vAlign w:val="center"/>
          </w:tcPr>
          <w:p w14:paraId="0A2F6D3A" w14:textId="20622D86" w:rsidR="00257763" w:rsidRPr="0043654C" w:rsidRDefault="00D426A3">
            <w:pPr>
              <w:jc w:val="both"/>
              <w:rPr>
                <w:szCs w:val="22"/>
                <w:lang w:val="sr-Latn-ME"/>
              </w:rPr>
            </w:pPr>
            <w:r w:rsidRPr="0043654C">
              <w:rPr>
                <w:i/>
                <w:szCs w:val="22"/>
                <w:lang w:val="sr-Latn-ME"/>
              </w:rPr>
              <w:t>Torsade de pointes</w:t>
            </w:r>
            <w:r w:rsidRPr="0043654C">
              <w:rPr>
                <w:szCs w:val="22"/>
                <w:lang w:val="sr-Latn-ME"/>
              </w:rPr>
              <w:t xml:space="preserve"> (potencijalno sa fatalnim ishodom) (vidjeti </w:t>
            </w:r>
            <w:r w:rsidR="00AE03A2" w:rsidRPr="0043654C">
              <w:rPr>
                <w:szCs w:val="22"/>
                <w:lang w:val="sr-Latn-ME"/>
              </w:rPr>
              <w:t xml:space="preserve">djelove </w:t>
            </w:r>
            <w:r w:rsidRPr="0043654C">
              <w:rPr>
                <w:szCs w:val="22"/>
                <w:lang w:val="sr-Latn-ME"/>
              </w:rPr>
              <w:t>4.4 i 4.5)</w:t>
            </w:r>
          </w:p>
        </w:tc>
        <w:tc>
          <w:tcPr>
            <w:tcW w:w="1276" w:type="dxa"/>
            <w:vAlign w:val="center"/>
          </w:tcPr>
          <w:p w14:paraId="587DEE09"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7221B04D" w14:textId="77777777" w:rsidR="00257763" w:rsidRPr="0043654C" w:rsidRDefault="00D426A3" w:rsidP="00A30145">
            <w:pPr>
              <w:jc w:val="both"/>
              <w:rPr>
                <w:szCs w:val="22"/>
                <w:lang w:val="sr-Latn-ME"/>
              </w:rPr>
            </w:pPr>
            <w:r w:rsidRPr="0043654C">
              <w:rPr>
                <w:szCs w:val="22"/>
                <w:lang w:val="sr-Latn-ME"/>
              </w:rPr>
              <w:t>Nepoznato</w:t>
            </w:r>
          </w:p>
        </w:tc>
      </w:tr>
      <w:tr w:rsidR="00257763" w:rsidRPr="0043654C" w14:paraId="0B19098D" w14:textId="77777777">
        <w:trPr>
          <w:trHeight w:val="320"/>
          <w:jc w:val="center"/>
        </w:trPr>
        <w:tc>
          <w:tcPr>
            <w:tcW w:w="2544" w:type="dxa"/>
            <w:vMerge w:val="restart"/>
            <w:vAlign w:val="center"/>
          </w:tcPr>
          <w:p w14:paraId="5E67B583" w14:textId="77777777" w:rsidR="00257763" w:rsidRPr="0043654C" w:rsidRDefault="00D426A3" w:rsidP="00A30145">
            <w:pPr>
              <w:jc w:val="both"/>
              <w:rPr>
                <w:bCs/>
                <w:i/>
                <w:szCs w:val="22"/>
                <w:lang w:val="sr-Latn-ME"/>
              </w:rPr>
            </w:pPr>
            <w:r w:rsidRPr="0043654C">
              <w:rPr>
                <w:bCs/>
                <w:i/>
                <w:szCs w:val="22"/>
                <w:lang w:val="sr-Latn-ME"/>
              </w:rPr>
              <w:t>Vaskularni poremećaji</w:t>
            </w:r>
          </w:p>
        </w:tc>
        <w:tc>
          <w:tcPr>
            <w:tcW w:w="3830" w:type="dxa"/>
            <w:vAlign w:val="center"/>
          </w:tcPr>
          <w:p w14:paraId="4BAB3C5B" w14:textId="77777777" w:rsidR="00257763" w:rsidRPr="0043654C" w:rsidRDefault="00D426A3" w:rsidP="00A30145">
            <w:pPr>
              <w:jc w:val="both"/>
              <w:rPr>
                <w:szCs w:val="22"/>
                <w:lang w:val="sr-Latn-ME"/>
              </w:rPr>
            </w:pPr>
            <w:r w:rsidRPr="0043654C">
              <w:rPr>
                <w:szCs w:val="22"/>
                <w:lang w:val="sr-Latn-ME"/>
              </w:rPr>
              <w:t>Hipotenzija</w:t>
            </w:r>
          </w:p>
        </w:tc>
        <w:tc>
          <w:tcPr>
            <w:tcW w:w="1276" w:type="dxa"/>
            <w:vAlign w:val="center"/>
          </w:tcPr>
          <w:p w14:paraId="033739C4"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78AFCB59" w14:textId="77777777" w:rsidR="00257763" w:rsidRPr="0043654C" w:rsidRDefault="00D426A3" w:rsidP="00A30145">
            <w:pPr>
              <w:jc w:val="both"/>
              <w:rPr>
                <w:szCs w:val="22"/>
                <w:lang w:val="sr-Latn-ME"/>
              </w:rPr>
            </w:pPr>
            <w:r w:rsidRPr="0043654C">
              <w:rPr>
                <w:szCs w:val="22"/>
                <w:lang w:val="sr-Latn-ME"/>
              </w:rPr>
              <w:t>Veoma rijetko</w:t>
            </w:r>
          </w:p>
        </w:tc>
      </w:tr>
      <w:tr w:rsidR="00257763" w:rsidRPr="0043654C" w14:paraId="2E7BF617" w14:textId="77777777">
        <w:trPr>
          <w:trHeight w:val="320"/>
          <w:jc w:val="center"/>
        </w:trPr>
        <w:tc>
          <w:tcPr>
            <w:tcW w:w="2544" w:type="dxa"/>
            <w:vMerge/>
            <w:vAlign w:val="center"/>
          </w:tcPr>
          <w:p w14:paraId="5A902623" w14:textId="77777777" w:rsidR="00257763" w:rsidRPr="0043654C" w:rsidRDefault="00257763" w:rsidP="00A30145">
            <w:pPr>
              <w:jc w:val="both"/>
              <w:rPr>
                <w:bCs/>
                <w:i/>
                <w:szCs w:val="22"/>
                <w:lang w:val="sr-Latn-ME"/>
              </w:rPr>
            </w:pPr>
          </w:p>
        </w:tc>
        <w:tc>
          <w:tcPr>
            <w:tcW w:w="3830" w:type="dxa"/>
            <w:vAlign w:val="center"/>
          </w:tcPr>
          <w:p w14:paraId="6713E43B" w14:textId="77777777" w:rsidR="00257763" w:rsidRPr="0043654C" w:rsidRDefault="00D426A3" w:rsidP="00A30145">
            <w:pPr>
              <w:jc w:val="both"/>
              <w:rPr>
                <w:szCs w:val="22"/>
                <w:lang w:val="sr-Latn-ME"/>
              </w:rPr>
            </w:pPr>
            <w:r w:rsidRPr="0043654C">
              <w:rPr>
                <w:szCs w:val="22"/>
                <w:lang w:val="sr-Latn-ME"/>
              </w:rPr>
              <w:t>Vaskulitis</w:t>
            </w:r>
          </w:p>
        </w:tc>
        <w:tc>
          <w:tcPr>
            <w:tcW w:w="1276" w:type="dxa"/>
            <w:vAlign w:val="center"/>
          </w:tcPr>
          <w:p w14:paraId="01278B45" w14:textId="77777777" w:rsidR="00257763" w:rsidRPr="0043654C" w:rsidRDefault="00D426A3" w:rsidP="00A30145">
            <w:pPr>
              <w:jc w:val="both"/>
              <w:rPr>
                <w:szCs w:val="22"/>
                <w:lang w:val="sr-Latn-ME"/>
              </w:rPr>
            </w:pPr>
            <w:r w:rsidRPr="0043654C">
              <w:rPr>
                <w:szCs w:val="22"/>
                <w:lang w:val="sr-Latn-ME"/>
              </w:rPr>
              <w:t>Nepoznato</w:t>
            </w:r>
          </w:p>
        </w:tc>
        <w:tc>
          <w:tcPr>
            <w:tcW w:w="1411" w:type="dxa"/>
            <w:vAlign w:val="center"/>
          </w:tcPr>
          <w:p w14:paraId="651695C1" w14:textId="77777777" w:rsidR="00257763" w:rsidRPr="0043654C" w:rsidRDefault="00D426A3" w:rsidP="00A30145">
            <w:pPr>
              <w:jc w:val="both"/>
              <w:rPr>
                <w:szCs w:val="22"/>
                <w:lang w:val="sr-Latn-ME"/>
              </w:rPr>
            </w:pPr>
            <w:r w:rsidRPr="0043654C">
              <w:rPr>
                <w:szCs w:val="22"/>
                <w:lang w:val="sr-Latn-ME"/>
              </w:rPr>
              <w:t>–</w:t>
            </w:r>
          </w:p>
        </w:tc>
      </w:tr>
      <w:tr w:rsidR="00257763" w:rsidRPr="0043654C" w14:paraId="68557773" w14:textId="77777777">
        <w:trPr>
          <w:trHeight w:val="320"/>
          <w:jc w:val="center"/>
        </w:trPr>
        <w:tc>
          <w:tcPr>
            <w:tcW w:w="2544" w:type="dxa"/>
            <w:vAlign w:val="center"/>
          </w:tcPr>
          <w:p w14:paraId="649CA1A7" w14:textId="77777777" w:rsidR="00257763" w:rsidRPr="0043654C" w:rsidRDefault="00D426A3" w:rsidP="00A30145">
            <w:pPr>
              <w:jc w:val="both"/>
              <w:rPr>
                <w:bCs/>
                <w:i/>
                <w:szCs w:val="22"/>
                <w:lang w:val="sr-Latn-ME"/>
              </w:rPr>
            </w:pPr>
            <w:r w:rsidRPr="0043654C">
              <w:rPr>
                <w:bCs/>
                <w:i/>
                <w:noProof/>
                <w:szCs w:val="22"/>
                <w:lang w:val="sr-Latn-ME"/>
              </w:rPr>
              <w:t xml:space="preserve">Respiratorni, torakalni i medijastinalni poremećaji </w:t>
            </w:r>
          </w:p>
        </w:tc>
        <w:tc>
          <w:tcPr>
            <w:tcW w:w="3830" w:type="dxa"/>
            <w:vAlign w:val="center"/>
          </w:tcPr>
          <w:p w14:paraId="67F26094" w14:textId="77777777" w:rsidR="00257763" w:rsidRPr="0043654C" w:rsidRDefault="00D426A3" w:rsidP="00A30145">
            <w:pPr>
              <w:jc w:val="both"/>
              <w:rPr>
                <w:szCs w:val="22"/>
                <w:lang w:val="sr-Latn-ME"/>
              </w:rPr>
            </w:pPr>
            <w:r w:rsidRPr="0043654C">
              <w:rPr>
                <w:szCs w:val="22"/>
                <w:lang w:val="sr-Latn-ME"/>
              </w:rPr>
              <w:t>Kašalj</w:t>
            </w:r>
          </w:p>
        </w:tc>
        <w:tc>
          <w:tcPr>
            <w:tcW w:w="1276" w:type="dxa"/>
            <w:vAlign w:val="center"/>
          </w:tcPr>
          <w:p w14:paraId="586FF098" w14:textId="77777777" w:rsidR="00257763" w:rsidRPr="0043654C" w:rsidRDefault="00D426A3" w:rsidP="00A30145">
            <w:pPr>
              <w:jc w:val="both"/>
              <w:rPr>
                <w:szCs w:val="22"/>
                <w:lang w:val="sr-Latn-ME"/>
              </w:rPr>
            </w:pPr>
            <w:r w:rsidRPr="0043654C">
              <w:rPr>
                <w:szCs w:val="22"/>
                <w:lang w:val="sr-Latn-ME"/>
              </w:rPr>
              <w:t>Povremeno</w:t>
            </w:r>
          </w:p>
        </w:tc>
        <w:tc>
          <w:tcPr>
            <w:tcW w:w="1411" w:type="dxa"/>
            <w:vAlign w:val="center"/>
          </w:tcPr>
          <w:p w14:paraId="596DE776" w14:textId="77777777" w:rsidR="00257763" w:rsidRPr="0043654C" w:rsidRDefault="00D426A3" w:rsidP="00A30145">
            <w:pPr>
              <w:jc w:val="both"/>
              <w:rPr>
                <w:szCs w:val="22"/>
                <w:lang w:val="sr-Latn-ME"/>
              </w:rPr>
            </w:pPr>
            <w:r w:rsidRPr="0043654C">
              <w:rPr>
                <w:szCs w:val="22"/>
                <w:lang w:val="sr-Latn-ME"/>
              </w:rPr>
              <w:t>–</w:t>
            </w:r>
          </w:p>
        </w:tc>
      </w:tr>
      <w:tr w:rsidR="00257763" w:rsidRPr="0043654C" w14:paraId="737010E4" w14:textId="77777777">
        <w:trPr>
          <w:trHeight w:val="214"/>
          <w:jc w:val="center"/>
        </w:trPr>
        <w:tc>
          <w:tcPr>
            <w:tcW w:w="2544" w:type="dxa"/>
            <w:vMerge w:val="restart"/>
            <w:vAlign w:val="center"/>
          </w:tcPr>
          <w:p w14:paraId="31D471F6" w14:textId="77777777" w:rsidR="00257763" w:rsidRPr="0043654C" w:rsidRDefault="00D426A3" w:rsidP="00A30145">
            <w:pPr>
              <w:jc w:val="both"/>
              <w:rPr>
                <w:bCs/>
                <w:i/>
                <w:szCs w:val="22"/>
                <w:lang w:val="sr-Latn-ME"/>
              </w:rPr>
            </w:pPr>
            <w:r w:rsidRPr="0043654C">
              <w:rPr>
                <w:bCs/>
                <w:i/>
                <w:szCs w:val="22"/>
                <w:lang w:val="sr-Latn-ME"/>
              </w:rPr>
              <w:t>Gastrointestinalni poremećaji</w:t>
            </w:r>
          </w:p>
        </w:tc>
        <w:tc>
          <w:tcPr>
            <w:tcW w:w="3830" w:type="dxa"/>
            <w:vAlign w:val="center"/>
          </w:tcPr>
          <w:p w14:paraId="3E24B585" w14:textId="77777777" w:rsidR="00257763" w:rsidRPr="0043654C" w:rsidRDefault="00D426A3" w:rsidP="00A30145">
            <w:pPr>
              <w:jc w:val="both"/>
              <w:rPr>
                <w:szCs w:val="22"/>
                <w:lang w:val="sr-Latn-ME"/>
              </w:rPr>
            </w:pPr>
            <w:r w:rsidRPr="0043654C">
              <w:rPr>
                <w:szCs w:val="22"/>
                <w:lang w:val="sr-Latn-ME"/>
              </w:rPr>
              <w:t xml:space="preserve">Povraćanje </w:t>
            </w:r>
          </w:p>
        </w:tc>
        <w:tc>
          <w:tcPr>
            <w:tcW w:w="1276" w:type="dxa"/>
            <w:vAlign w:val="center"/>
          </w:tcPr>
          <w:p w14:paraId="21549047"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442FA8EB" w14:textId="77777777" w:rsidR="00257763" w:rsidRPr="0043654C" w:rsidRDefault="00D426A3" w:rsidP="00A30145">
            <w:pPr>
              <w:jc w:val="both"/>
              <w:rPr>
                <w:szCs w:val="22"/>
                <w:lang w:val="sr-Latn-ME"/>
              </w:rPr>
            </w:pPr>
            <w:r w:rsidRPr="0043654C">
              <w:rPr>
                <w:szCs w:val="22"/>
                <w:lang w:val="sr-Latn-ME"/>
              </w:rPr>
              <w:t>Povremeno</w:t>
            </w:r>
          </w:p>
        </w:tc>
      </w:tr>
      <w:tr w:rsidR="00257763" w:rsidRPr="0043654C" w14:paraId="06504197" w14:textId="77777777">
        <w:trPr>
          <w:trHeight w:val="246"/>
          <w:jc w:val="center"/>
        </w:trPr>
        <w:tc>
          <w:tcPr>
            <w:tcW w:w="2544" w:type="dxa"/>
            <w:vMerge/>
            <w:vAlign w:val="center"/>
          </w:tcPr>
          <w:p w14:paraId="2D44ECA5" w14:textId="77777777" w:rsidR="00257763" w:rsidRPr="0043654C" w:rsidRDefault="00257763" w:rsidP="00A30145">
            <w:pPr>
              <w:jc w:val="both"/>
              <w:rPr>
                <w:bCs/>
                <w:i/>
                <w:szCs w:val="22"/>
                <w:lang w:val="sr-Latn-ME"/>
              </w:rPr>
            </w:pPr>
          </w:p>
        </w:tc>
        <w:tc>
          <w:tcPr>
            <w:tcW w:w="3830" w:type="dxa"/>
            <w:vAlign w:val="center"/>
          </w:tcPr>
          <w:p w14:paraId="48374C7C" w14:textId="77777777" w:rsidR="00257763" w:rsidRPr="0043654C" w:rsidRDefault="00D426A3" w:rsidP="00A30145">
            <w:pPr>
              <w:jc w:val="both"/>
              <w:rPr>
                <w:szCs w:val="22"/>
                <w:lang w:val="sr-Latn-ME"/>
              </w:rPr>
            </w:pPr>
            <w:r w:rsidRPr="0043654C">
              <w:rPr>
                <w:szCs w:val="22"/>
                <w:lang w:val="sr-Latn-ME"/>
              </w:rPr>
              <w:t>Mučnina</w:t>
            </w:r>
          </w:p>
        </w:tc>
        <w:tc>
          <w:tcPr>
            <w:tcW w:w="1276" w:type="dxa"/>
            <w:vAlign w:val="center"/>
          </w:tcPr>
          <w:p w14:paraId="0C7E0306"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5946A5B7" w14:textId="77777777" w:rsidR="00257763" w:rsidRPr="0043654C" w:rsidRDefault="00D426A3" w:rsidP="00A30145">
            <w:pPr>
              <w:jc w:val="both"/>
              <w:rPr>
                <w:szCs w:val="22"/>
                <w:lang w:val="sr-Latn-ME"/>
              </w:rPr>
            </w:pPr>
            <w:r w:rsidRPr="0043654C">
              <w:rPr>
                <w:szCs w:val="22"/>
                <w:lang w:val="sr-Latn-ME"/>
              </w:rPr>
              <w:t>Rijetko</w:t>
            </w:r>
          </w:p>
        </w:tc>
      </w:tr>
      <w:tr w:rsidR="00257763" w:rsidRPr="0043654C" w14:paraId="48B5321A" w14:textId="77777777">
        <w:trPr>
          <w:trHeight w:val="292"/>
          <w:jc w:val="center"/>
        </w:trPr>
        <w:tc>
          <w:tcPr>
            <w:tcW w:w="2544" w:type="dxa"/>
            <w:vMerge/>
            <w:vAlign w:val="center"/>
          </w:tcPr>
          <w:p w14:paraId="4FF0E4BE" w14:textId="77777777" w:rsidR="00257763" w:rsidRPr="0043654C" w:rsidRDefault="00257763" w:rsidP="00A30145">
            <w:pPr>
              <w:jc w:val="both"/>
              <w:rPr>
                <w:bCs/>
                <w:i/>
                <w:szCs w:val="22"/>
                <w:lang w:val="sr-Latn-ME"/>
              </w:rPr>
            </w:pPr>
          </w:p>
        </w:tc>
        <w:tc>
          <w:tcPr>
            <w:tcW w:w="3830" w:type="dxa"/>
            <w:vAlign w:val="center"/>
          </w:tcPr>
          <w:p w14:paraId="67843147" w14:textId="77777777" w:rsidR="00257763" w:rsidRPr="0043654C" w:rsidRDefault="00D426A3" w:rsidP="00A30145">
            <w:pPr>
              <w:jc w:val="both"/>
              <w:rPr>
                <w:szCs w:val="22"/>
                <w:lang w:val="sr-Latn-ME"/>
              </w:rPr>
            </w:pPr>
            <w:r w:rsidRPr="0043654C">
              <w:rPr>
                <w:szCs w:val="22"/>
                <w:lang w:val="sr-Latn-ME"/>
              </w:rPr>
              <w:t>Konstipacija</w:t>
            </w:r>
          </w:p>
        </w:tc>
        <w:tc>
          <w:tcPr>
            <w:tcW w:w="1276" w:type="dxa"/>
            <w:vAlign w:val="center"/>
          </w:tcPr>
          <w:p w14:paraId="55634BFB"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5D66B832" w14:textId="77777777" w:rsidR="00257763" w:rsidRPr="0043654C" w:rsidRDefault="00D426A3" w:rsidP="00A30145">
            <w:pPr>
              <w:jc w:val="both"/>
              <w:rPr>
                <w:szCs w:val="22"/>
                <w:lang w:val="sr-Latn-ME"/>
              </w:rPr>
            </w:pPr>
            <w:r w:rsidRPr="0043654C">
              <w:rPr>
                <w:szCs w:val="22"/>
                <w:lang w:val="sr-Latn-ME"/>
              </w:rPr>
              <w:t>Rijetko</w:t>
            </w:r>
          </w:p>
        </w:tc>
      </w:tr>
      <w:tr w:rsidR="00257763" w:rsidRPr="0043654C" w14:paraId="09377350" w14:textId="77777777">
        <w:trPr>
          <w:trHeight w:val="50"/>
          <w:jc w:val="center"/>
        </w:trPr>
        <w:tc>
          <w:tcPr>
            <w:tcW w:w="2544" w:type="dxa"/>
            <w:vMerge/>
            <w:vAlign w:val="center"/>
          </w:tcPr>
          <w:p w14:paraId="6A4FE469" w14:textId="77777777" w:rsidR="00257763" w:rsidRPr="0043654C" w:rsidRDefault="00257763" w:rsidP="00A30145">
            <w:pPr>
              <w:jc w:val="both"/>
              <w:rPr>
                <w:bCs/>
                <w:i/>
                <w:szCs w:val="22"/>
                <w:lang w:val="sr-Latn-ME"/>
              </w:rPr>
            </w:pPr>
          </w:p>
        </w:tc>
        <w:tc>
          <w:tcPr>
            <w:tcW w:w="3830" w:type="dxa"/>
            <w:vAlign w:val="center"/>
          </w:tcPr>
          <w:p w14:paraId="15FA8F9A" w14:textId="77777777" w:rsidR="00257763" w:rsidRPr="0043654C" w:rsidRDefault="00D426A3" w:rsidP="00A30145">
            <w:pPr>
              <w:jc w:val="both"/>
              <w:rPr>
                <w:szCs w:val="22"/>
                <w:lang w:val="sr-Latn-ME"/>
              </w:rPr>
            </w:pPr>
            <w:r w:rsidRPr="0043654C">
              <w:rPr>
                <w:szCs w:val="22"/>
                <w:lang w:val="sr-Latn-ME"/>
              </w:rPr>
              <w:t>Suva usta</w:t>
            </w:r>
          </w:p>
        </w:tc>
        <w:tc>
          <w:tcPr>
            <w:tcW w:w="1276" w:type="dxa"/>
            <w:vAlign w:val="center"/>
          </w:tcPr>
          <w:p w14:paraId="4863B94C"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34C874D9" w14:textId="77777777" w:rsidR="00257763" w:rsidRPr="0043654C" w:rsidRDefault="00D426A3" w:rsidP="00A30145">
            <w:pPr>
              <w:jc w:val="both"/>
              <w:rPr>
                <w:szCs w:val="22"/>
                <w:lang w:val="sr-Latn-ME"/>
              </w:rPr>
            </w:pPr>
            <w:r w:rsidRPr="0043654C">
              <w:rPr>
                <w:szCs w:val="22"/>
                <w:lang w:val="sr-Latn-ME"/>
              </w:rPr>
              <w:t>Rijetko</w:t>
            </w:r>
          </w:p>
        </w:tc>
      </w:tr>
      <w:tr w:rsidR="00257763" w:rsidRPr="0043654C" w14:paraId="2CBAAA6C" w14:textId="77777777">
        <w:trPr>
          <w:trHeight w:val="218"/>
          <w:jc w:val="center"/>
        </w:trPr>
        <w:tc>
          <w:tcPr>
            <w:tcW w:w="2544" w:type="dxa"/>
            <w:vMerge/>
            <w:vAlign w:val="center"/>
          </w:tcPr>
          <w:p w14:paraId="2F4F8CAB" w14:textId="77777777" w:rsidR="00257763" w:rsidRPr="0043654C" w:rsidRDefault="00257763" w:rsidP="00A30145">
            <w:pPr>
              <w:jc w:val="both"/>
              <w:rPr>
                <w:bCs/>
                <w:i/>
                <w:szCs w:val="22"/>
                <w:lang w:val="sr-Latn-ME"/>
              </w:rPr>
            </w:pPr>
          </w:p>
        </w:tc>
        <w:tc>
          <w:tcPr>
            <w:tcW w:w="3830" w:type="dxa"/>
            <w:vAlign w:val="center"/>
          </w:tcPr>
          <w:p w14:paraId="19D45656" w14:textId="77777777" w:rsidR="00257763" w:rsidRPr="0043654C" w:rsidRDefault="00D426A3" w:rsidP="00A30145">
            <w:pPr>
              <w:jc w:val="both"/>
              <w:rPr>
                <w:szCs w:val="22"/>
                <w:lang w:val="sr-Latn-ME"/>
              </w:rPr>
            </w:pPr>
            <w:r w:rsidRPr="0043654C">
              <w:rPr>
                <w:szCs w:val="22"/>
                <w:lang w:val="sr-Latn-ME"/>
              </w:rPr>
              <w:t>Pankreatitis</w:t>
            </w:r>
          </w:p>
        </w:tc>
        <w:tc>
          <w:tcPr>
            <w:tcW w:w="1276" w:type="dxa"/>
            <w:vAlign w:val="center"/>
          </w:tcPr>
          <w:p w14:paraId="0200EF66"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78ECBA79" w14:textId="77777777" w:rsidR="00257763" w:rsidRPr="0043654C" w:rsidRDefault="00D426A3" w:rsidP="00A30145">
            <w:pPr>
              <w:jc w:val="both"/>
              <w:rPr>
                <w:szCs w:val="22"/>
                <w:lang w:val="sr-Latn-ME"/>
              </w:rPr>
            </w:pPr>
            <w:r w:rsidRPr="0043654C">
              <w:rPr>
                <w:szCs w:val="22"/>
                <w:lang w:val="sr-Latn-ME"/>
              </w:rPr>
              <w:t>Veoma rijetko</w:t>
            </w:r>
          </w:p>
        </w:tc>
      </w:tr>
      <w:tr w:rsidR="00257763" w:rsidRPr="0043654C" w14:paraId="6E552767" w14:textId="77777777">
        <w:trPr>
          <w:trHeight w:val="218"/>
          <w:jc w:val="center"/>
        </w:trPr>
        <w:tc>
          <w:tcPr>
            <w:tcW w:w="2544" w:type="dxa"/>
            <w:vMerge/>
            <w:vAlign w:val="center"/>
          </w:tcPr>
          <w:p w14:paraId="1028C263" w14:textId="77777777" w:rsidR="00257763" w:rsidRPr="0043654C" w:rsidRDefault="00257763" w:rsidP="00A30145">
            <w:pPr>
              <w:jc w:val="both"/>
              <w:rPr>
                <w:bCs/>
                <w:i/>
                <w:szCs w:val="22"/>
                <w:lang w:val="sr-Latn-ME"/>
              </w:rPr>
            </w:pPr>
          </w:p>
        </w:tc>
        <w:tc>
          <w:tcPr>
            <w:tcW w:w="3830" w:type="dxa"/>
            <w:vAlign w:val="center"/>
          </w:tcPr>
          <w:p w14:paraId="06B5F894" w14:textId="77777777" w:rsidR="00257763" w:rsidRPr="0043654C" w:rsidRDefault="00D426A3" w:rsidP="00A30145">
            <w:pPr>
              <w:jc w:val="both"/>
              <w:rPr>
                <w:szCs w:val="22"/>
                <w:lang w:val="sr-Latn-ME"/>
              </w:rPr>
            </w:pPr>
            <w:r w:rsidRPr="0043654C">
              <w:rPr>
                <w:szCs w:val="22"/>
                <w:lang w:val="sr-Latn-ME"/>
              </w:rPr>
              <w:t>Abdominalni bol</w:t>
            </w:r>
          </w:p>
        </w:tc>
        <w:tc>
          <w:tcPr>
            <w:tcW w:w="1276" w:type="dxa"/>
            <w:vAlign w:val="center"/>
          </w:tcPr>
          <w:p w14:paraId="0E0E0A7A" w14:textId="77777777" w:rsidR="00257763" w:rsidRPr="0043654C" w:rsidRDefault="00D426A3" w:rsidP="00A30145">
            <w:pPr>
              <w:jc w:val="both"/>
              <w:rPr>
                <w:szCs w:val="22"/>
                <w:lang w:val="sr-Latn-ME"/>
              </w:rPr>
            </w:pPr>
            <w:r w:rsidRPr="0043654C">
              <w:rPr>
                <w:szCs w:val="22"/>
                <w:lang w:val="sr-Latn-ME"/>
              </w:rPr>
              <w:t>Povremeno</w:t>
            </w:r>
          </w:p>
        </w:tc>
        <w:tc>
          <w:tcPr>
            <w:tcW w:w="1411" w:type="dxa"/>
            <w:vAlign w:val="center"/>
          </w:tcPr>
          <w:p w14:paraId="4BB4B373" w14:textId="77777777" w:rsidR="00257763" w:rsidRPr="0043654C" w:rsidRDefault="00D426A3" w:rsidP="00A30145">
            <w:pPr>
              <w:jc w:val="both"/>
              <w:rPr>
                <w:szCs w:val="22"/>
                <w:lang w:val="sr-Latn-ME"/>
              </w:rPr>
            </w:pPr>
            <w:r w:rsidRPr="0043654C">
              <w:rPr>
                <w:szCs w:val="22"/>
                <w:lang w:val="sr-Latn-ME"/>
              </w:rPr>
              <w:t>–</w:t>
            </w:r>
          </w:p>
        </w:tc>
      </w:tr>
      <w:tr w:rsidR="00257763" w:rsidRPr="0043654C" w14:paraId="54ADBE36" w14:textId="77777777">
        <w:trPr>
          <w:trHeight w:val="218"/>
          <w:jc w:val="center"/>
        </w:trPr>
        <w:tc>
          <w:tcPr>
            <w:tcW w:w="2544" w:type="dxa"/>
            <w:vMerge/>
            <w:vAlign w:val="center"/>
          </w:tcPr>
          <w:p w14:paraId="53D59872" w14:textId="77777777" w:rsidR="00257763" w:rsidRPr="0043654C" w:rsidRDefault="00257763" w:rsidP="00A30145">
            <w:pPr>
              <w:jc w:val="both"/>
              <w:rPr>
                <w:bCs/>
                <w:i/>
                <w:szCs w:val="22"/>
                <w:lang w:val="sr-Latn-ME"/>
              </w:rPr>
            </w:pPr>
          </w:p>
        </w:tc>
        <w:tc>
          <w:tcPr>
            <w:tcW w:w="3830" w:type="dxa"/>
            <w:vAlign w:val="center"/>
          </w:tcPr>
          <w:p w14:paraId="44463B55" w14:textId="77777777" w:rsidR="00257763" w:rsidRPr="0043654C" w:rsidRDefault="00D426A3" w:rsidP="00A30145">
            <w:pPr>
              <w:jc w:val="both"/>
              <w:rPr>
                <w:szCs w:val="22"/>
                <w:lang w:val="sr-Latn-ME"/>
              </w:rPr>
            </w:pPr>
            <w:r w:rsidRPr="0043654C">
              <w:rPr>
                <w:szCs w:val="22"/>
                <w:lang w:val="sr-Latn-ME"/>
              </w:rPr>
              <w:t>Intestinalni angioedem</w:t>
            </w:r>
          </w:p>
        </w:tc>
        <w:tc>
          <w:tcPr>
            <w:tcW w:w="1276" w:type="dxa"/>
            <w:vAlign w:val="center"/>
          </w:tcPr>
          <w:p w14:paraId="555F17A0" w14:textId="77777777" w:rsidR="00257763" w:rsidRPr="0043654C" w:rsidRDefault="00D426A3" w:rsidP="00A30145">
            <w:pPr>
              <w:jc w:val="both"/>
              <w:rPr>
                <w:szCs w:val="22"/>
                <w:lang w:val="sr-Latn-ME"/>
              </w:rPr>
            </w:pPr>
            <w:r w:rsidRPr="0043654C">
              <w:rPr>
                <w:szCs w:val="22"/>
                <w:lang w:val="sr-Latn-ME"/>
              </w:rPr>
              <w:t>Veoma rijetko</w:t>
            </w:r>
          </w:p>
        </w:tc>
        <w:tc>
          <w:tcPr>
            <w:tcW w:w="1411" w:type="dxa"/>
            <w:vAlign w:val="center"/>
          </w:tcPr>
          <w:p w14:paraId="3C1A369B" w14:textId="77777777" w:rsidR="00257763" w:rsidRPr="0043654C" w:rsidRDefault="00D426A3" w:rsidP="00A30145">
            <w:pPr>
              <w:jc w:val="both"/>
              <w:rPr>
                <w:szCs w:val="22"/>
                <w:lang w:val="sr-Latn-ME"/>
              </w:rPr>
            </w:pPr>
            <w:r w:rsidRPr="0043654C">
              <w:rPr>
                <w:szCs w:val="22"/>
                <w:lang w:val="sr-Latn-ME"/>
              </w:rPr>
              <w:t>–</w:t>
            </w:r>
          </w:p>
        </w:tc>
      </w:tr>
      <w:tr w:rsidR="00257763" w:rsidRPr="0043654C" w14:paraId="1521DE20" w14:textId="77777777">
        <w:trPr>
          <w:trHeight w:val="218"/>
          <w:jc w:val="center"/>
        </w:trPr>
        <w:tc>
          <w:tcPr>
            <w:tcW w:w="2544" w:type="dxa"/>
            <w:vMerge w:val="restart"/>
            <w:vAlign w:val="center"/>
          </w:tcPr>
          <w:p w14:paraId="2866F8A8" w14:textId="77777777" w:rsidR="00257763" w:rsidRPr="0043654C" w:rsidRDefault="00D426A3" w:rsidP="00A30145">
            <w:pPr>
              <w:jc w:val="both"/>
              <w:rPr>
                <w:bCs/>
                <w:i/>
                <w:szCs w:val="22"/>
                <w:lang w:val="sr-Latn-ME"/>
              </w:rPr>
            </w:pPr>
            <w:r w:rsidRPr="0043654C">
              <w:rPr>
                <w:bCs/>
                <w:i/>
                <w:szCs w:val="22"/>
                <w:lang w:val="sr-Latn-ME"/>
              </w:rPr>
              <w:lastRenderedPageBreak/>
              <w:t>Hepatobilijarni poremećaji</w:t>
            </w:r>
          </w:p>
        </w:tc>
        <w:tc>
          <w:tcPr>
            <w:tcW w:w="3830" w:type="dxa"/>
            <w:vAlign w:val="center"/>
          </w:tcPr>
          <w:p w14:paraId="115E131C" w14:textId="77777777" w:rsidR="00257763" w:rsidRPr="0043654C" w:rsidRDefault="00D426A3" w:rsidP="00A30145">
            <w:pPr>
              <w:jc w:val="both"/>
              <w:rPr>
                <w:szCs w:val="22"/>
                <w:lang w:val="sr-Latn-ME"/>
              </w:rPr>
            </w:pPr>
            <w:r w:rsidRPr="0043654C">
              <w:rPr>
                <w:szCs w:val="22"/>
                <w:lang w:val="sr-Latn-ME"/>
              </w:rPr>
              <w:t>Povišenje vrijednosti funkcije jetre uključujući povećanje bilirubina u serumu</w:t>
            </w:r>
          </w:p>
        </w:tc>
        <w:tc>
          <w:tcPr>
            <w:tcW w:w="1276" w:type="dxa"/>
            <w:vAlign w:val="center"/>
          </w:tcPr>
          <w:p w14:paraId="610FD6FC" w14:textId="77777777" w:rsidR="00257763" w:rsidRPr="0043654C" w:rsidRDefault="00D426A3" w:rsidP="00A30145">
            <w:pPr>
              <w:jc w:val="both"/>
              <w:rPr>
                <w:szCs w:val="22"/>
                <w:lang w:val="sr-Latn-ME"/>
              </w:rPr>
            </w:pPr>
            <w:r w:rsidRPr="0043654C">
              <w:rPr>
                <w:szCs w:val="22"/>
                <w:lang w:val="sr-Latn-ME"/>
              </w:rPr>
              <w:t>Nepoznato</w:t>
            </w:r>
          </w:p>
        </w:tc>
        <w:tc>
          <w:tcPr>
            <w:tcW w:w="1411" w:type="dxa"/>
            <w:vAlign w:val="center"/>
          </w:tcPr>
          <w:p w14:paraId="37B77C21" w14:textId="77777777" w:rsidR="00257763" w:rsidRPr="0043654C" w:rsidRDefault="00D426A3" w:rsidP="00A30145">
            <w:pPr>
              <w:jc w:val="both"/>
              <w:rPr>
                <w:szCs w:val="22"/>
                <w:lang w:val="sr-Latn-ME"/>
              </w:rPr>
            </w:pPr>
            <w:r w:rsidRPr="0043654C">
              <w:rPr>
                <w:szCs w:val="22"/>
                <w:lang w:val="sr-Latn-ME"/>
              </w:rPr>
              <w:t>–</w:t>
            </w:r>
          </w:p>
        </w:tc>
      </w:tr>
      <w:tr w:rsidR="00257763" w:rsidRPr="0043654C" w14:paraId="0FD6686A" w14:textId="77777777">
        <w:trPr>
          <w:trHeight w:val="279"/>
          <w:jc w:val="center"/>
        </w:trPr>
        <w:tc>
          <w:tcPr>
            <w:tcW w:w="2544" w:type="dxa"/>
            <w:vMerge/>
            <w:vAlign w:val="center"/>
          </w:tcPr>
          <w:p w14:paraId="4F5326D3" w14:textId="77777777" w:rsidR="00257763" w:rsidRPr="0043654C" w:rsidRDefault="00257763" w:rsidP="00A30145">
            <w:pPr>
              <w:jc w:val="both"/>
              <w:rPr>
                <w:bCs/>
                <w:i/>
                <w:szCs w:val="22"/>
                <w:lang w:val="sr-Latn-ME"/>
              </w:rPr>
            </w:pPr>
          </w:p>
        </w:tc>
        <w:tc>
          <w:tcPr>
            <w:tcW w:w="3830" w:type="dxa"/>
            <w:tcBorders>
              <w:bottom w:val="single" w:sz="4" w:space="0" w:color="auto"/>
            </w:tcBorders>
            <w:vAlign w:val="center"/>
          </w:tcPr>
          <w:p w14:paraId="44054525" w14:textId="77777777" w:rsidR="00257763" w:rsidRPr="0043654C" w:rsidRDefault="00D426A3" w:rsidP="00A30145">
            <w:pPr>
              <w:jc w:val="both"/>
              <w:rPr>
                <w:szCs w:val="22"/>
                <w:lang w:val="sr-Latn-ME"/>
              </w:rPr>
            </w:pPr>
            <w:r w:rsidRPr="0043654C">
              <w:rPr>
                <w:szCs w:val="22"/>
                <w:lang w:val="sr-Latn-ME"/>
              </w:rPr>
              <w:t xml:space="preserve">Abnormalna funkcija jetre </w:t>
            </w:r>
          </w:p>
        </w:tc>
        <w:tc>
          <w:tcPr>
            <w:tcW w:w="1276" w:type="dxa"/>
            <w:vAlign w:val="center"/>
          </w:tcPr>
          <w:p w14:paraId="193A63C7"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701279C5" w14:textId="77777777" w:rsidR="00257763" w:rsidRPr="0043654C" w:rsidRDefault="00D426A3" w:rsidP="00A30145">
            <w:pPr>
              <w:jc w:val="both"/>
              <w:rPr>
                <w:szCs w:val="22"/>
                <w:lang w:val="sr-Latn-ME"/>
              </w:rPr>
            </w:pPr>
            <w:r w:rsidRPr="0043654C">
              <w:rPr>
                <w:szCs w:val="22"/>
                <w:lang w:val="sr-Latn-ME"/>
              </w:rPr>
              <w:t>Veoma rijeko</w:t>
            </w:r>
          </w:p>
        </w:tc>
      </w:tr>
      <w:tr w:rsidR="00257763" w:rsidRPr="0043654C" w14:paraId="435DF00B" w14:textId="77777777">
        <w:trPr>
          <w:trHeight w:val="279"/>
          <w:jc w:val="center"/>
        </w:trPr>
        <w:tc>
          <w:tcPr>
            <w:tcW w:w="2544" w:type="dxa"/>
            <w:vMerge/>
            <w:vAlign w:val="center"/>
          </w:tcPr>
          <w:p w14:paraId="2F706913" w14:textId="77777777" w:rsidR="00257763" w:rsidRPr="0043654C" w:rsidRDefault="00257763" w:rsidP="00A30145">
            <w:pPr>
              <w:jc w:val="both"/>
              <w:rPr>
                <w:bCs/>
                <w:i/>
                <w:szCs w:val="22"/>
                <w:lang w:val="sr-Latn-ME"/>
              </w:rPr>
            </w:pPr>
          </w:p>
        </w:tc>
        <w:tc>
          <w:tcPr>
            <w:tcW w:w="3830" w:type="dxa"/>
            <w:tcBorders>
              <w:bottom w:val="single" w:sz="4" w:space="0" w:color="auto"/>
            </w:tcBorders>
            <w:vAlign w:val="center"/>
          </w:tcPr>
          <w:p w14:paraId="067BCB15" w14:textId="71793A54" w:rsidR="00257763" w:rsidRPr="0043654C" w:rsidRDefault="00D426A3">
            <w:pPr>
              <w:jc w:val="both"/>
              <w:rPr>
                <w:szCs w:val="22"/>
                <w:lang w:val="sr-Latn-ME"/>
              </w:rPr>
            </w:pPr>
            <w:r w:rsidRPr="0043654C">
              <w:rPr>
                <w:szCs w:val="22"/>
                <w:lang w:val="sr-Latn-ME"/>
              </w:rPr>
              <w:t xml:space="preserve">Mogućnost pojave hepatičke encefalopatije u slučaju insuficijencije jetre (vidjeti </w:t>
            </w:r>
            <w:r w:rsidR="00AE03A2" w:rsidRPr="0043654C">
              <w:rPr>
                <w:szCs w:val="22"/>
                <w:lang w:val="sr-Latn-ME"/>
              </w:rPr>
              <w:t xml:space="preserve">djelove </w:t>
            </w:r>
            <w:r w:rsidRPr="0043654C">
              <w:rPr>
                <w:szCs w:val="22"/>
                <w:lang w:val="sr-Latn-ME"/>
              </w:rPr>
              <w:t>4.3 i 4.4)</w:t>
            </w:r>
          </w:p>
        </w:tc>
        <w:tc>
          <w:tcPr>
            <w:tcW w:w="1276" w:type="dxa"/>
            <w:vAlign w:val="center"/>
          </w:tcPr>
          <w:p w14:paraId="562A9B8D"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3B9E4F88" w14:textId="77777777" w:rsidR="00257763" w:rsidRPr="0043654C" w:rsidRDefault="00D426A3" w:rsidP="00A30145">
            <w:pPr>
              <w:jc w:val="both"/>
              <w:rPr>
                <w:szCs w:val="22"/>
                <w:lang w:val="sr-Latn-ME"/>
              </w:rPr>
            </w:pPr>
            <w:r w:rsidRPr="0043654C">
              <w:rPr>
                <w:szCs w:val="22"/>
                <w:lang w:val="sr-Latn-ME"/>
              </w:rPr>
              <w:t>Nepoznato</w:t>
            </w:r>
          </w:p>
        </w:tc>
      </w:tr>
      <w:tr w:rsidR="00257763" w:rsidRPr="0043654C" w14:paraId="6DB00F15" w14:textId="77777777">
        <w:trPr>
          <w:trHeight w:val="279"/>
          <w:jc w:val="center"/>
        </w:trPr>
        <w:tc>
          <w:tcPr>
            <w:tcW w:w="2544" w:type="dxa"/>
            <w:vMerge/>
            <w:vAlign w:val="center"/>
          </w:tcPr>
          <w:p w14:paraId="05CEB575" w14:textId="77777777" w:rsidR="00257763" w:rsidRPr="0043654C" w:rsidRDefault="00257763" w:rsidP="00A30145">
            <w:pPr>
              <w:jc w:val="both"/>
              <w:rPr>
                <w:bCs/>
                <w:i/>
                <w:szCs w:val="22"/>
                <w:lang w:val="sr-Latn-ME"/>
              </w:rPr>
            </w:pPr>
          </w:p>
        </w:tc>
        <w:tc>
          <w:tcPr>
            <w:tcW w:w="3830" w:type="dxa"/>
            <w:tcBorders>
              <w:bottom w:val="single" w:sz="4" w:space="0" w:color="auto"/>
            </w:tcBorders>
            <w:vAlign w:val="center"/>
          </w:tcPr>
          <w:p w14:paraId="66140CB6" w14:textId="77777777" w:rsidR="00257763" w:rsidRPr="0043654C" w:rsidRDefault="00D426A3" w:rsidP="00A30145">
            <w:pPr>
              <w:jc w:val="both"/>
              <w:rPr>
                <w:szCs w:val="22"/>
                <w:lang w:val="sr-Latn-ME"/>
              </w:rPr>
            </w:pPr>
            <w:r w:rsidRPr="0043654C">
              <w:rPr>
                <w:szCs w:val="22"/>
                <w:lang w:val="sr-Latn-ME"/>
              </w:rPr>
              <w:t>Hepatitis</w:t>
            </w:r>
          </w:p>
        </w:tc>
        <w:tc>
          <w:tcPr>
            <w:tcW w:w="1276" w:type="dxa"/>
            <w:vAlign w:val="center"/>
          </w:tcPr>
          <w:p w14:paraId="2A389FB3"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595359FC" w14:textId="77777777" w:rsidR="00257763" w:rsidRPr="0043654C" w:rsidRDefault="00D426A3" w:rsidP="00A30145">
            <w:pPr>
              <w:jc w:val="both"/>
              <w:rPr>
                <w:szCs w:val="22"/>
                <w:lang w:val="sr-Latn-ME"/>
              </w:rPr>
            </w:pPr>
            <w:r w:rsidRPr="0043654C">
              <w:rPr>
                <w:szCs w:val="22"/>
                <w:lang w:val="sr-Latn-ME"/>
              </w:rPr>
              <w:t>Nepoznato</w:t>
            </w:r>
          </w:p>
        </w:tc>
      </w:tr>
      <w:tr w:rsidR="00257763" w:rsidRPr="0043654C" w14:paraId="530D7670" w14:textId="77777777">
        <w:trPr>
          <w:trHeight w:val="111"/>
          <w:jc w:val="center"/>
        </w:trPr>
        <w:tc>
          <w:tcPr>
            <w:tcW w:w="2544" w:type="dxa"/>
            <w:vMerge w:val="restart"/>
            <w:vAlign w:val="center"/>
          </w:tcPr>
          <w:p w14:paraId="163F801C" w14:textId="77777777" w:rsidR="00257763" w:rsidRPr="0043654C" w:rsidRDefault="00D426A3" w:rsidP="00A30145">
            <w:pPr>
              <w:tabs>
                <w:tab w:val="left" w:pos="284"/>
              </w:tabs>
              <w:jc w:val="both"/>
              <w:rPr>
                <w:bCs/>
                <w:i/>
                <w:noProof/>
                <w:szCs w:val="22"/>
                <w:lang w:val="sr-Latn-ME"/>
              </w:rPr>
            </w:pPr>
            <w:r w:rsidRPr="0043654C">
              <w:rPr>
                <w:bCs/>
                <w:i/>
                <w:noProof/>
                <w:szCs w:val="22"/>
                <w:lang w:val="sr-Latn-ME"/>
              </w:rPr>
              <w:t xml:space="preserve">Poremećaji kože i potkožnog tkiva </w:t>
            </w:r>
          </w:p>
          <w:p w14:paraId="1D225FCE" w14:textId="77777777" w:rsidR="00257763" w:rsidRPr="0043654C" w:rsidRDefault="00257763" w:rsidP="00A30145">
            <w:pPr>
              <w:jc w:val="both"/>
              <w:rPr>
                <w:bCs/>
                <w:i/>
                <w:szCs w:val="22"/>
                <w:lang w:val="sr-Latn-ME"/>
              </w:rPr>
            </w:pPr>
          </w:p>
        </w:tc>
        <w:tc>
          <w:tcPr>
            <w:tcW w:w="3830" w:type="dxa"/>
            <w:vAlign w:val="center"/>
          </w:tcPr>
          <w:p w14:paraId="4AC22D10" w14:textId="77777777" w:rsidR="00257763" w:rsidRPr="0043654C" w:rsidRDefault="00D426A3" w:rsidP="00A30145">
            <w:pPr>
              <w:jc w:val="both"/>
              <w:rPr>
                <w:szCs w:val="22"/>
                <w:lang w:val="sr-Latn-ME"/>
              </w:rPr>
            </w:pPr>
            <w:r w:rsidRPr="0043654C">
              <w:rPr>
                <w:szCs w:val="22"/>
                <w:lang w:val="sr-Latn-ME"/>
              </w:rPr>
              <w:t>Reakcije hipersenzitivnosti</w:t>
            </w:r>
          </w:p>
        </w:tc>
        <w:tc>
          <w:tcPr>
            <w:tcW w:w="1276" w:type="dxa"/>
            <w:vAlign w:val="center"/>
          </w:tcPr>
          <w:p w14:paraId="1647A6BE"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55D47807" w14:textId="77777777" w:rsidR="00257763" w:rsidRPr="0043654C" w:rsidRDefault="00D426A3" w:rsidP="00A30145">
            <w:pPr>
              <w:jc w:val="both"/>
              <w:rPr>
                <w:szCs w:val="22"/>
                <w:lang w:val="sr-Latn-ME"/>
              </w:rPr>
            </w:pPr>
            <w:r w:rsidRPr="0043654C">
              <w:rPr>
                <w:szCs w:val="22"/>
                <w:lang w:val="sr-Latn-ME"/>
              </w:rPr>
              <w:t>Često</w:t>
            </w:r>
          </w:p>
        </w:tc>
      </w:tr>
      <w:tr w:rsidR="00257763" w:rsidRPr="0043654C" w14:paraId="77EE39A5" w14:textId="77777777">
        <w:trPr>
          <w:trHeight w:val="111"/>
          <w:jc w:val="center"/>
        </w:trPr>
        <w:tc>
          <w:tcPr>
            <w:tcW w:w="2544" w:type="dxa"/>
            <w:vMerge/>
            <w:vAlign w:val="center"/>
          </w:tcPr>
          <w:p w14:paraId="468594FB" w14:textId="77777777" w:rsidR="00257763" w:rsidRPr="0043654C" w:rsidRDefault="00257763" w:rsidP="00A30145">
            <w:pPr>
              <w:jc w:val="both"/>
              <w:rPr>
                <w:bCs/>
                <w:i/>
                <w:iCs/>
                <w:szCs w:val="22"/>
                <w:lang w:val="sr-Latn-ME"/>
              </w:rPr>
            </w:pPr>
          </w:p>
        </w:tc>
        <w:tc>
          <w:tcPr>
            <w:tcW w:w="3830" w:type="dxa"/>
            <w:vAlign w:val="center"/>
          </w:tcPr>
          <w:p w14:paraId="0DB1496A" w14:textId="77777777" w:rsidR="00257763" w:rsidRPr="0043654C" w:rsidRDefault="00D426A3" w:rsidP="00A30145">
            <w:pPr>
              <w:jc w:val="both"/>
              <w:rPr>
                <w:szCs w:val="22"/>
                <w:lang w:val="sr-Latn-ME"/>
              </w:rPr>
            </w:pPr>
            <w:r w:rsidRPr="0043654C">
              <w:rPr>
                <w:szCs w:val="22"/>
                <w:lang w:val="sr-Latn-ME"/>
              </w:rPr>
              <w:t>Makulopapularni osip</w:t>
            </w:r>
          </w:p>
        </w:tc>
        <w:tc>
          <w:tcPr>
            <w:tcW w:w="1276" w:type="dxa"/>
            <w:vAlign w:val="center"/>
          </w:tcPr>
          <w:p w14:paraId="655A0E05"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4AD8BD97" w14:textId="77777777" w:rsidR="00257763" w:rsidRPr="0043654C" w:rsidRDefault="00D426A3" w:rsidP="00A30145">
            <w:pPr>
              <w:jc w:val="both"/>
              <w:rPr>
                <w:szCs w:val="22"/>
                <w:lang w:val="sr-Latn-ME"/>
              </w:rPr>
            </w:pPr>
            <w:r w:rsidRPr="0043654C">
              <w:rPr>
                <w:szCs w:val="22"/>
                <w:lang w:val="sr-Latn-ME"/>
              </w:rPr>
              <w:t>Često</w:t>
            </w:r>
          </w:p>
        </w:tc>
      </w:tr>
      <w:tr w:rsidR="00257763" w:rsidRPr="0043654C" w14:paraId="1C5C9C96" w14:textId="77777777">
        <w:trPr>
          <w:trHeight w:val="111"/>
          <w:jc w:val="center"/>
        </w:trPr>
        <w:tc>
          <w:tcPr>
            <w:tcW w:w="2544" w:type="dxa"/>
            <w:vMerge/>
            <w:vAlign w:val="center"/>
          </w:tcPr>
          <w:p w14:paraId="09266F72" w14:textId="77777777" w:rsidR="00257763" w:rsidRPr="0043654C" w:rsidRDefault="00257763" w:rsidP="00A30145">
            <w:pPr>
              <w:jc w:val="both"/>
              <w:rPr>
                <w:bCs/>
                <w:i/>
                <w:szCs w:val="22"/>
                <w:lang w:val="sr-Latn-ME"/>
              </w:rPr>
            </w:pPr>
          </w:p>
        </w:tc>
        <w:tc>
          <w:tcPr>
            <w:tcW w:w="3830" w:type="dxa"/>
            <w:vAlign w:val="center"/>
          </w:tcPr>
          <w:p w14:paraId="228E2FAC" w14:textId="77777777" w:rsidR="00257763" w:rsidRPr="0043654C" w:rsidRDefault="00D426A3" w:rsidP="00A30145">
            <w:pPr>
              <w:jc w:val="both"/>
              <w:rPr>
                <w:szCs w:val="22"/>
                <w:lang w:val="sr-Latn-ME"/>
              </w:rPr>
            </w:pPr>
            <w:r w:rsidRPr="0043654C">
              <w:rPr>
                <w:szCs w:val="22"/>
                <w:lang w:val="sr-Latn-ME"/>
              </w:rPr>
              <w:t>Purpura</w:t>
            </w:r>
          </w:p>
        </w:tc>
        <w:tc>
          <w:tcPr>
            <w:tcW w:w="1276" w:type="dxa"/>
            <w:vAlign w:val="center"/>
          </w:tcPr>
          <w:p w14:paraId="43C7A95C"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5DB8FA06" w14:textId="77777777" w:rsidR="00257763" w:rsidRPr="0043654C" w:rsidRDefault="00D426A3" w:rsidP="00A30145">
            <w:pPr>
              <w:jc w:val="both"/>
              <w:rPr>
                <w:szCs w:val="22"/>
                <w:lang w:val="sr-Latn-ME"/>
              </w:rPr>
            </w:pPr>
            <w:r w:rsidRPr="0043654C">
              <w:rPr>
                <w:szCs w:val="22"/>
                <w:lang w:val="sr-Latn-ME"/>
              </w:rPr>
              <w:t>Povremeno</w:t>
            </w:r>
          </w:p>
        </w:tc>
      </w:tr>
      <w:tr w:rsidR="00257763" w:rsidRPr="0043654C" w14:paraId="7F03A970" w14:textId="77777777">
        <w:trPr>
          <w:trHeight w:val="111"/>
          <w:jc w:val="center"/>
        </w:trPr>
        <w:tc>
          <w:tcPr>
            <w:tcW w:w="2544" w:type="dxa"/>
            <w:vMerge/>
            <w:vAlign w:val="center"/>
          </w:tcPr>
          <w:p w14:paraId="27EFE941" w14:textId="77777777" w:rsidR="00257763" w:rsidRPr="0043654C" w:rsidRDefault="00257763" w:rsidP="00A30145">
            <w:pPr>
              <w:jc w:val="both"/>
              <w:rPr>
                <w:bCs/>
                <w:i/>
                <w:szCs w:val="22"/>
                <w:lang w:val="sr-Latn-ME"/>
              </w:rPr>
            </w:pPr>
          </w:p>
        </w:tc>
        <w:tc>
          <w:tcPr>
            <w:tcW w:w="3830" w:type="dxa"/>
            <w:vAlign w:val="center"/>
          </w:tcPr>
          <w:p w14:paraId="39D43662" w14:textId="77777777" w:rsidR="00257763" w:rsidRPr="0043654C" w:rsidRDefault="00D426A3" w:rsidP="00A30145">
            <w:pPr>
              <w:jc w:val="both"/>
              <w:rPr>
                <w:szCs w:val="22"/>
                <w:lang w:val="sr-Latn-ME"/>
              </w:rPr>
            </w:pPr>
            <w:r w:rsidRPr="0043654C">
              <w:rPr>
                <w:szCs w:val="22"/>
                <w:lang w:val="sr-Latn-ME"/>
              </w:rPr>
              <w:t>Angioedem</w:t>
            </w:r>
          </w:p>
        </w:tc>
        <w:tc>
          <w:tcPr>
            <w:tcW w:w="1276" w:type="dxa"/>
            <w:vAlign w:val="center"/>
          </w:tcPr>
          <w:p w14:paraId="1D372A4A" w14:textId="77777777" w:rsidR="00257763" w:rsidRPr="0043654C" w:rsidRDefault="00D426A3" w:rsidP="00A30145">
            <w:pPr>
              <w:jc w:val="both"/>
              <w:rPr>
                <w:szCs w:val="22"/>
                <w:lang w:val="sr-Latn-ME"/>
              </w:rPr>
            </w:pPr>
            <w:r w:rsidRPr="0043654C">
              <w:rPr>
                <w:szCs w:val="22"/>
                <w:lang w:val="sr-Latn-ME"/>
              </w:rPr>
              <w:t>Nepoznato</w:t>
            </w:r>
          </w:p>
        </w:tc>
        <w:tc>
          <w:tcPr>
            <w:tcW w:w="1411" w:type="dxa"/>
            <w:vAlign w:val="center"/>
          </w:tcPr>
          <w:p w14:paraId="685E26CE" w14:textId="77777777" w:rsidR="00257763" w:rsidRPr="0043654C" w:rsidRDefault="00D426A3" w:rsidP="00A30145">
            <w:pPr>
              <w:jc w:val="both"/>
              <w:rPr>
                <w:szCs w:val="22"/>
                <w:lang w:val="sr-Latn-ME"/>
              </w:rPr>
            </w:pPr>
            <w:r w:rsidRPr="0043654C">
              <w:rPr>
                <w:szCs w:val="22"/>
                <w:lang w:val="sr-Latn-ME"/>
              </w:rPr>
              <w:t>Veoma rijetko</w:t>
            </w:r>
          </w:p>
        </w:tc>
      </w:tr>
      <w:tr w:rsidR="00257763" w:rsidRPr="0043654C" w14:paraId="410E9429" w14:textId="77777777">
        <w:trPr>
          <w:trHeight w:val="111"/>
          <w:jc w:val="center"/>
        </w:trPr>
        <w:tc>
          <w:tcPr>
            <w:tcW w:w="2544" w:type="dxa"/>
            <w:vMerge/>
            <w:vAlign w:val="center"/>
          </w:tcPr>
          <w:p w14:paraId="4A883083" w14:textId="77777777" w:rsidR="00257763" w:rsidRPr="0043654C" w:rsidRDefault="00257763" w:rsidP="00A30145">
            <w:pPr>
              <w:jc w:val="both"/>
              <w:rPr>
                <w:bCs/>
                <w:i/>
                <w:szCs w:val="22"/>
                <w:lang w:val="sr-Latn-ME"/>
              </w:rPr>
            </w:pPr>
          </w:p>
        </w:tc>
        <w:tc>
          <w:tcPr>
            <w:tcW w:w="3830" w:type="dxa"/>
            <w:vAlign w:val="center"/>
          </w:tcPr>
          <w:p w14:paraId="65B9F11F" w14:textId="77777777" w:rsidR="00257763" w:rsidRPr="0043654C" w:rsidRDefault="00D426A3" w:rsidP="00A30145">
            <w:pPr>
              <w:jc w:val="both"/>
              <w:rPr>
                <w:szCs w:val="22"/>
                <w:lang w:val="sr-Latn-ME"/>
              </w:rPr>
            </w:pPr>
            <w:r w:rsidRPr="0043654C">
              <w:rPr>
                <w:szCs w:val="22"/>
                <w:lang w:val="sr-Latn-ME"/>
              </w:rPr>
              <w:t>Urtikarija</w:t>
            </w:r>
          </w:p>
        </w:tc>
        <w:tc>
          <w:tcPr>
            <w:tcW w:w="1276" w:type="dxa"/>
            <w:vAlign w:val="center"/>
          </w:tcPr>
          <w:p w14:paraId="296422CE"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01980BF0" w14:textId="77777777" w:rsidR="00257763" w:rsidRPr="0043654C" w:rsidRDefault="00D426A3" w:rsidP="00A30145">
            <w:pPr>
              <w:jc w:val="both"/>
              <w:rPr>
                <w:szCs w:val="22"/>
                <w:lang w:val="sr-Latn-ME"/>
              </w:rPr>
            </w:pPr>
            <w:r w:rsidRPr="0043654C">
              <w:rPr>
                <w:szCs w:val="22"/>
                <w:lang w:val="sr-Latn-ME"/>
              </w:rPr>
              <w:t>Veoma rijetko</w:t>
            </w:r>
          </w:p>
        </w:tc>
      </w:tr>
      <w:tr w:rsidR="00257763" w:rsidRPr="0043654C" w14:paraId="260ACC44" w14:textId="77777777">
        <w:trPr>
          <w:trHeight w:val="111"/>
          <w:jc w:val="center"/>
        </w:trPr>
        <w:tc>
          <w:tcPr>
            <w:tcW w:w="2544" w:type="dxa"/>
            <w:vMerge/>
            <w:vAlign w:val="center"/>
          </w:tcPr>
          <w:p w14:paraId="6756B58C" w14:textId="77777777" w:rsidR="00257763" w:rsidRPr="0043654C" w:rsidRDefault="00257763" w:rsidP="00A30145">
            <w:pPr>
              <w:jc w:val="both"/>
              <w:rPr>
                <w:bCs/>
                <w:i/>
                <w:szCs w:val="22"/>
                <w:lang w:val="sr-Latn-ME"/>
              </w:rPr>
            </w:pPr>
          </w:p>
        </w:tc>
        <w:tc>
          <w:tcPr>
            <w:tcW w:w="3830" w:type="dxa"/>
            <w:vAlign w:val="center"/>
          </w:tcPr>
          <w:p w14:paraId="047F9A33" w14:textId="77777777" w:rsidR="00257763" w:rsidRPr="0043654C" w:rsidRDefault="00D426A3" w:rsidP="00A30145">
            <w:pPr>
              <w:jc w:val="both"/>
              <w:rPr>
                <w:szCs w:val="22"/>
                <w:lang w:val="sr-Latn-ME"/>
              </w:rPr>
            </w:pPr>
            <w:r w:rsidRPr="0043654C">
              <w:rPr>
                <w:szCs w:val="22"/>
                <w:lang w:val="sr-Latn-ME"/>
              </w:rPr>
              <w:t>Toksična epidermalna nekroliza</w:t>
            </w:r>
          </w:p>
        </w:tc>
        <w:tc>
          <w:tcPr>
            <w:tcW w:w="1276" w:type="dxa"/>
            <w:vAlign w:val="center"/>
          </w:tcPr>
          <w:p w14:paraId="2E4B3DF1"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17940EDC" w14:textId="77777777" w:rsidR="00257763" w:rsidRPr="0043654C" w:rsidRDefault="00D426A3" w:rsidP="00A30145">
            <w:pPr>
              <w:jc w:val="both"/>
              <w:rPr>
                <w:szCs w:val="22"/>
                <w:lang w:val="sr-Latn-ME"/>
              </w:rPr>
            </w:pPr>
            <w:r w:rsidRPr="0043654C">
              <w:rPr>
                <w:szCs w:val="22"/>
                <w:lang w:val="sr-Latn-ME"/>
              </w:rPr>
              <w:t>Veoma rijetko</w:t>
            </w:r>
          </w:p>
        </w:tc>
      </w:tr>
      <w:tr w:rsidR="00257763" w:rsidRPr="0043654C" w14:paraId="5697CDDE" w14:textId="77777777">
        <w:trPr>
          <w:trHeight w:val="111"/>
          <w:jc w:val="center"/>
        </w:trPr>
        <w:tc>
          <w:tcPr>
            <w:tcW w:w="2544" w:type="dxa"/>
            <w:vMerge/>
            <w:vAlign w:val="center"/>
          </w:tcPr>
          <w:p w14:paraId="074B04FA" w14:textId="77777777" w:rsidR="00257763" w:rsidRPr="0043654C" w:rsidRDefault="00257763" w:rsidP="00A30145">
            <w:pPr>
              <w:jc w:val="both"/>
              <w:rPr>
                <w:bCs/>
                <w:i/>
                <w:szCs w:val="22"/>
                <w:lang w:val="sr-Latn-ME"/>
              </w:rPr>
            </w:pPr>
          </w:p>
        </w:tc>
        <w:tc>
          <w:tcPr>
            <w:tcW w:w="3830" w:type="dxa"/>
            <w:vAlign w:val="center"/>
          </w:tcPr>
          <w:p w14:paraId="640AAE1B" w14:textId="77777777" w:rsidR="00257763" w:rsidRPr="0043654C" w:rsidRDefault="00D426A3" w:rsidP="00A30145">
            <w:pPr>
              <w:jc w:val="both"/>
              <w:rPr>
                <w:szCs w:val="22"/>
                <w:lang w:val="sr-Latn-ME"/>
              </w:rPr>
            </w:pPr>
            <w:r w:rsidRPr="0043654C">
              <w:rPr>
                <w:szCs w:val="22"/>
                <w:lang w:val="sr-Latn-ME"/>
              </w:rPr>
              <w:t>Stevens-Johnsonov sindrom</w:t>
            </w:r>
          </w:p>
        </w:tc>
        <w:tc>
          <w:tcPr>
            <w:tcW w:w="1276" w:type="dxa"/>
            <w:vAlign w:val="center"/>
          </w:tcPr>
          <w:p w14:paraId="08C61FFF"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33C6397A" w14:textId="77777777" w:rsidR="00257763" w:rsidRPr="0043654C" w:rsidRDefault="00D426A3" w:rsidP="00A30145">
            <w:pPr>
              <w:jc w:val="both"/>
              <w:rPr>
                <w:szCs w:val="22"/>
                <w:lang w:val="sr-Latn-ME"/>
              </w:rPr>
            </w:pPr>
            <w:r w:rsidRPr="0043654C">
              <w:rPr>
                <w:szCs w:val="22"/>
                <w:lang w:val="sr-Latn-ME"/>
              </w:rPr>
              <w:t>Veoma rijetko</w:t>
            </w:r>
          </w:p>
        </w:tc>
      </w:tr>
      <w:tr w:rsidR="00257763" w:rsidRPr="0043654C" w14:paraId="1F45D991" w14:textId="77777777">
        <w:trPr>
          <w:trHeight w:val="111"/>
          <w:jc w:val="center"/>
        </w:trPr>
        <w:tc>
          <w:tcPr>
            <w:tcW w:w="2544" w:type="dxa"/>
            <w:vMerge/>
            <w:vAlign w:val="center"/>
          </w:tcPr>
          <w:p w14:paraId="18C1A19B" w14:textId="77777777" w:rsidR="00257763" w:rsidRPr="0043654C" w:rsidRDefault="00257763" w:rsidP="00A30145">
            <w:pPr>
              <w:jc w:val="both"/>
              <w:rPr>
                <w:bCs/>
                <w:i/>
                <w:szCs w:val="22"/>
                <w:lang w:val="sr-Latn-ME"/>
              </w:rPr>
            </w:pPr>
          </w:p>
        </w:tc>
        <w:tc>
          <w:tcPr>
            <w:tcW w:w="3830" w:type="dxa"/>
            <w:vAlign w:val="center"/>
          </w:tcPr>
          <w:p w14:paraId="5761769F" w14:textId="77777777" w:rsidR="00257763" w:rsidRPr="0043654C" w:rsidRDefault="00D426A3" w:rsidP="00A30145">
            <w:pPr>
              <w:jc w:val="both"/>
              <w:rPr>
                <w:szCs w:val="22"/>
                <w:lang w:val="sr-Latn-ME"/>
              </w:rPr>
            </w:pPr>
            <w:r w:rsidRPr="0043654C">
              <w:rPr>
                <w:szCs w:val="22"/>
                <w:lang w:val="sr-Latn-ME"/>
              </w:rPr>
              <w:t xml:space="preserve">Moguće pogoršanje postojećeg akutnog diseminovanog lupus eritematozusa </w:t>
            </w:r>
          </w:p>
        </w:tc>
        <w:tc>
          <w:tcPr>
            <w:tcW w:w="1276" w:type="dxa"/>
            <w:vAlign w:val="center"/>
          </w:tcPr>
          <w:p w14:paraId="51109E42"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0594246B" w14:textId="77777777" w:rsidR="00257763" w:rsidRPr="0043654C" w:rsidRDefault="00D426A3" w:rsidP="00A30145">
            <w:pPr>
              <w:jc w:val="both"/>
              <w:rPr>
                <w:szCs w:val="22"/>
                <w:lang w:val="sr-Latn-ME"/>
              </w:rPr>
            </w:pPr>
            <w:r w:rsidRPr="0043654C">
              <w:rPr>
                <w:szCs w:val="22"/>
                <w:lang w:val="sr-Latn-ME"/>
              </w:rPr>
              <w:t>Nepoznato</w:t>
            </w:r>
          </w:p>
        </w:tc>
      </w:tr>
      <w:tr w:rsidR="00257763" w:rsidRPr="0043654C" w14:paraId="149F590B" w14:textId="77777777">
        <w:trPr>
          <w:trHeight w:val="111"/>
          <w:jc w:val="center"/>
        </w:trPr>
        <w:tc>
          <w:tcPr>
            <w:tcW w:w="2544" w:type="dxa"/>
            <w:vMerge/>
            <w:vAlign w:val="center"/>
          </w:tcPr>
          <w:p w14:paraId="55B84819" w14:textId="77777777" w:rsidR="00257763" w:rsidRPr="0043654C" w:rsidRDefault="00257763" w:rsidP="00A30145">
            <w:pPr>
              <w:jc w:val="both"/>
              <w:rPr>
                <w:bCs/>
                <w:i/>
                <w:szCs w:val="22"/>
                <w:lang w:val="sr-Latn-ME"/>
              </w:rPr>
            </w:pPr>
          </w:p>
        </w:tc>
        <w:tc>
          <w:tcPr>
            <w:tcW w:w="3830" w:type="dxa"/>
            <w:vAlign w:val="center"/>
          </w:tcPr>
          <w:p w14:paraId="19B2B84F" w14:textId="52BFA1C0" w:rsidR="00257763" w:rsidRPr="0043654C" w:rsidRDefault="00D426A3">
            <w:pPr>
              <w:jc w:val="both"/>
              <w:rPr>
                <w:szCs w:val="22"/>
                <w:lang w:val="sr-Latn-ME"/>
              </w:rPr>
            </w:pPr>
            <w:r w:rsidRPr="0043654C">
              <w:rPr>
                <w:szCs w:val="22"/>
                <w:lang w:val="sr-Latn-ME"/>
              </w:rPr>
              <w:t xml:space="preserve">Reakcije fotosenzitivnosti (vidjeti </w:t>
            </w:r>
            <w:r w:rsidR="00AE03A2" w:rsidRPr="0043654C">
              <w:rPr>
                <w:szCs w:val="22"/>
                <w:lang w:val="sr-Latn-ME"/>
              </w:rPr>
              <w:t xml:space="preserve">dio </w:t>
            </w:r>
            <w:r w:rsidRPr="0043654C">
              <w:rPr>
                <w:szCs w:val="22"/>
                <w:lang w:val="sr-Latn-ME"/>
              </w:rPr>
              <w:t>4.4)</w:t>
            </w:r>
          </w:p>
        </w:tc>
        <w:tc>
          <w:tcPr>
            <w:tcW w:w="1276" w:type="dxa"/>
            <w:vAlign w:val="center"/>
          </w:tcPr>
          <w:p w14:paraId="78555E47"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7E0EB0BE" w14:textId="77777777" w:rsidR="00257763" w:rsidRPr="0043654C" w:rsidRDefault="00D426A3" w:rsidP="00A30145">
            <w:pPr>
              <w:jc w:val="both"/>
              <w:rPr>
                <w:szCs w:val="22"/>
                <w:lang w:val="sr-Latn-ME"/>
              </w:rPr>
            </w:pPr>
            <w:r w:rsidRPr="0043654C">
              <w:rPr>
                <w:szCs w:val="22"/>
                <w:lang w:val="sr-Latn-ME"/>
              </w:rPr>
              <w:t>Nepoznato</w:t>
            </w:r>
          </w:p>
        </w:tc>
      </w:tr>
      <w:tr w:rsidR="00257763" w:rsidRPr="0043654C" w14:paraId="35FB5B47" w14:textId="77777777">
        <w:trPr>
          <w:trHeight w:val="111"/>
          <w:jc w:val="center"/>
        </w:trPr>
        <w:tc>
          <w:tcPr>
            <w:tcW w:w="2544" w:type="dxa"/>
            <w:vMerge/>
            <w:vAlign w:val="center"/>
          </w:tcPr>
          <w:p w14:paraId="4027C3C0" w14:textId="77777777" w:rsidR="00257763" w:rsidRPr="0043654C" w:rsidRDefault="00257763" w:rsidP="00A30145">
            <w:pPr>
              <w:jc w:val="both"/>
              <w:rPr>
                <w:bCs/>
                <w:i/>
                <w:szCs w:val="22"/>
                <w:lang w:val="sr-Latn-ME"/>
              </w:rPr>
            </w:pPr>
          </w:p>
        </w:tc>
        <w:tc>
          <w:tcPr>
            <w:tcW w:w="3830" w:type="dxa"/>
            <w:vAlign w:val="center"/>
          </w:tcPr>
          <w:p w14:paraId="508D84E6" w14:textId="77777777" w:rsidR="00257763" w:rsidRPr="0043654C" w:rsidRDefault="00D426A3" w:rsidP="00A30145">
            <w:pPr>
              <w:jc w:val="both"/>
              <w:rPr>
                <w:szCs w:val="22"/>
                <w:lang w:val="sr-Latn-ME"/>
              </w:rPr>
            </w:pPr>
            <w:r w:rsidRPr="0043654C">
              <w:rPr>
                <w:szCs w:val="22"/>
                <w:lang w:val="sr-Latn-ME"/>
              </w:rPr>
              <w:t>Bulozni dermatitis, osip, pruritus</w:t>
            </w:r>
          </w:p>
        </w:tc>
        <w:tc>
          <w:tcPr>
            <w:tcW w:w="1276" w:type="dxa"/>
            <w:vAlign w:val="center"/>
          </w:tcPr>
          <w:p w14:paraId="603057D3" w14:textId="77777777" w:rsidR="00257763" w:rsidRPr="0043654C" w:rsidRDefault="00D426A3" w:rsidP="00A30145">
            <w:pPr>
              <w:jc w:val="both"/>
              <w:rPr>
                <w:szCs w:val="22"/>
                <w:lang w:val="sr-Latn-ME"/>
              </w:rPr>
            </w:pPr>
            <w:r w:rsidRPr="0043654C">
              <w:rPr>
                <w:szCs w:val="22"/>
                <w:lang w:val="sr-Latn-ME"/>
              </w:rPr>
              <w:t>Nepoznato</w:t>
            </w:r>
          </w:p>
        </w:tc>
        <w:tc>
          <w:tcPr>
            <w:tcW w:w="1411" w:type="dxa"/>
            <w:vAlign w:val="center"/>
          </w:tcPr>
          <w:p w14:paraId="39A6258D" w14:textId="77777777" w:rsidR="00257763" w:rsidRPr="0043654C" w:rsidRDefault="00D426A3" w:rsidP="00A30145">
            <w:pPr>
              <w:jc w:val="both"/>
              <w:rPr>
                <w:szCs w:val="22"/>
                <w:lang w:val="sr-Latn-ME"/>
              </w:rPr>
            </w:pPr>
            <w:r w:rsidRPr="0043654C">
              <w:rPr>
                <w:szCs w:val="22"/>
                <w:lang w:val="sr-Latn-ME"/>
              </w:rPr>
              <w:t>–</w:t>
            </w:r>
          </w:p>
        </w:tc>
      </w:tr>
      <w:tr w:rsidR="00257763" w:rsidRPr="0043654C" w14:paraId="6B557335" w14:textId="77777777">
        <w:trPr>
          <w:trHeight w:val="111"/>
          <w:jc w:val="center"/>
        </w:trPr>
        <w:tc>
          <w:tcPr>
            <w:tcW w:w="2544" w:type="dxa"/>
            <w:vAlign w:val="center"/>
          </w:tcPr>
          <w:p w14:paraId="06E99075" w14:textId="77777777" w:rsidR="00257763" w:rsidRPr="0043654C" w:rsidRDefault="00D426A3" w:rsidP="00A30145">
            <w:pPr>
              <w:widowControl w:val="0"/>
              <w:tabs>
                <w:tab w:val="center" w:pos="4536"/>
                <w:tab w:val="right" w:pos="9072"/>
              </w:tabs>
              <w:jc w:val="both"/>
              <w:rPr>
                <w:bCs/>
                <w:i/>
                <w:noProof/>
                <w:szCs w:val="22"/>
                <w:lang w:val="sr-Latn-ME"/>
              </w:rPr>
            </w:pPr>
            <w:r w:rsidRPr="0043654C">
              <w:rPr>
                <w:bCs/>
                <w:i/>
                <w:noProof/>
                <w:szCs w:val="22"/>
                <w:lang w:val="sr-Latn-ME"/>
              </w:rPr>
              <w:t>Poremećaji mišićno-skeletnog sistema i vezivnog tkiva</w:t>
            </w:r>
          </w:p>
          <w:p w14:paraId="49578DED" w14:textId="77777777" w:rsidR="00257763" w:rsidRPr="0043654C" w:rsidRDefault="00257763" w:rsidP="00A30145">
            <w:pPr>
              <w:jc w:val="both"/>
              <w:rPr>
                <w:bCs/>
                <w:i/>
                <w:szCs w:val="22"/>
                <w:lang w:val="sr-Latn-ME"/>
              </w:rPr>
            </w:pPr>
          </w:p>
        </w:tc>
        <w:tc>
          <w:tcPr>
            <w:tcW w:w="3830" w:type="dxa"/>
            <w:vAlign w:val="center"/>
          </w:tcPr>
          <w:p w14:paraId="3EECAA7E" w14:textId="77777777" w:rsidR="00257763" w:rsidRPr="0043654C" w:rsidRDefault="00D426A3" w:rsidP="00A30145">
            <w:pPr>
              <w:jc w:val="both"/>
              <w:rPr>
                <w:szCs w:val="22"/>
                <w:lang w:val="sr-Latn-ME"/>
              </w:rPr>
            </w:pPr>
            <w:r w:rsidRPr="0043654C">
              <w:rPr>
                <w:szCs w:val="22"/>
                <w:lang w:val="sr-Latn-ME"/>
              </w:rPr>
              <w:t>Mijalgija</w:t>
            </w:r>
          </w:p>
        </w:tc>
        <w:tc>
          <w:tcPr>
            <w:tcW w:w="1276" w:type="dxa"/>
            <w:vAlign w:val="center"/>
          </w:tcPr>
          <w:p w14:paraId="1855851C" w14:textId="77777777" w:rsidR="00257763" w:rsidRPr="0043654C" w:rsidRDefault="00D426A3" w:rsidP="00A30145">
            <w:pPr>
              <w:jc w:val="both"/>
              <w:rPr>
                <w:szCs w:val="22"/>
                <w:lang w:val="sr-Latn-ME"/>
              </w:rPr>
            </w:pPr>
            <w:r w:rsidRPr="0043654C">
              <w:rPr>
                <w:szCs w:val="22"/>
                <w:lang w:val="sr-Latn-ME"/>
              </w:rPr>
              <w:t>Nepoznato</w:t>
            </w:r>
          </w:p>
        </w:tc>
        <w:tc>
          <w:tcPr>
            <w:tcW w:w="1411" w:type="dxa"/>
            <w:vAlign w:val="center"/>
          </w:tcPr>
          <w:p w14:paraId="23E034C7" w14:textId="77777777" w:rsidR="00257763" w:rsidRPr="0043654C" w:rsidRDefault="00D426A3" w:rsidP="00A30145">
            <w:pPr>
              <w:jc w:val="both"/>
              <w:rPr>
                <w:szCs w:val="22"/>
                <w:lang w:val="sr-Latn-ME"/>
              </w:rPr>
            </w:pPr>
            <w:r w:rsidRPr="0043654C">
              <w:rPr>
                <w:szCs w:val="22"/>
                <w:lang w:val="sr-Latn-ME"/>
              </w:rPr>
              <w:t>–</w:t>
            </w:r>
          </w:p>
        </w:tc>
      </w:tr>
      <w:tr w:rsidR="00257763" w:rsidRPr="0043654C" w14:paraId="10A9FFF3" w14:textId="77777777">
        <w:trPr>
          <w:trHeight w:val="409"/>
          <w:jc w:val="center"/>
        </w:trPr>
        <w:tc>
          <w:tcPr>
            <w:tcW w:w="2544" w:type="dxa"/>
            <w:vMerge w:val="restart"/>
            <w:vAlign w:val="center"/>
          </w:tcPr>
          <w:p w14:paraId="4831ABF1" w14:textId="77777777" w:rsidR="00257763" w:rsidRPr="0043654C" w:rsidRDefault="00D426A3" w:rsidP="00A30145">
            <w:pPr>
              <w:widowControl w:val="0"/>
              <w:tabs>
                <w:tab w:val="center" w:pos="4536"/>
                <w:tab w:val="right" w:pos="9072"/>
              </w:tabs>
              <w:jc w:val="both"/>
              <w:rPr>
                <w:bCs/>
                <w:i/>
                <w:noProof/>
                <w:szCs w:val="22"/>
                <w:lang w:val="sr-Latn-ME"/>
              </w:rPr>
            </w:pPr>
            <w:r w:rsidRPr="0043654C">
              <w:rPr>
                <w:bCs/>
                <w:i/>
                <w:noProof/>
                <w:szCs w:val="22"/>
                <w:lang w:val="sr-Latn-ME"/>
              </w:rPr>
              <w:t>Poremećaji bubrega i urinarnog sistema</w:t>
            </w:r>
          </w:p>
          <w:p w14:paraId="349E27C6" w14:textId="77777777" w:rsidR="00257763" w:rsidRPr="0043654C" w:rsidRDefault="00257763" w:rsidP="00A30145">
            <w:pPr>
              <w:jc w:val="both"/>
              <w:rPr>
                <w:bCs/>
                <w:i/>
                <w:szCs w:val="22"/>
                <w:lang w:val="sr-Latn-ME"/>
              </w:rPr>
            </w:pPr>
          </w:p>
        </w:tc>
        <w:tc>
          <w:tcPr>
            <w:tcW w:w="3830" w:type="dxa"/>
            <w:vAlign w:val="center"/>
          </w:tcPr>
          <w:p w14:paraId="3268ADFF" w14:textId="77777777" w:rsidR="00257763" w:rsidRPr="0043654C" w:rsidRDefault="00D426A3" w:rsidP="00A30145">
            <w:pPr>
              <w:jc w:val="both"/>
              <w:rPr>
                <w:szCs w:val="22"/>
                <w:lang w:val="sr-Latn-ME"/>
              </w:rPr>
            </w:pPr>
            <w:r w:rsidRPr="0043654C">
              <w:rPr>
                <w:szCs w:val="22"/>
                <w:lang w:val="sr-Latn-ME"/>
              </w:rPr>
              <w:t>Zatajenje bubrega</w:t>
            </w:r>
          </w:p>
        </w:tc>
        <w:tc>
          <w:tcPr>
            <w:tcW w:w="1276" w:type="dxa"/>
            <w:vAlign w:val="center"/>
          </w:tcPr>
          <w:p w14:paraId="74E7EC05" w14:textId="77777777" w:rsidR="00257763" w:rsidRPr="0043654C" w:rsidRDefault="00D426A3" w:rsidP="00A30145">
            <w:pPr>
              <w:jc w:val="both"/>
              <w:rPr>
                <w:szCs w:val="22"/>
                <w:lang w:val="sr-Latn-ME"/>
              </w:rPr>
            </w:pPr>
            <w:r w:rsidRPr="0043654C">
              <w:rPr>
                <w:szCs w:val="22"/>
                <w:lang w:val="sr-Latn-ME"/>
              </w:rPr>
              <w:t>Nepoznato</w:t>
            </w:r>
          </w:p>
        </w:tc>
        <w:tc>
          <w:tcPr>
            <w:tcW w:w="1411" w:type="dxa"/>
            <w:vAlign w:val="center"/>
          </w:tcPr>
          <w:p w14:paraId="00567A99" w14:textId="77777777" w:rsidR="00257763" w:rsidRPr="0043654C" w:rsidRDefault="00D426A3" w:rsidP="00A30145">
            <w:pPr>
              <w:jc w:val="both"/>
              <w:rPr>
                <w:szCs w:val="22"/>
                <w:lang w:val="sr-Latn-ME"/>
              </w:rPr>
            </w:pPr>
            <w:r w:rsidRPr="0043654C">
              <w:rPr>
                <w:szCs w:val="22"/>
                <w:lang w:val="sr-Latn-ME"/>
              </w:rPr>
              <w:t>Veoma rijetko</w:t>
            </w:r>
          </w:p>
        </w:tc>
      </w:tr>
      <w:tr w:rsidR="00257763" w:rsidRPr="0043654C" w14:paraId="35129F27" w14:textId="77777777">
        <w:trPr>
          <w:trHeight w:val="409"/>
          <w:jc w:val="center"/>
        </w:trPr>
        <w:tc>
          <w:tcPr>
            <w:tcW w:w="2544" w:type="dxa"/>
            <w:vMerge/>
            <w:vAlign w:val="center"/>
          </w:tcPr>
          <w:p w14:paraId="64CCC1E0" w14:textId="77777777" w:rsidR="00257763" w:rsidRPr="0043654C" w:rsidRDefault="00257763" w:rsidP="00A30145">
            <w:pPr>
              <w:jc w:val="both"/>
              <w:rPr>
                <w:bCs/>
                <w:i/>
                <w:szCs w:val="22"/>
                <w:lang w:val="sr-Latn-ME"/>
              </w:rPr>
            </w:pPr>
          </w:p>
        </w:tc>
        <w:tc>
          <w:tcPr>
            <w:tcW w:w="3830" w:type="dxa"/>
            <w:vAlign w:val="center"/>
          </w:tcPr>
          <w:p w14:paraId="1E36AA37" w14:textId="77777777" w:rsidR="00257763" w:rsidRPr="0043654C" w:rsidRDefault="00D426A3" w:rsidP="00A30145">
            <w:pPr>
              <w:jc w:val="both"/>
              <w:rPr>
                <w:szCs w:val="22"/>
                <w:lang w:val="sr-Latn-ME"/>
              </w:rPr>
            </w:pPr>
            <w:r w:rsidRPr="0043654C">
              <w:rPr>
                <w:szCs w:val="22"/>
                <w:lang w:val="sr-Latn-ME"/>
              </w:rPr>
              <w:t>Povećanje nivoa kreatinina u serumu</w:t>
            </w:r>
          </w:p>
        </w:tc>
        <w:tc>
          <w:tcPr>
            <w:tcW w:w="1276" w:type="dxa"/>
            <w:vAlign w:val="center"/>
          </w:tcPr>
          <w:p w14:paraId="322CC4FE" w14:textId="77777777" w:rsidR="00257763" w:rsidRPr="0043654C" w:rsidRDefault="00D426A3" w:rsidP="00A30145">
            <w:pPr>
              <w:jc w:val="both"/>
              <w:rPr>
                <w:szCs w:val="22"/>
                <w:lang w:val="sr-Latn-ME"/>
              </w:rPr>
            </w:pPr>
            <w:r w:rsidRPr="0043654C">
              <w:rPr>
                <w:szCs w:val="22"/>
                <w:lang w:val="sr-Latn-ME"/>
              </w:rPr>
              <w:t>Nepoznato</w:t>
            </w:r>
          </w:p>
        </w:tc>
        <w:tc>
          <w:tcPr>
            <w:tcW w:w="1411" w:type="dxa"/>
            <w:vAlign w:val="center"/>
          </w:tcPr>
          <w:p w14:paraId="7A8E02E9" w14:textId="77777777" w:rsidR="00257763" w:rsidRPr="0043654C" w:rsidRDefault="00D426A3" w:rsidP="00A30145">
            <w:pPr>
              <w:jc w:val="both"/>
              <w:rPr>
                <w:szCs w:val="22"/>
                <w:lang w:val="sr-Latn-ME"/>
              </w:rPr>
            </w:pPr>
            <w:r w:rsidRPr="0043654C">
              <w:rPr>
                <w:szCs w:val="22"/>
                <w:lang w:val="sr-Latn-ME"/>
              </w:rPr>
              <w:t>–</w:t>
            </w:r>
          </w:p>
        </w:tc>
      </w:tr>
      <w:tr w:rsidR="00257763" w:rsidRPr="0043654C" w14:paraId="4F8FA89B" w14:textId="77777777">
        <w:trPr>
          <w:trHeight w:val="409"/>
          <w:jc w:val="center"/>
        </w:trPr>
        <w:tc>
          <w:tcPr>
            <w:tcW w:w="2544" w:type="dxa"/>
            <w:vAlign w:val="center"/>
          </w:tcPr>
          <w:p w14:paraId="26707469" w14:textId="77777777" w:rsidR="00257763" w:rsidRPr="0043654C" w:rsidRDefault="00D426A3" w:rsidP="00A30145">
            <w:pPr>
              <w:jc w:val="both"/>
              <w:rPr>
                <w:bCs/>
                <w:i/>
                <w:szCs w:val="22"/>
                <w:lang w:val="sr-Latn-ME"/>
              </w:rPr>
            </w:pPr>
            <w:r w:rsidRPr="0043654C">
              <w:rPr>
                <w:bCs/>
                <w:i/>
                <w:szCs w:val="22"/>
                <w:lang w:val="sr-Latn-ME"/>
              </w:rPr>
              <w:t>Poremećaji reproduktivnog sistema i na nivou dojki</w:t>
            </w:r>
          </w:p>
        </w:tc>
        <w:tc>
          <w:tcPr>
            <w:tcW w:w="3830" w:type="dxa"/>
            <w:vAlign w:val="center"/>
          </w:tcPr>
          <w:p w14:paraId="432EA06F" w14:textId="77777777" w:rsidR="00257763" w:rsidRPr="0043654C" w:rsidRDefault="00D426A3" w:rsidP="00A30145">
            <w:pPr>
              <w:jc w:val="both"/>
              <w:rPr>
                <w:szCs w:val="22"/>
                <w:lang w:val="sr-Latn-ME"/>
              </w:rPr>
            </w:pPr>
            <w:r w:rsidRPr="0043654C">
              <w:rPr>
                <w:iCs/>
                <w:szCs w:val="22"/>
                <w:lang w:val="sr-Latn-ME"/>
              </w:rPr>
              <w:t>Erektilna disfunkcija</w:t>
            </w:r>
          </w:p>
        </w:tc>
        <w:tc>
          <w:tcPr>
            <w:tcW w:w="1276" w:type="dxa"/>
            <w:vAlign w:val="center"/>
          </w:tcPr>
          <w:p w14:paraId="6ECD9651"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600C9304" w14:textId="77777777" w:rsidR="00257763" w:rsidRPr="0043654C" w:rsidRDefault="00257763" w:rsidP="00A30145">
            <w:pPr>
              <w:jc w:val="both"/>
              <w:rPr>
                <w:szCs w:val="22"/>
                <w:lang w:val="sr-Latn-ME"/>
              </w:rPr>
            </w:pPr>
          </w:p>
          <w:p w14:paraId="5D70E861" w14:textId="77777777" w:rsidR="00257763" w:rsidRPr="0043654C" w:rsidRDefault="00D426A3" w:rsidP="00A30145">
            <w:pPr>
              <w:jc w:val="both"/>
              <w:rPr>
                <w:szCs w:val="22"/>
                <w:lang w:val="sr-Latn-ME"/>
              </w:rPr>
            </w:pPr>
            <w:r w:rsidRPr="0043654C">
              <w:rPr>
                <w:szCs w:val="22"/>
                <w:lang w:val="sr-Latn-ME"/>
              </w:rPr>
              <w:t>Povremeno</w:t>
            </w:r>
          </w:p>
        </w:tc>
      </w:tr>
      <w:tr w:rsidR="00257763" w:rsidRPr="0043654C" w14:paraId="0D69669C" w14:textId="77777777">
        <w:trPr>
          <w:trHeight w:val="409"/>
          <w:jc w:val="center"/>
        </w:trPr>
        <w:tc>
          <w:tcPr>
            <w:tcW w:w="2544" w:type="dxa"/>
            <w:vAlign w:val="center"/>
          </w:tcPr>
          <w:p w14:paraId="55441434" w14:textId="77777777" w:rsidR="00257763" w:rsidRPr="0043654C" w:rsidRDefault="00D426A3" w:rsidP="00A30145">
            <w:pPr>
              <w:jc w:val="both"/>
              <w:rPr>
                <w:bCs/>
                <w:i/>
                <w:szCs w:val="22"/>
                <w:lang w:val="sr-Latn-ME"/>
              </w:rPr>
            </w:pPr>
            <w:r w:rsidRPr="0043654C">
              <w:rPr>
                <w:bCs/>
                <w:i/>
                <w:noProof/>
                <w:szCs w:val="22"/>
                <w:lang w:val="sr-Latn-ME"/>
              </w:rPr>
              <w:t>Opšti poremećaji i reakcije na mjestu primjene</w:t>
            </w:r>
          </w:p>
        </w:tc>
        <w:tc>
          <w:tcPr>
            <w:tcW w:w="3830" w:type="dxa"/>
            <w:vAlign w:val="center"/>
          </w:tcPr>
          <w:p w14:paraId="2FC7FD30" w14:textId="77777777" w:rsidR="00257763" w:rsidRPr="0043654C" w:rsidRDefault="00D426A3" w:rsidP="00A30145">
            <w:pPr>
              <w:jc w:val="both"/>
              <w:rPr>
                <w:iCs/>
                <w:szCs w:val="22"/>
                <w:lang w:val="sr-Latn-ME"/>
              </w:rPr>
            </w:pPr>
            <w:r w:rsidRPr="0043654C">
              <w:rPr>
                <w:iCs/>
                <w:szCs w:val="22"/>
                <w:lang w:val="sr-Latn-ME"/>
              </w:rPr>
              <w:t>Slabost</w:t>
            </w:r>
          </w:p>
        </w:tc>
        <w:tc>
          <w:tcPr>
            <w:tcW w:w="1276" w:type="dxa"/>
            <w:vAlign w:val="center"/>
          </w:tcPr>
          <w:p w14:paraId="2648DC4D" w14:textId="77777777" w:rsidR="00257763" w:rsidRPr="0043654C" w:rsidRDefault="00D426A3" w:rsidP="00A30145">
            <w:pPr>
              <w:jc w:val="both"/>
              <w:rPr>
                <w:szCs w:val="22"/>
                <w:lang w:val="sr-Latn-ME"/>
              </w:rPr>
            </w:pPr>
            <w:r w:rsidRPr="0043654C">
              <w:rPr>
                <w:szCs w:val="22"/>
                <w:lang w:val="sr-Latn-ME"/>
              </w:rPr>
              <w:t>Povremeno</w:t>
            </w:r>
          </w:p>
        </w:tc>
        <w:tc>
          <w:tcPr>
            <w:tcW w:w="1411" w:type="dxa"/>
            <w:vAlign w:val="center"/>
          </w:tcPr>
          <w:p w14:paraId="543842D9" w14:textId="77777777" w:rsidR="00257763" w:rsidRPr="0043654C" w:rsidRDefault="00D426A3" w:rsidP="00A30145">
            <w:pPr>
              <w:jc w:val="both"/>
              <w:rPr>
                <w:szCs w:val="22"/>
                <w:lang w:val="sr-Latn-ME"/>
              </w:rPr>
            </w:pPr>
            <w:r w:rsidRPr="0043654C">
              <w:rPr>
                <w:szCs w:val="22"/>
                <w:lang w:val="sr-Latn-ME"/>
              </w:rPr>
              <w:t>Rijetko</w:t>
            </w:r>
          </w:p>
        </w:tc>
      </w:tr>
      <w:tr w:rsidR="00257763" w:rsidRPr="0043654C" w14:paraId="3035F8EA" w14:textId="77777777">
        <w:trPr>
          <w:trHeight w:val="270"/>
          <w:jc w:val="center"/>
        </w:trPr>
        <w:tc>
          <w:tcPr>
            <w:tcW w:w="2544" w:type="dxa"/>
            <w:vMerge w:val="restart"/>
            <w:vAlign w:val="center"/>
          </w:tcPr>
          <w:p w14:paraId="1F92381B" w14:textId="77777777" w:rsidR="00257763" w:rsidRPr="0043654C" w:rsidRDefault="00D426A3" w:rsidP="00A30145">
            <w:pPr>
              <w:jc w:val="both"/>
              <w:rPr>
                <w:bCs/>
                <w:i/>
                <w:szCs w:val="22"/>
                <w:lang w:val="sr-Latn-ME"/>
              </w:rPr>
            </w:pPr>
            <w:r w:rsidRPr="0043654C">
              <w:rPr>
                <w:bCs/>
                <w:i/>
                <w:szCs w:val="22"/>
                <w:lang w:val="sr-Latn-ME"/>
              </w:rPr>
              <w:t>Ispitivanja</w:t>
            </w:r>
          </w:p>
        </w:tc>
        <w:tc>
          <w:tcPr>
            <w:tcW w:w="3830" w:type="dxa"/>
            <w:vAlign w:val="center"/>
          </w:tcPr>
          <w:p w14:paraId="477F1795" w14:textId="1CAD18B2" w:rsidR="00257763" w:rsidRPr="0043654C" w:rsidRDefault="00D426A3">
            <w:pPr>
              <w:jc w:val="both"/>
              <w:rPr>
                <w:szCs w:val="22"/>
                <w:lang w:val="sr-Latn-ME"/>
              </w:rPr>
            </w:pPr>
            <w:r w:rsidRPr="0043654C">
              <w:rPr>
                <w:szCs w:val="22"/>
                <w:lang w:val="sr-Latn-ME"/>
              </w:rPr>
              <w:t xml:space="preserve">Produžen QT interval na elektrokardiogramu (vidjeti </w:t>
            </w:r>
            <w:r w:rsidR="00AE03A2" w:rsidRPr="0043654C">
              <w:rPr>
                <w:szCs w:val="22"/>
                <w:lang w:val="sr-Latn-ME"/>
              </w:rPr>
              <w:t xml:space="preserve">djelove </w:t>
            </w:r>
            <w:r w:rsidRPr="0043654C">
              <w:rPr>
                <w:szCs w:val="22"/>
                <w:lang w:val="sr-Latn-ME"/>
              </w:rPr>
              <w:t>4.4 i 4.5)</w:t>
            </w:r>
          </w:p>
        </w:tc>
        <w:tc>
          <w:tcPr>
            <w:tcW w:w="1276" w:type="dxa"/>
            <w:vAlign w:val="center"/>
          </w:tcPr>
          <w:p w14:paraId="71B89CAC"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525F61C1" w14:textId="77777777" w:rsidR="00257763" w:rsidRPr="0043654C" w:rsidRDefault="00D426A3" w:rsidP="00A30145">
            <w:pPr>
              <w:jc w:val="both"/>
              <w:rPr>
                <w:szCs w:val="22"/>
                <w:lang w:val="sr-Latn-ME"/>
              </w:rPr>
            </w:pPr>
            <w:r w:rsidRPr="0043654C">
              <w:rPr>
                <w:szCs w:val="22"/>
                <w:lang w:val="sr-Latn-ME"/>
              </w:rPr>
              <w:t>Nepoznato</w:t>
            </w:r>
          </w:p>
        </w:tc>
      </w:tr>
      <w:tr w:rsidR="00257763" w:rsidRPr="0043654C" w14:paraId="39D8DB6F" w14:textId="77777777">
        <w:trPr>
          <w:trHeight w:val="274"/>
          <w:jc w:val="center"/>
        </w:trPr>
        <w:tc>
          <w:tcPr>
            <w:tcW w:w="2544" w:type="dxa"/>
            <w:vMerge/>
            <w:vAlign w:val="center"/>
          </w:tcPr>
          <w:p w14:paraId="219AEDA5" w14:textId="77777777" w:rsidR="00257763" w:rsidRPr="0043654C" w:rsidRDefault="00257763" w:rsidP="00A30145">
            <w:pPr>
              <w:jc w:val="both"/>
              <w:rPr>
                <w:b/>
                <w:bCs/>
                <w:szCs w:val="22"/>
                <w:lang w:val="sr-Latn-ME"/>
              </w:rPr>
            </w:pPr>
          </w:p>
        </w:tc>
        <w:tc>
          <w:tcPr>
            <w:tcW w:w="3830" w:type="dxa"/>
            <w:vAlign w:val="center"/>
          </w:tcPr>
          <w:p w14:paraId="4F9B951A" w14:textId="37992541" w:rsidR="00257763" w:rsidRPr="0043654C" w:rsidRDefault="00D426A3">
            <w:pPr>
              <w:jc w:val="both"/>
              <w:rPr>
                <w:szCs w:val="22"/>
                <w:lang w:val="sr-Latn-ME"/>
              </w:rPr>
            </w:pPr>
            <w:r w:rsidRPr="0043654C">
              <w:rPr>
                <w:szCs w:val="22"/>
                <w:lang w:val="sr-Latn-ME"/>
              </w:rPr>
              <w:t xml:space="preserve">Povećanje nivoa glukoze u krvi (vidjeti </w:t>
            </w:r>
            <w:r w:rsidR="00AE03A2" w:rsidRPr="0043654C">
              <w:rPr>
                <w:szCs w:val="22"/>
                <w:lang w:val="sr-Latn-ME"/>
              </w:rPr>
              <w:t xml:space="preserve">dio </w:t>
            </w:r>
            <w:r w:rsidRPr="0043654C">
              <w:rPr>
                <w:szCs w:val="22"/>
                <w:lang w:val="sr-Latn-ME"/>
              </w:rPr>
              <w:t>4.4)</w:t>
            </w:r>
          </w:p>
        </w:tc>
        <w:tc>
          <w:tcPr>
            <w:tcW w:w="1276" w:type="dxa"/>
            <w:vAlign w:val="center"/>
          </w:tcPr>
          <w:p w14:paraId="1EB3EF33"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77EC2874" w14:textId="77777777" w:rsidR="00257763" w:rsidRPr="0043654C" w:rsidRDefault="00D426A3" w:rsidP="00A30145">
            <w:pPr>
              <w:jc w:val="both"/>
              <w:rPr>
                <w:szCs w:val="22"/>
                <w:lang w:val="sr-Latn-ME"/>
              </w:rPr>
            </w:pPr>
            <w:r w:rsidRPr="0043654C">
              <w:rPr>
                <w:szCs w:val="22"/>
                <w:lang w:val="sr-Latn-ME"/>
              </w:rPr>
              <w:t>Nepoznato</w:t>
            </w:r>
          </w:p>
        </w:tc>
      </w:tr>
      <w:tr w:rsidR="00257763" w:rsidRPr="0043654C" w14:paraId="0F978618" w14:textId="77777777">
        <w:trPr>
          <w:trHeight w:val="274"/>
          <w:jc w:val="center"/>
        </w:trPr>
        <w:tc>
          <w:tcPr>
            <w:tcW w:w="2544" w:type="dxa"/>
            <w:vMerge/>
            <w:vAlign w:val="center"/>
          </w:tcPr>
          <w:p w14:paraId="4F66FD60" w14:textId="77777777" w:rsidR="00257763" w:rsidRPr="0043654C" w:rsidRDefault="00257763" w:rsidP="00A30145">
            <w:pPr>
              <w:jc w:val="both"/>
              <w:rPr>
                <w:b/>
                <w:bCs/>
                <w:szCs w:val="22"/>
                <w:lang w:val="sr-Latn-ME"/>
              </w:rPr>
            </w:pPr>
          </w:p>
        </w:tc>
        <w:tc>
          <w:tcPr>
            <w:tcW w:w="3830" w:type="dxa"/>
            <w:vAlign w:val="center"/>
          </w:tcPr>
          <w:p w14:paraId="3D1333BA" w14:textId="0936F81F" w:rsidR="00257763" w:rsidRPr="0043654C" w:rsidRDefault="00D426A3">
            <w:pPr>
              <w:jc w:val="both"/>
              <w:rPr>
                <w:szCs w:val="22"/>
                <w:lang w:val="sr-Latn-ME"/>
              </w:rPr>
            </w:pPr>
            <w:r w:rsidRPr="0043654C">
              <w:rPr>
                <w:szCs w:val="22"/>
                <w:lang w:val="sr-Latn-ME"/>
              </w:rPr>
              <w:t xml:space="preserve">Povećanje nivoa mokraćne kiseline u krvi (vidjeti </w:t>
            </w:r>
            <w:r w:rsidR="00AE03A2" w:rsidRPr="0043654C">
              <w:rPr>
                <w:szCs w:val="22"/>
                <w:lang w:val="sr-Latn-ME"/>
              </w:rPr>
              <w:t xml:space="preserve">dio </w:t>
            </w:r>
            <w:r w:rsidRPr="0043654C">
              <w:rPr>
                <w:szCs w:val="22"/>
                <w:lang w:val="sr-Latn-ME"/>
              </w:rPr>
              <w:t>4.4)</w:t>
            </w:r>
          </w:p>
        </w:tc>
        <w:tc>
          <w:tcPr>
            <w:tcW w:w="1276" w:type="dxa"/>
            <w:vAlign w:val="center"/>
          </w:tcPr>
          <w:p w14:paraId="24B436F8"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30AD9E1D" w14:textId="77777777" w:rsidR="00257763" w:rsidRPr="0043654C" w:rsidRDefault="00D426A3" w:rsidP="00A30145">
            <w:pPr>
              <w:jc w:val="both"/>
              <w:rPr>
                <w:szCs w:val="22"/>
                <w:lang w:val="sr-Latn-ME"/>
              </w:rPr>
            </w:pPr>
            <w:r w:rsidRPr="0043654C">
              <w:rPr>
                <w:szCs w:val="22"/>
                <w:lang w:val="sr-Latn-ME"/>
              </w:rPr>
              <w:t>Nepoznato</w:t>
            </w:r>
          </w:p>
        </w:tc>
      </w:tr>
      <w:tr w:rsidR="00257763" w:rsidRPr="0043654C" w14:paraId="1062C0B6" w14:textId="77777777">
        <w:trPr>
          <w:trHeight w:val="274"/>
          <w:jc w:val="center"/>
        </w:trPr>
        <w:tc>
          <w:tcPr>
            <w:tcW w:w="2544" w:type="dxa"/>
            <w:vMerge/>
            <w:vAlign w:val="center"/>
          </w:tcPr>
          <w:p w14:paraId="43000C1A" w14:textId="77777777" w:rsidR="00257763" w:rsidRPr="0043654C" w:rsidRDefault="00257763" w:rsidP="00A30145">
            <w:pPr>
              <w:jc w:val="both"/>
              <w:rPr>
                <w:b/>
                <w:bCs/>
                <w:szCs w:val="22"/>
                <w:lang w:val="sr-Latn-ME"/>
              </w:rPr>
            </w:pPr>
          </w:p>
        </w:tc>
        <w:tc>
          <w:tcPr>
            <w:tcW w:w="3830" w:type="dxa"/>
            <w:vAlign w:val="center"/>
          </w:tcPr>
          <w:p w14:paraId="73DD22ED" w14:textId="77777777" w:rsidR="00257763" w:rsidRPr="0043654C" w:rsidRDefault="00D426A3" w:rsidP="00A30145">
            <w:pPr>
              <w:jc w:val="both"/>
              <w:rPr>
                <w:szCs w:val="22"/>
                <w:lang w:val="sr-Latn-ME"/>
              </w:rPr>
            </w:pPr>
            <w:r w:rsidRPr="0043654C">
              <w:rPr>
                <w:szCs w:val="22"/>
                <w:lang w:val="sr-Latn-ME"/>
              </w:rPr>
              <w:t>Povećanje nivoa enzima jetre</w:t>
            </w:r>
          </w:p>
        </w:tc>
        <w:tc>
          <w:tcPr>
            <w:tcW w:w="1276" w:type="dxa"/>
            <w:vAlign w:val="center"/>
          </w:tcPr>
          <w:p w14:paraId="0591C401" w14:textId="77777777" w:rsidR="00257763" w:rsidRPr="0043654C" w:rsidRDefault="00D426A3" w:rsidP="00A30145">
            <w:pPr>
              <w:jc w:val="both"/>
              <w:rPr>
                <w:szCs w:val="22"/>
                <w:lang w:val="sr-Latn-ME"/>
              </w:rPr>
            </w:pPr>
            <w:r w:rsidRPr="0043654C">
              <w:rPr>
                <w:szCs w:val="22"/>
                <w:lang w:val="sr-Latn-ME"/>
              </w:rPr>
              <w:t>–</w:t>
            </w:r>
          </w:p>
        </w:tc>
        <w:tc>
          <w:tcPr>
            <w:tcW w:w="1411" w:type="dxa"/>
            <w:vAlign w:val="center"/>
          </w:tcPr>
          <w:p w14:paraId="44190F0A" w14:textId="77777777" w:rsidR="00257763" w:rsidRPr="0043654C" w:rsidRDefault="00D426A3" w:rsidP="00A30145">
            <w:pPr>
              <w:jc w:val="both"/>
              <w:rPr>
                <w:szCs w:val="22"/>
                <w:lang w:val="sr-Latn-ME"/>
              </w:rPr>
            </w:pPr>
            <w:r w:rsidRPr="0043654C">
              <w:rPr>
                <w:szCs w:val="22"/>
                <w:lang w:val="sr-Latn-ME"/>
              </w:rPr>
              <w:t>Nepoznato</w:t>
            </w:r>
          </w:p>
        </w:tc>
      </w:tr>
    </w:tbl>
    <w:p w14:paraId="3787C3EF" w14:textId="77777777" w:rsidR="00257763" w:rsidRPr="0043654C" w:rsidRDefault="00257763" w:rsidP="00A30145">
      <w:pPr>
        <w:widowControl w:val="0"/>
        <w:autoSpaceDE w:val="0"/>
        <w:autoSpaceDN w:val="0"/>
        <w:adjustRightInd w:val="0"/>
        <w:jc w:val="both"/>
        <w:rPr>
          <w:rFonts w:eastAsia="Calibri"/>
          <w:noProof/>
          <w:snapToGrid w:val="0"/>
          <w:szCs w:val="22"/>
          <w:lang w:val="sr-Latn-ME"/>
        </w:rPr>
      </w:pPr>
    </w:p>
    <w:p w14:paraId="6E747C0B" w14:textId="77777777" w:rsidR="00257763" w:rsidRPr="0043654C" w:rsidRDefault="00D426A3" w:rsidP="00A30145">
      <w:pPr>
        <w:jc w:val="both"/>
        <w:rPr>
          <w:szCs w:val="22"/>
          <w:u w:val="single"/>
          <w:lang w:val="sr-Latn-ME"/>
        </w:rPr>
      </w:pPr>
      <w:r w:rsidRPr="0043654C">
        <w:rPr>
          <w:szCs w:val="22"/>
          <w:u w:val="single"/>
          <w:lang w:val="sr-Latn-ME"/>
        </w:rPr>
        <w:t>Opis odabranih neželjenih reakcija</w:t>
      </w:r>
    </w:p>
    <w:p w14:paraId="05C79222" w14:textId="77777777" w:rsidR="00257763" w:rsidRPr="0043654C" w:rsidRDefault="00D426A3" w:rsidP="00A30145">
      <w:pPr>
        <w:jc w:val="both"/>
        <w:rPr>
          <w:szCs w:val="22"/>
          <w:lang w:val="sr-Latn-ME"/>
        </w:rPr>
      </w:pPr>
      <w:r w:rsidRPr="0043654C">
        <w:rPr>
          <w:szCs w:val="22"/>
          <w:lang w:val="sr-Latn-ME"/>
        </w:rPr>
        <w:t>Tokom studija II i III faze upoređujući indapamid 1,5 mg i 2,5 mg, analiza kalijuma u plazmi pokazala je dozno-zavisan efekat indapamida:</w:t>
      </w:r>
    </w:p>
    <w:p w14:paraId="543DD7A0" w14:textId="77777777" w:rsidR="00257763" w:rsidRPr="0043654C" w:rsidRDefault="00D426A3" w:rsidP="00A30145">
      <w:pPr>
        <w:numPr>
          <w:ilvl w:val="0"/>
          <w:numId w:val="29"/>
        </w:numPr>
        <w:spacing w:line="240" w:lineRule="auto"/>
        <w:contextualSpacing/>
        <w:jc w:val="both"/>
        <w:rPr>
          <w:szCs w:val="22"/>
          <w:lang w:val="sr-Latn-ME"/>
        </w:rPr>
      </w:pPr>
      <w:r w:rsidRPr="0043654C">
        <w:rPr>
          <w:szCs w:val="22"/>
          <w:lang w:val="sr-Latn-ME"/>
        </w:rPr>
        <w:t>Indapamid 1,5mg: Kalijum u plazmi &lt;3,4 mmol/l uočen kod 10% pacijenata i &lt; 3,2 mmol/l kod 4% pacijenata nakon 4 do 6 nedjelja liječenja. Nakon 12 nedjelja liječenja srednja vrijednost pada nivoa kalijuma u plazmi je bila 0,23 mmol/l.</w:t>
      </w:r>
    </w:p>
    <w:p w14:paraId="6385F495" w14:textId="77777777" w:rsidR="00257763" w:rsidRPr="0043654C" w:rsidRDefault="00D426A3" w:rsidP="00A30145">
      <w:pPr>
        <w:numPr>
          <w:ilvl w:val="0"/>
          <w:numId w:val="29"/>
        </w:numPr>
        <w:spacing w:line="240" w:lineRule="auto"/>
        <w:contextualSpacing/>
        <w:jc w:val="both"/>
        <w:rPr>
          <w:szCs w:val="22"/>
          <w:lang w:val="sr-Latn-ME"/>
        </w:rPr>
      </w:pPr>
      <w:r w:rsidRPr="0043654C">
        <w:rPr>
          <w:szCs w:val="22"/>
          <w:lang w:val="sr-Latn-ME"/>
        </w:rPr>
        <w:t>Indapamid 2,5 mg: Kalijum u plazmi &lt;3,4 mmol/l uočen kod 25% pacijenata i &lt; 3,2 mmol/l kod 10% pacijenata nakon 4 do 6 nedjelja liječenja. Nakon 12 nedjelja liječenja srednja vrijednost pada nivoa kalijuma u plazmi je bila 0,41 mmol/l.</w:t>
      </w:r>
    </w:p>
    <w:p w14:paraId="2504E1B4" w14:textId="77777777" w:rsidR="00257763" w:rsidRPr="0043654C" w:rsidRDefault="00257763" w:rsidP="00A30145">
      <w:pPr>
        <w:tabs>
          <w:tab w:val="left" w:pos="540"/>
        </w:tabs>
        <w:jc w:val="both"/>
        <w:rPr>
          <w:b/>
          <w:bCs/>
          <w:szCs w:val="22"/>
          <w:lang w:val="sr-Latn-ME"/>
        </w:rPr>
      </w:pPr>
    </w:p>
    <w:p w14:paraId="47538D9B" w14:textId="77777777" w:rsidR="00257763" w:rsidRPr="0043654C" w:rsidRDefault="00D426A3" w:rsidP="00A30145">
      <w:pPr>
        <w:spacing w:after="200" w:line="276" w:lineRule="auto"/>
        <w:jc w:val="both"/>
        <w:rPr>
          <w:rFonts w:eastAsia="Calibri"/>
          <w:szCs w:val="22"/>
          <w:u w:val="single"/>
          <w:lang w:val="sr-Latn-ME"/>
        </w:rPr>
      </w:pPr>
      <w:r w:rsidRPr="0043654C">
        <w:rPr>
          <w:rFonts w:eastAsia="Calibri"/>
          <w:szCs w:val="22"/>
          <w:u w:val="single"/>
          <w:lang w:val="sr-Latn-ME"/>
        </w:rPr>
        <w:t>Prijavljivanje sumnji na neželjena dejstva</w:t>
      </w:r>
    </w:p>
    <w:p w14:paraId="6B6C5DA1" w14:textId="77777777" w:rsidR="00257763" w:rsidRPr="0043654C" w:rsidRDefault="00D426A3" w:rsidP="00A30145">
      <w:pPr>
        <w:spacing w:after="200"/>
        <w:jc w:val="both"/>
        <w:rPr>
          <w:rFonts w:eastAsia="Calibri"/>
          <w:szCs w:val="22"/>
          <w:lang w:val="sr-Latn-ME"/>
        </w:rPr>
      </w:pPr>
      <w:r w:rsidRPr="0043654C">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750E007" w14:textId="77777777" w:rsidR="00257763" w:rsidRPr="0043654C" w:rsidRDefault="00D426A3" w:rsidP="00A30145">
      <w:pPr>
        <w:tabs>
          <w:tab w:val="clear" w:pos="567"/>
        </w:tabs>
        <w:spacing w:line="240" w:lineRule="auto"/>
        <w:jc w:val="both"/>
        <w:rPr>
          <w:rFonts w:eastAsia="Calibri"/>
          <w:szCs w:val="22"/>
          <w:lang w:val="sr-Latn-ME"/>
        </w:rPr>
      </w:pPr>
      <w:r w:rsidRPr="0043654C">
        <w:rPr>
          <w:rFonts w:eastAsia="Calibri"/>
          <w:szCs w:val="22"/>
          <w:lang w:val="sr-Latn-ME"/>
        </w:rPr>
        <w:lastRenderedPageBreak/>
        <w:t xml:space="preserve">Institut za ljekove i medicinska sredstva </w:t>
      </w:r>
    </w:p>
    <w:p w14:paraId="34AF2DCE" w14:textId="77777777" w:rsidR="00257763" w:rsidRPr="0043654C" w:rsidRDefault="00D426A3" w:rsidP="00A30145">
      <w:pPr>
        <w:tabs>
          <w:tab w:val="clear" w:pos="567"/>
        </w:tabs>
        <w:spacing w:line="240" w:lineRule="auto"/>
        <w:jc w:val="both"/>
        <w:rPr>
          <w:rFonts w:eastAsia="Calibri"/>
          <w:szCs w:val="22"/>
          <w:lang w:val="sr-Latn-ME"/>
        </w:rPr>
      </w:pPr>
      <w:r w:rsidRPr="0043654C">
        <w:rPr>
          <w:rFonts w:eastAsia="Calibri"/>
          <w:szCs w:val="22"/>
          <w:lang w:val="sr-Latn-ME"/>
        </w:rPr>
        <w:t>Odjeljenje za farmakovigilancu</w:t>
      </w:r>
    </w:p>
    <w:p w14:paraId="3F7D19B1" w14:textId="77777777" w:rsidR="00257763" w:rsidRPr="0043654C" w:rsidRDefault="00D426A3" w:rsidP="00A30145">
      <w:pPr>
        <w:tabs>
          <w:tab w:val="clear" w:pos="567"/>
        </w:tabs>
        <w:spacing w:line="240" w:lineRule="auto"/>
        <w:jc w:val="both"/>
        <w:rPr>
          <w:rFonts w:eastAsia="Calibri"/>
          <w:szCs w:val="22"/>
          <w:lang w:val="sr-Latn-ME"/>
        </w:rPr>
      </w:pPr>
      <w:r w:rsidRPr="0043654C">
        <w:rPr>
          <w:rFonts w:eastAsia="Calibri"/>
          <w:szCs w:val="22"/>
          <w:lang w:val="sr-Latn-ME"/>
        </w:rPr>
        <w:t>Bulevar Ivana Crnojevića 64a, 81000 Podgorica</w:t>
      </w:r>
    </w:p>
    <w:p w14:paraId="3D4F7DAF" w14:textId="77777777" w:rsidR="00257763" w:rsidRPr="0043654C" w:rsidRDefault="00257763" w:rsidP="00A30145">
      <w:pPr>
        <w:tabs>
          <w:tab w:val="clear" w:pos="567"/>
        </w:tabs>
        <w:spacing w:line="240" w:lineRule="auto"/>
        <w:jc w:val="both"/>
        <w:rPr>
          <w:rFonts w:eastAsia="Calibri"/>
          <w:szCs w:val="22"/>
          <w:lang w:val="sr-Latn-ME"/>
        </w:rPr>
      </w:pPr>
    </w:p>
    <w:p w14:paraId="2D956902" w14:textId="77777777" w:rsidR="00257763" w:rsidRPr="0043654C" w:rsidRDefault="00D426A3" w:rsidP="00A30145">
      <w:pPr>
        <w:tabs>
          <w:tab w:val="clear" w:pos="567"/>
        </w:tabs>
        <w:spacing w:line="240" w:lineRule="auto"/>
        <w:jc w:val="both"/>
        <w:rPr>
          <w:rFonts w:eastAsia="Calibri"/>
          <w:szCs w:val="22"/>
          <w:lang w:val="sr-Latn-ME"/>
        </w:rPr>
      </w:pPr>
      <w:r w:rsidRPr="0043654C">
        <w:rPr>
          <w:rFonts w:eastAsia="Calibri"/>
          <w:szCs w:val="22"/>
          <w:lang w:val="sr-Latn-ME"/>
        </w:rPr>
        <w:t>tel: +382 (0) 20 310 280</w:t>
      </w:r>
    </w:p>
    <w:p w14:paraId="57EA41AD" w14:textId="77777777" w:rsidR="00257763" w:rsidRPr="0043654C" w:rsidRDefault="00D426A3" w:rsidP="00A30145">
      <w:pPr>
        <w:tabs>
          <w:tab w:val="clear" w:pos="567"/>
          <w:tab w:val="left" w:pos="6720"/>
        </w:tabs>
        <w:spacing w:line="240" w:lineRule="auto"/>
        <w:jc w:val="both"/>
        <w:rPr>
          <w:rFonts w:eastAsia="Calibri"/>
          <w:szCs w:val="22"/>
          <w:lang w:val="sr-Latn-ME"/>
        </w:rPr>
      </w:pPr>
      <w:r w:rsidRPr="0043654C">
        <w:rPr>
          <w:rFonts w:eastAsia="Calibri"/>
          <w:szCs w:val="22"/>
          <w:lang w:val="sr-Latn-ME"/>
        </w:rPr>
        <w:t>fax: +382 (0) 20 310 581</w:t>
      </w:r>
      <w:r w:rsidRPr="0043654C">
        <w:rPr>
          <w:rFonts w:eastAsia="Calibri"/>
          <w:szCs w:val="22"/>
          <w:lang w:val="sr-Latn-ME"/>
        </w:rPr>
        <w:tab/>
      </w:r>
    </w:p>
    <w:p w14:paraId="50E65C6B" w14:textId="77777777" w:rsidR="00257763" w:rsidRPr="0043654C" w:rsidRDefault="006F49BD" w:rsidP="00A30145">
      <w:pPr>
        <w:tabs>
          <w:tab w:val="clear" w:pos="567"/>
        </w:tabs>
        <w:spacing w:line="240" w:lineRule="auto"/>
        <w:jc w:val="both"/>
        <w:rPr>
          <w:rFonts w:eastAsia="Calibri"/>
          <w:szCs w:val="22"/>
          <w:lang w:val="sr-Latn-ME"/>
        </w:rPr>
      </w:pPr>
      <w:hyperlink r:id="rId7" w:history="1">
        <w:r w:rsidR="00D426A3" w:rsidRPr="0043654C">
          <w:rPr>
            <w:rFonts w:eastAsia="Calibri"/>
            <w:color w:val="0000FF"/>
            <w:szCs w:val="22"/>
            <w:u w:val="single"/>
            <w:lang w:val="sr-Latn-ME"/>
          </w:rPr>
          <w:t>www.cinmed.me</w:t>
        </w:r>
      </w:hyperlink>
    </w:p>
    <w:p w14:paraId="30745528" w14:textId="77777777" w:rsidR="00257763" w:rsidRPr="0043654C" w:rsidRDefault="006F49BD" w:rsidP="00A30145">
      <w:pPr>
        <w:tabs>
          <w:tab w:val="clear" w:pos="567"/>
        </w:tabs>
        <w:spacing w:line="240" w:lineRule="auto"/>
        <w:jc w:val="both"/>
        <w:rPr>
          <w:rFonts w:eastAsia="Calibri"/>
          <w:color w:val="0000FF"/>
          <w:szCs w:val="22"/>
          <w:u w:val="single"/>
          <w:lang w:val="sr-Latn-ME"/>
        </w:rPr>
      </w:pPr>
      <w:hyperlink r:id="rId8" w:history="1">
        <w:r w:rsidR="00D426A3" w:rsidRPr="0043654C">
          <w:rPr>
            <w:rFonts w:eastAsia="Calibri"/>
            <w:color w:val="0000FF"/>
            <w:szCs w:val="22"/>
            <w:u w:val="single"/>
            <w:lang w:val="sr-Latn-ME"/>
          </w:rPr>
          <w:t>nezeljenadejstva@cinmed.me</w:t>
        </w:r>
      </w:hyperlink>
    </w:p>
    <w:p w14:paraId="79F3A2AA" w14:textId="77777777" w:rsidR="00257763" w:rsidRPr="0043654C" w:rsidRDefault="00D426A3" w:rsidP="00A30145">
      <w:pPr>
        <w:tabs>
          <w:tab w:val="clear" w:pos="567"/>
        </w:tabs>
        <w:spacing w:line="240" w:lineRule="auto"/>
        <w:jc w:val="both"/>
        <w:rPr>
          <w:rFonts w:eastAsia="Calibri"/>
          <w:szCs w:val="22"/>
          <w:lang w:val="sr-Latn-ME"/>
        </w:rPr>
      </w:pPr>
      <w:r w:rsidRPr="0043654C">
        <w:rPr>
          <w:rFonts w:eastAsia="Calibri"/>
          <w:szCs w:val="22"/>
          <w:lang w:val="sr-Latn-ME"/>
        </w:rPr>
        <w:t>putem IS zdravstvene zaštite</w:t>
      </w:r>
    </w:p>
    <w:p w14:paraId="12B44A5F" w14:textId="77777777" w:rsidR="00257763" w:rsidRPr="0043654C" w:rsidRDefault="00D426A3" w:rsidP="00A30145">
      <w:pPr>
        <w:tabs>
          <w:tab w:val="clear" w:pos="567"/>
        </w:tabs>
        <w:spacing w:line="240" w:lineRule="auto"/>
        <w:jc w:val="both"/>
        <w:rPr>
          <w:rFonts w:eastAsia="Calibri"/>
          <w:szCs w:val="22"/>
          <w:lang w:val="sr-Latn-ME"/>
        </w:rPr>
      </w:pPr>
      <w:r w:rsidRPr="0043654C">
        <w:rPr>
          <w:rFonts w:eastAsia="Calibri"/>
          <w:szCs w:val="22"/>
          <w:lang w:val="sr-Latn-ME"/>
        </w:rPr>
        <w:t>QR kod za online prijavu sumnje na neželjeno dejstvo lijeka:</w:t>
      </w:r>
    </w:p>
    <w:p w14:paraId="2995E6AB" w14:textId="77777777" w:rsidR="00257763" w:rsidRPr="0043654C" w:rsidRDefault="00257763" w:rsidP="00A30145">
      <w:pPr>
        <w:tabs>
          <w:tab w:val="clear" w:pos="567"/>
        </w:tabs>
        <w:spacing w:line="240" w:lineRule="auto"/>
        <w:jc w:val="both"/>
        <w:rPr>
          <w:rFonts w:eastAsia="Calibri"/>
          <w:szCs w:val="22"/>
          <w:lang w:val="sr-Latn-ME"/>
        </w:rPr>
      </w:pPr>
    </w:p>
    <w:p w14:paraId="76BF04E3" w14:textId="77777777" w:rsidR="00257763" w:rsidRPr="0043654C" w:rsidRDefault="00BD5173" w:rsidP="00A30145">
      <w:pPr>
        <w:tabs>
          <w:tab w:val="left" w:pos="540"/>
        </w:tabs>
        <w:spacing w:line="240" w:lineRule="auto"/>
        <w:jc w:val="both"/>
        <w:rPr>
          <w:b/>
          <w:bCs/>
          <w:szCs w:val="22"/>
          <w:lang w:val="sr-Latn-ME"/>
        </w:rPr>
      </w:pPr>
      <w:r w:rsidRPr="0043654C">
        <w:rPr>
          <w:b/>
          <w:noProof/>
          <w:szCs w:val="22"/>
          <w:lang w:val="en-US"/>
        </w:rPr>
        <w:drawing>
          <wp:inline distT="0" distB="0" distL="0" distR="0" wp14:anchorId="6A8E4B07" wp14:editId="6FE13E68">
            <wp:extent cx="981075" cy="971550"/>
            <wp:effectExtent l="0" t="0" r="0" b="0"/>
            <wp:docPr id="1"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2FF57595" w14:textId="77777777" w:rsidR="00257763" w:rsidRPr="0043654C" w:rsidRDefault="00257763" w:rsidP="00A30145">
      <w:pPr>
        <w:tabs>
          <w:tab w:val="left" w:pos="540"/>
        </w:tabs>
        <w:jc w:val="both"/>
        <w:rPr>
          <w:b/>
          <w:bCs/>
          <w:szCs w:val="22"/>
          <w:lang w:val="sr-Latn-ME"/>
        </w:rPr>
      </w:pPr>
    </w:p>
    <w:p w14:paraId="76AC9AF6" w14:textId="77777777" w:rsidR="00257763" w:rsidRPr="0043654C" w:rsidRDefault="00D426A3" w:rsidP="00A30145">
      <w:pPr>
        <w:tabs>
          <w:tab w:val="left" w:pos="540"/>
        </w:tabs>
        <w:jc w:val="both"/>
        <w:rPr>
          <w:b/>
          <w:bCs/>
          <w:szCs w:val="22"/>
          <w:lang w:val="sr-Latn-ME"/>
        </w:rPr>
      </w:pPr>
      <w:r w:rsidRPr="0043654C">
        <w:rPr>
          <w:b/>
          <w:bCs/>
          <w:szCs w:val="22"/>
          <w:lang w:val="sr-Latn-ME"/>
        </w:rPr>
        <w:t xml:space="preserve">4.9. </w:t>
      </w:r>
      <w:r w:rsidRPr="0043654C">
        <w:rPr>
          <w:b/>
          <w:bCs/>
          <w:szCs w:val="22"/>
          <w:lang w:val="sr-Latn-ME"/>
        </w:rPr>
        <w:tab/>
        <w:t xml:space="preserve">Predoziranje </w:t>
      </w:r>
    </w:p>
    <w:p w14:paraId="56C1B44B" w14:textId="77777777" w:rsidR="00257763" w:rsidRPr="0043654C" w:rsidRDefault="00257763" w:rsidP="00A30145">
      <w:pPr>
        <w:tabs>
          <w:tab w:val="left" w:pos="540"/>
        </w:tabs>
        <w:jc w:val="both"/>
        <w:rPr>
          <w:b/>
          <w:bCs/>
          <w:szCs w:val="22"/>
          <w:lang w:val="sr-Latn-ME"/>
        </w:rPr>
      </w:pPr>
    </w:p>
    <w:p w14:paraId="602E94DC" w14:textId="77777777" w:rsidR="00257763" w:rsidRPr="0043654C" w:rsidRDefault="00D426A3" w:rsidP="00A30145">
      <w:pPr>
        <w:widowControl w:val="0"/>
        <w:autoSpaceDE w:val="0"/>
        <w:autoSpaceDN w:val="0"/>
        <w:adjustRightInd w:val="0"/>
        <w:jc w:val="both"/>
        <w:rPr>
          <w:rFonts w:eastAsia="Calibri"/>
          <w:noProof/>
          <w:szCs w:val="22"/>
          <w:u w:val="single"/>
          <w:lang w:val="sr-Latn-ME"/>
        </w:rPr>
      </w:pPr>
      <w:r w:rsidRPr="0043654C">
        <w:rPr>
          <w:rFonts w:eastAsia="Calibri"/>
          <w:noProof/>
          <w:szCs w:val="22"/>
          <w:u w:val="single"/>
          <w:lang w:val="sr-Latn-ME"/>
        </w:rPr>
        <w:t>Simptomi</w:t>
      </w:r>
    </w:p>
    <w:p w14:paraId="7611A02C" w14:textId="77777777" w:rsidR="00257763" w:rsidRPr="0043654C" w:rsidRDefault="00257763" w:rsidP="00A30145">
      <w:pPr>
        <w:widowControl w:val="0"/>
        <w:autoSpaceDE w:val="0"/>
        <w:autoSpaceDN w:val="0"/>
        <w:adjustRightInd w:val="0"/>
        <w:jc w:val="both"/>
        <w:rPr>
          <w:rFonts w:eastAsia="Calibri"/>
          <w:b/>
          <w:i/>
          <w:iCs/>
          <w:noProof/>
          <w:szCs w:val="22"/>
          <w:u w:val="single"/>
          <w:lang w:val="sr-Latn-ME"/>
        </w:rPr>
      </w:pPr>
    </w:p>
    <w:p w14:paraId="1D3AB98A" w14:textId="77777777" w:rsidR="00257763" w:rsidRPr="0043654C" w:rsidRDefault="00D426A3" w:rsidP="00A30145">
      <w:pPr>
        <w:widowControl w:val="0"/>
        <w:autoSpaceDE w:val="0"/>
        <w:autoSpaceDN w:val="0"/>
        <w:adjustRightInd w:val="0"/>
        <w:jc w:val="both"/>
        <w:rPr>
          <w:rFonts w:eastAsia="Calibri"/>
          <w:b/>
          <w:i/>
          <w:iCs/>
          <w:noProof/>
          <w:szCs w:val="22"/>
          <w:lang w:val="sr-Latn-ME"/>
        </w:rPr>
      </w:pPr>
      <w:r w:rsidRPr="0043654C">
        <w:rPr>
          <w:rFonts w:eastAsia="Calibri"/>
          <w:b/>
          <w:i/>
          <w:iCs/>
          <w:noProof/>
          <w:szCs w:val="22"/>
          <w:lang w:val="sr-Latn-ME"/>
        </w:rPr>
        <w:t>Povezano sa valsartanom</w:t>
      </w:r>
    </w:p>
    <w:p w14:paraId="70EC98DB"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3FB0EC77"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Predoziranje valsartanom može dovesti do izražene hipotenzije, što može dovesti do smanjenog nivoa svijesti, cirkulatornog kolapsa i/ili šoka.</w:t>
      </w:r>
    </w:p>
    <w:p w14:paraId="016C6215"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35FB72BB" w14:textId="77777777" w:rsidR="00257763" w:rsidRPr="0043654C" w:rsidRDefault="00D426A3" w:rsidP="00A30145">
      <w:pPr>
        <w:widowControl w:val="0"/>
        <w:autoSpaceDE w:val="0"/>
        <w:autoSpaceDN w:val="0"/>
        <w:adjustRightInd w:val="0"/>
        <w:jc w:val="both"/>
        <w:rPr>
          <w:rFonts w:eastAsia="Calibri"/>
          <w:b/>
          <w:i/>
          <w:iCs/>
          <w:noProof/>
          <w:szCs w:val="22"/>
          <w:lang w:val="sr-Latn-ME"/>
        </w:rPr>
      </w:pPr>
      <w:r w:rsidRPr="0043654C">
        <w:rPr>
          <w:rFonts w:eastAsia="Calibri"/>
          <w:b/>
          <w:i/>
          <w:iCs/>
          <w:noProof/>
          <w:szCs w:val="22"/>
          <w:lang w:val="sr-Latn-ME"/>
        </w:rPr>
        <w:t>Povezano sa indapamidom</w:t>
      </w:r>
    </w:p>
    <w:p w14:paraId="0A6D4522"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1D01D616"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Utvrđeno je da indapamid nema toksičnost u dozi do 40 mg, odnosno 27 puta većoj od terapijske doze.</w:t>
      </w:r>
    </w:p>
    <w:p w14:paraId="6A7ECE53"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Znaci akutnog trovanja su prije svega poremećaji vode/elektrolita (hiponatrijemija, hipokalijemija). Klinički, mogućnost mučnine, povraćanja, hipotenzije, grčeva, vrtoglavice, pospanosti, konfuzije, poliurije ili oligurije, moguće do anurije (uzrokovane hipovolemijom).</w:t>
      </w:r>
    </w:p>
    <w:p w14:paraId="1DBE392B" w14:textId="77777777" w:rsidR="00257763" w:rsidRPr="0043654C" w:rsidRDefault="00257763" w:rsidP="00A30145">
      <w:pPr>
        <w:widowControl w:val="0"/>
        <w:autoSpaceDE w:val="0"/>
        <w:autoSpaceDN w:val="0"/>
        <w:adjustRightInd w:val="0"/>
        <w:jc w:val="both"/>
        <w:rPr>
          <w:rFonts w:eastAsia="Calibri"/>
          <w:noProof/>
          <w:szCs w:val="22"/>
          <w:u w:val="single"/>
          <w:lang w:val="sr-Latn-ME"/>
        </w:rPr>
      </w:pPr>
    </w:p>
    <w:p w14:paraId="25A3F97E"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u w:val="single"/>
          <w:lang w:val="sr-Latn-ME"/>
        </w:rPr>
        <w:t>Terapija</w:t>
      </w:r>
    </w:p>
    <w:p w14:paraId="1EA72C92" w14:textId="77777777" w:rsidR="00257763" w:rsidRPr="0043654C" w:rsidRDefault="00257763" w:rsidP="00A30145">
      <w:pPr>
        <w:widowControl w:val="0"/>
        <w:autoSpaceDE w:val="0"/>
        <w:autoSpaceDN w:val="0"/>
        <w:adjustRightInd w:val="0"/>
        <w:jc w:val="both"/>
        <w:rPr>
          <w:rFonts w:eastAsia="Calibri"/>
          <w:b/>
          <w:i/>
          <w:iCs/>
          <w:noProof/>
          <w:szCs w:val="22"/>
          <w:u w:val="single"/>
          <w:lang w:val="sr-Latn-ME"/>
        </w:rPr>
      </w:pPr>
    </w:p>
    <w:p w14:paraId="0E658FB2" w14:textId="77777777" w:rsidR="00257763" w:rsidRPr="0043654C" w:rsidRDefault="00D426A3" w:rsidP="00A30145">
      <w:pPr>
        <w:widowControl w:val="0"/>
        <w:autoSpaceDE w:val="0"/>
        <w:autoSpaceDN w:val="0"/>
        <w:adjustRightInd w:val="0"/>
        <w:jc w:val="both"/>
        <w:rPr>
          <w:rFonts w:eastAsia="Calibri"/>
          <w:b/>
          <w:i/>
          <w:iCs/>
          <w:noProof/>
          <w:szCs w:val="22"/>
          <w:lang w:val="sr-Latn-ME"/>
        </w:rPr>
      </w:pPr>
      <w:r w:rsidRPr="0043654C">
        <w:rPr>
          <w:rFonts w:eastAsia="Calibri"/>
          <w:b/>
          <w:i/>
          <w:iCs/>
          <w:noProof/>
          <w:szCs w:val="22"/>
          <w:lang w:val="sr-Latn-ME"/>
        </w:rPr>
        <w:t>Povezano sa valsartanom</w:t>
      </w:r>
    </w:p>
    <w:p w14:paraId="69464B0C"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48B9EBB8" w14:textId="77777777" w:rsidR="00257763" w:rsidRPr="0043654C" w:rsidRDefault="00D426A3" w:rsidP="00A30145">
      <w:pPr>
        <w:tabs>
          <w:tab w:val="left" w:pos="540"/>
        </w:tabs>
        <w:jc w:val="both"/>
        <w:rPr>
          <w:bCs/>
          <w:szCs w:val="22"/>
          <w:lang w:val="sr-Latn-ME"/>
        </w:rPr>
      </w:pPr>
      <w:r w:rsidRPr="0043654C">
        <w:rPr>
          <w:bCs/>
          <w:szCs w:val="22"/>
          <w:lang w:val="sr-Latn-ME"/>
        </w:rPr>
        <w:t>Terapijske mjere zavise od vremena uzimanja, kao i vrste i težine simptoma; stabilizacija stanja cirkulacije je od primarne važnosti.</w:t>
      </w:r>
    </w:p>
    <w:p w14:paraId="1F94BBF3" w14:textId="77777777" w:rsidR="00257763" w:rsidRPr="0043654C" w:rsidRDefault="00D426A3" w:rsidP="00A30145">
      <w:pPr>
        <w:tabs>
          <w:tab w:val="left" w:pos="540"/>
        </w:tabs>
        <w:jc w:val="both"/>
        <w:rPr>
          <w:bCs/>
          <w:szCs w:val="22"/>
          <w:lang w:val="sr-Latn-ME"/>
        </w:rPr>
      </w:pPr>
      <w:r w:rsidRPr="0043654C">
        <w:rPr>
          <w:bCs/>
          <w:szCs w:val="22"/>
          <w:lang w:val="sr-Latn-ME"/>
        </w:rPr>
        <w:t>Ako dođe do hipotenzije, pacijenta treba postaviti u ležeći položaj i preduzeti korekciju volumena krvi.</w:t>
      </w:r>
    </w:p>
    <w:p w14:paraId="27FB2568" w14:textId="77777777" w:rsidR="00257763" w:rsidRPr="0043654C" w:rsidRDefault="00D426A3" w:rsidP="00A30145">
      <w:pPr>
        <w:tabs>
          <w:tab w:val="left" w:pos="540"/>
        </w:tabs>
        <w:jc w:val="both"/>
        <w:rPr>
          <w:bCs/>
          <w:szCs w:val="22"/>
          <w:lang w:val="sr-Latn-ME"/>
        </w:rPr>
      </w:pPr>
      <w:r w:rsidRPr="0043654C">
        <w:rPr>
          <w:bCs/>
          <w:szCs w:val="22"/>
          <w:lang w:val="sr-Latn-ME"/>
        </w:rPr>
        <w:t>Malo je vjerovatno da će se valsartan ukloniti hemodijalizom.</w:t>
      </w:r>
    </w:p>
    <w:p w14:paraId="68D6CF3C"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13D92371" w14:textId="77777777" w:rsidR="00257763" w:rsidRPr="0043654C" w:rsidRDefault="00D426A3" w:rsidP="00A30145">
      <w:pPr>
        <w:widowControl w:val="0"/>
        <w:autoSpaceDE w:val="0"/>
        <w:autoSpaceDN w:val="0"/>
        <w:adjustRightInd w:val="0"/>
        <w:jc w:val="both"/>
        <w:rPr>
          <w:rFonts w:eastAsia="Calibri"/>
          <w:b/>
          <w:i/>
          <w:iCs/>
          <w:noProof/>
          <w:szCs w:val="22"/>
          <w:lang w:val="sr-Latn-ME"/>
        </w:rPr>
      </w:pPr>
      <w:r w:rsidRPr="0043654C">
        <w:rPr>
          <w:rFonts w:eastAsia="Calibri"/>
          <w:b/>
          <w:i/>
          <w:iCs/>
          <w:noProof/>
          <w:szCs w:val="22"/>
          <w:lang w:val="sr-Latn-ME"/>
        </w:rPr>
        <w:t>Povezano sa indapamidom</w:t>
      </w:r>
    </w:p>
    <w:p w14:paraId="0C315615"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5BC027AA" w14:textId="77777777" w:rsidR="00257763" w:rsidRPr="0043654C" w:rsidRDefault="00D426A3" w:rsidP="00A30145">
      <w:pPr>
        <w:tabs>
          <w:tab w:val="left" w:pos="540"/>
        </w:tabs>
        <w:jc w:val="both"/>
        <w:rPr>
          <w:bCs/>
          <w:szCs w:val="22"/>
          <w:lang w:val="sr-Latn-ME"/>
        </w:rPr>
      </w:pPr>
      <w:r w:rsidRPr="0043654C">
        <w:rPr>
          <w:bCs/>
          <w:szCs w:val="22"/>
          <w:lang w:val="sr-Latn-ME"/>
        </w:rPr>
        <w:t>Početne mjere uključuju brzu eliminaciju progutane supstance(i) ispiranjem želuca i/ili primjenom aktivnog uglja, nakon čega slijedi vraćanje ravnoteže vode/elektrolita na normalu u specijalizovanom centru.</w:t>
      </w:r>
    </w:p>
    <w:p w14:paraId="75BE7BE5" w14:textId="77777777" w:rsidR="00257763" w:rsidRPr="0043654C" w:rsidRDefault="00257763" w:rsidP="00A30145">
      <w:pPr>
        <w:tabs>
          <w:tab w:val="left" w:pos="540"/>
        </w:tabs>
        <w:jc w:val="both"/>
        <w:rPr>
          <w:b/>
          <w:bCs/>
          <w:szCs w:val="22"/>
          <w:lang w:val="sr-Latn-ME"/>
        </w:rPr>
      </w:pPr>
    </w:p>
    <w:p w14:paraId="27A409E9" w14:textId="77777777" w:rsidR="00257763" w:rsidRPr="0043654C" w:rsidRDefault="00257763" w:rsidP="00A30145">
      <w:pPr>
        <w:tabs>
          <w:tab w:val="left" w:pos="540"/>
        </w:tabs>
        <w:jc w:val="both"/>
        <w:rPr>
          <w:b/>
          <w:bCs/>
          <w:szCs w:val="22"/>
          <w:lang w:val="sr-Latn-ME"/>
        </w:rPr>
      </w:pPr>
    </w:p>
    <w:p w14:paraId="5B1D0416" w14:textId="77777777" w:rsidR="00257763" w:rsidRPr="0043654C" w:rsidRDefault="00D426A3" w:rsidP="00A30145">
      <w:pPr>
        <w:tabs>
          <w:tab w:val="left" w:pos="540"/>
        </w:tabs>
        <w:jc w:val="both"/>
        <w:rPr>
          <w:b/>
          <w:bCs/>
          <w:szCs w:val="22"/>
          <w:lang w:val="sr-Latn-ME"/>
        </w:rPr>
      </w:pPr>
      <w:r w:rsidRPr="0043654C">
        <w:rPr>
          <w:b/>
          <w:bCs/>
          <w:szCs w:val="22"/>
          <w:lang w:val="sr-Latn-ME"/>
        </w:rPr>
        <w:t xml:space="preserve">5. </w:t>
      </w:r>
      <w:r w:rsidRPr="0043654C">
        <w:rPr>
          <w:b/>
          <w:bCs/>
          <w:szCs w:val="22"/>
          <w:lang w:val="sr-Latn-ME"/>
        </w:rPr>
        <w:tab/>
        <w:t>FARMAKOLOŠKI PODACI</w:t>
      </w:r>
    </w:p>
    <w:p w14:paraId="0332B509" w14:textId="77777777" w:rsidR="00257763" w:rsidRPr="0043654C" w:rsidRDefault="00257763" w:rsidP="00A30145">
      <w:pPr>
        <w:tabs>
          <w:tab w:val="left" w:pos="540"/>
        </w:tabs>
        <w:jc w:val="both"/>
        <w:rPr>
          <w:b/>
          <w:bCs/>
          <w:szCs w:val="22"/>
          <w:lang w:val="sr-Latn-ME"/>
        </w:rPr>
      </w:pPr>
    </w:p>
    <w:p w14:paraId="4B57C31B" w14:textId="77777777" w:rsidR="00257763" w:rsidRPr="0043654C" w:rsidRDefault="00D426A3" w:rsidP="00A30145">
      <w:pPr>
        <w:tabs>
          <w:tab w:val="left" w:pos="540"/>
        </w:tabs>
        <w:jc w:val="both"/>
        <w:rPr>
          <w:b/>
          <w:bCs/>
          <w:szCs w:val="22"/>
          <w:lang w:val="sr-Latn-ME"/>
        </w:rPr>
      </w:pPr>
      <w:r w:rsidRPr="0043654C">
        <w:rPr>
          <w:b/>
          <w:bCs/>
          <w:szCs w:val="22"/>
          <w:lang w:val="sr-Latn-ME"/>
        </w:rPr>
        <w:t xml:space="preserve">5.1. </w:t>
      </w:r>
      <w:r w:rsidRPr="0043654C">
        <w:rPr>
          <w:b/>
          <w:bCs/>
          <w:szCs w:val="22"/>
          <w:lang w:val="sr-Latn-ME"/>
        </w:rPr>
        <w:tab/>
        <w:t xml:space="preserve">Farmakodinamski podaci </w:t>
      </w:r>
    </w:p>
    <w:p w14:paraId="00E4BC6E" w14:textId="77777777" w:rsidR="00257763" w:rsidRPr="0043654C" w:rsidRDefault="00257763" w:rsidP="00A30145">
      <w:pPr>
        <w:tabs>
          <w:tab w:val="left" w:pos="540"/>
        </w:tabs>
        <w:jc w:val="both"/>
        <w:rPr>
          <w:b/>
          <w:bCs/>
          <w:szCs w:val="22"/>
          <w:lang w:val="sr-Latn-ME"/>
        </w:rPr>
      </w:pPr>
    </w:p>
    <w:p w14:paraId="621D755E" w14:textId="77777777" w:rsidR="00257763" w:rsidRPr="0043654C" w:rsidRDefault="00D426A3" w:rsidP="00A30145">
      <w:pPr>
        <w:tabs>
          <w:tab w:val="left" w:pos="540"/>
        </w:tabs>
        <w:jc w:val="both"/>
        <w:rPr>
          <w:bCs/>
          <w:szCs w:val="22"/>
          <w:lang w:val="sr-Latn-ME"/>
        </w:rPr>
      </w:pPr>
      <w:r w:rsidRPr="0043654C">
        <w:rPr>
          <w:bCs/>
          <w:szCs w:val="22"/>
          <w:lang w:val="sr-Latn-ME"/>
        </w:rPr>
        <w:t>Farmakoterapijska grupa:</w:t>
      </w:r>
      <w:r w:rsidRPr="0043654C">
        <w:rPr>
          <w:szCs w:val="22"/>
          <w:lang w:val="sr-Latn-ME"/>
        </w:rPr>
        <w:t xml:space="preserve"> antagonisti angiotenzin II receptora, kombinacija; antagonisti angiotenzin II receptora i diuretici</w:t>
      </w:r>
    </w:p>
    <w:p w14:paraId="1F2C73D7" w14:textId="77777777" w:rsidR="00257763" w:rsidRPr="0043654C" w:rsidRDefault="00D426A3" w:rsidP="00A30145">
      <w:pPr>
        <w:tabs>
          <w:tab w:val="left" w:pos="540"/>
        </w:tabs>
        <w:jc w:val="both"/>
        <w:rPr>
          <w:bCs/>
          <w:szCs w:val="22"/>
          <w:lang w:val="sr-Latn-ME"/>
        </w:rPr>
      </w:pPr>
      <w:r w:rsidRPr="0043654C">
        <w:rPr>
          <w:bCs/>
          <w:szCs w:val="22"/>
          <w:lang w:val="sr-Latn-ME"/>
        </w:rPr>
        <w:lastRenderedPageBreak/>
        <w:t>ATC kod:</w:t>
      </w:r>
      <w:r w:rsidRPr="0043654C">
        <w:rPr>
          <w:szCs w:val="22"/>
          <w:lang w:val="sr-Latn-ME"/>
        </w:rPr>
        <w:t xml:space="preserve"> C09DA03</w:t>
      </w:r>
    </w:p>
    <w:p w14:paraId="0764B223" w14:textId="77777777" w:rsidR="00257763" w:rsidRPr="0043654C" w:rsidRDefault="00257763" w:rsidP="00A30145">
      <w:pPr>
        <w:tabs>
          <w:tab w:val="left" w:pos="540"/>
        </w:tabs>
        <w:jc w:val="both"/>
        <w:rPr>
          <w:b/>
          <w:bCs/>
          <w:szCs w:val="22"/>
          <w:lang w:val="sr-Latn-ME"/>
        </w:rPr>
      </w:pPr>
    </w:p>
    <w:p w14:paraId="3D129094" w14:textId="77777777" w:rsidR="00257763" w:rsidRPr="0043654C" w:rsidRDefault="00D426A3" w:rsidP="00A30145">
      <w:pPr>
        <w:widowControl w:val="0"/>
        <w:jc w:val="both"/>
        <w:rPr>
          <w:b/>
          <w:bCs/>
          <w:i/>
          <w:iCs/>
          <w:noProof/>
          <w:szCs w:val="22"/>
          <w:lang w:val="sr-Latn-ME"/>
        </w:rPr>
      </w:pPr>
      <w:r w:rsidRPr="0043654C">
        <w:rPr>
          <w:b/>
          <w:bCs/>
          <w:i/>
          <w:iCs/>
          <w:noProof/>
          <w:szCs w:val="22"/>
          <w:lang w:val="sr-Latn-ME"/>
        </w:rPr>
        <w:t>Valsartan</w:t>
      </w:r>
    </w:p>
    <w:p w14:paraId="0C414986" w14:textId="77777777" w:rsidR="00257763" w:rsidRPr="0043654C" w:rsidRDefault="00257763" w:rsidP="00A30145">
      <w:pPr>
        <w:tabs>
          <w:tab w:val="clear" w:pos="567"/>
        </w:tabs>
        <w:spacing w:line="240" w:lineRule="auto"/>
        <w:jc w:val="both"/>
        <w:rPr>
          <w:szCs w:val="22"/>
          <w:u w:val="single"/>
          <w:lang w:val="sr-Latn-ME" w:eastAsia="sl-SI"/>
        </w:rPr>
      </w:pPr>
    </w:p>
    <w:p w14:paraId="3FAE3F4B" w14:textId="77777777" w:rsidR="00257763" w:rsidRPr="0043654C" w:rsidRDefault="00D426A3" w:rsidP="00A30145">
      <w:pPr>
        <w:tabs>
          <w:tab w:val="clear" w:pos="567"/>
        </w:tabs>
        <w:spacing w:line="240" w:lineRule="auto"/>
        <w:jc w:val="both"/>
        <w:rPr>
          <w:szCs w:val="22"/>
          <w:u w:val="single"/>
          <w:lang w:val="sr-Latn-ME" w:eastAsia="sl-SI"/>
        </w:rPr>
      </w:pPr>
      <w:r w:rsidRPr="0043654C">
        <w:rPr>
          <w:szCs w:val="22"/>
          <w:u w:val="single"/>
          <w:lang w:val="sr-Latn-ME" w:eastAsia="sl-SI"/>
        </w:rPr>
        <w:t>Mehanizam dejstva</w:t>
      </w:r>
    </w:p>
    <w:p w14:paraId="1ABF0122"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2C9B2382"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Valsartan je oralno aktivan, snažan i specifičan antagonista angiotenzin II receptora (Ang II). Djeluje selektivno na AT</w:t>
      </w:r>
      <w:r w:rsidRPr="0043654C">
        <w:rPr>
          <w:rFonts w:eastAsia="Calibri"/>
          <w:noProof/>
          <w:szCs w:val="22"/>
          <w:vertAlign w:val="subscript"/>
          <w:lang w:val="sr-Latn-ME"/>
        </w:rPr>
        <w:t xml:space="preserve">1 </w:t>
      </w:r>
      <w:r w:rsidRPr="0043654C">
        <w:rPr>
          <w:rFonts w:eastAsia="Calibri"/>
          <w:noProof/>
          <w:szCs w:val="22"/>
          <w:lang w:val="sr-Latn-ME"/>
        </w:rPr>
        <w:t>podtip receptora, koji je odgovoran za poznato djelovanje angiotenzina II. Povećani nivoi Ang II u plazmi nakon blokade AT</w:t>
      </w:r>
      <w:r w:rsidRPr="0043654C">
        <w:rPr>
          <w:rFonts w:eastAsia="Calibri"/>
          <w:noProof/>
          <w:szCs w:val="22"/>
          <w:vertAlign w:val="subscript"/>
          <w:lang w:val="sr-Latn-ME"/>
        </w:rPr>
        <w:t>1</w:t>
      </w:r>
      <w:r w:rsidRPr="0043654C">
        <w:rPr>
          <w:rFonts w:eastAsia="Calibri"/>
          <w:noProof/>
          <w:szCs w:val="22"/>
          <w:lang w:val="sr-Latn-ME"/>
        </w:rPr>
        <w:t xml:space="preserve"> receptora valsartanom mogu da stimuliraju deblokirani AT</w:t>
      </w:r>
      <w:r w:rsidRPr="0043654C">
        <w:rPr>
          <w:rFonts w:eastAsia="Calibri"/>
          <w:noProof/>
          <w:szCs w:val="22"/>
          <w:vertAlign w:val="subscript"/>
          <w:lang w:val="sr-Latn-ME"/>
        </w:rPr>
        <w:t>2</w:t>
      </w:r>
      <w:r w:rsidRPr="0043654C">
        <w:rPr>
          <w:rFonts w:eastAsia="Calibri"/>
          <w:noProof/>
          <w:szCs w:val="22"/>
          <w:lang w:val="sr-Latn-ME"/>
        </w:rPr>
        <w:t xml:space="preserve"> receptor, koji djeluje kao protivteža efektu AT</w:t>
      </w:r>
      <w:r w:rsidRPr="0043654C">
        <w:rPr>
          <w:rFonts w:eastAsia="Calibri"/>
          <w:noProof/>
          <w:szCs w:val="22"/>
          <w:vertAlign w:val="subscript"/>
          <w:lang w:val="sr-Latn-ME"/>
        </w:rPr>
        <w:t>1</w:t>
      </w:r>
      <w:r w:rsidRPr="0043654C">
        <w:rPr>
          <w:rFonts w:eastAsia="Calibri"/>
          <w:noProof/>
          <w:szCs w:val="22"/>
          <w:lang w:val="sr-Latn-ME"/>
        </w:rPr>
        <w:t xml:space="preserve"> receptora. Valsartan ne pokazuje nikakvu djelimično agonističku aktivnost na AT</w:t>
      </w:r>
      <w:r w:rsidRPr="0043654C">
        <w:rPr>
          <w:rFonts w:eastAsia="Calibri"/>
          <w:noProof/>
          <w:szCs w:val="22"/>
          <w:vertAlign w:val="subscript"/>
          <w:lang w:val="sr-Latn-ME"/>
        </w:rPr>
        <w:t>1</w:t>
      </w:r>
      <w:r w:rsidRPr="0043654C">
        <w:rPr>
          <w:rFonts w:eastAsia="Calibri"/>
          <w:noProof/>
          <w:szCs w:val="22"/>
          <w:lang w:val="sr-Latn-ME"/>
        </w:rPr>
        <w:t xml:space="preserve"> receptoru i ima mnogo (oko 20 000 puta) veći afinitet za AT</w:t>
      </w:r>
      <w:r w:rsidRPr="0043654C">
        <w:rPr>
          <w:rFonts w:eastAsia="Calibri"/>
          <w:noProof/>
          <w:szCs w:val="22"/>
          <w:vertAlign w:val="subscript"/>
          <w:lang w:val="sr-Latn-ME"/>
        </w:rPr>
        <w:t>1</w:t>
      </w:r>
      <w:r w:rsidRPr="0043654C">
        <w:rPr>
          <w:rFonts w:eastAsia="Calibri"/>
          <w:noProof/>
          <w:szCs w:val="22"/>
          <w:lang w:val="sr-Latn-ME"/>
        </w:rPr>
        <w:t xml:space="preserve"> receptor nego za AT</w:t>
      </w:r>
      <w:r w:rsidRPr="0043654C">
        <w:rPr>
          <w:rFonts w:eastAsia="Calibri"/>
          <w:noProof/>
          <w:szCs w:val="22"/>
          <w:vertAlign w:val="subscript"/>
          <w:lang w:val="sr-Latn-ME"/>
        </w:rPr>
        <w:t>2</w:t>
      </w:r>
      <w:r w:rsidRPr="0043654C">
        <w:rPr>
          <w:rFonts w:eastAsia="Calibri"/>
          <w:noProof/>
          <w:szCs w:val="22"/>
          <w:lang w:val="sr-Latn-ME"/>
        </w:rPr>
        <w:t xml:space="preserve"> receptor. Nije poznato da se valsartan veže ili blokira druge hormonske receptore ili jonske kanale za koje se zna da su važni u kardiovaskularnoj regulaciji.</w:t>
      </w:r>
    </w:p>
    <w:p w14:paraId="56AE07DE" w14:textId="77777777" w:rsidR="00257763" w:rsidRPr="0043654C" w:rsidRDefault="00257763" w:rsidP="00A30145">
      <w:pPr>
        <w:tabs>
          <w:tab w:val="clear" w:pos="567"/>
        </w:tabs>
        <w:spacing w:line="240" w:lineRule="auto"/>
        <w:jc w:val="both"/>
        <w:rPr>
          <w:szCs w:val="22"/>
          <w:lang w:val="sr-Latn-ME" w:eastAsia="sl-SI"/>
        </w:rPr>
      </w:pPr>
    </w:p>
    <w:p w14:paraId="6D70C116" w14:textId="77777777" w:rsidR="00257763" w:rsidRPr="0043654C" w:rsidRDefault="00D426A3" w:rsidP="00A30145">
      <w:pPr>
        <w:tabs>
          <w:tab w:val="clear" w:pos="567"/>
        </w:tabs>
        <w:spacing w:line="240" w:lineRule="auto"/>
        <w:jc w:val="both"/>
        <w:rPr>
          <w:szCs w:val="22"/>
          <w:u w:val="single"/>
          <w:lang w:val="sr-Latn-ME" w:eastAsia="sl-SI"/>
        </w:rPr>
      </w:pPr>
      <w:r w:rsidRPr="0043654C">
        <w:rPr>
          <w:szCs w:val="22"/>
          <w:u w:val="single"/>
          <w:lang w:val="sr-Latn-ME" w:eastAsia="sl-SI"/>
        </w:rPr>
        <w:t>Farmakodinamski efekti</w:t>
      </w:r>
    </w:p>
    <w:p w14:paraId="19AC6959"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065234A8"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Valsartan ne inhibira ACE (takođe poznat kao kininaza II) koji pretvara Ang I u Ang II i razgrađuje bradikinin. Budući da nema efekta na ACE i nema potenciranja bradikinina ili supstance P, malo je vjerovatno da će antagonisti angiotenzin II receptora biti povezani sa kašljem. U kliničkim ispitivanjima u kojima je valsartan upoređivan sa ACE inhibitorom incidencija suvog kašlja bila je značajno manja (P&lt;0,05) kod pacijenata liječenih valsartanom nego kod onih koji su liječeni ACE inhibitorom (2,6% prema 7,9%). U kliničkom ispitivanju pacijenata sa istorijom suvog kašlja tokom terapije ACE inhibitorima 19,5% ispitanika koji su primali valsartan i 19,0% onih koji su primali tiazidne diuretike iskusili su kašalj u poređenju sa 68,5% onih koji su liječeni ACE inhibitorom (P&lt;0,05 ).</w:t>
      </w:r>
    </w:p>
    <w:p w14:paraId="1ABAC2C9"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09CF63E0" w14:textId="77777777" w:rsidR="00257763" w:rsidRPr="0043654C" w:rsidRDefault="00D426A3" w:rsidP="00A30145">
      <w:pPr>
        <w:tabs>
          <w:tab w:val="clear" w:pos="567"/>
        </w:tabs>
        <w:spacing w:line="240" w:lineRule="auto"/>
        <w:jc w:val="both"/>
        <w:rPr>
          <w:b/>
          <w:bCs/>
          <w:i/>
          <w:iCs/>
          <w:szCs w:val="22"/>
          <w:lang w:val="sr-Latn-ME" w:eastAsia="sl-SI"/>
        </w:rPr>
      </w:pPr>
      <w:r w:rsidRPr="0043654C">
        <w:rPr>
          <w:b/>
          <w:bCs/>
          <w:i/>
          <w:iCs/>
          <w:szCs w:val="22"/>
          <w:lang w:val="sr-Latn-ME" w:eastAsia="sl-SI"/>
        </w:rPr>
        <w:t>Indapamid</w:t>
      </w:r>
    </w:p>
    <w:p w14:paraId="74374D75" w14:textId="77777777" w:rsidR="00257763" w:rsidRPr="0043654C" w:rsidRDefault="00257763" w:rsidP="00A30145">
      <w:pPr>
        <w:tabs>
          <w:tab w:val="clear" w:pos="567"/>
        </w:tabs>
        <w:spacing w:line="240" w:lineRule="auto"/>
        <w:jc w:val="both"/>
        <w:rPr>
          <w:szCs w:val="22"/>
          <w:u w:val="single"/>
          <w:lang w:val="sr-Latn-ME" w:eastAsia="sl-SI"/>
        </w:rPr>
      </w:pPr>
    </w:p>
    <w:p w14:paraId="08A36D7B" w14:textId="77777777" w:rsidR="00257763" w:rsidRPr="0043654C" w:rsidRDefault="00D426A3" w:rsidP="00A30145">
      <w:pPr>
        <w:tabs>
          <w:tab w:val="clear" w:pos="567"/>
        </w:tabs>
        <w:spacing w:line="240" w:lineRule="auto"/>
        <w:jc w:val="both"/>
        <w:rPr>
          <w:szCs w:val="22"/>
          <w:u w:val="single"/>
          <w:lang w:val="sr-Latn-ME" w:eastAsia="sl-SI"/>
        </w:rPr>
      </w:pPr>
      <w:r w:rsidRPr="0043654C">
        <w:rPr>
          <w:szCs w:val="22"/>
          <w:u w:val="single"/>
          <w:lang w:val="sr-Latn-ME" w:eastAsia="sl-SI"/>
        </w:rPr>
        <w:t>Mehanizam dejstva</w:t>
      </w:r>
    </w:p>
    <w:p w14:paraId="00ABB16C" w14:textId="77777777" w:rsidR="00257763" w:rsidRPr="0043654C" w:rsidRDefault="00257763" w:rsidP="00A30145">
      <w:pPr>
        <w:tabs>
          <w:tab w:val="clear" w:pos="567"/>
        </w:tabs>
        <w:spacing w:line="240" w:lineRule="auto"/>
        <w:jc w:val="both"/>
        <w:rPr>
          <w:szCs w:val="22"/>
          <w:lang w:val="sr-Latn-ME" w:eastAsia="sl-SI"/>
        </w:rPr>
      </w:pPr>
    </w:p>
    <w:p w14:paraId="55C23661" w14:textId="77777777" w:rsidR="00257763" w:rsidRPr="0043654C" w:rsidRDefault="00D426A3" w:rsidP="00A30145">
      <w:pPr>
        <w:tabs>
          <w:tab w:val="clear" w:pos="567"/>
        </w:tabs>
        <w:spacing w:line="240" w:lineRule="auto"/>
        <w:jc w:val="both"/>
        <w:rPr>
          <w:szCs w:val="22"/>
          <w:lang w:val="sr-Latn-ME" w:eastAsia="sl-SI"/>
        </w:rPr>
      </w:pPr>
      <w:r w:rsidRPr="0043654C">
        <w:rPr>
          <w:szCs w:val="22"/>
          <w:lang w:val="sr-Latn-ME" w:eastAsia="sl-SI"/>
        </w:rPr>
        <w:t>Indapamid je derivat sulfonamida sa indolnim prstenom, farmakološki srodan tiazidnim diureticima, koji djeluje tako što inhibira reapsorpciju natrijuma u kortikalnom segmentu dilucije.</w:t>
      </w:r>
    </w:p>
    <w:p w14:paraId="16ACFF48" w14:textId="77777777" w:rsidR="00257763" w:rsidRPr="0043654C" w:rsidRDefault="00257763" w:rsidP="00A30145">
      <w:pPr>
        <w:tabs>
          <w:tab w:val="clear" w:pos="567"/>
        </w:tabs>
        <w:spacing w:line="240" w:lineRule="auto"/>
        <w:jc w:val="both"/>
        <w:rPr>
          <w:szCs w:val="22"/>
          <w:lang w:val="sr-Latn-ME" w:eastAsia="sl-SI"/>
        </w:rPr>
      </w:pPr>
    </w:p>
    <w:p w14:paraId="05CA3C82" w14:textId="77777777" w:rsidR="00257763" w:rsidRPr="0043654C" w:rsidRDefault="00D426A3" w:rsidP="00A30145">
      <w:pPr>
        <w:tabs>
          <w:tab w:val="clear" w:pos="567"/>
        </w:tabs>
        <w:spacing w:line="240" w:lineRule="auto"/>
        <w:jc w:val="both"/>
        <w:rPr>
          <w:szCs w:val="22"/>
          <w:u w:val="single"/>
          <w:lang w:val="sr-Latn-ME" w:eastAsia="sl-SI"/>
        </w:rPr>
      </w:pPr>
      <w:r w:rsidRPr="0043654C">
        <w:rPr>
          <w:szCs w:val="22"/>
          <w:u w:val="single"/>
          <w:lang w:val="sr-Latn-ME" w:eastAsia="sl-SI"/>
        </w:rPr>
        <w:t>Farmakodinamski efekti</w:t>
      </w:r>
    </w:p>
    <w:p w14:paraId="3A80086A" w14:textId="77777777" w:rsidR="00257763" w:rsidRPr="0043654C" w:rsidRDefault="00257763" w:rsidP="00A30145">
      <w:pPr>
        <w:tabs>
          <w:tab w:val="clear" w:pos="567"/>
        </w:tabs>
        <w:spacing w:line="240" w:lineRule="auto"/>
        <w:jc w:val="both"/>
        <w:rPr>
          <w:szCs w:val="22"/>
          <w:lang w:val="sr-Latn-ME" w:eastAsia="sl-SI"/>
        </w:rPr>
      </w:pPr>
    </w:p>
    <w:p w14:paraId="5CCFA565" w14:textId="77777777" w:rsidR="00257763" w:rsidRPr="0043654C" w:rsidRDefault="00D426A3" w:rsidP="00A30145">
      <w:pPr>
        <w:tabs>
          <w:tab w:val="clear" w:pos="567"/>
        </w:tabs>
        <w:spacing w:line="240" w:lineRule="auto"/>
        <w:jc w:val="both"/>
        <w:rPr>
          <w:szCs w:val="22"/>
          <w:lang w:val="sr-Latn-ME" w:eastAsia="sl-SI"/>
        </w:rPr>
      </w:pPr>
      <w:r w:rsidRPr="0043654C">
        <w:rPr>
          <w:szCs w:val="22"/>
          <w:lang w:val="sr-Latn-ME" w:eastAsia="sl-SI"/>
        </w:rPr>
        <w:t>Indapamid povećava izlučivanje natrijuma i hlorida u urinu i, u manjoj mjeri, izlučivanje kalijuma i magnezijuma, čime se povećava izlučivanje urina i time djeluje antihipertenzivno.</w:t>
      </w:r>
    </w:p>
    <w:p w14:paraId="2508FA32"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64731638" w14:textId="77777777" w:rsidR="00257763" w:rsidRPr="0043654C" w:rsidRDefault="00D426A3" w:rsidP="00A30145">
      <w:pPr>
        <w:jc w:val="both"/>
        <w:rPr>
          <w:szCs w:val="22"/>
          <w:u w:val="single"/>
          <w:lang w:val="sr-Latn-ME"/>
        </w:rPr>
      </w:pPr>
      <w:r w:rsidRPr="0043654C">
        <w:rPr>
          <w:szCs w:val="22"/>
          <w:u w:val="single"/>
          <w:lang w:val="sr-Latn-ME"/>
        </w:rPr>
        <w:t>Klinička efikasnost i bezbjednost</w:t>
      </w:r>
    </w:p>
    <w:p w14:paraId="2E285C2E" w14:textId="77777777" w:rsidR="00257763" w:rsidRPr="0043654C" w:rsidRDefault="00257763" w:rsidP="00A30145">
      <w:pPr>
        <w:widowControl w:val="0"/>
        <w:autoSpaceDE w:val="0"/>
        <w:autoSpaceDN w:val="0"/>
        <w:adjustRightInd w:val="0"/>
        <w:jc w:val="both"/>
        <w:rPr>
          <w:rFonts w:eastAsia="Calibri"/>
          <w:noProof/>
          <w:szCs w:val="22"/>
          <w:u w:val="single"/>
          <w:lang w:val="sr-Latn-ME"/>
        </w:rPr>
      </w:pPr>
    </w:p>
    <w:p w14:paraId="5D651186" w14:textId="77777777" w:rsidR="00257763" w:rsidRPr="0043654C" w:rsidRDefault="00D426A3" w:rsidP="00A30145">
      <w:pPr>
        <w:widowControl w:val="0"/>
        <w:autoSpaceDE w:val="0"/>
        <w:autoSpaceDN w:val="0"/>
        <w:adjustRightInd w:val="0"/>
        <w:jc w:val="both"/>
        <w:rPr>
          <w:rFonts w:eastAsia="Calibri"/>
          <w:b/>
          <w:i/>
          <w:iCs/>
          <w:noProof/>
          <w:szCs w:val="22"/>
          <w:lang w:val="sr-Latn-ME"/>
        </w:rPr>
      </w:pPr>
      <w:r w:rsidRPr="0043654C">
        <w:rPr>
          <w:rFonts w:eastAsia="Calibri"/>
          <w:b/>
          <w:i/>
          <w:iCs/>
          <w:noProof/>
          <w:szCs w:val="22"/>
          <w:lang w:val="sr-Latn-ME"/>
        </w:rPr>
        <w:t>Povezano sa valsartanom</w:t>
      </w:r>
    </w:p>
    <w:p w14:paraId="095E2018"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7B01E719"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Primjena valsartana pacijentima sa hipertenzijom dovodi do smanjenja krvnog pritiska bez uticaja na brzinu pulsa.</w:t>
      </w:r>
    </w:p>
    <w:p w14:paraId="130B94A2"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Kod većine pacijenata nakon primjene jedne oralne doze, antihipertenzivna aktivnost se javlja u roku od 2 sata, a maksimalno smanjenje krvnog pritiska postiže se unutar 4-6 sati. Antihipertenzivni efekat traje 24 sata nakon doziranja. Prilikom ponovljenog doziranja antihipertenzivni efekat je značajno prisutan u roku od 2 nedjelje, a maksimalni efekti se postižu u roku od 4 nedjelje i perzistiraju tokom dugotrajne terapije. U kombinaciji sa hidrohlortiazidom postiže se značajno dodatno smanjenje krvnog pritiska.</w:t>
      </w:r>
    </w:p>
    <w:p w14:paraId="3E51C9B8"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Naglo ukidanje valsartana nije povezano sa povratnom hipertenzijom ili drugim neželjenim kliničkim događajima.</w:t>
      </w:r>
    </w:p>
    <w:p w14:paraId="62B45A87"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3C01E035" w14:textId="77777777" w:rsidR="00257763" w:rsidRPr="0043654C" w:rsidRDefault="00D426A3" w:rsidP="00A30145">
      <w:pPr>
        <w:widowControl w:val="0"/>
        <w:numPr>
          <w:ilvl w:val="12"/>
          <w:numId w:val="0"/>
        </w:numPr>
        <w:tabs>
          <w:tab w:val="left" w:pos="-360"/>
        </w:tabs>
        <w:autoSpaceDE w:val="0"/>
        <w:autoSpaceDN w:val="0"/>
        <w:adjustRightInd w:val="0"/>
        <w:ind w:right="-2"/>
        <w:jc w:val="both"/>
        <w:rPr>
          <w:rFonts w:eastAsia="Calibri"/>
          <w:i/>
          <w:noProof/>
          <w:szCs w:val="22"/>
          <w:u w:val="single"/>
          <w:lang w:val="sr-Latn-ME"/>
        </w:rPr>
      </w:pPr>
      <w:r w:rsidRPr="0043654C">
        <w:rPr>
          <w:rFonts w:eastAsia="Calibri" w:cs="AdvTimes"/>
          <w:i/>
          <w:iCs/>
          <w:noProof/>
          <w:szCs w:val="22"/>
          <w:u w:val="single"/>
          <w:lang w:val="sr-Latn-ME"/>
        </w:rPr>
        <w:t>Dvostruka blokada renin</w:t>
      </w:r>
      <w:r w:rsidRPr="0043654C">
        <w:rPr>
          <w:rFonts w:eastAsia="Calibri" w:cs="AdvTimes"/>
          <w:i/>
          <w:iCs/>
          <w:noProof/>
          <w:szCs w:val="22"/>
          <w:u w:val="single"/>
          <w:lang w:val="sr-Latn-ME"/>
        </w:rPr>
        <w:noBreakHyphen/>
        <w:t>angiotenzin</w:t>
      </w:r>
      <w:r w:rsidRPr="0043654C">
        <w:rPr>
          <w:rFonts w:eastAsia="Calibri" w:cs="AdvTimes"/>
          <w:i/>
          <w:iCs/>
          <w:noProof/>
          <w:szCs w:val="22"/>
          <w:u w:val="single"/>
          <w:lang w:val="sr-Latn-ME"/>
        </w:rPr>
        <w:noBreakHyphen/>
        <w:t>aldosteron sistema (RAAS)</w:t>
      </w:r>
    </w:p>
    <w:p w14:paraId="2F033210" w14:textId="77777777" w:rsidR="00257763" w:rsidRPr="0043654C" w:rsidRDefault="00257763" w:rsidP="00A30145">
      <w:pPr>
        <w:widowControl w:val="0"/>
        <w:numPr>
          <w:ilvl w:val="12"/>
          <w:numId w:val="0"/>
        </w:numPr>
        <w:tabs>
          <w:tab w:val="left" w:pos="-360"/>
        </w:tabs>
        <w:autoSpaceDE w:val="0"/>
        <w:autoSpaceDN w:val="0"/>
        <w:adjustRightInd w:val="0"/>
        <w:ind w:right="-2"/>
        <w:jc w:val="both"/>
        <w:rPr>
          <w:rFonts w:eastAsia="Calibri"/>
          <w:bCs/>
          <w:noProof/>
          <w:szCs w:val="22"/>
          <w:lang w:val="sr-Latn-ME"/>
        </w:rPr>
      </w:pPr>
    </w:p>
    <w:p w14:paraId="28A45D5D" w14:textId="77777777" w:rsidR="00257763" w:rsidRPr="0043654C" w:rsidRDefault="00D426A3" w:rsidP="00A30145">
      <w:pPr>
        <w:widowControl w:val="0"/>
        <w:numPr>
          <w:ilvl w:val="12"/>
          <w:numId w:val="0"/>
        </w:numPr>
        <w:tabs>
          <w:tab w:val="left" w:pos="-360"/>
        </w:tabs>
        <w:autoSpaceDE w:val="0"/>
        <w:autoSpaceDN w:val="0"/>
        <w:adjustRightInd w:val="0"/>
        <w:ind w:right="-2"/>
        <w:jc w:val="both"/>
        <w:rPr>
          <w:rFonts w:eastAsia="Calibri"/>
          <w:bCs/>
          <w:noProof/>
          <w:szCs w:val="22"/>
          <w:lang w:val="sr-Latn-ME"/>
        </w:rPr>
      </w:pPr>
      <w:r w:rsidRPr="0043654C">
        <w:rPr>
          <w:rFonts w:eastAsia="Calibri"/>
          <w:bCs/>
          <w:noProof/>
          <w:szCs w:val="22"/>
          <w:lang w:val="sr-Latn-ME"/>
        </w:rPr>
        <w:t xml:space="preserve">Dva velika randomizovana, kontrolisana klinička ispitivanja (ONTARGET (eng. </w:t>
      </w:r>
      <w:r w:rsidRPr="0043654C">
        <w:rPr>
          <w:rFonts w:eastAsia="Calibri"/>
          <w:bCs/>
          <w:i/>
          <w:noProof/>
          <w:szCs w:val="22"/>
          <w:lang w:val="sr-Latn-ME"/>
        </w:rPr>
        <w:t>ONgoing Telmisartan Alone and in combination with Ramipril Global Endpoint Trial</w:t>
      </w:r>
      <w:r w:rsidRPr="0043654C">
        <w:rPr>
          <w:rFonts w:eastAsia="Calibri"/>
          <w:bCs/>
          <w:noProof/>
          <w:szCs w:val="22"/>
          <w:lang w:val="sr-Latn-ME"/>
        </w:rPr>
        <w:t xml:space="preserve">) i VA NEPHRON-D (eng. </w:t>
      </w:r>
      <w:r w:rsidRPr="0043654C">
        <w:rPr>
          <w:rFonts w:eastAsia="Calibri"/>
          <w:bCs/>
          <w:i/>
          <w:noProof/>
          <w:szCs w:val="22"/>
          <w:lang w:val="sr-Latn-ME"/>
        </w:rPr>
        <w:t xml:space="preserve">The Veterans </w:t>
      </w:r>
      <w:r w:rsidRPr="0043654C">
        <w:rPr>
          <w:rFonts w:eastAsia="Calibri"/>
          <w:bCs/>
          <w:i/>
          <w:noProof/>
          <w:szCs w:val="22"/>
          <w:lang w:val="sr-Latn-ME"/>
        </w:rPr>
        <w:lastRenderedPageBreak/>
        <w:t>Affairs Nephropathy in Diabetes</w:t>
      </w:r>
      <w:r w:rsidRPr="0043654C">
        <w:rPr>
          <w:rFonts w:eastAsia="Calibri"/>
          <w:bCs/>
          <w:noProof/>
          <w:szCs w:val="22"/>
          <w:lang w:val="sr-Latn-ME"/>
        </w:rPr>
        <w:t>)) ispitala su upotrebu kombinacije ACE inhibitora sa antagonistima angiotenzin II receptora.</w:t>
      </w:r>
    </w:p>
    <w:p w14:paraId="449E928D" w14:textId="77777777" w:rsidR="00257763" w:rsidRPr="0043654C" w:rsidRDefault="00257763" w:rsidP="00A30145">
      <w:pPr>
        <w:widowControl w:val="0"/>
        <w:numPr>
          <w:ilvl w:val="12"/>
          <w:numId w:val="0"/>
        </w:numPr>
        <w:tabs>
          <w:tab w:val="left" w:pos="-360"/>
        </w:tabs>
        <w:autoSpaceDE w:val="0"/>
        <w:autoSpaceDN w:val="0"/>
        <w:adjustRightInd w:val="0"/>
        <w:ind w:right="-2"/>
        <w:jc w:val="both"/>
        <w:rPr>
          <w:rFonts w:eastAsia="Calibri"/>
          <w:bCs/>
          <w:noProof/>
          <w:szCs w:val="22"/>
          <w:lang w:val="sr-Latn-ME"/>
        </w:rPr>
      </w:pPr>
    </w:p>
    <w:p w14:paraId="1268F5EE" w14:textId="77777777" w:rsidR="00257763" w:rsidRPr="0043654C" w:rsidRDefault="00D426A3" w:rsidP="00A30145">
      <w:pPr>
        <w:widowControl w:val="0"/>
        <w:numPr>
          <w:ilvl w:val="12"/>
          <w:numId w:val="0"/>
        </w:numPr>
        <w:tabs>
          <w:tab w:val="left" w:pos="-360"/>
        </w:tabs>
        <w:autoSpaceDE w:val="0"/>
        <w:autoSpaceDN w:val="0"/>
        <w:adjustRightInd w:val="0"/>
        <w:ind w:right="-2"/>
        <w:jc w:val="both"/>
        <w:rPr>
          <w:rFonts w:eastAsia="Calibri"/>
          <w:bCs/>
          <w:noProof/>
          <w:szCs w:val="22"/>
          <w:lang w:val="sr-Latn-ME"/>
        </w:rPr>
      </w:pPr>
      <w:r w:rsidRPr="0043654C">
        <w:rPr>
          <w:rFonts w:eastAsia="Calibri"/>
          <w:bCs/>
          <w:noProof/>
          <w:szCs w:val="22"/>
          <w:lang w:val="sr-Latn-ME"/>
        </w:rPr>
        <w:t>ONTARGET je bila studija sprovedena na pacijentima sa istorijom kardiovaskularnih ili cerebrovaskularnih bolesti ili dijabetes melitusa tipa 2 praćenih dokazima o oštećenju krajnjeg organa. VA NEPHRON-D je bila studija na pacijentima sa dijabetes melitusom tipa 2 i dijabetičkom nefropatijom.</w:t>
      </w:r>
    </w:p>
    <w:p w14:paraId="5FAF629B" w14:textId="77777777" w:rsidR="00257763" w:rsidRPr="0043654C" w:rsidRDefault="00D426A3" w:rsidP="00A30145">
      <w:pPr>
        <w:widowControl w:val="0"/>
        <w:numPr>
          <w:ilvl w:val="12"/>
          <w:numId w:val="0"/>
        </w:numPr>
        <w:tabs>
          <w:tab w:val="left" w:pos="-360"/>
        </w:tabs>
        <w:autoSpaceDE w:val="0"/>
        <w:autoSpaceDN w:val="0"/>
        <w:adjustRightInd w:val="0"/>
        <w:ind w:right="-2"/>
        <w:jc w:val="both"/>
        <w:rPr>
          <w:rFonts w:eastAsia="Calibri"/>
          <w:bCs/>
          <w:noProof/>
          <w:szCs w:val="22"/>
          <w:lang w:val="sr-Latn-ME"/>
        </w:rPr>
      </w:pPr>
      <w:r w:rsidRPr="0043654C">
        <w:rPr>
          <w:rFonts w:eastAsia="Calibri"/>
          <w:bCs/>
          <w:noProof/>
          <w:szCs w:val="22"/>
          <w:lang w:val="sr-Latn-ME"/>
        </w:rPr>
        <w:t>Ove studije nisu pokazale značajan povoljan efekat na bubrežne i/ili kardiovaskularne ishode i mortalitet, dok je uočen povećan rizik od hiperkalijemije, akutne povrede bubrega i/ili hipotenzije u poređenju sa monoterapijom. S obzirom na njihova slična farmakodinamička svojstva ovi rezultati su relevantni i za druge ACE inhibitore i antagoniste angiotenzin II receptora.</w:t>
      </w:r>
    </w:p>
    <w:p w14:paraId="6666C885" w14:textId="77777777" w:rsidR="00257763" w:rsidRPr="0043654C" w:rsidRDefault="00D426A3" w:rsidP="00A30145">
      <w:pPr>
        <w:widowControl w:val="0"/>
        <w:numPr>
          <w:ilvl w:val="12"/>
          <w:numId w:val="0"/>
        </w:numPr>
        <w:tabs>
          <w:tab w:val="left" w:pos="-360"/>
        </w:tabs>
        <w:autoSpaceDE w:val="0"/>
        <w:autoSpaceDN w:val="0"/>
        <w:adjustRightInd w:val="0"/>
        <w:ind w:right="-2"/>
        <w:jc w:val="both"/>
        <w:rPr>
          <w:rFonts w:eastAsia="Calibri"/>
          <w:bCs/>
          <w:noProof/>
          <w:szCs w:val="22"/>
          <w:lang w:val="sr-Latn-ME"/>
        </w:rPr>
      </w:pPr>
      <w:r w:rsidRPr="0043654C">
        <w:rPr>
          <w:rFonts w:eastAsia="Calibri"/>
          <w:bCs/>
          <w:noProof/>
          <w:szCs w:val="22"/>
          <w:lang w:val="sr-Latn-ME"/>
        </w:rPr>
        <w:t>ACE inhibitori i antagonisti angiotenzin II receptora se stoga ne smiju koristiti istovremeno kod pacijenata sa dijabetičkom nefropatijom.</w:t>
      </w:r>
    </w:p>
    <w:p w14:paraId="10278BF5" w14:textId="77777777" w:rsidR="00257763" w:rsidRPr="0043654C" w:rsidRDefault="00257763" w:rsidP="00A30145">
      <w:pPr>
        <w:widowControl w:val="0"/>
        <w:numPr>
          <w:ilvl w:val="12"/>
          <w:numId w:val="0"/>
        </w:numPr>
        <w:tabs>
          <w:tab w:val="left" w:pos="-360"/>
        </w:tabs>
        <w:autoSpaceDE w:val="0"/>
        <w:autoSpaceDN w:val="0"/>
        <w:adjustRightInd w:val="0"/>
        <w:ind w:right="-2"/>
        <w:jc w:val="both"/>
        <w:rPr>
          <w:rFonts w:eastAsia="Calibri"/>
          <w:bCs/>
          <w:noProof/>
          <w:szCs w:val="22"/>
          <w:lang w:val="sr-Latn-ME"/>
        </w:rPr>
      </w:pPr>
    </w:p>
    <w:p w14:paraId="5830F039" w14:textId="77777777" w:rsidR="00257763" w:rsidRPr="0043654C" w:rsidRDefault="00D426A3" w:rsidP="00A30145">
      <w:pPr>
        <w:widowControl w:val="0"/>
        <w:numPr>
          <w:ilvl w:val="12"/>
          <w:numId w:val="0"/>
        </w:numPr>
        <w:tabs>
          <w:tab w:val="left" w:pos="-360"/>
        </w:tabs>
        <w:autoSpaceDE w:val="0"/>
        <w:autoSpaceDN w:val="0"/>
        <w:adjustRightInd w:val="0"/>
        <w:ind w:right="-2"/>
        <w:jc w:val="both"/>
        <w:rPr>
          <w:rFonts w:eastAsia="Calibri"/>
          <w:bCs/>
          <w:noProof/>
          <w:szCs w:val="22"/>
          <w:lang w:val="sr-Latn-ME"/>
        </w:rPr>
      </w:pPr>
      <w:r w:rsidRPr="0043654C">
        <w:rPr>
          <w:rFonts w:eastAsia="Calibri"/>
          <w:bCs/>
          <w:noProof/>
          <w:szCs w:val="22"/>
          <w:lang w:val="sr-Latn-ME"/>
        </w:rPr>
        <w:t xml:space="preserve">ALTITUDE (eng. </w:t>
      </w:r>
      <w:r w:rsidRPr="0043654C">
        <w:rPr>
          <w:rFonts w:eastAsia="Calibri"/>
          <w:bCs/>
          <w:i/>
          <w:noProof/>
          <w:szCs w:val="22"/>
          <w:lang w:val="sr-Latn-ME"/>
        </w:rPr>
        <w:t>Aliskiren Trial in Diabetes Type 2 using Cardiovascular and Renal Disease Endpoints</w:t>
      </w:r>
      <w:r w:rsidRPr="0043654C">
        <w:rPr>
          <w:rFonts w:eastAsia="Calibri"/>
          <w:bCs/>
          <w:noProof/>
          <w:szCs w:val="22"/>
          <w:lang w:val="sr-Latn-ME"/>
        </w:rPr>
        <w:t>) bila je studija osmišljena za testiranje prednosti dodavanja aliskirena standardnoj terapiji ACE inhibitora ili antagonista angiotenzin II receptora kod pacijenata sa dijabetes melitusom tipa 2 i hroničnim bolestima bubrega, kardiovaskularnih bolesti ili oboje. Studija je rano prekinuta zbog povećanog rizika od štetnih ishoda. Kardiovaskularna smrt i moždani udar bili su brojčano češći u grupi koja je primala aliskiren nego u placebo grupi, a neželjeni događaji i ozbiljni neželjeni događaji od interesa (hiperkalijemija, hipotenzija i disfunkcija bubrega) su češće prijavljivani u grupi koja je primala aliskiren nego u grupi koja je primala placebo.</w:t>
      </w:r>
    </w:p>
    <w:p w14:paraId="687C99B7" w14:textId="77777777" w:rsidR="00257763" w:rsidRPr="0043654C" w:rsidRDefault="00257763" w:rsidP="00A30145">
      <w:pPr>
        <w:widowControl w:val="0"/>
        <w:numPr>
          <w:ilvl w:val="12"/>
          <w:numId w:val="0"/>
        </w:numPr>
        <w:tabs>
          <w:tab w:val="left" w:pos="-360"/>
        </w:tabs>
        <w:autoSpaceDE w:val="0"/>
        <w:autoSpaceDN w:val="0"/>
        <w:adjustRightInd w:val="0"/>
        <w:ind w:right="-2"/>
        <w:jc w:val="both"/>
        <w:rPr>
          <w:rFonts w:eastAsia="Calibri"/>
          <w:bCs/>
          <w:noProof/>
          <w:szCs w:val="22"/>
          <w:lang w:val="sr-Latn-ME"/>
        </w:rPr>
      </w:pPr>
    </w:p>
    <w:p w14:paraId="0F21E79C" w14:textId="77777777" w:rsidR="00257763" w:rsidRPr="0043654C" w:rsidRDefault="00D426A3" w:rsidP="00A30145">
      <w:pPr>
        <w:widowControl w:val="0"/>
        <w:autoSpaceDE w:val="0"/>
        <w:autoSpaceDN w:val="0"/>
        <w:adjustRightInd w:val="0"/>
        <w:jc w:val="both"/>
        <w:rPr>
          <w:rFonts w:eastAsia="Calibri"/>
          <w:b/>
          <w:i/>
          <w:iCs/>
          <w:noProof/>
          <w:szCs w:val="22"/>
          <w:lang w:val="sr-Latn-ME"/>
        </w:rPr>
      </w:pPr>
      <w:r w:rsidRPr="0043654C">
        <w:rPr>
          <w:rFonts w:eastAsia="Calibri"/>
          <w:b/>
          <w:i/>
          <w:iCs/>
          <w:noProof/>
          <w:szCs w:val="22"/>
          <w:lang w:val="sr-Latn-ME"/>
        </w:rPr>
        <w:t>Povezano sa indapamidom</w:t>
      </w:r>
    </w:p>
    <w:p w14:paraId="22BF1541" w14:textId="77777777" w:rsidR="00257763" w:rsidRPr="0043654C" w:rsidRDefault="00257763" w:rsidP="00A30145">
      <w:pPr>
        <w:jc w:val="both"/>
        <w:rPr>
          <w:szCs w:val="22"/>
          <w:lang w:val="sr-Latn-ME"/>
        </w:rPr>
      </w:pPr>
    </w:p>
    <w:p w14:paraId="179F2054" w14:textId="77777777" w:rsidR="00257763" w:rsidRPr="0043654C" w:rsidRDefault="00D426A3" w:rsidP="00A30145">
      <w:pPr>
        <w:jc w:val="both"/>
        <w:rPr>
          <w:szCs w:val="22"/>
          <w:lang w:val="sr-Latn-ME"/>
        </w:rPr>
      </w:pPr>
      <w:r w:rsidRPr="0043654C">
        <w:rPr>
          <w:szCs w:val="22"/>
          <w:lang w:val="sr-Latn-ME"/>
        </w:rPr>
        <w:t>Studije faze II i III koje su koristile monoterapiju su pokazale antihipertenzivni efekat u trajanju od 24 sata. Ovo je bilo prisutno u dozama kod kojih je diuretski efekat bio blagog intenziteta.</w:t>
      </w:r>
    </w:p>
    <w:p w14:paraId="4EA7F574" w14:textId="77777777" w:rsidR="00257763" w:rsidRPr="0043654C" w:rsidRDefault="00D426A3" w:rsidP="00A30145">
      <w:pPr>
        <w:jc w:val="both"/>
        <w:rPr>
          <w:szCs w:val="22"/>
          <w:lang w:val="sr-Latn-ME"/>
        </w:rPr>
      </w:pPr>
      <w:r w:rsidRPr="0043654C">
        <w:rPr>
          <w:szCs w:val="22"/>
          <w:lang w:val="sr-Latn-ME"/>
        </w:rPr>
        <w:t>Antihipertenzivna aktivnost indapamida povezana je sa poboljšanjem arterijske usklađenosti i smanjenjem arteriolarnog i ukupnog perifernog otpora.</w:t>
      </w:r>
    </w:p>
    <w:p w14:paraId="1C805329" w14:textId="77777777" w:rsidR="00257763" w:rsidRPr="0043654C" w:rsidRDefault="00D426A3" w:rsidP="00A30145">
      <w:pPr>
        <w:jc w:val="both"/>
        <w:rPr>
          <w:szCs w:val="22"/>
          <w:lang w:val="sr-Latn-ME"/>
        </w:rPr>
      </w:pPr>
      <w:r w:rsidRPr="0043654C">
        <w:rPr>
          <w:szCs w:val="22"/>
          <w:lang w:val="sr-Latn-ME"/>
        </w:rPr>
        <w:t>Indapamid smanjuje hipertrofiju lijeve komore.</w:t>
      </w:r>
    </w:p>
    <w:p w14:paraId="02031494" w14:textId="77777777" w:rsidR="00257763" w:rsidRPr="0043654C" w:rsidRDefault="00D426A3" w:rsidP="00A30145">
      <w:pPr>
        <w:jc w:val="both"/>
        <w:rPr>
          <w:szCs w:val="22"/>
          <w:lang w:val="sr-Latn-ME"/>
        </w:rPr>
      </w:pPr>
      <w:r w:rsidRPr="0043654C">
        <w:rPr>
          <w:szCs w:val="22"/>
          <w:lang w:val="sr-Latn-ME"/>
        </w:rPr>
        <w:t>Tiazidni i srodni diuretici dostižu plato terapijskog efekta nakon određene doze, dok neželjena dejstva nastavljaju da se povećavaju. Doza se ne smije povećavati ako je liječenje neefikasno.</w:t>
      </w:r>
    </w:p>
    <w:p w14:paraId="4B392C95" w14:textId="77777777" w:rsidR="00257763" w:rsidRPr="0043654C" w:rsidRDefault="00257763" w:rsidP="00A30145">
      <w:pPr>
        <w:tabs>
          <w:tab w:val="left" w:pos="284"/>
        </w:tabs>
        <w:jc w:val="both"/>
        <w:rPr>
          <w:szCs w:val="22"/>
          <w:lang w:val="sr-Latn-ME"/>
        </w:rPr>
      </w:pPr>
    </w:p>
    <w:p w14:paraId="6B704085" w14:textId="77777777" w:rsidR="00257763" w:rsidRPr="0043654C" w:rsidRDefault="00D426A3" w:rsidP="00A30145">
      <w:pPr>
        <w:tabs>
          <w:tab w:val="left" w:pos="284"/>
        </w:tabs>
        <w:jc w:val="both"/>
        <w:rPr>
          <w:szCs w:val="22"/>
          <w:lang w:val="sr-Latn-ME"/>
        </w:rPr>
      </w:pPr>
      <w:r w:rsidRPr="0043654C">
        <w:rPr>
          <w:szCs w:val="22"/>
          <w:lang w:val="sr-Latn-ME"/>
        </w:rPr>
        <w:t xml:space="preserve">Takođe je pokazano u kratkoročnoj, srednjeročnoj i dugoročnoj terapiji kod hipertenzivnih pacijenata da indapamid: </w:t>
      </w:r>
    </w:p>
    <w:p w14:paraId="4C6830D7" w14:textId="77777777" w:rsidR="00257763" w:rsidRPr="0043654C" w:rsidRDefault="00D426A3" w:rsidP="00A30145">
      <w:pPr>
        <w:numPr>
          <w:ilvl w:val="0"/>
          <w:numId w:val="29"/>
        </w:numPr>
        <w:tabs>
          <w:tab w:val="left" w:pos="567"/>
        </w:tabs>
        <w:spacing w:line="240" w:lineRule="auto"/>
        <w:jc w:val="both"/>
        <w:rPr>
          <w:szCs w:val="22"/>
          <w:lang w:val="sr-Latn-ME"/>
        </w:rPr>
      </w:pPr>
      <w:r w:rsidRPr="0043654C">
        <w:rPr>
          <w:szCs w:val="22"/>
          <w:lang w:val="sr-Latn-ME"/>
        </w:rPr>
        <w:t>ne ometa metabolizam lipida: triglicerida, LDL-holesterola i HDL-holesterola;</w:t>
      </w:r>
    </w:p>
    <w:p w14:paraId="54269221" w14:textId="77777777" w:rsidR="00257763" w:rsidRPr="0043654C" w:rsidRDefault="00D426A3" w:rsidP="00A30145">
      <w:pPr>
        <w:numPr>
          <w:ilvl w:val="0"/>
          <w:numId w:val="29"/>
        </w:numPr>
        <w:spacing w:line="240" w:lineRule="auto"/>
        <w:jc w:val="both"/>
        <w:rPr>
          <w:szCs w:val="22"/>
          <w:lang w:val="sr-Latn-ME"/>
        </w:rPr>
      </w:pPr>
      <w:r w:rsidRPr="0043654C">
        <w:rPr>
          <w:szCs w:val="22"/>
          <w:lang w:val="sr-Latn-ME"/>
        </w:rPr>
        <w:t>ne ometa metabolizam ugljenih hidrata, čak ni kod dijabetičara sa hipertenzijom.</w:t>
      </w:r>
    </w:p>
    <w:p w14:paraId="66C0D6A6" w14:textId="77777777" w:rsidR="00257763" w:rsidRPr="0043654C" w:rsidRDefault="00257763" w:rsidP="00A30145">
      <w:pPr>
        <w:tabs>
          <w:tab w:val="left" w:pos="540"/>
        </w:tabs>
        <w:jc w:val="both"/>
        <w:rPr>
          <w:b/>
          <w:bCs/>
          <w:szCs w:val="22"/>
          <w:lang w:val="sr-Latn-ME"/>
        </w:rPr>
      </w:pPr>
    </w:p>
    <w:p w14:paraId="0EF79645" w14:textId="77777777" w:rsidR="00257763" w:rsidRPr="0043654C" w:rsidRDefault="00D426A3" w:rsidP="00A30145">
      <w:pPr>
        <w:tabs>
          <w:tab w:val="left" w:pos="540"/>
        </w:tabs>
        <w:jc w:val="both"/>
        <w:rPr>
          <w:b/>
          <w:bCs/>
          <w:szCs w:val="22"/>
          <w:lang w:val="sr-Latn-ME"/>
        </w:rPr>
      </w:pPr>
      <w:r w:rsidRPr="0043654C">
        <w:rPr>
          <w:b/>
          <w:bCs/>
          <w:szCs w:val="22"/>
          <w:lang w:val="sr-Latn-ME"/>
        </w:rPr>
        <w:t xml:space="preserve">5.2. </w:t>
      </w:r>
      <w:r w:rsidRPr="0043654C">
        <w:rPr>
          <w:b/>
          <w:bCs/>
          <w:szCs w:val="22"/>
          <w:lang w:val="sr-Latn-ME"/>
        </w:rPr>
        <w:tab/>
        <w:t xml:space="preserve">Farmakokinetički podaci </w:t>
      </w:r>
    </w:p>
    <w:p w14:paraId="4B4C8120" w14:textId="77777777" w:rsidR="00257763" w:rsidRPr="0043654C" w:rsidRDefault="00257763" w:rsidP="00A30145">
      <w:pPr>
        <w:tabs>
          <w:tab w:val="left" w:pos="540"/>
        </w:tabs>
        <w:jc w:val="both"/>
        <w:rPr>
          <w:bCs/>
          <w:szCs w:val="22"/>
          <w:lang w:val="sr-Latn-ME"/>
        </w:rPr>
      </w:pPr>
    </w:p>
    <w:p w14:paraId="51027AF8" w14:textId="77777777" w:rsidR="00257763" w:rsidRPr="0043654C" w:rsidRDefault="00D426A3" w:rsidP="00A30145">
      <w:pPr>
        <w:widowControl w:val="0"/>
        <w:autoSpaceDE w:val="0"/>
        <w:autoSpaceDN w:val="0"/>
        <w:adjustRightInd w:val="0"/>
        <w:jc w:val="both"/>
        <w:rPr>
          <w:rFonts w:eastAsia="Calibri"/>
          <w:b/>
          <w:bCs/>
          <w:i/>
          <w:iCs/>
          <w:noProof/>
          <w:szCs w:val="22"/>
          <w:lang w:val="sr-Latn-ME"/>
        </w:rPr>
      </w:pPr>
      <w:r w:rsidRPr="0043654C">
        <w:rPr>
          <w:rFonts w:eastAsia="Calibri"/>
          <w:b/>
          <w:bCs/>
          <w:i/>
          <w:iCs/>
          <w:noProof/>
          <w:szCs w:val="22"/>
          <w:lang w:val="sr-Latn-ME"/>
        </w:rPr>
        <w:t>Valsartan</w:t>
      </w:r>
    </w:p>
    <w:p w14:paraId="67346DD5" w14:textId="77777777" w:rsidR="00257763" w:rsidRPr="0043654C" w:rsidRDefault="00257763" w:rsidP="00A30145">
      <w:pPr>
        <w:widowControl w:val="0"/>
        <w:autoSpaceDE w:val="0"/>
        <w:autoSpaceDN w:val="0"/>
        <w:adjustRightInd w:val="0"/>
        <w:jc w:val="both"/>
        <w:rPr>
          <w:rFonts w:eastAsia="Calibri"/>
          <w:noProof/>
          <w:szCs w:val="22"/>
          <w:u w:val="single"/>
          <w:lang w:val="sr-Latn-ME"/>
        </w:rPr>
      </w:pPr>
    </w:p>
    <w:p w14:paraId="61667A3D" w14:textId="77777777" w:rsidR="00257763" w:rsidRPr="0043654C" w:rsidRDefault="00D426A3" w:rsidP="00A30145">
      <w:pPr>
        <w:widowControl w:val="0"/>
        <w:autoSpaceDE w:val="0"/>
        <w:autoSpaceDN w:val="0"/>
        <w:adjustRightInd w:val="0"/>
        <w:jc w:val="both"/>
        <w:rPr>
          <w:rFonts w:eastAsia="Calibri"/>
          <w:noProof/>
          <w:szCs w:val="22"/>
          <w:u w:val="single"/>
          <w:lang w:val="sr-Latn-ME"/>
        </w:rPr>
      </w:pPr>
      <w:r w:rsidRPr="0043654C">
        <w:rPr>
          <w:rFonts w:eastAsia="Calibri"/>
          <w:noProof/>
          <w:szCs w:val="22"/>
          <w:u w:val="single"/>
          <w:lang w:val="sr-Latn-ME"/>
        </w:rPr>
        <w:t>Resorpcija</w:t>
      </w:r>
    </w:p>
    <w:p w14:paraId="336C6BA6"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Nakon oralne primjene samog valsartana, vršne koncentracije valsartana u plazmi se postižu za 2-4 sata sa tabletama i 1-2 sata sa formulacije rastvora. Prosječna apsolutna bioraspoloživost je 23% i 39% kod tableta i formulacije rastvora, respektivno. Sistemska izloženost i vršna koncentracija valsartana u plazmi je oko 1,7 puta i 2,2 puta veća kod rastvora u poređenju sa tabletama.</w:t>
      </w:r>
    </w:p>
    <w:p w14:paraId="616A91F3"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506DFE87"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Hrana smanjuje izloženost (mjereno kao AUC) valsartanu za oko 40% i vršnu koncentraciju u plazmi (C</w:t>
      </w:r>
      <w:r w:rsidRPr="0043654C">
        <w:rPr>
          <w:rFonts w:eastAsia="Calibri"/>
          <w:noProof/>
          <w:szCs w:val="22"/>
          <w:vertAlign w:val="subscript"/>
          <w:lang w:val="sr-Latn-ME"/>
        </w:rPr>
        <w:t>max</w:t>
      </w:r>
      <w:r w:rsidRPr="0043654C">
        <w:rPr>
          <w:rFonts w:eastAsia="Calibri"/>
          <w:noProof/>
          <w:szCs w:val="22"/>
          <w:lang w:val="sr-Latn-ME"/>
        </w:rPr>
        <w:t>) za oko 50%, iako su od oko 8 h nakon doziranja koncentracije valsartana u plazmi slične za grupe koje su bile hranjene i one koje su uzele lijek natašte. Međutim, ovo smanjenje AUC nije praćeno klinički značajnim smanjenjem terapijskog efekta, pa se valsartan stoga može davati sa ili bez hrane.</w:t>
      </w:r>
    </w:p>
    <w:p w14:paraId="26CA666C"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3DC80DDC" w14:textId="77777777" w:rsidR="00257763" w:rsidRPr="0043654C" w:rsidRDefault="00D426A3" w:rsidP="00A30145">
      <w:pPr>
        <w:widowControl w:val="0"/>
        <w:autoSpaceDE w:val="0"/>
        <w:autoSpaceDN w:val="0"/>
        <w:adjustRightInd w:val="0"/>
        <w:jc w:val="both"/>
        <w:rPr>
          <w:rFonts w:eastAsia="Calibri"/>
          <w:noProof/>
          <w:szCs w:val="22"/>
          <w:u w:val="single"/>
          <w:lang w:val="sr-Latn-ME"/>
        </w:rPr>
      </w:pPr>
      <w:r w:rsidRPr="0043654C">
        <w:rPr>
          <w:rFonts w:eastAsia="Calibri"/>
          <w:noProof/>
          <w:szCs w:val="22"/>
          <w:u w:val="single"/>
          <w:lang w:val="sr-Latn-ME"/>
        </w:rPr>
        <w:t>Distribucija</w:t>
      </w:r>
    </w:p>
    <w:p w14:paraId="3EC8757B"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 xml:space="preserve">Volumen distribucije valsartana u stanju dinamičke ravnoteže nakon intravenske primjene je oko 17 litara, što ukazuje da se valsartan ne distribuira u velikoj mjeri u tkivima. Valsartan se u velikoj mjeri </w:t>
      </w:r>
      <w:r w:rsidRPr="0043654C">
        <w:rPr>
          <w:rFonts w:eastAsia="Calibri"/>
          <w:noProof/>
          <w:szCs w:val="22"/>
          <w:lang w:val="sr-Latn-ME"/>
        </w:rPr>
        <w:lastRenderedPageBreak/>
        <w:t>vezuje za serumske proteine ​​(94-97%), uglavnom serumski albumin.</w:t>
      </w:r>
    </w:p>
    <w:p w14:paraId="2B4FD13E"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301AFE08" w14:textId="77777777" w:rsidR="00257763" w:rsidRPr="0043654C" w:rsidRDefault="00D426A3" w:rsidP="00A30145">
      <w:pPr>
        <w:widowControl w:val="0"/>
        <w:autoSpaceDE w:val="0"/>
        <w:autoSpaceDN w:val="0"/>
        <w:adjustRightInd w:val="0"/>
        <w:jc w:val="both"/>
        <w:rPr>
          <w:rFonts w:eastAsia="Calibri"/>
          <w:noProof/>
          <w:szCs w:val="22"/>
          <w:u w:val="single"/>
          <w:lang w:val="sr-Latn-ME"/>
        </w:rPr>
      </w:pPr>
      <w:r w:rsidRPr="0043654C">
        <w:rPr>
          <w:rFonts w:eastAsia="Calibri"/>
          <w:noProof/>
          <w:szCs w:val="22"/>
          <w:u w:val="single"/>
          <w:lang w:val="sr-Latn-ME"/>
        </w:rPr>
        <w:t>Biotransformacija</w:t>
      </w:r>
    </w:p>
    <w:p w14:paraId="16904FD3"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Valsartan se ne biotransformiše u velikoj meri jer se samo oko 20% doze vraća u obliku metabolita. Hidroksi-metabolit je identifikovan u plazmi pri niskim koncentracijama (manje od 10% AUC valsartana). Ovaj metabolit je farmakološki neaktivan.</w:t>
      </w:r>
    </w:p>
    <w:p w14:paraId="3953201A"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4503661A" w14:textId="77777777" w:rsidR="00257763" w:rsidRPr="0043654C" w:rsidRDefault="00D426A3" w:rsidP="00A30145">
      <w:pPr>
        <w:widowControl w:val="0"/>
        <w:autoSpaceDE w:val="0"/>
        <w:autoSpaceDN w:val="0"/>
        <w:adjustRightInd w:val="0"/>
        <w:jc w:val="both"/>
        <w:rPr>
          <w:rFonts w:eastAsia="Calibri"/>
          <w:noProof/>
          <w:szCs w:val="22"/>
          <w:u w:val="single"/>
          <w:lang w:val="sr-Latn-ME"/>
        </w:rPr>
      </w:pPr>
      <w:r w:rsidRPr="0043654C">
        <w:rPr>
          <w:rFonts w:eastAsia="Calibri"/>
          <w:noProof/>
          <w:szCs w:val="22"/>
          <w:u w:val="single"/>
          <w:lang w:val="sr-Latn-ME"/>
        </w:rPr>
        <w:t>Eliminacija</w:t>
      </w:r>
    </w:p>
    <w:p w14:paraId="2E70D96D"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Valsartan pokazuje multieksponencijalnu kinetiku raspada (t</w:t>
      </w:r>
      <w:r w:rsidRPr="0043654C">
        <w:rPr>
          <w:rFonts w:eastAsia="Calibri"/>
          <w:noProof/>
          <w:szCs w:val="22"/>
          <w:vertAlign w:val="subscript"/>
          <w:lang w:val="sr-Latn-ME"/>
        </w:rPr>
        <w:t>1/2</w:t>
      </w:r>
      <w:r w:rsidRPr="0043654C">
        <w:rPr>
          <w:rFonts w:eastAsia="Calibri"/>
          <w:noProof/>
          <w:szCs w:val="22"/>
          <w:vertAlign w:val="subscript"/>
          <w:lang w:val="sr-Latn-ME"/>
        </w:rPr>
        <w:sym w:font="Symbol" w:char="F061"/>
      </w:r>
      <w:r w:rsidRPr="0043654C">
        <w:rPr>
          <w:rFonts w:eastAsia="Calibri"/>
          <w:noProof/>
          <w:szCs w:val="22"/>
          <w:vertAlign w:val="subscript"/>
          <w:lang w:val="sr-Latn-ME"/>
        </w:rPr>
        <w:t xml:space="preserve"> </w:t>
      </w:r>
      <w:r w:rsidRPr="0043654C">
        <w:rPr>
          <w:rFonts w:eastAsia="Calibri"/>
          <w:noProof/>
          <w:szCs w:val="22"/>
          <w:lang w:val="sr-Latn-ME"/>
        </w:rPr>
        <w:t>&lt;1 h i t</w:t>
      </w:r>
      <w:r w:rsidRPr="0043654C">
        <w:rPr>
          <w:rFonts w:eastAsia="Calibri"/>
          <w:noProof/>
          <w:szCs w:val="22"/>
          <w:vertAlign w:val="subscript"/>
          <w:lang w:val="sr-Latn-ME"/>
        </w:rPr>
        <w:t>1/2β</w:t>
      </w:r>
      <w:r w:rsidRPr="0043654C">
        <w:rPr>
          <w:rFonts w:eastAsia="Calibri"/>
          <w:noProof/>
          <w:szCs w:val="22"/>
          <w:lang w:val="sr-Latn-ME"/>
        </w:rPr>
        <w:t xml:space="preserve"> oko 9 h). Valsartan se prvenstveno eliminiše putem žuči u vidu fecesa (oko 83% doze) i putem bubrega (oko 13% doze), uglavnom u nepromijenjenom obliku. Nakon intravenske primjene plazma klirens valsartana je oko 2 l/h, a njegov bubrežni klirens je 0,62 l/h (oko 30% ukupnog klirensa). Poluvreijeme eliminacije valsartana je 6 sati.</w:t>
      </w:r>
    </w:p>
    <w:p w14:paraId="3A51E63E"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72FAA27A" w14:textId="77777777" w:rsidR="00257763" w:rsidRPr="0043654C" w:rsidRDefault="00D426A3" w:rsidP="00A30145">
      <w:pPr>
        <w:widowControl w:val="0"/>
        <w:numPr>
          <w:ilvl w:val="12"/>
          <w:numId w:val="0"/>
        </w:numPr>
        <w:autoSpaceDE w:val="0"/>
        <w:autoSpaceDN w:val="0"/>
        <w:adjustRightInd w:val="0"/>
        <w:ind w:right="-2"/>
        <w:jc w:val="both"/>
        <w:rPr>
          <w:rFonts w:eastAsia="Calibri"/>
          <w:noProof/>
          <w:szCs w:val="22"/>
          <w:u w:val="single"/>
          <w:lang w:val="sr-Latn-ME"/>
        </w:rPr>
      </w:pPr>
      <w:r w:rsidRPr="0043654C">
        <w:rPr>
          <w:rFonts w:eastAsia="Calibri"/>
          <w:noProof/>
          <w:szCs w:val="22"/>
          <w:u w:val="single"/>
          <w:lang w:val="sr-Latn-ME"/>
        </w:rPr>
        <w:t>Posebne populacije</w:t>
      </w:r>
    </w:p>
    <w:p w14:paraId="143806E1" w14:textId="77777777" w:rsidR="00257763" w:rsidRPr="0043654C" w:rsidRDefault="00257763" w:rsidP="00A30145">
      <w:pPr>
        <w:widowControl w:val="0"/>
        <w:autoSpaceDE w:val="0"/>
        <w:autoSpaceDN w:val="0"/>
        <w:adjustRightInd w:val="0"/>
        <w:jc w:val="both"/>
        <w:rPr>
          <w:rFonts w:eastAsia="Calibri"/>
          <w:noProof/>
          <w:szCs w:val="22"/>
          <w:u w:val="single"/>
          <w:lang w:val="sr-Latn-ME"/>
        </w:rPr>
      </w:pPr>
    </w:p>
    <w:p w14:paraId="446C9039" w14:textId="77777777" w:rsidR="00257763" w:rsidRPr="0043654C" w:rsidRDefault="00D426A3" w:rsidP="00A30145">
      <w:pPr>
        <w:widowControl w:val="0"/>
        <w:autoSpaceDE w:val="0"/>
        <w:autoSpaceDN w:val="0"/>
        <w:adjustRightInd w:val="0"/>
        <w:jc w:val="both"/>
        <w:rPr>
          <w:rFonts w:eastAsia="Calibri"/>
          <w:i/>
          <w:noProof/>
          <w:szCs w:val="22"/>
          <w:u w:val="single"/>
          <w:lang w:val="sr-Latn-ME"/>
        </w:rPr>
      </w:pPr>
      <w:r w:rsidRPr="0043654C">
        <w:rPr>
          <w:rFonts w:eastAsia="Calibri"/>
          <w:i/>
          <w:noProof/>
          <w:szCs w:val="22"/>
          <w:u w:val="single"/>
          <w:lang w:val="sr-Latn-ME"/>
        </w:rPr>
        <w:t>Starije osobe</w:t>
      </w:r>
    </w:p>
    <w:p w14:paraId="13E5B42D"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Nešto veća sistemska izloženost valsartanu uočena je kod nekih starijih nego kod mladih ispitanika; međutim, nije se pokazalo da ovo ima bilo kakav klinički značaj.</w:t>
      </w:r>
    </w:p>
    <w:p w14:paraId="6E3DD12D"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548E9957" w14:textId="77777777" w:rsidR="00257763" w:rsidRPr="0043654C" w:rsidRDefault="00D426A3" w:rsidP="00A30145">
      <w:pPr>
        <w:widowControl w:val="0"/>
        <w:autoSpaceDE w:val="0"/>
        <w:autoSpaceDN w:val="0"/>
        <w:adjustRightInd w:val="0"/>
        <w:jc w:val="both"/>
        <w:rPr>
          <w:rFonts w:eastAsia="Calibri"/>
          <w:i/>
          <w:noProof/>
          <w:szCs w:val="22"/>
          <w:u w:val="single"/>
          <w:lang w:val="sr-Latn-ME"/>
        </w:rPr>
      </w:pPr>
      <w:r w:rsidRPr="0043654C">
        <w:rPr>
          <w:rFonts w:eastAsia="Calibri"/>
          <w:i/>
          <w:noProof/>
          <w:szCs w:val="22"/>
          <w:u w:val="single"/>
          <w:lang w:val="sr-Latn-ME"/>
        </w:rPr>
        <w:t>Oštećenje funkcije bubrega</w:t>
      </w:r>
    </w:p>
    <w:p w14:paraId="7D9D9151" w14:textId="1CD97802"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 xml:space="preserve">Kao što se i očekivalo za jedinjenje u kojem renalni klirens čini samo 30% ukupnog klirensa iz plazme, nije uočena korelacija između funkcije bubrega i sistemske izloženosti valsartanu. Stoga nije potrebno prilagođavanje doze kod pacijenata sa oštećenjem bubrega (klirens kreatinina &gt;10 ml/min). Trenutno nema iskustva o bezbjednoj primjeni kod pacijenata sa klirensom kreatinina &lt;10 ml/min i pacijenata na dijalizi, stoga valsartan treba primjenjivati ​​sa oprezom kod ovih pacijenata (vidjeti </w:t>
      </w:r>
      <w:r w:rsidR="00AE03A2" w:rsidRPr="0043654C">
        <w:rPr>
          <w:rFonts w:eastAsia="Calibri"/>
          <w:noProof/>
          <w:szCs w:val="22"/>
          <w:lang w:val="sr-Latn-ME"/>
        </w:rPr>
        <w:t xml:space="preserve">djelove </w:t>
      </w:r>
      <w:r w:rsidRPr="0043654C">
        <w:rPr>
          <w:rFonts w:eastAsia="Calibri"/>
          <w:noProof/>
          <w:szCs w:val="22"/>
          <w:lang w:val="sr-Latn-ME"/>
        </w:rPr>
        <w:t>4.2 i 4.4). Valsartan se u velikoj mjeri vezuje za proteine ​​plazme i malo je vjerovatno da će se ukloniti dijalizom.</w:t>
      </w:r>
    </w:p>
    <w:p w14:paraId="20DCD427"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52C39C3B" w14:textId="77777777" w:rsidR="00257763" w:rsidRPr="0043654C" w:rsidRDefault="00D426A3" w:rsidP="00A30145">
      <w:pPr>
        <w:widowControl w:val="0"/>
        <w:autoSpaceDE w:val="0"/>
        <w:autoSpaceDN w:val="0"/>
        <w:adjustRightInd w:val="0"/>
        <w:jc w:val="both"/>
        <w:rPr>
          <w:rFonts w:eastAsia="Calibri"/>
          <w:i/>
          <w:noProof/>
          <w:szCs w:val="22"/>
          <w:u w:val="single"/>
          <w:lang w:val="sr-Latn-ME"/>
        </w:rPr>
      </w:pPr>
      <w:r w:rsidRPr="0043654C">
        <w:rPr>
          <w:rFonts w:eastAsia="Calibri"/>
          <w:i/>
          <w:noProof/>
          <w:szCs w:val="22"/>
          <w:u w:val="single"/>
          <w:lang w:val="sr-Latn-ME"/>
        </w:rPr>
        <w:t>Oštećenje funkcije jetre</w:t>
      </w:r>
    </w:p>
    <w:p w14:paraId="354D68E3" w14:textId="5DDDA7C9"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 xml:space="preserve">Otprilike 70% resorbovane doze se eliminiše putem žuči, uglavnom u nepromijenjenom obliku. Valsartan ne prolazi kroz nikakvu značajnu biotransformaciju. Udvostručenje izloženosti (AUC) uočeno je kod pacijenata sa blagim do umjerenim oštećenjem jetre u poređenju sa zdravim ispitanicima. Međutim, nije uočena korelacija između koncentracije valsartana u plazmi i stepena hepatičke disfunkcije. Valsartan nije ispitivan kod pacijenata sa teškom disfunkcijom jetre (vidjeti </w:t>
      </w:r>
      <w:r w:rsidR="00AE03A2" w:rsidRPr="0043654C">
        <w:rPr>
          <w:rFonts w:eastAsia="Calibri"/>
          <w:noProof/>
          <w:szCs w:val="22"/>
          <w:lang w:val="sr-Latn-ME"/>
        </w:rPr>
        <w:t xml:space="preserve">djelove </w:t>
      </w:r>
      <w:r w:rsidRPr="0043654C">
        <w:rPr>
          <w:rFonts w:eastAsia="Calibri"/>
          <w:noProof/>
          <w:szCs w:val="22"/>
          <w:lang w:val="sr-Latn-ME"/>
        </w:rPr>
        <w:t>4.2, 4.3 i 4.4).</w:t>
      </w:r>
    </w:p>
    <w:p w14:paraId="75BDA40E"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074B93E4" w14:textId="77777777" w:rsidR="00257763" w:rsidRPr="0043654C" w:rsidRDefault="00D426A3" w:rsidP="00A30145">
      <w:pPr>
        <w:widowControl w:val="0"/>
        <w:autoSpaceDE w:val="0"/>
        <w:autoSpaceDN w:val="0"/>
        <w:adjustRightInd w:val="0"/>
        <w:jc w:val="both"/>
        <w:rPr>
          <w:rFonts w:eastAsia="Calibri"/>
          <w:b/>
          <w:bCs/>
          <w:i/>
          <w:iCs/>
          <w:noProof/>
          <w:szCs w:val="22"/>
          <w:lang w:val="sr-Latn-ME"/>
        </w:rPr>
      </w:pPr>
      <w:r w:rsidRPr="0043654C">
        <w:rPr>
          <w:rFonts w:eastAsia="Calibri"/>
          <w:b/>
          <w:bCs/>
          <w:i/>
          <w:iCs/>
          <w:noProof/>
          <w:szCs w:val="22"/>
          <w:lang w:val="sr-Latn-ME"/>
        </w:rPr>
        <w:t>Indapamid</w:t>
      </w:r>
    </w:p>
    <w:p w14:paraId="79754D65"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2427050B" w14:textId="77777777" w:rsidR="00257763" w:rsidRPr="0043654C" w:rsidRDefault="00D426A3" w:rsidP="00A30145">
      <w:pPr>
        <w:widowControl w:val="0"/>
        <w:autoSpaceDE w:val="0"/>
        <w:autoSpaceDN w:val="0"/>
        <w:adjustRightInd w:val="0"/>
        <w:jc w:val="both"/>
        <w:rPr>
          <w:rFonts w:eastAsia="Calibri"/>
          <w:noProof/>
          <w:szCs w:val="22"/>
          <w:u w:val="single"/>
          <w:lang w:val="sr-Latn-ME"/>
        </w:rPr>
      </w:pPr>
      <w:r w:rsidRPr="0043654C">
        <w:rPr>
          <w:rFonts w:eastAsia="Calibri"/>
          <w:noProof/>
          <w:szCs w:val="22"/>
          <w:u w:val="single"/>
          <w:lang w:val="sr-Latn-ME"/>
        </w:rPr>
        <w:t>Resorpcija</w:t>
      </w:r>
    </w:p>
    <w:p w14:paraId="07F93976"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Frakcija oslobođenog indapamida se brzo i potpuno resorbuje kroz gastrointestinalni trakt. Konzumacija blago povećava brzinu resorpcije, ali nema uticaja na količinu resorbovanog lijeka. Maksimalni nivo u serumu nakon jedne doze se javlja oko 12 sati nakon ingestije, ponovljena primjena smanjuje varijacije u serumskim nivoima između 2 doze. Postoji intra-individualna varijabilnost.</w:t>
      </w:r>
    </w:p>
    <w:p w14:paraId="7F1E1BC3" w14:textId="77777777" w:rsidR="00257763" w:rsidRPr="0043654C" w:rsidRDefault="00257763" w:rsidP="00A30145">
      <w:pPr>
        <w:widowControl w:val="0"/>
        <w:autoSpaceDE w:val="0"/>
        <w:autoSpaceDN w:val="0"/>
        <w:adjustRightInd w:val="0"/>
        <w:jc w:val="both"/>
        <w:rPr>
          <w:rFonts w:eastAsia="Calibri"/>
          <w:color w:val="000000"/>
          <w:szCs w:val="22"/>
          <w:lang w:val="sr-Latn-ME"/>
        </w:rPr>
      </w:pPr>
    </w:p>
    <w:p w14:paraId="411BF503" w14:textId="77777777" w:rsidR="00257763" w:rsidRPr="0043654C" w:rsidRDefault="00D426A3" w:rsidP="00A30145">
      <w:pPr>
        <w:widowControl w:val="0"/>
        <w:autoSpaceDE w:val="0"/>
        <w:autoSpaceDN w:val="0"/>
        <w:adjustRightInd w:val="0"/>
        <w:jc w:val="both"/>
        <w:rPr>
          <w:rFonts w:eastAsia="Calibri"/>
          <w:noProof/>
          <w:szCs w:val="22"/>
          <w:u w:val="single"/>
          <w:lang w:val="sr-Latn-ME"/>
        </w:rPr>
      </w:pPr>
      <w:r w:rsidRPr="0043654C">
        <w:rPr>
          <w:rFonts w:eastAsia="Calibri"/>
          <w:noProof/>
          <w:szCs w:val="22"/>
          <w:u w:val="single"/>
          <w:lang w:val="sr-Latn-ME"/>
        </w:rPr>
        <w:t>Distribucija</w:t>
      </w:r>
    </w:p>
    <w:p w14:paraId="68934097"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Vezivanje indapamida za proteine ​​plazme je 79%. Poluvrijeme eliminacije iz plazme je 14 do 24 sata (prosječno 18 sati). Stanje ravnoteže se postiže nakon 7 dana. Ponovljena primjena ne dovodi do akumulacije.</w:t>
      </w:r>
    </w:p>
    <w:p w14:paraId="7421CC26"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4FA1D234" w14:textId="77777777" w:rsidR="00257763" w:rsidRPr="0043654C" w:rsidRDefault="00D426A3" w:rsidP="00A30145">
      <w:pPr>
        <w:widowControl w:val="0"/>
        <w:autoSpaceDE w:val="0"/>
        <w:autoSpaceDN w:val="0"/>
        <w:adjustRightInd w:val="0"/>
        <w:jc w:val="both"/>
        <w:rPr>
          <w:rFonts w:eastAsia="Calibri"/>
          <w:noProof/>
          <w:szCs w:val="22"/>
          <w:u w:val="single"/>
          <w:lang w:val="sr-Latn-ME"/>
        </w:rPr>
      </w:pPr>
      <w:r w:rsidRPr="0043654C">
        <w:rPr>
          <w:rFonts w:eastAsia="Calibri"/>
          <w:noProof/>
          <w:szCs w:val="22"/>
          <w:u w:val="single"/>
          <w:lang w:val="sr-Latn-ME"/>
        </w:rPr>
        <w:t>Eliminacija</w:t>
      </w:r>
    </w:p>
    <w:p w14:paraId="0E09ED3C"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Indapamid se najvećim dijelom metaboliše u jetri; manje od 7% doze se izlučuje kao nepromijenjen lijek. Neaktivni metaboliti izlučuju se putem urina (70% doze) i putem fecesa (23% doze).</w:t>
      </w:r>
    </w:p>
    <w:p w14:paraId="2DDED032" w14:textId="2272F45E" w:rsidR="00257763" w:rsidRDefault="00257763" w:rsidP="00A30145">
      <w:pPr>
        <w:widowControl w:val="0"/>
        <w:autoSpaceDE w:val="0"/>
        <w:autoSpaceDN w:val="0"/>
        <w:adjustRightInd w:val="0"/>
        <w:jc w:val="both"/>
        <w:rPr>
          <w:rFonts w:eastAsia="Calibri"/>
          <w:noProof/>
          <w:szCs w:val="22"/>
          <w:lang w:val="sr-Latn-ME"/>
        </w:rPr>
      </w:pPr>
    </w:p>
    <w:p w14:paraId="2F157CE9" w14:textId="19FA0B04" w:rsidR="00D92516" w:rsidRDefault="00D92516" w:rsidP="00A30145">
      <w:pPr>
        <w:widowControl w:val="0"/>
        <w:autoSpaceDE w:val="0"/>
        <w:autoSpaceDN w:val="0"/>
        <w:adjustRightInd w:val="0"/>
        <w:jc w:val="both"/>
        <w:rPr>
          <w:rFonts w:eastAsia="Calibri"/>
          <w:noProof/>
          <w:szCs w:val="22"/>
          <w:lang w:val="sr-Latn-ME"/>
        </w:rPr>
      </w:pPr>
    </w:p>
    <w:p w14:paraId="28855EF6" w14:textId="1B11DD0B" w:rsidR="00D92516" w:rsidRDefault="00D92516" w:rsidP="00A30145">
      <w:pPr>
        <w:widowControl w:val="0"/>
        <w:autoSpaceDE w:val="0"/>
        <w:autoSpaceDN w:val="0"/>
        <w:adjustRightInd w:val="0"/>
        <w:jc w:val="both"/>
        <w:rPr>
          <w:rFonts w:eastAsia="Calibri"/>
          <w:noProof/>
          <w:szCs w:val="22"/>
          <w:lang w:val="sr-Latn-ME"/>
        </w:rPr>
      </w:pPr>
    </w:p>
    <w:p w14:paraId="1759BA74" w14:textId="77777777" w:rsidR="00D92516" w:rsidRPr="0043654C" w:rsidRDefault="00D92516" w:rsidP="00A30145">
      <w:pPr>
        <w:widowControl w:val="0"/>
        <w:autoSpaceDE w:val="0"/>
        <w:autoSpaceDN w:val="0"/>
        <w:adjustRightInd w:val="0"/>
        <w:jc w:val="both"/>
        <w:rPr>
          <w:rFonts w:eastAsia="Calibri"/>
          <w:noProof/>
          <w:szCs w:val="22"/>
          <w:lang w:val="sr-Latn-ME"/>
        </w:rPr>
      </w:pPr>
    </w:p>
    <w:p w14:paraId="57E5C6E2" w14:textId="77777777" w:rsidR="00257763" w:rsidRPr="0043654C" w:rsidRDefault="00D426A3" w:rsidP="00A30145">
      <w:pPr>
        <w:widowControl w:val="0"/>
        <w:numPr>
          <w:ilvl w:val="12"/>
          <w:numId w:val="0"/>
        </w:numPr>
        <w:autoSpaceDE w:val="0"/>
        <w:autoSpaceDN w:val="0"/>
        <w:adjustRightInd w:val="0"/>
        <w:ind w:right="-2"/>
        <w:jc w:val="both"/>
        <w:rPr>
          <w:rFonts w:eastAsia="Calibri"/>
          <w:noProof/>
          <w:szCs w:val="22"/>
          <w:u w:val="single"/>
          <w:lang w:val="sr-Latn-ME"/>
        </w:rPr>
      </w:pPr>
      <w:r w:rsidRPr="0043654C">
        <w:rPr>
          <w:rFonts w:eastAsia="Calibri"/>
          <w:noProof/>
          <w:szCs w:val="22"/>
          <w:u w:val="single"/>
          <w:lang w:val="sr-Latn-ME"/>
        </w:rPr>
        <w:lastRenderedPageBreak/>
        <w:t>Po</w:t>
      </w:r>
      <w:bookmarkStart w:id="0" w:name="_GoBack"/>
      <w:bookmarkEnd w:id="0"/>
      <w:r w:rsidRPr="0043654C">
        <w:rPr>
          <w:rFonts w:eastAsia="Calibri"/>
          <w:noProof/>
          <w:szCs w:val="22"/>
          <w:u w:val="single"/>
          <w:lang w:val="sr-Latn-ME"/>
        </w:rPr>
        <w:t>sebne populacije</w:t>
      </w:r>
    </w:p>
    <w:p w14:paraId="250BB933"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4DCC9EFC" w14:textId="77777777" w:rsidR="00257763" w:rsidRPr="0043654C" w:rsidRDefault="00D426A3" w:rsidP="00A30145">
      <w:pPr>
        <w:widowControl w:val="0"/>
        <w:autoSpaceDE w:val="0"/>
        <w:autoSpaceDN w:val="0"/>
        <w:adjustRightInd w:val="0"/>
        <w:jc w:val="both"/>
        <w:rPr>
          <w:rFonts w:eastAsia="Calibri"/>
          <w:i/>
          <w:noProof/>
          <w:szCs w:val="22"/>
          <w:u w:val="single"/>
          <w:lang w:val="sr-Latn-ME"/>
        </w:rPr>
      </w:pPr>
      <w:r w:rsidRPr="0043654C">
        <w:rPr>
          <w:rFonts w:eastAsia="Calibri"/>
          <w:i/>
          <w:noProof/>
          <w:szCs w:val="22"/>
          <w:u w:val="single"/>
          <w:lang w:val="sr-Latn-ME"/>
        </w:rPr>
        <w:t>Oštećenje funkcije bubrega</w:t>
      </w:r>
    </w:p>
    <w:p w14:paraId="3DFC11FF"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Farmakokinetički parametri indapamida su nepromijenjeni kod pacijenata sa zatajenjem bubrega.</w:t>
      </w:r>
    </w:p>
    <w:p w14:paraId="0A4B456C" w14:textId="77777777" w:rsidR="00257763" w:rsidRPr="0043654C" w:rsidRDefault="00257763" w:rsidP="00A30145">
      <w:pPr>
        <w:tabs>
          <w:tab w:val="left" w:pos="540"/>
        </w:tabs>
        <w:jc w:val="both"/>
        <w:rPr>
          <w:bCs/>
          <w:szCs w:val="22"/>
          <w:lang w:val="sr-Latn-ME"/>
        </w:rPr>
      </w:pPr>
    </w:p>
    <w:p w14:paraId="04B2F54A" w14:textId="77777777" w:rsidR="00257763" w:rsidRPr="0043654C" w:rsidRDefault="00D426A3" w:rsidP="00A30145">
      <w:pPr>
        <w:tabs>
          <w:tab w:val="left" w:pos="540"/>
        </w:tabs>
        <w:jc w:val="both"/>
        <w:rPr>
          <w:b/>
          <w:bCs/>
          <w:szCs w:val="22"/>
          <w:lang w:val="sr-Latn-ME"/>
        </w:rPr>
      </w:pPr>
      <w:r w:rsidRPr="0043654C">
        <w:rPr>
          <w:b/>
          <w:bCs/>
          <w:szCs w:val="22"/>
          <w:lang w:val="sr-Latn-ME"/>
        </w:rPr>
        <w:t xml:space="preserve">5.3. </w:t>
      </w:r>
      <w:r w:rsidRPr="0043654C">
        <w:rPr>
          <w:b/>
          <w:bCs/>
          <w:szCs w:val="22"/>
          <w:lang w:val="sr-Latn-ME"/>
        </w:rPr>
        <w:tab/>
        <w:t xml:space="preserve">Pretklinički podaci o bezbjednosti </w:t>
      </w:r>
    </w:p>
    <w:p w14:paraId="6078BC12" w14:textId="77777777" w:rsidR="00257763" w:rsidRPr="0043654C" w:rsidRDefault="00257763" w:rsidP="00A30145">
      <w:pPr>
        <w:tabs>
          <w:tab w:val="left" w:pos="540"/>
        </w:tabs>
        <w:jc w:val="both"/>
        <w:rPr>
          <w:bCs/>
          <w:szCs w:val="22"/>
          <w:lang w:val="sr-Latn-ME"/>
        </w:rPr>
      </w:pPr>
    </w:p>
    <w:p w14:paraId="12D3F47B" w14:textId="77777777" w:rsidR="00257763" w:rsidRPr="0043654C" w:rsidRDefault="00D426A3" w:rsidP="00A30145">
      <w:pPr>
        <w:widowControl w:val="0"/>
        <w:autoSpaceDE w:val="0"/>
        <w:autoSpaceDN w:val="0"/>
        <w:adjustRightInd w:val="0"/>
        <w:jc w:val="both"/>
        <w:rPr>
          <w:rFonts w:eastAsia="Calibri"/>
          <w:b/>
          <w:bCs/>
          <w:i/>
          <w:iCs/>
          <w:noProof/>
          <w:szCs w:val="22"/>
          <w:lang w:val="sr-Latn-ME"/>
        </w:rPr>
      </w:pPr>
      <w:r w:rsidRPr="0043654C">
        <w:rPr>
          <w:rFonts w:eastAsia="Calibri"/>
          <w:b/>
          <w:bCs/>
          <w:i/>
          <w:iCs/>
          <w:noProof/>
          <w:szCs w:val="22"/>
          <w:lang w:val="sr-Latn-ME"/>
        </w:rPr>
        <w:t>Valsartan</w:t>
      </w:r>
    </w:p>
    <w:p w14:paraId="6856C269"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Pretklinički podaci o valsartanu ne pokazuju posebnu opasnost za ljude na osnovu konvencionalnih studija farmakološke bezbjednosti, toksičnosti ponovljenih doza, genotoksičnosti i kancerogenog potencijala.</w:t>
      </w:r>
    </w:p>
    <w:p w14:paraId="636D2B08" w14:textId="1B7AB9AA"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 xml:space="preserve">Kod pacova doze valsartana toksične za majku (600 mg/kg/dan) tokom posljednjih dana gestacije i laktacije dovele su do slabijeg preživljavanja, manjeg povećanja tjelesne težine i odloženog razvoja (odvajanje ušiju i otvaranje ušnog kanala) kod mladunaca (vidjeti </w:t>
      </w:r>
      <w:r w:rsidR="00AE03A2" w:rsidRPr="0043654C">
        <w:rPr>
          <w:rFonts w:eastAsia="Calibri"/>
          <w:noProof/>
          <w:szCs w:val="22"/>
          <w:lang w:val="sr-Latn-ME"/>
        </w:rPr>
        <w:t xml:space="preserve">dio </w:t>
      </w:r>
      <w:r w:rsidRPr="0043654C">
        <w:rPr>
          <w:rFonts w:eastAsia="Calibri"/>
          <w:noProof/>
          <w:szCs w:val="22"/>
          <w:lang w:val="sr-Latn-ME"/>
        </w:rPr>
        <w:t>4.6). Ove doze kod pacova (600 mg/kg/dan) su približno 18 puta veće od maksimalne preporučene doze za ljude na bazi mg/m</w:t>
      </w:r>
      <w:r w:rsidRPr="0043654C">
        <w:rPr>
          <w:rFonts w:eastAsia="Calibri"/>
          <w:noProof/>
          <w:szCs w:val="22"/>
          <w:vertAlign w:val="superscript"/>
          <w:lang w:val="sr-Latn-ME"/>
        </w:rPr>
        <w:t>2</w:t>
      </w:r>
      <w:r w:rsidRPr="0043654C">
        <w:rPr>
          <w:rFonts w:eastAsia="Calibri"/>
          <w:noProof/>
          <w:szCs w:val="22"/>
          <w:lang w:val="sr-Latn-ME"/>
        </w:rPr>
        <w:t xml:space="preserve"> (proračuni pretpostavljaju oralnu dozu od 320 mg/dan i pacijenta od 60 kg).</w:t>
      </w:r>
    </w:p>
    <w:p w14:paraId="6E18B988"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U pretkliničkim studijama bezbjednosti visoke doze valsartana (200 do 600 mg/kg tjelesne težine) uzrokovale su kod pacova smanjenje parametara crvenih krvnih zrnaca (eritrociti, hemoglobin, hematokrit) i dokaze o promjenama bubrežne hemodinamike (blago povišena urea u plazmi i renalna tubularna hiperplazija i bazofilija kod mužjaka). Ove doze kod pacova (200 i 600 mg/kg/dan) su približno 6 i 18 puta veće od maksimalne preporučene doze za ljude na bazi mg/m</w:t>
      </w:r>
      <w:r w:rsidRPr="0043654C">
        <w:rPr>
          <w:rFonts w:eastAsia="Calibri"/>
          <w:noProof/>
          <w:szCs w:val="22"/>
          <w:vertAlign w:val="superscript"/>
          <w:lang w:val="sr-Latn-ME"/>
        </w:rPr>
        <w:t>2</w:t>
      </w:r>
      <w:r w:rsidRPr="0043654C">
        <w:rPr>
          <w:rFonts w:eastAsia="Calibri"/>
          <w:noProof/>
          <w:szCs w:val="22"/>
          <w:lang w:val="sr-Latn-ME"/>
        </w:rPr>
        <w:t xml:space="preserve"> (proračuni pretpostavljaju oralnu dozu od 320 mg/dan i pacijenta od 60 kg).</w:t>
      </w:r>
    </w:p>
    <w:p w14:paraId="45927843"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Kod marmozeta pri sličnim dozama promjene su bile slične, ali teže, posebno u bubrezima gdje su se promjene razvile u nefropatiju koja je uključivala povišenu ureu i kreatinin.</w:t>
      </w:r>
    </w:p>
    <w:p w14:paraId="1F1C84DF"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noProof/>
          <w:szCs w:val="22"/>
          <w:lang w:val="sr-Latn-ME"/>
        </w:rPr>
        <w:t>Hipertrofija bubrežnih jukstaglomerularnih ćelija takođe je uočena kod obje vrste. Smatralo se da su sve promjene uzrokovane farmakološkim djelovanjem valsartana koji uzrokuje produženu hipotenziju, posebno kod marmozeta. Za terapijske doze valsartana kod ljudi čini se da hipertrofija jukstaglomerularnih ćelija bubrega nema nikakvu važnost.</w:t>
      </w:r>
    </w:p>
    <w:p w14:paraId="24223362" w14:textId="77777777" w:rsidR="00257763" w:rsidRPr="0043654C" w:rsidRDefault="00257763" w:rsidP="00A30145">
      <w:pPr>
        <w:widowControl w:val="0"/>
        <w:autoSpaceDE w:val="0"/>
        <w:autoSpaceDN w:val="0"/>
        <w:adjustRightInd w:val="0"/>
        <w:jc w:val="both"/>
        <w:rPr>
          <w:rFonts w:eastAsia="Calibri"/>
          <w:noProof/>
          <w:szCs w:val="22"/>
          <w:lang w:val="sr-Latn-ME"/>
        </w:rPr>
      </w:pPr>
    </w:p>
    <w:p w14:paraId="4F19FE4F" w14:textId="77777777" w:rsidR="00257763" w:rsidRPr="0043654C" w:rsidRDefault="00D426A3" w:rsidP="00A30145">
      <w:pPr>
        <w:widowControl w:val="0"/>
        <w:autoSpaceDE w:val="0"/>
        <w:autoSpaceDN w:val="0"/>
        <w:adjustRightInd w:val="0"/>
        <w:jc w:val="both"/>
        <w:rPr>
          <w:rFonts w:eastAsia="Calibri"/>
          <w:noProof/>
          <w:szCs w:val="22"/>
          <w:lang w:val="sr-Latn-ME"/>
        </w:rPr>
      </w:pPr>
      <w:r w:rsidRPr="0043654C">
        <w:rPr>
          <w:rFonts w:eastAsia="Calibri"/>
          <w:b/>
          <w:bCs/>
          <w:i/>
          <w:iCs/>
          <w:noProof/>
          <w:szCs w:val="22"/>
          <w:lang w:val="sr-Latn-ME"/>
        </w:rPr>
        <w:t>Indapamid</w:t>
      </w:r>
    </w:p>
    <w:p w14:paraId="333DF005" w14:textId="77777777" w:rsidR="00257763" w:rsidRPr="0043654C" w:rsidRDefault="00D426A3" w:rsidP="00A30145">
      <w:pPr>
        <w:tabs>
          <w:tab w:val="left" w:pos="540"/>
        </w:tabs>
        <w:jc w:val="both"/>
        <w:rPr>
          <w:bCs/>
          <w:szCs w:val="22"/>
          <w:lang w:val="sr-Latn-ME"/>
        </w:rPr>
      </w:pPr>
      <w:r w:rsidRPr="0043654C">
        <w:rPr>
          <w:bCs/>
          <w:szCs w:val="22"/>
          <w:lang w:val="sr-Latn-ME"/>
        </w:rPr>
        <w:t>Indapamid je negativan u pogledu mutagenih i kancerogenih svojstava.</w:t>
      </w:r>
    </w:p>
    <w:p w14:paraId="6A2DC90E" w14:textId="77777777" w:rsidR="00257763" w:rsidRPr="0043654C" w:rsidRDefault="00D426A3" w:rsidP="00A30145">
      <w:pPr>
        <w:tabs>
          <w:tab w:val="left" w:pos="540"/>
        </w:tabs>
        <w:jc w:val="both"/>
        <w:rPr>
          <w:bCs/>
          <w:szCs w:val="22"/>
          <w:lang w:val="sr-Latn-ME"/>
        </w:rPr>
      </w:pPr>
      <w:r w:rsidRPr="0043654C">
        <w:rPr>
          <w:bCs/>
          <w:szCs w:val="22"/>
          <w:lang w:val="sr-Latn-ME"/>
        </w:rPr>
        <w:t>Najveće doze oralno davane različitim životinjskim vrstama (40 do 8000 puta veće od terapijske doze) pokazale su pojačanje diuretičkih svojstava indapamida. Glavni simptomi trovanja tokom studija akutne toksičnosti indapamidom primijenjenim intravenski ili intraperitonealno bili su povezani sa farmakološkim djelovanjem indapamida, tj. bradipnejom i perifernom vazodilatacijom.</w:t>
      </w:r>
    </w:p>
    <w:p w14:paraId="798704BC" w14:textId="77777777" w:rsidR="00257763" w:rsidRPr="0043654C" w:rsidRDefault="00D426A3" w:rsidP="00A30145">
      <w:pPr>
        <w:tabs>
          <w:tab w:val="left" w:pos="540"/>
        </w:tabs>
        <w:jc w:val="both"/>
        <w:rPr>
          <w:bCs/>
          <w:szCs w:val="22"/>
          <w:lang w:val="sr-Latn-ME"/>
        </w:rPr>
      </w:pPr>
      <w:r w:rsidRPr="0043654C">
        <w:rPr>
          <w:bCs/>
          <w:szCs w:val="22"/>
          <w:lang w:val="sr-Latn-ME"/>
        </w:rPr>
        <w:t>Studije reproduktivne toksičnosti nisu pokazale embriotoksičnost i teratogenost.</w:t>
      </w:r>
    </w:p>
    <w:p w14:paraId="4BCD9AA8" w14:textId="77777777" w:rsidR="00257763" w:rsidRPr="0043654C" w:rsidRDefault="00D426A3" w:rsidP="00A30145">
      <w:pPr>
        <w:tabs>
          <w:tab w:val="left" w:pos="540"/>
        </w:tabs>
        <w:jc w:val="both"/>
        <w:rPr>
          <w:bCs/>
          <w:szCs w:val="22"/>
          <w:lang w:val="sr-Latn-ME"/>
        </w:rPr>
      </w:pPr>
      <w:r w:rsidRPr="0043654C">
        <w:rPr>
          <w:bCs/>
          <w:szCs w:val="22"/>
          <w:lang w:val="sr-Latn-ME"/>
        </w:rPr>
        <w:t>Plodnost nije narušena ni kod mužjaka ni kod ženki pacova.</w:t>
      </w:r>
    </w:p>
    <w:p w14:paraId="29B2EA56" w14:textId="77777777" w:rsidR="00257763" w:rsidRPr="0043654C" w:rsidRDefault="00257763" w:rsidP="00A30145">
      <w:pPr>
        <w:tabs>
          <w:tab w:val="left" w:pos="540"/>
        </w:tabs>
        <w:jc w:val="both"/>
        <w:rPr>
          <w:b/>
          <w:bCs/>
          <w:szCs w:val="22"/>
          <w:lang w:val="sr-Latn-ME"/>
        </w:rPr>
      </w:pPr>
    </w:p>
    <w:p w14:paraId="4FD4ADC6" w14:textId="77777777" w:rsidR="00257763" w:rsidRPr="0043654C" w:rsidRDefault="00257763" w:rsidP="00A30145">
      <w:pPr>
        <w:tabs>
          <w:tab w:val="left" w:pos="540"/>
        </w:tabs>
        <w:jc w:val="both"/>
        <w:rPr>
          <w:b/>
          <w:bCs/>
          <w:szCs w:val="22"/>
          <w:lang w:val="sr-Latn-ME"/>
        </w:rPr>
      </w:pPr>
    </w:p>
    <w:p w14:paraId="2D1B582D" w14:textId="77777777" w:rsidR="00257763" w:rsidRPr="0043654C" w:rsidRDefault="00D426A3" w:rsidP="00A30145">
      <w:pPr>
        <w:tabs>
          <w:tab w:val="left" w:pos="540"/>
        </w:tabs>
        <w:jc w:val="both"/>
        <w:rPr>
          <w:b/>
          <w:bCs/>
          <w:szCs w:val="22"/>
          <w:lang w:val="sr-Latn-ME"/>
        </w:rPr>
      </w:pPr>
      <w:r w:rsidRPr="0043654C">
        <w:rPr>
          <w:b/>
          <w:bCs/>
          <w:szCs w:val="22"/>
          <w:lang w:val="sr-Latn-ME"/>
        </w:rPr>
        <w:t xml:space="preserve">6. </w:t>
      </w:r>
      <w:r w:rsidRPr="0043654C">
        <w:rPr>
          <w:b/>
          <w:bCs/>
          <w:szCs w:val="22"/>
          <w:lang w:val="sr-Latn-ME"/>
        </w:rPr>
        <w:tab/>
        <w:t>FARMACEUTSKI PODACI</w:t>
      </w:r>
    </w:p>
    <w:p w14:paraId="0D12889F" w14:textId="77777777" w:rsidR="00257763" w:rsidRPr="0043654C" w:rsidRDefault="00257763" w:rsidP="00A30145">
      <w:pPr>
        <w:tabs>
          <w:tab w:val="left" w:pos="540"/>
        </w:tabs>
        <w:jc w:val="both"/>
        <w:rPr>
          <w:bCs/>
          <w:szCs w:val="22"/>
          <w:lang w:val="sr-Latn-ME"/>
        </w:rPr>
      </w:pPr>
    </w:p>
    <w:p w14:paraId="1B10002D" w14:textId="77777777" w:rsidR="00257763" w:rsidRPr="0043654C" w:rsidRDefault="00D426A3" w:rsidP="00A30145">
      <w:pPr>
        <w:tabs>
          <w:tab w:val="left" w:pos="540"/>
        </w:tabs>
        <w:jc w:val="both"/>
        <w:rPr>
          <w:b/>
          <w:bCs/>
          <w:szCs w:val="22"/>
          <w:lang w:val="sr-Latn-ME"/>
        </w:rPr>
      </w:pPr>
      <w:r w:rsidRPr="0043654C">
        <w:rPr>
          <w:b/>
          <w:bCs/>
          <w:szCs w:val="22"/>
          <w:lang w:val="sr-Latn-ME"/>
        </w:rPr>
        <w:t xml:space="preserve">6.1. </w:t>
      </w:r>
      <w:r w:rsidRPr="0043654C">
        <w:rPr>
          <w:b/>
          <w:bCs/>
          <w:szCs w:val="22"/>
          <w:lang w:val="sr-Latn-ME"/>
        </w:rPr>
        <w:tab/>
        <w:t>Lista pomoćnih supstanci (ekscipijenasa)</w:t>
      </w:r>
    </w:p>
    <w:p w14:paraId="4FE36B9B" w14:textId="77777777" w:rsidR="00257763" w:rsidRPr="0043654C" w:rsidRDefault="00257763" w:rsidP="00A30145">
      <w:pPr>
        <w:tabs>
          <w:tab w:val="left" w:pos="540"/>
        </w:tabs>
        <w:jc w:val="both"/>
        <w:rPr>
          <w:bCs/>
          <w:szCs w:val="22"/>
          <w:lang w:val="sr-Latn-ME"/>
        </w:rPr>
      </w:pPr>
    </w:p>
    <w:p w14:paraId="62A3E80E" w14:textId="77777777" w:rsidR="00257763" w:rsidRPr="0043654C" w:rsidRDefault="00D426A3" w:rsidP="00A30145">
      <w:pPr>
        <w:widowControl w:val="0"/>
        <w:jc w:val="both"/>
        <w:outlineLvl w:val="0"/>
        <w:rPr>
          <w:i/>
          <w:noProof/>
          <w:szCs w:val="22"/>
          <w:u w:val="single"/>
          <w:lang w:val="sr-Latn-ME"/>
        </w:rPr>
      </w:pPr>
      <w:r w:rsidRPr="0043654C">
        <w:rPr>
          <w:i/>
          <w:noProof/>
          <w:szCs w:val="22"/>
          <w:u w:val="single"/>
          <w:lang w:val="sr-Latn-ME"/>
        </w:rPr>
        <w:t>Valsartan sloj</w:t>
      </w:r>
    </w:p>
    <w:p w14:paraId="450A5D9E" w14:textId="77777777" w:rsidR="00257763" w:rsidRPr="0043654C" w:rsidRDefault="00D426A3" w:rsidP="00A30145">
      <w:pPr>
        <w:widowControl w:val="0"/>
        <w:jc w:val="both"/>
        <w:rPr>
          <w:lang w:val="sr-Latn-ME"/>
        </w:rPr>
      </w:pPr>
      <w:r w:rsidRPr="0043654C">
        <w:rPr>
          <w:lang w:val="sr-Latn-ME"/>
        </w:rPr>
        <w:t>Celuloza, mikrokristalna</w:t>
      </w:r>
    </w:p>
    <w:p w14:paraId="39B64BE4" w14:textId="77777777" w:rsidR="00257763" w:rsidRPr="0043654C" w:rsidRDefault="00D426A3" w:rsidP="00A30145">
      <w:pPr>
        <w:widowControl w:val="0"/>
        <w:jc w:val="both"/>
        <w:rPr>
          <w:lang w:val="sr-Latn-ME"/>
        </w:rPr>
      </w:pPr>
      <w:r w:rsidRPr="0043654C">
        <w:rPr>
          <w:lang w:val="sr-Latn-ME"/>
        </w:rPr>
        <w:t>Krospovidon</w:t>
      </w:r>
    </w:p>
    <w:p w14:paraId="218A4D56" w14:textId="77777777" w:rsidR="00257763" w:rsidRPr="0043654C" w:rsidRDefault="00D426A3" w:rsidP="00A30145">
      <w:pPr>
        <w:widowControl w:val="0"/>
        <w:jc w:val="both"/>
        <w:rPr>
          <w:lang w:val="sr-Latn-ME"/>
        </w:rPr>
      </w:pPr>
      <w:r w:rsidRPr="0043654C">
        <w:rPr>
          <w:lang w:val="sr-Latn-ME"/>
        </w:rPr>
        <w:t>Silicijum dioksid, koloidni, bezvodni</w:t>
      </w:r>
    </w:p>
    <w:p w14:paraId="51C5981C" w14:textId="77777777" w:rsidR="00257763" w:rsidRPr="0043654C" w:rsidRDefault="00D426A3" w:rsidP="00A30145">
      <w:pPr>
        <w:widowControl w:val="0"/>
        <w:jc w:val="both"/>
        <w:rPr>
          <w:lang w:val="sr-Latn-ME"/>
        </w:rPr>
      </w:pPr>
      <w:r w:rsidRPr="0043654C">
        <w:rPr>
          <w:lang w:val="sr-Latn-ME"/>
        </w:rPr>
        <w:t>Magnezijum stearat</w:t>
      </w:r>
    </w:p>
    <w:p w14:paraId="24694908" w14:textId="77777777" w:rsidR="00257763" w:rsidRPr="0043654C" w:rsidRDefault="00257763" w:rsidP="00A30145">
      <w:pPr>
        <w:widowControl w:val="0"/>
        <w:tabs>
          <w:tab w:val="left" w:pos="2925"/>
        </w:tabs>
        <w:jc w:val="both"/>
        <w:outlineLvl w:val="0"/>
        <w:rPr>
          <w:i/>
          <w:noProof/>
          <w:szCs w:val="22"/>
          <w:lang w:val="sr-Latn-ME"/>
        </w:rPr>
      </w:pPr>
    </w:p>
    <w:p w14:paraId="76239018" w14:textId="77777777" w:rsidR="00257763" w:rsidRPr="0043654C" w:rsidRDefault="00D426A3" w:rsidP="00A30145">
      <w:pPr>
        <w:widowControl w:val="0"/>
        <w:tabs>
          <w:tab w:val="left" w:pos="2925"/>
        </w:tabs>
        <w:jc w:val="both"/>
        <w:outlineLvl w:val="0"/>
        <w:rPr>
          <w:i/>
          <w:noProof/>
          <w:szCs w:val="22"/>
          <w:u w:val="single"/>
          <w:lang w:val="sr-Latn-ME"/>
        </w:rPr>
      </w:pPr>
      <w:r w:rsidRPr="0043654C">
        <w:rPr>
          <w:i/>
          <w:noProof/>
          <w:szCs w:val="22"/>
          <w:u w:val="single"/>
          <w:lang w:val="sr-Latn-ME"/>
        </w:rPr>
        <w:t>Indapamid sloj</w:t>
      </w:r>
    </w:p>
    <w:p w14:paraId="4D5BE0E7" w14:textId="77777777" w:rsidR="00257763" w:rsidRPr="0043654C" w:rsidRDefault="00D426A3" w:rsidP="00A30145">
      <w:pPr>
        <w:widowControl w:val="0"/>
        <w:jc w:val="both"/>
        <w:rPr>
          <w:lang w:val="sr-Latn-ME"/>
        </w:rPr>
      </w:pPr>
      <w:r w:rsidRPr="0043654C">
        <w:rPr>
          <w:lang w:val="sr-Latn-ME"/>
        </w:rPr>
        <w:t>Celuloza, mikrokristalna</w:t>
      </w:r>
    </w:p>
    <w:p w14:paraId="58CFE53E" w14:textId="77777777" w:rsidR="00257763" w:rsidRPr="0043654C" w:rsidRDefault="00D426A3" w:rsidP="00A30145">
      <w:pPr>
        <w:widowControl w:val="0"/>
        <w:jc w:val="both"/>
        <w:rPr>
          <w:lang w:val="sr-Latn-ME"/>
        </w:rPr>
      </w:pPr>
      <w:r w:rsidRPr="0043654C">
        <w:rPr>
          <w:lang w:val="sr-Latn-ME"/>
        </w:rPr>
        <w:t>Manitol</w:t>
      </w:r>
    </w:p>
    <w:p w14:paraId="3A9A67DF" w14:textId="77777777" w:rsidR="00257763" w:rsidRPr="0043654C" w:rsidRDefault="00D426A3" w:rsidP="00A30145">
      <w:pPr>
        <w:widowControl w:val="0"/>
        <w:jc w:val="both"/>
        <w:rPr>
          <w:lang w:val="sr-Latn-ME"/>
        </w:rPr>
      </w:pPr>
      <w:r w:rsidRPr="0043654C">
        <w:rPr>
          <w:lang w:val="sr-Latn-ME"/>
        </w:rPr>
        <w:t>Hipromeloza</w:t>
      </w:r>
    </w:p>
    <w:p w14:paraId="508FA283" w14:textId="77777777" w:rsidR="00257763" w:rsidRPr="0043654C" w:rsidRDefault="00D426A3" w:rsidP="00A30145">
      <w:pPr>
        <w:widowControl w:val="0"/>
        <w:jc w:val="both"/>
        <w:rPr>
          <w:lang w:val="sr-Latn-ME"/>
        </w:rPr>
      </w:pPr>
      <w:r w:rsidRPr="0043654C">
        <w:rPr>
          <w:lang w:val="sr-Latn-ME"/>
        </w:rPr>
        <w:t>Silicijum dioksid, koloidni, bezvodni</w:t>
      </w:r>
    </w:p>
    <w:p w14:paraId="315A66E3" w14:textId="77777777" w:rsidR="00257763" w:rsidRPr="0043654C" w:rsidRDefault="00D426A3" w:rsidP="00A30145">
      <w:pPr>
        <w:widowControl w:val="0"/>
        <w:jc w:val="both"/>
        <w:rPr>
          <w:lang w:val="sr-Latn-ME"/>
        </w:rPr>
      </w:pPr>
      <w:r w:rsidRPr="0043654C">
        <w:rPr>
          <w:lang w:val="sr-Latn-ME"/>
        </w:rPr>
        <w:t xml:space="preserve">Magnezijum stearat </w:t>
      </w:r>
    </w:p>
    <w:p w14:paraId="7429F07F" w14:textId="77777777" w:rsidR="00257763" w:rsidRPr="0043654C" w:rsidRDefault="00D426A3" w:rsidP="00A30145">
      <w:pPr>
        <w:widowControl w:val="0"/>
        <w:jc w:val="both"/>
        <w:rPr>
          <w:lang w:val="sr-Latn-ME"/>
        </w:rPr>
      </w:pPr>
      <w:r w:rsidRPr="0043654C">
        <w:rPr>
          <w:lang w:val="sr-Latn-ME"/>
        </w:rPr>
        <w:t>Karbomeri</w:t>
      </w:r>
    </w:p>
    <w:p w14:paraId="07FC36C5" w14:textId="77777777" w:rsidR="00257763" w:rsidRPr="0043654C" w:rsidRDefault="00D426A3" w:rsidP="00A30145">
      <w:pPr>
        <w:widowControl w:val="0"/>
        <w:jc w:val="both"/>
        <w:outlineLvl w:val="0"/>
        <w:rPr>
          <w:noProof/>
          <w:szCs w:val="22"/>
          <w:lang w:val="sr-Latn-ME"/>
        </w:rPr>
      </w:pPr>
      <w:r w:rsidRPr="0043654C">
        <w:rPr>
          <w:noProof/>
          <w:szCs w:val="22"/>
          <w:lang w:val="sr-Latn-ME"/>
        </w:rPr>
        <w:lastRenderedPageBreak/>
        <w:t>Gvožđe oksid, crveni (E172)</w:t>
      </w:r>
    </w:p>
    <w:p w14:paraId="009D1439" w14:textId="71497CA0" w:rsidR="00AE03A2" w:rsidRPr="0043654C" w:rsidRDefault="00AE03A2" w:rsidP="00A30145">
      <w:pPr>
        <w:widowControl w:val="0"/>
        <w:jc w:val="both"/>
        <w:rPr>
          <w:iCs/>
          <w:noProof/>
          <w:szCs w:val="22"/>
          <w:lang w:val="sr-Latn-ME"/>
        </w:rPr>
      </w:pPr>
    </w:p>
    <w:p w14:paraId="251D8CF9" w14:textId="77777777" w:rsidR="00257763" w:rsidRPr="0043654C" w:rsidRDefault="00D426A3" w:rsidP="00A30145">
      <w:pPr>
        <w:tabs>
          <w:tab w:val="left" w:pos="540"/>
        </w:tabs>
        <w:jc w:val="both"/>
        <w:rPr>
          <w:b/>
          <w:bCs/>
          <w:szCs w:val="22"/>
          <w:lang w:val="sr-Latn-ME"/>
        </w:rPr>
      </w:pPr>
      <w:r w:rsidRPr="0043654C">
        <w:rPr>
          <w:b/>
          <w:bCs/>
          <w:szCs w:val="22"/>
          <w:lang w:val="sr-Latn-ME"/>
        </w:rPr>
        <w:t xml:space="preserve">6.2. </w:t>
      </w:r>
      <w:r w:rsidRPr="0043654C">
        <w:rPr>
          <w:b/>
          <w:bCs/>
          <w:szCs w:val="22"/>
          <w:lang w:val="sr-Latn-ME"/>
        </w:rPr>
        <w:tab/>
        <w:t>Inkompatibilnosti</w:t>
      </w:r>
    </w:p>
    <w:p w14:paraId="79B6041F" w14:textId="77777777" w:rsidR="00257763" w:rsidRPr="0043654C" w:rsidRDefault="00257763" w:rsidP="00A30145">
      <w:pPr>
        <w:tabs>
          <w:tab w:val="left" w:pos="540"/>
        </w:tabs>
        <w:jc w:val="both"/>
        <w:rPr>
          <w:bCs/>
          <w:szCs w:val="22"/>
          <w:lang w:val="sr-Latn-ME"/>
        </w:rPr>
      </w:pPr>
    </w:p>
    <w:p w14:paraId="56C91288" w14:textId="77777777" w:rsidR="00257763" w:rsidRPr="0043654C" w:rsidRDefault="00D426A3" w:rsidP="00A30145">
      <w:pPr>
        <w:widowControl w:val="0"/>
        <w:jc w:val="both"/>
        <w:rPr>
          <w:szCs w:val="22"/>
          <w:lang w:val="sr-Latn-ME"/>
        </w:rPr>
      </w:pPr>
      <w:r w:rsidRPr="0043654C">
        <w:rPr>
          <w:szCs w:val="22"/>
          <w:lang w:val="sr-Latn-ME"/>
        </w:rPr>
        <w:t>Nije primjenljivo.</w:t>
      </w:r>
    </w:p>
    <w:p w14:paraId="7AD8D7F9" w14:textId="77777777" w:rsidR="00257763" w:rsidRPr="0043654C" w:rsidRDefault="00257763" w:rsidP="00A30145">
      <w:pPr>
        <w:tabs>
          <w:tab w:val="left" w:pos="540"/>
        </w:tabs>
        <w:jc w:val="both"/>
        <w:rPr>
          <w:bCs/>
          <w:szCs w:val="22"/>
          <w:lang w:val="sr-Latn-ME"/>
        </w:rPr>
      </w:pPr>
    </w:p>
    <w:p w14:paraId="6BE2733A" w14:textId="77777777" w:rsidR="00257763" w:rsidRPr="0043654C" w:rsidRDefault="00D426A3" w:rsidP="00A30145">
      <w:pPr>
        <w:tabs>
          <w:tab w:val="left" w:pos="540"/>
        </w:tabs>
        <w:jc w:val="both"/>
        <w:rPr>
          <w:b/>
          <w:bCs/>
          <w:szCs w:val="22"/>
          <w:lang w:val="sr-Latn-ME"/>
        </w:rPr>
      </w:pPr>
      <w:r w:rsidRPr="0043654C">
        <w:rPr>
          <w:b/>
          <w:bCs/>
          <w:szCs w:val="22"/>
          <w:lang w:val="sr-Latn-ME"/>
        </w:rPr>
        <w:t xml:space="preserve">6.3. </w:t>
      </w:r>
      <w:r w:rsidRPr="0043654C">
        <w:rPr>
          <w:b/>
          <w:bCs/>
          <w:szCs w:val="22"/>
          <w:lang w:val="sr-Latn-ME"/>
        </w:rPr>
        <w:tab/>
        <w:t>Rok upotrebe</w:t>
      </w:r>
    </w:p>
    <w:p w14:paraId="696B5701" w14:textId="77777777" w:rsidR="00257763" w:rsidRPr="0043654C" w:rsidRDefault="00257763" w:rsidP="00A30145">
      <w:pPr>
        <w:tabs>
          <w:tab w:val="left" w:pos="540"/>
        </w:tabs>
        <w:jc w:val="both"/>
        <w:rPr>
          <w:bCs/>
          <w:szCs w:val="22"/>
          <w:lang w:val="sr-Latn-ME"/>
        </w:rPr>
      </w:pPr>
    </w:p>
    <w:p w14:paraId="55F5A099" w14:textId="77777777" w:rsidR="00257763" w:rsidRPr="0043654C" w:rsidRDefault="00D426A3" w:rsidP="00A30145">
      <w:pPr>
        <w:widowControl w:val="0"/>
        <w:jc w:val="both"/>
        <w:rPr>
          <w:iCs/>
          <w:szCs w:val="22"/>
          <w:lang w:val="sr-Latn-ME"/>
        </w:rPr>
      </w:pPr>
      <w:r w:rsidRPr="0043654C">
        <w:rPr>
          <w:szCs w:val="22"/>
          <w:lang w:val="sr-Latn-ME"/>
        </w:rPr>
        <w:t>2 godine</w:t>
      </w:r>
    </w:p>
    <w:p w14:paraId="4B1EE240" w14:textId="77777777" w:rsidR="00257763" w:rsidRPr="0043654C" w:rsidRDefault="00257763" w:rsidP="00A30145">
      <w:pPr>
        <w:tabs>
          <w:tab w:val="left" w:pos="540"/>
        </w:tabs>
        <w:jc w:val="both"/>
        <w:rPr>
          <w:bCs/>
          <w:szCs w:val="22"/>
          <w:lang w:val="sr-Latn-ME"/>
        </w:rPr>
      </w:pPr>
    </w:p>
    <w:p w14:paraId="7ADA94D4" w14:textId="77777777" w:rsidR="00257763" w:rsidRPr="0043654C" w:rsidRDefault="00D426A3" w:rsidP="00A30145">
      <w:pPr>
        <w:tabs>
          <w:tab w:val="left" w:pos="540"/>
        </w:tabs>
        <w:jc w:val="both"/>
        <w:rPr>
          <w:b/>
          <w:bCs/>
          <w:szCs w:val="22"/>
          <w:lang w:val="sr-Latn-ME"/>
        </w:rPr>
      </w:pPr>
      <w:r w:rsidRPr="0043654C">
        <w:rPr>
          <w:b/>
          <w:bCs/>
          <w:szCs w:val="22"/>
          <w:lang w:val="sr-Latn-ME"/>
        </w:rPr>
        <w:t xml:space="preserve">6.4. </w:t>
      </w:r>
      <w:r w:rsidRPr="0043654C">
        <w:rPr>
          <w:b/>
          <w:bCs/>
          <w:szCs w:val="22"/>
          <w:lang w:val="sr-Latn-ME"/>
        </w:rPr>
        <w:tab/>
        <w:t>Posebne mjere upozorenja pri čuvanju lijeka</w:t>
      </w:r>
    </w:p>
    <w:p w14:paraId="2E8C7237" w14:textId="77777777" w:rsidR="00257763" w:rsidRPr="0043654C" w:rsidRDefault="00257763" w:rsidP="00A30145">
      <w:pPr>
        <w:tabs>
          <w:tab w:val="left" w:pos="540"/>
        </w:tabs>
        <w:jc w:val="both"/>
        <w:rPr>
          <w:bCs/>
          <w:szCs w:val="22"/>
          <w:lang w:val="sr-Latn-ME"/>
        </w:rPr>
      </w:pPr>
    </w:p>
    <w:p w14:paraId="5D0682B8" w14:textId="4E317AF6" w:rsidR="00257763" w:rsidRPr="0043654C" w:rsidRDefault="00D426A3" w:rsidP="00A30145">
      <w:pPr>
        <w:jc w:val="both"/>
        <w:rPr>
          <w:szCs w:val="22"/>
          <w:lang w:val="sr-Latn-ME"/>
        </w:rPr>
      </w:pPr>
      <w:r w:rsidRPr="0043654C">
        <w:rPr>
          <w:szCs w:val="22"/>
          <w:lang w:val="sr-Latn-ME"/>
        </w:rPr>
        <w:t xml:space="preserve">Lijek čuvajte u originalnom pakovanju </w:t>
      </w:r>
      <w:r w:rsidR="00AE03A2" w:rsidRPr="0043654C">
        <w:rPr>
          <w:szCs w:val="22"/>
          <w:lang w:val="sr-Latn-ME"/>
        </w:rPr>
        <w:t xml:space="preserve">radi </w:t>
      </w:r>
      <w:r w:rsidRPr="0043654C">
        <w:rPr>
          <w:szCs w:val="22"/>
          <w:lang w:val="sr-Latn-ME"/>
        </w:rPr>
        <w:t>zaštite od svjetlosti i vlage.</w:t>
      </w:r>
    </w:p>
    <w:p w14:paraId="5DD1A568" w14:textId="77777777" w:rsidR="00257763" w:rsidRPr="0043654C" w:rsidRDefault="00D426A3" w:rsidP="00A30145">
      <w:pPr>
        <w:jc w:val="both"/>
        <w:rPr>
          <w:szCs w:val="22"/>
          <w:lang w:val="sr-Latn-ME" w:eastAsia="hr-HR"/>
        </w:rPr>
      </w:pPr>
      <w:r w:rsidRPr="0043654C">
        <w:rPr>
          <w:szCs w:val="22"/>
          <w:lang w:val="sr-Latn-ME"/>
        </w:rPr>
        <w:t xml:space="preserve">Lijek ne zahtijeva posebne temperaturne uslove čuvanja.  </w:t>
      </w:r>
    </w:p>
    <w:p w14:paraId="4EC37B72" w14:textId="77777777" w:rsidR="00257763" w:rsidRPr="0043654C" w:rsidRDefault="00257763" w:rsidP="00A30145">
      <w:pPr>
        <w:tabs>
          <w:tab w:val="left" w:pos="540"/>
        </w:tabs>
        <w:jc w:val="both"/>
        <w:rPr>
          <w:bCs/>
          <w:szCs w:val="22"/>
          <w:lang w:val="sr-Latn-ME"/>
        </w:rPr>
      </w:pPr>
    </w:p>
    <w:p w14:paraId="3C639723" w14:textId="77777777" w:rsidR="00257763" w:rsidRPr="0043654C" w:rsidRDefault="00D426A3" w:rsidP="00A30145">
      <w:pPr>
        <w:tabs>
          <w:tab w:val="left" w:pos="540"/>
        </w:tabs>
        <w:jc w:val="both"/>
        <w:rPr>
          <w:b/>
          <w:bCs/>
          <w:szCs w:val="22"/>
          <w:lang w:val="sr-Latn-ME"/>
        </w:rPr>
      </w:pPr>
      <w:r w:rsidRPr="0043654C">
        <w:rPr>
          <w:b/>
          <w:bCs/>
          <w:szCs w:val="22"/>
          <w:lang w:val="sr-Latn-ME"/>
        </w:rPr>
        <w:t xml:space="preserve">6.5. </w:t>
      </w:r>
      <w:r w:rsidRPr="0043654C">
        <w:rPr>
          <w:b/>
          <w:bCs/>
          <w:szCs w:val="22"/>
          <w:lang w:val="sr-Latn-ME"/>
        </w:rPr>
        <w:tab/>
        <w:t xml:space="preserve">Vrsta i sadržaj pakovanja </w:t>
      </w:r>
    </w:p>
    <w:p w14:paraId="53A9E192" w14:textId="77777777" w:rsidR="00257763" w:rsidRPr="0043654C" w:rsidRDefault="00257763" w:rsidP="00A30145">
      <w:pPr>
        <w:widowControl w:val="0"/>
        <w:jc w:val="both"/>
        <w:rPr>
          <w:szCs w:val="22"/>
          <w:lang w:val="sr-Latn-ME"/>
        </w:rPr>
      </w:pPr>
    </w:p>
    <w:p w14:paraId="373F7F4C" w14:textId="77777777" w:rsidR="00257763" w:rsidRPr="0043654C" w:rsidRDefault="00D426A3" w:rsidP="00A30145">
      <w:pPr>
        <w:widowControl w:val="0"/>
        <w:jc w:val="both"/>
        <w:rPr>
          <w:szCs w:val="22"/>
          <w:lang w:val="sr-Latn-ME"/>
        </w:rPr>
      </w:pPr>
      <w:r w:rsidRPr="0043654C">
        <w:rPr>
          <w:szCs w:val="22"/>
          <w:lang w:val="sr-Latn-ME"/>
        </w:rPr>
        <w:t xml:space="preserve">Unutrašnje pakovanje je OPA/Alu/PVC//Alu blister koji sadrži 10 </w:t>
      </w:r>
      <w:r w:rsidRPr="0043654C">
        <w:rPr>
          <w:noProof/>
          <w:szCs w:val="22"/>
          <w:lang w:val="sr-Latn-ME"/>
        </w:rPr>
        <w:t>tableta sa modifikovanim oslobađanjem</w:t>
      </w:r>
      <w:r w:rsidRPr="0043654C">
        <w:rPr>
          <w:szCs w:val="22"/>
          <w:lang w:val="sr-Latn-ME"/>
        </w:rPr>
        <w:t>.</w:t>
      </w:r>
    </w:p>
    <w:p w14:paraId="1A03579C" w14:textId="79B669AF" w:rsidR="00257763" w:rsidRPr="0043654C" w:rsidRDefault="00D426A3" w:rsidP="00A30145">
      <w:pPr>
        <w:widowControl w:val="0"/>
        <w:jc w:val="both"/>
        <w:rPr>
          <w:szCs w:val="22"/>
          <w:lang w:val="sr-Latn-ME"/>
        </w:rPr>
      </w:pPr>
      <w:r w:rsidRPr="0043654C">
        <w:rPr>
          <w:szCs w:val="22"/>
          <w:lang w:val="sr-Latn-ME"/>
        </w:rPr>
        <w:t>Spoljašnje</w:t>
      </w:r>
      <w:r w:rsidR="00AE03A2" w:rsidRPr="0043654C">
        <w:rPr>
          <w:szCs w:val="22"/>
          <w:lang w:val="sr-Latn-ME"/>
        </w:rPr>
        <w:t xml:space="preserve"> </w:t>
      </w:r>
      <w:r w:rsidRPr="0043654C">
        <w:rPr>
          <w:szCs w:val="22"/>
          <w:lang w:val="sr-Latn-ME"/>
        </w:rPr>
        <w:t>pakovanje je složiva kartonska kutija koja sadrži 3 blister</w:t>
      </w:r>
      <w:r w:rsidR="00AE03A2" w:rsidRPr="0043654C">
        <w:rPr>
          <w:szCs w:val="22"/>
          <w:lang w:val="sr-Latn-ME"/>
        </w:rPr>
        <w:t>a</w:t>
      </w:r>
      <w:r w:rsidRPr="0043654C">
        <w:rPr>
          <w:szCs w:val="22"/>
          <w:lang w:val="sr-Latn-ME"/>
        </w:rPr>
        <w:t xml:space="preserve"> (ukupno 30 </w:t>
      </w:r>
      <w:r w:rsidRPr="0043654C">
        <w:rPr>
          <w:noProof/>
          <w:szCs w:val="22"/>
          <w:lang w:val="sr-Latn-ME"/>
        </w:rPr>
        <w:t>tableta sa modifikovanim oslobađanjem</w:t>
      </w:r>
      <w:r w:rsidRPr="0043654C">
        <w:rPr>
          <w:szCs w:val="22"/>
          <w:lang w:val="sr-Latn-ME"/>
        </w:rPr>
        <w:t xml:space="preserve">) i </w:t>
      </w:r>
      <w:r w:rsidR="00AE03A2" w:rsidRPr="0043654C">
        <w:rPr>
          <w:szCs w:val="22"/>
          <w:lang w:val="sr-Latn-ME"/>
        </w:rPr>
        <w:t>U</w:t>
      </w:r>
      <w:r w:rsidRPr="0043654C">
        <w:rPr>
          <w:szCs w:val="22"/>
          <w:lang w:val="sr-Latn-ME"/>
        </w:rPr>
        <w:t xml:space="preserve">putstvo za lijek. </w:t>
      </w:r>
    </w:p>
    <w:p w14:paraId="0D44BCB7" w14:textId="77777777" w:rsidR="00257763" w:rsidRPr="0043654C" w:rsidRDefault="00257763" w:rsidP="00A30145">
      <w:pPr>
        <w:widowControl w:val="0"/>
        <w:jc w:val="both"/>
        <w:rPr>
          <w:szCs w:val="22"/>
          <w:highlight w:val="yellow"/>
          <w:lang w:val="sr-Latn-ME"/>
        </w:rPr>
      </w:pPr>
    </w:p>
    <w:p w14:paraId="21085F12" w14:textId="77777777" w:rsidR="00257763" w:rsidRPr="0043654C" w:rsidRDefault="00D426A3" w:rsidP="00A30145">
      <w:pPr>
        <w:tabs>
          <w:tab w:val="left" w:pos="540"/>
        </w:tabs>
        <w:jc w:val="both"/>
        <w:rPr>
          <w:b/>
          <w:bCs/>
          <w:szCs w:val="22"/>
          <w:lang w:val="sr-Latn-ME"/>
        </w:rPr>
      </w:pPr>
      <w:r w:rsidRPr="0043654C">
        <w:rPr>
          <w:b/>
          <w:bCs/>
          <w:szCs w:val="22"/>
          <w:lang w:val="sr-Latn-ME"/>
        </w:rPr>
        <w:t xml:space="preserve">6.6. </w:t>
      </w:r>
      <w:r w:rsidRPr="0043654C">
        <w:rPr>
          <w:b/>
          <w:bCs/>
          <w:szCs w:val="22"/>
          <w:lang w:val="sr-Latn-ME"/>
        </w:rPr>
        <w:tab/>
      </w:r>
      <w:r w:rsidRPr="0043654C">
        <w:rPr>
          <w:b/>
          <w:bCs/>
          <w:color w:val="000000"/>
          <w:szCs w:val="22"/>
          <w:lang w:val="sr-Latn-ME"/>
        </w:rPr>
        <w:t>Posebne mjere opreza pri odlaganju materijala koji treba odbaciti nakon primjene lijeka</w:t>
      </w:r>
      <w:r w:rsidRPr="0043654C">
        <w:rPr>
          <w:b/>
          <w:bCs/>
          <w:szCs w:val="22"/>
          <w:lang w:val="sr-Latn-ME"/>
        </w:rPr>
        <w:t xml:space="preserve"> (i druga uputstva za rukovanje lijekom) </w:t>
      </w:r>
    </w:p>
    <w:p w14:paraId="5933FDEB" w14:textId="77777777" w:rsidR="00257763" w:rsidRPr="0043654C" w:rsidRDefault="00257763" w:rsidP="00A30145">
      <w:pPr>
        <w:widowControl w:val="0"/>
        <w:jc w:val="both"/>
        <w:rPr>
          <w:szCs w:val="22"/>
          <w:lang w:val="sr-Latn-ME"/>
        </w:rPr>
      </w:pPr>
    </w:p>
    <w:p w14:paraId="3AA10C0B" w14:textId="77777777" w:rsidR="00257763" w:rsidRPr="0043654C" w:rsidRDefault="00D426A3" w:rsidP="00A30145">
      <w:pPr>
        <w:widowControl w:val="0"/>
        <w:jc w:val="both"/>
        <w:rPr>
          <w:szCs w:val="22"/>
          <w:lang w:val="sr-Latn-ME"/>
        </w:rPr>
      </w:pPr>
      <w:r w:rsidRPr="0043654C">
        <w:rPr>
          <w:szCs w:val="22"/>
          <w:lang w:val="sr-Latn-ME"/>
        </w:rPr>
        <w:t>Neupotrijebljeni lijek se uništava u skladu sa važećim propisima.</w:t>
      </w:r>
    </w:p>
    <w:p w14:paraId="4F57DC82" w14:textId="77777777" w:rsidR="00257763" w:rsidRPr="0043654C" w:rsidRDefault="00257763" w:rsidP="00A30145">
      <w:pPr>
        <w:tabs>
          <w:tab w:val="left" w:pos="540"/>
        </w:tabs>
        <w:jc w:val="both"/>
        <w:rPr>
          <w:bCs/>
          <w:szCs w:val="22"/>
          <w:lang w:val="sr-Latn-ME"/>
        </w:rPr>
      </w:pPr>
    </w:p>
    <w:p w14:paraId="78B3513F" w14:textId="77777777" w:rsidR="00257763" w:rsidRPr="0043654C" w:rsidRDefault="00257763" w:rsidP="00A30145">
      <w:pPr>
        <w:tabs>
          <w:tab w:val="left" w:pos="540"/>
        </w:tabs>
        <w:jc w:val="both"/>
        <w:rPr>
          <w:bCs/>
          <w:szCs w:val="22"/>
          <w:lang w:val="sr-Latn-ME"/>
        </w:rPr>
      </w:pPr>
    </w:p>
    <w:p w14:paraId="1240DEEB" w14:textId="77777777" w:rsidR="00257763" w:rsidRPr="0043654C" w:rsidRDefault="00D426A3" w:rsidP="00A30145">
      <w:pPr>
        <w:tabs>
          <w:tab w:val="left" w:pos="540"/>
        </w:tabs>
        <w:jc w:val="both"/>
        <w:rPr>
          <w:b/>
          <w:bCs/>
          <w:szCs w:val="22"/>
          <w:lang w:val="sr-Latn-ME"/>
        </w:rPr>
      </w:pPr>
      <w:r w:rsidRPr="0043654C">
        <w:rPr>
          <w:b/>
          <w:bCs/>
          <w:szCs w:val="22"/>
          <w:lang w:val="sr-Latn-ME"/>
        </w:rPr>
        <w:t xml:space="preserve">7. </w:t>
      </w:r>
      <w:r w:rsidRPr="0043654C">
        <w:rPr>
          <w:b/>
          <w:bCs/>
          <w:szCs w:val="22"/>
          <w:lang w:val="sr-Latn-ME"/>
        </w:rPr>
        <w:tab/>
        <w:t xml:space="preserve">NOSILAC DOZVOLE </w:t>
      </w:r>
    </w:p>
    <w:p w14:paraId="5DB488C1" w14:textId="77777777" w:rsidR="00257763" w:rsidRPr="0043654C" w:rsidRDefault="00257763" w:rsidP="00A30145">
      <w:pPr>
        <w:tabs>
          <w:tab w:val="left" w:pos="540"/>
        </w:tabs>
        <w:jc w:val="both"/>
        <w:rPr>
          <w:bCs/>
          <w:szCs w:val="22"/>
          <w:lang w:val="sr-Latn-ME"/>
        </w:rPr>
      </w:pPr>
    </w:p>
    <w:p w14:paraId="71EF3478" w14:textId="77777777" w:rsidR="00257763" w:rsidRPr="0043654C" w:rsidRDefault="00D426A3" w:rsidP="00A30145">
      <w:pPr>
        <w:autoSpaceDE w:val="0"/>
        <w:autoSpaceDN w:val="0"/>
        <w:adjustRightInd w:val="0"/>
        <w:ind w:left="1985" w:hanging="1985"/>
        <w:jc w:val="both"/>
        <w:rPr>
          <w:szCs w:val="22"/>
          <w:lang w:val="sr-Latn-ME"/>
        </w:rPr>
      </w:pPr>
      <w:r w:rsidRPr="0043654C">
        <w:rPr>
          <w:szCs w:val="22"/>
          <w:lang w:val="sr-Latn-ME"/>
        </w:rPr>
        <w:t>D.S.D. „KRKA d.d. Novo mesto“ Slovenija - predstavništvo Podgorica</w:t>
      </w:r>
    </w:p>
    <w:p w14:paraId="00BCD011" w14:textId="77777777" w:rsidR="00257763" w:rsidRPr="0043654C" w:rsidRDefault="00D426A3" w:rsidP="00A30145">
      <w:pPr>
        <w:autoSpaceDE w:val="0"/>
        <w:autoSpaceDN w:val="0"/>
        <w:adjustRightInd w:val="0"/>
        <w:ind w:right="71"/>
        <w:jc w:val="both"/>
        <w:rPr>
          <w:szCs w:val="22"/>
          <w:lang w:val="sr-Latn-ME"/>
        </w:rPr>
      </w:pPr>
      <w:r w:rsidRPr="0043654C">
        <w:rPr>
          <w:szCs w:val="22"/>
          <w:lang w:val="sr-Latn-ME"/>
        </w:rPr>
        <w:t>Svetlane Kane Radević br. 3, 81000 Podgorica, Crna Gora</w:t>
      </w:r>
    </w:p>
    <w:p w14:paraId="6686C203" w14:textId="77777777" w:rsidR="00257763" w:rsidRPr="0043654C" w:rsidRDefault="00257763" w:rsidP="00A30145">
      <w:pPr>
        <w:tabs>
          <w:tab w:val="left" w:pos="540"/>
        </w:tabs>
        <w:jc w:val="both"/>
        <w:rPr>
          <w:bCs/>
          <w:szCs w:val="22"/>
          <w:lang w:val="sr-Latn-ME"/>
        </w:rPr>
      </w:pPr>
    </w:p>
    <w:p w14:paraId="5ACDE2E1" w14:textId="77777777" w:rsidR="00257763" w:rsidRPr="0043654C" w:rsidRDefault="00257763" w:rsidP="00A30145">
      <w:pPr>
        <w:tabs>
          <w:tab w:val="left" w:pos="540"/>
        </w:tabs>
        <w:jc w:val="both"/>
        <w:rPr>
          <w:bCs/>
          <w:szCs w:val="22"/>
          <w:lang w:val="sr-Latn-ME"/>
        </w:rPr>
      </w:pPr>
    </w:p>
    <w:p w14:paraId="2785A55C" w14:textId="77777777" w:rsidR="00257763" w:rsidRPr="0043654C" w:rsidRDefault="00D426A3" w:rsidP="00A30145">
      <w:pPr>
        <w:tabs>
          <w:tab w:val="left" w:pos="540"/>
        </w:tabs>
        <w:jc w:val="both"/>
        <w:rPr>
          <w:b/>
          <w:bCs/>
          <w:szCs w:val="22"/>
          <w:lang w:val="sr-Latn-ME"/>
        </w:rPr>
      </w:pPr>
      <w:r w:rsidRPr="0043654C">
        <w:rPr>
          <w:b/>
          <w:bCs/>
          <w:szCs w:val="22"/>
          <w:lang w:val="sr-Latn-ME"/>
        </w:rPr>
        <w:t xml:space="preserve">8. </w:t>
      </w:r>
      <w:r w:rsidRPr="0043654C">
        <w:rPr>
          <w:b/>
          <w:bCs/>
          <w:szCs w:val="22"/>
          <w:lang w:val="sr-Latn-ME"/>
        </w:rPr>
        <w:tab/>
        <w:t>BROJ DOZVOLE ZA STAVLJANJE LIJEKA U PROMET</w:t>
      </w:r>
    </w:p>
    <w:p w14:paraId="4D25892C" w14:textId="5FE4ECF7" w:rsidR="00257763" w:rsidRPr="0043654C" w:rsidRDefault="00257763" w:rsidP="00A30145">
      <w:pPr>
        <w:tabs>
          <w:tab w:val="left" w:pos="540"/>
        </w:tabs>
        <w:jc w:val="both"/>
        <w:rPr>
          <w:bCs/>
          <w:szCs w:val="22"/>
          <w:lang w:val="sr-Latn-ME"/>
        </w:rPr>
      </w:pPr>
    </w:p>
    <w:p w14:paraId="6C63A40F" w14:textId="54F6396C" w:rsidR="0043654C" w:rsidRPr="0043654C" w:rsidRDefault="0043654C" w:rsidP="00A30145">
      <w:pPr>
        <w:tabs>
          <w:tab w:val="left" w:pos="540"/>
        </w:tabs>
        <w:jc w:val="both"/>
        <w:rPr>
          <w:bCs/>
          <w:szCs w:val="22"/>
          <w:lang w:val="sr-Latn-ME"/>
        </w:rPr>
      </w:pPr>
      <w:r w:rsidRPr="0043654C">
        <w:rPr>
          <w:rFonts w:eastAsia="TimesNewRoman"/>
          <w:szCs w:val="22"/>
          <w:lang w:val="sr-Latn-ME" w:eastAsia="mk-MK"/>
        </w:rPr>
        <w:t>2030/25/2808 - 10969</w:t>
      </w:r>
    </w:p>
    <w:p w14:paraId="340C3327" w14:textId="298B1059" w:rsidR="00257763" w:rsidRPr="0043654C" w:rsidRDefault="00257763" w:rsidP="00A30145">
      <w:pPr>
        <w:tabs>
          <w:tab w:val="left" w:pos="540"/>
        </w:tabs>
        <w:jc w:val="both"/>
        <w:rPr>
          <w:bCs/>
          <w:szCs w:val="22"/>
          <w:lang w:val="sr-Latn-ME"/>
        </w:rPr>
      </w:pPr>
    </w:p>
    <w:p w14:paraId="56FEEE43" w14:textId="77777777" w:rsidR="0043654C" w:rsidRPr="0043654C" w:rsidRDefault="0043654C" w:rsidP="00A30145">
      <w:pPr>
        <w:tabs>
          <w:tab w:val="left" w:pos="540"/>
        </w:tabs>
        <w:jc w:val="both"/>
        <w:rPr>
          <w:bCs/>
          <w:szCs w:val="22"/>
          <w:lang w:val="sr-Latn-ME"/>
        </w:rPr>
      </w:pPr>
    </w:p>
    <w:p w14:paraId="531334A9" w14:textId="77777777" w:rsidR="00257763" w:rsidRPr="0043654C" w:rsidRDefault="00D426A3" w:rsidP="00A30145">
      <w:pPr>
        <w:tabs>
          <w:tab w:val="left" w:pos="540"/>
        </w:tabs>
        <w:jc w:val="both"/>
        <w:rPr>
          <w:b/>
          <w:bCs/>
          <w:szCs w:val="22"/>
          <w:lang w:val="sr-Latn-ME"/>
        </w:rPr>
      </w:pPr>
      <w:r w:rsidRPr="0043654C">
        <w:rPr>
          <w:b/>
          <w:bCs/>
          <w:szCs w:val="22"/>
          <w:lang w:val="sr-Latn-ME"/>
        </w:rPr>
        <w:t xml:space="preserve">9. </w:t>
      </w:r>
      <w:r w:rsidRPr="0043654C">
        <w:rPr>
          <w:b/>
          <w:bCs/>
          <w:szCs w:val="22"/>
          <w:lang w:val="sr-Latn-ME"/>
        </w:rPr>
        <w:tab/>
        <w:t>DATUM PRVE DOZVOLE/OBNOVE DOZVOLE ZA STAVLJANJE LIJEKA U PROMET</w:t>
      </w:r>
    </w:p>
    <w:p w14:paraId="22D81AE7" w14:textId="77777777" w:rsidR="00257763" w:rsidRPr="0043654C" w:rsidRDefault="00257763" w:rsidP="00A30145">
      <w:pPr>
        <w:tabs>
          <w:tab w:val="left" w:pos="540"/>
        </w:tabs>
        <w:jc w:val="both"/>
        <w:rPr>
          <w:bCs/>
          <w:szCs w:val="22"/>
          <w:lang w:val="sr-Latn-ME"/>
        </w:rPr>
      </w:pPr>
    </w:p>
    <w:p w14:paraId="578CCBC9" w14:textId="681F8B7C" w:rsidR="00257763" w:rsidRPr="0043654C" w:rsidRDefault="0043654C" w:rsidP="00A30145">
      <w:pPr>
        <w:tabs>
          <w:tab w:val="left" w:pos="540"/>
        </w:tabs>
        <w:jc w:val="both"/>
        <w:rPr>
          <w:bCs/>
          <w:szCs w:val="22"/>
          <w:lang w:val="sr-Latn-ME"/>
        </w:rPr>
      </w:pPr>
      <w:r w:rsidRPr="0043654C">
        <w:rPr>
          <w:bCs/>
          <w:szCs w:val="22"/>
          <w:lang w:val="sr-Latn-ME"/>
        </w:rPr>
        <w:t>01.08.2025. godine</w:t>
      </w:r>
    </w:p>
    <w:p w14:paraId="1D36FBFA" w14:textId="743D1F27" w:rsidR="0043654C" w:rsidRPr="0043654C" w:rsidRDefault="0043654C" w:rsidP="00A30145">
      <w:pPr>
        <w:tabs>
          <w:tab w:val="left" w:pos="540"/>
        </w:tabs>
        <w:jc w:val="both"/>
        <w:rPr>
          <w:bCs/>
          <w:szCs w:val="22"/>
          <w:lang w:val="sr-Latn-ME"/>
        </w:rPr>
      </w:pPr>
    </w:p>
    <w:p w14:paraId="67E10364" w14:textId="77777777" w:rsidR="0043654C" w:rsidRPr="0043654C" w:rsidRDefault="0043654C" w:rsidP="00A30145">
      <w:pPr>
        <w:tabs>
          <w:tab w:val="left" w:pos="540"/>
        </w:tabs>
        <w:jc w:val="both"/>
        <w:rPr>
          <w:bCs/>
          <w:szCs w:val="22"/>
          <w:lang w:val="sr-Latn-ME"/>
        </w:rPr>
      </w:pPr>
    </w:p>
    <w:p w14:paraId="4F72BCE1" w14:textId="77777777" w:rsidR="00257763" w:rsidRPr="0043654C" w:rsidRDefault="00D426A3" w:rsidP="00A30145">
      <w:pPr>
        <w:tabs>
          <w:tab w:val="left" w:pos="540"/>
        </w:tabs>
        <w:ind w:left="540" w:hanging="540"/>
        <w:jc w:val="both"/>
        <w:rPr>
          <w:bCs/>
          <w:szCs w:val="22"/>
          <w:lang w:val="sr-Latn-ME"/>
        </w:rPr>
      </w:pPr>
      <w:r w:rsidRPr="0043654C">
        <w:rPr>
          <w:b/>
          <w:bCs/>
          <w:szCs w:val="22"/>
          <w:lang w:val="sr-Latn-ME"/>
        </w:rPr>
        <w:t xml:space="preserve">10. </w:t>
      </w:r>
      <w:r w:rsidRPr="0043654C">
        <w:rPr>
          <w:b/>
          <w:bCs/>
          <w:szCs w:val="22"/>
          <w:lang w:val="sr-Latn-ME"/>
        </w:rPr>
        <w:tab/>
        <w:t xml:space="preserve">DATUM REVIZIJE TEKSTA </w:t>
      </w:r>
    </w:p>
    <w:p w14:paraId="7FC4DBED" w14:textId="77777777" w:rsidR="00257763" w:rsidRPr="0043654C" w:rsidRDefault="00257763" w:rsidP="00A30145">
      <w:pPr>
        <w:tabs>
          <w:tab w:val="left" w:pos="540"/>
        </w:tabs>
        <w:jc w:val="both"/>
        <w:rPr>
          <w:bCs/>
          <w:szCs w:val="22"/>
          <w:lang w:val="sr-Latn-ME"/>
        </w:rPr>
      </w:pPr>
    </w:p>
    <w:p w14:paraId="3E360B48" w14:textId="405BC268" w:rsidR="00257763" w:rsidRPr="0043654C" w:rsidRDefault="0043654C" w:rsidP="00A30145">
      <w:pPr>
        <w:tabs>
          <w:tab w:val="left" w:pos="540"/>
        </w:tabs>
        <w:jc w:val="both"/>
        <w:rPr>
          <w:bCs/>
          <w:szCs w:val="22"/>
          <w:lang w:val="sr-Latn-ME"/>
        </w:rPr>
      </w:pPr>
      <w:r w:rsidRPr="0043654C">
        <w:rPr>
          <w:bCs/>
          <w:szCs w:val="22"/>
          <w:lang w:val="sr-Latn-ME"/>
        </w:rPr>
        <w:t>Avgust, 2025. godine</w:t>
      </w:r>
    </w:p>
    <w:p w14:paraId="3A5BB07C" w14:textId="77777777" w:rsidR="00257763" w:rsidRPr="0043654C" w:rsidRDefault="00257763" w:rsidP="00A30145">
      <w:pPr>
        <w:jc w:val="both"/>
        <w:rPr>
          <w:lang w:val="sr-Latn-ME"/>
        </w:rPr>
      </w:pPr>
    </w:p>
    <w:sectPr w:rsidR="00257763" w:rsidRPr="0043654C" w:rsidSect="00AD1520">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8FB40" w14:textId="77777777" w:rsidR="006F49BD" w:rsidRDefault="006F49BD">
      <w:pPr>
        <w:spacing w:line="240" w:lineRule="auto"/>
      </w:pPr>
      <w:r>
        <w:separator/>
      </w:r>
    </w:p>
  </w:endnote>
  <w:endnote w:type="continuationSeparator" w:id="0">
    <w:p w14:paraId="3A7E77A1" w14:textId="77777777" w:rsidR="006F49BD" w:rsidRDefault="006F49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dvTimes">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A8C51" w14:textId="553983FE" w:rsidR="00AE03A2" w:rsidRDefault="00AE03A2">
    <w:pPr>
      <w:pStyle w:val="Footer"/>
      <w:tabs>
        <w:tab w:val="right" w:pos="8931"/>
      </w:tabs>
      <w:ind w:right="96"/>
      <w:jc w:val="center"/>
    </w:pPr>
    <w:r>
      <w:fldChar w:fldCharType="begin"/>
    </w:r>
    <w:r>
      <w:instrText xml:space="preserve"> EQ </w:instrText>
    </w:r>
    <w:r>
      <w:fldChar w:fldCharType="end"/>
    </w:r>
    <w:r w:rsidRPr="00AD1520">
      <w:rPr>
        <w:rStyle w:val="PageNumber"/>
        <w:rFonts w:ascii="Times New Roman" w:hAnsi="Times New Roman"/>
        <w:sz w:val="22"/>
        <w:szCs w:val="22"/>
      </w:rPr>
      <w:fldChar w:fldCharType="begin"/>
    </w:r>
    <w:r w:rsidRPr="00AD1520">
      <w:rPr>
        <w:rStyle w:val="PageNumber"/>
        <w:rFonts w:ascii="Times New Roman" w:hAnsi="Times New Roman"/>
        <w:sz w:val="22"/>
        <w:szCs w:val="22"/>
      </w:rPr>
      <w:instrText xml:space="preserve">PAGE  </w:instrText>
    </w:r>
    <w:r w:rsidRPr="00AD1520">
      <w:rPr>
        <w:rStyle w:val="PageNumber"/>
        <w:rFonts w:ascii="Times New Roman" w:hAnsi="Times New Roman"/>
        <w:sz w:val="22"/>
        <w:szCs w:val="22"/>
      </w:rPr>
      <w:fldChar w:fldCharType="separate"/>
    </w:r>
    <w:r w:rsidR="00D92516">
      <w:rPr>
        <w:rStyle w:val="PageNumber"/>
        <w:rFonts w:ascii="Times New Roman" w:hAnsi="Times New Roman"/>
        <w:sz w:val="22"/>
        <w:szCs w:val="22"/>
      </w:rPr>
      <w:t>16</w:t>
    </w:r>
    <w:r w:rsidRPr="00AD1520">
      <w:rPr>
        <w:rStyle w:val="PageNumber"/>
        <w:rFonts w:ascii="Times New Roman" w:hAnsi="Times New Roman"/>
        <w:sz w:val="22"/>
        <w:szCs w:val="22"/>
      </w:rPr>
      <w:fldChar w:fldCharType="end"/>
    </w:r>
    <w:r w:rsidR="00D92516">
      <w:rPr>
        <w:rStyle w:val="PageNumber"/>
        <w:rFonts w:ascii="Times New Roman" w:hAnsi="Times New Roman"/>
        <w:sz w:val="22"/>
        <w:szCs w:val="22"/>
      </w:rPr>
      <w:t xml:space="preserve"> </w:t>
    </w:r>
    <w:r w:rsidRPr="00AD1520">
      <w:rPr>
        <w:rStyle w:val="PageNumber"/>
        <w:rFonts w:ascii="Times New Roman" w:hAnsi="Times New Roman"/>
        <w:sz w:val="22"/>
        <w:szCs w:val="22"/>
      </w:rPr>
      <w:t>/</w:t>
    </w:r>
    <w:r w:rsidR="00D92516">
      <w:rPr>
        <w:rStyle w:val="PageNumber"/>
        <w:rFonts w:ascii="Times New Roman" w:hAnsi="Times New Roman"/>
        <w:sz w:val="22"/>
        <w:szCs w:val="22"/>
      </w:rPr>
      <w:t xml:space="preserve"> </w:t>
    </w:r>
    <w:r w:rsidRPr="00AD1520">
      <w:rPr>
        <w:rStyle w:val="PageNumber"/>
        <w:rFonts w:ascii="Times New Roman" w:hAnsi="Times New Roman"/>
        <w:sz w:val="22"/>
        <w:szCs w:val="22"/>
      </w:rPr>
      <w:t>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CF87D" w14:textId="77777777" w:rsidR="00AE03A2" w:rsidRDefault="00AE03A2">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8410E" w14:textId="77777777" w:rsidR="006F49BD" w:rsidRDefault="006F49BD">
      <w:pPr>
        <w:spacing w:line="240" w:lineRule="auto"/>
      </w:pPr>
      <w:r>
        <w:separator/>
      </w:r>
    </w:p>
  </w:footnote>
  <w:footnote w:type="continuationSeparator" w:id="0">
    <w:p w14:paraId="0805D6AF" w14:textId="77777777" w:rsidR="006F49BD" w:rsidRDefault="006F49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7B14BCB"/>
    <w:multiLevelType w:val="hybridMultilevel"/>
    <w:tmpl w:val="D3F4B686"/>
    <w:lvl w:ilvl="0" w:tplc="D94001D4">
      <w:start w:val="23"/>
      <w:numFmt w:val="bullet"/>
      <w:lvlText w:val="-"/>
      <w:lvlJc w:val="left"/>
      <w:pPr>
        <w:tabs>
          <w:tab w:val="num" w:pos="567"/>
        </w:tabs>
        <w:ind w:left="567" w:hanging="567"/>
      </w:pPr>
      <w:rPr>
        <w:rFonts w:ascii="Times-Roman" w:eastAsia="Times New Roman" w:hAnsi="Times-Roman" w:cs="Times-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08417E6"/>
    <w:multiLevelType w:val="hybridMultilevel"/>
    <w:tmpl w:val="142667D0"/>
    <w:lvl w:ilvl="0" w:tplc="910A9EFA">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0E314CF"/>
    <w:multiLevelType w:val="hybridMultilevel"/>
    <w:tmpl w:val="E3F0F058"/>
    <w:lvl w:ilvl="0" w:tplc="D94001D4">
      <w:start w:val="23"/>
      <w:numFmt w:val="bullet"/>
      <w:lvlText w:val="-"/>
      <w:lvlJc w:val="left"/>
      <w:pPr>
        <w:tabs>
          <w:tab w:val="num" w:pos="567"/>
        </w:tabs>
        <w:ind w:left="567" w:hanging="567"/>
      </w:pPr>
      <w:rPr>
        <w:rFonts w:ascii="Times-Roman" w:eastAsia="Times New Roman" w:hAnsi="Times-Roman" w:cs="Times-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2"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6"/>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7"/>
  </w:num>
  <w:num w:numId="6">
    <w:abstractNumId w:val="14"/>
  </w:num>
  <w:num w:numId="7">
    <w:abstractNumId w:val="8"/>
  </w:num>
  <w:num w:numId="8">
    <w:abstractNumId w:val="10"/>
  </w:num>
  <w:num w:numId="9">
    <w:abstractNumId w:val="23"/>
  </w:num>
  <w:num w:numId="10">
    <w:abstractNumId w:val="1"/>
  </w:num>
  <w:num w:numId="11">
    <w:abstractNumId w:val="20"/>
  </w:num>
  <w:num w:numId="12">
    <w:abstractNumId w:val="9"/>
  </w:num>
  <w:num w:numId="13">
    <w:abstractNumId w:val="5"/>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1"/>
  </w:num>
  <w:num w:numId="17">
    <w:abstractNumId w:val="12"/>
  </w:num>
  <w:num w:numId="18">
    <w:abstractNumId w:val="13"/>
  </w:num>
  <w:num w:numId="19">
    <w:abstractNumId w:val="24"/>
  </w:num>
  <w:num w:numId="20">
    <w:abstractNumId w:val="15"/>
  </w:num>
  <w:num w:numId="21">
    <w:abstractNumId w:val="22"/>
  </w:num>
  <w:num w:numId="22">
    <w:abstractNumId w:val="18"/>
  </w:num>
  <w:num w:numId="23">
    <w:abstractNumId w:val="7"/>
  </w:num>
  <w:num w:numId="24">
    <w:abstractNumId w:val="22"/>
  </w:num>
  <w:num w:numId="25">
    <w:abstractNumId w:val="4"/>
  </w:num>
  <w:num w:numId="26">
    <w:abstractNumId w:val="6"/>
  </w:num>
  <w:num w:numId="27">
    <w:abstractNumId w:val="11"/>
  </w:num>
  <w:num w:numId="28">
    <w:abstractNumId w:val="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257763"/>
    <w:rsid w:val="00257763"/>
    <w:rsid w:val="002D14F3"/>
    <w:rsid w:val="0043654C"/>
    <w:rsid w:val="005E4BBA"/>
    <w:rsid w:val="0062530C"/>
    <w:rsid w:val="006F49BD"/>
    <w:rsid w:val="007973DB"/>
    <w:rsid w:val="00A30145"/>
    <w:rsid w:val="00A77DD8"/>
    <w:rsid w:val="00AD1520"/>
    <w:rsid w:val="00AE03A2"/>
    <w:rsid w:val="00BD5173"/>
    <w:rsid w:val="00BF54FC"/>
    <w:rsid w:val="00D426A3"/>
    <w:rsid w:val="00D92516"/>
    <w:rsid w:val="00E11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B9936"/>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paragraph" w:styleId="NoSpacing">
    <w:name w:val="No Spacing"/>
    <w:uiPriority w:val="1"/>
    <w:qFormat/>
    <w:rPr>
      <w:rFonts w:eastAsia="Times New Roman"/>
      <w:sz w:val="24"/>
      <w:szCs w:val="24"/>
      <w:lang w:val="en-US" w:eastAsia="en-US"/>
    </w:rPr>
  </w:style>
  <w:style w:type="paragraph" w:styleId="BodyTextIndent">
    <w:name w:val="Body Text Indent"/>
    <w:basedOn w:val="Normal"/>
    <w:link w:val="BodyTextIndentChar"/>
    <w:pPr>
      <w:tabs>
        <w:tab w:val="clear" w:pos="567"/>
      </w:tabs>
      <w:spacing w:after="120" w:line="240" w:lineRule="auto"/>
      <w:ind w:left="283"/>
    </w:pPr>
    <w:rPr>
      <w:sz w:val="24"/>
      <w:lang w:val="sl-SI" w:eastAsia="sl-SI"/>
    </w:rPr>
  </w:style>
  <w:style w:type="character" w:customStyle="1" w:styleId="BodyTextIndentChar">
    <w:name w:val="Body Text Indent Char"/>
    <w:link w:val="BodyTextIndent"/>
    <w:rPr>
      <w:rFonts w:eastAsia="Times New Roman"/>
      <w:sz w:val="24"/>
    </w:rPr>
  </w:style>
  <w:style w:type="character" w:customStyle="1" w:styleId="FooterChar">
    <w:name w:val="Footer Char"/>
    <w:link w:val="Footer"/>
    <w:rPr>
      <w:rFonts w:ascii="Arial" w:eastAsia="Times New Roman" w:hAnsi="Arial"/>
      <w:noProof/>
      <w:sz w:val="16"/>
      <w:lang w:val="en-GB" w:eastAsia="en-US"/>
    </w:rPr>
  </w:style>
  <w:style w:type="character" w:customStyle="1" w:styleId="HeaderChar">
    <w:name w:val="Header Char"/>
    <w:link w:val="Header"/>
    <w:rPr>
      <w:rFonts w:ascii="Arial" w:eastAsia="Times New Roman" w:hAnsi="Arial"/>
      <w:lang w:val="en-GB" w:eastAsia="en-US"/>
    </w:rPr>
  </w:style>
  <w:style w:type="character" w:customStyle="1" w:styleId="BodyTextChar">
    <w:name w:val="Body Text Char"/>
    <w:link w:val="BodyText"/>
    <w:rPr>
      <w:rFonts w:eastAsia="Times New Roman"/>
      <w:i/>
      <w:color w:val="008000"/>
      <w:sz w:val="22"/>
      <w:lang w:val="en-GB" w:eastAsia="en-US"/>
    </w:rPr>
  </w:style>
  <w:style w:type="character" w:customStyle="1" w:styleId="BalloonTextChar">
    <w:name w:val="Balloon Text Char"/>
    <w:link w:val="BalloonText"/>
    <w:semiHidden/>
    <w:rPr>
      <w:rFonts w:ascii="Tahoma" w:eastAsia="Times New Roman" w:hAnsi="Tahoma" w:cs="Tahoma"/>
      <w:sz w:val="16"/>
      <w:szCs w:val="16"/>
      <w:lang w:val="en-GB"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42489">
      <w:bodyDiv w:val="1"/>
      <w:marLeft w:val="0"/>
      <w:marRight w:val="0"/>
      <w:marTop w:val="0"/>
      <w:marBottom w:val="0"/>
      <w:divBdr>
        <w:top w:val="none" w:sz="0" w:space="0" w:color="auto"/>
        <w:left w:val="none" w:sz="0" w:space="0" w:color="auto"/>
        <w:bottom w:val="none" w:sz="0" w:space="0" w:color="auto"/>
        <w:right w:val="none" w:sz="0" w:space="0" w:color="auto"/>
      </w:divBdr>
    </w:div>
    <w:div w:id="1526291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6427</Words>
  <Characters>36638</Characters>
  <Application>Microsoft Office Word</Application>
  <DocSecurity>0</DocSecurity>
  <Lines>305</Lines>
  <Paragraphs>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Majda Šahman</dc:creator>
  <cp:lastModifiedBy>Aleksandra Jonić-Popović</cp:lastModifiedBy>
  <cp:revision>3</cp:revision>
  <dcterms:created xsi:type="dcterms:W3CDTF">2025-08-01T08:37:00Z</dcterms:created>
  <dcterms:modified xsi:type="dcterms:W3CDTF">2025-08-01T10:17:00Z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