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10F13" w14:textId="27C9BD52" w:rsidR="00CE09F3" w:rsidRPr="001202A2" w:rsidRDefault="00CE09F3" w:rsidP="00880F49">
      <w:pPr>
        <w:jc w:val="center"/>
        <w:rPr>
          <w:b/>
          <w:bCs/>
          <w:iCs/>
          <w:szCs w:val="22"/>
          <w:u w:val="single"/>
          <w:lang w:val="sr-Latn-ME"/>
        </w:rPr>
      </w:pPr>
      <w:r w:rsidRPr="001202A2">
        <w:rPr>
          <w:b/>
          <w:bCs/>
          <w:iCs/>
          <w:szCs w:val="22"/>
          <w:u w:val="single"/>
          <w:lang w:val="sr-Latn-ME"/>
        </w:rPr>
        <w:t>SAŽETAK KARAKTERISTIKA L</w:t>
      </w:r>
      <w:r w:rsidR="007A552E" w:rsidRPr="001202A2">
        <w:rPr>
          <w:b/>
          <w:bCs/>
          <w:iCs/>
          <w:szCs w:val="22"/>
          <w:u w:val="single"/>
          <w:lang w:val="sr-Latn-ME"/>
        </w:rPr>
        <w:t>IJ</w:t>
      </w:r>
      <w:r w:rsidRPr="001202A2">
        <w:rPr>
          <w:b/>
          <w:bCs/>
          <w:iCs/>
          <w:szCs w:val="22"/>
          <w:u w:val="single"/>
          <w:lang w:val="sr-Latn-ME"/>
        </w:rPr>
        <w:t>EKA</w:t>
      </w:r>
    </w:p>
    <w:p w14:paraId="3D710F15" w14:textId="069B7FB0" w:rsidR="00383195" w:rsidRPr="001202A2" w:rsidRDefault="003E3EC7" w:rsidP="00880F49">
      <w:pPr>
        <w:rPr>
          <w:szCs w:val="22"/>
          <w:lang w:val="sr-Latn-ME"/>
        </w:rPr>
      </w:pPr>
      <w:r w:rsidRPr="001202A2">
        <w:rPr>
          <w:szCs w:val="22"/>
          <w:lang w:val="sr-Latn-ME"/>
        </w:rPr>
        <w:t xml:space="preserve"> </w:t>
      </w:r>
    </w:p>
    <w:p w14:paraId="167E46E6" w14:textId="1948D8CA" w:rsidR="00880F49" w:rsidRPr="001202A2" w:rsidRDefault="00880F49" w:rsidP="00880F49">
      <w:pPr>
        <w:rPr>
          <w:szCs w:val="22"/>
          <w:lang w:val="sr-Latn-ME"/>
        </w:rPr>
      </w:pPr>
    </w:p>
    <w:p w14:paraId="1AB171C3" w14:textId="77777777" w:rsidR="00880F49" w:rsidRPr="001202A2" w:rsidRDefault="00880F49" w:rsidP="00880F49">
      <w:pPr>
        <w:rPr>
          <w:szCs w:val="22"/>
          <w:lang w:val="sr-Latn-ME"/>
        </w:rPr>
      </w:pPr>
    </w:p>
    <w:p w14:paraId="3D710F16" w14:textId="0B425BA8" w:rsidR="00CE09F3" w:rsidRPr="001202A2" w:rsidRDefault="007A552E" w:rsidP="00480B31">
      <w:pPr>
        <w:pStyle w:val="NASLOV123"/>
        <w:numPr>
          <w:ilvl w:val="0"/>
          <w:numId w:val="12"/>
        </w:numPr>
        <w:spacing w:before="0" w:after="0"/>
        <w:rPr>
          <w:lang w:val="sr-Latn-ME"/>
        </w:rPr>
      </w:pPr>
      <w:r w:rsidRPr="001202A2">
        <w:rPr>
          <w:lang w:val="sr-Latn-ME"/>
        </w:rPr>
        <w:t>NAZIV</w:t>
      </w:r>
      <w:r w:rsidR="00CE09F3" w:rsidRPr="001202A2">
        <w:rPr>
          <w:lang w:val="sr-Latn-ME"/>
        </w:rPr>
        <w:t xml:space="preserve"> L</w:t>
      </w:r>
      <w:r w:rsidRPr="001202A2">
        <w:rPr>
          <w:lang w:val="sr-Latn-ME"/>
        </w:rPr>
        <w:t>IJ</w:t>
      </w:r>
      <w:r w:rsidR="00CE09F3" w:rsidRPr="001202A2">
        <w:rPr>
          <w:lang w:val="sr-Latn-ME"/>
        </w:rPr>
        <w:t>EKA</w:t>
      </w:r>
    </w:p>
    <w:p w14:paraId="286D78E0" w14:textId="77777777" w:rsidR="00141F57" w:rsidRPr="001202A2" w:rsidRDefault="00141F57" w:rsidP="00480B31">
      <w:pPr>
        <w:pStyle w:val="NASLOV123"/>
        <w:spacing w:before="0" w:after="0"/>
        <w:ind w:left="720"/>
        <w:rPr>
          <w:lang w:val="sr-Latn-ME"/>
        </w:rPr>
      </w:pPr>
    </w:p>
    <w:p w14:paraId="7703C67F" w14:textId="6332C33C" w:rsidR="0063641E" w:rsidRPr="001202A2" w:rsidRDefault="0063641E" w:rsidP="00880F49">
      <w:pPr>
        <w:rPr>
          <w:szCs w:val="22"/>
          <w:lang w:val="sr-Latn-ME"/>
        </w:rPr>
      </w:pPr>
      <w:r w:rsidRPr="001202A2">
        <w:rPr>
          <w:szCs w:val="22"/>
          <w:lang w:val="sr-Latn-ME"/>
        </w:rPr>
        <w:t>Oxaway</w:t>
      </w:r>
      <w:r w:rsidR="00880F49" w:rsidRPr="001202A2">
        <w:rPr>
          <w:szCs w:val="22"/>
          <w:lang w:val="sr-Latn-ME"/>
        </w:rPr>
        <w:t>,</w:t>
      </w:r>
      <w:r w:rsidRPr="001202A2">
        <w:rPr>
          <w:szCs w:val="22"/>
          <w:lang w:val="sr-Latn-ME"/>
        </w:rPr>
        <w:t xml:space="preserve"> 15 mg, film</w:t>
      </w:r>
      <w:r w:rsidR="007A552E" w:rsidRPr="001202A2">
        <w:rPr>
          <w:szCs w:val="22"/>
          <w:lang w:val="sr-Latn-ME"/>
        </w:rPr>
        <w:t xml:space="preserve"> </w:t>
      </w:r>
      <w:r w:rsidRPr="001202A2">
        <w:rPr>
          <w:szCs w:val="22"/>
          <w:lang w:val="sr-Latn-ME"/>
        </w:rPr>
        <w:t>tableta</w:t>
      </w:r>
    </w:p>
    <w:p w14:paraId="5C1E4AF7" w14:textId="147BFAA0" w:rsidR="0063641E" w:rsidRPr="001202A2" w:rsidRDefault="0063641E" w:rsidP="00880F49">
      <w:pPr>
        <w:rPr>
          <w:szCs w:val="22"/>
          <w:lang w:val="sr-Latn-ME"/>
        </w:rPr>
      </w:pPr>
      <w:r w:rsidRPr="001202A2">
        <w:rPr>
          <w:szCs w:val="22"/>
          <w:lang w:val="sr-Latn-ME"/>
        </w:rPr>
        <w:t>Oxaway</w:t>
      </w:r>
      <w:r w:rsidR="00880F49" w:rsidRPr="001202A2">
        <w:rPr>
          <w:szCs w:val="22"/>
          <w:lang w:val="sr-Latn-ME"/>
        </w:rPr>
        <w:t>,</w:t>
      </w:r>
      <w:r w:rsidRPr="001202A2">
        <w:rPr>
          <w:szCs w:val="22"/>
          <w:lang w:val="sr-Latn-ME"/>
        </w:rPr>
        <w:t xml:space="preserve"> 30 mg, film</w:t>
      </w:r>
      <w:r w:rsidR="007A552E" w:rsidRPr="001202A2">
        <w:rPr>
          <w:szCs w:val="22"/>
          <w:lang w:val="sr-Latn-ME"/>
        </w:rPr>
        <w:t xml:space="preserve"> </w:t>
      </w:r>
      <w:r w:rsidRPr="001202A2">
        <w:rPr>
          <w:szCs w:val="22"/>
          <w:lang w:val="sr-Latn-ME"/>
        </w:rPr>
        <w:t>tableta</w:t>
      </w:r>
    </w:p>
    <w:p w14:paraId="112EC1D2" w14:textId="14B5CF3C" w:rsidR="0063641E" w:rsidRPr="001202A2" w:rsidRDefault="0063641E" w:rsidP="00880F49">
      <w:pPr>
        <w:rPr>
          <w:szCs w:val="22"/>
          <w:lang w:val="sr-Latn-ME"/>
        </w:rPr>
      </w:pPr>
      <w:r w:rsidRPr="001202A2">
        <w:rPr>
          <w:szCs w:val="22"/>
          <w:lang w:val="sr-Latn-ME"/>
        </w:rPr>
        <w:t>Oxaway</w:t>
      </w:r>
      <w:r w:rsidR="00880F49" w:rsidRPr="001202A2">
        <w:rPr>
          <w:szCs w:val="22"/>
          <w:lang w:val="sr-Latn-ME"/>
        </w:rPr>
        <w:t>,</w:t>
      </w:r>
      <w:r w:rsidRPr="001202A2">
        <w:rPr>
          <w:szCs w:val="22"/>
          <w:lang w:val="sr-Latn-ME"/>
        </w:rPr>
        <w:t xml:space="preserve"> 60 mg, film</w:t>
      </w:r>
      <w:r w:rsidR="007A552E" w:rsidRPr="001202A2">
        <w:rPr>
          <w:szCs w:val="22"/>
          <w:lang w:val="sr-Latn-ME"/>
        </w:rPr>
        <w:t xml:space="preserve"> </w:t>
      </w:r>
      <w:r w:rsidRPr="001202A2">
        <w:rPr>
          <w:szCs w:val="22"/>
          <w:lang w:val="sr-Latn-ME"/>
        </w:rPr>
        <w:t>tableta</w:t>
      </w:r>
    </w:p>
    <w:p w14:paraId="51DB6C50" w14:textId="77777777" w:rsidR="00880F49" w:rsidRPr="001202A2" w:rsidRDefault="00880F49" w:rsidP="00880F49">
      <w:pPr>
        <w:rPr>
          <w:szCs w:val="22"/>
          <w:lang w:val="sr-Latn-ME"/>
        </w:rPr>
      </w:pPr>
    </w:p>
    <w:p w14:paraId="3D710F1C" w14:textId="111E48CC" w:rsidR="00BB698B" w:rsidRPr="001202A2" w:rsidRDefault="00CE09F3" w:rsidP="00480B31">
      <w:pPr>
        <w:rPr>
          <w:iCs/>
          <w:szCs w:val="22"/>
          <w:lang w:val="sr-Latn-ME"/>
        </w:rPr>
      </w:pPr>
      <w:r w:rsidRPr="001202A2">
        <w:rPr>
          <w:szCs w:val="22"/>
          <w:lang w:val="sr-Latn-ME"/>
        </w:rPr>
        <w:t>INN:</w:t>
      </w:r>
      <w:r w:rsidR="00BB698B" w:rsidRPr="001202A2">
        <w:rPr>
          <w:iCs/>
          <w:szCs w:val="22"/>
          <w:lang w:val="sr-Latn-ME"/>
        </w:rPr>
        <w:t xml:space="preserve"> </w:t>
      </w:r>
      <w:r w:rsidR="0063641E" w:rsidRPr="001202A2">
        <w:rPr>
          <w:iCs/>
          <w:szCs w:val="22"/>
          <w:lang w:val="sr-Latn-ME"/>
        </w:rPr>
        <w:t>edoksaban</w:t>
      </w:r>
    </w:p>
    <w:p w14:paraId="6E1EB93D" w14:textId="2EFFF845" w:rsidR="00141F57" w:rsidRPr="001202A2" w:rsidRDefault="00141F57" w:rsidP="00480B31">
      <w:pPr>
        <w:rPr>
          <w:iCs/>
          <w:szCs w:val="22"/>
          <w:lang w:val="sr-Latn-ME"/>
        </w:rPr>
      </w:pPr>
    </w:p>
    <w:p w14:paraId="2CE42A30" w14:textId="77777777" w:rsidR="00141F57" w:rsidRPr="001202A2" w:rsidRDefault="00141F57" w:rsidP="00480B31">
      <w:pPr>
        <w:rPr>
          <w:iCs/>
          <w:szCs w:val="22"/>
          <w:lang w:val="sr-Latn-ME"/>
        </w:rPr>
      </w:pPr>
    </w:p>
    <w:p w14:paraId="3D710F1D" w14:textId="0BC2E4B9" w:rsidR="00CE09F3" w:rsidRPr="001202A2" w:rsidRDefault="00CE09F3" w:rsidP="00480B31">
      <w:pPr>
        <w:pStyle w:val="NASLOV123"/>
        <w:numPr>
          <w:ilvl w:val="0"/>
          <w:numId w:val="12"/>
        </w:numPr>
        <w:spacing w:before="0" w:after="0"/>
        <w:rPr>
          <w:lang w:val="sr-Latn-ME"/>
        </w:rPr>
      </w:pPr>
      <w:r w:rsidRPr="001202A2">
        <w:rPr>
          <w:lang w:val="sr-Latn-ME"/>
        </w:rPr>
        <w:t>KVALITATIVNI I KVANTITATIVNI SASTAV</w:t>
      </w:r>
    </w:p>
    <w:p w14:paraId="52C5C987" w14:textId="77777777" w:rsidR="00141F57" w:rsidRPr="001202A2" w:rsidRDefault="00141F57" w:rsidP="00480B31">
      <w:pPr>
        <w:pStyle w:val="NASLOV123"/>
        <w:spacing w:before="0" w:after="0"/>
        <w:ind w:left="720"/>
        <w:rPr>
          <w:lang w:val="sr-Latn-ME"/>
        </w:rPr>
      </w:pPr>
    </w:p>
    <w:p w14:paraId="4E3D3571" w14:textId="4ECD3285" w:rsidR="007A552E" w:rsidRPr="001202A2" w:rsidRDefault="007A552E" w:rsidP="00880F49">
      <w:pPr>
        <w:rPr>
          <w:szCs w:val="22"/>
          <w:u w:val="single"/>
          <w:lang w:val="sr-Latn-ME"/>
        </w:rPr>
      </w:pPr>
      <w:r w:rsidRPr="001202A2">
        <w:rPr>
          <w:szCs w:val="22"/>
          <w:u w:val="single"/>
          <w:lang w:val="sr-Latn-ME"/>
        </w:rPr>
        <w:t>Oxaway, 15 mg, film tablet</w:t>
      </w:r>
      <w:r w:rsidR="00880F49" w:rsidRPr="001202A2">
        <w:rPr>
          <w:szCs w:val="22"/>
          <w:u w:val="single"/>
          <w:lang w:val="sr-Latn-ME"/>
        </w:rPr>
        <w:t>a</w:t>
      </w:r>
    </w:p>
    <w:p w14:paraId="1D37FDFB" w14:textId="311803B1" w:rsidR="007A552E" w:rsidRPr="001202A2" w:rsidRDefault="007A552E" w:rsidP="00880F49">
      <w:pPr>
        <w:autoSpaceDE w:val="0"/>
        <w:autoSpaceDN w:val="0"/>
        <w:adjustRightInd w:val="0"/>
        <w:rPr>
          <w:szCs w:val="22"/>
          <w:lang w:val="sr-Latn-ME"/>
        </w:rPr>
      </w:pPr>
      <w:r w:rsidRPr="001202A2">
        <w:rPr>
          <w:szCs w:val="22"/>
          <w:lang w:val="sr-Latn-ME"/>
        </w:rPr>
        <w:t xml:space="preserve">Jedna film tableta sadrži 15 mg edoksabana (u obliku </w:t>
      </w:r>
      <w:r w:rsidR="00D73F46" w:rsidRPr="001202A2">
        <w:rPr>
          <w:szCs w:val="22"/>
          <w:lang w:val="sr-Latn-ME"/>
        </w:rPr>
        <w:t>edoksaban tosilat monohidrata</w:t>
      </w:r>
      <w:r w:rsidRPr="001202A2">
        <w:rPr>
          <w:szCs w:val="22"/>
          <w:lang w:val="sr-Latn-ME"/>
        </w:rPr>
        <w:t>).</w:t>
      </w:r>
    </w:p>
    <w:p w14:paraId="229F4AD8" w14:textId="77777777" w:rsidR="00880F49" w:rsidRPr="001202A2" w:rsidRDefault="00880F49" w:rsidP="00880F49">
      <w:pPr>
        <w:rPr>
          <w:szCs w:val="22"/>
          <w:lang w:val="sr-Latn-ME"/>
        </w:rPr>
      </w:pPr>
    </w:p>
    <w:p w14:paraId="08173611" w14:textId="01525BF2" w:rsidR="007A552E" w:rsidRPr="001202A2" w:rsidRDefault="007A552E" w:rsidP="00880F49">
      <w:pPr>
        <w:rPr>
          <w:szCs w:val="22"/>
          <w:u w:val="single"/>
          <w:lang w:val="sr-Latn-ME"/>
        </w:rPr>
      </w:pPr>
      <w:r w:rsidRPr="001202A2">
        <w:rPr>
          <w:szCs w:val="22"/>
          <w:u w:val="single"/>
          <w:lang w:val="sr-Latn-ME"/>
        </w:rPr>
        <w:t>Oxaway, 30 mg, film tablet</w:t>
      </w:r>
      <w:r w:rsidR="00880F49" w:rsidRPr="001202A2">
        <w:rPr>
          <w:szCs w:val="22"/>
          <w:u w:val="single"/>
          <w:lang w:val="sr-Latn-ME"/>
        </w:rPr>
        <w:t>a</w:t>
      </w:r>
    </w:p>
    <w:p w14:paraId="7D81E045" w14:textId="4F9E00B2" w:rsidR="007A552E" w:rsidRPr="001202A2" w:rsidRDefault="007A552E" w:rsidP="00880F49">
      <w:pPr>
        <w:autoSpaceDE w:val="0"/>
        <w:autoSpaceDN w:val="0"/>
        <w:adjustRightInd w:val="0"/>
        <w:rPr>
          <w:szCs w:val="22"/>
          <w:lang w:val="sr-Latn-ME"/>
        </w:rPr>
      </w:pPr>
      <w:r w:rsidRPr="001202A2">
        <w:rPr>
          <w:szCs w:val="22"/>
          <w:lang w:val="sr-Latn-ME"/>
        </w:rPr>
        <w:t xml:space="preserve">Jedna film tableta sadrži 30 mg edoksabana (u obliku </w:t>
      </w:r>
      <w:r w:rsidR="00D73F46" w:rsidRPr="001202A2">
        <w:rPr>
          <w:szCs w:val="22"/>
          <w:lang w:val="sr-Latn-ME"/>
        </w:rPr>
        <w:t>edoksaban tosilat monohidrata</w:t>
      </w:r>
      <w:r w:rsidRPr="001202A2">
        <w:rPr>
          <w:szCs w:val="22"/>
          <w:lang w:val="sr-Latn-ME"/>
        </w:rPr>
        <w:t>).</w:t>
      </w:r>
    </w:p>
    <w:p w14:paraId="695F0A63" w14:textId="77777777" w:rsidR="00880F49" w:rsidRPr="001202A2" w:rsidRDefault="00880F49" w:rsidP="00880F49">
      <w:pPr>
        <w:rPr>
          <w:szCs w:val="22"/>
          <w:lang w:val="sr-Latn-ME"/>
        </w:rPr>
      </w:pPr>
    </w:p>
    <w:p w14:paraId="7A85BCCF" w14:textId="7B8D85D4" w:rsidR="007A552E" w:rsidRPr="001202A2" w:rsidRDefault="007A552E" w:rsidP="00880F49">
      <w:pPr>
        <w:rPr>
          <w:szCs w:val="22"/>
          <w:u w:val="single"/>
          <w:lang w:val="sr-Latn-ME"/>
        </w:rPr>
      </w:pPr>
      <w:r w:rsidRPr="001202A2">
        <w:rPr>
          <w:szCs w:val="22"/>
          <w:u w:val="single"/>
          <w:lang w:val="sr-Latn-ME"/>
        </w:rPr>
        <w:t>Oxaway, 60 mg, film tablet</w:t>
      </w:r>
      <w:r w:rsidR="00880F49" w:rsidRPr="001202A2">
        <w:rPr>
          <w:szCs w:val="22"/>
          <w:u w:val="single"/>
          <w:lang w:val="sr-Latn-ME"/>
        </w:rPr>
        <w:t>a</w:t>
      </w:r>
    </w:p>
    <w:p w14:paraId="77A95A3D" w14:textId="7F540129" w:rsidR="007A552E" w:rsidRPr="001202A2" w:rsidRDefault="007A552E" w:rsidP="00880F49">
      <w:pPr>
        <w:rPr>
          <w:szCs w:val="22"/>
          <w:lang w:val="sr-Latn-ME"/>
        </w:rPr>
      </w:pPr>
      <w:r w:rsidRPr="001202A2">
        <w:rPr>
          <w:szCs w:val="22"/>
          <w:lang w:val="sr-Latn-ME"/>
        </w:rPr>
        <w:t xml:space="preserve">Jedna film tableta sadrži 60 mg edoksabana (u obliku </w:t>
      </w:r>
      <w:r w:rsidR="00D73F46" w:rsidRPr="001202A2">
        <w:rPr>
          <w:szCs w:val="22"/>
          <w:lang w:val="sr-Latn-ME"/>
        </w:rPr>
        <w:t>edoksaban tosilat monohidrata</w:t>
      </w:r>
      <w:r w:rsidRPr="001202A2">
        <w:rPr>
          <w:szCs w:val="22"/>
          <w:lang w:val="sr-Latn-ME"/>
        </w:rPr>
        <w:t>).</w:t>
      </w:r>
    </w:p>
    <w:p w14:paraId="1911652D" w14:textId="77777777" w:rsidR="007A552E" w:rsidRPr="001202A2" w:rsidRDefault="007A552E" w:rsidP="00880F49">
      <w:pPr>
        <w:rPr>
          <w:szCs w:val="22"/>
          <w:lang w:val="sr-Latn-ME"/>
        </w:rPr>
      </w:pPr>
    </w:p>
    <w:p w14:paraId="262067D3" w14:textId="7353401D" w:rsidR="007A552E" w:rsidRPr="001202A2" w:rsidRDefault="007A552E" w:rsidP="00880F49">
      <w:pPr>
        <w:rPr>
          <w:szCs w:val="22"/>
          <w:lang w:val="sr-Latn-ME"/>
        </w:rPr>
      </w:pPr>
      <w:r w:rsidRPr="001202A2">
        <w:rPr>
          <w:szCs w:val="22"/>
          <w:lang w:val="sr-Latn-ME"/>
        </w:rPr>
        <w:t>Za spisak svih ekscipijenasa, pogledati dio 6.1.</w:t>
      </w:r>
    </w:p>
    <w:p w14:paraId="5BCF7FB6" w14:textId="3FCA13CC" w:rsidR="00141F57" w:rsidRPr="001202A2" w:rsidRDefault="00141F57" w:rsidP="00880F49">
      <w:pPr>
        <w:rPr>
          <w:szCs w:val="22"/>
          <w:lang w:val="sr-Latn-ME"/>
        </w:rPr>
      </w:pPr>
    </w:p>
    <w:p w14:paraId="466650C7" w14:textId="77777777" w:rsidR="00141F57" w:rsidRPr="001202A2" w:rsidRDefault="00141F57" w:rsidP="00880F49">
      <w:pPr>
        <w:rPr>
          <w:szCs w:val="22"/>
          <w:lang w:val="sr-Latn-ME"/>
        </w:rPr>
      </w:pPr>
    </w:p>
    <w:p w14:paraId="463C7A93" w14:textId="54BD7881" w:rsidR="007A552E" w:rsidRPr="001202A2" w:rsidRDefault="00CE09F3" w:rsidP="00480B31">
      <w:pPr>
        <w:pStyle w:val="NASLOV123"/>
        <w:numPr>
          <w:ilvl w:val="0"/>
          <w:numId w:val="12"/>
        </w:numPr>
        <w:spacing w:before="0" w:after="0"/>
        <w:rPr>
          <w:lang w:val="sr-Latn-ME"/>
        </w:rPr>
      </w:pPr>
      <w:r w:rsidRPr="001202A2">
        <w:rPr>
          <w:lang w:val="sr-Latn-ME"/>
        </w:rPr>
        <w:t>FARMACEUTSKI OBLIK</w:t>
      </w:r>
    </w:p>
    <w:p w14:paraId="0394C6C6" w14:textId="77777777" w:rsidR="00141F57" w:rsidRPr="001202A2" w:rsidRDefault="00141F57" w:rsidP="00480B31">
      <w:pPr>
        <w:pStyle w:val="NASLOV123"/>
        <w:spacing w:before="0" w:after="0"/>
        <w:ind w:left="360"/>
        <w:rPr>
          <w:lang w:val="sr-Latn-ME"/>
        </w:rPr>
      </w:pPr>
    </w:p>
    <w:p w14:paraId="74E9A879" w14:textId="03C4DB63" w:rsidR="00880F49" w:rsidRPr="001202A2" w:rsidRDefault="007A552E" w:rsidP="00480B31">
      <w:pPr>
        <w:pStyle w:val="NASLOV123"/>
        <w:spacing w:before="0" w:after="0"/>
        <w:rPr>
          <w:b w:val="0"/>
          <w:bCs/>
          <w:lang w:val="sr-Latn-ME"/>
        </w:rPr>
      </w:pPr>
      <w:r w:rsidRPr="001202A2">
        <w:rPr>
          <w:b w:val="0"/>
          <w:bCs/>
          <w:u w:val="single"/>
          <w:lang w:val="sr-Latn-ME"/>
        </w:rPr>
        <w:t>Oxaway</w:t>
      </w:r>
      <w:r w:rsidR="00880F49" w:rsidRPr="001202A2">
        <w:rPr>
          <w:b w:val="0"/>
          <w:bCs/>
          <w:u w:val="single"/>
          <w:lang w:val="sr-Latn-ME"/>
        </w:rPr>
        <w:t>,</w:t>
      </w:r>
      <w:r w:rsidRPr="001202A2">
        <w:rPr>
          <w:b w:val="0"/>
          <w:bCs/>
          <w:u w:val="single"/>
          <w:lang w:val="sr-Latn-ME"/>
        </w:rPr>
        <w:t xml:space="preserve"> 15 mg</w:t>
      </w:r>
      <w:r w:rsidR="00880F49" w:rsidRPr="001202A2">
        <w:rPr>
          <w:b w:val="0"/>
          <w:bCs/>
          <w:u w:val="single"/>
          <w:lang w:val="sr-Latn-ME"/>
        </w:rPr>
        <w:t>,</w:t>
      </w:r>
      <w:r w:rsidRPr="001202A2">
        <w:rPr>
          <w:b w:val="0"/>
          <w:bCs/>
          <w:u w:val="single"/>
          <w:lang w:val="sr-Latn-ME"/>
        </w:rPr>
        <w:t xml:space="preserve"> film tableta</w:t>
      </w:r>
    </w:p>
    <w:p w14:paraId="20ED4D55" w14:textId="28E2ADDB" w:rsidR="007A552E" w:rsidRPr="001202A2" w:rsidRDefault="00880F49" w:rsidP="00480B31">
      <w:pPr>
        <w:pStyle w:val="NASLOV123"/>
        <w:spacing w:before="0" w:after="0"/>
        <w:rPr>
          <w:b w:val="0"/>
          <w:bCs/>
          <w:lang w:val="sr-Latn-ME"/>
        </w:rPr>
      </w:pPr>
      <w:r w:rsidRPr="001202A2">
        <w:rPr>
          <w:b w:val="0"/>
          <w:bCs/>
          <w:lang w:val="sr-Latn-ME"/>
        </w:rPr>
        <w:t>N</w:t>
      </w:r>
      <w:r w:rsidR="007A552E" w:rsidRPr="001202A2">
        <w:rPr>
          <w:b w:val="0"/>
          <w:bCs/>
          <w:lang w:val="sr-Latn-ME"/>
        </w:rPr>
        <w:t>arandžasta, okrugla, bikonveksna film tableta</w:t>
      </w:r>
      <w:r w:rsidRPr="001202A2">
        <w:rPr>
          <w:b w:val="0"/>
          <w:bCs/>
          <w:lang w:val="sr-Latn-ME"/>
        </w:rPr>
        <w:t>, nominalnog prečnika 6,7 mm,</w:t>
      </w:r>
      <w:r w:rsidR="007A552E" w:rsidRPr="001202A2">
        <w:rPr>
          <w:b w:val="0"/>
          <w:bCs/>
          <w:lang w:val="sr-Latn-ME"/>
        </w:rPr>
        <w:t xml:space="preserve"> sa utisnutom oznakom "15" </w:t>
      </w:r>
      <w:r w:rsidR="00384359" w:rsidRPr="001202A2">
        <w:rPr>
          <w:b w:val="0"/>
          <w:bCs/>
          <w:lang w:val="sr-Latn-ME"/>
        </w:rPr>
        <w:t>n</w:t>
      </w:r>
      <w:r w:rsidR="007A552E" w:rsidRPr="001202A2">
        <w:rPr>
          <w:b w:val="0"/>
          <w:bCs/>
          <w:lang w:val="sr-Latn-ME"/>
        </w:rPr>
        <w:t>a jedn</w:t>
      </w:r>
      <w:r w:rsidR="00384359" w:rsidRPr="001202A2">
        <w:rPr>
          <w:b w:val="0"/>
          <w:bCs/>
          <w:lang w:val="sr-Latn-ME"/>
        </w:rPr>
        <w:t>oj</w:t>
      </w:r>
      <w:r w:rsidR="007A552E" w:rsidRPr="001202A2">
        <w:rPr>
          <w:b w:val="0"/>
          <w:bCs/>
          <w:lang w:val="sr-Latn-ME"/>
        </w:rPr>
        <w:t xml:space="preserve"> stran</w:t>
      </w:r>
      <w:r w:rsidR="00384359" w:rsidRPr="001202A2">
        <w:rPr>
          <w:b w:val="0"/>
          <w:bCs/>
          <w:lang w:val="sr-Latn-ME"/>
        </w:rPr>
        <w:t>i</w:t>
      </w:r>
      <w:r w:rsidRPr="001202A2">
        <w:rPr>
          <w:b w:val="0"/>
          <w:bCs/>
          <w:lang w:val="sr-Latn-ME"/>
        </w:rPr>
        <w:t xml:space="preserve"> i </w:t>
      </w:r>
      <w:r w:rsidR="00384359" w:rsidRPr="001202A2">
        <w:rPr>
          <w:b w:val="0"/>
          <w:bCs/>
          <w:lang w:val="sr-Latn-ME"/>
        </w:rPr>
        <w:t>bez oznake na drugoj strani tablete.</w:t>
      </w:r>
      <w:r w:rsidR="002B2DFD" w:rsidRPr="001202A2">
        <w:rPr>
          <w:b w:val="0"/>
          <w:bCs/>
          <w:lang w:val="sr-Latn-ME"/>
        </w:rPr>
        <w:t xml:space="preserve"> </w:t>
      </w:r>
    </w:p>
    <w:p w14:paraId="2BF7A1E8" w14:textId="77777777" w:rsidR="00880F49" w:rsidRPr="001202A2" w:rsidRDefault="00880F49" w:rsidP="00480B31">
      <w:pPr>
        <w:pStyle w:val="NASLOV123"/>
        <w:spacing w:before="0" w:after="0"/>
        <w:rPr>
          <w:b w:val="0"/>
          <w:bCs/>
          <w:lang w:val="sr-Latn-ME"/>
        </w:rPr>
      </w:pPr>
    </w:p>
    <w:p w14:paraId="4F496A85" w14:textId="1B347C4F" w:rsidR="00880F49" w:rsidRPr="001202A2" w:rsidRDefault="007A552E" w:rsidP="00480B31">
      <w:pPr>
        <w:pStyle w:val="NASLOV123"/>
        <w:spacing w:before="0" w:after="0"/>
        <w:rPr>
          <w:b w:val="0"/>
          <w:bCs/>
          <w:u w:val="single"/>
          <w:lang w:val="sr-Latn-ME"/>
        </w:rPr>
      </w:pPr>
      <w:r w:rsidRPr="001202A2">
        <w:rPr>
          <w:b w:val="0"/>
          <w:bCs/>
          <w:u w:val="single"/>
          <w:lang w:val="sr-Latn-ME"/>
        </w:rPr>
        <w:t>Oxaway</w:t>
      </w:r>
      <w:r w:rsidR="00880F49" w:rsidRPr="001202A2">
        <w:rPr>
          <w:b w:val="0"/>
          <w:bCs/>
          <w:u w:val="single"/>
          <w:lang w:val="sr-Latn-ME"/>
        </w:rPr>
        <w:t>,</w:t>
      </w:r>
      <w:r w:rsidRPr="001202A2">
        <w:rPr>
          <w:b w:val="0"/>
          <w:bCs/>
          <w:u w:val="single"/>
          <w:lang w:val="sr-Latn-ME"/>
        </w:rPr>
        <w:t xml:space="preserve"> 30 mg</w:t>
      </w:r>
      <w:r w:rsidR="00880F49" w:rsidRPr="001202A2">
        <w:rPr>
          <w:b w:val="0"/>
          <w:bCs/>
          <w:u w:val="single"/>
          <w:lang w:val="sr-Latn-ME"/>
        </w:rPr>
        <w:t>,</w:t>
      </w:r>
      <w:r w:rsidRPr="001202A2">
        <w:rPr>
          <w:b w:val="0"/>
          <w:bCs/>
          <w:u w:val="single"/>
          <w:lang w:val="sr-Latn-ME"/>
        </w:rPr>
        <w:t xml:space="preserve"> film tableta</w:t>
      </w:r>
    </w:p>
    <w:p w14:paraId="5CA28610" w14:textId="28834FE5" w:rsidR="007A552E" w:rsidRPr="001202A2" w:rsidRDefault="00384359" w:rsidP="00480B31">
      <w:pPr>
        <w:pStyle w:val="NASLOV123"/>
        <w:spacing w:before="0" w:after="0"/>
        <w:rPr>
          <w:b w:val="0"/>
          <w:bCs/>
          <w:lang w:val="sr-Latn-ME"/>
        </w:rPr>
      </w:pPr>
      <w:r w:rsidRPr="001202A2">
        <w:rPr>
          <w:b w:val="0"/>
          <w:bCs/>
          <w:lang w:val="sr-Latn-ME"/>
        </w:rPr>
        <w:t>Roza</w:t>
      </w:r>
      <w:r w:rsidR="007A552E" w:rsidRPr="001202A2">
        <w:rPr>
          <w:b w:val="0"/>
          <w:bCs/>
          <w:lang w:val="sr-Latn-ME"/>
        </w:rPr>
        <w:t>, okrugla, bikonveksna film tableta,</w:t>
      </w:r>
      <w:r w:rsidRPr="001202A2">
        <w:rPr>
          <w:b w:val="0"/>
          <w:bCs/>
          <w:lang w:val="sr-Latn-ME"/>
        </w:rPr>
        <w:t xml:space="preserve"> nominalnog prečnika 8,5 mm,</w:t>
      </w:r>
      <w:r w:rsidR="007A552E" w:rsidRPr="001202A2">
        <w:rPr>
          <w:b w:val="0"/>
          <w:bCs/>
          <w:lang w:val="sr-Latn-ME"/>
        </w:rPr>
        <w:t xml:space="preserve"> sa utisnutom oznakom "30" </w:t>
      </w:r>
      <w:r w:rsidRPr="001202A2">
        <w:rPr>
          <w:b w:val="0"/>
          <w:bCs/>
          <w:lang w:val="sr-Latn-ME"/>
        </w:rPr>
        <w:t>n</w:t>
      </w:r>
      <w:r w:rsidR="007A552E" w:rsidRPr="001202A2">
        <w:rPr>
          <w:b w:val="0"/>
          <w:bCs/>
          <w:lang w:val="sr-Latn-ME"/>
        </w:rPr>
        <w:t>a jedn</w:t>
      </w:r>
      <w:r w:rsidRPr="001202A2">
        <w:rPr>
          <w:b w:val="0"/>
          <w:bCs/>
          <w:lang w:val="sr-Latn-ME"/>
        </w:rPr>
        <w:t>oj</w:t>
      </w:r>
      <w:r w:rsidR="007A552E" w:rsidRPr="001202A2">
        <w:rPr>
          <w:b w:val="0"/>
          <w:bCs/>
          <w:lang w:val="sr-Latn-ME"/>
        </w:rPr>
        <w:t xml:space="preserve"> stran</w:t>
      </w:r>
      <w:r w:rsidRPr="001202A2">
        <w:rPr>
          <w:b w:val="0"/>
          <w:bCs/>
          <w:lang w:val="sr-Latn-ME"/>
        </w:rPr>
        <w:t>i i bez oznake na drugoj strani tablete</w:t>
      </w:r>
      <w:r w:rsidR="007A552E" w:rsidRPr="001202A2">
        <w:rPr>
          <w:b w:val="0"/>
          <w:bCs/>
          <w:lang w:val="sr-Latn-ME"/>
        </w:rPr>
        <w:t>.</w:t>
      </w:r>
    </w:p>
    <w:p w14:paraId="14DB5724" w14:textId="77777777" w:rsidR="00880F49" w:rsidRPr="001202A2" w:rsidRDefault="00880F49" w:rsidP="00480B31">
      <w:pPr>
        <w:pStyle w:val="NASLOV123"/>
        <w:spacing w:before="0" w:after="0"/>
        <w:rPr>
          <w:b w:val="0"/>
          <w:bCs/>
          <w:lang w:val="sr-Latn-ME"/>
        </w:rPr>
      </w:pPr>
    </w:p>
    <w:p w14:paraId="7F07EB63" w14:textId="509CDA0F" w:rsidR="00880F49" w:rsidRPr="001202A2" w:rsidRDefault="007A552E" w:rsidP="00480B31">
      <w:pPr>
        <w:pStyle w:val="NASLOV123"/>
        <w:spacing w:before="0" w:after="0"/>
        <w:rPr>
          <w:b w:val="0"/>
          <w:bCs/>
          <w:u w:val="single"/>
          <w:lang w:val="sr-Latn-ME"/>
        </w:rPr>
      </w:pPr>
      <w:r w:rsidRPr="001202A2">
        <w:rPr>
          <w:b w:val="0"/>
          <w:bCs/>
          <w:u w:val="single"/>
          <w:lang w:val="sr-Latn-ME"/>
        </w:rPr>
        <w:t>Oxaway</w:t>
      </w:r>
      <w:r w:rsidR="00880F49" w:rsidRPr="001202A2">
        <w:rPr>
          <w:b w:val="0"/>
          <w:bCs/>
          <w:u w:val="single"/>
          <w:lang w:val="sr-Latn-ME"/>
        </w:rPr>
        <w:t>,</w:t>
      </w:r>
      <w:r w:rsidRPr="001202A2">
        <w:rPr>
          <w:b w:val="0"/>
          <w:bCs/>
          <w:u w:val="single"/>
          <w:lang w:val="sr-Latn-ME"/>
        </w:rPr>
        <w:t xml:space="preserve"> 60 mg</w:t>
      </w:r>
      <w:r w:rsidR="00880F49" w:rsidRPr="001202A2">
        <w:rPr>
          <w:b w:val="0"/>
          <w:bCs/>
          <w:u w:val="single"/>
          <w:lang w:val="sr-Latn-ME"/>
        </w:rPr>
        <w:t>,</w:t>
      </w:r>
      <w:r w:rsidRPr="001202A2">
        <w:rPr>
          <w:b w:val="0"/>
          <w:bCs/>
          <w:u w:val="single"/>
          <w:lang w:val="sr-Latn-ME"/>
        </w:rPr>
        <w:t xml:space="preserve"> film tableta</w:t>
      </w:r>
    </w:p>
    <w:p w14:paraId="6C5E5D50" w14:textId="24605F58" w:rsidR="007A552E" w:rsidRPr="001202A2" w:rsidRDefault="00384359" w:rsidP="00480B31">
      <w:pPr>
        <w:pStyle w:val="NASLOV123"/>
        <w:spacing w:before="0" w:after="0"/>
        <w:jc w:val="both"/>
        <w:rPr>
          <w:b w:val="0"/>
          <w:bCs/>
          <w:lang w:val="sr-Latn-ME"/>
        </w:rPr>
      </w:pPr>
      <w:r w:rsidRPr="001202A2">
        <w:rPr>
          <w:b w:val="0"/>
          <w:bCs/>
          <w:lang w:val="sr-Latn-ME"/>
        </w:rPr>
        <w:t>Ž</w:t>
      </w:r>
      <w:r w:rsidR="007A552E" w:rsidRPr="001202A2">
        <w:rPr>
          <w:b w:val="0"/>
          <w:bCs/>
          <w:lang w:val="sr-Latn-ME"/>
        </w:rPr>
        <w:t xml:space="preserve">uta, okrugla, bikonveksna film tableta, </w:t>
      </w:r>
      <w:r w:rsidRPr="001202A2">
        <w:rPr>
          <w:b w:val="0"/>
          <w:bCs/>
          <w:lang w:val="sr-Latn-ME"/>
        </w:rPr>
        <w:t xml:space="preserve">nominalnog prečnika 10,5 mm, </w:t>
      </w:r>
      <w:r w:rsidR="007A552E" w:rsidRPr="001202A2">
        <w:rPr>
          <w:b w:val="0"/>
          <w:bCs/>
          <w:lang w:val="sr-Latn-ME"/>
        </w:rPr>
        <w:t xml:space="preserve">sa utisnutom oznakom "60" </w:t>
      </w:r>
      <w:r w:rsidRPr="001202A2">
        <w:rPr>
          <w:b w:val="0"/>
          <w:bCs/>
          <w:lang w:val="sr-Latn-ME"/>
        </w:rPr>
        <w:t>n</w:t>
      </w:r>
      <w:r w:rsidR="007A552E" w:rsidRPr="001202A2">
        <w:rPr>
          <w:b w:val="0"/>
          <w:bCs/>
          <w:lang w:val="sr-Latn-ME"/>
        </w:rPr>
        <w:t>a jedn</w:t>
      </w:r>
      <w:r w:rsidRPr="001202A2">
        <w:rPr>
          <w:b w:val="0"/>
          <w:bCs/>
          <w:lang w:val="sr-Latn-ME"/>
        </w:rPr>
        <w:t>oj</w:t>
      </w:r>
      <w:r w:rsidR="007A552E" w:rsidRPr="001202A2">
        <w:rPr>
          <w:b w:val="0"/>
          <w:bCs/>
          <w:lang w:val="sr-Latn-ME"/>
        </w:rPr>
        <w:t xml:space="preserve"> stran</w:t>
      </w:r>
      <w:r w:rsidRPr="001202A2">
        <w:rPr>
          <w:b w:val="0"/>
          <w:bCs/>
          <w:lang w:val="sr-Latn-ME"/>
        </w:rPr>
        <w:t>i i bez oznake na drugoj strani tablete</w:t>
      </w:r>
      <w:r w:rsidR="007A552E" w:rsidRPr="001202A2">
        <w:rPr>
          <w:b w:val="0"/>
          <w:bCs/>
          <w:lang w:val="sr-Latn-ME"/>
        </w:rPr>
        <w:t>.</w:t>
      </w:r>
    </w:p>
    <w:p w14:paraId="2CF741B4" w14:textId="65044612" w:rsidR="00141F57" w:rsidRPr="001202A2" w:rsidRDefault="00141F57" w:rsidP="00480B31">
      <w:pPr>
        <w:pStyle w:val="NASLOV123"/>
        <w:spacing w:before="0" w:after="0"/>
        <w:rPr>
          <w:b w:val="0"/>
          <w:bCs/>
          <w:lang w:val="sr-Latn-ME"/>
        </w:rPr>
      </w:pPr>
    </w:p>
    <w:p w14:paraId="70010384" w14:textId="77777777" w:rsidR="00141F57" w:rsidRPr="001202A2" w:rsidRDefault="00141F57" w:rsidP="00480B31">
      <w:pPr>
        <w:pStyle w:val="NASLOV123"/>
        <w:spacing w:before="0" w:after="0"/>
        <w:rPr>
          <w:b w:val="0"/>
          <w:bCs/>
          <w:lang w:val="sr-Latn-ME"/>
        </w:rPr>
      </w:pPr>
    </w:p>
    <w:p w14:paraId="3D710F2F" w14:textId="20366B8B" w:rsidR="00CE09F3" w:rsidRPr="001202A2" w:rsidRDefault="00CE09F3" w:rsidP="00480B31">
      <w:pPr>
        <w:pStyle w:val="NASLOV123"/>
        <w:numPr>
          <w:ilvl w:val="0"/>
          <w:numId w:val="12"/>
        </w:numPr>
        <w:spacing w:before="0" w:after="0"/>
        <w:rPr>
          <w:lang w:val="sr-Latn-ME"/>
        </w:rPr>
      </w:pPr>
      <w:r w:rsidRPr="001202A2">
        <w:rPr>
          <w:lang w:val="sr-Latn-ME"/>
        </w:rPr>
        <w:t>KLINIČKI PODACI</w:t>
      </w:r>
    </w:p>
    <w:p w14:paraId="7DF21B3F" w14:textId="77777777" w:rsidR="00141F57" w:rsidRPr="001202A2" w:rsidRDefault="00141F57" w:rsidP="00480B31">
      <w:pPr>
        <w:pStyle w:val="NASLOV123"/>
        <w:spacing w:before="0" w:after="0"/>
        <w:ind w:left="720"/>
        <w:rPr>
          <w:lang w:val="sr-Latn-ME"/>
        </w:rPr>
      </w:pPr>
    </w:p>
    <w:p w14:paraId="3D710F30" w14:textId="62C86C4A" w:rsidR="00CE09F3" w:rsidRPr="001202A2" w:rsidRDefault="00CE09F3" w:rsidP="00480B31">
      <w:pPr>
        <w:pStyle w:val="ListParagraph"/>
        <w:numPr>
          <w:ilvl w:val="1"/>
          <w:numId w:val="12"/>
        </w:numPr>
        <w:rPr>
          <w:b/>
          <w:bCs/>
          <w:szCs w:val="22"/>
          <w:lang w:val="sr-Latn-ME"/>
        </w:rPr>
      </w:pPr>
      <w:r w:rsidRPr="001202A2">
        <w:rPr>
          <w:b/>
          <w:bCs/>
          <w:szCs w:val="22"/>
          <w:lang w:val="sr-Latn-ME"/>
        </w:rPr>
        <w:t>Terapijske indikacije</w:t>
      </w:r>
    </w:p>
    <w:p w14:paraId="768EA0D5" w14:textId="77777777" w:rsidR="00813187" w:rsidRPr="001202A2" w:rsidRDefault="00813187" w:rsidP="00480B31">
      <w:pPr>
        <w:ind w:left="360"/>
        <w:rPr>
          <w:b/>
          <w:bCs/>
          <w:szCs w:val="22"/>
          <w:lang w:val="sr-Latn-ME"/>
        </w:rPr>
      </w:pPr>
    </w:p>
    <w:p w14:paraId="309DA170" w14:textId="2144E259" w:rsidR="00E23FC3" w:rsidRPr="001202A2" w:rsidRDefault="00E23FC3"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L</w:t>
      </w:r>
      <w:r w:rsidR="007A552E" w:rsidRPr="001202A2">
        <w:rPr>
          <w:rFonts w:eastAsia="TimesNewRoman"/>
          <w:szCs w:val="22"/>
          <w:lang w:val="sr-Latn-ME"/>
        </w:rPr>
        <w:t>ij</w:t>
      </w:r>
      <w:r w:rsidRPr="001202A2">
        <w:rPr>
          <w:rFonts w:eastAsia="TimesNewRoman"/>
          <w:szCs w:val="22"/>
          <w:lang w:val="sr-Latn-ME"/>
        </w:rPr>
        <w:t xml:space="preserve">ek Oxaway je indikovan za prevenciju moždanog udara i sistemske embolije kod odraslih pacijenata sa nevalvularnom atrijalnom fibrilacijom (engl. </w:t>
      </w:r>
      <w:r w:rsidRPr="001202A2">
        <w:rPr>
          <w:rFonts w:eastAsia="TimesNewRoman"/>
          <w:i/>
          <w:iCs/>
          <w:szCs w:val="22"/>
          <w:lang w:val="sr-Latn-ME"/>
        </w:rPr>
        <w:t>nonvalvular atrial fibrillation</w:t>
      </w:r>
      <w:r w:rsidRPr="001202A2">
        <w:rPr>
          <w:rFonts w:eastAsia="TimesNewRoman"/>
          <w:szCs w:val="22"/>
          <w:lang w:val="sr-Latn-ME"/>
        </w:rPr>
        <w:t>, NVAF), sa jednim ili više faktora rizika, kao što su kongestivna srčana insuficijencija,</w:t>
      </w:r>
      <w:r w:rsidR="0081117E" w:rsidRPr="001202A2">
        <w:rPr>
          <w:rFonts w:eastAsia="TimesNewRoman"/>
          <w:szCs w:val="22"/>
          <w:lang w:val="sr-Latn-ME"/>
        </w:rPr>
        <w:t xml:space="preserve"> hipertenzija,</w:t>
      </w:r>
      <w:r w:rsidRPr="001202A2">
        <w:rPr>
          <w:rFonts w:eastAsia="TimesNewRoman"/>
          <w:szCs w:val="22"/>
          <w:lang w:val="sr-Latn-ME"/>
        </w:rPr>
        <w:t xml:space="preserve"> starost ≥ 75 godina, dijabetes melitus, moždani udar ili tranzitorni ishemijski napad (TIA) u anamnezi.</w:t>
      </w:r>
    </w:p>
    <w:p w14:paraId="6AAC2155"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7EDD6E5C" w14:textId="001DD605" w:rsidR="00E23FC3" w:rsidRPr="001202A2" w:rsidRDefault="00E23FC3"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L</w:t>
      </w:r>
      <w:r w:rsidR="007A552E" w:rsidRPr="001202A2">
        <w:rPr>
          <w:rFonts w:eastAsia="TimesNewRoman"/>
          <w:szCs w:val="22"/>
          <w:lang w:val="sr-Latn-ME"/>
        </w:rPr>
        <w:t>ij</w:t>
      </w:r>
      <w:r w:rsidRPr="001202A2">
        <w:rPr>
          <w:rFonts w:eastAsia="TimesNewRoman"/>
          <w:szCs w:val="22"/>
          <w:lang w:val="sr-Latn-ME"/>
        </w:rPr>
        <w:t>ek Oxaway je indikovan za l</w:t>
      </w:r>
      <w:r w:rsidR="007A552E" w:rsidRPr="001202A2">
        <w:rPr>
          <w:rFonts w:eastAsia="TimesNewRoman"/>
          <w:szCs w:val="22"/>
          <w:lang w:val="sr-Latn-ME"/>
        </w:rPr>
        <w:t>ij</w:t>
      </w:r>
      <w:r w:rsidRPr="001202A2">
        <w:rPr>
          <w:rFonts w:eastAsia="TimesNewRoman"/>
          <w:szCs w:val="22"/>
          <w:lang w:val="sr-Latn-ME"/>
        </w:rPr>
        <w:t>ečenje tromboze dubokih vena (TDV) i plućne embolije (PE), kao i u prevenciji rekurentnih TDV i PE kod odraslih (vid</w:t>
      </w:r>
      <w:r w:rsidR="007A552E" w:rsidRPr="001202A2">
        <w:rPr>
          <w:rFonts w:eastAsia="TimesNewRoman"/>
          <w:szCs w:val="22"/>
          <w:lang w:val="sr-Latn-ME"/>
        </w:rPr>
        <w:t>j</w:t>
      </w:r>
      <w:r w:rsidRPr="001202A2">
        <w:rPr>
          <w:rFonts w:eastAsia="TimesNewRoman"/>
          <w:szCs w:val="22"/>
          <w:lang w:val="sr-Latn-ME"/>
        </w:rPr>
        <w:t xml:space="preserve">eti </w:t>
      </w:r>
      <w:r w:rsidR="007A552E" w:rsidRPr="001202A2">
        <w:rPr>
          <w:rFonts w:eastAsia="TimesNewRoman"/>
          <w:szCs w:val="22"/>
          <w:lang w:val="sr-Latn-ME"/>
        </w:rPr>
        <w:t>dio</w:t>
      </w:r>
      <w:r w:rsidRPr="001202A2">
        <w:rPr>
          <w:rFonts w:eastAsia="TimesNewRoman"/>
          <w:szCs w:val="22"/>
          <w:lang w:val="sr-Latn-ME"/>
        </w:rPr>
        <w:t xml:space="preserve"> 4.4 za hemodinamski nestabilne pacijente sa PE).</w:t>
      </w:r>
    </w:p>
    <w:p w14:paraId="13A82156" w14:textId="77777777" w:rsidR="00813187" w:rsidRPr="001202A2" w:rsidRDefault="00813187" w:rsidP="00480B31">
      <w:pPr>
        <w:tabs>
          <w:tab w:val="clear" w:pos="284"/>
        </w:tabs>
        <w:autoSpaceDE w:val="0"/>
        <w:autoSpaceDN w:val="0"/>
        <w:adjustRightInd w:val="0"/>
        <w:rPr>
          <w:b/>
          <w:bCs/>
          <w:szCs w:val="22"/>
          <w:lang w:val="sr-Latn-ME"/>
        </w:rPr>
      </w:pPr>
    </w:p>
    <w:p w14:paraId="3D710F38" w14:textId="3DEF46F2" w:rsidR="00CE09F3" w:rsidRPr="001202A2" w:rsidRDefault="00CE09F3" w:rsidP="00480B31">
      <w:pPr>
        <w:pStyle w:val="ListParagraph"/>
        <w:numPr>
          <w:ilvl w:val="1"/>
          <w:numId w:val="12"/>
        </w:numPr>
        <w:rPr>
          <w:b/>
          <w:bCs/>
          <w:szCs w:val="22"/>
          <w:lang w:val="sr-Latn-ME"/>
        </w:rPr>
      </w:pPr>
      <w:r w:rsidRPr="001202A2">
        <w:rPr>
          <w:b/>
          <w:bCs/>
          <w:szCs w:val="22"/>
          <w:lang w:val="sr-Latn-ME"/>
        </w:rPr>
        <w:t>Doziranje i način prim</w:t>
      </w:r>
      <w:r w:rsidR="002E343B" w:rsidRPr="001202A2">
        <w:rPr>
          <w:b/>
          <w:bCs/>
          <w:szCs w:val="22"/>
          <w:lang w:val="sr-Latn-ME"/>
        </w:rPr>
        <w:t>j</w:t>
      </w:r>
      <w:r w:rsidRPr="001202A2">
        <w:rPr>
          <w:b/>
          <w:bCs/>
          <w:szCs w:val="22"/>
          <w:lang w:val="sr-Latn-ME"/>
        </w:rPr>
        <w:t>ene</w:t>
      </w:r>
    </w:p>
    <w:p w14:paraId="76F0A2EF" w14:textId="77777777" w:rsidR="00813187" w:rsidRPr="001202A2" w:rsidRDefault="00813187" w:rsidP="00480B31">
      <w:pPr>
        <w:pStyle w:val="ListParagraph"/>
        <w:ind w:left="765"/>
        <w:rPr>
          <w:b/>
          <w:bCs/>
          <w:szCs w:val="22"/>
          <w:lang w:val="sr-Latn-ME"/>
        </w:rPr>
      </w:pPr>
    </w:p>
    <w:p w14:paraId="3D710F3A" w14:textId="20F95EC6" w:rsidR="00375517" w:rsidRPr="001202A2" w:rsidRDefault="007302DC" w:rsidP="00480B31">
      <w:pPr>
        <w:rPr>
          <w:szCs w:val="22"/>
          <w:u w:val="single"/>
          <w:lang w:val="sr-Latn-ME"/>
        </w:rPr>
      </w:pPr>
      <w:r w:rsidRPr="001202A2">
        <w:rPr>
          <w:szCs w:val="22"/>
          <w:u w:val="single"/>
          <w:lang w:val="sr-Latn-ME"/>
        </w:rPr>
        <w:lastRenderedPageBreak/>
        <w:t>Doziranje</w:t>
      </w:r>
    </w:p>
    <w:p w14:paraId="19B5930C" w14:textId="77777777" w:rsidR="00813187" w:rsidRPr="001202A2" w:rsidRDefault="00813187" w:rsidP="00480B31">
      <w:pPr>
        <w:rPr>
          <w:szCs w:val="22"/>
          <w:u w:val="single"/>
          <w:lang w:val="sr-Latn-ME"/>
        </w:rPr>
      </w:pPr>
    </w:p>
    <w:p w14:paraId="437B324D" w14:textId="77777777" w:rsidR="00F52A29" w:rsidRPr="001202A2" w:rsidRDefault="00F52A29" w:rsidP="00480B31">
      <w:pPr>
        <w:tabs>
          <w:tab w:val="clear" w:pos="284"/>
        </w:tabs>
        <w:autoSpaceDE w:val="0"/>
        <w:autoSpaceDN w:val="0"/>
        <w:adjustRightInd w:val="0"/>
        <w:rPr>
          <w:i/>
          <w:iCs/>
          <w:szCs w:val="22"/>
          <w:lang w:val="sr-Latn-ME"/>
        </w:rPr>
      </w:pPr>
      <w:r w:rsidRPr="001202A2">
        <w:rPr>
          <w:i/>
          <w:iCs/>
          <w:szCs w:val="22"/>
          <w:lang w:val="sr-Latn-ME"/>
        </w:rPr>
        <w:t>Prevencija moždanog udara i sistemske embolije</w:t>
      </w:r>
    </w:p>
    <w:p w14:paraId="68458A5D" w14:textId="77777777" w:rsidR="00F52A29" w:rsidRPr="001202A2" w:rsidRDefault="00F52A2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Preporučena doza je 60 mg edoksabana jednom dnevno.</w:t>
      </w:r>
    </w:p>
    <w:p w14:paraId="4ED9FC2F" w14:textId="048F6EAF" w:rsidR="00F52A29" w:rsidRPr="001202A2" w:rsidRDefault="00F52A2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Terapija edoksabanom kod pacijenata sa NVAF mora biti dugotrajna.</w:t>
      </w:r>
    </w:p>
    <w:p w14:paraId="0D95D44B"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1BAC6E38" w14:textId="1BAAEA84" w:rsidR="00F52A29" w:rsidRPr="001202A2" w:rsidRDefault="009E33D1" w:rsidP="00480B31">
      <w:pPr>
        <w:tabs>
          <w:tab w:val="clear" w:pos="284"/>
        </w:tabs>
        <w:autoSpaceDE w:val="0"/>
        <w:autoSpaceDN w:val="0"/>
        <w:adjustRightInd w:val="0"/>
        <w:rPr>
          <w:i/>
          <w:iCs/>
          <w:szCs w:val="22"/>
          <w:lang w:val="sr-Latn-ME"/>
        </w:rPr>
      </w:pPr>
      <w:r w:rsidRPr="001202A2">
        <w:rPr>
          <w:i/>
          <w:iCs/>
          <w:szCs w:val="22"/>
          <w:lang w:val="sr-Latn-ME"/>
        </w:rPr>
        <w:t>Terapija</w:t>
      </w:r>
      <w:r w:rsidR="00F52A29" w:rsidRPr="001202A2">
        <w:rPr>
          <w:i/>
          <w:iCs/>
          <w:szCs w:val="22"/>
          <w:lang w:val="sr-Latn-ME"/>
        </w:rPr>
        <w:t xml:space="preserve"> TDV i PE i prevencija rekurentnih TDV i PE (VTE)</w:t>
      </w:r>
    </w:p>
    <w:p w14:paraId="2AE4F8DF" w14:textId="70F71D4E" w:rsidR="00F52A29" w:rsidRPr="001202A2" w:rsidRDefault="00F52A2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Preporučena doza je 60 mg edoksabana jednom dnevno, nakon inicijalne prim</w:t>
      </w:r>
      <w:r w:rsidR="002E343B" w:rsidRPr="001202A2">
        <w:rPr>
          <w:rFonts w:eastAsia="TimesNewRoman"/>
          <w:szCs w:val="22"/>
          <w:lang w:val="sr-Latn-ME"/>
        </w:rPr>
        <w:t>j</w:t>
      </w:r>
      <w:r w:rsidRPr="001202A2">
        <w:rPr>
          <w:rFonts w:eastAsia="TimesNewRoman"/>
          <w:szCs w:val="22"/>
          <w:lang w:val="sr-Latn-ME"/>
        </w:rPr>
        <w:t>ene parenteralnog antikoagulansa tokom najmanje 5 dana (vid</w:t>
      </w:r>
      <w:r w:rsidR="002E343B" w:rsidRPr="001202A2">
        <w:rPr>
          <w:rFonts w:eastAsia="TimesNewRoman"/>
          <w:szCs w:val="22"/>
          <w:lang w:val="sr-Latn-ME"/>
        </w:rPr>
        <w:t>j</w:t>
      </w:r>
      <w:r w:rsidRPr="001202A2">
        <w:rPr>
          <w:rFonts w:eastAsia="TimesNewRoman"/>
          <w:szCs w:val="22"/>
          <w:lang w:val="sr-Latn-ME"/>
        </w:rPr>
        <w:t xml:space="preserve">eti </w:t>
      </w:r>
      <w:r w:rsidR="002E343B" w:rsidRPr="001202A2">
        <w:rPr>
          <w:rFonts w:eastAsia="TimesNewRoman"/>
          <w:szCs w:val="22"/>
          <w:lang w:val="sr-Latn-ME"/>
        </w:rPr>
        <w:t>dio</w:t>
      </w:r>
      <w:r w:rsidRPr="001202A2">
        <w:rPr>
          <w:rFonts w:eastAsia="TimesNewRoman"/>
          <w:szCs w:val="22"/>
          <w:lang w:val="sr-Latn-ME"/>
        </w:rPr>
        <w:t xml:space="preserve"> 5.1). Edoksaban se ne sm</w:t>
      </w:r>
      <w:r w:rsidR="002E343B" w:rsidRPr="001202A2">
        <w:rPr>
          <w:rFonts w:eastAsia="TimesNewRoman"/>
          <w:szCs w:val="22"/>
          <w:lang w:val="sr-Latn-ME"/>
        </w:rPr>
        <w:t>ij</w:t>
      </w:r>
      <w:r w:rsidRPr="001202A2">
        <w:rPr>
          <w:rFonts w:eastAsia="TimesNewRoman"/>
          <w:szCs w:val="22"/>
          <w:lang w:val="sr-Latn-ME"/>
        </w:rPr>
        <w:t>e prim</w:t>
      </w:r>
      <w:r w:rsidR="002E343B" w:rsidRPr="001202A2">
        <w:rPr>
          <w:rFonts w:eastAsia="TimesNewRoman"/>
          <w:szCs w:val="22"/>
          <w:lang w:val="sr-Latn-ME"/>
        </w:rPr>
        <w:t>j</w:t>
      </w:r>
      <w:r w:rsidRPr="001202A2">
        <w:rPr>
          <w:rFonts w:eastAsia="TimesNewRoman"/>
          <w:szCs w:val="22"/>
          <w:lang w:val="sr-Latn-ME"/>
        </w:rPr>
        <w:t>enjivati istovremeno sa inicijalnim parenteralnim antikoagulansom.</w:t>
      </w:r>
    </w:p>
    <w:p w14:paraId="532C3AE3" w14:textId="77777777" w:rsidR="00854B89" w:rsidRPr="001202A2" w:rsidRDefault="00854B89" w:rsidP="00480B31">
      <w:pPr>
        <w:tabs>
          <w:tab w:val="clear" w:pos="284"/>
        </w:tabs>
        <w:autoSpaceDE w:val="0"/>
        <w:autoSpaceDN w:val="0"/>
        <w:adjustRightInd w:val="0"/>
        <w:rPr>
          <w:rFonts w:eastAsia="TimesNewRoman"/>
          <w:szCs w:val="22"/>
          <w:lang w:val="sr-Latn-ME"/>
        </w:rPr>
      </w:pPr>
    </w:p>
    <w:p w14:paraId="7F0CE6DD" w14:textId="16FC5179" w:rsidR="00F52A29" w:rsidRPr="001202A2" w:rsidRDefault="00F52A2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Tr</w:t>
      </w:r>
      <w:r w:rsidR="001123CD" w:rsidRPr="001202A2">
        <w:rPr>
          <w:rFonts w:eastAsia="TimesNewRoman"/>
          <w:szCs w:val="22"/>
          <w:lang w:val="sr-Latn-ME"/>
        </w:rPr>
        <w:t>ajanje terapije TDV i PE (venskog tromboembolizma</w:t>
      </w:r>
      <w:r w:rsidRPr="001202A2">
        <w:rPr>
          <w:rFonts w:eastAsia="TimesNewRoman"/>
          <w:szCs w:val="22"/>
          <w:lang w:val="sr-Latn-ME"/>
        </w:rPr>
        <w:t xml:space="preserve">, VTE), kao i prevencije </w:t>
      </w:r>
      <w:r w:rsidR="002A7A73" w:rsidRPr="001202A2">
        <w:rPr>
          <w:rFonts w:eastAsia="TimesNewRoman"/>
          <w:szCs w:val="22"/>
          <w:lang w:val="sr-Latn-ME"/>
        </w:rPr>
        <w:t>rekurentne</w:t>
      </w:r>
      <w:r w:rsidRPr="001202A2">
        <w:rPr>
          <w:rFonts w:eastAsia="TimesNewRoman"/>
          <w:szCs w:val="22"/>
          <w:lang w:val="sr-Latn-ME"/>
        </w:rPr>
        <w:t xml:space="preserve"> VTE treba da bude prilagođeno svakom pacijentu</w:t>
      </w:r>
      <w:r w:rsidR="002A7A73" w:rsidRPr="001202A2">
        <w:rPr>
          <w:rFonts w:eastAsia="TimesNewRoman"/>
          <w:szCs w:val="22"/>
          <w:lang w:val="sr-Latn-ME"/>
        </w:rPr>
        <w:t>,</w:t>
      </w:r>
      <w:r w:rsidRPr="001202A2">
        <w:rPr>
          <w:rFonts w:eastAsia="TimesNewRoman"/>
          <w:szCs w:val="22"/>
          <w:lang w:val="sr-Latn-ME"/>
        </w:rPr>
        <w:t xml:space="preserve"> nakon pažljive proc</w:t>
      </w:r>
      <w:r w:rsidR="002E343B" w:rsidRPr="001202A2">
        <w:rPr>
          <w:rFonts w:eastAsia="TimesNewRoman"/>
          <w:szCs w:val="22"/>
          <w:lang w:val="sr-Latn-ME"/>
        </w:rPr>
        <w:t>j</w:t>
      </w:r>
      <w:r w:rsidRPr="001202A2">
        <w:rPr>
          <w:rFonts w:eastAsia="TimesNewRoman"/>
          <w:szCs w:val="22"/>
          <w:lang w:val="sr-Latn-ME"/>
        </w:rPr>
        <w:t>ene koristi od l</w:t>
      </w:r>
      <w:r w:rsidR="002E343B" w:rsidRPr="001202A2">
        <w:rPr>
          <w:rFonts w:eastAsia="TimesNewRoman"/>
          <w:szCs w:val="22"/>
          <w:lang w:val="sr-Latn-ME"/>
        </w:rPr>
        <w:t>ij</w:t>
      </w:r>
      <w:r w:rsidRPr="001202A2">
        <w:rPr>
          <w:rFonts w:eastAsia="TimesNewRoman"/>
          <w:szCs w:val="22"/>
          <w:lang w:val="sr-Latn-ME"/>
        </w:rPr>
        <w:t>ečenja u odnosu na rizik od krvarenja (vid</w:t>
      </w:r>
      <w:r w:rsidR="002E343B" w:rsidRPr="001202A2">
        <w:rPr>
          <w:rFonts w:eastAsia="TimesNewRoman"/>
          <w:szCs w:val="22"/>
          <w:lang w:val="sr-Latn-ME"/>
        </w:rPr>
        <w:t>j</w:t>
      </w:r>
      <w:r w:rsidRPr="001202A2">
        <w:rPr>
          <w:rFonts w:eastAsia="TimesNewRoman"/>
          <w:szCs w:val="22"/>
          <w:lang w:val="sr-Latn-ME"/>
        </w:rPr>
        <w:t>eti</w:t>
      </w:r>
      <w:r w:rsidR="002E343B" w:rsidRPr="001202A2">
        <w:rPr>
          <w:rFonts w:eastAsia="TimesNewRoman"/>
          <w:szCs w:val="22"/>
          <w:lang w:val="sr-Latn-ME"/>
        </w:rPr>
        <w:t xml:space="preserve"> dio</w:t>
      </w:r>
      <w:r w:rsidRPr="001202A2">
        <w:rPr>
          <w:rFonts w:eastAsia="TimesNewRoman"/>
          <w:szCs w:val="22"/>
          <w:lang w:val="sr-Latn-ME"/>
        </w:rPr>
        <w:t xml:space="preserve"> 4.4). </w:t>
      </w:r>
      <w:r w:rsidR="002A7A73" w:rsidRPr="001202A2">
        <w:rPr>
          <w:rFonts w:eastAsia="TimesNewRoman"/>
          <w:szCs w:val="22"/>
          <w:lang w:val="sr-Latn-ME"/>
        </w:rPr>
        <w:t>Kod</w:t>
      </w:r>
      <w:r w:rsidRPr="001202A2">
        <w:rPr>
          <w:rFonts w:eastAsia="TimesNewRoman"/>
          <w:szCs w:val="22"/>
          <w:lang w:val="sr-Latn-ME"/>
        </w:rPr>
        <w:t xml:space="preserve"> prolazni</w:t>
      </w:r>
      <w:r w:rsidR="002A7A73" w:rsidRPr="001202A2">
        <w:rPr>
          <w:rFonts w:eastAsia="TimesNewRoman"/>
          <w:szCs w:val="22"/>
          <w:lang w:val="sr-Latn-ME"/>
        </w:rPr>
        <w:t>h</w:t>
      </w:r>
      <w:r w:rsidRPr="001202A2">
        <w:rPr>
          <w:rFonts w:eastAsia="TimesNewRoman"/>
          <w:szCs w:val="22"/>
          <w:lang w:val="sr-Latn-ME"/>
        </w:rPr>
        <w:t xml:space="preserve"> faktora rizika (npr. nedavna hirurška intervencija, trauma, imobilizacija)</w:t>
      </w:r>
      <w:r w:rsidR="002A7A73" w:rsidRPr="001202A2">
        <w:rPr>
          <w:rFonts w:eastAsia="TimesNewRoman"/>
          <w:szCs w:val="22"/>
          <w:lang w:val="sr-Latn-ME"/>
        </w:rPr>
        <w:t xml:space="preserve"> potrebna je kratkotrajna terapija (najmanje 3 m</w:t>
      </w:r>
      <w:r w:rsidR="002E343B" w:rsidRPr="001202A2">
        <w:rPr>
          <w:rFonts w:eastAsia="TimesNewRoman"/>
          <w:szCs w:val="22"/>
          <w:lang w:val="sr-Latn-ME"/>
        </w:rPr>
        <w:t>j</w:t>
      </w:r>
      <w:r w:rsidR="002A7A73" w:rsidRPr="001202A2">
        <w:rPr>
          <w:rFonts w:eastAsia="TimesNewRoman"/>
          <w:szCs w:val="22"/>
          <w:lang w:val="sr-Latn-ME"/>
        </w:rPr>
        <w:t>eseca)</w:t>
      </w:r>
      <w:r w:rsidRPr="001202A2">
        <w:rPr>
          <w:rFonts w:eastAsia="TimesNewRoman"/>
          <w:szCs w:val="22"/>
          <w:lang w:val="sr-Latn-ME"/>
        </w:rPr>
        <w:t xml:space="preserve">, dok </w:t>
      </w:r>
      <w:r w:rsidR="002A7A73" w:rsidRPr="001202A2">
        <w:rPr>
          <w:rFonts w:eastAsia="TimesNewRoman"/>
          <w:szCs w:val="22"/>
          <w:lang w:val="sr-Latn-ME"/>
        </w:rPr>
        <w:t>je u slučaju prisustva</w:t>
      </w:r>
      <w:r w:rsidRPr="001202A2">
        <w:rPr>
          <w:rFonts w:eastAsia="TimesNewRoman"/>
          <w:szCs w:val="22"/>
          <w:lang w:val="sr-Latn-ME"/>
        </w:rPr>
        <w:t xml:space="preserve"> trajni</w:t>
      </w:r>
      <w:r w:rsidR="002A7A73" w:rsidRPr="001202A2">
        <w:rPr>
          <w:rFonts w:eastAsia="TimesNewRoman"/>
          <w:szCs w:val="22"/>
          <w:lang w:val="sr-Latn-ME"/>
        </w:rPr>
        <w:t>h</w:t>
      </w:r>
      <w:r w:rsidRPr="001202A2">
        <w:rPr>
          <w:rFonts w:eastAsia="TimesNewRoman"/>
          <w:szCs w:val="22"/>
          <w:lang w:val="sr-Latn-ME"/>
        </w:rPr>
        <w:t xml:space="preserve"> faktora rizika ili idiopatsk</w:t>
      </w:r>
      <w:r w:rsidR="002A7A73" w:rsidRPr="001202A2">
        <w:rPr>
          <w:rFonts w:eastAsia="TimesNewRoman"/>
          <w:szCs w:val="22"/>
          <w:lang w:val="sr-Latn-ME"/>
        </w:rPr>
        <w:t>e</w:t>
      </w:r>
      <w:r w:rsidRPr="001202A2">
        <w:rPr>
          <w:rFonts w:eastAsia="TimesNewRoman"/>
          <w:szCs w:val="22"/>
          <w:lang w:val="sr-Latn-ME"/>
        </w:rPr>
        <w:t xml:space="preserve"> TDV ili PE</w:t>
      </w:r>
      <w:r w:rsidR="002A7A73" w:rsidRPr="001202A2">
        <w:rPr>
          <w:rFonts w:eastAsia="TimesNewRoman"/>
          <w:szCs w:val="22"/>
          <w:lang w:val="sr-Latn-ME"/>
        </w:rPr>
        <w:t>, potrebna dugotrajna terapija.</w:t>
      </w:r>
    </w:p>
    <w:p w14:paraId="68CE546A"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334334BE" w14:textId="2A3817AE" w:rsidR="00F52A29" w:rsidRPr="001202A2" w:rsidRDefault="00F52A2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Za NVAF i VTE preporučena doza je 30 mg edoksabana jednom dnevno kod pacijenata sa jednim ili više sl</w:t>
      </w:r>
      <w:r w:rsidR="002E343B" w:rsidRPr="001202A2">
        <w:rPr>
          <w:rFonts w:eastAsia="TimesNewRoman"/>
          <w:szCs w:val="22"/>
          <w:lang w:val="sr-Latn-ME"/>
        </w:rPr>
        <w:t>j</w:t>
      </w:r>
      <w:r w:rsidRPr="001202A2">
        <w:rPr>
          <w:rFonts w:eastAsia="TimesNewRoman"/>
          <w:szCs w:val="22"/>
          <w:lang w:val="sr-Latn-ME"/>
        </w:rPr>
        <w:t>edećih kliničkih faktora:</w:t>
      </w:r>
    </w:p>
    <w:p w14:paraId="6B9DA2B5" w14:textId="08DBDED8" w:rsidR="00F52A29" w:rsidRPr="001202A2" w:rsidRDefault="00F52A29" w:rsidP="00480B31">
      <w:pPr>
        <w:pStyle w:val="ListParagraph"/>
        <w:numPr>
          <w:ilvl w:val="0"/>
          <w:numId w:val="5"/>
        </w:numPr>
        <w:tabs>
          <w:tab w:val="clear" w:pos="284"/>
        </w:tabs>
        <w:autoSpaceDE w:val="0"/>
        <w:autoSpaceDN w:val="0"/>
        <w:adjustRightInd w:val="0"/>
        <w:ind w:left="714" w:hanging="357"/>
        <w:rPr>
          <w:rFonts w:eastAsia="TimesNewRoman"/>
          <w:szCs w:val="22"/>
          <w:lang w:val="sr-Latn-ME"/>
        </w:rPr>
      </w:pPr>
      <w:r w:rsidRPr="001202A2">
        <w:rPr>
          <w:rFonts w:eastAsia="TimesNewRoman"/>
          <w:szCs w:val="22"/>
          <w:lang w:val="sr-Latn-ME"/>
        </w:rPr>
        <w:t>um</w:t>
      </w:r>
      <w:r w:rsidR="002E343B" w:rsidRPr="001202A2">
        <w:rPr>
          <w:rFonts w:eastAsia="TimesNewRoman"/>
          <w:szCs w:val="22"/>
          <w:lang w:val="sr-Latn-ME"/>
        </w:rPr>
        <w:t>j</w:t>
      </w:r>
      <w:r w:rsidRPr="001202A2">
        <w:rPr>
          <w:rFonts w:eastAsia="TimesNewRoman"/>
          <w:szCs w:val="22"/>
          <w:lang w:val="sr-Latn-ME"/>
        </w:rPr>
        <w:t xml:space="preserve">ereno ili teško oštećenje funkcije bubrega (klirens kreatinina (CrCl) 15 – 50 </w:t>
      </w:r>
      <w:r w:rsidR="002B2DFD" w:rsidRPr="001202A2">
        <w:rPr>
          <w:rFonts w:eastAsia="TimesNewRoman"/>
          <w:szCs w:val="22"/>
          <w:lang w:val="sr-Latn-ME"/>
        </w:rPr>
        <w:t>ml</w:t>
      </w:r>
      <w:r w:rsidRPr="001202A2">
        <w:rPr>
          <w:rFonts w:eastAsia="TimesNewRoman"/>
          <w:szCs w:val="22"/>
          <w:lang w:val="sr-Latn-ME"/>
        </w:rPr>
        <w:t>/min)</w:t>
      </w:r>
      <w:r w:rsidR="002A7A73" w:rsidRPr="001202A2">
        <w:rPr>
          <w:rFonts w:eastAsia="TimesNewRoman"/>
          <w:szCs w:val="22"/>
          <w:lang w:val="sr-Latn-ME"/>
        </w:rPr>
        <w:t>;</w:t>
      </w:r>
    </w:p>
    <w:p w14:paraId="1D52EB05" w14:textId="38952D1C" w:rsidR="00F52A29" w:rsidRPr="001202A2" w:rsidRDefault="00F52A29" w:rsidP="00480B31">
      <w:pPr>
        <w:pStyle w:val="ListParagraph"/>
        <w:numPr>
          <w:ilvl w:val="0"/>
          <w:numId w:val="5"/>
        </w:numPr>
        <w:tabs>
          <w:tab w:val="clear" w:pos="284"/>
        </w:tabs>
        <w:autoSpaceDE w:val="0"/>
        <w:autoSpaceDN w:val="0"/>
        <w:adjustRightInd w:val="0"/>
        <w:rPr>
          <w:rFonts w:eastAsia="TimesNewRoman"/>
          <w:szCs w:val="22"/>
          <w:lang w:val="sr-Latn-ME"/>
        </w:rPr>
      </w:pPr>
      <w:r w:rsidRPr="001202A2">
        <w:rPr>
          <w:rFonts w:eastAsia="TimesNewRoman"/>
          <w:szCs w:val="22"/>
          <w:lang w:val="sr-Latn-ME"/>
        </w:rPr>
        <w:t>mala t</w:t>
      </w:r>
      <w:r w:rsidR="002E343B" w:rsidRPr="001202A2">
        <w:rPr>
          <w:rFonts w:eastAsia="TimesNewRoman"/>
          <w:szCs w:val="22"/>
          <w:lang w:val="sr-Latn-ME"/>
        </w:rPr>
        <w:t>j</w:t>
      </w:r>
      <w:r w:rsidRPr="001202A2">
        <w:rPr>
          <w:rFonts w:eastAsia="TimesNewRoman"/>
          <w:szCs w:val="22"/>
          <w:lang w:val="sr-Latn-ME"/>
        </w:rPr>
        <w:t>elesna masa ≤ 60 kg</w:t>
      </w:r>
      <w:r w:rsidR="002A7A73" w:rsidRPr="001202A2">
        <w:rPr>
          <w:rFonts w:eastAsia="TimesNewRoman"/>
          <w:szCs w:val="22"/>
          <w:lang w:val="sr-Latn-ME"/>
        </w:rPr>
        <w:t>;</w:t>
      </w:r>
    </w:p>
    <w:p w14:paraId="39F76677" w14:textId="069807D2" w:rsidR="00F52A29" w:rsidRPr="001202A2" w:rsidRDefault="00F52A29" w:rsidP="00480B31">
      <w:pPr>
        <w:pStyle w:val="ListParagraph"/>
        <w:numPr>
          <w:ilvl w:val="0"/>
          <w:numId w:val="5"/>
        </w:numPr>
        <w:tabs>
          <w:tab w:val="clear" w:pos="284"/>
        </w:tabs>
        <w:autoSpaceDE w:val="0"/>
        <w:autoSpaceDN w:val="0"/>
        <w:adjustRightInd w:val="0"/>
        <w:rPr>
          <w:szCs w:val="22"/>
          <w:u w:val="single"/>
          <w:lang w:val="sr-Latn-ME"/>
        </w:rPr>
      </w:pPr>
      <w:r w:rsidRPr="001202A2">
        <w:rPr>
          <w:rFonts w:eastAsia="TimesNewRoman"/>
          <w:szCs w:val="22"/>
          <w:lang w:val="sr-Latn-ME"/>
        </w:rPr>
        <w:t>istovremena prim</w:t>
      </w:r>
      <w:r w:rsidR="002E343B" w:rsidRPr="001202A2">
        <w:rPr>
          <w:rFonts w:eastAsia="TimesNewRoman"/>
          <w:szCs w:val="22"/>
          <w:lang w:val="sr-Latn-ME"/>
        </w:rPr>
        <w:t>j</w:t>
      </w:r>
      <w:r w:rsidRPr="001202A2">
        <w:rPr>
          <w:rFonts w:eastAsia="TimesNewRoman"/>
          <w:szCs w:val="22"/>
          <w:lang w:val="sr-Latn-ME"/>
        </w:rPr>
        <w:t>ena sl</w:t>
      </w:r>
      <w:r w:rsidR="002E343B" w:rsidRPr="001202A2">
        <w:rPr>
          <w:rFonts w:eastAsia="TimesNewRoman"/>
          <w:szCs w:val="22"/>
          <w:lang w:val="sr-Latn-ME"/>
        </w:rPr>
        <w:t>j</w:t>
      </w:r>
      <w:r w:rsidRPr="001202A2">
        <w:rPr>
          <w:rFonts w:eastAsia="TimesNewRoman"/>
          <w:szCs w:val="22"/>
          <w:lang w:val="sr-Latn-ME"/>
        </w:rPr>
        <w:t>edećih inhibitora P-glikoproteina (P-gp): ciklosporina, dronedarona, eritromicina i</w:t>
      </w:r>
      <w:r w:rsidR="002A7A73" w:rsidRPr="001202A2">
        <w:rPr>
          <w:rFonts w:eastAsia="TimesNewRoman"/>
          <w:szCs w:val="22"/>
          <w:lang w:val="sr-Latn-ME"/>
        </w:rPr>
        <w:t>li</w:t>
      </w:r>
      <w:r w:rsidRPr="001202A2">
        <w:rPr>
          <w:rFonts w:eastAsia="TimesNewRoman"/>
          <w:szCs w:val="22"/>
          <w:lang w:val="sr-Latn-ME"/>
        </w:rPr>
        <w:t xml:space="preserve"> ketokonazola</w:t>
      </w:r>
      <w:r w:rsidR="002A7A73" w:rsidRPr="001202A2">
        <w:rPr>
          <w:rFonts w:eastAsia="TimesNewRoman"/>
          <w:szCs w:val="22"/>
          <w:lang w:val="sr-Latn-ME"/>
        </w:rPr>
        <w:t>.</w:t>
      </w:r>
    </w:p>
    <w:p w14:paraId="1170B4BF" w14:textId="77777777" w:rsidR="00813187" w:rsidRPr="001202A2" w:rsidRDefault="00813187" w:rsidP="00480B31">
      <w:pPr>
        <w:pStyle w:val="ListParagraph"/>
        <w:tabs>
          <w:tab w:val="clear" w:pos="284"/>
        </w:tabs>
        <w:autoSpaceDE w:val="0"/>
        <w:autoSpaceDN w:val="0"/>
        <w:adjustRightInd w:val="0"/>
        <w:rPr>
          <w:szCs w:val="22"/>
          <w:u w:val="single"/>
          <w:lang w:val="sr-Latn-ME"/>
        </w:rPr>
      </w:pPr>
    </w:p>
    <w:p w14:paraId="025E3816" w14:textId="7600C25B" w:rsidR="002A7A73" w:rsidRPr="001202A2" w:rsidRDefault="00034F6E" w:rsidP="00480B31">
      <w:pPr>
        <w:tabs>
          <w:tab w:val="clear" w:pos="284"/>
        </w:tabs>
        <w:autoSpaceDE w:val="0"/>
        <w:autoSpaceDN w:val="0"/>
        <w:adjustRightInd w:val="0"/>
        <w:rPr>
          <w:b/>
          <w:bCs/>
          <w:szCs w:val="22"/>
          <w:lang w:val="sr-Latn-ME"/>
        </w:rPr>
      </w:pPr>
      <w:r w:rsidRPr="001202A2">
        <w:rPr>
          <w:b/>
          <w:bCs/>
          <w:szCs w:val="22"/>
          <w:lang w:val="sr-Latn-ME"/>
        </w:rPr>
        <w:t>Tabela 1: Sažet</w:t>
      </w:r>
      <w:r w:rsidR="002B2DFD" w:rsidRPr="001202A2">
        <w:rPr>
          <w:b/>
          <w:bCs/>
          <w:szCs w:val="22"/>
          <w:lang w:val="sr-Latn-ME"/>
        </w:rPr>
        <w:t>i prikaz</w:t>
      </w:r>
      <w:r w:rsidRPr="001202A2">
        <w:rPr>
          <w:b/>
          <w:bCs/>
          <w:szCs w:val="22"/>
          <w:lang w:val="sr-Latn-ME"/>
        </w:rPr>
        <w:t xml:space="preserve"> doziranja kod NVAF i VTE (TDV i PE)</w:t>
      </w:r>
    </w:p>
    <w:tbl>
      <w:tblPr>
        <w:tblStyle w:val="TableGrid"/>
        <w:tblpPr w:leftFromText="180" w:rightFromText="180" w:vertAnchor="text" w:tblpY="146"/>
        <w:tblW w:w="0" w:type="auto"/>
        <w:tblLook w:val="04A0" w:firstRow="1" w:lastRow="0" w:firstColumn="1" w:lastColumn="0" w:noHBand="0" w:noVBand="1"/>
      </w:tblPr>
      <w:tblGrid>
        <w:gridCol w:w="3211"/>
        <w:gridCol w:w="3949"/>
        <w:gridCol w:w="2469"/>
      </w:tblGrid>
      <w:tr w:rsidR="006E740D" w:rsidRPr="001202A2" w14:paraId="6C6C9864" w14:textId="77777777" w:rsidTr="00034F6E">
        <w:trPr>
          <w:trHeight w:val="349"/>
        </w:trPr>
        <w:tc>
          <w:tcPr>
            <w:tcW w:w="9855" w:type="dxa"/>
            <w:gridSpan w:val="3"/>
            <w:vAlign w:val="center"/>
          </w:tcPr>
          <w:p w14:paraId="0CEFF3E7" w14:textId="2BA8DA3E" w:rsidR="006E740D" w:rsidRPr="001202A2" w:rsidRDefault="006E740D" w:rsidP="00880F49">
            <w:pPr>
              <w:tabs>
                <w:tab w:val="clear" w:pos="284"/>
              </w:tabs>
              <w:autoSpaceDE w:val="0"/>
              <w:autoSpaceDN w:val="0"/>
              <w:adjustRightInd w:val="0"/>
              <w:jc w:val="center"/>
              <w:rPr>
                <w:b/>
                <w:bCs/>
                <w:szCs w:val="22"/>
                <w:lang w:val="sr-Latn-ME"/>
              </w:rPr>
            </w:pPr>
            <w:r w:rsidRPr="001202A2">
              <w:rPr>
                <w:b/>
                <w:bCs/>
                <w:szCs w:val="22"/>
                <w:lang w:val="sr-Latn-ME"/>
              </w:rPr>
              <w:t>Sažete sm</w:t>
            </w:r>
            <w:r w:rsidR="002E343B" w:rsidRPr="001202A2">
              <w:rPr>
                <w:b/>
                <w:bCs/>
                <w:szCs w:val="22"/>
                <w:lang w:val="sr-Latn-ME"/>
              </w:rPr>
              <w:t>j</w:t>
            </w:r>
            <w:r w:rsidRPr="001202A2">
              <w:rPr>
                <w:b/>
                <w:bCs/>
                <w:szCs w:val="22"/>
                <w:lang w:val="sr-Latn-ME"/>
              </w:rPr>
              <w:t>ernice za doziranje</w:t>
            </w:r>
          </w:p>
        </w:tc>
      </w:tr>
      <w:tr w:rsidR="006E740D" w:rsidRPr="001202A2" w14:paraId="69FA2FEF" w14:textId="77777777" w:rsidTr="00034F6E">
        <w:tc>
          <w:tcPr>
            <w:tcW w:w="3285" w:type="dxa"/>
            <w:vAlign w:val="center"/>
          </w:tcPr>
          <w:p w14:paraId="1D1F2C5E" w14:textId="4EE2AD88" w:rsidR="006E740D" w:rsidRPr="001202A2" w:rsidRDefault="006E740D" w:rsidP="00880F49">
            <w:pPr>
              <w:tabs>
                <w:tab w:val="clear" w:pos="284"/>
              </w:tabs>
              <w:autoSpaceDE w:val="0"/>
              <w:autoSpaceDN w:val="0"/>
              <w:adjustRightInd w:val="0"/>
              <w:rPr>
                <w:szCs w:val="22"/>
                <w:lang w:val="sr-Latn-ME"/>
              </w:rPr>
            </w:pPr>
            <w:r w:rsidRPr="001202A2">
              <w:rPr>
                <w:szCs w:val="22"/>
                <w:lang w:val="sr-Latn-ME"/>
              </w:rPr>
              <w:t>Preporučena doza</w:t>
            </w:r>
          </w:p>
        </w:tc>
        <w:tc>
          <w:tcPr>
            <w:tcW w:w="4053" w:type="dxa"/>
            <w:vAlign w:val="center"/>
          </w:tcPr>
          <w:p w14:paraId="4FF5C553" w14:textId="77777777" w:rsidR="006E740D" w:rsidRPr="001202A2" w:rsidRDefault="006E740D" w:rsidP="00880F49">
            <w:pPr>
              <w:tabs>
                <w:tab w:val="clear" w:pos="284"/>
              </w:tabs>
              <w:autoSpaceDE w:val="0"/>
              <w:autoSpaceDN w:val="0"/>
              <w:adjustRightInd w:val="0"/>
              <w:rPr>
                <w:szCs w:val="22"/>
                <w:lang w:val="sr-Latn-ME"/>
              </w:rPr>
            </w:pPr>
          </w:p>
        </w:tc>
        <w:tc>
          <w:tcPr>
            <w:tcW w:w="2517" w:type="dxa"/>
            <w:vAlign w:val="center"/>
          </w:tcPr>
          <w:p w14:paraId="229FDD51" w14:textId="01368179" w:rsidR="006E740D" w:rsidRPr="001202A2" w:rsidRDefault="006E740D" w:rsidP="00880F49">
            <w:pPr>
              <w:tabs>
                <w:tab w:val="clear" w:pos="284"/>
              </w:tabs>
              <w:autoSpaceDE w:val="0"/>
              <w:autoSpaceDN w:val="0"/>
              <w:adjustRightInd w:val="0"/>
              <w:jc w:val="center"/>
              <w:rPr>
                <w:szCs w:val="22"/>
                <w:lang w:val="sr-Latn-ME"/>
              </w:rPr>
            </w:pPr>
            <w:r w:rsidRPr="001202A2">
              <w:rPr>
                <w:szCs w:val="22"/>
                <w:lang w:val="sr-Latn-ME"/>
              </w:rPr>
              <w:t>60 mg edoksabana jednom dnevno</w:t>
            </w:r>
          </w:p>
        </w:tc>
      </w:tr>
      <w:tr w:rsidR="006E740D" w:rsidRPr="001202A2" w14:paraId="6B325440" w14:textId="77777777" w:rsidTr="00034F6E">
        <w:tc>
          <w:tcPr>
            <w:tcW w:w="9855" w:type="dxa"/>
            <w:gridSpan w:val="3"/>
            <w:vAlign w:val="center"/>
          </w:tcPr>
          <w:p w14:paraId="322C5E81" w14:textId="07C94489" w:rsidR="006E740D" w:rsidRPr="001202A2" w:rsidRDefault="006E740D" w:rsidP="00880F49">
            <w:pPr>
              <w:tabs>
                <w:tab w:val="clear" w:pos="284"/>
              </w:tabs>
              <w:autoSpaceDE w:val="0"/>
              <w:autoSpaceDN w:val="0"/>
              <w:adjustRightInd w:val="0"/>
              <w:jc w:val="center"/>
              <w:rPr>
                <w:szCs w:val="22"/>
                <w:lang w:val="sr-Latn-ME"/>
              </w:rPr>
            </w:pPr>
            <w:r w:rsidRPr="001202A2">
              <w:rPr>
                <w:szCs w:val="22"/>
                <w:lang w:val="sr-Latn-ME"/>
              </w:rPr>
              <w:t>Preporučen</w:t>
            </w:r>
            <w:r w:rsidR="00034F6E" w:rsidRPr="001202A2">
              <w:rPr>
                <w:szCs w:val="22"/>
                <w:lang w:val="sr-Latn-ME"/>
              </w:rPr>
              <w:t>a</w:t>
            </w:r>
            <w:r w:rsidRPr="001202A2">
              <w:rPr>
                <w:szCs w:val="22"/>
                <w:lang w:val="sr-Latn-ME"/>
              </w:rPr>
              <w:t xml:space="preserve"> doz</w:t>
            </w:r>
            <w:r w:rsidR="00034F6E" w:rsidRPr="001202A2">
              <w:rPr>
                <w:szCs w:val="22"/>
                <w:lang w:val="sr-Latn-ME"/>
              </w:rPr>
              <w:t>a</w:t>
            </w:r>
            <w:r w:rsidRPr="001202A2">
              <w:rPr>
                <w:szCs w:val="22"/>
                <w:lang w:val="sr-Latn-ME"/>
              </w:rPr>
              <w:t xml:space="preserve"> za pacijente sa jednim ili više sl</w:t>
            </w:r>
            <w:r w:rsidR="002E343B" w:rsidRPr="001202A2">
              <w:rPr>
                <w:szCs w:val="22"/>
                <w:lang w:val="sr-Latn-ME"/>
              </w:rPr>
              <w:t>j</w:t>
            </w:r>
            <w:r w:rsidRPr="001202A2">
              <w:rPr>
                <w:szCs w:val="22"/>
                <w:lang w:val="sr-Latn-ME"/>
              </w:rPr>
              <w:t>edećih kliničkih faktora:</w:t>
            </w:r>
          </w:p>
        </w:tc>
      </w:tr>
      <w:tr w:rsidR="00034F6E" w:rsidRPr="001202A2" w14:paraId="0D3AD571" w14:textId="77777777" w:rsidTr="00034F6E">
        <w:tc>
          <w:tcPr>
            <w:tcW w:w="3285" w:type="dxa"/>
            <w:vAlign w:val="center"/>
          </w:tcPr>
          <w:p w14:paraId="04D70FD8" w14:textId="61997474" w:rsidR="00034F6E" w:rsidRPr="001202A2" w:rsidRDefault="00034F6E" w:rsidP="00880F49">
            <w:pPr>
              <w:tabs>
                <w:tab w:val="clear" w:pos="284"/>
              </w:tabs>
              <w:autoSpaceDE w:val="0"/>
              <w:autoSpaceDN w:val="0"/>
              <w:adjustRightInd w:val="0"/>
              <w:rPr>
                <w:szCs w:val="22"/>
                <w:lang w:val="sr-Latn-ME"/>
              </w:rPr>
            </w:pPr>
            <w:r w:rsidRPr="001202A2">
              <w:rPr>
                <w:szCs w:val="22"/>
                <w:lang w:val="sr-Latn-ME"/>
              </w:rPr>
              <w:t>Oštećenje funkcije bubrega</w:t>
            </w:r>
          </w:p>
        </w:tc>
        <w:tc>
          <w:tcPr>
            <w:tcW w:w="4053" w:type="dxa"/>
            <w:vAlign w:val="center"/>
          </w:tcPr>
          <w:p w14:paraId="498776DC" w14:textId="72CE4F61" w:rsidR="00034F6E" w:rsidRPr="001202A2" w:rsidRDefault="00034F6E" w:rsidP="00880F49">
            <w:pPr>
              <w:tabs>
                <w:tab w:val="clear" w:pos="284"/>
              </w:tabs>
              <w:autoSpaceDE w:val="0"/>
              <w:autoSpaceDN w:val="0"/>
              <w:adjustRightInd w:val="0"/>
              <w:rPr>
                <w:i/>
                <w:iCs/>
                <w:szCs w:val="22"/>
                <w:lang w:val="sr-Latn-ME"/>
              </w:rPr>
            </w:pPr>
            <w:r w:rsidRPr="001202A2">
              <w:rPr>
                <w:i/>
                <w:iCs/>
                <w:szCs w:val="22"/>
                <w:lang w:val="sr-Latn-ME"/>
              </w:rPr>
              <w:t>Um</w:t>
            </w:r>
            <w:r w:rsidR="002E343B" w:rsidRPr="001202A2">
              <w:rPr>
                <w:i/>
                <w:iCs/>
                <w:szCs w:val="22"/>
                <w:lang w:val="sr-Latn-ME"/>
              </w:rPr>
              <w:t>j</w:t>
            </w:r>
            <w:r w:rsidRPr="001202A2">
              <w:rPr>
                <w:i/>
                <w:iCs/>
                <w:szCs w:val="22"/>
                <w:lang w:val="sr-Latn-ME"/>
              </w:rPr>
              <w:t xml:space="preserve">ereno ili teško (CrCl 15 – 50 </w:t>
            </w:r>
            <w:r w:rsidR="002B2DFD" w:rsidRPr="001202A2">
              <w:rPr>
                <w:i/>
                <w:iCs/>
                <w:szCs w:val="22"/>
                <w:lang w:val="sr-Latn-ME"/>
              </w:rPr>
              <w:t>ml</w:t>
            </w:r>
            <w:r w:rsidRPr="001202A2">
              <w:rPr>
                <w:i/>
                <w:iCs/>
                <w:szCs w:val="22"/>
                <w:lang w:val="sr-Latn-ME"/>
              </w:rPr>
              <w:t>/min)</w:t>
            </w:r>
          </w:p>
        </w:tc>
        <w:tc>
          <w:tcPr>
            <w:tcW w:w="2517" w:type="dxa"/>
            <w:vMerge w:val="restart"/>
            <w:vAlign w:val="center"/>
          </w:tcPr>
          <w:p w14:paraId="6CE7A1E6" w14:textId="6F0062A7" w:rsidR="00034F6E" w:rsidRPr="001202A2" w:rsidRDefault="00034F6E" w:rsidP="00880F49">
            <w:pPr>
              <w:tabs>
                <w:tab w:val="clear" w:pos="284"/>
              </w:tabs>
              <w:autoSpaceDE w:val="0"/>
              <w:autoSpaceDN w:val="0"/>
              <w:adjustRightInd w:val="0"/>
              <w:jc w:val="center"/>
              <w:rPr>
                <w:szCs w:val="22"/>
                <w:lang w:val="sr-Latn-ME"/>
              </w:rPr>
            </w:pPr>
            <w:r w:rsidRPr="001202A2">
              <w:rPr>
                <w:szCs w:val="22"/>
                <w:lang w:val="sr-Latn-ME"/>
              </w:rPr>
              <w:t>30 mg edoksabana jednom dnevno</w:t>
            </w:r>
          </w:p>
        </w:tc>
      </w:tr>
      <w:tr w:rsidR="00034F6E" w:rsidRPr="001202A2" w14:paraId="7FDCD70A" w14:textId="77777777" w:rsidTr="00034F6E">
        <w:tc>
          <w:tcPr>
            <w:tcW w:w="3285" w:type="dxa"/>
            <w:vAlign w:val="center"/>
          </w:tcPr>
          <w:p w14:paraId="251AFE49" w14:textId="529892EA" w:rsidR="00034F6E" w:rsidRPr="001202A2" w:rsidRDefault="00034F6E" w:rsidP="00880F49">
            <w:pPr>
              <w:tabs>
                <w:tab w:val="clear" w:pos="284"/>
              </w:tabs>
              <w:autoSpaceDE w:val="0"/>
              <w:autoSpaceDN w:val="0"/>
              <w:adjustRightInd w:val="0"/>
              <w:rPr>
                <w:szCs w:val="22"/>
                <w:lang w:val="sr-Latn-ME"/>
              </w:rPr>
            </w:pPr>
            <w:r w:rsidRPr="001202A2">
              <w:rPr>
                <w:szCs w:val="22"/>
                <w:lang w:val="sr-Latn-ME"/>
              </w:rPr>
              <w:t>Mala t</w:t>
            </w:r>
            <w:r w:rsidR="002E343B" w:rsidRPr="001202A2">
              <w:rPr>
                <w:szCs w:val="22"/>
                <w:lang w:val="sr-Latn-ME"/>
              </w:rPr>
              <w:t>j</w:t>
            </w:r>
            <w:r w:rsidRPr="001202A2">
              <w:rPr>
                <w:szCs w:val="22"/>
                <w:lang w:val="sr-Latn-ME"/>
              </w:rPr>
              <w:t>elesna masa</w:t>
            </w:r>
          </w:p>
        </w:tc>
        <w:tc>
          <w:tcPr>
            <w:tcW w:w="4053" w:type="dxa"/>
            <w:vAlign w:val="center"/>
          </w:tcPr>
          <w:p w14:paraId="1799ECC5" w14:textId="6F845A81" w:rsidR="00034F6E" w:rsidRPr="001202A2" w:rsidRDefault="00034F6E" w:rsidP="00880F49">
            <w:pPr>
              <w:tabs>
                <w:tab w:val="clear" w:pos="284"/>
              </w:tabs>
              <w:autoSpaceDE w:val="0"/>
              <w:autoSpaceDN w:val="0"/>
              <w:adjustRightInd w:val="0"/>
              <w:rPr>
                <w:i/>
                <w:iCs/>
                <w:szCs w:val="22"/>
                <w:lang w:val="sr-Latn-ME"/>
              </w:rPr>
            </w:pPr>
            <w:r w:rsidRPr="001202A2">
              <w:rPr>
                <w:rFonts w:eastAsia="TimesNewRoman"/>
                <w:i/>
                <w:iCs/>
                <w:szCs w:val="22"/>
                <w:lang w:val="sr-Latn-ME"/>
              </w:rPr>
              <w:t>≤ 60 kg</w:t>
            </w:r>
          </w:p>
        </w:tc>
        <w:tc>
          <w:tcPr>
            <w:tcW w:w="2517" w:type="dxa"/>
            <w:vMerge/>
            <w:vAlign w:val="center"/>
          </w:tcPr>
          <w:p w14:paraId="071D0887" w14:textId="77777777" w:rsidR="00034F6E" w:rsidRPr="001202A2" w:rsidRDefault="00034F6E" w:rsidP="00880F49">
            <w:pPr>
              <w:tabs>
                <w:tab w:val="clear" w:pos="284"/>
              </w:tabs>
              <w:autoSpaceDE w:val="0"/>
              <w:autoSpaceDN w:val="0"/>
              <w:adjustRightInd w:val="0"/>
              <w:rPr>
                <w:szCs w:val="22"/>
                <w:lang w:val="sr-Latn-ME"/>
              </w:rPr>
            </w:pPr>
          </w:p>
        </w:tc>
      </w:tr>
      <w:tr w:rsidR="00034F6E" w:rsidRPr="001202A2" w14:paraId="05BB41C2" w14:textId="77777777" w:rsidTr="00034F6E">
        <w:tc>
          <w:tcPr>
            <w:tcW w:w="3285" w:type="dxa"/>
            <w:vAlign w:val="center"/>
          </w:tcPr>
          <w:p w14:paraId="56329D15" w14:textId="2F2C82AE" w:rsidR="00034F6E" w:rsidRPr="001202A2" w:rsidRDefault="00034F6E" w:rsidP="00880F49">
            <w:pPr>
              <w:tabs>
                <w:tab w:val="clear" w:pos="284"/>
              </w:tabs>
              <w:autoSpaceDE w:val="0"/>
              <w:autoSpaceDN w:val="0"/>
              <w:adjustRightInd w:val="0"/>
              <w:rPr>
                <w:szCs w:val="22"/>
                <w:lang w:val="sr-Latn-ME"/>
              </w:rPr>
            </w:pPr>
            <w:r w:rsidRPr="001202A2">
              <w:rPr>
                <w:szCs w:val="22"/>
                <w:lang w:val="sr-Latn-ME"/>
              </w:rPr>
              <w:t>Inhibitori P-gp</w:t>
            </w:r>
          </w:p>
        </w:tc>
        <w:tc>
          <w:tcPr>
            <w:tcW w:w="4053" w:type="dxa"/>
            <w:vAlign w:val="center"/>
          </w:tcPr>
          <w:p w14:paraId="6EC1119B" w14:textId="07EBDED0" w:rsidR="00034F6E" w:rsidRPr="001202A2" w:rsidRDefault="00034F6E" w:rsidP="00880F49">
            <w:pPr>
              <w:tabs>
                <w:tab w:val="clear" w:pos="284"/>
              </w:tabs>
              <w:autoSpaceDE w:val="0"/>
              <w:autoSpaceDN w:val="0"/>
              <w:adjustRightInd w:val="0"/>
              <w:rPr>
                <w:i/>
                <w:iCs/>
                <w:szCs w:val="22"/>
                <w:lang w:val="sr-Latn-ME"/>
              </w:rPr>
            </w:pPr>
            <w:r w:rsidRPr="001202A2">
              <w:rPr>
                <w:i/>
                <w:iCs/>
                <w:szCs w:val="22"/>
                <w:lang w:val="sr-Latn-ME"/>
              </w:rPr>
              <w:t>Ciklosporin, dronedaron, eritromicin, ketokonazol</w:t>
            </w:r>
          </w:p>
        </w:tc>
        <w:tc>
          <w:tcPr>
            <w:tcW w:w="2517" w:type="dxa"/>
            <w:vMerge/>
            <w:vAlign w:val="center"/>
          </w:tcPr>
          <w:p w14:paraId="7FCD657C" w14:textId="77777777" w:rsidR="00034F6E" w:rsidRPr="001202A2" w:rsidRDefault="00034F6E" w:rsidP="00880F49">
            <w:pPr>
              <w:tabs>
                <w:tab w:val="clear" w:pos="284"/>
              </w:tabs>
              <w:autoSpaceDE w:val="0"/>
              <w:autoSpaceDN w:val="0"/>
              <w:adjustRightInd w:val="0"/>
              <w:rPr>
                <w:szCs w:val="22"/>
                <w:lang w:val="sr-Latn-ME"/>
              </w:rPr>
            </w:pPr>
          </w:p>
        </w:tc>
      </w:tr>
    </w:tbl>
    <w:p w14:paraId="51F8A385" w14:textId="77777777" w:rsidR="00813187" w:rsidRPr="001202A2" w:rsidRDefault="00813187" w:rsidP="00480B31">
      <w:pPr>
        <w:tabs>
          <w:tab w:val="clear" w:pos="284"/>
        </w:tabs>
        <w:autoSpaceDE w:val="0"/>
        <w:autoSpaceDN w:val="0"/>
        <w:adjustRightInd w:val="0"/>
        <w:rPr>
          <w:i/>
          <w:iCs/>
          <w:szCs w:val="22"/>
          <w:lang w:val="sr-Latn-ME"/>
        </w:rPr>
      </w:pPr>
    </w:p>
    <w:p w14:paraId="30CFB2E9" w14:textId="283D47CF" w:rsidR="003E704B" w:rsidRPr="001202A2" w:rsidRDefault="003E704B" w:rsidP="00480B31">
      <w:pPr>
        <w:tabs>
          <w:tab w:val="clear" w:pos="284"/>
        </w:tabs>
        <w:autoSpaceDE w:val="0"/>
        <w:autoSpaceDN w:val="0"/>
        <w:adjustRightInd w:val="0"/>
        <w:rPr>
          <w:i/>
          <w:iCs/>
          <w:szCs w:val="22"/>
          <w:lang w:val="sr-Latn-ME"/>
        </w:rPr>
      </w:pPr>
      <w:r w:rsidRPr="001202A2">
        <w:rPr>
          <w:i/>
          <w:iCs/>
          <w:szCs w:val="22"/>
          <w:lang w:val="sr-Latn-ME"/>
        </w:rPr>
        <w:t>Propuštena doza</w:t>
      </w:r>
    </w:p>
    <w:p w14:paraId="765CFFE0" w14:textId="14D85112" w:rsidR="003E704B" w:rsidRPr="001202A2" w:rsidRDefault="003E704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Ukoliko se propusti doza edoksabana, dozu treba uzeti odmah i zatim nastaviti sl</w:t>
      </w:r>
      <w:r w:rsidR="002E343B" w:rsidRPr="001202A2">
        <w:rPr>
          <w:rFonts w:eastAsia="TimesNewRoman"/>
          <w:szCs w:val="22"/>
          <w:lang w:val="sr-Latn-ME"/>
        </w:rPr>
        <w:t>j</w:t>
      </w:r>
      <w:r w:rsidRPr="001202A2">
        <w:rPr>
          <w:rFonts w:eastAsia="TimesNewRoman"/>
          <w:szCs w:val="22"/>
          <w:lang w:val="sr-Latn-ME"/>
        </w:rPr>
        <w:t>edećeg dana sa uzimanjem jednom dnevno, kako je preporučeno. Pacijent ne sm</w:t>
      </w:r>
      <w:r w:rsidR="002E343B" w:rsidRPr="001202A2">
        <w:rPr>
          <w:rFonts w:eastAsia="TimesNewRoman"/>
          <w:szCs w:val="22"/>
          <w:lang w:val="sr-Latn-ME"/>
        </w:rPr>
        <w:t>ij</w:t>
      </w:r>
      <w:r w:rsidRPr="001202A2">
        <w:rPr>
          <w:rFonts w:eastAsia="TimesNewRoman"/>
          <w:szCs w:val="22"/>
          <w:lang w:val="sr-Latn-ME"/>
        </w:rPr>
        <w:t>e uzeti duplo veću dozu od propisane istog dana da bi nadoknadio propuštenu dozu.</w:t>
      </w:r>
    </w:p>
    <w:p w14:paraId="49AACEE5"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68D121EB" w14:textId="5782C8E6" w:rsidR="003E704B" w:rsidRPr="001202A2" w:rsidRDefault="003E704B" w:rsidP="00480B31">
      <w:pPr>
        <w:tabs>
          <w:tab w:val="clear" w:pos="284"/>
        </w:tabs>
        <w:autoSpaceDE w:val="0"/>
        <w:autoSpaceDN w:val="0"/>
        <w:adjustRightInd w:val="0"/>
        <w:rPr>
          <w:i/>
          <w:iCs/>
          <w:szCs w:val="22"/>
          <w:lang w:val="sr-Latn-ME"/>
        </w:rPr>
      </w:pPr>
      <w:r w:rsidRPr="001202A2">
        <w:rPr>
          <w:i/>
          <w:iCs/>
          <w:szCs w:val="22"/>
          <w:lang w:val="sr-Latn-ME"/>
        </w:rPr>
        <w:t>Zam</w:t>
      </w:r>
      <w:r w:rsidR="002E343B" w:rsidRPr="001202A2">
        <w:rPr>
          <w:i/>
          <w:iCs/>
          <w:szCs w:val="22"/>
          <w:lang w:val="sr-Latn-ME"/>
        </w:rPr>
        <w:t>j</w:t>
      </w:r>
      <w:r w:rsidRPr="001202A2">
        <w:rPr>
          <w:i/>
          <w:iCs/>
          <w:szCs w:val="22"/>
          <w:lang w:val="sr-Latn-ME"/>
        </w:rPr>
        <w:t>ena edoksabana drugim l</w:t>
      </w:r>
      <w:r w:rsidR="002E343B" w:rsidRPr="001202A2">
        <w:rPr>
          <w:i/>
          <w:iCs/>
          <w:szCs w:val="22"/>
          <w:lang w:val="sr-Latn-ME"/>
        </w:rPr>
        <w:t>ij</w:t>
      </w:r>
      <w:r w:rsidRPr="001202A2">
        <w:rPr>
          <w:i/>
          <w:iCs/>
          <w:szCs w:val="22"/>
          <w:lang w:val="sr-Latn-ME"/>
        </w:rPr>
        <w:t>ekom i obrnuto</w:t>
      </w:r>
    </w:p>
    <w:p w14:paraId="252B7017" w14:textId="1F81999E" w:rsidR="003E704B" w:rsidRPr="001202A2" w:rsidRDefault="003E704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Kontinuirana antikoagulantna terapija je značajna za pacijente sa NVAF i VTE. Mogu postojati situacije koje zaht</w:t>
      </w:r>
      <w:r w:rsidR="002E343B" w:rsidRPr="001202A2">
        <w:rPr>
          <w:rFonts w:eastAsia="TimesNewRoman"/>
          <w:szCs w:val="22"/>
          <w:lang w:val="sr-Latn-ME"/>
        </w:rPr>
        <w:t>ij</w:t>
      </w:r>
      <w:r w:rsidRPr="001202A2">
        <w:rPr>
          <w:rFonts w:eastAsia="TimesNewRoman"/>
          <w:szCs w:val="22"/>
          <w:lang w:val="sr-Latn-ME"/>
        </w:rPr>
        <w:t>evaju prom</w:t>
      </w:r>
      <w:r w:rsidR="002E343B" w:rsidRPr="001202A2">
        <w:rPr>
          <w:rFonts w:eastAsia="TimesNewRoman"/>
          <w:szCs w:val="22"/>
          <w:lang w:val="sr-Latn-ME"/>
        </w:rPr>
        <w:t>j</w:t>
      </w:r>
      <w:r w:rsidRPr="001202A2">
        <w:rPr>
          <w:rFonts w:eastAsia="TimesNewRoman"/>
          <w:szCs w:val="22"/>
          <w:lang w:val="sr-Latn-ME"/>
        </w:rPr>
        <w:t>enu antikoagulantne terapije (tabela 2).</w:t>
      </w:r>
    </w:p>
    <w:p w14:paraId="6474B6A4" w14:textId="77777777" w:rsidR="00813187" w:rsidRPr="001202A2" w:rsidRDefault="00813187" w:rsidP="00480B31">
      <w:pPr>
        <w:tabs>
          <w:tab w:val="clear" w:pos="284"/>
        </w:tabs>
        <w:autoSpaceDE w:val="0"/>
        <w:autoSpaceDN w:val="0"/>
        <w:adjustRightInd w:val="0"/>
        <w:rPr>
          <w:szCs w:val="22"/>
          <w:u w:val="single"/>
          <w:lang w:val="sr-Latn-ME"/>
        </w:rPr>
      </w:pPr>
    </w:p>
    <w:p w14:paraId="2B60A3DB" w14:textId="1A3C035A" w:rsidR="003E704B" w:rsidRPr="001202A2" w:rsidRDefault="00B341A3" w:rsidP="00480B31">
      <w:pPr>
        <w:rPr>
          <w:b/>
          <w:bCs/>
          <w:szCs w:val="22"/>
          <w:lang w:val="sr-Latn-ME"/>
        </w:rPr>
      </w:pPr>
      <w:r w:rsidRPr="001202A2">
        <w:rPr>
          <w:b/>
          <w:bCs/>
          <w:szCs w:val="22"/>
          <w:lang w:val="sr-Latn-ME"/>
        </w:rPr>
        <w:t xml:space="preserve">Tabela 2: </w:t>
      </w:r>
      <w:r w:rsidR="002B2DFD" w:rsidRPr="001202A2">
        <w:rPr>
          <w:b/>
          <w:bCs/>
          <w:szCs w:val="22"/>
          <w:lang w:val="sr-Latn-ME"/>
        </w:rPr>
        <w:t>Zamjena</w:t>
      </w:r>
      <w:r w:rsidRPr="001202A2">
        <w:rPr>
          <w:b/>
          <w:bCs/>
          <w:szCs w:val="22"/>
          <w:lang w:val="sr-Latn-ME"/>
        </w:rPr>
        <w:t xml:space="preserve"> antikoagulantne terapije kod NVAF i VTE (TDV i PE)</w:t>
      </w:r>
    </w:p>
    <w:p w14:paraId="0B5966B8" w14:textId="77777777" w:rsidR="00854B89" w:rsidRPr="001202A2" w:rsidRDefault="00854B89" w:rsidP="00480B31">
      <w:pPr>
        <w:rPr>
          <w:b/>
          <w:bCs/>
          <w:szCs w:val="22"/>
          <w:lang w:val="sr-Latn-ME"/>
        </w:rPr>
      </w:pPr>
    </w:p>
    <w:tbl>
      <w:tblPr>
        <w:tblStyle w:val="TableGrid"/>
        <w:tblW w:w="0" w:type="auto"/>
        <w:tblLook w:val="04A0" w:firstRow="1" w:lastRow="0" w:firstColumn="1" w:lastColumn="0" w:noHBand="0" w:noVBand="1"/>
      </w:tblPr>
      <w:tblGrid>
        <w:gridCol w:w="3228"/>
        <w:gridCol w:w="1351"/>
        <w:gridCol w:w="5050"/>
      </w:tblGrid>
      <w:tr w:rsidR="00B341A3" w:rsidRPr="001202A2" w14:paraId="0851F175" w14:textId="77777777" w:rsidTr="00DA7071">
        <w:tc>
          <w:tcPr>
            <w:tcW w:w="9855" w:type="dxa"/>
            <w:gridSpan w:val="3"/>
            <w:vAlign w:val="center"/>
          </w:tcPr>
          <w:p w14:paraId="4CE1AA60" w14:textId="4116642B" w:rsidR="00B341A3" w:rsidRPr="001202A2" w:rsidRDefault="00B341A3" w:rsidP="00880F49">
            <w:pPr>
              <w:jc w:val="center"/>
              <w:rPr>
                <w:b/>
                <w:bCs/>
                <w:szCs w:val="22"/>
                <w:lang w:val="sr-Latn-ME"/>
              </w:rPr>
            </w:pPr>
            <w:r w:rsidRPr="001202A2">
              <w:rPr>
                <w:b/>
                <w:bCs/>
                <w:szCs w:val="22"/>
                <w:lang w:val="sr-Latn-ME"/>
              </w:rPr>
              <w:t xml:space="preserve">Prelazak </w:t>
            </w:r>
            <w:r w:rsidR="002B2DFD" w:rsidRPr="001202A2">
              <w:rPr>
                <w:b/>
                <w:bCs/>
                <w:szCs w:val="22"/>
                <w:lang w:val="sr-Latn-ME"/>
              </w:rPr>
              <w:t xml:space="preserve">sa drugih antikoagulanasa </w:t>
            </w:r>
            <w:r w:rsidRPr="001202A2">
              <w:rPr>
                <w:b/>
                <w:bCs/>
                <w:szCs w:val="22"/>
                <w:lang w:val="sr-Latn-ME"/>
              </w:rPr>
              <w:t>na edoksaban</w:t>
            </w:r>
          </w:p>
        </w:tc>
      </w:tr>
      <w:tr w:rsidR="00B341A3" w:rsidRPr="001202A2" w14:paraId="2DEBFACA" w14:textId="77777777" w:rsidTr="00DA7071">
        <w:tc>
          <w:tcPr>
            <w:tcW w:w="3285" w:type="dxa"/>
            <w:vAlign w:val="center"/>
          </w:tcPr>
          <w:p w14:paraId="4AA8BB0B" w14:textId="266C4421" w:rsidR="00B341A3" w:rsidRPr="001202A2" w:rsidRDefault="00B341A3" w:rsidP="00880F49">
            <w:pPr>
              <w:jc w:val="center"/>
              <w:rPr>
                <w:b/>
                <w:bCs/>
                <w:szCs w:val="22"/>
                <w:lang w:val="sr-Latn-ME"/>
              </w:rPr>
            </w:pPr>
            <w:r w:rsidRPr="001202A2">
              <w:rPr>
                <w:b/>
                <w:bCs/>
                <w:szCs w:val="22"/>
                <w:lang w:val="sr-Latn-ME"/>
              </w:rPr>
              <w:t>Prelazak sa l</w:t>
            </w:r>
            <w:r w:rsidR="002E343B" w:rsidRPr="001202A2">
              <w:rPr>
                <w:b/>
                <w:bCs/>
                <w:szCs w:val="22"/>
                <w:lang w:val="sr-Latn-ME"/>
              </w:rPr>
              <w:t>ij</w:t>
            </w:r>
            <w:r w:rsidRPr="001202A2">
              <w:rPr>
                <w:b/>
                <w:bCs/>
                <w:szCs w:val="22"/>
                <w:lang w:val="sr-Latn-ME"/>
              </w:rPr>
              <w:t>eka</w:t>
            </w:r>
          </w:p>
        </w:tc>
        <w:tc>
          <w:tcPr>
            <w:tcW w:w="1359" w:type="dxa"/>
            <w:vAlign w:val="center"/>
          </w:tcPr>
          <w:p w14:paraId="461C6EE9" w14:textId="65ADCB38" w:rsidR="00B341A3" w:rsidRPr="001202A2" w:rsidRDefault="00B341A3" w:rsidP="00880F49">
            <w:pPr>
              <w:jc w:val="center"/>
              <w:rPr>
                <w:b/>
                <w:bCs/>
                <w:szCs w:val="22"/>
                <w:lang w:val="sr-Latn-ME"/>
              </w:rPr>
            </w:pPr>
            <w:r w:rsidRPr="001202A2">
              <w:rPr>
                <w:b/>
                <w:bCs/>
                <w:szCs w:val="22"/>
                <w:lang w:val="sr-Latn-ME"/>
              </w:rPr>
              <w:t>Na l</w:t>
            </w:r>
            <w:r w:rsidR="002E343B" w:rsidRPr="001202A2">
              <w:rPr>
                <w:b/>
                <w:bCs/>
                <w:szCs w:val="22"/>
                <w:lang w:val="sr-Latn-ME"/>
              </w:rPr>
              <w:t>ij</w:t>
            </w:r>
            <w:r w:rsidRPr="001202A2">
              <w:rPr>
                <w:b/>
                <w:bCs/>
                <w:szCs w:val="22"/>
                <w:lang w:val="sr-Latn-ME"/>
              </w:rPr>
              <w:t>ek</w:t>
            </w:r>
          </w:p>
        </w:tc>
        <w:tc>
          <w:tcPr>
            <w:tcW w:w="5211" w:type="dxa"/>
            <w:vAlign w:val="center"/>
          </w:tcPr>
          <w:p w14:paraId="4BD7B949" w14:textId="008C9C14" w:rsidR="00B341A3" w:rsidRPr="001202A2" w:rsidRDefault="00B341A3" w:rsidP="00880F49">
            <w:pPr>
              <w:jc w:val="center"/>
              <w:rPr>
                <w:b/>
                <w:bCs/>
                <w:szCs w:val="22"/>
                <w:lang w:val="sr-Latn-ME"/>
              </w:rPr>
            </w:pPr>
            <w:r w:rsidRPr="001202A2">
              <w:rPr>
                <w:b/>
                <w:bCs/>
                <w:szCs w:val="22"/>
                <w:lang w:val="sr-Latn-ME"/>
              </w:rPr>
              <w:t>Preporuka</w:t>
            </w:r>
          </w:p>
        </w:tc>
      </w:tr>
      <w:tr w:rsidR="00B341A3" w:rsidRPr="001202A2" w14:paraId="36EA7B4D" w14:textId="77777777" w:rsidTr="00DA7071">
        <w:tc>
          <w:tcPr>
            <w:tcW w:w="3285" w:type="dxa"/>
            <w:vAlign w:val="center"/>
          </w:tcPr>
          <w:p w14:paraId="5100E5FB" w14:textId="71FCF0BA" w:rsidR="00B341A3" w:rsidRPr="001202A2" w:rsidRDefault="00B341A3" w:rsidP="00880F49">
            <w:pPr>
              <w:jc w:val="center"/>
              <w:rPr>
                <w:szCs w:val="22"/>
                <w:lang w:val="sr-Latn-ME"/>
              </w:rPr>
            </w:pPr>
            <w:r w:rsidRPr="001202A2">
              <w:rPr>
                <w:szCs w:val="22"/>
                <w:lang w:val="sr-Latn-ME"/>
              </w:rPr>
              <w:t>Antagonist vitamina K (</w:t>
            </w:r>
            <w:r w:rsidR="005B15A0" w:rsidRPr="001202A2">
              <w:rPr>
                <w:szCs w:val="22"/>
                <w:lang w:val="sr-Latn-ME"/>
              </w:rPr>
              <w:t xml:space="preserve">engl. </w:t>
            </w:r>
            <w:r w:rsidR="005B15A0" w:rsidRPr="001202A2">
              <w:rPr>
                <w:i/>
                <w:iCs/>
                <w:szCs w:val="22"/>
                <w:lang w:val="sr-Latn-ME"/>
              </w:rPr>
              <w:t>vitamin K antagonist</w:t>
            </w:r>
            <w:r w:rsidR="005B15A0" w:rsidRPr="001202A2">
              <w:rPr>
                <w:szCs w:val="22"/>
                <w:lang w:val="sr-Latn-ME"/>
              </w:rPr>
              <w:t xml:space="preserve">, </w:t>
            </w:r>
            <w:r w:rsidRPr="001202A2">
              <w:rPr>
                <w:szCs w:val="22"/>
                <w:lang w:val="sr-Latn-ME"/>
              </w:rPr>
              <w:t>VKA)</w:t>
            </w:r>
          </w:p>
        </w:tc>
        <w:tc>
          <w:tcPr>
            <w:tcW w:w="1359" w:type="dxa"/>
            <w:vAlign w:val="center"/>
          </w:tcPr>
          <w:p w14:paraId="2A83BCC8" w14:textId="1677B5BF" w:rsidR="00B341A3" w:rsidRPr="001202A2" w:rsidRDefault="00B341A3" w:rsidP="00880F49">
            <w:pPr>
              <w:jc w:val="center"/>
              <w:rPr>
                <w:szCs w:val="22"/>
                <w:lang w:val="sr-Latn-ME"/>
              </w:rPr>
            </w:pPr>
            <w:r w:rsidRPr="001202A2">
              <w:rPr>
                <w:szCs w:val="22"/>
                <w:lang w:val="sr-Latn-ME"/>
              </w:rPr>
              <w:t>Edoksaban</w:t>
            </w:r>
          </w:p>
        </w:tc>
        <w:tc>
          <w:tcPr>
            <w:tcW w:w="5211" w:type="dxa"/>
            <w:vAlign w:val="center"/>
          </w:tcPr>
          <w:p w14:paraId="1AEDFC08" w14:textId="08E6C074" w:rsidR="00B341A3" w:rsidRPr="001202A2" w:rsidRDefault="00B341A3" w:rsidP="00480B31">
            <w:pPr>
              <w:jc w:val="left"/>
              <w:rPr>
                <w:szCs w:val="22"/>
                <w:lang w:val="sr-Latn-ME"/>
              </w:rPr>
            </w:pPr>
            <w:r w:rsidRPr="001202A2">
              <w:rPr>
                <w:szCs w:val="22"/>
                <w:lang w:val="sr-Latn-ME"/>
              </w:rPr>
              <w:t>Obustaviti prim</w:t>
            </w:r>
            <w:r w:rsidR="002E343B" w:rsidRPr="001202A2">
              <w:rPr>
                <w:szCs w:val="22"/>
                <w:lang w:val="sr-Latn-ME"/>
              </w:rPr>
              <w:t>j</w:t>
            </w:r>
            <w:r w:rsidRPr="001202A2">
              <w:rPr>
                <w:szCs w:val="22"/>
                <w:lang w:val="sr-Latn-ME"/>
              </w:rPr>
              <w:t>enu VKA i uvesti edoksaban kada se vr</w:t>
            </w:r>
            <w:r w:rsidR="002E343B" w:rsidRPr="001202A2">
              <w:rPr>
                <w:szCs w:val="22"/>
                <w:lang w:val="sr-Latn-ME"/>
              </w:rPr>
              <w:t>ij</w:t>
            </w:r>
            <w:r w:rsidRPr="001202A2">
              <w:rPr>
                <w:szCs w:val="22"/>
                <w:lang w:val="sr-Latn-ME"/>
              </w:rPr>
              <w:t xml:space="preserve">ednost </w:t>
            </w:r>
            <w:r w:rsidR="005B15A0" w:rsidRPr="001202A2">
              <w:rPr>
                <w:szCs w:val="22"/>
                <w:lang w:val="sr-Latn-ME"/>
              </w:rPr>
              <w:t xml:space="preserve">internacionalnog normalizovanog odnosa (engl. </w:t>
            </w:r>
            <w:r w:rsidR="005B15A0" w:rsidRPr="001202A2">
              <w:rPr>
                <w:i/>
                <w:iCs/>
                <w:szCs w:val="22"/>
                <w:lang w:val="sr-Latn-ME"/>
              </w:rPr>
              <w:t>international normalised ratio, INR</w:t>
            </w:r>
            <w:r w:rsidR="005B15A0" w:rsidRPr="001202A2">
              <w:rPr>
                <w:szCs w:val="22"/>
                <w:lang w:val="sr-Latn-ME"/>
              </w:rPr>
              <w:t xml:space="preserve">) </w:t>
            </w:r>
            <w:r w:rsidRPr="001202A2">
              <w:rPr>
                <w:szCs w:val="22"/>
                <w:lang w:val="sr-Latn-ME"/>
              </w:rPr>
              <w:t>spusti na ≤ 2</w:t>
            </w:r>
            <w:r w:rsidR="005B15A0" w:rsidRPr="001202A2">
              <w:rPr>
                <w:szCs w:val="22"/>
                <w:lang w:val="sr-Latn-ME"/>
              </w:rPr>
              <w:t>,</w:t>
            </w:r>
            <w:r w:rsidRPr="001202A2">
              <w:rPr>
                <w:szCs w:val="22"/>
                <w:lang w:val="sr-Latn-ME"/>
              </w:rPr>
              <w:t>5</w:t>
            </w:r>
            <w:r w:rsidR="005B15A0" w:rsidRPr="001202A2">
              <w:rPr>
                <w:szCs w:val="22"/>
                <w:lang w:val="sr-Latn-ME"/>
              </w:rPr>
              <w:t>.</w:t>
            </w:r>
          </w:p>
        </w:tc>
      </w:tr>
      <w:tr w:rsidR="00B341A3" w:rsidRPr="001202A2" w14:paraId="0BC53B9F" w14:textId="77777777" w:rsidTr="00DA7071">
        <w:tc>
          <w:tcPr>
            <w:tcW w:w="3285" w:type="dxa"/>
            <w:vAlign w:val="center"/>
          </w:tcPr>
          <w:p w14:paraId="1EABA34E" w14:textId="39A4B8C9" w:rsidR="002E343B" w:rsidRPr="001202A2" w:rsidRDefault="005B15A0" w:rsidP="00880F49">
            <w:pPr>
              <w:jc w:val="center"/>
              <w:rPr>
                <w:szCs w:val="22"/>
                <w:lang w:val="sr-Latn-ME"/>
              </w:rPr>
            </w:pPr>
            <w:r w:rsidRPr="001202A2">
              <w:rPr>
                <w:szCs w:val="22"/>
                <w:lang w:val="sr-Latn-ME"/>
              </w:rPr>
              <w:t>Oralni antikoagulansi, osim VKA</w:t>
            </w:r>
            <w:r w:rsidR="002E343B" w:rsidRPr="001202A2">
              <w:rPr>
                <w:szCs w:val="22"/>
                <w:lang w:val="sr-Latn-ME"/>
              </w:rPr>
              <w:t>:</w:t>
            </w:r>
          </w:p>
          <w:p w14:paraId="28B1481D" w14:textId="77777777" w:rsidR="002E343B" w:rsidRPr="001202A2" w:rsidRDefault="005B15A0" w:rsidP="00880F49">
            <w:pPr>
              <w:pStyle w:val="ListParagraph"/>
              <w:numPr>
                <w:ilvl w:val="0"/>
                <w:numId w:val="11"/>
              </w:numPr>
              <w:rPr>
                <w:szCs w:val="22"/>
                <w:lang w:val="sr-Latn-ME"/>
              </w:rPr>
            </w:pPr>
            <w:r w:rsidRPr="001202A2">
              <w:rPr>
                <w:szCs w:val="22"/>
                <w:lang w:val="sr-Latn-ME"/>
              </w:rPr>
              <w:t>dabigatran</w:t>
            </w:r>
          </w:p>
          <w:p w14:paraId="5AACFA34" w14:textId="77777777" w:rsidR="002E343B" w:rsidRPr="001202A2" w:rsidRDefault="005B15A0" w:rsidP="00880F49">
            <w:pPr>
              <w:pStyle w:val="ListParagraph"/>
              <w:numPr>
                <w:ilvl w:val="0"/>
                <w:numId w:val="11"/>
              </w:numPr>
              <w:rPr>
                <w:szCs w:val="22"/>
                <w:lang w:val="sr-Latn-ME"/>
              </w:rPr>
            </w:pPr>
            <w:r w:rsidRPr="001202A2">
              <w:rPr>
                <w:szCs w:val="22"/>
                <w:lang w:val="sr-Latn-ME"/>
              </w:rPr>
              <w:lastRenderedPageBreak/>
              <w:t>rivaroksaban</w:t>
            </w:r>
          </w:p>
          <w:p w14:paraId="5C88FBE2" w14:textId="62470C3A" w:rsidR="005B15A0" w:rsidRPr="001202A2" w:rsidRDefault="005B15A0" w:rsidP="00880F49">
            <w:pPr>
              <w:pStyle w:val="ListParagraph"/>
              <w:numPr>
                <w:ilvl w:val="0"/>
                <w:numId w:val="11"/>
              </w:numPr>
              <w:rPr>
                <w:szCs w:val="22"/>
                <w:lang w:val="sr-Latn-ME"/>
              </w:rPr>
            </w:pPr>
            <w:r w:rsidRPr="001202A2">
              <w:rPr>
                <w:szCs w:val="22"/>
                <w:lang w:val="sr-Latn-ME"/>
              </w:rPr>
              <w:t>apiksaban</w:t>
            </w:r>
          </w:p>
        </w:tc>
        <w:tc>
          <w:tcPr>
            <w:tcW w:w="1359" w:type="dxa"/>
            <w:vAlign w:val="center"/>
          </w:tcPr>
          <w:p w14:paraId="0E33EED0" w14:textId="3367F309" w:rsidR="00B341A3" w:rsidRPr="001202A2" w:rsidRDefault="005B15A0" w:rsidP="00880F49">
            <w:pPr>
              <w:jc w:val="center"/>
              <w:rPr>
                <w:szCs w:val="22"/>
                <w:lang w:val="sr-Latn-ME"/>
              </w:rPr>
            </w:pPr>
            <w:r w:rsidRPr="001202A2">
              <w:rPr>
                <w:szCs w:val="22"/>
                <w:lang w:val="sr-Latn-ME"/>
              </w:rPr>
              <w:lastRenderedPageBreak/>
              <w:t>Edoksaban</w:t>
            </w:r>
          </w:p>
        </w:tc>
        <w:tc>
          <w:tcPr>
            <w:tcW w:w="5211" w:type="dxa"/>
            <w:vAlign w:val="center"/>
          </w:tcPr>
          <w:p w14:paraId="795D4FA4" w14:textId="73F5634F" w:rsidR="00B341A3" w:rsidRPr="001202A2" w:rsidRDefault="005B15A0" w:rsidP="00480B31">
            <w:pPr>
              <w:jc w:val="left"/>
              <w:rPr>
                <w:szCs w:val="22"/>
                <w:lang w:val="sr-Latn-ME"/>
              </w:rPr>
            </w:pPr>
            <w:r w:rsidRPr="001202A2">
              <w:rPr>
                <w:szCs w:val="22"/>
                <w:lang w:val="sr-Latn-ME"/>
              </w:rPr>
              <w:t>Obustaviti prim</w:t>
            </w:r>
            <w:r w:rsidR="002E343B" w:rsidRPr="001202A2">
              <w:rPr>
                <w:szCs w:val="22"/>
                <w:lang w:val="sr-Latn-ME"/>
              </w:rPr>
              <w:t>j</w:t>
            </w:r>
            <w:r w:rsidRPr="001202A2">
              <w:rPr>
                <w:szCs w:val="22"/>
                <w:lang w:val="sr-Latn-ME"/>
              </w:rPr>
              <w:t>enu dabigatrana, rivaroksabana ili apiksabana i započeti terapiju edoksabanom u vr</w:t>
            </w:r>
            <w:r w:rsidR="002E343B" w:rsidRPr="001202A2">
              <w:rPr>
                <w:szCs w:val="22"/>
                <w:lang w:val="sr-Latn-ME"/>
              </w:rPr>
              <w:t>ij</w:t>
            </w:r>
            <w:r w:rsidRPr="001202A2">
              <w:rPr>
                <w:szCs w:val="22"/>
                <w:lang w:val="sr-Latn-ME"/>
              </w:rPr>
              <w:t>eme sl</w:t>
            </w:r>
            <w:r w:rsidR="002E343B" w:rsidRPr="001202A2">
              <w:rPr>
                <w:szCs w:val="22"/>
                <w:lang w:val="sr-Latn-ME"/>
              </w:rPr>
              <w:t>j</w:t>
            </w:r>
            <w:r w:rsidRPr="001202A2">
              <w:rPr>
                <w:szCs w:val="22"/>
                <w:lang w:val="sr-Latn-ME"/>
              </w:rPr>
              <w:t>edeće doze oralnog antikoagulansa</w:t>
            </w:r>
            <w:r w:rsidR="00F642B4" w:rsidRPr="001202A2">
              <w:rPr>
                <w:szCs w:val="22"/>
                <w:lang w:val="sr-Latn-ME"/>
              </w:rPr>
              <w:t xml:space="preserve"> (vid</w:t>
            </w:r>
            <w:r w:rsidR="002E343B" w:rsidRPr="001202A2">
              <w:rPr>
                <w:szCs w:val="22"/>
                <w:lang w:val="sr-Latn-ME"/>
              </w:rPr>
              <w:t>j</w:t>
            </w:r>
            <w:r w:rsidR="00F642B4" w:rsidRPr="001202A2">
              <w:rPr>
                <w:szCs w:val="22"/>
                <w:lang w:val="sr-Latn-ME"/>
              </w:rPr>
              <w:t xml:space="preserve">eti </w:t>
            </w:r>
            <w:r w:rsidR="002E343B" w:rsidRPr="001202A2">
              <w:rPr>
                <w:szCs w:val="22"/>
                <w:lang w:val="sr-Latn-ME"/>
              </w:rPr>
              <w:t>dio</w:t>
            </w:r>
            <w:r w:rsidR="00F642B4" w:rsidRPr="001202A2">
              <w:rPr>
                <w:szCs w:val="22"/>
                <w:lang w:val="sr-Latn-ME"/>
              </w:rPr>
              <w:t xml:space="preserve"> 5.1).</w:t>
            </w:r>
          </w:p>
        </w:tc>
      </w:tr>
      <w:tr w:rsidR="00F642B4" w:rsidRPr="001202A2" w14:paraId="43D8D668" w14:textId="77777777" w:rsidTr="00DA7071">
        <w:trPr>
          <w:trHeight w:val="207"/>
        </w:trPr>
        <w:tc>
          <w:tcPr>
            <w:tcW w:w="3285" w:type="dxa"/>
            <w:vMerge w:val="restart"/>
            <w:vAlign w:val="center"/>
          </w:tcPr>
          <w:p w14:paraId="288CEBC0" w14:textId="78630E97" w:rsidR="00F642B4" w:rsidRPr="001202A2" w:rsidRDefault="00DA7071" w:rsidP="00880F49">
            <w:pPr>
              <w:jc w:val="center"/>
              <w:rPr>
                <w:szCs w:val="22"/>
                <w:lang w:val="sr-Latn-ME"/>
              </w:rPr>
            </w:pPr>
            <w:r w:rsidRPr="001202A2">
              <w:rPr>
                <w:szCs w:val="22"/>
                <w:lang w:val="sr-Latn-ME"/>
              </w:rPr>
              <w:t>Parenteralni antikoagulansi</w:t>
            </w:r>
          </w:p>
        </w:tc>
        <w:tc>
          <w:tcPr>
            <w:tcW w:w="1359" w:type="dxa"/>
            <w:vMerge w:val="restart"/>
            <w:vAlign w:val="center"/>
          </w:tcPr>
          <w:p w14:paraId="413CE5F0" w14:textId="5C128140" w:rsidR="00F642B4" w:rsidRPr="001202A2" w:rsidRDefault="00F642B4" w:rsidP="00880F49">
            <w:pPr>
              <w:jc w:val="center"/>
              <w:rPr>
                <w:szCs w:val="22"/>
                <w:lang w:val="sr-Latn-ME"/>
              </w:rPr>
            </w:pPr>
            <w:r w:rsidRPr="001202A2">
              <w:rPr>
                <w:szCs w:val="22"/>
                <w:lang w:val="sr-Latn-ME"/>
              </w:rPr>
              <w:t>Edoksaban</w:t>
            </w:r>
          </w:p>
        </w:tc>
        <w:tc>
          <w:tcPr>
            <w:tcW w:w="5211" w:type="dxa"/>
            <w:vAlign w:val="center"/>
          </w:tcPr>
          <w:p w14:paraId="23A1910A" w14:textId="68B7411F" w:rsidR="00F642B4" w:rsidRPr="001202A2" w:rsidRDefault="00F642B4" w:rsidP="00480B31">
            <w:pPr>
              <w:jc w:val="left"/>
              <w:rPr>
                <w:szCs w:val="22"/>
                <w:lang w:val="sr-Latn-ME"/>
              </w:rPr>
            </w:pPr>
            <w:r w:rsidRPr="001202A2">
              <w:rPr>
                <w:szCs w:val="22"/>
                <w:lang w:val="sr-Latn-ME"/>
              </w:rPr>
              <w:t>Ovi l</w:t>
            </w:r>
            <w:r w:rsidR="002E343B" w:rsidRPr="001202A2">
              <w:rPr>
                <w:szCs w:val="22"/>
                <w:lang w:val="sr-Latn-ME"/>
              </w:rPr>
              <w:t>j</w:t>
            </w:r>
            <w:r w:rsidRPr="001202A2">
              <w:rPr>
                <w:szCs w:val="22"/>
                <w:lang w:val="sr-Latn-ME"/>
              </w:rPr>
              <w:t>ekovi se ne sm</w:t>
            </w:r>
            <w:r w:rsidR="002E343B" w:rsidRPr="001202A2">
              <w:rPr>
                <w:szCs w:val="22"/>
                <w:lang w:val="sr-Latn-ME"/>
              </w:rPr>
              <w:t>i</w:t>
            </w:r>
            <w:r w:rsidRPr="001202A2">
              <w:rPr>
                <w:szCs w:val="22"/>
                <w:lang w:val="sr-Latn-ME"/>
              </w:rPr>
              <w:t>ju prim</w:t>
            </w:r>
            <w:r w:rsidR="002E343B" w:rsidRPr="001202A2">
              <w:rPr>
                <w:szCs w:val="22"/>
                <w:lang w:val="sr-Latn-ME"/>
              </w:rPr>
              <w:t>j</w:t>
            </w:r>
            <w:r w:rsidRPr="001202A2">
              <w:rPr>
                <w:szCs w:val="22"/>
                <w:lang w:val="sr-Latn-ME"/>
              </w:rPr>
              <w:t>enjivati istovremeno.</w:t>
            </w:r>
          </w:p>
          <w:p w14:paraId="7D2F0AF0" w14:textId="49EF04DC" w:rsidR="00F642B4" w:rsidRPr="001202A2" w:rsidRDefault="00DA7071" w:rsidP="00480B31">
            <w:pPr>
              <w:jc w:val="left"/>
              <w:rPr>
                <w:szCs w:val="22"/>
                <w:lang w:val="sr-Latn-ME"/>
              </w:rPr>
            </w:pPr>
            <w:r w:rsidRPr="001202A2">
              <w:rPr>
                <w:szCs w:val="22"/>
                <w:lang w:val="sr-Latn-ME"/>
              </w:rPr>
              <w:t>Su</w:t>
            </w:r>
            <w:r w:rsidR="00384359" w:rsidRPr="001202A2">
              <w:rPr>
                <w:szCs w:val="22"/>
                <w:lang w:val="sr-Latn-ME"/>
              </w:rPr>
              <w:t>b</w:t>
            </w:r>
            <w:r w:rsidRPr="001202A2">
              <w:rPr>
                <w:szCs w:val="22"/>
                <w:lang w:val="sr-Latn-ME"/>
              </w:rPr>
              <w:t xml:space="preserve">kutani antikoagulansi (npr. niskomolekularni heparini (engl. </w:t>
            </w:r>
            <w:r w:rsidRPr="001202A2">
              <w:rPr>
                <w:i/>
                <w:iCs/>
                <w:szCs w:val="22"/>
                <w:lang w:val="sr-Latn-ME"/>
              </w:rPr>
              <w:t>low molecular weight heparin</w:t>
            </w:r>
            <w:r w:rsidRPr="001202A2">
              <w:rPr>
                <w:szCs w:val="22"/>
                <w:lang w:val="sr-Latn-ME"/>
              </w:rPr>
              <w:t>, LMWH), fondaparinuks):</w:t>
            </w:r>
          </w:p>
          <w:p w14:paraId="584E0313" w14:textId="471CB3E2" w:rsidR="00DA7071" w:rsidRPr="001202A2" w:rsidRDefault="00DA7071" w:rsidP="00480B31">
            <w:pPr>
              <w:jc w:val="left"/>
              <w:rPr>
                <w:szCs w:val="22"/>
                <w:lang w:val="sr-Latn-ME"/>
              </w:rPr>
            </w:pPr>
            <w:r w:rsidRPr="001202A2">
              <w:rPr>
                <w:szCs w:val="22"/>
                <w:lang w:val="sr-Latn-ME"/>
              </w:rPr>
              <w:t>Obustaviti prim</w:t>
            </w:r>
            <w:r w:rsidR="002E343B" w:rsidRPr="001202A2">
              <w:rPr>
                <w:szCs w:val="22"/>
                <w:lang w:val="sr-Latn-ME"/>
              </w:rPr>
              <w:t>j</w:t>
            </w:r>
            <w:r w:rsidRPr="001202A2">
              <w:rPr>
                <w:szCs w:val="22"/>
                <w:lang w:val="sr-Latn-ME"/>
              </w:rPr>
              <w:t>enu su</w:t>
            </w:r>
            <w:r w:rsidR="00384359" w:rsidRPr="001202A2">
              <w:rPr>
                <w:szCs w:val="22"/>
                <w:lang w:val="sr-Latn-ME"/>
              </w:rPr>
              <w:t>b</w:t>
            </w:r>
            <w:r w:rsidRPr="001202A2">
              <w:rPr>
                <w:szCs w:val="22"/>
                <w:lang w:val="sr-Latn-ME"/>
              </w:rPr>
              <w:t>kutanog antikoagulansa i započeti terapiju edoksabanom u vr</w:t>
            </w:r>
            <w:r w:rsidR="002E343B" w:rsidRPr="001202A2">
              <w:rPr>
                <w:szCs w:val="22"/>
                <w:lang w:val="sr-Latn-ME"/>
              </w:rPr>
              <w:t>ij</w:t>
            </w:r>
            <w:r w:rsidRPr="001202A2">
              <w:rPr>
                <w:szCs w:val="22"/>
                <w:lang w:val="sr-Latn-ME"/>
              </w:rPr>
              <w:t>eme sl</w:t>
            </w:r>
            <w:r w:rsidR="002E343B" w:rsidRPr="001202A2">
              <w:rPr>
                <w:szCs w:val="22"/>
                <w:lang w:val="sr-Latn-ME"/>
              </w:rPr>
              <w:t>j</w:t>
            </w:r>
            <w:r w:rsidRPr="001202A2">
              <w:rPr>
                <w:szCs w:val="22"/>
                <w:lang w:val="sr-Latn-ME"/>
              </w:rPr>
              <w:t>edeće doze su</w:t>
            </w:r>
            <w:r w:rsidR="00384359" w:rsidRPr="001202A2">
              <w:rPr>
                <w:szCs w:val="22"/>
                <w:lang w:val="sr-Latn-ME"/>
              </w:rPr>
              <w:t>b</w:t>
            </w:r>
            <w:r w:rsidRPr="001202A2">
              <w:rPr>
                <w:szCs w:val="22"/>
                <w:lang w:val="sr-Latn-ME"/>
              </w:rPr>
              <w:t>kutanog antikoagulansa.</w:t>
            </w:r>
          </w:p>
        </w:tc>
      </w:tr>
      <w:tr w:rsidR="00F642B4" w:rsidRPr="001202A2" w14:paraId="5D1FBD60" w14:textId="77777777" w:rsidTr="00DA7071">
        <w:trPr>
          <w:trHeight w:val="206"/>
        </w:trPr>
        <w:tc>
          <w:tcPr>
            <w:tcW w:w="3285" w:type="dxa"/>
            <w:vMerge/>
            <w:vAlign w:val="center"/>
          </w:tcPr>
          <w:p w14:paraId="4C93D014" w14:textId="77777777" w:rsidR="00F642B4" w:rsidRPr="001202A2" w:rsidRDefault="00F642B4" w:rsidP="00880F49">
            <w:pPr>
              <w:rPr>
                <w:szCs w:val="22"/>
                <w:lang w:val="sr-Latn-ME"/>
              </w:rPr>
            </w:pPr>
          </w:p>
        </w:tc>
        <w:tc>
          <w:tcPr>
            <w:tcW w:w="1359" w:type="dxa"/>
            <w:vMerge/>
            <w:vAlign w:val="center"/>
          </w:tcPr>
          <w:p w14:paraId="5DA275EA" w14:textId="77777777" w:rsidR="00F642B4" w:rsidRPr="001202A2" w:rsidRDefault="00F642B4" w:rsidP="00880F49">
            <w:pPr>
              <w:rPr>
                <w:szCs w:val="22"/>
                <w:lang w:val="sr-Latn-ME"/>
              </w:rPr>
            </w:pPr>
          </w:p>
        </w:tc>
        <w:tc>
          <w:tcPr>
            <w:tcW w:w="5211" w:type="dxa"/>
            <w:vAlign w:val="center"/>
          </w:tcPr>
          <w:p w14:paraId="0385AAE3" w14:textId="77777777" w:rsidR="00F642B4" w:rsidRPr="001202A2" w:rsidRDefault="00DA7071" w:rsidP="00480B31">
            <w:pPr>
              <w:jc w:val="left"/>
              <w:rPr>
                <w:szCs w:val="22"/>
                <w:lang w:val="sr-Latn-ME"/>
              </w:rPr>
            </w:pPr>
            <w:r w:rsidRPr="001202A2">
              <w:rPr>
                <w:szCs w:val="22"/>
                <w:lang w:val="sr-Latn-ME"/>
              </w:rPr>
              <w:t xml:space="preserve">Intravenski nefrakcionisani heparin (engl. </w:t>
            </w:r>
            <w:r w:rsidRPr="001202A2">
              <w:rPr>
                <w:i/>
                <w:iCs/>
                <w:szCs w:val="22"/>
                <w:lang w:val="sr-Latn-ME"/>
              </w:rPr>
              <w:t>unfractionated heparin</w:t>
            </w:r>
            <w:r w:rsidRPr="001202A2">
              <w:rPr>
                <w:szCs w:val="22"/>
                <w:lang w:val="sr-Latn-ME"/>
              </w:rPr>
              <w:t>, UFH):</w:t>
            </w:r>
          </w:p>
          <w:p w14:paraId="3C928C5E" w14:textId="5506DBB4" w:rsidR="00DA7071" w:rsidRPr="001202A2" w:rsidRDefault="00DA7071" w:rsidP="00480B31">
            <w:pPr>
              <w:jc w:val="left"/>
              <w:rPr>
                <w:szCs w:val="22"/>
                <w:lang w:val="sr-Latn-ME"/>
              </w:rPr>
            </w:pPr>
            <w:r w:rsidRPr="001202A2">
              <w:rPr>
                <w:szCs w:val="22"/>
                <w:lang w:val="sr-Latn-ME"/>
              </w:rPr>
              <w:t>Obustaviti infuziju i započeti prim</w:t>
            </w:r>
            <w:r w:rsidR="002E343B" w:rsidRPr="001202A2">
              <w:rPr>
                <w:szCs w:val="22"/>
                <w:lang w:val="sr-Latn-ME"/>
              </w:rPr>
              <w:t>j</w:t>
            </w:r>
            <w:r w:rsidRPr="001202A2">
              <w:rPr>
                <w:szCs w:val="22"/>
                <w:lang w:val="sr-Latn-ME"/>
              </w:rPr>
              <w:t>enu edoksabana nakon 4 sata.</w:t>
            </w:r>
          </w:p>
        </w:tc>
      </w:tr>
    </w:tbl>
    <w:p w14:paraId="1D0AD620" w14:textId="77777777" w:rsidR="00B341A3" w:rsidRPr="001202A2" w:rsidRDefault="00B341A3" w:rsidP="00880F49">
      <w:pPr>
        <w:rPr>
          <w:b/>
          <w:bCs/>
          <w:szCs w:val="22"/>
          <w:lang w:val="sr-Latn-ME"/>
        </w:rPr>
      </w:pPr>
    </w:p>
    <w:tbl>
      <w:tblPr>
        <w:tblStyle w:val="TableGrid"/>
        <w:tblW w:w="0" w:type="auto"/>
        <w:tblLook w:val="04A0" w:firstRow="1" w:lastRow="0" w:firstColumn="1" w:lastColumn="0" w:noHBand="0" w:noVBand="1"/>
      </w:tblPr>
      <w:tblGrid>
        <w:gridCol w:w="2192"/>
        <w:gridCol w:w="2510"/>
        <w:gridCol w:w="4927"/>
      </w:tblGrid>
      <w:tr w:rsidR="00BB2E85" w:rsidRPr="001202A2" w14:paraId="1851743B" w14:textId="77777777" w:rsidTr="0040474B">
        <w:tc>
          <w:tcPr>
            <w:tcW w:w="9855" w:type="dxa"/>
            <w:gridSpan w:val="3"/>
            <w:vAlign w:val="center"/>
          </w:tcPr>
          <w:p w14:paraId="223CFA0C" w14:textId="27EFC3A3" w:rsidR="00BB2E85" w:rsidRPr="001202A2" w:rsidRDefault="00BB2E85" w:rsidP="00880F49">
            <w:pPr>
              <w:jc w:val="center"/>
              <w:rPr>
                <w:b/>
                <w:bCs/>
                <w:szCs w:val="22"/>
                <w:lang w:val="sr-Latn-ME"/>
              </w:rPr>
            </w:pPr>
            <w:r w:rsidRPr="001202A2">
              <w:rPr>
                <w:b/>
                <w:bCs/>
                <w:szCs w:val="22"/>
                <w:lang w:val="sr-Latn-ME"/>
              </w:rPr>
              <w:t xml:space="preserve">Prelazak sa edoksabana na </w:t>
            </w:r>
            <w:r w:rsidR="002B2DFD" w:rsidRPr="001202A2">
              <w:rPr>
                <w:b/>
                <w:bCs/>
                <w:szCs w:val="22"/>
                <w:lang w:val="sr-Latn-ME"/>
              </w:rPr>
              <w:t>drugi antikoagulans</w:t>
            </w:r>
          </w:p>
        </w:tc>
      </w:tr>
      <w:tr w:rsidR="00BB2E85" w:rsidRPr="001202A2" w14:paraId="4AC75EDA" w14:textId="77777777" w:rsidTr="00EF705A">
        <w:tc>
          <w:tcPr>
            <w:tcW w:w="2235" w:type="dxa"/>
            <w:vAlign w:val="center"/>
          </w:tcPr>
          <w:p w14:paraId="07E4B50F" w14:textId="18D66446" w:rsidR="00BB2E85" w:rsidRPr="001202A2" w:rsidRDefault="00BB2E85" w:rsidP="00880F49">
            <w:pPr>
              <w:jc w:val="center"/>
              <w:rPr>
                <w:b/>
                <w:bCs/>
                <w:szCs w:val="22"/>
                <w:lang w:val="sr-Latn-ME"/>
              </w:rPr>
            </w:pPr>
            <w:r w:rsidRPr="001202A2">
              <w:rPr>
                <w:b/>
                <w:bCs/>
                <w:szCs w:val="22"/>
                <w:lang w:val="sr-Latn-ME"/>
              </w:rPr>
              <w:t>Prelazak sa l</w:t>
            </w:r>
            <w:r w:rsidR="002E343B" w:rsidRPr="001202A2">
              <w:rPr>
                <w:b/>
                <w:bCs/>
                <w:szCs w:val="22"/>
                <w:lang w:val="sr-Latn-ME"/>
              </w:rPr>
              <w:t>ij</w:t>
            </w:r>
            <w:r w:rsidRPr="001202A2">
              <w:rPr>
                <w:b/>
                <w:bCs/>
                <w:szCs w:val="22"/>
                <w:lang w:val="sr-Latn-ME"/>
              </w:rPr>
              <w:t>eka</w:t>
            </w:r>
          </w:p>
        </w:tc>
        <w:tc>
          <w:tcPr>
            <w:tcW w:w="2551" w:type="dxa"/>
            <w:vAlign w:val="center"/>
          </w:tcPr>
          <w:p w14:paraId="6C02A7B6" w14:textId="47A283EE" w:rsidR="00BB2E85" w:rsidRPr="001202A2" w:rsidRDefault="00BB2E85" w:rsidP="00880F49">
            <w:pPr>
              <w:jc w:val="center"/>
              <w:rPr>
                <w:b/>
                <w:bCs/>
                <w:szCs w:val="22"/>
                <w:lang w:val="sr-Latn-ME"/>
              </w:rPr>
            </w:pPr>
            <w:r w:rsidRPr="001202A2">
              <w:rPr>
                <w:b/>
                <w:bCs/>
                <w:szCs w:val="22"/>
                <w:lang w:val="sr-Latn-ME"/>
              </w:rPr>
              <w:t>Na l</w:t>
            </w:r>
            <w:r w:rsidR="002E343B" w:rsidRPr="001202A2">
              <w:rPr>
                <w:b/>
                <w:bCs/>
                <w:szCs w:val="22"/>
                <w:lang w:val="sr-Latn-ME"/>
              </w:rPr>
              <w:t>ij</w:t>
            </w:r>
            <w:r w:rsidRPr="001202A2">
              <w:rPr>
                <w:b/>
                <w:bCs/>
                <w:szCs w:val="22"/>
                <w:lang w:val="sr-Latn-ME"/>
              </w:rPr>
              <w:t>ek</w:t>
            </w:r>
          </w:p>
        </w:tc>
        <w:tc>
          <w:tcPr>
            <w:tcW w:w="5069" w:type="dxa"/>
            <w:vAlign w:val="center"/>
          </w:tcPr>
          <w:p w14:paraId="3CE8D1DA" w14:textId="51FE6D9C" w:rsidR="00BB2E85" w:rsidRPr="001202A2" w:rsidRDefault="00BB2E85" w:rsidP="00880F49">
            <w:pPr>
              <w:jc w:val="center"/>
              <w:rPr>
                <w:b/>
                <w:bCs/>
                <w:szCs w:val="22"/>
                <w:lang w:val="sr-Latn-ME"/>
              </w:rPr>
            </w:pPr>
            <w:r w:rsidRPr="001202A2">
              <w:rPr>
                <w:b/>
                <w:bCs/>
                <w:szCs w:val="22"/>
                <w:lang w:val="sr-Latn-ME"/>
              </w:rPr>
              <w:t>Preporuka</w:t>
            </w:r>
          </w:p>
        </w:tc>
      </w:tr>
      <w:tr w:rsidR="00BB2E85" w:rsidRPr="001202A2" w14:paraId="68D2A895" w14:textId="77777777" w:rsidTr="00EF705A">
        <w:tc>
          <w:tcPr>
            <w:tcW w:w="2235" w:type="dxa"/>
            <w:vAlign w:val="center"/>
          </w:tcPr>
          <w:p w14:paraId="5D8EB60C" w14:textId="43A5CD6A" w:rsidR="00BB2E85" w:rsidRPr="001202A2" w:rsidRDefault="00BB2E85" w:rsidP="00880F49">
            <w:pPr>
              <w:jc w:val="center"/>
              <w:rPr>
                <w:szCs w:val="22"/>
                <w:lang w:val="sr-Latn-ME"/>
              </w:rPr>
            </w:pPr>
            <w:r w:rsidRPr="001202A2">
              <w:rPr>
                <w:szCs w:val="22"/>
                <w:lang w:val="sr-Latn-ME"/>
              </w:rPr>
              <w:t>Edoksaban</w:t>
            </w:r>
          </w:p>
        </w:tc>
        <w:tc>
          <w:tcPr>
            <w:tcW w:w="2551" w:type="dxa"/>
            <w:vAlign w:val="center"/>
          </w:tcPr>
          <w:p w14:paraId="46EAD6EE" w14:textId="129E3636" w:rsidR="00BB2E85" w:rsidRPr="001202A2" w:rsidRDefault="00BB2E85" w:rsidP="00880F49">
            <w:pPr>
              <w:jc w:val="center"/>
              <w:rPr>
                <w:szCs w:val="22"/>
                <w:lang w:val="sr-Latn-ME"/>
              </w:rPr>
            </w:pPr>
            <w:r w:rsidRPr="001202A2">
              <w:rPr>
                <w:szCs w:val="22"/>
                <w:lang w:val="sr-Latn-ME"/>
              </w:rPr>
              <w:t>VKA</w:t>
            </w:r>
          </w:p>
        </w:tc>
        <w:tc>
          <w:tcPr>
            <w:tcW w:w="5069" w:type="dxa"/>
            <w:vAlign w:val="center"/>
          </w:tcPr>
          <w:p w14:paraId="4BB35431" w14:textId="51D1A3E2" w:rsidR="00BB2E85" w:rsidRPr="001202A2" w:rsidRDefault="00CD284D" w:rsidP="00480B31">
            <w:pPr>
              <w:jc w:val="left"/>
              <w:rPr>
                <w:szCs w:val="22"/>
                <w:lang w:val="sr-Latn-ME"/>
              </w:rPr>
            </w:pPr>
            <w:r w:rsidRPr="001202A2">
              <w:rPr>
                <w:szCs w:val="22"/>
                <w:lang w:val="sr-Latn-ME"/>
              </w:rPr>
              <w:t xml:space="preserve">Postoji mogućnost neadekvatne antikoagulacije tokom prelaska sa edoksabana na VKA. Treba osigurati kontinuiranu adekvatnu antikoagulaciju tokom </w:t>
            </w:r>
            <w:r w:rsidR="005B3082" w:rsidRPr="001202A2">
              <w:rPr>
                <w:szCs w:val="22"/>
                <w:lang w:val="sr-Latn-ME"/>
              </w:rPr>
              <w:t xml:space="preserve">svakog </w:t>
            </w:r>
            <w:r w:rsidRPr="001202A2">
              <w:rPr>
                <w:szCs w:val="22"/>
                <w:lang w:val="sr-Latn-ME"/>
              </w:rPr>
              <w:t>prelaska na alternativni antikoagulans.</w:t>
            </w:r>
          </w:p>
          <w:p w14:paraId="089FB81C" w14:textId="0478D0A7" w:rsidR="005B3082" w:rsidRPr="001202A2" w:rsidRDefault="005B3082" w:rsidP="00480B31">
            <w:pPr>
              <w:jc w:val="left"/>
              <w:rPr>
                <w:szCs w:val="22"/>
                <w:lang w:val="sr-Latn-ME"/>
              </w:rPr>
            </w:pPr>
            <w:r w:rsidRPr="001202A2">
              <w:rPr>
                <w:i/>
                <w:iCs/>
                <w:szCs w:val="22"/>
                <w:lang w:val="sr-Latn-ME"/>
              </w:rPr>
              <w:t>Oralna prim</w:t>
            </w:r>
            <w:r w:rsidR="002E343B" w:rsidRPr="001202A2">
              <w:rPr>
                <w:i/>
                <w:iCs/>
                <w:szCs w:val="22"/>
                <w:lang w:val="sr-Latn-ME"/>
              </w:rPr>
              <w:t>j</w:t>
            </w:r>
            <w:r w:rsidRPr="001202A2">
              <w:rPr>
                <w:i/>
                <w:iCs/>
                <w:szCs w:val="22"/>
                <w:lang w:val="sr-Latn-ME"/>
              </w:rPr>
              <w:t xml:space="preserve">ena: </w:t>
            </w:r>
            <w:r w:rsidR="00EF705A" w:rsidRPr="001202A2">
              <w:rPr>
                <w:szCs w:val="22"/>
                <w:lang w:val="sr-Latn-ME"/>
              </w:rPr>
              <w:t>Kod</w:t>
            </w:r>
            <w:r w:rsidRPr="001202A2">
              <w:rPr>
                <w:szCs w:val="22"/>
                <w:lang w:val="sr-Latn-ME"/>
              </w:rPr>
              <w:t xml:space="preserve"> pacijen</w:t>
            </w:r>
            <w:r w:rsidR="00EF705A" w:rsidRPr="001202A2">
              <w:rPr>
                <w:szCs w:val="22"/>
                <w:lang w:val="sr-Latn-ME"/>
              </w:rPr>
              <w:t>a</w:t>
            </w:r>
            <w:r w:rsidRPr="001202A2">
              <w:rPr>
                <w:szCs w:val="22"/>
                <w:lang w:val="sr-Latn-ME"/>
              </w:rPr>
              <w:t>t</w:t>
            </w:r>
            <w:r w:rsidR="00EF705A" w:rsidRPr="001202A2">
              <w:rPr>
                <w:szCs w:val="22"/>
                <w:lang w:val="sr-Latn-ME"/>
              </w:rPr>
              <w:t>a</w:t>
            </w:r>
            <w:r w:rsidRPr="001202A2">
              <w:rPr>
                <w:szCs w:val="22"/>
                <w:lang w:val="sr-Latn-ME"/>
              </w:rPr>
              <w:t xml:space="preserve"> koji su na dozi od 60 mg, prim</w:t>
            </w:r>
            <w:r w:rsidR="002E343B" w:rsidRPr="001202A2">
              <w:rPr>
                <w:szCs w:val="22"/>
                <w:lang w:val="sr-Latn-ME"/>
              </w:rPr>
              <w:t>ij</w:t>
            </w:r>
            <w:r w:rsidRPr="001202A2">
              <w:rPr>
                <w:szCs w:val="22"/>
                <w:lang w:val="sr-Latn-ME"/>
              </w:rPr>
              <w:t>eniti edoksaban u dozi od 30 mg jednom dnevno zajedno sa odgovarajućom dozom VKA.</w:t>
            </w:r>
          </w:p>
          <w:p w14:paraId="7F624897" w14:textId="332DB19B" w:rsidR="00C20466" w:rsidRPr="001202A2" w:rsidRDefault="00EF705A" w:rsidP="00480B31">
            <w:pPr>
              <w:jc w:val="left"/>
              <w:rPr>
                <w:szCs w:val="22"/>
                <w:lang w:val="sr-Latn-ME"/>
              </w:rPr>
            </w:pPr>
            <w:r w:rsidRPr="001202A2">
              <w:rPr>
                <w:szCs w:val="22"/>
                <w:lang w:val="sr-Latn-ME"/>
              </w:rPr>
              <w:t>Kod pacijenata koju su na dozi od 30 mg (usl</w:t>
            </w:r>
            <w:r w:rsidR="002E343B" w:rsidRPr="001202A2">
              <w:rPr>
                <w:szCs w:val="22"/>
                <w:lang w:val="sr-Latn-ME"/>
              </w:rPr>
              <w:t>j</w:t>
            </w:r>
            <w:r w:rsidRPr="001202A2">
              <w:rPr>
                <w:szCs w:val="22"/>
                <w:lang w:val="sr-Latn-ME"/>
              </w:rPr>
              <w:t>ed prisustva jednog od sl</w:t>
            </w:r>
            <w:r w:rsidR="002E343B" w:rsidRPr="001202A2">
              <w:rPr>
                <w:szCs w:val="22"/>
                <w:lang w:val="sr-Latn-ME"/>
              </w:rPr>
              <w:t>j</w:t>
            </w:r>
            <w:r w:rsidRPr="001202A2">
              <w:rPr>
                <w:szCs w:val="22"/>
                <w:lang w:val="sr-Latn-ME"/>
              </w:rPr>
              <w:t>edećih kliničkih faktora: um</w:t>
            </w:r>
            <w:r w:rsidR="002E343B" w:rsidRPr="001202A2">
              <w:rPr>
                <w:szCs w:val="22"/>
                <w:lang w:val="sr-Latn-ME"/>
              </w:rPr>
              <w:t>j</w:t>
            </w:r>
            <w:r w:rsidRPr="001202A2">
              <w:rPr>
                <w:szCs w:val="22"/>
                <w:lang w:val="sr-Latn-ME"/>
              </w:rPr>
              <w:t>ereno do teško ošte</w:t>
            </w:r>
            <w:r w:rsidR="00384359" w:rsidRPr="001202A2">
              <w:rPr>
                <w:szCs w:val="22"/>
                <w:lang w:val="sr-Latn-ME"/>
              </w:rPr>
              <w:t>ć</w:t>
            </w:r>
            <w:r w:rsidRPr="001202A2">
              <w:rPr>
                <w:szCs w:val="22"/>
                <w:lang w:val="sr-Latn-ME"/>
              </w:rPr>
              <w:t xml:space="preserve">enje funkcije bubrega (CrCl 15-50 </w:t>
            </w:r>
            <w:r w:rsidR="00501A21" w:rsidRPr="001202A2">
              <w:rPr>
                <w:szCs w:val="22"/>
                <w:lang w:val="sr-Latn-ME"/>
              </w:rPr>
              <w:t>m</w:t>
            </w:r>
            <w:r w:rsidR="002B2DFD" w:rsidRPr="001202A2">
              <w:rPr>
                <w:szCs w:val="22"/>
                <w:lang w:val="sr-Latn-ME"/>
              </w:rPr>
              <w:t>l</w:t>
            </w:r>
            <w:r w:rsidRPr="001202A2">
              <w:rPr>
                <w:szCs w:val="22"/>
                <w:lang w:val="sr-Latn-ME"/>
              </w:rPr>
              <w:t>/min), mala t</w:t>
            </w:r>
            <w:r w:rsidR="002E343B" w:rsidRPr="001202A2">
              <w:rPr>
                <w:szCs w:val="22"/>
                <w:lang w:val="sr-Latn-ME"/>
              </w:rPr>
              <w:t>j</w:t>
            </w:r>
            <w:r w:rsidRPr="001202A2">
              <w:rPr>
                <w:szCs w:val="22"/>
                <w:lang w:val="sr-Latn-ME"/>
              </w:rPr>
              <w:t>elesna masa ili prim</w:t>
            </w:r>
            <w:r w:rsidR="002E343B" w:rsidRPr="001202A2">
              <w:rPr>
                <w:szCs w:val="22"/>
                <w:lang w:val="sr-Latn-ME"/>
              </w:rPr>
              <w:t>j</w:t>
            </w:r>
            <w:r w:rsidRPr="001202A2">
              <w:rPr>
                <w:szCs w:val="22"/>
                <w:lang w:val="sr-Latn-ME"/>
              </w:rPr>
              <w:t>ena određenih inhibitora P-gp)</w:t>
            </w:r>
            <w:r w:rsidR="00C20466" w:rsidRPr="001202A2">
              <w:rPr>
                <w:szCs w:val="22"/>
                <w:lang w:val="sr-Latn-ME"/>
              </w:rPr>
              <w:t>, prim</w:t>
            </w:r>
            <w:r w:rsidR="002E343B" w:rsidRPr="001202A2">
              <w:rPr>
                <w:szCs w:val="22"/>
                <w:lang w:val="sr-Latn-ME"/>
              </w:rPr>
              <w:t>ij</w:t>
            </w:r>
            <w:r w:rsidR="00C20466" w:rsidRPr="001202A2">
              <w:rPr>
                <w:szCs w:val="22"/>
                <w:lang w:val="sr-Latn-ME"/>
              </w:rPr>
              <w:t>eniti edoksaban u dozi od 15 mg jednom dnevno zajedno sa odgovarajućom dozom VKA.</w:t>
            </w:r>
          </w:p>
          <w:p w14:paraId="4369316C" w14:textId="1C65800A" w:rsidR="005B3082" w:rsidRPr="001202A2" w:rsidRDefault="00C20466" w:rsidP="00480B31">
            <w:pPr>
              <w:jc w:val="left"/>
              <w:rPr>
                <w:szCs w:val="22"/>
                <w:lang w:val="sr-Latn-ME"/>
              </w:rPr>
            </w:pPr>
            <w:r w:rsidRPr="001202A2">
              <w:rPr>
                <w:szCs w:val="22"/>
                <w:lang w:val="sr-Latn-ME"/>
              </w:rPr>
              <w:t>Pacijenti ne treba da primaju udarnu dozu VKA kako bi brzo postigli stabilan INR između 2 i 3.</w:t>
            </w:r>
            <w:r w:rsidR="00EF705A" w:rsidRPr="001202A2">
              <w:rPr>
                <w:szCs w:val="22"/>
                <w:lang w:val="sr-Latn-ME"/>
              </w:rPr>
              <w:t xml:space="preserve"> </w:t>
            </w:r>
            <w:r w:rsidR="005924C5" w:rsidRPr="001202A2">
              <w:rPr>
                <w:szCs w:val="22"/>
                <w:lang w:val="sr-Latn-ME"/>
              </w:rPr>
              <w:t xml:space="preserve">Preporuka je da se uzme u razmatranje doza održavanja VKA </w:t>
            </w:r>
            <w:r w:rsidR="00A1499B" w:rsidRPr="001202A2">
              <w:rPr>
                <w:szCs w:val="22"/>
                <w:lang w:val="sr-Latn-ME"/>
              </w:rPr>
              <w:t>i da li je p</w:t>
            </w:r>
            <w:r w:rsidR="005924C5" w:rsidRPr="001202A2">
              <w:rPr>
                <w:szCs w:val="22"/>
                <w:lang w:val="sr-Latn-ME"/>
              </w:rPr>
              <w:t>acijent ranije koristio VKA, ili da se prim</w:t>
            </w:r>
            <w:r w:rsidR="002E343B" w:rsidRPr="001202A2">
              <w:rPr>
                <w:szCs w:val="22"/>
                <w:lang w:val="sr-Latn-ME"/>
              </w:rPr>
              <w:t>ij</w:t>
            </w:r>
            <w:r w:rsidR="005924C5" w:rsidRPr="001202A2">
              <w:rPr>
                <w:szCs w:val="22"/>
                <w:lang w:val="sr-Latn-ME"/>
              </w:rPr>
              <w:t xml:space="preserve">eni odgovarajući </w:t>
            </w:r>
            <w:r w:rsidR="002B2DFD" w:rsidRPr="001202A2">
              <w:rPr>
                <w:szCs w:val="22"/>
                <w:lang w:val="sr-Latn-ME"/>
              </w:rPr>
              <w:t xml:space="preserve">režim </w:t>
            </w:r>
            <w:r w:rsidR="005924C5" w:rsidRPr="001202A2">
              <w:rPr>
                <w:szCs w:val="22"/>
                <w:lang w:val="sr-Latn-ME"/>
              </w:rPr>
              <w:t xml:space="preserve"> doziranj</w:t>
            </w:r>
            <w:r w:rsidR="002B2DFD" w:rsidRPr="001202A2">
              <w:rPr>
                <w:szCs w:val="22"/>
                <w:lang w:val="sr-Latn-ME"/>
              </w:rPr>
              <w:t>a</w:t>
            </w:r>
            <w:r w:rsidR="005924C5" w:rsidRPr="001202A2">
              <w:rPr>
                <w:szCs w:val="22"/>
                <w:lang w:val="sr-Latn-ME"/>
              </w:rPr>
              <w:t xml:space="preserve"> VKA </w:t>
            </w:r>
            <w:r w:rsidR="00B07E69" w:rsidRPr="001202A2">
              <w:rPr>
                <w:szCs w:val="22"/>
                <w:lang w:val="sr-Latn-ME"/>
              </w:rPr>
              <w:t>zavisno od vrijednosti</w:t>
            </w:r>
            <w:r w:rsidR="005924C5" w:rsidRPr="001202A2">
              <w:rPr>
                <w:szCs w:val="22"/>
                <w:lang w:val="sr-Latn-ME"/>
              </w:rPr>
              <w:t xml:space="preserve"> INR, </w:t>
            </w:r>
            <w:r w:rsidR="00B07E69" w:rsidRPr="001202A2">
              <w:rPr>
                <w:szCs w:val="22"/>
                <w:lang w:val="sr-Latn-ME"/>
              </w:rPr>
              <w:t xml:space="preserve">u skladu sa </w:t>
            </w:r>
            <w:r w:rsidR="005924C5" w:rsidRPr="001202A2">
              <w:rPr>
                <w:szCs w:val="22"/>
                <w:lang w:val="sr-Latn-ME"/>
              </w:rPr>
              <w:t>lokalno</w:t>
            </w:r>
            <w:r w:rsidR="00B07E69" w:rsidRPr="001202A2">
              <w:rPr>
                <w:szCs w:val="22"/>
                <w:lang w:val="sr-Latn-ME"/>
              </w:rPr>
              <w:t>m</w:t>
            </w:r>
            <w:r w:rsidR="005924C5" w:rsidRPr="001202A2">
              <w:rPr>
                <w:szCs w:val="22"/>
                <w:lang w:val="sr-Latn-ME"/>
              </w:rPr>
              <w:t xml:space="preserve">  praks</w:t>
            </w:r>
            <w:r w:rsidR="00B07E69" w:rsidRPr="001202A2">
              <w:rPr>
                <w:szCs w:val="22"/>
                <w:lang w:val="sr-Latn-ME"/>
              </w:rPr>
              <w:t>om</w:t>
            </w:r>
            <w:r w:rsidR="005924C5" w:rsidRPr="001202A2">
              <w:rPr>
                <w:szCs w:val="22"/>
                <w:lang w:val="sr-Latn-ME"/>
              </w:rPr>
              <w:t>.</w:t>
            </w:r>
          </w:p>
          <w:p w14:paraId="462A6FDA" w14:textId="27BCCDBC" w:rsidR="00A1499B" w:rsidRPr="001202A2" w:rsidRDefault="00A1499B" w:rsidP="00480B31">
            <w:pPr>
              <w:jc w:val="left"/>
              <w:rPr>
                <w:szCs w:val="22"/>
                <w:lang w:val="sr-Latn-ME"/>
              </w:rPr>
            </w:pPr>
            <w:r w:rsidRPr="001202A2">
              <w:rPr>
                <w:szCs w:val="22"/>
                <w:lang w:val="sr-Latn-ME"/>
              </w:rPr>
              <w:t>Kada se postigne INR ≥ 2, treba obustaviti prim</w:t>
            </w:r>
            <w:r w:rsidR="002E343B" w:rsidRPr="001202A2">
              <w:rPr>
                <w:szCs w:val="22"/>
                <w:lang w:val="sr-Latn-ME"/>
              </w:rPr>
              <w:t>j</w:t>
            </w:r>
            <w:r w:rsidRPr="001202A2">
              <w:rPr>
                <w:szCs w:val="22"/>
                <w:lang w:val="sr-Latn-ME"/>
              </w:rPr>
              <w:t>enu edoksabana. Kod većine pacijenata (85%) INR ≥ 2 bi trebalo da se postigne unutar 14 dana istovremene prim</w:t>
            </w:r>
            <w:r w:rsidR="002E343B" w:rsidRPr="001202A2">
              <w:rPr>
                <w:szCs w:val="22"/>
                <w:lang w:val="sr-Latn-ME"/>
              </w:rPr>
              <w:t>j</w:t>
            </w:r>
            <w:r w:rsidRPr="001202A2">
              <w:rPr>
                <w:szCs w:val="22"/>
                <w:lang w:val="sr-Latn-ME"/>
              </w:rPr>
              <w:t xml:space="preserve">ene edoksabana i VKA. Preporuka je da se nakon 14 dana obustavi </w:t>
            </w:r>
            <w:r w:rsidR="00B07E69" w:rsidRPr="001202A2">
              <w:rPr>
                <w:szCs w:val="22"/>
                <w:lang w:val="sr-Latn-ME"/>
              </w:rPr>
              <w:t xml:space="preserve">primjena </w:t>
            </w:r>
            <w:r w:rsidRPr="001202A2">
              <w:rPr>
                <w:szCs w:val="22"/>
                <w:lang w:val="sr-Latn-ME"/>
              </w:rPr>
              <w:t>edoksaban</w:t>
            </w:r>
            <w:r w:rsidR="00B07E69" w:rsidRPr="001202A2">
              <w:rPr>
                <w:szCs w:val="22"/>
                <w:lang w:val="sr-Latn-ME"/>
              </w:rPr>
              <w:t>a</w:t>
            </w:r>
            <w:r w:rsidRPr="001202A2">
              <w:rPr>
                <w:szCs w:val="22"/>
                <w:lang w:val="sr-Latn-ME"/>
              </w:rPr>
              <w:t xml:space="preserve"> i nastavi sa prim</w:t>
            </w:r>
            <w:r w:rsidR="002E343B" w:rsidRPr="001202A2">
              <w:rPr>
                <w:szCs w:val="22"/>
                <w:lang w:val="sr-Latn-ME"/>
              </w:rPr>
              <w:t>j</w:t>
            </w:r>
            <w:r w:rsidRPr="001202A2">
              <w:rPr>
                <w:szCs w:val="22"/>
                <w:lang w:val="sr-Latn-ME"/>
              </w:rPr>
              <w:t>enom i tit</w:t>
            </w:r>
            <w:r w:rsidR="00384359" w:rsidRPr="001202A2">
              <w:rPr>
                <w:szCs w:val="22"/>
                <w:lang w:val="sr-Latn-ME"/>
              </w:rPr>
              <w:t>r</w:t>
            </w:r>
            <w:r w:rsidRPr="001202A2">
              <w:rPr>
                <w:szCs w:val="22"/>
                <w:lang w:val="sr-Latn-ME"/>
              </w:rPr>
              <w:t>acijom doze VKA u cilju postizanja INR</w:t>
            </w:r>
            <w:r w:rsidR="00501A21" w:rsidRPr="001202A2">
              <w:rPr>
                <w:szCs w:val="22"/>
                <w:lang w:val="sr-Latn-ME"/>
              </w:rPr>
              <w:t>-a</w:t>
            </w:r>
            <w:r w:rsidRPr="001202A2">
              <w:rPr>
                <w:szCs w:val="22"/>
                <w:lang w:val="sr-Latn-ME"/>
              </w:rPr>
              <w:t xml:space="preserve"> između 2 i 3.</w:t>
            </w:r>
          </w:p>
          <w:p w14:paraId="5EF385E9" w14:textId="6F9E98A4" w:rsidR="00A1499B" w:rsidRPr="001202A2" w:rsidRDefault="00A1499B" w:rsidP="00480B31">
            <w:pPr>
              <w:jc w:val="left"/>
              <w:rPr>
                <w:szCs w:val="22"/>
                <w:lang w:val="sr-Latn-ME"/>
              </w:rPr>
            </w:pPr>
            <w:r w:rsidRPr="001202A2">
              <w:rPr>
                <w:szCs w:val="22"/>
                <w:lang w:val="sr-Latn-ME"/>
              </w:rPr>
              <w:t>Preporuka je da se tokom prvih 14 dana istovremene terapije INR izm</w:t>
            </w:r>
            <w:r w:rsidR="002E343B" w:rsidRPr="001202A2">
              <w:rPr>
                <w:szCs w:val="22"/>
                <w:lang w:val="sr-Latn-ME"/>
              </w:rPr>
              <w:t>j</w:t>
            </w:r>
            <w:r w:rsidRPr="001202A2">
              <w:rPr>
                <w:szCs w:val="22"/>
                <w:lang w:val="sr-Latn-ME"/>
              </w:rPr>
              <w:t>eri najmanje 3 puta neposredno pr</w:t>
            </w:r>
            <w:r w:rsidR="002E343B" w:rsidRPr="001202A2">
              <w:rPr>
                <w:szCs w:val="22"/>
                <w:lang w:val="sr-Latn-ME"/>
              </w:rPr>
              <w:t>ij</w:t>
            </w:r>
            <w:r w:rsidRPr="001202A2">
              <w:rPr>
                <w:szCs w:val="22"/>
                <w:lang w:val="sr-Latn-ME"/>
              </w:rPr>
              <w:t>e prim</w:t>
            </w:r>
            <w:r w:rsidR="002E343B" w:rsidRPr="001202A2">
              <w:rPr>
                <w:szCs w:val="22"/>
                <w:lang w:val="sr-Latn-ME"/>
              </w:rPr>
              <w:t>j</w:t>
            </w:r>
            <w:r w:rsidRPr="001202A2">
              <w:rPr>
                <w:szCs w:val="22"/>
                <w:lang w:val="sr-Latn-ME"/>
              </w:rPr>
              <w:t xml:space="preserve">ene dnevne doze edoksabana, kako bi se </w:t>
            </w:r>
            <w:r w:rsidR="00B07E69" w:rsidRPr="001202A2">
              <w:rPr>
                <w:szCs w:val="22"/>
                <w:lang w:val="sr-Latn-ME"/>
              </w:rPr>
              <w:t>sveo na minimum</w:t>
            </w:r>
            <w:r w:rsidR="00384359" w:rsidRPr="001202A2">
              <w:rPr>
                <w:szCs w:val="22"/>
                <w:lang w:val="sr-Latn-ME"/>
              </w:rPr>
              <w:t xml:space="preserve"> </w:t>
            </w:r>
            <w:r w:rsidRPr="001202A2">
              <w:rPr>
                <w:szCs w:val="22"/>
                <w:lang w:val="sr-Latn-ME"/>
              </w:rPr>
              <w:t>uticaj edoksabana na određivanje INR-a. Istovremena prim</w:t>
            </w:r>
            <w:r w:rsidR="002E343B" w:rsidRPr="001202A2">
              <w:rPr>
                <w:szCs w:val="22"/>
                <w:lang w:val="sr-Latn-ME"/>
              </w:rPr>
              <w:t>j</w:t>
            </w:r>
            <w:r w:rsidRPr="001202A2">
              <w:rPr>
                <w:szCs w:val="22"/>
                <w:lang w:val="sr-Latn-ME"/>
              </w:rPr>
              <w:t>ena edoksabana i VKA može povećati INR nakon doze edoksabana do 46%.</w:t>
            </w:r>
          </w:p>
          <w:p w14:paraId="3A4449DE" w14:textId="6549BD5D" w:rsidR="00CD284D" w:rsidRPr="001202A2" w:rsidRDefault="00A1499B" w:rsidP="00480B31">
            <w:pPr>
              <w:jc w:val="left"/>
              <w:rPr>
                <w:szCs w:val="22"/>
                <w:lang w:val="sr-Latn-ME"/>
              </w:rPr>
            </w:pPr>
            <w:r w:rsidRPr="001202A2">
              <w:rPr>
                <w:i/>
                <w:iCs/>
                <w:szCs w:val="22"/>
                <w:lang w:val="sr-Latn-ME"/>
              </w:rPr>
              <w:t>Parenteralna prim</w:t>
            </w:r>
            <w:r w:rsidR="002E343B" w:rsidRPr="001202A2">
              <w:rPr>
                <w:i/>
                <w:iCs/>
                <w:szCs w:val="22"/>
                <w:lang w:val="sr-Latn-ME"/>
              </w:rPr>
              <w:t>j</w:t>
            </w:r>
            <w:r w:rsidRPr="001202A2">
              <w:rPr>
                <w:i/>
                <w:iCs/>
                <w:szCs w:val="22"/>
                <w:lang w:val="sr-Latn-ME"/>
              </w:rPr>
              <w:t xml:space="preserve">ena: </w:t>
            </w:r>
            <w:r w:rsidRPr="001202A2">
              <w:rPr>
                <w:szCs w:val="22"/>
                <w:lang w:val="sr-Latn-ME"/>
              </w:rPr>
              <w:t>Obustaviti edoksaban i prim</w:t>
            </w:r>
            <w:r w:rsidR="002E343B" w:rsidRPr="001202A2">
              <w:rPr>
                <w:szCs w:val="22"/>
                <w:lang w:val="sr-Latn-ME"/>
              </w:rPr>
              <w:t>ij</w:t>
            </w:r>
            <w:r w:rsidRPr="001202A2">
              <w:rPr>
                <w:szCs w:val="22"/>
                <w:lang w:val="sr-Latn-ME"/>
              </w:rPr>
              <w:t>eniti parenteralni antikoagulans i VKA u vr</w:t>
            </w:r>
            <w:r w:rsidR="002E343B" w:rsidRPr="001202A2">
              <w:rPr>
                <w:szCs w:val="22"/>
                <w:lang w:val="sr-Latn-ME"/>
              </w:rPr>
              <w:t>ij</w:t>
            </w:r>
            <w:r w:rsidRPr="001202A2">
              <w:rPr>
                <w:szCs w:val="22"/>
                <w:lang w:val="sr-Latn-ME"/>
              </w:rPr>
              <w:t>eme sl</w:t>
            </w:r>
            <w:r w:rsidR="002E343B" w:rsidRPr="001202A2">
              <w:rPr>
                <w:szCs w:val="22"/>
                <w:lang w:val="sr-Latn-ME"/>
              </w:rPr>
              <w:t>j</w:t>
            </w:r>
            <w:r w:rsidRPr="001202A2">
              <w:rPr>
                <w:szCs w:val="22"/>
                <w:lang w:val="sr-Latn-ME"/>
              </w:rPr>
              <w:t xml:space="preserve">edeće doze edoksabana. Kada se postigne </w:t>
            </w:r>
            <w:r w:rsidRPr="001202A2">
              <w:rPr>
                <w:szCs w:val="22"/>
                <w:lang w:val="sr-Latn-ME"/>
              </w:rPr>
              <w:lastRenderedPageBreak/>
              <w:t>stabilan INR ≥ 2, obustaviti parenteralni antikoagulans i nastaviti sa prim</w:t>
            </w:r>
            <w:r w:rsidR="002E343B" w:rsidRPr="001202A2">
              <w:rPr>
                <w:szCs w:val="22"/>
                <w:lang w:val="sr-Latn-ME"/>
              </w:rPr>
              <w:t>j</w:t>
            </w:r>
            <w:r w:rsidRPr="001202A2">
              <w:rPr>
                <w:szCs w:val="22"/>
                <w:lang w:val="sr-Latn-ME"/>
              </w:rPr>
              <w:t>enom VKA.</w:t>
            </w:r>
          </w:p>
        </w:tc>
      </w:tr>
      <w:tr w:rsidR="00BB2E85" w:rsidRPr="001202A2" w14:paraId="53A40BA6" w14:textId="77777777" w:rsidTr="00EF705A">
        <w:tc>
          <w:tcPr>
            <w:tcW w:w="2235" w:type="dxa"/>
            <w:vAlign w:val="center"/>
          </w:tcPr>
          <w:p w14:paraId="72CB8491" w14:textId="0C3AF96A" w:rsidR="00BB2E85" w:rsidRPr="001202A2" w:rsidRDefault="00BB2E85" w:rsidP="00880F49">
            <w:pPr>
              <w:jc w:val="center"/>
              <w:rPr>
                <w:szCs w:val="22"/>
                <w:lang w:val="sr-Latn-ME"/>
              </w:rPr>
            </w:pPr>
            <w:r w:rsidRPr="001202A2">
              <w:rPr>
                <w:szCs w:val="22"/>
                <w:lang w:val="sr-Latn-ME"/>
              </w:rPr>
              <w:lastRenderedPageBreak/>
              <w:t>Edoksaban</w:t>
            </w:r>
          </w:p>
        </w:tc>
        <w:tc>
          <w:tcPr>
            <w:tcW w:w="2551" w:type="dxa"/>
            <w:vAlign w:val="center"/>
          </w:tcPr>
          <w:p w14:paraId="04A9A1B2" w14:textId="04FCC773" w:rsidR="00BB2E85" w:rsidRPr="001202A2" w:rsidRDefault="00BB2E85" w:rsidP="00880F49">
            <w:pPr>
              <w:jc w:val="center"/>
              <w:rPr>
                <w:szCs w:val="22"/>
                <w:lang w:val="sr-Latn-ME"/>
              </w:rPr>
            </w:pPr>
            <w:r w:rsidRPr="001202A2">
              <w:rPr>
                <w:szCs w:val="22"/>
                <w:lang w:val="sr-Latn-ME"/>
              </w:rPr>
              <w:t>Oralni antikoagulansi, osim VKA</w:t>
            </w:r>
          </w:p>
        </w:tc>
        <w:tc>
          <w:tcPr>
            <w:tcW w:w="5069" w:type="dxa"/>
            <w:vAlign w:val="center"/>
          </w:tcPr>
          <w:p w14:paraId="7AACD63E" w14:textId="73B4C2FB" w:rsidR="00BB2E85" w:rsidRPr="001202A2" w:rsidRDefault="0040474B" w:rsidP="00480B31">
            <w:pPr>
              <w:jc w:val="left"/>
              <w:rPr>
                <w:szCs w:val="22"/>
                <w:lang w:val="sr-Latn-ME"/>
              </w:rPr>
            </w:pPr>
            <w:r w:rsidRPr="001202A2">
              <w:rPr>
                <w:szCs w:val="22"/>
                <w:lang w:val="sr-Latn-ME"/>
              </w:rPr>
              <w:t>Obustaviti prim</w:t>
            </w:r>
            <w:r w:rsidR="00787C08" w:rsidRPr="001202A2">
              <w:rPr>
                <w:szCs w:val="22"/>
                <w:lang w:val="sr-Latn-ME"/>
              </w:rPr>
              <w:t>j</w:t>
            </w:r>
            <w:r w:rsidRPr="001202A2">
              <w:rPr>
                <w:szCs w:val="22"/>
                <w:lang w:val="sr-Latn-ME"/>
              </w:rPr>
              <w:t>enu edoksabana i uvesti oralni antikoagulans koji nije VKA u vr</w:t>
            </w:r>
            <w:r w:rsidR="00787C08" w:rsidRPr="001202A2">
              <w:rPr>
                <w:szCs w:val="22"/>
                <w:lang w:val="sr-Latn-ME"/>
              </w:rPr>
              <w:t>ij</w:t>
            </w:r>
            <w:r w:rsidRPr="001202A2">
              <w:rPr>
                <w:szCs w:val="22"/>
                <w:lang w:val="sr-Latn-ME"/>
              </w:rPr>
              <w:t>eme sl</w:t>
            </w:r>
            <w:r w:rsidR="00787C08" w:rsidRPr="001202A2">
              <w:rPr>
                <w:szCs w:val="22"/>
                <w:lang w:val="sr-Latn-ME"/>
              </w:rPr>
              <w:t>j</w:t>
            </w:r>
            <w:r w:rsidRPr="001202A2">
              <w:rPr>
                <w:szCs w:val="22"/>
                <w:lang w:val="sr-Latn-ME"/>
              </w:rPr>
              <w:t>edeće doze edoksabana.</w:t>
            </w:r>
          </w:p>
        </w:tc>
      </w:tr>
      <w:tr w:rsidR="00BB2E85" w:rsidRPr="001202A2" w14:paraId="1CEF27B7" w14:textId="77777777" w:rsidTr="00EF705A">
        <w:tc>
          <w:tcPr>
            <w:tcW w:w="2235" w:type="dxa"/>
            <w:vAlign w:val="center"/>
          </w:tcPr>
          <w:p w14:paraId="749A3B49" w14:textId="45786255" w:rsidR="00BB2E85" w:rsidRPr="001202A2" w:rsidRDefault="00BB2E85" w:rsidP="00880F49">
            <w:pPr>
              <w:jc w:val="center"/>
              <w:rPr>
                <w:szCs w:val="22"/>
                <w:lang w:val="sr-Latn-ME"/>
              </w:rPr>
            </w:pPr>
            <w:r w:rsidRPr="001202A2">
              <w:rPr>
                <w:szCs w:val="22"/>
                <w:lang w:val="sr-Latn-ME"/>
              </w:rPr>
              <w:t>Edoksaban</w:t>
            </w:r>
          </w:p>
        </w:tc>
        <w:tc>
          <w:tcPr>
            <w:tcW w:w="2551" w:type="dxa"/>
            <w:vAlign w:val="center"/>
          </w:tcPr>
          <w:p w14:paraId="5BE15395" w14:textId="2D1ED7EE" w:rsidR="00BB2E85" w:rsidRPr="001202A2" w:rsidRDefault="00BB2E85" w:rsidP="00880F49">
            <w:pPr>
              <w:jc w:val="center"/>
              <w:rPr>
                <w:szCs w:val="22"/>
                <w:lang w:val="sr-Latn-ME"/>
              </w:rPr>
            </w:pPr>
            <w:r w:rsidRPr="001202A2">
              <w:rPr>
                <w:szCs w:val="22"/>
                <w:lang w:val="sr-Latn-ME"/>
              </w:rPr>
              <w:t>Parenteralni antikoagulansi</w:t>
            </w:r>
          </w:p>
        </w:tc>
        <w:tc>
          <w:tcPr>
            <w:tcW w:w="5069" w:type="dxa"/>
            <w:vAlign w:val="center"/>
          </w:tcPr>
          <w:p w14:paraId="6E5062E7" w14:textId="71B18B8B" w:rsidR="00BB2E85" w:rsidRPr="001202A2" w:rsidRDefault="00BB2E85" w:rsidP="00480B31">
            <w:pPr>
              <w:jc w:val="left"/>
              <w:rPr>
                <w:szCs w:val="22"/>
                <w:lang w:val="sr-Latn-ME"/>
              </w:rPr>
            </w:pPr>
            <w:r w:rsidRPr="001202A2">
              <w:rPr>
                <w:szCs w:val="22"/>
                <w:lang w:val="sr-Latn-ME"/>
              </w:rPr>
              <w:t>Ove l</w:t>
            </w:r>
            <w:r w:rsidR="00787C08" w:rsidRPr="001202A2">
              <w:rPr>
                <w:szCs w:val="22"/>
                <w:lang w:val="sr-Latn-ME"/>
              </w:rPr>
              <w:t>j</w:t>
            </w:r>
            <w:r w:rsidRPr="001202A2">
              <w:rPr>
                <w:szCs w:val="22"/>
                <w:lang w:val="sr-Latn-ME"/>
              </w:rPr>
              <w:t>ekove ne treba prim</w:t>
            </w:r>
            <w:r w:rsidR="00787C08" w:rsidRPr="001202A2">
              <w:rPr>
                <w:szCs w:val="22"/>
                <w:lang w:val="sr-Latn-ME"/>
              </w:rPr>
              <w:t>j</w:t>
            </w:r>
            <w:r w:rsidRPr="001202A2">
              <w:rPr>
                <w:szCs w:val="22"/>
                <w:lang w:val="sr-Latn-ME"/>
              </w:rPr>
              <w:t>enjivati istovremeno. Obustaviti prim</w:t>
            </w:r>
            <w:r w:rsidR="00787C08" w:rsidRPr="001202A2">
              <w:rPr>
                <w:szCs w:val="22"/>
                <w:lang w:val="sr-Latn-ME"/>
              </w:rPr>
              <w:t>j</w:t>
            </w:r>
            <w:r w:rsidRPr="001202A2">
              <w:rPr>
                <w:szCs w:val="22"/>
                <w:lang w:val="sr-Latn-ME"/>
              </w:rPr>
              <w:t xml:space="preserve">enu edoksabana i </w:t>
            </w:r>
            <w:r w:rsidR="00B07E69" w:rsidRPr="001202A2">
              <w:rPr>
                <w:szCs w:val="22"/>
                <w:lang w:val="sr-Latn-ME"/>
              </w:rPr>
              <w:t>započeti primjenu</w:t>
            </w:r>
            <w:r w:rsidR="007B7E04" w:rsidRPr="001202A2">
              <w:rPr>
                <w:szCs w:val="22"/>
                <w:lang w:val="sr-Latn-ME"/>
              </w:rPr>
              <w:t xml:space="preserve"> </w:t>
            </w:r>
            <w:r w:rsidRPr="001202A2">
              <w:rPr>
                <w:szCs w:val="22"/>
                <w:lang w:val="sr-Latn-ME"/>
              </w:rPr>
              <w:t>parenteraln</w:t>
            </w:r>
            <w:r w:rsidR="00B07E69" w:rsidRPr="001202A2">
              <w:rPr>
                <w:szCs w:val="22"/>
                <w:lang w:val="sr-Latn-ME"/>
              </w:rPr>
              <w:t>og</w:t>
            </w:r>
            <w:r w:rsidRPr="001202A2">
              <w:rPr>
                <w:szCs w:val="22"/>
                <w:lang w:val="sr-Latn-ME"/>
              </w:rPr>
              <w:t xml:space="preserve"> antikoagulans</w:t>
            </w:r>
            <w:r w:rsidR="00B07E69" w:rsidRPr="001202A2">
              <w:rPr>
                <w:szCs w:val="22"/>
                <w:lang w:val="sr-Latn-ME"/>
              </w:rPr>
              <w:t>a</w:t>
            </w:r>
            <w:r w:rsidRPr="001202A2">
              <w:rPr>
                <w:szCs w:val="22"/>
                <w:lang w:val="sr-Latn-ME"/>
              </w:rPr>
              <w:t xml:space="preserve"> u vr</w:t>
            </w:r>
            <w:r w:rsidR="00787C08" w:rsidRPr="001202A2">
              <w:rPr>
                <w:szCs w:val="22"/>
                <w:lang w:val="sr-Latn-ME"/>
              </w:rPr>
              <w:t>ij</w:t>
            </w:r>
            <w:r w:rsidRPr="001202A2">
              <w:rPr>
                <w:szCs w:val="22"/>
                <w:lang w:val="sr-Latn-ME"/>
              </w:rPr>
              <w:t>eme sl</w:t>
            </w:r>
            <w:r w:rsidR="00787C08" w:rsidRPr="001202A2">
              <w:rPr>
                <w:szCs w:val="22"/>
                <w:lang w:val="sr-Latn-ME"/>
              </w:rPr>
              <w:t>j</w:t>
            </w:r>
            <w:r w:rsidRPr="001202A2">
              <w:rPr>
                <w:szCs w:val="22"/>
                <w:lang w:val="sr-Latn-ME"/>
              </w:rPr>
              <w:t>edeće doze edoksabana.</w:t>
            </w:r>
          </w:p>
        </w:tc>
      </w:tr>
    </w:tbl>
    <w:p w14:paraId="39F2FE41" w14:textId="77777777" w:rsidR="00813187" w:rsidRPr="001202A2" w:rsidRDefault="00813187" w:rsidP="00480B31">
      <w:pPr>
        <w:rPr>
          <w:i/>
          <w:iCs/>
          <w:szCs w:val="22"/>
          <w:u w:val="single"/>
          <w:lang w:val="sr-Latn-ME"/>
        </w:rPr>
      </w:pPr>
    </w:p>
    <w:p w14:paraId="4446CC01" w14:textId="2687A9BF" w:rsidR="003E704B" w:rsidRPr="001202A2" w:rsidRDefault="00416C35" w:rsidP="00480B31">
      <w:pPr>
        <w:rPr>
          <w:i/>
          <w:iCs/>
          <w:szCs w:val="22"/>
          <w:u w:val="single"/>
          <w:lang w:val="sr-Latn-ME"/>
        </w:rPr>
      </w:pPr>
      <w:r w:rsidRPr="001202A2">
        <w:rPr>
          <w:i/>
          <w:iCs/>
          <w:szCs w:val="22"/>
          <w:u w:val="single"/>
          <w:lang w:val="sr-Latn-ME"/>
        </w:rPr>
        <w:t>Posebne populacije</w:t>
      </w:r>
    </w:p>
    <w:p w14:paraId="3D87D708" w14:textId="77777777" w:rsidR="00813187" w:rsidRPr="001202A2" w:rsidRDefault="00813187" w:rsidP="00480B31">
      <w:pPr>
        <w:rPr>
          <w:i/>
          <w:iCs/>
          <w:szCs w:val="22"/>
          <w:u w:val="single"/>
          <w:lang w:val="sr-Latn-ME"/>
        </w:rPr>
      </w:pPr>
    </w:p>
    <w:p w14:paraId="6C998C9E" w14:textId="7C6CF9D4" w:rsidR="00416C35" w:rsidRPr="001202A2" w:rsidRDefault="00416C35" w:rsidP="00480B31">
      <w:pPr>
        <w:tabs>
          <w:tab w:val="clear" w:pos="284"/>
        </w:tabs>
        <w:autoSpaceDE w:val="0"/>
        <w:autoSpaceDN w:val="0"/>
        <w:adjustRightInd w:val="0"/>
        <w:rPr>
          <w:i/>
          <w:iCs/>
          <w:szCs w:val="22"/>
          <w:lang w:val="sr-Latn-ME"/>
        </w:rPr>
      </w:pPr>
      <w:r w:rsidRPr="001202A2">
        <w:rPr>
          <w:i/>
          <w:iCs/>
          <w:szCs w:val="22"/>
          <w:lang w:val="sr-Latn-ME"/>
        </w:rPr>
        <w:t>Stariji pacijenti</w:t>
      </w:r>
    </w:p>
    <w:p w14:paraId="59B4815B" w14:textId="6FC27316"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Nije potrebno smanjenje doze (vid</w:t>
      </w:r>
      <w:r w:rsidR="00787C08" w:rsidRPr="001202A2">
        <w:rPr>
          <w:rFonts w:eastAsia="TimesNewRoman"/>
          <w:szCs w:val="22"/>
          <w:lang w:val="sr-Latn-ME"/>
        </w:rPr>
        <w:t>j</w:t>
      </w:r>
      <w:r w:rsidRPr="001202A2">
        <w:rPr>
          <w:rFonts w:eastAsia="TimesNewRoman"/>
          <w:szCs w:val="22"/>
          <w:lang w:val="sr-Latn-ME"/>
        </w:rPr>
        <w:t xml:space="preserve">eti </w:t>
      </w:r>
      <w:r w:rsidR="00787C08" w:rsidRPr="001202A2">
        <w:rPr>
          <w:rFonts w:eastAsia="TimesNewRoman"/>
          <w:szCs w:val="22"/>
          <w:lang w:val="sr-Latn-ME"/>
        </w:rPr>
        <w:t>dio</w:t>
      </w:r>
      <w:r w:rsidRPr="001202A2">
        <w:rPr>
          <w:rFonts w:eastAsia="TimesNewRoman"/>
          <w:szCs w:val="22"/>
          <w:lang w:val="sr-Latn-ME"/>
        </w:rPr>
        <w:t xml:space="preserve"> 5.2).</w:t>
      </w:r>
    </w:p>
    <w:p w14:paraId="11C60423"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7CD378EA" w14:textId="77777777" w:rsidR="00416C35" w:rsidRPr="001202A2" w:rsidRDefault="00416C35" w:rsidP="00480B31">
      <w:pPr>
        <w:tabs>
          <w:tab w:val="clear" w:pos="284"/>
        </w:tabs>
        <w:autoSpaceDE w:val="0"/>
        <w:autoSpaceDN w:val="0"/>
        <w:adjustRightInd w:val="0"/>
        <w:rPr>
          <w:i/>
          <w:iCs/>
          <w:szCs w:val="22"/>
          <w:lang w:val="sr-Latn-ME"/>
        </w:rPr>
      </w:pPr>
      <w:r w:rsidRPr="001202A2">
        <w:rPr>
          <w:i/>
          <w:iCs/>
          <w:szCs w:val="22"/>
          <w:lang w:val="sr-Latn-ME"/>
        </w:rPr>
        <w:t>Oštećenje funkcije bubrega</w:t>
      </w:r>
    </w:p>
    <w:p w14:paraId="38BF4A34" w14:textId="14C654B1"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Bubrežnu funkciju treba proc</w:t>
      </w:r>
      <w:r w:rsidR="00787C08" w:rsidRPr="001202A2">
        <w:rPr>
          <w:rFonts w:eastAsia="TimesNewRoman"/>
          <w:szCs w:val="22"/>
          <w:lang w:val="sr-Latn-ME"/>
        </w:rPr>
        <w:t>ij</w:t>
      </w:r>
      <w:r w:rsidRPr="001202A2">
        <w:rPr>
          <w:rFonts w:eastAsia="TimesNewRoman"/>
          <w:szCs w:val="22"/>
          <w:lang w:val="sr-Latn-ME"/>
        </w:rPr>
        <w:t>eniti kod svih pacijenata izračunavanjem klirensa kreatinina (CrCl) pr</w:t>
      </w:r>
      <w:r w:rsidR="00787C08" w:rsidRPr="001202A2">
        <w:rPr>
          <w:rFonts w:eastAsia="TimesNewRoman"/>
          <w:szCs w:val="22"/>
          <w:lang w:val="sr-Latn-ME"/>
        </w:rPr>
        <w:t>ij</w:t>
      </w:r>
      <w:r w:rsidRPr="001202A2">
        <w:rPr>
          <w:rFonts w:eastAsia="TimesNewRoman"/>
          <w:szCs w:val="22"/>
          <w:lang w:val="sr-Latn-ME"/>
        </w:rPr>
        <w:t xml:space="preserve">e početka terapije edoksabanom kako bi se isključili pacijenti u završnom stadijumu bubrežne bolesti (tj. CrCl &lt; 15 </w:t>
      </w:r>
      <w:r w:rsidR="00501A21"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/min) i prim</w:t>
      </w:r>
      <w:r w:rsidR="00E160D4" w:rsidRPr="001202A2">
        <w:rPr>
          <w:rFonts w:eastAsia="TimesNewRoman"/>
          <w:szCs w:val="22"/>
          <w:lang w:val="sr-Latn-ME"/>
        </w:rPr>
        <w:t>ij</w:t>
      </w:r>
      <w:r w:rsidRPr="001202A2">
        <w:rPr>
          <w:rFonts w:eastAsia="TimesNewRoman"/>
          <w:szCs w:val="22"/>
          <w:lang w:val="sr-Latn-ME"/>
        </w:rPr>
        <w:t xml:space="preserve">enila odgovarajuća doza edoksabana kod pacijenata sa CrCl 15 – 50 </w:t>
      </w:r>
      <w:r w:rsidR="00501A21"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 xml:space="preserve">/min (30 mg jednom dnevno), pacijenata sa CrCl &gt; 50 </w:t>
      </w:r>
      <w:r w:rsidR="00501A21"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/min (60 mg jednom dnevno), kao i pri donošenju odluke o prim</w:t>
      </w:r>
      <w:r w:rsidR="00E160D4" w:rsidRPr="001202A2">
        <w:rPr>
          <w:rFonts w:eastAsia="TimesNewRoman"/>
          <w:szCs w:val="22"/>
          <w:lang w:val="sr-Latn-ME"/>
        </w:rPr>
        <w:t>j</w:t>
      </w:r>
      <w:r w:rsidRPr="001202A2">
        <w:rPr>
          <w:rFonts w:eastAsia="TimesNewRoman"/>
          <w:szCs w:val="22"/>
          <w:lang w:val="sr-Latn-ME"/>
        </w:rPr>
        <w:t>eni edoksabana kod pacijenata sa povećanim CrCl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4.4).</w:t>
      </w:r>
    </w:p>
    <w:p w14:paraId="17ABB4A3"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2649DE8C" w14:textId="01D30A11"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Funkciju bubrega takođe treba proc</w:t>
      </w:r>
      <w:r w:rsidR="00E160D4" w:rsidRPr="001202A2">
        <w:rPr>
          <w:rFonts w:eastAsia="TimesNewRoman"/>
          <w:szCs w:val="22"/>
          <w:lang w:val="sr-Latn-ME"/>
        </w:rPr>
        <w:t>ij</w:t>
      </w:r>
      <w:r w:rsidRPr="001202A2">
        <w:rPr>
          <w:rFonts w:eastAsia="TimesNewRoman"/>
          <w:szCs w:val="22"/>
          <w:lang w:val="sr-Latn-ME"/>
        </w:rPr>
        <w:t>eniti kada se sumnja na prom</w:t>
      </w:r>
      <w:r w:rsidR="00E160D4" w:rsidRPr="001202A2">
        <w:rPr>
          <w:rFonts w:eastAsia="TimesNewRoman"/>
          <w:szCs w:val="22"/>
          <w:lang w:val="sr-Latn-ME"/>
        </w:rPr>
        <w:t>j</w:t>
      </w:r>
      <w:r w:rsidRPr="001202A2">
        <w:rPr>
          <w:rFonts w:eastAsia="TimesNewRoman"/>
          <w:szCs w:val="22"/>
          <w:lang w:val="sr-Latn-ME"/>
        </w:rPr>
        <w:t>enu funkcije bubrega tokom l</w:t>
      </w:r>
      <w:r w:rsidR="00E160D4" w:rsidRPr="001202A2">
        <w:rPr>
          <w:rFonts w:eastAsia="TimesNewRoman"/>
          <w:szCs w:val="22"/>
          <w:lang w:val="sr-Latn-ME"/>
        </w:rPr>
        <w:t>ij</w:t>
      </w:r>
      <w:r w:rsidRPr="001202A2">
        <w:rPr>
          <w:rFonts w:eastAsia="TimesNewRoman"/>
          <w:szCs w:val="22"/>
          <w:lang w:val="sr-Latn-ME"/>
        </w:rPr>
        <w:t>ečenja (npr. hipovolemija, dehidratacija i u slučaju istovremene prim</w:t>
      </w:r>
      <w:r w:rsidR="00E160D4" w:rsidRPr="001202A2">
        <w:rPr>
          <w:rFonts w:eastAsia="TimesNewRoman"/>
          <w:szCs w:val="22"/>
          <w:lang w:val="sr-Latn-ME"/>
        </w:rPr>
        <w:t>j</w:t>
      </w:r>
      <w:r w:rsidRPr="001202A2">
        <w:rPr>
          <w:rFonts w:eastAsia="TimesNewRoman"/>
          <w:szCs w:val="22"/>
          <w:lang w:val="sr-Latn-ME"/>
        </w:rPr>
        <w:t>ene određenih l</w:t>
      </w:r>
      <w:r w:rsidR="00E160D4" w:rsidRPr="001202A2">
        <w:rPr>
          <w:rFonts w:eastAsia="TimesNewRoman"/>
          <w:szCs w:val="22"/>
          <w:lang w:val="sr-Latn-ME"/>
        </w:rPr>
        <w:t>j</w:t>
      </w:r>
      <w:r w:rsidRPr="001202A2">
        <w:rPr>
          <w:rFonts w:eastAsia="TimesNewRoman"/>
          <w:szCs w:val="22"/>
          <w:lang w:val="sr-Latn-ME"/>
        </w:rPr>
        <w:t xml:space="preserve">ekova). </w:t>
      </w:r>
    </w:p>
    <w:p w14:paraId="1835CF5F"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1B8876E1" w14:textId="77DF5D0F"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Metoda koja je korišćena za proc</w:t>
      </w:r>
      <w:r w:rsidR="00E160D4" w:rsidRPr="001202A2">
        <w:rPr>
          <w:rFonts w:eastAsia="TimesNewRoman"/>
          <w:szCs w:val="22"/>
          <w:lang w:val="sr-Latn-ME"/>
        </w:rPr>
        <w:t>j</w:t>
      </w:r>
      <w:r w:rsidRPr="001202A2">
        <w:rPr>
          <w:rFonts w:eastAsia="TimesNewRoman"/>
          <w:szCs w:val="22"/>
          <w:lang w:val="sr-Latn-ME"/>
        </w:rPr>
        <w:t xml:space="preserve">enu funkcije bubrega (CrCl u </w:t>
      </w:r>
      <w:r w:rsidR="00501A21"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 xml:space="preserve">/min) tokom kliničkog razvoja edoksabana bila je </w:t>
      </w:r>
      <w:r w:rsidRPr="001202A2">
        <w:rPr>
          <w:i/>
          <w:iCs/>
          <w:szCs w:val="22"/>
          <w:lang w:val="sr-Latn-ME"/>
        </w:rPr>
        <w:t>Cockcroft-Gault</w:t>
      </w:r>
      <w:r w:rsidRPr="001202A2">
        <w:rPr>
          <w:rFonts w:eastAsia="TimesNewRoman"/>
          <w:szCs w:val="22"/>
          <w:lang w:val="sr-Latn-ME"/>
        </w:rPr>
        <w:t>-ova metoda. Formula je sl</w:t>
      </w:r>
      <w:r w:rsidR="00E160D4" w:rsidRPr="001202A2">
        <w:rPr>
          <w:rFonts w:eastAsia="TimesNewRoman"/>
          <w:szCs w:val="22"/>
          <w:lang w:val="sr-Latn-ME"/>
        </w:rPr>
        <w:t>j</w:t>
      </w:r>
      <w:r w:rsidRPr="001202A2">
        <w:rPr>
          <w:rFonts w:eastAsia="TimesNewRoman"/>
          <w:szCs w:val="22"/>
          <w:lang w:val="sr-Latn-ME"/>
        </w:rPr>
        <w:t>edeća:</w:t>
      </w:r>
    </w:p>
    <w:p w14:paraId="4F0211CB"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5D454C96" w14:textId="3A784F53" w:rsidR="00416C35" w:rsidRPr="001202A2" w:rsidRDefault="00416C35" w:rsidP="00480B31">
      <w:pPr>
        <w:pStyle w:val="ListParagraph"/>
        <w:numPr>
          <w:ilvl w:val="0"/>
          <w:numId w:val="7"/>
        </w:numPr>
        <w:tabs>
          <w:tab w:val="clear" w:pos="284"/>
        </w:tabs>
        <w:autoSpaceDE w:val="0"/>
        <w:autoSpaceDN w:val="0"/>
        <w:adjustRightInd w:val="0"/>
        <w:rPr>
          <w:rFonts w:eastAsia="TimesNewRoman"/>
          <w:szCs w:val="22"/>
          <w:lang w:val="sr-Latn-ME"/>
        </w:rPr>
      </w:pPr>
      <w:r w:rsidRPr="001202A2">
        <w:rPr>
          <w:rFonts w:eastAsia="TimesNewRoman"/>
          <w:szCs w:val="22"/>
          <w:lang w:val="sr-Latn-ME"/>
        </w:rPr>
        <w:t>za koncentraciju kreatinina u mikromol/</w:t>
      </w:r>
      <w:r w:rsidR="002B2DFD" w:rsidRPr="001202A2">
        <w:rPr>
          <w:rFonts w:eastAsia="TimesNewRoman"/>
          <w:szCs w:val="22"/>
          <w:lang w:val="sr-Latn-ME"/>
        </w:rPr>
        <w:t>l</w:t>
      </w:r>
      <w:r w:rsidRPr="001202A2">
        <w:rPr>
          <w:rFonts w:eastAsia="TimesNewRoman"/>
          <w:szCs w:val="22"/>
          <w:lang w:val="sr-Latn-ME"/>
        </w:rPr>
        <w:t>:</w:t>
      </w:r>
    </w:p>
    <w:p w14:paraId="3487E384" w14:textId="77777777" w:rsidR="007B7E04" w:rsidRPr="001202A2" w:rsidRDefault="007B7E04" w:rsidP="00480B31">
      <w:pPr>
        <w:pStyle w:val="ListParagraph"/>
        <w:tabs>
          <w:tab w:val="clear" w:pos="284"/>
        </w:tabs>
        <w:autoSpaceDE w:val="0"/>
        <w:autoSpaceDN w:val="0"/>
        <w:adjustRightInd w:val="0"/>
        <w:rPr>
          <w:rFonts w:eastAsia="TimesNewRoman"/>
          <w:szCs w:val="22"/>
          <w:lang w:val="sr-Latn-ME"/>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416C35" w:rsidRPr="001202A2" w14:paraId="371DDCFD" w14:textId="77777777" w:rsidTr="00BE09BA">
        <w:trPr>
          <w:trHeight w:val="781"/>
        </w:trPr>
        <w:tc>
          <w:tcPr>
            <w:tcW w:w="6521" w:type="dxa"/>
          </w:tcPr>
          <w:p w14:paraId="55779AE4" w14:textId="3762134C" w:rsidR="00416C35" w:rsidRPr="001202A2" w:rsidRDefault="00416C35" w:rsidP="00880F49">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 xml:space="preserve">1,23 × (140 – starost [godine] × </w:t>
            </w:r>
            <w:r w:rsidR="00BE09BA" w:rsidRPr="001202A2">
              <w:rPr>
                <w:rFonts w:eastAsia="TimesNewRoman"/>
                <w:szCs w:val="22"/>
                <w:u w:val="single"/>
                <w:lang w:val="sr-Latn-ME"/>
              </w:rPr>
              <w:t>t</w:t>
            </w:r>
            <w:r w:rsidR="00E160D4" w:rsidRPr="001202A2">
              <w:rPr>
                <w:rFonts w:eastAsia="TimesNewRoman"/>
                <w:szCs w:val="22"/>
                <w:u w:val="single"/>
                <w:lang w:val="sr-Latn-ME"/>
              </w:rPr>
              <w:t>j</w:t>
            </w:r>
            <w:r w:rsidR="00BE09BA" w:rsidRPr="001202A2">
              <w:rPr>
                <w:rFonts w:eastAsia="TimesNewRoman"/>
                <w:szCs w:val="22"/>
                <w:u w:val="single"/>
                <w:lang w:val="sr-Latn-ME"/>
              </w:rPr>
              <w:t>elesna masa</w:t>
            </w:r>
            <w:r w:rsidRPr="001202A2">
              <w:rPr>
                <w:rFonts w:eastAsia="TimesNewRoman"/>
                <w:szCs w:val="22"/>
                <w:u w:val="single"/>
                <w:lang w:val="sr-Latn-ME"/>
              </w:rPr>
              <w:t xml:space="preserve"> [kg]) (× 0,85 kod žena)</w:t>
            </w:r>
          </w:p>
          <w:p w14:paraId="0D0FEDAE" w14:textId="14D047D4" w:rsidR="00416C35" w:rsidRPr="001202A2" w:rsidRDefault="00BE09BA"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k</w:t>
            </w:r>
            <w:r w:rsidR="00CE3D55" w:rsidRPr="001202A2">
              <w:rPr>
                <w:rFonts w:eastAsia="TimesNewRoman"/>
                <w:szCs w:val="22"/>
                <w:lang w:val="sr-Latn-ME"/>
              </w:rPr>
              <w:t>oncentracija kreatinina u serumu [μ</w:t>
            </w:r>
            <w:r w:rsidR="002E1485" w:rsidRPr="001202A2">
              <w:rPr>
                <w:rFonts w:eastAsia="TimesNewRoman"/>
                <w:szCs w:val="22"/>
                <w:lang w:val="sr-Latn-ME"/>
              </w:rPr>
              <w:t>mol/</w:t>
            </w:r>
            <w:r w:rsidR="002B2DFD" w:rsidRPr="001202A2">
              <w:rPr>
                <w:rFonts w:eastAsia="TimesNewRoman"/>
                <w:szCs w:val="22"/>
                <w:lang w:val="sr-Latn-ME"/>
              </w:rPr>
              <w:t>l</w:t>
            </w:r>
            <w:r w:rsidR="00CE3D55" w:rsidRPr="001202A2">
              <w:rPr>
                <w:rFonts w:eastAsia="TimesNewRoman"/>
                <w:szCs w:val="22"/>
                <w:lang w:val="sr-Latn-ME"/>
              </w:rPr>
              <w:t>]</w:t>
            </w:r>
          </w:p>
        </w:tc>
      </w:tr>
    </w:tbl>
    <w:p w14:paraId="44C8E23C" w14:textId="5224C2B6" w:rsidR="00416C35" w:rsidRPr="001202A2" w:rsidRDefault="00BE09BA" w:rsidP="00480B31">
      <w:pPr>
        <w:pStyle w:val="ListParagraph"/>
        <w:numPr>
          <w:ilvl w:val="0"/>
          <w:numId w:val="7"/>
        </w:numPr>
        <w:tabs>
          <w:tab w:val="clear" w:pos="284"/>
        </w:tabs>
        <w:autoSpaceDE w:val="0"/>
        <w:autoSpaceDN w:val="0"/>
        <w:adjustRightInd w:val="0"/>
        <w:ind w:left="714" w:hanging="357"/>
        <w:rPr>
          <w:rFonts w:eastAsia="TimesNewRoman"/>
          <w:szCs w:val="22"/>
          <w:lang w:val="sr-Latn-ME"/>
        </w:rPr>
      </w:pPr>
      <w:r w:rsidRPr="001202A2">
        <w:rPr>
          <w:rFonts w:eastAsia="TimesNewRoman"/>
          <w:szCs w:val="22"/>
          <w:lang w:val="sr-Latn-ME"/>
        </w:rPr>
        <w:t>za koncentraciju kreatinina u mg/</w:t>
      </w:r>
      <w:r w:rsidR="00501A21" w:rsidRPr="001202A2">
        <w:rPr>
          <w:rFonts w:eastAsia="TimesNewRoman"/>
          <w:szCs w:val="22"/>
          <w:lang w:val="sr-Latn-ME"/>
        </w:rPr>
        <w:t>d</w:t>
      </w:r>
      <w:r w:rsidR="002B2DFD" w:rsidRPr="001202A2">
        <w:rPr>
          <w:rFonts w:eastAsia="TimesNewRoman"/>
          <w:szCs w:val="22"/>
          <w:lang w:val="sr-Latn-ME"/>
        </w:rPr>
        <w:t>l</w:t>
      </w:r>
    </w:p>
    <w:p w14:paraId="674E9529" w14:textId="77777777" w:rsidR="007B7E04" w:rsidRPr="001202A2" w:rsidRDefault="007B7E04" w:rsidP="00480B31">
      <w:pPr>
        <w:pStyle w:val="ListParagraph"/>
        <w:tabs>
          <w:tab w:val="clear" w:pos="284"/>
        </w:tabs>
        <w:autoSpaceDE w:val="0"/>
        <w:autoSpaceDN w:val="0"/>
        <w:adjustRightInd w:val="0"/>
        <w:ind w:left="714"/>
        <w:rPr>
          <w:rFonts w:eastAsia="TimesNewRoman"/>
          <w:szCs w:val="22"/>
          <w:lang w:val="sr-Latn-ME"/>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1"/>
      </w:tblGrid>
      <w:tr w:rsidR="00BE09BA" w:rsidRPr="001202A2" w14:paraId="664C7AF5" w14:textId="77777777" w:rsidTr="00E160D4">
        <w:trPr>
          <w:trHeight w:val="749"/>
        </w:trPr>
        <w:tc>
          <w:tcPr>
            <w:tcW w:w="6591" w:type="dxa"/>
          </w:tcPr>
          <w:p w14:paraId="0CC6CD02" w14:textId="03A9EFA4" w:rsidR="00BE09BA" w:rsidRPr="001202A2" w:rsidRDefault="00BE09BA" w:rsidP="00880F49">
            <w:pPr>
              <w:tabs>
                <w:tab w:val="clear" w:pos="284"/>
              </w:tabs>
              <w:autoSpaceDE w:val="0"/>
              <w:autoSpaceDN w:val="0"/>
              <w:adjustRightInd w:val="0"/>
              <w:jc w:val="center"/>
              <w:rPr>
                <w:rFonts w:eastAsia="TimesNewRoman"/>
                <w:szCs w:val="22"/>
                <w:u w:val="single"/>
                <w:lang w:val="sr-Latn-ME"/>
              </w:rPr>
            </w:pPr>
            <w:r w:rsidRPr="001202A2">
              <w:rPr>
                <w:rFonts w:eastAsia="TimesNewRoman"/>
                <w:szCs w:val="22"/>
                <w:u w:val="single"/>
                <w:lang w:val="sr-Latn-ME"/>
              </w:rPr>
              <w:t>(140 – starost [godine]) × t</w:t>
            </w:r>
            <w:r w:rsidR="00E160D4" w:rsidRPr="001202A2">
              <w:rPr>
                <w:rFonts w:eastAsia="TimesNewRoman"/>
                <w:szCs w:val="22"/>
                <w:u w:val="single"/>
                <w:lang w:val="sr-Latn-ME"/>
              </w:rPr>
              <w:t>j</w:t>
            </w:r>
            <w:r w:rsidRPr="001202A2">
              <w:rPr>
                <w:rFonts w:eastAsia="TimesNewRoman"/>
                <w:szCs w:val="22"/>
                <w:u w:val="single"/>
                <w:lang w:val="sr-Latn-ME"/>
              </w:rPr>
              <w:t>elesna masa [kg] (× 0,85 kod žena)</w:t>
            </w:r>
          </w:p>
          <w:p w14:paraId="0C0CE8D2" w14:textId="4D23CA62" w:rsidR="00BE09BA" w:rsidRPr="001202A2" w:rsidRDefault="00BE09BA"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72 × koncentracija kreatinina u serumu [mg/</w:t>
            </w:r>
            <w:r w:rsidR="00501A21" w:rsidRPr="001202A2">
              <w:rPr>
                <w:rFonts w:eastAsia="TimesNewRoman"/>
                <w:szCs w:val="22"/>
                <w:lang w:val="sr-Latn-ME"/>
              </w:rPr>
              <w:t>d</w:t>
            </w:r>
            <w:r w:rsidR="002B2DFD" w:rsidRPr="001202A2">
              <w:rPr>
                <w:rFonts w:eastAsia="TimesNewRoman"/>
                <w:szCs w:val="22"/>
                <w:lang w:val="sr-Latn-ME"/>
              </w:rPr>
              <w:t>l</w:t>
            </w:r>
            <w:r w:rsidRPr="001202A2">
              <w:rPr>
                <w:rFonts w:eastAsia="TimesNewRoman"/>
                <w:szCs w:val="22"/>
                <w:lang w:val="sr-Latn-ME"/>
              </w:rPr>
              <w:t>]</w:t>
            </w:r>
          </w:p>
        </w:tc>
      </w:tr>
    </w:tbl>
    <w:p w14:paraId="134CA592" w14:textId="4040FF48"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Ova metoda se preporučuje </w:t>
      </w:r>
      <w:r w:rsidR="00BE09BA" w:rsidRPr="001202A2">
        <w:rPr>
          <w:rFonts w:eastAsia="TimesNewRoman"/>
          <w:szCs w:val="22"/>
          <w:lang w:val="sr-Latn-ME"/>
        </w:rPr>
        <w:t>za proc</w:t>
      </w:r>
      <w:r w:rsidR="00E160D4" w:rsidRPr="001202A2">
        <w:rPr>
          <w:rFonts w:eastAsia="TimesNewRoman"/>
          <w:szCs w:val="22"/>
          <w:lang w:val="sr-Latn-ME"/>
        </w:rPr>
        <w:t>j</w:t>
      </w:r>
      <w:r w:rsidR="00BE09BA" w:rsidRPr="001202A2">
        <w:rPr>
          <w:rFonts w:eastAsia="TimesNewRoman"/>
          <w:szCs w:val="22"/>
          <w:lang w:val="sr-Latn-ME"/>
        </w:rPr>
        <w:t xml:space="preserve">enu </w:t>
      </w:r>
      <w:r w:rsidRPr="001202A2">
        <w:rPr>
          <w:rFonts w:eastAsia="TimesNewRoman"/>
          <w:szCs w:val="22"/>
          <w:lang w:val="sr-Latn-ME"/>
        </w:rPr>
        <w:t>CrCl pacijenta pr</w:t>
      </w:r>
      <w:r w:rsidR="00E160D4" w:rsidRPr="001202A2">
        <w:rPr>
          <w:rFonts w:eastAsia="TimesNewRoman"/>
          <w:szCs w:val="22"/>
          <w:lang w:val="sr-Latn-ME"/>
        </w:rPr>
        <w:t>ij</w:t>
      </w:r>
      <w:r w:rsidRPr="001202A2">
        <w:rPr>
          <w:rFonts w:eastAsia="TimesNewRoman"/>
          <w:szCs w:val="22"/>
          <w:lang w:val="sr-Latn-ME"/>
        </w:rPr>
        <w:t xml:space="preserve">e i tokom </w:t>
      </w:r>
      <w:r w:rsidR="00BE09BA" w:rsidRPr="001202A2">
        <w:rPr>
          <w:rFonts w:eastAsia="TimesNewRoman"/>
          <w:szCs w:val="22"/>
          <w:lang w:val="sr-Latn-ME"/>
        </w:rPr>
        <w:t>terapije</w:t>
      </w:r>
      <w:r w:rsidRPr="001202A2">
        <w:rPr>
          <w:rFonts w:eastAsia="TimesNewRoman"/>
          <w:szCs w:val="22"/>
          <w:lang w:val="sr-Latn-ME"/>
        </w:rPr>
        <w:t xml:space="preserve"> edoksabanom.</w:t>
      </w:r>
    </w:p>
    <w:p w14:paraId="188E42F4"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71D79CEA" w14:textId="7E83039C"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Kod pacijenata sa blagim oštećenjem funkcije bubrega (CrCl &gt; 50 – 80 </w:t>
      </w:r>
      <w:r w:rsidR="00501A21"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/min), preporučena doza edoksabana je 60 mg jednom dnevno.</w:t>
      </w:r>
    </w:p>
    <w:p w14:paraId="032E6B37"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103C2CC0" w14:textId="66F063C1"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Kod pacijenata sa um</w:t>
      </w:r>
      <w:r w:rsidR="00E160D4" w:rsidRPr="001202A2">
        <w:rPr>
          <w:rFonts w:eastAsia="TimesNewRoman"/>
          <w:szCs w:val="22"/>
          <w:lang w:val="sr-Latn-ME"/>
        </w:rPr>
        <w:t>j</w:t>
      </w:r>
      <w:r w:rsidRPr="001202A2">
        <w:rPr>
          <w:rFonts w:eastAsia="TimesNewRoman"/>
          <w:szCs w:val="22"/>
          <w:lang w:val="sr-Latn-ME"/>
        </w:rPr>
        <w:t xml:space="preserve">erenim ili teškim oštećenjem funkcije bubrega (CrCl 15 – 50 </w:t>
      </w:r>
      <w:r w:rsidR="00501A21"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/min), preporučena doza edoksabana je 30 mg jednom dnevno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5.2).</w:t>
      </w:r>
    </w:p>
    <w:p w14:paraId="2F2FCEF0"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21557E0E" w14:textId="06CFF33C"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Kod pacijenata u završnom stadijumu bubrežne bolesti (</w:t>
      </w:r>
      <w:r w:rsidR="008572B4" w:rsidRPr="001202A2">
        <w:rPr>
          <w:rFonts w:eastAsia="TimesNewRoman"/>
          <w:szCs w:val="22"/>
          <w:lang w:val="sr-Latn-ME"/>
        </w:rPr>
        <w:t xml:space="preserve">engl. </w:t>
      </w:r>
      <w:r w:rsidR="008572B4" w:rsidRPr="001202A2">
        <w:rPr>
          <w:rFonts w:eastAsia="TimesNewRoman"/>
          <w:i/>
          <w:iCs/>
          <w:szCs w:val="22"/>
          <w:lang w:val="sr-Latn-ME"/>
        </w:rPr>
        <w:t>end stage renal disease</w:t>
      </w:r>
      <w:r w:rsidR="008572B4" w:rsidRPr="001202A2">
        <w:rPr>
          <w:rFonts w:eastAsia="TimesNewRoman"/>
          <w:szCs w:val="22"/>
          <w:lang w:val="sr-Latn-ME"/>
        </w:rPr>
        <w:t xml:space="preserve">, </w:t>
      </w:r>
      <w:r w:rsidRPr="001202A2">
        <w:rPr>
          <w:rFonts w:eastAsia="TimesNewRoman"/>
          <w:szCs w:val="22"/>
          <w:lang w:val="sr-Latn-ME"/>
        </w:rPr>
        <w:t xml:space="preserve">ESRD) (CrCl &lt; 15 </w:t>
      </w:r>
      <w:r w:rsidR="00501A21"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/min) ili na dijalizi, prim</w:t>
      </w:r>
      <w:r w:rsidR="00E160D4" w:rsidRPr="001202A2">
        <w:rPr>
          <w:rFonts w:eastAsia="TimesNewRoman"/>
          <w:szCs w:val="22"/>
          <w:lang w:val="sr-Latn-ME"/>
        </w:rPr>
        <w:t>j</w:t>
      </w:r>
      <w:r w:rsidRPr="001202A2">
        <w:rPr>
          <w:rFonts w:eastAsia="TimesNewRoman"/>
          <w:szCs w:val="22"/>
          <w:lang w:val="sr-Latn-ME"/>
        </w:rPr>
        <w:t>ena edoksabana se ne preporučuje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djelove</w:t>
      </w:r>
      <w:r w:rsidRPr="001202A2">
        <w:rPr>
          <w:rFonts w:eastAsia="TimesNewRoman"/>
          <w:szCs w:val="22"/>
          <w:lang w:val="sr-Latn-ME"/>
        </w:rPr>
        <w:t xml:space="preserve"> 4.4 i 5.2).</w:t>
      </w:r>
    </w:p>
    <w:p w14:paraId="72B30BE7"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67D19CC0" w14:textId="77777777" w:rsidR="00416C35" w:rsidRPr="001202A2" w:rsidRDefault="00416C35" w:rsidP="00480B31">
      <w:pPr>
        <w:tabs>
          <w:tab w:val="clear" w:pos="284"/>
        </w:tabs>
        <w:autoSpaceDE w:val="0"/>
        <w:autoSpaceDN w:val="0"/>
        <w:adjustRightInd w:val="0"/>
        <w:rPr>
          <w:i/>
          <w:iCs/>
          <w:szCs w:val="22"/>
          <w:lang w:val="sr-Latn-ME"/>
        </w:rPr>
      </w:pPr>
      <w:r w:rsidRPr="001202A2">
        <w:rPr>
          <w:i/>
          <w:iCs/>
          <w:szCs w:val="22"/>
          <w:lang w:val="sr-Latn-ME"/>
        </w:rPr>
        <w:t>Oštećenje funkcije jetre</w:t>
      </w:r>
    </w:p>
    <w:p w14:paraId="516D3111" w14:textId="1EF29FAD" w:rsidR="00416C35" w:rsidRPr="001202A2" w:rsidRDefault="00416C3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je kontraindikovan kod pacijenata sa bolešću jetre povezanom sa koagulopatijom i klinički</w:t>
      </w:r>
      <w:r w:rsidR="008572B4" w:rsidRPr="001202A2">
        <w:rPr>
          <w:rFonts w:eastAsia="TimesNewRoman"/>
          <w:szCs w:val="22"/>
          <w:lang w:val="sr-Latn-ME"/>
        </w:rPr>
        <w:t xml:space="preserve"> </w:t>
      </w:r>
      <w:r w:rsidRPr="001202A2">
        <w:rPr>
          <w:rFonts w:eastAsia="TimesNewRoman"/>
          <w:szCs w:val="22"/>
          <w:lang w:val="sr-Latn-ME"/>
        </w:rPr>
        <w:t>značajnim rizikom od krvarenja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4.3).</w:t>
      </w:r>
    </w:p>
    <w:p w14:paraId="5CE482DE"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10081FF3" w14:textId="3747B379" w:rsidR="00416C35" w:rsidRPr="001202A2" w:rsidRDefault="00416C35" w:rsidP="00480B31">
      <w:pPr>
        <w:rPr>
          <w:rFonts w:eastAsia="TimesNewRoman"/>
          <w:szCs w:val="22"/>
          <w:lang w:val="sr-Latn-ME"/>
        </w:rPr>
      </w:pPr>
      <w:r w:rsidRPr="001202A2">
        <w:rPr>
          <w:rFonts w:eastAsia="TimesNewRoman"/>
          <w:szCs w:val="22"/>
          <w:lang w:val="sr-Latn-ME"/>
        </w:rPr>
        <w:t>Kod pacijenata sa teškim oštećenjem funkcije jetre, edoksaban se ne preporučuje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djelove</w:t>
      </w:r>
      <w:r w:rsidRPr="001202A2">
        <w:rPr>
          <w:rFonts w:eastAsia="TimesNewRoman"/>
          <w:szCs w:val="22"/>
          <w:lang w:val="sr-Latn-ME"/>
        </w:rPr>
        <w:t xml:space="preserve"> 4.4</w:t>
      </w:r>
      <w:r w:rsidR="008572B4" w:rsidRPr="001202A2">
        <w:rPr>
          <w:rFonts w:eastAsia="TimesNewRoman"/>
          <w:szCs w:val="22"/>
          <w:lang w:val="sr-Latn-ME"/>
        </w:rPr>
        <w:t xml:space="preserve"> i 5.2).</w:t>
      </w:r>
    </w:p>
    <w:p w14:paraId="3B765627" w14:textId="7A6B961C" w:rsidR="008572B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lastRenderedPageBreak/>
        <w:t>Kod pacijenata sa blagim do um</w:t>
      </w:r>
      <w:r w:rsidR="00E160D4" w:rsidRPr="001202A2">
        <w:rPr>
          <w:rFonts w:eastAsia="TimesNewRoman"/>
          <w:szCs w:val="22"/>
          <w:lang w:val="sr-Latn-ME"/>
        </w:rPr>
        <w:t>j</w:t>
      </w:r>
      <w:r w:rsidRPr="001202A2">
        <w:rPr>
          <w:rFonts w:eastAsia="TimesNewRoman"/>
          <w:szCs w:val="22"/>
          <w:lang w:val="sr-Latn-ME"/>
        </w:rPr>
        <w:t>erenim oštećenjem funkcije jetre, preporučena doza edoksabana je 60 mg jednom dnevno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5.2). Edoksaban treba prim</w:t>
      </w:r>
      <w:r w:rsidR="00E160D4" w:rsidRPr="001202A2">
        <w:rPr>
          <w:rFonts w:eastAsia="TimesNewRoman"/>
          <w:szCs w:val="22"/>
          <w:lang w:val="sr-Latn-ME"/>
        </w:rPr>
        <w:t>j</w:t>
      </w:r>
      <w:r w:rsidRPr="001202A2">
        <w:rPr>
          <w:rFonts w:eastAsia="TimesNewRoman"/>
          <w:szCs w:val="22"/>
          <w:lang w:val="sr-Latn-ME"/>
        </w:rPr>
        <w:t>enjivati sa oprezom kod pacijenata sa blagim do um</w:t>
      </w:r>
      <w:r w:rsidR="00E160D4" w:rsidRPr="001202A2">
        <w:rPr>
          <w:rFonts w:eastAsia="TimesNewRoman"/>
          <w:szCs w:val="22"/>
          <w:lang w:val="sr-Latn-ME"/>
        </w:rPr>
        <w:t>j</w:t>
      </w:r>
      <w:r w:rsidRPr="001202A2">
        <w:rPr>
          <w:rFonts w:eastAsia="TimesNewRoman"/>
          <w:szCs w:val="22"/>
          <w:lang w:val="sr-Latn-ME"/>
        </w:rPr>
        <w:t>erenim oštećenjem funkcije jetre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4.4).</w:t>
      </w:r>
    </w:p>
    <w:p w14:paraId="0C6AA031"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34E398BC" w14:textId="7D05C6D2" w:rsidR="008572B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Pacijenti sa povećanim vr</w:t>
      </w:r>
      <w:r w:rsidR="00E160D4" w:rsidRPr="001202A2">
        <w:rPr>
          <w:rFonts w:eastAsia="TimesNewRoman"/>
          <w:szCs w:val="22"/>
          <w:lang w:val="sr-Latn-ME"/>
        </w:rPr>
        <w:t>ij</w:t>
      </w:r>
      <w:r w:rsidRPr="001202A2">
        <w:rPr>
          <w:rFonts w:eastAsia="TimesNewRoman"/>
          <w:szCs w:val="22"/>
          <w:lang w:val="sr-Latn-ME"/>
        </w:rPr>
        <w:t>ednostima enzima jetre (alanin aminotransferaza (ALT) ili aspartat transaminaza (AST) &gt; 2 x gornje granice normalnih vr</w:t>
      </w:r>
      <w:r w:rsidR="00E160D4" w:rsidRPr="001202A2">
        <w:rPr>
          <w:rFonts w:eastAsia="TimesNewRoman"/>
          <w:szCs w:val="22"/>
          <w:lang w:val="sr-Latn-ME"/>
        </w:rPr>
        <w:t>ij</w:t>
      </w:r>
      <w:r w:rsidRPr="001202A2">
        <w:rPr>
          <w:rFonts w:eastAsia="TimesNewRoman"/>
          <w:szCs w:val="22"/>
          <w:lang w:val="sr-Latn-ME"/>
        </w:rPr>
        <w:t>ednosti (GGN)) ili ukupnim bilirubinom ≥ 1,5 x GGN bili su isključeni iz kliničkih ispitivanja. Stoga edoksaban treba prim</w:t>
      </w:r>
      <w:r w:rsidR="00E160D4" w:rsidRPr="001202A2">
        <w:rPr>
          <w:rFonts w:eastAsia="TimesNewRoman"/>
          <w:szCs w:val="22"/>
          <w:lang w:val="sr-Latn-ME"/>
        </w:rPr>
        <w:t>j</w:t>
      </w:r>
      <w:r w:rsidRPr="001202A2">
        <w:rPr>
          <w:rFonts w:eastAsia="TimesNewRoman"/>
          <w:szCs w:val="22"/>
          <w:lang w:val="sr-Latn-ME"/>
        </w:rPr>
        <w:t>enjivati sa oprezom u ovoj populaciji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djelove</w:t>
      </w:r>
      <w:r w:rsidRPr="001202A2">
        <w:rPr>
          <w:rFonts w:eastAsia="TimesNewRoman"/>
          <w:szCs w:val="22"/>
          <w:lang w:val="sr-Latn-ME"/>
        </w:rPr>
        <w:t xml:space="preserve"> 4.4 i 5.2). Pr</w:t>
      </w:r>
      <w:r w:rsidR="00E160D4" w:rsidRPr="001202A2">
        <w:rPr>
          <w:rFonts w:eastAsia="TimesNewRoman"/>
          <w:szCs w:val="22"/>
          <w:lang w:val="sr-Latn-ME"/>
        </w:rPr>
        <w:t>ij</w:t>
      </w:r>
      <w:r w:rsidRPr="001202A2">
        <w:rPr>
          <w:rFonts w:eastAsia="TimesNewRoman"/>
          <w:szCs w:val="22"/>
          <w:lang w:val="sr-Latn-ME"/>
        </w:rPr>
        <w:t>e uvođenja edoksabana treba ispitati funkciju jetre.</w:t>
      </w:r>
    </w:p>
    <w:p w14:paraId="61A97301"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1A6735E6" w14:textId="11776C20" w:rsidR="008572B4" w:rsidRPr="001202A2" w:rsidRDefault="008572B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T</w:t>
      </w:r>
      <w:r w:rsidR="00E160D4" w:rsidRPr="001202A2">
        <w:rPr>
          <w:rFonts w:eastAsia="TimesNewRoman"/>
          <w:i/>
          <w:iCs/>
          <w:szCs w:val="22"/>
          <w:lang w:val="sr-Latn-ME"/>
        </w:rPr>
        <w:t>j</w:t>
      </w:r>
      <w:r w:rsidRPr="001202A2">
        <w:rPr>
          <w:rFonts w:eastAsia="TimesNewRoman"/>
          <w:i/>
          <w:iCs/>
          <w:szCs w:val="22"/>
          <w:lang w:val="sr-Latn-ME"/>
        </w:rPr>
        <w:t>elesna masa</w:t>
      </w:r>
    </w:p>
    <w:p w14:paraId="7458E987" w14:textId="6A0DC301" w:rsidR="008572B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Za pacijente sa t</w:t>
      </w:r>
      <w:r w:rsidR="00E160D4" w:rsidRPr="001202A2">
        <w:rPr>
          <w:rFonts w:eastAsia="TimesNewRoman"/>
          <w:szCs w:val="22"/>
          <w:lang w:val="sr-Latn-ME"/>
        </w:rPr>
        <w:t>j</w:t>
      </w:r>
      <w:r w:rsidRPr="001202A2">
        <w:rPr>
          <w:rFonts w:eastAsia="TimesNewRoman"/>
          <w:szCs w:val="22"/>
          <w:lang w:val="sr-Latn-ME"/>
        </w:rPr>
        <w:t xml:space="preserve">elesnom masom ≤ 60 kg, preporučena doza edoksabana </w:t>
      </w:r>
      <w:r w:rsidR="00165684" w:rsidRPr="001202A2">
        <w:rPr>
          <w:rFonts w:eastAsia="TimesNewRoman"/>
          <w:szCs w:val="22"/>
          <w:lang w:val="sr-Latn-ME"/>
        </w:rPr>
        <w:t>iznosi</w:t>
      </w:r>
      <w:r w:rsidRPr="001202A2">
        <w:rPr>
          <w:rFonts w:eastAsia="TimesNewRoman"/>
          <w:szCs w:val="22"/>
          <w:lang w:val="sr-Latn-ME"/>
        </w:rPr>
        <w:t xml:space="preserve"> 30 mg jednom dnevno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5.2).</w:t>
      </w:r>
    </w:p>
    <w:p w14:paraId="2CFEE165"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1203D233" w14:textId="77777777" w:rsidR="008572B4" w:rsidRPr="001202A2" w:rsidRDefault="008572B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Pol</w:t>
      </w:r>
    </w:p>
    <w:p w14:paraId="37A3AAD8" w14:textId="2ED00980" w:rsidR="008572B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Nije potrebno smanjenje doze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5.2).</w:t>
      </w:r>
    </w:p>
    <w:p w14:paraId="7E094864"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1CDE02C7" w14:textId="417533F6" w:rsidR="008572B4" w:rsidRPr="001202A2" w:rsidRDefault="008572B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Istovremena prim</w:t>
      </w:r>
      <w:r w:rsidR="00E160D4" w:rsidRPr="001202A2">
        <w:rPr>
          <w:rFonts w:eastAsia="TimesNewRoman"/>
          <w:i/>
          <w:iCs/>
          <w:szCs w:val="22"/>
          <w:lang w:val="sr-Latn-ME"/>
        </w:rPr>
        <w:t>j</w:t>
      </w:r>
      <w:r w:rsidRPr="001202A2">
        <w:rPr>
          <w:rFonts w:eastAsia="TimesNewRoman"/>
          <w:i/>
          <w:iCs/>
          <w:szCs w:val="22"/>
          <w:lang w:val="sr-Latn-ME"/>
        </w:rPr>
        <w:t>ena l</w:t>
      </w:r>
      <w:r w:rsidR="00E160D4" w:rsidRPr="001202A2">
        <w:rPr>
          <w:rFonts w:eastAsia="TimesNewRoman"/>
          <w:i/>
          <w:iCs/>
          <w:szCs w:val="22"/>
          <w:lang w:val="sr-Latn-ME"/>
        </w:rPr>
        <w:t>ij</w:t>
      </w:r>
      <w:r w:rsidRPr="001202A2">
        <w:rPr>
          <w:rFonts w:eastAsia="TimesNewRoman"/>
          <w:i/>
          <w:iCs/>
          <w:szCs w:val="22"/>
          <w:lang w:val="sr-Latn-ME"/>
        </w:rPr>
        <w:t xml:space="preserve">eka </w:t>
      </w:r>
      <w:r w:rsidR="00165684" w:rsidRPr="001202A2">
        <w:rPr>
          <w:rFonts w:eastAsia="TimesNewRoman"/>
          <w:i/>
          <w:iCs/>
          <w:szCs w:val="22"/>
          <w:lang w:val="sr-Latn-ME"/>
        </w:rPr>
        <w:t>Oxaway</w:t>
      </w:r>
      <w:r w:rsidRPr="001202A2">
        <w:rPr>
          <w:rFonts w:eastAsia="TimesNewRoman"/>
          <w:i/>
          <w:iCs/>
          <w:szCs w:val="22"/>
          <w:lang w:val="sr-Latn-ME"/>
        </w:rPr>
        <w:t xml:space="preserve"> sa inhibitorima P-glikoproteina (P-gp)</w:t>
      </w:r>
    </w:p>
    <w:p w14:paraId="6FDB2E52" w14:textId="47D2FE37" w:rsidR="0016568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Kod pacijenata koji istovremeno uzimaju l</w:t>
      </w:r>
      <w:r w:rsidR="00E160D4" w:rsidRPr="001202A2">
        <w:rPr>
          <w:rFonts w:eastAsia="TimesNewRoman"/>
          <w:szCs w:val="22"/>
          <w:lang w:val="sr-Latn-ME"/>
        </w:rPr>
        <w:t>ij</w:t>
      </w:r>
      <w:r w:rsidRPr="001202A2">
        <w:rPr>
          <w:rFonts w:eastAsia="TimesNewRoman"/>
          <w:szCs w:val="22"/>
          <w:lang w:val="sr-Latn-ME"/>
        </w:rPr>
        <w:t xml:space="preserve">ek </w:t>
      </w:r>
      <w:r w:rsidR="00165684" w:rsidRPr="001202A2">
        <w:rPr>
          <w:rFonts w:eastAsia="TimesNewRoman"/>
          <w:szCs w:val="22"/>
          <w:lang w:val="sr-Latn-ME"/>
        </w:rPr>
        <w:t>Oxaway</w:t>
      </w:r>
      <w:r w:rsidRPr="001202A2">
        <w:rPr>
          <w:rFonts w:eastAsia="TimesNewRoman"/>
          <w:szCs w:val="22"/>
          <w:lang w:val="sr-Latn-ME"/>
        </w:rPr>
        <w:t xml:space="preserve"> i sl</w:t>
      </w:r>
      <w:r w:rsidR="00E160D4" w:rsidRPr="001202A2">
        <w:rPr>
          <w:rFonts w:eastAsia="TimesNewRoman"/>
          <w:szCs w:val="22"/>
          <w:lang w:val="sr-Latn-ME"/>
        </w:rPr>
        <w:t>j</w:t>
      </w:r>
      <w:r w:rsidRPr="001202A2">
        <w:rPr>
          <w:rFonts w:eastAsia="TimesNewRoman"/>
          <w:szCs w:val="22"/>
          <w:lang w:val="sr-Latn-ME"/>
        </w:rPr>
        <w:t>edeće inhibitore P-gp: ciklosporin, dronedaron, eritromicin ili ketokonazol, preporučena doza l</w:t>
      </w:r>
      <w:r w:rsidR="00E160D4" w:rsidRPr="001202A2">
        <w:rPr>
          <w:rFonts w:eastAsia="TimesNewRoman"/>
          <w:szCs w:val="22"/>
          <w:lang w:val="sr-Latn-ME"/>
        </w:rPr>
        <w:t>ij</w:t>
      </w:r>
      <w:r w:rsidRPr="001202A2">
        <w:rPr>
          <w:rFonts w:eastAsia="TimesNewRoman"/>
          <w:szCs w:val="22"/>
          <w:lang w:val="sr-Latn-ME"/>
        </w:rPr>
        <w:t xml:space="preserve">eka </w:t>
      </w:r>
      <w:r w:rsidR="00165684" w:rsidRPr="001202A2">
        <w:rPr>
          <w:rFonts w:eastAsia="TimesNewRoman"/>
          <w:szCs w:val="22"/>
          <w:lang w:val="sr-Latn-ME"/>
        </w:rPr>
        <w:t>Oxaway</w:t>
      </w:r>
      <w:r w:rsidRPr="001202A2">
        <w:rPr>
          <w:rFonts w:eastAsia="TimesNewRoman"/>
          <w:szCs w:val="22"/>
          <w:lang w:val="sr-Latn-ME"/>
        </w:rPr>
        <w:t xml:space="preserve"> je 30 mg jednom dnevno (vid</w:t>
      </w:r>
      <w:r w:rsidR="00E160D4" w:rsidRPr="001202A2">
        <w:rPr>
          <w:rFonts w:eastAsia="TimesNewRoman"/>
          <w:szCs w:val="22"/>
          <w:lang w:val="sr-Latn-ME"/>
        </w:rPr>
        <w:t>j</w:t>
      </w:r>
      <w:r w:rsidRPr="001202A2">
        <w:rPr>
          <w:rFonts w:eastAsia="TimesNewRoman"/>
          <w:szCs w:val="22"/>
          <w:lang w:val="sr-Latn-ME"/>
        </w:rPr>
        <w:t xml:space="preserve">eti </w:t>
      </w:r>
      <w:r w:rsidR="00E160D4" w:rsidRPr="001202A2">
        <w:rPr>
          <w:rFonts w:eastAsia="TimesNewRoman"/>
          <w:szCs w:val="22"/>
          <w:lang w:val="sr-Latn-ME"/>
        </w:rPr>
        <w:t>dio</w:t>
      </w:r>
      <w:r w:rsidRPr="001202A2">
        <w:rPr>
          <w:rFonts w:eastAsia="TimesNewRoman"/>
          <w:szCs w:val="22"/>
          <w:lang w:val="sr-Latn-ME"/>
        </w:rPr>
        <w:t xml:space="preserve"> 4.5). Nije potrebno smanjenje doze</w:t>
      </w:r>
      <w:r w:rsidR="00165684" w:rsidRPr="001202A2">
        <w:rPr>
          <w:rFonts w:eastAsia="TimesNewRoman"/>
          <w:szCs w:val="22"/>
          <w:lang w:val="sr-Latn-ME"/>
        </w:rPr>
        <w:t xml:space="preserve"> l</w:t>
      </w:r>
      <w:r w:rsidR="00E160D4" w:rsidRPr="001202A2">
        <w:rPr>
          <w:rFonts w:eastAsia="TimesNewRoman"/>
          <w:szCs w:val="22"/>
          <w:lang w:val="sr-Latn-ME"/>
        </w:rPr>
        <w:t>ij</w:t>
      </w:r>
      <w:r w:rsidR="00165684" w:rsidRPr="001202A2">
        <w:rPr>
          <w:rFonts w:eastAsia="TimesNewRoman"/>
          <w:szCs w:val="22"/>
          <w:lang w:val="sr-Latn-ME"/>
        </w:rPr>
        <w:t>eka</w:t>
      </w:r>
      <w:r w:rsidRPr="001202A2">
        <w:rPr>
          <w:rFonts w:eastAsia="TimesNewRoman"/>
          <w:szCs w:val="22"/>
          <w:lang w:val="sr-Latn-ME"/>
        </w:rPr>
        <w:t xml:space="preserve"> </w:t>
      </w:r>
      <w:r w:rsidR="00165684" w:rsidRPr="001202A2">
        <w:rPr>
          <w:rFonts w:eastAsia="TimesNewRoman"/>
          <w:szCs w:val="22"/>
          <w:lang w:val="sr-Latn-ME"/>
        </w:rPr>
        <w:t>prilikom</w:t>
      </w:r>
      <w:r w:rsidRPr="001202A2">
        <w:rPr>
          <w:rFonts w:eastAsia="TimesNewRoman"/>
          <w:szCs w:val="22"/>
          <w:lang w:val="sr-Latn-ME"/>
        </w:rPr>
        <w:t xml:space="preserve"> istovremene prim</w:t>
      </w:r>
      <w:r w:rsidR="00E160D4" w:rsidRPr="001202A2">
        <w:rPr>
          <w:rFonts w:eastAsia="TimesNewRoman"/>
          <w:szCs w:val="22"/>
          <w:lang w:val="sr-Latn-ME"/>
        </w:rPr>
        <w:t>j</w:t>
      </w:r>
      <w:r w:rsidRPr="001202A2">
        <w:rPr>
          <w:rFonts w:eastAsia="TimesNewRoman"/>
          <w:szCs w:val="22"/>
          <w:lang w:val="sr-Latn-ME"/>
        </w:rPr>
        <w:t>ene amjodarona, hinidina ili verapamila (vid</w:t>
      </w:r>
      <w:r w:rsidR="00E160D4" w:rsidRPr="001202A2">
        <w:rPr>
          <w:rFonts w:eastAsia="TimesNewRoman"/>
          <w:szCs w:val="22"/>
          <w:lang w:val="sr-Latn-ME"/>
        </w:rPr>
        <w:t>j</w:t>
      </w:r>
      <w:r w:rsidRPr="001202A2">
        <w:rPr>
          <w:rFonts w:eastAsia="TimesNewRoman"/>
          <w:szCs w:val="22"/>
          <w:lang w:val="sr-Latn-ME"/>
        </w:rPr>
        <w:t>et</w:t>
      </w:r>
      <w:r w:rsidR="00E160D4" w:rsidRPr="001202A2">
        <w:rPr>
          <w:rFonts w:eastAsia="TimesNewRoman"/>
          <w:szCs w:val="22"/>
          <w:lang w:val="sr-Latn-ME"/>
        </w:rPr>
        <w:t>i</w:t>
      </w:r>
      <w:r w:rsidRPr="001202A2">
        <w:rPr>
          <w:rFonts w:eastAsia="TimesNewRoman"/>
          <w:szCs w:val="22"/>
          <w:lang w:val="sr-Latn-ME"/>
        </w:rPr>
        <w:t xml:space="preserve"> </w:t>
      </w:r>
      <w:r w:rsidR="00E160D4" w:rsidRPr="001202A2">
        <w:rPr>
          <w:rFonts w:eastAsia="TimesNewRoman"/>
          <w:szCs w:val="22"/>
          <w:lang w:val="sr-Latn-ME"/>
        </w:rPr>
        <w:t>dio</w:t>
      </w:r>
      <w:r w:rsidRPr="001202A2">
        <w:rPr>
          <w:rFonts w:eastAsia="TimesNewRoman"/>
          <w:szCs w:val="22"/>
          <w:lang w:val="sr-Latn-ME"/>
        </w:rPr>
        <w:t xml:space="preserve"> 4.5). </w:t>
      </w:r>
    </w:p>
    <w:p w14:paraId="40843C92" w14:textId="020C3B3D" w:rsidR="008572B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w:t>
      </w:r>
      <w:r w:rsidR="00E160D4" w:rsidRPr="001202A2">
        <w:rPr>
          <w:rFonts w:eastAsia="TimesNewRoman"/>
          <w:szCs w:val="22"/>
          <w:lang w:val="sr-Latn-ME"/>
        </w:rPr>
        <w:t>j</w:t>
      </w:r>
      <w:r w:rsidRPr="001202A2">
        <w:rPr>
          <w:rFonts w:eastAsia="TimesNewRoman"/>
          <w:szCs w:val="22"/>
          <w:lang w:val="sr-Latn-ME"/>
        </w:rPr>
        <w:t>ena l</w:t>
      </w:r>
      <w:r w:rsidR="00E160D4" w:rsidRPr="001202A2">
        <w:rPr>
          <w:rFonts w:eastAsia="TimesNewRoman"/>
          <w:szCs w:val="22"/>
          <w:lang w:val="sr-Latn-ME"/>
        </w:rPr>
        <w:t>ij</w:t>
      </w:r>
      <w:r w:rsidRPr="001202A2">
        <w:rPr>
          <w:rFonts w:eastAsia="TimesNewRoman"/>
          <w:szCs w:val="22"/>
          <w:lang w:val="sr-Latn-ME"/>
        </w:rPr>
        <w:t xml:space="preserve">eka </w:t>
      </w:r>
      <w:r w:rsidR="00165684" w:rsidRPr="001202A2">
        <w:rPr>
          <w:rFonts w:eastAsia="TimesNewRoman"/>
          <w:szCs w:val="22"/>
          <w:lang w:val="sr-Latn-ME"/>
        </w:rPr>
        <w:t xml:space="preserve">Oxaway </w:t>
      </w:r>
      <w:r w:rsidRPr="001202A2">
        <w:rPr>
          <w:rFonts w:eastAsia="TimesNewRoman"/>
          <w:szCs w:val="22"/>
          <w:lang w:val="sr-Latn-ME"/>
        </w:rPr>
        <w:t>sa drugim inhibitorima P-gp, uključujući inhibitore HIV</w:t>
      </w:r>
      <w:r w:rsidR="00165684" w:rsidRPr="001202A2">
        <w:rPr>
          <w:rFonts w:eastAsia="TimesNewRoman"/>
          <w:szCs w:val="22"/>
          <w:lang w:val="sr-Latn-ME"/>
        </w:rPr>
        <w:t xml:space="preserve"> proteaze</w:t>
      </w:r>
      <w:r w:rsidRPr="001202A2">
        <w:rPr>
          <w:rFonts w:eastAsia="TimesNewRoman"/>
          <w:szCs w:val="22"/>
          <w:lang w:val="sr-Latn-ME"/>
        </w:rPr>
        <w:t>, nije ispitana.</w:t>
      </w:r>
    </w:p>
    <w:p w14:paraId="2A493C5F"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2BD0DE98" w14:textId="77777777" w:rsidR="00165684" w:rsidRPr="001202A2" w:rsidRDefault="0016568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Pedijatrijska populacija</w:t>
      </w:r>
    </w:p>
    <w:p w14:paraId="139697AD" w14:textId="609F0B7C" w:rsidR="004019DF" w:rsidRPr="001202A2" w:rsidRDefault="004019D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w:t>
      </w:r>
      <w:r w:rsidR="002B2DFD" w:rsidRPr="001202A2">
        <w:rPr>
          <w:rFonts w:eastAsia="TimesNewRoman"/>
          <w:szCs w:val="22"/>
          <w:lang w:val="sr-Latn-ME"/>
        </w:rPr>
        <w:t>j</w:t>
      </w:r>
      <w:r w:rsidRPr="001202A2">
        <w:rPr>
          <w:rFonts w:eastAsia="TimesNewRoman"/>
          <w:szCs w:val="22"/>
          <w:lang w:val="sr-Latn-ME"/>
        </w:rPr>
        <w:t>ena edoksabana kod d</w:t>
      </w:r>
      <w:r w:rsidR="002B2DFD" w:rsidRPr="001202A2">
        <w:rPr>
          <w:rFonts w:eastAsia="TimesNewRoman"/>
          <w:szCs w:val="22"/>
          <w:lang w:val="sr-Latn-ME"/>
        </w:rPr>
        <w:t>j</w:t>
      </w:r>
      <w:r w:rsidRPr="001202A2">
        <w:rPr>
          <w:rFonts w:eastAsia="TimesNewRoman"/>
          <w:szCs w:val="22"/>
          <w:lang w:val="sr-Latn-ME"/>
        </w:rPr>
        <w:t xml:space="preserve">ece i adolescenata starosti do 18 godina sa potvrđenim događajem VTE (PE i/ili </w:t>
      </w:r>
      <w:r w:rsidR="00B07E69" w:rsidRPr="001202A2">
        <w:rPr>
          <w:rFonts w:eastAsia="TimesNewRoman"/>
          <w:szCs w:val="22"/>
          <w:lang w:val="sr-Latn-ME"/>
        </w:rPr>
        <w:t>TDV</w:t>
      </w:r>
      <w:r w:rsidRPr="001202A2">
        <w:rPr>
          <w:rFonts w:eastAsia="TimesNewRoman"/>
          <w:szCs w:val="22"/>
          <w:lang w:val="sr-Latn-ME"/>
        </w:rPr>
        <w:t xml:space="preserve">) se ne preporučuje, jer nije ustanovljena efikasnost. Dostupni podaci za pacijente sa VTE su opisani u </w:t>
      </w:r>
      <w:r w:rsidR="002B2DFD" w:rsidRPr="001202A2">
        <w:rPr>
          <w:rFonts w:eastAsia="TimesNewRoman"/>
          <w:szCs w:val="22"/>
          <w:lang w:val="sr-Latn-ME"/>
        </w:rPr>
        <w:t>djelovima</w:t>
      </w:r>
      <w:r w:rsidRPr="001202A2">
        <w:rPr>
          <w:rFonts w:eastAsia="TimesNewRoman"/>
          <w:szCs w:val="22"/>
          <w:lang w:val="sr-Latn-ME"/>
        </w:rPr>
        <w:t xml:space="preserve"> 4.8, 5.1 i 5.2.</w:t>
      </w:r>
    </w:p>
    <w:p w14:paraId="50888A82"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2C147B6A" w14:textId="77777777" w:rsidR="008572B4" w:rsidRPr="001202A2" w:rsidRDefault="008572B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Pacijenti koji će biti podvrgnuti kardioverziji</w:t>
      </w:r>
    </w:p>
    <w:p w14:paraId="76EEEC53" w14:textId="3E36452E" w:rsidR="008572B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Sa prim</w:t>
      </w:r>
      <w:r w:rsidR="00E160D4" w:rsidRPr="001202A2">
        <w:rPr>
          <w:rFonts w:eastAsia="TimesNewRoman"/>
          <w:szCs w:val="22"/>
          <w:lang w:val="sr-Latn-ME"/>
        </w:rPr>
        <w:t>j</w:t>
      </w:r>
      <w:r w:rsidRPr="001202A2">
        <w:rPr>
          <w:rFonts w:eastAsia="TimesNewRoman"/>
          <w:szCs w:val="22"/>
          <w:lang w:val="sr-Latn-ME"/>
        </w:rPr>
        <w:t>enom l</w:t>
      </w:r>
      <w:r w:rsidR="00E160D4" w:rsidRPr="001202A2">
        <w:rPr>
          <w:rFonts w:eastAsia="TimesNewRoman"/>
          <w:szCs w:val="22"/>
          <w:lang w:val="sr-Latn-ME"/>
        </w:rPr>
        <w:t>ij</w:t>
      </w:r>
      <w:r w:rsidRPr="001202A2">
        <w:rPr>
          <w:rFonts w:eastAsia="TimesNewRoman"/>
          <w:szCs w:val="22"/>
          <w:lang w:val="sr-Latn-ME"/>
        </w:rPr>
        <w:t xml:space="preserve">eka </w:t>
      </w:r>
      <w:r w:rsidR="00165684" w:rsidRPr="001202A2">
        <w:rPr>
          <w:rFonts w:eastAsia="TimesNewRoman"/>
          <w:szCs w:val="22"/>
          <w:lang w:val="sr-Latn-ME"/>
        </w:rPr>
        <w:t xml:space="preserve">Oxaway </w:t>
      </w:r>
      <w:r w:rsidRPr="001202A2">
        <w:rPr>
          <w:rFonts w:eastAsia="TimesNewRoman"/>
          <w:szCs w:val="22"/>
          <w:lang w:val="sr-Latn-ME"/>
        </w:rPr>
        <w:t xml:space="preserve">može se započeti ili nastaviti kod pacijenata kojima je potrebna kardioverzija. </w:t>
      </w:r>
      <w:r w:rsidR="00165684" w:rsidRPr="001202A2">
        <w:rPr>
          <w:rFonts w:eastAsia="TimesNewRoman"/>
          <w:szCs w:val="22"/>
          <w:lang w:val="sr-Latn-ME"/>
        </w:rPr>
        <w:t>U slučaju</w:t>
      </w:r>
      <w:r w:rsidRPr="001202A2">
        <w:rPr>
          <w:rFonts w:eastAsia="TimesNewRoman"/>
          <w:szCs w:val="22"/>
          <w:lang w:val="sr-Latn-ME"/>
        </w:rPr>
        <w:t xml:space="preserve"> kardioverzije vođen</w:t>
      </w:r>
      <w:r w:rsidR="00165684" w:rsidRPr="001202A2">
        <w:rPr>
          <w:rFonts w:eastAsia="TimesNewRoman"/>
          <w:szCs w:val="22"/>
          <w:lang w:val="sr-Latn-ME"/>
        </w:rPr>
        <w:t>e</w:t>
      </w:r>
      <w:r w:rsidRPr="001202A2">
        <w:rPr>
          <w:rFonts w:eastAsia="TimesNewRoman"/>
          <w:szCs w:val="22"/>
          <w:lang w:val="sr-Latn-ME"/>
        </w:rPr>
        <w:t xml:space="preserve"> transezofagealnom ehokardiografijom (engl. </w:t>
      </w:r>
      <w:r w:rsidRPr="001202A2">
        <w:rPr>
          <w:rFonts w:eastAsia="TimesNewRoman"/>
          <w:i/>
          <w:iCs/>
          <w:szCs w:val="22"/>
          <w:lang w:val="sr-Latn-ME"/>
        </w:rPr>
        <w:t>transoesophageal echocardiogram</w:t>
      </w:r>
      <w:r w:rsidRPr="001202A2">
        <w:rPr>
          <w:rFonts w:eastAsia="TimesNewRoman"/>
          <w:szCs w:val="22"/>
          <w:lang w:val="sr-Latn-ME"/>
        </w:rPr>
        <w:t>, TEE) kod pacijenata koji ni</w:t>
      </w:r>
      <w:r w:rsidR="007B7E04" w:rsidRPr="001202A2">
        <w:rPr>
          <w:rFonts w:eastAsia="TimesNewRoman"/>
          <w:szCs w:val="22"/>
          <w:lang w:val="sr-Latn-ME"/>
        </w:rPr>
        <w:t>je</w:t>
      </w:r>
      <w:r w:rsidRPr="001202A2">
        <w:rPr>
          <w:rFonts w:eastAsia="TimesNewRoman"/>
          <w:szCs w:val="22"/>
          <w:lang w:val="sr-Latn-ME"/>
        </w:rPr>
        <w:t xml:space="preserve">su </w:t>
      </w:r>
      <w:r w:rsidR="00165684" w:rsidRPr="001202A2">
        <w:rPr>
          <w:rFonts w:eastAsia="TimesNewRoman"/>
          <w:szCs w:val="22"/>
          <w:lang w:val="sr-Latn-ME"/>
        </w:rPr>
        <w:t>ranije</w:t>
      </w:r>
      <w:r w:rsidRPr="001202A2">
        <w:rPr>
          <w:rFonts w:eastAsia="TimesNewRoman"/>
          <w:szCs w:val="22"/>
          <w:lang w:val="sr-Latn-ME"/>
        </w:rPr>
        <w:t xml:space="preserve"> l</w:t>
      </w:r>
      <w:r w:rsidR="00E160D4" w:rsidRPr="001202A2">
        <w:rPr>
          <w:rFonts w:eastAsia="TimesNewRoman"/>
          <w:szCs w:val="22"/>
          <w:lang w:val="sr-Latn-ME"/>
        </w:rPr>
        <w:t>ij</w:t>
      </w:r>
      <w:r w:rsidRPr="001202A2">
        <w:rPr>
          <w:rFonts w:eastAsia="TimesNewRoman"/>
          <w:szCs w:val="22"/>
          <w:lang w:val="sr-Latn-ME"/>
        </w:rPr>
        <w:t xml:space="preserve">ečeni antikoagulansima, </w:t>
      </w:r>
      <w:r w:rsidR="00165684" w:rsidRPr="001202A2">
        <w:rPr>
          <w:rFonts w:eastAsia="TimesNewRoman"/>
          <w:szCs w:val="22"/>
          <w:lang w:val="sr-Latn-ME"/>
        </w:rPr>
        <w:t>sa prim</w:t>
      </w:r>
      <w:r w:rsidR="00E160D4" w:rsidRPr="001202A2">
        <w:rPr>
          <w:rFonts w:eastAsia="TimesNewRoman"/>
          <w:szCs w:val="22"/>
          <w:lang w:val="sr-Latn-ME"/>
        </w:rPr>
        <w:t>j</w:t>
      </w:r>
      <w:r w:rsidR="00165684" w:rsidRPr="001202A2">
        <w:rPr>
          <w:rFonts w:eastAsia="TimesNewRoman"/>
          <w:szCs w:val="22"/>
          <w:lang w:val="sr-Latn-ME"/>
        </w:rPr>
        <w:t>enom</w:t>
      </w:r>
      <w:r w:rsidRPr="001202A2">
        <w:rPr>
          <w:rFonts w:eastAsia="TimesNewRoman"/>
          <w:szCs w:val="22"/>
          <w:lang w:val="sr-Latn-ME"/>
        </w:rPr>
        <w:t xml:space="preserve"> l</w:t>
      </w:r>
      <w:r w:rsidR="00E160D4" w:rsidRPr="001202A2">
        <w:rPr>
          <w:rFonts w:eastAsia="TimesNewRoman"/>
          <w:szCs w:val="22"/>
          <w:lang w:val="sr-Latn-ME"/>
        </w:rPr>
        <w:t>ij</w:t>
      </w:r>
      <w:r w:rsidRPr="001202A2">
        <w:rPr>
          <w:rFonts w:eastAsia="TimesNewRoman"/>
          <w:szCs w:val="22"/>
          <w:lang w:val="sr-Latn-ME"/>
        </w:rPr>
        <w:t>ek</w:t>
      </w:r>
      <w:r w:rsidR="00165684" w:rsidRPr="001202A2">
        <w:rPr>
          <w:rFonts w:eastAsia="TimesNewRoman"/>
          <w:szCs w:val="22"/>
          <w:lang w:val="sr-Latn-ME"/>
        </w:rPr>
        <w:t>a</w:t>
      </w:r>
      <w:r w:rsidRPr="001202A2">
        <w:rPr>
          <w:rFonts w:eastAsia="TimesNewRoman"/>
          <w:i/>
          <w:iCs/>
          <w:szCs w:val="22"/>
          <w:lang w:val="sr-Latn-ME"/>
        </w:rPr>
        <w:t xml:space="preserve"> </w:t>
      </w:r>
      <w:r w:rsidR="00165684" w:rsidRPr="001202A2">
        <w:rPr>
          <w:rFonts w:eastAsia="TimesNewRoman"/>
          <w:szCs w:val="22"/>
          <w:lang w:val="sr-Latn-ME"/>
        </w:rPr>
        <w:t>Oxaway treba</w:t>
      </w:r>
      <w:r w:rsidRPr="001202A2">
        <w:rPr>
          <w:rFonts w:eastAsia="TimesNewRoman"/>
          <w:szCs w:val="22"/>
          <w:lang w:val="sr-Latn-ME"/>
        </w:rPr>
        <w:t xml:space="preserve"> početi najmanje </w:t>
      </w:r>
      <w:r w:rsidRPr="001202A2">
        <w:rPr>
          <w:rFonts w:eastAsia="TimesNewRoman"/>
          <w:b/>
          <w:bCs/>
          <w:szCs w:val="22"/>
          <w:lang w:val="sr-Latn-ME"/>
        </w:rPr>
        <w:t xml:space="preserve">2 sata </w:t>
      </w:r>
      <w:r w:rsidRPr="001202A2">
        <w:rPr>
          <w:rFonts w:eastAsia="TimesNewRoman"/>
          <w:szCs w:val="22"/>
          <w:lang w:val="sr-Latn-ME"/>
        </w:rPr>
        <w:t>pr</w:t>
      </w:r>
      <w:r w:rsidR="00E160D4" w:rsidRPr="001202A2">
        <w:rPr>
          <w:rFonts w:eastAsia="TimesNewRoman"/>
          <w:szCs w:val="22"/>
          <w:lang w:val="sr-Latn-ME"/>
        </w:rPr>
        <w:t>ij</w:t>
      </w:r>
      <w:r w:rsidRPr="001202A2">
        <w:rPr>
          <w:rFonts w:eastAsia="TimesNewRoman"/>
          <w:szCs w:val="22"/>
          <w:lang w:val="sr-Latn-ME"/>
        </w:rPr>
        <w:t>e kardioverzije, kako bi se osigurala odgovarajuća antikoagulacija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djelove</w:t>
      </w:r>
      <w:r w:rsidRPr="001202A2">
        <w:rPr>
          <w:rFonts w:eastAsia="TimesNewRoman"/>
          <w:szCs w:val="22"/>
          <w:lang w:val="sr-Latn-ME"/>
        </w:rPr>
        <w:t xml:space="preserve"> 5.1 i 5.2). Kardioverziju treba sprovesti unutar 12 sati </w:t>
      </w:r>
      <w:r w:rsidR="00165684" w:rsidRPr="001202A2">
        <w:rPr>
          <w:rFonts w:eastAsia="TimesNewRoman"/>
          <w:szCs w:val="22"/>
          <w:lang w:val="sr-Latn-ME"/>
        </w:rPr>
        <w:t>od</w:t>
      </w:r>
      <w:r w:rsidRPr="001202A2">
        <w:rPr>
          <w:rFonts w:eastAsia="TimesNewRoman"/>
          <w:szCs w:val="22"/>
          <w:lang w:val="sr-Latn-ME"/>
        </w:rPr>
        <w:t xml:space="preserve"> prim</w:t>
      </w:r>
      <w:r w:rsidR="003C48F6" w:rsidRPr="001202A2">
        <w:rPr>
          <w:rFonts w:eastAsia="TimesNewRoman"/>
          <w:szCs w:val="22"/>
          <w:lang w:val="sr-Latn-ME"/>
        </w:rPr>
        <w:t>j</w:t>
      </w:r>
      <w:r w:rsidRPr="001202A2">
        <w:rPr>
          <w:rFonts w:eastAsia="TimesNewRoman"/>
          <w:szCs w:val="22"/>
          <w:lang w:val="sr-Latn-ME"/>
        </w:rPr>
        <w:t>ene doze l</w:t>
      </w:r>
      <w:r w:rsidR="003C48F6" w:rsidRPr="001202A2">
        <w:rPr>
          <w:rFonts w:eastAsia="TimesNewRoman"/>
          <w:szCs w:val="22"/>
          <w:lang w:val="sr-Latn-ME"/>
        </w:rPr>
        <w:t>ij</w:t>
      </w:r>
      <w:r w:rsidRPr="001202A2">
        <w:rPr>
          <w:rFonts w:eastAsia="TimesNewRoman"/>
          <w:szCs w:val="22"/>
          <w:lang w:val="sr-Latn-ME"/>
        </w:rPr>
        <w:t xml:space="preserve">eka </w:t>
      </w:r>
      <w:r w:rsidR="00165684" w:rsidRPr="001202A2">
        <w:rPr>
          <w:rFonts w:eastAsia="TimesNewRoman"/>
          <w:szCs w:val="22"/>
          <w:lang w:val="sr-Latn-ME"/>
        </w:rPr>
        <w:t>Oxaway</w:t>
      </w:r>
      <w:r w:rsidRPr="001202A2">
        <w:rPr>
          <w:rFonts w:eastAsia="TimesNewRoman"/>
          <w:szCs w:val="22"/>
          <w:lang w:val="sr-Latn-ME"/>
        </w:rPr>
        <w:t xml:space="preserve"> na dan postupka.</w:t>
      </w:r>
    </w:p>
    <w:p w14:paraId="6B10EDE2" w14:textId="27A5262C" w:rsidR="008572B4" w:rsidRPr="001202A2" w:rsidRDefault="008572B4" w:rsidP="00480B31">
      <w:pPr>
        <w:tabs>
          <w:tab w:val="clear" w:pos="284"/>
        </w:tabs>
        <w:autoSpaceDE w:val="0"/>
        <w:autoSpaceDN w:val="0"/>
        <w:adjustRightInd w:val="0"/>
        <w:rPr>
          <w:rFonts w:eastAsia="TimesNewRoman"/>
          <w:szCs w:val="22"/>
          <w:lang w:val="sr-Latn-ME"/>
        </w:rPr>
      </w:pPr>
      <w:r w:rsidRPr="001202A2">
        <w:rPr>
          <w:rFonts w:eastAsia="TimesNewRoman"/>
          <w:b/>
          <w:bCs/>
          <w:szCs w:val="22"/>
          <w:lang w:val="sr-Latn-ME"/>
        </w:rPr>
        <w:t>Za sve pacijente koji će biti podvrgnuti kardioverzij</w:t>
      </w:r>
      <w:r w:rsidR="00165684" w:rsidRPr="001202A2">
        <w:rPr>
          <w:rFonts w:eastAsia="TimesNewRoman"/>
          <w:b/>
          <w:bCs/>
          <w:szCs w:val="22"/>
          <w:lang w:val="sr-Latn-ME"/>
        </w:rPr>
        <w:t>i</w:t>
      </w:r>
      <w:r w:rsidRPr="001202A2">
        <w:rPr>
          <w:rFonts w:eastAsia="TimesNewRoman"/>
          <w:b/>
          <w:bCs/>
          <w:szCs w:val="22"/>
          <w:lang w:val="sr-Latn-ME"/>
        </w:rPr>
        <w:t xml:space="preserve">: </w:t>
      </w:r>
      <w:r w:rsidRPr="001202A2">
        <w:rPr>
          <w:rFonts w:eastAsia="TimesNewRoman"/>
          <w:szCs w:val="22"/>
          <w:lang w:val="sr-Latn-ME"/>
        </w:rPr>
        <w:t>Pr</w:t>
      </w:r>
      <w:r w:rsidR="003C48F6" w:rsidRPr="001202A2">
        <w:rPr>
          <w:rFonts w:eastAsia="TimesNewRoman"/>
          <w:szCs w:val="22"/>
          <w:lang w:val="sr-Latn-ME"/>
        </w:rPr>
        <w:t>ij</w:t>
      </w:r>
      <w:r w:rsidRPr="001202A2">
        <w:rPr>
          <w:rFonts w:eastAsia="TimesNewRoman"/>
          <w:szCs w:val="22"/>
          <w:lang w:val="sr-Latn-ME"/>
        </w:rPr>
        <w:t>e postupka kardioverzije potrebno je potvrditi da je pacijent uzeo l</w:t>
      </w:r>
      <w:r w:rsidR="003C48F6" w:rsidRPr="001202A2">
        <w:rPr>
          <w:rFonts w:eastAsia="TimesNewRoman"/>
          <w:szCs w:val="22"/>
          <w:lang w:val="sr-Latn-ME"/>
        </w:rPr>
        <w:t>ij</w:t>
      </w:r>
      <w:r w:rsidRPr="001202A2">
        <w:rPr>
          <w:rFonts w:eastAsia="TimesNewRoman"/>
          <w:szCs w:val="22"/>
          <w:lang w:val="sr-Latn-ME"/>
        </w:rPr>
        <w:t xml:space="preserve">ek </w:t>
      </w:r>
      <w:r w:rsidR="00165684" w:rsidRPr="001202A2">
        <w:rPr>
          <w:rFonts w:eastAsia="TimesNewRoman"/>
          <w:szCs w:val="22"/>
          <w:lang w:val="sr-Latn-ME"/>
        </w:rPr>
        <w:t xml:space="preserve">Oxaway </w:t>
      </w:r>
      <w:r w:rsidRPr="001202A2">
        <w:rPr>
          <w:rFonts w:eastAsia="TimesNewRoman"/>
          <w:szCs w:val="22"/>
          <w:lang w:val="sr-Latn-ME"/>
        </w:rPr>
        <w:t>kako je propisano. Kod pacijenata koji će biti podvrgnuti postupku kardioverzije, pri odlučivanju o početku i trajanju l</w:t>
      </w:r>
      <w:r w:rsidR="003C48F6" w:rsidRPr="001202A2">
        <w:rPr>
          <w:rFonts w:eastAsia="TimesNewRoman"/>
          <w:szCs w:val="22"/>
          <w:lang w:val="sr-Latn-ME"/>
        </w:rPr>
        <w:t>ij</w:t>
      </w:r>
      <w:r w:rsidRPr="001202A2">
        <w:rPr>
          <w:rFonts w:eastAsia="TimesNewRoman"/>
          <w:szCs w:val="22"/>
          <w:lang w:val="sr-Latn-ME"/>
        </w:rPr>
        <w:t>ečenja treba se rukovoditi ustanovljenim sm</w:t>
      </w:r>
      <w:r w:rsidR="003C48F6" w:rsidRPr="001202A2">
        <w:rPr>
          <w:rFonts w:eastAsia="TimesNewRoman"/>
          <w:szCs w:val="22"/>
          <w:lang w:val="sr-Latn-ME"/>
        </w:rPr>
        <w:t>j</w:t>
      </w:r>
      <w:r w:rsidRPr="001202A2">
        <w:rPr>
          <w:rFonts w:eastAsia="TimesNewRoman"/>
          <w:szCs w:val="22"/>
          <w:lang w:val="sr-Latn-ME"/>
        </w:rPr>
        <w:t>ernicama za antikoagula</w:t>
      </w:r>
      <w:r w:rsidR="00165684" w:rsidRPr="001202A2">
        <w:rPr>
          <w:rFonts w:eastAsia="TimesNewRoman"/>
          <w:szCs w:val="22"/>
          <w:lang w:val="sr-Latn-ME"/>
        </w:rPr>
        <w:t>ntnu terapiju</w:t>
      </w:r>
      <w:r w:rsidRPr="001202A2">
        <w:rPr>
          <w:rFonts w:eastAsia="TimesNewRoman"/>
          <w:szCs w:val="22"/>
          <w:lang w:val="sr-Latn-ME"/>
        </w:rPr>
        <w:t>.</w:t>
      </w:r>
    </w:p>
    <w:p w14:paraId="05B63D34"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3724D4BE" w14:textId="7B034C3D" w:rsidR="00813187" w:rsidRPr="001202A2" w:rsidRDefault="007302DC" w:rsidP="00480B31">
      <w:pPr>
        <w:rPr>
          <w:szCs w:val="22"/>
          <w:u w:val="single"/>
          <w:lang w:val="sr-Latn-ME"/>
        </w:rPr>
      </w:pPr>
      <w:r w:rsidRPr="001202A2">
        <w:rPr>
          <w:szCs w:val="22"/>
          <w:u w:val="single"/>
          <w:lang w:val="sr-Latn-ME"/>
        </w:rPr>
        <w:t>Način prim</w:t>
      </w:r>
      <w:r w:rsidR="003C48F6" w:rsidRPr="001202A2">
        <w:rPr>
          <w:szCs w:val="22"/>
          <w:u w:val="single"/>
          <w:lang w:val="sr-Latn-ME"/>
        </w:rPr>
        <w:t>j</w:t>
      </w:r>
      <w:r w:rsidRPr="001202A2">
        <w:rPr>
          <w:szCs w:val="22"/>
          <w:u w:val="single"/>
          <w:lang w:val="sr-Latn-ME"/>
        </w:rPr>
        <w:t>ene</w:t>
      </w:r>
    </w:p>
    <w:p w14:paraId="116C4984" w14:textId="77777777" w:rsidR="002E04FB" w:rsidRPr="001202A2" w:rsidRDefault="002E04F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Oralna upotreba.</w:t>
      </w:r>
    </w:p>
    <w:p w14:paraId="024CFB56" w14:textId="1A6781DE" w:rsidR="002E04FB" w:rsidRPr="001202A2" w:rsidRDefault="002E04F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može uzimati uz obrok ili nezavisno od njega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dio</w:t>
      </w:r>
      <w:r w:rsidRPr="001202A2">
        <w:rPr>
          <w:rFonts w:eastAsia="TimesNewRoman"/>
          <w:szCs w:val="22"/>
          <w:lang w:val="sr-Latn-ME"/>
        </w:rPr>
        <w:t xml:space="preserve"> 5.2).</w:t>
      </w:r>
    </w:p>
    <w:p w14:paraId="0FEDDDE5"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27B3E56C" w14:textId="77777777" w:rsidR="00CC74B9" w:rsidRPr="001202A2" w:rsidRDefault="00CC74B9" w:rsidP="00CC74B9">
      <w:pPr>
        <w:tabs>
          <w:tab w:val="clear" w:pos="284"/>
        </w:tabs>
        <w:autoSpaceDE w:val="0"/>
        <w:autoSpaceDN w:val="0"/>
        <w:adjustRightInd w:val="0"/>
        <w:rPr>
          <w:rFonts w:eastAsia="TimesNewRoman"/>
          <w:szCs w:val="22"/>
          <w:lang w:val="sr-Latn-ME"/>
        </w:rPr>
      </w:pPr>
      <w:r w:rsidRPr="001202A2">
        <w:rPr>
          <w:szCs w:val="22"/>
          <w:lang w:val="sr-Latn-ME"/>
        </w:rPr>
        <w:t>Ako pacijenti ne mogu progutati cijelu tabletu, lijek Oxaway se može zdrobiti i izmiješati sa 75 ml vode ili 2 kašike (30 ml) pirea od jabuka i odmah primijeniti oralno (vidjeti dio 5.2).</w:t>
      </w:r>
    </w:p>
    <w:p w14:paraId="3B751C54" w14:textId="77777777" w:rsidR="00CC74B9" w:rsidRPr="001202A2" w:rsidRDefault="00CC74B9" w:rsidP="00CC74B9">
      <w:pPr>
        <w:tabs>
          <w:tab w:val="clear" w:pos="284"/>
        </w:tabs>
        <w:autoSpaceDE w:val="0"/>
        <w:autoSpaceDN w:val="0"/>
        <w:adjustRightInd w:val="0"/>
        <w:rPr>
          <w:szCs w:val="22"/>
          <w:lang w:val="sr-Latn-ME"/>
        </w:rPr>
      </w:pPr>
      <w:r w:rsidRPr="001202A2">
        <w:rPr>
          <w:szCs w:val="22"/>
          <w:lang w:val="sr-Latn-ME"/>
        </w:rPr>
        <w:t>Kao druga mogućnost, lijek Oxaway se može zdrobiti i suspendovati u 75 ml vode i odmah primijeniti kroz nazogastričnu sondu ili želudačnu sondu za hranjenje, koju nakon toga treba isprati sa 55 ml vode (vidjeti dio 5.2). Zdrobljene tablete lijeka Oxaway stabilne su u vodi i pireu od jabuka do 4 sata.</w:t>
      </w:r>
    </w:p>
    <w:p w14:paraId="2BB2A8C3" w14:textId="77777777" w:rsidR="00CC74B9" w:rsidRPr="001202A2" w:rsidRDefault="00CC74B9" w:rsidP="00480B31">
      <w:pPr>
        <w:tabs>
          <w:tab w:val="clear" w:pos="284"/>
        </w:tabs>
        <w:autoSpaceDE w:val="0"/>
        <w:autoSpaceDN w:val="0"/>
        <w:adjustRightInd w:val="0"/>
        <w:rPr>
          <w:rFonts w:eastAsia="TimesNewRoman"/>
          <w:szCs w:val="22"/>
          <w:lang w:val="sr-Latn-ME"/>
        </w:rPr>
      </w:pPr>
    </w:p>
    <w:p w14:paraId="3D710F73" w14:textId="4890C48F" w:rsidR="00CE09F3" w:rsidRPr="001202A2" w:rsidRDefault="00CE09F3" w:rsidP="00480B31">
      <w:pPr>
        <w:pStyle w:val="ListParagraph"/>
        <w:numPr>
          <w:ilvl w:val="1"/>
          <w:numId w:val="12"/>
        </w:numPr>
        <w:rPr>
          <w:b/>
          <w:bCs/>
          <w:szCs w:val="22"/>
          <w:lang w:val="sr-Latn-ME"/>
        </w:rPr>
      </w:pPr>
      <w:r w:rsidRPr="001202A2">
        <w:rPr>
          <w:b/>
          <w:bCs/>
          <w:szCs w:val="22"/>
          <w:lang w:val="sr-Latn-ME"/>
        </w:rPr>
        <w:t>Kontraindikacije</w:t>
      </w:r>
    </w:p>
    <w:p w14:paraId="072C5C80" w14:textId="77777777" w:rsidR="00813187" w:rsidRPr="001202A2" w:rsidRDefault="00813187" w:rsidP="00480B31">
      <w:pPr>
        <w:pStyle w:val="ListParagraph"/>
        <w:ind w:left="765"/>
        <w:rPr>
          <w:b/>
          <w:bCs/>
          <w:szCs w:val="22"/>
          <w:lang w:val="sr-Latn-ME"/>
        </w:rPr>
      </w:pPr>
    </w:p>
    <w:p w14:paraId="6885F8E0" w14:textId="70F1E77F" w:rsidR="000F4421" w:rsidRPr="001202A2" w:rsidRDefault="000F4421" w:rsidP="00480B31">
      <w:pPr>
        <w:pStyle w:val="ListParagraph"/>
        <w:numPr>
          <w:ilvl w:val="0"/>
          <w:numId w:val="8"/>
        </w:num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Preos</w:t>
      </w:r>
      <w:r w:rsidR="003C48F6" w:rsidRPr="001202A2">
        <w:rPr>
          <w:rFonts w:eastAsia="TimesNewRoman"/>
          <w:szCs w:val="22"/>
          <w:lang w:val="sr-Latn-ME"/>
        </w:rPr>
        <w:t>j</w:t>
      </w:r>
      <w:r w:rsidRPr="001202A2">
        <w:rPr>
          <w:rFonts w:eastAsia="TimesNewRoman"/>
          <w:szCs w:val="22"/>
          <w:lang w:val="sr-Latn-ME"/>
        </w:rPr>
        <w:t xml:space="preserve">etljivost na aktivnu supstancu ili na bilo koju od pomoćnih supstanci navedenih u </w:t>
      </w:r>
      <w:r w:rsidR="003C48F6" w:rsidRPr="001202A2">
        <w:rPr>
          <w:rFonts w:eastAsia="TimesNewRoman"/>
          <w:szCs w:val="22"/>
          <w:lang w:val="sr-Latn-ME"/>
        </w:rPr>
        <w:t>dijelu</w:t>
      </w:r>
      <w:r w:rsidRPr="001202A2">
        <w:rPr>
          <w:rFonts w:eastAsia="TimesNewRoman"/>
          <w:szCs w:val="22"/>
          <w:lang w:val="sr-Latn-ME"/>
        </w:rPr>
        <w:t xml:space="preserve"> 6.1.</w:t>
      </w:r>
    </w:p>
    <w:p w14:paraId="695DBCCF" w14:textId="77777777" w:rsidR="000F4421" w:rsidRPr="001202A2" w:rsidRDefault="000F4421" w:rsidP="00480B31">
      <w:pPr>
        <w:pStyle w:val="ListParagraph"/>
        <w:numPr>
          <w:ilvl w:val="0"/>
          <w:numId w:val="8"/>
        </w:num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Klinički značajno aktivno krvarenje.</w:t>
      </w:r>
    </w:p>
    <w:p w14:paraId="044E1216" w14:textId="77777777" w:rsidR="000F4421" w:rsidRPr="001202A2" w:rsidRDefault="000F4421" w:rsidP="00480B31">
      <w:pPr>
        <w:pStyle w:val="ListParagraph"/>
        <w:numPr>
          <w:ilvl w:val="0"/>
          <w:numId w:val="8"/>
        </w:num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Bolest jetre povezana sa koagulopatijom i klinički značajnim rizikom od krvarenja.</w:t>
      </w:r>
    </w:p>
    <w:p w14:paraId="21CB5B4A" w14:textId="218A1E65" w:rsidR="000F4421" w:rsidRPr="001202A2" w:rsidRDefault="000F4421" w:rsidP="00480B31">
      <w:pPr>
        <w:pStyle w:val="ListParagraph"/>
        <w:numPr>
          <w:ilvl w:val="0"/>
          <w:numId w:val="8"/>
        </w:numPr>
        <w:tabs>
          <w:tab w:val="clear" w:pos="284"/>
        </w:tabs>
        <w:autoSpaceDE w:val="0"/>
        <w:autoSpaceDN w:val="0"/>
        <w:adjustRightInd w:val="0"/>
        <w:rPr>
          <w:rFonts w:eastAsia="TimesNewRoman"/>
          <w:szCs w:val="22"/>
          <w:lang w:val="sr-Latn-ME"/>
        </w:rPr>
      </w:pPr>
      <w:r w:rsidRPr="001202A2">
        <w:rPr>
          <w:rFonts w:eastAsia="TimesNewRoman"/>
          <w:szCs w:val="22"/>
          <w:lang w:val="sr-Latn-ME"/>
        </w:rPr>
        <w:lastRenderedPageBreak/>
        <w:t xml:space="preserve">Lezija ili stanje, ukoliko se smatra da nosi značajan rizik od </w:t>
      </w:r>
      <w:r w:rsidR="001123CD" w:rsidRPr="001202A2">
        <w:rPr>
          <w:rFonts w:eastAsia="TimesNewRoman"/>
          <w:szCs w:val="22"/>
          <w:lang w:val="sr-Latn-ME"/>
        </w:rPr>
        <w:t>ozbiljnog</w:t>
      </w:r>
      <w:r w:rsidRPr="001202A2">
        <w:rPr>
          <w:rFonts w:eastAsia="TimesNewRoman"/>
          <w:szCs w:val="22"/>
          <w:lang w:val="sr-Latn-ME"/>
        </w:rPr>
        <w:t xml:space="preserve"> krvarenja. To može uključivati postojeći ili nedavni gastrointestinalni ulkus, prisustvo malignih neoplazmi sa visokim rizikom od krvarenja, nedavnu povredu mozga ili kičmene moždine, nedavnu hiruršku intervenciju na mozgu, kičmenoj moždini ili oku, nedavno intrakranijalno krvarenje, </w:t>
      </w:r>
      <w:r w:rsidR="00F962D1" w:rsidRPr="001202A2">
        <w:rPr>
          <w:rFonts w:eastAsia="TimesNewRoman"/>
          <w:szCs w:val="22"/>
          <w:lang w:val="sr-Latn-ME"/>
        </w:rPr>
        <w:t xml:space="preserve">potvrđene </w:t>
      </w:r>
      <w:r w:rsidRPr="001202A2">
        <w:rPr>
          <w:rFonts w:eastAsia="TimesNewRoman"/>
          <w:szCs w:val="22"/>
          <w:lang w:val="sr-Latn-ME"/>
        </w:rPr>
        <w:t xml:space="preserve">ili </w:t>
      </w:r>
      <w:r w:rsidR="00F962D1" w:rsidRPr="001202A2">
        <w:rPr>
          <w:rFonts w:eastAsia="TimesNewRoman"/>
          <w:szCs w:val="22"/>
          <w:lang w:val="sr-Latn-ME"/>
        </w:rPr>
        <w:t xml:space="preserve">suspektne varikozitete </w:t>
      </w:r>
      <w:r w:rsidRPr="001202A2">
        <w:rPr>
          <w:rFonts w:eastAsia="TimesNewRoman"/>
          <w:szCs w:val="22"/>
          <w:lang w:val="sr-Latn-ME"/>
        </w:rPr>
        <w:t>jednjaka, arteriovenske malformacije, vaskularne aneurizme ili velik</w:t>
      </w:r>
      <w:r w:rsidR="00F962D1" w:rsidRPr="001202A2">
        <w:rPr>
          <w:rFonts w:eastAsia="TimesNewRoman"/>
          <w:szCs w:val="22"/>
          <w:lang w:val="sr-Latn-ME"/>
        </w:rPr>
        <w:t>e</w:t>
      </w:r>
      <w:r w:rsidRPr="001202A2">
        <w:rPr>
          <w:rFonts w:eastAsia="TimesNewRoman"/>
          <w:szCs w:val="22"/>
          <w:lang w:val="sr-Latn-ME"/>
        </w:rPr>
        <w:t xml:space="preserve"> </w:t>
      </w:r>
      <w:r w:rsidR="00F962D1" w:rsidRPr="001202A2">
        <w:rPr>
          <w:rFonts w:eastAsia="TimesNewRoman"/>
          <w:szCs w:val="22"/>
          <w:lang w:val="sr-Latn-ME"/>
        </w:rPr>
        <w:t xml:space="preserve">intraspinalne </w:t>
      </w:r>
      <w:r w:rsidRPr="001202A2">
        <w:rPr>
          <w:rFonts w:eastAsia="TimesNewRoman"/>
          <w:szCs w:val="22"/>
          <w:lang w:val="sr-Latn-ME"/>
        </w:rPr>
        <w:t xml:space="preserve">i </w:t>
      </w:r>
      <w:r w:rsidR="00F962D1" w:rsidRPr="001202A2">
        <w:rPr>
          <w:rFonts w:eastAsia="TimesNewRoman"/>
          <w:szCs w:val="22"/>
          <w:lang w:val="sr-Latn-ME"/>
        </w:rPr>
        <w:t>intracerebralne vaskularne poremećaje</w:t>
      </w:r>
      <w:r w:rsidRPr="001202A2">
        <w:rPr>
          <w:rFonts w:eastAsia="TimesNewRoman"/>
          <w:szCs w:val="22"/>
          <w:lang w:val="sr-Latn-ME"/>
        </w:rPr>
        <w:t>.</w:t>
      </w:r>
    </w:p>
    <w:p w14:paraId="5CC3E393" w14:textId="77777777" w:rsidR="000F4421" w:rsidRPr="001202A2" w:rsidRDefault="000F4421" w:rsidP="00480B31">
      <w:pPr>
        <w:pStyle w:val="ListParagraph"/>
        <w:numPr>
          <w:ilvl w:val="0"/>
          <w:numId w:val="8"/>
        </w:numPr>
        <w:tabs>
          <w:tab w:val="clear" w:pos="284"/>
        </w:tabs>
        <w:autoSpaceDE w:val="0"/>
        <w:autoSpaceDN w:val="0"/>
        <w:adjustRightInd w:val="0"/>
        <w:rPr>
          <w:rFonts w:eastAsia="TimesNewRoman"/>
          <w:szCs w:val="22"/>
          <w:lang w:val="sr-Latn-ME"/>
        </w:rPr>
      </w:pPr>
      <w:r w:rsidRPr="001202A2">
        <w:rPr>
          <w:rFonts w:eastAsia="TimesNewRoman"/>
          <w:szCs w:val="22"/>
          <w:lang w:val="sr-Latn-ME"/>
        </w:rPr>
        <w:t>Nekontrolisana teška hipertenzija.</w:t>
      </w:r>
    </w:p>
    <w:p w14:paraId="7BB85750" w14:textId="68FEBB7D" w:rsidR="00FB2D4A" w:rsidRPr="001202A2" w:rsidRDefault="000F4421" w:rsidP="00480B31">
      <w:pPr>
        <w:pStyle w:val="ListParagraph"/>
        <w:numPr>
          <w:ilvl w:val="0"/>
          <w:numId w:val="8"/>
        </w:num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Istovremena terapija bilo kojim drugim antikoagulansima, npr. nefrakcionisanim heparinom (engl. </w:t>
      </w:r>
      <w:r w:rsidRPr="001202A2">
        <w:rPr>
          <w:rFonts w:eastAsia="TimesNewRoman"/>
          <w:i/>
          <w:iCs/>
          <w:szCs w:val="22"/>
          <w:lang w:val="sr-Latn-ME"/>
        </w:rPr>
        <w:t>unfractionated heparin</w:t>
      </w:r>
      <w:r w:rsidRPr="001202A2">
        <w:rPr>
          <w:rFonts w:eastAsia="TimesNewRoman"/>
          <w:szCs w:val="22"/>
          <w:lang w:val="sr-Latn-ME"/>
        </w:rPr>
        <w:t xml:space="preserve">, UFH), niskomolekularnim heparinima (engl. </w:t>
      </w:r>
      <w:r w:rsidRPr="001202A2">
        <w:rPr>
          <w:rFonts w:eastAsia="TimesNewRoman"/>
          <w:i/>
          <w:iCs/>
          <w:szCs w:val="22"/>
          <w:lang w:val="sr-Latn-ME"/>
        </w:rPr>
        <w:t>low molecular weight heparins</w:t>
      </w:r>
      <w:r w:rsidRPr="001202A2">
        <w:rPr>
          <w:rFonts w:eastAsia="TimesNewRoman"/>
          <w:szCs w:val="22"/>
          <w:lang w:val="sr-Latn-ME"/>
        </w:rPr>
        <w:t>, LMWH) (enoksaparin, dalteparin i drugi), derivatima heparina (fondaparinuks i drugi), oralnim antikoagulansima (varfarin, dabigatran</w:t>
      </w:r>
      <w:r w:rsidR="0013590E" w:rsidRPr="001202A2">
        <w:rPr>
          <w:rFonts w:eastAsia="TimesNewRoman"/>
          <w:szCs w:val="22"/>
          <w:lang w:val="sr-Latn-ME"/>
        </w:rPr>
        <w:t xml:space="preserve"> </w:t>
      </w:r>
      <w:r w:rsidRPr="001202A2">
        <w:rPr>
          <w:rFonts w:eastAsia="TimesNewRoman"/>
          <w:szCs w:val="22"/>
          <w:lang w:val="sr-Latn-ME"/>
        </w:rPr>
        <w:t>eteksilat, rivaroksaban, apiksaban i drugi)</w:t>
      </w:r>
      <w:r w:rsidR="0013590E" w:rsidRPr="001202A2">
        <w:rPr>
          <w:rFonts w:eastAsia="TimesNewRoman"/>
          <w:szCs w:val="22"/>
          <w:lang w:val="sr-Latn-ME"/>
        </w:rPr>
        <w:t xml:space="preserve">, </w:t>
      </w:r>
      <w:r w:rsidRPr="001202A2">
        <w:rPr>
          <w:rFonts w:eastAsia="TimesNewRoman"/>
          <w:szCs w:val="22"/>
          <w:lang w:val="sr-Latn-ME"/>
        </w:rPr>
        <w:t>osim u specifičnim situacijama kada se m</w:t>
      </w:r>
      <w:r w:rsidR="003C48F6" w:rsidRPr="001202A2">
        <w:rPr>
          <w:rFonts w:eastAsia="TimesNewRoman"/>
          <w:szCs w:val="22"/>
          <w:lang w:val="sr-Latn-ME"/>
        </w:rPr>
        <w:t>ij</w:t>
      </w:r>
      <w:r w:rsidRPr="001202A2">
        <w:rPr>
          <w:rFonts w:eastAsia="TimesNewRoman"/>
          <w:szCs w:val="22"/>
          <w:lang w:val="sr-Latn-ME"/>
        </w:rPr>
        <w:t>enja oralna antikoagula</w:t>
      </w:r>
      <w:r w:rsidR="0013590E" w:rsidRPr="001202A2">
        <w:rPr>
          <w:rFonts w:eastAsia="TimesNewRoman"/>
          <w:szCs w:val="22"/>
          <w:lang w:val="sr-Latn-ME"/>
        </w:rPr>
        <w:t>ntna</w:t>
      </w:r>
      <w:r w:rsidRPr="001202A2">
        <w:rPr>
          <w:rFonts w:eastAsia="TimesNewRoman"/>
          <w:szCs w:val="22"/>
          <w:lang w:val="sr-Latn-ME"/>
        </w:rPr>
        <w:t xml:space="preserve"> terapija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dio</w:t>
      </w:r>
      <w:r w:rsidRPr="001202A2">
        <w:rPr>
          <w:rFonts w:eastAsia="TimesNewRoman"/>
          <w:szCs w:val="22"/>
          <w:lang w:val="sr-Latn-ME"/>
        </w:rPr>
        <w:t xml:space="preserve"> 4.2) ili kada se UFH daje u dozama potrebnim za održavanje prohodnosti centralnog venskog ili arterijskog katetera</w:t>
      </w:r>
      <w:r w:rsidR="0013590E" w:rsidRPr="001202A2">
        <w:rPr>
          <w:rFonts w:eastAsia="TimesNewRoman"/>
          <w:szCs w:val="22"/>
          <w:lang w:val="sr-Latn-ME"/>
        </w:rPr>
        <w:t>.</w:t>
      </w:r>
    </w:p>
    <w:p w14:paraId="544ACA51" w14:textId="35B76194" w:rsidR="0013590E" w:rsidRPr="001202A2" w:rsidRDefault="0013590E" w:rsidP="00480B31">
      <w:pPr>
        <w:pStyle w:val="ListParagraph"/>
        <w:numPr>
          <w:ilvl w:val="0"/>
          <w:numId w:val="8"/>
        </w:numPr>
        <w:tabs>
          <w:tab w:val="clear" w:pos="284"/>
        </w:tabs>
        <w:autoSpaceDE w:val="0"/>
        <w:autoSpaceDN w:val="0"/>
        <w:adjustRightInd w:val="0"/>
        <w:rPr>
          <w:rFonts w:eastAsia="TimesNewRoman"/>
          <w:szCs w:val="22"/>
          <w:lang w:val="sr-Latn-ME"/>
        </w:rPr>
      </w:pPr>
      <w:r w:rsidRPr="001202A2">
        <w:rPr>
          <w:rFonts w:eastAsia="TimesNewRoman"/>
          <w:szCs w:val="22"/>
          <w:lang w:val="sr-Latn-ME"/>
        </w:rPr>
        <w:t>Trudnoća i dojenje</w:t>
      </w:r>
      <w:r w:rsidR="00342F8B" w:rsidRPr="001202A2">
        <w:rPr>
          <w:rFonts w:eastAsia="TimesNewRoman"/>
          <w:szCs w:val="22"/>
          <w:lang w:val="sr-Latn-ME"/>
        </w:rPr>
        <w:t xml:space="preserve"> (</w:t>
      </w:r>
      <w:r w:rsidR="00573DE3" w:rsidRPr="001202A2">
        <w:rPr>
          <w:rFonts w:eastAsia="TimesNewRoman"/>
          <w:szCs w:val="22"/>
          <w:lang w:val="sr-Latn-ME"/>
        </w:rPr>
        <w:t>vidjeti</w:t>
      </w:r>
      <w:r w:rsidR="00342F8B" w:rsidRPr="001202A2">
        <w:rPr>
          <w:rFonts w:eastAsia="TimesNewRoman"/>
          <w:szCs w:val="22"/>
          <w:lang w:val="sr-Latn-ME"/>
        </w:rPr>
        <w:t xml:space="preserve"> </w:t>
      </w:r>
      <w:r w:rsidR="00573DE3" w:rsidRPr="001202A2">
        <w:rPr>
          <w:rFonts w:eastAsia="TimesNewRoman"/>
          <w:szCs w:val="22"/>
          <w:lang w:val="sr-Latn-ME"/>
        </w:rPr>
        <w:t>dio</w:t>
      </w:r>
      <w:r w:rsidR="00342F8B" w:rsidRPr="001202A2">
        <w:rPr>
          <w:rFonts w:eastAsia="TimesNewRoman"/>
          <w:szCs w:val="22"/>
          <w:lang w:val="sr-Latn-ME"/>
        </w:rPr>
        <w:t xml:space="preserve"> 4.6)</w:t>
      </w:r>
      <w:r w:rsidRPr="001202A2">
        <w:rPr>
          <w:rFonts w:eastAsia="TimesNewRoman"/>
          <w:szCs w:val="22"/>
          <w:lang w:val="sr-Latn-ME"/>
        </w:rPr>
        <w:t>.</w:t>
      </w:r>
    </w:p>
    <w:p w14:paraId="5727414F" w14:textId="77777777" w:rsidR="00813187" w:rsidRPr="001202A2" w:rsidRDefault="00813187" w:rsidP="00480B31">
      <w:pPr>
        <w:pStyle w:val="ListParagraph"/>
        <w:tabs>
          <w:tab w:val="clear" w:pos="284"/>
        </w:tabs>
        <w:autoSpaceDE w:val="0"/>
        <w:autoSpaceDN w:val="0"/>
        <w:adjustRightInd w:val="0"/>
        <w:rPr>
          <w:rFonts w:eastAsia="TimesNewRoman"/>
          <w:szCs w:val="22"/>
          <w:lang w:val="sr-Latn-ME"/>
        </w:rPr>
      </w:pPr>
    </w:p>
    <w:p w14:paraId="3D710F7F" w14:textId="74D17A49" w:rsidR="00CE09F3" w:rsidRPr="001202A2" w:rsidRDefault="00CE09F3" w:rsidP="00480B31">
      <w:pPr>
        <w:pStyle w:val="ListParagraph"/>
        <w:numPr>
          <w:ilvl w:val="1"/>
          <w:numId w:val="12"/>
        </w:numPr>
        <w:rPr>
          <w:b/>
          <w:bCs/>
          <w:szCs w:val="22"/>
          <w:lang w:val="sr-Latn-ME"/>
        </w:rPr>
      </w:pPr>
      <w:r w:rsidRPr="001202A2">
        <w:rPr>
          <w:b/>
          <w:bCs/>
          <w:szCs w:val="22"/>
          <w:lang w:val="sr-Latn-ME"/>
        </w:rPr>
        <w:t>Posebna upozorenja i m</w:t>
      </w:r>
      <w:r w:rsidR="003C48F6" w:rsidRPr="001202A2">
        <w:rPr>
          <w:b/>
          <w:bCs/>
          <w:szCs w:val="22"/>
          <w:lang w:val="sr-Latn-ME"/>
        </w:rPr>
        <w:t>j</w:t>
      </w:r>
      <w:r w:rsidRPr="001202A2">
        <w:rPr>
          <w:b/>
          <w:bCs/>
          <w:szCs w:val="22"/>
          <w:lang w:val="sr-Latn-ME"/>
        </w:rPr>
        <w:t>ere opreza pri upotrebi l</w:t>
      </w:r>
      <w:r w:rsidR="003C48F6" w:rsidRPr="001202A2">
        <w:rPr>
          <w:b/>
          <w:bCs/>
          <w:szCs w:val="22"/>
          <w:lang w:val="sr-Latn-ME"/>
        </w:rPr>
        <w:t>ij</w:t>
      </w:r>
      <w:r w:rsidRPr="001202A2">
        <w:rPr>
          <w:b/>
          <w:bCs/>
          <w:szCs w:val="22"/>
          <w:lang w:val="sr-Latn-ME"/>
        </w:rPr>
        <w:t>eka</w:t>
      </w:r>
    </w:p>
    <w:p w14:paraId="1D0C8F51" w14:textId="77777777" w:rsidR="00813187" w:rsidRPr="001202A2" w:rsidRDefault="00813187" w:rsidP="00480B31">
      <w:pPr>
        <w:pStyle w:val="ListParagraph"/>
        <w:ind w:left="765"/>
        <w:rPr>
          <w:b/>
          <w:bCs/>
          <w:szCs w:val="22"/>
          <w:lang w:val="sr-Latn-ME"/>
        </w:rPr>
      </w:pPr>
    </w:p>
    <w:p w14:paraId="143AD1CA" w14:textId="52DE068A" w:rsidR="0013590E" w:rsidRPr="001202A2" w:rsidRDefault="0013590E"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u dozi od 15 mg nije indikovan kao monoterapija, jer može dovesti do smanjene efikasnosti. Ova jačina l</w:t>
      </w:r>
      <w:r w:rsidR="003C48F6" w:rsidRPr="001202A2">
        <w:rPr>
          <w:rFonts w:eastAsia="TimesNewRoman"/>
          <w:szCs w:val="22"/>
          <w:lang w:val="sr-Latn-ME"/>
        </w:rPr>
        <w:t>ij</w:t>
      </w:r>
      <w:r w:rsidRPr="001202A2">
        <w:rPr>
          <w:rFonts w:eastAsia="TimesNewRoman"/>
          <w:szCs w:val="22"/>
          <w:lang w:val="sr-Latn-ME"/>
        </w:rPr>
        <w:t xml:space="preserve">eka je indikovana samo tokom </w:t>
      </w:r>
      <w:r w:rsidR="00E20263" w:rsidRPr="001202A2">
        <w:rPr>
          <w:rFonts w:eastAsia="TimesNewRoman"/>
          <w:szCs w:val="22"/>
          <w:lang w:val="sr-Latn-ME"/>
        </w:rPr>
        <w:t>prelaska</w:t>
      </w:r>
      <w:r w:rsidRPr="001202A2">
        <w:rPr>
          <w:rFonts w:eastAsia="TimesNewRoman"/>
          <w:szCs w:val="22"/>
          <w:lang w:val="sr-Latn-ME"/>
        </w:rPr>
        <w:t xml:space="preserve"> pacijenta sa edoksabana u dozi od 30 mg na </w:t>
      </w:r>
      <w:r w:rsidR="00E20263" w:rsidRPr="001202A2">
        <w:rPr>
          <w:rFonts w:eastAsia="TimesNewRoman"/>
          <w:szCs w:val="22"/>
          <w:lang w:val="sr-Latn-ME"/>
        </w:rPr>
        <w:t>VKA</w:t>
      </w:r>
      <w:r w:rsidRPr="001202A2">
        <w:rPr>
          <w:rFonts w:eastAsia="TimesNewRoman"/>
          <w:szCs w:val="22"/>
          <w:lang w:val="sr-Latn-ME"/>
        </w:rPr>
        <w:t xml:space="preserve"> (pacijenti sa jednim ili više kliničkih </w:t>
      </w:r>
      <w:r w:rsidR="00E20263" w:rsidRPr="001202A2">
        <w:rPr>
          <w:rFonts w:eastAsia="TimesNewRoman"/>
          <w:szCs w:val="22"/>
          <w:lang w:val="sr-Latn-ME"/>
        </w:rPr>
        <w:t>faktora</w:t>
      </w:r>
      <w:r w:rsidRPr="001202A2">
        <w:rPr>
          <w:rFonts w:eastAsia="TimesNewRoman"/>
          <w:szCs w:val="22"/>
          <w:lang w:val="sr-Latn-ME"/>
        </w:rPr>
        <w:t xml:space="preserve"> za povećanu izloženost, vid</w:t>
      </w:r>
      <w:r w:rsidR="003C48F6" w:rsidRPr="001202A2">
        <w:rPr>
          <w:rFonts w:eastAsia="TimesNewRoman"/>
          <w:szCs w:val="22"/>
          <w:lang w:val="sr-Latn-ME"/>
        </w:rPr>
        <w:t>j</w:t>
      </w:r>
      <w:r w:rsidRPr="001202A2">
        <w:rPr>
          <w:rFonts w:eastAsia="TimesNewRoman"/>
          <w:szCs w:val="22"/>
          <w:lang w:val="sr-Latn-ME"/>
        </w:rPr>
        <w:t>et</w:t>
      </w:r>
      <w:r w:rsidR="00E20263" w:rsidRPr="001202A2">
        <w:rPr>
          <w:rFonts w:eastAsia="TimesNewRoman"/>
          <w:szCs w:val="22"/>
          <w:lang w:val="sr-Latn-ME"/>
        </w:rPr>
        <w:t>i</w:t>
      </w:r>
      <w:r w:rsidRPr="001202A2">
        <w:rPr>
          <w:rFonts w:eastAsia="TimesNewRoman"/>
          <w:szCs w:val="22"/>
          <w:lang w:val="sr-Latn-ME"/>
        </w:rPr>
        <w:t xml:space="preserve"> tabelu 1), </w:t>
      </w:r>
      <w:r w:rsidR="00E20263" w:rsidRPr="001202A2">
        <w:rPr>
          <w:rFonts w:eastAsia="TimesNewRoman"/>
          <w:szCs w:val="22"/>
          <w:lang w:val="sr-Latn-ME"/>
        </w:rPr>
        <w:t xml:space="preserve">uz </w:t>
      </w:r>
      <w:r w:rsidRPr="001202A2">
        <w:rPr>
          <w:rFonts w:eastAsia="TimesNewRoman"/>
          <w:szCs w:val="22"/>
          <w:lang w:val="sr-Latn-ME"/>
        </w:rPr>
        <w:t>odgovarajuć</w:t>
      </w:r>
      <w:r w:rsidR="00E20263" w:rsidRPr="001202A2">
        <w:rPr>
          <w:rFonts w:eastAsia="TimesNewRoman"/>
          <w:szCs w:val="22"/>
          <w:lang w:val="sr-Latn-ME"/>
        </w:rPr>
        <w:t>u</w:t>
      </w:r>
      <w:r w:rsidRPr="001202A2">
        <w:rPr>
          <w:rFonts w:eastAsia="TimesNewRoman"/>
          <w:szCs w:val="22"/>
          <w:lang w:val="sr-Latn-ME"/>
        </w:rPr>
        <w:t xml:space="preserve"> </w:t>
      </w:r>
      <w:r w:rsidR="00E20263" w:rsidRPr="001202A2">
        <w:rPr>
          <w:rFonts w:eastAsia="TimesNewRoman"/>
          <w:szCs w:val="22"/>
          <w:lang w:val="sr-Latn-ME"/>
        </w:rPr>
        <w:t>dozu</w:t>
      </w:r>
      <w:r w:rsidRPr="001202A2">
        <w:rPr>
          <w:rFonts w:eastAsia="TimesNewRoman"/>
          <w:szCs w:val="22"/>
          <w:lang w:val="sr-Latn-ME"/>
        </w:rPr>
        <w:t xml:space="preserve"> </w:t>
      </w:r>
      <w:r w:rsidR="00E20263" w:rsidRPr="001202A2">
        <w:rPr>
          <w:rFonts w:eastAsia="TimesNewRoman"/>
          <w:szCs w:val="22"/>
          <w:lang w:val="sr-Latn-ME"/>
        </w:rPr>
        <w:t>VKA</w:t>
      </w:r>
      <w:r w:rsidRPr="001202A2">
        <w:rPr>
          <w:rFonts w:eastAsia="TimesNewRoman"/>
          <w:szCs w:val="22"/>
          <w:lang w:val="sr-Latn-ME"/>
        </w:rPr>
        <w:t xml:space="preserve"> (vid</w:t>
      </w:r>
      <w:r w:rsidR="003C48F6" w:rsidRPr="001202A2">
        <w:rPr>
          <w:rFonts w:eastAsia="TimesNewRoman"/>
          <w:szCs w:val="22"/>
          <w:lang w:val="sr-Latn-ME"/>
        </w:rPr>
        <w:t>j</w:t>
      </w:r>
      <w:r w:rsidRPr="001202A2">
        <w:rPr>
          <w:rFonts w:eastAsia="TimesNewRoman"/>
          <w:szCs w:val="22"/>
          <w:lang w:val="sr-Latn-ME"/>
        </w:rPr>
        <w:t xml:space="preserve">eti tabelu 2, </w:t>
      </w:r>
      <w:r w:rsidR="003C48F6" w:rsidRPr="001202A2">
        <w:rPr>
          <w:rFonts w:eastAsia="TimesNewRoman"/>
          <w:szCs w:val="22"/>
          <w:lang w:val="sr-Latn-ME"/>
        </w:rPr>
        <w:t>dio</w:t>
      </w:r>
      <w:r w:rsidRPr="001202A2">
        <w:rPr>
          <w:rFonts w:eastAsia="TimesNewRoman"/>
          <w:szCs w:val="22"/>
          <w:lang w:val="sr-Latn-ME"/>
        </w:rPr>
        <w:t xml:space="preserve"> 4.2).</w:t>
      </w:r>
    </w:p>
    <w:p w14:paraId="2AADBB25"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2F8EF213" w14:textId="77777777" w:rsidR="0013590E" w:rsidRPr="001202A2" w:rsidRDefault="0013590E"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Rizik od krvarenja</w:t>
      </w:r>
    </w:p>
    <w:p w14:paraId="74629C73" w14:textId="7BE07755" w:rsidR="0013590E" w:rsidRPr="001202A2" w:rsidRDefault="0013590E"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povećava rizik od krvarenja i može uzrokovati</w:t>
      </w:r>
      <w:r w:rsidR="00F8598E" w:rsidRPr="001202A2">
        <w:rPr>
          <w:rFonts w:eastAsia="TimesNewRoman"/>
          <w:szCs w:val="22"/>
          <w:lang w:val="sr-Latn-ME"/>
        </w:rPr>
        <w:t xml:space="preserve"> teška</w:t>
      </w:r>
      <w:r w:rsidRPr="001202A2">
        <w:rPr>
          <w:rFonts w:eastAsia="TimesNewRoman"/>
          <w:szCs w:val="22"/>
          <w:lang w:val="sr-Latn-ME"/>
        </w:rPr>
        <w:t xml:space="preserve"> krvarenja, </w:t>
      </w:r>
      <w:r w:rsidR="00E20263" w:rsidRPr="001202A2">
        <w:rPr>
          <w:rFonts w:eastAsia="TimesNewRoman"/>
          <w:szCs w:val="22"/>
          <w:lang w:val="sr-Latn-ME"/>
        </w:rPr>
        <w:t>sa mogućim</w:t>
      </w:r>
      <w:r w:rsidRPr="001202A2">
        <w:rPr>
          <w:rFonts w:eastAsia="TimesNewRoman"/>
          <w:szCs w:val="22"/>
          <w:lang w:val="sr-Latn-ME"/>
        </w:rPr>
        <w:t xml:space="preserve"> smrtnim ishodom. </w:t>
      </w:r>
      <w:r w:rsidR="00E20263" w:rsidRPr="001202A2">
        <w:rPr>
          <w:rFonts w:eastAsia="TimesNewRoman"/>
          <w:szCs w:val="22"/>
          <w:lang w:val="sr-Latn-ME"/>
        </w:rPr>
        <w:t>Preporučuje se oprez prilikom p</w:t>
      </w:r>
      <w:r w:rsidRPr="001202A2">
        <w:rPr>
          <w:rFonts w:eastAsia="TimesNewRoman"/>
          <w:szCs w:val="22"/>
          <w:lang w:val="sr-Latn-ME"/>
        </w:rPr>
        <w:t>rim</w:t>
      </w:r>
      <w:r w:rsidR="003C48F6" w:rsidRPr="001202A2">
        <w:rPr>
          <w:rFonts w:eastAsia="TimesNewRoman"/>
          <w:szCs w:val="22"/>
          <w:lang w:val="sr-Latn-ME"/>
        </w:rPr>
        <w:t>j</w:t>
      </w:r>
      <w:r w:rsidRPr="001202A2">
        <w:rPr>
          <w:rFonts w:eastAsia="TimesNewRoman"/>
          <w:szCs w:val="22"/>
          <w:lang w:val="sr-Latn-ME"/>
        </w:rPr>
        <w:t>en</w:t>
      </w:r>
      <w:r w:rsidR="00E20263" w:rsidRPr="001202A2">
        <w:rPr>
          <w:rFonts w:eastAsia="TimesNewRoman"/>
          <w:szCs w:val="22"/>
          <w:lang w:val="sr-Latn-ME"/>
        </w:rPr>
        <w:t>e</w:t>
      </w:r>
      <w:r w:rsidRPr="001202A2">
        <w:rPr>
          <w:rFonts w:eastAsia="TimesNewRoman"/>
          <w:szCs w:val="22"/>
          <w:lang w:val="sr-Latn-ME"/>
        </w:rPr>
        <w:t xml:space="preserve"> edoksabana, kao i drugih antikoagulanasa, </w:t>
      </w:r>
      <w:r w:rsidR="00E20263" w:rsidRPr="001202A2">
        <w:rPr>
          <w:rFonts w:eastAsia="TimesNewRoman"/>
          <w:szCs w:val="22"/>
          <w:lang w:val="sr-Latn-ME"/>
        </w:rPr>
        <w:t>k</w:t>
      </w:r>
      <w:r w:rsidRPr="001202A2">
        <w:rPr>
          <w:rFonts w:eastAsia="TimesNewRoman"/>
          <w:szCs w:val="22"/>
          <w:lang w:val="sr-Latn-ME"/>
        </w:rPr>
        <w:t>od pacijenata sa povećanim rizikom od krvarenja. Prim</w:t>
      </w:r>
      <w:r w:rsidR="003C48F6" w:rsidRPr="001202A2">
        <w:rPr>
          <w:rFonts w:eastAsia="TimesNewRoman"/>
          <w:szCs w:val="22"/>
          <w:lang w:val="sr-Latn-ME"/>
        </w:rPr>
        <w:t>j</w:t>
      </w:r>
      <w:r w:rsidRPr="001202A2">
        <w:rPr>
          <w:rFonts w:eastAsia="TimesNewRoman"/>
          <w:szCs w:val="22"/>
          <w:lang w:val="sr-Latn-ME"/>
        </w:rPr>
        <w:t>en</w:t>
      </w:r>
      <w:r w:rsidR="00366E32" w:rsidRPr="001202A2">
        <w:rPr>
          <w:rFonts w:eastAsia="TimesNewRoman"/>
          <w:szCs w:val="22"/>
          <w:lang w:val="sr-Latn-ME"/>
        </w:rPr>
        <w:t>u</w:t>
      </w:r>
      <w:r w:rsidRPr="001202A2">
        <w:rPr>
          <w:rFonts w:eastAsia="TimesNewRoman"/>
          <w:szCs w:val="22"/>
          <w:lang w:val="sr-Latn-ME"/>
        </w:rPr>
        <w:t xml:space="preserve"> edoksabana </w:t>
      </w:r>
      <w:r w:rsidR="00366E32" w:rsidRPr="001202A2">
        <w:rPr>
          <w:rFonts w:eastAsia="TimesNewRoman"/>
          <w:szCs w:val="22"/>
          <w:lang w:val="sr-Latn-ME"/>
        </w:rPr>
        <w:t>treba</w:t>
      </w:r>
      <w:r w:rsidRPr="001202A2">
        <w:rPr>
          <w:rFonts w:eastAsia="TimesNewRoman"/>
          <w:szCs w:val="22"/>
          <w:lang w:val="sr-Latn-ME"/>
        </w:rPr>
        <w:t xml:space="preserve"> prekinuti u slučaju teškog krvarenja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djelove</w:t>
      </w:r>
      <w:r w:rsidRPr="001202A2">
        <w:rPr>
          <w:rFonts w:eastAsia="TimesNewRoman"/>
          <w:szCs w:val="22"/>
          <w:lang w:val="sr-Latn-ME"/>
        </w:rPr>
        <w:t xml:space="preserve"> 4.8 i 4.9).</w:t>
      </w:r>
    </w:p>
    <w:p w14:paraId="6D4EF289"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5912B2CB" w14:textId="04925CB4" w:rsidR="0013590E" w:rsidRPr="001202A2" w:rsidRDefault="0013590E"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kliničkim ispitivanjima</w:t>
      </w:r>
      <w:r w:rsidR="00F962D1" w:rsidRPr="001202A2">
        <w:rPr>
          <w:rFonts w:eastAsia="TimesNewRoman"/>
          <w:szCs w:val="22"/>
          <w:lang w:val="sr-Latn-ME"/>
        </w:rPr>
        <w:t>,</w:t>
      </w:r>
      <w:r w:rsidRPr="001202A2">
        <w:rPr>
          <w:rFonts w:eastAsia="TimesNewRoman"/>
          <w:szCs w:val="22"/>
          <w:lang w:val="sr-Latn-ME"/>
        </w:rPr>
        <w:t xml:space="preserve"> krvarenja iz sluzokoža (npr. epistaksa, gastrointestinalno, genitourinarno krvarenje) i anemija </w:t>
      </w:r>
      <w:r w:rsidR="00F962D1" w:rsidRPr="001202A2">
        <w:rPr>
          <w:rFonts w:eastAsia="TimesNewRoman"/>
          <w:szCs w:val="22"/>
          <w:lang w:val="sr-Latn-ME"/>
        </w:rPr>
        <w:t xml:space="preserve">bila </w:t>
      </w:r>
      <w:r w:rsidRPr="001202A2">
        <w:rPr>
          <w:rFonts w:eastAsia="TimesNewRoman"/>
          <w:szCs w:val="22"/>
          <w:lang w:val="sr-Latn-ME"/>
        </w:rPr>
        <w:t xml:space="preserve">su </w:t>
      </w:r>
      <w:r w:rsidR="00F962D1" w:rsidRPr="001202A2">
        <w:rPr>
          <w:rFonts w:eastAsia="TimesNewRoman"/>
          <w:szCs w:val="22"/>
          <w:lang w:val="sr-Latn-ME"/>
        </w:rPr>
        <w:t xml:space="preserve">češća </w:t>
      </w:r>
      <w:r w:rsidRPr="001202A2">
        <w:rPr>
          <w:rFonts w:eastAsia="TimesNewRoman"/>
          <w:szCs w:val="22"/>
          <w:lang w:val="sr-Latn-ME"/>
        </w:rPr>
        <w:t>tokom dugotrajnog l</w:t>
      </w:r>
      <w:r w:rsidR="003C48F6" w:rsidRPr="001202A2">
        <w:rPr>
          <w:rFonts w:eastAsia="TimesNewRoman"/>
          <w:szCs w:val="22"/>
          <w:lang w:val="sr-Latn-ME"/>
        </w:rPr>
        <w:t>ij</w:t>
      </w:r>
      <w:r w:rsidRPr="001202A2">
        <w:rPr>
          <w:rFonts w:eastAsia="TimesNewRoman"/>
          <w:szCs w:val="22"/>
          <w:lang w:val="sr-Latn-ME"/>
        </w:rPr>
        <w:t xml:space="preserve">ečenja edoksabanom u </w:t>
      </w:r>
      <w:r w:rsidR="000D1B67" w:rsidRPr="001202A2">
        <w:rPr>
          <w:rFonts w:eastAsia="TimesNewRoman"/>
          <w:szCs w:val="22"/>
          <w:lang w:val="sr-Latn-ME"/>
        </w:rPr>
        <w:t>odnosu</w:t>
      </w:r>
      <w:r w:rsidRPr="001202A2">
        <w:rPr>
          <w:rFonts w:eastAsia="TimesNewRoman"/>
          <w:szCs w:val="22"/>
          <w:lang w:val="sr-Latn-ME"/>
        </w:rPr>
        <w:t xml:space="preserve"> </w:t>
      </w:r>
      <w:r w:rsidR="000D1B67" w:rsidRPr="001202A2">
        <w:rPr>
          <w:rFonts w:eastAsia="TimesNewRoman"/>
          <w:szCs w:val="22"/>
          <w:lang w:val="sr-Latn-ME"/>
        </w:rPr>
        <w:t>na terapiju VKA</w:t>
      </w:r>
      <w:r w:rsidRPr="001202A2">
        <w:rPr>
          <w:rFonts w:eastAsia="TimesNewRoman"/>
          <w:szCs w:val="22"/>
          <w:lang w:val="sr-Latn-ME"/>
        </w:rPr>
        <w:t xml:space="preserve">. Iz tog razloga, osim </w:t>
      </w:r>
      <w:r w:rsidR="00A7674C" w:rsidRPr="001202A2">
        <w:rPr>
          <w:rFonts w:eastAsia="TimesNewRoman"/>
          <w:szCs w:val="22"/>
          <w:lang w:val="sr-Latn-ME"/>
        </w:rPr>
        <w:t>odgovarajućeg</w:t>
      </w:r>
      <w:r w:rsidRPr="001202A2">
        <w:rPr>
          <w:rFonts w:eastAsia="TimesNewRoman"/>
          <w:szCs w:val="22"/>
          <w:lang w:val="sr-Latn-ME"/>
        </w:rPr>
        <w:t xml:space="preserve"> kliničkog praćenja, laboratorijsko određivanje hemoglobina/hematokrita može biti značajno za otkrivanje okultnog krvarenja, ukoliko se proc</w:t>
      </w:r>
      <w:r w:rsidR="003C48F6" w:rsidRPr="001202A2">
        <w:rPr>
          <w:rFonts w:eastAsia="TimesNewRoman"/>
          <w:szCs w:val="22"/>
          <w:lang w:val="sr-Latn-ME"/>
        </w:rPr>
        <w:t>ij</w:t>
      </w:r>
      <w:r w:rsidRPr="001202A2">
        <w:rPr>
          <w:rFonts w:eastAsia="TimesNewRoman"/>
          <w:szCs w:val="22"/>
          <w:lang w:val="sr-Latn-ME"/>
        </w:rPr>
        <w:t>eni da je to adekvatno.</w:t>
      </w:r>
    </w:p>
    <w:p w14:paraId="7DFB0F0C"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7E7468F9" w14:textId="38AC6206" w:rsidR="0013590E" w:rsidRPr="001202A2" w:rsidRDefault="00A7674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Određene g</w:t>
      </w:r>
      <w:r w:rsidR="0013590E" w:rsidRPr="001202A2">
        <w:rPr>
          <w:rFonts w:eastAsia="TimesNewRoman"/>
          <w:szCs w:val="22"/>
          <w:lang w:val="sr-Latn-ME"/>
        </w:rPr>
        <w:t>rup</w:t>
      </w:r>
      <w:r w:rsidRPr="001202A2">
        <w:rPr>
          <w:rFonts w:eastAsia="TimesNewRoman"/>
          <w:szCs w:val="22"/>
          <w:lang w:val="sr-Latn-ME"/>
        </w:rPr>
        <w:t>e</w:t>
      </w:r>
      <w:r w:rsidR="0013590E" w:rsidRPr="001202A2">
        <w:rPr>
          <w:rFonts w:eastAsia="TimesNewRoman"/>
          <w:szCs w:val="22"/>
          <w:lang w:val="sr-Latn-ME"/>
        </w:rPr>
        <w:t xml:space="preserve"> pacijenata, </w:t>
      </w:r>
      <w:r w:rsidRPr="001202A2">
        <w:rPr>
          <w:rFonts w:eastAsia="TimesNewRoman"/>
          <w:szCs w:val="22"/>
          <w:lang w:val="sr-Latn-ME"/>
        </w:rPr>
        <w:t>koje su navedene u nastavku teksta</w:t>
      </w:r>
      <w:r w:rsidR="0013590E" w:rsidRPr="001202A2">
        <w:rPr>
          <w:rFonts w:eastAsia="TimesNewRoman"/>
          <w:szCs w:val="22"/>
          <w:lang w:val="sr-Latn-ME"/>
        </w:rPr>
        <w:t xml:space="preserve">, </w:t>
      </w:r>
      <w:r w:rsidRPr="001202A2">
        <w:rPr>
          <w:rFonts w:eastAsia="TimesNewRoman"/>
          <w:szCs w:val="22"/>
          <w:lang w:val="sr-Latn-ME"/>
        </w:rPr>
        <w:t>imaju</w:t>
      </w:r>
      <w:r w:rsidR="0013590E" w:rsidRPr="001202A2">
        <w:rPr>
          <w:rFonts w:eastAsia="TimesNewRoman"/>
          <w:szCs w:val="22"/>
          <w:lang w:val="sr-Latn-ME"/>
        </w:rPr>
        <w:t xml:space="preserve"> povećan rizik od krvarenja. </w:t>
      </w:r>
      <w:r w:rsidRPr="001202A2">
        <w:rPr>
          <w:rFonts w:eastAsia="TimesNewRoman"/>
          <w:szCs w:val="22"/>
          <w:lang w:val="sr-Latn-ME"/>
        </w:rPr>
        <w:t>Kod ovih</w:t>
      </w:r>
      <w:r w:rsidR="0013590E" w:rsidRPr="001202A2">
        <w:rPr>
          <w:rFonts w:eastAsia="TimesNewRoman"/>
          <w:szCs w:val="22"/>
          <w:lang w:val="sr-Latn-ME"/>
        </w:rPr>
        <w:t xml:space="preserve"> pacijen</w:t>
      </w:r>
      <w:r w:rsidRPr="001202A2">
        <w:rPr>
          <w:rFonts w:eastAsia="TimesNewRoman"/>
          <w:szCs w:val="22"/>
          <w:lang w:val="sr-Latn-ME"/>
        </w:rPr>
        <w:t>a</w:t>
      </w:r>
      <w:r w:rsidR="0013590E" w:rsidRPr="001202A2">
        <w:rPr>
          <w:rFonts w:eastAsia="TimesNewRoman"/>
          <w:szCs w:val="22"/>
          <w:lang w:val="sr-Latn-ME"/>
        </w:rPr>
        <w:t>t</w:t>
      </w:r>
      <w:r w:rsidRPr="001202A2">
        <w:rPr>
          <w:rFonts w:eastAsia="TimesNewRoman"/>
          <w:szCs w:val="22"/>
          <w:lang w:val="sr-Latn-ME"/>
        </w:rPr>
        <w:t>a</w:t>
      </w:r>
      <w:r w:rsidR="0013590E" w:rsidRPr="001202A2">
        <w:rPr>
          <w:rFonts w:eastAsia="TimesNewRoman"/>
          <w:szCs w:val="22"/>
          <w:lang w:val="sr-Latn-ME"/>
        </w:rPr>
        <w:t xml:space="preserve"> treba pažljivo pratiti </w:t>
      </w:r>
      <w:r w:rsidRPr="001202A2">
        <w:rPr>
          <w:rFonts w:eastAsia="TimesNewRoman"/>
          <w:szCs w:val="22"/>
          <w:lang w:val="sr-Latn-ME"/>
        </w:rPr>
        <w:t>p</w:t>
      </w:r>
      <w:r w:rsidR="0013590E" w:rsidRPr="001202A2">
        <w:rPr>
          <w:rFonts w:eastAsia="TimesNewRoman"/>
          <w:szCs w:val="22"/>
          <w:lang w:val="sr-Latn-ME"/>
        </w:rPr>
        <w:t>ojav</w:t>
      </w:r>
      <w:r w:rsidRPr="001202A2">
        <w:rPr>
          <w:rFonts w:eastAsia="TimesNewRoman"/>
          <w:szCs w:val="22"/>
          <w:lang w:val="sr-Latn-ME"/>
        </w:rPr>
        <w:t>u</w:t>
      </w:r>
      <w:r w:rsidR="0013590E" w:rsidRPr="001202A2">
        <w:rPr>
          <w:rFonts w:eastAsia="TimesNewRoman"/>
          <w:szCs w:val="22"/>
          <w:lang w:val="sr-Latn-ME"/>
        </w:rPr>
        <w:t xml:space="preserve"> znakova i simptoma komplikacija krvarenja i anemije </w:t>
      </w:r>
      <w:r w:rsidRPr="001202A2">
        <w:rPr>
          <w:rFonts w:eastAsia="TimesNewRoman"/>
          <w:szCs w:val="22"/>
          <w:lang w:val="sr-Latn-ME"/>
        </w:rPr>
        <w:t xml:space="preserve">nakon uvođenja terapije </w:t>
      </w:r>
      <w:r w:rsidR="0013590E" w:rsidRPr="001202A2">
        <w:rPr>
          <w:rFonts w:eastAsia="TimesNewRoman"/>
          <w:szCs w:val="22"/>
          <w:lang w:val="sr-Latn-ME"/>
        </w:rPr>
        <w:t>(vid</w:t>
      </w:r>
      <w:r w:rsidR="003C48F6" w:rsidRPr="001202A2">
        <w:rPr>
          <w:rFonts w:eastAsia="TimesNewRoman"/>
          <w:szCs w:val="22"/>
          <w:lang w:val="sr-Latn-ME"/>
        </w:rPr>
        <w:t>j</w:t>
      </w:r>
      <w:r w:rsidR="0013590E" w:rsidRPr="001202A2">
        <w:rPr>
          <w:rFonts w:eastAsia="TimesNewRoman"/>
          <w:szCs w:val="22"/>
          <w:lang w:val="sr-Latn-ME"/>
        </w:rPr>
        <w:t xml:space="preserve">eti </w:t>
      </w:r>
      <w:r w:rsidR="003C48F6" w:rsidRPr="001202A2">
        <w:rPr>
          <w:rFonts w:eastAsia="TimesNewRoman"/>
          <w:szCs w:val="22"/>
          <w:lang w:val="sr-Latn-ME"/>
        </w:rPr>
        <w:t>dio</w:t>
      </w:r>
      <w:r w:rsidR="0013590E" w:rsidRPr="001202A2">
        <w:rPr>
          <w:rFonts w:eastAsia="TimesNewRoman"/>
          <w:szCs w:val="22"/>
          <w:lang w:val="sr-Latn-ME"/>
        </w:rPr>
        <w:t xml:space="preserve"> 4.8). Kod svakog neobjašnjivog </w:t>
      </w:r>
      <w:r w:rsidRPr="001202A2">
        <w:rPr>
          <w:rFonts w:eastAsia="TimesNewRoman"/>
          <w:szCs w:val="22"/>
          <w:lang w:val="sr-Latn-ME"/>
        </w:rPr>
        <w:t>pada</w:t>
      </w:r>
      <w:r w:rsidR="0013590E" w:rsidRPr="001202A2">
        <w:rPr>
          <w:rFonts w:eastAsia="TimesNewRoman"/>
          <w:szCs w:val="22"/>
          <w:lang w:val="sr-Latn-ME"/>
        </w:rPr>
        <w:t xml:space="preserve"> hemoglobina ili krvnog pritiska </w:t>
      </w:r>
      <w:r w:rsidRPr="001202A2">
        <w:rPr>
          <w:rFonts w:eastAsia="TimesNewRoman"/>
          <w:szCs w:val="22"/>
          <w:lang w:val="sr-Latn-ME"/>
        </w:rPr>
        <w:t>treba</w:t>
      </w:r>
      <w:r w:rsidR="0013590E" w:rsidRPr="001202A2">
        <w:rPr>
          <w:rFonts w:eastAsia="TimesNewRoman"/>
          <w:szCs w:val="22"/>
          <w:lang w:val="sr-Latn-ME"/>
        </w:rPr>
        <w:t xml:space="preserve"> potražiti m</w:t>
      </w:r>
      <w:r w:rsidR="003C48F6" w:rsidRPr="001202A2">
        <w:rPr>
          <w:rFonts w:eastAsia="TimesNewRoman"/>
          <w:szCs w:val="22"/>
          <w:lang w:val="sr-Latn-ME"/>
        </w:rPr>
        <w:t>j</w:t>
      </w:r>
      <w:r w:rsidR="0013590E" w:rsidRPr="001202A2">
        <w:rPr>
          <w:rFonts w:eastAsia="TimesNewRoman"/>
          <w:szCs w:val="22"/>
          <w:lang w:val="sr-Latn-ME"/>
        </w:rPr>
        <w:t>esto krvarenja.</w:t>
      </w:r>
    </w:p>
    <w:p w14:paraId="48395945"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54A7D12C" w14:textId="62A8CC5B" w:rsidR="0013590E" w:rsidRPr="001202A2" w:rsidRDefault="0013590E"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Antikoagula</w:t>
      </w:r>
      <w:r w:rsidR="00A7674C" w:rsidRPr="001202A2">
        <w:rPr>
          <w:rFonts w:eastAsia="TimesNewRoman"/>
          <w:szCs w:val="22"/>
          <w:lang w:val="sr-Latn-ME"/>
        </w:rPr>
        <w:t>ntni</w:t>
      </w:r>
      <w:r w:rsidRPr="001202A2">
        <w:rPr>
          <w:rFonts w:eastAsia="TimesNewRoman"/>
          <w:szCs w:val="22"/>
          <w:lang w:val="sr-Latn-ME"/>
        </w:rPr>
        <w:t xml:space="preserve"> efekat edoksabana </w:t>
      </w:r>
      <w:r w:rsidR="00A7674C" w:rsidRPr="001202A2">
        <w:rPr>
          <w:rFonts w:eastAsia="TimesNewRoman"/>
          <w:szCs w:val="22"/>
          <w:lang w:val="sr-Latn-ME"/>
        </w:rPr>
        <w:t xml:space="preserve">se </w:t>
      </w:r>
      <w:r w:rsidRPr="001202A2">
        <w:rPr>
          <w:rFonts w:eastAsia="TimesNewRoman"/>
          <w:szCs w:val="22"/>
          <w:lang w:val="sr-Latn-ME"/>
        </w:rPr>
        <w:t>ne može pouzdano pratiti standardni</w:t>
      </w:r>
      <w:r w:rsidR="00A7674C" w:rsidRPr="001202A2">
        <w:rPr>
          <w:rFonts w:eastAsia="TimesNewRoman"/>
          <w:szCs w:val="22"/>
          <w:lang w:val="sr-Latn-ME"/>
        </w:rPr>
        <w:t>m</w:t>
      </w:r>
      <w:r w:rsidRPr="001202A2">
        <w:rPr>
          <w:rFonts w:eastAsia="TimesNewRoman"/>
          <w:szCs w:val="22"/>
          <w:lang w:val="sr-Latn-ME"/>
        </w:rPr>
        <w:t xml:space="preserve"> laboratorijski</w:t>
      </w:r>
      <w:r w:rsidR="00A7674C" w:rsidRPr="001202A2">
        <w:rPr>
          <w:rFonts w:eastAsia="TimesNewRoman"/>
          <w:szCs w:val="22"/>
          <w:lang w:val="sr-Latn-ME"/>
        </w:rPr>
        <w:t>m</w:t>
      </w:r>
      <w:r w:rsidRPr="001202A2">
        <w:rPr>
          <w:rFonts w:eastAsia="TimesNewRoman"/>
          <w:szCs w:val="22"/>
          <w:lang w:val="sr-Latn-ME"/>
        </w:rPr>
        <w:t xml:space="preserve"> analiza</w:t>
      </w:r>
      <w:r w:rsidR="00A7674C" w:rsidRPr="001202A2">
        <w:rPr>
          <w:rFonts w:eastAsia="TimesNewRoman"/>
          <w:szCs w:val="22"/>
          <w:lang w:val="sr-Latn-ME"/>
        </w:rPr>
        <w:t>ma</w:t>
      </w:r>
      <w:r w:rsidRPr="001202A2">
        <w:rPr>
          <w:rFonts w:eastAsia="TimesNewRoman"/>
          <w:szCs w:val="22"/>
          <w:lang w:val="sr-Latn-ME"/>
        </w:rPr>
        <w:t>. Specifični antidot koji poništava antikoagu</w:t>
      </w:r>
      <w:r w:rsidR="00FF56B0" w:rsidRPr="001202A2">
        <w:rPr>
          <w:rFonts w:eastAsia="TimesNewRoman"/>
          <w:szCs w:val="22"/>
          <w:lang w:val="sr-Latn-ME"/>
        </w:rPr>
        <w:t>lantni</w:t>
      </w:r>
      <w:r w:rsidRPr="001202A2">
        <w:rPr>
          <w:rFonts w:eastAsia="TimesNewRoman"/>
          <w:szCs w:val="22"/>
          <w:lang w:val="sr-Latn-ME"/>
        </w:rPr>
        <w:t xml:space="preserve"> efekat edoksabana nije dostupan (vid</w:t>
      </w:r>
      <w:r w:rsidR="003C48F6" w:rsidRPr="001202A2">
        <w:rPr>
          <w:rFonts w:eastAsia="TimesNewRoman"/>
          <w:szCs w:val="22"/>
          <w:lang w:val="sr-Latn-ME"/>
        </w:rPr>
        <w:t>j</w:t>
      </w:r>
      <w:r w:rsidRPr="001202A2">
        <w:rPr>
          <w:rFonts w:eastAsia="TimesNewRoman"/>
          <w:szCs w:val="22"/>
          <w:lang w:val="sr-Latn-ME"/>
        </w:rPr>
        <w:t>et</w:t>
      </w:r>
      <w:r w:rsidR="00FF56B0" w:rsidRPr="001202A2">
        <w:rPr>
          <w:rFonts w:eastAsia="TimesNewRoman"/>
          <w:szCs w:val="22"/>
          <w:lang w:val="sr-Latn-ME"/>
        </w:rPr>
        <w:t>i</w:t>
      </w:r>
      <w:r w:rsidRPr="001202A2">
        <w:rPr>
          <w:rFonts w:eastAsia="TimesNewRoman"/>
          <w:szCs w:val="22"/>
          <w:lang w:val="sr-Latn-ME"/>
        </w:rPr>
        <w:t xml:space="preserve"> </w:t>
      </w:r>
      <w:r w:rsidR="003C48F6" w:rsidRPr="001202A2">
        <w:rPr>
          <w:rFonts w:eastAsia="TimesNewRoman"/>
          <w:szCs w:val="22"/>
          <w:lang w:val="sr-Latn-ME"/>
        </w:rPr>
        <w:t>dio</w:t>
      </w:r>
      <w:r w:rsidRPr="001202A2">
        <w:rPr>
          <w:rFonts w:eastAsia="TimesNewRoman"/>
          <w:szCs w:val="22"/>
          <w:lang w:val="sr-Latn-ME"/>
        </w:rPr>
        <w:t xml:space="preserve"> 4.9).</w:t>
      </w:r>
    </w:p>
    <w:p w14:paraId="4510662B" w14:textId="6B8B5F80" w:rsidR="0013590E" w:rsidRPr="001202A2" w:rsidRDefault="0013590E"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Hemodijaliza ne doprinosi značajno klirensu edoksabana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dio</w:t>
      </w:r>
      <w:r w:rsidRPr="001202A2">
        <w:rPr>
          <w:rFonts w:eastAsia="TimesNewRoman"/>
          <w:szCs w:val="22"/>
          <w:lang w:val="sr-Latn-ME"/>
        </w:rPr>
        <w:t xml:space="preserve"> 5.2).</w:t>
      </w:r>
    </w:p>
    <w:p w14:paraId="5CDB9634"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212C49A7" w14:textId="77777777" w:rsidR="0013590E" w:rsidRPr="001202A2" w:rsidRDefault="0013590E"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Stariji pacijenti</w:t>
      </w:r>
    </w:p>
    <w:p w14:paraId="13716503" w14:textId="23243C66" w:rsidR="0013590E" w:rsidRPr="001202A2" w:rsidRDefault="0013590E"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Istovremena prim</w:t>
      </w:r>
      <w:r w:rsidR="003C48F6" w:rsidRPr="001202A2">
        <w:rPr>
          <w:rFonts w:eastAsia="TimesNewRoman"/>
          <w:szCs w:val="22"/>
          <w:lang w:val="sr-Latn-ME"/>
        </w:rPr>
        <w:t>j</w:t>
      </w:r>
      <w:r w:rsidRPr="001202A2">
        <w:rPr>
          <w:rFonts w:eastAsia="TimesNewRoman"/>
          <w:szCs w:val="22"/>
          <w:lang w:val="sr-Latn-ME"/>
        </w:rPr>
        <w:t>ena edoksabana i acetilsalicilne kiseline (</w:t>
      </w:r>
      <w:r w:rsidR="00AC7C46" w:rsidRPr="001202A2">
        <w:rPr>
          <w:rFonts w:eastAsia="TimesNewRoman"/>
          <w:szCs w:val="22"/>
          <w:lang w:val="sr-Latn-ME"/>
        </w:rPr>
        <w:t xml:space="preserve">engl. </w:t>
      </w:r>
      <w:r w:rsidR="00E94875" w:rsidRPr="001202A2">
        <w:rPr>
          <w:rFonts w:eastAsia="TimesNewRoman"/>
          <w:i/>
          <w:iCs/>
          <w:szCs w:val="22"/>
          <w:lang w:val="sr-Latn-ME"/>
        </w:rPr>
        <w:t>acetylsalicylic acid</w:t>
      </w:r>
      <w:r w:rsidR="00E94875" w:rsidRPr="001202A2">
        <w:rPr>
          <w:rFonts w:eastAsia="TimesNewRoman"/>
          <w:szCs w:val="22"/>
          <w:lang w:val="sr-Latn-ME"/>
        </w:rPr>
        <w:t xml:space="preserve">, </w:t>
      </w:r>
      <w:r w:rsidRPr="001202A2">
        <w:rPr>
          <w:rFonts w:eastAsia="TimesNewRoman"/>
          <w:szCs w:val="22"/>
          <w:lang w:val="sr-Latn-ME"/>
        </w:rPr>
        <w:t>AS</w:t>
      </w:r>
      <w:r w:rsidR="00836961" w:rsidRPr="001202A2">
        <w:rPr>
          <w:rFonts w:eastAsia="TimesNewRoman"/>
          <w:szCs w:val="22"/>
          <w:lang w:val="sr-Latn-ME"/>
        </w:rPr>
        <w:t>A</w:t>
      </w:r>
      <w:r w:rsidRPr="001202A2">
        <w:rPr>
          <w:rFonts w:eastAsia="TimesNewRoman"/>
          <w:szCs w:val="22"/>
          <w:lang w:val="sr-Latn-ME"/>
        </w:rPr>
        <w:t>) kod starijih pacijenata mora se sprovoditi sa oprezom</w:t>
      </w:r>
      <w:r w:rsidR="00BD6939" w:rsidRPr="001202A2">
        <w:rPr>
          <w:rFonts w:eastAsia="TimesNewRoman"/>
          <w:szCs w:val="22"/>
          <w:lang w:val="sr-Latn-ME"/>
        </w:rPr>
        <w:t>,</w:t>
      </w:r>
      <w:r w:rsidRPr="001202A2">
        <w:rPr>
          <w:rFonts w:eastAsia="TimesNewRoman"/>
          <w:szCs w:val="22"/>
          <w:lang w:val="sr-Latn-ME"/>
        </w:rPr>
        <w:t xml:space="preserve"> zbog potencijalno većeg rizika od krvarenja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dio</w:t>
      </w:r>
      <w:r w:rsidRPr="001202A2">
        <w:rPr>
          <w:rFonts w:eastAsia="TimesNewRoman"/>
          <w:szCs w:val="22"/>
          <w:lang w:val="sr-Latn-ME"/>
        </w:rPr>
        <w:t xml:space="preserve"> 4.5).</w:t>
      </w:r>
    </w:p>
    <w:p w14:paraId="402DE4B4"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71F210F8" w14:textId="77777777" w:rsidR="00623CE4" w:rsidRPr="001202A2" w:rsidRDefault="00623CE4"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Oštećenje funkcije bubrega</w:t>
      </w:r>
    </w:p>
    <w:p w14:paraId="22CEE608" w14:textId="53734EEF" w:rsidR="009B2E7E"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Površina ispod krive (PIK) koncentracije u plazmi ispitanika s</w:t>
      </w:r>
      <w:r w:rsidR="009B2E7E" w:rsidRPr="001202A2">
        <w:rPr>
          <w:rFonts w:eastAsia="TimesNewRoman"/>
          <w:szCs w:val="22"/>
          <w:lang w:val="sr-Latn-ME"/>
        </w:rPr>
        <w:t>a</w:t>
      </w:r>
      <w:r w:rsidRPr="001202A2">
        <w:rPr>
          <w:rFonts w:eastAsia="TimesNewRoman"/>
          <w:szCs w:val="22"/>
          <w:lang w:val="sr-Latn-ME"/>
        </w:rPr>
        <w:t xml:space="preserve"> blagim (CrCl &gt; 50 - 80 </w:t>
      </w:r>
      <w:r w:rsidR="007650CA"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/min), um</w:t>
      </w:r>
      <w:r w:rsidR="003C48F6" w:rsidRPr="001202A2">
        <w:rPr>
          <w:rFonts w:eastAsia="TimesNewRoman"/>
          <w:szCs w:val="22"/>
          <w:lang w:val="sr-Latn-ME"/>
        </w:rPr>
        <w:t>j</w:t>
      </w:r>
      <w:r w:rsidRPr="001202A2">
        <w:rPr>
          <w:rFonts w:eastAsia="TimesNewRoman"/>
          <w:szCs w:val="22"/>
          <w:lang w:val="sr-Latn-ME"/>
        </w:rPr>
        <w:t xml:space="preserve">erenim (CrCl 30 - 50 </w:t>
      </w:r>
      <w:r w:rsidR="007650CA"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 xml:space="preserve">/min) i teškim (CrCl &lt; 30 </w:t>
      </w:r>
      <w:r w:rsidR="007650CA" w:rsidRPr="001202A2">
        <w:rPr>
          <w:rFonts w:eastAsia="TimesNewRoman"/>
          <w:szCs w:val="22"/>
          <w:lang w:val="sr-Latn-ME"/>
        </w:rPr>
        <w:t>m</w:t>
      </w:r>
      <w:r w:rsidR="002B2DFD" w:rsidRPr="001202A2">
        <w:rPr>
          <w:rFonts w:eastAsia="TimesNewRoman"/>
          <w:szCs w:val="22"/>
          <w:lang w:val="sr-Latn-ME"/>
        </w:rPr>
        <w:t>l</w:t>
      </w:r>
      <w:r w:rsidRPr="001202A2">
        <w:rPr>
          <w:rFonts w:eastAsia="TimesNewRoman"/>
          <w:szCs w:val="22"/>
          <w:lang w:val="sr-Latn-ME"/>
        </w:rPr>
        <w:t>/min, ali ne na dijalizi) oštećenjem funkcije bubrega</w:t>
      </w:r>
      <w:r w:rsidR="009B2E7E" w:rsidRPr="001202A2">
        <w:rPr>
          <w:rFonts w:eastAsia="TimesNewRoman"/>
          <w:szCs w:val="22"/>
          <w:lang w:val="sr-Latn-ME"/>
        </w:rPr>
        <w:t>,</w:t>
      </w:r>
      <w:r w:rsidRPr="001202A2">
        <w:rPr>
          <w:rFonts w:eastAsia="TimesNewRoman"/>
          <w:szCs w:val="22"/>
          <w:lang w:val="sr-Latn-ME"/>
        </w:rPr>
        <w:t xml:space="preserve"> bi</w:t>
      </w:r>
      <w:r w:rsidR="009B2E7E" w:rsidRPr="001202A2">
        <w:rPr>
          <w:rFonts w:eastAsia="TimesNewRoman"/>
          <w:szCs w:val="22"/>
          <w:lang w:val="sr-Latn-ME"/>
        </w:rPr>
        <w:t>la</w:t>
      </w:r>
      <w:r w:rsidRPr="001202A2">
        <w:rPr>
          <w:rFonts w:eastAsia="TimesNewRoman"/>
          <w:szCs w:val="22"/>
          <w:lang w:val="sr-Latn-ME"/>
        </w:rPr>
        <w:t xml:space="preserve"> je povećan</w:t>
      </w:r>
      <w:r w:rsidR="009B2E7E" w:rsidRPr="001202A2">
        <w:rPr>
          <w:rFonts w:eastAsia="TimesNewRoman"/>
          <w:szCs w:val="22"/>
          <w:lang w:val="sr-Latn-ME"/>
        </w:rPr>
        <w:t>a</w:t>
      </w:r>
      <w:r w:rsidRPr="001202A2">
        <w:rPr>
          <w:rFonts w:eastAsia="TimesNewRoman"/>
          <w:szCs w:val="22"/>
          <w:lang w:val="sr-Latn-ME"/>
        </w:rPr>
        <w:t xml:space="preserve"> 32%, 74%</w:t>
      </w:r>
      <w:r w:rsidR="007650CA" w:rsidRPr="001202A2">
        <w:rPr>
          <w:rFonts w:eastAsia="TimesNewRoman"/>
          <w:szCs w:val="22"/>
          <w:lang w:val="sr-Latn-ME"/>
        </w:rPr>
        <w:t>,</w:t>
      </w:r>
      <w:r w:rsidRPr="001202A2">
        <w:rPr>
          <w:rFonts w:eastAsia="TimesNewRoman"/>
          <w:szCs w:val="22"/>
          <w:lang w:val="sr-Latn-ME"/>
        </w:rPr>
        <w:t xml:space="preserve"> odnosno 72% u odnosu na ispitanike sa očuvanom funkcijom bubrega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dio</w:t>
      </w:r>
      <w:r w:rsidRPr="001202A2">
        <w:rPr>
          <w:rFonts w:eastAsia="TimesNewRoman"/>
          <w:szCs w:val="22"/>
          <w:lang w:val="sr-Latn-ME"/>
        </w:rPr>
        <w:t xml:space="preserve"> 4.2 za smanjenje doze). </w:t>
      </w:r>
    </w:p>
    <w:p w14:paraId="09A811FA"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090FA64C" w14:textId="3167866A" w:rsidR="00623CE4" w:rsidRPr="001202A2" w:rsidRDefault="00F23AF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w:t>
      </w:r>
      <w:r w:rsidR="00623CE4" w:rsidRPr="001202A2">
        <w:rPr>
          <w:rFonts w:eastAsia="TimesNewRoman"/>
          <w:szCs w:val="22"/>
          <w:lang w:val="sr-Latn-ME"/>
        </w:rPr>
        <w:t xml:space="preserve">e preporučuje </w:t>
      </w:r>
      <w:r w:rsidR="009B2E7E" w:rsidRPr="001202A2">
        <w:rPr>
          <w:rFonts w:eastAsia="TimesNewRoman"/>
          <w:szCs w:val="22"/>
          <w:lang w:val="sr-Latn-ME"/>
        </w:rPr>
        <w:t xml:space="preserve">se </w:t>
      </w:r>
      <w:r w:rsidR="00623CE4" w:rsidRPr="001202A2">
        <w:rPr>
          <w:rFonts w:eastAsia="TimesNewRoman"/>
          <w:szCs w:val="22"/>
          <w:lang w:val="sr-Latn-ME"/>
        </w:rPr>
        <w:t>prim</w:t>
      </w:r>
      <w:r w:rsidR="003C48F6" w:rsidRPr="001202A2">
        <w:rPr>
          <w:rFonts w:eastAsia="TimesNewRoman"/>
          <w:szCs w:val="22"/>
          <w:lang w:val="sr-Latn-ME"/>
        </w:rPr>
        <w:t>j</w:t>
      </w:r>
      <w:r w:rsidR="00623CE4" w:rsidRPr="001202A2">
        <w:rPr>
          <w:rFonts w:eastAsia="TimesNewRoman"/>
          <w:szCs w:val="22"/>
          <w:lang w:val="sr-Latn-ME"/>
        </w:rPr>
        <w:t>ena l</w:t>
      </w:r>
      <w:r w:rsidR="003C48F6" w:rsidRPr="001202A2">
        <w:rPr>
          <w:rFonts w:eastAsia="TimesNewRoman"/>
          <w:szCs w:val="22"/>
          <w:lang w:val="sr-Latn-ME"/>
        </w:rPr>
        <w:t>ij</w:t>
      </w:r>
      <w:r w:rsidR="00623CE4" w:rsidRPr="001202A2">
        <w:rPr>
          <w:rFonts w:eastAsia="TimesNewRoman"/>
          <w:szCs w:val="22"/>
          <w:lang w:val="sr-Latn-ME"/>
        </w:rPr>
        <w:t xml:space="preserve">eka </w:t>
      </w:r>
      <w:r w:rsidR="009B2E7E" w:rsidRPr="001202A2">
        <w:rPr>
          <w:rFonts w:eastAsia="TimesNewRoman"/>
          <w:szCs w:val="22"/>
          <w:lang w:val="sr-Latn-ME"/>
        </w:rPr>
        <w:t>Oxaway</w:t>
      </w:r>
      <w:r w:rsidRPr="001202A2">
        <w:rPr>
          <w:rFonts w:eastAsia="TimesNewRoman"/>
          <w:szCs w:val="22"/>
          <w:lang w:val="sr-Latn-ME"/>
        </w:rPr>
        <w:t xml:space="preserve"> kod pacijenata u završnom stadijumu bolesti bubrega ili pacijenata na dijalizi</w:t>
      </w:r>
      <w:r w:rsidR="00623CE4" w:rsidRPr="001202A2">
        <w:rPr>
          <w:rFonts w:eastAsia="TimesNewRoman"/>
          <w:szCs w:val="22"/>
          <w:lang w:val="sr-Latn-ME"/>
        </w:rPr>
        <w:t xml:space="preserve"> (vid</w:t>
      </w:r>
      <w:r w:rsidR="003C48F6" w:rsidRPr="001202A2">
        <w:rPr>
          <w:rFonts w:eastAsia="TimesNewRoman"/>
          <w:szCs w:val="22"/>
          <w:lang w:val="sr-Latn-ME"/>
        </w:rPr>
        <w:t>j</w:t>
      </w:r>
      <w:r w:rsidR="00623CE4" w:rsidRPr="001202A2">
        <w:rPr>
          <w:rFonts w:eastAsia="TimesNewRoman"/>
          <w:szCs w:val="22"/>
          <w:lang w:val="sr-Latn-ME"/>
        </w:rPr>
        <w:t xml:space="preserve">eti </w:t>
      </w:r>
      <w:r w:rsidR="003C48F6" w:rsidRPr="001202A2">
        <w:rPr>
          <w:rFonts w:eastAsia="TimesNewRoman"/>
          <w:szCs w:val="22"/>
          <w:lang w:val="sr-Latn-ME"/>
        </w:rPr>
        <w:t>djelove</w:t>
      </w:r>
      <w:r w:rsidR="00623CE4" w:rsidRPr="001202A2">
        <w:rPr>
          <w:rFonts w:eastAsia="TimesNewRoman"/>
          <w:szCs w:val="22"/>
          <w:lang w:val="sr-Latn-ME"/>
        </w:rPr>
        <w:t xml:space="preserve"> 4.2 i 5.2).</w:t>
      </w:r>
    </w:p>
    <w:p w14:paraId="6B9C5A63"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386B62B0" w14:textId="77777777" w:rsidR="00623CE4" w:rsidRPr="001202A2" w:rsidRDefault="00623CE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lastRenderedPageBreak/>
        <w:t>Funkcija bubrega kod NVAF</w:t>
      </w:r>
    </w:p>
    <w:p w14:paraId="46D75E8B" w14:textId="5AE5FE40" w:rsidR="00623CE4"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w:t>
      </w:r>
      <w:r w:rsidR="003C48F6" w:rsidRPr="001202A2">
        <w:rPr>
          <w:rFonts w:eastAsia="TimesNewRoman"/>
          <w:szCs w:val="22"/>
          <w:lang w:val="sr-Latn-ME"/>
        </w:rPr>
        <w:t>ij</w:t>
      </w:r>
      <w:r w:rsidRPr="001202A2">
        <w:rPr>
          <w:rFonts w:eastAsia="TimesNewRoman"/>
          <w:szCs w:val="22"/>
          <w:lang w:val="sr-Latn-ME"/>
        </w:rPr>
        <w:t xml:space="preserve">ećen je trend smanjenja efikasnosti edoksabana sa povećanjem CrCl-a u </w:t>
      </w:r>
      <w:r w:rsidR="00682DF8" w:rsidRPr="001202A2">
        <w:rPr>
          <w:rFonts w:eastAsia="TimesNewRoman"/>
          <w:szCs w:val="22"/>
          <w:lang w:val="sr-Latn-ME"/>
        </w:rPr>
        <w:t>poređenju</w:t>
      </w:r>
      <w:r w:rsidRPr="001202A2">
        <w:rPr>
          <w:rFonts w:eastAsia="TimesNewRoman"/>
          <w:szCs w:val="22"/>
          <w:lang w:val="sr-Latn-ME"/>
        </w:rPr>
        <w:t xml:space="preserve"> sa adekvatno doziranim varfarinom (vid</w:t>
      </w:r>
      <w:r w:rsidR="003C48F6" w:rsidRPr="001202A2">
        <w:rPr>
          <w:rFonts w:eastAsia="TimesNewRoman"/>
          <w:szCs w:val="22"/>
          <w:lang w:val="sr-Latn-ME"/>
        </w:rPr>
        <w:t>j</w:t>
      </w:r>
      <w:r w:rsidRPr="001202A2">
        <w:rPr>
          <w:rFonts w:eastAsia="TimesNewRoman"/>
          <w:szCs w:val="22"/>
          <w:lang w:val="sr-Latn-ME"/>
        </w:rPr>
        <w:t xml:space="preserve">eti u </w:t>
      </w:r>
      <w:r w:rsidR="003C48F6" w:rsidRPr="001202A2">
        <w:rPr>
          <w:rFonts w:eastAsia="TimesNewRoman"/>
          <w:szCs w:val="22"/>
          <w:lang w:val="sr-Latn-ME"/>
        </w:rPr>
        <w:t>dijelu</w:t>
      </w:r>
      <w:r w:rsidRPr="001202A2">
        <w:rPr>
          <w:rFonts w:eastAsia="TimesNewRoman"/>
          <w:szCs w:val="22"/>
          <w:lang w:val="sr-Latn-ME"/>
        </w:rPr>
        <w:t xml:space="preserve"> 5.1 </w:t>
      </w:r>
      <w:r w:rsidR="00682DF8" w:rsidRPr="001202A2">
        <w:rPr>
          <w:rFonts w:eastAsia="TimesNewRoman"/>
          <w:szCs w:val="22"/>
          <w:lang w:val="sr-Latn-ME"/>
        </w:rPr>
        <w:t>d</w:t>
      </w:r>
      <w:r w:rsidR="003C48F6" w:rsidRPr="001202A2">
        <w:rPr>
          <w:rFonts w:eastAsia="TimesNewRoman"/>
          <w:szCs w:val="22"/>
          <w:lang w:val="sr-Latn-ME"/>
        </w:rPr>
        <w:t>i</w:t>
      </w:r>
      <w:r w:rsidR="00682DF8" w:rsidRPr="001202A2">
        <w:rPr>
          <w:rFonts w:eastAsia="TimesNewRoman"/>
          <w:szCs w:val="22"/>
          <w:lang w:val="sr-Latn-ME"/>
        </w:rPr>
        <w:t xml:space="preserve">o </w:t>
      </w:r>
      <w:r w:rsidRPr="001202A2">
        <w:rPr>
          <w:rFonts w:eastAsia="TimesNewRoman"/>
          <w:szCs w:val="22"/>
          <w:lang w:val="sr-Latn-ME"/>
        </w:rPr>
        <w:t xml:space="preserve">o </w:t>
      </w:r>
      <w:r w:rsidR="00682DF8" w:rsidRPr="001202A2">
        <w:rPr>
          <w:rFonts w:eastAsia="TimesNewRoman"/>
          <w:szCs w:val="22"/>
          <w:lang w:val="sr-Latn-ME"/>
        </w:rPr>
        <w:t>studiji</w:t>
      </w:r>
      <w:r w:rsidRPr="001202A2">
        <w:rPr>
          <w:rFonts w:eastAsia="TimesNewRoman"/>
          <w:szCs w:val="22"/>
          <w:lang w:val="sr-Latn-ME"/>
        </w:rPr>
        <w:t xml:space="preserve"> ENGAGE AF-TIMI 48 i dodatne podatke iz </w:t>
      </w:r>
      <w:r w:rsidR="00682DF8" w:rsidRPr="001202A2">
        <w:rPr>
          <w:rFonts w:eastAsia="TimesNewRoman"/>
          <w:szCs w:val="22"/>
          <w:lang w:val="sr-Latn-ME"/>
        </w:rPr>
        <w:t>studija</w:t>
      </w:r>
      <w:r w:rsidRPr="001202A2">
        <w:rPr>
          <w:rFonts w:eastAsia="TimesNewRoman"/>
          <w:szCs w:val="22"/>
          <w:lang w:val="sr-Latn-ME"/>
        </w:rPr>
        <w:t xml:space="preserve"> E314 i ETNA-AF).</w:t>
      </w:r>
    </w:p>
    <w:p w14:paraId="4457BA3C"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39EF36D4" w14:textId="296D2CB7" w:rsidR="00682DF8"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Kod pacijenata sa NVAF i </w:t>
      </w:r>
      <w:r w:rsidR="00682DF8" w:rsidRPr="001202A2">
        <w:rPr>
          <w:rFonts w:eastAsia="TimesNewRoman"/>
          <w:szCs w:val="22"/>
          <w:lang w:val="sr-Latn-ME"/>
        </w:rPr>
        <w:t xml:space="preserve">visokim </w:t>
      </w:r>
      <w:r w:rsidRPr="001202A2">
        <w:rPr>
          <w:rFonts w:eastAsia="TimesNewRoman"/>
          <w:szCs w:val="22"/>
          <w:lang w:val="sr-Latn-ME"/>
        </w:rPr>
        <w:t>CrCl</w:t>
      </w:r>
      <w:r w:rsidR="00682DF8" w:rsidRPr="001202A2">
        <w:rPr>
          <w:rFonts w:eastAsia="TimesNewRoman"/>
          <w:szCs w:val="22"/>
          <w:lang w:val="sr-Latn-ME"/>
        </w:rPr>
        <w:t>,</w:t>
      </w:r>
      <w:r w:rsidRPr="001202A2">
        <w:rPr>
          <w:rFonts w:eastAsia="TimesNewRoman"/>
          <w:szCs w:val="22"/>
          <w:lang w:val="sr-Latn-ME"/>
        </w:rPr>
        <w:t xml:space="preserve"> edoksaban se </w:t>
      </w:r>
      <w:r w:rsidR="00682DF8" w:rsidRPr="001202A2">
        <w:rPr>
          <w:rFonts w:eastAsia="TimesNewRoman"/>
          <w:szCs w:val="22"/>
          <w:lang w:val="sr-Latn-ME"/>
        </w:rPr>
        <w:t>može</w:t>
      </w:r>
      <w:r w:rsidRPr="001202A2">
        <w:rPr>
          <w:rFonts w:eastAsia="TimesNewRoman"/>
          <w:szCs w:val="22"/>
          <w:lang w:val="sr-Latn-ME"/>
        </w:rPr>
        <w:t xml:space="preserve"> prim</w:t>
      </w:r>
      <w:r w:rsidR="003C48F6" w:rsidRPr="001202A2">
        <w:rPr>
          <w:rFonts w:eastAsia="TimesNewRoman"/>
          <w:szCs w:val="22"/>
          <w:lang w:val="sr-Latn-ME"/>
        </w:rPr>
        <w:t>j</w:t>
      </w:r>
      <w:r w:rsidRPr="001202A2">
        <w:rPr>
          <w:rFonts w:eastAsia="TimesNewRoman"/>
          <w:szCs w:val="22"/>
          <w:lang w:val="sr-Latn-ME"/>
        </w:rPr>
        <w:t xml:space="preserve">enjivati samo nakon pažljive </w:t>
      </w:r>
      <w:r w:rsidR="001123CD" w:rsidRPr="001202A2">
        <w:rPr>
          <w:rFonts w:eastAsia="TimesNewRoman"/>
          <w:szCs w:val="22"/>
          <w:lang w:val="sr-Latn-ME"/>
        </w:rPr>
        <w:t>proc</w:t>
      </w:r>
      <w:r w:rsidR="003C48F6" w:rsidRPr="001202A2">
        <w:rPr>
          <w:rFonts w:eastAsia="TimesNewRoman"/>
          <w:szCs w:val="22"/>
          <w:lang w:val="sr-Latn-ME"/>
        </w:rPr>
        <w:t>j</w:t>
      </w:r>
      <w:r w:rsidR="001123CD" w:rsidRPr="001202A2">
        <w:rPr>
          <w:rFonts w:eastAsia="TimesNewRoman"/>
          <w:szCs w:val="22"/>
          <w:lang w:val="sr-Latn-ME"/>
        </w:rPr>
        <w:t>ene rizika od tromboembolizma</w:t>
      </w:r>
      <w:r w:rsidRPr="001202A2">
        <w:rPr>
          <w:rFonts w:eastAsia="TimesNewRoman"/>
          <w:szCs w:val="22"/>
          <w:lang w:val="sr-Latn-ME"/>
        </w:rPr>
        <w:t xml:space="preserve"> i krvarenja </w:t>
      </w:r>
      <w:r w:rsidR="00682DF8" w:rsidRPr="001202A2">
        <w:rPr>
          <w:rFonts w:eastAsia="TimesNewRoman"/>
          <w:szCs w:val="22"/>
          <w:lang w:val="sr-Latn-ME"/>
        </w:rPr>
        <w:t>za</w:t>
      </w:r>
      <w:r w:rsidRPr="001202A2">
        <w:rPr>
          <w:rFonts w:eastAsia="TimesNewRoman"/>
          <w:szCs w:val="22"/>
          <w:lang w:val="sr-Latn-ME"/>
        </w:rPr>
        <w:t xml:space="preserve"> svakog pojedinačnog pacijenata. </w:t>
      </w:r>
    </w:p>
    <w:p w14:paraId="5C59283E" w14:textId="77777777" w:rsidR="007B7E04" w:rsidRPr="001202A2" w:rsidRDefault="007B7E04" w:rsidP="00480B31">
      <w:pPr>
        <w:tabs>
          <w:tab w:val="clear" w:pos="284"/>
        </w:tabs>
        <w:autoSpaceDE w:val="0"/>
        <w:autoSpaceDN w:val="0"/>
        <w:adjustRightInd w:val="0"/>
        <w:rPr>
          <w:rFonts w:eastAsia="TimesNewRoman"/>
          <w:szCs w:val="22"/>
          <w:lang w:val="sr-Latn-ME"/>
        </w:rPr>
      </w:pPr>
    </w:p>
    <w:p w14:paraId="4DFBA4AC" w14:textId="12D51145" w:rsidR="00623CE4"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Proc</w:t>
      </w:r>
      <w:r w:rsidR="003C48F6" w:rsidRPr="001202A2">
        <w:rPr>
          <w:rFonts w:eastAsia="TimesNewRoman"/>
          <w:szCs w:val="22"/>
          <w:lang w:val="sr-Latn-ME"/>
        </w:rPr>
        <w:t>j</w:t>
      </w:r>
      <w:r w:rsidRPr="001202A2">
        <w:rPr>
          <w:rFonts w:eastAsia="TimesNewRoman"/>
          <w:szCs w:val="22"/>
          <w:lang w:val="sr-Latn-ME"/>
        </w:rPr>
        <w:t xml:space="preserve">ena funkcije bubrega: CrCl </w:t>
      </w:r>
      <w:r w:rsidR="0069493B" w:rsidRPr="001202A2">
        <w:rPr>
          <w:rFonts w:eastAsia="TimesNewRoman"/>
          <w:szCs w:val="22"/>
          <w:lang w:val="sr-Latn-ME"/>
        </w:rPr>
        <w:t>treba pratiti</w:t>
      </w:r>
      <w:r w:rsidRPr="001202A2">
        <w:rPr>
          <w:rFonts w:eastAsia="TimesNewRoman"/>
          <w:szCs w:val="22"/>
          <w:lang w:val="sr-Latn-ME"/>
        </w:rPr>
        <w:t xml:space="preserve"> kod svih pacijenata</w:t>
      </w:r>
      <w:r w:rsidR="0069493B" w:rsidRPr="001202A2">
        <w:rPr>
          <w:rFonts w:eastAsia="TimesNewRoman"/>
          <w:szCs w:val="22"/>
          <w:lang w:val="sr-Latn-ME"/>
        </w:rPr>
        <w:t xml:space="preserve"> na početku terapije</w:t>
      </w:r>
      <w:r w:rsidRPr="001202A2">
        <w:rPr>
          <w:rFonts w:eastAsia="TimesNewRoman"/>
          <w:szCs w:val="22"/>
          <w:lang w:val="sr-Latn-ME"/>
        </w:rPr>
        <w:t xml:space="preserve">, </w:t>
      </w:r>
      <w:r w:rsidR="0069493B" w:rsidRPr="001202A2">
        <w:rPr>
          <w:rFonts w:eastAsia="TimesNewRoman"/>
          <w:szCs w:val="22"/>
          <w:lang w:val="sr-Latn-ME"/>
        </w:rPr>
        <w:t>a kasnije samo</w:t>
      </w:r>
      <w:r w:rsidRPr="001202A2">
        <w:rPr>
          <w:rFonts w:eastAsia="TimesNewRoman"/>
          <w:szCs w:val="22"/>
          <w:lang w:val="sr-Latn-ME"/>
        </w:rPr>
        <w:t xml:space="preserve"> kada </w:t>
      </w:r>
      <w:r w:rsidR="0069493B" w:rsidRPr="001202A2">
        <w:rPr>
          <w:rFonts w:eastAsia="TimesNewRoman"/>
          <w:szCs w:val="22"/>
          <w:lang w:val="sr-Latn-ME"/>
        </w:rPr>
        <w:t>je</w:t>
      </w:r>
      <w:r w:rsidRPr="001202A2">
        <w:rPr>
          <w:rFonts w:eastAsia="TimesNewRoman"/>
          <w:szCs w:val="22"/>
          <w:lang w:val="sr-Latn-ME"/>
        </w:rPr>
        <w:t xml:space="preserve"> kliničk</w:t>
      </w:r>
      <w:r w:rsidR="0069493B" w:rsidRPr="001202A2">
        <w:rPr>
          <w:rFonts w:eastAsia="TimesNewRoman"/>
          <w:szCs w:val="22"/>
          <w:lang w:val="sr-Latn-ME"/>
        </w:rPr>
        <w:t>i</w:t>
      </w:r>
      <w:r w:rsidRPr="001202A2">
        <w:rPr>
          <w:rFonts w:eastAsia="TimesNewRoman"/>
          <w:szCs w:val="22"/>
          <w:lang w:val="sr-Latn-ME"/>
        </w:rPr>
        <w:t xml:space="preserve"> </w:t>
      </w:r>
      <w:r w:rsidR="0069493B" w:rsidRPr="001202A2">
        <w:rPr>
          <w:rFonts w:eastAsia="TimesNewRoman"/>
          <w:szCs w:val="22"/>
          <w:lang w:val="sr-Latn-ME"/>
        </w:rPr>
        <w:t>indikovano</w:t>
      </w:r>
      <w:r w:rsidRPr="001202A2">
        <w:rPr>
          <w:rFonts w:eastAsia="TimesNewRoman"/>
          <w:szCs w:val="22"/>
          <w:lang w:val="sr-Latn-ME"/>
        </w:rPr>
        <w:t xml:space="preserve">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dio</w:t>
      </w:r>
      <w:r w:rsidRPr="001202A2">
        <w:rPr>
          <w:rFonts w:eastAsia="TimesNewRoman"/>
          <w:szCs w:val="22"/>
          <w:lang w:val="sr-Latn-ME"/>
        </w:rPr>
        <w:t xml:space="preserve"> 4.2).</w:t>
      </w:r>
    </w:p>
    <w:p w14:paraId="13042E8E"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49E92DBB" w14:textId="77777777" w:rsidR="00623CE4" w:rsidRPr="001202A2" w:rsidRDefault="00623CE4"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Oštećenje funkcije jetre</w:t>
      </w:r>
    </w:p>
    <w:p w14:paraId="78161AF0" w14:textId="5464919D" w:rsidR="006F4901"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ne preporučuje kod pacijenata sa teškim oštećenjem funkcije jetre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djelove</w:t>
      </w:r>
      <w:r w:rsidRPr="001202A2">
        <w:rPr>
          <w:rFonts w:eastAsia="TimesNewRoman"/>
          <w:szCs w:val="22"/>
          <w:lang w:val="sr-Latn-ME"/>
        </w:rPr>
        <w:t xml:space="preserve"> 4.2 i 5.2). </w:t>
      </w:r>
    </w:p>
    <w:p w14:paraId="005B62FE" w14:textId="041A3372" w:rsidR="00623CE4"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treba prim</w:t>
      </w:r>
      <w:r w:rsidR="003C48F6" w:rsidRPr="001202A2">
        <w:rPr>
          <w:rFonts w:eastAsia="TimesNewRoman"/>
          <w:szCs w:val="22"/>
          <w:lang w:val="sr-Latn-ME"/>
        </w:rPr>
        <w:t>j</w:t>
      </w:r>
      <w:r w:rsidRPr="001202A2">
        <w:rPr>
          <w:rFonts w:eastAsia="TimesNewRoman"/>
          <w:szCs w:val="22"/>
          <w:lang w:val="sr-Latn-ME"/>
        </w:rPr>
        <w:t>enjivati sa oprezom kod pacijenata sa blagim ili um</w:t>
      </w:r>
      <w:r w:rsidR="003C48F6" w:rsidRPr="001202A2">
        <w:rPr>
          <w:rFonts w:eastAsia="TimesNewRoman"/>
          <w:szCs w:val="22"/>
          <w:lang w:val="sr-Latn-ME"/>
        </w:rPr>
        <w:t>j</w:t>
      </w:r>
      <w:r w:rsidRPr="001202A2">
        <w:rPr>
          <w:rFonts w:eastAsia="TimesNewRoman"/>
          <w:szCs w:val="22"/>
          <w:lang w:val="sr-Latn-ME"/>
        </w:rPr>
        <w:t>erenim oštećenjem funkcije jetre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dio</w:t>
      </w:r>
      <w:r w:rsidRPr="001202A2">
        <w:rPr>
          <w:rFonts w:eastAsia="TimesNewRoman"/>
          <w:szCs w:val="22"/>
          <w:lang w:val="sr-Latn-ME"/>
        </w:rPr>
        <w:t xml:space="preserve"> 4.2).</w:t>
      </w:r>
    </w:p>
    <w:p w14:paraId="7C34574E"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6FD21845" w14:textId="46F023ED" w:rsidR="00623CE4"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Pacijenti sa povećanim vr</w:t>
      </w:r>
      <w:r w:rsidR="003C48F6" w:rsidRPr="001202A2">
        <w:rPr>
          <w:rFonts w:eastAsia="TimesNewRoman"/>
          <w:szCs w:val="22"/>
          <w:lang w:val="sr-Latn-ME"/>
        </w:rPr>
        <w:t>ij</w:t>
      </w:r>
      <w:r w:rsidRPr="001202A2">
        <w:rPr>
          <w:rFonts w:eastAsia="TimesNewRoman"/>
          <w:szCs w:val="22"/>
          <w:lang w:val="sr-Latn-ME"/>
        </w:rPr>
        <w:t>ednostima enzima jetre (ALT/AST &gt; 2 x GGN) ili ukupn</w:t>
      </w:r>
      <w:r w:rsidR="00A80C1A" w:rsidRPr="001202A2">
        <w:rPr>
          <w:rFonts w:eastAsia="TimesNewRoman"/>
          <w:szCs w:val="22"/>
          <w:lang w:val="sr-Latn-ME"/>
        </w:rPr>
        <w:t>og</w:t>
      </w:r>
      <w:r w:rsidRPr="001202A2">
        <w:rPr>
          <w:rFonts w:eastAsia="TimesNewRoman"/>
          <w:szCs w:val="22"/>
          <w:lang w:val="sr-Latn-ME"/>
        </w:rPr>
        <w:t xml:space="preserve"> bilirubin</w:t>
      </w:r>
      <w:r w:rsidR="00A80C1A" w:rsidRPr="001202A2">
        <w:rPr>
          <w:rFonts w:eastAsia="TimesNewRoman"/>
          <w:szCs w:val="22"/>
          <w:lang w:val="sr-Latn-ME"/>
        </w:rPr>
        <w:t>a</w:t>
      </w:r>
      <w:r w:rsidRPr="001202A2">
        <w:rPr>
          <w:rFonts w:eastAsia="TimesNewRoman"/>
          <w:szCs w:val="22"/>
          <w:lang w:val="sr-Latn-ME"/>
        </w:rPr>
        <w:t xml:space="preserve"> ≥ 1,5 x GGN</w:t>
      </w:r>
      <w:r w:rsidR="00A80C1A" w:rsidRPr="001202A2">
        <w:rPr>
          <w:rFonts w:eastAsia="TimesNewRoman"/>
          <w:szCs w:val="22"/>
          <w:lang w:val="sr-Latn-ME"/>
        </w:rPr>
        <w:t>,</w:t>
      </w:r>
      <w:r w:rsidRPr="001202A2">
        <w:rPr>
          <w:rFonts w:eastAsia="TimesNewRoman"/>
          <w:szCs w:val="22"/>
          <w:lang w:val="sr-Latn-ME"/>
        </w:rPr>
        <w:t xml:space="preserve"> bili su isključeni iz kliničkih </w:t>
      </w:r>
      <w:r w:rsidR="00A80C1A" w:rsidRPr="001202A2">
        <w:rPr>
          <w:rFonts w:eastAsia="TimesNewRoman"/>
          <w:szCs w:val="22"/>
          <w:lang w:val="sr-Latn-ME"/>
        </w:rPr>
        <w:t>studija</w:t>
      </w:r>
      <w:r w:rsidRPr="001202A2">
        <w:rPr>
          <w:rFonts w:eastAsia="TimesNewRoman"/>
          <w:szCs w:val="22"/>
          <w:lang w:val="sr-Latn-ME"/>
        </w:rPr>
        <w:t xml:space="preserve">. </w:t>
      </w:r>
      <w:r w:rsidR="00A80C1A" w:rsidRPr="001202A2">
        <w:rPr>
          <w:rFonts w:eastAsia="TimesNewRoman"/>
          <w:szCs w:val="22"/>
          <w:lang w:val="sr-Latn-ME"/>
        </w:rPr>
        <w:t>Stoga</w:t>
      </w:r>
      <w:r w:rsidRPr="001202A2">
        <w:rPr>
          <w:rFonts w:eastAsia="TimesNewRoman"/>
          <w:szCs w:val="22"/>
          <w:lang w:val="sr-Latn-ME"/>
        </w:rPr>
        <w:t xml:space="preserve"> se edoksaban mora prim</w:t>
      </w:r>
      <w:r w:rsidR="003C48F6" w:rsidRPr="001202A2">
        <w:rPr>
          <w:rFonts w:eastAsia="TimesNewRoman"/>
          <w:szCs w:val="22"/>
          <w:lang w:val="sr-Latn-ME"/>
        </w:rPr>
        <w:t>j</w:t>
      </w:r>
      <w:r w:rsidRPr="001202A2">
        <w:rPr>
          <w:rFonts w:eastAsia="TimesNewRoman"/>
          <w:szCs w:val="22"/>
          <w:lang w:val="sr-Latn-ME"/>
        </w:rPr>
        <w:t xml:space="preserve">enjivati sa oprezom </w:t>
      </w:r>
      <w:r w:rsidR="00A80C1A" w:rsidRPr="001202A2">
        <w:rPr>
          <w:rFonts w:eastAsia="TimesNewRoman"/>
          <w:szCs w:val="22"/>
          <w:lang w:val="sr-Latn-ME"/>
        </w:rPr>
        <w:t>u</w:t>
      </w:r>
      <w:r w:rsidRPr="001202A2">
        <w:rPr>
          <w:rFonts w:eastAsia="TimesNewRoman"/>
          <w:szCs w:val="22"/>
          <w:lang w:val="sr-Latn-ME"/>
        </w:rPr>
        <w:t xml:space="preserve"> ov</w:t>
      </w:r>
      <w:r w:rsidR="00A80C1A" w:rsidRPr="001202A2">
        <w:rPr>
          <w:rFonts w:eastAsia="TimesNewRoman"/>
          <w:szCs w:val="22"/>
          <w:lang w:val="sr-Latn-ME"/>
        </w:rPr>
        <w:t>oj</w:t>
      </w:r>
      <w:r w:rsidRPr="001202A2">
        <w:rPr>
          <w:rFonts w:eastAsia="TimesNewRoman"/>
          <w:szCs w:val="22"/>
          <w:lang w:val="sr-Latn-ME"/>
        </w:rPr>
        <w:t xml:space="preserve"> populacij</w:t>
      </w:r>
      <w:r w:rsidR="00A80C1A" w:rsidRPr="001202A2">
        <w:rPr>
          <w:rFonts w:eastAsia="TimesNewRoman"/>
          <w:szCs w:val="22"/>
          <w:lang w:val="sr-Latn-ME"/>
        </w:rPr>
        <w:t>i</w:t>
      </w:r>
      <w:r w:rsidRPr="001202A2">
        <w:rPr>
          <w:rFonts w:eastAsia="TimesNewRoman"/>
          <w:szCs w:val="22"/>
          <w:lang w:val="sr-Latn-ME"/>
        </w:rPr>
        <w:t xml:space="preserve"> (vid</w:t>
      </w:r>
      <w:r w:rsidR="003C48F6" w:rsidRPr="001202A2">
        <w:rPr>
          <w:rFonts w:eastAsia="TimesNewRoman"/>
          <w:szCs w:val="22"/>
          <w:lang w:val="sr-Latn-ME"/>
        </w:rPr>
        <w:t>j</w:t>
      </w:r>
      <w:r w:rsidRPr="001202A2">
        <w:rPr>
          <w:rFonts w:eastAsia="TimesNewRoman"/>
          <w:szCs w:val="22"/>
          <w:lang w:val="sr-Latn-ME"/>
        </w:rPr>
        <w:t xml:space="preserve">eti </w:t>
      </w:r>
      <w:r w:rsidR="003C48F6" w:rsidRPr="001202A2">
        <w:rPr>
          <w:rFonts w:eastAsia="TimesNewRoman"/>
          <w:szCs w:val="22"/>
          <w:lang w:val="sr-Latn-ME"/>
        </w:rPr>
        <w:t>djelove</w:t>
      </w:r>
      <w:r w:rsidRPr="001202A2">
        <w:rPr>
          <w:rFonts w:eastAsia="TimesNewRoman"/>
          <w:szCs w:val="22"/>
          <w:lang w:val="sr-Latn-ME"/>
        </w:rPr>
        <w:t xml:space="preserve"> 4.2 i 5.2). Pr</w:t>
      </w:r>
      <w:r w:rsidR="003C48F6" w:rsidRPr="001202A2">
        <w:rPr>
          <w:rFonts w:eastAsia="TimesNewRoman"/>
          <w:szCs w:val="22"/>
          <w:lang w:val="sr-Latn-ME"/>
        </w:rPr>
        <w:t>ij</w:t>
      </w:r>
      <w:r w:rsidRPr="001202A2">
        <w:rPr>
          <w:rFonts w:eastAsia="TimesNewRoman"/>
          <w:szCs w:val="22"/>
          <w:lang w:val="sr-Latn-ME"/>
        </w:rPr>
        <w:t>e početka prim</w:t>
      </w:r>
      <w:r w:rsidR="003C48F6" w:rsidRPr="001202A2">
        <w:rPr>
          <w:rFonts w:eastAsia="TimesNewRoman"/>
          <w:szCs w:val="22"/>
          <w:lang w:val="sr-Latn-ME"/>
        </w:rPr>
        <w:t>j</w:t>
      </w:r>
      <w:r w:rsidRPr="001202A2">
        <w:rPr>
          <w:rFonts w:eastAsia="TimesNewRoman"/>
          <w:szCs w:val="22"/>
          <w:lang w:val="sr-Latn-ME"/>
        </w:rPr>
        <w:t xml:space="preserve">ene edoksabana, potrebno je </w:t>
      </w:r>
      <w:r w:rsidR="00A80C1A" w:rsidRPr="001202A2">
        <w:rPr>
          <w:rFonts w:eastAsia="TimesNewRoman"/>
          <w:szCs w:val="22"/>
          <w:lang w:val="sr-Latn-ME"/>
        </w:rPr>
        <w:t>ispitati</w:t>
      </w:r>
      <w:r w:rsidRPr="001202A2">
        <w:rPr>
          <w:rFonts w:eastAsia="TimesNewRoman"/>
          <w:szCs w:val="22"/>
          <w:lang w:val="sr-Latn-ME"/>
        </w:rPr>
        <w:t xml:space="preserve"> funkcij</w:t>
      </w:r>
      <w:r w:rsidR="00A80C1A" w:rsidRPr="001202A2">
        <w:rPr>
          <w:rFonts w:eastAsia="TimesNewRoman"/>
          <w:szCs w:val="22"/>
          <w:lang w:val="sr-Latn-ME"/>
        </w:rPr>
        <w:t>u</w:t>
      </w:r>
      <w:r w:rsidRPr="001202A2">
        <w:rPr>
          <w:rFonts w:eastAsia="TimesNewRoman"/>
          <w:szCs w:val="22"/>
          <w:lang w:val="sr-Latn-ME"/>
        </w:rPr>
        <w:t xml:space="preserve"> jetre.</w:t>
      </w:r>
      <w:r w:rsidR="00A80C1A" w:rsidRPr="001202A2">
        <w:rPr>
          <w:rFonts w:eastAsia="TimesNewRoman"/>
          <w:szCs w:val="22"/>
          <w:lang w:val="sr-Latn-ME"/>
        </w:rPr>
        <w:t xml:space="preserve"> K</w:t>
      </w:r>
      <w:r w:rsidRPr="001202A2">
        <w:rPr>
          <w:rFonts w:eastAsia="TimesNewRoman"/>
          <w:szCs w:val="22"/>
          <w:lang w:val="sr-Latn-ME"/>
        </w:rPr>
        <w:t>od pacijenata koji su na terapiji edoksabanom duže od godin</w:t>
      </w:r>
      <w:r w:rsidR="00A80C1A" w:rsidRPr="001202A2">
        <w:rPr>
          <w:rFonts w:eastAsia="TimesNewRoman"/>
          <w:szCs w:val="22"/>
          <w:lang w:val="sr-Latn-ME"/>
        </w:rPr>
        <w:t xml:space="preserve">u dana, preporučuje se </w:t>
      </w:r>
      <w:r w:rsidR="00DD60B1" w:rsidRPr="001202A2">
        <w:rPr>
          <w:rFonts w:eastAsia="TimesNewRoman"/>
          <w:szCs w:val="22"/>
          <w:lang w:val="sr-Latn-ME"/>
        </w:rPr>
        <w:t>periodično</w:t>
      </w:r>
      <w:r w:rsidR="00A80C1A" w:rsidRPr="001202A2">
        <w:rPr>
          <w:rFonts w:eastAsia="TimesNewRoman"/>
          <w:szCs w:val="22"/>
          <w:lang w:val="sr-Latn-ME"/>
        </w:rPr>
        <w:t xml:space="preserve"> praćenje funkcije jetre.</w:t>
      </w:r>
    </w:p>
    <w:p w14:paraId="059F038F"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69F9EF46" w14:textId="6A8353B9" w:rsidR="00623CE4" w:rsidRPr="001202A2" w:rsidRDefault="00DD60B1"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Obustava</w:t>
      </w:r>
      <w:r w:rsidR="00623CE4" w:rsidRPr="001202A2">
        <w:rPr>
          <w:rFonts w:eastAsia="TimesNewRoman"/>
          <w:szCs w:val="22"/>
          <w:u w:val="single"/>
          <w:lang w:val="sr-Latn-ME"/>
        </w:rPr>
        <w:t xml:space="preserve"> terapije zbog hirurški</w:t>
      </w:r>
      <w:r w:rsidRPr="001202A2">
        <w:rPr>
          <w:rFonts w:eastAsia="TimesNewRoman"/>
          <w:szCs w:val="22"/>
          <w:u w:val="single"/>
          <w:lang w:val="sr-Latn-ME"/>
        </w:rPr>
        <w:t>h i</w:t>
      </w:r>
      <w:r w:rsidR="00623CE4" w:rsidRPr="001202A2">
        <w:rPr>
          <w:rFonts w:eastAsia="TimesNewRoman"/>
          <w:szCs w:val="22"/>
          <w:u w:val="single"/>
          <w:lang w:val="sr-Latn-ME"/>
        </w:rPr>
        <w:t xml:space="preserve"> drugih intervencija</w:t>
      </w:r>
    </w:p>
    <w:p w14:paraId="1592A95F" w14:textId="19C47591" w:rsidR="00623CE4"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Ukoliko se </w:t>
      </w:r>
      <w:r w:rsidR="00DD60B1" w:rsidRPr="001202A2">
        <w:rPr>
          <w:rFonts w:eastAsia="TimesNewRoman"/>
          <w:szCs w:val="22"/>
          <w:lang w:val="sr-Latn-ME"/>
        </w:rPr>
        <w:t>prim</w:t>
      </w:r>
      <w:r w:rsidR="003C48F6" w:rsidRPr="001202A2">
        <w:rPr>
          <w:rFonts w:eastAsia="TimesNewRoman"/>
          <w:szCs w:val="22"/>
          <w:lang w:val="sr-Latn-ME"/>
        </w:rPr>
        <w:t>j</w:t>
      </w:r>
      <w:r w:rsidR="00DD60B1" w:rsidRPr="001202A2">
        <w:rPr>
          <w:rFonts w:eastAsia="TimesNewRoman"/>
          <w:szCs w:val="22"/>
          <w:lang w:val="sr-Latn-ME"/>
        </w:rPr>
        <w:t>ena antikoagulanasa</w:t>
      </w:r>
      <w:r w:rsidRPr="001202A2">
        <w:rPr>
          <w:rFonts w:eastAsia="TimesNewRoman"/>
          <w:szCs w:val="22"/>
          <w:lang w:val="sr-Latn-ME"/>
        </w:rPr>
        <w:t xml:space="preserve"> mora </w:t>
      </w:r>
      <w:r w:rsidR="00DD60B1" w:rsidRPr="001202A2">
        <w:rPr>
          <w:rFonts w:eastAsia="TimesNewRoman"/>
          <w:szCs w:val="22"/>
          <w:lang w:val="sr-Latn-ME"/>
        </w:rPr>
        <w:t>obustaviti</w:t>
      </w:r>
      <w:r w:rsidRPr="001202A2">
        <w:rPr>
          <w:rFonts w:eastAsia="TimesNewRoman"/>
          <w:szCs w:val="22"/>
          <w:lang w:val="sr-Latn-ME"/>
        </w:rPr>
        <w:t xml:space="preserve"> </w:t>
      </w:r>
      <w:r w:rsidR="00DD60B1" w:rsidRPr="001202A2">
        <w:rPr>
          <w:rFonts w:eastAsia="TimesNewRoman"/>
          <w:szCs w:val="22"/>
          <w:lang w:val="sr-Latn-ME"/>
        </w:rPr>
        <w:t>kako</w:t>
      </w:r>
      <w:r w:rsidRPr="001202A2">
        <w:rPr>
          <w:rFonts w:eastAsia="TimesNewRoman"/>
          <w:szCs w:val="22"/>
          <w:lang w:val="sr-Latn-ME"/>
        </w:rPr>
        <w:t xml:space="preserve"> bi se smanjio rizik od krvarenja kod hirurških ili drugih intervencija, prim</w:t>
      </w:r>
      <w:r w:rsidR="00893B00" w:rsidRPr="001202A2">
        <w:rPr>
          <w:rFonts w:eastAsia="TimesNewRoman"/>
          <w:szCs w:val="22"/>
          <w:lang w:val="sr-Latn-ME"/>
        </w:rPr>
        <w:t>j</w:t>
      </w:r>
      <w:r w:rsidRPr="001202A2">
        <w:rPr>
          <w:rFonts w:eastAsia="TimesNewRoman"/>
          <w:szCs w:val="22"/>
          <w:lang w:val="sr-Latn-ME"/>
        </w:rPr>
        <w:t>enu edoksabana</w:t>
      </w:r>
      <w:r w:rsidR="00DD60B1" w:rsidRPr="001202A2">
        <w:rPr>
          <w:rFonts w:eastAsia="TimesNewRoman"/>
          <w:szCs w:val="22"/>
          <w:lang w:val="sr-Latn-ME"/>
        </w:rPr>
        <w:t xml:space="preserve"> treba prekinuti</w:t>
      </w:r>
      <w:r w:rsidR="009F6F11" w:rsidRPr="001202A2">
        <w:rPr>
          <w:rFonts w:eastAsia="TimesNewRoman"/>
          <w:szCs w:val="22"/>
          <w:lang w:val="sr-Latn-ME"/>
        </w:rPr>
        <w:t xml:space="preserve"> što pr</w:t>
      </w:r>
      <w:r w:rsidR="00893B00" w:rsidRPr="001202A2">
        <w:rPr>
          <w:rFonts w:eastAsia="TimesNewRoman"/>
          <w:szCs w:val="22"/>
          <w:lang w:val="sr-Latn-ME"/>
        </w:rPr>
        <w:t>ij</w:t>
      </w:r>
      <w:r w:rsidR="009F6F11" w:rsidRPr="001202A2">
        <w:rPr>
          <w:rFonts w:eastAsia="TimesNewRoman"/>
          <w:szCs w:val="22"/>
          <w:lang w:val="sr-Latn-ME"/>
        </w:rPr>
        <w:t>e</w:t>
      </w:r>
      <w:r w:rsidRPr="001202A2">
        <w:rPr>
          <w:rFonts w:eastAsia="TimesNewRoman"/>
          <w:szCs w:val="22"/>
          <w:lang w:val="sr-Latn-ME"/>
        </w:rPr>
        <w:t>,</w:t>
      </w:r>
      <w:r w:rsidR="009F6F11" w:rsidRPr="001202A2">
        <w:rPr>
          <w:rFonts w:eastAsia="TimesNewRoman"/>
          <w:szCs w:val="22"/>
          <w:lang w:val="sr-Latn-ME"/>
        </w:rPr>
        <w:t xml:space="preserve"> po mogućnosti najmanje</w:t>
      </w:r>
      <w:r w:rsidRPr="001202A2">
        <w:rPr>
          <w:rFonts w:eastAsia="TimesNewRoman"/>
          <w:szCs w:val="22"/>
          <w:lang w:val="sr-Latn-ME"/>
        </w:rPr>
        <w:t xml:space="preserve"> 24 sata pr</w:t>
      </w:r>
      <w:r w:rsidR="00E403E9" w:rsidRPr="001202A2">
        <w:rPr>
          <w:rFonts w:eastAsia="TimesNewRoman"/>
          <w:szCs w:val="22"/>
          <w:lang w:val="sr-Latn-ME"/>
        </w:rPr>
        <w:t>ij</w:t>
      </w:r>
      <w:r w:rsidRPr="001202A2">
        <w:rPr>
          <w:rFonts w:eastAsia="TimesNewRoman"/>
          <w:szCs w:val="22"/>
          <w:lang w:val="sr-Latn-ME"/>
        </w:rPr>
        <w:t>e intervencije.</w:t>
      </w:r>
    </w:p>
    <w:p w14:paraId="6A6C4644"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30D996C1" w14:textId="6CFC49F9" w:rsidR="00623CE4" w:rsidRPr="001202A2" w:rsidRDefault="00623CE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Prilikom donošenja odluke o odlaganju intervencije </w:t>
      </w:r>
      <w:r w:rsidR="009F6F11" w:rsidRPr="001202A2">
        <w:rPr>
          <w:rFonts w:eastAsia="TimesNewRoman"/>
          <w:szCs w:val="22"/>
          <w:lang w:val="sr-Latn-ME"/>
        </w:rPr>
        <w:t>dok ne prođe</w:t>
      </w:r>
      <w:r w:rsidRPr="001202A2">
        <w:rPr>
          <w:rFonts w:eastAsia="TimesNewRoman"/>
          <w:szCs w:val="22"/>
          <w:lang w:val="sr-Latn-ME"/>
        </w:rPr>
        <w:t xml:space="preserve"> 24 sata od posl</w:t>
      </w:r>
      <w:r w:rsidR="00E403E9" w:rsidRPr="001202A2">
        <w:rPr>
          <w:rFonts w:eastAsia="TimesNewRoman"/>
          <w:szCs w:val="22"/>
          <w:lang w:val="sr-Latn-ME"/>
        </w:rPr>
        <w:t>j</w:t>
      </w:r>
      <w:r w:rsidRPr="001202A2">
        <w:rPr>
          <w:rFonts w:eastAsia="TimesNewRoman"/>
          <w:szCs w:val="22"/>
          <w:lang w:val="sr-Latn-ME"/>
        </w:rPr>
        <w:t>ednje doze edoksabana, potrebno je proc</w:t>
      </w:r>
      <w:r w:rsidR="00E403E9" w:rsidRPr="001202A2">
        <w:rPr>
          <w:rFonts w:eastAsia="TimesNewRoman"/>
          <w:szCs w:val="22"/>
          <w:lang w:val="sr-Latn-ME"/>
        </w:rPr>
        <w:t>ij</w:t>
      </w:r>
      <w:r w:rsidRPr="001202A2">
        <w:rPr>
          <w:rFonts w:eastAsia="TimesNewRoman"/>
          <w:szCs w:val="22"/>
          <w:lang w:val="sr-Latn-ME"/>
        </w:rPr>
        <w:t>eniti povećan rizik od krvarenja u odnosu na hitnost intervencije. Nakon hirurških ili drugih intervencija, prim</w:t>
      </w:r>
      <w:r w:rsidR="00E403E9" w:rsidRPr="001202A2">
        <w:rPr>
          <w:rFonts w:eastAsia="TimesNewRoman"/>
          <w:szCs w:val="22"/>
          <w:lang w:val="sr-Latn-ME"/>
        </w:rPr>
        <w:t>j</w:t>
      </w:r>
      <w:r w:rsidRPr="001202A2">
        <w:rPr>
          <w:rFonts w:eastAsia="TimesNewRoman"/>
          <w:szCs w:val="22"/>
          <w:lang w:val="sr-Latn-ME"/>
        </w:rPr>
        <w:t xml:space="preserve">enu edoksabana treba ponovno započeti čim se uspostavi odgovarajuća hemostaza, </w:t>
      </w:r>
      <w:r w:rsidR="00F2048C" w:rsidRPr="001202A2">
        <w:rPr>
          <w:rFonts w:eastAsia="TimesNewRoman"/>
          <w:szCs w:val="22"/>
          <w:lang w:val="sr-Latn-ME"/>
        </w:rPr>
        <w:t>imajući u vidu</w:t>
      </w:r>
      <w:r w:rsidRPr="001202A2">
        <w:rPr>
          <w:rFonts w:eastAsia="TimesNewRoman"/>
          <w:szCs w:val="22"/>
          <w:lang w:val="sr-Latn-ME"/>
        </w:rPr>
        <w:t xml:space="preserve"> da </w:t>
      </w:r>
      <w:r w:rsidR="00F2048C" w:rsidRPr="001202A2">
        <w:rPr>
          <w:rFonts w:eastAsia="TimesNewRoman"/>
          <w:szCs w:val="22"/>
          <w:lang w:val="sr-Latn-ME"/>
        </w:rPr>
        <w:t xml:space="preserve">se </w:t>
      </w:r>
      <w:r w:rsidRPr="001202A2">
        <w:rPr>
          <w:rFonts w:eastAsia="TimesNewRoman"/>
          <w:szCs w:val="22"/>
          <w:lang w:val="sr-Latn-ME"/>
        </w:rPr>
        <w:t>antikoagula</w:t>
      </w:r>
      <w:r w:rsidR="00F2048C" w:rsidRPr="001202A2">
        <w:rPr>
          <w:rFonts w:eastAsia="TimesNewRoman"/>
          <w:szCs w:val="22"/>
          <w:lang w:val="sr-Latn-ME"/>
        </w:rPr>
        <w:t>ntni</w:t>
      </w:r>
      <w:r w:rsidRPr="001202A2">
        <w:rPr>
          <w:rFonts w:eastAsia="TimesNewRoman"/>
          <w:szCs w:val="22"/>
          <w:lang w:val="sr-Latn-ME"/>
        </w:rPr>
        <w:t xml:space="preserve"> efekat edoksabana </w:t>
      </w:r>
      <w:r w:rsidR="00F2048C" w:rsidRPr="001202A2">
        <w:rPr>
          <w:rFonts w:eastAsia="TimesNewRoman"/>
          <w:szCs w:val="22"/>
          <w:lang w:val="sr-Latn-ME"/>
        </w:rPr>
        <w:t>javlja</w:t>
      </w:r>
      <w:r w:rsidRPr="001202A2">
        <w:rPr>
          <w:rFonts w:eastAsia="TimesNewRoman"/>
          <w:szCs w:val="22"/>
          <w:lang w:val="sr-Latn-ME"/>
        </w:rPr>
        <w:t xml:space="preserve"> nakon 1-2 sata.</w:t>
      </w:r>
      <w:r w:rsidR="00F2048C" w:rsidRPr="001202A2">
        <w:rPr>
          <w:rFonts w:eastAsia="TimesNewRoman"/>
          <w:szCs w:val="22"/>
          <w:lang w:val="sr-Latn-ME"/>
        </w:rPr>
        <w:t xml:space="preserve"> </w:t>
      </w:r>
      <w:r w:rsidRPr="001202A2">
        <w:rPr>
          <w:rFonts w:eastAsia="TimesNewRoman"/>
          <w:szCs w:val="22"/>
          <w:lang w:val="sr-Latn-ME"/>
        </w:rPr>
        <w:t xml:space="preserve">Ukoliko se tokom ili nakon hirurške intervencije ne mogu </w:t>
      </w:r>
      <w:r w:rsidR="00F2048C" w:rsidRPr="001202A2">
        <w:rPr>
          <w:rFonts w:eastAsia="TimesNewRoman"/>
          <w:szCs w:val="22"/>
          <w:lang w:val="sr-Latn-ME"/>
        </w:rPr>
        <w:t>koristiti</w:t>
      </w:r>
      <w:r w:rsidRPr="001202A2">
        <w:rPr>
          <w:rFonts w:eastAsia="TimesNewRoman"/>
          <w:szCs w:val="22"/>
          <w:lang w:val="sr-Latn-ME"/>
        </w:rPr>
        <w:t xml:space="preserve"> l</w:t>
      </w:r>
      <w:r w:rsidR="00E403E9" w:rsidRPr="001202A2">
        <w:rPr>
          <w:rFonts w:eastAsia="TimesNewRoman"/>
          <w:szCs w:val="22"/>
          <w:lang w:val="sr-Latn-ME"/>
        </w:rPr>
        <w:t>j</w:t>
      </w:r>
      <w:r w:rsidRPr="001202A2">
        <w:rPr>
          <w:rFonts w:eastAsia="TimesNewRoman"/>
          <w:szCs w:val="22"/>
          <w:lang w:val="sr-Latn-ME"/>
        </w:rPr>
        <w:t>ekovi za oralnu prim</w:t>
      </w:r>
      <w:r w:rsidR="00E403E9" w:rsidRPr="001202A2">
        <w:rPr>
          <w:rFonts w:eastAsia="TimesNewRoman"/>
          <w:szCs w:val="22"/>
          <w:lang w:val="sr-Latn-ME"/>
        </w:rPr>
        <w:t>j</w:t>
      </w:r>
      <w:r w:rsidRPr="001202A2">
        <w:rPr>
          <w:rFonts w:eastAsia="TimesNewRoman"/>
          <w:szCs w:val="22"/>
          <w:lang w:val="sr-Latn-ME"/>
        </w:rPr>
        <w:t>enu, razmotriti</w:t>
      </w:r>
      <w:r w:rsidR="00F2048C" w:rsidRPr="001202A2">
        <w:rPr>
          <w:rFonts w:eastAsia="TimesNewRoman"/>
          <w:szCs w:val="22"/>
          <w:lang w:val="sr-Latn-ME"/>
        </w:rPr>
        <w:t xml:space="preserve"> prim</w:t>
      </w:r>
      <w:r w:rsidR="00E403E9" w:rsidRPr="001202A2">
        <w:rPr>
          <w:rFonts w:eastAsia="TimesNewRoman"/>
          <w:szCs w:val="22"/>
          <w:lang w:val="sr-Latn-ME"/>
        </w:rPr>
        <w:t>j</w:t>
      </w:r>
      <w:r w:rsidR="00F2048C" w:rsidRPr="001202A2">
        <w:rPr>
          <w:rFonts w:eastAsia="TimesNewRoman"/>
          <w:szCs w:val="22"/>
          <w:lang w:val="sr-Latn-ME"/>
        </w:rPr>
        <w:t xml:space="preserve">enu </w:t>
      </w:r>
      <w:r w:rsidRPr="001202A2">
        <w:rPr>
          <w:rFonts w:eastAsia="TimesNewRoman"/>
          <w:szCs w:val="22"/>
          <w:lang w:val="sr-Latn-ME"/>
        </w:rPr>
        <w:t>parenteraln</w:t>
      </w:r>
      <w:r w:rsidR="00F2048C" w:rsidRPr="001202A2">
        <w:rPr>
          <w:rFonts w:eastAsia="TimesNewRoman"/>
          <w:szCs w:val="22"/>
          <w:lang w:val="sr-Latn-ME"/>
        </w:rPr>
        <w:t>og</w:t>
      </w:r>
      <w:r w:rsidRPr="001202A2">
        <w:rPr>
          <w:rFonts w:eastAsia="TimesNewRoman"/>
          <w:szCs w:val="22"/>
          <w:lang w:val="sr-Latn-ME"/>
        </w:rPr>
        <w:t xml:space="preserve"> antikoagulansa, a zatim </w:t>
      </w:r>
      <w:r w:rsidR="00F2048C" w:rsidRPr="001202A2">
        <w:rPr>
          <w:rFonts w:eastAsia="TimesNewRoman"/>
          <w:szCs w:val="22"/>
          <w:lang w:val="sr-Latn-ME"/>
        </w:rPr>
        <w:t>prelazak</w:t>
      </w:r>
      <w:r w:rsidR="00013105" w:rsidRPr="001202A2">
        <w:rPr>
          <w:rFonts w:eastAsia="TimesNewRoman"/>
          <w:szCs w:val="22"/>
          <w:lang w:val="sr-Latn-ME"/>
        </w:rPr>
        <w:t xml:space="preserve"> na</w:t>
      </w:r>
      <w:r w:rsidRPr="001202A2">
        <w:rPr>
          <w:rFonts w:eastAsia="TimesNewRoman"/>
          <w:szCs w:val="22"/>
          <w:lang w:val="sr-Latn-ME"/>
        </w:rPr>
        <w:t xml:space="preserve"> edoksaban prim</w:t>
      </w:r>
      <w:r w:rsidR="00E403E9" w:rsidRPr="001202A2">
        <w:rPr>
          <w:rFonts w:eastAsia="TimesNewRoman"/>
          <w:szCs w:val="22"/>
          <w:lang w:val="sr-Latn-ME"/>
        </w:rPr>
        <w:t>ij</w:t>
      </w:r>
      <w:r w:rsidRPr="001202A2">
        <w:rPr>
          <w:rFonts w:eastAsia="TimesNewRoman"/>
          <w:szCs w:val="22"/>
          <w:lang w:val="sr-Latn-ME"/>
        </w:rPr>
        <w:t>enjen jednom dnevno</w:t>
      </w:r>
      <w:r w:rsidR="00F2048C" w:rsidRPr="001202A2">
        <w:rPr>
          <w:rFonts w:eastAsia="TimesNewRoman"/>
          <w:szCs w:val="22"/>
          <w:lang w:val="sr-Latn-ME"/>
        </w:rPr>
        <w:t>,</w:t>
      </w:r>
      <w:r w:rsidRPr="001202A2">
        <w:rPr>
          <w:rFonts w:eastAsia="TimesNewRoman"/>
          <w:szCs w:val="22"/>
          <w:lang w:val="sr-Latn-ME"/>
        </w:rPr>
        <w:t xml:space="preserve"> oralno (vid</w:t>
      </w:r>
      <w:r w:rsidR="00E403E9" w:rsidRPr="001202A2">
        <w:rPr>
          <w:rFonts w:eastAsia="TimesNewRoman"/>
          <w:szCs w:val="22"/>
          <w:lang w:val="sr-Latn-ME"/>
        </w:rPr>
        <w:t>j</w:t>
      </w:r>
      <w:r w:rsidRPr="001202A2">
        <w:rPr>
          <w:rFonts w:eastAsia="TimesNewRoman"/>
          <w:szCs w:val="22"/>
          <w:lang w:val="sr-Latn-ME"/>
        </w:rPr>
        <w:t xml:space="preserve">eti </w:t>
      </w:r>
      <w:r w:rsidR="00E403E9" w:rsidRPr="001202A2">
        <w:rPr>
          <w:rFonts w:eastAsia="TimesNewRoman"/>
          <w:szCs w:val="22"/>
          <w:lang w:val="sr-Latn-ME"/>
        </w:rPr>
        <w:t>dio</w:t>
      </w:r>
      <w:r w:rsidRPr="001202A2">
        <w:rPr>
          <w:rFonts w:eastAsia="TimesNewRoman"/>
          <w:szCs w:val="22"/>
          <w:lang w:val="sr-Latn-ME"/>
        </w:rPr>
        <w:t xml:space="preserve"> 4.2).</w:t>
      </w:r>
    </w:p>
    <w:p w14:paraId="25AEC926"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7BC87E3B" w14:textId="2CA85431" w:rsidR="00B722C5" w:rsidRPr="001202A2" w:rsidRDefault="00B722C5"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Interakcija sa drugim l</w:t>
      </w:r>
      <w:r w:rsidR="00E403E9" w:rsidRPr="001202A2">
        <w:rPr>
          <w:rFonts w:eastAsia="TimesNewRoman"/>
          <w:szCs w:val="22"/>
          <w:u w:val="single"/>
          <w:lang w:val="sr-Latn-ME"/>
        </w:rPr>
        <w:t>j</w:t>
      </w:r>
      <w:r w:rsidRPr="001202A2">
        <w:rPr>
          <w:rFonts w:eastAsia="TimesNewRoman"/>
          <w:szCs w:val="22"/>
          <w:u w:val="single"/>
          <w:lang w:val="sr-Latn-ME"/>
        </w:rPr>
        <w:t>ekovima koji utiču na hemostazu</w:t>
      </w:r>
    </w:p>
    <w:p w14:paraId="5466E68B" w14:textId="48EAFBA4" w:rsidR="00B722C5" w:rsidRPr="001202A2" w:rsidRDefault="00B722C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Istovremena prim</w:t>
      </w:r>
      <w:r w:rsidR="00E403E9" w:rsidRPr="001202A2">
        <w:rPr>
          <w:rFonts w:eastAsia="TimesNewRoman"/>
          <w:szCs w:val="22"/>
          <w:lang w:val="sr-Latn-ME"/>
        </w:rPr>
        <w:t>j</w:t>
      </w:r>
      <w:r w:rsidRPr="001202A2">
        <w:rPr>
          <w:rFonts w:eastAsia="TimesNewRoman"/>
          <w:szCs w:val="22"/>
          <w:lang w:val="sr-Latn-ME"/>
        </w:rPr>
        <w:t>ena l</w:t>
      </w:r>
      <w:r w:rsidR="00E403E9" w:rsidRPr="001202A2">
        <w:rPr>
          <w:rFonts w:eastAsia="TimesNewRoman"/>
          <w:szCs w:val="22"/>
          <w:lang w:val="sr-Latn-ME"/>
        </w:rPr>
        <w:t>j</w:t>
      </w:r>
      <w:r w:rsidRPr="001202A2">
        <w:rPr>
          <w:rFonts w:eastAsia="TimesNewRoman"/>
          <w:szCs w:val="22"/>
          <w:lang w:val="sr-Latn-ME"/>
        </w:rPr>
        <w:t xml:space="preserve">ekova koji utiču na hemostazu može povećati rizik od krvarenja. </w:t>
      </w:r>
      <w:r w:rsidR="00836961" w:rsidRPr="001202A2">
        <w:rPr>
          <w:rFonts w:eastAsia="TimesNewRoman"/>
          <w:szCs w:val="22"/>
          <w:lang w:val="sr-Latn-ME"/>
        </w:rPr>
        <w:t>Ovi l</w:t>
      </w:r>
      <w:r w:rsidR="00E403E9" w:rsidRPr="001202A2">
        <w:rPr>
          <w:rFonts w:eastAsia="TimesNewRoman"/>
          <w:szCs w:val="22"/>
          <w:lang w:val="sr-Latn-ME"/>
        </w:rPr>
        <w:t>j</w:t>
      </w:r>
      <w:r w:rsidR="00836961" w:rsidRPr="001202A2">
        <w:rPr>
          <w:rFonts w:eastAsia="TimesNewRoman"/>
          <w:szCs w:val="22"/>
          <w:lang w:val="sr-Latn-ME"/>
        </w:rPr>
        <w:t xml:space="preserve">ekovi obuhvataju </w:t>
      </w:r>
      <w:r w:rsidRPr="001202A2">
        <w:rPr>
          <w:rFonts w:eastAsia="TimesNewRoman"/>
          <w:szCs w:val="22"/>
          <w:lang w:val="sr-Latn-ME"/>
        </w:rPr>
        <w:t>AS</w:t>
      </w:r>
      <w:r w:rsidR="00836961" w:rsidRPr="001202A2">
        <w:rPr>
          <w:rFonts w:eastAsia="TimesNewRoman"/>
          <w:szCs w:val="22"/>
          <w:lang w:val="sr-Latn-ME"/>
        </w:rPr>
        <w:t>A</w:t>
      </w:r>
      <w:r w:rsidRPr="001202A2">
        <w:rPr>
          <w:rFonts w:eastAsia="TimesNewRoman"/>
          <w:szCs w:val="22"/>
          <w:lang w:val="sr-Latn-ME"/>
        </w:rPr>
        <w:t>, inhibitor</w:t>
      </w:r>
      <w:r w:rsidR="00836961" w:rsidRPr="001202A2">
        <w:rPr>
          <w:rFonts w:eastAsia="TimesNewRoman"/>
          <w:szCs w:val="22"/>
          <w:lang w:val="sr-Latn-ME"/>
        </w:rPr>
        <w:t>e</w:t>
      </w:r>
      <w:r w:rsidRPr="001202A2">
        <w:rPr>
          <w:rFonts w:eastAsia="TimesNewRoman"/>
          <w:szCs w:val="22"/>
          <w:lang w:val="sr-Latn-ME"/>
        </w:rPr>
        <w:t xml:space="preserve"> P2Y</w:t>
      </w:r>
      <w:r w:rsidRPr="001202A2">
        <w:rPr>
          <w:rFonts w:eastAsia="TimesNewRoman"/>
          <w:szCs w:val="22"/>
          <w:vertAlign w:val="subscript"/>
          <w:lang w:val="sr-Latn-ME"/>
        </w:rPr>
        <w:t>12</w:t>
      </w:r>
      <w:r w:rsidR="00836961" w:rsidRPr="001202A2">
        <w:rPr>
          <w:rFonts w:eastAsia="TimesNewRoman"/>
          <w:szCs w:val="22"/>
          <w:lang w:val="sr-Latn-ME"/>
        </w:rPr>
        <w:t xml:space="preserve"> </w:t>
      </w:r>
      <w:r w:rsidR="004D5C01" w:rsidRPr="001202A2">
        <w:rPr>
          <w:rFonts w:eastAsia="TimesNewRoman"/>
          <w:szCs w:val="22"/>
          <w:lang w:val="sr-Latn-ME"/>
        </w:rPr>
        <w:t xml:space="preserve">receptora </w:t>
      </w:r>
      <w:r w:rsidR="00836961" w:rsidRPr="001202A2">
        <w:rPr>
          <w:rFonts w:eastAsia="TimesNewRoman"/>
          <w:szCs w:val="22"/>
          <w:lang w:val="sr-Latn-ME"/>
        </w:rPr>
        <w:t>trombocita</w:t>
      </w:r>
      <w:r w:rsidRPr="001202A2">
        <w:rPr>
          <w:rFonts w:eastAsia="TimesNewRoman"/>
          <w:szCs w:val="22"/>
          <w:lang w:val="sr-Latn-ME"/>
        </w:rPr>
        <w:t>, drug</w:t>
      </w:r>
      <w:r w:rsidR="004D5C01" w:rsidRPr="001202A2">
        <w:rPr>
          <w:rFonts w:eastAsia="TimesNewRoman"/>
          <w:szCs w:val="22"/>
          <w:lang w:val="sr-Latn-ME"/>
        </w:rPr>
        <w:t>e</w:t>
      </w:r>
      <w:r w:rsidRPr="001202A2">
        <w:rPr>
          <w:rFonts w:eastAsia="TimesNewRoman"/>
          <w:szCs w:val="22"/>
          <w:lang w:val="sr-Latn-ME"/>
        </w:rPr>
        <w:t xml:space="preserve"> </w:t>
      </w:r>
      <w:r w:rsidR="004D5C01" w:rsidRPr="001202A2">
        <w:rPr>
          <w:rFonts w:eastAsia="TimesNewRoman"/>
          <w:szCs w:val="22"/>
          <w:lang w:val="sr-Latn-ME"/>
        </w:rPr>
        <w:t xml:space="preserve">antitrombotske </w:t>
      </w:r>
      <w:r w:rsidRPr="001202A2">
        <w:rPr>
          <w:rFonts w:eastAsia="TimesNewRoman"/>
          <w:szCs w:val="22"/>
          <w:lang w:val="sr-Latn-ME"/>
        </w:rPr>
        <w:t>l</w:t>
      </w:r>
      <w:r w:rsidR="00E403E9" w:rsidRPr="001202A2">
        <w:rPr>
          <w:rFonts w:eastAsia="TimesNewRoman"/>
          <w:szCs w:val="22"/>
          <w:lang w:val="sr-Latn-ME"/>
        </w:rPr>
        <w:t>j</w:t>
      </w:r>
      <w:r w:rsidRPr="001202A2">
        <w:rPr>
          <w:rFonts w:eastAsia="TimesNewRoman"/>
          <w:szCs w:val="22"/>
          <w:lang w:val="sr-Latn-ME"/>
        </w:rPr>
        <w:t>ekov</w:t>
      </w:r>
      <w:r w:rsidR="004D5C01" w:rsidRPr="001202A2">
        <w:rPr>
          <w:rFonts w:eastAsia="TimesNewRoman"/>
          <w:szCs w:val="22"/>
          <w:lang w:val="sr-Latn-ME"/>
        </w:rPr>
        <w:t>e</w:t>
      </w:r>
      <w:r w:rsidRPr="001202A2">
        <w:rPr>
          <w:rFonts w:eastAsia="TimesNewRoman"/>
          <w:szCs w:val="22"/>
          <w:lang w:val="sr-Latn-ME"/>
        </w:rPr>
        <w:t>, fibrinolitičk</w:t>
      </w:r>
      <w:r w:rsidR="004D5C01" w:rsidRPr="001202A2">
        <w:rPr>
          <w:rFonts w:eastAsia="TimesNewRoman"/>
          <w:szCs w:val="22"/>
          <w:lang w:val="sr-Latn-ME"/>
        </w:rPr>
        <w:t>u</w:t>
      </w:r>
      <w:r w:rsidRPr="001202A2">
        <w:rPr>
          <w:rFonts w:eastAsia="TimesNewRoman"/>
          <w:szCs w:val="22"/>
          <w:lang w:val="sr-Latn-ME"/>
        </w:rPr>
        <w:t xml:space="preserve"> terapij</w:t>
      </w:r>
      <w:r w:rsidR="004D5C01" w:rsidRPr="001202A2">
        <w:rPr>
          <w:rFonts w:eastAsia="TimesNewRoman"/>
          <w:szCs w:val="22"/>
          <w:lang w:val="sr-Latn-ME"/>
        </w:rPr>
        <w:t>u</w:t>
      </w:r>
      <w:r w:rsidRPr="001202A2">
        <w:rPr>
          <w:rFonts w:eastAsia="TimesNewRoman"/>
          <w:szCs w:val="22"/>
          <w:lang w:val="sr-Latn-ME"/>
        </w:rPr>
        <w:t>, selektivn</w:t>
      </w:r>
      <w:r w:rsidR="004D5C01" w:rsidRPr="001202A2">
        <w:rPr>
          <w:rFonts w:eastAsia="TimesNewRoman"/>
          <w:szCs w:val="22"/>
          <w:lang w:val="sr-Latn-ME"/>
        </w:rPr>
        <w:t>e</w:t>
      </w:r>
      <w:r w:rsidRPr="001202A2">
        <w:rPr>
          <w:rFonts w:eastAsia="TimesNewRoman"/>
          <w:szCs w:val="22"/>
          <w:lang w:val="sr-Latn-ME"/>
        </w:rPr>
        <w:t xml:space="preserve"> inhibitor</w:t>
      </w:r>
      <w:r w:rsidR="004D5C01" w:rsidRPr="001202A2">
        <w:rPr>
          <w:rFonts w:eastAsia="TimesNewRoman"/>
          <w:szCs w:val="22"/>
          <w:lang w:val="sr-Latn-ME"/>
        </w:rPr>
        <w:t>e</w:t>
      </w:r>
      <w:r w:rsidRPr="001202A2">
        <w:rPr>
          <w:rFonts w:eastAsia="TimesNewRoman"/>
          <w:szCs w:val="22"/>
          <w:lang w:val="sr-Latn-ME"/>
        </w:rPr>
        <w:t xml:space="preserve"> ponovnog preuzimanja serotonina (SSRI)</w:t>
      </w:r>
      <w:r w:rsidR="008373F5" w:rsidRPr="001202A2">
        <w:rPr>
          <w:rFonts w:eastAsia="TimesNewRoman"/>
          <w:szCs w:val="22"/>
          <w:lang w:val="sr-Latn-ME"/>
        </w:rPr>
        <w:t xml:space="preserve"> </w:t>
      </w:r>
      <w:r w:rsidRPr="001202A2">
        <w:rPr>
          <w:rFonts w:eastAsia="TimesNewRoman"/>
          <w:szCs w:val="22"/>
          <w:lang w:val="sr-Latn-ME"/>
        </w:rPr>
        <w:t>ili inhibitor</w:t>
      </w:r>
      <w:r w:rsidR="004D5C01" w:rsidRPr="001202A2">
        <w:rPr>
          <w:rFonts w:eastAsia="TimesNewRoman"/>
          <w:szCs w:val="22"/>
          <w:lang w:val="sr-Latn-ME"/>
        </w:rPr>
        <w:t>e</w:t>
      </w:r>
      <w:r w:rsidRPr="001202A2">
        <w:rPr>
          <w:rFonts w:eastAsia="TimesNewRoman"/>
          <w:szCs w:val="22"/>
          <w:lang w:val="sr-Latn-ME"/>
        </w:rPr>
        <w:t xml:space="preserve"> ponovnog preuzimanja serotonina i noradrenalina (SNRI) i hroničn</w:t>
      </w:r>
      <w:r w:rsidR="004D5C01" w:rsidRPr="001202A2">
        <w:rPr>
          <w:rFonts w:eastAsia="TimesNewRoman"/>
          <w:szCs w:val="22"/>
          <w:lang w:val="sr-Latn-ME"/>
        </w:rPr>
        <w:t>u</w:t>
      </w:r>
      <w:r w:rsidRPr="001202A2">
        <w:rPr>
          <w:rFonts w:eastAsia="TimesNewRoman"/>
          <w:szCs w:val="22"/>
          <w:lang w:val="sr-Latn-ME"/>
        </w:rPr>
        <w:t xml:space="preserve"> prim</w:t>
      </w:r>
      <w:r w:rsidR="00E403E9" w:rsidRPr="001202A2">
        <w:rPr>
          <w:rFonts w:eastAsia="TimesNewRoman"/>
          <w:szCs w:val="22"/>
          <w:lang w:val="sr-Latn-ME"/>
        </w:rPr>
        <w:t>j</w:t>
      </w:r>
      <w:r w:rsidRPr="001202A2">
        <w:rPr>
          <w:rFonts w:eastAsia="TimesNewRoman"/>
          <w:szCs w:val="22"/>
          <w:lang w:val="sr-Latn-ME"/>
        </w:rPr>
        <w:t>en</w:t>
      </w:r>
      <w:r w:rsidR="004D5C01" w:rsidRPr="001202A2">
        <w:rPr>
          <w:rFonts w:eastAsia="TimesNewRoman"/>
          <w:szCs w:val="22"/>
          <w:lang w:val="sr-Latn-ME"/>
        </w:rPr>
        <w:t>u</w:t>
      </w:r>
      <w:r w:rsidRPr="001202A2">
        <w:rPr>
          <w:rFonts w:eastAsia="TimesNewRoman"/>
          <w:szCs w:val="22"/>
          <w:lang w:val="sr-Latn-ME"/>
        </w:rPr>
        <w:t xml:space="preserve"> nesteroidnih antiinflamatornih l</w:t>
      </w:r>
      <w:r w:rsidR="00E403E9" w:rsidRPr="001202A2">
        <w:rPr>
          <w:rFonts w:eastAsia="TimesNewRoman"/>
          <w:szCs w:val="22"/>
          <w:lang w:val="sr-Latn-ME"/>
        </w:rPr>
        <w:t>j</w:t>
      </w:r>
      <w:r w:rsidRPr="001202A2">
        <w:rPr>
          <w:rFonts w:eastAsia="TimesNewRoman"/>
          <w:szCs w:val="22"/>
          <w:lang w:val="sr-Latn-ME"/>
        </w:rPr>
        <w:t>ekova (NSAIL) (vid</w:t>
      </w:r>
      <w:r w:rsidR="00E403E9" w:rsidRPr="001202A2">
        <w:rPr>
          <w:rFonts w:eastAsia="TimesNewRoman"/>
          <w:szCs w:val="22"/>
          <w:lang w:val="sr-Latn-ME"/>
        </w:rPr>
        <w:t>j</w:t>
      </w:r>
      <w:r w:rsidRPr="001202A2">
        <w:rPr>
          <w:rFonts w:eastAsia="TimesNewRoman"/>
          <w:szCs w:val="22"/>
          <w:lang w:val="sr-Latn-ME"/>
        </w:rPr>
        <w:t>et</w:t>
      </w:r>
      <w:r w:rsidR="00E403E9" w:rsidRPr="001202A2">
        <w:rPr>
          <w:rFonts w:eastAsia="TimesNewRoman"/>
          <w:szCs w:val="22"/>
          <w:lang w:val="sr-Latn-ME"/>
        </w:rPr>
        <w:t>i dio</w:t>
      </w:r>
      <w:r w:rsidRPr="001202A2">
        <w:rPr>
          <w:rFonts w:eastAsia="TimesNewRoman"/>
          <w:szCs w:val="22"/>
          <w:lang w:val="sr-Latn-ME"/>
        </w:rPr>
        <w:t xml:space="preserve"> 4.5).</w:t>
      </w:r>
    </w:p>
    <w:p w14:paraId="79C4A9C0"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74E72EB7" w14:textId="00F9A033" w:rsidR="00B722C5" w:rsidRPr="001202A2" w:rsidRDefault="008373F5"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V</w:t>
      </w:r>
      <w:r w:rsidR="00E403E9" w:rsidRPr="001202A2">
        <w:rPr>
          <w:rFonts w:eastAsia="TimesNewRoman"/>
          <w:szCs w:val="22"/>
          <w:u w:val="single"/>
          <w:lang w:val="sr-Latn-ME"/>
        </w:rPr>
        <w:t>j</w:t>
      </w:r>
      <w:r w:rsidRPr="001202A2">
        <w:rPr>
          <w:rFonts w:eastAsia="TimesNewRoman"/>
          <w:szCs w:val="22"/>
          <w:u w:val="single"/>
          <w:lang w:val="sr-Latn-ME"/>
        </w:rPr>
        <w:t>eštački</w:t>
      </w:r>
      <w:r w:rsidR="00B722C5" w:rsidRPr="001202A2">
        <w:rPr>
          <w:rFonts w:eastAsia="TimesNewRoman"/>
          <w:szCs w:val="22"/>
          <w:u w:val="single"/>
          <w:lang w:val="sr-Latn-ME"/>
        </w:rPr>
        <w:t xml:space="preserve"> srčani zalisci i um</w:t>
      </w:r>
      <w:r w:rsidR="00E403E9" w:rsidRPr="001202A2">
        <w:rPr>
          <w:rFonts w:eastAsia="TimesNewRoman"/>
          <w:szCs w:val="22"/>
          <w:u w:val="single"/>
          <w:lang w:val="sr-Latn-ME"/>
        </w:rPr>
        <w:t>j</w:t>
      </w:r>
      <w:r w:rsidR="00B722C5" w:rsidRPr="001202A2">
        <w:rPr>
          <w:rFonts w:eastAsia="TimesNewRoman"/>
          <w:szCs w:val="22"/>
          <w:u w:val="single"/>
          <w:lang w:val="sr-Latn-ME"/>
        </w:rPr>
        <w:t xml:space="preserve">erena do teška mitralna stenoza </w:t>
      </w:r>
    </w:p>
    <w:p w14:paraId="14D9E1F3" w14:textId="2F5A0792" w:rsidR="00B722C5" w:rsidRPr="001202A2" w:rsidRDefault="00B722C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nije ispitan kod pacijenata sa mehaničkim srčanim zaliscima, pacijenata tokom prva 3 m</w:t>
      </w:r>
      <w:r w:rsidR="00E403E9" w:rsidRPr="001202A2">
        <w:rPr>
          <w:rFonts w:eastAsia="TimesNewRoman"/>
          <w:szCs w:val="22"/>
          <w:lang w:val="sr-Latn-ME"/>
        </w:rPr>
        <w:t>j</w:t>
      </w:r>
      <w:r w:rsidRPr="001202A2">
        <w:rPr>
          <w:rFonts w:eastAsia="TimesNewRoman"/>
          <w:szCs w:val="22"/>
          <w:lang w:val="sr-Latn-ME"/>
        </w:rPr>
        <w:t>eseca nakon implantacije bioprostetičkog srčanog zaliska, sa atrijalnom fibrilacijom ili bez nje</w:t>
      </w:r>
      <w:r w:rsidR="008373F5" w:rsidRPr="001202A2">
        <w:rPr>
          <w:rFonts w:eastAsia="TimesNewRoman"/>
          <w:szCs w:val="22"/>
          <w:lang w:val="sr-Latn-ME"/>
        </w:rPr>
        <w:t>,</w:t>
      </w:r>
      <w:r w:rsidRPr="001202A2">
        <w:rPr>
          <w:rFonts w:eastAsia="TimesNewRoman"/>
          <w:szCs w:val="22"/>
          <w:lang w:val="sr-Latn-ME"/>
        </w:rPr>
        <w:t xml:space="preserve"> </w:t>
      </w:r>
      <w:r w:rsidR="008373F5" w:rsidRPr="001202A2">
        <w:rPr>
          <w:rFonts w:eastAsia="TimesNewRoman"/>
          <w:szCs w:val="22"/>
          <w:lang w:val="sr-Latn-ME"/>
        </w:rPr>
        <w:t>niti</w:t>
      </w:r>
      <w:r w:rsidRPr="001202A2">
        <w:rPr>
          <w:rFonts w:eastAsia="TimesNewRoman"/>
          <w:szCs w:val="22"/>
          <w:lang w:val="sr-Latn-ME"/>
        </w:rPr>
        <w:t xml:space="preserve"> kod pacijenata sa um</w:t>
      </w:r>
      <w:r w:rsidR="00E403E9" w:rsidRPr="001202A2">
        <w:rPr>
          <w:rFonts w:eastAsia="TimesNewRoman"/>
          <w:szCs w:val="22"/>
          <w:lang w:val="sr-Latn-ME"/>
        </w:rPr>
        <w:t>j</w:t>
      </w:r>
      <w:r w:rsidRPr="001202A2">
        <w:rPr>
          <w:rFonts w:eastAsia="TimesNewRoman"/>
          <w:szCs w:val="22"/>
          <w:lang w:val="sr-Latn-ME"/>
        </w:rPr>
        <w:t xml:space="preserve">erenom do teškom mitralnom stenozom. </w:t>
      </w:r>
      <w:r w:rsidR="008373F5" w:rsidRPr="001202A2">
        <w:rPr>
          <w:rFonts w:eastAsia="TimesNewRoman"/>
          <w:szCs w:val="22"/>
          <w:lang w:val="sr-Latn-ME"/>
        </w:rPr>
        <w:t>Stoga</w:t>
      </w:r>
      <w:r w:rsidRPr="001202A2">
        <w:rPr>
          <w:rFonts w:eastAsia="TimesNewRoman"/>
          <w:szCs w:val="22"/>
          <w:lang w:val="sr-Latn-ME"/>
        </w:rPr>
        <w:t xml:space="preserve"> se </w:t>
      </w:r>
      <w:r w:rsidR="008373F5" w:rsidRPr="001202A2">
        <w:rPr>
          <w:rFonts w:eastAsia="TimesNewRoman"/>
          <w:szCs w:val="22"/>
          <w:lang w:val="sr-Latn-ME"/>
        </w:rPr>
        <w:t xml:space="preserve">ne preporučuje </w:t>
      </w:r>
      <w:r w:rsidRPr="001202A2">
        <w:rPr>
          <w:rFonts w:eastAsia="TimesNewRoman"/>
          <w:szCs w:val="22"/>
          <w:lang w:val="sr-Latn-ME"/>
        </w:rPr>
        <w:t>prim</w:t>
      </w:r>
      <w:r w:rsidR="00E403E9" w:rsidRPr="001202A2">
        <w:rPr>
          <w:rFonts w:eastAsia="TimesNewRoman"/>
          <w:szCs w:val="22"/>
          <w:lang w:val="sr-Latn-ME"/>
        </w:rPr>
        <w:t>j</w:t>
      </w:r>
      <w:r w:rsidRPr="001202A2">
        <w:rPr>
          <w:rFonts w:eastAsia="TimesNewRoman"/>
          <w:szCs w:val="22"/>
          <w:lang w:val="sr-Latn-ME"/>
        </w:rPr>
        <w:t>ena edoksabana kod ovih pacijenata.</w:t>
      </w:r>
    </w:p>
    <w:p w14:paraId="2BE14A73"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61527AB4" w14:textId="33743C2C" w:rsidR="00B722C5" w:rsidRPr="001202A2" w:rsidRDefault="00B722C5"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Hemodinamski nestabilni pacijenti sa PE ili pacijenti kojima je potrebna tromboliza ili plućna embolektomija</w:t>
      </w:r>
    </w:p>
    <w:p w14:paraId="5E41A2E3" w14:textId="234D48A5" w:rsidR="00B722C5" w:rsidRPr="001202A2" w:rsidRDefault="00B722C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ne preporučuje kao zam</w:t>
      </w:r>
      <w:r w:rsidR="00E403E9" w:rsidRPr="001202A2">
        <w:rPr>
          <w:rFonts w:eastAsia="TimesNewRoman"/>
          <w:szCs w:val="22"/>
          <w:lang w:val="sr-Latn-ME"/>
        </w:rPr>
        <w:t>j</w:t>
      </w:r>
      <w:r w:rsidRPr="001202A2">
        <w:rPr>
          <w:rFonts w:eastAsia="TimesNewRoman"/>
          <w:szCs w:val="22"/>
          <w:lang w:val="sr-Latn-ME"/>
        </w:rPr>
        <w:t xml:space="preserve">ena za UFH kod pacijenata sa plućnom embolijom koji su hemodinamski nestabilni ili kod kojih se </w:t>
      </w:r>
      <w:r w:rsidR="008373F5" w:rsidRPr="001202A2">
        <w:rPr>
          <w:rFonts w:eastAsia="TimesNewRoman"/>
          <w:szCs w:val="22"/>
          <w:lang w:val="sr-Latn-ME"/>
        </w:rPr>
        <w:t>razmatra</w:t>
      </w:r>
      <w:r w:rsidRPr="001202A2">
        <w:rPr>
          <w:rFonts w:eastAsia="TimesNewRoman"/>
          <w:szCs w:val="22"/>
          <w:lang w:val="sr-Latn-ME"/>
        </w:rPr>
        <w:t xml:space="preserve"> tromboliza ili plućna embolektomija, jer bezb</w:t>
      </w:r>
      <w:r w:rsidR="00E403E9" w:rsidRPr="001202A2">
        <w:rPr>
          <w:rFonts w:eastAsia="TimesNewRoman"/>
          <w:szCs w:val="22"/>
          <w:lang w:val="sr-Latn-ME"/>
        </w:rPr>
        <w:t>j</w:t>
      </w:r>
      <w:r w:rsidRPr="001202A2">
        <w:rPr>
          <w:rFonts w:eastAsia="TimesNewRoman"/>
          <w:szCs w:val="22"/>
          <w:lang w:val="sr-Latn-ME"/>
        </w:rPr>
        <w:t xml:space="preserve">ednost i efikasnost edoksabana </w:t>
      </w:r>
      <w:r w:rsidR="00072E07" w:rsidRPr="001202A2">
        <w:rPr>
          <w:rFonts w:eastAsia="TimesNewRoman"/>
          <w:szCs w:val="22"/>
          <w:lang w:val="sr-Latn-ME"/>
        </w:rPr>
        <w:t xml:space="preserve">nijesu </w:t>
      </w:r>
      <w:r w:rsidRPr="001202A2">
        <w:rPr>
          <w:rFonts w:eastAsia="TimesNewRoman"/>
          <w:szCs w:val="22"/>
          <w:lang w:val="sr-Latn-ME"/>
        </w:rPr>
        <w:t>ustanovljen</w:t>
      </w:r>
      <w:r w:rsidR="008373F5" w:rsidRPr="001202A2">
        <w:rPr>
          <w:rFonts w:eastAsia="TimesNewRoman"/>
          <w:szCs w:val="22"/>
          <w:lang w:val="sr-Latn-ME"/>
        </w:rPr>
        <w:t>i</w:t>
      </w:r>
      <w:r w:rsidRPr="001202A2">
        <w:rPr>
          <w:rFonts w:eastAsia="TimesNewRoman"/>
          <w:szCs w:val="22"/>
          <w:lang w:val="sr-Latn-ME"/>
        </w:rPr>
        <w:t xml:space="preserve"> u </w:t>
      </w:r>
      <w:r w:rsidR="008373F5" w:rsidRPr="001202A2">
        <w:rPr>
          <w:rFonts w:eastAsia="TimesNewRoman"/>
          <w:szCs w:val="22"/>
          <w:lang w:val="sr-Latn-ME"/>
        </w:rPr>
        <w:t>ovim</w:t>
      </w:r>
      <w:r w:rsidRPr="001202A2">
        <w:rPr>
          <w:rFonts w:eastAsia="TimesNewRoman"/>
          <w:szCs w:val="22"/>
          <w:lang w:val="sr-Latn-ME"/>
        </w:rPr>
        <w:t xml:space="preserve"> kliničkim situacijama.</w:t>
      </w:r>
    </w:p>
    <w:p w14:paraId="0B73F6BE"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1712D5D4" w14:textId="3CBE663E" w:rsidR="00B722C5" w:rsidRPr="001202A2" w:rsidRDefault="00B722C5"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 xml:space="preserve">Pacijenti sa aktivnim </w:t>
      </w:r>
      <w:r w:rsidR="00F33BC2" w:rsidRPr="001202A2">
        <w:rPr>
          <w:rFonts w:eastAsia="TimesNewRoman"/>
          <w:szCs w:val="22"/>
          <w:u w:val="single"/>
          <w:lang w:val="sr-Latn-ME"/>
        </w:rPr>
        <w:t>karcinomom</w:t>
      </w:r>
    </w:p>
    <w:p w14:paraId="1D6EA7B4" w14:textId="1EFE0034" w:rsidR="00B722C5" w:rsidRPr="001202A2" w:rsidRDefault="00B722C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Efikasnost i bezb</w:t>
      </w:r>
      <w:r w:rsidR="00E403E9" w:rsidRPr="001202A2">
        <w:rPr>
          <w:rFonts w:eastAsia="TimesNewRoman"/>
          <w:szCs w:val="22"/>
          <w:lang w:val="sr-Latn-ME"/>
        </w:rPr>
        <w:t>j</w:t>
      </w:r>
      <w:r w:rsidRPr="001202A2">
        <w:rPr>
          <w:rFonts w:eastAsia="TimesNewRoman"/>
          <w:szCs w:val="22"/>
          <w:lang w:val="sr-Latn-ME"/>
        </w:rPr>
        <w:t>ednost edoksabana u l</w:t>
      </w:r>
      <w:r w:rsidR="00E403E9" w:rsidRPr="001202A2">
        <w:rPr>
          <w:rFonts w:eastAsia="TimesNewRoman"/>
          <w:szCs w:val="22"/>
          <w:lang w:val="sr-Latn-ME"/>
        </w:rPr>
        <w:t>ij</w:t>
      </w:r>
      <w:r w:rsidRPr="001202A2">
        <w:rPr>
          <w:rFonts w:eastAsia="TimesNewRoman"/>
          <w:szCs w:val="22"/>
          <w:lang w:val="sr-Latn-ME"/>
        </w:rPr>
        <w:t xml:space="preserve">ečenju i/ili prevenciji VTE kod pacijenata sa aktivnim </w:t>
      </w:r>
      <w:r w:rsidR="00F33BC2" w:rsidRPr="001202A2">
        <w:rPr>
          <w:rFonts w:eastAsia="TimesNewRoman"/>
          <w:szCs w:val="22"/>
          <w:lang w:val="sr-Latn-ME"/>
        </w:rPr>
        <w:t>karcinomom</w:t>
      </w:r>
      <w:r w:rsidRPr="001202A2">
        <w:rPr>
          <w:rFonts w:eastAsia="TimesNewRoman"/>
          <w:szCs w:val="22"/>
          <w:lang w:val="sr-Latn-ME"/>
        </w:rPr>
        <w:t xml:space="preserve"> ni</w:t>
      </w:r>
      <w:r w:rsidR="004F5646" w:rsidRPr="001202A2">
        <w:rPr>
          <w:rFonts w:eastAsia="TimesNewRoman"/>
          <w:szCs w:val="22"/>
          <w:lang w:val="sr-Latn-ME"/>
        </w:rPr>
        <w:t>je</w:t>
      </w:r>
      <w:r w:rsidRPr="001202A2">
        <w:rPr>
          <w:rFonts w:eastAsia="TimesNewRoman"/>
          <w:szCs w:val="22"/>
          <w:lang w:val="sr-Latn-ME"/>
        </w:rPr>
        <w:t>su ustanovljen</w:t>
      </w:r>
      <w:r w:rsidR="00F33BC2" w:rsidRPr="001202A2">
        <w:rPr>
          <w:rFonts w:eastAsia="TimesNewRoman"/>
          <w:szCs w:val="22"/>
          <w:lang w:val="sr-Latn-ME"/>
        </w:rPr>
        <w:t>i</w:t>
      </w:r>
      <w:r w:rsidRPr="001202A2">
        <w:rPr>
          <w:rFonts w:eastAsia="TimesNewRoman"/>
          <w:szCs w:val="22"/>
          <w:lang w:val="sr-Latn-ME"/>
        </w:rPr>
        <w:t>.</w:t>
      </w:r>
    </w:p>
    <w:p w14:paraId="3446FD72"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2CFFF4F9" w14:textId="77777777" w:rsidR="006F6555" w:rsidRPr="001202A2" w:rsidRDefault="006F6555"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Pacijenti sa antifosfolipidnim sindromom</w:t>
      </w:r>
    </w:p>
    <w:p w14:paraId="1D7903C8" w14:textId="231BD89A" w:rsidR="006F6555" w:rsidRPr="001202A2" w:rsidRDefault="006F655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lastRenderedPageBreak/>
        <w:t>Direktno d</w:t>
      </w:r>
      <w:r w:rsidR="00E403E9" w:rsidRPr="001202A2">
        <w:rPr>
          <w:rFonts w:eastAsia="TimesNewRoman"/>
          <w:szCs w:val="22"/>
          <w:lang w:val="sr-Latn-ME"/>
        </w:rPr>
        <w:t>j</w:t>
      </w:r>
      <w:r w:rsidRPr="001202A2">
        <w:rPr>
          <w:rFonts w:eastAsia="TimesNewRoman"/>
          <w:szCs w:val="22"/>
          <w:lang w:val="sr-Latn-ME"/>
        </w:rPr>
        <w:t xml:space="preserve">elujući oralni antikoagulansi (engl. </w:t>
      </w:r>
      <w:r w:rsidRPr="001202A2">
        <w:rPr>
          <w:rFonts w:eastAsia="TimesNewRoman"/>
          <w:i/>
          <w:iCs/>
          <w:szCs w:val="22"/>
          <w:lang w:val="sr-Latn-ME"/>
        </w:rPr>
        <w:t>direct acting oral anticoagulants</w:t>
      </w:r>
      <w:r w:rsidRPr="001202A2">
        <w:rPr>
          <w:rFonts w:eastAsia="TimesNewRoman"/>
          <w:szCs w:val="22"/>
          <w:lang w:val="sr-Latn-ME"/>
        </w:rPr>
        <w:t>, DOAC), uključujući edoksaban, se ne preporučuju kod pacijenata sa trombozom u anamnezi i dijagnozom antifosfolipidnog sindroma. Naročito se ne preporučuju kod pacijenata koji su trostruko pozitivni (na lupus antikoagulans, antikardiolipinska antit</w:t>
      </w:r>
      <w:r w:rsidR="00E403E9" w:rsidRPr="001202A2">
        <w:rPr>
          <w:rFonts w:eastAsia="TimesNewRoman"/>
          <w:szCs w:val="22"/>
          <w:lang w:val="sr-Latn-ME"/>
        </w:rPr>
        <w:t>ij</w:t>
      </w:r>
      <w:r w:rsidRPr="001202A2">
        <w:rPr>
          <w:rFonts w:eastAsia="TimesNewRoman"/>
          <w:szCs w:val="22"/>
          <w:lang w:val="sr-Latn-ME"/>
        </w:rPr>
        <w:t>ela i anti-beta</w:t>
      </w:r>
      <w:r w:rsidR="00A54B87" w:rsidRPr="001202A2">
        <w:rPr>
          <w:rFonts w:eastAsia="TimesNewRoman"/>
          <w:szCs w:val="22"/>
          <w:lang w:val="sr-Latn-ME"/>
        </w:rPr>
        <w:t>-</w:t>
      </w:r>
      <w:r w:rsidRPr="001202A2">
        <w:rPr>
          <w:rFonts w:eastAsia="TimesNewRoman"/>
          <w:szCs w:val="22"/>
          <w:lang w:val="sr-Latn-ME"/>
        </w:rPr>
        <w:t>2-glikoprotein-I antit</w:t>
      </w:r>
      <w:r w:rsidR="00E403E9" w:rsidRPr="001202A2">
        <w:rPr>
          <w:rFonts w:eastAsia="TimesNewRoman"/>
          <w:szCs w:val="22"/>
          <w:lang w:val="sr-Latn-ME"/>
        </w:rPr>
        <w:t>ij</w:t>
      </w:r>
      <w:r w:rsidRPr="001202A2">
        <w:rPr>
          <w:rFonts w:eastAsia="TimesNewRoman"/>
          <w:szCs w:val="22"/>
          <w:lang w:val="sr-Latn-ME"/>
        </w:rPr>
        <w:t xml:space="preserve">ela), kod kojih </w:t>
      </w:r>
      <w:r w:rsidR="00A54B87" w:rsidRPr="001202A2">
        <w:rPr>
          <w:rFonts w:eastAsia="TimesNewRoman"/>
          <w:szCs w:val="22"/>
          <w:lang w:val="sr-Latn-ME"/>
        </w:rPr>
        <w:t>terapija</w:t>
      </w:r>
      <w:r w:rsidRPr="001202A2">
        <w:rPr>
          <w:rFonts w:eastAsia="TimesNewRoman"/>
          <w:szCs w:val="22"/>
          <w:lang w:val="sr-Latn-ME"/>
        </w:rPr>
        <w:t xml:space="preserve"> direktno d</w:t>
      </w:r>
      <w:r w:rsidR="00E403E9" w:rsidRPr="001202A2">
        <w:rPr>
          <w:rFonts w:eastAsia="TimesNewRoman"/>
          <w:szCs w:val="22"/>
          <w:lang w:val="sr-Latn-ME"/>
        </w:rPr>
        <w:t>j</w:t>
      </w:r>
      <w:r w:rsidRPr="001202A2">
        <w:rPr>
          <w:rFonts w:eastAsia="TimesNewRoman"/>
          <w:szCs w:val="22"/>
          <w:lang w:val="sr-Latn-ME"/>
        </w:rPr>
        <w:t xml:space="preserve">elujućim oralnim antikoagulansima </w:t>
      </w:r>
      <w:r w:rsidR="00A54B87" w:rsidRPr="001202A2">
        <w:rPr>
          <w:rFonts w:eastAsia="TimesNewRoman"/>
          <w:szCs w:val="22"/>
          <w:lang w:val="sr-Latn-ME"/>
        </w:rPr>
        <w:t>može</w:t>
      </w:r>
      <w:r w:rsidRPr="001202A2">
        <w:rPr>
          <w:rFonts w:eastAsia="TimesNewRoman"/>
          <w:szCs w:val="22"/>
          <w:lang w:val="sr-Latn-ME"/>
        </w:rPr>
        <w:t xml:space="preserve"> biti povezan</w:t>
      </w:r>
      <w:r w:rsidR="00A54B87" w:rsidRPr="001202A2">
        <w:rPr>
          <w:rFonts w:eastAsia="TimesNewRoman"/>
          <w:szCs w:val="22"/>
          <w:lang w:val="sr-Latn-ME"/>
        </w:rPr>
        <w:t>a</w:t>
      </w:r>
      <w:r w:rsidRPr="001202A2">
        <w:rPr>
          <w:rFonts w:eastAsia="TimesNewRoman"/>
          <w:szCs w:val="22"/>
          <w:lang w:val="sr-Latn-ME"/>
        </w:rPr>
        <w:t xml:space="preserve"> sa povećanom </w:t>
      </w:r>
      <w:r w:rsidR="00A54B87" w:rsidRPr="001202A2">
        <w:rPr>
          <w:rFonts w:eastAsia="TimesNewRoman"/>
          <w:szCs w:val="22"/>
          <w:lang w:val="sr-Latn-ME"/>
        </w:rPr>
        <w:t>učestalošću</w:t>
      </w:r>
      <w:r w:rsidRPr="001202A2">
        <w:rPr>
          <w:rFonts w:eastAsia="TimesNewRoman"/>
          <w:szCs w:val="22"/>
          <w:lang w:val="sr-Latn-ME"/>
        </w:rPr>
        <w:t xml:space="preserve"> </w:t>
      </w:r>
      <w:r w:rsidR="00A54B87" w:rsidRPr="001202A2">
        <w:rPr>
          <w:rFonts w:eastAsia="TimesNewRoman"/>
          <w:szCs w:val="22"/>
          <w:lang w:val="sr-Latn-ME"/>
        </w:rPr>
        <w:t>rekurentnih</w:t>
      </w:r>
      <w:r w:rsidRPr="001202A2">
        <w:rPr>
          <w:rFonts w:eastAsia="TimesNewRoman"/>
          <w:szCs w:val="22"/>
          <w:lang w:val="sr-Latn-ME"/>
        </w:rPr>
        <w:t xml:space="preserve"> trombotskih događaja u poređenju sa terapijom antagonistima vitamina K.</w:t>
      </w:r>
    </w:p>
    <w:p w14:paraId="7E5161E2"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4692C1A2" w14:textId="77777777" w:rsidR="006F6555" w:rsidRPr="001202A2" w:rsidRDefault="006F6555"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Laboratorijski parametri koagulacije</w:t>
      </w:r>
    </w:p>
    <w:p w14:paraId="6B577813" w14:textId="5F005EDD" w:rsidR="006F6555" w:rsidRPr="001202A2" w:rsidRDefault="006F655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Iako </w:t>
      </w:r>
      <w:r w:rsidR="00A54B87" w:rsidRPr="001202A2">
        <w:rPr>
          <w:rFonts w:eastAsia="TimesNewRoman"/>
          <w:szCs w:val="22"/>
          <w:lang w:val="sr-Latn-ME"/>
        </w:rPr>
        <w:t>terapija</w:t>
      </w:r>
      <w:r w:rsidRPr="001202A2">
        <w:rPr>
          <w:rFonts w:eastAsia="TimesNewRoman"/>
          <w:szCs w:val="22"/>
          <w:lang w:val="sr-Latn-ME"/>
        </w:rPr>
        <w:t xml:space="preserve"> edoksabanom ne zaht</w:t>
      </w:r>
      <w:r w:rsidR="00E403E9" w:rsidRPr="001202A2">
        <w:rPr>
          <w:rFonts w:eastAsia="TimesNewRoman"/>
          <w:szCs w:val="22"/>
          <w:lang w:val="sr-Latn-ME"/>
        </w:rPr>
        <w:t>ij</w:t>
      </w:r>
      <w:r w:rsidRPr="001202A2">
        <w:rPr>
          <w:rFonts w:eastAsia="TimesNewRoman"/>
          <w:szCs w:val="22"/>
          <w:lang w:val="sr-Latn-ME"/>
        </w:rPr>
        <w:t xml:space="preserve">eva rutinsko praćenje, </w:t>
      </w:r>
      <w:r w:rsidR="00A54B87" w:rsidRPr="001202A2">
        <w:rPr>
          <w:rFonts w:eastAsia="TimesNewRoman"/>
          <w:szCs w:val="22"/>
          <w:lang w:val="sr-Latn-ME"/>
        </w:rPr>
        <w:t>antikoagulantni efekat se</w:t>
      </w:r>
      <w:r w:rsidRPr="001202A2">
        <w:rPr>
          <w:rFonts w:eastAsia="TimesNewRoman"/>
          <w:szCs w:val="22"/>
          <w:lang w:val="sr-Latn-ME"/>
        </w:rPr>
        <w:t xml:space="preserve"> može proc</w:t>
      </w:r>
      <w:r w:rsidR="00E403E9" w:rsidRPr="001202A2">
        <w:rPr>
          <w:rFonts w:eastAsia="TimesNewRoman"/>
          <w:szCs w:val="22"/>
          <w:lang w:val="sr-Latn-ME"/>
        </w:rPr>
        <w:t>ij</w:t>
      </w:r>
      <w:r w:rsidRPr="001202A2">
        <w:rPr>
          <w:rFonts w:eastAsia="TimesNewRoman"/>
          <w:szCs w:val="22"/>
          <w:lang w:val="sr-Latn-ME"/>
        </w:rPr>
        <w:t>eniti kalibri</w:t>
      </w:r>
      <w:r w:rsidR="00A54B87" w:rsidRPr="001202A2">
        <w:rPr>
          <w:rFonts w:eastAsia="TimesNewRoman"/>
          <w:szCs w:val="22"/>
          <w:lang w:val="sr-Latn-ME"/>
        </w:rPr>
        <w:t>sanim</w:t>
      </w:r>
      <w:r w:rsidRPr="001202A2">
        <w:rPr>
          <w:rFonts w:eastAsia="TimesNewRoman"/>
          <w:szCs w:val="22"/>
          <w:lang w:val="sr-Latn-ME"/>
        </w:rPr>
        <w:t xml:space="preserve"> kvantitativn</w:t>
      </w:r>
      <w:r w:rsidR="00A54B87" w:rsidRPr="001202A2">
        <w:rPr>
          <w:rFonts w:eastAsia="TimesNewRoman"/>
          <w:szCs w:val="22"/>
          <w:lang w:val="sr-Latn-ME"/>
        </w:rPr>
        <w:t>i</w:t>
      </w:r>
      <w:r w:rsidRPr="001202A2">
        <w:rPr>
          <w:rFonts w:eastAsia="TimesNewRoman"/>
          <w:szCs w:val="22"/>
          <w:lang w:val="sr-Latn-ME"/>
        </w:rPr>
        <w:t xml:space="preserve">m anti-faktor Xa (anti-FXa) </w:t>
      </w:r>
      <w:r w:rsidR="00A54B87" w:rsidRPr="001202A2">
        <w:rPr>
          <w:rFonts w:eastAsia="TimesNewRoman"/>
          <w:szCs w:val="22"/>
          <w:lang w:val="sr-Latn-ME"/>
        </w:rPr>
        <w:t>testom</w:t>
      </w:r>
      <w:r w:rsidRPr="001202A2">
        <w:rPr>
          <w:rFonts w:eastAsia="TimesNewRoman"/>
          <w:szCs w:val="22"/>
          <w:lang w:val="sr-Latn-ME"/>
        </w:rPr>
        <w:t xml:space="preserve">, </w:t>
      </w:r>
      <w:r w:rsidR="00A54B87" w:rsidRPr="001202A2">
        <w:rPr>
          <w:rFonts w:eastAsia="TimesNewRoman"/>
          <w:szCs w:val="22"/>
          <w:lang w:val="sr-Latn-ME"/>
        </w:rPr>
        <w:t>koji</w:t>
      </w:r>
      <w:r w:rsidRPr="001202A2">
        <w:rPr>
          <w:rFonts w:eastAsia="TimesNewRoman"/>
          <w:szCs w:val="22"/>
          <w:lang w:val="sr-Latn-ME"/>
        </w:rPr>
        <w:t xml:space="preserve"> može pomoći </w:t>
      </w:r>
      <w:r w:rsidR="00542C0A" w:rsidRPr="001202A2">
        <w:rPr>
          <w:rFonts w:eastAsia="TimesNewRoman"/>
          <w:szCs w:val="22"/>
          <w:lang w:val="sr-Latn-ME"/>
        </w:rPr>
        <w:t xml:space="preserve">pri odlučivanju u </w:t>
      </w:r>
      <w:r w:rsidRPr="001202A2">
        <w:rPr>
          <w:rFonts w:eastAsia="TimesNewRoman"/>
          <w:szCs w:val="22"/>
          <w:lang w:val="sr-Latn-ME"/>
        </w:rPr>
        <w:t>određenim situacijama, npr. kod predoziranja i hitne hirurške intervencije (vid</w:t>
      </w:r>
      <w:r w:rsidR="00E403E9" w:rsidRPr="001202A2">
        <w:rPr>
          <w:rFonts w:eastAsia="TimesNewRoman"/>
          <w:szCs w:val="22"/>
          <w:lang w:val="sr-Latn-ME"/>
        </w:rPr>
        <w:t>j</w:t>
      </w:r>
      <w:r w:rsidRPr="001202A2">
        <w:rPr>
          <w:rFonts w:eastAsia="TimesNewRoman"/>
          <w:szCs w:val="22"/>
          <w:lang w:val="sr-Latn-ME"/>
        </w:rPr>
        <w:t xml:space="preserve">eti takođe </w:t>
      </w:r>
      <w:r w:rsidR="00E403E9" w:rsidRPr="001202A2">
        <w:rPr>
          <w:rFonts w:eastAsia="TimesNewRoman"/>
          <w:szCs w:val="22"/>
          <w:lang w:val="sr-Latn-ME"/>
        </w:rPr>
        <w:t>dio</w:t>
      </w:r>
      <w:r w:rsidRPr="001202A2">
        <w:rPr>
          <w:rFonts w:eastAsia="TimesNewRoman"/>
          <w:szCs w:val="22"/>
          <w:lang w:val="sr-Latn-ME"/>
        </w:rPr>
        <w:t xml:space="preserve"> 5.2).</w:t>
      </w:r>
    </w:p>
    <w:p w14:paraId="2C443714"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14744839" w14:textId="77777777" w:rsidR="00813187" w:rsidRPr="001202A2" w:rsidRDefault="006F655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Edoksaban </w:t>
      </w:r>
      <w:r w:rsidR="00542C0A" w:rsidRPr="001202A2">
        <w:rPr>
          <w:rFonts w:eastAsia="TimesNewRoman"/>
          <w:szCs w:val="22"/>
          <w:lang w:val="sr-Latn-ME"/>
        </w:rPr>
        <w:t>povećava</w:t>
      </w:r>
      <w:r w:rsidRPr="001202A2">
        <w:rPr>
          <w:rFonts w:eastAsia="TimesNewRoman"/>
          <w:szCs w:val="22"/>
          <w:lang w:val="sr-Latn-ME"/>
        </w:rPr>
        <w:t xml:space="preserve"> </w:t>
      </w:r>
      <w:r w:rsidR="00542C0A" w:rsidRPr="001202A2">
        <w:rPr>
          <w:rFonts w:eastAsia="TimesNewRoman"/>
          <w:szCs w:val="22"/>
          <w:lang w:val="sr-Latn-ME"/>
        </w:rPr>
        <w:t>vr</w:t>
      </w:r>
      <w:r w:rsidR="00E403E9" w:rsidRPr="001202A2">
        <w:rPr>
          <w:rFonts w:eastAsia="TimesNewRoman"/>
          <w:szCs w:val="22"/>
          <w:lang w:val="sr-Latn-ME"/>
        </w:rPr>
        <w:t>ij</w:t>
      </w:r>
      <w:r w:rsidR="00542C0A" w:rsidRPr="001202A2">
        <w:rPr>
          <w:rFonts w:eastAsia="TimesNewRoman"/>
          <w:szCs w:val="22"/>
          <w:lang w:val="sr-Latn-ME"/>
        </w:rPr>
        <w:t xml:space="preserve">ednosti </w:t>
      </w:r>
      <w:r w:rsidRPr="001202A2">
        <w:rPr>
          <w:rFonts w:eastAsia="TimesNewRoman"/>
          <w:szCs w:val="22"/>
          <w:lang w:val="sr-Latn-ME"/>
        </w:rPr>
        <w:t>standardn</w:t>
      </w:r>
      <w:r w:rsidR="00542C0A" w:rsidRPr="001202A2">
        <w:rPr>
          <w:rFonts w:eastAsia="TimesNewRoman"/>
          <w:szCs w:val="22"/>
          <w:lang w:val="sr-Latn-ME"/>
        </w:rPr>
        <w:t>ih</w:t>
      </w:r>
      <w:r w:rsidRPr="001202A2">
        <w:rPr>
          <w:rFonts w:eastAsia="TimesNewRoman"/>
          <w:szCs w:val="22"/>
          <w:lang w:val="sr-Latn-ME"/>
        </w:rPr>
        <w:t xml:space="preserve"> analiz</w:t>
      </w:r>
      <w:r w:rsidR="00542C0A" w:rsidRPr="001202A2">
        <w:rPr>
          <w:rFonts w:eastAsia="TimesNewRoman"/>
          <w:szCs w:val="22"/>
          <w:lang w:val="sr-Latn-ME"/>
        </w:rPr>
        <w:t>a</w:t>
      </w:r>
      <w:r w:rsidRPr="001202A2">
        <w:rPr>
          <w:rFonts w:eastAsia="TimesNewRoman"/>
          <w:szCs w:val="22"/>
          <w:lang w:val="sr-Latn-ME"/>
        </w:rPr>
        <w:t xml:space="preserve"> ispitivanja zgrušavanja krvi, kao što su protrombinsko vr</w:t>
      </w:r>
      <w:r w:rsidR="00E403E9" w:rsidRPr="001202A2">
        <w:rPr>
          <w:rFonts w:eastAsia="TimesNewRoman"/>
          <w:szCs w:val="22"/>
          <w:lang w:val="sr-Latn-ME"/>
        </w:rPr>
        <w:t>ij</w:t>
      </w:r>
      <w:r w:rsidRPr="001202A2">
        <w:rPr>
          <w:rFonts w:eastAsia="TimesNewRoman"/>
          <w:szCs w:val="22"/>
          <w:lang w:val="sr-Latn-ME"/>
        </w:rPr>
        <w:t xml:space="preserve">eme (engl. </w:t>
      </w:r>
      <w:r w:rsidRPr="001202A2">
        <w:rPr>
          <w:rFonts w:eastAsia="TimesNewRoman"/>
          <w:i/>
          <w:iCs/>
          <w:szCs w:val="22"/>
          <w:lang w:val="sr-Latn-ME"/>
        </w:rPr>
        <w:t xml:space="preserve">prothrombin time, </w:t>
      </w:r>
      <w:r w:rsidRPr="001202A2">
        <w:rPr>
          <w:rFonts w:eastAsia="TimesNewRoman"/>
          <w:szCs w:val="22"/>
          <w:lang w:val="sr-Latn-ME"/>
        </w:rPr>
        <w:t>PT), INR i aktivirano parcijalno tromboplastinsko vr</w:t>
      </w:r>
      <w:r w:rsidR="00E403E9" w:rsidRPr="001202A2">
        <w:rPr>
          <w:rFonts w:eastAsia="TimesNewRoman"/>
          <w:szCs w:val="22"/>
          <w:lang w:val="sr-Latn-ME"/>
        </w:rPr>
        <w:t>ij</w:t>
      </w:r>
      <w:r w:rsidRPr="001202A2">
        <w:rPr>
          <w:rFonts w:eastAsia="TimesNewRoman"/>
          <w:szCs w:val="22"/>
          <w:lang w:val="sr-Latn-ME"/>
        </w:rPr>
        <w:t xml:space="preserve">eme (engl. </w:t>
      </w:r>
      <w:r w:rsidRPr="001202A2">
        <w:rPr>
          <w:rFonts w:eastAsia="TimesNewRoman"/>
          <w:i/>
          <w:iCs/>
          <w:szCs w:val="22"/>
          <w:lang w:val="sr-Latn-ME"/>
        </w:rPr>
        <w:t xml:space="preserve">activated partial thromboplastin time, </w:t>
      </w:r>
      <w:r w:rsidRPr="001202A2">
        <w:rPr>
          <w:rFonts w:eastAsia="TimesNewRoman"/>
          <w:szCs w:val="22"/>
          <w:lang w:val="sr-Latn-ME"/>
        </w:rPr>
        <w:t>aP</w:t>
      </w:r>
      <w:r w:rsidR="00542C0A" w:rsidRPr="001202A2">
        <w:rPr>
          <w:rFonts w:eastAsia="TimesNewRoman"/>
          <w:szCs w:val="22"/>
          <w:lang w:val="sr-Latn-ME"/>
        </w:rPr>
        <w:t>TT</w:t>
      </w:r>
      <w:r w:rsidRPr="001202A2">
        <w:rPr>
          <w:rFonts w:eastAsia="TimesNewRoman"/>
          <w:szCs w:val="22"/>
          <w:lang w:val="sr-Latn-ME"/>
        </w:rPr>
        <w:t>), što je posl</w:t>
      </w:r>
      <w:r w:rsidR="00E403E9" w:rsidRPr="001202A2">
        <w:rPr>
          <w:rFonts w:eastAsia="TimesNewRoman"/>
          <w:szCs w:val="22"/>
          <w:lang w:val="sr-Latn-ME"/>
        </w:rPr>
        <w:t>j</w:t>
      </w:r>
      <w:r w:rsidRPr="001202A2">
        <w:rPr>
          <w:rFonts w:eastAsia="TimesNewRoman"/>
          <w:szCs w:val="22"/>
          <w:lang w:val="sr-Latn-ME"/>
        </w:rPr>
        <w:t>edica inhibicije faktora Xa (FXa). Međutim,</w:t>
      </w:r>
      <w:r w:rsidR="000048E8" w:rsidRPr="001202A2">
        <w:rPr>
          <w:rFonts w:eastAsia="TimesNewRoman"/>
          <w:szCs w:val="22"/>
          <w:lang w:val="sr-Latn-ME"/>
        </w:rPr>
        <w:t xml:space="preserve"> prilikom prim</w:t>
      </w:r>
      <w:r w:rsidR="00E403E9" w:rsidRPr="001202A2">
        <w:rPr>
          <w:rFonts w:eastAsia="TimesNewRoman"/>
          <w:szCs w:val="22"/>
          <w:lang w:val="sr-Latn-ME"/>
        </w:rPr>
        <w:t>j</w:t>
      </w:r>
      <w:r w:rsidR="000048E8" w:rsidRPr="001202A2">
        <w:rPr>
          <w:rFonts w:eastAsia="TimesNewRoman"/>
          <w:szCs w:val="22"/>
          <w:lang w:val="sr-Latn-ME"/>
        </w:rPr>
        <w:t>ene terapijskih doza, zapažaju se male i veoma varijabilne prom</w:t>
      </w:r>
      <w:r w:rsidR="00E403E9" w:rsidRPr="001202A2">
        <w:rPr>
          <w:rFonts w:eastAsia="TimesNewRoman"/>
          <w:szCs w:val="22"/>
          <w:lang w:val="sr-Latn-ME"/>
        </w:rPr>
        <w:t>j</w:t>
      </w:r>
      <w:r w:rsidR="000048E8" w:rsidRPr="001202A2">
        <w:rPr>
          <w:rFonts w:eastAsia="TimesNewRoman"/>
          <w:szCs w:val="22"/>
          <w:lang w:val="sr-Latn-ME"/>
        </w:rPr>
        <w:t xml:space="preserve">ene ovih parametara za praćenje koagulacije, koji </w:t>
      </w:r>
    </w:p>
    <w:p w14:paraId="33A82CE4" w14:textId="1677A1AB" w:rsidR="006F6555" w:rsidRPr="001202A2" w:rsidRDefault="006F655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ni</w:t>
      </w:r>
      <w:r w:rsidR="00072E07" w:rsidRPr="001202A2">
        <w:rPr>
          <w:rFonts w:eastAsia="TimesNewRoman"/>
          <w:szCs w:val="22"/>
          <w:lang w:val="sr-Latn-ME"/>
        </w:rPr>
        <w:t>je</w:t>
      </w:r>
      <w:r w:rsidRPr="001202A2">
        <w:rPr>
          <w:rFonts w:eastAsia="TimesNewRoman"/>
          <w:szCs w:val="22"/>
          <w:lang w:val="sr-Latn-ME"/>
        </w:rPr>
        <w:t>su</w:t>
      </w:r>
      <w:r w:rsidR="000048E8" w:rsidRPr="001202A2">
        <w:rPr>
          <w:rFonts w:eastAsia="TimesNewRoman"/>
          <w:szCs w:val="22"/>
          <w:lang w:val="sr-Latn-ME"/>
        </w:rPr>
        <w:t xml:space="preserve"> od</w:t>
      </w:r>
      <w:r w:rsidRPr="001202A2">
        <w:rPr>
          <w:rFonts w:eastAsia="TimesNewRoman"/>
          <w:szCs w:val="22"/>
          <w:lang w:val="sr-Latn-ME"/>
        </w:rPr>
        <w:t xml:space="preserve"> koris</w:t>
      </w:r>
      <w:r w:rsidR="00E75859" w:rsidRPr="001202A2">
        <w:rPr>
          <w:rFonts w:eastAsia="TimesNewRoman"/>
          <w:szCs w:val="22"/>
          <w:lang w:val="sr-Latn-ME"/>
        </w:rPr>
        <w:t>t</w:t>
      </w:r>
      <w:r w:rsidR="000048E8" w:rsidRPr="001202A2">
        <w:rPr>
          <w:rFonts w:eastAsia="TimesNewRoman"/>
          <w:szCs w:val="22"/>
          <w:lang w:val="sr-Latn-ME"/>
        </w:rPr>
        <w:t>i</w:t>
      </w:r>
      <w:r w:rsidRPr="001202A2">
        <w:rPr>
          <w:rFonts w:eastAsia="TimesNewRoman"/>
          <w:szCs w:val="22"/>
          <w:lang w:val="sr-Latn-ME"/>
        </w:rPr>
        <w:t xml:space="preserve"> u praćenju antikoagul</w:t>
      </w:r>
      <w:r w:rsidR="000048E8" w:rsidRPr="001202A2">
        <w:rPr>
          <w:rFonts w:eastAsia="TimesNewRoman"/>
          <w:szCs w:val="22"/>
          <w:lang w:val="sr-Latn-ME"/>
        </w:rPr>
        <w:t>antnog</w:t>
      </w:r>
      <w:r w:rsidRPr="001202A2">
        <w:rPr>
          <w:rFonts w:eastAsia="TimesNewRoman"/>
          <w:szCs w:val="22"/>
          <w:lang w:val="sr-Latn-ME"/>
        </w:rPr>
        <w:t xml:space="preserve"> </w:t>
      </w:r>
      <w:r w:rsidR="000048E8" w:rsidRPr="001202A2">
        <w:rPr>
          <w:rFonts w:eastAsia="TimesNewRoman"/>
          <w:szCs w:val="22"/>
          <w:lang w:val="sr-Latn-ME"/>
        </w:rPr>
        <w:t>efekta</w:t>
      </w:r>
      <w:r w:rsidRPr="001202A2">
        <w:rPr>
          <w:rFonts w:eastAsia="TimesNewRoman"/>
          <w:szCs w:val="22"/>
          <w:lang w:val="sr-Latn-ME"/>
        </w:rPr>
        <w:t xml:space="preserve"> edoksabana.</w:t>
      </w:r>
    </w:p>
    <w:p w14:paraId="2438B631" w14:textId="77777777" w:rsidR="00813187" w:rsidRPr="001202A2" w:rsidRDefault="00813187" w:rsidP="00480B31">
      <w:pPr>
        <w:tabs>
          <w:tab w:val="clear" w:pos="284"/>
        </w:tabs>
        <w:autoSpaceDE w:val="0"/>
        <w:autoSpaceDN w:val="0"/>
        <w:adjustRightInd w:val="0"/>
        <w:rPr>
          <w:b/>
          <w:bCs/>
          <w:szCs w:val="22"/>
          <w:lang w:val="sr-Latn-ME"/>
        </w:rPr>
      </w:pPr>
    </w:p>
    <w:p w14:paraId="3D710FC9" w14:textId="66E89ACF" w:rsidR="00CE09F3" w:rsidRPr="001202A2" w:rsidRDefault="00CE09F3" w:rsidP="00480B31">
      <w:pPr>
        <w:pStyle w:val="ListParagraph"/>
        <w:numPr>
          <w:ilvl w:val="1"/>
          <w:numId w:val="12"/>
        </w:numPr>
        <w:rPr>
          <w:b/>
          <w:bCs/>
          <w:szCs w:val="22"/>
          <w:lang w:val="sr-Latn-ME"/>
        </w:rPr>
      </w:pPr>
      <w:r w:rsidRPr="001202A2">
        <w:rPr>
          <w:b/>
          <w:bCs/>
          <w:szCs w:val="22"/>
          <w:lang w:val="sr-Latn-ME"/>
        </w:rPr>
        <w:t>Interakcije sa drugim l</w:t>
      </w:r>
      <w:r w:rsidR="00E403E9" w:rsidRPr="001202A2">
        <w:rPr>
          <w:b/>
          <w:bCs/>
          <w:szCs w:val="22"/>
          <w:lang w:val="sr-Latn-ME"/>
        </w:rPr>
        <w:t>j</w:t>
      </w:r>
      <w:r w:rsidRPr="001202A2">
        <w:rPr>
          <w:b/>
          <w:bCs/>
          <w:szCs w:val="22"/>
          <w:lang w:val="sr-Latn-ME"/>
        </w:rPr>
        <w:t>ekovima i druge vrste interakcija</w:t>
      </w:r>
    </w:p>
    <w:p w14:paraId="062C969A" w14:textId="77777777" w:rsidR="00813187" w:rsidRPr="001202A2" w:rsidRDefault="00813187" w:rsidP="00480B31">
      <w:pPr>
        <w:pStyle w:val="ListParagraph"/>
        <w:ind w:left="765"/>
        <w:rPr>
          <w:b/>
          <w:bCs/>
          <w:szCs w:val="22"/>
          <w:lang w:val="sr-Latn-ME"/>
        </w:rPr>
      </w:pPr>
    </w:p>
    <w:p w14:paraId="779253E1" w14:textId="44723D84" w:rsidR="00E75859" w:rsidRPr="001202A2" w:rsidRDefault="00E7585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pretežno resorbuje u gornjem d</w:t>
      </w:r>
      <w:r w:rsidR="00E403E9" w:rsidRPr="001202A2">
        <w:rPr>
          <w:rFonts w:eastAsia="TimesNewRoman"/>
          <w:szCs w:val="22"/>
          <w:lang w:val="sr-Latn-ME"/>
        </w:rPr>
        <w:t>ij</w:t>
      </w:r>
      <w:r w:rsidRPr="001202A2">
        <w:rPr>
          <w:rFonts w:eastAsia="TimesNewRoman"/>
          <w:szCs w:val="22"/>
          <w:lang w:val="sr-Latn-ME"/>
        </w:rPr>
        <w:t xml:space="preserve">elu gastrointestinalnog (GI) trakta. </w:t>
      </w:r>
      <w:r w:rsidR="00FA1A0E" w:rsidRPr="001202A2">
        <w:rPr>
          <w:rFonts w:eastAsia="TimesNewRoman"/>
          <w:szCs w:val="22"/>
          <w:lang w:val="sr-Latn-ME"/>
        </w:rPr>
        <w:t xml:space="preserve">Stoga, </w:t>
      </w:r>
      <w:r w:rsidRPr="001202A2">
        <w:rPr>
          <w:rFonts w:eastAsia="TimesNewRoman"/>
          <w:szCs w:val="22"/>
          <w:lang w:val="sr-Latn-ME"/>
        </w:rPr>
        <w:t>l</w:t>
      </w:r>
      <w:r w:rsidR="00E403E9" w:rsidRPr="001202A2">
        <w:rPr>
          <w:rFonts w:eastAsia="TimesNewRoman"/>
          <w:szCs w:val="22"/>
          <w:lang w:val="sr-Latn-ME"/>
        </w:rPr>
        <w:t>j</w:t>
      </w:r>
      <w:r w:rsidRPr="001202A2">
        <w:rPr>
          <w:rFonts w:eastAsia="TimesNewRoman"/>
          <w:szCs w:val="22"/>
          <w:lang w:val="sr-Latn-ME"/>
        </w:rPr>
        <w:t>ekovi ili bolesti koj</w:t>
      </w:r>
      <w:r w:rsidR="00FA1A0E" w:rsidRPr="001202A2">
        <w:rPr>
          <w:rFonts w:eastAsia="TimesNewRoman"/>
          <w:szCs w:val="22"/>
          <w:lang w:val="sr-Latn-ME"/>
        </w:rPr>
        <w:t>i dovode do povećanog</w:t>
      </w:r>
      <w:r w:rsidRPr="001202A2">
        <w:rPr>
          <w:rFonts w:eastAsia="TimesNewRoman"/>
          <w:szCs w:val="22"/>
          <w:lang w:val="sr-Latn-ME"/>
        </w:rPr>
        <w:t xml:space="preserve"> pražnjenj</w:t>
      </w:r>
      <w:r w:rsidR="00DB7967" w:rsidRPr="001202A2">
        <w:rPr>
          <w:rFonts w:eastAsia="TimesNewRoman"/>
          <w:szCs w:val="22"/>
          <w:lang w:val="sr-Latn-ME"/>
        </w:rPr>
        <w:t>a</w:t>
      </w:r>
      <w:r w:rsidRPr="001202A2">
        <w:rPr>
          <w:rFonts w:eastAsia="TimesNewRoman"/>
          <w:szCs w:val="22"/>
          <w:lang w:val="sr-Latn-ME"/>
        </w:rPr>
        <w:t xml:space="preserve"> želuca i motilitet</w:t>
      </w:r>
      <w:r w:rsidR="00FA1A0E" w:rsidRPr="001202A2">
        <w:rPr>
          <w:rFonts w:eastAsia="TimesNewRoman"/>
          <w:szCs w:val="22"/>
          <w:lang w:val="sr-Latn-ME"/>
        </w:rPr>
        <w:t>a</w:t>
      </w:r>
      <w:r w:rsidRPr="001202A2">
        <w:rPr>
          <w:rFonts w:eastAsia="TimesNewRoman"/>
          <w:szCs w:val="22"/>
          <w:lang w:val="sr-Latn-ME"/>
        </w:rPr>
        <w:t xml:space="preserve"> cr</w:t>
      </w:r>
      <w:r w:rsidR="00E403E9" w:rsidRPr="001202A2">
        <w:rPr>
          <w:rFonts w:eastAsia="TimesNewRoman"/>
          <w:szCs w:val="22"/>
          <w:lang w:val="sr-Latn-ME"/>
        </w:rPr>
        <w:t>ij</w:t>
      </w:r>
      <w:r w:rsidRPr="001202A2">
        <w:rPr>
          <w:rFonts w:eastAsia="TimesNewRoman"/>
          <w:szCs w:val="22"/>
          <w:lang w:val="sr-Latn-ME"/>
        </w:rPr>
        <w:t xml:space="preserve">eva mogu smanjiti </w:t>
      </w:r>
      <w:r w:rsidR="00DB7967" w:rsidRPr="001202A2">
        <w:rPr>
          <w:rFonts w:eastAsia="TimesNewRoman"/>
          <w:szCs w:val="22"/>
          <w:lang w:val="sr-Latn-ME"/>
        </w:rPr>
        <w:t>rastvorljivost</w:t>
      </w:r>
      <w:r w:rsidRPr="001202A2">
        <w:rPr>
          <w:rFonts w:eastAsia="TimesNewRoman"/>
          <w:szCs w:val="22"/>
          <w:lang w:val="sr-Latn-ME"/>
        </w:rPr>
        <w:t xml:space="preserve"> i resorpciju edoksabana.</w:t>
      </w:r>
    </w:p>
    <w:p w14:paraId="6DAED8E0"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43A8D6EC" w14:textId="77777777" w:rsidR="00E75859" w:rsidRPr="001202A2" w:rsidRDefault="00E75859"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Inhibitori P-gp</w:t>
      </w:r>
    </w:p>
    <w:p w14:paraId="43492DBA" w14:textId="77777777" w:rsidR="004F5646" w:rsidRPr="001202A2" w:rsidRDefault="00E7585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Edoksaban je supstrat efluksnog transportera P-gp. U farmakokinetičkim (PK) </w:t>
      </w:r>
      <w:r w:rsidR="00DB7967" w:rsidRPr="001202A2">
        <w:rPr>
          <w:rFonts w:eastAsia="TimesNewRoman"/>
          <w:szCs w:val="22"/>
          <w:lang w:val="sr-Latn-ME"/>
        </w:rPr>
        <w:t>studijama,</w:t>
      </w:r>
      <w:r w:rsidRPr="001202A2">
        <w:rPr>
          <w:rFonts w:eastAsia="TimesNewRoman"/>
          <w:szCs w:val="22"/>
          <w:lang w:val="sr-Latn-ME"/>
        </w:rPr>
        <w:t xml:space="preserve"> istovremena prim</w:t>
      </w:r>
      <w:r w:rsidR="00E403E9" w:rsidRPr="001202A2">
        <w:rPr>
          <w:rFonts w:eastAsia="TimesNewRoman"/>
          <w:szCs w:val="22"/>
          <w:lang w:val="sr-Latn-ME"/>
        </w:rPr>
        <w:t>j</w:t>
      </w:r>
      <w:r w:rsidRPr="001202A2">
        <w:rPr>
          <w:rFonts w:eastAsia="TimesNewRoman"/>
          <w:szCs w:val="22"/>
          <w:lang w:val="sr-Latn-ME"/>
        </w:rPr>
        <w:t>ena edoksabana sa inhibitorima P-gp</w:t>
      </w:r>
      <w:r w:rsidR="00DB7967" w:rsidRPr="001202A2">
        <w:rPr>
          <w:rFonts w:eastAsia="TimesNewRoman"/>
          <w:szCs w:val="22"/>
          <w:lang w:val="sr-Latn-ME"/>
        </w:rPr>
        <w:t>,</w:t>
      </w:r>
      <w:r w:rsidRPr="001202A2">
        <w:rPr>
          <w:rFonts w:eastAsia="TimesNewRoman"/>
          <w:szCs w:val="22"/>
          <w:lang w:val="sr-Latn-ME"/>
        </w:rPr>
        <w:t xml:space="preserve"> ciklosporinom, dronedaronom, eritromicinom, ketokonazolom, hinidinom ili verapamilom </w:t>
      </w:r>
      <w:r w:rsidR="00140D5F" w:rsidRPr="001202A2">
        <w:rPr>
          <w:rFonts w:eastAsia="TimesNewRoman"/>
          <w:szCs w:val="22"/>
          <w:lang w:val="sr-Latn-ME"/>
        </w:rPr>
        <w:t>dovela je do</w:t>
      </w:r>
      <w:r w:rsidRPr="001202A2">
        <w:rPr>
          <w:rFonts w:eastAsia="TimesNewRoman"/>
          <w:szCs w:val="22"/>
          <w:lang w:val="sr-Latn-ME"/>
        </w:rPr>
        <w:t xml:space="preserve"> </w:t>
      </w:r>
      <w:r w:rsidR="00140D5F" w:rsidRPr="001202A2">
        <w:rPr>
          <w:rFonts w:eastAsia="TimesNewRoman"/>
          <w:szCs w:val="22"/>
          <w:lang w:val="sr-Latn-ME"/>
        </w:rPr>
        <w:t>povećanja</w:t>
      </w:r>
      <w:r w:rsidRPr="001202A2">
        <w:rPr>
          <w:rFonts w:eastAsia="TimesNewRoman"/>
          <w:szCs w:val="22"/>
          <w:lang w:val="sr-Latn-ME"/>
        </w:rPr>
        <w:t xml:space="preserve"> koncentracij</w:t>
      </w:r>
      <w:r w:rsidR="00140D5F" w:rsidRPr="001202A2">
        <w:rPr>
          <w:rFonts w:eastAsia="TimesNewRoman"/>
          <w:szCs w:val="22"/>
          <w:lang w:val="sr-Latn-ME"/>
        </w:rPr>
        <w:t>e</w:t>
      </w:r>
      <w:r w:rsidRPr="001202A2">
        <w:rPr>
          <w:rFonts w:eastAsia="TimesNewRoman"/>
          <w:szCs w:val="22"/>
          <w:lang w:val="sr-Latn-ME"/>
        </w:rPr>
        <w:t xml:space="preserve"> edoksabana u plazmi. </w:t>
      </w:r>
      <w:r w:rsidR="0078779B" w:rsidRPr="001202A2">
        <w:rPr>
          <w:rFonts w:eastAsia="TimesNewRoman"/>
          <w:szCs w:val="22"/>
          <w:lang w:val="sr-Latn-ME"/>
        </w:rPr>
        <w:t>Prilikom</w:t>
      </w:r>
      <w:r w:rsidRPr="001202A2">
        <w:rPr>
          <w:rFonts w:eastAsia="TimesNewRoman"/>
          <w:szCs w:val="22"/>
          <w:lang w:val="sr-Latn-ME"/>
        </w:rPr>
        <w:t xml:space="preserve"> istovremene prim</w:t>
      </w:r>
      <w:r w:rsidR="00E403E9" w:rsidRPr="001202A2">
        <w:rPr>
          <w:rFonts w:eastAsia="TimesNewRoman"/>
          <w:szCs w:val="22"/>
          <w:lang w:val="sr-Latn-ME"/>
        </w:rPr>
        <w:t>j</w:t>
      </w:r>
      <w:r w:rsidRPr="001202A2">
        <w:rPr>
          <w:rFonts w:eastAsia="TimesNewRoman"/>
          <w:szCs w:val="22"/>
          <w:lang w:val="sr-Latn-ME"/>
        </w:rPr>
        <w:t>ene sa ciklosporinom, dronedaronom, eritromicinom ili ketokonazolom</w:t>
      </w:r>
      <w:r w:rsidR="0078779B" w:rsidRPr="001202A2">
        <w:rPr>
          <w:rFonts w:eastAsia="TimesNewRoman"/>
          <w:szCs w:val="22"/>
          <w:lang w:val="sr-Latn-ME"/>
        </w:rPr>
        <w:t>, dozu edoksabana treba</w:t>
      </w:r>
      <w:r w:rsidRPr="001202A2">
        <w:rPr>
          <w:rFonts w:eastAsia="TimesNewRoman"/>
          <w:szCs w:val="22"/>
          <w:lang w:val="sr-Latn-ME"/>
        </w:rPr>
        <w:t xml:space="preserve"> smanjiti na 30 mg jednom dnevno. Kod istovremene prim</w:t>
      </w:r>
      <w:r w:rsidR="00E403E9" w:rsidRPr="001202A2">
        <w:rPr>
          <w:rFonts w:eastAsia="TimesNewRoman"/>
          <w:szCs w:val="22"/>
          <w:lang w:val="sr-Latn-ME"/>
        </w:rPr>
        <w:t>j</w:t>
      </w:r>
      <w:r w:rsidRPr="001202A2">
        <w:rPr>
          <w:rFonts w:eastAsia="TimesNewRoman"/>
          <w:szCs w:val="22"/>
          <w:lang w:val="sr-Latn-ME"/>
        </w:rPr>
        <w:t>ene edoksabana sa hinidinom, verapamilom ili amjodaronom, na osnovu kliničkih podataka, nije potrebno smanjivanje doze (vid</w:t>
      </w:r>
      <w:r w:rsidR="00E403E9" w:rsidRPr="001202A2">
        <w:rPr>
          <w:rFonts w:eastAsia="TimesNewRoman"/>
          <w:szCs w:val="22"/>
          <w:lang w:val="sr-Latn-ME"/>
        </w:rPr>
        <w:t>j</w:t>
      </w:r>
      <w:r w:rsidRPr="001202A2">
        <w:rPr>
          <w:rFonts w:eastAsia="TimesNewRoman"/>
          <w:szCs w:val="22"/>
          <w:lang w:val="sr-Latn-ME"/>
        </w:rPr>
        <w:t xml:space="preserve">eti </w:t>
      </w:r>
      <w:r w:rsidR="00E403E9" w:rsidRPr="001202A2">
        <w:rPr>
          <w:rFonts w:eastAsia="TimesNewRoman"/>
          <w:szCs w:val="22"/>
          <w:lang w:val="sr-Latn-ME"/>
        </w:rPr>
        <w:t>dio</w:t>
      </w:r>
      <w:r w:rsidRPr="001202A2">
        <w:rPr>
          <w:rFonts w:eastAsia="TimesNewRoman"/>
          <w:szCs w:val="22"/>
          <w:lang w:val="sr-Latn-ME"/>
        </w:rPr>
        <w:t xml:space="preserve"> 4.2). </w:t>
      </w:r>
    </w:p>
    <w:p w14:paraId="5ECFF680" w14:textId="63C9798E" w:rsidR="00E75859" w:rsidRPr="001202A2" w:rsidRDefault="00E7585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w:t>
      </w:r>
      <w:r w:rsidR="00E403E9" w:rsidRPr="001202A2">
        <w:rPr>
          <w:rFonts w:eastAsia="TimesNewRoman"/>
          <w:szCs w:val="22"/>
          <w:lang w:val="sr-Latn-ME"/>
        </w:rPr>
        <w:t>j</w:t>
      </w:r>
      <w:r w:rsidRPr="001202A2">
        <w:rPr>
          <w:rFonts w:eastAsia="TimesNewRoman"/>
          <w:szCs w:val="22"/>
          <w:lang w:val="sr-Latn-ME"/>
        </w:rPr>
        <w:t>ena edoksabana sa drugim inhibitorima P-gp, uključujući inhibitore proteaze virusa humane imunodeficijencije (HIV), nije ispitana.</w:t>
      </w:r>
    </w:p>
    <w:p w14:paraId="1114657A"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3F453611" w14:textId="4B315465" w:rsidR="00E75859" w:rsidRPr="001202A2" w:rsidRDefault="00E7585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mora prim</w:t>
      </w:r>
      <w:r w:rsidR="00E403E9" w:rsidRPr="001202A2">
        <w:rPr>
          <w:rFonts w:eastAsia="TimesNewRoman"/>
          <w:szCs w:val="22"/>
          <w:lang w:val="sr-Latn-ME"/>
        </w:rPr>
        <w:t>ij</w:t>
      </w:r>
      <w:r w:rsidRPr="001202A2">
        <w:rPr>
          <w:rFonts w:eastAsia="TimesNewRoman"/>
          <w:szCs w:val="22"/>
          <w:lang w:val="sr-Latn-ME"/>
        </w:rPr>
        <w:t>eniti u dozi od 30 mg jednom dnevno tokom istovremene prim</w:t>
      </w:r>
      <w:r w:rsidR="00E403E9" w:rsidRPr="001202A2">
        <w:rPr>
          <w:rFonts w:eastAsia="TimesNewRoman"/>
          <w:szCs w:val="22"/>
          <w:lang w:val="sr-Latn-ME"/>
        </w:rPr>
        <w:t>j</w:t>
      </w:r>
      <w:r w:rsidRPr="001202A2">
        <w:rPr>
          <w:rFonts w:eastAsia="TimesNewRoman"/>
          <w:szCs w:val="22"/>
          <w:lang w:val="sr-Latn-ME"/>
        </w:rPr>
        <w:t>ene sa sl</w:t>
      </w:r>
      <w:r w:rsidR="00E403E9" w:rsidRPr="001202A2">
        <w:rPr>
          <w:rFonts w:eastAsia="TimesNewRoman"/>
          <w:szCs w:val="22"/>
          <w:lang w:val="sr-Latn-ME"/>
        </w:rPr>
        <w:t>j</w:t>
      </w:r>
      <w:r w:rsidRPr="001202A2">
        <w:rPr>
          <w:rFonts w:eastAsia="TimesNewRoman"/>
          <w:szCs w:val="22"/>
          <w:lang w:val="sr-Latn-ME"/>
        </w:rPr>
        <w:t>edećim inhibitorima P-gp:</w:t>
      </w:r>
    </w:p>
    <w:p w14:paraId="3C1356E2" w14:textId="3E7F8D7E" w:rsidR="00E75859" w:rsidRPr="001202A2" w:rsidRDefault="00E75859" w:rsidP="00480B31">
      <w:pPr>
        <w:pStyle w:val="ListParagraph"/>
        <w:numPr>
          <w:ilvl w:val="0"/>
          <w:numId w:val="7"/>
        </w:num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Ciklosporin: </w:t>
      </w:r>
      <w:r w:rsidRPr="001202A2">
        <w:rPr>
          <w:rFonts w:eastAsia="TimesNewRoman"/>
          <w:szCs w:val="22"/>
          <w:lang w:val="sr-Latn-ME"/>
        </w:rPr>
        <w:t>Istovremena prim</w:t>
      </w:r>
      <w:r w:rsidR="00E403E9" w:rsidRPr="001202A2">
        <w:rPr>
          <w:rFonts w:eastAsia="TimesNewRoman"/>
          <w:szCs w:val="22"/>
          <w:lang w:val="sr-Latn-ME"/>
        </w:rPr>
        <w:t>j</w:t>
      </w:r>
      <w:r w:rsidRPr="001202A2">
        <w:rPr>
          <w:rFonts w:eastAsia="TimesNewRoman"/>
          <w:szCs w:val="22"/>
          <w:lang w:val="sr-Latn-ME"/>
        </w:rPr>
        <w:t xml:space="preserve">ena </w:t>
      </w:r>
      <w:r w:rsidR="0078779B" w:rsidRPr="001202A2">
        <w:rPr>
          <w:rFonts w:eastAsia="TimesNewRoman"/>
          <w:szCs w:val="22"/>
          <w:lang w:val="sr-Latn-ME"/>
        </w:rPr>
        <w:t>pojedinačne</w:t>
      </w:r>
      <w:r w:rsidRPr="001202A2">
        <w:rPr>
          <w:rFonts w:eastAsia="TimesNewRoman"/>
          <w:szCs w:val="22"/>
          <w:lang w:val="sr-Latn-ME"/>
        </w:rPr>
        <w:t xml:space="preserve"> doze ciklosporina od 500 mg sa </w:t>
      </w:r>
      <w:r w:rsidR="0078779B" w:rsidRPr="001202A2">
        <w:rPr>
          <w:rFonts w:eastAsia="TimesNewRoman"/>
          <w:szCs w:val="22"/>
          <w:lang w:val="sr-Latn-ME"/>
        </w:rPr>
        <w:t>pojedinačnom</w:t>
      </w:r>
      <w:r w:rsidRPr="001202A2">
        <w:rPr>
          <w:rFonts w:eastAsia="TimesNewRoman"/>
          <w:szCs w:val="22"/>
          <w:lang w:val="sr-Latn-ME"/>
        </w:rPr>
        <w:t xml:space="preserve"> dozom edoksabana od 60 mg</w:t>
      </w:r>
      <w:r w:rsidR="0078779B" w:rsidRPr="001202A2">
        <w:rPr>
          <w:rFonts w:eastAsia="TimesNewRoman"/>
          <w:szCs w:val="22"/>
          <w:lang w:val="sr-Latn-ME"/>
        </w:rPr>
        <w:t>,</w:t>
      </w:r>
      <w:r w:rsidRPr="001202A2">
        <w:rPr>
          <w:rFonts w:eastAsia="TimesNewRoman"/>
          <w:szCs w:val="22"/>
          <w:lang w:val="sr-Latn-ME"/>
        </w:rPr>
        <w:t xml:space="preserve"> povećala je PIK edoksabana za 73%, a maksimalnu koncentraciju u serumu (C</w:t>
      </w:r>
      <w:r w:rsidRPr="001202A2">
        <w:rPr>
          <w:rFonts w:eastAsia="TimesNewRoman"/>
          <w:szCs w:val="22"/>
          <w:vertAlign w:val="subscript"/>
          <w:lang w:val="sr-Latn-ME"/>
        </w:rPr>
        <w:t>max</w:t>
      </w:r>
      <w:r w:rsidRPr="001202A2">
        <w:rPr>
          <w:rFonts w:eastAsia="TimesNewRoman"/>
          <w:szCs w:val="22"/>
          <w:lang w:val="sr-Latn-ME"/>
        </w:rPr>
        <w:t>) za 74%.</w:t>
      </w:r>
    </w:p>
    <w:p w14:paraId="0501CD28" w14:textId="1CE26EBE" w:rsidR="00E75859" w:rsidRPr="001202A2" w:rsidRDefault="00E75859" w:rsidP="00480B31">
      <w:pPr>
        <w:pStyle w:val="ListParagraph"/>
        <w:numPr>
          <w:ilvl w:val="0"/>
          <w:numId w:val="7"/>
        </w:num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Dronedaron: </w:t>
      </w:r>
      <w:r w:rsidRPr="001202A2">
        <w:rPr>
          <w:rFonts w:eastAsia="TimesNewRoman"/>
          <w:szCs w:val="22"/>
          <w:lang w:val="sr-Latn-ME"/>
        </w:rPr>
        <w:t>Dronedaron u dozi od 400 mg dva puta dnevno tokom 7 dana sa istovremeno prim</w:t>
      </w:r>
      <w:r w:rsidR="00E403E9" w:rsidRPr="001202A2">
        <w:rPr>
          <w:rFonts w:eastAsia="TimesNewRoman"/>
          <w:szCs w:val="22"/>
          <w:lang w:val="sr-Latn-ME"/>
        </w:rPr>
        <w:t>ij</w:t>
      </w:r>
      <w:r w:rsidRPr="001202A2">
        <w:rPr>
          <w:rFonts w:eastAsia="TimesNewRoman"/>
          <w:szCs w:val="22"/>
          <w:lang w:val="sr-Latn-ME"/>
        </w:rPr>
        <w:t xml:space="preserve">enjenom </w:t>
      </w:r>
      <w:r w:rsidR="0078779B" w:rsidRPr="001202A2">
        <w:rPr>
          <w:rFonts w:eastAsia="TimesNewRoman"/>
          <w:szCs w:val="22"/>
          <w:lang w:val="sr-Latn-ME"/>
        </w:rPr>
        <w:t xml:space="preserve">pojedinačnom </w:t>
      </w:r>
      <w:r w:rsidRPr="001202A2">
        <w:rPr>
          <w:rFonts w:eastAsia="TimesNewRoman"/>
          <w:szCs w:val="22"/>
          <w:lang w:val="sr-Latn-ME"/>
        </w:rPr>
        <w:t>dozom edoksabana od 60 mg 5. dana, povećao je PIK edoksabana za 85%, a C</w:t>
      </w:r>
      <w:r w:rsidRPr="001202A2">
        <w:rPr>
          <w:rFonts w:eastAsia="TimesNewRoman"/>
          <w:szCs w:val="22"/>
          <w:vertAlign w:val="subscript"/>
          <w:lang w:val="sr-Latn-ME"/>
        </w:rPr>
        <w:t xml:space="preserve">max </w:t>
      </w:r>
      <w:r w:rsidRPr="001202A2">
        <w:rPr>
          <w:rFonts w:eastAsia="TimesNewRoman"/>
          <w:szCs w:val="22"/>
          <w:lang w:val="sr-Latn-ME"/>
        </w:rPr>
        <w:t>za 46%.</w:t>
      </w:r>
    </w:p>
    <w:p w14:paraId="44F5504F" w14:textId="02D48092" w:rsidR="00E75859" w:rsidRPr="001202A2" w:rsidRDefault="00E75859" w:rsidP="00480B31">
      <w:pPr>
        <w:pStyle w:val="ListParagraph"/>
        <w:numPr>
          <w:ilvl w:val="0"/>
          <w:numId w:val="7"/>
        </w:num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Eritromicin: </w:t>
      </w:r>
      <w:r w:rsidRPr="001202A2">
        <w:rPr>
          <w:rFonts w:eastAsia="TimesNewRoman"/>
          <w:szCs w:val="22"/>
          <w:lang w:val="sr-Latn-ME"/>
        </w:rPr>
        <w:t>Eritromicin u dozi od 500 mg četiri puta dnevno tokom 8 dana sa istovremeno prim</w:t>
      </w:r>
      <w:r w:rsidR="00E403E9" w:rsidRPr="001202A2">
        <w:rPr>
          <w:rFonts w:eastAsia="TimesNewRoman"/>
          <w:szCs w:val="22"/>
          <w:lang w:val="sr-Latn-ME"/>
        </w:rPr>
        <w:t>ij</w:t>
      </w:r>
      <w:r w:rsidRPr="001202A2">
        <w:rPr>
          <w:rFonts w:eastAsia="TimesNewRoman"/>
          <w:szCs w:val="22"/>
          <w:lang w:val="sr-Latn-ME"/>
        </w:rPr>
        <w:t xml:space="preserve">enjenom </w:t>
      </w:r>
      <w:r w:rsidR="0078779B" w:rsidRPr="001202A2">
        <w:rPr>
          <w:rFonts w:eastAsia="TimesNewRoman"/>
          <w:szCs w:val="22"/>
          <w:lang w:val="sr-Latn-ME"/>
        </w:rPr>
        <w:t xml:space="preserve">pojedinačnom </w:t>
      </w:r>
      <w:r w:rsidRPr="001202A2">
        <w:rPr>
          <w:rFonts w:eastAsia="TimesNewRoman"/>
          <w:szCs w:val="22"/>
          <w:lang w:val="sr-Latn-ME"/>
        </w:rPr>
        <w:t>dozom edoksabana od 60 mg 7. dana, povećao je PIK edoksabana za 85%, a C</w:t>
      </w:r>
      <w:r w:rsidRPr="001202A2">
        <w:rPr>
          <w:rFonts w:eastAsia="TimesNewRoman"/>
          <w:szCs w:val="22"/>
          <w:vertAlign w:val="subscript"/>
          <w:lang w:val="sr-Latn-ME"/>
        </w:rPr>
        <w:t>max</w:t>
      </w:r>
      <w:r w:rsidRPr="001202A2">
        <w:rPr>
          <w:rFonts w:eastAsia="TimesNewRoman"/>
          <w:szCs w:val="22"/>
          <w:lang w:val="sr-Latn-ME"/>
        </w:rPr>
        <w:t xml:space="preserve"> za 68%.</w:t>
      </w:r>
    </w:p>
    <w:p w14:paraId="71108317" w14:textId="44267F65" w:rsidR="00E75859" w:rsidRPr="001202A2" w:rsidRDefault="00E75859" w:rsidP="00480B31">
      <w:pPr>
        <w:pStyle w:val="ListParagraph"/>
        <w:numPr>
          <w:ilvl w:val="0"/>
          <w:numId w:val="7"/>
        </w:num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Ketokonazol: </w:t>
      </w:r>
      <w:r w:rsidRPr="001202A2">
        <w:rPr>
          <w:rFonts w:eastAsia="TimesNewRoman"/>
          <w:szCs w:val="22"/>
          <w:lang w:val="sr-Latn-ME"/>
        </w:rPr>
        <w:t>Ketokonazol u dozi od 400 mg jednom dnevno tokom 7 dana sa istovremeno prim</w:t>
      </w:r>
      <w:r w:rsidR="00E403E9" w:rsidRPr="001202A2">
        <w:rPr>
          <w:rFonts w:eastAsia="TimesNewRoman"/>
          <w:szCs w:val="22"/>
          <w:lang w:val="sr-Latn-ME"/>
        </w:rPr>
        <w:t>ij</w:t>
      </w:r>
      <w:r w:rsidRPr="001202A2">
        <w:rPr>
          <w:rFonts w:eastAsia="TimesNewRoman"/>
          <w:szCs w:val="22"/>
          <w:lang w:val="sr-Latn-ME"/>
        </w:rPr>
        <w:t xml:space="preserve">enjenom </w:t>
      </w:r>
      <w:r w:rsidR="0078779B" w:rsidRPr="001202A2">
        <w:rPr>
          <w:rFonts w:eastAsia="TimesNewRoman"/>
          <w:szCs w:val="22"/>
          <w:lang w:val="sr-Latn-ME"/>
        </w:rPr>
        <w:t xml:space="preserve">pojedinačnom </w:t>
      </w:r>
      <w:r w:rsidRPr="001202A2">
        <w:rPr>
          <w:rFonts w:eastAsia="TimesNewRoman"/>
          <w:szCs w:val="22"/>
          <w:lang w:val="sr-Latn-ME"/>
        </w:rPr>
        <w:t>dozom edoksabana od 60 mg 4. dana, povećao je PIK edoksabana za 87%, a C</w:t>
      </w:r>
      <w:r w:rsidRPr="001202A2">
        <w:rPr>
          <w:rFonts w:eastAsia="TimesNewRoman"/>
          <w:szCs w:val="22"/>
          <w:vertAlign w:val="subscript"/>
          <w:lang w:val="sr-Latn-ME"/>
        </w:rPr>
        <w:t xml:space="preserve">max </w:t>
      </w:r>
      <w:r w:rsidRPr="001202A2">
        <w:rPr>
          <w:rFonts w:eastAsia="TimesNewRoman"/>
          <w:szCs w:val="22"/>
          <w:lang w:val="sr-Latn-ME"/>
        </w:rPr>
        <w:t>za 89%.</w:t>
      </w:r>
    </w:p>
    <w:p w14:paraId="13F22AC6" w14:textId="77777777" w:rsidR="004F5646" w:rsidRPr="001202A2" w:rsidRDefault="004F5646" w:rsidP="00480B31">
      <w:pPr>
        <w:pStyle w:val="ListParagraph"/>
        <w:tabs>
          <w:tab w:val="clear" w:pos="284"/>
        </w:tabs>
        <w:autoSpaceDE w:val="0"/>
        <w:autoSpaceDN w:val="0"/>
        <w:adjustRightInd w:val="0"/>
        <w:rPr>
          <w:rFonts w:eastAsia="TimesNewRoman"/>
          <w:szCs w:val="22"/>
          <w:lang w:val="sr-Latn-ME"/>
        </w:rPr>
      </w:pPr>
    </w:p>
    <w:p w14:paraId="771C1D2E" w14:textId="0141EFD4" w:rsidR="00E75859" w:rsidRPr="001202A2" w:rsidRDefault="0078779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Prilikom</w:t>
      </w:r>
      <w:r w:rsidR="00E75859" w:rsidRPr="001202A2">
        <w:rPr>
          <w:rFonts w:eastAsia="TimesNewRoman"/>
          <w:szCs w:val="22"/>
          <w:lang w:val="sr-Latn-ME"/>
        </w:rPr>
        <w:t xml:space="preserve"> istovremene prim</w:t>
      </w:r>
      <w:r w:rsidR="00E403E9" w:rsidRPr="001202A2">
        <w:rPr>
          <w:rFonts w:eastAsia="TimesNewRoman"/>
          <w:szCs w:val="22"/>
          <w:lang w:val="sr-Latn-ME"/>
        </w:rPr>
        <w:t>j</w:t>
      </w:r>
      <w:r w:rsidR="00E75859" w:rsidRPr="001202A2">
        <w:rPr>
          <w:rFonts w:eastAsia="TimesNewRoman"/>
          <w:szCs w:val="22"/>
          <w:lang w:val="sr-Latn-ME"/>
        </w:rPr>
        <w:t>ene sa sl</w:t>
      </w:r>
      <w:r w:rsidR="00E403E9" w:rsidRPr="001202A2">
        <w:rPr>
          <w:rFonts w:eastAsia="TimesNewRoman"/>
          <w:szCs w:val="22"/>
          <w:lang w:val="sr-Latn-ME"/>
        </w:rPr>
        <w:t>j</w:t>
      </w:r>
      <w:r w:rsidR="00E75859" w:rsidRPr="001202A2">
        <w:rPr>
          <w:rFonts w:eastAsia="TimesNewRoman"/>
          <w:szCs w:val="22"/>
          <w:lang w:val="sr-Latn-ME"/>
        </w:rPr>
        <w:t>edećim inhibitorima P-gp</w:t>
      </w:r>
      <w:r w:rsidRPr="001202A2">
        <w:rPr>
          <w:rFonts w:eastAsia="TimesNewRoman"/>
          <w:szCs w:val="22"/>
          <w:lang w:val="sr-Latn-ME"/>
        </w:rPr>
        <w:t xml:space="preserve"> preporučuje se prim</w:t>
      </w:r>
      <w:r w:rsidR="00E403E9" w:rsidRPr="001202A2">
        <w:rPr>
          <w:rFonts w:eastAsia="TimesNewRoman"/>
          <w:szCs w:val="22"/>
          <w:lang w:val="sr-Latn-ME"/>
        </w:rPr>
        <w:t>j</w:t>
      </w:r>
      <w:r w:rsidRPr="001202A2">
        <w:rPr>
          <w:rFonts w:eastAsia="TimesNewRoman"/>
          <w:szCs w:val="22"/>
          <w:lang w:val="sr-Latn-ME"/>
        </w:rPr>
        <w:t>ena edoksabana u dozi od 60 mg jednom dnevno:</w:t>
      </w:r>
    </w:p>
    <w:p w14:paraId="599A5C20"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3E7538F4" w14:textId="499D38EB" w:rsidR="00E75859" w:rsidRPr="001202A2" w:rsidRDefault="00E75859" w:rsidP="00480B31">
      <w:pPr>
        <w:pStyle w:val="ListParagraph"/>
        <w:numPr>
          <w:ilvl w:val="0"/>
          <w:numId w:val="9"/>
        </w:numPr>
        <w:tabs>
          <w:tab w:val="clear" w:pos="284"/>
        </w:tabs>
        <w:autoSpaceDE w:val="0"/>
        <w:autoSpaceDN w:val="0"/>
        <w:adjustRightInd w:val="0"/>
        <w:rPr>
          <w:rFonts w:eastAsia="TimesNewRoman"/>
          <w:szCs w:val="22"/>
          <w:lang w:val="sr-Latn-ME"/>
        </w:rPr>
      </w:pPr>
      <w:r w:rsidRPr="001202A2">
        <w:rPr>
          <w:i/>
          <w:iCs/>
          <w:szCs w:val="22"/>
          <w:lang w:val="sr-Latn-ME"/>
        </w:rPr>
        <w:t xml:space="preserve">Hinidin: </w:t>
      </w:r>
      <w:r w:rsidRPr="001202A2">
        <w:rPr>
          <w:rFonts w:eastAsia="TimesNewRoman"/>
          <w:szCs w:val="22"/>
          <w:lang w:val="sr-Latn-ME"/>
        </w:rPr>
        <w:t xml:space="preserve">Hinidin u dozi od 300 mg jednom dnevno 1. i 4. dana, </w:t>
      </w:r>
      <w:r w:rsidR="0078779B" w:rsidRPr="001202A2">
        <w:rPr>
          <w:rFonts w:eastAsia="TimesNewRoman"/>
          <w:szCs w:val="22"/>
          <w:lang w:val="sr-Latn-ME"/>
        </w:rPr>
        <w:t>a</w:t>
      </w:r>
      <w:r w:rsidRPr="001202A2">
        <w:rPr>
          <w:rFonts w:eastAsia="TimesNewRoman"/>
          <w:szCs w:val="22"/>
          <w:lang w:val="sr-Latn-ME"/>
        </w:rPr>
        <w:t xml:space="preserve"> tri puta na dan 2. i 3. </w:t>
      </w:r>
      <w:r w:rsidR="0078779B" w:rsidRPr="001202A2">
        <w:rPr>
          <w:rFonts w:eastAsia="TimesNewRoman"/>
          <w:szCs w:val="22"/>
          <w:lang w:val="sr-Latn-ME"/>
        </w:rPr>
        <w:t>d</w:t>
      </w:r>
      <w:r w:rsidRPr="001202A2">
        <w:rPr>
          <w:rFonts w:eastAsia="TimesNewRoman"/>
          <w:szCs w:val="22"/>
          <w:lang w:val="sr-Latn-ME"/>
        </w:rPr>
        <w:t>ana sa istovremeno prim</w:t>
      </w:r>
      <w:r w:rsidR="00E403E9" w:rsidRPr="001202A2">
        <w:rPr>
          <w:rFonts w:eastAsia="TimesNewRoman"/>
          <w:szCs w:val="22"/>
          <w:lang w:val="sr-Latn-ME"/>
        </w:rPr>
        <w:t>ij</w:t>
      </w:r>
      <w:r w:rsidRPr="001202A2">
        <w:rPr>
          <w:rFonts w:eastAsia="TimesNewRoman"/>
          <w:szCs w:val="22"/>
          <w:lang w:val="sr-Latn-ME"/>
        </w:rPr>
        <w:t xml:space="preserve">enjenom </w:t>
      </w:r>
      <w:r w:rsidR="0078779B" w:rsidRPr="001202A2">
        <w:rPr>
          <w:rFonts w:eastAsia="TimesNewRoman"/>
          <w:szCs w:val="22"/>
          <w:lang w:val="sr-Latn-ME"/>
        </w:rPr>
        <w:t xml:space="preserve">pojedinačnom </w:t>
      </w:r>
      <w:r w:rsidRPr="001202A2">
        <w:rPr>
          <w:rFonts w:eastAsia="TimesNewRoman"/>
          <w:szCs w:val="22"/>
          <w:lang w:val="sr-Latn-ME"/>
        </w:rPr>
        <w:t>dozom edoksabana od 60 mg 3. dana, povećao je PIK edoksabana tokom 24 sata za 77%, a C</w:t>
      </w:r>
      <w:r w:rsidRPr="001202A2">
        <w:rPr>
          <w:rFonts w:eastAsia="TimesNewRoman"/>
          <w:szCs w:val="22"/>
          <w:vertAlign w:val="subscript"/>
          <w:lang w:val="sr-Latn-ME"/>
        </w:rPr>
        <w:t>max</w:t>
      </w:r>
      <w:r w:rsidRPr="001202A2">
        <w:rPr>
          <w:rFonts w:eastAsia="TimesNewRoman"/>
          <w:szCs w:val="22"/>
          <w:lang w:val="sr-Latn-ME"/>
        </w:rPr>
        <w:t xml:space="preserve"> za 85%.</w:t>
      </w:r>
    </w:p>
    <w:p w14:paraId="4DEA4597" w14:textId="43F9E3D7" w:rsidR="00E75859" w:rsidRPr="001202A2" w:rsidRDefault="00E75859" w:rsidP="00480B31">
      <w:pPr>
        <w:pStyle w:val="ListParagraph"/>
        <w:numPr>
          <w:ilvl w:val="0"/>
          <w:numId w:val="9"/>
        </w:numPr>
        <w:tabs>
          <w:tab w:val="clear" w:pos="284"/>
        </w:tabs>
        <w:autoSpaceDE w:val="0"/>
        <w:autoSpaceDN w:val="0"/>
        <w:adjustRightInd w:val="0"/>
        <w:rPr>
          <w:rFonts w:eastAsia="TimesNewRoman"/>
          <w:szCs w:val="22"/>
          <w:lang w:val="sr-Latn-ME"/>
        </w:rPr>
      </w:pPr>
      <w:r w:rsidRPr="001202A2">
        <w:rPr>
          <w:i/>
          <w:iCs/>
          <w:szCs w:val="22"/>
          <w:lang w:val="sr-Latn-ME"/>
        </w:rPr>
        <w:lastRenderedPageBreak/>
        <w:t xml:space="preserve">Verapamil: </w:t>
      </w:r>
      <w:r w:rsidRPr="001202A2">
        <w:rPr>
          <w:rFonts w:eastAsia="TimesNewRoman"/>
          <w:szCs w:val="22"/>
          <w:lang w:val="sr-Latn-ME"/>
        </w:rPr>
        <w:t>Verapamil u dozi od 240 mg jednom dnevno tokom 11 dana sa istovremeno prim</w:t>
      </w:r>
      <w:r w:rsidR="00E403E9" w:rsidRPr="001202A2">
        <w:rPr>
          <w:rFonts w:eastAsia="TimesNewRoman"/>
          <w:szCs w:val="22"/>
          <w:lang w:val="sr-Latn-ME"/>
        </w:rPr>
        <w:t>ij</w:t>
      </w:r>
      <w:r w:rsidRPr="001202A2">
        <w:rPr>
          <w:rFonts w:eastAsia="TimesNewRoman"/>
          <w:szCs w:val="22"/>
          <w:lang w:val="sr-Latn-ME"/>
        </w:rPr>
        <w:t xml:space="preserve">enjenom </w:t>
      </w:r>
      <w:r w:rsidR="00DD19A7" w:rsidRPr="001202A2">
        <w:rPr>
          <w:rFonts w:eastAsia="TimesNewRoman"/>
          <w:szCs w:val="22"/>
          <w:lang w:val="sr-Latn-ME"/>
        </w:rPr>
        <w:t xml:space="preserve">pojedinačnom </w:t>
      </w:r>
      <w:r w:rsidRPr="001202A2">
        <w:rPr>
          <w:rFonts w:eastAsia="TimesNewRoman"/>
          <w:szCs w:val="22"/>
          <w:lang w:val="sr-Latn-ME"/>
        </w:rPr>
        <w:t xml:space="preserve">dozom edoksabana od 60 mg 10. dana, povećao je PIK </w:t>
      </w:r>
      <w:r w:rsidR="00DD19A7" w:rsidRPr="001202A2">
        <w:rPr>
          <w:rFonts w:eastAsia="TimesNewRoman"/>
          <w:szCs w:val="22"/>
          <w:lang w:val="sr-Latn-ME"/>
        </w:rPr>
        <w:t>i</w:t>
      </w:r>
      <w:r w:rsidRPr="001202A2">
        <w:rPr>
          <w:rFonts w:eastAsia="TimesNewRoman"/>
          <w:szCs w:val="22"/>
          <w:lang w:val="sr-Latn-ME"/>
        </w:rPr>
        <w:t xml:space="preserve"> C</w:t>
      </w:r>
      <w:r w:rsidRPr="001202A2">
        <w:rPr>
          <w:rFonts w:eastAsia="TimesNewRoman"/>
          <w:szCs w:val="22"/>
          <w:vertAlign w:val="subscript"/>
          <w:lang w:val="sr-Latn-ME"/>
        </w:rPr>
        <w:t xml:space="preserve">max </w:t>
      </w:r>
      <w:r w:rsidRPr="001202A2">
        <w:rPr>
          <w:rFonts w:eastAsia="TimesNewRoman"/>
          <w:szCs w:val="22"/>
          <w:lang w:val="sr-Latn-ME"/>
        </w:rPr>
        <w:t>edoksabana za približno 53%.</w:t>
      </w:r>
    </w:p>
    <w:p w14:paraId="7D45E42F" w14:textId="2EA2E939" w:rsidR="00E75859" w:rsidRPr="001202A2" w:rsidRDefault="00E75859" w:rsidP="00480B31">
      <w:pPr>
        <w:pStyle w:val="ListParagraph"/>
        <w:numPr>
          <w:ilvl w:val="0"/>
          <w:numId w:val="9"/>
        </w:numPr>
        <w:tabs>
          <w:tab w:val="clear" w:pos="284"/>
        </w:tabs>
        <w:autoSpaceDE w:val="0"/>
        <w:autoSpaceDN w:val="0"/>
        <w:adjustRightInd w:val="0"/>
        <w:ind w:left="714" w:hanging="357"/>
        <w:rPr>
          <w:b/>
          <w:bCs/>
          <w:szCs w:val="22"/>
          <w:lang w:val="sr-Latn-ME"/>
        </w:rPr>
      </w:pPr>
      <w:r w:rsidRPr="001202A2">
        <w:rPr>
          <w:i/>
          <w:iCs/>
          <w:szCs w:val="22"/>
          <w:lang w:val="sr-Latn-ME"/>
        </w:rPr>
        <w:t xml:space="preserve">Amjodaron: </w:t>
      </w:r>
      <w:r w:rsidRPr="001202A2">
        <w:rPr>
          <w:rFonts w:eastAsia="TimesNewRoman"/>
          <w:szCs w:val="22"/>
          <w:lang w:val="sr-Latn-ME"/>
        </w:rPr>
        <w:t>Istovremena prim</w:t>
      </w:r>
      <w:r w:rsidR="00E403E9" w:rsidRPr="001202A2">
        <w:rPr>
          <w:rFonts w:eastAsia="TimesNewRoman"/>
          <w:szCs w:val="22"/>
          <w:lang w:val="sr-Latn-ME"/>
        </w:rPr>
        <w:t>j</w:t>
      </w:r>
      <w:r w:rsidRPr="001202A2">
        <w:rPr>
          <w:rFonts w:eastAsia="TimesNewRoman"/>
          <w:szCs w:val="22"/>
          <w:lang w:val="sr-Latn-ME"/>
        </w:rPr>
        <w:t>ena amjodarona u dozi od 400 mg jednom dnevno sa edoksabanom u dozi od 60 mg jednom dnevno povećala je PIK za 40% i C</w:t>
      </w:r>
      <w:r w:rsidRPr="001202A2">
        <w:rPr>
          <w:rFonts w:eastAsia="TimesNewRoman"/>
          <w:szCs w:val="22"/>
          <w:vertAlign w:val="subscript"/>
          <w:lang w:val="sr-Latn-ME"/>
        </w:rPr>
        <w:t>max</w:t>
      </w:r>
      <w:r w:rsidRPr="001202A2">
        <w:rPr>
          <w:rFonts w:eastAsia="TimesNewRoman"/>
          <w:szCs w:val="22"/>
          <w:lang w:val="sr-Latn-ME"/>
        </w:rPr>
        <w:t xml:space="preserve"> za 66%. </w:t>
      </w:r>
      <w:r w:rsidR="00DD19A7" w:rsidRPr="001202A2">
        <w:rPr>
          <w:rFonts w:eastAsia="TimesNewRoman"/>
          <w:szCs w:val="22"/>
          <w:lang w:val="sr-Latn-ME"/>
        </w:rPr>
        <w:t>Ovo se ne smatra</w:t>
      </w:r>
      <w:r w:rsidRPr="001202A2">
        <w:rPr>
          <w:rFonts w:eastAsia="TimesNewRoman"/>
          <w:szCs w:val="22"/>
          <w:lang w:val="sr-Latn-ME"/>
        </w:rPr>
        <w:t xml:space="preserve"> klinički značajnim. U </w:t>
      </w:r>
      <w:r w:rsidR="00DD19A7" w:rsidRPr="001202A2">
        <w:rPr>
          <w:rFonts w:eastAsia="TimesNewRoman"/>
          <w:szCs w:val="22"/>
          <w:lang w:val="sr-Latn-ME"/>
        </w:rPr>
        <w:t>studiji</w:t>
      </w:r>
      <w:r w:rsidRPr="001202A2">
        <w:rPr>
          <w:rFonts w:eastAsia="TimesNewRoman"/>
          <w:szCs w:val="22"/>
          <w:lang w:val="sr-Latn-ME"/>
        </w:rPr>
        <w:t xml:space="preserve"> ENGAGE AF-TIMI 48 kod pacijenata sa NVAF, rezultati za efikasnost i bezb</w:t>
      </w:r>
      <w:r w:rsidR="00E403E9" w:rsidRPr="001202A2">
        <w:rPr>
          <w:rFonts w:eastAsia="TimesNewRoman"/>
          <w:szCs w:val="22"/>
          <w:lang w:val="sr-Latn-ME"/>
        </w:rPr>
        <w:t>j</w:t>
      </w:r>
      <w:r w:rsidRPr="001202A2">
        <w:rPr>
          <w:rFonts w:eastAsia="TimesNewRoman"/>
          <w:szCs w:val="22"/>
          <w:lang w:val="sr-Latn-ME"/>
        </w:rPr>
        <w:t>ednost bili su slični kod ispitanika koji su istovremeno primali am</w:t>
      </w:r>
      <w:r w:rsidR="003C2EA2" w:rsidRPr="001202A2">
        <w:rPr>
          <w:rFonts w:eastAsia="TimesNewRoman"/>
          <w:szCs w:val="22"/>
          <w:lang w:val="sr-Latn-ME"/>
        </w:rPr>
        <w:t>j</w:t>
      </w:r>
      <w:r w:rsidRPr="001202A2">
        <w:rPr>
          <w:rFonts w:eastAsia="TimesNewRoman"/>
          <w:szCs w:val="22"/>
          <w:lang w:val="sr-Latn-ME"/>
        </w:rPr>
        <w:t>odaron i onih koji ga ni</w:t>
      </w:r>
      <w:r w:rsidR="004F5646" w:rsidRPr="001202A2">
        <w:rPr>
          <w:rFonts w:eastAsia="TimesNewRoman"/>
          <w:szCs w:val="22"/>
          <w:lang w:val="sr-Latn-ME"/>
        </w:rPr>
        <w:t>je</w:t>
      </w:r>
      <w:r w:rsidRPr="001202A2">
        <w:rPr>
          <w:rFonts w:eastAsia="TimesNewRoman"/>
          <w:szCs w:val="22"/>
          <w:lang w:val="sr-Latn-ME"/>
        </w:rPr>
        <w:t>su primali.</w:t>
      </w:r>
    </w:p>
    <w:p w14:paraId="4AA71F24" w14:textId="6A0E78C4" w:rsidR="00667FFE" w:rsidRPr="001202A2" w:rsidRDefault="00667FFE" w:rsidP="00480B31">
      <w:pPr>
        <w:numPr>
          <w:ilvl w:val="0"/>
          <w:numId w:val="9"/>
        </w:numPr>
        <w:tabs>
          <w:tab w:val="clear" w:pos="284"/>
        </w:tabs>
        <w:autoSpaceDE w:val="0"/>
        <w:autoSpaceDN w:val="0"/>
        <w:adjustRightInd w:val="0"/>
        <w:ind w:left="714" w:hanging="357"/>
        <w:rPr>
          <w:szCs w:val="22"/>
          <w:lang w:val="sr-Latn-ME"/>
        </w:rPr>
      </w:pPr>
      <w:r w:rsidRPr="001202A2">
        <w:rPr>
          <w:i/>
          <w:iCs/>
          <w:szCs w:val="22"/>
          <w:lang w:val="sr-Latn-ME"/>
        </w:rPr>
        <w:t>Klaritromicin:</w:t>
      </w:r>
      <w:r w:rsidRPr="001202A2">
        <w:rPr>
          <w:szCs w:val="22"/>
          <w:lang w:val="sr-Latn-ME"/>
        </w:rPr>
        <w:t xml:space="preserve"> Klaritromicin (500 mg dva puta dnevno) tokom 10 dana sa istovremeno prim</w:t>
      </w:r>
      <w:r w:rsidR="00B07E69" w:rsidRPr="001202A2">
        <w:rPr>
          <w:szCs w:val="22"/>
          <w:lang w:val="sr-Latn-ME"/>
        </w:rPr>
        <w:t>ij</w:t>
      </w:r>
      <w:r w:rsidRPr="001202A2">
        <w:rPr>
          <w:szCs w:val="22"/>
          <w:lang w:val="sr-Latn-ME"/>
        </w:rPr>
        <w:t>enjenom pojedinačnom dozom edoksabana od 60 mg 9. dana, povećao je PIK edoksabana 53% i C</w:t>
      </w:r>
      <w:r w:rsidRPr="001202A2">
        <w:rPr>
          <w:szCs w:val="22"/>
          <w:vertAlign w:val="subscript"/>
          <w:lang w:val="sr-Latn-ME"/>
        </w:rPr>
        <w:t xml:space="preserve">max </w:t>
      </w:r>
      <w:r w:rsidRPr="001202A2">
        <w:rPr>
          <w:szCs w:val="22"/>
          <w:lang w:val="sr-Latn-ME"/>
        </w:rPr>
        <w:t>27%.</w:t>
      </w:r>
    </w:p>
    <w:p w14:paraId="483BF4A2" w14:textId="77777777" w:rsidR="00813187" w:rsidRPr="001202A2" w:rsidRDefault="00813187" w:rsidP="00480B31">
      <w:pPr>
        <w:tabs>
          <w:tab w:val="clear" w:pos="284"/>
        </w:tabs>
        <w:autoSpaceDE w:val="0"/>
        <w:autoSpaceDN w:val="0"/>
        <w:adjustRightInd w:val="0"/>
        <w:ind w:left="714"/>
        <w:rPr>
          <w:szCs w:val="22"/>
          <w:lang w:val="sr-Latn-ME"/>
        </w:rPr>
      </w:pPr>
    </w:p>
    <w:p w14:paraId="05BF7AFD" w14:textId="77777777" w:rsidR="00DD19A7" w:rsidRPr="001202A2" w:rsidRDefault="00DD19A7"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Induktori P-gp</w:t>
      </w:r>
    </w:p>
    <w:p w14:paraId="03026A12" w14:textId="63F5D4F5" w:rsidR="00DD19A7" w:rsidRPr="001202A2" w:rsidRDefault="00DD19A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Istovremena prim</w:t>
      </w:r>
      <w:r w:rsidR="00A57AD0" w:rsidRPr="001202A2">
        <w:rPr>
          <w:rFonts w:eastAsia="TimesNewRoman"/>
          <w:szCs w:val="22"/>
          <w:lang w:val="sr-Latn-ME"/>
        </w:rPr>
        <w:t>j</w:t>
      </w:r>
      <w:r w:rsidRPr="001202A2">
        <w:rPr>
          <w:rFonts w:eastAsia="TimesNewRoman"/>
          <w:szCs w:val="22"/>
          <w:lang w:val="sr-Latn-ME"/>
        </w:rPr>
        <w:t>ena edoksabana sa induktorom P-gp rifampicinom, dovela je do smanjenja srednje vr</w:t>
      </w:r>
      <w:r w:rsidR="00A57AD0" w:rsidRPr="001202A2">
        <w:rPr>
          <w:rFonts w:eastAsia="TimesNewRoman"/>
          <w:szCs w:val="22"/>
          <w:lang w:val="sr-Latn-ME"/>
        </w:rPr>
        <w:t>ij</w:t>
      </w:r>
      <w:r w:rsidRPr="001202A2">
        <w:rPr>
          <w:rFonts w:eastAsia="TimesNewRoman"/>
          <w:szCs w:val="22"/>
          <w:lang w:val="sr-Latn-ME"/>
        </w:rPr>
        <w:t>ednosti PIK</w:t>
      </w:r>
      <w:r w:rsidR="003C2EA2" w:rsidRPr="001202A2">
        <w:rPr>
          <w:rFonts w:eastAsia="TimesNewRoman"/>
          <w:szCs w:val="22"/>
          <w:lang w:val="sr-Latn-ME"/>
        </w:rPr>
        <w:t>-a</w:t>
      </w:r>
      <w:r w:rsidRPr="001202A2">
        <w:rPr>
          <w:rFonts w:eastAsia="TimesNewRoman"/>
          <w:szCs w:val="22"/>
          <w:lang w:val="sr-Latn-ME"/>
        </w:rPr>
        <w:t xml:space="preserve"> i skraćenog poluvremena eliminacije edoksabana, uz moguće slabljenje njegovih farmakodinamskih efekata. Istovremena prim</w:t>
      </w:r>
      <w:r w:rsidR="00A57AD0" w:rsidRPr="001202A2">
        <w:rPr>
          <w:rFonts w:eastAsia="TimesNewRoman"/>
          <w:szCs w:val="22"/>
          <w:lang w:val="sr-Latn-ME"/>
        </w:rPr>
        <w:t>j</w:t>
      </w:r>
      <w:r w:rsidRPr="001202A2">
        <w:rPr>
          <w:rFonts w:eastAsia="TimesNewRoman"/>
          <w:szCs w:val="22"/>
          <w:lang w:val="sr-Latn-ME"/>
        </w:rPr>
        <w:t xml:space="preserve">ena edoksabana sa drugim induktorima P-gp-a (npr. fenitoinom, karbamazepinom, fenobarbitalom ili kantarionom) može dovesti do </w:t>
      </w:r>
      <w:r w:rsidR="00135997" w:rsidRPr="001202A2">
        <w:rPr>
          <w:rFonts w:eastAsia="TimesNewRoman"/>
          <w:szCs w:val="22"/>
          <w:lang w:val="sr-Latn-ME"/>
        </w:rPr>
        <w:t>smanjenja</w:t>
      </w:r>
      <w:r w:rsidRPr="001202A2">
        <w:rPr>
          <w:rFonts w:eastAsia="TimesNewRoman"/>
          <w:szCs w:val="22"/>
          <w:lang w:val="sr-Latn-ME"/>
        </w:rPr>
        <w:t xml:space="preserve"> koncentracije edoksabana u plazmi</w:t>
      </w:r>
      <w:r w:rsidR="00135997" w:rsidRPr="001202A2">
        <w:rPr>
          <w:rFonts w:eastAsia="TimesNewRoman"/>
          <w:szCs w:val="22"/>
          <w:lang w:val="sr-Latn-ME"/>
        </w:rPr>
        <w:t xml:space="preserve">. Potreban je oprez prilikom </w:t>
      </w:r>
      <w:r w:rsidRPr="001202A2">
        <w:rPr>
          <w:rFonts w:eastAsia="TimesNewRoman"/>
          <w:szCs w:val="22"/>
          <w:lang w:val="sr-Latn-ME"/>
        </w:rPr>
        <w:t>istovremen</w:t>
      </w:r>
      <w:r w:rsidR="00135997" w:rsidRPr="001202A2">
        <w:rPr>
          <w:rFonts w:eastAsia="TimesNewRoman"/>
          <w:szCs w:val="22"/>
          <w:lang w:val="sr-Latn-ME"/>
        </w:rPr>
        <w:t>e</w:t>
      </w:r>
      <w:r w:rsidRPr="001202A2">
        <w:rPr>
          <w:rFonts w:eastAsia="TimesNewRoman"/>
          <w:szCs w:val="22"/>
          <w:lang w:val="sr-Latn-ME"/>
        </w:rPr>
        <w:t xml:space="preserve"> prim</w:t>
      </w:r>
      <w:r w:rsidR="00A57AD0" w:rsidRPr="001202A2">
        <w:rPr>
          <w:rFonts w:eastAsia="TimesNewRoman"/>
          <w:szCs w:val="22"/>
          <w:lang w:val="sr-Latn-ME"/>
        </w:rPr>
        <w:t>j</w:t>
      </w:r>
      <w:r w:rsidRPr="001202A2">
        <w:rPr>
          <w:rFonts w:eastAsia="TimesNewRoman"/>
          <w:szCs w:val="22"/>
          <w:lang w:val="sr-Latn-ME"/>
        </w:rPr>
        <w:t>en</w:t>
      </w:r>
      <w:r w:rsidR="00135997" w:rsidRPr="001202A2">
        <w:rPr>
          <w:rFonts w:eastAsia="TimesNewRoman"/>
          <w:szCs w:val="22"/>
          <w:lang w:val="sr-Latn-ME"/>
        </w:rPr>
        <w:t>e edoksabana sa</w:t>
      </w:r>
      <w:r w:rsidRPr="001202A2">
        <w:rPr>
          <w:rFonts w:eastAsia="TimesNewRoman"/>
          <w:szCs w:val="22"/>
          <w:lang w:val="sr-Latn-ME"/>
        </w:rPr>
        <w:t xml:space="preserve"> induktori</w:t>
      </w:r>
      <w:r w:rsidR="00135997" w:rsidRPr="001202A2">
        <w:rPr>
          <w:rFonts w:eastAsia="TimesNewRoman"/>
          <w:szCs w:val="22"/>
          <w:lang w:val="sr-Latn-ME"/>
        </w:rPr>
        <w:t>ma</w:t>
      </w:r>
      <w:r w:rsidRPr="001202A2">
        <w:rPr>
          <w:rFonts w:eastAsia="TimesNewRoman"/>
          <w:szCs w:val="22"/>
          <w:lang w:val="sr-Latn-ME"/>
        </w:rPr>
        <w:t xml:space="preserve"> P-gp.</w:t>
      </w:r>
    </w:p>
    <w:p w14:paraId="68F7AB9E"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0EABF5F4" w14:textId="77777777" w:rsidR="00DD19A7" w:rsidRPr="001202A2" w:rsidRDefault="00DD19A7"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Supstrati P-gp</w:t>
      </w:r>
    </w:p>
    <w:p w14:paraId="16CF9069" w14:textId="5F6CB26B" w:rsidR="00DD19A7" w:rsidRPr="001202A2" w:rsidRDefault="00DD19A7" w:rsidP="00480B31">
      <w:p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Digoksin: </w:t>
      </w:r>
      <w:r w:rsidR="00135997" w:rsidRPr="001202A2">
        <w:rPr>
          <w:rFonts w:eastAsia="TimesNewRoman"/>
          <w:szCs w:val="22"/>
          <w:lang w:val="sr-Latn-ME"/>
        </w:rPr>
        <w:t>Istovremena prim</w:t>
      </w:r>
      <w:r w:rsidR="00A57AD0" w:rsidRPr="001202A2">
        <w:rPr>
          <w:rFonts w:eastAsia="TimesNewRoman"/>
          <w:szCs w:val="22"/>
          <w:lang w:val="sr-Latn-ME"/>
        </w:rPr>
        <w:t>j</w:t>
      </w:r>
      <w:r w:rsidR="00135997" w:rsidRPr="001202A2">
        <w:rPr>
          <w:rFonts w:eastAsia="TimesNewRoman"/>
          <w:szCs w:val="22"/>
          <w:lang w:val="sr-Latn-ME"/>
        </w:rPr>
        <w:t>ena e</w:t>
      </w:r>
      <w:r w:rsidRPr="001202A2">
        <w:rPr>
          <w:rFonts w:eastAsia="TimesNewRoman"/>
          <w:szCs w:val="22"/>
          <w:lang w:val="sr-Latn-ME"/>
        </w:rPr>
        <w:t>doksaban</w:t>
      </w:r>
      <w:r w:rsidR="00135997" w:rsidRPr="001202A2">
        <w:rPr>
          <w:rFonts w:eastAsia="TimesNewRoman"/>
          <w:szCs w:val="22"/>
          <w:lang w:val="sr-Latn-ME"/>
        </w:rPr>
        <w:t>a</w:t>
      </w:r>
      <w:r w:rsidRPr="001202A2">
        <w:rPr>
          <w:rFonts w:eastAsia="TimesNewRoman"/>
          <w:szCs w:val="22"/>
          <w:lang w:val="sr-Latn-ME"/>
        </w:rPr>
        <w:t xml:space="preserve"> u dozi od 60 mg jednom dnevno od 1. do 14. dana </w:t>
      </w:r>
      <w:r w:rsidR="00135997" w:rsidRPr="001202A2">
        <w:rPr>
          <w:rFonts w:eastAsia="TimesNewRoman"/>
          <w:szCs w:val="22"/>
          <w:lang w:val="sr-Latn-ME"/>
        </w:rPr>
        <w:t>sa</w:t>
      </w:r>
      <w:r w:rsidRPr="001202A2">
        <w:rPr>
          <w:rFonts w:eastAsia="TimesNewRoman"/>
          <w:szCs w:val="22"/>
          <w:lang w:val="sr-Latn-ME"/>
        </w:rPr>
        <w:t xml:space="preserve"> višestruki</w:t>
      </w:r>
      <w:r w:rsidR="00135997" w:rsidRPr="001202A2">
        <w:rPr>
          <w:rFonts w:eastAsia="TimesNewRoman"/>
          <w:szCs w:val="22"/>
          <w:lang w:val="sr-Latn-ME"/>
        </w:rPr>
        <w:t>m</w:t>
      </w:r>
      <w:r w:rsidRPr="001202A2">
        <w:rPr>
          <w:rFonts w:eastAsia="TimesNewRoman"/>
          <w:szCs w:val="22"/>
          <w:lang w:val="sr-Latn-ME"/>
        </w:rPr>
        <w:t xml:space="preserve"> dnevni</w:t>
      </w:r>
      <w:r w:rsidR="00135997" w:rsidRPr="001202A2">
        <w:rPr>
          <w:rFonts w:eastAsia="TimesNewRoman"/>
          <w:szCs w:val="22"/>
          <w:lang w:val="sr-Latn-ME"/>
        </w:rPr>
        <w:t>m</w:t>
      </w:r>
      <w:r w:rsidRPr="001202A2">
        <w:rPr>
          <w:rFonts w:eastAsia="TimesNewRoman"/>
          <w:szCs w:val="22"/>
          <w:lang w:val="sr-Latn-ME"/>
        </w:rPr>
        <w:t xml:space="preserve"> doza</w:t>
      </w:r>
      <w:r w:rsidR="00135997" w:rsidRPr="001202A2">
        <w:rPr>
          <w:rFonts w:eastAsia="TimesNewRoman"/>
          <w:szCs w:val="22"/>
          <w:lang w:val="sr-Latn-ME"/>
        </w:rPr>
        <w:t>ma</w:t>
      </w:r>
      <w:r w:rsidRPr="001202A2">
        <w:rPr>
          <w:rFonts w:eastAsia="TimesNewRoman"/>
          <w:szCs w:val="22"/>
          <w:lang w:val="sr-Latn-ME"/>
        </w:rPr>
        <w:t xml:space="preserve"> digoksina</w:t>
      </w:r>
      <w:r w:rsidR="00135997" w:rsidRPr="001202A2">
        <w:rPr>
          <w:rFonts w:eastAsia="TimesNewRoman"/>
          <w:szCs w:val="22"/>
          <w:lang w:val="sr-Latn-ME"/>
        </w:rPr>
        <w:t>,</w:t>
      </w:r>
      <w:r w:rsidRPr="001202A2">
        <w:rPr>
          <w:rFonts w:eastAsia="TimesNewRoman"/>
          <w:szCs w:val="22"/>
          <w:lang w:val="sr-Latn-ME"/>
        </w:rPr>
        <w:t xml:space="preserve"> od 0,25 mg dva puta na dan (8. i 9. dana) i 0,25 mg jednom dnevno (od 10. do 14. dana)</w:t>
      </w:r>
      <w:r w:rsidR="00135997" w:rsidRPr="001202A2">
        <w:rPr>
          <w:rFonts w:eastAsia="TimesNewRoman"/>
          <w:szCs w:val="22"/>
          <w:lang w:val="sr-Latn-ME"/>
        </w:rPr>
        <w:t>,</w:t>
      </w:r>
      <w:r w:rsidRPr="001202A2">
        <w:rPr>
          <w:rFonts w:eastAsia="TimesNewRoman"/>
          <w:szCs w:val="22"/>
          <w:lang w:val="sr-Latn-ME"/>
        </w:rPr>
        <w:t xml:space="preserve"> poveća</w:t>
      </w:r>
      <w:r w:rsidR="00135997" w:rsidRPr="001202A2">
        <w:rPr>
          <w:rFonts w:eastAsia="TimesNewRoman"/>
          <w:szCs w:val="22"/>
          <w:lang w:val="sr-Latn-ME"/>
        </w:rPr>
        <w:t>la</w:t>
      </w:r>
      <w:r w:rsidRPr="001202A2">
        <w:rPr>
          <w:rFonts w:eastAsia="TimesNewRoman"/>
          <w:szCs w:val="22"/>
          <w:lang w:val="sr-Latn-ME"/>
        </w:rPr>
        <w:t xml:space="preserve"> je C</w:t>
      </w:r>
      <w:r w:rsidRPr="001202A2">
        <w:rPr>
          <w:rFonts w:eastAsia="TimesNewRoman"/>
          <w:szCs w:val="22"/>
          <w:vertAlign w:val="subscript"/>
          <w:lang w:val="sr-Latn-ME"/>
        </w:rPr>
        <w:t>max</w:t>
      </w:r>
      <w:r w:rsidRPr="001202A2">
        <w:rPr>
          <w:rFonts w:eastAsia="TimesNewRoman"/>
          <w:szCs w:val="22"/>
          <w:lang w:val="sr-Latn-ME"/>
        </w:rPr>
        <w:t xml:space="preserve"> edoksabana za 17%, bez značajnog </w:t>
      </w:r>
      <w:r w:rsidR="00135997" w:rsidRPr="001202A2">
        <w:rPr>
          <w:rFonts w:eastAsia="TimesNewRoman"/>
          <w:szCs w:val="22"/>
          <w:lang w:val="sr-Latn-ME"/>
        </w:rPr>
        <w:t>efekta</w:t>
      </w:r>
      <w:r w:rsidRPr="001202A2">
        <w:rPr>
          <w:rFonts w:eastAsia="TimesNewRoman"/>
          <w:szCs w:val="22"/>
          <w:lang w:val="sr-Latn-ME"/>
        </w:rPr>
        <w:t xml:space="preserve"> na PIK ili bubrežni klirens u stanju dinamičke ravnoteže. Prilikom ispitivanja </w:t>
      </w:r>
      <w:r w:rsidR="00135997" w:rsidRPr="001202A2">
        <w:rPr>
          <w:rFonts w:eastAsia="TimesNewRoman"/>
          <w:szCs w:val="22"/>
          <w:lang w:val="sr-Latn-ME"/>
        </w:rPr>
        <w:t>efekata</w:t>
      </w:r>
      <w:r w:rsidRPr="001202A2">
        <w:rPr>
          <w:rFonts w:eastAsia="TimesNewRoman"/>
          <w:szCs w:val="22"/>
          <w:lang w:val="sr-Latn-ME"/>
        </w:rPr>
        <w:t xml:space="preserve"> edoksabana na farmakokinetiku digoksina, </w:t>
      </w:r>
      <w:r w:rsidR="00D81391" w:rsidRPr="001202A2">
        <w:rPr>
          <w:rFonts w:eastAsia="TimesNewRoman"/>
          <w:szCs w:val="22"/>
          <w:lang w:val="sr-Latn-ME"/>
        </w:rPr>
        <w:t>zab</w:t>
      </w:r>
      <w:r w:rsidR="00A57AD0" w:rsidRPr="001202A2">
        <w:rPr>
          <w:rFonts w:eastAsia="TimesNewRoman"/>
          <w:szCs w:val="22"/>
          <w:lang w:val="sr-Latn-ME"/>
        </w:rPr>
        <w:t>i</w:t>
      </w:r>
      <w:r w:rsidR="00D81391" w:rsidRPr="001202A2">
        <w:rPr>
          <w:rFonts w:eastAsia="TimesNewRoman"/>
          <w:szCs w:val="22"/>
          <w:lang w:val="sr-Latn-ME"/>
        </w:rPr>
        <w:t>l</w:t>
      </w:r>
      <w:r w:rsidR="00A57AD0" w:rsidRPr="001202A2">
        <w:rPr>
          <w:rFonts w:eastAsia="TimesNewRoman"/>
          <w:szCs w:val="22"/>
          <w:lang w:val="sr-Latn-ME"/>
        </w:rPr>
        <w:t>j</w:t>
      </w:r>
      <w:r w:rsidR="00D81391" w:rsidRPr="001202A2">
        <w:rPr>
          <w:rFonts w:eastAsia="TimesNewRoman"/>
          <w:szCs w:val="22"/>
          <w:lang w:val="sr-Latn-ME"/>
        </w:rPr>
        <w:t>eženo je</w:t>
      </w:r>
      <w:r w:rsidR="00112E4D" w:rsidRPr="001202A2">
        <w:rPr>
          <w:rFonts w:eastAsia="TimesNewRoman"/>
          <w:szCs w:val="22"/>
          <w:lang w:val="sr-Latn-ME"/>
        </w:rPr>
        <w:t xml:space="preserve"> povećanje </w:t>
      </w:r>
      <w:r w:rsidRPr="001202A2">
        <w:rPr>
          <w:rFonts w:eastAsia="TimesNewRoman"/>
          <w:szCs w:val="22"/>
          <w:lang w:val="sr-Latn-ME"/>
        </w:rPr>
        <w:t>C</w:t>
      </w:r>
      <w:r w:rsidRPr="001202A2">
        <w:rPr>
          <w:rFonts w:eastAsia="TimesNewRoman"/>
          <w:szCs w:val="22"/>
          <w:vertAlign w:val="subscript"/>
          <w:lang w:val="sr-Latn-ME"/>
        </w:rPr>
        <w:t xml:space="preserve">max </w:t>
      </w:r>
      <w:r w:rsidRPr="001202A2">
        <w:rPr>
          <w:rFonts w:eastAsia="TimesNewRoman"/>
          <w:szCs w:val="22"/>
          <w:lang w:val="sr-Latn-ME"/>
        </w:rPr>
        <w:t xml:space="preserve">digoksina </w:t>
      </w:r>
      <w:r w:rsidR="00112E4D" w:rsidRPr="001202A2">
        <w:rPr>
          <w:rFonts w:eastAsia="TimesNewRoman"/>
          <w:szCs w:val="22"/>
          <w:lang w:val="sr-Latn-ME"/>
        </w:rPr>
        <w:t>za</w:t>
      </w:r>
      <w:r w:rsidRPr="001202A2">
        <w:rPr>
          <w:rFonts w:eastAsia="TimesNewRoman"/>
          <w:szCs w:val="22"/>
          <w:lang w:val="sr-Latn-ME"/>
        </w:rPr>
        <w:t xml:space="preserve"> približno 28%, a PIK</w:t>
      </w:r>
      <w:r w:rsidR="00112E4D" w:rsidRPr="001202A2">
        <w:rPr>
          <w:rFonts w:eastAsia="TimesNewRoman"/>
          <w:szCs w:val="22"/>
          <w:lang w:val="sr-Latn-ME"/>
        </w:rPr>
        <w:t>-a</w:t>
      </w:r>
      <w:r w:rsidRPr="001202A2">
        <w:rPr>
          <w:rFonts w:eastAsia="TimesNewRoman"/>
          <w:szCs w:val="22"/>
          <w:lang w:val="sr-Latn-ME"/>
        </w:rPr>
        <w:t xml:space="preserve"> za 7%. </w:t>
      </w:r>
      <w:r w:rsidR="00112E4D" w:rsidRPr="001202A2">
        <w:rPr>
          <w:rFonts w:eastAsia="TimesNewRoman"/>
          <w:szCs w:val="22"/>
          <w:lang w:val="sr-Latn-ME"/>
        </w:rPr>
        <w:t>Ovo se ne smatra</w:t>
      </w:r>
      <w:r w:rsidRPr="001202A2">
        <w:rPr>
          <w:rFonts w:eastAsia="TimesNewRoman"/>
          <w:szCs w:val="22"/>
          <w:lang w:val="sr-Latn-ME"/>
        </w:rPr>
        <w:t xml:space="preserve"> klinički značajnim. Nije potrebno prilago</w:t>
      </w:r>
      <w:r w:rsidR="00042DEF" w:rsidRPr="001202A2">
        <w:rPr>
          <w:rFonts w:eastAsia="TimesNewRoman"/>
          <w:szCs w:val="22"/>
          <w:lang w:val="sr-Latn-ME"/>
        </w:rPr>
        <w:t>đ</w:t>
      </w:r>
      <w:r w:rsidRPr="001202A2">
        <w:rPr>
          <w:rFonts w:eastAsia="TimesNewRoman"/>
          <w:szCs w:val="22"/>
          <w:lang w:val="sr-Latn-ME"/>
        </w:rPr>
        <w:t>avanje doze kada se edoksaban prim</w:t>
      </w:r>
      <w:r w:rsidR="00A57AD0" w:rsidRPr="001202A2">
        <w:rPr>
          <w:rFonts w:eastAsia="TimesNewRoman"/>
          <w:szCs w:val="22"/>
          <w:lang w:val="sr-Latn-ME"/>
        </w:rPr>
        <w:t>j</w:t>
      </w:r>
      <w:r w:rsidRPr="001202A2">
        <w:rPr>
          <w:rFonts w:eastAsia="TimesNewRoman"/>
          <w:szCs w:val="22"/>
          <w:lang w:val="sr-Latn-ME"/>
        </w:rPr>
        <w:t>enjuje sa digoksinom.</w:t>
      </w:r>
    </w:p>
    <w:p w14:paraId="68059B3E"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79B87373" w14:textId="7BBB79E3" w:rsidR="00F83812" w:rsidRPr="001202A2" w:rsidRDefault="00F83812"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Antikoagulansi, antitrombotici, NSAIL i SSRI/SNRI</w:t>
      </w:r>
    </w:p>
    <w:p w14:paraId="7C3379BD" w14:textId="4E2262AB" w:rsidR="00F83812" w:rsidRPr="001202A2" w:rsidRDefault="00F83812" w:rsidP="00480B31">
      <w:p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Antikoagulansi: </w:t>
      </w:r>
      <w:r w:rsidRPr="001202A2">
        <w:rPr>
          <w:rFonts w:eastAsia="TimesNewRoman"/>
          <w:szCs w:val="22"/>
          <w:lang w:val="sr-Latn-ME"/>
        </w:rPr>
        <w:t>Istovremena prim</w:t>
      </w:r>
      <w:r w:rsidR="00A57AD0" w:rsidRPr="001202A2">
        <w:rPr>
          <w:rFonts w:eastAsia="TimesNewRoman"/>
          <w:szCs w:val="22"/>
          <w:lang w:val="sr-Latn-ME"/>
        </w:rPr>
        <w:t>j</w:t>
      </w:r>
      <w:r w:rsidRPr="001202A2">
        <w:rPr>
          <w:rFonts w:eastAsia="TimesNewRoman"/>
          <w:szCs w:val="22"/>
          <w:lang w:val="sr-Latn-ME"/>
        </w:rPr>
        <w:t>ena edoksabana sa drugim antikoagulansima je kontraindikovana zbog povećanog rizika od krvarenja (vid</w:t>
      </w:r>
      <w:r w:rsidR="00A57AD0" w:rsidRPr="001202A2">
        <w:rPr>
          <w:rFonts w:eastAsia="TimesNewRoman"/>
          <w:szCs w:val="22"/>
          <w:lang w:val="sr-Latn-ME"/>
        </w:rPr>
        <w:t>j</w:t>
      </w:r>
      <w:r w:rsidRPr="001202A2">
        <w:rPr>
          <w:rFonts w:eastAsia="TimesNewRoman"/>
          <w:szCs w:val="22"/>
          <w:lang w:val="sr-Latn-ME"/>
        </w:rPr>
        <w:t xml:space="preserve">eti </w:t>
      </w:r>
      <w:r w:rsidR="00A57AD0" w:rsidRPr="001202A2">
        <w:rPr>
          <w:rFonts w:eastAsia="TimesNewRoman"/>
          <w:szCs w:val="22"/>
          <w:lang w:val="sr-Latn-ME"/>
        </w:rPr>
        <w:t>dio</w:t>
      </w:r>
      <w:r w:rsidRPr="001202A2">
        <w:rPr>
          <w:rFonts w:eastAsia="TimesNewRoman"/>
          <w:szCs w:val="22"/>
          <w:lang w:val="sr-Latn-ME"/>
        </w:rPr>
        <w:t xml:space="preserve"> 4.3).</w:t>
      </w:r>
    </w:p>
    <w:p w14:paraId="18301576"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1E94D126" w14:textId="663DCCAB" w:rsidR="00F83812" w:rsidRPr="001202A2" w:rsidRDefault="00F83812" w:rsidP="00480B31">
      <w:pPr>
        <w:tabs>
          <w:tab w:val="clear" w:pos="284"/>
        </w:tabs>
        <w:autoSpaceDE w:val="0"/>
        <w:autoSpaceDN w:val="0"/>
        <w:adjustRightInd w:val="0"/>
        <w:rPr>
          <w:rFonts w:eastAsia="TimesNewRoman"/>
          <w:szCs w:val="22"/>
          <w:lang w:val="sr-Latn-ME"/>
        </w:rPr>
      </w:pPr>
      <w:r w:rsidRPr="001202A2">
        <w:rPr>
          <w:rFonts w:eastAsia="TimesNewRoman"/>
          <w:i/>
          <w:iCs/>
          <w:szCs w:val="22"/>
          <w:lang w:val="sr-Latn-ME"/>
        </w:rPr>
        <w:t>AS</w:t>
      </w:r>
      <w:r w:rsidR="003F39C1" w:rsidRPr="001202A2">
        <w:rPr>
          <w:rFonts w:eastAsia="TimesNewRoman"/>
          <w:i/>
          <w:iCs/>
          <w:szCs w:val="22"/>
          <w:lang w:val="sr-Latn-ME"/>
        </w:rPr>
        <w:t>A</w:t>
      </w:r>
      <w:r w:rsidRPr="001202A2">
        <w:rPr>
          <w:rFonts w:eastAsia="TimesNewRoman"/>
          <w:i/>
          <w:iCs/>
          <w:szCs w:val="22"/>
          <w:lang w:val="sr-Latn-ME"/>
        </w:rPr>
        <w:t xml:space="preserve">: </w:t>
      </w:r>
      <w:r w:rsidRPr="001202A2">
        <w:rPr>
          <w:rFonts w:eastAsia="TimesNewRoman"/>
          <w:szCs w:val="22"/>
          <w:lang w:val="sr-Latn-ME"/>
        </w:rPr>
        <w:t>Istovremena prim</w:t>
      </w:r>
      <w:r w:rsidR="00A57AD0" w:rsidRPr="001202A2">
        <w:rPr>
          <w:rFonts w:eastAsia="TimesNewRoman"/>
          <w:szCs w:val="22"/>
          <w:lang w:val="sr-Latn-ME"/>
        </w:rPr>
        <w:t>j</w:t>
      </w:r>
      <w:r w:rsidRPr="001202A2">
        <w:rPr>
          <w:rFonts w:eastAsia="TimesNewRoman"/>
          <w:szCs w:val="22"/>
          <w:lang w:val="sr-Latn-ME"/>
        </w:rPr>
        <w:t>ena AS</w:t>
      </w:r>
      <w:r w:rsidR="003F39C1" w:rsidRPr="001202A2">
        <w:rPr>
          <w:rFonts w:eastAsia="TimesNewRoman"/>
          <w:szCs w:val="22"/>
          <w:lang w:val="sr-Latn-ME"/>
        </w:rPr>
        <w:t>A</w:t>
      </w:r>
      <w:r w:rsidRPr="001202A2">
        <w:rPr>
          <w:rFonts w:eastAsia="TimesNewRoman"/>
          <w:szCs w:val="22"/>
          <w:lang w:val="sr-Latn-ME"/>
        </w:rPr>
        <w:t xml:space="preserve"> (100 mg ili 325 mg) i edoksabana </w:t>
      </w:r>
      <w:r w:rsidR="00C4451F" w:rsidRPr="001202A2">
        <w:rPr>
          <w:rFonts w:eastAsia="TimesNewRoman"/>
          <w:szCs w:val="22"/>
          <w:lang w:val="sr-Latn-ME"/>
        </w:rPr>
        <w:t xml:space="preserve">produžila je </w:t>
      </w:r>
      <w:r w:rsidRPr="001202A2">
        <w:rPr>
          <w:rFonts w:eastAsia="TimesNewRoman"/>
          <w:szCs w:val="22"/>
          <w:lang w:val="sr-Latn-ME"/>
        </w:rPr>
        <w:t>vr</w:t>
      </w:r>
      <w:r w:rsidR="00A57AD0" w:rsidRPr="001202A2">
        <w:rPr>
          <w:rFonts w:eastAsia="TimesNewRoman"/>
          <w:szCs w:val="22"/>
          <w:lang w:val="sr-Latn-ME"/>
        </w:rPr>
        <w:t>ij</w:t>
      </w:r>
      <w:r w:rsidRPr="001202A2">
        <w:rPr>
          <w:rFonts w:eastAsia="TimesNewRoman"/>
          <w:szCs w:val="22"/>
          <w:lang w:val="sr-Latn-ME"/>
        </w:rPr>
        <w:t xml:space="preserve">eme krvarenja u odnosu na </w:t>
      </w:r>
      <w:r w:rsidR="003F39C1" w:rsidRPr="001202A2">
        <w:rPr>
          <w:rFonts w:eastAsia="TimesNewRoman"/>
          <w:szCs w:val="22"/>
          <w:lang w:val="sr-Latn-ME"/>
        </w:rPr>
        <w:t>pojedinačnu prim</w:t>
      </w:r>
      <w:r w:rsidR="00A57AD0" w:rsidRPr="001202A2">
        <w:rPr>
          <w:rFonts w:eastAsia="TimesNewRoman"/>
          <w:szCs w:val="22"/>
          <w:lang w:val="sr-Latn-ME"/>
        </w:rPr>
        <w:t>j</w:t>
      </w:r>
      <w:r w:rsidR="003F39C1" w:rsidRPr="001202A2">
        <w:rPr>
          <w:rFonts w:eastAsia="TimesNewRoman"/>
          <w:szCs w:val="22"/>
          <w:lang w:val="sr-Latn-ME"/>
        </w:rPr>
        <w:t>enu bilo kog od ova</w:t>
      </w:r>
      <w:r w:rsidRPr="001202A2">
        <w:rPr>
          <w:rFonts w:eastAsia="TimesNewRoman"/>
          <w:szCs w:val="22"/>
          <w:lang w:val="sr-Latn-ME"/>
        </w:rPr>
        <w:t xml:space="preserve"> </w:t>
      </w:r>
      <w:r w:rsidR="00C4451F" w:rsidRPr="001202A2">
        <w:rPr>
          <w:rFonts w:eastAsia="TimesNewRoman"/>
          <w:szCs w:val="22"/>
          <w:lang w:val="sr-Latn-ME"/>
        </w:rPr>
        <w:t xml:space="preserve">dva </w:t>
      </w:r>
      <w:r w:rsidRPr="001202A2">
        <w:rPr>
          <w:rFonts w:eastAsia="TimesNewRoman"/>
          <w:szCs w:val="22"/>
          <w:lang w:val="sr-Latn-ME"/>
        </w:rPr>
        <w:t>l</w:t>
      </w:r>
      <w:r w:rsidR="00A57AD0" w:rsidRPr="001202A2">
        <w:rPr>
          <w:rFonts w:eastAsia="TimesNewRoman"/>
          <w:szCs w:val="22"/>
          <w:lang w:val="sr-Latn-ME"/>
        </w:rPr>
        <w:t>ij</w:t>
      </w:r>
      <w:r w:rsidRPr="001202A2">
        <w:rPr>
          <w:rFonts w:eastAsia="TimesNewRoman"/>
          <w:szCs w:val="22"/>
          <w:lang w:val="sr-Latn-ME"/>
        </w:rPr>
        <w:t>eka. Istovremena prim</w:t>
      </w:r>
      <w:r w:rsidR="00A57AD0" w:rsidRPr="001202A2">
        <w:rPr>
          <w:rFonts w:eastAsia="TimesNewRoman"/>
          <w:szCs w:val="22"/>
          <w:lang w:val="sr-Latn-ME"/>
        </w:rPr>
        <w:t>j</w:t>
      </w:r>
      <w:r w:rsidRPr="001202A2">
        <w:rPr>
          <w:rFonts w:eastAsia="TimesNewRoman"/>
          <w:szCs w:val="22"/>
          <w:lang w:val="sr-Latn-ME"/>
        </w:rPr>
        <w:t xml:space="preserve">ena </w:t>
      </w:r>
      <w:r w:rsidR="003F39C1" w:rsidRPr="001202A2">
        <w:rPr>
          <w:rFonts w:eastAsia="TimesNewRoman"/>
          <w:szCs w:val="22"/>
          <w:lang w:val="sr-Latn-ME"/>
        </w:rPr>
        <w:t>visoke</w:t>
      </w:r>
      <w:r w:rsidRPr="001202A2">
        <w:rPr>
          <w:rFonts w:eastAsia="TimesNewRoman"/>
          <w:szCs w:val="22"/>
          <w:lang w:val="sr-Latn-ME"/>
        </w:rPr>
        <w:t xml:space="preserve"> doze AS</w:t>
      </w:r>
      <w:r w:rsidR="003F39C1" w:rsidRPr="001202A2">
        <w:rPr>
          <w:rFonts w:eastAsia="TimesNewRoman"/>
          <w:szCs w:val="22"/>
          <w:lang w:val="sr-Latn-ME"/>
        </w:rPr>
        <w:t>A</w:t>
      </w:r>
      <w:r w:rsidRPr="001202A2">
        <w:rPr>
          <w:rFonts w:eastAsia="TimesNewRoman"/>
          <w:szCs w:val="22"/>
          <w:lang w:val="sr-Latn-ME"/>
        </w:rPr>
        <w:t xml:space="preserve"> (325 mg) povećala je vr</w:t>
      </w:r>
      <w:r w:rsidR="00A57AD0" w:rsidRPr="001202A2">
        <w:rPr>
          <w:rFonts w:eastAsia="TimesNewRoman"/>
          <w:szCs w:val="22"/>
          <w:lang w:val="sr-Latn-ME"/>
        </w:rPr>
        <w:t>ij</w:t>
      </w:r>
      <w:r w:rsidRPr="001202A2">
        <w:rPr>
          <w:rFonts w:eastAsia="TimesNewRoman"/>
          <w:szCs w:val="22"/>
          <w:lang w:val="sr-Latn-ME"/>
        </w:rPr>
        <w:t>ednost C</w:t>
      </w:r>
      <w:r w:rsidRPr="001202A2">
        <w:rPr>
          <w:rFonts w:eastAsia="TimesNewRoman"/>
          <w:szCs w:val="22"/>
          <w:vertAlign w:val="subscript"/>
          <w:lang w:val="sr-Latn-ME"/>
        </w:rPr>
        <w:t>max</w:t>
      </w:r>
      <w:r w:rsidRPr="001202A2">
        <w:rPr>
          <w:rFonts w:eastAsia="TimesNewRoman"/>
          <w:szCs w:val="22"/>
          <w:lang w:val="sr-Latn-ME"/>
        </w:rPr>
        <w:t xml:space="preserve"> i PIK</w:t>
      </w:r>
      <w:r w:rsidR="005B19E4" w:rsidRPr="001202A2">
        <w:rPr>
          <w:rFonts w:eastAsia="TimesNewRoman"/>
          <w:szCs w:val="22"/>
          <w:lang w:val="sr-Latn-ME"/>
        </w:rPr>
        <w:t>-a</w:t>
      </w:r>
      <w:r w:rsidRPr="001202A2">
        <w:rPr>
          <w:rFonts w:eastAsia="TimesNewRoman"/>
          <w:szCs w:val="22"/>
          <w:lang w:val="sr-Latn-ME"/>
        </w:rPr>
        <w:t xml:space="preserve"> edoksabana u stanju dinamičke ravnoteže za 35% odnosno 32%. Istovremena hronična prim</w:t>
      </w:r>
      <w:r w:rsidR="00A57AD0" w:rsidRPr="001202A2">
        <w:rPr>
          <w:rFonts w:eastAsia="TimesNewRoman"/>
          <w:szCs w:val="22"/>
          <w:lang w:val="sr-Latn-ME"/>
        </w:rPr>
        <w:t>j</w:t>
      </w:r>
      <w:r w:rsidRPr="001202A2">
        <w:rPr>
          <w:rFonts w:eastAsia="TimesNewRoman"/>
          <w:szCs w:val="22"/>
          <w:lang w:val="sr-Latn-ME"/>
        </w:rPr>
        <w:t xml:space="preserve">ena </w:t>
      </w:r>
      <w:r w:rsidR="003F39C1" w:rsidRPr="001202A2">
        <w:rPr>
          <w:rFonts w:eastAsia="TimesNewRoman"/>
          <w:szCs w:val="22"/>
          <w:lang w:val="sr-Latn-ME"/>
        </w:rPr>
        <w:t>visokih</w:t>
      </w:r>
      <w:r w:rsidRPr="001202A2">
        <w:rPr>
          <w:rFonts w:eastAsia="TimesNewRoman"/>
          <w:szCs w:val="22"/>
          <w:lang w:val="sr-Latn-ME"/>
        </w:rPr>
        <w:t xml:space="preserve"> doz</w:t>
      </w:r>
      <w:r w:rsidR="003F39C1" w:rsidRPr="001202A2">
        <w:rPr>
          <w:rFonts w:eastAsia="TimesNewRoman"/>
          <w:szCs w:val="22"/>
          <w:lang w:val="sr-Latn-ME"/>
        </w:rPr>
        <w:t>a</w:t>
      </w:r>
      <w:r w:rsidRPr="001202A2">
        <w:rPr>
          <w:rFonts w:eastAsia="TimesNewRoman"/>
          <w:szCs w:val="22"/>
          <w:lang w:val="sr-Latn-ME"/>
        </w:rPr>
        <w:t xml:space="preserve"> AS</w:t>
      </w:r>
      <w:r w:rsidR="003F39C1" w:rsidRPr="001202A2">
        <w:rPr>
          <w:rFonts w:eastAsia="TimesNewRoman"/>
          <w:szCs w:val="22"/>
          <w:lang w:val="sr-Latn-ME"/>
        </w:rPr>
        <w:t>A</w:t>
      </w:r>
      <w:r w:rsidRPr="001202A2">
        <w:rPr>
          <w:rFonts w:eastAsia="TimesNewRoman"/>
          <w:szCs w:val="22"/>
          <w:lang w:val="sr-Latn-ME"/>
        </w:rPr>
        <w:t xml:space="preserve"> (325 mg) sa edoksabanom se ne preporučuje. Istovremena prim</w:t>
      </w:r>
      <w:r w:rsidR="00A57AD0" w:rsidRPr="001202A2">
        <w:rPr>
          <w:rFonts w:eastAsia="TimesNewRoman"/>
          <w:szCs w:val="22"/>
          <w:lang w:val="sr-Latn-ME"/>
        </w:rPr>
        <w:t>j</w:t>
      </w:r>
      <w:r w:rsidRPr="001202A2">
        <w:rPr>
          <w:rFonts w:eastAsia="TimesNewRoman"/>
          <w:szCs w:val="22"/>
          <w:lang w:val="sr-Latn-ME"/>
        </w:rPr>
        <w:t>ena</w:t>
      </w:r>
      <w:r w:rsidR="003F39C1" w:rsidRPr="001202A2">
        <w:rPr>
          <w:rFonts w:eastAsia="TimesNewRoman"/>
          <w:szCs w:val="22"/>
          <w:lang w:val="sr-Latn-ME"/>
        </w:rPr>
        <w:t xml:space="preserve"> sa</w:t>
      </w:r>
      <w:r w:rsidRPr="001202A2">
        <w:rPr>
          <w:rFonts w:eastAsia="TimesNewRoman"/>
          <w:szCs w:val="22"/>
          <w:lang w:val="sr-Latn-ME"/>
        </w:rPr>
        <w:t xml:space="preserve"> AS</w:t>
      </w:r>
      <w:r w:rsidR="003F39C1" w:rsidRPr="001202A2">
        <w:rPr>
          <w:rFonts w:eastAsia="TimesNewRoman"/>
          <w:szCs w:val="22"/>
          <w:lang w:val="sr-Latn-ME"/>
        </w:rPr>
        <w:t>A</w:t>
      </w:r>
      <w:r w:rsidRPr="001202A2">
        <w:rPr>
          <w:rFonts w:eastAsia="TimesNewRoman"/>
          <w:szCs w:val="22"/>
          <w:lang w:val="sr-Latn-ME"/>
        </w:rPr>
        <w:t xml:space="preserve"> u dozama većim od 100 mg</w:t>
      </w:r>
      <w:r w:rsidR="003F39C1" w:rsidRPr="001202A2">
        <w:rPr>
          <w:rFonts w:eastAsia="TimesNewRoman"/>
          <w:szCs w:val="22"/>
          <w:lang w:val="sr-Latn-ME"/>
        </w:rPr>
        <w:t>, može</w:t>
      </w:r>
      <w:r w:rsidRPr="001202A2">
        <w:rPr>
          <w:rFonts w:eastAsia="TimesNewRoman"/>
          <w:szCs w:val="22"/>
          <w:lang w:val="sr-Latn-ME"/>
        </w:rPr>
        <w:t xml:space="preserve"> se sprovoditi samo pod nadzorom l</w:t>
      </w:r>
      <w:r w:rsidR="00A57AD0" w:rsidRPr="001202A2">
        <w:rPr>
          <w:rFonts w:eastAsia="TimesNewRoman"/>
          <w:szCs w:val="22"/>
          <w:lang w:val="sr-Latn-ME"/>
        </w:rPr>
        <w:t>j</w:t>
      </w:r>
      <w:r w:rsidRPr="001202A2">
        <w:rPr>
          <w:rFonts w:eastAsia="TimesNewRoman"/>
          <w:szCs w:val="22"/>
          <w:lang w:val="sr-Latn-ME"/>
        </w:rPr>
        <w:t>ekara.</w:t>
      </w:r>
    </w:p>
    <w:p w14:paraId="6BE1AEE9"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7DAB016C" w14:textId="1F21126A" w:rsidR="00B71933" w:rsidRPr="001202A2" w:rsidRDefault="00182EF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w:t>
      </w:r>
      <w:r w:rsidR="00F83812" w:rsidRPr="001202A2">
        <w:rPr>
          <w:rFonts w:eastAsia="TimesNewRoman"/>
          <w:szCs w:val="22"/>
          <w:lang w:val="sr-Latn-ME"/>
        </w:rPr>
        <w:t xml:space="preserve"> klinički</w:t>
      </w:r>
      <w:r w:rsidRPr="001202A2">
        <w:rPr>
          <w:rFonts w:eastAsia="TimesNewRoman"/>
          <w:szCs w:val="22"/>
          <w:lang w:val="sr-Latn-ME"/>
        </w:rPr>
        <w:t>m</w:t>
      </w:r>
      <w:r w:rsidR="00F83812" w:rsidRPr="001202A2">
        <w:rPr>
          <w:rFonts w:eastAsia="TimesNewRoman"/>
          <w:szCs w:val="22"/>
          <w:lang w:val="sr-Latn-ME"/>
        </w:rPr>
        <w:t xml:space="preserve"> </w:t>
      </w:r>
      <w:r w:rsidRPr="001202A2">
        <w:rPr>
          <w:rFonts w:eastAsia="TimesNewRoman"/>
          <w:szCs w:val="22"/>
          <w:lang w:val="sr-Latn-ME"/>
        </w:rPr>
        <w:t>studijama</w:t>
      </w:r>
      <w:r w:rsidR="00F83812" w:rsidRPr="001202A2">
        <w:rPr>
          <w:rFonts w:eastAsia="TimesNewRoman"/>
          <w:szCs w:val="22"/>
          <w:lang w:val="sr-Latn-ME"/>
        </w:rPr>
        <w:t xml:space="preserve"> bila je dozvoljena istovremena prim</w:t>
      </w:r>
      <w:r w:rsidR="00A57AD0" w:rsidRPr="001202A2">
        <w:rPr>
          <w:rFonts w:eastAsia="TimesNewRoman"/>
          <w:szCs w:val="22"/>
          <w:lang w:val="sr-Latn-ME"/>
        </w:rPr>
        <w:t>j</w:t>
      </w:r>
      <w:r w:rsidR="00F83812" w:rsidRPr="001202A2">
        <w:rPr>
          <w:rFonts w:eastAsia="TimesNewRoman"/>
          <w:szCs w:val="22"/>
          <w:lang w:val="sr-Latn-ME"/>
        </w:rPr>
        <w:t>ena AS</w:t>
      </w:r>
      <w:r w:rsidRPr="001202A2">
        <w:rPr>
          <w:rFonts w:eastAsia="TimesNewRoman"/>
          <w:szCs w:val="22"/>
          <w:lang w:val="sr-Latn-ME"/>
        </w:rPr>
        <w:t>A</w:t>
      </w:r>
      <w:r w:rsidR="00F83812" w:rsidRPr="001202A2">
        <w:rPr>
          <w:rFonts w:eastAsia="TimesNewRoman"/>
          <w:szCs w:val="22"/>
          <w:lang w:val="sr-Latn-ME"/>
        </w:rPr>
        <w:t xml:space="preserve"> (u </w:t>
      </w:r>
      <w:r w:rsidRPr="001202A2">
        <w:rPr>
          <w:rFonts w:eastAsia="TimesNewRoman"/>
          <w:szCs w:val="22"/>
          <w:lang w:val="sr-Latn-ME"/>
        </w:rPr>
        <w:t>niskoj</w:t>
      </w:r>
      <w:r w:rsidR="00F83812" w:rsidRPr="001202A2">
        <w:rPr>
          <w:rFonts w:eastAsia="TimesNewRoman"/>
          <w:szCs w:val="22"/>
          <w:lang w:val="sr-Latn-ME"/>
        </w:rPr>
        <w:t xml:space="preserve"> dozi ≤ 100 mg/dan), drugih antitromb</w:t>
      </w:r>
      <w:r w:rsidRPr="001202A2">
        <w:rPr>
          <w:rFonts w:eastAsia="TimesNewRoman"/>
          <w:szCs w:val="22"/>
          <w:lang w:val="sr-Latn-ME"/>
        </w:rPr>
        <w:t>otskih l</w:t>
      </w:r>
      <w:r w:rsidR="00A57AD0" w:rsidRPr="001202A2">
        <w:rPr>
          <w:rFonts w:eastAsia="TimesNewRoman"/>
          <w:szCs w:val="22"/>
          <w:lang w:val="sr-Latn-ME"/>
        </w:rPr>
        <w:t>j</w:t>
      </w:r>
      <w:r w:rsidRPr="001202A2">
        <w:rPr>
          <w:rFonts w:eastAsia="TimesNewRoman"/>
          <w:szCs w:val="22"/>
          <w:lang w:val="sr-Latn-ME"/>
        </w:rPr>
        <w:t>ekova</w:t>
      </w:r>
      <w:r w:rsidR="00F83812" w:rsidRPr="001202A2">
        <w:rPr>
          <w:rFonts w:eastAsia="TimesNewRoman"/>
          <w:szCs w:val="22"/>
          <w:lang w:val="sr-Latn-ME"/>
        </w:rPr>
        <w:t xml:space="preserve"> i tienopiridina, što je rezultiralo približno dvostrukim povećanjem velikih krvarenja u </w:t>
      </w:r>
      <w:r w:rsidRPr="001202A2">
        <w:rPr>
          <w:rFonts w:eastAsia="TimesNewRoman"/>
          <w:szCs w:val="22"/>
          <w:lang w:val="sr-Latn-ME"/>
        </w:rPr>
        <w:t xml:space="preserve">odnosu na grupu koja nije primala antitrombotike, </w:t>
      </w:r>
      <w:r w:rsidR="00F83812" w:rsidRPr="001202A2">
        <w:rPr>
          <w:rFonts w:eastAsia="TimesNewRoman"/>
          <w:szCs w:val="22"/>
          <w:lang w:val="sr-Latn-ME"/>
        </w:rPr>
        <w:t xml:space="preserve">iako </w:t>
      </w:r>
      <w:r w:rsidRPr="001202A2">
        <w:rPr>
          <w:rFonts w:eastAsia="TimesNewRoman"/>
          <w:szCs w:val="22"/>
          <w:lang w:val="sr-Latn-ME"/>
        </w:rPr>
        <w:t>je ovo povećanje bilo</w:t>
      </w:r>
      <w:r w:rsidR="00F83812" w:rsidRPr="001202A2">
        <w:rPr>
          <w:rFonts w:eastAsia="TimesNewRoman"/>
          <w:szCs w:val="22"/>
          <w:lang w:val="sr-Latn-ME"/>
        </w:rPr>
        <w:t xml:space="preserve"> slično u grupama koje su primale edoksaban i varfarin (vid</w:t>
      </w:r>
      <w:r w:rsidR="00A57AD0" w:rsidRPr="001202A2">
        <w:rPr>
          <w:rFonts w:eastAsia="TimesNewRoman"/>
          <w:szCs w:val="22"/>
          <w:lang w:val="sr-Latn-ME"/>
        </w:rPr>
        <w:t>j</w:t>
      </w:r>
      <w:r w:rsidR="00F83812" w:rsidRPr="001202A2">
        <w:rPr>
          <w:rFonts w:eastAsia="TimesNewRoman"/>
          <w:szCs w:val="22"/>
          <w:lang w:val="sr-Latn-ME"/>
        </w:rPr>
        <w:t xml:space="preserve">eti </w:t>
      </w:r>
      <w:r w:rsidR="00A57AD0" w:rsidRPr="001202A2">
        <w:rPr>
          <w:rFonts w:eastAsia="TimesNewRoman"/>
          <w:szCs w:val="22"/>
          <w:lang w:val="sr-Latn-ME"/>
        </w:rPr>
        <w:t>dio</w:t>
      </w:r>
      <w:r w:rsidR="00F83812" w:rsidRPr="001202A2">
        <w:rPr>
          <w:rFonts w:eastAsia="TimesNewRoman"/>
          <w:szCs w:val="22"/>
          <w:lang w:val="sr-Latn-ME"/>
        </w:rPr>
        <w:t xml:space="preserve"> 4.4). Istovremena prim</w:t>
      </w:r>
      <w:r w:rsidR="00A57AD0" w:rsidRPr="001202A2">
        <w:rPr>
          <w:rFonts w:eastAsia="TimesNewRoman"/>
          <w:szCs w:val="22"/>
          <w:lang w:val="sr-Latn-ME"/>
        </w:rPr>
        <w:t>j</w:t>
      </w:r>
      <w:r w:rsidR="00F83812" w:rsidRPr="001202A2">
        <w:rPr>
          <w:rFonts w:eastAsia="TimesNewRoman"/>
          <w:szCs w:val="22"/>
          <w:lang w:val="sr-Latn-ME"/>
        </w:rPr>
        <w:t xml:space="preserve">ena </w:t>
      </w:r>
      <w:r w:rsidR="00B71933" w:rsidRPr="001202A2">
        <w:rPr>
          <w:rFonts w:eastAsia="TimesNewRoman"/>
          <w:szCs w:val="22"/>
          <w:lang w:val="sr-Latn-ME"/>
        </w:rPr>
        <w:t>niske</w:t>
      </w:r>
      <w:r w:rsidR="00F83812" w:rsidRPr="001202A2">
        <w:rPr>
          <w:rFonts w:eastAsia="TimesNewRoman"/>
          <w:szCs w:val="22"/>
          <w:lang w:val="sr-Latn-ME"/>
        </w:rPr>
        <w:t xml:space="preserve"> doze AS</w:t>
      </w:r>
      <w:r w:rsidR="00B71933" w:rsidRPr="001202A2">
        <w:rPr>
          <w:rFonts w:eastAsia="TimesNewRoman"/>
          <w:szCs w:val="22"/>
          <w:lang w:val="sr-Latn-ME"/>
        </w:rPr>
        <w:t>A</w:t>
      </w:r>
      <w:r w:rsidR="00F83812" w:rsidRPr="001202A2">
        <w:rPr>
          <w:rFonts w:eastAsia="TimesNewRoman"/>
          <w:szCs w:val="22"/>
          <w:lang w:val="sr-Latn-ME"/>
        </w:rPr>
        <w:t xml:space="preserve"> (≤ 100 mg) nije uticala na maksimalnu ili ukupnu izloženost edoksabanu nakon </w:t>
      </w:r>
      <w:r w:rsidR="00B71933" w:rsidRPr="001202A2">
        <w:rPr>
          <w:rFonts w:eastAsia="TimesNewRoman"/>
          <w:szCs w:val="22"/>
          <w:lang w:val="sr-Latn-ME"/>
        </w:rPr>
        <w:t>pojedinačne</w:t>
      </w:r>
      <w:r w:rsidR="00F83812" w:rsidRPr="001202A2">
        <w:rPr>
          <w:rFonts w:eastAsia="TimesNewRoman"/>
          <w:szCs w:val="22"/>
          <w:lang w:val="sr-Latn-ME"/>
        </w:rPr>
        <w:t xml:space="preserve"> doze, </w:t>
      </w:r>
      <w:r w:rsidR="00B71933" w:rsidRPr="001202A2">
        <w:rPr>
          <w:rFonts w:eastAsia="TimesNewRoman"/>
          <w:szCs w:val="22"/>
          <w:lang w:val="sr-Latn-ME"/>
        </w:rPr>
        <w:t>niti</w:t>
      </w:r>
      <w:r w:rsidR="00F83812" w:rsidRPr="001202A2">
        <w:rPr>
          <w:rFonts w:eastAsia="TimesNewRoman"/>
          <w:szCs w:val="22"/>
          <w:lang w:val="sr-Latn-ME"/>
        </w:rPr>
        <w:t xml:space="preserve"> u stanju dinamičke ravnoteže. </w:t>
      </w:r>
    </w:p>
    <w:p w14:paraId="1318F830" w14:textId="59ADE3E7" w:rsidR="00F83812" w:rsidRPr="001202A2" w:rsidRDefault="00F838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može prim</w:t>
      </w:r>
      <w:r w:rsidR="00A57AD0" w:rsidRPr="001202A2">
        <w:rPr>
          <w:rFonts w:eastAsia="TimesNewRoman"/>
          <w:szCs w:val="22"/>
          <w:lang w:val="sr-Latn-ME"/>
        </w:rPr>
        <w:t>j</w:t>
      </w:r>
      <w:r w:rsidRPr="001202A2">
        <w:rPr>
          <w:rFonts w:eastAsia="TimesNewRoman"/>
          <w:szCs w:val="22"/>
          <w:lang w:val="sr-Latn-ME"/>
        </w:rPr>
        <w:t xml:space="preserve">enjivati istovremeno sa </w:t>
      </w:r>
      <w:r w:rsidR="00B71933" w:rsidRPr="001202A2">
        <w:rPr>
          <w:rFonts w:eastAsia="TimesNewRoman"/>
          <w:szCs w:val="22"/>
          <w:lang w:val="sr-Latn-ME"/>
        </w:rPr>
        <w:t>niskom</w:t>
      </w:r>
      <w:r w:rsidRPr="001202A2">
        <w:rPr>
          <w:rFonts w:eastAsia="TimesNewRoman"/>
          <w:szCs w:val="22"/>
          <w:lang w:val="sr-Latn-ME"/>
        </w:rPr>
        <w:t xml:space="preserve"> dozom AS</w:t>
      </w:r>
      <w:r w:rsidR="00B71933" w:rsidRPr="001202A2">
        <w:rPr>
          <w:rFonts w:eastAsia="TimesNewRoman"/>
          <w:szCs w:val="22"/>
          <w:lang w:val="sr-Latn-ME"/>
        </w:rPr>
        <w:t>A</w:t>
      </w:r>
      <w:r w:rsidRPr="001202A2">
        <w:rPr>
          <w:rFonts w:eastAsia="TimesNewRoman"/>
          <w:szCs w:val="22"/>
          <w:lang w:val="sr-Latn-ME"/>
        </w:rPr>
        <w:t xml:space="preserve"> (≤ 100 mg/dan).</w:t>
      </w:r>
    </w:p>
    <w:p w14:paraId="7F0D0DEC"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112320B7" w14:textId="77777777" w:rsidR="004F5646" w:rsidRPr="001202A2" w:rsidRDefault="00F83812" w:rsidP="00480B31">
      <w:pPr>
        <w:tabs>
          <w:tab w:val="clear" w:pos="284"/>
        </w:tabs>
        <w:autoSpaceDE w:val="0"/>
        <w:autoSpaceDN w:val="0"/>
        <w:adjustRightInd w:val="0"/>
        <w:rPr>
          <w:rFonts w:eastAsia="TimesNewRoman"/>
          <w:iCs/>
          <w:szCs w:val="22"/>
          <w:lang w:val="sr-Latn-ME"/>
        </w:rPr>
      </w:pPr>
      <w:r w:rsidRPr="001202A2">
        <w:rPr>
          <w:rFonts w:eastAsia="TimesNewRoman"/>
          <w:i/>
          <w:iCs/>
          <w:szCs w:val="22"/>
          <w:lang w:val="sr-Latn-ME"/>
        </w:rPr>
        <w:t xml:space="preserve">Inhibitori agregacije trombocita: </w:t>
      </w:r>
    </w:p>
    <w:p w14:paraId="33BC4C60" w14:textId="323E0A6F" w:rsidR="00F83812" w:rsidRPr="001202A2" w:rsidRDefault="00B71933"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Istovremena prim</w:t>
      </w:r>
      <w:r w:rsidR="00A57AD0" w:rsidRPr="001202A2">
        <w:rPr>
          <w:rFonts w:eastAsia="TimesNewRoman"/>
          <w:szCs w:val="22"/>
          <w:lang w:val="sr-Latn-ME"/>
        </w:rPr>
        <w:t>j</w:t>
      </w:r>
      <w:r w:rsidRPr="001202A2">
        <w:rPr>
          <w:rFonts w:eastAsia="TimesNewRoman"/>
          <w:szCs w:val="22"/>
          <w:lang w:val="sr-Latn-ME"/>
        </w:rPr>
        <w:t>ena tienopirina u monoterapiji (npr. klopidogrela) je bila dozvoljena u studiji</w:t>
      </w:r>
      <w:r w:rsidR="00F83812" w:rsidRPr="001202A2">
        <w:rPr>
          <w:rFonts w:eastAsia="TimesNewRoman"/>
          <w:szCs w:val="22"/>
          <w:lang w:val="sr-Latn-ME"/>
        </w:rPr>
        <w:t xml:space="preserve"> ENGAGE AF-TIMI 48, što je </w:t>
      </w:r>
      <w:r w:rsidR="00C4451F" w:rsidRPr="001202A2">
        <w:rPr>
          <w:rFonts w:eastAsia="TimesNewRoman"/>
          <w:szCs w:val="22"/>
          <w:lang w:val="sr-Latn-ME"/>
        </w:rPr>
        <w:t>dovelo do</w:t>
      </w:r>
      <w:r w:rsidR="00F83812" w:rsidRPr="001202A2">
        <w:rPr>
          <w:rFonts w:eastAsia="TimesNewRoman"/>
          <w:szCs w:val="22"/>
          <w:lang w:val="sr-Latn-ME"/>
        </w:rPr>
        <w:t xml:space="preserve"> povećan</w:t>
      </w:r>
      <w:r w:rsidR="00C4451F" w:rsidRPr="001202A2">
        <w:rPr>
          <w:rFonts w:eastAsia="TimesNewRoman"/>
          <w:szCs w:val="22"/>
          <w:lang w:val="sr-Latn-ME"/>
        </w:rPr>
        <w:t>ja</w:t>
      </w:r>
      <w:r w:rsidR="00F83812" w:rsidRPr="001202A2">
        <w:rPr>
          <w:rFonts w:eastAsia="TimesNewRoman"/>
          <w:szCs w:val="22"/>
          <w:lang w:val="sr-Latn-ME"/>
        </w:rPr>
        <w:t xml:space="preserve"> klinički značajno</w:t>
      </w:r>
      <w:r w:rsidR="00C4451F" w:rsidRPr="001202A2">
        <w:rPr>
          <w:rFonts w:eastAsia="TimesNewRoman"/>
          <w:szCs w:val="22"/>
          <w:lang w:val="sr-Latn-ME"/>
        </w:rPr>
        <w:t>g</w:t>
      </w:r>
      <w:r w:rsidR="00F83812" w:rsidRPr="001202A2">
        <w:rPr>
          <w:rFonts w:eastAsia="TimesNewRoman"/>
          <w:szCs w:val="22"/>
          <w:lang w:val="sr-Latn-ME"/>
        </w:rPr>
        <w:t xml:space="preserve"> krvarenj</w:t>
      </w:r>
      <w:r w:rsidR="00C4451F" w:rsidRPr="001202A2">
        <w:rPr>
          <w:rFonts w:eastAsia="TimesNewRoman"/>
          <w:szCs w:val="22"/>
          <w:lang w:val="sr-Latn-ME"/>
        </w:rPr>
        <w:t>a</w:t>
      </w:r>
      <w:r w:rsidR="00F83812" w:rsidRPr="001202A2">
        <w:rPr>
          <w:rFonts w:eastAsia="TimesNewRoman"/>
          <w:szCs w:val="22"/>
          <w:lang w:val="sr-Latn-ME"/>
        </w:rPr>
        <w:t xml:space="preserve">, </w:t>
      </w:r>
      <w:r w:rsidR="00C4451F" w:rsidRPr="001202A2">
        <w:rPr>
          <w:rFonts w:eastAsia="TimesNewRoman"/>
          <w:szCs w:val="22"/>
          <w:lang w:val="sr-Latn-ME"/>
        </w:rPr>
        <w:t xml:space="preserve">mada </w:t>
      </w:r>
      <w:r w:rsidR="00F83812" w:rsidRPr="001202A2">
        <w:rPr>
          <w:rFonts w:eastAsia="TimesNewRoman"/>
          <w:szCs w:val="22"/>
          <w:lang w:val="sr-Latn-ME"/>
        </w:rPr>
        <w:t>je rizik od krvarenja bio manji kod prim</w:t>
      </w:r>
      <w:r w:rsidR="00A57AD0" w:rsidRPr="001202A2">
        <w:rPr>
          <w:rFonts w:eastAsia="TimesNewRoman"/>
          <w:szCs w:val="22"/>
          <w:lang w:val="sr-Latn-ME"/>
        </w:rPr>
        <w:t>j</w:t>
      </w:r>
      <w:r w:rsidR="00F83812" w:rsidRPr="001202A2">
        <w:rPr>
          <w:rFonts w:eastAsia="TimesNewRoman"/>
          <w:szCs w:val="22"/>
          <w:lang w:val="sr-Latn-ME"/>
        </w:rPr>
        <w:t>ene edoksabana nego varfarina (vid</w:t>
      </w:r>
      <w:r w:rsidR="00A57AD0" w:rsidRPr="001202A2">
        <w:rPr>
          <w:rFonts w:eastAsia="TimesNewRoman"/>
          <w:szCs w:val="22"/>
          <w:lang w:val="sr-Latn-ME"/>
        </w:rPr>
        <w:t>j</w:t>
      </w:r>
      <w:r w:rsidR="00F83812" w:rsidRPr="001202A2">
        <w:rPr>
          <w:rFonts w:eastAsia="TimesNewRoman"/>
          <w:szCs w:val="22"/>
          <w:lang w:val="sr-Latn-ME"/>
        </w:rPr>
        <w:t xml:space="preserve">eti </w:t>
      </w:r>
      <w:r w:rsidR="00A57AD0" w:rsidRPr="001202A2">
        <w:rPr>
          <w:rFonts w:eastAsia="TimesNewRoman"/>
          <w:szCs w:val="22"/>
          <w:lang w:val="sr-Latn-ME"/>
        </w:rPr>
        <w:t>dio</w:t>
      </w:r>
      <w:r w:rsidR="00F83812" w:rsidRPr="001202A2">
        <w:rPr>
          <w:rFonts w:eastAsia="TimesNewRoman"/>
          <w:szCs w:val="22"/>
          <w:lang w:val="sr-Latn-ME"/>
        </w:rPr>
        <w:t xml:space="preserve"> 4.4).</w:t>
      </w:r>
    </w:p>
    <w:p w14:paraId="3DF78A30"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5345348B" w14:textId="35798A57" w:rsidR="00F83812" w:rsidRPr="001202A2" w:rsidRDefault="00F838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Iskustvo sa prim</w:t>
      </w:r>
      <w:r w:rsidR="00A57AD0" w:rsidRPr="001202A2">
        <w:rPr>
          <w:rFonts w:eastAsia="TimesNewRoman"/>
          <w:szCs w:val="22"/>
          <w:lang w:val="sr-Latn-ME"/>
        </w:rPr>
        <w:t>j</w:t>
      </w:r>
      <w:r w:rsidRPr="001202A2">
        <w:rPr>
          <w:rFonts w:eastAsia="TimesNewRoman"/>
          <w:szCs w:val="22"/>
          <w:lang w:val="sr-Latn-ME"/>
        </w:rPr>
        <w:t>enom edoksabana sa dvojnom antitrombocitnom terapijom ili fibrinoliticima vrlo je ograničeno.</w:t>
      </w:r>
    </w:p>
    <w:p w14:paraId="12BCF809"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42CF8F69" w14:textId="13D140DE" w:rsidR="00F83812" w:rsidRPr="001202A2" w:rsidRDefault="00F83812" w:rsidP="00480B31">
      <w:p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NSAIL: </w:t>
      </w:r>
      <w:r w:rsidRPr="001202A2">
        <w:rPr>
          <w:rFonts w:eastAsia="TimesNewRoman"/>
          <w:szCs w:val="22"/>
          <w:lang w:val="sr-Latn-ME"/>
        </w:rPr>
        <w:t>Istovremena prim</w:t>
      </w:r>
      <w:r w:rsidR="00A57AD0" w:rsidRPr="001202A2">
        <w:rPr>
          <w:rFonts w:eastAsia="TimesNewRoman"/>
          <w:szCs w:val="22"/>
          <w:lang w:val="sr-Latn-ME"/>
        </w:rPr>
        <w:t>j</w:t>
      </w:r>
      <w:r w:rsidRPr="001202A2">
        <w:rPr>
          <w:rFonts w:eastAsia="TimesNewRoman"/>
          <w:szCs w:val="22"/>
          <w:lang w:val="sr-Latn-ME"/>
        </w:rPr>
        <w:t>ena naproksena i edoksabana produžila je vr</w:t>
      </w:r>
      <w:r w:rsidR="00A57AD0" w:rsidRPr="001202A2">
        <w:rPr>
          <w:rFonts w:eastAsia="TimesNewRoman"/>
          <w:szCs w:val="22"/>
          <w:lang w:val="sr-Latn-ME"/>
        </w:rPr>
        <w:t>ij</w:t>
      </w:r>
      <w:r w:rsidRPr="001202A2">
        <w:rPr>
          <w:rFonts w:eastAsia="TimesNewRoman"/>
          <w:szCs w:val="22"/>
          <w:lang w:val="sr-Latn-ME"/>
        </w:rPr>
        <w:t xml:space="preserve">eme krvarenja u </w:t>
      </w:r>
      <w:r w:rsidR="00C4451F" w:rsidRPr="001202A2">
        <w:rPr>
          <w:rFonts w:eastAsia="TimesNewRoman"/>
          <w:szCs w:val="22"/>
          <w:lang w:val="sr-Latn-ME"/>
        </w:rPr>
        <w:t>poređenju sa</w:t>
      </w:r>
      <w:r w:rsidRPr="001202A2">
        <w:rPr>
          <w:rFonts w:eastAsia="TimesNewRoman"/>
          <w:szCs w:val="22"/>
          <w:lang w:val="sr-Latn-ME"/>
        </w:rPr>
        <w:t xml:space="preserve"> </w:t>
      </w:r>
      <w:r w:rsidR="00C4451F" w:rsidRPr="001202A2">
        <w:rPr>
          <w:rFonts w:eastAsia="TimesNewRoman"/>
          <w:szCs w:val="22"/>
          <w:lang w:val="sr-Latn-ME"/>
        </w:rPr>
        <w:t>pojedinačnom prim</w:t>
      </w:r>
      <w:r w:rsidR="00A57AD0" w:rsidRPr="001202A2">
        <w:rPr>
          <w:rFonts w:eastAsia="TimesNewRoman"/>
          <w:szCs w:val="22"/>
          <w:lang w:val="sr-Latn-ME"/>
        </w:rPr>
        <w:t>j</w:t>
      </w:r>
      <w:r w:rsidR="00C4451F" w:rsidRPr="001202A2">
        <w:rPr>
          <w:rFonts w:eastAsia="TimesNewRoman"/>
          <w:szCs w:val="22"/>
          <w:lang w:val="sr-Latn-ME"/>
        </w:rPr>
        <w:t xml:space="preserve">enom bilo kog od ova </w:t>
      </w:r>
      <w:r w:rsidRPr="001202A2">
        <w:rPr>
          <w:rFonts w:eastAsia="TimesNewRoman"/>
          <w:szCs w:val="22"/>
          <w:lang w:val="sr-Latn-ME"/>
        </w:rPr>
        <w:t>dva l</w:t>
      </w:r>
      <w:r w:rsidR="00A57AD0" w:rsidRPr="001202A2">
        <w:rPr>
          <w:rFonts w:eastAsia="TimesNewRoman"/>
          <w:szCs w:val="22"/>
          <w:lang w:val="sr-Latn-ME"/>
        </w:rPr>
        <w:t>ij</w:t>
      </w:r>
      <w:r w:rsidRPr="001202A2">
        <w:rPr>
          <w:rFonts w:eastAsia="TimesNewRoman"/>
          <w:szCs w:val="22"/>
          <w:lang w:val="sr-Latn-ME"/>
        </w:rPr>
        <w:t xml:space="preserve">eka. Naproksen nije </w:t>
      </w:r>
      <w:r w:rsidR="00AE492D" w:rsidRPr="001202A2">
        <w:rPr>
          <w:rFonts w:eastAsia="TimesNewRoman"/>
          <w:szCs w:val="22"/>
          <w:lang w:val="sr-Latn-ME"/>
        </w:rPr>
        <w:t>imao efekat</w:t>
      </w:r>
      <w:r w:rsidRPr="001202A2">
        <w:rPr>
          <w:rFonts w:eastAsia="TimesNewRoman"/>
          <w:szCs w:val="22"/>
          <w:lang w:val="sr-Latn-ME"/>
        </w:rPr>
        <w:t xml:space="preserve"> na C</w:t>
      </w:r>
      <w:r w:rsidRPr="001202A2">
        <w:rPr>
          <w:rFonts w:eastAsia="TimesNewRoman"/>
          <w:szCs w:val="22"/>
          <w:vertAlign w:val="subscript"/>
          <w:lang w:val="sr-Latn-ME"/>
        </w:rPr>
        <w:t>max</w:t>
      </w:r>
      <w:r w:rsidRPr="001202A2">
        <w:rPr>
          <w:rFonts w:eastAsia="TimesNewRoman"/>
          <w:szCs w:val="22"/>
          <w:lang w:val="sr-Latn-ME"/>
        </w:rPr>
        <w:t xml:space="preserve"> i PIK edoksabana. U kliničkim </w:t>
      </w:r>
      <w:r w:rsidR="00AE492D" w:rsidRPr="001202A2">
        <w:rPr>
          <w:rFonts w:eastAsia="TimesNewRoman"/>
          <w:szCs w:val="22"/>
          <w:lang w:val="sr-Latn-ME"/>
        </w:rPr>
        <w:t>studijama</w:t>
      </w:r>
      <w:r w:rsidRPr="001202A2">
        <w:rPr>
          <w:rFonts w:eastAsia="TimesNewRoman"/>
          <w:szCs w:val="22"/>
          <w:lang w:val="sr-Latn-ME"/>
        </w:rPr>
        <w:t xml:space="preserve"> istovremena prim</w:t>
      </w:r>
      <w:r w:rsidR="00A57AD0" w:rsidRPr="001202A2">
        <w:rPr>
          <w:rFonts w:eastAsia="TimesNewRoman"/>
          <w:szCs w:val="22"/>
          <w:lang w:val="sr-Latn-ME"/>
        </w:rPr>
        <w:t>j</w:t>
      </w:r>
      <w:r w:rsidRPr="001202A2">
        <w:rPr>
          <w:rFonts w:eastAsia="TimesNewRoman"/>
          <w:szCs w:val="22"/>
          <w:lang w:val="sr-Latn-ME"/>
        </w:rPr>
        <w:t>ena NSAIL</w:t>
      </w:r>
      <w:r w:rsidR="005B19E4" w:rsidRPr="001202A2">
        <w:rPr>
          <w:rFonts w:eastAsia="TimesNewRoman"/>
          <w:szCs w:val="22"/>
          <w:lang w:val="sr-Latn-ME"/>
        </w:rPr>
        <w:t>-a</w:t>
      </w:r>
      <w:r w:rsidRPr="001202A2">
        <w:rPr>
          <w:rFonts w:eastAsia="TimesNewRoman"/>
          <w:szCs w:val="22"/>
          <w:lang w:val="sr-Latn-ME"/>
        </w:rPr>
        <w:t xml:space="preserve"> </w:t>
      </w:r>
      <w:r w:rsidR="00AE492D" w:rsidRPr="001202A2">
        <w:rPr>
          <w:rFonts w:eastAsia="TimesNewRoman"/>
          <w:szCs w:val="22"/>
          <w:lang w:val="sr-Latn-ME"/>
        </w:rPr>
        <w:t>dovela je do</w:t>
      </w:r>
      <w:r w:rsidRPr="001202A2">
        <w:rPr>
          <w:rFonts w:eastAsia="TimesNewRoman"/>
          <w:szCs w:val="22"/>
          <w:lang w:val="sr-Latn-ME"/>
        </w:rPr>
        <w:t xml:space="preserve"> </w:t>
      </w:r>
      <w:r w:rsidR="00AE492D" w:rsidRPr="001202A2">
        <w:rPr>
          <w:rFonts w:eastAsia="TimesNewRoman"/>
          <w:szCs w:val="22"/>
          <w:lang w:val="sr-Latn-ME"/>
        </w:rPr>
        <w:t>povećanja</w:t>
      </w:r>
      <w:r w:rsidRPr="001202A2">
        <w:rPr>
          <w:rFonts w:eastAsia="TimesNewRoman"/>
          <w:szCs w:val="22"/>
          <w:lang w:val="sr-Latn-ME"/>
        </w:rPr>
        <w:t xml:space="preserve"> klinički značajn</w:t>
      </w:r>
      <w:r w:rsidR="00AE492D" w:rsidRPr="001202A2">
        <w:rPr>
          <w:rFonts w:eastAsia="TimesNewRoman"/>
          <w:szCs w:val="22"/>
          <w:lang w:val="sr-Latn-ME"/>
        </w:rPr>
        <w:t>og</w:t>
      </w:r>
      <w:r w:rsidRPr="001202A2">
        <w:rPr>
          <w:rFonts w:eastAsia="TimesNewRoman"/>
          <w:szCs w:val="22"/>
          <w:lang w:val="sr-Latn-ME"/>
        </w:rPr>
        <w:t xml:space="preserve"> krvarenj</w:t>
      </w:r>
      <w:r w:rsidR="00AE492D" w:rsidRPr="001202A2">
        <w:rPr>
          <w:rFonts w:eastAsia="TimesNewRoman"/>
          <w:szCs w:val="22"/>
          <w:lang w:val="sr-Latn-ME"/>
        </w:rPr>
        <w:t>a</w:t>
      </w:r>
      <w:r w:rsidRPr="001202A2">
        <w:rPr>
          <w:rFonts w:eastAsia="TimesNewRoman"/>
          <w:szCs w:val="22"/>
          <w:lang w:val="sr-Latn-ME"/>
        </w:rPr>
        <w:t xml:space="preserve">. </w:t>
      </w:r>
      <w:r w:rsidR="00AE492D" w:rsidRPr="001202A2">
        <w:rPr>
          <w:rFonts w:eastAsia="TimesNewRoman"/>
          <w:szCs w:val="22"/>
          <w:lang w:val="sr-Latn-ME"/>
        </w:rPr>
        <w:t xml:space="preserve">Ne preporučuje se </w:t>
      </w:r>
      <w:r w:rsidR="0092026A" w:rsidRPr="001202A2">
        <w:rPr>
          <w:rFonts w:eastAsia="TimesNewRoman"/>
          <w:szCs w:val="22"/>
          <w:lang w:val="sr-Latn-ME"/>
        </w:rPr>
        <w:t>h</w:t>
      </w:r>
      <w:r w:rsidRPr="001202A2">
        <w:rPr>
          <w:rFonts w:eastAsia="TimesNewRoman"/>
          <w:szCs w:val="22"/>
          <w:lang w:val="sr-Latn-ME"/>
        </w:rPr>
        <w:t>ronična prim</w:t>
      </w:r>
      <w:r w:rsidR="00A57AD0" w:rsidRPr="001202A2">
        <w:rPr>
          <w:rFonts w:eastAsia="TimesNewRoman"/>
          <w:szCs w:val="22"/>
          <w:lang w:val="sr-Latn-ME"/>
        </w:rPr>
        <w:t>j</w:t>
      </w:r>
      <w:r w:rsidRPr="001202A2">
        <w:rPr>
          <w:rFonts w:eastAsia="TimesNewRoman"/>
          <w:szCs w:val="22"/>
          <w:lang w:val="sr-Latn-ME"/>
        </w:rPr>
        <w:t>ena NSAIL</w:t>
      </w:r>
      <w:r w:rsidR="005B19E4" w:rsidRPr="001202A2">
        <w:rPr>
          <w:rFonts w:eastAsia="TimesNewRoman"/>
          <w:szCs w:val="22"/>
          <w:lang w:val="sr-Latn-ME"/>
        </w:rPr>
        <w:t>-a</w:t>
      </w:r>
      <w:r w:rsidRPr="001202A2">
        <w:rPr>
          <w:rFonts w:eastAsia="TimesNewRoman"/>
          <w:szCs w:val="22"/>
          <w:lang w:val="sr-Latn-ME"/>
        </w:rPr>
        <w:t xml:space="preserve"> sa edoksabanom</w:t>
      </w:r>
      <w:r w:rsidR="0092026A" w:rsidRPr="001202A2">
        <w:rPr>
          <w:rFonts w:eastAsia="TimesNewRoman"/>
          <w:szCs w:val="22"/>
          <w:lang w:val="sr-Latn-ME"/>
        </w:rPr>
        <w:t>.</w:t>
      </w:r>
    </w:p>
    <w:p w14:paraId="5DB247C8"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21A5FDED" w14:textId="4DC31164" w:rsidR="00F83812" w:rsidRPr="001202A2" w:rsidRDefault="00F83812" w:rsidP="00480B31">
      <w:pPr>
        <w:tabs>
          <w:tab w:val="clear" w:pos="284"/>
        </w:tabs>
        <w:autoSpaceDE w:val="0"/>
        <w:autoSpaceDN w:val="0"/>
        <w:adjustRightInd w:val="0"/>
        <w:rPr>
          <w:rFonts w:eastAsia="TimesNewRoman"/>
          <w:szCs w:val="22"/>
          <w:lang w:val="sr-Latn-ME"/>
        </w:rPr>
      </w:pPr>
      <w:r w:rsidRPr="001202A2">
        <w:rPr>
          <w:rFonts w:eastAsia="TimesNewRoman"/>
          <w:i/>
          <w:iCs/>
          <w:szCs w:val="22"/>
          <w:lang w:val="sr-Latn-ME"/>
        </w:rPr>
        <w:lastRenderedPageBreak/>
        <w:t xml:space="preserve">SSRIi/SNRI: </w:t>
      </w:r>
      <w:r w:rsidRPr="001202A2">
        <w:rPr>
          <w:rFonts w:eastAsia="TimesNewRoman"/>
          <w:szCs w:val="22"/>
          <w:lang w:val="sr-Latn-ME"/>
        </w:rPr>
        <w:t xml:space="preserve">Kao i sa drugim antikoagulansima, rizik od krvarenja </w:t>
      </w:r>
      <w:r w:rsidR="00812C11" w:rsidRPr="001202A2">
        <w:rPr>
          <w:rFonts w:eastAsia="TimesNewRoman"/>
          <w:szCs w:val="22"/>
          <w:lang w:val="sr-Latn-ME"/>
        </w:rPr>
        <w:t xml:space="preserve">može biti povećan </w:t>
      </w:r>
      <w:r w:rsidRPr="001202A2">
        <w:rPr>
          <w:rFonts w:eastAsia="TimesNewRoman"/>
          <w:szCs w:val="22"/>
          <w:lang w:val="sr-Latn-ME"/>
        </w:rPr>
        <w:t xml:space="preserve">kod pacijenata </w:t>
      </w:r>
      <w:r w:rsidR="00812C11" w:rsidRPr="001202A2">
        <w:rPr>
          <w:rFonts w:eastAsia="TimesNewRoman"/>
          <w:szCs w:val="22"/>
          <w:lang w:val="sr-Latn-ME"/>
        </w:rPr>
        <w:t>koji istovremeno</w:t>
      </w:r>
      <w:r w:rsidRPr="001202A2">
        <w:rPr>
          <w:rFonts w:eastAsia="TimesNewRoman"/>
          <w:szCs w:val="22"/>
          <w:lang w:val="sr-Latn-ME"/>
        </w:rPr>
        <w:t xml:space="preserve"> prim</w:t>
      </w:r>
      <w:r w:rsidR="00A57AD0" w:rsidRPr="001202A2">
        <w:rPr>
          <w:rFonts w:eastAsia="TimesNewRoman"/>
          <w:szCs w:val="22"/>
          <w:lang w:val="sr-Latn-ME"/>
        </w:rPr>
        <w:t>j</w:t>
      </w:r>
      <w:r w:rsidRPr="001202A2">
        <w:rPr>
          <w:rFonts w:eastAsia="TimesNewRoman"/>
          <w:szCs w:val="22"/>
          <w:lang w:val="sr-Latn-ME"/>
        </w:rPr>
        <w:t>en</w:t>
      </w:r>
      <w:r w:rsidR="00812C11" w:rsidRPr="001202A2">
        <w:rPr>
          <w:rFonts w:eastAsia="TimesNewRoman"/>
          <w:szCs w:val="22"/>
          <w:lang w:val="sr-Latn-ME"/>
        </w:rPr>
        <w:t>juju</w:t>
      </w:r>
      <w:r w:rsidRPr="001202A2">
        <w:rPr>
          <w:rFonts w:eastAsia="TimesNewRoman"/>
          <w:szCs w:val="22"/>
          <w:lang w:val="sr-Latn-ME"/>
        </w:rPr>
        <w:t xml:space="preserve"> l</w:t>
      </w:r>
      <w:r w:rsidR="00A57AD0" w:rsidRPr="001202A2">
        <w:rPr>
          <w:rFonts w:eastAsia="TimesNewRoman"/>
          <w:szCs w:val="22"/>
          <w:lang w:val="sr-Latn-ME"/>
        </w:rPr>
        <w:t>j</w:t>
      </w:r>
      <w:r w:rsidRPr="001202A2">
        <w:rPr>
          <w:rFonts w:eastAsia="TimesNewRoman"/>
          <w:szCs w:val="22"/>
          <w:lang w:val="sr-Latn-ME"/>
        </w:rPr>
        <w:t>ekov</w:t>
      </w:r>
      <w:r w:rsidR="00812C11" w:rsidRPr="001202A2">
        <w:rPr>
          <w:rFonts w:eastAsia="TimesNewRoman"/>
          <w:szCs w:val="22"/>
          <w:lang w:val="sr-Latn-ME"/>
        </w:rPr>
        <w:t xml:space="preserve">e </w:t>
      </w:r>
      <w:r w:rsidRPr="001202A2">
        <w:rPr>
          <w:rFonts w:eastAsia="TimesNewRoman"/>
          <w:szCs w:val="22"/>
          <w:lang w:val="sr-Latn-ME"/>
        </w:rPr>
        <w:t>iz grupe SSRI ili SNRI</w:t>
      </w:r>
      <w:r w:rsidR="00812C11" w:rsidRPr="001202A2">
        <w:rPr>
          <w:rFonts w:eastAsia="TimesNewRoman"/>
          <w:szCs w:val="22"/>
          <w:lang w:val="sr-Latn-ME"/>
        </w:rPr>
        <w:t>,</w:t>
      </w:r>
      <w:r w:rsidRPr="001202A2">
        <w:rPr>
          <w:rFonts w:eastAsia="TimesNewRoman"/>
          <w:szCs w:val="22"/>
          <w:lang w:val="sr-Latn-ME"/>
        </w:rPr>
        <w:t xml:space="preserve"> </w:t>
      </w:r>
      <w:r w:rsidR="00812C11" w:rsidRPr="001202A2">
        <w:rPr>
          <w:rFonts w:eastAsia="TimesNewRoman"/>
          <w:szCs w:val="22"/>
          <w:lang w:val="sr-Latn-ME"/>
        </w:rPr>
        <w:t>usl</w:t>
      </w:r>
      <w:r w:rsidR="00A57AD0" w:rsidRPr="001202A2">
        <w:rPr>
          <w:rFonts w:eastAsia="TimesNewRoman"/>
          <w:szCs w:val="22"/>
          <w:lang w:val="sr-Latn-ME"/>
        </w:rPr>
        <w:t>j</w:t>
      </w:r>
      <w:r w:rsidR="00812C11" w:rsidRPr="001202A2">
        <w:rPr>
          <w:rFonts w:eastAsia="TimesNewRoman"/>
          <w:szCs w:val="22"/>
          <w:lang w:val="sr-Latn-ME"/>
        </w:rPr>
        <w:t>ed</w:t>
      </w:r>
      <w:r w:rsidRPr="001202A2">
        <w:rPr>
          <w:rFonts w:eastAsia="TimesNewRoman"/>
          <w:szCs w:val="22"/>
          <w:lang w:val="sr-Latn-ME"/>
        </w:rPr>
        <w:t xml:space="preserve"> njihovog zab</w:t>
      </w:r>
      <w:r w:rsidR="00A57AD0" w:rsidRPr="001202A2">
        <w:rPr>
          <w:rFonts w:eastAsia="TimesNewRoman"/>
          <w:szCs w:val="22"/>
          <w:lang w:val="sr-Latn-ME"/>
        </w:rPr>
        <w:t>i</w:t>
      </w:r>
      <w:r w:rsidRPr="001202A2">
        <w:rPr>
          <w:rFonts w:eastAsia="TimesNewRoman"/>
          <w:szCs w:val="22"/>
          <w:lang w:val="sr-Latn-ME"/>
        </w:rPr>
        <w:t>l</w:t>
      </w:r>
      <w:r w:rsidR="00A57AD0" w:rsidRPr="001202A2">
        <w:rPr>
          <w:rFonts w:eastAsia="TimesNewRoman"/>
          <w:szCs w:val="22"/>
          <w:lang w:val="sr-Latn-ME"/>
        </w:rPr>
        <w:t>j</w:t>
      </w:r>
      <w:r w:rsidRPr="001202A2">
        <w:rPr>
          <w:rFonts w:eastAsia="TimesNewRoman"/>
          <w:szCs w:val="22"/>
          <w:lang w:val="sr-Latn-ME"/>
        </w:rPr>
        <w:t>eženog uticaja na trombocite (vid</w:t>
      </w:r>
      <w:r w:rsidR="00A57AD0" w:rsidRPr="001202A2">
        <w:rPr>
          <w:rFonts w:eastAsia="TimesNewRoman"/>
          <w:szCs w:val="22"/>
          <w:lang w:val="sr-Latn-ME"/>
        </w:rPr>
        <w:t>j</w:t>
      </w:r>
      <w:r w:rsidRPr="001202A2">
        <w:rPr>
          <w:rFonts w:eastAsia="TimesNewRoman"/>
          <w:szCs w:val="22"/>
          <w:lang w:val="sr-Latn-ME"/>
        </w:rPr>
        <w:t xml:space="preserve">eti </w:t>
      </w:r>
      <w:r w:rsidR="00A57AD0" w:rsidRPr="001202A2">
        <w:rPr>
          <w:rFonts w:eastAsia="TimesNewRoman"/>
          <w:szCs w:val="22"/>
          <w:lang w:val="sr-Latn-ME"/>
        </w:rPr>
        <w:t>dio</w:t>
      </w:r>
      <w:r w:rsidRPr="001202A2">
        <w:rPr>
          <w:rFonts w:eastAsia="TimesNewRoman"/>
          <w:szCs w:val="22"/>
          <w:lang w:val="sr-Latn-ME"/>
        </w:rPr>
        <w:t xml:space="preserve"> 4.4).</w:t>
      </w:r>
    </w:p>
    <w:p w14:paraId="4F7EF6BA"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05494A00" w14:textId="1F069ED9" w:rsidR="002D76D0" w:rsidRPr="001202A2" w:rsidRDefault="002D76D0"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Efekat edoksabana na druge l</w:t>
      </w:r>
      <w:r w:rsidR="00A57AD0" w:rsidRPr="001202A2">
        <w:rPr>
          <w:rFonts w:eastAsia="TimesNewRoman"/>
          <w:szCs w:val="22"/>
          <w:u w:val="single"/>
          <w:lang w:val="sr-Latn-ME"/>
        </w:rPr>
        <w:t>j</w:t>
      </w:r>
      <w:r w:rsidRPr="001202A2">
        <w:rPr>
          <w:rFonts w:eastAsia="TimesNewRoman"/>
          <w:szCs w:val="22"/>
          <w:u w:val="single"/>
          <w:lang w:val="sr-Latn-ME"/>
        </w:rPr>
        <w:t>ekove</w:t>
      </w:r>
    </w:p>
    <w:p w14:paraId="4B47264D" w14:textId="31408895" w:rsidR="002D76D0" w:rsidRPr="001202A2" w:rsidRDefault="002D76D0"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je povećao C</w:t>
      </w:r>
      <w:r w:rsidRPr="001202A2">
        <w:rPr>
          <w:rFonts w:eastAsia="TimesNewRoman"/>
          <w:szCs w:val="22"/>
          <w:vertAlign w:val="subscript"/>
          <w:lang w:val="sr-Latn-ME"/>
        </w:rPr>
        <w:t>max</w:t>
      </w:r>
      <w:r w:rsidRPr="001202A2">
        <w:rPr>
          <w:rFonts w:eastAsia="TimesNewRoman"/>
          <w:szCs w:val="22"/>
          <w:lang w:val="sr-Latn-ME"/>
        </w:rPr>
        <w:t xml:space="preserve"> istovremeno prim</w:t>
      </w:r>
      <w:r w:rsidR="00A57AD0" w:rsidRPr="001202A2">
        <w:rPr>
          <w:rFonts w:eastAsia="TimesNewRoman"/>
          <w:szCs w:val="22"/>
          <w:lang w:val="sr-Latn-ME"/>
        </w:rPr>
        <w:t>ij</w:t>
      </w:r>
      <w:r w:rsidRPr="001202A2">
        <w:rPr>
          <w:rFonts w:eastAsia="TimesNewRoman"/>
          <w:szCs w:val="22"/>
          <w:lang w:val="sr-Latn-ME"/>
        </w:rPr>
        <w:t>enjenog digoksina za 28%; međutim, nije uticao na njegov PIK. Edoksaban nije ispoljio efekat na C</w:t>
      </w:r>
      <w:r w:rsidRPr="001202A2">
        <w:rPr>
          <w:rFonts w:eastAsia="TimesNewRoman"/>
          <w:szCs w:val="22"/>
          <w:vertAlign w:val="subscript"/>
          <w:lang w:val="sr-Latn-ME"/>
        </w:rPr>
        <w:t>max</w:t>
      </w:r>
      <w:r w:rsidRPr="001202A2">
        <w:rPr>
          <w:rFonts w:eastAsia="TimesNewRoman"/>
          <w:szCs w:val="22"/>
          <w:lang w:val="sr-Latn-ME"/>
        </w:rPr>
        <w:t xml:space="preserve"> i PIK hinidina.</w:t>
      </w:r>
    </w:p>
    <w:p w14:paraId="13C476E0"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4D79E1C1" w14:textId="5C454090" w:rsidR="002D76D0" w:rsidRPr="001202A2" w:rsidRDefault="002D76D0"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je smanjio C</w:t>
      </w:r>
      <w:r w:rsidRPr="001202A2">
        <w:rPr>
          <w:rFonts w:eastAsia="TimesNewRoman"/>
          <w:szCs w:val="22"/>
          <w:vertAlign w:val="subscript"/>
          <w:lang w:val="sr-Latn-ME"/>
        </w:rPr>
        <w:t>max</w:t>
      </w:r>
      <w:r w:rsidRPr="001202A2">
        <w:rPr>
          <w:rFonts w:eastAsia="TimesNewRoman"/>
          <w:szCs w:val="22"/>
          <w:lang w:val="sr-Latn-ME"/>
        </w:rPr>
        <w:t xml:space="preserve"> i vr</w:t>
      </w:r>
      <w:r w:rsidR="00893B00" w:rsidRPr="001202A2">
        <w:rPr>
          <w:rFonts w:eastAsia="TimesNewRoman"/>
          <w:szCs w:val="22"/>
          <w:lang w:val="sr-Latn-ME"/>
        </w:rPr>
        <w:t>ij</w:t>
      </w:r>
      <w:r w:rsidRPr="001202A2">
        <w:rPr>
          <w:rFonts w:eastAsia="TimesNewRoman"/>
          <w:szCs w:val="22"/>
          <w:lang w:val="sr-Latn-ME"/>
        </w:rPr>
        <w:t>ednost PIK</w:t>
      </w:r>
      <w:r w:rsidR="005B19E4" w:rsidRPr="001202A2">
        <w:rPr>
          <w:rFonts w:eastAsia="TimesNewRoman"/>
          <w:szCs w:val="22"/>
          <w:lang w:val="sr-Latn-ME"/>
        </w:rPr>
        <w:t>-a</w:t>
      </w:r>
      <w:r w:rsidRPr="001202A2">
        <w:rPr>
          <w:rFonts w:eastAsia="TimesNewRoman"/>
          <w:szCs w:val="22"/>
          <w:lang w:val="sr-Latn-ME"/>
        </w:rPr>
        <w:t xml:space="preserve"> istovremeno prim</w:t>
      </w:r>
      <w:r w:rsidR="00A57AD0" w:rsidRPr="001202A2">
        <w:rPr>
          <w:rFonts w:eastAsia="TimesNewRoman"/>
          <w:szCs w:val="22"/>
          <w:lang w:val="sr-Latn-ME"/>
        </w:rPr>
        <w:t>ij</w:t>
      </w:r>
      <w:r w:rsidRPr="001202A2">
        <w:rPr>
          <w:rFonts w:eastAsia="TimesNewRoman"/>
          <w:szCs w:val="22"/>
          <w:lang w:val="sr-Latn-ME"/>
        </w:rPr>
        <w:t>enjenog verapamila za 14%, odnosno 16%.</w:t>
      </w:r>
    </w:p>
    <w:p w14:paraId="15E9CC67" w14:textId="703E8853" w:rsidR="00813187" w:rsidRPr="001202A2" w:rsidRDefault="00813187" w:rsidP="00480B31">
      <w:pPr>
        <w:tabs>
          <w:tab w:val="clear" w:pos="284"/>
        </w:tabs>
        <w:autoSpaceDE w:val="0"/>
        <w:autoSpaceDN w:val="0"/>
        <w:adjustRightInd w:val="0"/>
        <w:rPr>
          <w:b/>
          <w:bCs/>
          <w:szCs w:val="22"/>
          <w:lang w:val="sr-Latn-ME"/>
        </w:rPr>
      </w:pPr>
    </w:p>
    <w:p w14:paraId="3D711008" w14:textId="0487F23C" w:rsidR="00CE09F3" w:rsidRPr="001202A2" w:rsidRDefault="00CE09F3" w:rsidP="00480B31">
      <w:pPr>
        <w:pStyle w:val="ListParagraph"/>
        <w:numPr>
          <w:ilvl w:val="1"/>
          <w:numId w:val="12"/>
        </w:numPr>
        <w:rPr>
          <w:b/>
          <w:bCs/>
          <w:szCs w:val="22"/>
          <w:lang w:val="sr-Latn-ME"/>
        </w:rPr>
      </w:pPr>
      <w:r w:rsidRPr="001202A2">
        <w:rPr>
          <w:b/>
          <w:bCs/>
          <w:szCs w:val="22"/>
          <w:lang w:val="sr-Latn-ME"/>
        </w:rPr>
        <w:t>Plodnost, trudnoća i dojenje</w:t>
      </w:r>
    </w:p>
    <w:p w14:paraId="13CA402C" w14:textId="77777777" w:rsidR="00813187" w:rsidRPr="001202A2" w:rsidRDefault="00813187" w:rsidP="00480B31">
      <w:pPr>
        <w:pStyle w:val="ListParagraph"/>
        <w:ind w:left="765"/>
        <w:rPr>
          <w:b/>
          <w:bCs/>
          <w:szCs w:val="22"/>
          <w:lang w:val="sr-Latn-ME"/>
        </w:rPr>
      </w:pPr>
    </w:p>
    <w:p w14:paraId="0B9DFFA5" w14:textId="77777777" w:rsidR="00587A72" w:rsidRPr="001202A2" w:rsidRDefault="00587A72"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Žene u reproduktivnom periodu</w:t>
      </w:r>
    </w:p>
    <w:p w14:paraId="476511FE" w14:textId="06C27D64" w:rsidR="00587A72" w:rsidRPr="001202A2" w:rsidRDefault="00C56D7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Ž</w:t>
      </w:r>
      <w:r w:rsidR="00587A72" w:rsidRPr="001202A2">
        <w:rPr>
          <w:rFonts w:eastAsia="TimesNewRoman"/>
          <w:szCs w:val="22"/>
          <w:lang w:val="sr-Latn-ME"/>
        </w:rPr>
        <w:t xml:space="preserve">ene u reproduktivnom dobu </w:t>
      </w:r>
      <w:r w:rsidRPr="001202A2">
        <w:rPr>
          <w:rFonts w:eastAsia="TimesNewRoman"/>
          <w:szCs w:val="22"/>
          <w:lang w:val="sr-Latn-ME"/>
        </w:rPr>
        <w:t xml:space="preserve">treba da </w:t>
      </w:r>
      <w:r w:rsidR="00587A72" w:rsidRPr="001202A2">
        <w:rPr>
          <w:rFonts w:eastAsia="TimesNewRoman"/>
          <w:szCs w:val="22"/>
          <w:lang w:val="sr-Latn-ME"/>
        </w:rPr>
        <w:t>izb</w:t>
      </w:r>
      <w:r w:rsidR="00A57AD0" w:rsidRPr="001202A2">
        <w:rPr>
          <w:rFonts w:eastAsia="TimesNewRoman"/>
          <w:szCs w:val="22"/>
          <w:lang w:val="sr-Latn-ME"/>
        </w:rPr>
        <w:t>j</w:t>
      </w:r>
      <w:r w:rsidR="00587A72" w:rsidRPr="001202A2">
        <w:rPr>
          <w:rFonts w:eastAsia="TimesNewRoman"/>
          <w:szCs w:val="22"/>
          <w:lang w:val="sr-Latn-ME"/>
        </w:rPr>
        <w:t xml:space="preserve">egavaju trudnoću tokom </w:t>
      </w:r>
      <w:r w:rsidRPr="001202A2">
        <w:rPr>
          <w:rFonts w:eastAsia="TimesNewRoman"/>
          <w:szCs w:val="22"/>
          <w:lang w:val="sr-Latn-ME"/>
        </w:rPr>
        <w:t>terapije</w:t>
      </w:r>
      <w:r w:rsidR="00587A72" w:rsidRPr="001202A2">
        <w:rPr>
          <w:rFonts w:eastAsia="TimesNewRoman"/>
          <w:szCs w:val="22"/>
          <w:lang w:val="sr-Latn-ME"/>
        </w:rPr>
        <w:t xml:space="preserve"> edoksabanom.</w:t>
      </w:r>
    </w:p>
    <w:p w14:paraId="6E511A86" w14:textId="77777777" w:rsidR="004F5646" w:rsidRPr="001202A2" w:rsidRDefault="004F5646" w:rsidP="00480B31">
      <w:pPr>
        <w:tabs>
          <w:tab w:val="clear" w:pos="284"/>
        </w:tabs>
        <w:autoSpaceDE w:val="0"/>
        <w:autoSpaceDN w:val="0"/>
        <w:adjustRightInd w:val="0"/>
        <w:rPr>
          <w:rFonts w:eastAsia="TimesNewRoman"/>
          <w:szCs w:val="22"/>
          <w:lang w:val="sr-Latn-ME"/>
        </w:rPr>
      </w:pPr>
    </w:p>
    <w:p w14:paraId="06D32FDD" w14:textId="77777777" w:rsidR="0048601F" w:rsidRPr="001202A2" w:rsidRDefault="0048601F"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Plodnost</w:t>
      </w:r>
    </w:p>
    <w:p w14:paraId="5C7DC814" w14:textId="39CDB780" w:rsidR="0048601F" w:rsidRPr="001202A2" w:rsidRDefault="0048601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Ni</w:t>
      </w:r>
      <w:r w:rsidR="004F5646" w:rsidRPr="001202A2">
        <w:rPr>
          <w:rFonts w:eastAsia="TimesNewRoman"/>
          <w:szCs w:val="22"/>
          <w:lang w:val="sr-Latn-ME"/>
        </w:rPr>
        <w:t>je</w:t>
      </w:r>
      <w:r w:rsidRPr="001202A2">
        <w:rPr>
          <w:rFonts w:eastAsia="TimesNewRoman"/>
          <w:szCs w:val="22"/>
          <w:lang w:val="sr-Latn-ME"/>
        </w:rPr>
        <w:t>su sprovedene posebne studije procjene efekata edoksabana na plodnost ljudi. U studiji sprovedenoj na pacovima ni</w:t>
      </w:r>
      <w:r w:rsidR="004F5646" w:rsidRPr="001202A2">
        <w:rPr>
          <w:rFonts w:eastAsia="TimesNewRoman"/>
          <w:szCs w:val="22"/>
          <w:lang w:val="sr-Latn-ME"/>
        </w:rPr>
        <w:t>je</w:t>
      </w:r>
      <w:r w:rsidRPr="001202A2">
        <w:rPr>
          <w:rFonts w:eastAsia="TimesNewRoman"/>
          <w:szCs w:val="22"/>
          <w:lang w:val="sr-Latn-ME"/>
        </w:rPr>
        <w:t>su zabilježeni efekti na plodnost mužjaka i ženki (vidjeti dio 5.3).</w:t>
      </w:r>
    </w:p>
    <w:p w14:paraId="2763A060"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0B7007D5" w14:textId="77777777" w:rsidR="00587A72" w:rsidRPr="001202A2" w:rsidRDefault="00587A72"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Trudnoća</w:t>
      </w:r>
    </w:p>
    <w:p w14:paraId="00F26831" w14:textId="7F545EE4" w:rsidR="00587A72" w:rsidRPr="001202A2" w:rsidRDefault="00C56D7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Ni</w:t>
      </w:r>
      <w:r w:rsidR="004F5646" w:rsidRPr="001202A2">
        <w:rPr>
          <w:rFonts w:eastAsia="TimesNewRoman"/>
          <w:szCs w:val="22"/>
          <w:lang w:val="sr-Latn-ME"/>
        </w:rPr>
        <w:t>je</w:t>
      </w:r>
      <w:r w:rsidRPr="001202A2">
        <w:rPr>
          <w:rFonts w:eastAsia="TimesNewRoman"/>
          <w:szCs w:val="22"/>
          <w:lang w:val="sr-Latn-ME"/>
        </w:rPr>
        <w:t>su ustanovljeni b</w:t>
      </w:r>
      <w:r w:rsidR="00587A72" w:rsidRPr="001202A2">
        <w:rPr>
          <w:rFonts w:eastAsia="TimesNewRoman"/>
          <w:szCs w:val="22"/>
          <w:lang w:val="sr-Latn-ME"/>
        </w:rPr>
        <w:t>ezb</w:t>
      </w:r>
      <w:r w:rsidR="00A57AD0" w:rsidRPr="001202A2">
        <w:rPr>
          <w:rFonts w:eastAsia="TimesNewRoman"/>
          <w:szCs w:val="22"/>
          <w:lang w:val="sr-Latn-ME"/>
        </w:rPr>
        <w:t>j</w:t>
      </w:r>
      <w:r w:rsidR="00587A72" w:rsidRPr="001202A2">
        <w:rPr>
          <w:rFonts w:eastAsia="TimesNewRoman"/>
          <w:szCs w:val="22"/>
          <w:lang w:val="sr-Latn-ME"/>
        </w:rPr>
        <w:t xml:space="preserve">ednost i efikasnost </w:t>
      </w:r>
      <w:r w:rsidRPr="001202A2">
        <w:rPr>
          <w:rFonts w:eastAsia="TimesNewRoman"/>
          <w:szCs w:val="22"/>
          <w:lang w:val="sr-Latn-ME"/>
        </w:rPr>
        <w:t>prim</w:t>
      </w:r>
      <w:r w:rsidR="00A57AD0" w:rsidRPr="001202A2">
        <w:rPr>
          <w:rFonts w:eastAsia="TimesNewRoman"/>
          <w:szCs w:val="22"/>
          <w:lang w:val="sr-Latn-ME"/>
        </w:rPr>
        <w:t>j</w:t>
      </w:r>
      <w:r w:rsidRPr="001202A2">
        <w:rPr>
          <w:rFonts w:eastAsia="TimesNewRoman"/>
          <w:szCs w:val="22"/>
          <w:lang w:val="sr-Latn-ME"/>
        </w:rPr>
        <w:t xml:space="preserve">ene </w:t>
      </w:r>
      <w:r w:rsidR="00587A72" w:rsidRPr="001202A2">
        <w:rPr>
          <w:rFonts w:eastAsia="TimesNewRoman"/>
          <w:szCs w:val="22"/>
          <w:lang w:val="sr-Latn-ME"/>
        </w:rPr>
        <w:t xml:space="preserve">edoksabana kod trudnica. </w:t>
      </w:r>
      <w:r w:rsidR="00480826" w:rsidRPr="001202A2">
        <w:rPr>
          <w:rFonts w:eastAsia="TimesNewRoman"/>
          <w:szCs w:val="22"/>
          <w:lang w:val="sr-Latn-ME"/>
        </w:rPr>
        <w:t>Studije</w:t>
      </w:r>
      <w:r w:rsidR="00587A72" w:rsidRPr="001202A2">
        <w:rPr>
          <w:rFonts w:eastAsia="TimesNewRoman"/>
          <w:szCs w:val="22"/>
          <w:lang w:val="sr-Latn-ME"/>
        </w:rPr>
        <w:t xml:space="preserve"> na životinjama pokazal</w:t>
      </w:r>
      <w:r w:rsidR="00480826" w:rsidRPr="001202A2">
        <w:rPr>
          <w:rFonts w:eastAsia="TimesNewRoman"/>
          <w:szCs w:val="22"/>
          <w:lang w:val="sr-Latn-ME"/>
        </w:rPr>
        <w:t>e</w:t>
      </w:r>
      <w:r w:rsidR="00587A72" w:rsidRPr="001202A2">
        <w:rPr>
          <w:rFonts w:eastAsia="TimesNewRoman"/>
          <w:szCs w:val="22"/>
          <w:lang w:val="sr-Latn-ME"/>
        </w:rPr>
        <w:t xml:space="preserve"> su reproduktivnu toksičnost (vid</w:t>
      </w:r>
      <w:r w:rsidR="00A57AD0" w:rsidRPr="001202A2">
        <w:rPr>
          <w:rFonts w:eastAsia="TimesNewRoman"/>
          <w:szCs w:val="22"/>
          <w:lang w:val="sr-Latn-ME"/>
        </w:rPr>
        <w:t>j</w:t>
      </w:r>
      <w:r w:rsidR="00587A72" w:rsidRPr="001202A2">
        <w:rPr>
          <w:rFonts w:eastAsia="TimesNewRoman"/>
          <w:szCs w:val="22"/>
          <w:lang w:val="sr-Latn-ME"/>
        </w:rPr>
        <w:t xml:space="preserve">eti </w:t>
      </w:r>
      <w:r w:rsidR="00A57AD0" w:rsidRPr="001202A2">
        <w:rPr>
          <w:rFonts w:eastAsia="TimesNewRoman"/>
          <w:szCs w:val="22"/>
          <w:lang w:val="sr-Latn-ME"/>
        </w:rPr>
        <w:t>dio</w:t>
      </w:r>
      <w:r w:rsidR="00587A72" w:rsidRPr="001202A2">
        <w:rPr>
          <w:rFonts w:eastAsia="TimesNewRoman"/>
          <w:szCs w:val="22"/>
          <w:lang w:val="sr-Latn-ME"/>
        </w:rPr>
        <w:t xml:space="preserve"> 5.3). Zbog moguće reproduktivne toksičnosti, intrinzičkog rizika od krvarenja i dokaza da edoksaban pr</w:t>
      </w:r>
      <w:r w:rsidR="00480826" w:rsidRPr="001202A2">
        <w:rPr>
          <w:rFonts w:eastAsia="TimesNewRoman"/>
          <w:szCs w:val="22"/>
          <w:lang w:val="sr-Latn-ME"/>
        </w:rPr>
        <w:t>o</w:t>
      </w:r>
      <w:r w:rsidR="00587A72" w:rsidRPr="001202A2">
        <w:rPr>
          <w:rFonts w:eastAsia="TimesNewRoman"/>
          <w:szCs w:val="22"/>
          <w:lang w:val="sr-Latn-ME"/>
        </w:rPr>
        <w:t>lazi placentu, l</w:t>
      </w:r>
      <w:r w:rsidR="00A57AD0" w:rsidRPr="001202A2">
        <w:rPr>
          <w:rFonts w:eastAsia="TimesNewRoman"/>
          <w:szCs w:val="22"/>
          <w:lang w:val="sr-Latn-ME"/>
        </w:rPr>
        <w:t>ij</w:t>
      </w:r>
      <w:r w:rsidR="00587A72" w:rsidRPr="001202A2">
        <w:rPr>
          <w:rFonts w:eastAsia="TimesNewRoman"/>
          <w:szCs w:val="22"/>
          <w:lang w:val="sr-Latn-ME"/>
        </w:rPr>
        <w:t xml:space="preserve">ek </w:t>
      </w:r>
      <w:r w:rsidR="00480826" w:rsidRPr="001202A2">
        <w:rPr>
          <w:rFonts w:eastAsia="TimesNewRoman"/>
          <w:szCs w:val="22"/>
          <w:lang w:val="sr-Latn-ME"/>
        </w:rPr>
        <w:t>Oxaway</w:t>
      </w:r>
      <w:r w:rsidR="00587A72" w:rsidRPr="001202A2">
        <w:rPr>
          <w:rFonts w:eastAsia="TimesNewRoman"/>
          <w:szCs w:val="22"/>
          <w:lang w:val="sr-Latn-ME"/>
        </w:rPr>
        <w:t xml:space="preserve"> je kontraindikovan tokom trudnoće (vid</w:t>
      </w:r>
      <w:r w:rsidR="00A57AD0" w:rsidRPr="001202A2">
        <w:rPr>
          <w:rFonts w:eastAsia="TimesNewRoman"/>
          <w:szCs w:val="22"/>
          <w:lang w:val="sr-Latn-ME"/>
        </w:rPr>
        <w:t>j</w:t>
      </w:r>
      <w:r w:rsidR="00587A72" w:rsidRPr="001202A2">
        <w:rPr>
          <w:rFonts w:eastAsia="TimesNewRoman"/>
          <w:szCs w:val="22"/>
          <w:lang w:val="sr-Latn-ME"/>
        </w:rPr>
        <w:t xml:space="preserve">eti </w:t>
      </w:r>
      <w:r w:rsidR="00A57AD0" w:rsidRPr="001202A2">
        <w:rPr>
          <w:rFonts w:eastAsia="TimesNewRoman"/>
          <w:szCs w:val="22"/>
          <w:lang w:val="sr-Latn-ME"/>
        </w:rPr>
        <w:t>dio</w:t>
      </w:r>
      <w:r w:rsidR="00587A72" w:rsidRPr="001202A2">
        <w:rPr>
          <w:rFonts w:eastAsia="TimesNewRoman"/>
          <w:szCs w:val="22"/>
          <w:lang w:val="sr-Latn-ME"/>
        </w:rPr>
        <w:t xml:space="preserve"> 4.3).</w:t>
      </w:r>
    </w:p>
    <w:p w14:paraId="126C0DA2"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6E93CF74" w14:textId="77777777" w:rsidR="00587A72" w:rsidRPr="001202A2" w:rsidRDefault="00587A72"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Dojenje</w:t>
      </w:r>
    </w:p>
    <w:p w14:paraId="07FC91E7" w14:textId="64E47076" w:rsidR="00587A72" w:rsidRPr="001202A2" w:rsidRDefault="002B67ED"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Ni</w:t>
      </w:r>
      <w:r w:rsidR="004F5646" w:rsidRPr="001202A2">
        <w:rPr>
          <w:rFonts w:eastAsia="TimesNewRoman"/>
          <w:szCs w:val="22"/>
          <w:lang w:val="sr-Latn-ME"/>
        </w:rPr>
        <w:t>je</w:t>
      </w:r>
      <w:r w:rsidRPr="001202A2">
        <w:rPr>
          <w:rFonts w:eastAsia="TimesNewRoman"/>
          <w:szCs w:val="22"/>
          <w:lang w:val="sr-Latn-ME"/>
        </w:rPr>
        <w:t>su ustanovljeni bezb</w:t>
      </w:r>
      <w:r w:rsidR="00A57AD0" w:rsidRPr="001202A2">
        <w:rPr>
          <w:rFonts w:eastAsia="TimesNewRoman"/>
          <w:szCs w:val="22"/>
          <w:lang w:val="sr-Latn-ME"/>
        </w:rPr>
        <w:t>j</w:t>
      </w:r>
      <w:r w:rsidRPr="001202A2">
        <w:rPr>
          <w:rFonts w:eastAsia="TimesNewRoman"/>
          <w:szCs w:val="22"/>
          <w:lang w:val="sr-Latn-ME"/>
        </w:rPr>
        <w:t>ednost i efikasnost prim</w:t>
      </w:r>
      <w:r w:rsidR="00A57AD0" w:rsidRPr="001202A2">
        <w:rPr>
          <w:rFonts w:eastAsia="TimesNewRoman"/>
          <w:szCs w:val="22"/>
          <w:lang w:val="sr-Latn-ME"/>
        </w:rPr>
        <w:t>j</w:t>
      </w:r>
      <w:r w:rsidRPr="001202A2">
        <w:rPr>
          <w:rFonts w:eastAsia="TimesNewRoman"/>
          <w:szCs w:val="22"/>
          <w:lang w:val="sr-Latn-ME"/>
        </w:rPr>
        <w:t xml:space="preserve">ene edoksabana </w:t>
      </w:r>
      <w:r w:rsidR="00587A72" w:rsidRPr="001202A2">
        <w:rPr>
          <w:rFonts w:eastAsia="TimesNewRoman"/>
          <w:szCs w:val="22"/>
          <w:lang w:val="sr-Latn-ME"/>
        </w:rPr>
        <w:t xml:space="preserve">kod dojilja. Podaci </w:t>
      </w:r>
      <w:r w:rsidRPr="001202A2">
        <w:rPr>
          <w:rFonts w:eastAsia="TimesNewRoman"/>
          <w:szCs w:val="22"/>
          <w:lang w:val="sr-Latn-ME"/>
        </w:rPr>
        <w:t>dobijeni na životinjama</w:t>
      </w:r>
      <w:r w:rsidR="00587A72" w:rsidRPr="001202A2">
        <w:rPr>
          <w:rFonts w:eastAsia="TimesNewRoman"/>
          <w:szCs w:val="22"/>
          <w:lang w:val="sr-Latn-ME"/>
        </w:rPr>
        <w:t xml:space="preserve"> </w:t>
      </w:r>
      <w:r w:rsidRPr="001202A2">
        <w:rPr>
          <w:rFonts w:eastAsia="TimesNewRoman"/>
          <w:szCs w:val="22"/>
          <w:lang w:val="sr-Latn-ME"/>
        </w:rPr>
        <w:t>uk</w:t>
      </w:r>
      <w:r w:rsidR="00587A72" w:rsidRPr="001202A2">
        <w:rPr>
          <w:rFonts w:eastAsia="TimesNewRoman"/>
          <w:szCs w:val="22"/>
          <w:lang w:val="sr-Latn-ME"/>
        </w:rPr>
        <w:t>azuju da se edoksaban izlučuje u majčino ml</w:t>
      </w:r>
      <w:r w:rsidR="00A57AD0" w:rsidRPr="001202A2">
        <w:rPr>
          <w:rFonts w:eastAsia="TimesNewRoman"/>
          <w:szCs w:val="22"/>
          <w:lang w:val="sr-Latn-ME"/>
        </w:rPr>
        <w:t>ij</w:t>
      </w:r>
      <w:r w:rsidR="00587A72" w:rsidRPr="001202A2">
        <w:rPr>
          <w:rFonts w:eastAsia="TimesNewRoman"/>
          <w:szCs w:val="22"/>
          <w:lang w:val="sr-Latn-ME"/>
        </w:rPr>
        <w:t xml:space="preserve">eko. </w:t>
      </w:r>
      <w:r w:rsidRPr="001202A2">
        <w:rPr>
          <w:rFonts w:eastAsia="TimesNewRoman"/>
          <w:szCs w:val="22"/>
          <w:lang w:val="sr-Latn-ME"/>
        </w:rPr>
        <w:t>Stoga je</w:t>
      </w:r>
      <w:r w:rsidR="00587A72" w:rsidRPr="001202A2">
        <w:rPr>
          <w:rFonts w:eastAsia="TimesNewRoman"/>
          <w:szCs w:val="22"/>
          <w:lang w:val="sr-Latn-ME"/>
        </w:rPr>
        <w:t xml:space="preserve"> prim</w:t>
      </w:r>
      <w:r w:rsidR="00A57AD0" w:rsidRPr="001202A2">
        <w:rPr>
          <w:rFonts w:eastAsia="TimesNewRoman"/>
          <w:szCs w:val="22"/>
          <w:lang w:val="sr-Latn-ME"/>
        </w:rPr>
        <w:t>j</w:t>
      </w:r>
      <w:r w:rsidR="00587A72" w:rsidRPr="001202A2">
        <w:rPr>
          <w:rFonts w:eastAsia="TimesNewRoman"/>
          <w:szCs w:val="22"/>
          <w:lang w:val="sr-Latn-ME"/>
        </w:rPr>
        <w:t>ena l</w:t>
      </w:r>
      <w:r w:rsidR="00A57AD0" w:rsidRPr="001202A2">
        <w:rPr>
          <w:rFonts w:eastAsia="TimesNewRoman"/>
          <w:szCs w:val="22"/>
          <w:lang w:val="sr-Latn-ME"/>
        </w:rPr>
        <w:t>ij</w:t>
      </w:r>
      <w:r w:rsidR="00587A72" w:rsidRPr="001202A2">
        <w:rPr>
          <w:rFonts w:eastAsia="TimesNewRoman"/>
          <w:szCs w:val="22"/>
          <w:lang w:val="sr-Latn-ME"/>
        </w:rPr>
        <w:t xml:space="preserve">eka </w:t>
      </w:r>
      <w:r w:rsidRPr="001202A2">
        <w:rPr>
          <w:rFonts w:eastAsia="TimesNewRoman"/>
          <w:szCs w:val="22"/>
          <w:lang w:val="sr-Latn-ME"/>
        </w:rPr>
        <w:t>Oxaway</w:t>
      </w:r>
      <w:r w:rsidR="00587A72" w:rsidRPr="001202A2">
        <w:rPr>
          <w:rFonts w:eastAsia="TimesNewRoman"/>
          <w:szCs w:val="22"/>
          <w:lang w:val="sr-Latn-ME"/>
        </w:rPr>
        <w:t xml:space="preserve"> kontraindikovana tokom dojenja (vid</w:t>
      </w:r>
      <w:r w:rsidR="00A57AD0" w:rsidRPr="001202A2">
        <w:rPr>
          <w:rFonts w:eastAsia="TimesNewRoman"/>
          <w:szCs w:val="22"/>
          <w:lang w:val="sr-Latn-ME"/>
        </w:rPr>
        <w:t>j</w:t>
      </w:r>
      <w:r w:rsidR="00587A72" w:rsidRPr="001202A2">
        <w:rPr>
          <w:rFonts w:eastAsia="TimesNewRoman"/>
          <w:szCs w:val="22"/>
          <w:lang w:val="sr-Latn-ME"/>
        </w:rPr>
        <w:t xml:space="preserve">eti </w:t>
      </w:r>
      <w:r w:rsidR="00A57AD0" w:rsidRPr="001202A2">
        <w:rPr>
          <w:rFonts w:eastAsia="TimesNewRoman"/>
          <w:szCs w:val="22"/>
          <w:lang w:val="sr-Latn-ME"/>
        </w:rPr>
        <w:t>dio</w:t>
      </w:r>
      <w:r w:rsidR="00587A72" w:rsidRPr="001202A2">
        <w:rPr>
          <w:rFonts w:eastAsia="TimesNewRoman"/>
          <w:szCs w:val="22"/>
          <w:lang w:val="sr-Latn-ME"/>
        </w:rPr>
        <w:t xml:space="preserve"> 4.3). </w:t>
      </w:r>
      <w:r w:rsidRPr="001202A2">
        <w:rPr>
          <w:rFonts w:eastAsia="TimesNewRoman"/>
          <w:szCs w:val="22"/>
          <w:lang w:val="sr-Latn-ME"/>
        </w:rPr>
        <w:t>Treba</w:t>
      </w:r>
      <w:r w:rsidR="00587A72" w:rsidRPr="001202A2">
        <w:rPr>
          <w:rFonts w:eastAsia="TimesNewRoman"/>
          <w:szCs w:val="22"/>
          <w:lang w:val="sr-Latn-ME"/>
        </w:rPr>
        <w:t xml:space="preserve"> don</w:t>
      </w:r>
      <w:r w:rsidR="00A57AD0" w:rsidRPr="001202A2">
        <w:rPr>
          <w:rFonts w:eastAsia="TimesNewRoman"/>
          <w:szCs w:val="22"/>
          <w:lang w:val="sr-Latn-ME"/>
        </w:rPr>
        <w:t>ij</w:t>
      </w:r>
      <w:r w:rsidR="00587A72" w:rsidRPr="001202A2">
        <w:rPr>
          <w:rFonts w:eastAsia="TimesNewRoman"/>
          <w:szCs w:val="22"/>
          <w:lang w:val="sr-Latn-ME"/>
        </w:rPr>
        <w:t xml:space="preserve">eti odluku </w:t>
      </w:r>
      <w:r w:rsidRPr="001202A2">
        <w:rPr>
          <w:rFonts w:eastAsia="TimesNewRoman"/>
          <w:szCs w:val="22"/>
          <w:lang w:val="sr-Latn-ME"/>
        </w:rPr>
        <w:t>o</w:t>
      </w:r>
      <w:r w:rsidR="00587A72" w:rsidRPr="001202A2">
        <w:rPr>
          <w:rFonts w:eastAsia="TimesNewRoman"/>
          <w:szCs w:val="22"/>
          <w:lang w:val="sr-Latn-ME"/>
        </w:rPr>
        <w:t xml:space="preserve"> preki</w:t>
      </w:r>
      <w:r w:rsidRPr="001202A2">
        <w:rPr>
          <w:rFonts w:eastAsia="TimesNewRoman"/>
          <w:szCs w:val="22"/>
          <w:lang w:val="sr-Latn-ME"/>
        </w:rPr>
        <w:t>du</w:t>
      </w:r>
      <w:r w:rsidR="00587A72" w:rsidRPr="001202A2">
        <w:rPr>
          <w:rFonts w:eastAsia="TimesNewRoman"/>
          <w:szCs w:val="22"/>
          <w:lang w:val="sr-Latn-ME"/>
        </w:rPr>
        <w:t xml:space="preserve"> dojenj</w:t>
      </w:r>
      <w:r w:rsidRPr="001202A2">
        <w:rPr>
          <w:rFonts w:eastAsia="TimesNewRoman"/>
          <w:szCs w:val="22"/>
          <w:lang w:val="sr-Latn-ME"/>
        </w:rPr>
        <w:t>a</w:t>
      </w:r>
      <w:r w:rsidR="00587A72" w:rsidRPr="001202A2">
        <w:rPr>
          <w:rFonts w:eastAsia="TimesNewRoman"/>
          <w:szCs w:val="22"/>
          <w:lang w:val="sr-Latn-ME"/>
        </w:rPr>
        <w:t xml:space="preserve"> ili </w:t>
      </w:r>
      <w:r w:rsidRPr="001202A2">
        <w:rPr>
          <w:rFonts w:eastAsia="TimesNewRoman"/>
          <w:szCs w:val="22"/>
          <w:lang w:val="sr-Latn-ME"/>
        </w:rPr>
        <w:t>obustavi/neuvođenju</w:t>
      </w:r>
      <w:r w:rsidR="00587A72" w:rsidRPr="001202A2">
        <w:rPr>
          <w:rFonts w:eastAsia="TimesNewRoman"/>
          <w:szCs w:val="22"/>
          <w:lang w:val="sr-Latn-ME"/>
        </w:rPr>
        <w:t xml:space="preserve"> </w:t>
      </w:r>
      <w:r w:rsidRPr="001202A2">
        <w:rPr>
          <w:rFonts w:eastAsia="TimesNewRoman"/>
          <w:szCs w:val="22"/>
          <w:lang w:val="sr-Latn-ME"/>
        </w:rPr>
        <w:t>terapije</w:t>
      </w:r>
      <w:r w:rsidR="00587A72" w:rsidRPr="001202A2">
        <w:rPr>
          <w:rFonts w:eastAsia="TimesNewRoman"/>
          <w:szCs w:val="22"/>
          <w:lang w:val="sr-Latn-ME"/>
        </w:rPr>
        <w:t>.</w:t>
      </w:r>
    </w:p>
    <w:p w14:paraId="1DAE878F"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3D71101D" w14:textId="261B4D4B" w:rsidR="00CE09F3" w:rsidRPr="001202A2" w:rsidRDefault="00CE09F3" w:rsidP="00480B31">
      <w:pPr>
        <w:pStyle w:val="ListParagraph"/>
        <w:numPr>
          <w:ilvl w:val="1"/>
          <w:numId w:val="12"/>
        </w:numPr>
        <w:rPr>
          <w:b/>
          <w:bCs/>
          <w:spacing w:val="-8"/>
          <w:szCs w:val="22"/>
          <w:lang w:val="sr-Latn-ME"/>
        </w:rPr>
      </w:pPr>
      <w:r w:rsidRPr="001202A2">
        <w:rPr>
          <w:b/>
          <w:bCs/>
          <w:spacing w:val="-8"/>
          <w:szCs w:val="22"/>
          <w:lang w:val="sr-Latn-ME"/>
        </w:rPr>
        <w:t>Uticaj l</w:t>
      </w:r>
      <w:r w:rsidR="007226D5" w:rsidRPr="001202A2">
        <w:rPr>
          <w:b/>
          <w:bCs/>
          <w:spacing w:val="-8"/>
          <w:szCs w:val="22"/>
          <w:lang w:val="sr-Latn-ME"/>
        </w:rPr>
        <w:t>ij</w:t>
      </w:r>
      <w:r w:rsidRPr="001202A2">
        <w:rPr>
          <w:b/>
          <w:bCs/>
          <w:spacing w:val="-8"/>
          <w:szCs w:val="22"/>
          <w:lang w:val="sr-Latn-ME"/>
        </w:rPr>
        <w:t>eka na sposobnost upravljanja vozilima i rukovanj</w:t>
      </w:r>
      <w:r w:rsidR="00765B38" w:rsidRPr="001202A2">
        <w:rPr>
          <w:b/>
          <w:bCs/>
          <w:spacing w:val="-8"/>
          <w:szCs w:val="22"/>
          <w:lang w:val="sr-Latn-ME"/>
        </w:rPr>
        <w:t>e</w:t>
      </w:r>
      <w:r w:rsidRPr="001202A2">
        <w:rPr>
          <w:b/>
          <w:bCs/>
          <w:spacing w:val="-8"/>
          <w:szCs w:val="22"/>
          <w:lang w:val="sr-Latn-ME"/>
        </w:rPr>
        <w:t xml:space="preserve"> mašinama</w:t>
      </w:r>
    </w:p>
    <w:p w14:paraId="6BC8387A" w14:textId="77777777" w:rsidR="00813187" w:rsidRPr="001202A2" w:rsidRDefault="00813187" w:rsidP="00480B31">
      <w:pPr>
        <w:pStyle w:val="ListParagraph"/>
        <w:ind w:left="765"/>
        <w:rPr>
          <w:b/>
          <w:bCs/>
          <w:spacing w:val="-8"/>
          <w:szCs w:val="22"/>
          <w:lang w:val="sr-Latn-ME"/>
        </w:rPr>
      </w:pPr>
    </w:p>
    <w:p w14:paraId="2BB2A7EC" w14:textId="10974C8A" w:rsidR="00776DBC" w:rsidRPr="001202A2" w:rsidRDefault="00456FFB" w:rsidP="00480B31">
      <w:pPr>
        <w:rPr>
          <w:rFonts w:eastAsia="TimesNewRoman"/>
          <w:szCs w:val="22"/>
          <w:lang w:val="sr-Latn-ME"/>
        </w:rPr>
      </w:pPr>
      <w:r w:rsidRPr="001202A2">
        <w:rPr>
          <w:rFonts w:eastAsia="TimesNewRoman"/>
          <w:szCs w:val="22"/>
          <w:lang w:val="sr-Latn-ME"/>
        </w:rPr>
        <w:t>Edoksaban</w:t>
      </w:r>
      <w:r w:rsidR="00776DBC" w:rsidRPr="001202A2">
        <w:rPr>
          <w:rFonts w:eastAsia="TimesNewRoman"/>
          <w:szCs w:val="22"/>
          <w:lang w:val="sr-Latn-ME"/>
        </w:rPr>
        <w:t xml:space="preserve"> nema ili ima zanemarljiv uticaj na sposobnost upravljanja vozilima i rukovanja mašinama.</w:t>
      </w:r>
    </w:p>
    <w:p w14:paraId="1760070D" w14:textId="77777777" w:rsidR="00813187" w:rsidRPr="001202A2" w:rsidRDefault="00813187" w:rsidP="00480B31">
      <w:pPr>
        <w:rPr>
          <w:b/>
          <w:bCs/>
          <w:spacing w:val="-8"/>
          <w:szCs w:val="22"/>
          <w:lang w:val="sr-Latn-ME"/>
        </w:rPr>
      </w:pPr>
    </w:p>
    <w:p w14:paraId="3D711022" w14:textId="0070EAA0" w:rsidR="00CE09F3" w:rsidRPr="001202A2" w:rsidRDefault="00CE09F3" w:rsidP="00480B31">
      <w:pPr>
        <w:pStyle w:val="ListParagraph"/>
        <w:numPr>
          <w:ilvl w:val="1"/>
          <w:numId w:val="12"/>
        </w:numPr>
        <w:rPr>
          <w:b/>
          <w:bCs/>
          <w:szCs w:val="22"/>
          <w:lang w:val="sr-Latn-ME"/>
        </w:rPr>
      </w:pPr>
      <w:r w:rsidRPr="001202A2">
        <w:rPr>
          <w:b/>
          <w:bCs/>
          <w:szCs w:val="22"/>
          <w:lang w:val="sr-Latn-ME"/>
        </w:rPr>
        <w:t>Neželjena dejstva</w:t>
      </w:r>
    </w:p>
    <w:p w14:paraId="4758755A" w14:textId="77777777" w:rsidR="00813187" w:rsidRPr="001202A2" w:rsidRDefault="00813187" w:rsidP="00480B31">
      <w:pPr>
        <w:pStyle w:val="ListParagraph"/>
        <w:ind w:left="765"/>
        <w:rPr>
          <w:b/>
          <w:bCs/>
          <w:szCs w:val="22"/>
          <w:lang w:val="sr-Latn-ME"/>
        </w:rPr>
      </w:pPr>
    </w:p>
    <w:p w14:paraId="04FE98B9" w14:textId="2FDBB6E2" w:rsidR="007459BC" w:rsidRPr="001202A2" w:rsidRDefault="007459BC"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Sažetak bezb</w:t>
      </w:r>
      <w:r w:rsidR="007226D5" w:rsidRPr="001202A2">
        <w:rPr>
          <w:rFonts w:eastAsia="TimesNewRoman"/>
          <w:szCs w:val="22"/>
          <w:u w:val="single"/>
          <w:lang w:val="sr-Latn-ME"/>
        </w:rPr>
        <w:t>j</w:t>
      </w:r>
      <w:r w:rsidRPr="001202A2">
        <w:rPr>
          <w:rFonts w:eastAsia="TimesNewRoman"/>
          <w:szCs w:val="22"/>
          <w:u w:val="single"/>
          <w:lang w:val="sr-Latn-ME"/>
        </w:rPr>
        <w:t>ednosnog profila</w:t>
      </w:r>
    </w:p>
    <w:p w14:paraId="558EFDA9" w14:textId="1A701CD8" w:rsidR="007459BC" w:rsidRPr="001202A2" w:rsidRDefault="007459B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Bezb</w:t>
      </w:r>
      <w:r w:rsidR="007226D5" w:rsidRPr="001202A2">
        <w:rPr>
          <w:rFonts w:eastAsia="TimesNewRoman"/>
          <w:szCs w:val="22"/>
          <w:lang w:val="sr-Latn-ME"/>
        </w:rPr>
        <w:t>j</w:t>
      </w:r>
      <w:r w:rsidRPr="001202A2">
        <w:rPr>
          <w:rFonts w:eastAsia="TimesNewRoman"/>
          <w:szCs w:val="22"/>
          <w:lang w:val="sr-Latn-ME"/>
        </w:rPr>
        <w:t>ednosni profil edoksabana je ustanovljen na osnovu dv</w:t>
      </w:r>
      <w:r w:rsidR="007226D5" w:rsidRPr="001202A2">
        <w:rPr>
          <w:rFonts w:eastAsia="TimesNewRoman"/>
          <w:szCs w:val="22"/>
          <w:lang w:val="sr-Latn-ME"/>
        </w:rPr>
        <w:t>ij</w:t>
      </w:r>
      <w:r w:rsidRPr="001202A2">
        <w:rPr>
          <w:rFonts w:eastAsia="TimesNewRoman"/>
          <w:szCs w:val="22"/>
          <w:lang w:val="sr-Latn-ME"/>
        </w:rPr>
        <w:t>e studije faze 3 (21105 pacijenta sa NVAF i 8292 pacijenta sa VTE (TDV i PE)), kao i na osnovu postmarketinškog praćenja l</w:t>
      </w:r>
      <w:r w:rsidR="007226D5" w:rsidRPr="001202A2">
        <w:rPr>
          <w:rFonts w:eastAsia="TimesNewRoman"/>
          <w:szCs w:val="22"/>
          <w:lang w:val="sr-Latn-ME"/>
        </w:rPr>
        <w:t>ij</w:t>
      </w:r>
      <w:r w:rsidRPr="001202A2">
        <w:rPr>
          <w:rFonts w:eastAsia="TimesNewRoman"/>
          <w:szCs w:val="22"/>
          <w:lang w:val="sr-Latn-ME"/>
        </w:rPr>
        <w:t xml:space="preserve">eka. </w:t>
      </w:r>
    </w:p>
    <w:p w14:paraId="76D0B65F" w14:textId="1D2EBBBA" w:rsidR="007459BC" w:rsidRPr="001202A2" w:rsidRDefault="007459B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Najčešće zab</w:t>
      </w:r>
      <w:r w:rsidR="007226D5" w:rsidRPr="001202A2">
        <w:rPr>
          <w:rFonts w:eastAsia="TimesNewRoman"/>
          <w:szCs w:val="22"/>
          <w:lang w:val="sr-Latn-ME"/>
        </w:rPr>
        <w:t>i</w:t>
      </w:r>
      <w:r w:rsidRPr="001202A2">
        <w:rPr>
          <w:rFonts w:eastAsia="TimesNewRoman"/>
          <w:szCs w:val="22"/>
          <w:lang w:val="sr-Latn-ME"/>
        </w:rPr>
        <w:t>l</w:t>
      </w:r>
      <w:r w:rsidR="007226D5" w:rsidRPr="001202A2">
        <w:rPr>
          <w:rFonts w:eastAsia="TimesNewRoman"/>
          <w:szCs w:val="22"/>
          <w:lang w:val="sr-Latn-ME"/>
        </w:rPr>
        <w:t>j</w:t>
      </w:r>
      <w:r w:rsidRPr="001202A2">
        <w:rPr>
          <w:rFonts w:eastAsia="TimesNewRoman"/>
          <w:szCs w:val="22"/>
          <w:lang w:val="sr-Latn-ME"/>
        </w:rPr>
        <w:t>ežena neželjena dejstva povezana sa prim</w:t>
      </w:r>
      <w:r w:rsidR="007226D5" w:rsidRPr="001202A2">
        <w:rPr>
          <w:rFonts w:eastAsia="TimesNewRoman"/>
          <w:szCs w:val="22"/>
          <w:lang w:val="sr-Latn-ME"/>
        </w:rPr>
        <w:t>j</w:t>
      </w:r>
      <w:r w:rsidRPr="001202A2">
        <w:rPr>
          <w:rFonts w:eastAsia="TimesNewRoman"/>
          <w:szCs w:val="22"/>
          <w:lang w:val="sr-Latn-ME"/>
        </w:rPr>
        <w:t>enom edoksabana bila su epistaksa (7,7%), hematurija (6,9%) i anemija (5,3%).</w:t>
      </w:r>
    </w:p>
    <w:p w14:paraId="264691DB" w14:textId="4E545F77" w:rsidR="007459BC" w:rsidRPr="001202A2" w:rsidRDefault="007459B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Krvarenje se može javiti na bilo kom m</w:t>
      </w:r>
      <w:r w:rsidR="007226D5" w:rsidRPr="001202A2">
        <w:rPr>
          <w:rFonts w:eastAsia="TimesNewRoman"/>
          <w:szCs w:val="22"/>
          <w:lang w:val="sr-Latn-ME"/>
        </w:rPr>
        <w:t>j</w:t>
      </w:r>
      <w:r w:rsidRPr="001202A2">
        <w:rPr>
          <w:rFonts w:eastAsia="TimesNewRoman"/>
          <w:szCs w:val="22"/>
          <w:lang w:val="sr-Latn-ME"/>
        </w:rPr>
        <w:t>estu i može biti teško, čak i sa smrtnim ishodom (vid</w:t>
      </w:r>
      <w:r w:rsidR="007226D5" w:rsidRPr="001202A2">
        <w:rPr>
          <w:rFonts w:eastAsia="TimesNewRoman"/>
          <w:szCs w:val="22"/>
          <w:lang w:val="sr-Latn-ME"/>
        </w:rPr>
        <w:t>j</w:t>
      </w:r>
      <w:r w:rsidRPr="001202A2">
        <w:rPr>
          <w:rFonts w:eastAsia="TimesNewRoman"/>
          <w:szCs w:val="22"/>
          <w:lang w:val="sr-Latn-ME"/>
        </w:rPr>
        <w:t xml:space="preserve">eti </w:t>
      </w:r>
      <w:r w:rsidR="007226D5" w:rsidRPr="001202A2">
        <w:rPr>
          <w:rFonts w:eastAsia="TimesNewRoman"/>
          <w:szCs w:val="22"/>
          <w:lang w:val="sr-Latn-ME"/>
        </w:rPr>
        <w:t>dio</w:t>
      </w:r>
      <w:r w:rsidRPr="001202A2">
        <w:rPr>
          <w:rFonts w:eastAsia="TimesNewRoman"/>
          <w:szCs w:val="22"/>
          <w:lang w:val="sr-Latn-ME"/>
        </w:rPr>
        <w:t xml:space="preserve"> 4.4).</w:t>
      </w:r>
    </w:p>
    <w:p w14:paraId="15DF30E0"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762A8EA1" w14:textId="1EFC1EEE" w:rsidR="00813187" w:rsidRPr="001202A2" w:rsidRDefault="007459BC"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Tabelarni prikaz neželjenih dejstava</w:t>
      </w:r>
    </w:p>
    <w:p w14:paraId="00B087D9" w14:textId="4386AE10" w:rsidR="007459BC" w:rsidRPr="001202A2" w:rsidRDefault="007459B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tabeli 3 su prikazana neželjena dejstva iz dv</w:t>
      </w:r>
      <w:r w:rsidR="007226D5" w:rsidRPr="001202A2">
        <w:rPr>
          <w:rFonts w:eastAsia="TimesNewRoman"/>
          <w:szCs w:val="22"/>
          <w:lang w:val="sr-Latn-ME"/>
        </w:rPr>
        <w:t>ij</w:t>
      </w:r>
      <w:r w:rsidRPr="001202A2">
        <w:rPr>
          <w:rFonts w:eastAsia="TimesNewRoman"/>
          <w:szCs w:val="22"/>
          <w:lang w:val="sr-Latn-ME"/>
        </w:rPr>
        <w:t xml:space="preserve">e </w:t>
      </w:r>
      <w:r w:rsidR="00541D6C" w:rsidRPr="001202A2">
        <w:rPr>
          <w:rFonts w:eastAsia="TimesNewRoman"/>
          <w:szCs w:val="22"/>
          <w:lang w:val="sr-Latn-ME"/>
        </w:rPr>
        <w:t xml:space="preserve">glavne </w:t>
      </w:r>
      <w:r w:rsidRPr="001202A2">
        <w:rPr>
          <w:rFonts w:eastAsia="TimesNewRoman"/>
          <w:szCs w:val="22"/>
          <w:lang w:val="sr-Latn-ME"/>
        </w:rPr>
        <w:t>studije faze 3 kod pacijenata sa VTE i NVAF, zbirno za ob</w:t>
      </w:r>
      <w:r w:rsidR="007226D5" w:rsidRPr="001202A2">
        <w:rPr>
          <w:rFonts w:eastAsia="TimesNewRoman"/>
          <w:szCs w:val="22"/>
          <w:lang w:val="sr-Latn-ME"/>
        </w:rPr>
        <w:t>j</w:t>
      </w:r>
      <w:r w:rsidRPr="001202A2">
        <w:rPr>
          <w:rFonts w:eastAsia="TimesNewRoman"/>
          <w:szCs w:val="22"/>
          <w:lang w:val="sr-Latn-ME"/>
        </w:rPr>
        <w:t>e indikacije i sa neželjenim dejstvima prijavljenim tokom postmarketinškog praćenja. Neželjena dejstva su prikazana prema MedDRA klasifikaciji sistema organa i učestalosti</w:t>
      </w:r>
      <w:r w:rsidR="00AE4ED9" w:rsidRPr="001202A2">
        <w:rPr>
          <w:rFonts w:eastAsia="TimesNewRoman"/>
          <w:szCs w:val="22"/>
          <w:lang w:val="sr-Latn-ME"/>
        </w:rPr>
        <w:t>,</w:t>
      </w:r>
      <w:r w:rsidRPr="001202A2">
        <w:rPr>
          <w:rFonts w:eastAsia="TimesNewRoman"/>
          <w:szCs w:val="22"/>
          <w:lang w:val="sr-Latn-ME"/>
        </w:rPr>
        <w:t xml:space="preserve"> prema sl</w:t>
      </w:r>
      <w:r w:rsidR="007226D5" w:rsidRPr="001202A2">
        <w:rPr>
          <w:rFonts w:eastAsia="TimesNewRoman"/>
          <w:szCs w:val="22"/>
          <w:lang w:val="sr-Latn-ME"/>
        </w:rPr>
        <w:t>j</w:t>
      </w:r>
      <w:r w:rsidRPr="001202A2">
        <w:rPr>
          <w:rFonts w:eastAsia="TimesNewRoman"/>
          <w:szCs w:val="22"/>
          <w:lang w:val="sr-Latn-ME"/>
        </w:rPr>
        <w:t>edećoj konvenciji: vrlo često (≥ 1/10), često (≥ 1/100 i &lt; 1/10), povremeno (≥ 1/1</w:t>
      </w:r>
      <w:r w:rsidR="00AE4ED9" w:rsidRPr="001202A2">
        <w:rPr>
          <w:rFonts w:eastAsia="TimesNewRoman"/>
          <w:szCs w:val="22"/>
          <w:lang w:val="sr-Latn-ME"/>
        </w:rPr>
        <w:t xml:space="preserve"> </w:t>
      </w:r>
      <w:r w:rsidRPr="001202A2">
        <w:rPr>
          <w:rFonts w:eastAsia="TimesNewRoman"/>
          <w:szCs w:val="22"/>
          <w:lang w:val="sr-Latn-ME"/>
        </w:rPr>
        <w:t>000 i &lt; 1/100), r</w:t>
      </w:r>
      <w:r w:rsidR="007226D5" w:rsidRPr="001202A2">
        <w:rPr>
          <w:rFonts w:eastAsia="TimesNewRoman"/>
          <w:szCs w:val="22"/>
          <w:lang w:val="sr-Latn-ME"/>
        </w:rPr>
        <w:t>ij</w:t>
      </w:r>
      <w:r w:rsidRPr="001202A2">
        <w:rPr>
          <w:rFonts w:eastAsia="TimesNewRoman"/>
          <w:szCs w:val="22"/>
          <w:lang w:val="sr-Latn-ME"/>
        </w:rPr>
        <w:t>etko (≥ 1/10 000 i &lt; 1/1</w:t>
      </w:r>
      <w:r w:rsidR="00AE4ED9" w:rsidRPr="001202A2">
        <w:rPr>
          <w:rFonts w:eastAsia="TimesNewRoman"/>
          <w:szCs w:val="22"/>
          <w:lang w:val="sr-Latn-ME"/>
        </w:rPr>
        <w:t xml:space="preserve"> </w:t>
      </w:r>
      <w:r w:rsidRPr="001202A2">
        <w:rPr>
          <w:rFonts w:eastAsia="TimesNewRoman"/>
          <w:szCs w:val="22"/>
          <w:lang w:val="sr-Latn-ME"/>
        </w:rPr>
        <w:t>000), vrlo r</w:t>
      </w:r>
      <w:r w:rsidR="007226D5" w:rsidRPr="001202A2">
        <w:rPr>
          <w:rFonts w:eastAsia="TimesNewRoman"/>
          <w:szCs w:val="22"/>
          <w:lang w:val="sr-Latn-ME"/>
        </w:rPr>
        <w:t>ij</w:t>
      </w:r>
      <w:r w:rsidRPr="001202A2">
        <w:rPr>
          <w:rFonts w:eastAsia="TimesNewRoman"/>
          <w:szCs w:val="22"/>
          <w:lang w:val="sr-Latn-ME"/>
        </w:rPr>
        <w:t>etko (&lt; 1/10 000)</w:t>
      </w:r>
      <w:r w:rsidR="00361FE2" w:rsidRPr="001202A2">
        <w:rPr>
          <w:rFonts w:eastAsia="TimesNewRoman"/>
          <w:szCs w:val="22"/>
          <w:lang w:val="sr-Latn-ME"/>
        </w:rPr>
        <w:t xml:space="preserve"> i nepoznato (ne može se proc</w:t>
      </w:r>
      <w:r w:rsidR="00456FFB" w:rsidRPr="001202A2">
        <w:rPr>
          <w:rFonts w:eastAsia="TimesNewRoman"/>
          <w:szCs w:val="22"/>
          <w:lang w:val="sr-Latn-ME"/>
        </w:rPr>
        <w:t>ij</w:t>
      </w:r>
      <w:r w:rsidR="00361FE2" w:rsidRPr="001202A2">
        <w:rPr>
          <w:rFonts w:eastAsia="TimesNewRoman"/>
          <w:szCs w:val="22"/>
          <w:lang w:val="sr-Latn-ME"/>
        </w:rPr>
        <w:t>eniti na osnovu dostupnih podataka)</w:t>
      </w:r>
      <w:r w:rsidRPr="001202A2">
        <w:rPr>
          <w:rFonts w:eastAsia="TimesNewRoman"/>
          <w:szCs w:val="22"/>
          <w:lang w:val="sr-Latn-ME"/>
        </w:rPr>
        <w:t>.</w:t>
      </w:r>
    </w:p>
    <w:p w14:paraId="20D06937" w14:textId="77777777" w:rsidR="00813187" w:rsidRPr="001202A2" w:rsidRDefault="00813187" w:rsidP="00480B31">
      <w:pPr>
        <w:tabs>
          <w:tab w:val="clear" w:pos="284"/>
        </w:tabs>
        <w:autoSpaceDE w:val="0"/>
        <w:autoSpaceDN w:val="0"/>
        <w:adjustRightInd w:val="0"/>
        <w:rPr>
          <w:rFonts w:eastAsia="TimesNewRoman"/>
          <w:szCs w:val="22"/>
          <w:lang w:val="sr-Latn-ME"/>
        </w:rPr>
      </w:pPr>
    </w:p>
    <w:p w14:paraId="602B4DE0" w14:textId="5856EF3D" w:rsidR="007459BC" w:rsidRPr="001202A2" w:rsidRDefault="007459BC" w:rsidP="00480B31">
      <w:pPr>
        <w:rPr>
          <w:rFonts w:eastAsia="TimesNewRoman"/>
          <w:b/>
          <w:bCs/>
          <w:szCs w:val="22"/>
          <w:lang w:val="sr-Latn-ME"/>
        </w:rPr>
      </w:pPr>
      <w:r w:rsidRPr="001202A2">
        <w:rPr>
          <w:rFonts w:eastAsia="TimesNewRoman"/>
          <w:b/>
          <w:bCs/>
          <w:szCs w:val="22"/>
          <w:lang w:val="sr-Latn-ME"/>
        </w:rPr>
        <w:t xml:space="preserve">Tabela 3: </w:t>
      </w:r>
      <w:r w:rsidR="00AE4ED9" w:rsidRPr="001202A2">
        <w:rPr>
          <w:rFonts w:eastAsia="TimesNewRoman"/>
          <w:b/>
          <w:bCs/>
          <w:szCs w:val="22"/>
          <w:lang w:val="sr-Latn-ME"/>
        </w:rPr>
        <w:t>Prikaz</w:t>
      </w:r>
      <w:r w:rsidRPr="001202A2">
        <w:rPr>
          <w:rFonts w:eastAsia="TimesNewRoman"/>
          <w:b/>
          <w:bCs/>
          <w:szCs w:val="22"/>
          <w:lang w:val="sr-Latn-ME"/>
        </w:rPr>
        <w:t xml:space="preserve"> neželjenih dejstava za NVAF i VTE</w:t>
      </w:r>
    </w:p>
    <w:p w14:paraId="1A24D666" w14:textId="77777777" w:rsidR="00743938" w:rsidRPr="001202A2" w:rsidRDefault="00743938" w:rsidP="00480B31">
      <w:pPr>
        <w:rPr>
          <w:rFonts w:eastAsia="TimesNewRoman"/>
          <w:b/>
          <w:bCs/>
          <w:szCs w:val="22"/>
          <w:lang w:val="sr-Latn-ME"/>
        </w:rPr>
      </w:pPr>
    </w:p>
    <w:tbl>
      <w:tblPr>
        <w:tblStyle w:val="TableGrid"/>
        <w:tblW w:w="0" w:type="auto"/>
        <w:tblLook w:val="04A0" w:firstRow="1" w:lastRow="0" w:firstColumn="1" w:lastColumn="0" w:noHBand="0" w:noVBand="1"/>
      </w:tblPr>
      <w:tblGrid>
        <w:gridCol w:w="6749"/>
        <w:gridCol w:w="2880"/>
      </w:tblGrid>
      <w:tr w:rsidR="00AE4ED9" w:rsidRPr="001202A2" w14:paraId="7C39E4EE" w14:textId="77777777" w:rsidTr="001202A2">
        <w:tc>
          <w:tcPr>
            <w:tcW w:w="6912" w:type="dxa"/>
          </w:tcPr>
          <w:p w14:paraId="641A954E" w14:textId="504FEF96" w:rsidR="00AE4ED9" w:rsidRPr="001202A2" w:rsidRDefault="00AE4ED9" w:rsidP="00880F49">
            <w:pPr>
              <w:rPr>
                <w:b/>
                <w:bCs/>
                <w:szCs w:val="22"/>
                <w:lang w:val="sr-Latn-ME"/>
              </w:rPr>
            </w:pPr>
            <w:r w:rsidRPr="001202A2">
              <w:rPr>
                <w:b/>
                <w:bCs/>
                <w:szCs w:val="22"/>
                <w:lang w:val="sr-Latn-ME"/>
              </w:rPr>
              <w:t>Klasa sistema organa</w:t>
            </w:r>
          </w:p>
        </w:tc>
        <w:tc>
          <w:tcPr>
            <w:tcW w:w="2943" w:type="dxa"/>
          </w:tcPr>
          <w:p w14:paraId="6ADEB104" w14:textId="2B26622F" w:rsidR="00AE4ED9" w:rsidRPr="001202A2" w:rsidRDefault="00AE4ED9" w:rsidP="00880F49">
            <w:pPr>
              <w:rPr>
                <w:b/>
                <w:bCs/>
                <w:szCs w:val="22"/>
                <w:lang w:val="sr-Latn-ME"/>
              </w:rPr>
            </w:pPr>
            <w:r w:rsidRPr="001202A2">
              <w:rPr>
                <w:b/>
                <w:bCs/>
                <w:szCs w:val="22"/>
                <w:lang w:val="sr-Latn-ME"/>
              </w:rPr>
              <w:t>Učestalost</w:t>
            </w:r>
          </w:p>
        </w:tc>
      </w:tr>
      <w:tr w:rsidR="00AE4ED9" w:rsidRPr="001202A2" w14:paraId="3021A817" w14:textId="77777777" w:rsidTr="001202A2">
        <w:tc>
          <w:tcPr>
            <w:tcW w:w="9855" w:type="dxa"/>
            <w:gridSpan w:val="2"/>
          </w:tcPr>
          <w:p w14:paraId="15992B5F" w14:textId="36155DB1" w:rsidR="00AE4ED9" w:rsidRPr="001202A2" w:rsidRDefault="00AE4ED9" w:rsidP="00880F49">
            <w:pPr>
              <w:rPr>
                <w:szCs w:val="22"/>
                <w:lang w:val="sr-Latn-ME"/>
              </w:rPr>
            </w:pPr>
            <w:r w:rsidRPr="001202A2">
              <w:rPr>
                <w:b/>
                <w:bCs/>
                <w:szCs w:val="22"/>
                <w:lang w:val="sr-Latn-ME"/>
              </w:rPr>
              <w:t>Poremećaji krvi i limfnog sistema</w:t>
            </w:r>
          </w:p>
        </w:tc>
      </w:tr>
      <w:tr w:rsidR="00AE4ED9" w:rsidRPr="001202A2" w14:paraId="05EEA279" w14:textId="77777777" w:rsidTr="001202A2">
        <w:tc>
          <w:tcPr>
            <w:tcW w:w="6912" w:type="dxa"/>
          </w:tcPr>
          <w:p w14:paraId="163A4643" w14:textId="5E68E9C2" w:rsidR="00AE4ED9" w:rsidRPr="001202A2" w:rsidRDefault="00AE4ED9" w:rsidP="00880F49">
            <w:pPr>
              <w:rPr>
                <w:szCs w:val="22"/>
                <w:lang w:val="sr-Latn-ME"/>
              </w:rPr>
            </w:pPr>
            <w:r w:rsidRPr="001202A2">
              <w:rPr>
                <w:szCs w:val="22"/>
                <w:lang w:val="sr-Latn-ME"/>
              </w:rPr>
              <w:t>Anemija</w:t>
            </w:r>
          </w:p>
        </w:tc>
        <w:tc>
          <w:tcPr>
            <w:tcW w:w="2943" w:type="dxa"/>
          </w:tcPr>
          <w:p w14:paraId="54A62BE4" w14:textId="7C939F71" w:rsidR="00AE4ED9" w:rsidRPr="001202A2" w:rsidRDefault="00AE4ED9" w:rsidP="00880F49">
            <w:pPr>
              <w:rPr>
                <w:szCs w:val="22"/>
                <w:lang w:val="sr-Latn-ME"/>
              </w:rPr>
            </w:pPr>
            <w:r w:rsidRPr="001202A2">
              <w:rPr>
                <w:szCs w:val="22"/>
                <w:lang w:val="sr-Latn-ME"/>
              </w:rPr>
              <w:t>Često</w:t>
            </w:r>
          </w:p>
        </w:tc>
      </w:tr>
      <w:tr w:rsidR="00AE4ED9" w:rsidRPr="001202A2" w14:paraId="18E002B3" w14:textId="77777777" w:rsidTr="001202A2">
        <w:tc>
          <w:tcPr>
            <w:tcW w:w="6912" w:type="dxa"/>
          </w:tcPr>
          <w:p w14:paraId="2EDBAADD" w14:textId="5D071956" w:rsidR="00AE4ED9" w:rsidRPr="001202A2" w:rsidRDefault="00AE4ED9" w:rsidP="00880F49">
            <w:pPr>
              <w:rPr>
                <w:szCs w:val="22"/>
                <w:lang w:val="sr-Latn-ME"/>
              </w:rPr>
            </w:pPr>
            <w:r w:rsidRPr="001202A2">
              <w:rPr>
                <w:szCs w:val="22"/>
                <w:lang w:val="sr-Latn-ME"/>
              </w:rPr>
              <w:t>Trombocitopenija</w:t>
            </w:r>
          </w:p>
        </w:tc>
        <w:tc>
          <w:tcPr>
            <w:tcW w:w="2943" w:type="dxa"/>
          </w:tcPr>
          <w:p w14:paraId="3C36AEE3" w14:textId="4934E664" w:rsidR="00AE4ED9" w:rsidRPr="001202A2" w:rsidRDefault="00AE4ED9" w:rsidP="00880F49">
            <w:pPr>
              <w:rPr>
                <w:szCs w:val="22"/>
                <w:lang w:val="sr-Latn-ME"/>
              </w:rPr>
            </w:pPr>
            <w:r w:rsidRPr="001202A2">
              <w:rPr>
                <w:szCs w:val="22"/>
                <w:lang w:val="sr-Latn-ME"/>
              </w:rPr>
              <w:t>Povremeno</w:t>
            </w:r>
          </w:p>
        </w:tc>
      </w:tr>
      <w:tr w:rsidR="00AE4ED9" w:rsidRPr="001202A2" w14:paraId="3FA6F179" w14:textId="77777777" w:rsidTr="001202A2">
        <w:tc>
          <w:tcPr>
            <w:tcW w:w="9855" w:type="dxa"/>
            <w:gridSpan w:val="2"/>
          </w:tcPr>
          <w:p w14:paraId="3E50DFD0" w14:textId="2FCF70B4" w:rsidR="00AE4ED9" w:rsidRPr="001202A2" w:rsidRDefault="00AE4ED9" w:rsidP="00880F49">
            <w:pPr>
              <w:rPr>
                <w:szCs w:val="22"/>
                <w:lang w:val="sr-Latn-ME"/>
              </w:rPr>
            </w:pPr>
            <w:r w:rsidRPr="001202A2">
              <w:rPr>
                <w:b/>
                <w:bCs/>
                <w:szCs w:val="22"/>
                <w:lang w:val="sr-Latn-ME"/>
              </w:rPr>
              <w:lastRenderedPageBreak/>
              <w:t>Poremećaji imunog sistema</w:t>
            </w:r>
          </w:p>
        </w:tc>
      </w:tr>
      <w:tr w:rsidR="00AE4ED9" w:rsidRPr="001202A2" w14:paraId="62ADFF91" w14:textId="77777777" w:rsidTr="001202A2">
        <w:tc>
          <w:tcPr>
            <w:tcW w:w="6912" w:type="dxa"/>
          </w:tcPr>
          <w:p w14:paraId="028A90AB" w14:textId="44237033" w:rsidR="00AE4ED9" w:rsidRPr="001202A2" w:rsidRDefault="00AE4ED9" w:rsidP="00880F49">
            <w:pPr>
              <w:rPr>
                <w:szCs w:val="22"/>
                <w:lang w:val="sr-Latn-ME"/>
              </w:rPr>
            </w:pPr>
            <w:r w:rsidRPr="001202A2">
              <w:rPr>
                <w:rFonts w:eastAsia="TimesNewRoman"/>
                <w:szCs w:val="22"/>
                <w:lang w:val="sr-Latn-ME"/>
              </w:rPr>
              <w:t>Preos</w:t>
            </w:r>
            <w:r w:rsidR="007226D5" w:rsidRPr="001202A2">
              <w:rPr>
                <w:rFonts w:eastAsia="TimesNewRoman"/>
                <w:szCs w:val="22"/>
                <w:lang w:val="sr-Latn-ME"/>
              </w:rPr>
              <w:t>j</w:t>
            </w:r>
            <w:r w:rsidRPr="001202A2">
              <w:rPr>
                <w:rFonts w:eastAsia="TimesNewRoman"/>
                <w:szCs w:val="22"/>
                <w:lang w:val="sr-Latn-ME"/>
              </w:rPr>
              <w:t>etljivost</w:t>
            </w:r>
          </w:p>
        </w:tc>
        <w:tc>
          <w:tcPr>
            <w:tcW w:w="2943" w:type="dxa"/>
          </w:tcPr>
          <w:p w14:paraId="18DC9E34" w14:textId="43D2BC84" w:rsidR="00AE4ED9" w:rsidRPr="001202A2" w:rsidRDefault="00AE4ED9" w:rsidP="00880F49">
            <w:pPr>
              <w:rPr>
                <w:szCs w:val="22"/>
                <w:lang w:val="sr-Latn-ME"/>
              </w:rPr>
            </w:pPr>
            <w:r w:rsidRPr="001202A2">
              <w:rPr>
                <w:szCs w:val="22"/>
                <w:lang w:val="sr-Latn-ME"/>
              </w:rPr>
              <w:t>Povremeno</w:t>
            </w:r>
          </w:p>
        </w:tc>
      </w:tr>
      <w:tr w:rsidR="00AE4ED9" w:rsidRPr="001202A2" w14:paraId="2B1CD77A" w14:textId="77777777" w:rsidTr="001202A2">
        <w:tc>
          <w:tcPr>
            <w:tcW w:w="6912" w:type="dxa"/>
          </w:tcPr>
          <w:p w14:paraId="483243E1" w14:textId="5D47B315" w:rsidR="00AE4ED9" w:rsidRPr="001202A2" w:rsidRDefault="00AE4ED9" w:rsidP="00880F49">
            <w:pPr>
              <w:rPr>
                <w:szCs w:val="22"/>
                <w:lang w:val="sr-Latn-ME"/>
              </w:rPr>
            </w:pPr>
            <w:r w:rsidRPr="001202A2">
              <w:rPr>
                <w:rFonts w:eastAsia="TimesNewRoman"/>
                <w:szCs w:val="22"/>
                <w:lang w:val="sr-Latn-ME"/>
              </w:rPr>
              <w:t>Anafilaktička reakcija</w:t>
            </w:r>
          </w:p>
        </w:tc>
        <w:tc>
          <w:tcPr>
            <w:tcW w:w="2943" w:type="dxa"/>
          </w:tcPr>
          <w:p w14:paraId="4B62DF49" w14:textId="33C114F8" w:rsidR="00AE4ED9" w:rsidRPr="001202A2" w:rsidRDefault="00AE4ED9"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AE4ED9" w:rsidRPr="001202A2" w14:paraId="7E3F69C4" w14:textId="77777777" w:rsidTr="001202A2">
        <w:tc>
          <w:tcPr>
            <w:tcW w:w="6912" w:type="dxa"/>
          </w:tcPr>
          <w:p w14:paraId="0C8322A3" w14:textId="72A2D0F5" w:rsidR="00AE4ED9" w:rsidRPr="001202A2" w:rsidRDefault="00AE4ED9" w:rsidP="00880F49">
            <w:pPr>
              <w:rPr>
                <w:szCs w:val="22"/>
                <w:lang w:val="sr-Latn-ME"/>
              </w:rPr>
            </w:pPr>
            <w:r w:rsidRPr="001202A2">
              <w:rPr>
                <w:rFonts w:eastAsia="TimesNewRoman"/>
                <w:szCs w:val="22"/>
                <w:lang w:val="sr-Latn-ME"/>
              </w:rPr>
              <w:t>Alergijski edem</w:t>
            </w:r>
          </w:p>
        </w:tc>
        <w:tc>
          <w:tcPr>
            <w:tcW w:w="2943" w:type="dxa"/>
          </w:tcPr>
          <w:p w14:paraId="1DD48D5A" w14:textId="04697F25" w:rsidR="00AE4ED9" w:rsidRPr="001202A2" w:rsidRDefault="00AE4ED9"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AE4ED9" w:rsidRPr="001202A2" w14:paraId="3140EAD3" w14:textId="77777777" w:rsidTr="001202A2">
        <w:tc>
          <w:tcPr>
            <w:tcW w:w="9855" w:type="dxa"/>
            <w:gridSpan w:val="2"/>
          </w:tcPr>
          <w:p w14:paraId="0C4AEBB3" w14:textId="062342A3" w:rsidR="00AE4ED9" w:rsidRPr="001202A2" w:rsidRDefault="00AE4ED9" w:rsidP="00880F49">
            <w:pPr>
              <w:rPr>
                <w:szCs w:val="22"/>
                <w:lang w:val="sr-Latn-ME"/>
              </w:rPr>
            </w:pPr>
            <w:r w:rsidRPr="001202A2">
              <w:rPr>
                <w:b/>
                <w:bCs/>
                <w:szCs w:val="22"/>
                <w:lang w:val="sr-Latn-ME"/>
              </w:rPr>
              <w:t>Poremećaji nervnog sistema</w:t>
            </w:r>
          </w:p>
        </w:tc>
      </w:tr>
      <w:tr w:rsidR="00AE4ED9" w:rsidRPr="001202A2" w14:paraId="1F3BBD85" w14:textId="77777777" w:rsidTr="001202A2">
        <w:tc>
          <w:tcPr>
            <w:tcW w:w="6912" w:type="dxa"/>
          </w:tcPr>
          <w:p w14:paraId="227D6E5B" w14:textId="316729B8" w:rsidR="00AE4ED9" w:rsidRPr="001202A2" w:rsidRDefault="00AE4ED9" w:rsidP="00880F49">
            <w:pPr>
              <w:rPr>
                <w:szCs w:val="22"/>
                <w:lang w:val="sr-Latn-ME"/>
              </w:rPr>
            </w:pPr>
            <w:r w:rsidRPr="001202A2">
              <w:rPr>
                <w:szCs w:val="22"/>
                <w:lang w:val="sr-Latn-ME"/>
              </w:rPr>
              <w:t>Vrtoglavica</w:t>
            </w:r>
          </w:p>
        </w:tc>
        <w:tc>
          <w:tcPr>
            <w:tcW w:w="2943" w:type="dxa"/>
          </w:tcPr>
          <w:p w14:paraId="40FF5A65" w14:textId="7DF45E91" w:rsidR="00AE4ED9" w:rsidRPr="001202A2" w:rsidRDefault="00AE4ED9" w:rsidP="00880F49">
            <w:pPr>
              <w:rPr>
                <w:szCs w:val="22"/>
                <w:lang w:val="sr-Latn-ME"/>
              </w:rPr>
            </w:pPr>
            <w:r w:rsidRPr="001202A2">
              <w:rPr>
                <w:szCs w:val="22"/>
                <w:lang w:val="sr-Latn-ME"/>
              </w:rPr>
              <w:t>Često</w:t>
            </w:r>
          </w:p>
        </w:tc>
      </w:tr>
      <w:tr w:rsidR="00AE4ED9" w:rsidRPr="001202A2" w14:paraId="60688CCF" w14:textId="77777777" w:rsidTr="001202A2">
        <w:tc>
          <w:tcPr>
            <w:tcW w:w="6912" w:type="dxa"/>
          </w:tcPr>
          <w:p w14:paraId="51E24F36" w14:textId="35BCBA3A" w:rsidR="00AE4ED9" w:rsidRPr="001202A2" w:rsidRDefault="00AE4ED9" w:rsidP="00880F49">
            <w:pPr>
              <w:rPr>
                <w:szCs w:val="22"/>
                <w:lang w:val="sr-Latn-ME"/>
              </w:rPr>
            </w:pPr>
            <w:r w:rsidRPr="001202A2">
              <w:rPr>
                <w:szCs w:val="22"/>
                <w:lang w:val="sr-Latn-ME"/>
              </w:rPr>
              <w:t>Glavobolja</w:t>
            </w:r>
          </w:p>
        </w:tc>
        <w:tc>
          <w:tcPr>
            <w:tcW w:w="2943" w:type="dxa"/>
          </w:tcPr>
          <w:p w14:paraId="7205B7C9" w14:textId="644A92F9" w:rsidR="00AE4ED9" w:rsidRPr="001202A2" w:rsidRDefault="00AE4ED9" w:rsidP="00880F49">
            <w:pPr>
              <w:rPr>
                <w:szCs w:val="22"/>
                <w:lang w:val="sr-Latn-ME"/>
              </w:rPr>
            </w:pPr>
            <w:r w:rsidRPr="001202A2">
              <w:rPr>
                <w:szCs w:val="22"/>
                <w:lang w:val="sr-Latn-ME"/>
              </w:rPr>
              <w:t>Često</w:t>
            </w:r>
          </w:p>
        </w:tc>
      </w:tr>
      <w:tr w:rsidR="00AE4ED9" w:rsidRPr="001202A2" w14:paraId="6B53B26A" w14:textId="77777777" w:rsidTr="001202A2">
        <w:tc>
          <w:tcPr>
            <w:tcW w:w="6912" w:type="dxa"/>
          </w:tcPr>
          <w:p w14:paraId="25EEC588" w14:textId="23265425" w:rsidR="00AE4ED9" w:rsidRPr="001202A2" w:rsidRDefault="00AE4ED9" w:rsidP="00880F49">
            <w:pPr>
              <w:rPr>
                <w:szCs w:val="22"/>
                <w:lang w:val="sr-Latn-ME"/>
              </w:rPr>
            </w:pPr>
            <w:r w:rsidRPr="001202A2">
              <w:rPr>
                <w:szCs w:val="22"/>
                <w:lang w:val="sr-Latn-ME"/>
              </w:rPr>
              <w:t>Intrakranijaln</w:t>
            </w:r>
            <w:r w:rsidR="00F73BA0" w:rsidRPr="001202A2">
              <w:rPr>
                <w:szCs w:val="22"/>
                <w:lang w:val="sr-Latn-ME"/>
              </w:rPr>
              <w:t>o</w:t>
            </w:r>
            <w:r w:rsidRPr="001202A2">
              <w:rPr>
                <w:szCs w:val="22"/>
                <w:lang w:val="sr-Latn-ME"/>
              </w:rPr>
              <w:t xml:space="preserve"> </w:t>
            </w:r>
            <w:r w:rsidR="00F73BA0" w:rsidRPr="001202A2">
              <w:rPr>
                <w:szCs w:val="22"/>
                <w:lang w:val="sr-Latn-ME"/>
              </w:rPr>
              <w:t>krvarenje</w:t>
            </w:r>
          </w:p>
        </w:tc>
        <w:tc>
          <w:tcPr>
            <w:tcW w:w="2943" w:type="dxa"/>
          </w:tcPr>
          <w:p w14:paraId="541CAE33" w14:textId="7F45FDAB" w:rsidR="00AE4ED9" w:rsidRPr="001202A2" w:rsidRDefault="00AE4ED9" w:rsidP="00880F49">
            <w:pPr>
              <w:rPr>
                <w:szCs w:val="22"/>
                <w:lang w:val="sr-Latn-ME"/>
              </w:rPr>
            </w:pPr>
            <w:r w:rsidRPr="001202A2">
              <w:rPr>
                <w:szCs w:val="22"/>
                <w:lang w:val="sr-Latn-ME"/>
              </w:rPr>
              <w:t>Povremeno</w:t>
            </w:r>
          </w:p>
        </w:tc>
      </w:tr>
      <w:tr w:rsidR="00AE4ED9" w:rsidRPr="001202A2" w14:paraId="0F730C2B" w14:textId="77777777" w:rsidTr="001202A2">
        <w:tc>
          <w:tcPr>
            <w:tcW w:w="6912" w:type="dxa"/>
          </w:tcPr>
          <w:p w14:paraId="04F08F30" w14:textId="79832BA7" w:rsidR="00AE4ED9" w:rsidRPr="001202A2" w:rsidRDefault="00AE4ED9" w:rsidP="00880F49">
            <w:pPr>
              <w:rPr>
                <w:szCs w:val="22"/>
                <w:lang w:val="sr-Latn-ME"/>
              </w:rPr>
            </w:pPr>
            <w:r w:rsidRPr="001202A2">
              <w:rPr>
                <w:rFonts w:eastAsia="TimesNewRoman"/>
                <w:szCs w:val="22"/>
                <w:lang w:val="sr-Latn-ME"/>
              </w:rPr>
              <w:t>Subarahnoidaln</w:t>
            </w:r>
            <w:r w:rsidR="00F73BA0" w:rsidRPr="001202A2">
              <w:rPr>
                <w:rFonts w:eastAsia="TimesNewRoman"/>
                <w:szCs w:val="22"/>
                <w:lang w:val="sr-Latn-ME"/>
              </w:rPr>
              <w:t>o</w:t>
            </w:r>
            <w:r w:rsidRPr="001202A2">
              <w:rPr>
                <w:szCs w:val="22"/>
                <w:lang w:val="sr-Latn-ME"/>
              </w:rPr>
              <w:t xml:space="preserve"> </w:t>
            </w:r>
            <w:r w:rsidR="00F73BA0" w:rsidRPr="001202A2">
              <w:rPr>
                <w:szCs w:val="22"/>
                <w:lang w:val="sr-Latn-ME"/>
              </w:rPr>
              <w:t>krvarenje</w:t>
            </w:r>
          </w:p>
        </w:tc>
        <w:tc>
          <w:tcPr>
            <w:tcW w:w="2943" w:type="dxa"/>
          </w:tcPr>
          <w:p w14:paraId="1BB1CF86" w14:textId="40FB21C7" w:rsidR="00AE4ED9" w:rsidRPr="001202A2" w:rsidRDefault="00AE4ED9"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AE4ED9" w:rsidRPr="001202A2" w14:paraId="46468169" w14:textId="77777777" w:rsidTr="001202A2">
        <w:tc>
          <w:tcPr>
            <w:tcW w:w="9855" w:type="dxa"/>
            <w:gridSpan w:val="2"/>
          </w:tcPr>
          <w:p w14:paraId="4DD02C76" w14:textId="62C3FA05" w:rsidR="00AE4ED9" w:rsidRPr="001202A2" w:rsidRDefault="00AE4ED9" w:rsidP="00880F49">
            <w:pPr>
              <w:rPr>
                <w:b/>
                <w:bCs/>
                <w:szCs w:val="22"/>
                <w:lang w:val="sr-Latn-ME"/>
              </w:rPr>
            </w:pPr>
            <w:r w:rsidRPr="001202A2">
              <w:rPr>
                <w:b/>
                <w:bCs/>
                <w:szCs w:val="22"/>
                <w:lang w:val="sr-Latn-ME"/>
              </w:rPr>
              <w:t>Poremećaji oka</w:t>
            </w:r>
          </w:p>
        </w:tc>
      </w:tr>
      <w:tr w:rsidR="00AE4ED9" w:rsidRPr="001202A2" w14:paraId="194C7237" w14:textId="77777777" w:rsidTr="001202A2">
        <w:tc>
          <w:tcPr>
            <w:tcW w:w="6912" w:type="dxa"/>
          </w:tcPr>
          <w:p w14:paraId="19DF6B1E" w14:textId="3F419A34" w:rsidR="00AE4ED9" w:rsidRPr="001202A2" w:rsidRDefault="00AE4ED9" w:rsidP="00880F49">
            <w:pPr>
              <w:rPr>
                <w:szCs w:val="22"/>
                <w:lang w:val="sr-Latn-ME"/>
              </w:rPr>
            </w:pPr>
            <w:r w:rsidRPr="001202A2">
              <w:rPr>
                <w:szCs w:val="22"/>
                <w:lang w:val="sr-Latn-ME"/>
              </w:rPr>
              <w:t>Konjunktivaln</w:t>
            </w:r>
            <w:r w:rsidR="00F73BA0" w:rsidRPr="001202A2">
              <w:rPr>
                <w:szCs w:val="22"/>
                <w:lang w:val="sr-Latn-ME"/>
              </w:rPr>
              <w:t>o</w:t>
            </w:r>
            <w:r w:rsidRPr="001202A2">
              <w:rPr>
                <w:szCs w:val="22"/>
                <w:lang w:val="sr-Latn-ME"/>
              </w:rPr>
              <w:t>/skleraln</w:t>
            </w:r>
            <w:r w:rsidR="00F73BA0" w:rsidRPr="001202A2">
              <w:rPr>
                <w:szCs w:val="22"/>
                <w:lang w:val="sr-Latn-ME"/>
              </w:rPr>
              <w:t>o</w:t>
            </w:r>
            <w:r w:rsidRPr="001202A2">
              <w:rPr>
                <w:szCs w:val="22"/>
                <w:lang w:val="sr-Latn-ME"/>
              </w:rPr>
              <w:t xml:space="preserve"> </w:t>
            </w:r>
            <w:r w:rsidR="00F73BA0" w:rsidRPr="001202A2">
              <w:rPr>
                <w:szCs w:val="22"/>
                <w:lang w:val="sr-Latn-ME"/>
              </w:rPr>
              <w:t>krvarenje</w:t>
            </w:r>
          </w:p>
        </w:tc>
        <w:tc>
          <w:tcPr>
            <w:tcW w:w="2943" w:type="dxa"/>
          </w:tcPr>
          <w:p w14:paraId="2B1D2CCD" w14:textId="49DB635E" w:rsidR="00AE4ED9" w:rsidRPr="001202A2" w:rsidRDefault="00AE4ED9" w:rsidP="00880F49">
            <w:pPr>
              <w:rPr>
                <w:szCs w:val="22"/>
                <w:lang w:val="sr-Latn-ME"/>
              </w:rPr>
            </w:pPr>
            <w:r w:rsidRPr="001202A2">
              <w:rPr>
                <w:szCs w:val="22"/>
                <w:lang w:val="sr-Latn-ME"/>
              </w:rPr>
              <w:t>Povremeno</w:t>
            </w:r>
          </w:p>
        </w:tc>
      </w:tr>
      <w:tr w:rsidR="00AE4ED9" w:rsidRPr="001202A2" w14:paraId="5B010720" w14:textId="77777777" w:rsidTr="001202A2">
        <w:tc>
          <w:tcPr>
            <w:tcW w:w="6912" w:type="dxa"/>
          </w:tcPr>
          <w:p w14:paraId="24C6753C" w14:textId="172ED984" w:rsidR="00AE4ED9" w:rsidRPr="001202A2" w:rsidRDefault="00AE4ED9" w:rsidP="00880F49">
            <w:pPr>
              <w:rPr>
                <w:szCs w:val="22"/>
                <w:lang w:val="sr-Latn-ME"/>
              </w:rPr>
            </w:pPr>
            <w:r w:rsidRPr="001202A2">
              <w:rPr>
                <w:szCs w:val="22"/>
                <w:lang w:val="sr-Latn-ME"/>
              </w:rPr>
              <w:t>Intraokularn</w:t>
            </w:r>
            <w:r w:rsidR="00F73BA0" w:rsidRPr="001202A2">
              <w:rPr>
                <w:szCs w:val="22"/>
                <w:lang w:val="sr-Latn-ME"/>
              </w:rPr>
              <w:t>o</w:t>
            </w:r>
            <w:r w:rsidRPr="001202A2">
              <w:rPr>
                <w:szCs w:val="22"/>
                <w:lang w:val="sr-Latn-ME"/>
              </w:rPr>
              <w:t xml:space="preserve"> </w:t>
            </w:r>
            <w:r w:rsidR="00F73BA0" w:rsidRPr="001202A2">
              <w:rPr>
                <w:szCs w:val="22"/>
                <w:lang w:val="sr-Latn-ME"/>
              </w:rPr>
              <w:t>krvarenje</w:t>
            </w:r>
          </w:p>
        </w:tc>
        <w:tc>
          <w:tcPr>
            <w:tcW w:w="2943" w:type="dxa"/>
          </w:tcPr>
          <w:p w14:paraId="6C8C3CAF" w14:textId="28F15427" w:rsidR="00AE4ED9" w:rsidRPr="001202A2" w:rsidRDefault="00AE4ED9" w:rsidP="00880F49">
            <w:pPr>
              <w:rPr>
                <w:szCs w:val="22"/>
                <w:lang w:val="sr-Latn-ME"/>
              </w:rPr>
            </w:pPr>
            <w:r w:rsidRPr="001202A2">
              <w:rPr>
                <w:szCs w:val="22"/>
                <w:lang w:val="sr-Latn-ME"/>
              </w:rPr>
              <w:t>Povremeno</w:t>
            </w:r>
          </w:p>
        </w:tc>
      </w:tr>
      <w:tr w:rsidR="00AE4ED9" w:rsidRPr="001202A2" w14:paraId="2A5EDE07" w14:textId="77777777" w:rsidTr="001202A2">
        <w:tc>
          <w:tcPr>
            <w:tcW w:w="9855" w:type="dxa"/>
            <w:gridSpan w:val="2"/>
          </w:tcPr>
          <w:p w14:paraId="7E555305" w14:textId="3BE798B6" w:rsidR="00AE4ED9" w:rsidRPr="001202A2" w:rsidRDefault="00AE4ED9" w:rsidP="00880F49">
            <w:pPr>
              <w:rPr>
                <w:b/>
                <w:bCs/>
                <w:szCs w:val="22"/>
                <w:lang w:val="sr-Latn-ME"/>
              </w:rPr>
            </w:pPr>
            <w:r w:rsidRPr="001202A2">
              <w:rPr>
                <w:b/>
                <w:bCs/>
                <w:szCs w:val="22"/>
                <w:lang w:val="sr-Latn-ME"/>
              </w:rPr>
              <w:t>Kardiološki poremećaji</w:t>
            </w:r>
          </w:p>
        </w:tc>
      </w:tr>
      <w:tr w:rsidR="00AE4ED9" w:rsidRPr="001202A2" w14:paraId="56237841" w14:textId="77777777" w:rsidTr="001202A2">
        <w:tc>
          <w:tcPr>
            <w:tcW w:w="6912" w:type="dxa"/>
          </w:tcPr>
          <w:p w14:paraId="14788C16" w14:textId="37CD228C" w:rsidR="00AE4ED9" w:rsidRPr="001202A2" w:rsidRDefault="00AE4ED9" w:rsidP="00880F49">
            <w:pPr>
              <w:rPr>
                <w:szCs w:val="22"/>
                <w:lang w:val="sr-Latn-ME"/>
              </w:rPr>
            </w:pPr>
            <w:r w:rsidRPr="001202A2">
              <w:rPr>
                <w:szCs w:val="22"/>
                <w:lang w:val="sr-Latn-ME"/>
              </w:rPr>
              <w:t>Perikardijaln</w:t>
            </w:r>
            <w:r w:rsidR="00F73BA0" w:rsidRPr="001202A2">
              <w:rPr>
                <w:szCs w:val="22"/>
                <w:lang w:val="sr-Latn-ME"/>
              </w:rPr>
              <w:t>o</w:t>
            </w:r>
            <w:r w:rsidRPr="001202A2">
              <w:rPr>
                <w:szCs w:val="22"/>
                <w:lang w:val="sr-Latn-ME"/>
              </w:rPr>
              <w:t xml:space="preserve"> </w:t>
            </w:r>
            <w:r w:rsidR="00F73BA0" w:rsidRPr="001202A2">
              <w:rPr>
                <w:szCs w:val="22"/>
                <w:lang w:val="sr-Latn-ME"/>
              </w:rPr>
              <w:t>krvarenje</w:t>
            </w:r>
          </w:p>
        </w:tc>
        <w:tc>
          <w:tcPr>
            <w:tcW w:w="2943" w:type="dxa"/>
          </w:tcPr>
          <w:p w14:paraId="6FA2DDCA" w14:textId="577113E1" w:rsidR="00AE4ED9" w:rsidRPr="001202A2" w:rsidRDefault="00AE4ED9"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AE4ED9" w:rsidRPr="001202A2" w14:paraId="715741FE" w14:textId="77777777" w:rsidTr="001202A2">
        <w:tc>
          <w:tcPr>
            <w:tcW w:w="9855" w:type="dxa"/>
            <w:gridSpan w:val="2"/>
          </w:tcPr>
          <w:p w14:paraId="29F9DB1A" w14:textId="209C243D" w:rsidR="00AE4ED9" w:rsidRPr="001202A2" w:rsidRDefault="00AE4ED9" w:rsidP="00880F49">
            <w:pPr>
              <w:rPr>
                <w:b/>
                <w:bCs/>
                <w:szCs w:val="22"/>
                <w:lang w:val="sr-Latn-ME"/>
              </w:rPr>
            </w:pPr>
            <w:r w:rsidRPr="001202A2">
              <w:rPr>
                <w:b/>
                <w:bCs/>
                <w:szCs w:val="22"/>
                <w:lang w:val="sr-Latn-ME"/>
              </w:rPr>
              <w:t>Vaskularni poremećaji</w:t>
            </w:r>
          </w:p>
        </w:tc>
      </w:tr>
      <w:tr w:rsidR="00AE4ED9" w:rsidRPr="001202A2" w14:paraId="17582984" w14:textId="77777777" w:rsidTr="001202A2">
        <w:tc>
          <w:tcPr>
            <w:tcW w:w="6912" w:type="dxa"/>
          </w:tcPr>
          <w:p w14:paraId="3B8BAD67" w14:textId="7832C5AE" w:rsidR="00AE4ED9" w:rsidRPr="001202A2" w:rsidRDefault="00AE4ED9" w:rsidP="00880F49">
            <w:pPr>
              <w:rPr>
                <w:szCs w:val="22"/>
                <w:lang w:val="sr-Latn-ME"/>
              </w:rPr>
            </w:pPr>
            <w:r w:rsidRPr="001202A2">
              <w:rPr>
                <w:szCs w:val="22"/>
                <w:lang w:val="sr-Latn-ME"/>
              </w:rPr>
              <w:t>Drug</w:t>
            </w:r>
            <w:r w:rsidR="00F73BA0" w:rsidRPr="001202A2">
              <w:rPr>
                <w:szCs w:val="22"/>
                <w:lang w:val="sr-Latn-ME"/>
              </w:rPr>
              <w:t>o krvarenje</w:t>
            </w:r>
          </w:p>
        </w:tc>
        <w:tc>
          <w:tcPr>
            <w:tcW w:w="2943" w:type="dxa"/>
          </w:tcPr>
          <w:p w14:paraId="78881345" w14:textId="28334901" w:rsidR="00AE4ED9" w:rsidRPr="001202A2" w:rsidRDefault="00AE4ED9" w:rsidP="00880F49">
            <w:pPr>
              <w:rPr>
                <w:szCs w:val="22"/>
                <w:lang w:val="sr-Latn-ME"/>
              </w:rPr>
            </w:pPr>
            <w:r w:rsidRPr="001202A2">
              <w:rPr>
                <w:szCs w:val="22"/>
                <w:lang w:val="sr-Latn-ME"/>
              </w:rPr>
              <w:t>Povremeno</w:t>
            </w:r>
          </w:p>
        </w:tc>
      </w:tr>
      <w:tr w:rsidR="00AE4ED9" w:rsidRPr="001202A2" w14:paraId="15656691" w14:textId="77777777" w:rsidTr="001202A2">
        <w:tc>
          <w:tcPr>
            <w:tcW w:w="9855" w:type="dxa"/>
            <w:gridSpan w:val="2"/>
          </w:tcPr>
          <w:p w14:paraId="4C668E14" w14:textId="64D5A3E7" w:rsidR="00AE4ED9" w:rsidRPr="001202A2" w:rsidRDefault="00AE4ED9" w:rsidP="00880F49">
            <w:pPr>
              <w:rPr>
                <w:b/>
                <w:bCs/>
                <w:szCs w:val="22"/>
                <w:lang w:val="sr-Latn-ME"/>
              </w:rPr>
            </w:pPr>
            <w:r w:rsidRPr="001202A2">
              <w:rPr>
                <w:b/>
                <w:bCs/>
                <w:szCs w:val="22"/>
                <w:lang w:val="sr-Latn-ME"/>
              </w:rPr>
              <w:t>Respiratorni, torakalni i medijastinalni poremećaji</w:t>
            </w:r>
          </w:p>
        </w:tc>
      </w:tr>
      <w:tr w:rsidR="00AE4ED9" w:rsidRPr="001202A2" w14:paraId="5F3AC816" w14:textId="77777777" w:rsidTr="001202A2">
        <w:tc>
          <w:tcPr>
            <w:tcW w:w="6912" w:type="dxa"/>
          </w:tcPr>
          <w:p w14:paraId="6E1C7F39" w14:textId="3D5512E8" w:rsidR="00AE4ED9" w:rsidRPr="001202A2" w:rsidRDefault="00AE4ED9" w:rsidP="00880F49">
            <w:pPr>
              <w:rPr>
                <w:szCs w:val="22"/>
                <w:lang w:val="sr-Latn-ME"/>
              </w:rPr>
            </w:pPr>
            <w:r w:rsidRPr="001202A2">
              <w:rPr>
                <w:szCs w:val="22"/>
                <w:lang w:val="sr-Latn-ME"/>
              </w:rPr>
              <w:t>Epistaksa</w:t>
            </w:r>
          </w:p>
        </w:tc>
        <w:tc>
          <w:tcPr>
            <w:tcW w:w="2943" w:type="dxa"/>
          </w:tcPr>
          <w:p w14:paraId="56499089" w14:textId="53D4F39B" w:rsidR="00AE4ED9" w:rsidRPr="001202A2" w:rsidRDefault="00AE4ED9" w:rsidP="00880F49">
            <w:pPr>
              <w:rPr>
                <w:szCs w:val="22"/>
                <w:lang w:val="sr-Latn-ME"/>
              </w:rPr>
            </w:pPr>
            <w:r w:rsidRPr="001202A2">
              <w:rPr>
                <w:szCs w:val="22"/>
                <w:lang w:val="sr-Latn-ME"/>
              </w:rPr>
              <w:t>Često</w:t>
            </w:r>
          </w:p>
        </w:tc>
      </w:tr>
      <w:tr w:rsidR="00AE4ED9" w:rsidRPr="001202A2" w14:paraId="1E16908E" w14:textId="77777777" w:rsidTr="001202A2">
        <w:tc>
          <w:tcPr>
            <w:tcW w:w="6912" w:type="dxa"/>
          </w:tcPr>
          <w:p w14:paraId="6D1AD88B" w14:textId="3D3EE381" w:rsidR="00AE4ED9" w:rsidRPr="001202A2" w:rsidRDefault="00AE4ED9" w:rsidP="00880F49">
            <w:pPr>
              <w:rPr>
                <w:szCs w:val="22"/>
                <w:lang w:val="sr-Latn-ME"/>
              </w:rPr>
            </w:pPr>
            <w:r w:rsidRPr="001202A2">
              <w:rPr>
                <w:szCs w:val="22"/>
                <w:lang w:val="sr-Latn-ME"/>
              </w:rPr>
              <w:t>Hemoptiza</w:t>
            </w:r>
          </w:p>
        </w:tc>
        <w:tc>
          <w:tcPr>
            <w:tcW w:w="2943" w:type="dxa"/>
          </w:tcPr>
          <w:p w14:paraId="39F2438F" w14:textId="59EB91DF" w:rsidR="00AE4ED9" w:rsidRPr="001202A2" w:rsidRDefault="00AE4ED9" w:rsidP="00880F49">
            <w:pPr>
              <w:rPr>
                <w:szCs w:val="22"/>
                <w:lang w:val="sr-Latn-ME"/>
              </w:rPr>
            </w:pPr>
            <w:r w:rsidRPr="001202A2">
              <w:rPr>
                <w:szCs w:val="22"/>
                <w:lang w:val="sr-Latn-ME"/>
              </w:rPr>
              <w:t>Povremeno</w:t>
            </w:r>
          </w:p>
        </w:tc>
      </w:tr>
      <w:tr w:rsidR="00AE4ED9" w:rsidRPr="001202A2" w14:paraId="7E869F04" w14:textId="77777777" w:rsidTr="001202A2">
        <w:tc>
          <w:tcPr>
            <w:tcW w:w="9855" w:type="dxa"/>
            <w:gridSpan w:val="2"/>
          </w:tcPr>
          <w:p w14:paraId="3B45C440" w14:textId="6FA160C7" w:rsidR="00AE4ED9" w:rsidRPr="001202A2" w:rsidRDefault="00AE4ED9" w:rsidP="00880F49">
            <w:pPr>
              <w:rPr>
                <w:b/>
                <w:bCs/>
                <w:szCs w:val="22"/>
                <w:lang w:val="sr-Latn-ME"/>
              </w:rPr>
            </w:pPr>
            <w:r w:rsidRPr="001202A2">
              <w:rPr>
                <w:b/>
                <w:bCs/>
                <w:szCs w:val="22"/>
                <w:lang w:val="sr-Latn-ME"/>
              </w:rPr>
              <w:t>Gastrointestinalni poremećaji</w:t>
            </w:r>
          </w:p>
        </w:tc>
      </w:tr>
      <w:tr w:rsidR="00AE4ED9" w:rsidRPr="001202A2" w14:paraId="1A9AEC80" w14:textId="77777777" w:rsidTr="001202A2">
        <w:tc>
          <w:tcPr>
            <w:tcW w:w="6912" w:type="dxa"/>
          </w:tcPr>
          <w:p w14:paraId="0D8F5F82" w14:textId="4D4D6F84" w:rsidR="00AE4ED9" w:rsidRPr="001202A2" w:rsidRDefault="00AE4ED9" w:rsidP="00880F49">
            <w:pPr>
              <w:rPr>
                <w:szCs w:val="22"/>
                <w:lang w:val="sr-Latn-ME"/>
              </w:rPr>
            </w:pPr>
            <w:r w:rsidRPr="001202A2">
              <w:rPr>
                <w:szCs w:val="22"/>
                <w:lang w:val="sr-Latn-ME"/>
              </w:rPr>
              <w:t>Bol u abdomenu</w:t>
            </w:r>
          </w:p>
        </w:tc>
        <w:tc>
          <w:tcPr>
            <w:tcW w:w="2943" w:type="dxa"/>
          </w:tcPr>
          <w:p w14:paraId="504FA5DD" w14:textId="1783431B" w:rsidR="00AE4ED9" w:rsidRPr="001202A2" w:rsidRDefault="00AE4ED9" w:rsidP="00880F49">
            <w:pPr>
              <w:rPr>
                <w:szCs w:val="22"/>
                <w:lang w:val="sr-Latn-ME"/>
              </w:rPr>
            </w:pPr>
            <w:r w:rsidRPr="001202A2">
              <w:rPr>
                <w:szCs w:val="22"/>
                <w:lang w:val="sr-Latn-ME"/>
              </w:rPr>
              <w:t>Često</w:t>
            </w:r>
          </w:p>
        </w:tc>
      </w:tr>
      <w:tr w:rsidR="00AE4ED9" w:rsidRPr="001202A2" w14:paraId="1B1EE25A" w14:textId="77777777" w:rsidTr="001202A2">
        <w:tc>
          <w:tcPr>
            <w:tcW w:w="6912" w:type="dxa"/>
          </w:tcPr>
          <w:p w14:paraId="446F9C7A" w14:textId="37DDAF59" w:rsidR="00AE4ED9" w:rsidRPr="001202A2" w:rsidRDefault="00AE4ED9" w:rsidP="00880F49">
            <w:pPr>
              <w:rPr>
                <w:szCs w:val="22"/>
                <w:lang w:val="sr-Latn-ME"/>
              </w:rPr>
            </w:pPr>
            <w:r w:rsidRPr="001202A2">
              <w:rPr>
                <w:szCs w:val="22"/>
                <w:lang w:val="sr-Latn-ME"/>
              </w:rPr>
              <w:t>Krvarenje u donjem d</w:t>
            </w:r>
            <w:r w:rsidR="007226D5" w:rsidRPr="001202A2">
              <w:rPr>
                <w:szCs w:val="22"/>
                <w:lang w:val="sr-Latn-ME"/>
              </w:rPr>
              <w:t>ij</w:t>
            </w:r>
            <w:r w:rsidRPr="001202A2">
              <w:rPr>
                <w:szCs w:val="22"/>
                <w:lang w:val="sr-Latn-ME"/>
              </w:rPr>
              <w:t>elu gastroin</w:t>
            </w:r>
            <w:r w:rsidR="00F73BA0" w:rsidRPr="001202A2">
              <w:rPr>
                <w:szCs w:val="22"/>
                <w:lang w:val="sr-Latn-ME"/>
              </w:rPr>
              <w:t>testinalnog trakta</w:t>
            </w:r>
          </w:p>
        </w:tc>
        <w:tc>
          <w:tcPr>
            <w:tcW w:w="2943" w:type="dxa"/>
          </w:tcPr>
          <w:p w14:paraId="08D2D415" w14:textId="6E236645" w:rsidR="00AE4ED9" w:rsidRPr="001202A2" w:rsidRDefault="00F73BA0" w:rsidP="00880F49">
            <w:pPr>
              <w:rPr>
                <w:szCs w:val="22"/>
                <w:lang w:val="sr-Latn-ME"/>
              </w:rPr>
            </w:pPr>
            <w:r w:rsidRPr="001202A2">
              <w:rPr>
                <w:szCs w:val="22"/>
                <w:lang w:val="sr-Latn-ME"/>
              </w:rPr>
              <w:t>Često</w:t>
            </w:r>
          </w:p>
        </w:tc>
      </w:tr>
      <w:tr w:rsidR="00F73BA0" w:rsidRPr="001202A2" w14:paraId="62A39352" w14:textId="77777777" w:rsidTr="001202A2">
        <w:tc>
          <w:tcPr>
            <w:tcW w:w="6912" w:type="dxa"/>
          </w:tcPr>
          <w:p w14:paraId="0ADE5D6E" w14:textId="6D2C5559" w:rsidR="00F73BA0" w:rsidRPr="001202A2" w:rsidRDefault="00F73BA0" w:rsidP="00880F49">
            <w:pPr>
              <w:rPr>
                <w:szCs w:val="22"/>
                <w:lang w:val="sr-Latn-ME"/>
              </w:rPr>
            </w:pPr>
            <w:r w:rsidRPr="001202A2">
              <w:rPr>
                <w:szCs w:val="22"/>
                <w:lang w:val="sr-Latn-ME"/>
              </w:rPr>
              <w:t>Krvarenje u gornjem d</w:t>
            </w:r>
            <w:r w:rsidR="007226D5" w:rsidRPr="001202A2">
              <w:rPr>
                <w:szCs w:val="22"/>
                <w:lang w:val="sr-Latn-ME"/>
              </w:rPr>
              <w:t>ij</w:t>
            </w:r>
            <w:r w:rsidRPr="001202A2">
              <w:rPr>
                <w:szCs w:val="22"/>
                <w:lang w:val="sr-Latn-ME"/>
              </w:rPr>
              <w:t>elu gastrointestinalnog trakta</w:t>
            </w:r>
          </w:p>
        </w:tc>
        <w:tc>
          <w:tcPr>
            <w:tcW w:w="2943" w:type="dxa"/>
          </w:tcPr>
          <w:p w14:paraId="0FB30A6C" w14:textId="23DFD7AE" w:rsidR="00F73BA0" w:rsidRPr="001202A2" w:rsidRDefault="00F73BA0" w:rsidP="00880F49">
            <w:pPr>
              <w:rPr>
                <w:szCs w:val="22"/>
                <w:lang w:val="sr-Latn-ME"/>
              </w:rPr>
            </w:pPr>
            <w:r w:rsidRPr="001202A2">
              <w:rPr>
                <w:szCs w:val="22"/>
                <w:lang w:val="sr-Latn-ME"/>
              </w:rPr>
              <w:t>Često</w:t>
            </w:r>
          </w:p>
        </w:tc>
      </w:tr>
      <w:tr w:rsidR="00F73BA0" w:rsidRPr="001202A2" w14:paraId="70301AB1" w14:textId="77777777" w:rsidTr="001202A2">
        <w:tc>
          <w:tcPr>
            <w:tcW w:w="6912" w:type="dxa"/>
          </w:tcPr>
          <w:p w14:paraId="38579292" w14:textId="60701C48" w:rsidR="00F73BA0" w:rsidRPr="001202A2" w:rsidRDefault="00F73BA0" w:rsidP="00880F49">
            <w:pPr>
              <w:rPr>
                <w:szCs w:val="22"/>
                <w:lang w:val="sr-Latn-ME"/>
              </w:rPr>
            </w:pPr>
            <w:r w:rsidRPr="001202A2">
              <w:rPr>
                <w:szCs w:val="22"/>
                <w:lang w:val="sr-Latn-ME"/>
              </w:rPr>
              <w:t>Oralno/faringealno krvarenje</w:t>
            </w:r>
          </w:p>
        </w:tc>
        <w:tc>
          <w:tcPr>
            <w:tcW w:w="2943" w:type="dxa"/>
          </w:tcPr>
          <w:p w14:paraId="129EC674" w14:textId="47B8FF9F" w:rsidR="00F73BA0" w:rsidRPr="001202A2" w:rsidRDefault="00D4173F" w:rsidP="00880F49">
            <w:pPr>
              <w:rPr>
                <w:szCs w:val="22"/>
                <w:lang w:val="sr-Latn-ME"/>
              </w:rPr>
            </w:pPr>
            <w:r w:rsidRPr="001202A2">
              <w:rPr>
                <w:szCs w:val="22"/>
                <w:lang w:val="sr-Latn-ME"/>
              </w:rPr>
              <w:t>Često</w:t>
            </w:r>
          </w:p>
        </w:tc>
      </w:tr>
      <w:tr w:rsidR="00F73BA0" w:rsidRPr="001202A2" w14:paraId="6500FBE1" w14:textId="77777777" w:rsidTr="001202A2">
        <w:tc>
          <w:tcPr>
            <w:tcW w:w="6912" w:type="dxa"/>
          </w:tcPr>
          <w:p w14:paraId="007CEE3E" w14:textId="562577FD" w:rsidR="00F73BA0" w:rsidRPr="001202A2" w:rsidRDefault="00D4173F" w:rsidP="00880F49">
            <w:pPr>
              <w:rPr>
                <w:szCs w:val="22"/>
                <w:lang w:val="sr-Latn-ME"/>
              </w:rPr>
            </w:pPr>
            <w:r w:rsidRPr="001202A2">
              <w:rPr>
                <w:szCs w:val="22"/>
                <w:lang w:val="sr-Latn-ME"/>
              </w:rPr>
              <w:t>Mučnina</w:t>
            </w:r>
          </w:p>
        </w:tc>
        <w:tc>
          <w:tcPr>
            <w:tcW w:w="2943" w:type="dxa"/>
          </w:tcPr>
          <w:p w14:paraId="53CC7067" w14:textId="7291184D" w:rsidR="00F73BA0" w:rsidRPr="001202A2" w:rsidRDefault="00D4173F" w:rsidP="00880F49">
            <w:pPr>
              <w:rPr>
                <w:szCs w:val="22"/>
                <w:lang w:val="sr-Latn-ME"/>
              </w:rPr>
            </w:pPr>
            <w:r w:rsidRPr="001202A2">
              <w:rPr>
                <w:szCs w:val="22"/>
                <w:lang w:val="sr-Latn-ME"/>
              </w:rPr>
              <w:t>Često</w:t>
            </w:r>
          </w:p>
        </w:tc>
      </w:tr>
      <w:tr w:rsidR="00F73BA0" w:rsidRPr="001202A2" w14:paraId="76D7EA54" w14:textId="77777777" w:rsidTr="001202A2">
        <w:tc>
          <w:tcPr>
            <w:tcW w:w="6912" w:type="dxa"/>
          </w:tcPr>
          <w:p w14:paraId="71CBD195" w14:textId="6BEC7D88" w:rsidR="00F73BA0" w:rsidRPr="001202A2" w:rsidRDefault="00D4173F" w:rsidP="00880F49">
            <w:pPr>
              <w:rPr>
                <w:szCs w:val="22"/>
                <w:lang w:val="sr-Latn-ME"/>
              </w:rPr>
            </w:pPr>
            <w:r w:rsidRPr="001202A2">
              <w:rPr>
                <w:szCs w:val="22"/>
                <w:lang w:val="sr-Latn-ME"/>
              </w:rPr>
              <w:t>Retroperitonealno krvarenje</w:t>
            </w:r>
          </w:p>
        </w:tc>
        <w:tc>
          <w:tcPr>
            <w:tcW w:w="2943" w:type="dxa"/>
          </w:tcPr>
          <w:p w14:paraId="33344215" w14:textId="35494B18" w:rsidR="00F73BA0" w:rsidRPr="001202A2" w:rsidRDefault="00D4173F"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D4173F" w:rsidRPr="001202A2" w14:paraId="06FB91FD" w14:textId="77777777" w:rsidTr="001202A2">
        <w:tc>
          <w:tcPr>
            <w:tcW w:w="9855" w:type="dxa"/>
            <w:gridSpan w:val="2"/>
          </w:tcPr>
          <w:p w14:paraId="0D8D762F" w14:textId="16AC492C" w:rsidR="00D4173F" w:rsidRPr="001202A2" w:rsidRDefault="00D4173F" w:rsidP="00880F49">
            <w:pPr>
              <w:rPr>
                <w:szCs w:val="22"/>
                <w:lang w:val="sr-Latn-ME"/>
              </w:rPr>
            </w:pPr>
            <w:r w:rsidRPr="001202A2">
              <w:rPr>
                <w:b/>
                <w:bCs/>
                <w:szCs w:val="22"/>
                <w:lang w:val="sr-Latn-ME"/>
              </w:rPr>
              <w:t>Hepatobilijarni poremećaji</w:t>
            </w:r>
          </w:p>
        </w:tc>
      </w:tr>
      <w:tr w:rsidR="00F73BA0" w:rsidRPr="001202A2" w14:paraId="5E9445C3" w14:textId="77777777" w:rsidTr="001202A2">
        <w:tc>
          <w:tcPr>
            <w:tcW w:w="6912" w:type="dxa"/>
          </w:tcPr>
          <w:p w14:paraId="7C1C5120" w14:textId="66CE201C" w:rsidR="00F73BA0" w:rsidRPr="001202A2" w:rsidRDefault="00D4173F" w:rsidP="00880F49">
            <w:pPr>
              <w:rPr>
                <w:szCs w:val="22"/>
                <w:lang w:val="sr-Latn-ME"/>
              </w:rPr>
            </w:pPr>
            <w:r w:rsidRPr="001202A2">
              <w:rPr>
                <w:szCs w:val="22"/>
                <w:lang w:val="sr-Latn-ME"/>
              </w:rPr>
              <w:t xml:space="preserve">Povećanje </w:t>
            </w:r>
            <w:r w:rsidR="00456FFB" w:rsidRPr="001202A2">
              <w:rPr>
                <w:szCs w:val="22"/>
                <w:lang w:val="sr-Latn-ME"/>
              </w:rPr>
              <w:t xml:space="preserve">koncentracije </w:t>
            </w:r>
            <w:r w:rsidRPr="001202A2">
              <w:rPr>
                <w:szCs w:val="22"/>
                <w:lang w:val="sr-Latn-ME"/>
              </w:rPr>
              <w:t>bilirubina u krvi</w:t>
            </w:r>
          </w:p>
        </w:tc>
        <w:tc>
          <w:tcPr>
            <w:tcW w:w="2943" w:type="dxa"/>
          </w:tcPr>
          <w:p w14:paraId="65613DFF" w14:textId="7B4C1A7C" w:rsidR="00F73BA0" w:rsidRPr="001202A2" w:rsidRDefault="00D4173F" w:rsidP="00880F49">
            <w:pPr>
              <w:rPr>
                <w:szCs w:val="22"/>
                <w:lang w:val="sr-Latn-ME"/>
              </w:rPr>
            </w:pPr>
            <w:r w:rsidRPr="001202A2">
              <w:rPr>
                <w:szCs w:val="22"/>
                <w:lang w:val="sr-Latn-ME"/>
              </w:rPr>
              <w:t>Često</w:t>
            </w:r>
          </w:p>
        </w:tc>
      </w:tr>
      <w:tr w:rsidR="00F73BA0" w:rsidRPr="001202A2" w14:paraId="306B0C50" w14:textId="77777777" w:rsidTr="001202A2">
        <w:tc>
          <w:tcPr>
            <w:tcW w:w="6912" w:type="dxa"/>
          </w:tcPr>
          <w:p w14:paraId="794539C8" w14:textId="1208CEB0" w:rsidR="00F73BA0" w:rsidRPr="001202A2" w:rsidRDefault="00D4173F" w:rsidP="00880F49">
            <w:pPr>
              <w:rPr>
                <w:szCs w:val="22"/>
                <w:lang w:val="sr-Latn-ME"/>
              </w:rPr>
            </w:pPr>
            <w:r w:rsidRPr="001202A2">
              <w:rPr>
                <w:szCs w:val="22"/>
                <w:lang w:val="sr-Latn-ME"/>
              </w:rPr>
              <w:t xml:space="preserve">Povećanje </w:t>
            </w:r>
            <w:r w:rsidR="008B3255" w:rsidRPr="001202A2">
              <w:rPr>
                <w:szCs w:val="22"/>
                <w:lang w:val="sr-Latn-ME"/>
              </w:rPr>
              <w:t>gama</w:t>
            </w:r>
            <w:r w:rsidR="00893B00" w:rsidRPr="001202A2">
              <w:rPr>
                <w:szCs w:val="22"/>
                <w:lang w:val="sr-Latn-ME"/>
              </w:rPr>
              <w:t>-</w:t>
            </w:r>
            <w:r w:rsidR="008B3255" w:rsidRPr="001202A2">
              <w:rPr>
                <w:szCs w:val="22"/>
                <w:lang w:val="sr-Latn-ME"/>
              </w:rPr>
              <w:t>glutamil transferaze</w:t>
            </w:r>
          </w:p>
        </w:tc>
        <w:tc>
          <w:tcPr>
            <w:tcW w:w="2943" w:type="dxa"/>
          </w:tcPr>
          <w:p w14:paraId="6FC695BB" w14:textId="2F0F2136" w:rsidR="00F73BA0" w:rsidRPr="001202A2" w:rsidRDefault="008B3255" w:rsidP="00880F49">
            <w:pPr>
              <w:rPr>
                <w:szCs w:val="22"/>
                <w:lang w:val="sr-Latn-ME"/>
              </w:rPr>
            </w:pPr>
            <w:r w:rsidRPr="001202A2">
              <w:rPr>
                <w:szCs w:val="22"/>
                <w:lang w:val="sr-Latn-ME"/>
              </w:rPr>
              <w:t>Često</w:t>
            </w:r>
          </w:p>
        </w:tc>
      </w:tr>
      <w:tr w:rsidR="00F73BA0" w:rsidRPr="001202A2" w14:paraId="363F9896" w14:textId="77777777" w:rsidTr="001202A2">
        <w:tc>
          <w:tcPr>
            <w:tcW w:w="6912" w:type="dxa"/>
          </w:tcPr>
          <w:p w14:paraId="15C429C3" w14:textId="0C1FA381" w:rsidR="00F73BA0" w:rsidRPr="001202A2" w:rsidRDefault="008B3255" w:rsidP="00880F49">
            <w:pPr>
              <w:rPr>
                <w:szCs w:val="22"/>
                <w:lang w:val="sr-Latn-ME"/>
              </w:rPr>
            </w:pPr>
            <w:r w:rsidRPr="001202A2">
              <w:rPr>
                <w:szCs w:val="22"/>
                <w:lang w:val="sr-Latn-ME"/>
              </w:rPr>
              <w:t xml:space="preserve">Povećanje </w:t>
            </w:r>
            <w:r w:rsidR="00456FFB" w:rsidRPr="001202A2">
              <w:rPr>
                <w:szCs w:val="22"/>
                <w:lang w:val="sr-Latn-ME"/>
              </w:rPr>
              <w:t xml:space="preserve">vrijednosti </w:t>
            </w:r>
            <w:r w:rsidRPr="001202A2">
              <w:rPr>
                <w:szCs w:val="22"/>
                <w:lang w:val="sr-Latn-ME"/>
              </w:rPr>
              <w:t>alkalne fosfataze u krvi</w:t>
            </w:r>
          </w:p>
        </w:tc>
        <w:tc>
          <w:tcPr>
            <w:tcW w:w="2943" w:type="dxa"/>
          </w:tcPr>
          <w:p w14:paraId="2182E95F" w14:textId="646D9DDD" w:rsidR="00F73BA0" w:rsidRPr="001202A2" w:rsidRDefault="008B3255" w:rsidP="00880F49">
            <w:pPr>
              <w:rPr>
                <w:szCs w:val="22"/>
                <w:lang w:val="sr-Latn-ME"/>
              </w:rPr>
            </w:pPr>
            <w:r w:rsidRPr="001202A2">
              <w:rPr>
                <w:szCs w:val="22"/>
                <w:lang w:val="sr-Latn-ME"/>
              </w:rPr>
              <w:t>Povremeno</w:t>
            </w:r>
          </w:p>
        </w:tc>
      </w:tr>
      <w:tr w:rsidR="00F73BA0" w:rsidRPr="001202A2" w14:paraId="58A6D646" w14:textId="77777777" w:rsidTr="001202A2">
        <w:tc>
          <w:tcPr>
            <w:tcW w:w="6912" w:type="dxa"/>
          </w:tcPr>
          <w:p w14:paraId="40CD7960" w14:textId="27C976D4" w:rsidR="00F73BA0" w:rsidRPr="001202A2" w:rsidRDefault="008B3255" w:rsidP="00880F49">
            <w:pPr>
              <w:rPr>
                <w:szCs w:val="22"/>
                <w:lang w:val="sr-Latn-ME"/>
              </w:rPr>
            </w:pPr>
            <w:r w:rsidRPr="001202A2">
              <w:rPr>
                <w:szCs w:val="22"/>
                <w:lang w:val="sr-Latn-ME"/>
              </w:rPr>
              <w:t>Povećanje transaminaza</w:t>
            </w:r>
          </w:p>
        </w:tc>
        <w:tc>
          <w:tcPr>
            <w:tcW w:w="2943" w:type="dxa"/>
          </w:tcPr>
          <w:p w14:paraId="25B62B46" w14:textId="16D8EE9A" w:rsidR="00F73BA0" w:rsidRPr="001202A2" w:rsidRDefault="008B3255" w:rsidP="00880F49">
            <w:pPr>
              <w:rPr>
                <w:szCs w:val="22"/>
                <w:lang w:val="sr-Latn-ME"/>
              </w:rPr>
            </w:pPr>
            <w:r w:rsidRPr="001202A2">
              <w:rPr>
                <w:szCs w:val="22"/>
                <w:lang w:val="sr-Latn-ME"/>
              </w:rPr>
              <w:t>Povremeno</w:t>
            </w:r>
          </w:p>
        </w:tc>
      </w:tr>
      <w:tr w:rsidR="008B3255" w:rsidRPr="001202A2" w14:paraId="386B2C5E" w14:textId="77777777" w:rsidTr="001202A2">
        <w:tc>
          <w:tcPr>
            <w:tcW w:w="9855" w:type="dxa"/>
            <w:gridSpan w:val="2"/>
          </w:tcPr>
          <w:p w14:paraId="5BC53ABC" w14:textId="3BEE8F27" w:rsidR="008B3255" w:rsidRPr="001202A2" w:rsidRDefault="008B3255" w:rsidP="00880F49">
            <w:pPr>
              <w:rPr>
                <w:b/>
                <w:bCs/>
                <w:szCs w:val="22"/>
                <w:lang w:val="sr-Latn-ME"/>
              </w:rPr>
            </w:pPr>
            <w:r w:rsidRPr="001202A2">
              <w:rPr>
                <w:b/>
                <w:bCs/>
                <w:szCs w:val="22"/>
                <w:lang w:val="sr-Latn-ME"/>
              </w:rPr>
              <w:t>Poremećaji kože i potkožnog tkiva</w:t>
            </w:r>
          </w:p>
        </w:tc>
      </w:tr>
      <w:tr w:rsidR="00F73BA0" w:rsidRPr="001202A2" w14:paraId="1E75A309" w14:textId="77777777" w:rsidTr="001202A2">
        <w:tc>
          <w:tcPr>
            <w:tcW w:w="6912" w:type="dxa"/>
          </w:tcPr>
          <w:p w14:paraId="0291E579" w14:textId="1EA81195" w:rsidR="00F73BA0" w:rsidRPr="001202A2" w:rsidRDefault="005B19E4" w:rsidP="00880F49">
            <w:pPr>
              <w:rPr>
                <w:szCs w:val="22"/>
                <w:lang w:val="sr-Latn-ME"/>
              </w:rPr>
            </w:pPr>
            <w:r w:rsidRPr="001202A2">
              <w:rPr>
                <w:szCs w:val="22"/>
                <w:lang w:val="sr-Latn-ME"/>
              </w:rPr>
              <w:t xml:space="preserve">Krvarenje </w:t>
            </w:r>
            <w:r w:rsidR="008B3255" w:rsidRPr="001202A2">
              <w:rPr>
                <w:szCs w:val="22"/>
                <w:lang w:val="sr-Latn-ME"/>
              </w:rPr>
              <w:t>u meko tkivo kože</w:t>
            </w:r>
          </w:p>
        </w:tc>
        <w:tc>
          <w:tcPr>
            <w:tcW w:w="2943" w:type="dxa"/>
          </w:tcPr>
          <w:p w14:paraId="321D05D6" w14:textId="54F79D16" w:rsidR="00F73BA0" w:rsidRPr="001202A2" w:rsidRDefault="008B3255" w:rsidP="00880F49">
            <w:pPr>
              <w:rPr>
                <w:szCs w:val="22"/>
                <w:lang w:val="sr-Latn-ME"/>
              </w:rPr>
            </w:pPr>
            <w:r w:rsidRPr="001202A2">
              <w:rPr>
                <w:szCs w:val="22"/>
                <w:lang w:val="sr-Latn-ME"/>
              </w:rPr>
              <w:t>Često</w:t>
            </w:r>
          </w:p>
        </w:tc>
      </w:tr>
      <w:tr w:rsidR="00F73BA0" w:rsidRPr="001202A2" w14:paraId="2E6779CD" w14:textId="77777777" w:rsidTr="001202A2">
        <w:tc>
          <w:tcPr>
            <w:tcW w:w="6912" w:type="dxa"/>
          </w:tcPr>
          <w:p w14:paraId="21FC54E8" w14:textId="30DC6246" w:rsidR="00F73BA0" w:rsidRPr="001202A2" w:rsidRDefault="008B3255" w:rsidP="00880F49">
            <w:pPr>
              <w:rPr>
                <w:szCs w:val="22"/>
                <w:lang w:val="sr-Latn-ME"/>
              </w:rPr>
            </w:pPr>
            <w:r w:rsidRPr="001202A2">
              <w:rPr>
                <w:szCs w:val="22"/>
                <w:lang w:val="sr-Latn-ME"/>
              </w:rPr>
              <w:t>Osip</w:t>
            </w:r>
          </w:p>
        </w:tc>
        <w:tc>
          <w:tcPr>
            <w:tcW w:w="2943" w:type="dxa"/>
          </w:tcPr>
          <w:p w14:paraId="68520A71" w14:textId="0F3D3C47" w:rsidR="00F73BA0" w:rsidRPr="001202A2" w:rsidRDefault="008B3255" w:rsidP="00880F49">
            <w:pPr>
              <w:rPr>
                <w:szCs w:val="22"/>
                <w:lang w:val="sr-Latn-ME"/>
              </w:rPr>
            </w:pPr>
            <w:r w:rsidRPr="001202A2">
              <w:rPr>
                <w:szCs w:val="22"/>
                <w:lang w:val="sr-Latn-ME"/>
              </w:rPr>
              <w:t>Često</w:t>
            </w:r>
          </w:p>
        </w:tc>
      </w:tr>
      <w:tr w:rsidR="00F73BA0" w:rsidRPr="001202A2" w14:paraId="63F2CA67" w14:textId="77777777" w:rsidTr="001202A2">
        <w:tc>
          <w:tcPr>
            <w:tcW w:w="6912" w:type="dxa"/>
          </w:tcPr>
          <w:p w14:paraId="52B884C3" w14:textId="461165F1" w:rsidR="00F73BA0" w:rsidRPr="001202A2" w:rsidRDefault="008B3255" w:rsidP="00880F49">
            <w:pPr>
              <w:rPr>
                <w:szCs w:val="22"/>
                <w:lang w:val="sr-Latn-ME"/>
              </w:rPr>
            </w:pPr>
            <w:r w:rsidRPr="001202A2">
              <w:rPr>
                <w:szCs w:val="22"/>
                <w:lang w:val="sr-Latn-ME"/>
              </w:rPr>
              <w:t>Svrab</w:t>
            </w:r>
          </w:p>
        </w:tc>
        <w:tc>
          <w:tcPr>
            <w:tcW w:w="2943" w:type="dxa"/>
          </w:tcPr>
          <w:p w14:paraId="0BCA1E23" w14:textId="118A794D" w:rsidR="00F73BA0" w:rsidRPr="001202A2" w:rsidRDefault="008B3255" w:rsidP="00880F49">
            <w:pPr>
              <w:rPr>
                <w:szCs w:val="22"/>
                <w:lang w:val="sr-Latn-ME"/>
              </w:rPr>
            </w:pPr>
            <w:r w:rsidRPr="001202A2">
              <w:rPr>
                <w:szCs w:val="22"/>
                <w:lang w:val="sr-Latn-ME"/>
              </w:rPr>
              <w:t>Često</w:t>
            </w:r>
          </w:p>
        </w:tc>
      </w:tr>
      <w:tr w:rsidR="00F73BA0" w:rsidRPr="001202A2" w14:paraId="205B1753" w14:textId="77777777" w:rsidTr="001202A2">
        <w:tc>
          <w:tcPr>
            <w:tcW w:w="6912" w:type="dxa"/>
          </w:tcPr>
          <w:p w14:paraId="744BB944" w14:textId="4E37ACC0" w:rsidR="00F73BA0" w:rsidRPr="001202A2" w:rsidRDefault="008B3255" w:rsidP="00880F49">
            <w:pPr>
              <w:rPr>
                <w:szCs w:val="22"/>
                <w:lang w:val="sr-Latn-ME"/>
              </w:rPr>
            </w:pPr>
            <w:r w:rsidRPr="001202A2">
              <w:rPr>
                <w:szCs w:val="22"/>
                <w:lang w:val="sr-Latn-ME"/>
              </w:rPr>
              <w:t>Urtikarija</w:t>
            </w:r>
          </w:p>
        </w:tc>
        <w:tc>
          <w:tcPr>
            <w:tcW w:w="2943" w:type="dxa"/>
          </w:tcPr>
          <w:p w14:paraId="180F5C78" w14:textId="1DF14CDE" w:rsidR="00F73BA0" w:rsidRPr="001202A2" w:rsidRDefault="008B3255" w:rsidP="00880F49">
            <w:pPr>
              <w:rPr>
                <w:szCs w:val="22"/>
                <w:lang w:val="sr-Latn-ME"/>
              </w:rPr>
            </w:pPr>
            <w:r w:rsidRPr="001202A2">
              <w:rPr>
                <w:szCs w:val="22"/>
                <w:lang w:val="sr-Latn-ME"/>
              </w:rPr>
              <w:t>Povremeno</w:t>
            </w:r>
          </w:p>
        </w:tc>
      </w:tr>
      <w:tr w:rsidR="008B3255" w:rsidRPr="001202A2" w14:paraId="280928D1" w14:textId="77777777" w:rsidTr="001202A2">
        <w:tc>
          <w:tcPr>
            <w:tcW w:w="9855" w:type="dxa"/>
            <w:gridSpan w:val="2"/>
          </w:tcPr>
          <w:p w14:paraId="0306697A" w14:textId="10397B70" w:rsidR="008B3255" w:rsidRPr="001202A2" w:rsidRDefault="008B3255" w:rsidP="00880F49">
            <w:pPr>
              <w:rPr>
                <w:b/>
                <w:bCs/>
                <w:szCs w:val="22"/>
                <w:lang w:val="sr-Latn-ME"/>
              </w:rPr>
            </w:pPr>
            <w:r w:rsidRPr="001202A2">
              <w:rPr>
                <w:b/>
                <w:bCs/>
                <w:szCs w:val="22"/>
                <w:lang w:val="sr-Latn-ME"/>
              </w:rPr>
              <w:t>Poremećaji mišićno-koštanog sistema i vezivnog tkiva</w:t>
            </w:r>
          </w:p>
        </w:tc>
      </w:tr>
      <w:tr w:rsidR="00F73BA0" w:rsidRPr="001202A2" w14:paraId="3C763D95" w14:textId="77777777" w:rsidTr="001202A2">
        <w:tc>
          <w:tcPr>
            <w:tcW w:w="6912" w:type="dxa"/>
          </w:tcPr>
          <w:p w14:paraId="026F95F3" w14:textId="57D29E73" w:rsidR="00F73BA0" w:rsidRPr="001202A2" w:rsidRDefault="008B3255" w:rsidP="00880F49">
            <w:pPr>
              <w:rPr>
                <w:szCs w:val="22"/>
                <w:lang w:val="sr-Latn-ME"/>
              </w:rPr>
            </w:pPr>
            <w:r w:rsidRPr="001202A2">
              <w:rPr>
                <w:szCs w:val="22"/>
                <w:lang w:val="sr-Latn-ME"/>
              </w:rPr>
              <w:t>Intramuskularno krvarenje (bez sindroma od</w:t>
            </w:r>
            <w:r w:rsidR="007226D5" w:rsidRPr="001202A2">
              <w:rPr>
                <w:szCs w:val="22"/>
                <w:lang w:val="sr-Latn-ME"/>
              </w:rPr>
              <w:t>j</w:t>
            </w:r>
            <w:r w:rsidRPr="001202A2">
              <w:rPr>
                <w:szCs w:val="22"/>
                <w:lang w:val="sr-Latn-ME"/>
              </w:rPr>
              <w:t>eljka)</w:t>
            </w:r>
          </w:p>
        </w:tc>
        <w:tc>
          <w:tcPr>
            <w:tcW w:w="2943" w:type="dxa"/>
          </w:tcPr>
          <w:p w14:paraId="0DD8425A" w14:textId="43E60F08" w:rsidR="00F73BA0" w:rsidRPr="001202A2" w:rsidRDefault="008B3255"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F73BA0" w:rsidRPr="001202A2" w14:paraId="3C588F69" w14:textId="77777777" w:rsidTr="001202A2">
        <w:tc>
          <w:tcPr>
            <w:tcW w:w="6912" w:type="dxa"/>
          </w:tcPr>
          <w:p w14:paraId="1F25412B" w14:textId="2E27D79F" w:rsidR="00F73BA0" w:rsidRPr="001202A2" w:rsidRDefault="008B3255" w:rsidP="00880F49">
            <w:pPr>
              <w:rPr>
                <w:szCs w:val="22"/>
                <w:lang w:val="sr-Latn-ME"/>
              </w:rPr>
            </w:pPr>
            <w:r w:rsidRPr="001202A2">
              <w:rPr>
                <w:szCs w:val="22"/>
                <w:lang w:val="sr-Latn-ME"/>
              </w:rPr>
              <w:t>Intraartikularno krvarenje</w:t>
            </w:r>
          </w:p>
        </w:tc>
        <w:tc>
          <w:tcPr>
            <w:tcW w:w="2943" w:type="dxa"/>
          </w:tcPr>
          <w:p w14:paraId="7341BF66" w14:textId="5FF14659" w:rsidR="00F73BA0" w:rsidRPr="001202A2" w:rsidRDefault="008B3255"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8B3255" w:rsidRPr="001202A2" w14:paraId="43AA5E9B" w14:textId="77777777" w:rsidTr="001202A2">
        <w:tc>
          <w:tcPr>
            <w:tcW w:w="9855" w:type="dxa"/>
            <w:gridSpan w:val="2"/>
          </w:tcPr>
          <w:p w14:paraId="25FF0688" w14:textId="137BAA1B" w:rsidR="008B3255" w:rsidRPr="001202A2" w:rsidRDefault="008B3255" w:rsidP="00880F49">
            <w:pPr>
              <w:rPr>
                <w:b/>
                <w:bCs/>
                <w:szCs w:val="22"/>
                <w:lang w:val="sr-Latn-ME"/>
              </w:rPr>
            </w:pPr>
            <w:r w:rsidRPr="001202A2">
              <w:rPr>
                <w:b/>
                <w:bCs/>
                <w:szCs w:val="22"/>
                <w:lang w:val="sr-Latn-ME"/>
              </w:rPr>
              <w:t>Poremećaji bubrega i urinarnog sistema</w:t>
            </w:r>
          </w:p>
        </w:tc>
      </w:tr>
      <w:tr w:rsidR="00F73BA0" w:rsidRPr="001202A2" w14:paraId="2953051D" w14:textId="77777777" w:rsidTr="001202A2">
        <w:tc>
          <w:tcPr>
            <w:tcW w:w="6912" w:type="dxa"/>
          </w:tcPr>
          <w:p w14:paraId="79FC39EB" w14:textId="30B750A1" w:rsidR="00F73BA0" w:rsidRPr="001202A2" w:rsidRDefault="008B3255" w:rsidP="00880F49">
            <w:pPr>
              <w:rPr>
                <w:szCs w:val="22"/>
                <w:lang w:val="sr-Latn-ME"/>
              </w:rPr>
            </w:pPr>
            <w:r w:rsidRPr="001202A2">
              <w:rPr>
                <w:szCs w:val="22"/>
                <w:lang w:val="sr-Latn-ME"/>
              </w:rPr>
              <w:t>Makroskopska hem</w:t>
            </w:r>
            <w:r w:rsidR="00536FF4" w:rsidRPr="001202A2">
              <w:rPr>
                <w:szCs w:val="22"/>
                <w:lang w:val="sr-Latn-ME"/>
              </w:rPr>
              <w:t>a</w:t>
            </w:r>
            <w:r w:rsidRPr="001202A2">
              <w:rPr>
                <w:szCs w:val="22"/>
                <w:lang w:val="sr-Latn-ME"/>
              </w:rPr>
              <w:t xml:space="preserve">turija/uretralno krvarenje </w:t>
            </w:r>
          </w:p>
        </w:tc>
        <w:tc>
          <w:tcPr>
            <w:tcW w:w="2943" w:type="dxa"/>
          </w:tcPr>
          <w:p w14:paraId="5C46F5DD" w14:textId="6B922302" w:rsidR="00F73BA0" w:rsidRPr="001202A2" w:rsidRDefault="008B3255" w:rsidP="00880F49">
            <w:pPr>
              <w:rPr>
                <w:szCs w:val="22"/>
                <w:lang w:val="sr-Latn-ME"/>
              </w:rPr>
            </w:pPr>
            <w:r w:rsidRPr="001202A2">
              <w:rPr>
                <w:szCs w:val="22"/>
                <w:lang w:val="sr-Latn-ME"/>
              </w:rPr>
              <w:t>Često</w:t>
            </w:r>
          </w:p>
        </w:tc>
      </w:tr>
      <w:tr w:rsidR="006844ED" w:rsidRPr="001202A2" w14:paraId="22D629DD" w14:textId="77777777" w:rsidTr="001202A2">
        <w:tc>
          <w:tcPr>
            <w:tcW w:w="6912" w:type="dxa"/>
          </w:tcPr>
          <w:p w14:paraId="5B6EC10B" w14:textId="1DB55DD9" w:rsidR="006844ED" w:rsidRPr="001202A2" w:rsidRDefault="00156150" w:rsidP="00880F49">
            <w:pPr>
              <w:rPr>
                <w:szCs w:val="22"/>
                <w:lang w:val="sr-Latn-ME"/>
              </w:rPr>
            </w:pPr>
            <w:r w:rsidRPr="001202A2">
              <w:rPr>
                <w:szCs w:val="22"/>
                <w:lang w:val="sr-Latn-ME"/>
              </w:rPr>
              <w:t>Nefropatija povezana sa prim</w:t>
            </w:r>
            <w:r w:rsidR="00893B00" w:rsidRPr="001202A2">
              <w:rPr>
                <w:szCs w:val="22"/>
                <w:lang w:val="sr-Latn-ME"/>
              </w:rPr>
              <w:t>j</w:t>
            </w:r>
            <w:r w:rsidRPr="001202A2">
              <w:rPr>
                <w:szCs w:val="22"/>
                <w:lang w:val="sr-Latn-ME"/>
              </w:rPr>
              <w:t>enom antikoagulan</w:t>
            </w:r>
            <w:r w:rsidR="00F27367" w:rsidRPr="001202A2">
              <w:rPr>
                <w:szCs w:val="22"/>
                <w:lang w:val="sr-Latn-ME"/>
              </w:rPr>
              <w:t>a</w:t>
            </w:r>
            <w:r w:rsidRPr="001202A2">
              <w:rPr>
                <w:szCs w:val="22"/>
                <w:lang w:val="sr-Latn-ME"/>
              </w:rPr>
              <w:t>sa</w:t>
            </w:r>
          </w:p>
        </w:tc>
        <w:tc>
          <w:tcPr>
            <w:tcW w:w="2943" w:type="dxa"/>
          </w:tcPr>
          <w:p w14:paraId="42F096CE" w14:textId="3F6682F7" w:rsidR="006844ED" w:rsidRPr="001202A2" w:rsidRDefault="00F27367" w:rsidP="00880F49">
            <w:pPr>
              <w:rPr>
                <w:szCs w:val="22"/>
                <w:lang w:val="sr-Latn-ME"/>
              </w:rPr>
            </w:pPr>
            <w:r w:rsidRPr="001202A2">
              <w:rPr>
                <w:szCs w:val="22"/>
                <w:lang w:val="sr-Latn-ME"/>
              </w:rPr>
              <w:t>Nepoznato</w:t>
            </w:r>
          </w:p>
        </w:tc>
      </w:tr>
      <w:tr w:rsidR="008B3255" w:rsidRPr="001202A2" w14:paraId="5C7F39BE" w14:textId="77777777" w:rsidTr="001202A2">
        <w:tc>
          <w:tcPr>
            <w:tcW w:w="9855" w:type="dxa"/>
            <w:gridSpan w:val="2"/>
          </w:tcPr>
          <w:p w14:paraId="74C8F581" w14:textId="36A1CFA5" w:rsidR="008B3255" w:rsidRPr="001202A2" w:rsidRDefault="008B3255" w:rsidP="00880F49">
            <w:pPr>
              <w:rPr>
                <w:b/>
                <w:bCs/>
                <w:szCs w:val="22"/>
                <w:lang w:val="sr-Latn-ME"/>
              </w:rPr>
            </w:pPr>
            <w:r w:rsidRPr="001202A2">
              <w:rPr>
                <w:b/>
                <w:bCs/>
                <w:szCs w:val="22"/>
                <w:lang w:val="sr-Latn-ME"/>
              </w:rPr>
              <w:t>Poremećaji reproduktivnog sistema i dojki</w:t>
            </w:r>
          </w:p>
        </w:tc>
      </w:tr>
      <w:tr w:rsidR="00F73BA0" w:rsidRPr="001202A2" w14:paraId="6B822F2D" w14:textId="77777777" w:rsidTr="001202A2">
        <w:tc>
          <w:tcPr>
            <w:tcW w:w="6912" w:type="dxa"/>
          </w:tcPr>
          <w:p w14:paraId="17D70CCF" w14:textId="225FF5E3" w:rsidR="00F73BA0" w:rsidRPr="001202A2" w:rsidRDefault="008B3255" w:rsidP="00880F49">
            <w:pPr>
              <w:rPr>
                <w:szCs w:val="22"/>
                <w:vertAlign w:val="superscript"/>
                <w:lang w:val="sr-Latn-ME"/>
              </w:rPr>
            </w:pPr>
            <w:r w:rsidRPr="001202A2">
              <w:rPr>
                <w:szCs w:val="22"/>
                <w:lang w:val="sr-Latn-ME"/>
              </w:rPr>
              <w:t>Vaginalno krvarenje</w:t>
            </w:r>
            <w:r w:rsidRPr="001202A2">
              <w:rPr>
                <w:szCs w:val="22"/>
                <w:vertAlign w:val="superscript"/>
                <w:lang w:val="sr-Latn-ME"/>
              </w:rPr>
              <w:t>1</w:t>
            </w:r>
          </w:p>
        </w:tc>
        <w:tc>
          <w:tcPr>
            <w:tcW w:w="2943" w:type="dxa"/>
          </w:tcPr>
          <w:p w14:paraId="3013326C" w14:textId="30C28978" w:rsidR="00F73BA0" w:rsidRPr="001202A2" w:rsidRDefault="008B3255" w:rsidP="00880F49">
            <w:pPr>
              <w:rPr>
                <w:szCs w:val="22"/>
                <w:lang w:val="sr-Latn-ME"/>
              </w:rPr>
            </w:pPr>
            <w:r w:rsidRPr="001202A2">
              <w:rPr>
                <w:szCs w:val="22"/>
                <w:lang w:val="sr-Latn-ME"/>
              </w:rPr>
              <w:t>Često</w:t>
            </w:r>
          </w:p>
        </w:tc>
      </w:tr>
      <w:tr w:rsidR="009C0B66" w:rsidRPr="001202A2" w14:paraId="78CD883E" w14:textId="77777777" w:rsidTr="001202A2">
        <w:tc>
          <w:tcPr>
            <w:tcW w:w="9855" w:type="dxa"/>
            <w:gridSpan w:val="2"/>
          </w:tcPr>
          <w:p w14:paraId="72A32BA0" w14:textId="094A27D4" w:rsidR="009C0B66" w:rsidRPr="001202A2" w:rsidRDefault="009C0B66" w:rsidP="00880F49">
            <w:pPr>
              <w:rPr>
                <w:szCs w:val="22"/>
                <w:lang w:val="sr-Latn-ME"/>
              </w:rPr>
            </w:pPr>
            <w:r w:rsidRPr="001202A2">
              <w:rPr>
                <w:b/>
                <w:bCs/>
                <w:szCs w:val="22"/>
                <w:lang w:val="sr-Latn-ME"/>
              </w:rPr>
              <w:t>Opšti poremećaji i reakcije na m</w:t>
            </w:r>
            <w:r w:rsidR="007226D5" w:rsidRPr="001202A2">
              <w:rPr>
                <w:b/>
                <w:bCs/>
                <w:szCs w:val="22"/>
                <w:lang w:val="sr-Latn-ME"/>
              </w:rPr>
              <w:t>j</w:t>
            </w:r>
            <w:r w:rsidRPr="001202A2">
              <w:rPr>
                <w:b/>
                <w:bCs/>
                <w:szCs w:val="22"/>
                <w:lang w:val="sr-Latn-ME"/>
              </w:rPr>
              <w:t>estu prim</w:t>
            </w:r>
            <w:r w:rsidR="007226D5" w:rsidRPr="001202A2">
              <w:rPr>
                <w:b/>
                <w:bCs/>
                <w:szCs w:val="22"/>
                <w:lang w:val="sr-Latn-ME"/>
              </w:rPr>
              <w:t>j</w:t>
            </w:r>
            <w:r w:rsidRPr="001202A2">
              <w:rPr>
                <w:b/>
                <w:bCs/>
                <w:szCs w:val="22"/>
                <w:lang w:val="sr-Latn-ME"/>
              </w:rPr>
              <w:t>ene</w:t>
            </w:r>
          </w:p>
        </w:tc>
      </w:tr>
      <w:tr w:rsidR="00F73BA0" w:rsidRPr="001202A2" w14:paraId="2088B5D9" w14:textId="77777777" w:rsidTr="001202A2">
        <w:tc>
          <w:tcPr>
            <w:tcW w:w="6912" w:type="dxa"/>
          </w:tcPr>
          <w:p w14:paraId="7FF09ABF" w14:textId="7CE69FBE" w:rsidR="00F73BA0" w:rsidRPr="001202A2" w:rsidRDefault="009C0B66" w:rsidP="00880F49">
            <w:pPr>
              <w:rPr>
                <w:szCs w:val="22"/>
                <w:lang w:val="sr-Latn-ME"/>
              </w:rPr>
            </w:pPr>
            <w:r w:rsidRPr="001202A2">
              <w:rPr>
                <w:szCs w:val="22"/>
                <w:lang w:val="sr-Latn-ME"/>
              </w:rPr>
              <w:t>Krvarenje na m</w:t>
            </w:r>
            <w:r w:rsidR="007226D5" w:rsidRPr="001202A2">
              <w:rPr>
                <w:szCs w:val="22"/>
                <w:lang w:val="sr-Latn-ME"/>
              </w:rPr>
              <w:t>j</w:t>
            </w:r>
            <w:r w:rsidRPr="001202A2">
              <w:rPr>
                <w:szCs w:val="22"/>
                <w:lang w:val="sr-Latn-ME"/>
              </w:rPr>
              <w:t>estu uboda</w:t>
            </w:r>
          </w:p>
        </w:tc>
        <w:tc>
          <w:tcPr>
            <w:tcW w:w="2943" w:type="dxa"/>
          </w:tcPr>
          <w:p w14:paraId="4C6D84B3" w14:textId="637DB89C" w:rsidR="00F73BA0" w:rsidRPr="001202A2" w:rsidRDefault="009C0B66" w:rsidP="00880F49">
            <w:pPr>
              <w:rPr>
                <w:szCs w:val="22"/>
                <w:lang w:val="sr-Latn-ME"/>
              </w:rPr>
            </w:pPr>
            <w:r w:rsidRPr="001202A2">
              <w:rPr>
                <w:szCs w:val="22"/>
                <w:lang w:val="sr-Latn-ME"/>
              </w:rPr>
              <w:t>Često</w:t>
            </w:r>
          </w:p>
        </w:tc>
      </w:tr>
      <w:tr w:rsidR="009C0B66" w:rsidRPr="001202A2" w14:paraId="50F788B6" w14:textId="77777777" w:rsidTr="001202A2">
        <w:tc>
          <w:tcPr>
            <w:tcW w:w="9855" w:type="dxa"/>
            <w:gridSpan w:val="2"/>
          </w:tcPr>
          <w:p w14:paraId="38849291" w14:textId="5F6F5940" w:rsidR="009C0B66" w:rsidRPr="001202A2" w:rsidRDefault="009C0B66" w:rsidP="00880F49">
            <w:pPr>
              <w:rPr>
                <w:b/>
                <w:bCs/>
                <w:szCs w:val="22"/>
                <w:lang w:val="sr-Latn-ME"/>
              </w:rPr>
            </w:pPr>
            <w:r w:rsidRPr="001202A2">
              <w:rPr>
                <w:b/>
                <w:bCs/>
                <w:szCs w:val="22"/>
                <w:lang w:val="sr-Latn-ME"/>
              </w:rPr>
              <w:t>Ispitivanja</w:t>
            </w:r>
          </w:p>
        </w:tc>
      </w:tr>
      <w:tr w:rsidR="00F73BA0" w:rsidRPr="001202A2" w14:paraId="75E7492C" w14:textId="77777777" w:rsidTr="001202A2">
        <w:tc>
          <w:tcPr>
            <w:tcW w:w="6912" w:type="dxa"/>
          </w:tcPr>
          <w:p w14:paraId="43448542" w14:textId="039CFF9E" w:rsidR="00F73BA0" w:rsidRPr="001202A2" w:rsidRDefault="00456FFB" w:rsidP="00880F49">
            <w:pPr>
              <w:rPr>
                <w:szCs w:val="22"/>
                <w:lang w:val="sr-Latn-ME"/>
              </w:rPr>
            </w:pPr>
            <w:r w:rsidRPr="001202A2">
              <w:rPr>
                <w:rFonts w:eastAsia="TimesNewRoman"/>
                <w:szCs w:val="22"/>
                <w:lang w:val="sr-Latn-ME"/>
              </w:rPr>
              <w:t>Izmijenjene</w:t>
            </w:r>
            <w:r w:rsidR="009C0B66" w:rsidRPr="001202A2">
              <w:rPr>
                <w:rFonts w:eastAsia="TimesNewRoman"/>
                <w:szCs w:val="22"/>
                <w:lang w:val="sr-Latn-ME"/>
              </w:rPr>
              <w:t xml:space="preserve"> vr</w:t>
            </w:r>
            <w:r w:rsidR="007226D5" w:rsidRPr="001202A2">
              <w:rPr>
                <w:rFonts w:eastAsia="TimesNewRoman"/>
                <w:szCs w:val="22"/>
                <w:lang w:val="sr-Latn-ME"/>
              </w:rPr>
              <w:t>ij</w:t>
            </w:r>
            <w:r w:rsidR="009C0B66" w:rsidRPr="001202A2">
              <w:rPr>
                <w:rFonts w:eastAsia="TimesNewRoman"/>
                <w:szCs w:val="22"/>
                <w:lang w:val="sr-Latn-ME"/>
              </w:rPr>
              <w:t>ednosti parametara funkcije jetre</w:t>
            </w:r>
          </w:p>
        </w:tc>
        <w:tc>
          <w:tcPr>
            <w:tcW w:w="2943" w:type="dxa"/>
          </w:tcPr>
          <w:p w14:paraId="36B91855" w14:textId="7621C308" w:rsidR="00F73BA0" w:rsidRPr="001202A2" w:rsidRDefault="009C0B66" w:rsidP="00880F49">
            <w:pPr>
              <w:rPr>
                <w:szCs w:val="22"/>
                <w:lang w:val="sr-Latn-ME"/>
              </w:rPr>
            </w:pPr>
            <w:r w:rsidRPr="001202A2">
              <w:rPr>
                <w:szCs w:val="22"/>
                <w:lang w:val="sr-Latn-ME"/>
              </w:rPr>
              <w:t>Često</w:t>
            </w:r>
          </w:p>
        </w:tc>
      </w:tr>
      <w:tr w:rsidR="009C0B66" w:rsidRPr="001202A2" w14:paraId="66CA5630" w14:textId="77777777" w:rsidTr="001202A2">
        <w:tc>
          <w:tcPr>
            <w:tcW w:w="9855" w:type="dxa"/>
            <w:gridSpan w:val="2"/>
          </w:tcPr>
          <w:p w14:paraId="207C9770" w14:textId="049207B8" w:rsidR="009C0B66" w:rsidRPr="001202A2" w:rsidRDefault="009C0B66" w:rsidP="00880F49">
            <w:pPr>
              <w:rPr>
                <w:szCs w:val="22"/>
                <w:lang w:val="sr-Latn-ME"/>
              </w:rPr>
            </w:pPr>
            <w:r w:rsidRPr="001202A2">
              <w:rPr>
                <w:b/>
                <w:bCs/>
                <w:szCs w:val="22"/>
                <w:lang w:val="sr-Latn-ME"/>
              </w:rPr>
              <w:t>Povrede, trovanja i proceduralne komplikacije</w:t>
            </w:r>
          </w:p>
        </w:tc>
      </w:tr>
      <w:tr w:rsidR="00F73BA0" w:rsidRPr="001202A2" w14:paraId="10F7ACCA" w14:textId="77777777" w:rsidTr="001202A2">
        <w:tc>
          <w:tcPr>
            <w:tcW w:w="6912" w:type="dxa"/>
          </w:tcPr>
          <w:p w14:paraId="7B59599C" w14:textId="7A5B32EB" w:rsidR="00F73BA0" w:rsidRPr="001202A2" w:rsidRDefault="009C0B66" w:rsidP="00880F49">
            <w:pPr>
              <w:rPr>
                <w:szCs w:val="22"/>
                <w:lang w:val="sr-Latn-ME"/>
              </w:rPr>
            </w:pPr>
            <w:r w:rsidRPr="001202A2">
              <w:rPr>
                <w:szCs w:val="22"/>
                <w:lang w:val="sr-Latn-ME"/>
              </w:rPr>
              <w:t>Krvarenje na m</w:t>
            </w:r>
            <w:r w:rsidR="007226D5" w:rsidRPr="001202A2">
              <w:rPr>
                <w:szCs w:val="22"/>
                <w:lang w:val="sr-Latn-ME"/>
              </w:rPr>
              <w:t>j</w:t>
            </w:r>
            <w:r w:rsidRPr="001202A2">
              <w:rPr>
                <w:szCs w:val="22"/>
                <w:lang w:val="sr-Latn-ME"/>
              </w:rPr>
              <w:t>estu hirurške intervencije</w:t>
            </w:r>
          </w:p>
        </w:tc>
        <w:tc>
          <w:tcPr>
            <w:tcW w:w="2943" w:type="dxa"/>
          </w:tcPr>
          <w:p w14:paraId="2DCF9E46" w14:textId="480B3FFE" w:rsidR="00F73BA0" w:rsidRPr="001202A2" w:rsidRDefault="009C0B66" w:rsidP="00880F49">
            <w:pPr>
              <w:rPr>
                <w:szCs w:val="22"/>
                <w:lang w:val="sr-Latn-ME"/>
              </w:rPr>
            </w:pPr>
            <w:r w:rsidRPr="001202A2">
              <w:rPr>
                <w:szCs w:val="22"/>
                <w:lang w:val="sr-Latn-ME"/>
              </w:rPr>
              <w:t>Povremeno</w:t>
            </w:r>
          </w:p>
        </w:tc>
      </w:tr>
      <w:tr w:rsidR="00F73BA0" w:rsidRPr="001202A2" w14:paraId="1D2BE957" w14:textId="77777777" w:rsidTr="001202A2">
        <w:tc>
          <w:tcPr>
            <w:tcW w:w="6912" w:type="dxa"/>
          </w:tcPr>
          <w:p w14:paraId="08AC6E32" w14:textId="24C4F4D8" w:rsidR="00F73BA0" w:rsidRPr="001202A2" w:rsidRDefault="009C0B66" w:rsidP="00880F49">
            <w:pPr>
              <w:rPr>
                <w:szCs w:val="22"/>
                <w:lang w:val="sr-Latn-ME"/>
              </w:rPr>
            </w:pPr>
            <w:r w:rsidRPr="001202A2">
              <w:rPr>
                <w:szCs w:val="22"/>
                <w:lang w:val="sr-Latn-ME"/>
              </w:rPr>
              <w:t>Subduralno krvarenje</w:t>
            </w:r>
          </w:p>
        </w:tc>
        <w:tc>
          <w:tcPr>
            <w:tcW w:w="2943" w:type="dxa"/>
          </w:tcPr>
          <w:p w14:paraId="5A0C191A" w14:textId="589CC768" w:rsidR="00F73BA0" w:rsidRPr="001202A2" w:rsidRDefault="009C0B66"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etko</w:t>
            </w:r>
          </w:p>
        </w:tc>
      </w:tr>
      <w:tr w:rsidR="00F73BA0" w:rsidRPr="001202A2" w14:paraId="28D07201" w14:textId="77777777" w:rsidTr="001202A2">
        <w:tc>
          <w:tcPr>
            <w:tcW w:w="6912" w:type="dxa"/>
          </w:tcPr>
          <w:p w14:paraId="38A381DA" w14:textId="06576F9E" w:rsidR="00F73BA0" w:rsidRPr="001202A2" w:rsidRDefault="009C0B66" w:rsidP="00880F49">
            <w:pPr>
              <w:rPr>
                <w:szCs w:val="22"/>
                <w:lang w:val="sr-Latn-ME"/>
              </w:rPr>
            </w:pPr>
            <w:r w:rsidRPr="001202A2">
              <w:rPr>
                <w:szCs w:val="22"/>
                <w:lang w:val="sr-Latn-ME"/>
              </w:rPr>
              <w:t>Proceduralno krvarenje</w:t>
            </w:r>
          </w:p>
        </w:tc>
        <w:tc>
          <w:tcPr>
            <w:tcW w:w="2943" w:type="dxa"/>
          </w:tcPr>
          <w:p w14:paraId="73B95A77" w14:textId="77861C79" w:rsidR="00F73BA0" w:rsidRPr="001202A2" w:rsidRDefault="009C0B66" w:rsidP="00880F49">
            <w:pPr>
              <w:rPr>
                <w:szCs w:val="22"/>
                <w:lang w:val="sr-Latn-ME"/>
              </w:rPr>
            </w:pPr>
            <w:r w:rsidRPr="001202A2">
              <w:rPr>
                <w:szCs w:val="22"/>
                <w:lang w:val="sr-Latn-ME"/>
              </w:rPr>
              <w:t>R</w:t>
            </w:r>
            <w:r w:rsidR="007226D5" w:rsidRPr="001202A2">
              <w:rPr>
                <w:szCs w:val="22"/>
                <w:lang w:val="sr-Latn-ME"/>
              </w:rPr>
              <w:t>ij</w:t>
            </w:r>
            <w:r w:rsidRPr="001202A2">
              <w:rPr>
                <w:szCs w:val="22"/>
                <w:lang w:val="sr-Latn-ME"/>
              </w:rPr>
              <w:t>eko</w:t>
            </w:r>
          </w:p>
        </w:tc>
      </w:tr>
    </w:tbl>
    <w:p w14:paraId="28CA3554" w14:textId="57E7455B" w:rsidR="007459BC" w:rsidRPr="001202A2" w:rsidRDefault="009C0B66" w:rsidP="00480B31">
      <w:pPr>
        <w:rPr>
          <w:szCs w:val="22"/>
          <w:lang w:val="sr-Latn-ME"/>
        </w:rPr>
      </w:pPr>
      <w:r w:rsidRPr="001202A2">
        <w:rPr>
          <w:szCs w:val="22"/>
          <w:vertAlign w:val="superscript"/>
          <w:lang w:val="sr-Latn-ME"/>
        </w:rPr>
        <w:t xml:space="preserve">1 </w:t>
      </w:r>
      <w:r w:rsidRPr="001202A2">
        <w:rPr>
          <w:szCs w:val="22"/>
          <w:lang w:val="sr-Latn-ME"/>
        </w:rPr>
        <w:t xml:space="preserve">Učestalost je izračunata na osnovu ženske populacije u kliničkim studijama. Vaginalno krvarenje je često prijavljeno kod žena </w:t>
      </w:r>
      <w:r w:rsidR="008A1BD2" w:rsidRPr="001202A2">
        <w:rPr>
          <w:szCs w:val="22"/>
          <w:lang w:val="sr-Latn-ME"/>
        </w:rPr>
        <w:t>mlađih od 50 godina, dok se kod žena starijih od 50 godina javljalo povremeno.</w:t>
      </w:r>
    </w:p>
    <w:p w14:paraId="5E5C97B6" w14:textId="77777777" w:rsidR="00586C81" w:rsidRPr="001202A2" w:rsidRDefault="00586C81" w:rsidP="00480B31">
      <w:pPr>
        <w:rPr>
          <w:szCs w:val="22"/>
          <w:lang w:val="sr-Latn-ME"/>
        </w:rPr>
      </w:pPr>
    </w:p>
    <w:p w14:paraId="33200C2F" w14:textId="18194F43" w:rsidR="00402D2F" w:rsidRPr="001202A2" w:rsidRDefault="00402D2F"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Opis odabranih neželjenih dejstava</w:t>
      </w:r>
    </w:p>
    <w:p w14:paraId="1E027C82" w14:textId="77777777" w:rsidR="00586C81" w:rsidRPr="001202A2" w:rsidRDefault="00586C81" w:rsidP="00480B31">
      <w:pPr>
        <w:tabs>
          <w:tab w:val="clear" w:pos="284"/>
        </w:tabs>
        <w:autoSpaceDE w:val="0"/>
        <w:autoSpaceDN w:val="0"/>
        <w:adjustRightInd w:val="0"/>
        <w:rPr>
          <w:rFonts w:eastAsia="TimesNewRoman"/>
          <w:szCs w:val="22"/>
          <w:u w:val="single"/>
          <w:lang w:val="sr-Latn-ME"/>
        </w:rPr>
      </w:pPr>
    </w:p>
    <w:p w14:paraId="6F80355F" w14:textId="77777777" w:rsidR="00402D2F" w:rsidRPr="001202A2" w:rsidRDefault="00402D2F"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Hemoragijska anemija</w:t>
      </w:r>
    </w:p>
    <w:p w14:paraId="46767B95" w14:textId="6EBCE974" w:rsidR="00402D2F" w:rsidRPr="001202A2" w:rsidRDefault="00ED528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Usl</w:t>
      </w:r>
      <w:r w:rsidR="007226D5" w:rsidRPr="001202A2">
        <w:rPr>
          <w:rFonts w:eastAsia="TimesNewRoman"/>
          <w:szCs w:val="22"/>
          <w:lang w:val="sr-Latn-ME"/>
        </w:rPr>
        <w:t>j</w:t>
      </w:r>
      <w:r w:rsidRPr="001202A2">
        <w:rPr>
          <w:rFonts w:eastAsia="TimesNewRoman"/>
          <w:szCs w:val="22"/>
          <w:lang w:val="sr-Latn-ME"/>
        </w:rPr>
        <w:t>ed</w:t>
      </w:r>
      <w:r w:rsidR="00402D2F" w:rsidRPr="001202A2">
        <w:rPr>
          <w:rFonts w:eastAsia="TimesNewRoman"/>
          <w:szCs w:val="22"/>
          <w:lang w:val="sr-Latn-ME"/>
        </w:rPr>
        <w:t xml:space="preserve"> farmakološkog </w:t>
      </w:r>
      <w:r w:rsidRPr="001202A2">
        <w:rPr>
          <w:rFonts w:eastAsia="TimesNewRoman"/>
          <w:szCs w:val="22"/>
          <w:lang w:val="sr-Latn-ME"/>
        </w:rPr>
        <w:t xml:space="preserve">mehanizma </w:t>
      </w:r>
      <w:r w:rsidR="00402D2F" w:rsidRPr="001202A2">
        <w:rPr>
          <w:rFonts w:eastAsia="TimesNewRoman"/>
          <w:szCs w:val="22"/>
          <w:lang w:val="sr-Latn-ME"/>
        </w:rPr>
        <w:t>dejstva, prim</w:t>
      </w:r>
      <w:r w:rsidR="007226D5" w:rsidRPr="001202A2">
        <w:rPr>
          <w:rFonts w:eastAsia="TimesNewRoman"/>
          <w:szCs w:val="22"/>
          <w:lang w:val="sr-Latn-ME"/>
        </w:rPr>
        <w:t>j</w:t>
      </w:r>
      <w:r w:rsidR="00402D2F" w:rsidRPr="001202A2">
        <w:rPr>
          <w:rFonts w:eastAsia="TimesNewRoman"/>
          <w:szCs w:val="22"/>
          <w:lang w:val="sr-Latn-ME"/>
        </w:rPr>
        <w:t xml:space="preserve">ena edoksabana može biti </w:t>
      </w:r>
      <w:r w:rsidRPr="001202A2">
        <w:rPr>
          <w:rFonts w:eastAsia="TimesNewRoman"/>
          <w:szCs w:val="22"/>
          <w:lang w:val="sr-Latn-ME"/>
        </w:rPr>
        <w:t>udružena</w:t>
      </w:r>
      <w:r w:rsidR="00402D2F" w:rsidRPr="001202A2">
        <w:rPr>
          <w:rFonts w:eastAsia="TimesNewRoman"/>
          <w:szCs w:val="22"/>
          <w:lang w:val="sr-Latn-ME"/>
        </w:rPr>
        <w:t xml:space="preserve"> sa povećanim rizikom od okultnog ili vidljivog krvarenja iz bilo kog tkiva ili organa, što može dovesti do posthemoragijske anemije. Znaci, simptomi i težina (uključujući smrtni ishod) se razlikuju zavisno od m</w:t>
      </w:r>
      <w:r w:rsidR="007226D5" w:rsidRPr="001202A2">
        <w:rPr>
          <w:rFonts w:eastAsia="TimesNewRoman"/>
          <w:szCs w:val="22"/>
          <w:lang w:val="sr-Latn-ME"/>
        </w:rPr>
        <w:t>j</w:t>
      </w:r>
      <w:r w:rsidR="00402D2F" w:rsidRPr="001202A2">
        <w:rPr>
          <w:rFonts w:eastAsia="TimesNewRoman"/>
          <w:szCs w:val="22"/>
          <w:lang w:val="sr-Latn-ME"/>
        </w:rPr>
        <w:t>esta i st</w:t>
      </w:r>
      <w:r w:rsidRPr="001202A2">
        <w:rPr>
          <w:rFonts w:eastAsia="TimesNewRoman"/>
          <w:szCs w:val="22"/>
          <w:lang w:val="sr-Latn-ME"/>
        </w:rPr>
        <w:t>e</w:t>
      </w:r>
      <w:r w:rsidR="00402D2F" w:rsidRPr="001202A2">
        <w:rPr>
          <w:rFonts w:eastAsia="TimesNewRoman"/>
          <w:szCs w:val="22"/>
          <w:lang w:val="sr-Latn-ME"/>
        </w:rPr>
        <w:t xml:space="preserve">pena ili </w:t>
      </w:r>
      <w:r w:rsidRPr="001202A2">
        <w:rPr>
          <w:rFonts w:eastAsia="TimesNewRoman"/>
          <w:szCs w:val="22"/>
          <w:lang w:val="sr-Latn-ME"/>
        </w:rPr>
        <w:t>obima</w:t>
      </w:r>
      <w:r w:rsidR="00402D2F" w:rsidRPr="001202A2">
        <w:rPr>
          <w:rFonts w:eastAsia="TimesNewRoman"/>
          <w:szCs w:val="22"/>
          <w:lang w:val="sr-Latn-ME"/>
        </w:rPr>
        <w:t xml:space="preserve"> krvarenja i/ili anemije (vid</w:t>
      </w:r>
      <w:r w:rsidR="007226D5" w:rsidRPr="001202A2">
        <w:rPr>
          <w:rFonts w:eastAsia="TimesNewRoman"/>
          <w:szCs w:val="22"/>
          <w:lang w:val="sr-Latn-ME"/>
        </w:rPr>
        <w:t>j</w:t>
      </w:r>
      <w:r w:rsidR="00402D2F" w:rsidRPr="001202A2">
        <w:rPr>
          <w:rFonts w:eastAsia="TimesNewRoman"/>
          <w:szCs w:val="22"/>
          <w:lang w:val="sr-Latn-ME"/>
        </w:rPr>
        <w:t xml:space="preserve">eti </w:t>
      </w:r>
      <w:r w:rsidR="007226D5" w:rsidRPr="001202A2">
        <w:rPr>
          <w:rFonts w:eastAsia="TimesNewRoman"/>
          <w:szCs w:val="22"/>
          <w:lang w:val="sr-Latn-ME"/>
        </w:rPr>
        <w:t>dio</w:t>
      </w:r>
      <w:r w:rsidR="00402D2F" w:rsidRPr="001202A2">
        <w:rPr>
          <w:rFonts w:eastAsia="TimesNewRoman"/>
          <w:szCs w:val="22"/>
          <w:lang w:val="sr-Latn-ME"/>
        </w:rPr>
        <w:t xml:space="preserve"> 4.9). U kliničkim </w:t>
      </w:r>
      <w:r w:rsidRPr="001202A2">
        <w:rPr>
          <w:rFonts w:eastAsia="TimesNewRoman"/>
          <w:szCs w:val="22"/>
          <w:lang w:val="sr-Latn-ME"/>
        </w:rPr>
        <w:t>studijama,</w:t>
      </w:r>
      <w:r w:rsidR="00402D2F" w:rsidRPr="001202A2">
        <w:rPr>
          <w:rFonts w:eastAsia="TimesNewRoman"/>
          <w:szCs w:val="22"/>
          <w:lang w:val="sr-Latn-ME"/>
        </w:rPr>
        <w:t xml:space="preserve"> krvarenje iz sluzokoža (npr. epistaksa, krvarenje u gastrointestinalnom traktu, genitourinarno krvarenje) i anemija zab</w:t>
      </w:r>
      <w:r w:rsidR="007226D5" w:rsidRPr="001202A2">
        <w:rPr>
          <w:rFonts w:eastAsia="TimesNewRoman"/>
          <w:szCs w:val="22"/>
          <w:lang w:val="sr-Latn-ME"/>
        </w:rPr>
        <w:t>i</w:t>
      </w:r>
      <w:r w:rsidR="00402D2F" w:rsidRPr="001202A2">
        <w:rPr>
          <w:rFonts w:eastAsia="TimesNewRoman"/>
          <w:szCs w:val="22"/>
          <w:lang w:val="sr-Latn-ME"/>
        </w:rPr>
        <w:t>l</w:t>
      </w:r>
      <w:r w:rsidR="007226D5" w:rsidRPr="001202A2">
        <w:rPr>
          <w:rFonts w:eastAsia="TimesNewRoman"/>
          <w:szCs w:val="22"/>
          <w:lang w:val="sr-Latn-ME"/>
        </w:rPr>
        <w:t>j</w:t>
      </w:r>
      <w:r w:rsidR="00402D2F" w:rsidRPr="001202A2">
        <w:rPr>
          <w:rFonts w:eastAsia="TimesNewRoman"/>
          <w:szCs w:val="22"/>
          <w:lang w:val="sr-Latn-ME"/>
        </w:rPr>
        <w:t>eženi su češće tokom dugotrajn</w:t>
      </w:r>
      <w:r w:rsidRPr="001202A2">
        <w:rPr>
          <w:rFonts w:eastAsia="TimesNewRoman"/>
          <w:szCs w:val="22"/>
          <w:lang w:val="sr-Latn-ME"/>
        </w:rPr>
        <w:t>e</w:t>
      </w:r>
      <w:r w:rsidR="00402D2F" w:rsidRPr="001202A2">
        <w:rPr>
          <w:rFonts w:eastAsia="TimesNewRoman"/>
          <w:szCs w:val="22"/>
          <w:lang w:val="sr-Latn-ME"/>
        </w:rPr>
        <w:t xml:space="preserve"> </w:t>
      </w:r>
      <w:r w:rsidRPr="001202A2">
        <w:rPr>
          <w:rFonts w:eastAsia="TimesNewRoman"/>
          <w:szCs w:val="22"/>
          <w:lang w:val="sr-Latn-ME"/>
        </w:rPr>
        <w:t>terapije</w:t>
      </w:r>
      <w:r w:rsidR="00402D2F" w:rsidRPr="001202A2">
        <w:rPr>
          <w:rFonts w:eastAsia="TimesNewRoman"/>
          <w:szCs w:val="22"/>
          <w:lang w:val="sr-Latn-ME"/>
        </w:rPr>
        <w:t xml:space="preserve"> edoksabanom u </w:t>
      </w:r>
      <w:r w:rsidRPr="001202A2">
        <w:rPr>
          <w:rFonts w:eastAsia="TimesNewRoman"/>
          <w:szCs w:val="22"/>
          <w:lang w:val="sr-Latn-ME"/>
        </w:rPr>
        <w:t>odnosu</w:t>
      </w:r>
      <w:r w:rsidR="00402D2F" w:rsidRPr="001202A2">
        <w:rPr>
          <w:rFonts w:eastAsia="TimesNewRoman"/>
          <w:szCs w:val="22"/>
          <w:lang w:val="sr-Latn-ME"/>
        </w:rPr>
        <w:t xml:space="preserve"> </w:t>
      </w:r>
      <w:r w:rsidRPr="001202A2">
        <w:rPr>
          <w:rFonts w:eastAsia="TimesNewRoman"/>
          <w:szCs w:val="22"/>
          <w:lang w:val="sr-Latn-ME"/>
        </w:rPr>
        <w:t>na</w:t>
      </w:r>
      <w:r w:rsidR="00402D2F" w:rsidRPr="001202A2">
        <w:rPr>
          <w:rFonts w:eastAsia="TimesNewRoman"/>
          <w:szCs w:val="22"/>
          <w:lang w:val="sr-Latn-ME"/>
        </w:rPr>
        <w:t xml:space="preserve"> l</w:t>
      </w:r>
      <w:r w:rsidR="007226D5" w:rsidRPr="001202A2">
        <w:rPr>
          <w:rFonts w:eastAsia="TimesNewRoman"/>
          <w:szCs w:val="22"/>
          <w:lang w:val="sr-Latn-ME"/>
        </w:rPr>
        <w:t>ij</w:t>
      </w:r>
      <w:r w:rsidR="00402D2F" w:rsidRPr="001202A2">
        <w:rPr>
          <w:rFonts w:eastAsia="TimesNewRoman"/>
          <w:szCs w:val="22"/>
          <w:lang w:val="sr-Latn-ME"/>
        </w:rPr>
        <w:t xml:space="preserve">ečenje </w:t>
      </w:r>
      <w:r w:rsidRPr="001202A2">
        <w:rPr>
          <w:rFonts w:eastAsia="TimesNewRoman"/>
          <w:szCs w:val="22"/>
          <w:lang w:val="sr-Latn-ME"/>
        </w:rPr>
        <w:t>VKA</w:t>
      </w:r>
      <w:r w:rsidR="00402D2F" w:rsidRPr="001202A2">
        <w:rPr>
          <w:rFonts w:eastAsia="TimesNewRoman"/>
          <w:szCs w:val="22"/>
          <w:lang w:val="sr-Latn-ME"/>
        </w:rPr>
        <w:t xml:space="preserve">. </w:t>
      </w:r>
      <w:r w:rsidRPr="001202A2">
        <w:rPr>
          <w:rFonts w:eastAsia="TimesNewRoman"/>
          <w:szCs w:val="22"/>
          <w:lang w:val="sr-Latn-ME"/>
        </w:rPr>
        <w:t>Stoga</w:t>
      </w:r>
      <w:r w:rsidR="00402D2F" w:rsidRPr="001202A2">
        <w:rPr>
          <w:rFonts w:eastAsia="TimesNewRoman"/>
          <w:szCs w:val="22"/>
          <w:lang w:val="sr-Latn-ME"/>
        </w:rPr>
        <w:t>, pored odgovarajućeg kliničkog praćenja, laboratorijsko određivanje hemoglobina/hematokrita može doprin</w:t>
      </w:r>
      <w:r w:rsidR="000358E8" w:rsidRPr="001202A2">
        <w:rPr>
          <w:rFonts w:eastAsia="TimesNewRoman"/>
          <w:szCs w:val="22"/>
          <w:lang w:val="sr-Latn-ME"/>
        </w:rPr>
        <w:t>ij</w:t>
      </w:r>
      <w:r w:rsidR="00402D2F" w:rsidRPr="001202A2">
        <w:rPr>
          <w:rFonts w:eastAsia="TimesNewRoman"/>
          <w:szCs w:val="22"/>
          <w:lang w:val="sr-Latn-ME"/>
        </w:rPr>
        <w:t>eti otkrivanju okultnog krvarenja, ukoliko se proc</w:t>
      </w:r>
      <w:r w:rsidR="007226D5" w:rsidRPr="001202A2">
        <w:rPr>
          <w:rFonts w:eastAsia="TimesNewRoman"/>
          <w:szCs w:val="22"/>
          <w:lang w:val="sr-Latn-ME"/>
        </w:rPr>
        <w:t>ij</w:t>
      </w:r>
      <w:r w:rsidR="00402D2F" w:rsidRPr="001202A2">
        <w:rPr>
          <w:rFonts w:eastAsia="TimesNewRoman"/>
          <w:szCs w:val="22"/>
          <w:lang w:val="sr-Latn-ME"/>
        </w:rPr>
        <w:t xml:space="preserve">eni </w:t>
      </w:r>
      <w:r w:rsidRPr="001202A2">
        <w:rPr>
          <w:rFonts w:eastAsia="TimesNewRoman"/>
          <w:szCs w:val="22"/>
          <w:lang w:val="sr-Latn-ME"/>
        </w:rPr>
        <w:t>prikladnim</w:t>
      </w:r>
      <w:r w:rsidR="00402D2F" w:rsidRPr="001202A2">
        <w:rPr>
          <w:rFonts w:eastAsia="TimesNewRoman"/>
          <w:szCs w:val="22"/>
          <w:lang w:val="sr-Latn-ME"/>
        </w:rPr>
        <w:t xml:space="preserve">. Rizik od krvarenja može </w:t>
      </w:r>
      <w:r w:rsidRPr="001202A2">
        <w:rPr>
          <w:rFonts w:eastAsia="TimesNewRoman"/>
          <w:szCs w:val="22"/>
          <w:lang w:val="sr-Latn-ME"/>
        </w:rPr>
        <w:t>biti povećan</w:t>
      </w:r>
      <w:r w:rsidR="00402D2F" w:rsidRPr="001202A2">
        <w:rPr>
          <w:rFonts w:eastAsia="TimesNewRoman"/>
          <w:szCs w:val="22"/>
          <w:lang w:val="sr-Latn-ME"/>
        </w:rPr>
        <w:t xml:space="preserve"> </w:t>
      </w:r>
      <w:r w:rsidRPr="001202A2">
        <w:rPr>
          <w:rFonts w:eastAsia="TimesNewRoman"/>
          <w:szCs w:val="22"/>
          <w:lang w:val="sr-Latn-ME"/>
        </w:rPr>
        <w:t xml:space="preserve">kod </w:t>
      </w:r>
      <w:r w:rsidR="00402D2F" w:rsidRPr="001202A2">
        <w:rPr>
          <w:rFonts w:eastAsia="TimesNewRoman"/>
          <w:szCs w:val="22"/>
          <w:lang w:val="sr-Latn-ME"/>
        </w:rPr>
        <w:t xml:space="preserve">određenih grupa pacijenata, npr. kod pacijenata sa ozbiljnom nekontrolisanom arterijskom hipertenzijom i/ili pacijenata koji istovremeno </w:t>
      </w:r>
      <w:r w:rsidRPr="001202A2">
        <w:rPr>
          <w:rFonts w:eastAsia="TimesNewRoman"/>
          <w:szCs w:val="22"/>
          <w:lang w:val="sr-Latn-ME"/>
        </w:rPr>
        <w:t>koriste</w:t>
      </w:r>
      <w:r w:rsidR="00402D2F" w:rsidRPr="001202A2">
        <w:rPr>
          <w:rFonts w:eastAsia="TimesNewRoman"/>
          <w:szCs w:val="22"/>
          <w:lang w:val="sr-Latn-ME"/>
        </w:rPr>
        <w:t xml:space="preserve"> druge l</w:t>
      </w:r>
      <w:r w:rsidR="007226D5" w:rsidRPr="001202A2">
        <w:rPr>
          <w:rFonts w:eastAsia="TimesNewRoman"/>
          <w:szCs w:val="22"/>
          <w:lang w:val="sr-Latn-ME"/>
        </w:rPr>
        <w:t>j</w:t>
      </w:r>
      <w:r w:rsidR="00402D2F" w:rsidRPr="001202A2">
        <w:rPr>
          <w:rFonts w:eastAsia="TimesNewRoman"/>
          <w:szCs w:val="22"/>
          <w:lang w:val="sr-Latn-ME"/>
        </w:rPr>
        <w:t>ekove koji utiču na hemostazu (vid</w:t>
      </w:r>
      <w:r w:rsidR="007226D5" w:rsidRPr="001202A2">
        <w:rPr>
          <w:rFonts w:eastAsia="TimesNewRoman"/>
          <w:szCs w:val="22"/>
          <w:lang w:val="sr-Latn-ME"/>
        </w:rPr>
        <w:t>j</w:t>
      </w:r>
      <w:r w:rsidR="00402D2F" w:rsidRPr="001202A2">
        <w:rPr>
          <w:rFonts w:eastAsia="TimesNewRoman"/>
          <w:szCs w:val="22"/>
          <w:lang w:val="sr-Latn-ME"/>
        </w:rPr>
        <w:t xml:space="preserve">eti </w:t>
      </w:r>
      <w:r w:rsidR="007226D5" w:rsidRPr="001202A2">
        <w:rPr>
          <w:rFonts w:eastAsia="TimesNewRoman"/>
          <w:szCs w:val="22"/>
          <w:lang w:val="sr-Latn-ME"/>
        </w:rPr>
        <w:t>dio</w:t>
      </w:r>
      <w:r w:rsidR="00402D2F" w:rsidRPr="001202A2">
        <w:rPr>
          <w:rFonts w:eastAsia="TimesNewRoman"/>
          <w:szCs w:val="22"/>
          <w:lang w:val="sr-Latn-ME"/>
        </w:rPr>
        <w:t xml:space="preserve"> 4.4). Menstrualno krvarenje može biti pojačano i/ili produženo. </w:t>
      </w:r>
      <w:r w:rsidR="00EE2212" w:rsidRPr="001202A2">
        <w:rPr>
          <w:rFonts w:eastAsia="TimesNewRoman"/>
          <w:szCs w:val="22"/>
          <w:lang w:val="sr-Latn-ME"/>
        </w:rPr>
        <w:t>Hemoragijske komplikacije se</w:t>
      </w:r>
      <w:r w:rsidR="00402D2F" w:rsidRPr="001202A2">
        <w:rPr>
          <w:rFonts w:eastAsia="TimesNewRoman"/>
          <w:szCs w:val="22"/>
          <w:lang w:val="sr-Latn-ME"/>
        </w:rPr>
        <w:t xml:space="preserve"> mogu ispoljiti kao slabost, bl</w:t>
      </w:r>
      <w:r w:rsidR="007226D5" w:rsidRPr="001202A2">
        <w:rPr>
          <w:rFonts w:eastAsia="TimesNewRoman"/>
          <w:szCs w:val="22"/>
          <w:lang w:val="sr-Latn-ME"/>
        </w:rPr>
        <w:t>j</w:t>
      </w:r>
      <w:r w:rsidR="00402D2F" w:rsidRPr="001202A2">
        <w:rPr>
          <w:rFonts w:eastAsia="TimesNewRoman"/>
          <w:szCs w:val="22"/>
          <w:lang w:val="sr-Latn-ME"/>
        </w:rPr>
        <w:t>edilo, vrtoglavica, glavobolja ili neobjašnjivo oticanje, dispneja i neobjašnjivi šok.</w:t>
      </w:r>
    </w:p>
    <w:p w14:paraId="43445FAB" w14:textId="31ED396E" w:rsidR="00AE4ED9"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Prilikom </w:t>
      </w:r>
      <w:r w:rsidR="00402D2F" w:rsidRPr="001202A2">
        <w:rPr>
          <w:rFonts w:eastAsia="TimesNewRoman"/>
          <w:szCs w:val="22"/>
          <w:lang w:val="sr-Latn-ME"/>
        </w:rPr>
        <w:t>prim</w:t>
      </w:r>
      <w:r w:rsidR="007226D5" w:rsidRPr="001202A2">
        <w:rPr>
          <w:rFonts w:eastAsia="TimesNewRoman"/>
          <w:szCs w:val="22"/>
          <w:lang w:val="sr-Latn-ME"/>
        </w:rPr>
        <w:t>j</w:t>
      </w:r>
      <w:r w:rsidR="00402D2F" w:rsidRPr="001202A2">
        <w:rPr>
          <w:rFonts w:eastAsia="TimesNewRoman"/>
          <w:szCs w:val="22"/>
          <w:lang w:val="sr-Latn-ME"/>
        </w:rPr>
        <w:t>ene edoksabana</w:t>
      </w:r>
      <w:r w:rsidRPr="001202A2">
        <w:rPr>
          <w:rFonts w:eastAsia="TimesNewRoman"/>
          <w:szCs w:val="22"/>
          <w:lang w:val="sr-Latn-ME"/>
        </w:rPr>
        <w:t>,</w:t>
      </w:r>
      <w:r w:rsidR="00402D2F" w:rsidRPr="001202A2">
        <w:rPr>
          <w:rFonts w:eastAsia="TimesNewRoman"/>
          <w:szCs w:val="22"/>
          <w:lang w:val="sr-Latn-ME"/>
        </w:rPr>
        <w:t xml:space="preserve"> prijavljene su poznate komplikacije </w:t>
      </w:r>
      <w:r w:rsidRPr="001202A2">
        <w:rPr>
          <w:rFonts w:eastAsia="TimesNewRoman"/>
          <w:szCs w:val="22"/>
          <w:lang w:val="sr-Latn-ME"/>
        </w:rPr>
        <w:t>koje su</w:t>
      </w:r>
      <w:r w:rsidR="00402D2F" w:rsidRPr="001202A2">
        <w:rPr>
          <w:rFonts w:eastAsia="TimesNewRoman"/>
          <w:szCs w:val="22"/>
          <w:lang w:val="sr-Latn-ME"/>
        </w:rPr>
        <w:t xml:space="preserve"> sekundarna posl</w:t>
      </w:r>
      <w:r w:rsidR="007226D5" w:rsidRPr="001202A2">
        <w:rPr>
          <w:rFonts w:eastAsia="TimesNewRoman"/>
          <w:szCs w:val="22"/>
          <w:lang w:val="sr-Latn-ME"/>
        </w:rPr>
        <w:t>j</w:t>
      </w:r>
      <w:r w:rsidR="00402D2F" w:rsidRPr="001202A2">
        <w:rPr>
          <w:rFonts w:eastAsia="TimesNewRoman"/>
          <w:szCs w:val="22"/>
          <w:lang w:val="sr-Latn-ME"/>
        </w:rPr>
        <w:t xml:space="preserve">edica teškog krvarenja, </w:t>
      </w:r>
      <w:r w:rsidRPr="001202A2">
        <w:rPr>
          <w:rFonts w:eastAsia="TimesNewRoman"/>
          <w:szCs w:val="22"/>
          <w:lang w:val="sr-Latn-ME"/>
        </w:rPr>
        <w:t>poput</w:t>
      </w:r>
      <w:r w:rsidR="00402D2F" w:rsidRPr="001202A2">
        <w:rPr>
          <w:rFonts w:eastAsia="TimesNewRoman"/>
          <w:szCs w:val="22"/>
          <w:lang w:val="sr-Latn-ME"/>
        </w:rPr>
        <w:t xml:space="preserve"> sindrom</w:t>
      </w:r>
      <w:r w:rsidRPr="001202A2">
        <w:rPr>
          <w:rFonts w:eastAsia="TimesNewRoman"/>
          <w:szCs w:val="22"/>
          <w:lang w:val="sr-Latn-ME"/>
        </w:rPr>
        <w:t>a</w:t>
      </w:r>
      <w:r w:rsidR="00402D2F" w:rsidRPr="001202A2">
        <w:rPr>
          <w:rFonts w:eastAsia="TimesNewRoman"/>
          <w:szCs w:val="22"/>
          <w:lang w:val="sr-Latn-ME"/>
        </w:rPr>
        <w:t xml:space="preserve"> od</w:t>
      </w:r>
      <w:r w:rsidR="007226D5" w:rsidRPr="001202A2">
        <w:rPr>
          <w:rFonts w:eastAsia="TimesNewRoman"/>
          <w:szCs w:val="22"/>
          <w:lang w:val="sr-Latn-ME"/>
        </w:rPr>
        <w:t>j</w:t>
      </w:r>
      <w:r w:rsidR="00402D2F" w:rsidRPr="001202A2">
        <w:rPr>
          <w:rFonts w:eastAsia="TimesNewRoman"/>
          <w:szCs w:val="22"/>
          <w:lang w:val="sr-Latn-ME"/>
        </w:rPr>
        <w:t xml:space="preserve">eljka (engl. </w:t>
      </w:r>
      <w:r w:rsidR="00402D2F" w:rsidRPr="001202A2">
        <w:rPr>
          <w:rFonts w:eastAsia="TimesNewRoman"/>
          <w:i/>
          <w:iCs/>
          <w:szCs w:val="22"/>
          <w:lang w:val="sr-Latn-ME"/>
        </w:rPr>
        <w:t>compartment syndrome</w:t>
      </w:r>
      <w:r w:rsidR="00402D2F" w:rsidRPr="001202A2">
        <w:rPr>
          <w:rFonts w:eastAsia="TimesNewRoman"/>
          <w:szCs w:val="22"/>
          <w:lang w:val="sr-Latn-ME"/>
        </w:rPr>
        <w:t>) i insuficijencij</w:t>
      </w:r>
      <w:r w:rsidRPr="001202A2">
        <w:rPr>
          <w:rFonts w:eastAsia="TimesNewRoman"/>
          <w:szCs w:val="22"/>
          <w:lang w:val="sr-Latn-ME"/>
        </w:rPr>
        <w:t>e</w:t>
      </w:r>
      <w:r w:rsidR="00402D2F" w:rsidRPr="001202A2">
        <w:rPr>
          <w:rFonts w:eastAsia="TimesNewRoman"/>
          <w:szCs w:val="22"/>
          <w:lang w:val="sr-Latn-ME"/>
        </w:rPr>
        <w:t xml:space="preserve"> bubrega </w:t>
      </w:r>
      <w:r w:rsidRPr="001202A2">
        <w:rPr>
          <w:rFonts w:eastAsia="TimesNewRoman"/>
          <w:szCs w:val="22"/>
          <w:lang w:val="sr-Latn-ME"/>
        </w:rPr>
        <w:t>usl</w:t>
      </w:r>
      <w:r w:rsidR="007226D5" w:rsidRPr="001202A2">
        <w:rPr>
          <w:rFonts w:eastAsia="TimesNewRoman"/>
          <w:szCs w:val="22"/>
          <w:lang w:val="sr-Latn-ME"/>
        </w:rPr>
        <w:t>j</w:t>
      </w:r>
      <w:r w:rsidRPr="001202A2">
        <w:rPr>
          <w:rFonts w:eastAsia="TimesNewRoman"/>
          <w:szCs w:val="22"/>
          <w:lang w:val="sr-Latn-ME"/>
        </w:rPr>
        <w:t>ed</w:t>
      </w:r>
      <w:r w:rsidR="00402D2F" w:rsidRPr="001202A2">
        <w:rPr>
          <w:rFonts w:eastAsia="TimesNewRoman"/>
          <w:szCs w:val="22"/>
          <w:lang w:val="sr-Latn-ME"/>
        </w:rPr>
        <w:t xml:space="preserve"> hipoperfuzije. </w:t>
      </w:r>
      <w:r w:rsidRPr="001202A2">
        <w:rPr>
          <w:rFonts w:eastAsia="TimesNewRoman"/>
          <w:szCs w:val="22"/>
          <w:lang w:val="sr-Latn-ME"/>
        </w:rPr>
        <w:t>Stoga,</w:t>
      </w:r>
      <w:r w:rsidR="00402D2F" w:rsidRPr="001202A2">
        <w:rPr>
          <w:rFonts w:eastAsia="TimesNewRoman"/>
          <w:szCs w:val="22"/>
          <w:lang w:val="sr-Latn-ME"/>
        </w:rPr>
        <w:t xml:space="preserve"> pri proc</w:t>
      </w:r>
      <w:r w:rsidR="007226D5" w:rsidRPr="001202A2">
        <w:rPr>
          <w:rFonts w:eastAsia="TimesNewRoman"/>
          <w:szCs w:val="22"/>
          <w:lang w:val="sr-Latn-ME"/>
        </w:rPr>
        <w:t>j</w:t>
      </w:r>
      <w:r w:rsidR="00402D2F" w:rsidRPr="001202A2">
        <w:rPr>
          <w:rFonts w:eastAsia="TimesNewRoman"/>
          <w:szCs w:val="22"/>
          <w:lang w:val="sr-Latn-ME"/>
        </w:rPr>
        <w:t xml:space="preserve">eni stanja svakog pacijenta koji </w:t>
      </w:r>
      <w:r w:rsidRPr="001202A2">
        <w:rPr>
          <w:rFonts w:eastAsia="TimesNewRoman"/>
          <w:szCs w:val="22"/>
          <w:lang w:val="sr-Latn-ME"/>
        </w:rPr>
        <w:t xml:space="preserve">koristi </w:t>
      </w:r>
      <w:r w:rsidR="00402D2F" w:rsidRPr="001202A2">
        <w:rPr>
          <w:rFonts w:eastAsia="TimesNewRoman"/>
          <w:szCs w:val="22"/>
          <w:lang w:val="sr-Latn-ME"/>
        </w:rPr>
        <w:t>antikoagulan</w:t>
      </w:r>
      <w:r w:rsidRPr="001202A2">
        <w:rPr>
          <w:rFonts w:eastAsia="TimesNewRoman"/>
          <w:szCs w:val="22"/>
          <w:lang w:val="sr-Latn-ME"/>
        </w:rPr>
        <w:t>tnu terapiju,</w:t>
      </w:r>
      <w:r w:rsidR="00402D2F" w:rsidRPr="001202A2">
        <w:rPr>
          <w:rFonts w:eastAsia="TimesNewRoman"/>
          <w:szCs w:val="22"/>
          <w:lang w:val="sr-Latn-ME"/>
        </w:rPr>
        <w:t xml:space="preserve"> </w:t>
      </w:r>
      <w:r w:rsidRPr="001202A2">
        <w:rPr>
          <w:rFonts w:eastAsia="TimesNewRoman"/>
          <w:szCs w:val="22"/>
          <w:lang w:val="sr-Latn-ME"/>
        </w:rPr>
        <w:t>treba</w:t>
      </w:r>
      <w:r w:rsidR="00402D2F" w:rsidRPr="001202A2">
        <w:rPr>
          <w:rFonts w:eastAsia="TimesNewRoman"/>
          <w:szCs w:val="22"/>
          <w:lang w:val="sr-Latn-ME"/>
        </w:rPr>
        <w:t xml:space="preserve"> razmotriti mogućnost krvarenja.</w:t>
      </w:r>
    </w:p>
    <w:p w14:paraId="74C0EEC6"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54A49B95" w14:textId="1FB5C99B" w:rsidR="00586C81" w:rsidRPr="001202A2" w:rsidRDefault="00771965"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Pedijatrijska populacija</w:t>
      </w:r>
    </w:p>
    <w:p w14:paraId="414678AA" w14:textId="6AF30C03" w:rsidR="00771965" w:rsidRPr="001202A2" w:rsidRDefault="0077196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Bezb</w:t>
      </w:r>
      <w:r w:rsidR="00456FFB" w:rsidRPr="001202A2">
        <w:rPr>
          <w:rFonts w:eastAsia="TimesNewRoman"/>
          <w:szCs w:val="22"/>
          <w:lang w:val="sr-Latn-ME"/>
        </w:rPr>
        <w:t>j</w:t>
      </w:r>
      <w:r w:rsidRPr="001202A2">
        <w:rPr>
          <w:rFonts w:eastAsia="TimesNewRoman"/>
          <w:szCs w:val="22"/>
          <w:lang w:val="sr-Latn-ME"/>
        </w:rPr>
        <w:t>ednost edokasabana je ispitana u dv</w:t>
      </w:r>
      <w:r w:rsidR="00456FFB" w:rsidRPr="001202A2">
        <w:rPr>
          <w:rFonts w:eastAsia="TimesNewRoman"/>
          <w:szCs w:val="22"/>
          <w:lang w:val="sr-Latn-ME"/>
        </w:rPr>
        <w:t>ij</w:t>
      </w:r>
      <w:r w:rsidRPr="001202A2">
        <w:rPr>
          <w:rFonts w:eastAsia="TimesNewRoman"/>
          <w:szCs w:val="22"/>
          <w:lang w:val="sr-Latn-ME"/>
        </w:rPr>
        <w:t>e studije faze 3 (Hokusai VTE PEDIATRICS i ENNOBLE-ATE) kod pedijatrijskih pacijenata od rođenja do 18 godina starosti sa VTE (286 pacijenata, od kojih je 145 l</w:t>
      </w:r>
      <w:r w:rsidR="00456FFB" w:rsidRPr="001202A2">
        <w:rPr>
          <w:rFonts w:eastAsia="TimesNewRoman"/>
          <w:szCs w:val="22"/>
          <w:lang w:val="sr-Latn-ME"/>
        </w:rPr>
        <w:t>ij</w:t>
      </w:r>
      <w:r w:rsidRPr="001202A2">
        <w:rPr>
          <w:rFonts w:eastAsia="TimesNewRoman"/>
          <w:szCs w:val="22"/>
          <w:lang w:val="sr-Latn-ME"/>
        </w:rPr>
        <w:t>ečeno edoksabanom) i srčanim oboljenjima sa rizikom od trombotičnih događaja (167 pacijenata, od kojih je 109 l</w:t>
      </w:r>
      <w:r w:rsidR="00456FFB" w:rsidRPr="001202A2">
        <w:rPr>
          <w:rFonts w:eastAsia="TimesNewRoman"/>
          <w:szCs w:val="22"/>
          <w:lang w:val="sr-Latn-ME"/>
        </w:rPr>
        <w:t>ij</w:t>
      </w:r>
      <w:r w:rsidRPr="001202A2">
        <w:rPr>
          <w:rFonts w:eastAsia="TimesNewRoman"/>
          <w:szCs w:val="22"/>
          <w:lang w:val="sr-Latn-ME"/>
        </w:rPr>
        <w:t>ečeno edoksabanom). Sveukupno, bezb</w:t>
      </w:r>
      <w:r w:rsidR="00456FFB" w:rsidRPr="001202A2">
        <w:rPr>
          <w:rFonts w:eastAsia="TimesNewRoman"/>
          <w:szCs w:val="22"/>
          <w:lang w:val="sr-Latn-ME"/>
        </w:rPr>
        <w:t>j</w:t>
      </w:r>
      <w:r w:rsidRPr="001202A2">
        <w:rPr>
          <w:rFonts w:eastAsia="TimesNewRoman"/>
          <w:szCs w:val="22"/>
          <w:lang w:val="sr-Latn-ME"/>
        </w:rPr>
        <w:t>ednosni profil kod d</w:t>
      </w:r>
      <w:r w:rsidR="00456FFB" w:rsidRPr="001202A2">
        <w:rPr>
          <w:rFonts w:eastAsia="TimesNewRoman"/>
          <w:szCs w:val="22"/>
          <w:lang w:val="sr-Latn-ME"/>
        </w:rPr>
        <w:t>j</w:t>
      </w:r>
      <w:r w:rsidRPr="001202A2">
        <w:rPr>
          <w:rFonts w:eastAsia="TimesNewRoman"/>
          <w:szCs w:val="22"/>
          <w:lang w:val="sr-Latn-ME"/>
        </w:rPr>
        <w:t>ece je bio sličan kao kod odraslih (vid</w:t>
      </w:r>
      <w:r w:rsidR="00456FFB" w:rsidRPr="001202A2">
        <w:rPr>
          <w:rFonts w:eastAsia="TimesNewRoman"/>
          <w:szCs w:val="22"/>
          <w:lang w:val="sr-Latn-ME"/>
        </w:rPr>
        <w:t>j</w:t>
      </w:r>
      <w:r w:rsidRPr="001202A2">
        <w:rPr>
          <w:rFonts w:eastAsia="TimesNewRoman"/>
          <w:szCs w:val="22"/>
          <w:lang w:val="sr-Latn-ME"/>
        </w:rPr>
        <w:t>eti tabelu 3). Ukupno 16,6% pedijatrijskih pacijenata sa VTE l</w:t>
      </w:r>
      <w:r w:rsidR="00456FFB" w:rsidRPr="001202A2">
        <w:rPr>
          <w:rFonts w:eastAsia="TimesNewRoman"/>
          <w:szCs w:val="22"/>
          <w:lang w:val="sr-Latn-ME"/>
        </w:rPr>
        <w:t>ij</w:t>
      </w:r>
      <w:r w:rsidRPr="001202A2">
        <w:rPr>
          <w:rFonts w:eastAsia="TimesNewRoman"/>
          <w:szCs w:val="22"/>
          <w:lang w:val="sr-Latn-ME"/>
        </w:rPr>
        <w:t>ečenih edoksabanom je imalo neželjene reakcije.</w:t>
      </w:r>
    </w:p>
    <w:p w14:paraId="0920BFEF" w14:textId="77777777" w:rsidR="00586C81" w:rsidRPr="001202A2" w:rsidRDefault="00586C81" w:rsidP="00480B31">
      <w:pPr>
        <w:tabs>
          <w:tab w:val="clear" w:pos="284"/>
        </w:tabs>
        <w:autoSpaceDE w:val="0"/>
        <w:autoSpaceDN w:val="0"/>
        <w:adjustRightInd w:val="0"/>
        <w:rPr>
          <w:szCs w:val="22"/>
          <w:lang w:val="sr-Latn-ME"/>
        </w:rPr>
      </w:pPr>
    </w:p>
    <w:p w14:paraId="162C8867" w14:textId="77777777" w:rsidR="00025C18" w:rsidRPr="001202A2" w:rsidRDefault="00025C18" w:rsidP="00480B31">
      <w:pPr>
        <w:tabs>
          <w:tab w:val="clear" w:pos="284"/>
        </w:tabs>
        <w:rPr>
          <w:rFonts w:eastAsia="Calibri"/>
          <w:szCs w:val="22"/>
          <w:u w:val="single"/>
          <w:lang w:val="sr-Latn-ME"/>
        </w:rPr>
      </w:pPr>
      <w:r w:rsidRPr="001202A2">
        <w:rPr>
          <w:rFonts w:eastAsia="Calibri"/>
          <w:szCs w:val="22"/>
          <w:u w:val="single"/>
          <w:lang w:val="sr-Latn-ME"/>
        </w:rPr>
        <w:t>Prijavljivanje sumnji na neželjena dejstva</w:t>
      </w:r>
    </w:p>
    <w:p w14:paraId="45798D71" w14:textId="2165912D" w:rsidR="00025C18" w:rsidRPr="001202A2" w:rsidRDefault="00025C18" w:rsidP="00480B31">
      <w:pPr>
        <w:tabs>
          <w:tab w:val="clear" w:pos="284"/>
        </w:tabs>
        <w:rPr>
          <w:rFonts w:eastAsia="Calibri"/>
          <w:szCs w:val="22"/>
          <w:lang w:val="sr-Latn-ME"/>
        </w:rPr>
      </w:pPr>
      <w:r w:rsidRPr="001202A2">
        <w:rPr>
          <w:rFonts w:eastAsia="Calibri"/>
          <w:szCs w:val="22"/>
          <w:lang w:val="sr-Latn-ME"/>
        </w:rPr>
        <w:t>Prijavljivanje neželjenih dejstava nakon dobijanja dozvole za lijek je od velikog značaja jer obezbjeđuje kontinuirano praćenje odnosa korist/rizik primjene lijeka. Zdravstveni radnici treba da prijave svaku sumnju na neželjeno dejstvo ovog lijeka Institutu za ljekove i medicinska sredstva (CInMED):</w:t>
      </w:r>
    </w:p>
    <w:p w14:paraId="507F2C16" w14:textId="77777777" w:rsidR="000358E8" w:rsidRPr="001202A2" w:rsidRDefault="000358E8" w:rsidP="00480B31">
      <w:pPr>
        <w:tabs>
          <w:tab w:val="clear" w:pos="284"/>
        </w:tabs>
        <w:rPr>
          <w:rFonts w:eastAsia="Calibri"/>
          <w:szCs w:val="22"/>
          <w:lang w:val="sr-Latn-ME"/>
        </w:rPr>
      </w:pPr>
    </w:p>
    <w:p w14:paraId="63340077" w14:textId="77777777" w:rsidR="00025C18" w:rsidRPr="001202A2" w:rsidRDefault="00025C18" w:rsidP="00480B31">
      <w:pPr>
        <w:tabs>
          <w:tab w:val="clear" w:pos="284"/>
        </w:tabs>
        <w:contextualSpacing/>
        <w:rPr>
          <w:rFonts w:eastAsia="Calibri"/>
          <w:szCs w:val="22"/>
          <w:lang w:val="sr-Latn-ME"/>
        </w:rPr>
      </w:pPr>
      <w:r w:rsidRPr="001202A2">
        <w:rPr>
          <w:rFonts w:eastAsia="Calibri"/>
          <w:szCs w:val="22"/>
          <w:lang w:val="sr-Latn-ME"/>
        </w:rPr>
        <w:t xml:space="preserve">Institut za ljekove i medicinska sredstva </w:t>
      </w:r>
    </w:p>
    <w:p w14:paraId="5D02BBF5" w14:textId="77777777" w:rsidR="00025C18" w:rsidRPr="001202A2" w:rsidRDefault="00025C18" w:rsidP="00480B31">
      <w:pPr>
        <w:tabs>
          <w:tab w:val="clear" w:pos="284"/>
        </w:tabs>
        <w:contextualSpacing/>
        <w:rPr>
          <w:rFonts w:eastAsia="Calibri"/>
          <w:szCs w:val="22"/>
          <w:lang w:val="sr-Latn-ME"/>
        </w:rPr>
      </w:pPr>
      <w:r w:rsidRPr="001202A2">
        <w:rPr>
          <w:rFonts w:eastAsia="Calibri"/>
          <w:szCs w:val="22"/>
          <w:lang w:val="sr-Latn-ME"/>
        </w:rPr>
        <w:t>Odjeljenje za farmakovigilancu</w:t>
      </w:r>
    </w:p>
    <w:p w14:paraId="4CF180F7" w14:textId="14D6C6A2" w:rsidR="00025C18" w:rsidRDefault="00025C18" w:rsidP="00480B31">
      <w:pPr>
        <w:tabs>
          <w:tab w:val="clear" w:pos="284"/>
        </w:tabs>
        <w:contextualSpacing/>
        <w:rPr>
          <w:rFonts w:eastAsia="Calibri"/>
          <w:szCs w:val="22"/>
          <w:lang w:val="sr-Latn-ME"/>
        </w:rPr>
      </w:pPr>
      <w:r w:rsidRPr="001202A2">
        <w:rPr>
          <w:rFonts w:eastAsia="Calibri"/>
          <w:szCs w:val="22"/>
          <w:lang w:val="sr-Latn-ME"/>
        </w:rPr>
        <w:t>Bulevar Ivana Crnojevića 64a, 81000 Podgorica</w:t>
      </w:r>
    </w:p>
    <w:p w14:paraId="0E8EED47" w14:textId="77777777" w:rsidR="001202A2" w:rsidRPr="001202A2" w:rsidRDefault="001202A2" w:rsidP="00480B31">
      <w:pPr>
        <w:tabs>
          <w:tab w:val="clear" w:pos="284"/>
        </w:tabs>
        <w:contextualSpacing/>
        <w:rPr>
          <w:rFonts w:eastAsia="Calibri"/>
          <w:szCs w:val="22"/>
          <w:lang w:val="sr-Latn-ME"/>
        </w:rPr>
      </w:pPr>
    </w:p>
    <w:p w14:paraId="67ED7133" w14:textId="77777777" w:rsidR="00025C18" w:rsidRPr="001202A2" w:rsidRDefault="00025C18" w:rsidP="00480B31">
      <w:pPr>
        <w:tabs>
          <w:tab w:val="clear" w:pos="284"/>
        </w:tabs>
        <w:contextualSpacing/>
        <w:rPr>
          <w:rFonts w:eastAsia="Calibri"/>
          <w:szCs w:val="22"/>
          <w:lang w:val="sr-Latn-ME"/>
        </w:rPr>
      </w:pPr>
      <w:r w:rsidRPr="001202A2">
        <w:rPr>
          <w:rFonts w:eastAsia="Calibri"/>
          <w:szCs w:val="22"/>
          <w:lang w:val="sr-Latn-ME"/>
        </w:rPr>
        <w:t>tel: +382 (0) 20 310 280</w:t>
      </w:r>
    </w:p>
    <w:p w14:paraId="10B7F5FB" w14:textId="77777777" w:rsidR="000358E8" w:rsidRPr="001202A2" w:rsidRDefault="00025C18" w:rsidP="00480B31">
      <w:pPr>
        <w:tabs>
          <w:tab w:val="clear" w:pos="284"/>
          <w:tab w:val="left" w:pos="6720"/>
        </w:tabs>
        <w:contextualSpacing/>
        <w:rPr>
          <w:rFonts w:eastAsia="Calibri"/>
          <w:szCs w:val="22"/>
          <w:lang w:val="sr-Latn-ME"/>
        </w:rPr>
      </w:pPr>
      <w:r w:rsidRPr="001202A2">
        <w:rPr>
          <w:rFonts w:eastAsia="Calibri"/>
          <w:szCs w:val="22"/>
          <w:lang w:val="sr-Latn-ME"/>
        </w:rPr>
        <w:t>fax: +382 (0) 20 310 581</w:t>
      </w:r>
    </w:p>
    <w:p w14:paraId="33462DDD" w14:textId="77777777" w:rsidR="00025C18" w:rsidRPr="001202A2" w:rsidRDefault="00E3044B" w:rsidP="00480B31">
      <w:pPr>
        <w:tabs>
          <w:tab w:val="clear" w:pos="284"/>
        </w:tabs>
        <w:contextualSpacing/>
        <w:rPr>
          <w:rFonts w:eastAsia="Calibri"/>
          <w:szCs w:val="22"/>
          <w:lang w:val="sr-Latn-ME"/>
        </w:rPr>
      </w:pPr>
      <w:hyperlink r:id="rId8" w:history="1">
        <w:r w:rsidR="00025C18" w:rsidRPr="001202A2">
          <w:rPr>
            <w:rFonts w:eastAsia="Calibri"/>
            <w:color w:val="0563C1"/>
            <w:szCs w:val="22"/>
            <w:u w:val="single"/>
            <w:lang w:val="sr-Latn-ME"/>
          </w:rPr>
          <w:t>www.cinmed.me</w:t>
        </w:r>
      </w:hyperlink>
    </w:p>
    <w:p w14:paraId="265A3494" w14:textId="77777777" w:rsidR="00025C18" w:rsidRPr="001202A2" w:rsidRDefault="00E3044B" w:rsidP="00480B31">
      <w:pPr>
        <w:tabs>
          <w:tab w:val="clear" w:pos="284"/>
        </w:tabs>
        <w:contextualSpacing/>
        <w:rPr>
          <w:rFonts w:eastAsia="Calibri"/>
          <w:color w:val="0000FF"/>
          <w:szCs w:val="22"/>
          <w:u w:val="single"/>
          <w:lang w:val="sr-Latn-ME"/>
        </w:rPr>
      </w:pPr>
      <w:hyperlink r:id="rId9" w:history="1">
        <w:r w:rsidR="00025C18" w:rsidRPr="001202A2">
          <w:rPr>
            <w:rFonts w:eastAsia="Calibri"/>
            <w:color w:val="0563C1"/>
            <w:szCs w:val="22"/>
            <w:u w:val="single"/>
            <w:lang w:val="sr-Latn-ME"/>
          </w:rPr>
          <w:t>nezeljenadejstva@cinmed.me</w:t>
        </w:r>
      </w:hyperlink>
    </w:p>
    <w:p w14:paraId="6D9FDB91" w14:textId="77777777" w:rsidR="00025C18" w:rsidRPr="001202A2" w:rsidRDefault="00025C18" w:rsidP="00480B31">
      <w:pPr>
        <w:tabs>
          <w:tab w:val="clear" w:pos="284"/>
        </w:tabs>
        <w:rPr>
          <w:rFonts w:eastAsia="Calibri"/>
          <w:szCs w:val="22"/>
          <w:lang w:val="sr-Latn-ME"/>
        </w:rPr>
      </w:pPr>
      <w:r w:rsidRPr="001202A2">
        <w:rPr>
          <w:rFonts w:eastAsia="Calibri"/>
          <w:szCs w:val="22"/>
          <w:lang w:val="sr-Latn-ME"/>
        </w:rPr>
        <w:t>putem IS zdravstvene zaštite</w:t>
      </w:r>
    </w:p>
    <w:p w14:paraId="28B746A8" w14:textId="1357B5DA" w:rsidR="00025C18" w:rsidRPr="001202A2" w:rsidRDefault="00025C18" w:rsidP="00480B31">
      <w:pPr>
        <w:tabs>
          <w:tab w:val="clear" w:pos="284"/>
        </w:tabs>
        <w:rPr>
          <w:rFonts w:eastAsia="Calibri"/>
          <w:szCs w:val="22"/>
          <w:lang w:val="sr-Latn-ME"/>
        </w:rPr>
      </w:pPr>
      <w:r w:rsidRPr="001202A2">
        <w:rPr>
          <w:rFonts w:eastAsia="Calibri"/>
          <w:szCs w:val="22"/>
          <w:lang w:val="sr-Latn-ME"/>
        </w:rPr>
        <w:t>QR kod za online prijavu sumnje na neželjeno dejstvo lijeka:</w:t>
      </w:r>
    </w:p>
    <w:p w14:paraId="26E81DA6" w14:textId="77777777" w:rsidR="00586C81" w:rsidRPr="001202A2" w:rsidRDefault="00586C81" w:rsidP="00480B31">
      <w:pPr>
        <w:tabs>
          <w:tab w:val="clear" w:pos="284"/>
        </w:tabs>
        <w:rPr>
          <w:rFonts w:eastAsia="Calibri"/>
          <w:szCs w:val="22"/>
          <w:lang w:val="sr-Latn-ME"/>
        </w:rPr>
      </w:pPr>
    </w:p>
    <w:p w14:paraId="1A1E73F9" w14:textId="06E5AE55" w:rsidR="00025C18" w:rsidRPr="001202A2" w:rsidRDefault="00586C81" w:rsidP="00480B31">
      <w:pPr>
        <w:tabs>
          <w:tab w:val="clear" w:pos="284"/>
        </w:tabs>
        <w:rPr>
          <w:rFonts w:eastAsia="Calibri"/>
          <w:szCs w:val="22"/>
          <w:lang w:val="sr-Latn-ME"/>
        </w:rPr>
      </w:pPr>
      <w:r w:rsidRPr="001202A2">
        <w:rPr>
          <w:b/>
          <w:bCs/>
          <w:szCs w:val="22"/>
          <w:lang w:val="sr-Latn-ME"/>
        </w:rPr>
        <w:drawing>
          <wp:inline distT="0" distB="0" distL="0" distR="0" wp14:anchorId="59254CB5" wp14:editId="48DEAB2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31C32AA" w14:textId="77777777" w:rsidR="00586C81" w:rsidRPr="001202A2" w:rsidRDefault="00586C81" w:rsidP="00480B31">
      <w:pPr>
        <w:rPr>
          <w:b/>
          <w:bCs/>
          <w:szCs w:val="22"/>
          <w:lang w:val="sr-Latn-ME"/>
        </w:rPr>
      </w:pPr>
    </w:p>
    <w:p w14:paraId="3D711117" w14:textId="23065A1F" w:rsidR="00CE09F3" w:rsidRPr="001202A2" w:rsidRDefault="00CE09F3" w:rsidP="00480B31">
      <w:pPr>
        <w:pStyle w:val="ListParagraph"/>
        <w:numPr>
          <w:ilvl w:val="1"/>
          <w:numId w:val="12"/>
        </w:numPr>
        <w:rPr>
          <w:b/>
          <w:bCs/>
          <w:szCs w:val="22"/>
          <w:lang w:val="sr-Latn-ME"/>
        </w:rPr>
      </w:pPr>
      <w:r w:rsidRPr="001202A2">
        <w:rPr>
          <w:b/>
          <w:bCs/>
          <w:szCs w:val="22"/>
          <w:lang w:val="sr-Latn-ME"/>
        </w:rPr>
        <w:t>Predoziranje</w:t>
      </w:r>
    </w:p>
    <w:p w14:paraId="3570A07A" w14:textId="77777777" w:rsidR="00586C81" w:rsidRPr="001202A2" w:rsidRDefault="00586C81" w:rsidP="00480B31">
      <w:pPr>
        <w:pStyle w:val="ListParagraph"/>
        <w:ind w:left="765"/>
        <w:rPr>
          <w:b/>
          <w:bCs/>
          <w:szCs w:val="22"/>
          <w:lang w:val="sr-Latn-ME"/>
        </w:rPr>
      </w:pPr>
    </w:p>
    <w:p w14:paraId="066CFFF8" w14:textId="7E12430A" w:rsidR="00EE2212"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Predoziranje edoksabanom može dovesti do krvarenja. Iskustvo sa slučajevima predoziranja vrlo je ograničeno.</w:t>
      </w:r>
    </w:p>
    <w:p w14:paraId="1DA2D351"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1EA478A1" w14:textId="35EACAA1" w:rsidR="00EE2212" w:rsidRPr="001202A2" w:rsidRDefault="000E726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lastRenderedPageBreak/>
        <w:t>Nije dostupan s</w:t>
      </w:r>
      <w:r w:rsidR="00EE2212" w:rsidRPr="001202A2">
        <w:rPr>
          <w:rFonts w:eastAsia="TimesNewRoman"/>
          <w:szCs w:val="22"/>
          <w:lang w:val="sr-Latn-ME"/>
        </w:rPr>
        <w:t>pecifič</w:t>
      </w:r>
      <w:r w:rsidRPr="001202A2">
        <w:rPr>
          <w:rFonts w:eastAsia="TimesNewRoman"/>
          <w:szCs w:val="22"/>
          <w:lang w:val="sr-Latn-ME"/>
        </w:rPr>
        <w:t>an</w:t>
      </w:r>
      <w:r w:rsidR="00EE2212" w:rsidRPr="001202A2">
        <w:rPr>
          <w:rFonts w:eastAsia="TimesNewRoman"/>
          <w:szCs w:val="22"/>
          <w:lang w:val="sr-Latn-ME"/>
        </w:rPr>
        <w:t xml:space="preserve"> antidot za poništavanje farmakodinamskih dejstava edoksabana.</w:t>
      </w:r>
    </w:p>
    <w:p w14:paraId="0B6C610D"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2102D6EF" w14:textId="6D282F92" w:rsidR="00EE2212"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slučaju predoziranja edoksabanom</w:t>
      </w:r>
      <w:r w:rsidR="00457F11" w:rsidRPr="001202A2">
        <w:rPr>
          <w:rFonts w:eastAsia="TimesNewRoman"/>
          <w:szCs w:val="22"/>
          <w:lang w:val="sr-Latn-ME"/>
        </w:rPr>
        <w:t>,</w:t>
      </w:r>
      <w:r w:rsidRPr="001202A2">
        <w:rPr>
          <w:rFonts w:eastAsia="TimesNewRoman"/>
          <w:szCs w:val="22"/>
          <w:lang w:val="sr-Latn-ME"/>
        </w:rPr>
        <w:t xml:space="preserve"> može se razmotriti rana prim</w:t>
      </w:r>
      <w:r w:rsidR="007226D5" w:rsidRPr="001202A2">
        <w:rPr>
          <w:rFonts w:eastAsia="TimesNewRoman"/>
          <w:szCs w:val="22"/>
          <w:lang w:val="sr-Latn-ME"/>
        </w:rPr>
        <w:t>j</w:t>
      </w:r>
      <w:r w:rsidRPr="001202A2">
        <w:rPr>
          <w:rFonts w:eastAsia="TimesNewRoman"/>
          <w:szCs w:val="22"/>
          <w:lang w:val="sr-Latn-ME"/>
        </w:rPr>
        <w:t>ena aktivnog uglja, kako bi se smanjila resorpcija. Ov</w:t>
      </w:r>
      <w:r w:rsidR="00457F11" w:rsidRPr="001202A2">
        <w:rPr>
          <w:rFonts w:eastAsia="TimesNewRoman"/>
          <w:szCs w:val="22"/>
          <w:lang w:val="sr-Latn-ME"/>
        </w:rPr>
        <w:t xml:space="preserve">o se </w:t>
      </w:r>
      <w:r w:rsidRPr="001202A2">
        <w:rPr>
          <w:rFonts w:eastAsia="TimesNewRoman"/>
          <w:szCs w:val="22"/>
          <w:lang w:val="sr-Latn-ME"/>
        </w:rPr>
        <w:t>preporu</w:t>
      </w:r>
      <w:r w:rsidR="00457F11" w:rsidRPr="001202A2">
        <w:rPr>
          <w:rFonts w:eastAsia="TimesNewRoman"/>
          <w:szCs w:val="22"/>
          <w:lang w:val="sr-Latn-ME"/>
        </w:rPr>
        <w:t>čuje na osnovu</w:t>
      </w:r>
      <w:r w:rsidRPr="001202A2">
        <w:rPr>
          <w:rFonts w:eastAsia="TimesNewRoman"/>
          <w:szCs w:val="22"/>
          <w:lang w:val="sr-Latn-ME"/>
        </w:rPr>
        <w:t xml:space="preserve"> standardno</w:t>
      </w:r>
      <w:r w:rsidR="00457F11" w:rsidRPr="001202A2">
        <w:rPr>
          <w:rFonts w:eastAsia="TimesNewRoman"/>
          <w:szCs w:val="22"/>
          <w:lang w:val="sr-Latn-ME"/>
        </w:rPr>
        <w:t>g</w:t>
      </w:r>
      <w:r w:rsidRPr="001202A2">
        <w:rPr>
          <w:rFonts w:eastAsia="TimesNewRoman"/>
          <w:szCs w:val="22"/>
          <w:lang w:val="sr-Latn-ME"/>
        </w:rPr>
        <w:t xml:space="preserve"> l</w:t>
      </w:r>
      <w:r w:rsidR="007226D5" w:rsidRPr="001202A2">
        <w:rPr>
          <w:rFonts w:eastAsia="TimesNewRoman"/>
          <w:szCs w:val="22"/>
          <w:lang w:val="sr-Latn-ME"/>
        </w:rPr>
        <w:t>ij</w:t>
      </w:r>
      <w:r w:rsidRPr="001202A2">
        <w:rPr>
          <w:rFonts w:eastAsia="TimesNewRoman"/>
          <w:szCs w:val="22"/>
          <w:lang w:val="sr-Latn-ME"/>
        </w:rPr>
        <w:t>ečenj</w:t>
      </w:r>
      <w:r w:rsidR="00457F11" w:rsidRPr="001202A2">
        <w:rPr>
          <w:rFonts w:eastAsia="TimesNewRoman"/>
          <w:szCs w:val="22"/>
          <w:lang w:val="sr-Latn-ME"/>
        </w:rPr>
        <w:t>a</w:t>
      </w:r>
      <w:r w:rsidRPr="001202A2">
        <w:rPr>
          <w:rFonts w:eastAsia="TimesNewRoman"/>
          <w:szCs w:val="22"/>
          <w:lang w:val="sr-Latn-ME"/>
        </w:rPr>
        <w:t xml:space="preserve"> predoziranja l</w:t>
      </w:r>
      <w:r w:rsidR="007226D5" w:rsidRPr="001202A2">
        <w:rPr>
          <w:rFonts w:eastAsia="TimesNewRoman"/>
          <w:szCs w:val="22"/>
          <w:lang w:val="sr-Latn-ME"/>
        </w:rPr>
        <w:t>j</w:t>
      </w:r>
      <w:r w:rsidRPr="001202A2">
        <w:rPr>
          <w:rFonts w:eastAsia="TimesNewRoman"/>
          <w:szCs w:val="22"/>
          <w:lang w:val="sr-Latn-ME"/>
        </w:rPr>
        <w:t>eko</w:t>
      </w:r>
      <w:r w:rsidR="00457F11" w:rsidRPr="001202A2">
        <w:rPr>
          <w:rFonts w:eastAsia="TimesNewRoman"/>
          <w:szCs w:val="22"/>
          <w:lang w:val="sr-Latn-ME"/>
        </w:rPr>
        <w:t>vima</w:t>
      </w:r>
      <w:r w:rsidRPr="001202A2">
        <w:rPr>
          <w:rFonts w:eastAsia="TimesNewRoman"/>
          <w:szCs w:val="22"/>
          <w:lang w:val="sr-Latn-ME"/>
        </w:rPr>
        <w:t xml:space="preserve"> i </w:t>
      </w:r>
      <w:r w:rsidR="00457F11" w:rsidRPr="001202A2">
        <w:rPr>
          <w:rFonts w:eastAsia="TimesNewRoman"/>
          <w:szCs w:val="22"/>
          <w:lang w:val="sr-Latn-ME"/>
        </w:rPr>
        <w:t>dostupnih podataka</w:t>
      </w:r>
      <w:r w:rsidRPr="001202A2">
        <w:rPr>
          <w:rFonts w:eastAsia="TimesNewRoman"/>
          <w:szCs w:val="22"/>
          <w:lang w:val="sr-Latn-ME"/>
        </w:rPr>
        <w:t xml:space="preserve"> za slična jedinjenja, </w:t>
      </w:r>
      <w:r w:rsidR="00457F11" w:rsidRPr="001202A2">
        <w:rPr>
          <w:rFonts w:eastAsia="TimesNewRoman"/>
          <w:szCs w:val="22"/>
          <w:lang w:val="sr-Latn-ME"/>
        </w:rPr>
        <w:t>pošto</w:t>
      </w:r>
      <w:r w:rsidRPr="001202A2">
        <w:rPr>
          <w:rFonts w:eastAsia="TimesNewRoman"/>
          <w:szCs w:val="22"/>
          <w:lang w:val="sr-Latn-ME"/>
        </w:rPr>
        <w:t xml:space="preserve"> prim</w:t>
      </w:r>
      <w:r w:rsidR="007226D5" w:rsidRPr="001202A2">
        <w:rPr>
          <w:rFonts w:eastAsia="TimesNewRoman"/>
          <w:szCs w:val="22"/>
          <w:lang w:val="sr-Latn-ME"/>
        </w:rPr>
        <w:t>j</w:t>
      </w:r>
      <w:r w:rsidRPr="001202A2">
        <w:rPr>
          <w:rFonts w:eastAsia="TimesNewRoman"/>
          <w:szCs w:val="22"/>
          <w:lang w:val="sr-Latn-ME"/>
        </w:rPr>
        <w:t xml:space="preserve">ena aktivnog uglja </w:t>
      </w:r>
      <w:r w:rsidR="00457F11" w:rsidRPr="001202A2">
        <w:rPr>
          <w:rFonts w:eastAsia="TimesNewRoman"/>
          <w:szCs w:val="22"/>
          <w:lang w:val="sr-Latn-ME"/>
        </w:rPr>
        <w:t>za</w:t>
      </w:r>
      <w:r w:rsidRPr="001202A2">
        <w:rPr>
          <w:rFonts w:eastAsia="TimesNewRoman"/>
          <w:szCs w:val="22"/>
          <w:lang w:val="sr-Latn-ME"/>
        </w:rPr>
        <w:t xml:space="preserve"> smanjenj</w:t>
      </w:r>
      <w:r w:rsidR="00457F11" w:rsidRPr="001202A2">
        <w:rPr>
          <w:rFonts w:eastAsia="TimesNewRoman"/>
          <w:szCs w:val="22"/>
          <w:lang w:val="sr-Latn-ME"/>
        </w:rPr>
        <w:t>e</w:t>
      </w:r>
      <w:r w:rsidRPr="001202A2">
        <w:rPr>
          <w:rFonts w:eastAsia="TimesNewRoman"/>
          <w:szCs w:val="22"/>
          <w:lang w:val="sr-Latn-ME"/>
        </w:rPr>
        <w:t xml:space="preserve"> resorpcije edoksabana nije posebno </w:t>
      </w:r>
      <w:r w:rsidR="00457F11" w:rsidRPr="001202A2">
        <w:rPr>
          <w:rFonts w:eastAsia="TimesNewRoman"/>
          <w:szCs w:val="22"/>
          <w:lang w:val="sr-Latn-ME"/>
        </w:rPr>
        <w:t>ispitana</w:t>
      </w:r>
      <w:r w:rsidRPr="001202A2">
        <w:rPr>
          <w:rFonts w:eastAsia="TimesNewRoman"/>
          <w:szCs w:val="22"/>
          <w:lang w:val="sr-Latn-ME"/>
        </w:rPr>
        <w:t xml:space="preserve"> u </w:t>
      </w:r>
      <w:r w:rsidR="00EC0B0C" w:rsidRPr="001202A2">
        <w:rPr>
          <w:rFonts w:eastAsia="TimesNewRoman"/>
          <w:szCs w:val="22"/>
          <w:lang w:val="sr-Latn-ME"/>
        </w:rPr>
        <w:t xml:space="preserve">kliničkim studijama </w:t>
      </w:r>
      <w:r w:rsidRPr="001202A2">
        <w:rPr>
          <w:rFonts w:eastAsia="TimesNewRoman"/>
          <w:szCs w:val="22"/>
          <w:lang w:val="sr-Latn-ME"/>
        </w:rPr>
        <w:t>edoksabana.</w:t>
      </w:r>
    </w:p>
    <w:p w14:paraId="39B5EA80"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5C4F2388" w14:textId="1695B183" w:rsidR="00EE2212" w:rsidRPr="001202A2" w:rsidRDefault="00EE2212" w:rsidP="00480B31">
      <w:pPr>
        <w:rPr>
          <w:rFonts w:eastAsia="TimesNewRoman"/>
          <w:szCs w:val="22"/>
          <w:u w:val="single"/>
          <w:lang w:val="sr-Latn-ME"/>
        </w:rPr>
      </w:pPr>
      <w:r w:rsidRPr="001202A2">
        <w:rPr>
          <w:rFonts w:eastAsia="TimesNewRoman"/>
          <w:szCs w:val="22"/>
          <w:u w:val="single"/>
          <w:lang w:val="sr-Latn-ME"/>
        </w:rPr>
        <w:t>L</w:t>
      </w:r>
      <w:r w:rsidR="007226D5" w:rsidRPr="001202A2">
        <w:rPr>
          <w:rFonts w:eastAsia="TimesNewRoman"/>
          <w:szCs w:val="22"/>
          <w:u w:val="single"/>
          <w:lang w:val="sr-Latn-ME"/>
        </w:rPr>
        <w:t>ij</w:t>
      </w:r>
      <w:r w:rsidRPr="001202A2">
        <w:rPr>
          <w:rFonts w:eastAsia="TimesNewRoman"/>
          <w:szCs w:val="22"/>
          <w:u w:val="single"/>
          <w:lang w:val="sr-Latn-ME"/>
        </w:rPr>
        <w:t>ečenje krvarenja</w:t>
      </w:r>
    </w:p>
    <w:p w14:paraId="47C7330A" w14:textId="4E6ED739" w:rsidR="00EE2212"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Ukoliko kod pacijenta </w:t>
      </w:r>
      <w:r w:rsidR="00D11D9C" w:rsidRPr="001202A2">
        <w:rPr>
          <w:rFonts w:eastAsia="TimesNewRoman"/>
          <w:szCs w:val="22"/>
          <w:lang w:val="sr-Latn-ME"/>
        </w:rPr>
        <w:t xml:space="preserve">koji koristi edoksaban </w:t>
      </w:r>
      <w:r w:rsidRPr="001202A2">
        <w:rPr>
          <w:rFonts w:eastAsia="TimesNewRoman"/>
          <w:szCs w:val="22"/>
          <w:lang w:val="sr-Latn-ME"/>
        </w:rPr>
        <w:t>nastupi</w:t>
      </w:r>
      <w:r w:rsidR="00D11D9C" w:rsidRPr="001202A2">
        <w:rPr>
          <w:rFonts w:eastAsia="TimesNewRoman"/>
          <w:szCs w:val="22"/>
          <w:lang w:val="sr-Latn-ME"/>
        </w:rPr>
        <w:t xml:space="preserve"> komplikacija</w:t>
      </w:r>
      <w:r w:rsidRPr="001202A2">
        <w:rPr>
          <w:rFonts w:eastAsia="TimesNewRoman"/>
          <w:szCs w:val="22"/>
          <w:lang w:val="sr-Latn-ME"/>
        </w:rPr>
        <w:t xml:space="preserve"> </w:t>
      </w:r>
      <w:r w:rsidR="00D11D9C" w:rsidRPr="001202A2">
        <w:rPr>
          <w:rFonts w:eastAsia="TimesNewRoman"/>
          <w:szCs w:val="22"/>
          <w:lang w:val="sr-Latn-ME"/>
        </w:rPr>
        <w:t>krvarenja</w:t>
      </w:r>
      <w:r w:rsidRPr="001202A2">
        <w:rPr>
          <w:rFonts w:eastAsia="TimesNewRoman"/>
          <w:szCs w:val="22"/>
          <w:lang w:val="sr-Latn-ME"/>
        </w:rPr>
        <w:t xml:space="preserve">, </w:t>
      </w:r>
      <w:r w:rsidR="00BC4CD8" w:rsidRPr="001202A2">
        <w:rPr>
          <w:rFonts w:eastAsia="TimesNewRoman"/>
          <w:szCs w:val="22"/>
          <w:lang w:val="sr-Latn-ME"/>
        </w:rPr>
        <w:t>sl</w:t>
      </w:r>
      <w:r w:rsidR="007226D5" w:rsidRPr="001202A2">
        <w:rPr>
          <w:rFonts w:eastAsia="TimesNewRoman"/>
          <w:szCs w:val="22"/>
          <w:lang w:val="sr-Latn-ME"/>
        </w:rPr>
        <w:t>j</w:t>
      </w:r>
      <w:r w:rsidR="00BC4CD8" w:rsidRPr="001202A2">
        <w:rPr>
          <w:rFonts w:eastAsia="TimesNewRoman"/>
          <w:szCs w:val="22"/>
          <w:lang w:val="sr-Latn-ME"/>
        </w:rPr>
        <w:t>edeću dozu edoksabana treba</w:t>
      </w:r>
      <w:r w:rsidRPr="001202A2">
        <w:rPr>
          <w:rFonts w:eastAsia="TimesNewRoman"/>
          <w:szCs w:val="22"/>
          <w:lang w:val="sr-Latn-ME"/>
        </w:rPr>
        <w:t xml:space="preserve"> odložiti ili po potrebi prekinuti l</w:t>
      </w:r>
      <w:r w:rsidR="007226D5" w:rsidRPr="001202A2">
        <w:rPr>
          <w:rFonts w:eastAsia="TimesNewRoman"/>
          <w:szCs w:val="22"/>
          <w:lang w:val="sr-Latn-ME"/>
        </w:rPr>
        <w:t>ij</w:t>
      </w:r>
      <w:r w:rsidRPr="001202A2">
        <w:rPr>
          <w:rFonts w:eastAsia="TimesNewRoman"/>
          <w:szCs w:val="22"/>
          <w:lang w:val="sr-Latn-ME"/>
        </w:rPr>
        <w:t xml:space="preserve">ečenje. </w:t>
      </w:r>
      <w:r w:rsidR="00BC4CD8" w:rsidRPr="001202A2">
        <w:rPr>
          <w:rFonts w:eastAsia="TimesNewRoman"/>
          <w:szCs w:val="22"/>
          <w:lang w:val="sr-Latn-ME"/>
        </w:rPr>
        <w:t>P</w:t>
      </w:r>
      <w:r w:rsidRPr="001202A2">
        <w:rPr>
          <w:rFonts w:eastAsia="TimesNewRoman"/>
          <w:szCs w:val="22"/>
          <w:lang w:val="sr-Latn-ME"/>
        </w:rPr>
        <w:t>oluvr</w:t>
      </w:r>
      <w:r w:rsidR="007226D5" w:rsidRPr="001202A2">
        <w:rPr>
          <w:rFonts w:eastAsia="TimesNewRoman"/>
          <w:szCs w:val="22"/>
          <w:lang w:val="sr-Latn-ME"/>
        </w:rPr>
        <w:t>ij</w:t>
      </w:r>
      <w:r w:rsidRPr="001202A2">
        <w:rPr>
          <w:rFonts w:eastAsia="TimesNewRoman"/>
          <w:szCs w:val="22"/>
          <w:lang w:val="sr-Latn-ME"/>
        </w:rPr>
        <w:t>eme eliminacije</w:t>
      </w:r>
      <w:r w:rsidR="00BC4CD8" w:rsidRPr="001202A2">
        <w:rPr>
          <w:rFonts w:eastAsia="TimesNewRoman"/>
          <w:szCs w:val="22"/>
          <w:lang w:val="sr-Latn-ME"/>
        </w:rPr>
        <w:t xml:space="preserve"> edoksabana</w:t>
      </w:r>
      <w:r w:rsidRPr="001202A2">
        <w:rPr>
          <w:rFonts w:eastAsia="TimesNewRoman"/>
          <w:szCs w:val="22"/>
          <w:lang w:val="sr-Latn-ME"/>
        </w:rPr>
        <w:t xml:space="preserve"> </w:t>
      </w:r>
      <w:r w:rsidR="00BC4CD8" w:rsidRPr="001202A2">
        <w:rPr>
          <w:rFonts w:eastAsia="TimesNewRoman"/>
          <w:szCs w:val="22"/>
          <w:lang w:val="sr-Latn-ME"/>
        </w:rPr>
        <w:t>je</w:t>
      </w:r>
      <w:r w:rsidRPr="001202A2">
        <w:rPr>
          <w:rFonts w:eastAsia="TimesNewRoman"/>
          <w:szCs w:val="22"/>
          <w:lang w:val="sr-Latn-ME"/>
        </w:rPr>
        <w:t xml:space="preserve"> približno 10 do 14 sati (vid</w:t>
      </w:r>
      <w:r w:rsidR="007226D5" w:rsidRPr="001202A2">
        <w:rPr>
          <w:rFonts w:eastAsia="TimesNewRoman"/>
          <w:szCs w:val="22"/>
          <w:lang w:val="sr-Latn-ME"/>
        </w:rPr>
        <w:t>j</w:t>
      </w:r>
      <w:r w:rsidRPr="001202A2">
        <w:rPr>
          <w:rFonts w:eastAsia="TimesNewRoman"/>
          <w:szCs w:val="22"/>
          <w:lang w:val="sr-Latn-ME"/>
        </w:rPr>
        <w:t xml:space="preserve">eti </w:t>
      </w:r>
      <w:r w:rsidR="007226D5" w:rsidRPr="001202A2">
        <w:rPr>
          <w:rFonts w:eastAsia="TimesNewRoman"/>
          <w:szCs w:val="22"/>
          <w:lang w:val="sr-Latn-ME"/>
        </w:rPr>
        <w:t>dio</w:t>
      </w:r>
      <w:r w:rsidRPr="001202A2">
        <w:rPr>
          <w:rFonts w:eastAsia="TimesNewRoman"/>
          <w:szCs w:val="22"/>
          <w:lang w:val="sr-Latn-ME"/>
        </w:rPr>
        <w:t xml:space="preserve"> 5.2). L</w:t>
      </w:r>
      <w:r w:rsidR="007226D5" w:rsidRPr="001202A2">
        <w:rPr>
          <w:rFonts w:eastAsia="TimesNewRoman"/>
          <w:szCs w:val="22"/>
          <w:lang w:val="sr-Latn-ME"/>
        </w:rPr>
        <w:t>ij</w:t>
      </w:r>
      <w:r w:rsidRPr="001202A2">
        <w:rPr>
          <w:rFonts w:eastAsia="TimesNewRoman"/>
          <w:szCs w:val="22"/>
          <w:lang w:val="sr-Latn-ME"/>
        </w:rPr>
        <w:t>ečenje treba prilagoditi svakom pacijentu u skladu sa težinom i m</w:t>
      </w:r>
      <w:r w:rsidR="007226D5" w:rsidRPr="001202A2">
        <w:rPr>
          <w:rFonts w:eastAsia="TimesNewRoman"/>
          <w:szCs w:val="22"/>
          <w:lang w:val="sr-Latn-ME"/>
        </w:rPr>
        <w:t>j</w:t>
      </w:r>
      <w:r w:rsidRPr="001202A2">
        <w:rPr>
          <w:rFonts w:eastAsia="TimesNewRoman"/>
          <w:szCs w:val="22"/>
          <w:lang w:val="sr-Latn-ME"/>
        </w:rPr>
        <w:t>estom krvarenja. Po potrebi se može prim</w:t>
      </w:r>
      <w:r w:rsidR="007226D5" w:rsidRPr="001202A2">
        <w:rPr>
          <w:rFonts w:eastAsia="TimesNewRoman"/>
          <w:szCs w:val="22"/>
          <w:lang w:val="sr-Latn-ME"/>
        </w:rPr>
        <w:t>ij</w:t>
      </w:r>
      <w:r w:rsidRPr="001202A2">
        <w:rPr>
          <w:rFonts w:eastAsia="TimesNewRoman"/>
          <w:szCs w:val="22"/>
          <w:lang w:val="sr-Latn-ME"/>
        </w:rPr>
        <w:t>eniti odgovarajuć</w:t>
      </w:r>
      <w:r w:rsidR="00BC4CD8" w:rsidRPr="001202A2">
        <w:rPr>
          <w:rFonts w:eastAsia="TimesNewRoman"/>
          <w:szCs w:val="22"/>
          <w:lang w:val="sr-Latn-ME"/>
        </w:rPr>
        <w:t>a</w:t>
      </w:r>
      <w:r w:rsidRPr="001202A2">
        <w:rPr>
          <w:rFonts w:eastAsia="TimesNewRoman"/>
          <w:szCs w:val="22"/>
          <w:lang w:val="sr-Latn-ME"/>
        </w:rPr>
        <w:t xml:space="preserve"> simptomatsk</w:t>
      </w:r>
      <w:r w:rsidR="00BC4CD8" w:rsidRPr="001202A2">
        <w:rPr>
          <w:rFonts w:eastAsia="TimesNewRoman"/>
          <w:szCs w:val="22"/>
          <w:lang w:val="sr-Latn-ME"/>
        </w:rPr>
        <w:t>a</w:t>
      </w:r>
      <w:r w:rsidRPr="001202A2">
        <w:rPr>
          <w:rFonts w:eastAsia="TimesNewRoman"/>
          <w:szCs w:val="22"/>
          <w:lang w:val="sr-Latn-ME"/>
        </w:rPr>
        <w:t xml:space="preserve"> </w:t>
      </w:r>
      <w:r w:rsidR="00BC4CD8" w:rsidRPr="001202A2">
        <w:rPr>
          <w:rFonts w:eastAsia="TimesNewRoman"/>
          <w:szCs w:val="22"/>
          <w:lang w:val="sr-Latn-ME"/>
        </w:rPr>
        <w:t>terapija</w:t>
      </w:r>
      <w:r w:rsidRPr="001202A2">
        <w:rPr>
          <w:rFonts w:eastAsia="TimesNewRoman"/>
          <w:szCs w:val="22"/>
          <w:lang w:val="sr-Latn-ME"/>
        </w:rPr>
        <w:t xml:space="preserve">, kao što </w:t>
      </w:r>
      <w:r w:rsidR="00BC4CD8" w:rsidRPr="001202A2">
        <w:rPr>
          <w:rFonts w:eastAsia="TimesNewRoman"/>
          <w:szCs w:val="22"/>
          <w:lang w:val="sr-Latn-ME"/>
        </w:rPr>
        <w:t>je</w:t>
      </w:r>
      <w:r w:rsidRPr="001202A2">
        <w:rPr>
          <w:rFonts w:eastAsia="TimesNewRoman"/>
          <w:szCs w:val="22"/>
          <w:lang w:val="sr-Latn-ME"/>
        </w:rPr>
        <w:t xml:space="preserve"> mehanička kompresija (npr. kod teške epistakse), hirurška hemostaza uz postupke kontrole krvarenja, nadoknada tečnosti i hemodinamska podrška, </w:t>
      </w:r>
      <w:r w:rsidR="00591405" w:rsidRPr="001202A2">
        <w:rPr>
          <w:rFonts w:eastAsia="TimesNewRoman"/>
          <w:szCs w:val="22"/>
          <w:lang w:val="sr-Latn-ME"/>
        </w:rPr>
        <w:t>derivati</w:t>
      </w:r>
      <w:r w:rsidRPr="001202A2">
        <w:rPr>
          <w:rFonts w:eastAsia="TimesNewRoman"/>
          <w:szCs w:val="22"/>
          <w:lang w:val="sr-Latn-ME"/>
        </w:rPr>
        <w:t xml:space="preserve"> krvi (koncentrat eritrocita ili sv</w:t>
      </w:r>
      <w:r w:rsidR="007226D5" w:rsidRPr="001202A2">
        <w:rPr>
          <w:rFonts w:eastAsia="TimesNewRoman"/>
          <w:szCs w:val="22"/>
          <w:lang w:val="sr-Latn-ME"/>
        </w:rPr>
        <w:t>j</w:t>
      </w:r>
      <w:r w:rsidRPr="001202A2">
        <w:rPr>
          <w:rFonts w:eastAsia="TimesNewRoman"/>
          <w:szCs w:val="22"/>
          <w:lang w:val="sr-Latn-ME"/>
        </w:rPr>
        <w:t xml:space="preserve">eže zamrznuta plazma, u zavisnosti od </w:t>
      </w:r>
      <w:r w:rsidR="00BC4CD8" w:rsidRPr="001202A2">
        <w:rPr>
          <w:rFonts w:eastAsia="TimesNewRoman"/>
          <w:szCs w:val="22"/>
          <w:lang w:val="sr-Latn-ME"/>
        </w:rPr>
        <w:t>pridružene</w:t>
      </w:r>
      <w:r w:rsidRPr="001202A2">
        <w:rPr>
          <w:rFonts w:eastAsia="TimesNewRoman"/>
          <w:szCs w:val="22"/>
          <w:lang w:val="sr-Latn-ME"/>
        </w:rPr>
        <w:t xml:space="preserve"> anemije ili koagulopatije) ili trombociti.</w:t>
      </w:r>
    </w:p>
    <w:p w14:paraId="0D43817F"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5A7A7156" w14:textId="5C0A11B0" w:rsidR="00EE2212"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Kod životno ugrožavajućeg krvarenja koje se ne može </w:t>
      </w:r>
      <w:r w:rsidR="00BC4CD8" w:rsidRPr="001202A2">
        <w:rPr>
          <w:rFonts w:eastAsia="TimesNewRoman"/>
          <w:szCs w:val="22"/>
          <w:lang w:val="sr-Latn-ME"/>
        </w:rPr>
        <w:t>sanirati</w:t>
      </w:r>
      <w:r w:rsidRPr="001202A2">
        <w:rPr>
          <w:rFonts w:eastAsia="TimesNewRoman"/>
          <w:szCs w:val="22"/>
          <w:lang w:val="sr-Latn-ME"/>
        </w:rPr>
        <w:t xml:space="preserve"> pomoću m</w:t>
      </w:r>
      <w:r w:rsidR="007226D5" w:rsidRPr="001202A2">
        <w:rPr>
          <w:rFonts w:eastAsia="TimesNewRoman"/>
          <w:szCs w:val="22"/>
          <w:lang w:val="sr-Latn-ME"/>
        </w:rPr>
        <w:t>j</w:t>
      </w:r>
      <w:r w:rsidRPr="001202A2">
        <w:rPr>
          <w:rFonts w:eastAsia="TimesNewRoman"/>
          <w:szCs w:val="22"/>
          <w:lang w:val="sr-Latn-ME"/>
        </w:rPr>
        <w:t>era kao što su transfuzija ili hemostaza, pokazalo se da prim</w:t>
      </w:r>
      <w:r w:rsidR="007226D5" w:rsidRPr="001202A2">
        <w:rPr>
          <w:rFonts w:eastAsia="TimesNewRoman"/>
          <w:szCs w:val="22"/>
          <w:lang w:val="sr-Latn-ME"/>
        </w:rPr>
        <w:t>j</w:t>
      </w:r>
      <w:r w:rsidRPr="001202A2">
        <w:rPr>
          <w:rFonts w:eastAsia="TimesNewRoman"/>
          <w:szCs w:val="22"/>
          <w:lang w:val="sr-Latn-ME"/>
        </w:rPr>
        <w:t xml:space="preserve">ena koncentrata protrombinskog kompleksa (engl. </w:t>
      </w:r>
      <w:r w:rsidRPr="001202A2">
        <w:rPr>
          <w:rFonts w:eastAsia="TimesNewRoman"/>
          <w:i/>
          <w:iCs/>
          <w:szCs w:val="22"/>
          <w:lang w:val="sr-Latn-ME"/>
        </w:rPr>
        <w:t xml:space="preserve">prothrombin complex concentrate, </w:t>
      </w:r>
      <w:r w:rsidRPr="001202A2">
        <w:rPr>
          <w:rFonts w:eastAsia="TimesNewRoman"/>
          <w:szCs w:val="22"/>
          <w:lang w:val="sr-Latn-ME"/>
        </w:rPr>
        <w:t>PCC) sa 4 faktora u dozi od 50 i.j./kg poništava efekte edoksabana 30 minuta nakon završetka infuzije.</w:t>
      </w:r>
    </w:p>
    <w:p w14:paraId="0955838D"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0568F4DD" w14:textId="02A48469" w:rsidR="00EE2212"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Može se razmotriti i prim</w:t>
      </w:r>
      <w:r w:rsidR="007226D5" w:rsidRPr="001202A2">
        <w:rPr>
          <w:rFonts w:eastAsia="TimesNewRoman"/>
          <w:szCs w:val="22"/>
          <w:lang w:val="sr-Latn-ME"/>
        </w:rPr>
        <w:t>j</w:t>
      </w:r>
      <w:r w:rsidRPr="001202A2">
        <w:rPr>
          <w:rFonts w:eastAsia="TimesNewRoman"/>
          <w:szCs w:val="22"/>
          <w:lang w:val="sr-Latn-ME"/>
        </w:rPr>
        <w:t xml:space="preserve">ena rekombinantnog faktora VIIa (r-FVIIa). Međutim, </w:t>
      </w:r>
      <w:r w:rsidR="00BC4CD8" w:rsidRPr="001202A2">
        <w:rPr>
          <w:rFonts w:eastAsia="TimesNewRoman"/>
          <w:szCs w:val="22"/>
          <w:lang w:val="sr-Latn-ME"/>
        </w:rPr>
        <w:t xml:space="preserve">ograničeno je </w:t>
      </w:r>
      <w:r w:rsidRPr="001202A2">
        <w:rPr>
          <w:rFonts w:eastAsia="TimesNewRoman"/>
          <w:szCs w:val="22"/>
          <w:lang w:val="sr-Latn-ME"/>
        </w:rPr>
        <w:t>kliničko iskustvo prim</w:t>
      </w:r>
      <w:r w:rsidR="007226D5" w:rsidRPr="001202A2">
        <w:rPr>
          <w:rFonts w:eastAsia="TimesNewRoman"/>
          <w:szCs w:val="22"/>
          <w:lang w:val="sr-Latn-ME"/>
        </w:rPr>
        <w:t>j</w:t>
      </w:r>
      <w:r w:rsidRPr="001202A2">
        <w:rPr>
          <w:rFonts w:eastAsia="TimesNewRoman"/>
          <w:szCs w:val="22"/>
          <w:lang w:val="sr-Latn-ME"/>
        </w:rPr>
        <w:t xml:space="preserve">ene ovog preparata kod osoba koje </w:t>
      </w:r>
      <w:r w:rsidR="00BC4CD8" w:rsidRPr="001202A2">
        <w:rPr>
          <w:rFonts w:eastAsia="TimesNewRoman"/>
          <w:szCs w:val="22"/>
          <w:lang w:val="sr-Latn-ME"/>
        </w:rPr>
        <w:t>koriste</w:t>
      </w:r>
      <w:r w:rsidRPr="001202A2">
        <w:rPr>
          <w:rFonts w:eastAsia="TimesNewRoman"/>
          <w:szCs w:val="22"/>
          <w:lang w:val="sr-Latn-ME"/>
        </w:rPr>
        <w:t xml:space="preserve"> edoksaban.</w:t>
      </w:r>
    </w:p>
    <w:p w14:paraId="7C786677"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0CE2683A" w14:textId="14B4CA69" w:rsidR="00EE2212"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slučaju velikih krvarenja, </w:t>
      </w:r>
      <w:r w:rsidR="00BC4CD8" w:rsidRPr="001202A2">
        <w:rPr>
          <w:rFonts w:eastAsia="TimesNewRoman"/>
          <w:szCs w:val="22"/>
          <w:lang w:val="sr-Latn-ME"/>
        </w:rPr>
        <w:t>treba</w:t>
      </w:r>
      <w:r w:rsidRPr="001202A2">
        <w:rPr>
          <w:rFonts w:eastAsia="TimesNewRoman"/>
          <w:szCs w:val="22"/>
          <w:lang w:val="sr-Latn-ME"/>
        </w:rPr>
        <w:t xml:space="preserve"> razmotriti sav</w:t>
      </w:r>
      <w:r w:rsidR="007226D5" w:rsidRPr="001202A2">
        <w:rPr>
          <w:rFonts w:eastAsia="TimesNewRoman"/>
          <w:szCs w:val="22"/>
          <w:lang w:val="sr-Latn-ME"/>
        </w:rPr>
        <w:t>j</w:t>
      </w:r>
      <w:r w:rsidRPr="001202A2">
        <w:rPr>
          <w:rFonts w:eastAsia="TimesNewRoman"/>
          <w:szCs w:val="22"/>
          <w:lang w:val="sr-Latn-ME"/>
        </w:rPr>
        <w:t>etovanje sa stručnjakom za koagulaciju, zavisno od lokalne dostupnosti.</w:t>
      </w:r>
    </w:p>
    <w:p w14:paraId="76C5E10D"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64C52640" w14:textId="6FEDE6CA" w:rsidR="00EE2212" w:rsidRPr="001202A2" w:rsidRDefault="00EE221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Ne očekuje se da protamin sulfat i vitamin K uti</w:t>
      </w:r>
      <w:r w:rsidR="00BC4CD8" w:rsidRPr="001202A2">
        <w:rPr>
          <w:rFonts w:eastAsia="TimesNewRoman"/>
          <w:szCs w:val="22"/>
          <w:lang w:val="sr-Latn-ME"/>
        </w:rPr>
        <w:t>ču</w:t>
      </w:r>
      <w:r w:rsidRPr="001202A2">
        <w:rPr>
          <w:rFonts w:eastAsia="TimesNewRoman"/>
          <w:szCs w:val="22"/>
          <w:lang w:val="sr-Latn-ME"/>
        </w:rPr>
        <w:t xml:space="preserve"> na antikoagula</w:t>
      </w:r>
      <w:r w:rsidR="00BC4CD8" w:rsidRPr="001202A2">
        <w:rPr>
          <w:rFonts w:eastAsia="TimesNewRoman"/>
          <w:szCs w:val="22"/>
          <w:lang w:val="sr-Latn-ME"/>
        </w:rPr>
        <w:t>ntno</w:t>
      </w:r>
      <w:r w:rsidRPr="001202A2">
        <w:rPr>
          <w:rFonts w:eastAsia="TimesNewRoman"/>
          <w:szCs w:val="22"/>
          <w:lang w:val="sr-Latn-ME"/>
        </w:rPr>
        <w:t xml:space="preserve"> dejstvo edoksabana.</w:t>
      </w:r>
    </w:p>
    <w:p w14:paraId="14BBB791"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0A7012FA" w14:textId="48F83D7F" w:rsidR="00EE2212" w:rsidRPr="001202A2" w:rsidRDefault="00EE2212" w:rsidP="00880F49">
      <w:pPr>
        <w:tabs>
          <w:tab w:val="clear" w:pos="284"/>
        </w:tabs>
        <w:autoSpaceDE w:val="0"/>
        <w:autoSpaceDN w:val="0"/>
        <w:adjustRightInd w:val="0"/>
        <w:rPr>
          <w:rFonts w:eastAsia="TimesNewRoman"/>
          <w:szCs w:val="22"/>
          <w:lang w:val="sr-Latn-ME"/>
        </w:rPr>
      </w:pPr>
      <w:r w:rsidRPr="001202A2">
        <w:rPr>
          <w:rFonts w:eastAsia="TimesNewRoman"/>
          <w:szCs w:val="22"/>
          <w:lang w:val="sr-Latn-ME"/>
        </w:rPr>
        <w:t>Nema iskustva sa prim</w:t>
      </w:r>
      <w:r w:rsidR="007226D5" w:rsidRPr="001202A2">
        <w:rPr>
          <w:rFonts w:eastAsia="TimesNewRoman"/>
          <w:szCs w:val="22"/>
          <w:lang w:val="sr-Latn-ME"/>
        </w:rPr>
        <w:t>j</w:t>
      </w:r>
      <w:r w:rsidRPr="001202A2">
        <w:rPr>
          <w:rFonts w:eastAsia="TimesNewRoman"/>
          <w:szCs w:val="22"/>
          <w:lang w:val="sr-Latn-ME"/>
        </w:rPr>
        <w:t>enom antifibrinolitika (traneks</w:t>
      </w:r>
      <w:r w:rsidR="00990F72" w:rsidRPr="001202A2">
        <w:rPr>
          <w:rFonts w:eastAsia="TimesNewRoman"/>
          <w:szCs w:val="22"/>
          <w:lang w:val="sr-Latn-ME"/>
        </w:rPr>
        <w:t>amične</w:t>
      </w:r>
      <w:r w:rsidRPr="001202A2">
        <w:rPr>
          <w:rFonts w:eastAsia="TimesNewRoman"/>
          <w:szCs w:val="22"/>
          <w:lang w:val="sr-Latn-ME"/>
        </w:rPr>
        <w:t xml:space="preserve"> kiseline, aminokaproične kiseline) kod osoba koje </w:t>
      </w:r>
      <w:r w:rsidR="00990F72" w:rsidRPr="001202A2">
        <w:rPr>
          <w:rFonts w:eastAsia="TimesNewRoman"/>
          <w:szCs w:val="22"/>
          <w:lang w:val="sr-Latn-ME"/>
        </w:rPr>
        <w:t>koriste</w:t>
      </w:r>
      <w:r w:rsidRPr="001202A2">
        <w:rPr>
          <w:rFonts w:eastAsia="TimesNewRoman"/>
          <w:szCs w:val="22"/>
          <w:lang w:val="sr-Latn-ME"/>
        </w:rPr>
        <w:t xml:space="preserve"> edoksaban. </w:t>
      </w:r>
      <w:r w:rsidR="000A2BF9" w:rsidRPr="001202A2">
        <w:rPr>
          <w:rFonts w:eastAsia="TimesNewRoman"/>
          <w:szCs w:val="22"/>
          <w:lang w:val="sr-Latn-ME"/>
        </w:rPr>
        <w:t>Korist od prim</w:t>
      </w:r>
      <w:r w:rsidR="007226D5" w:rsidRPr="001202A2">
        <w:rPr>
          <w:rFonts w:eastAsia="TimesNewRoman"/>
          <w:szCs w:val="22"/>
          <w:lang w:val="sr-Latn-ME"/>
        </w:rPr>
        <w:t>j</w:t>
      </w:r>
      <w:r w:rsidR="000A2BF9" w:rsidRPr="001202A2">
        <w:rPr>
          <w:rFonts w:eastAsia="TimesNewRoman"/>
          <w:szCs w:val="22"/>
          <w:lang w:val="sr-Latn-ME"/>
        </w:rPr>
        <w:t>ene sistemskih hemostatika (dezmopresina, aprotinina) nema naučnu potporu, niti postoje iskustva sa njihovom prim</w:t>
      </w:r>
      <w:r w:rsidR="007226D5" w:rsidRPr="001202A2">
        <w:rPr>
          <w:rFonts w:eastAsia="TimesNewRoman"/>
          <w:szCs w:val="22"/>
          <w:lang w:val="sr-Latn-ME"/>
        </w:rPr>
        <w:t>j</w:t>
      </w:r>
      <w:r w:rsidR="000A2BF9" w:rsidRPr="001202A2">
        <w:rPr>
          <w:rFonts w:eastAsia="TimesNewRoman"/>
          <w:szCs w:val="22"/>
          <w:lang w:val="sr-Latn-ME"/>
        </w:rPr>
        <w:t>enom kod osoba koje koriste edoksaban. Kako</w:t>
      </w:r>
      <w:r w:rsidRPr="001202A2">
        <w:rPr>
          <w:rFonts w:eastAsia="TimesNewRoman"/>
          <w:szCs w:val="22"/>
          <w:lang w:val="sr-Latn-ME"/>
        </w:rPr>
        <w:t xml:space="preserve"> se edoksaban u velikom procentu </w:t>
      </w:r>
      <w:r w:rsidR="000A2BF9" w:rsidRPr="001202A2">
        <w:rPr>
          <w:rFonts w:eastAsia="TimesNewRoman"/>
          <w:szCs w:val="22"/>
          <w:lang w:val="sr-Latn-ME"/>
        </w:rPr>
        <w:t>vezuje</w:t>
      </w:r>
      <w:r w:rsidRPr="001202A2">
        <w:rPr>
          <w:rFonts w:eastAsia="TimesNewRoman"/>
          <w:szCs w:val="22"/>
          <w:lang w:val="sr-Latn-ME"/>
        </w:rPr>
        <w:t xml:space="preserve"> za proteine plazme, ne očekuje se da bi se mogao ukloniti dijalizom.</w:t>
      </w:r>
    </w:p>
    <w:p w14:paraId="765C0CFF" w14:textId="45BD9C2D" w:rsidR="00586C81" w:rsidRPr="001202A2" w:rsidRDefault="00586C81" w:rsidP="00880F49">
      <w:pPr>
        <w:tabs>
          <w:tab w:val="clear" w:pos="284"/>
        </w:tabs>
        <w:autoSpaceDE w:val="0"/>
        <w:autoSpaceDN w:val="0"/>
        <w:adjustRightInd w:val="0"/>
        <w:rPr>
          <w:rFonts w:eastAsia="TimesNewRoman"/>
          <w:szCs w:val="22"/>
          <w:lang w:val="sr-Latn-ME"/>
        </w:rPr>
      </w:pPr>
    </w:p>
    <w:p w14:paraId="161D48D6" w14:textId="77777777" w:rsidR="00586C81" w:rsidRPr="001202A2" w:rsidRDefault="00586C81" w:rsidP="00880F49">
      <w:pPr>
        <w:tabs>
          <w:tab w:val="clear" w:pos="284"/>
        </w:tabs>
        <w:autoSpaceDE w:val="0"/>
        <w:autoSpaceDN w:val="0"/>
        <w:adjustRightInd w:val="0"/>
        <w:rPr>
          <w:b/>
          <w:bCs/>
          <w:szCs w:val="22"/>
          <w:lang w:val="sr-Latn-ME"/>
        </w:rPr>
      </w:pPr>
    </w:p>
    <w:p w14:paraId="3D711122" w14:textId="45BC1620" w:rsidR="00CE09F3" w:rsidRPr="001202A2" w:rsidRDefault="00CE09F3" w:rsidP="00480B31">
      <w:pPr>
        <w:pStyle w:val="NASLOV123"/>
        <w:numPr>
          <w:ilvl w:val="0"/>
          <w:numId w:val="12"/>
        </w:numPr>
        <w:spacing w:before="0" w:after="0"/>
        <w:rPr>
          <w:lang w:val="sr-Latn-ME"/>
        </w:rPr>
      </w:pPr>
      <w:r w:rsidRPr="001202A2">
        <w:rPr>
          <w:lang w:val="sr-Latn-ME"/>
        </w:rPr>
        <w:t>FARMAKOLOŠKI PODACI</w:t>
      </w:r>
    </w:p>
    <w:p w14:paraId="578D20C1" w14:textId="77777777" w:rsidR="00586C81" w:rsidRPr="001202A2" w:rsidRDefault="00586C81" w:rsidP="00480B31">
      <w:pPr>
        <w:pStyle w:val="NASLOV123"/>
        <w:spacing w:before="0" w:after="0"/>
        <w:ind w:left="720"/>
        <w:rPr>
          <w:lang w:val="sr-Latn-ME"/>
        </w:rPr>
      </w:pPr>
    </w:p>
    <w:p w14:paraId="3D711123" w14:textId="5BA9B2AC" w:rsidR="00CE09F3" w:rsidRPr="001202A2" w:rsidRDefault="00CE09F3" w:rsidP="00480B31">
      <w:pPr>
        <w:pStyle w:val="ListParagraph"/>
        <w:numPr>
          <w:ilvl w:val="1"/>
          <w:numId w:val="12"/>
        </w:numPr>
        <w:rPr>
          <w:b/>
          <w:bCs/>
          <w:szCs w:val="22"/>
          <w:lang w:val="sr-Latn-ME"/>
        </w:rPr>
      </w:pPr>
      <w:r w:rsidRPr="001202A2">
        <w:rPr>
          <w:b/>
          <w:bCs/>
          <w:szCs w:val="22"/>
          <w:lang w:val="sr-Latn-ME"/>
        </w:rPr>
        <w:t>Farmakodinamski podaci</w:t>
      </w:r>
    </w:p>
    <w:p w14:paraId="288EC80F" w14:textId="77777777" w:rsidR="00586C81" w:rsidRPr="001202A2" w:rsidRDefault="00586C81" w:rsidP="00480B31">
      <w:pPr>
        <w:pStyle w:val="ListParagraph"/>
        <w:ind w:left="765"/>
        <w:rPr>
          <w:b/>
          <w:bCs/>
          <w:szCs w:val="22"/>
          <w:lang w:val="sr-Latn-ME"/>
        </w:rPr>
      </w:pPr>
    </w:p>
    <w:p w14:paraId="3D711125" w14:textId="4653B81D" w:rsidR="00490E17" w:rsidRPr="001202A2" w:rsidRDefault="00CE09F3" w:rsidP="00480B31">
      <w:pPr>
        <w:rPr>
          <w:szCs w:val="22"/>
          <w:lang w:val="sr-Latn-ME"/>
        </w:rPr>
      </w:pPr>
      <w:r w:rsidRPr="001202A2">
        <w:rPr>
          <w:szCs w:val="22"/>
          <w:lang w:val="sr-Latn-ME"/>
        </w:rPr>
        <w:t>Farmakoterapijska grupa:</w:t>
      </w:r>
      <w:r w:rsidR="001C1C51" w:rsidRPr="001202A2">
        <w:rPr>
          <w:szCs w:val="22"/>
          <w:lang w:val="sr-Latn-ME"/>
        </w:rPr>
        <w:t xml:space="preserve"> </w:t>
      </w:r>
      <w:r w:rsidR="000358E8" w:rsidRPr="001202A2">
        <w:rPr>
          <w:szCs w:val="22"/>
          <w:lang w:val="sr-Latn-ME"/>
        </w:rPr>
        <w:t>ostali a</w:t>
      </w:r>
      <w:r w:rsidR="000A2BF9" w:rsidRPr="001202A2">
        <w:rPr>
          <w:szCs w:val="22"/>
          <w:lang w:val="sr-Latn-ME"/>
        </w:rPr>
        <w:t>ntitromboti</w:t>
      </w:r>
      <w:r w:rsidR="000358E8" w:rsidRPr="001202A2">
        <w:rPr>
          <w:szCs w:val="22"/>
          <w:lang w:val="sr-Latn-ME"/>
        </w:rPr>
        <w:t>ci</w:t>
      </w:r>
      <w:r w:rsidR="000A2BF9" w:rsidRPr="001202A2">
        <w:rPr>
          <w:szCs w:val="22"/>
          <w:lang w:val="sr-Latn-ME"/>
        </w:rPr>
        <w:t>, direktni inhibitori faktora Xa</w:t>
      </w:r>
    </w:p>
    <w:p w14:paraId="18411E2A" w14:textId="77777777" w:rsidR="000358E8" w:rsidRPr="001202A2" w:rsidRDefault="000358E8" w:rsidP="00480B31">
      <w:pPr>
        <w:rPr>
          <w:bCs/>
          <w:szCs w:val="22"/>
          <w:lang w:val="sr-Latn-ME"/>
        </w:rPr>
      </w:pPr>
    </w:p>
    <w:p w14:paraId="3D711127" w14:textId="56B76E17" w:rsidR="00CE09F3" w:rsidRPr="001202A2" w:rsidRDefault="00CE09F3" w:rsidP="00480B31">
      <w:pPr>
        <w:rPr>
          <w:szCs w:val="22"/>
          <w:lang w:val="sr-Latn-ME"/>
        </w:rPr>
      </w:pPr>
      <w:r w:rsidRPr="001202A2">
        <w:rPr>
          <w:szCs w:val="22"/>
          <w:lang w:val="sr-Latn-ME"/>
        </w:rPr>
        <w:t xml:space="preserve">ATC </w:t>
      </w:r>
      <w:r w:rsidR="00DA2EFC" w:rsidRPr="001202A2">
        <w:rPr>
          <w:szCs w:val="22"/>
          <w:lang w:val="sr-Latn-ME"/>
        </w:rPr>
        <w:t>kod</w:t>
      </w:r>
      <w:r w:rsidRPr="001202A2">
        <w:rPr>
          <w:szCs w:val="22"/>
          <w:lang w:val="sr-Latn-ME"/>
        </w:rPr>
        <w:t>:</w:t>
      </w:r>
      <w:r w:rsidR="00490E17" w:rsidRPr="001202A2">
        <w:rPr>
          <w:b/>
          <w:bCs/>
          <w:szCs w:val="22"/>
          <w:lang w:val="sr-Latn-ME"/>
        </w:rPr>
        <w:t xml:space="preserve"> </w:t>
      </w:r>
      <w:r w:rsidR="000A2BF9" w:rsidRPr="001202A2">
        <w:rPr>
          <w:szCs w:val="22"/>
          <w:lang w:val="sr-Latn-ME"/>
        </w:rPr>
        <w:t>B01AF03</w:t>
      </w:r>
    </w:p>
    <w:p w14:paraId="56075394" w14:textId="77777777" w:rsidR="00586C81" w:rsidRPr="001202A2" w:rsidRDefault="00586C81" w:rsidP="00480B31">
      <w:pPr>
        <w:rPr>
          <w:b/>
          <w:bCs/>
          <w:szCs w:val="22"/>
          <w:lang w:val="sr-Latn-ME"/>
        </w:rPr>
      </w:pPr>
    </w:p>
    <w:p w14:paraId="3D711129" w14:textId="77777777" w:rsidR="00490E17" w:rsidRPr="001202A2" w:rsidRDefault="00490E17" w:rsidP="00480B31">
      <w:pPr>
        <w:rPr>
          <w:iCs/>
          <w:szCs w:val="22"/>
          <w:u w:val="single"/>
          <w:lang w:val="sr-Latn-ME"/>
        </w:rPr>
      </w:pPr>
      <w:r w:rsidRPr="001202A2">
        <w:rPr>
          <w:iCs/>
          <w:szCs w:val="22"/>
          <w:u w:val="single"/>
          <w:lang w:val="sr-Latn-ME"/>
        </w:rPr>
        <w:t xml:space="preserve">Mehanizam </w:t>
      </w:r>
      <w:r w:rsidR="006B20B7" w:rsidRPr="001202A2">
        <w:rPr>
          <w:iCs/>
          <w:szCs w:val="22"/>
          <w:u w:val="single"/>
          <w:lang w:val="sr-Latn-ME"/>
        </w:rPr>
        <w:t>dejstva</w:t>
      </w:r>
    </w:p>
    <w:p w14:paraId="3D143CCD" w14:textId="0C021E7E" w:rsidR="000A2BF9" w:rsidRPr="001202A2" w:rsidRDefault="000A2BF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je visoko selektivni, direktni i reverzibilni inhibitor faktora Xa, serin proteaze sm</w:t>
      </w:r>
      <w:r w:rsidR="00DA2EFC" w:rsidRPr="001202A2">
        <w:rPr>
          <w:rFonts w:eastAsia="TimesNewRoman"/>
          <w:szCs w:val="22"/>
          <w:lang w:val="sr-Latn-ME"/>
        </w:rPr>
        <w:t>j</w:t>
      </w:r>
      <w:r w:rsidRPr="001202A2">
        <w:rPr>
          <w:rFonts w:eastAsia="TimesNewRoman"/>
          <w:szCs w:val="22"/>
          <w:lang w:val="sr-Latn-ME"/>
        </w:rPr>
        <w:t>eštene u završnom d</w:t>
      </w:r>
      <w:r w:rsidR="00DA2EFC" w:rsidRPr="001202A2">
        <w:rPr>
          <w:rFonts w:eastAsia="TimesNewRoman"/>
          <w:szCs w:val="22"/>
          <w:lang w:val="sr-Latn-ME"/>
        </w:rPr>
        <w:t>ij</w:t>
      </w:r>
      <w:r w:rsidRPr="001202A2">
        <w:rPr>
          <w:rFonts w:eastAsia="TimesNewRoman"/>
          <w:szCs w:val="22"/>
          <w:lang w:val="sr-Latn-ME"/>
        </w:rPr>
        <w:t xml:space="preserve">elu zajedničkog puta koagulacione kaskade. Edoksaban inhibira slobodni FXa i </w:t>
      </w:r>
      <w:r w:rsidR="00EB27D6" w:rsidRPr="001202A2">
        <w:rPr>
          <w:rFonts w:eastAsia="TimesNewRoman"/>
          <w:szCs w:val="22"/>
          <w:lang w:val="sr-Latn-ME"/>
        </w:rPr>
        <w:t xml:space="preserve">njegovu </w:t>
      </w:r>
      <w:r w:rsidRPr="001202A2">
        <w:rPr>
          <w:rFonts w:eastAsia="TimesNewRoman"/>
          <w:szCs w:val="22"/>
          <w:lang w:val="sr-Latn-ME"/>
        </w:rPr>
        <w:t>protrombinaz</w:t>
      </w:r>
      <w:r w:rsidR="00EB27D6" w:rsidRPr="001202A2">
        <w:rPr>
          <w:rFonts w:eastAsia="TimesNewRoman"/>
          <w:szCs w:val="22"/>
          <w:lang w:val="sr-Latn-ME"/>
        </w:rPr>
        <w:t>nu aktivnost</w:t>
      </w:r>
      <w:r w:rsidRPr="001202A2">
        <w:rPr>
          <w:rFonts w:eastAsia="TimesNewRoman"/>
          <w:szCs w:val="22"/>
          <w:lang w:val="sr-Latn-ME"/>
        </w:rPr>
        <w:t xml:space="preserve">. Inhibicijom FXa u koagulacionoj kaskadi smanjuje se </w:t>
      </w:r>
      <w:r w:rsidR="00EB27D6" w:rsidRPr="001202A2">
        <w:rPr>
          <w:rFonts w:eastAsia="TimesNewRoman"/>
          <w:szCs w:val="22"/>
          <w:lang w:val="sr-Latn-ME"/>
        </w:rPr>
        <w:t>formiranje</w:t>
      </w:r>
      <w:r w:rsidRPr="001202A2">
        <w:rPr>
          <w:rFonts w:eastAsia="TimesNewRoman"/>
          <w:szCs w:val="22"/>
          <w:lang w:val="sr-Latn-ME"/>
        </w:rPr>
        <w:t xml:space="preserve"> trombina, produžava vr</w:t>
      </w:r>
      <w:r w:rsidR="00DA2EFC" w:rsidRPr="001202A2">
        <w:rPr>
          <w:rFonts w:eastAsia="TimesNewRoman"/>
          <w:szCs w:val="22"/>
          <w:lang w:val="sr-Latn-ME"/>
        </w:rPr>
        <w:t>ij</w:t>
      </w:r>
      <w:r w:rsidRPr="001202A2">
        <w:rPr>
          <w:rFonts w:eastAsia="TimesNewRoman"/>
          <w:szCs w:val="22"/>
          <w:lang w:val="sr-Latn-ME"/>
        </w:rPr>
        <w:t>eme zgrušavanja i smanjuje rizik od stvaranja tromba.</w:t>
      </w:r>
    </w:p>
    <w:p w14:paraId="48587781"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3D711130" w14:textId="77777777" w:rsidR="00490E17" w:rsidRPr="001202A2" w:rsidRDefault="00490E17" w:rsidP="00480B31">
      <w:pPr>
        <w:rPr>
          <w:iCs/>
          <w:szCs w:val="22"/>
          <w:u w:val="single"/>
          <w:lang w:val="sr-Latn-ME"/>
        </w:rPr>
      </w:pPr>
      <w:r w:rsidRPr="001202A2">
        <w:rPr>
          <w:iCs/>
          <w:szCs w:val="22"/>
          <w:u w:val="single"/>
          <w:lang w:val="sr-Latn-ME"/>
        </w:rPr>
        <w:t>Farmakodinam</w:t>
      </w:r>
      <w:r w:rsidR="008170EC" w:rsidRPr="001202A2">
        <w:rPr>
          <w:iCs/>
          <w:szCs w:val="22"/>
          <w:u w:val="single"/>
          <w:lang w:val="sr-Latn-ME"/>
        </w:rPr>
        <w:t>ski</w:t>
      </w:r>
      <w:r w:rsidRPr="001202A2">
        <w:rPr>
          <w:iCs/>
          <w:szCs w:val="22"/>
          <w:u w:val="single"/>
          <w:lang w:val="sr-Latn-ME"/>
        </w:rPr>
        <w:t xml:space="preserve"> efekti </w:t>
      </w:r>
    </w:p>
    <w:p w14:paraId="5EF4207D" w14:textId="7E757F7E" w:rsidR="000C6F54" w:rsidRPr="001202A2" w:rsidRDefault="000C6F5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Farmakodinamski efekti edoksabana nastupaju brzo</w:t>
      </w:r>
      <w:r w:rsidR="001A3F8B" w:rsidRPr="001202A2">
        <w:rPr>
          <w:rFonts w:eastAsia="TimesNewRoman"/>
          <w:szCs w:val="22"/>
          <w:lang w:val="sr-Latn-ME"/>
        </w:rPr>
        <w:t>,</w:t>
      </w:r>
      <w:r w:rsidRPr="001202A2">
        <w:rPr>
          <w:rFonts w:eastAsia="TimesNewRoman"/>
          <w:szCs w:val="22"/>
          <w:lang w:val="sr-Latn-ME"/>
        </w:rPr>
        <w:t xml:space="preserve"> u roku od 1 do 2 sata, što odgovara maksimalnoj izloženosti edoksabanu (C</w:t>
      </w:r>
      <w:r w:rsidRPr="001202A2">
        <w:rPr>
          <w:rFonts w:eastAsia="TimesNewRoman"/>
          <w:szCs w:val="22"/>
          <w:vertAlign w:val="subscript"/>
          <w:lang w:val="sr-Latn-ME"/>
        </w:rPr>
        <w:t>max</w:t>
      </w:r>
      <w:r w:rsidRPr="001202A2">
        <w:rPr>
          <w:rFonts w:eastAsia="TimesNewRoman"/>
          <w:szCs w:val="22"/>
          <w:lang w:val="sr-Latn-ME"/>
        </w:rPr>
        <w:t>). Farmakodinamski efekti m</w:t>
      </w:r>
      <w:r w:rsidR="00DA2EFC" w:rsidRPr="001202A2">
        <w:rPr>
          <w:rFonts w:eastAsia="TimesNewRoman"/>
          <w:szCs w:val="22"/>
          <w:lang w:val="sr-Latn-ME"/>
        </w:rPr>
        <w:t>j</w:t>
      </w:r>
      <w:r w:rsidRPr="001202A2">
        <w:rPr>
          <w:rFonts w:eastAsia="TimesNewRoman"/>
          <w:szCs w:val="22"/>
          <w:lang w:val="sr-Latn-ME"/>
        </w:rPr>
        <w:t xml:space="preserve">ereni anti-FXa </w:t>
      </w:r>
      <w:r w:rsidR="001A3F8B" w:rsidRPr="001202A2">
        <w:rPr>
          <w:rFonts w:eastAsia="TimesNewRoman"/>
          <w:szCs w:val="22"/>
          <w:lang w:val="sr-Latn-ME"/>
        </w:rPr>
        <w:t>testom</w:t>
      </w:r>
      <w:r w:rsidRPr="001202A2">
        <w:rPr>
          <w:rFonts w:eastAsia="TimesNewRoman"/>
          <w:szCs w:val="22"/>
          <w:lang w:val="sr-Latn-ME"/>
        </w:rPr>
        <w:t xml:space="preserve"> su predvidljivi </w:t>
      </w:r>
      <w:r w:rsidR="001A3F8B" w:rsidRPr="001202A2">
        <w:rPr>
          <w:rFonts w:eastAsia="TimesNewRoman"/>
          <w:szCs w:val="22"/>
          <w:lang w:val="sr-Latn-ME"/>
        </w:rPr>
        <w:t>i</w:t>
      </w:r>
      <w:r w:rsidRPr="001202A2">
        <w:rPr>
          <w:rFonts w:eastAsia="TimesNewRoman"/>
          <w:szCs w:val="22"/>
          <w:lang w:val="sr-Latn-ME"/>
        </w:rPr>
        <w:t xml:space="preserve"> </w:t>
      </w:r>
      <w:r w:rsidR="001A3F8B" w:rsidRPr="001202A2">
        <w:rPr>
          <w:rFonts w:eastAsia="TimesNewRoman"/>
          <w:szCs w:val="22"/>
          <w:lang w:val="sr-Latn-ME"/>
        </w:rPr>
        <w:t>u korelaciji</w:t>
      </w:r>
      <w:r w:rsidRPr="001202A2">
        <w:rPr>
          <w:rFonts w:eastAsia="TimesNewRoman"/>
          <w:szCs w:val="22"/>
          <w:lang w:val="sr-Latn-ME"/>
        </w:rPr>
        <w:t xml:space="preserve"> sa dozom i koncentracijom edoksabana. Kao rezultat inhibicije FXa, edoksaban takođe produžava vr</w:t>
      </w:r>
      <w:r w:rsidR="00DA2EFC" w:rsidRPr="001202A2">
        <w:rPr>
          <w:rFonts w:eastAsia="TimesNewRoman"/>
          <w:szCs w:val="22"/>
          <w:lang w:val="sr-Latn-ME"/>
        </w:rPr>
        <w:t>ij</w:t>
      </w:r>
      <w:r w:rsidRPr="001202A2">
        <w:rPr>
          <w:rFonts w:eastAsia="TimesNewRoman"/>
          <w:szCs w:val="22"/>
          <w:lang w:val="sr-Latn-ME"/>
        </w:rPr>
        <w:t xml:space="preserve">eme zgrušavanja kod </w:t>
      </w:r>
      <w:r w:rsidR="001A3F8B" w:rsidRPr="001202A2">
        <w:rPr>
          <w:rFonts w:eastAsia="TimesNewRoman"/>
          <w:szCs w:val="22"/>
          <w:lang w:val="sr-Latn-ME"/>
        </w:rPr>
        <w:t>testova</w:t>
      </w:r>
      <w:r w:rsidRPr="001202A2">
        <w:rPr>
          <w:rFonts w:eastAsia="TimesNewRoman"/>
          <w:szCs w:val="22"/>
          <w:lang w:val="sr-Latn-ME"/>
        </w:rPr>
        <w:t xml:space="preserve"> kao što su P</w:t>
      </w:r>
      <w:r w:rsidR="001A3F8B" w:rsidRPr="001202A2">
        <w:rPr>
          <w:rFonts w:eastAsia="TimesNewRoman"/>
          <w:szCs w:val="22"/>
          <w:lang w:val="sr-Latn-ME"/>
        </w:rPr>
        <w:t>T</w:t>
      </w:r>
      <w:r w:rsidRPr="001202A2">
        <w:rPr>
          <w:rFonts w:eastAsia="TimesNewRoman"/>
          <w:szCs w:val="22"/>
          <w:lang w:val="sr-Latn-ME"/>
        </w:rPr>
        <w:t xml:space="preserve"> i aPT</w:t>
      </w:r>
      <w:r w:rsidR="001A3F8B" w:rsidRPr="001202A2">
        <w:rPr>
          <w:rFonts w:eastAsia="TimesNewRoman"/>
          <w:szCs w:val="22"/>
          <w:lang w:val="sr-Latn-ME"/>
        </w:rPr>
        <w:t>T</w:t>
      </w:r>
      <w:r w:rsidRPr="001202A2">
        <w:rPr>
          <w:rFonts w:eastAsia="TimesNewRoman"/>
          <w:szCs w:val="22"/>
          <w:lang w:val="sr-Latn-ME"/>
        </w:rPr>
        <w:t>. Prom</w:t>
      </w:r>
      <w:r w:rsidR="00DA2EFC" w:rsidRPr="001202A2">
        <w:rPr>
          <w:rFonts w:eastAsia="TimesNewRoman"/>
          <w:szCs w:val="22"/>
          <w:lang w:val="sr-Latn-ME"/>
        </w:rPr>
        <w:t>j</w:t>
      </w:r>
      <w:r w:rsidRPr="001202A2">
        <w:rPr>
          <w:rFonts w:eastAsia="TimesNewRoman"/>
          <w:szCs w:val="22"/>
          <w:lang w:val="sr-Latn-ME"/>
        </w:rPr>
        <w:t xml:space="preserve">ene </w:t>
      </w:r>
      <w:r w:rsidR="001A3F8B" w:rsidRPr="001202A2">
        <w:rPr>
          <w:rFonts w:eastAsia="TimesNewRoman"/>
          <w:szCs w:val="22"/>
          <w:lang w:val="sr-Latn-ME"/>
        </w:rPr>
        <w:t>uočene</w:t>
      </w:r>
      <w:r w:rsidRPr="001202A2">
        <w:rPr>
          <w:rFonts w:eastAsia="TimesNewRoman"/>
          <w:szCs w:val="22"/>
          <w:lang w:val="sr-Latn-ME"/>
        </w:rPr>
        <w:t xml:space="preserve"> u ovim </w:t>
      </w:r>
      <w:r w:rsidR="001A3F8B" w:rsidRPr="001202A2">
        <w:rPr>
          <w:rFonts w:eastAsia="TimesNewRoman"/>
          <w:szCs w:val="22"/>
          <w:lang w:val="sr-Latn-ME"/>
        </w:rPr>
        <w:t>testovima</w:t>
      </w:r>
      <w:r w:rsidRPr="001202A2">
        <w:rPr>
          <w:rFonts w:eastAsia="TimesNewRoman"/>
          <w:szCs w:val="22"/>
          <w:lang w:val="sr-Latn-ME"/>
        </w:rPr>
        <w:t xml:space="preserve"> zgrušavanja </w:t>
      </w:r>
      <w:r w:rsidR="001A3F8B" w:rsidRPr="001202A2">
        <w:rPr>
          <w:rFonts w:eastAsia="TimesNewRoman"/>
          <w:szCs w:val="22"/>
          <w:lang w:val="sr-Latn-ME"/>
        </w:rPr>
        <w:t xml:space="preserve">se </w:t>
      </w:r>
      <w:r w:rsidRPr="001202A2">
        <w:rPr>
          <w:rFonts w:eastAsia="TimesNewRoman"/>
          <w:szCs w:val="22"/>
          <w:lang w:val="sr-Latn-ME"/>
        </w:rPr>
        <w:t>oček</w:t>
      </w:r>
      <w:r w:rsidR="001A3F8B" w:rsidRPr="001202A2">
        <w:rPr>
          <w:rFonts w:eastAsia="TimesNewRoman"/>
          <w:szCs w:val="22"/>
          <w:lang w:val="sr-Latn-ME"/>
        </w:rPr>
        <w:t>uju</w:t>
      </w:r>
      <w:r w:rsidRPr="001202A2">
        <w:rPr>
          <w:rFonts w:eastAsia="TimesNewRoman"/>
          <w:szCs w:val="22"/>
          <w:lang w:val="sr-Latn-ME"/>
        </w:rPr>
        <w:t xml:space="preserve"> pri </w:t>
      </w:r>
      <w:r w:rsidR="001A3F8B" w:rsidRPr="001202A2">
        <w:rPr>
          <w:rFonts w:eastAsia="TimesNewRoman"/>
          <w:szCs w:val="22"/>
          <w:lang w:val="sr-Latn-ME"/>
        </w:rPr>
        <w:t>prim</w:t>
      </w:r>
      <w:r w:rsidR="00DA2EFC" w:rsidRPr="001202A2">
        <w:rPr>
          <w:rFonts w:eastAsia="TimesNewRoman"/>
          <w:szCs w:val="22"/>
          <w:lang w:val="sr-Latn-ME"/>
        </w:rPr>
        <w:t>j</w:t>
      </w:r>
      <w:r w:rsidR="001A3F8B" w:rsidRPr="001202A2">
        <w:rPr>
          <w:rFonts w:eastAsia="TimesNewRoman"/>
          <w:szCs w:val="22"/>
          <w:lang w:val="sr-Latn-ME"/>
        </w:rPr>
        <w:t xml:space="preserve">eni </w:t>
      </w:r>
      <w:r w:rsidRPr="001202A2">
        <w:rPr>
          <w:rFonts w:eastAsia="TimesNewRoman"/>
          <w:szCs w:val="22"/>
          <w:lang w:val="sr-Latn-ME"/>
        </w:rPr>
        <w:t>terapijsk</w:t>
      </w:r>
      <w:r w:rsidR="001A3F8B" w:rsidRPr="001202A2">
        <w:rPr>
          <w:rFonts w:eastAsia="TimesNewRoman"/>
          <w:szCs w:val="22"/>
          <w:lang w:val="sr-Latn-ME"/>
        </w:rPr>
        <w:t>ih</w:t>
      </w:r>
      <w:r w:rsidRPr="001202A2">
        <w:rPr>
          <w:rFonts w:eastAsia="TimesNewRoman"/>
          <w:szCs w:val="22"/>
          <w:lang w:val="sr-Latn-ME"/>
        </w:rPr>
        <w:t xml:space="preserve"> doz</w:t>
      </w:r>
      <w:r w:rsidR="001A3F8B" w:rsidRPr="001202A2">
        <w:rPr>
          <w:rFonts w:eastAsia="TimesNewRoman"/>
          <w:szCs w:val="22"/>
          <w:lang w:val="sr-Latn-ME"/>
        </w:rPr>
        <w:t>a</w:t>
      </w:r>
      <w:r w:rsidRPr="001202A2">
        <w:rPr>
          <w:rFonts w:eastAsia="TimesNewRoman"/>
          <w:szCs w:val="22"/>
          <w:lang w:val="sr-Latn-ME"/>
        </w:rPr>
        <w:t>; međutim, ove prom</w:t>
      </w:r>
      <w:r w:rsidR="00DA2EFC" w:rsidRPr="001202A2">
        <w:rPr>
          <w:rFonts w:eastAsia="TimesNewRoman"/>
          <w:szCs w:val="22"/>
          <w:lang w:val="sr-Latn-ME"/>
        </w:rPr>
        <w:t>j</w:t>
      </w:r>
      <w:r w:rsidRPr="001202A2">
        <w:rPr>
          <w:rFonts w:eastAsia="TimesNewRoman"/>
          <w:szCs w:val="22"/>
          <w:lang w:val="sr-Latn-ME"/>
        </w:rPr>
        <w:t>ene su male, podložne velikom stepenu varijabilnosti i ni</w:t>
      </w:r>
      <w:r w:rsidR="000358E8" w:rsidRPr="001202A2">
        <w:rPr>
          <w:rFonts w:eastAsia="TimesNewRoman"/>
          <w:szCs w:val="22"/>
          <w:lang w:val="sr-Latn-ME"/>
        </w:rPr>
        <w:t>je</w:t>
      </w:r>
      <w:r w:rsidRPr="001202A2">
        <w:rPr>
          <w:rFonts w:eastAsia="TimesNewRoman"/>
          <w:szCs w:val="22"/>
          <w:lang w:val="sr-Latn-ME"/>
        </w:rPr>
        <w:t xml:space="preserve">su </w:t>
      </w:r>
      <w:r w:rsidR="001A3F8B" w:rsidRPr="001202A2">
        <w:rPr>
          <w:rFonts w:eastAsia="TimesNewRoman"/>
          <w:szCs w:val="22"/>
          <w:lang w:val="sr-Latn-ME"/>
        </w:rPr>
        <w:t>od koristi</w:t>
      </w:r>
      <w:r w:rsidRPr="001202A2">
        <w:rPr>
          <w:rFonts w:eastAsia="TimesNewRoman"/>
          <w:szCs w:val="22"/>
          <w:lang w:val="sr-Latn-ME"/>
        </w:rPr>
        <w:t xml:space="preserve"> u praćenju antikoagula</w:t>
      </w:r>
      <w:r w:rsidR="001A3F8B" w:rsidRPr="001202A2">
        <w:rPr>
          <w:rFonts w:eastAsia="TimesNewRoman"/>
          <w:szCs w:val="22"/>
          <w:lang w:val="sr-Latn-ME"/>
        </w:rPr>
        <w:t>ntnog</w:t>
      </w:r>
      <w:r w:rsidRPr="001202A2">
        <w:rPr>
          <w:rFonts w:eastAsia="TimesNewRoman"/>
          <w:szCs w:val="22"/>
          <w:lang w:val="sr-Latn-ME"/>
        </w:rPr>
        <w:t xml:space="preserve"> efekta edoksabana.</w:t>
      </w:r>
    </w:p>
    <w:p w14:paraId="5E704FDE"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568F504C" w14:textId="32DDA994" w:rsidR="000C6F54" w:rsidRPr="001202A2" w:rsidRDefault="000C6F5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 xml:space="preserve">Efekti markera koagulacije kod </w:t>
      </w:r>
      <w:r w:rsidR="001A3F8B" w:rsidRPr="001202A2">
        <w:rPr>
          <w:rFonts w:eastAsia="TimesNewRoman"/>
          <w:i/>
          <w:iCs/>
          <w:szCs w:val="22"/>
          <w:lang w:val="sr-Latn-ME"/>
        </w:rPr>
        <w:t>prelaska</w:t>
      </w:r>
      <w:r w:rsidRPr="001202A2">
        <w:rPr>
          <w:rFonts w:eastAsia="TimesNewRoman"/>
          <w:i/>
          <w:iCs/>
          <w:szCs w:val="22"/>
          <w:lang w:val="sr-Latn-ME"/>
        </w:rPr>
        <w:t xml:space="preserve"> sa rivaroksabana, dabigatrana ili apiksabana na edoksaban</w:t>
      </w:r>
    </w:p>
    <w:p w14:paraId="30E1638F" w14:textId="40C9D400" w:rsidR="000C6F54" w:rsidRPr="001202A2" w:rsidRDefault="000C6F5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kliničkim farmakološkim </w:t>
      </w:r>
      <w:r w:rsidR="00226CCA" w:rsidRPr="001202A2">
        <w:rPr>
          <w:rFonts w:eastAsia="TimesNewRoman"/>
          <w:szCs w:val="22"/>
          <w:lang w:val="sr-Latn-ME"/>
        </w:rPr>
        <w:t>studijama</w:t>
      </w:r>
      <w:r w:rsidRPr="001202A2">
        <w:rPr>
          <w:rFonts w:eastAsia="TimesNewRoman"/>
          <w:szCs w:val="22"/>
          <w:lang w:val="sr-Latn-ME"/>
        </w:rPr>
        <w:t xml:space="preserve">, zdravi ispitanici primali su rivaroksaban u dozi od 20 mg jednom dnevno, dabigatran u dozi od 150 mg dva puta dnevno ili apiksaban u dozi od 5 mg dva puta dnevno, nakon čega je </w:t>
      </w:r>
      <w:r w:rsidR="00BB4D3F" w:rsidRPr="001202A2">
        <w:rPr>
          <w:rFonts w:eastAsia="TimesNewRoman"/>
          <w:szCs w:val="22"/>
          <w:lang w:val="sr-Latn-ME"/>
        </w:rPr>
        <w:t>prim</w:t>
      </w:r>
      <w:r w:rsidR="00456FFB" w:rsidRPr="001202A2">
        <w:rPr>
          <w:rFonts w:eastAsia="TimesNewRoman"/>
          <w:szCs w:val="22"/>
          <w:lang w:val="sr-Latn-ME"/>
        </w:rPr>
        <w:t>ij</w:t>
      </w:r>
      <w:r w:rsidR="00BB4D3F" w:rsidRPr="001202A2">
        <w:rPr>
          <w:rFonts w:eastAsia="TimesNewRoman"/>
          <w:szCs w:val="22"/>
          <w:lang w:val="sr-Latn-ME"/>
        </w:rPr>
        <w:t xml:space="preserve">enjena </w:t>
      </w:r>
      <w:r w:rsidR="00226CCA" w:rsidRPr="001202A2">
        <w:rPr>
          <w:rFonts w:eastAsia="TimesNewRoman"/>
          <w:szCs w:val="22"/>
          <w:lang w:val="sr-Latn-ME"/>
        </w:rPr>
        <w:t>pojedinačna</w:t>
      </w:r>
      <w:r w:rsidRPr="001202A2">
        <w:rPr>
          <w:rFonts w:eastAsia="TimesNewRoman"/>
          <w:szCs w:val="22"/>
          <w:lang w:val="sr-Latn-ME"/>
        </w:rPr>
        <w:t xml:space="preserve"> doza edoksabana od 60 mg 4. dana. </w:t>
      </w:r>
      <w:r w:rsidR="00226CCA" w:rsidRPr="001202A2">
        <w:rPr>
          <w:rFonts w:eastAsia="TimesNewRoman"/>
          <w:szCs w:val="22"/>
          <w:lang w:val="sr-Latn-ME"/>
        </w:rPr>
        <w:t>M</w:t>
      </w:r>
      <w:r w:rsidR="00DA2EFC" w:rsidRPr="001202A2">
        <w:rPr>
          <w:rFonts w:eastAsia="TimesNewRoman"/>
          <w:szCs w:val="22"/>
          <w:lang w:val="sr-Latn-ME"/>
        </w:rPr>
        <w:t>j</w:t>
      </w:r>
      <w:r w:rsidR="00226CCA" w:rsidRPr="001202A2">
        <w:rPr>
          <w:rFonts w:eastAsia="TimesNewRoman"/>
          <w:szCs w:val="22"/>
          <w:lang w:val="sr-Latn-ME"/>
        </w:rPr>
        <w:t>ereni su</w:t>
      </w:r>
      <w:r w:rsidRPr="001202A2">
        <w:rPr>
          <w:rFonts w:eastAsia="TimesNewRoman"/>
          <w:szCs w:val="22"/>
          <w:lang w:val="sr-Latn-ME"/>
        </w:rPr>
        <w:t xml:space="preserve"> efekt</w:t>
      </w:r>
      <w:r w:rsidR="00226CCA" w:rsidRPr="001202A2">
        <w:rPr>
          <w:rFonts w:eastAsia="TimesNewRoman"/>
          <w:szCs w:val="22"/>
          <w:lang w:val="sr-Latn-ME"/>
        </w:rPr>
        <w:t>i</w:t>
      </w:r>
      <w:r w:rsidRPr="001202A2">
        <w:rPr>
          <w:rFonts w:eastAsia="TimesNewRoman"/>
          <w:szCs w:val="22"/>
          <w:lang w:val="sr-Latn-ME"/>
        </w:rPr>
        <w:t xml:space="preserve"> na P</w:t>
      </w:r>
      <w:r w:rsidR="00226CCA" w:rsidRPr="001202A2">
        <w:rPr>
          <w:rFonts w:eastAsia="TimesNewRoman"/>
          <w:szCs w:val="22"/>
          <w:lang w:val="sr-Latn-ME"/>
        </w:rPr>
        <w:t>T</w:t>
      </w:r>
      <w:r w:rsidRPr="001202A2">
        <w:rPr>
          <w:rFonts w:eastAsia="TimesNewRoman"/>
          <w:szCs w:val="22"/>
          <w:lang w:val="sr-Latn-ME"/>
        </w:rPr>
        <w:t xml:space="preserve"> </w:t>
      </w:r>
      <w:r w:rsidR="00226CCA" w:rsidRPr="001202A2">
        <w:rPr>
          <w:rFonts w:eastAsia="TimesNewRoman"/>
          <w:szCs w:val="22"/>
          <w:lang w:val="sr-Latn-ME"/>
        </w:rPr>
        <w:t>i</w:t>
      </w:r>
      <w:r w:rsidRPr="001202A2">
        <w:rPr>
          <w:rFonts w:eastAsia="TimesNewRoman"/>
          <w:szCs w:val="22"/>
          <w:lang w:val="sr-Latn-ME"/>
        </w:rPr>
        <w:t xml:space="preserve"> druge </w:t>
      </w:r>
      <w:r w:rsidR="00226CCA" w:rsidRPr="001202A2">
        <w:rPr>
          <w:rFonts w:eastAsia="TimesNewRoman"/>
          <w:szCs w:val="22"/>
          <w:lang w:val="sr-Latn-ME"/>
        </w:rPr>
        <w:t>bio</w:t>
      </w:r>
      <w:r w:rsidRPr="001202A2">
        <w:rPr>
          <w:rFonts w:eastAsia="TimesNewRoman"/>
          <w:szCs w:val="22"/>
          <w:lang w:val="sr-Latn-ME"/>
        </w:rPr>
        <w:t>markere koagulacije (npr. anti-FXa, aPT</w:t>
      </w:r>
      <w:r w:rsidR="00226CCA" w:rsidRPr="001202A2">
        <w:rPr>
          <w:rFonts w:eastAsia="TimesNewRoman"/>
          <w:szCs w:val="22"/>
          <w:lang w:val="sr-Latn-ME"/>
        </w:rPr>
        <w:t>T</w:t>
      </w:r>
      <w:r w:rsidRPr="001202A2">
        <w:rPr>
          <w:rFonts w:eastAsia="TimesNewRoman"/>
          <w:szCs w:val="22"/>
          <w:lang w:val="sr-Latn-ME"/>
        </w:rPr>
        <w:t xml:space="preserve">). Nakon </w:t>
      </w:r>
      <w:r w:rsidR="00226CCA" w:rsidRPr="001202A2">
        <w:rPr>
          <w:rFonts w:eastAsia="TimesNewRoman"/>
          <w:szCs w:val="22"/>
          <w:lang w:val="sr-Latn-ME"/>
        </w:rPr>
        <w:t>prelaska</w:t>
      </w:r>
      <w:r w:rsidRPr="001202A2">
        <w:rPr>
          <w:rFonts w:eastAsia="TimesNewRoman"/>
          <w:szCs w:val="22"/>
          <w:lang w:val="sr-Latn-ME"/>
        </w:rPr>
        <w:t xml:space="preserve"> na edoksaban 4. dana, protrombinsko vr</w:t>
      </w:r>
      <w:r w:rsidR="00DA2EFC" w:rsidRPr="001202A2">
        <w:rPr>
          <w:rFonts w:eastAsia="TimesNewRoman"/>
          <w:szCs w:val="22"/>
          <w:lang w:val="sr-Latn-ME"/>
        </w:rPr>
        <w:t>ij</w:t>
      </w:r>
      <w:r w:rsidRPr="001202A2">
        <w:rPr>
          <w:rFonts w:eastAsia="TimesNewRoman"/>
          <w:szCs w:val="22"/>
          <w:lang w:val="sr-Latn-ME"/>
        </w:rPr>
        <w:t>eme bilo je jednako onome 3. dana kod rivaroksabana i apiksabana. Za dabigatran je uočena veća aktivnost aPT</w:t>
      </w:r>
      <w:r w:rsidR="00226CCA" w:rsidRPr="001202A2">
        <w:rPr>
          <w:rFonts w:eastAsia="TimesNewRoman"/>
          <w:szCs w:val="22"/>
          <w:lang w:val="sr-Latn-ME"/>
        </w:rPr>
        <w:t>T</w:t>
      </w:r>
      <w:r w:rsidR="00343752" w:rsidRPr="001202A2">
        <w:rPr>
          <w:rFonts w:eastAsia="TimesNewRoman"/>
          <w:szCs w:val="22"/>
          <w:lang w:val="sr-Latn-ME"/>
        </w:rPr>
        <w:t>-a</w:t>
      </w:r>
      <w:r w:rsidRPr="001202A2">
        <w:rPr>
          <w:rFonts w:eastAsia="TimesNewRoman"/>
          <w:szCs w:val="22"/>
          <w:lang w:val="sr-Latn-ME"/>
        </w:rPr>
        <w:t xml:space="preserve"> nakon prim</w:t>
      </w:r>
      <w:r w:rsidR="00DA2EFC" w:rsidRPr="001202A2">
        <w:rPr>
          <w:rFonts w:eastAsia="TimesNewRoman"/>
          <w:szCs w:val="22"/>
          <w:lang w:val="sr-Latn-ME"/>
        </w:rPr>
        <w:t>j</w:t>
      </w:r>
      <w:r w:rsidRPr="001202A2">
        <w:rPr>
          <w:rFonts w:eastAsia="TimesNewRoman"/>
          <w:szCs w:val="22"/>
          <w:lang w:val="sr-Latn-ME"/>
        </w:rPr>
        <w:t xml:space="preserve">ene edoksabana </w:t>
      </w:r>
      <w:r w:rsidR="00226CCA" w:rsidRPr="001202A2">
        <w:rPr>
          <w:rFonts w:eastAsia="TimesNewRoman"/>
          <w:szCs w:val="22"/>
          <w:lang w:val="sr-Latn-ME"/>
        </w:rPr>
        <w:t xml:space="preserve">pacijentima koji su ranije </w:t>
      </w:r>
      <w:r w:rsidRPr="001202A2">
        <w:rPr>
          <w:rFonts w:eastAsia="TimesNewRoman"/>
          <w:szCs w:val="22"/>
          <w:lang w:val="sr-Latn-ME"/>
        </w:rPr>
        <w:t>l</w:t>
      </w:r>
      <w:r w:rsidR="00DA2EFC" w:rsidRPr="001202A2">
        <w:rPr>
          <w:rFonts w:eastAsia="TimesNewRoman"/>
          <w:szCs w:val="22"/>
          <w:lang w:val="sr-Latn-ME"/>
        </w:rPr>
        <w:t>ij</w:t>
      </w:r>
      <w:r w:rsidRPr="001202A2">
        <w:rPr>
          <w:rFonts w:eastAsia="TimesNewRoman"/>
          <w:szCs w:val="22"/>
          <w:lang w:val="sr-Latn-ME"/>
        </w:rPr>
        <w:t>ečen</w:t>
      </w:r>
      <w:r w:rsidR="00226CCA" w:rsidRPr="001202A2">
        <w:rPr>
          <w:rFonts w:eastAsia="TimesNewRoman"/>
          <w:szCs w:val="22"/>
          <w:lang w:val="sr-Latn-ME"/>
        </w:rPr>
        <w:t>i</w:t>
      </w:r>
      <w:r w:rsidRPr="001202A2">
        <w:rPr>
          <w:rFonts w:eastAsia="TimesNewRoman"/>
          <w:szCs w:val="22"/>
          <w:lang w:val="sr-Latn-ME"/>
        </w:rPr>
        <w:t xml:space="preserve"> dabigatranom u poređenju sa </w:t>
      </w:r>
      <w:r w:rsidR="00226CCA" w:rsidRPr="001202A2">
        <w:rPr>
          <w:rFonts w:eastAsia="TimesNewRoman"/>
          <w:szCs w:val="22"/>
          <w:lang w:val="sr-Latn-ME"/>
        </w:rPr>
        <w:t>pacijentima na terapiji</w:t>
      </w:r>
      <w:r w:rsidRPr="001202A2">
        <w:rPr>
          <w:rFonts w:eastAsia="TimesNewRoman"/>
          <w:szCs w:val="22"/>
          <w:lang w:val="sr-Latn-ME"/>
        </w:rPr>
        <w:t xml:space="preserve"> samo edoksabanom. </w:t>
      </w:r>
      <w:r w:rsidR="00226CCA" w:rsidRPr="001202A2">
        <w:rPr>
          <w:rFonts w:eastAsia="TimesNewRoman"/>
          <w:szCs w:val="22"/>
          <w:lang w:val="sr-Latn-ME"/>
        </w:rPr>
        <w:t>Ovo</w:t>
      </w:r>
      <w:r w:rsidRPr="001202A2">
        <w:rPr>
          <w:rFonts w:eastAsia="TimesNewRoman"/>
          <w:szCs w:val="22"/>
          <w:lang w:val="sr-Latn-ME"/>
        </w:rPr>
        <w:t xml:space="preserve"> se smatra posl</w:t>
      </w:r>
      <w:r w:rsidR="00DA2EFC" w:rsidRPr="001202A2">
        <w:rPr>
          <w:rFonts w:eastAsia="TimesNewRoman"/>
          <w:szCs w:val="22"/>
          <w:lang w:val="sr-Latn-ME"/>
        </w:rPr>
        <w:t>j</w:t>
      </w:r>
      <w:r w:rsidRPr="001202A2">
        <w:rPr>
          <w:rFonts w:eastAsia="TimesNewRoman"/>
          <w:szCs w:val="22"/>
          <w:lang w:val="sr-Latn-ME"/>
        </w:rPr>
        <w:t xml:space="preserve">edicom prenesenog efekta (engl. </w:t>
      </w:r>
      <w:r w:rsidRPr="001202A2">
        <w:rPr>
          <w:rFonts w:eastAsia="TimesNewRoman"/>
          <w:i/>
          <w:iCs/>
          <w:szCs w:val="22"/>
          <w:lang w:val="sr-Latn-ME"/>
        </w:rPr>
        <w:t>carry-over effect</w:t>
      </w:r>
      <w:r w:rsidRPr="001202A2">
        <w:rPr>
          <w:rFonts w:eastAsia="TimesNewRoman"/>
          <w:szCs w:val="22"/>
          <w:lang w:val="sr-Latn-ME"/>
        </w:rPr>
        <w:t xml:space="preserve">) </w:t>
      </w:r>
      <w:r w:rsidR="00226CCA" w:rsidRPr="001202A2">
        <w:rPr>
          <w:rFonts w:eastAsia="TimesNewRoman"/>
          <w:szCs w:val="22"/>
          <w:lang w:val="sr-Latn-ME"/>
        </w:rPr>
        <w:t>terapije</w:t>
      </w:r>
      <w:r w:rsidRPr="001202A2">
        <w:rPr>
          <w:rFonts w:eastAsia="TimesNewRoman"/>
          <w:szCs w:val="22"/>
          <w:lang w:val="sr-Latn-ME"/>
        </w:rPr>
        <w:t xml:space="preserve"> dabigatranom, međutim, to nije dovelo do produženja vremena krvarenja.</w:t>
      </w:r>
    </w:p>
    <w:p w14:paraId="0D2AEBF4" w14:textId="5EC4CCA3" w:rsidR="000C6F54" w:rsidRPr="001202A2" w:rsidRDefault="000C6F5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Na </w:t>
      </w:r>
      <w:r w:rsidR="00226CCA" w:rsidRPr="001202A2">
        <w:rPr>
          <w:rFonts w:eastAsia="TimesNewRoman"/>
          <w:szCs w:val="22"/>
          <w:lang w:val="sr-Latn-ME"/>
        </w:rPr>
        <w:t>osnovu</w:t>
      </w:r>
      <w:r w:rsidRPr="001202A2">
        <w:rPr>
          <w:rFonts w:eastAsia="TimesNewRoman"/>
          <w:szCs w:val="22"/>
          <w:lang w:val="sr-Latn-ME"/>
        </w:rPr>
        <w:t xml:space="preserve"> ovih podataka, </w:t>
      </w:r>
      <w:r w:rsidR="00226CCA" w:rsidRPr="001202A2">
        <w:rPr>
          <w:rFonts w:eastAsia="TimesNewRoman"/>
          <w:szCs w:val="22"/>
          <w:lang w:val="sr-Latn-ME"/>
        </w:rPr>
        <w:t>prilikom prelaska sa ovih</w:t>
      </w:r>
      <w:r w:rsidRPr="001202A2">
        <w:rPr>
          <w:rFonts w:eastAsia="TimesNewRoman"/>
          <w:szCs w:val="22"/>
          <w:lang w:val="sr-Latn-ME"/>
        </w:rPr>
        <w:t xml:space="preserve"> antikoagulansa na edoksaban, prv</w:t>
      </w:r>
      <w:r w:rsidR="00226CCA" w:rsidRPr="001202A2">
        <w:rPr>
          <w:rFonts w:eastAsia="TimesNewRoman"/>
          <w:szCs w:val="22"/>
          <w:lang w:val="sr-Latn-ME"/>
        </w:rPr>
        <w:t>a</w:t>
      </w:r>
      <w:r w:rsidRPr="001202A2">
        <w:rPr>
          <w:rFonts w:eastAsia="TimesNewRoman"/>
          <w:szCs w:val="22"/>
          <w:lang w:val="sr-Latn-ME"/>
        </w:rPr>
        <w:t xml:space="preserve"> doz</w:t>
      </w:r>
      <w:r w:rsidR="00226CCA" w:rsidRPr="001202A2">
        <w:rPr>
          <w:rFonts w:eastAsia="TimesNewRoman"/>
          <w:szCs w:val="22"/>
          <w:lang w:val="sr-Latn-ME"/>
        </w:rPr>
        <w:t>a</w:t>
      </w:r>
      <w:r w:rsidRPr="001202A2">
        <w:rPr>
          <w:rFonts w:eastAsia="TimesNewRoman"/>
          <w:szCs w:val="22"/>
          <w:lang w:val="sr-Latn-ME"/>
        </w:rPr>
        <w:t xml:space="preserve"> edoksabana može se </w:t>
      </w:r>
      <w:r w:rsidR="00226CCA" w:rsidRPr="001202A2">
        <w:rPr>
          <w:rFonts w:eastAsia="TimesNewRoman"/>
          <w:szCs w:val="22"/>
          <w:lang w:val="sr-Latn-ME"/>
        </w:rPr>
        <w:t>prim</w:t>
      </w:r>
      <w:r w:rsidR="00DA2EFC" w:rsidRPr="001202A2">
        <w:rPr>
          <w:rFonts w:eastAsia="TimesNewRoman"/>
          <w:szCs w:val="22"/>
          <w:lang w:val="sr-Latn-ME"/>
        </w:rPr>
        <w:t>ij</w:t>
      </w:r>
      <w:r w:rsidR="00226CCA" w:rsidRPr="001202A2">
        <w:rPr>
          <w:rFonts w:eastAsia="TimesNewRoman"/>
          <w:szCs w:val="22"/>
          <w:lang w:val="sr-Latn-ME"/>
        </w:rPr>
        <w:t>eniti</w:t>
      </w:r>
      <w:r w:rsidRPr="001202A2">
        <w:rPr>
          <w:rFonts w:eastAsia="TimesNewRoman"/>
          <w:szCs w:val="22"/>
          <w:lang w:val="sr-Latn-ME"/>
        </w:rPr>
        <w:t xml:space="preserve"> u vr</w:t>
      </w:r>
      <w:r w:rsidR="00DA2EFC" w:rsidRPr="001202A2">
        <w:rPr>
          <w:rFonts w:eastAsia="TimesNewRoman"/>
          <w:szCs w:val="22"/>
          <w:lang w:val="sr-Latn-ME"/>
        </w:rPr>
        <w:t>ij</w:t>
      </w:r>
      <w:r w:rsidRPr="001202A2">
        <w:rPr>
          <w:rFonts w:eastAsia="TimesNewRoman"/>
          <w:szCs w:val="22"/>
          <w:lang w:val="sr-Latn-ME"/>
        </w:rPr>
        <w:t>eme sl</w:t>
      </w:r>
      <w:r w:rsidR="00DA2EFC" w:rsidRPr="001202A2">
        <w:rPr>
          <w:rFonts w:eastAsia="TimesNewRoman"/>
          <w:szCs w:val="22"/>
          <w:lang w:val="sr-Latn-ME"/>
        </w:rPr>
        <w:t>j</w:t>
      </w:r>
      <w:r w:rsidRPr="001202A2">
        <w:rPr>
          <w:rFonts w:eastAsia="TimesNewRoman"/>
          <w:szCs w:val="22"/>
          <w:lang w:val="sr-Latn-ME"/>
        </w:rPr>
        <w:t>edeć</w:t>
      </w:r>
      <w:r w:rsidR="00084038" w:rsidRPr="001202A2">
        <w:rPr>
          <w:rFonts w:eastAsia="TimesNewRoman"/>
          <w:szCs w:val="22"/>
          <w:lang w:val="sr-Latn-ME"/>
        </w:rPr>
        <w:t>e</w:t>
      </w:r>
      <w:r w:rsidRPr="001202A2">
        <w:rPr>
          <w:rFonts w:eastAsia="TimesNewRoman"/>
          <w:szCs w:val="22"/>
          <w:lang w:val="sr-Latn-ME"/>
        </w:rPr>
        <w:t xml:space="preserve"> doz</w:t>
      </w:r>
      <w:r w:rsidR="00084038" w:rsidRPr="001202A2">
        <w:rPr>
          <w:rFonts w:eastAsia="TimesNewRoman"/>
          <w:szCs w:val="22"/>
          <w:lang w:val="sr-Latn-ME"/>
        </w:rPr>
        <w:t>e</w:t>
      </w:r>
      <w:r w:rsidRPr="001202A2">
        <w:rPr>
          <w:rFonts w:eastAsia="TimesNewRoman"/>
          <w:szCs w:val="22"/>
          <w:lang w:val="sr-Latn-ME"/>
        </w:rPr>
        <w:t xml:space="preserve"> </w:t>
      </w:r>
      <w:r w:rsidR="00084038" w:rsidRPr="001202A2">
        <w:rPr>
          <w:rFonts w:eastAsia="TimesNewRoman"/>
          <w:szCs w:val="22"/>
          <w:lang w:val="sr-Latn-ME"/>
        </w:rPr>
        <w:t>ranije korišćenog</w:t>
      </w:r>
      <w:r w:rsidRPr="001202A2">
        <w:rPr>
          <w:rFonts w:eastAsia="TimesNewRoman"/>
          <w:szCs w:val="22"/>
          <w:lang w:val="sr-Latn-ME"/>
        </w:rPr>
        <w:t xml:space="preserve"> antikoagulansa (vid</w:t>
      </w:r>
      <w:r w:rsidR="00DA2EFC" w:rsidRPr="001202A2">
        <w:rPr>
          <w:rFonts w:eastAsia="TimesNewRoman"/>
          <w:szCs w:val="22"/>
          <w:lang w:val="sr-Latn-ME"/>
        </w:rPr>
        <w:t>j</w:t>
      </w:r>
      <w:r w:rsidRPr="001202A2">
        <w:rPr>
          <w:rFonts w:eastAsia="TimesNewRoman"/>
          <w:szCs w:val="22"/>
          <w:lang w:val="sr-Latn-ME"/>
        </w:rPr>
        <w:t xml:space="preserve">eti </w:t>
      </w:r>
      <w:r w:rsidR="00DA2EFC" w:rsidRPr="001202A2">
        <w:rPr>
          <w:rFonts w:eastAsia="TimesNewRoman"/>
          <w:szCs w:val="22"/>
          <w:lang w:val="sr-Latn-ME"/>
        </w:rPr>
        <w:t>dio</w:t>
      </w:r>
      <w:r w:rsidRPr="001202A2">
        <w:rPr>
          <w:rFonts w:eastAsia="TimesNewRoman"/>
          <w:szCs w:val="22"/>
          <w:lang w:val="sr-Latn-ME"/>
        </w:rPr>
        <w:t xml:space="preserve"> 4.2).</w:t>
      </w:r>
    </w:p>
    <w:p w14:paraId="3EEB6FB8" w14:textId="77777777" w:rsidR="00586C81" w:rsidRPr="001202A2" w:rsidRDefault="00586C81" w:rsidP="00480B31">
      <w:pPr>
        <w:tabs>
          <w:tab w:val="clear" w:pos="284"/>
        </w:tabs>
        <w:autoSpaceDE w:val="0"/>
        <w:autoSpaceDN w:val="0"/>
        <w:adjustRightInd w:val="0"/>
        <w:rPr>
          <w:iCs/>
          <w:szCs w:val="22"/>
          <w:lang w:val="sr-Latn-ME"/>
        </w:rPr>
      </w:pPr>
    </w:p>
    <w:p w14:paraId="3D711133" w14:textId="3617B3BA" w:rsidR="00490E17" w:rsidRPr="001202A2" w:rsidRDefault="00490E17" w:rsidP="00480B31">
      <w:pPr>
        <w:rPr>
          <w:iCs/>
          <w:szCs w:val="22"/>
          <w:u w:val="single"/>
          <w:lang w:val="sr-Latn-ME"/>
        </w:rPr>
      </w:pPr>
      <w:r w:rsidRPr="001202A2">
        <w:rPr>
          <w:iCs/>
          <w:szCs w:val="22"/>
          <w:u w:val="single"/>
          <w:lang w:val="sr-Latn-ME"/>
        </w:rPr>
        <w:t>Klinička efikasnost</w:t>
      </w:r>
      <w:r w:rsidR="008A1744" w:rsidRPr="001202A2">
        <w:rPr>
          <w:iCs/>
          <w:szCs w:val="22"/>
          <w:u w:val="single"/>
          <w:lang w:val="sr-Latn-ME"/>
        </w:rPr>
        <w:t xml:space="preserve"> i bezb</w:t>
      </w:r>
      <w:r w:rsidR="00DA2EFC" w:rsidRPr="001202A2">
        <w:rPr>
          <w:iCs/>
          <w:szCs w:val="22"/>
          <w:u w:val="single"/>
          <w:lang w:val="sr-Latn-ME"/>
        </w:rPr>
        <w:t>j</w:t>
      </w:r>
      <w:r w:rsidR="008A1744" w:rsidRPr="001202A2">
        <w:rPr>
          <w:iCs/>
          <w:szCs w:val="22"/>
          <w:u w:val="single"/>
          <w:lang w:val="sr-Latn-ME"/>
        </w:rPr>
        <w:t>ednost</w:t>
      </w:r>
    </w:p>
    <w:p w14:paraId="4656A4FC" w14:textId="77777777" w:rsidR="00586C81" w:rsidRPr="001202A2" w:rsidRDefault="00586C81" w:rsidP="00480B31">
      <w:pPr>
        <w:rPr>
          <w:iCs/>
          <w:szCs w:val="22"/>
          <w:u w:val="single"/>
          <w:lang w:val="sr-Latn-ME"/>
        </w:rPr>
      </w:pPr>
    </w:p>
    <w:p w14:paraId="6960962F" w14:textId="77777777" w:rsidR="008A1744" w:rsidRPr="001202A2" w:rsidRDefault="008A1744" w:rsidP="00480B31">
      <w:pPr>
        <w:tabs>
          <w:tab w:val="clear" w:pos="284"/>
        </w:tabs>
        <w:autoSpaceDE w:val="0"/>
        <w:autoSpaceDN w:val="0"/>
        <w:adjustRightInd w:val="0"/>
        <w:rPr>
          <w:i/>
          <w:iCs/>
          <w:szCs w:val="22"/>
          <w:lang w:val="sr-Latn-ME"/>
        </w:rPr>
      </w:pPr>
      <w:r w:rsidRPr="001202A2">
        <w:rPr>
          <w:i/>
          <w:iCs/>
          <w:szCs w:val="22"/>
          <w:lang w:val="sr-Latn-ME"/>
        </w:rPr>
        <w:t>Prevencija moždanog udara i sistemske embolije</w:t>
      </w:r>
    </w:p>
    <w:p w14:paraId="3BFF22B0" w14:textId="21E2B04F" w:rsidR="008A1744" w:rsidRPr="001202A2" w:rsidRDefault="0023320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Program kliničke studije</w:t>
      </w:r>
      <w:r w:rsidR="008A1744" w:rsidRPr="001202A2">
        <w:rPr>
          <w:rFonts w:eastAsia="TimesNewRoman"/>
          <w:szCs w:val="22"/>
          <w:lang w:val="sr-Latn-ME"/>
        </w:rPr>
        <w:t xml:space="preserve"> </w:t>
      </w:r>
      <w:r w:rsidRPr="001202A2">
        <w:rPr>
          <w:rFonts w:eastAsia="TimesNewRoman"/>
          <w:szCs w:val="22"/>
          <w:lang w:val="sr-Latn-ME"/>
        </w:rPr>
        <w:t>koja je ispitala prim</w:t>
      </w:r>
      <w:r w:rsidR="00DA2EFC" w:rsidRPr="001202A2">
        <w:rPr>
          <w:rFonts w:eastAsia="TimesNewRoman"/>
          <w:szCs w:val="22"/>
          <w:lang w:val="sr-Latn-ME"/>
        </w:rPr>
        <w:t>j</w:t>
      </w:r>
      <w:r w:rsidRPr="001202A2">
        <w:rPr>
          <w:rFonts w:eastAsia="TimesNewRoman"/>
          <w:szCs w:val="22"/>
          <w:lang w:val="sr-Latn-ME"/>
        </w:rPr>
        <w:t xml:space="preserve">enu </w:t>
      </w:r>
      <w:r w:rsidR="008A1744" w:rsidRPr="001202A2">
        <w:rPr>
          <w:rFonts w:eastAsia="TimesNewRoman"/>
          <w:szCs w:val="22"/>
          <w:lang w:val="sr-Latn-ME"/>
        </w:rPr>
        <w:t xml:space="preserve">edoksabana kod atrijalne fibrilacije osmišljen je tako da pokaže efikasnost </w:t>
      </w:r>
      <w:r w:rsidRPr="001202A2">
        <w:rPr>
          <w:rFonts w:eastAsia="TimesNewRoman"/>
          <w:szCs w:val="22"/>
          <w:lang w:val="sr-Latn-ME"/>
        </w:rPr>
        <w:t>i</w:t>
      </w:r>
      <w:r w:rsidR="008A1744" w:rsidRPr="001202A2">
        <w:rPr>
          <w:rFonts w:eastAsia="TimesNewRoman"/>
          <w:szCs w:val="22"/>
          <w:lang w:val="sr-Latn-ME"/>
        </w:rPr>
        <w:t xml:space="preserve"> bezb</w:t>
      </w:r>
      <w:r w:rsidR="00DA2EFC" w:rsidRPr="001202A2">
        <w:rPr>
          <w:rFonts w:eastAsia="TimesNewRoman"/>
          <w:szCs w:val="22"/>
          <w:lang w:val="sr-Latn-ME"/>
        </w:rPr>
        <w:t>j</w:t>
      </w:r>
      <w:r w:rsidR="008A1744" w:rsidRPr="001202A2">
        <w:rPr>
          <w:rFonts w:eastAsia="TimesNewRoman"/>
          <w:szCs w:val="22"/>
          <w:lang w:val="sr-Latn-ME"/>
        </w:rPr>
        <w:t>ednost dv</w:t>
      </w:r>
      <w:r w:rsidR="00DA2EFC" w:rsidRPr="001202A2">
        <w:rPr>
          <w:rFonts w:eastAsia="TimesNewRoman"/>
          <w:szCs w:val="22"/>
          <w:lang w:val="sr-Latn-ME"/>
        </w:rPr>
        <w:t>ij</w:t>
      </w:r>
      <w:r w:rsidR="008A1744" w:rsidRPr="001202A2">
        <w:rPr>
          <w:rFonts w:eastAsia="TimesNewRoman"/>
          <w:szCs w:val="22"/>
          <w:lang w:val="sr-Latn-ME"/>
        </w:rPr>
        <w:t xml:space="preserve">e grupe doza edoksabana u </w:t>
      </w:r>
      <w:r w:rsidRPr="001202A2">
        <w:rPr>
          <w:rFonts w:eastAsia="TimesNewRoman"/>
          <w:szCs w:val="22"/>
          <w:lang w:val="sr-Latn-ME"/>
        </w:rPr>
        <w:t>odnosu</w:t>
      </w:r>
      <w:r w:rsidR="008A1744" w:rsidRPr="001202A2">
        <w:rPr>
          <w:rFonts w:eastAsia="TimesNewRoman"/>
          <w:szCs w:val="22"/>
          <w:lang w:val="sr-Latn-ME"/>
        </w:rPr>
        <w:t xml:space="preserve"> </w:t>
      </w:r>
      <w:r w:rsidRPr="001202A2">
        <w:rPr>
          <w:rFonts w:eastAsia="TimesNewRoman"/>
          <w:szCs w:val="22"/>
          <w:lang w:val="sr-Latn-ME"/>
        </w:rPr>
        <w:t>n</w:t>
      </w:r>
      <w:r w:rsidR="008A1744" w:rsidRPr="001202A2">
        <w:rPr>
          <w:rFonts w:eastAsia="TimesNewRoman"/>
          <w:szCs w:val="22"/>
          <w:lang w:val="sr-Latn-ME"/>
        </w:rPr>
        <w:t xml:space="preserve">a varfarin u prevenciji moždanog udara </w:t>
      </w:r>
      <w:r w:rsidRPr="001202A2">
        <w:rPr>
          <w:rFonts w:eastAsia="TimesNewRoman"/>
          <w:szCs w:val="22"/>
          <w:lang w:val="sr-Latn-ME"/>
        </w:rPr>
        <w:t>i</w:t>
      </w:r>
      <w:r w:rsidR="008A1744" w:rsidRPr="001202A2">
        <w:rPr>
          <w:rFonts w:eastAsia="TimesNewRoman"/>
          <w:szCs w:val="22"/>
          <w:lang w:val="sr-Latn-ME"/>
        </w:rPr>
        <w:t xml:space="preserve"> sistemske embolije kod ispitanika sa NVAF i um</w:t>
      </w:r>
      <w:r w:rsidR="00DA2EFC" w:rsidRPr="001202A2">
        <w:rPr>
          <w:rFonts w:eastAsia="TimesNewRoman"/>
          <w:szCs w:val="22"/>
          <w:lang w:val="sr-Latn-ME"/>
        </w:rPr>
        <w:t>j</w:t>
      </w:r>
      <w:r w:rsidR="008A1744" w:rsidRPr="001202A2">
        <w:rPr>
          <w:rFonts w:eastAsia="TimesNewRoman"/>
          <w:szCs w:val="22"/>
          <w:lang w:val="sr-Latn-ME"/>
        </w:rPr>
        <w:t xml:space="preserve">erenim do visokim rizikom od moždanog udara </w:t>
      </w:r>
      <w:r w:rsidRPr="001202A2">
        <w:rPr>
          <w:rFonts w:eastAsia="TimesNewRoman"/>
          <w:szCs w:val="22"/>
          <w:lang w:val="sr-Latn-ME"/>
        </w:rPr>
        <w:t>i</w:t>
      </w:r>
      <w:r w:rsidR="008A1744" w:rsidRPr="001202A2">
        <w:rPr>
          <w:rFonts w:eastAsia="TimesNewRoman"/>
          <w:szCs w:val="22"/>
          <w:lang w:val="sr-Latn-ME"/>
        </w:rPr>
        <w:t xml:space="preserve"> sistemskih embolijskih događaja (SED).</w:t>
      </w:r>
    </w:p>
    <w:p w14:paraId="109289D7"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2E0A47A0" w14:textId="35E1C234" w:rsidR="008A1744" w:rsidRPr="001202A2" w:rsidRDefault="008A174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w:t>
      </w:r>
      <w:r w:rsidR="00233207" w:rsidRPr="001202A2">
        <w:rPr>
          <w:rFonts w:eastAsia="TimesNewRoman"/>
          <w:szCs w:val="22"/>
          <w:lang w:val="sr-Latn-ME"/>
        </w:rPr>
        <w:t>glavnoj</w:t>
      </w:r>
      <w:r w:rsidRPr="001202A2">
        <w:rPr>
          <w:rFonts w:eastAsia="TimesNewRoman"/>
          <w:szCs w:val="22"/>
          <w:lang w:val="sr-Latn-ME"/>
        </w:rPr>
        <w:t xml:space="preserve"> </w:t>
      </w:r>
      <w:r w:rsidR="00233207" w:rsidRPr="001202A2">
        <w:rPr>
          <w:rFonts w:eastAsia="TimesNewRoman"/>
          <w:szCs w:val="22"/>
          <w:lang w:val="sr-Latn-ME"/>
        </w:rPr>
        <w:t>studiji</w:t>
      </w:r>
      <w:r w:rsidRPr="001202A2">
        <w:rPr>
          <w:rFonts w:eastAsia="TimesNewRoman"/>
          <w:szCs w:val="22"/>
          <w:lang w:val="sr-Latn-ME"/>
        </w:rPr>
        <w:t xml:space="preserve"> ENGAGE AF-TIMI 48 (multicentričn</w:t>
      </w:r>
      <w:r w:rsidR="00233207" w:rsidRPr="001202A2">
        <w:rPr>
          <w:rFonts w:eastAsia="TimesNewRoman"/>
          <w:szCs w:val="22"/>
          <w:lang w:val="sr-Latn-ME"/>
        </w:rPr>
        <w:t>a</w:t>
      </w:r>
      <w:r w:rsidRPr="001202A2">
        <w:rPr>
          <w:rFonts w:eastAsia="TimesNewRoman"/>
          <w:szCs w:val="22"/>
          <w:lang w:val="sr-Latn-ME"/>
        </w:rPr>
        <w:t>, randomizovan</w:t>
      </w:r>
      <w:r w:rsidR="00233207" w:rsidRPr="001202A2">
        <w:rPr>
          <w:rFonts w:eastAsia="TimesNewRoman"/>
          <w:szCs w:val="22"/>
          <w:lang w:val="sr-Latn-ME"/>
        </w:rPr>
        <w:t>a</w:t>
      </w:r>
      <w:r w:rsidRPr="001202A2">
        <w:rPr>
          <w:rFonts w:eastAsia="TimesNewRoman"/>
          <w:szCs w:val="22"/>
          <w:lang w:val="sr-Latn-ME"/>
        </w:rPr>
        <w:t>, dvostruko sl</w:t>
      </w:r>
      <w:r w:rsidR="00DA2EFC" w:rsidRPr="001202A2">
        <w:rPr>
          <w:rFonts w:eastAsia="TimesNewRoman"/>
          <w:szCs w:val="22"/>
          <w:lang w:val="sr-Latn-ME"/>
        </w:rPr>
        <w:t>ij</w:t>
      </w:r>
      <w:r w:rsidRPr="001202A2">
        <w:rPr>
          <w:rFonts w:eastAsia="TimesNewRoman"/>
          <w:szCs w:val="22"/>
          <w:lang w:val="sr-Latn-ME"/>
        </w:rPr>
        <w:t>ep</w:t>
      </w:r>
      <w:r w:rsidR="00233207" w:rsidRPr="001202A2">
        <w:rPr>
          <w:rFonts w:eastAsia="TimesNewRoman"/>
          <w:szCs w:val="22"/>
          <w:lang w:val="sr-Latn-ME"/>
        </w:rPr>
        <w:t>a</w:t>
      </w:r>
      <w:r w:rsidRPr="001202A2">
        <w:rPr>
          <w:rFonts w:eastAsia="TimesNewRoman"/>
          <w:szCs w:val="22"/>
          <w:lang w:val="sr-Latn-ME"/>
        </w:rPr>
        <w:t xml:space="preserve"> </w:t>
      </w:r>
      <w:r w:rsidR="00233207" w:rsidRPr="001202A2">
        <w:rPr>
          <w:rFonts w:eastAsia="TimesNewRoman"/>
          <w:szCs w:val="22"/>
          <w:lang w:val="sr-Latn-ME"/>
        </w:rPr>
        <w:t>studija</w:t>
      </w:r>
      <w:r w:rsidRPr="001202A2">
        <w:rPr>
          <w:rFonts w:eastAsia="TimesNewRoman"/>
          <w:szCs w:val="22"/>
          <w:lang w:val="sr-Latn-ME"/>
        </w:rPr>
        <w:t xml:space="preserve"> faze 3 vođen</w:t>
      </w:r>
      <w:r w:rsidR="00233207" w:rsidRPr="001202A2">
        <w:rPr>
          <w:rFonts w:eastAsia="TimesNewRoman"/>
          <w:szCs w:val="22"/>
          <w:lang w:val="sr-Latn-ME"/>
        </w:rPr>
        <w:t>a</w:t>
      </w:r>
      <w:r w:rsidRPr="001202A2">
        <w:rPr>
          <w:rFonts w:eastAsia="TimesNewRoman"/>
          <w:szCs w:val="22"/>
          <w:lang w:val="sr-Latn-ME"/>
        </w:rPr>
        <w:t xml:space="preserve"> događajima, s</w:t>
      </w:r>
      <w:r w:rsidR="00233207" w:rsidRPr="001202A2">
        <w:rPr>
          <w:rFonts w:eastAsia="TimesNewRoman"/>
          <w:szCs w:val="22"/>
          <w:lang w:val="sr-Latn-ME"/>
        </w:rPr>
        <w:t>a</w:t>
      </w:r>
      <w:r w:rsidRPr="001202A2">
        <w:rPr>
          <w:rFonts w:eastAsia="TimesNewRoman"/>
          <w:szCs w:val="22"/>
          <w:lang w:val="sr-Latn-ME"/>
        </w:rPr>
        <w:t xml:space="preserve"> dvostrukim </w:t>
      </w:r>
      <w:r w:rsidR="00233207" w:rsidRPr="001202A2">
        <w:rPr>
          <w:rFonts w:eastAsia="TimesNewRoman"/>
          <w:szCs w:val="22"/>
          <w:lang w:val="sr-Latn-ME"/>
        </w:rPr>
        <w:t>placebom i paralelnim</w:t>
      </w:r>
      <w:r w:rsidRPr="001202A2">
        <w:rPr>
          <w:rFonts w:eastAsia="TimesNewRoman"/>
          <w:szCs w:val="22"/>
          <w:lang w:val="sr-Latn-ME"/>
        </w:rPr>
        <w:t xml:space="preserve"> grupama), 21105 ispitanika sa </w:t>
      </w:r>
      <w:r w:rsidR="00233207" w:rsidRPr="001202A2">
        <w:rPr>
          <w:rFonts w:eastAsia="TimesNewRoman"/>
          <w:szCs w:val="22"/>
          <w:lang w:val="sr-Latn-ME"/>
        </w:rPr>
        <w:t>srednjim skorom</w:t>
      </w:r>
      <w:r w:rsidRPr="001202A2">
        <w:rPr>
          <w:rFonts w:eastAsia="TimesNewRoman"/>
          <w:szCs w:val="22"/>
          <w:lang w:val="sr-Latn-ME"/>
        </w:rPr>
        <w:t xml:space="preserve"> od 2,8 (skala CHADS</w:t>
      </w:r>
      <w:r w:rsidRPr="001202A2">
        <w:rPr>
          <w:rFonts w:eastAsia="TimesNewRoman"/>
          <w:szCs w:val="22"/>
          <w:vertAlign w:val="subscript"/>
          <w:lang w:val="sr-Latn-ME"/>
        </w:rPr>
        <w:t>2</w:t>
      </w:r>
      <w:r w:rsidRPr="001202A2">
        <w:rPr>
          <w:rFonts w:eastAsia="TimesNewRoman"/>
          <w:szCs w:val="22"/>
          <w:lang w:val="sr-Latn-ME"/>
        </w:rPr>
        <w:t xml:space="preserve">) za kongestivnu srčanu insuficijenciju, hipertenziju, starost ≥ 75 godina, </w:t>
      </w:r>
      <w:r w:rsidR="00940A52" w:rsidRPr="001202A2">
        <w:rPr>
          <w:rFonts w:eastAsia="TimesNewRoman"/>
          <w:szCs w:val="22"/>
          <w:lang w:val="sr-Latn-ME"/>
        </w:rPr>
        <w:t>dijabetes melitus</w:t>
      </w:r>
      <w:r w:rsidRPr="001202A2">
        <w:rPr>
          <w:rFonts w:eastAsia="TimesNewRoman"/>
          <w:szCs w:val="22"/>
          <w:lang w:val="sr-Latn-ME"/>
        </w:rPr>
        <w:t xml:space="preserve">, moždani udar, randomizovano je </w:t>
      </w:r>
      <w:r w:rsidR="00940A52" w:rsidRPr="001202A2">
        <w:rPr>
          <w:rFonts w:eastAsia="TimesNewRoman"/>
          <w:szCs w:val="22"/>
          <w:lang w:val="sr-Latn-ME"/>
        </w:rPr>
        <w:t>da prima</w:t>
      </w:r>
      <w:r w:rsidRPr="001202A2">
        <w:rPr>
          <w:rFonts w:eastAsia="TimesNewRoman"/>
          <w:szCs w:val="22"/>
          <w:lang w:val="sr-Latn-ME"/>
        </w:rPr>
        <w:t xml:space="preserve"> edoksaban u dozi od 30 mg jednom dnevno</w:t>
      </w:r>
      <w:r w:rsidR="00940A52" w:rsidRPr="001202A2">
        <w:rPr>
          <w:rFonts w:eastAsia="TimesNewRoman"/>
          <w:szCs w:val="22"/>
          <w:lang w:val="sr-Latn-ME"/>
        </w:rPr>
        <w:t xml:space="preserve">, </w:t>
      </w:r>
      <w:r w:rsidRPr="001202A2">
        <w:rPr>
          <w:rFonts w:eastAsia="TimesNewRoman"/>
          <w:szCs w:val="22"/>
          <w:lang w:val="sr-Latn-ME"/>
        </w:rPr>
        <w:t>edoksaban u dozi od 60 mg jednom dnevno ili varfarin. Ispitanicima u ob</w:t>
      </w:r>
      <w:r w:rsidR="00DA2EFC" w:rsidRPr="001202A2">
        <w:rPr>
          <w:rFonts w:eastAsia="TimesNewRoman"/>
          <w:szCs w:val="22"/>
          <w:lang w:val="sr-Latn-ME"/>
        </w:rPr>
        <w:t>j</w:t>
      </w:r>
      <w:r w:rsidRPr="001202A2">
        <w:rPr>
          <w:rFonts w:eastAsia="TimesNewRoman"/>
          <w:szCs w:val="22"/>
          <w:lang w:val="sr-Latn-ME"/>
        </w:rPr>
        <w:t>e terapijske grupe</w:t>
      </w:r>
      <w:r w:rsidR="00940A52" w:rsidRPr="001202A2">
        <w:rPr>
          <w:rFonts w:eastAsia="TimesNewRoman"/>
          <w:szCs w:val="22"/>
          <w:lang w:val="sr-Latn-ME"/>
        </w:rPr>
        <w:t xml:space="preserve"> koje su primale edoksaban,</w:t>
      </w:r>
      <w:r w:rsidRPr="001202A2">
        <w:rPr>
          <w:rFonts w:eastAsia="TimesNewRoman"/>
          <w:szCs w:val="22"/>
          <w:lang w:val="sr-Latn-ME"/>
        </w:rPr>
        <w:t xml:space="preserve"> doza </w:t>
      </w:r>
      <w:r w:rsidR="00591BB5" w:rsidRPr="001202A2">
        <w:rPr>
          <w:rFonts w:eastAsia="TimesNewRoman"/>
          <w:szCs w:val="22"/>
          <w:lang w:val="sr-Latn-ME"/>
        </w:rPr>
        <w:t>l</w:t>
      </w:r>
      <w:r w:rsidR="00456FFB" w:rsidRPr="001202A2">
        <w:rPr>
          <w:rFonts w:eastAsia="TimesNewRoman"/>
          <w:szCs w:val="22"/>
          <w:lang w:val="sr-Latn-ME"/>
        </w:rPr>
        <w:t>ij</w:t>
      </w:r>
      <w:r w:rsidR="00591BB5" w:rsidRPr="001202A2">
        <w:rPr>
          <w:rFonts w:eastAsia="TimesNewRoman"/>
          <w:szCs w:val="22"/>
          <w:lang w:val="sr-Latn-ME"/>
        </w:rPr>
        <w:t xml:space="preserve">eka </w:t>
      </w:r>
      <w:r w:rsidRPr="001202A2">
        <w:rPr>
          <w:rFonts w:eastAsia="TimesNewRoman"/>
          <w:szCs w:val="22"/>
          <w:lang w:val="sr-Latn-ME"/>
        </w:rPr>
        <w:t>bila je prepolovljena ukoliko je bio prisutan jedan ili više od sl</w:t>
      </w:r>
      <w:r w:rsidR="00DA2EFC" w:rsidRPr="001202A2">
        <w:rPr>
          <w:rFonts w:eastAsia="TimesNewRoman"/>
          <w:szCs w:val="22"/>
          <w:lang w:val="sr-Latn-ME"/>
        </w:rPr>
        <w:t>j</w:t>
      </w:r>
      <w:r w:rsidRPr="001202A2">
        <w:rPr>
          <w:rFonts w:eastAsia="TimesNewRoman"/>
          <w:szCs w:val="22"/>
          <w:lang w:val="sr-Latn-ME"/>
        </w:rPr>
        <w:t>edećih kliničkih faktora: um</w:t>
      </w:r>
      <w:r w:rsidR="00DA2EFC" w:rsidRPr="001202A2">
        <w:rPr>
          <w:rFonts w:eastAsia="TimesNewRoman"/>
          <w:szCs w:val="22"/>
          <w:lang w:val="sr-Latn-ME"/>
        </w:rPr>
        <w:t>j</w:t>
      </w:r>
      <w:r w:rsidRPr="001202A2">
        <w:rPr>
          <w:rFonts w:eastAsia="TimesNewRoman"/>
          <w:szCs w:val="22"/>
          <w:lang w:val="sr-Latn-ME"/>
        </w:rPr>
        <w:t xml:space="preserve">ereno oštećenje funkcije bubrega (CrCl 30– 50 </w:t>
      </w:r>
      <w:r w:rsidR="00343752" w:rsidRPr="001202A2">
        <w:rPr>
          <w:rFonts w:eastAsia="TimesNewRoman"/>
          <w:szCs w:val="22"/>
          <w:lang w:val="sr-Latn-ME"/>
        </w:rPr>
        <w:t>m</w:t>
      </w:r>
      <w:r w:rsidR="00456FFB" w:rsidRPr="001202A2">
        <w:rPr>
          <w:rFonts w:eastAsia="TimesNewRoman"/>
          <w:szCs w:val="22"/>
          <w:lang w:val="sr-Latn-ME"/>
        </w:rPr>
        <w:t>l</w:t>
      </w:r>
      <w:r w:rsidRPr="001202A2">
        <w:rPr>
          <w:rFonts w:eastAsia="TimesNewRoman"/>
          <w:szCs w:val="22"/>
          <w:lang w:val="sr-Latn-ME"/>
        </w:rPr>
        <w:t>/min), mala t</w:t>
      </w:r>
      <w:r w:rsidR="00DA2EFC" w:rsidRPr="001202A2">
        <w:rPr>
          <w:rFonts w:eastAsia="TimesNewRoman"/>
          <w:szCs w:val="22"/>
          <w:lang w:val="sr-Latn-ME"/>
        </w:rPr>
        <w:t>j</w:t>
      </w:r>
      <w:r w:rsidRPr="001202A2">
        <w:rPr>
          <w:rFonts w:eastAsia="TimesNewRoman"/>
          <w:szCs w:val="22"/>
          <w:lang w:val="sr-Latn-ME"/>
        </w:rPr>
        <w:t>elesna masa (</w:t>
      </w:r>
      <w:r w:rsidR="00940A52" w:rsidRPr="001202A2">
        <w:rPr>
          <w:szCs w:val="22"/>
          <w:lang w:val="sr-Latn-ME"/>
        </w:rPr>
        <w:t xml:space="preserve">≤ </w:t>
      </w:r>
      <w:r w:rsidRPr="001202A2">
        <w:rPr>
          <w:rFonts w:eastAsia="TimesNewRoman"/>
          <w:szCs w:val="22"/>
          <w:lang w:val="sr-Latn-ME"/>
        </w:rPr>
        <w:t>60 kg) ili istovremena prim</w:t>
      </w:r>
      <w:r w:rsidR="00DA2EFC" w:rsidRPr="001202A2">
        <w:rPr>
          <w:rFonts w:eastAsia="TimesNewRoman"/>
          <w:szCs w:val="22"/>
          <w:lang w:val="sr-Latn-ME"/>
        </w:rPr>
        <w:t>j</w:t>
      </w:r>
      <w:r w:rsidRPr="001202A2">
        <w:rPr>
          <w:rFonts w:eastAsia="TimesNewRoman"/>
          <w:szCs w:val="22"/>
          <w:lang w:val="sr-Latn-ME"/>
        </w:rPr>
        <w:t xml:space="preserve">ena određenih inhibitora P-gp (verapamil, </w:t>
      </w:r>
      <w:r w:rsidR="00940A52" w:rsidRPr="001202A2">
        <w:rPr>
          <w:rFonts w:eastAsia="TimesNewRoman"/>
          <w:szCs w:val="22"/>
          <w:lang w:val="sr-Latn-ME"/>
        </w:rPr>
        <w:t>h</w:t>
      </w:r>
      <w:r w:rsidRPr="001202A2">
        <w:rPr>
          <w:rFonts w:eastAsia="TimesNewRoman"/>
          <w:szCs w:val="22"/>
          <w:lang w:val="sr-Latn-ME"/>
        </w:rPr>
        <w:t>inidin, dronedaron).</w:t>
      </w:r>
    </w:p>
    <w:p w14:paraId="30E40FE5"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2A5C60EE" w14:textId="737798F3" w:rsidR="008A1744" w:rsidRPr="001202A2" w:rsidRDefault="008A174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Primarni parametar praćenja efikasnosti </w:t>
      </w:r>
      <w:r w:rsidR="00E71FC8" w:rsidRPr="001202A2">
        <w:rPr>
          <w:rFonts w:eastAsia="TimesNewRoman"/>
          <w:szCs w:val="22"/>
          <w:lang w:val="sr-Latn-ME"/>
        </w:rPr>
        <w:t>bio je zbir</w:t>
      </w:r>
      <w:r w:rsidRPr="001202A2">
        <w:rPr>
          <w:rFonts w:eastAsia="TimesNewRoman"/>
          <w:szCs w:val="22"/>
          <w:lang w:val="sr-Latn-ME"/>
        </w:rPr>
        <w:t xml:space="preserve"> </w:t>
      </w:r>
      <w:r w:rsidR="00E71FC8" w:rsidRPr="001202A2">
        <w:rPr>
          <w:rFonts w:eastAsia="TimesNewRoman"/>
          <w:szCs w:val="22"/>
          <w:lang w:val="sr-Latn-ME"/>
        </w:rPr>
        <w:t>m</w:t>
      </w:r>
      <w:r w:rsidRPr="001202A2">
        <w:rPr>
          <w:rFonts w:eastAsia="TimesNewRoman"/>
          <w:szCs w:val="22"/>
          <w:lang w:val="sr-Latn-ME"/>
        </w:rPr>
        <w:t>oždanog udara i SED.</w:t>
      </w:r>
      <w:r w:rsidR="00233207" w:rsidRPr="001202A2">
        <w:rPr>
          <w:rFonts w:eastAsia="TimesNewRoman"/>
          <w:szCs w:val="22"/>
          <w:lang w:val="sr-Latn-ME"/>
        </w:rPr>
        <w:t xml:space="preserve"> </w:t>
      </w:r>
      <w:r w:rsidRPr="001202A2">
        <w:rPr>
          <w:rFonts w:eastAsia="TimesNewRoman"/>
          <w:szCs w:val="22"/>
          <w:lang w:val="sr-Latn-ME"/>
        </w:rPr>
        <w:t>Sekundarni parametri praćenja efikasnosti su</w:t>
      </w:r>
      <w:r w:rsidR="00E71FC8" w:rsidRPr="001202A2">
        <w:rPr>
          <w:rFonts w:eastAsia="TimesNewRoman"/>
          <w:szCs w:val="22"/>
          <w:lang w:val="sr-Latn-ME"/>
        </w:rPr>
        <w:t xml:space="preserve"> obuhvatili</w:t>
      </w:r>
      <w:r w:rsidRPr="001202A2">
        <w:rPr>
          <w:rFonts w:eastAsia="TimesNewRoman"/>
          <w:szCs w:val="22"/>
          <w:lang w:val="sr-Latn-ME"/>
        </w:rPr>
        <w:t xml:space="preserve">: </w:t>
      </w:r>
      <w:r w:rsidR="00E71FC8" w:rsidRPr="001202A2">
        <w:rPr>
          <w:rFonts w:eastAsia="TimesNewRoman"/>
          <w:szCs w:val="22"/>
          <w:lang w:val="sr-Latn-ME"/>
        </w:rPr>
        <w:t>zbir</w:t>
      </w:r>
      <w:r w:rsidRPr="001202A2">
        <w:rPr>
          <w:rFonts w:eastAsia="TimesNewRoman"/>
          <w:szCs w:val="22"/>
          <w:lang w:val="sr-Latn-ME"/>
        </w:rPr>
        <w:t xml:space="preserve"> moždanog udara, SED</w:t>
      </w:r>
      <w:r w:rsidR="00233207" w:rsidRPr="001202A2">
        <w:rPr>
          <w:rFonts w:eastAsia="TimesNewRoman"/>
          <w:szCs w:val="22"/>
          <w:lang w:val="sr-Latn-ME"/>
        </w:rPr>
        <w:t xml:space="preserve"> </w:t>
      </w:r>
      <w:r w:rsidRPr="001202A2">
        <w:rPr>
          <w:rFonts w:eastAsia="TimesNewRoman"/>
          <w:szCs w:val="22"/>
          <w:lang w:val="sr-Latn-ME"/>
        </w:rPr>
        <w:t xml:space="preserve">i kardiovaskularnog (KV) mortaliteta; veliki neželjeni kardiovaskularni događaj (engl. </w:t>
      </w:r>
      <w:r w:rsidRPr="001202A2">
        <w:rPr>
          <w:i/>
          <w:iCs/>
          <w:szCs w:val="22"/>
          <w:lang w:val="sr-Latn-ME"/>
        </w:rPr>
        <w:t>major adverse</w:t>
      </w:r>
      <w:r w:rsidR="00233207" w:rsidRPr="001202A2">
        <w:rPr>
          <w:i/>
          <w:iCs/>
          <w:szCs w:val="22"/>
          <w:lang w:val="sr-Latn-ME"/>
        </w:rPr>
        <w:t xml:space="preserve"> </w:t>
      </w:r>
      <w:r w:rsidRPr="001202A2">
        <w:rPr>
          <w:i/>
          <w:iCs/>
          <w:szCs w:val="22"/>
          <w:lang w:val="sr-Latn-ME"/>
        </w:rPr>
        <w:t xml:space="preserve">cardiovascular event, </w:t>
      </w:r>
      <w:r w:rsidRPr="001202A2">
        <w:rPr>
          <w:rFonts w:eastAsia="TimesNewRoman"/>
          <w:szCs w:val="22"/>
          <w:lang w:val="sr-Latn-ME"/>
        </w:rPr>
        <w:t xml:space="preserve">MACE), koji je </w:t>
      </w:r>
      <w:r w:rsidR="00E71FC8" w:rsidRPr="001202A2">
        <w:rPr>
          <w:rFonts w:eastAsia="TimesNewRoman"/>
          <w:szCs w:val="22"/>
          <w:lang w:val="sr-Latn-ME"/>
        </w:rPr>
        <w:t>zbir</w:t>
      </w:r>
      <w:r w:rsidRPr="001202A2">
        <w:rPr>
          <w:rFonts w:eastAsia="TimesNewRoman"/>
          <w:szCs w:val="22"/>
          <w:lang w:val="sr-Latn-ME"/>
        </w:rPr>
        <w:t xml:space="preserve"> infarkta miokarda (MI) bez smrtnog</w:t>
      </w:r>
      <w:r w:rsidR="00233207" w:rsidRPr="001202A2">
        <w:rPr>
          <w:rFonts w:eastAsia="TimesNewRoman"/>
          <w:szCs w:val="22"/>
          <w:lang w:val="sr-Latn-ME"/>
        </w:rPr>
        <w:t xml:space="preserve"> </w:t>
      </w:r>
      <w:r w:rsidRPr="001202A2">
        <w:rPr>
          <w:rFonts w:eastAsia="TimesNewRoman"/>
          <w:szCs w:val="22"/>
          <w:lang w:val="sr-Latn-ME"/>
        </w:rPr>
        <w:t>ishoda, moždanog udara bez smrtnog ishoda, SED bez smrtnog ishoda i smrti zbog KV uzroka ili</w:t>
      </w:r>
      <w:r w:rsidR="00233207" w:rsidRPr="001202A2">
        <w:rPr>
          <w:rFonts w:eastAsia="TimesNewRoman"/>
          <w:szCs w:val="22"/>
          <w:lang w:val="sr-Latn-ME"/>
        </w:rPr>
        <w:t xml:space="preserve"> </w:t>
      </w:r>
      <w:r w:rsidRPr="001202A2">
        <w:rPr>
          <w:rFonts w:eastAsia="TimesNewRoman"/>
          <w:szCs w:val="22"/>
          <w:lang w:val="sr-Latn-ME"/>
        </w:rPr>
        <w:t xml:space="preserve">krvarenja; </w:t>
      </w:r>
      <w:r w:rsidR="00E71FC8" w:rsidRPr="001202A2">
        <w:rPr>
          <w:rFonts w:eastAsia="TimesNewRoman"/>
          <w:szCs w:val="22"/>
          <w:lang w:val="sr-Latn-ME"/>
        </w:rPr>
        <w:t>zbir</w:t>
      </w:r>
      <w:r w:rsidRPr="001202A2">
        <w:rPr>
          <w:rFonts w:eastAsia="TimesNewRoman"/>
          <w:szCs w:val="22"/>
          <w:lang w:val="sr-Latn-ME"/>
        </w:rPr>
        <w:t xml:space="preserve"> moždanog udara, SED i mortaliteta bilo kojeg uzroka.</w:t>
      </w:r>
    </w:p>
    <w:p w14:paraId="4E3391FF"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6E7C5CC1" w14:textId="48C38CC8" w:rsidR="008A1744" w:rsidRPr="001202A2" w:rsidRDefault="008A174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Medijana izloženosti ispitivanom l</w:t>
      </w:r>
      <w:r w:rsidR="00DA2EFC" w:rsidRPr="001202A2">
        <w:rPr>
          <w:rFonts w:eastAsia="TimesNewRoman"/>
          <w:szCs w:val="22"/>
          <w:lang w:val="sr-Latn-ME"/>
        </w:rPr>
        <w:t>ij</w:t>
      </w:r>
      <w:r w:rsidRPr="001202A2">
        <w:rPr>
          <w:rFonts w:eastAsia="TimesNewRoman"/>
          <w:szCs w:val="22"/>
          <w:lang w:val="sr-Latn-ME"/>
        </w:rPr>
        <w:t>eku u grup</w:t>
      </w:r>
      <w:r w:rsidR="00A135CF" w:rsidRPr="001202A2">
        <w:rPr>
          <w:rFonts w:eastAsia="TimesNewRoman"/>
          <w:szCs w:val="22"/>
          <w:lang w:val="sr-Latn-ME"/>
        </w:rPr>
        <w:t>ama na terapiji</w:t>
      </w:r>
      <w:r w:rsidRPr="001202A2">
        <w:rPr>
          <w:rFonts w:eastAsia="TimesNewRoman"/>
          <w:szCs w:val="22"/>
          <w:lang w:val="sr-Latn-ME"/>
        </w:rPr>
        <w:t xml:space="preserve"> edoksabanom u dozi od 60 mg i 30 mg iznosi</w:t>
      </w:r>
      <w:r w:rsidR="00A135CF" w:rsidRPr="001202A2">
        <w:rPr>
          <w:rFonts w:eastAsia="TimesNewRoman"/>
          <w:szCs w:val="22"/>
          <w:lang w:val="sr-Latn-ME"/>
        </w:rPr>
        <w:t>la</w:t>
      </w:r>
      <w:r w:rsidRPr="001202A2">
        <w:rPr>
          <w:rFonts w:eastAsia="TimesNewRoman"/>
          <w:szCs w:val="22"/>
          <w:lang w:val="sr-Latn-ME"/>
        </w:rPr>
        <w:t xml:space="preserve"> je 2,5 godine. Medijana perioda praćenja u ob</w:t>
      </w:r>
      <w:r w:rsidR="00DA2EFC" w:rsidRPr="001202A2">
        <w:rPr>
          <w:rFonts w:eastAsia="TimesNewRoman"/>
          <w:szCs w:val="22"/>
          <w:lang w:val="sr-Latn-ME"/>
        </w:rPr>
        <w:t>j</w:t>
      </w:r>
      <w:r w:rsidRPr="001202A2">
        <w:rPr>
          <w:rFonts w:eastAsia="TimesNewRoman"/>
          <w:szCs w:val="22"/>
          <w:lang w:val="sr-Latn-ME"/>
        </w:rPr>
        <w:t>e terapijske</w:t>
      </w:r>
      <w:r w:rsidR="00233207" w:rsidRPr="001202A2">
        <w:rPr>
          <w:rFonts w:eastAsia="TimesNewRoman"/>
          <w:szCs w:val="22"/>
          <w:lang w:val="sr-Latn-ME"/>
        </w:rPr>
        <w:t xml:space="preserve"> </w:t>
      </w:r>
      <w:r w:rsidRPr="001202A2">
        <w:rPr>
          <w:rFonts w:eastAsia="TimesNewRoman"/>
          <w:szCs w:val="22"/>
          <w:lang w:val="sr-Latn-ME"/>
        </w:rPr>
        <w:t>grupe koje su primale edoksaban, u doz</w:t>
      </w:r>
      <w:r w:rsidR="00A135CF" w:rsidRPr="001202A2">
        <w:rPr>
          <w:rFonts w:eastAsia="TimesNewRoman"/>
          <w:szCs w:val="22"/>
          <w:lang w:val="sr-Latn-ME"/>
        </w:rPr>
        <w:t>i</w:t>
      </w:r>
      <w:r w:rsidRPr="001202A2">
        <w:rPr>
          <w:rFonts w:eastAsia="TimesNewRoman"/>
          <w:szCs w:val="22"/>
          <w:lang w:val="sr-Latn-ME"/>
        </w:rPr>
        <w:t xml:space="preserve"> od 60 mg i 30 mg, iznosi</w:t>
      </w:r>
      <w:r w:rsidR="00A135CF" w:rsidRPr="001202A2">
        <w:rPr>
          <w:rFonts w:eastAsia="TimesNewRoman"/>
          <w:szCs w:val="22"/>
          <w:lang w:val="sr-Latn-ME"/>
        </w:rPr>
        <w:t>la</w:t>
      </w:r>
      <w:r w:rsidRPr="001202A2">
        <w:rPr>
          <w:rFonts w:eastAsia="TimesNewRoman"/>
          <w:szCs w:val="22"/>
          <w:lang w:val="sr-Latn-ME"/>
        </w:rPr>
        <w:t xml:space="preserve"> je 2,8 godina. Medijana</w:t>
      </w:r>
      <w:r w:rsidR="00233207" w:rsidRPr="001202A2">
        <w:rPr>
          <w:rFonts w:eastAsia="TimesNewRoman"/>
          <w:szCs w:val="22"/>
          <w:lang w:val="sr-Latn-ME"/>
        </w:rPr>
        <w:t xml:space="preserve"> </w:t>
      </w:r>
      <w:r w:rsidRPr="001202A2">
        <w:rPr>
          <w:rFonts w:eastAsia="TimesNewRoman"/>
          <w:szCs w:val="22"/>
          <w:lang w:val="sr-Latn-ME"/>
        </w:rPr>
        <w:t xml:space="preserve">izloženosti izražena kao ispitanik-godina </w:t>
      </w:r>
      <w:r w:rsidR="00A135CF" w:rsidRPr="001202A2">
        <w:rPr>
          <w:rFonts w:eastAsia="TimesNewRoman"/>
          <w:szCs w:val="22"/>
          <w:lang w:val="sr-Latn-ME"/>
        </w:rPr>
        <w:t>bila</w:t>
      </w:r>
      <w:r w:rsidRPr="001202A2">
        <w:rPr>
          <w:rFonts w:eastAsia="TimesNewRoman"/>
          <w:szCs w:val="22"/>
          <w:lang w:val="sr-Latn-ME"/>
        </w:rPr>
        <w:t xml:space="preserve"> je 15</w:t>
      </w:r>
      <w:r w:rsidR="000358E8" w:rsidRPr="001202A2">
        <w:rPr>
          <w:rFonts w:eastAsia="TimesNewRoman"/>
          <w:szCs w:val="22"/>
          <w:lang w:val="sr-Latn-ME"/>
        </w:rPr>
        <w:t xml:space="preserve"> </w:t>
      </w:r>
      <w:r w:rsidRPr="001202A2">
        <w:rPr>
          <w:rFonts w:eastAsia="TimesNewRoman"/>
          <w:szCs w:val="22"/>
          <w:lang w:val="sr-Latn-ME"/>
        </w:rPr>
        <w:t xml:space="preserve">471 </w:t>
      </w:r>
      <w:r w:rsidR="00A135CF" w:rsidRPr="001202A2">
        <w:rPr>
          <w:rFonts w:eastAsia="TimesNewRoman"/>
          <w:szCs w:val="22"/>
          <w:lang w:val="sr-Latn-ME"/>
        </w:rPr>
        <w:t>u</w:t>
      </w:r>
      <w:r w:rsidRPr="001202A2">
        <w:rPr>
          <w:rFonts w:eastAsia="TimesNewRoman"/>
          <w:szCs w:val="22"/>
          <w:lang w:val="sr-Latn-ME"/>
        </w:rPr>
        <w:t xml:space="preserve"> grup</w:t>
      </w:r>
      <w:r w:rsidR="00A135CF" w:rsidRPr="001202A2">
        <w:rPr>
          <w:rFonts w:eastAsia="TimesNewRoman"/>
          <w:szCs w:val="22"/>
          <w:lang w:val="sr-Latn-ME"/>
        </w:rPr>
        <w:t>i</w:t>
      </w:r>
      <w:r w:rsidRPr="001202A2">
        <w:rPr>
          <w:rFonts w:eastAsia="TimesNewRoman"/>
          <w:szCs w:val="22"/>
          <w:lang w:val="sr-Latn-ME"/>
        </w:rPr>
        <w:t xml:space="preserve"> l</w:t>
      </w:r>
      <w:r w:rsidR="00DA2EFC" w:rsidRPr="001202A2">
        <w:rPr>
          <w:rFonts w:eastAsia="TimesNewRoman"/>
          <w:szCs w:val="22"/>
          <w:lang w:val="sr-Latn-ME"/>
        </w:rPr>
        <w:t>ij</w:t>
      </w:r>
      <w:r w:rsidRPr="001202A2">
        <w:rPr>
          <w:rFonts w:eastAsia="TimesNewRoman"/>
          <w:szCs w:val="22"/>
          <w:lang w:val="sr-Latn-ME"/>
        </w:rPr>
        <w:t>ečen</w:t>
      </w:r>
      <w:r w:rsidR="00A135CF" w:rsidRPr="001202A2">
        <w:rPr>
          <w:rFonts w:eastAsia="TimesNewRoman"/>
          <w:szCs w:val="22"/>
          <w:lang w:val="sr-Latn-ME"/>
        </w:rPr>
        <w:t>oj</w:t>
      </w:r>
      <w:r w:rsidRPr="001202A2">
        <w:rPr>
          <w:rFonts w:eastAsia="TimesNewRoman"/>
          <w:szCs w:val="22"/>
          <w:lang w:val="sr-Latn-ME"/>
        </w:rPr>
        <w:t xml:space="preserve"> dozom od 60 mg i 15</w:t>
      </w:r>
      <w:r w:rsidR="000358E8" w:rsidRPr="001202A2">
        <w:rPr>
          <w:rFonts w:eastAsia="TimesNewRoman"/>
          <w:szCs w:val="22"/>
          <w:lang w:val="sr-Latn-ME"/>
        </w:rPr>
        <w:t xml:space="preserve"> </w:t>
      </w:r>
      <w:r w:rsidRPr="001202A2">
        <w:rPr>
          <w:rFonts w:eastAsia="TimesNewRoman"/>
          <w:szCs w:val="22"/>
          <w:lang w:val="sr-Latn-ME"/>
        </w:rPr>
        <w:t xml:space="preserve">840 </w:t>
      </w:r>
      <w:r w:rsidR="00A135CF" w:rsidRPr="001202A2">
        <w:rPr>
          <w:rFonts w:eastAsia="TimesNewRoman"/>
          <w:szCs w:val="22"/>
          <w:lang w:val="sr-Latn-ME"/>
        </w:rPr>
        <w:t>u</w:t>
      </w:r>
      <w:r w:rsidR="00233207" w:rsidRPr="001202A2">
        <w:rPr>
          <w:rFonts w:eastAsia="TimesNewRoman"/>
          <w:szCs w:val="22"/>
          <w:lang w:val="sr-Latn-ME"/>
        </w:rPr>
        <w:t xml:space="preserve"> </w:t>
      </w:r>
      <w:r w:rsidRPr="001202A2">
        <w:rPr>
          <w:rFonts w:eastAsia="TimesNewRoman"/>
          <w:szCs w:val="22"/>
          <w:lang w:val="sr-Latn-ME"/>
        </w:rPr>
        <w:t>grup</w:t>
      </w:r>
      <w:r w:rsidR="00A135CF" w:rsidRPr="001202A2">
        <w:rPr>
          <w:rFonts w:eastAsia="TimesNewRoman"/>
          <w:szCs w:val="22"/>
          <w:lang w:val="sr-Latn-ME"/>
        </w:rPr>
        <w:t>i</w:t>
      </w:r>
      <w:r w:rsidRPr="001202A2">
        <w:rPr>
          <w:rFonts w:eastAsia="TimesNewRoman"/>
          <w:szCs w:val="22"/>
          <w:lang w:val="sr-Latn-ME"/>
        </w:rPr>
        <w:t xml:space="preserve"> l</w:t>
      </w:r>
      <w:r w:rsidR="00DA2EFC" w:rsidRPr="001202A2">
        <w:rPr>
          <w:rFonts w:eastAsia="TimesNewRoman"/>
          <w:szCs w:val="22"/>
          <w:lang w:val="sr-Latn-ME"/>
        </w:rPr>
        <w:t>ij</w:t>
      </w:r>
      <w:r w:rsidRPr="001202A2">
        <w:rPr>
          <w:rFonts w:eastAsia="TimesNewRoman"/>
          <w:szCs w:val="22"/>
          <w:lang w:val="sr-Latn-ME"/>
        </w:rPr>
        <w:t>ečen</w:t>
      </w:r>
      <w:r w:rsidR="00A135CF" w:rsidRPr="001202A2">
        <w:rPr>
          <w:rFonts w:eastAsia="TimesNewRoman"/>
          <w:szCs w:val="22"/>
          <w:lang w:val="sr-Latn-ME"/>
        </w:rPr>
        <w:t>oj</w:t>
      </w:r>
      <w:r w:rsidRPr="001202A2">
        <w:rPr>
          <w:rFonts w:eastAsia="TimesNewRoman"/>
          <w:szCs w:val="22"/>
          <w:lang w:val="sr-Latn-ME"/>
        </w:rPr>
        <w:t xml:space="preserve"> dozom od 30 mg; medijana praćenja izražena kao ispitanik-godina iznosila je 19191 u</w:t>
      </w:r>
      <w:r w:rsidR="00233207" w:rsidRPr="001202A2">
        <w:rPr>
          <w:rFonts w:eastAsia="TimesNewRoman"/>
          <w:szCs w:val="22"/>
          <w:lang w:val="sr-Latn-ME"/>
        </w:rPr>
        <w:t xml:space="preserve"> </w:t>
      </w:r>
      <w:r w:rsidRPr="001202A2">
        <w:rPr>
          <w:rFonts w:eastAsia="TimesNewRoman"/>
          <w:szCs w:val="22"/>
          <w:lang w:val="sr-Latn-ME"/>
        </w:rPr>
        <w:t>grupi l</w:t>
      </w:r>
      <w:r w:rsidR="00DA2EFC" w:rsidRPr="001202A2">
        <w:rPr>
          <w:rFonts w:eastAsia="TimesNewRoman"/>
          <w:szCs w:val="22"/>
          <w:lang w:val="sr-Latn-ME"/>
        </w:rPr>
        <w:t>ij</w:t>
      </w:r>
      <w:r w:rsidRPr="001202A2">
        <w:rPr>
          <w:rFonts w:eastAsia="TimesNewRoman"/>
          <w:szCs w:val="22"/>
          <w:lang w:val="sr-Latn-ME"/>
        </w:rPr>
        <w:t>ečenoj dozom od 60 mg i 19</w:t>
      </w:r>
      <w:r w:rsidR="000358E8" w:rsidRPr="001202A2">
        <w:rPr>
          <w:rFonts w:eastAsia="TimesNewRoman"/>
          <w:szCs w:val="22"/>
          <w:lang w:val="sr-Latn-ME"/>
        </w:rPr>
        <w:t xml:space="preserve"> </w:t>
      </w:r>
      <w:r w:rsidRPr="001202A2">
        <w:rPr>
          <w:rFonts w:eastAsia="TimesNewRoman"/>
          <w:szCs w:val="22"/>
          <w:lang w:val="sr-Latn-ME"/>
        </w:rPr>
        <w:t>216 u grupi l</w:t>
      </w:r>
      <w:r w:rsidR="00DA2EFC" w:rsidRPr="001202A2">
        <w:rPr>
          <w:rFonts w:eastAsia="TimesNewRoman"/>
          <w:szCs w:val="22"/>
          <w:lang w:val="sr-Latn-ME"/>
        </w:rPr>
        <w:t>ij</w:t>
      </w:r>
      <w:r w:rsidRPr="001202A2">
        <w:rPr>
          <w:rFonts w:eastAsia="TimesNewRoman"/>
          <w:szCs w:val="22"/>
          <w:lang w:val="sr-Latn-ME"/>
        </w:rPr>
        <w:t>ečenoj dozom od 30 mg.</w:t>
      </w:r>
    </w:p>
    <w:p w14:paraId="36A92406" w14:textId="6AC5D673" w:rsidR="008A1744" w:rsidRPr="001202A2" w:rsidRDefault="008A174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grupi </w:t>
      </w:r>
      <w:r w:rsidR="00A135CF" w:rsidRPr="001202A2">
        <w:rPr>
          <w:rFonts w:eastAsia="TimesNewRoman"/>
          <w:szCs w:val="22"/>
          <w:lang w:val="sr-Latn-ME"/>
        </w:rPr>
        <w:t>na terapiji</w:t>
      </w:r>
      <w:r w:rsidRPr="001202A2">
        <w:rPr>
          <w:rFonts w:eastAsia="TimesNewRoman"/>
          <w:szCs w:val="22"/>
          <w:lang w:val="sr-Latn-ME"/>
        </w:rPr>
        <w:t xml:space="preserve"> varfarinom, medijana vremena u terapijskom rasponu (engl. </w:t>
      </w:r>
      <w:r w:rsidRPr="001202A2">
        <w:rPr>
          <w:i/>
          <w:iCs/>
          <w:szCs w:val="22"/>
          <w:lang w:val="sr-Latn-ME"/>
        </w:rPr>
        <w:t>time in therapeutic range</w:t>
      </w:r>
      <w:r w:rsidRPr="001202A2">
        <w:rPr>
          <w:rFonts w:eastAsia="TimesNewRoman"/>
          <w:szCs w:val="22"/>
          <w:lang w:val="sr-Latn-ME"/>
        </w:rPr>
        <w:t>,</w:t>
      </w:r>
      <w:r w:rsidR="00233207" w:rsidRPr="001202A2">
        <w:rPr>
          <w:rFonts w:eastAsia="TimesNewRoman"/>
          <w:szCs w:val="22"/>
          <w:lang w:val="sr-Latn-ME"/>
        </w:rPr>
        <w:t xml:space="preserve"> </w:t>
      </w:r>
      <w:r w:rsidRPr="001202A2">
        <w:rPr>
          <w:rFonts w:eastAsia="TimesNewRoman"/>
          <w:szCs w:val="22"/>
          <w:lang w:val="sr-Latn-ME"/>
        </w:rPr>
        <w:t>TTR) (INR 2,0 do 3,0) iznosila je 68,4%.</w:t>
      </w:r>
    </w:p>
    <w:p w14:paraId="42C0F1E3"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493EE923" w14:textId="621BA335" w:rsidR="00FA7259" w:rsidRPr="001202A2" w:rsidRDefault="00A135C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G</w:t>
      </w:r>
      <w:r w:rsidR="008A1744" w:rsidRPr="001202A2">
        <w:rPr>
          <w:rFonts w:eastAsia="TimesNewRoman"/>
          <w:szCs w:val="22"/>
          <w:lang w:val="sr-Latn-ME"/>
        </w:rPr>
        <w:t>lavn</w:t>
      </w:r>
      <w:r w:rsidRPr="001202A2">
        <w:rPr>
          <w:rFonts w:eastAsia="TimesNewRoman"/>
          <w:szCs w:val="22"/>
          <w:lang w:val="sr-Latn-ME"/>
        </w:rPr>
        <w:t>a</w:t>
      </w:r>
      <w:r w:rsidR="008A1744" w:rsidRPr="001202A2">
        <w:rPr>
          <w:rFonts w:eastAsia="TimesNewRoman"/>
          <w:szCs w:val="22"/>
          <w:lang w:val="sr-Latn-ME"/>
        </w:rPr>
        <w:t xml:space="preserve"> analiz</w:t>
      </w:r>
      <w:r w:rsidRPr="001202A2">
        <w:rPr>
          <w:rFonts w:eastAsia="TimesNewRoman"/>
          <w:szCs w:val="22"/>
          <w:lang w:val="sr-Latn-ME"/>
        </w:rPr>
        <w:t>a</w:t>
      </w:r>
      <w:r w:rsidR="008A1744" w:rsidRPr="001202A2">
        <w:rPr>
          <w:rFonts w:eastAsia="TimesNewRoman"/>
          <w:szCs w:val="22"/>
          <w:lang w:val="sr-Latn-ME"/>
        </w:rPr>
        <w:t xml:space="preserve"> efikasnosti </w:t>
      </w:r>
      <w:r w:rsidRPr="001202A2">
        <w:rPr>
          <w:rFonts w:eastAsia="TimesNewRoman"/>
          <w:szCs w:val="22"/>
          <w:lang w:val="sr-Latn-ME"/>
        </w:rPr>
        <w:t>je imala za cilj da</w:t>
      </w:r>
      <w:r w:rsidR="008A1744" w:rsidRPr="001202A2">
        <w:rPr>
          <w:rFonts w:eastAsia="TimesNewRoman"/>
          <w:szCs w:val="22"/>
          <w:lang w:val="sr-Latn-ME"/>
        </w:rPr>
        <w:t xml:space="preserve"> pokaže neinferiornost edoksabana u odnosu na varfarin kod</w:t>
      </w:r>
      <w:r w:rsidR="00233207" w:rsidRPr="001202A2">
        <w:rPr>
          <w:rFonts w:eastAsia="TimesNewRoman"/>
          <w:szCs w:val="22"/>
          <w:lang w:val="sr-Latn-ME"/>
        </w:rPr>
        <w:t xml:space="preserve"> </w:t>
      </w:r>
      <w:r w:rsidR="008A1744" w:rsidRPr="001202A2">
        <w:rPr>
          <w:rFonts w:eastAsia="TimesNewRoman"/>
          <w:szCs w:val="22"/>
          <w:lang w:val="sr-Latn-ME"/>
        </w:rPr>
        <w:t xml:space="preserve">prvog moždanog udara ili SED </w:t>
      </w:r>
      <w:r w:rsidRPr="001202A2">
        <w:rPr>
          <w:rFonts w:eastAsia="TimesNewRoman"/>
          <w:szCs w:val="22"/>
          <w:lang w:val="sr-Latn-ME"/>
        </w:rPr>
        <w:t>koji su se javili</w:t>
      </w:r>
      <w:r w:rsidR="008A1744" w:rsidRPr="001202A2">
        <w:rPr>
          <w:rFonts w:eastAsia="TimesNewRoman"/>
          <w:szCs w:val="22"/>
          <w:lang w:val="sr-Latn-ME"/>
        </w:rPr>
        <w:t xml:space="preserve"> tokom l</w:t>
      </w:r>
      <w:r w:rsidR="00DA2EFC" w:rsidRPr="001202A2">
        <w:rPr>
          <w:rFonts w:eastAsia="TimesNewRoman"/>
          <w:szCs w:val="22"/>
          <w:lang w:val="sr-Latn-ME"/>
        </w:rPr>
        <w:t>ij</w:t>
      </w:r>
      <w:r w:rsidR="008A1744" w:rsidRPr="001202A2">
        <w:rPr>
          <w:rFonts w:eastAsia="TimesNewRoman"/>
          <w:szCs w:val="22"/>
          <w:lang w:val="sr-Latn-ME"/>
        </w:rPr>
        <w:t>ečenja ili unutar 3 dana od posl</w:t>
      </w:r>
      <w:r w:rsidR="00DA2EFC" w:rsidRPr="001202A2">
        <w:rPr>
          <w:rFonts w:eastAsia="TimesNewRoman"/>
          <w:szCs w:val="22"/>
          <w:lang w:val="sr-Latn-ME"/>
        </w:rPr>
        <w:t>j</w:t>
      </w:r>
      <w:r w:rsidR="008A1744" w:rsidRPr="001202A2">
        <w:rPr>
          <w:rFonts w:eastAsia="TimesNewRoman"/>
          <w:szCs w:val="22"/>
          <w:lang w:val="sr-Latn-ME"/>
        </w:rPr>
        <w:t>ednje primljene doze</w:t>
      </w:r>
      <w:r w:rsidR="00233207" w:rsidRPr="001202A2">
        <w:rPr>
          <w:rFonts w:eastAsia="TimesNewRoman"/>
          <w:szCs w:val="22"/>
          <w:lang w:val="sr-Latn-ME"/>
        </w:rPr>
        <w:t xml:space="preserve"> </w:t>
      </w:r>
      <w:r w:rsidR="008A1744" w:rsidRPr="001202A2">
        <w:rPr>
          <w:rFonts w:eastAsia="TimesNewRoman"/>
          <w:szCs w:val="22"/>
          <w:lang w:val="sr-Latn-ME"/>
        </w:rPr>
        <w:t>u izm</w:t>
      </w:r>
      <w:r w:rsidR="00DA2EFC" w:rsidRPr="001202A2">
        <w:rPr>
          <w:rFonts w:eastAsia="TimesNewRoman"/>
          <w:szCs w:val="22"/>
          <w:lang w:val="sr-Latn-ME"/>
        </w:rPr>
        <w:t>ij</w:t>
      </w:r>
      <w:r w:rsidR="008A1744" w:rsidRPr="001202A2">
        <w:rPr>
          <w:rFonts w:eastAsia="TimesNewRoman"/>
          <w:szCs w:val="22"/>
          <w:lang w:val="sr-Latn-ME"/>
        </w:rPr>
        <w:t>enjenoj populaciji predviđenoj za l</w:t>
      </w:r>
      <w:r w:rsidR="00DA2EFC" w:rsidRPr="001202A2">
        <w:rPr>
          <w:rFonts w:eastAsia="TimesNewRoman"/>
          <w:szCs w:val="22"/>
          <w:lang w:val="sr-Latn-ME"/>
        </w:rPr>
        <w:t>ij</w:t>
      </w:r>
      <w:r w:rsidR="008A1744" w:rsidRPr="001202A2">
        <w:rPr>
          <w:rFonts w:eastAsia="TimesNewRoman"/>
          <w:szCs w:val="22"/>
          <w:lang w:val="sr-Latn-ME"/>
        </w:rPr>
        <w:t xml:space="preserve">ečenje (engl. </w:t>
      </w:r>
      <w:r w:rsidR="008A1744" w:rsidRPr="001202A2">
        <w:rPr>
          <w:rFonts w:eastAsia="TimesNewRoman"/>
          <w:i/>
          <w:iCs/>
          <w:szCs w:val="22"/>
          <w:lang w:val="sr-Latn-ME"/>
        </w:rPr>
        <w:t>modified intention-to-treat</w:t>
      </w:r>
      <w:r w:rsidR="008A1744" w:rsidRPr="001202A2">
        <w:rPr>
          <w:rFonts w:eastAsia="TimesNewRoman"/>
          <w:szCs w:val="22"/>
          <w:lang w:val="sr-Latn-ME"/>
        </w:rPr>
        <w:t>, mITT).</w:t>
      </w:r>
      <w:r w:rsidR="00233207" w:rsidRPr="001202A2">
        <w:rPr>
          <w:rFonts w:eastAsia="TimesNewRoman"/>
          <w:szCs w:val="22"/>
          <w:lang w:val="sr-Latn-ME"/>
        </w:rPr>
        <w:t xml:space="preserve"> </w:t>
      </w:r>
      <w:r w:rsidR="008A1744" w:rsidRPr="001202A2">
        <w:rPr>
          <w:rFonts w:eastAsia="TimesNewRoman"/>
          <w:szCs w:val="22"/>
          <w:lang w:val="sr-Latn-ME"/>
        </w:rPr>
        <w:t>Edoksaban u dozi od 60 mg bio je neinferioran u odnosu na varfarin prema primarnom parametru</w:t>
      </w:r>
      <w:r w:rsidR="00233207" w:rsidRPr="001202A2">
        <w:rPr>
          <w:rFonts w:eastAsia="TimesNewRoman"/>
          <w:szCs w:val="22"/>
          <w:lang w:val="sr-Latn-ME"/>
        </w:rPr>
        <w:t xml:space="preserve"> </w:t>
      </w:r>
      <w:r w:rsidR="008A1744" w:rsidRPr="001202A2">
        <w:rPr>
          <w:rFonts w:eastAsia="TimesNewRoman"/>
          <w:szCs w:val="22"/>
          <w:lang w:val="sr-Latn-ME"/>
        </w:rPr>
        <w:t>praćenja efikasnosti, što je bio moždani udar ili SED (gornja granica</w:t>
      </w:r>
      <w:r w:rsidR="00FE074C" w:rsidRPr="001202A2">
        <w:rPr>
          <w:rFonts w:eastAsia="TimesNewRoman"/>
          <w:szCs w:val="22"/>
          <w:lang w:val="sr-Latn-ME"/>
        </w:rPr>
        <w:t xml:space="preserve"> intervala pouzdanosti </w:t>
      </w:r>
      <w:r w:rsidR="006E09AD" w:rsidRPr="001202A2">
        <w:rPr>
          <w:rFonts w:eastAsia="TimesNewRoman"/>
          <w:szCs w:val="22"/>
          <w:lang w:val="sr-Latn-ME"/>
        </w:rPr>
        <w:t xml:space="preserve">(engl. </w:t>
      </w:r>
      <w:r w:rsidR="005171DA" w:rsidRPr="001202A2">
        <w:rPr>
          <w:rFonts w:eastAsia="TimesNewRoman"/>
          <w:i/>
          <w:iCs/>
          <w:szCs w:val="22"/>
          <w:lang w:val="sr-Latn-ME"/>
        </w:rPr>
        <w:t>confidence interval</w:t>
      </w:r>
      <w:r w:rsidR="005171DA" w:rsidRPr="001202A2">
        <w:rPr>
          <w:rFonts w:eastAsia="TimesNewRoman"/>
          <w:szCs w:val="22"/>
          <w:lang w:val="sr-Latn-ME"/>
        </w:rPr>
        <w:t>, CI</w:t>
      </w:r>
      <w:r w:rsidR="006E09AD" w:rsidRPr="001202A2">
        <w:rPr>
          <w:rFonts w:eastAsia="TimesNewRoman"/>
          <w:szCs w:val="22"/>
          <w:lang w:val="sr-Latn-ME"/>
        </w:rPr>
        <w:t>)</w:t>
      </w:r>
      <w:r w:rsidR="008A1744" w:rsidRPr="001202A2">
        <w:rPr>
          <w:rFonts w:eastAsia="TimesNewRoman"/>
          <w:szCs w:val="22"/>
          <w:lang w:val="sr-Latn-ME"/>
        </w:rPr>
        <w:t xml:space="preserve"> </w:t>
      </w:r>
      <w:r w:rsidR="00FA26C6" w:rsidRPr="001202A2">
        <w:rPr>
          <w:rFonts w:eastAsia="TimesNewRoman"/>
          <w:szCs w:val="22"/>
          <w:lang w:val="sr-Latn-ME"/>
        </w:rPr>
        <w:t xml:space="preserve">odnosa rizika </w:t>
      </w:r>
      <w:r w:rsidR="003E78BA" w:rsidRPr="001202A2">
        <w:rPr>
          <w:rFonts w:eastAsia="TimesNewRoman"/>
          <w:szCs w:val="22"/>
          <w:lang w:val="sr-Latn-ME"/>
        </w:rPr>
        <w:t>(engl.</w:t>
      </w:r>
      <w:r w:rsidR="008A1744" w:rsidRPr="001202A2">
        <w:rPr>
          <w:rFonts w:eastAsia="TimesNewRoman"/>
          <w:szCs w:val="22"/>
          <w:lang w:val="sr-Latn-ME"/>
        </w:rPr>
        <w:t xml:space="preserve"> </w:t>
      </w:r>
      <w:r w:rsidR="008A1744" w:rsidRPr="001202A2">
        <w:rPr>
          <w:rFonts w:eastAsia="TimesNewRoman"/>
          <w:i/>
          <w:iCs/>
          <w:szCs w:val="22"/>
          <w:lang w:val="sr-Latn-ME"/>
        </w:rPr>
        <w:t>hazard</w:t>
      </w:r>
      <w:r w:rsidR="00233207" w:rsidRPr="001202A2">
        <w:rPr>
          <w:rFonts w:eastAsia="TimesNewRoman"/>
          <w:i/>
          <w:iCs/>
          <w:szCs w:val="22"/>
          <w:lang w:val="sr-Latn-ME"/>
        </w:rPr>
        <w:t xml:space="preserve"> </w:t>
      </w:r>
      <w:r w:rsidR="008A1744" w:rsidRPr="001202A2">
        <w:rPr>
          <w:rFonts w:eastAsia="TimesNewRoman"/>
          <w:i/>
          <w:iCs/>
          <w:szCs w:val="22"/>
          <w:lang w:val="sr-Latn-ME"/>
        </w:rPr>
        <w:t>ratio</w:t>
      </w:r>
      <w:r w:rsidR="003E78BA" w:rsidRPr="001202A2">
        <w:rPr>
          <w:rFonts w:eastAsia="TimesNewRoman"/>
          <w:szCs w:val="22"/>
          <w:lang w:val="sr-Latn-ME"/>
        </w:rPr>
        <w:t xml:space="preserve">, </w:t>
      </w:r>
      <w:r w:rsidR="008A1744" w:rsidRPr="001202A2">
        <w:rPr>
          <w:rFonts w:eastAsia="TimesNewRoman"/>
          <w:szCs w:val="22"/>
          <w:lang w:val="sr-Latn-ME"/>
        </w:rPr>
        <w:t xml:space="preserve">HR) </w:t>
      </w:r>
      <w:r w:rsidR="00E228A7" w:rsidRPr="001202A2">
        <w:rPr>
          <w:rFonts w:eastAsia="TimesNewRoman"/>
          <w:szCs w:val="22"/>
          <w:lang w:val="sr-Latn-ME"/>
        </w:rPr>
        <w:t>od 97,</w:t>
      </w:r>
      <w:r w:rsidR="00E8183F" w:rsidRPr="001202A2">
        <w:rPr>
          <w:rFonts w:eastAsia="TimesNewRoman"/>
          <w:szCs w:val="22"/>
          <w:lang w:val="sr-Latn-ME"/>
        </w:rPr>
        <w:t xml:space="preserve">5% </w:t>
      </w:r>
      <w:r w:rsidR="008A1744" w:rsidRPr="001202A2">
        <w:rPr>
          <w:rFonts w:eastAsia="TimesNewRoman"/>
          <w:szCs w:val="22"/>
          <w:lang w:val="sr-Latn-ME"/>
        </w:rPr>
        <w:t>bila je ispod unapr</w:t>
      </w:r>
      <w:r w:rsidR="00DA2EFC" w:rsidRPr="001202A2">
        <w:rPr>
          <w:rFonts w:eastAsia="TimesNewRoman"/>
          <w:szCs w:val="22"/>
          <w:lang w:val="sr-Latn-ME"/>
        </w:rPr>
        <w:t>ij</w:t>
      </w:r>
      <w:r w:rsidR="008A1744" w:rsidRPr="001202A2">
        <w:rPr>
          <w:rFonts w:eastAsia="TimesNewRoman"/>
          <w:szCs w:val="22"/>
          <w:lang w:val="sr-Latn-ME"/>
        </w:rPr>
        <w:t xml:space="preserve">ed </w:t>
      </w:r>
      <w:r w:rsidRPr="001202A2">
        <w:rPr>
          <w:rFonts w:eastAsia="TimesNewRoman"/>
          <w:szCs w:val="22"/>
          <w:lang w:val="sr-Latn-ME"/>
        </w:rPr>
        <w:t>definisane</w:t>
      </w:r>
      <w:r w:rsidR="008A1744" w:rsidRPr="001202A2">
        <w:rPr>
          <w:rFonts w:eastAsia="TimesNewRoman"/>
          <w:szCs w:val="22"/>
          <w:lang w:val="sr-Latn-ME"/>
        </w:rPr>
        <w:t xml:space="preserve"> </w:t>
      </w:r>
      <w:r w:rsidRPr="001202A2">
        <w:rPr>
          <w:rFonts w:eastAsia="TimesNewRoman"/>
          <w:szCs w:val="22"/>
          <w:lang w:val="sr-Latn-ME"/>
        </w:rPr>
        <w:t>granice</w:t>
      </w:r>
      <w:r w:rsidR="00FA7259" w:rsidRPr="001202A2">
        <w:rPr>
          <w:rFonts w:eastAsia="TimesNewRoman"/>
          <w:szCs w:val="22"/>
          <w:lang w:val="sr-Latn-ME"/>
        </w:rPr>
        <w:t xml:space="preserve"> neinferiornosti od 1,38) (tabela 4).</w:t>
      </w:r>
    </w:p>
    <w:p w14:paraId="59510623"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68E2A053" w14:textId="6C609F5F" w:rsidR="00FA7259" w:rsidRPr="001202A2" w:rsidRDefault="00FA7259" w:rsidP="00480B31">
      <w:pPr>
        <w:rPr>
          <w:rFonts w:eastAsia="TimesNewRoman"/>
          <w:b/>
          <w:bCs/>
          <w:szCs w:val="22"/>
          <w:lang w:val="sr-Latn-ME"/>
        </w:rPr>
      </w:pPr>
      <w:r w:rsidRPr="001202A2">
        <w:rPr>
          <w:rFonts w:eastAsia="TimesNewRoman"/>
          <w:b/>
          <w:bCs/>
          <w:szCs w:val="22"/>
          <w:lang w:val="sr-Latn-ME"/>
        </w:rPr>
        <w:t>Tabela 4: Moždani udari i SED u ENGAGE AF-TIMI 48 studiji (mITT, tokom l</w:t>
      </w:r>
      <w:r w:rsidR="00DA2EFC" w:rsidRPr="001202A2">
        <w:rPr>
          <w:rFonts w:eastAsia="TimesNewRoman"/>
          <w:b/>
          <w:bCs/>
          <w:szCs w:val="22"/>
          <w:lang w:val="sr-Latn-ME"/>
        </w:rPr>
        <w:t>ij</w:t>
      </w:r>
      <w:r w:rsidRPr="001202A2">
        <w:rPr>
          <w:rFonts w:eastAsia="TimesNewRoman"/>
          <w:b/>
          <w:bCs/>
          <w:szCs w:val="22"/>
          <w:lang w:val="sr-Latn-ME"/>
        </w:rPr>
        <w:t>ečenja)</w:t>
      </w:r>
    </w:p>
    <w:p w14:paraId="51CEEABC" w14:textId="77777777" w:rsidR="00743938" w:rsidRPr="001202A2" w:rsidRDefault="00743938" w:rsidP="00480B31">
      <w:pPr>
        <w:rPr>
          <w:rFonts w:eastAsia="TimesNewRoman"/>
          <w:b/>
          <w:bCs/>
          <w:szCs w:val="22"/>
          <w:lang w:val="sr-Latn-ME"/>
        </w:rPr>
      </w:pPr>
    </w:p>
    <w:tbl>
      <w:tblPr>
        <w:tblStyle w:val="TableGrid"/>
        <w:tblW w:w="0" w:type="auto"/>
        <w:tblLook w:val="04A0" w:firstRow="1" w:lastRow="0" w:firstColumn="1" w:lastColumn="0" w:noHBand="0" w:noVBand="1"/>
      </w:tblPr>
      <w:tblGrid>
        <w:gridCol w:w="3570"/>
        <w:gridCol w:w="3187"/>
        <w:gridCol w:w="2872"/>
      </w:tblGrid>
      <w:tr w:rsidR="00A135CF" w:rsidRPr="001202A2" w14:paraId="52664CF4" w14:textId="77777777" w:rsidTr="001202A2">
        <w:tc>
          <w:tcPr>
            <w:tcW w:w="3652" w:type="dxa"/>
            <w:shd w:val="clear" w:color="auto" w:fill="BFBFBF" w:themeFill="background1" w:themeFillShade="BF"/>
            <w:vAlign w:val="center"/>
          </w:tcPr>
          <w:p w14:paraId="1550FEFF" w14:textId="264D90E4" w:rsidR="00A135CF" w:rsidRPr="001202A2" w:rsidRDefault="00A135CF" w:rsidP="00880F49">
            <w:pPr>
              <w:tabs>
                <w:tab w:val="clear" w:pos="284"/>
              </w:tabs>
              <w:autoSpaceDE w:val="0"/>
              <w:autoSpaceDN w:val="0"/>
              <w:adjustRightInd w:val="0"/>
              <w:jc w:val="left"/>
              <w:rPr>
                <w:rFonts w:eastAsia="TimesNewRoman"/>
                <w:b/>
                <w:bCs/>
                <w:szCs w:val="22"/>
                <w:lang w:val="sr-Latn-ME"/>
              </w:rPr>
            </w:pPr>
            <w:r w:rsidRPr="001202A2">
              <w:rPr>
                <w:rFonts w:eastAsia="TimesNewRoman"/>
                <w:b/>
                <w:bCs/>
                <w:szCs w:val="22"/>
                <w:lang w:val="sr-Latn-ME"/>
              </w:rPr>
              <w:t>Primarni parametar praćenja</w:t>
            </w:r>
          </w:p>
        </w:tc>
        <w:tc>
          <w:tcPr>
            <w:tcW w:w="3260" w:type="dxa"/>
            <w:shd w:val="clear" w:color="auto" w:fill="BFBFBF" w:themeFill="background1" w:themeFillShade="BF"/>
            <w:vAlign w:val="center"/>
          </w:tcPr>
          <w:p w14:paraId="7139E102" w14:textId="77777777" w:rsidR="00A135CF" w:rsidRPr="001202A2" w:rsidRDefault="00A135CF" w:rsidP="00880F49">
            <w:pPr>
              <w:tabs>
                <w:tab w:val="clear" w:pos="284"/>
              </w:tabs>
              <w:autoSpaceDE w:val="0"/>
              <w:autoSpaceDN w:val="0"/>
              <w:adjustRightInd w:val="0"/>
              <w:jc w:val="center"/>
              <w:rPr>
                <w:rFonts w:eastAsia="TimesNewRoman"/>
                <w:b/>
                <w:bCs/>
                <w:szCs w:val="22"/>
                <w:lang w:val="sr-Latn-ME"/>
              </w:rPr>
            </w:pPr>
            <w:r w:rsidRPr="001202A2">
              <w:rPr>
                <w:rFonts w:eastAsia="TimesNewRoman"/>
                <w:b/>
                <w:bCs/>
                <w:szCs w:val="22"/>
                <w:lang w:val="sr-Latn-ME"/>
              </w:rPr>
              <w:t>Edoksaban 60 mg</w:t>
            </w:r>
          </w:p>
          <w:p w14:paraId="3ABE7912" w14:textId="77777777" w:rsidR="00A135CF" w:rsidRPr="001202A2" w:rsidRDefault="00A135CF" w:rsidP="00880F49">
            <w:pPr>
              <w:tabs>
                <w:tab w:val="clear" w:pos="284"/>
              </w:tabs>
              <w:autoSpaceDE w:val="0"/>
              <w:autoSpaceDN w:val="0"/>
              <w:adjustRightInd w:val="0"/>
              <w:jc w:val="center"/>
              <w:rPr>
                <w:rFonts w:eastAsia="TimesNewRoman"/>
                <w:b/>
                <w:bCs/>
                <w:szCs w:val="22"/>
                <w:lang w:val="sr-Latn-ME"/>
              </w:rPr>
            </w:pPr>
            <w:r w:rsidRPr="001202A2">
              <w:rPr>
                <w:rFonts w:eastAsia="TimesNewRoman"/>
                <w:b/>
                <w:bCs/>
                <w:szCs w:val="22"/>
                <w:lang w:val="sr-Latn-ME"/>
              </w:rPr>
              <w:t>(30 mg redukovana doza)</w:t>
            </w:r>
          </w:p>
          <w:p w14:paraId="5F532A6B" w14:textId="3E56ECEB" w:rsidR="00A135CF" w:rsidRPr="001202A2" w:rsidRDefault="00A135CF" w:rsidP="00880F49">
            <w:pPr>
              <w:tabs>
                <w:tab w:val="clear" w:pos="284"/>
              </w:tabs>
              <w:autoSpaceDE w:val="0"/>
              <w:autoSpaceDN w:val="0"/>
              <w:adjustRightInd w:val="0"/>
              <w:jc w:val="center"/>
              <w:rPr>
                <w:rFonts w:eastAsia="TimesNewRoman"/>
                <w:b/>
                <w:bCs/>
                <w:szCs w:val="22"/>
                <w:lang w:val="sr-Latn-ME"/>
              </w:rPr>
            </w:pPr>
            <w:r w:rsidRPr="001202A2">
              <w:rPr>
                <w:rFonts w:eastAsia="TimesNewRoman"/>
                <w:b/>
                <w:bCs/>
                <w:szCs w:val="22"/>
                <w:lang w:val="sr-Latn-ME"/>
              </w:rPr>
              <w:t>(N=7012)</w:t>
            </w:r>
          </w:p>
        </w:tc>
        <w:tc>
          <w:tcPr>
            <w:tcW w:w="2943" w:type="dxa"/>
            <w:shd w:val="clear" w:color="auto" w:fill="BFBFBF" w:themeFill="background1" w:themeFillShade="BF"/>
            <w:vAlign w:val="center"/>
          </w:tcPr>
          <w:p w14:paraId="20204BC6" w14:textId="77777777" w:rsidR="00A135CF" w:rsidRPr="001202A2" w:rsidRDefault="00A135CF" w:rsidP="00880F49">
            <w:pPr>
              <w:tabs>
                <w:tab w:val="clear" w:pos="284"/>
              </w:tabs>
              <w:autoSpaceDE w:val="0"/>
              <w:autoSpaceDN w:val="0"/>
              <w:adjustRightInd w:val="0"/>
              <w:jc w:val="center"/>
              <w:rPr>
                <w:rFonts w:eastAsia="TimesNewRoman"/>
                <w:b/>
                <w:bCs/>
                <w:szCs w:val="22"/>
                <w:lang w:val="sr-Latn-ME"/>
              </w:rPr>
            </w:pPr>
            <w:r w:rsidRPr="001202A2">
              <w:rPr>
                <w:rFonts w:eastAsia="TimesNewRoman"/>
                <w:b/>
                <w:bCs/>
                <w:szCs w:val="22"/>
                <w:lang w:val="sr-Latn-ME"/>
              </w:rPr>
              <w:t>Varfarin</w:t>
            </w:r>
          </w:p>
          <w:p w14:paraId="148F240A" w14:textId="13AD94A3" w:rsidR="00A135CF" w:rsidRPr="001202A2" w:rsidRDefault="00A135CF" w:rsidP="00880F49">
            <w:pPr>
              <w:tabs>
                <w:tab w:val="clear" w:pos="284"/>
              </w:tabs>
              <w:autoSpaceDE w:val="0"/>
              <w:autoSpaceDN w:val="0"/>
              <w:adjustRightInd w:val="0"/>
              <w:jc w:val="center"/>
              <w:rPr>
                <w:rFonts w:eastAsia="TimesNewRoman"/>
                <w:b/>
                <w:bCs/>
                <w:szCs w:val="22"/>
                <w:lang w:val="sr-Latn-ME"/>
              </w:rPr>
            </w:pPr>
            <w:r w:rsidRPr="001202A2">
              <w:rPr>
                <w:rFonts w:eastAsia="TimesNewRoman"/>
                <w:b/>
                <w:bCs/>
                <w:szCs w:val="22"/>
                <w:lang w:val="sr-Latn-ME"/>
              </w:rPr>
              <w:t>(N=7012)</w:t>
            </w:r>
          </w:p>
        </w:tc>
      </w:tr>
      <w:tr w:rsidR="00FA7259" w:rsidRPr="001202A2" w14:paraId="22F23F57" w14:textId="77777777" w:rsidTr="001202A2">
        <w:tc>
          <w:tcPr>
            <w:tcW w:w="9855" w:type="dxa"/>
            <w:gridSpan w:val="3"/>
            <w:shd w:val="clear" w:color="auto" w:fill="BFBFBF" w:themeFill="background1" w:themeFillShade="BF"/>
            <w:vAlign w:val="center"/>
          </w:tcPr>
          <w:p w14:paraId="470EEEF6" w14:textId="32AFF098"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b/>
                <w:bCs/>
                <w:szCs w:val="22"/>
                <w:lang w:val="sr-Latn-ME"/>
              </w:rPr>
              <w:lastRenderedPageBreak/>
              <w:t>Prvi moždani udar/SED</w:t>
            </w:r>
            <w:r w:rsidRPr="001202A2">
              <w:rPr>
                <w:rFonts w:eastAsia="TimesNewRoman"/>
                <w:b/>
                <w:bCs/>
                <w:szCs w:val="22"/>
                <w:vertAlign w:val="superscript"/>
                <w:lang w:val="sr-Latn-ME"/>
              </w:rPr>
              <w:t>a</w:t>
            </w:r>
          </w:p>
        </w:tc>
      </w:tr>
      <w:tr w:rsidR="00A135CF" w:rsidRPr="001202A2" w14:paraId="15672144" w14:textId="77777777" w:rsidTr="001202A2">
        <w:tc>
          <w:tcPr>
            <w:tcW w:w="3652" w:type="dxa"/>
            <w:vAlign w:val="center"/>
          </w:tcPr>
          <w:p w14:paraId="4274BCA1" w14:textId="77E796A8"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n</w:t>
            </w:r>
          </w:p>
        </w:tc>
        <w:tc>
          <w:tcPr>
            <w:tcW w:w="3260" w:type="dxa"/>
            <w:vAlign w:val="center"/>
          </w:tcPr>
          <w:p w14:paraId="13754608" w14:textId="3479C6E8"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182</w:t>
            </w:r>
          </w:p>
        </w:tc>
        <w:tc>
          <w:tcPr>
            <w:tcW w:w="2943" w:type="dxa"/>
            <w:vAlign w:val="center"/>
          </w:tcPr>
          <w:p w14:paraId="150C56B5" w14:textId="59052899"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232</w:t>
            </w:r>
          </w:p>
        </w:tc>
      </w:tr>
      <w:tr w:rsidR="00A135CF" w:rsidRPr="001202A2" w14:paraId="68BC25FB" w14:textId="77777777" w:rsidTr="001202A2">
        <w:tc>
          <w:tcPr>
            <w:tcW w:w="3652" w:type="dxa"/>
            <w:vAlign w:val="center"/>
          </w:tcPr>
          <w:p w14:paraId="3073FA6E" w14:textId="56A740F3"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Stopa događaja (%/god)</w:t>
            </w:r>
            <w:r w:rsidRPr="001202A2">
              <w:rPr>
                <w:rFonts w:eastAsia="TimesNewRoman"/>
                <w:szCs w:val="22"/>
                <w:vertAlign w:val="superscript"/>
                <w:lang w:val="sr-Latn-ME"/>
              </w:rPr>
              <w:t>b</w:t>
            </w:r>
          </w:p>
        </w:tc>
        <w:tc>
          <w:tcPr>
            <w:tcW w:w="3260" w:type="dxa"/>
            <w:vAlign w:val="center"/>
          </w:tcPr>
          <w:p w14:paraId="6C5B27CC" w14:textId="23F45EA6"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1,18</w:t>
            </w:r>
          </w:p>
        </w:tc>
        <w:tc>
          <w:tcPr>
            <w:tcW w:w="2943" w:type="dxa"/>
            <w:vAlign w:val="center"/>
          </w:tcPr>
          <w:p w14:paraId="0012B526" w14:textId="05A10776"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1,50</w:t>
            </w:r>
          </w:p>
        </w:tc>
      </w:tr>
      <w:tr w:rsidR="00A135CF" w:rsidRPr="001202A2" w14:paraId="4DE2721A" w14:textId="77777777" w:rsidTr="001202A2">
        <w:tc>
          <w:tcPr>
            <w:tcW w:w="3652" w:type="dxa"/>
            <w:vAlign w:val="center"/>
          </w:tcPr>
          <w:p w14:paraId="1509EA5A" w14:textId="6ADACE42"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HR (97,5% CI)</w:t>
            </w:r>
          </w:p>
        </w:tc>
        <w:tc>
          <w:tcPr>
            <w:tcW w:w="3260" w:type="dxa"/>
            <w:vAlign w:val="center"/>
          </w:tcPr>
          <w:p w14:paraId="3870297B" w14:textId="750E1C1D"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0,79 (0,63; 0,99)</w:t>
            </w:r>
          </w:p>
        </w:tc>
        <w:tc>
          <w:tcPr>
            <w:tcW w:w="2943" w:type="dxa"/>
            <w:vAlign w:val="center"/>
          </w:tcPr>
          <w:p w14:paraId="41F422A9" w14:textId="77777777" w:rsidR="00A135CF" w:rsidRPr="001202A2" w:rsidRDefault="00A135CF" w:rsidP="00880F49">
            <w:pPr>
              <w:tabs>
                <w:tab w:val="clear" w:pos="284"/>
              </w:tabs>
              <w:autoSpaceDE w:val="0"/>
              <w:autoSpaceDN w:val="0"/>
              <w:adjustRightInd w:val="0"/>
              <w:jc w:val="center"/>
              <w:rPr>
                <w:rFonts w:eastAsia="TimesNewRoman"/>
                <w:szCs w:val="22"/>
                <w:lang w:val="sr-Latn-ME"/>
              </w:rPr>
            </w:pPr>
          </w:p>
        </w:tc>
      </w:tr>
      <w:tr w:rsidR="00A135CF" w:rsidRPr="001202A2" w14:paraId="3300B3A1" w14:textId="77777777" w:rsidTr="001202A2">
        <w:tc>
          <w:tcPr>
            <w:tcW w:w="3652" w:type="dxa"/>
            <w:vAlign w:val="center"/>
          </w:tcPr>
          <w:p w14:paraId="03403EF1" w14:textId="0CA96E68"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p-vr</w:t>
            </w:r>
            <w:r w:rsidR="00DA2EFC" w:rsidRPr="001202A2">
              <w:rPr>
                <w:rFonts w:eastAsia="TimesNewRoman"/>
                <w:szCs w:val="22"/>
                <w:lang w:val="sr-Latn-ME"/>
              </w:rPr>
              <w:t>ij</w:t>
            </w:r>
            <w:r w:rsidRPr="001202A2">
              <w:rPr>
                <w:rFonts w:eastAsia="TimesNewRoman"/>
                <w:szCs w:val="22"/>
                <w:lang w:val="sr-Latn-ME"/>
              </w:rPr>
              <w:t>ednost za neinferiornost</w:t>
            </w:r>
            <w:r w:rsidRPr="001202A2">
              <w:rPr>
                <w:rFonts w:eastAsia="TimesNewRoman"/>
                <w:szCs w:val="22"/>
                <w:vertAlign w:val="superscript"/>
                <w:lang w:val="sr-Latn-ME"/>
              </w:rPr>
              <w:t>c</w:t>
            </w:r>
          </w:p>
        </w:tc>
        <w:tc>
          <w:tcPr>
            <w:tcW w:w="3260" w:type="dxa"/>
            <w:vAlign w:val="center"/>
          </w:tcPr>
          <w:p w14:paraId="52BB61D1" w14:textId="39CE254C"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&lt; 0,0001</w:t>
            </w:r>
          </w:p>
        </w:tc>
        <w:tc>
          <w:tcPr>
            <w:tcW w:w="2943" w:type="dxa"/>
            <w:vAlign w:val="center"/>
          </w:tcPr>
          <w:p w14:paraId="79A46697" w14:textId="77777777" w:rsidR="00A135CF" w:rsidRPr="001202A2" w:rsidRDefault="00A135CF" w:rsidP="00880F49">
            <w:pPr>
              <w:tabs>
                <w:tab w:val="clear" w:pos="284"/>
              </w:tabs>
              <w:autoSpaceDE w:val="0"/>
              <w:autoSpaceDN w:val="0"/>
              <w:adjustRightInd w:val="0"/>
              <w:jc w:val="center"/>
              <w:rPr>
                <w:rFonts w:eastAsia="TimesNewRoman"/>
                <w:szCs w:val="22"/>
                <w:lang w:val="sr-Latn-ME"/>
              </w:rPr>
            </w:pPr>
          </w:p>
        </w:tc>
      </w:tr>
      <w:tr w:rsidR="00FA7259" w:rsidRPr="001202A2" w14:paraId="70059473" w14:textId="77777777" w:rsidTr="001202A2">
        <w:tc>
          <w:tcPr>
            <w:tcW w:w="9855" w:type="dxa"/>
            <w:gridSpan w:val="3"/>
            <w:shd w:val="clear" w:color="auto" w:fill="BFBFBF" w:themeFill="background1" w:themeFillShade="BF"/>
            <w:vAlign w:val="center"/>
          </w:tcPr>
          <w:p w14:paraId="24807B44" w14:textId="20022DE5"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b/>
                <w:bCs/>
                <w:szCs w:val="22"/>
                <w:lang w:val="sr-Latn-ME"/>
              </w:rPr>
              <w:t>Prvi ishemijski moždani udar</w:t>
            </w:r>
          </w:p>
        </w:tc>
      </w:tr>
      <w:tr w:rsidR="00A135CF" w:rsidRPr="001202A2" w14:paraId="7ECDB090" w14:textId="77777777" w:rsidTr="001202A2">
        <w:tc>
          <w:tcPr>
            <w:tcW w:w="3652" w:type="dxa"/>
            <w:vAlign w:val="center"/>
          </w:tcPr>
          <w:p w14:paraId="211CFB30" w14:textId="79A2E5F1"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n</w:t>
            </w:r>
          </w:p>
        </w:tc>
        <w:tc>
          <w:tcPr>
            <w:tcW w:w="3260" w:type="dxa"/>
            <w:vAlign w:val="center"/>
          </w:tcPr>
          <w:p w14:paraId="6FDD1A34" w14:textId="2ABFEAFC"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135</w:t>
            </w:r>
          </w:p>
        </w:tc>
        <w:tc>
          <w:tcPr>
            <w:tcW w:w="2943" w:type="dxa"/>
            <w:vAlign w:val="center"/>
          </w:tcPr>
          <w:p w14:paraId="10433ED2" w14:textId="64472A68"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144</w:t>
            </w:r>
          </w:p>
        </w:tc>
      </w:tr>
      <w:tr w:rsidR="00A135CF" w:rsidRPr="001202A2" w14:paraId="55C7A997" w14:textId="77777777" w:rsidTr="001202A2">
        <w:tc>
          <w:tcPr>
            <w:tcW w:w="3652" w:type="dxa"/>
            <w:vAlign w:val="center"/>
          </w:tcPr>
          <w:p w14:paraId="33FB7FF2" w14:textId="41AE89BD"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Stopa događaja (%/god)</w:t>
            </w:r>
            <w:r w:rsidRPr="001202A2">
              <w:rPr>
                <w:rFonts w:eastAsia="TimesNewRoman"/>
                <w:szCs w:val="22"/>
                <w:vertAlign w:val="superscript"/>
                <w:lang w:val="sr-Latn-ME"/>
              </w:rPr>
              <w:t>b</w:t>
            </w:r>
          </w:p>
        </w:tc>
        <w:tc>
          <w:tcPr>
            <w:tcW w:w="3260" w:type="dxa"/>
            <w:vAlign w:val="center"/>
          </w:tcPr>
          <w:p w14:paraId="526835AA" w14:textId="70FD6FD1"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0,87</w:t>
            </w:r>
          </w:p>
        </w:tc>
        <w:tc>
          <w:tcPr>
            <w:tcW w:w="2943" w:type="dxa"/>
            <w:vAlign w:val="center"/>
          </w:tcPr>
          <w:p w14:paraId="02DF90EE" w14:textId="26075E2E"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0,93</w:t>
            </w:r>
          </w:p>
        </w:tc>
      </w:tr>
      <w:tr w:rsidR="00A135CF" w:rsidRPr="001202A2" w14:paraId="735510AA" w14:textId="77777777" w:rsidTr="001202A2">
        <w:tc>
          <w:tcPr>
            <w:tcW w:w="3652" w:type="dxa"/>
            <w:vAlign w:val="center"/>
          </w:tcPr>
          <w:p w14:paraId="67C1E95C" w14:textId="39B9A74F"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HR (95% CI)</w:t>
            </w:r>
          </w:p>
        </w:tc>
        <w:tc>
          <w:tcPr>
            <w:tcW w:w="3260" w:type="dxa"/>
            <w:vAlign w:val="center"/>
          </w:tcPr>
          <w:p w14:paraId="152267A9" w14:textId="7A12CD5B"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0,94 (0,75; 1,19)</w:t>
            </w:r>
          </w:p>
        </w:tc>
        <w:tc>
          <w:tcPr>
            <w:tcW w:w="2943" w:type="dxa"/>
            <w:vAlign w:val="center"/>
          </w:tcPr>
          <w:p w14:paraId="63EF6DD3" w14:textId="77777777" w:rsidR="00A135CF" w:rsidRPr="001202A2" w:rsidRDefault="00A135CF" w:rsidP="00880F49">
            <w:pPr>
              <w:tabs>
                <w:tab w:val="clear" w:pos="284"/>
              </w:tabs>
              <w:autoSpaceDE w:val="0"/>
              <w:autoSpaceDN w:val="0"/>
              <w:adjustRightInd w:val="0"/>
              <w:jc w:val="center"/>
              <w:rPr>
                <w:rFonts w:eastAsia="TimesNewRoman"/>
                <w:szCs w:val="22"/>
                <w:lang w:val="sr-Latn-ME"/>
              </w:rPr>
            </w:pPr>
          </w:p>
        </w:tc>
      </w:tr>
      <w:tr w:rsidR="00FA7259" w:rsidRPr="001202A2" w14:paraId="1073A3C9" w14:textId="77777777" w:rsidTr="001202A2">
        <w:tc>
          <w:tcPr>
            <w:tcW w:w="9855" w:type="dxa"/>
            <w:gridSpan w:val="3"/>
            <w:shd w:val="clear" w:color="auto" w:fill="BFBFBF" w:themeFill="background1" w:themeFillShade="BF"/>
            <w:vAlign w:val="center"/>
          </w:tcPr>
          <w:p w14:paraId="12A2F3E7" w14:textId="7DB02EC2"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b/>
                <w:bCs/>
                <w:szCs w:val="22"/>
                <w:lang w:val="sr-Latn-ME"/>
              </w:rPr>
              <w:t>Prvi hemoragijski moždani udar</w:t>
            </w:r>
          </w:p>
        </w:tc>
      </w:tr>
      <w:tr w:rsidR="00A135CF" w:rsidRPr="001202A2" w14:paraId="37A43C3E" w14:textId="77777777" w:rsidTr="001202A2">
        <w:tc>
          <w:tcPr>
            <w:tcW w:w="3652" w:type="dxa"/>
            <w:vAlign w:val="center"/>
          </w:tcPr>
          <w:p w14:paraId="3F5F18B5" w14:textId="01050B17" w:rsidR="00A135CF"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n</w:t>
            </w:r>
          </w:p>
        </w:tc>
        <w:tc>
          <w:tcPr>
            <w:tcW w:w="3260" w:type="dxa"/>
            <w:vAlign w:val="center"/>
          </w:tcPr>
          <w:p w14:paraId="3E43A48E" w14:textId="22178AB2"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40</w:t>
            </w:r>
          </w:p>
        </w:tc>
        <w:tc>
          <w:tcPr>
            <w:tcW w:w="2943" w:type="dxa"/>
            <w:vAlign w:val="center"/>
          </w:tcPr>
          <w:p w14:paraId="440CBC65" w14:textId="6D873F08" w:rsidR="00A135CF"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76</w:t>
            </w:r>
          </w:p>
        </w:tc>
      </w:tr>
      <w:tr w:rsidR="00FA7259" w:rsidRPr="001202A2" w14:paraId="7C984536" w14:textId="77777777" w:rsidTr="001202A2">
        <w:tc>
          <w:tcPr>
            <w:tcW w:w="3652" w:type="dxa"/>
            <w:vAlign w:val="center"/>
          </w:tcPr>
          <w:p w14:paraId="32A7F04A" w14:textId="326CCC52"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Stopa događaja (%/god)</w:t>
            </w:r>
            <w:r w:rsidRPr="001202A2">
              <w:rPr>
                <w:rFonts w:eastAsia="TimesNewRoman"/>
                <w:szCs w:val="22"/>
                <w:vertAlign w:val="superscript"/>
                <w:lang w:val="sr-Latn-ME"/>
              </w:rPr>
              <w:t>b</w:t>
            </w:r>
          </w:p>
        </w:tc>
        <w:tc>
          <w:tcPr>
            <w:tcW w:w="3260" w:type="dxa"/>
            <w:vAlign w:val="center"/>
          </w:tcPr>
          <w:p w14:paraId="6FBA1195" w14:textId="24761959" w:rsidR="00FA7259"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0,26</w:t>
            </w:r>
          </w:p>
        </w:tc>
        <w:tc>
          <w:tcPr>
            <w:tcW w:w="2943" w:type="dxa"/>
            <w:vAlign w:val="center"/>
          </w:tcPr>
          <w:p w14:paraId="50418501" w14:textId="5E749B86" w:rsidR="00FA7259"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0,49</w:t>
            </w:r>
          </w:p>
        </w:tc>
      </w:tr>
      <w:tr w:rsidR="00FA7259" w:rsidRPr="001202A2" w14:paraId="79E39EC3" w14:textId="77777777" w:rsidTr="001202A2">
        <w:tc>
          <w:tcPr>
            <w:tcW w:w="3652" w:type="dxa"/>
            <w:vAlign w:val="center"/>
          </w:tcPr>
          <w:p w14:paraId="78A41E40" w14:textId="3F288053"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HR (95% CI)</w:t>
            </w:r>
          </w:p>
        </w:tc>
        <w:tc>
          <w:tcPr>
            <w:tcW w:w="3260" w:type="dxa"/>
            <w:vAlign w:val="center"/>
          </w:tcPr>
          <w:p w14:paraId="4B298458" w14:textId="2CE880A2" w:rsidR="00FA7259"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0,53 (0,36; 0,78)</w:t>
            </w:r>
          </w:p>
        </w:tc>
        <w:tc>
          <w:tcPr>
            <w:tcW w:w="2943" w:type="dxa"/>
            <w:vAlign w:val="center"/>
          </w:tcPr>
          <w:p w14:paraId="12C710FE" w14:textId="77777777" w:rsidR="00FA7259" w:rsidRPr="001202A2" w:rsidRDefault="00FA7259" w:rsidP="00880F49">
            <w:pPr>
              <w:tabs>
                <w:tab w:val="clear" w:pos="284"/>
              </w:tabs>
              <w:autoSpaceDE w:val="0"/>
              <w:autoSpaceDN w:val="0"/>
              <w:adjustRightInd w:val="0"/>
              <w:jc w:val="center"/>
              <w:rPr>
                <w:rFonts w:eastAsia="TimesNewRoman"/>
                <w:szCs w:val="22"/>
                <w:lang w:val="sr-Latn-ME"/>
              </w:rPr>
            </w:pPr>
          </w:p>
        </w:tc>
      </w:tr>
      <w:tr w:rsidR="00FA7259" w:rsidRPr="001202A2" w14:paraId="48344395" w14:textId="77777777" w:rsidTr="001202A2">
        <w:tc>
          <w:tcPr>
            <w:tcW w:w="9855" w:type="dxa"/>
            <w:gridSpan w:val="3"/>
            <w:shd w:val="clear" w:color="auto" w:fill="BFBFBF" w:themeFill="background1" w:themeFillShade="BF"/>
            <w:vAlign w:val="center"/>
          </w:tcPr>
          <w:p w14:paraId="2F220C07" w14:textId="5F1BDCBA" w:rsidR="00FA7259" w:rsidRPr="001202A2" w:rsidRDefault="00FA7259" w:rsidP="00880F49">
            <w:pPr>
              <w:tabs>
                <w:tab w:val="clear" w:pos="284"/>
              </w:tabs>
              <w:autoSpaceDE w:val="0"/>
              <w:autoSpaceDN w:val="0"/>
              <w:adjustRightInd w:val="0"/>
              <w:jc w:val="left"/>
              <w:rPr>
                <w:rFonts w:eastAsia="TimesNewRoman"/>
                <w:b/>
                <w:bCs/>
                <w:szCs w:val="22"/>
                <w:lang w:val="sr-Latn-ME"/>
              </w:rPr>
            </w:pPr>
            <w:r w:rsidRPr="001202A2">
              <w:rPr>
                <w:rFonts w:eastAsia="TimesNewRoman"/>
                <w:b/>
                <w:bCs/>
                <w:szCs w:val="22"/>
                <w:lang w:val="sr-Latn-ME"/>
              </w:rPr>
              <w:t>Prvi SED</w:t>
            </w:r>
          </w:p>
        </w:tc>
      </w:tr>
      <w:tr w:rsidR="00FA7259" w:rsidRPr="001202A2" w14:paraId="3101649C" w14:textId="77777777" w:rsidTr="001202A2">
        <w:tc>
          <w:tcPr>
            <w:tcW w:w="3652" w:type="dxa"/>
            <w:vAlign w:val="center"/>
          </w:tcPr>
          <w:p w14:paraId="18117935" w14:textId="1911C935" w:rsidR="00FA7259" w:rsidRPr="001202A2" w:rsidRDefault="00FA7259" w:rsidP="00880F49">
            <w:pPr>
              <w:tabs>
                <w:tab w:val="clear" w:pos="284"/>
              </w:tabs>
              <w:autoSpaceDE w:val="0"/>
              <w:autoSpaceDN w:val="0"/>
              <w:adjustRightInd w:val="0"/>
              <w:jc w:val="left"/>
              <w:rPr>
                <w:rFonts w:eastAsia="TimesNewRoman"/>
                <w:szCs w:val="22"/>
                <w:vertAlign w:val="superscript"/>
                <w:lang w:val="sr-Latn-ME"/>
              </w:rPr>
            </w:pPr>
            <w:r w:rsidRPr="001202A2">
              <w:rPr>
                <w:rFonts w:eastAsia="TimesNewRoman"/>
                <w:szCs w:val="22"/>
                <w:lang w:val="sr-Latn-ME"/>
              </w:rPr>
              <w:t>n (%/god)</w:t>
            </w:r>
            <w:r w:rsidRPr="001202A2">
              <w:rPr>
                <w:rFonts w:eastAsia="TimesNewRoman"/>
                <w:szCs w:val="22"/>
                <w:vertAlign w:val="superscript"/>
                <w:lang w:val="sr-Latn-ME"/>
              </w:rPr>
              <w:t>a</w:t>
            </w:r>
          </w:p>
        </w:tc>
        <w:tc>
          <w:tcPr>
            <w:tcW w:w="3260" w:type="dxa"/>
            <w:vAlign w:val="center"/>
          </w:tcPr>
          <w:p w14:paraId="7163A411" w14:textId="296C4993" w:rsidR="00FA7259"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8 (0,05)</w:t>
            </w:r>
          </w:p>
        </w:tc>
        <w:tc>
          <w:tcPr>
            <w:tcW w:w="2943" w:type="dxa"/>
            <w:vAlign w:val="center"/>
          </w:tcPr>
          <w:p w14:paraId="169A1AC3" w14:textId="06D3BF1F" w:rsidR="00FA7259"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13 (0,08)</w:t>
            </w:r>
          </w:p>
        </w:tc>
      </w:tr>
      <w:tr w:rsidR="00FA7259" w:rsidRPr="001202A2" w14:paraId="28F76CD2" w14:textId="77777777" w:rsidTr="001202A2">
        <w:tc>
          <w:tcPr>
            <w:tcW w:w="3652" w:type="dxa"/>
            <w:vAlign w:val="center"/>
          </w:tcPr>
          <w:p w14:paraId="0C5CE0EA" w14:textId="22981D6C"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lang w:val="sr-Latn-ME"/>
              </w:rPr>
              <w:t>HR (95% CI)</w:t>
            </w:r>
          </w:p>
        </w:tc>
        <w:tc>
          <w:tcPr>
            <w:tcW w:w="3260" w:type="dxa"/>
            <w:vAlign w:val="center"/>
          </w:tcPr>
          <w:p w14:paraId="622D17BE" w14:textId="276BC330" w:rsidR="00FA7259" w:rsidRPr="001202A2" w:rsidRDefault="00FA7259" w:rsidP="00880F49">
            <w:pPr>
              <w:tabs>
                <w:tab w:val="clear" w:pos="284"/>
              </w:tabs>
              <w:autoSpaceDE w:val="0"/>
              <w:autoSpaceDN w:val="0"/>
              <w:adjustRightInd w:val="0"/>
              <w:jc w:val="center"/>
              <w:rPr>
                <w:rFonts w:eastAsia="TimesNewRoman"/>
                <w:szCs w:val="22"/>
                <w:lang w:val="sr-Latn-ME"/>
              </w:rPr>
            </w:pPr>
            <w:r w:rsidRPr="001202A2">
              <w:rPr>
                <w:rFonts w:eastAsia="TimesNewRoman"/>
                <w:szCs w:val="22"/>
                <w:lang w:val="sr-Latn-ME"/>
              </w:rPr>
              <w:t>0,62 (0,26; 1,50)</w:t>
            </w:r>
          </w:p>
        </w:tc>
        <w:tc>
          <w:tcPr>
            <w:tcW w:w="2943" w:type="dxa"/>
            <w:vAlign w:val="center"/>
          </w:tcPr>
          <w:p w14:paraId="76F4D0B3" w14:textId="77777777" w:rsidR="00FA7259" w:rsidRPr="001202A2" w:rsidRDefault="00FA7259" w:rsidP="00880F49">
            <w:pPr>
              <w:tabs>
                <w:tab w:val="clear" w:pos="284"/>
              </w:tabs>
              <w:autoSpaceDE w:val="0"/>
              <w:autoSpaceDN w:val="0"/>
              <w:adjustRightInd w:val="0"/>
              <w:jc w:val="center"/>
              <w:rPr>
                <w:rFonts w:eastAsia="TimesNewRoman"/>
                <w:szCs w:val="22"/>
                <w:lang w:val="sr-Latn-ME"/>
              </w:rPr>
            </w:pPr>
          </w:p>
        </w:tc>
      </w:tr>
    </w:tbl>
    <w:p w14:paraId="0CD9739E" w14:textId="0D342047" w:rsidR="00FA7259" w:rsidRPr="001202A2" w:rsidRDefault="00FA7259" w:rsidP="00880F49">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Skraćenice: HR = </w:t>
      </w:r>
      <w:r w:rsidR="001A03C0" w:rsidRPr="001202A2">
        <w:rPr>
          <w:rFonts w:eastAsia="TimesNewRoman"/>
          <w:szCs w:val="22"/>
          <w:lang w:val="sr-Latn-ME"/>
        </w:rPr>
        <w:t>odnos rizika u poređenju sa varfarinom</w:t>
      </w:r>
      <w:r w:rsidRPr="001202A2">
        <w:rPr>
          <w:rFonts w:eastAsia="TimesNewRoman"/>
          <w:szCs w:val="22"/>
          <w:lang w:val="sr-Latn-ME"/>
        </w:rPr>
        <w:t xml:space="preserve">, CI = interval pouzdanosti (engl. </w:t>
      </w:r>
      <w:r w:rsidRPr="001202A2">
        <w:rPr>
          <w:rFonts w:eastAsia="TimesNewRoman"/>
          <w:i/>
          <w:iCs/>
          <w:szCs w:val="22"/>
          <w:lang w:val="sr-Latn-ME"/>
        </w:rPr>
        <w:t>confidence interval</w:t>
      </w:r>
      <w:r w:rsidRPr="001202A2">
        <w:rPr>
          <w:rFonts w:eastAsia="TimesNewRoman"/>
          <w:szCs w:val="22"/>
          <w:lang w:val="sr-Latn-ME"/>
        </w:rPr>
        <w:t>), n = broj događaja, mITT = izm</w:t>
      </w:r>
      <w:r w:rsidR="00DA2EFC" w:rsidRPr="001202A2">
        <w:rPr>
          <w:rFonts w:eastAsia="TimesNewRoman"/>
          <w:szCs w:val="22"/>
          <w:lang w:val="sr-Latn-ME"/>
        </w:rPr>
        <w:t>ij</w:t>
      </w:r>
      <w:r w:rsidRPr="001202A2">
        <w:rPr>
          <w:rFonts w:eastAsia="TimesNewRoman"/>
          <w:szCs w:val="22"/>
          <w:lang w:val="sr-Latn-ME"/>
        </w:rPr>
        <w:t>enjena populacija predviđena za l</w:t>
      </w:r>
      <w:r w:rsidR="00DA2EFC" w:rsidRPr="001202A2">
        <w:rPr>
          <w:rFonts w:eastAsia="TimesNewRoman"/>
          <w:szCs w:val="22"/>
          <w:lang w:val="sr-Latn-ME"/>
        </w:rPr>
        <w:t>ij</w:t>
      </w:r>
      <w:r w:rsidRPr="001202A2">
        <w:rPr>
          <w:rFonts w:eastAsia="TimesNewRoman"/>
          <w:szCs w:val="22"/>
          <w:lang w:val="sr-Latn-ME"/>
        </w:rPr>
        <w:t>ečenje, N = broj ispitanika u mITT populaciji, SED = sistemski embolijski događaj, god = godina.</w:t>
      </w:r>
    </w:p>
    <w:p w14:paraId="0D352ABA" w14:textId="23C6F672"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vertAlign w:val="superscript"/>
          <w:lang w:val="sr-Latn-ME"/>
        </w:rPr>
        <w:t xml:space="preserve">a </w:t>
      </w:r>
      <w:r w:rsidRPr="001202A2">
        <w:rPr>
          <w:rFonts w:eastAsia="TimesNewRoman"/>
          <w:szCs w:val="22"/>
          <w:lang w:val="sr-Latn-ME"/>
        </w:rPr>
        <w:t xml:space="preserve">Jedan ispitanik može biti prikazan u </w:t>
      </w:r>
      <w:r w:rsidR="00F63865" w:rsidRPr="001202A2">
        <w:rPr>
          <w:rFonts w:eastAsia="TimesNewRoman"/>
          <w:szCs w:val="22"/>
          <w:lang w:val="sr-Latn-ME"/>
        </w:rPr>
        <w:t>više</w:t>
      </w:r>
      <w:r w:rsidRPr="001202A2">
        <w:rPr>
          <w:rFonts w:eastAsia="TimesNewRoman"/>
          <w:szCs w:val="22"/>
          <w:lang w:val="sr-Latn-ME"/>
        </w:rPr>
        <w:t xml:space="preserve"> redova.</w:t>
      </w:r>
    </w:p>
    <w:p w14:paraId="4BB4C922" w14:textId="77777777" w:rsidR="00FA7259" w:rsidRPr="001202A2" w:rsidRDefault="00FA7259" w:rsidP="00880F49">
      <w:pPr>
        <w:tabs>
          <w:tab w:val="clear" w:pos="284"/>
        </w:tabs>
        <w:autoSpaceDE w:val="0"/>
        <w:autoSpaceDN w:val="0"/>
        <w:adjustRightInd w:val="0"/>
        <w:jc w:val="left"/>
        <w:rPr>
          <w:rFonts w:eastAsia="TimesNewRoman"/>
          <w:szCs w:val="22"/>
          <w:lang w:val="sr-Latn-ME"/>
        </w:rPr>
      </w:pPr>
      <w:r w:rsidRPr="001202A2">
        <w:rPr>
          <w:rFonts w:eastAsia="TimesNewRoman"/>
          <w:szCs w:val="22"/>
          <w:vertAlign w:val="superscript"/>
          <w:lang w:val="sr-Latn-ME"/>
        </w:rPr>
        <w:t>b</w:t>
      </w:r>
      <w:r w:rsidRPr="001202A2">
        <w:rPr>
          <w:rFonts w:eastAsia="TimesNewRoman"/>
          <w:szCs w:val="22"/>
          <w:lang w:val="sr-Latn-ME"/>
        </w:rPr>
        <w:t xml:space="preserve"> Stopa događaja (%/god) izračunata je kao broj događaja/izloženost izražena kao ispitanik-godina.</w:t>
      </w:r>
    </w:p>
    <w:p w14:paraId="5CAE255B" w14:textId="688B8171" w:rsidR="008A1744" w:rsidRPr="001202A2" w:rsidRDefault="00FA7259" w:rsidP="00880F49">
      <w:pPr>
        <w:rPr>
          <w:rFonts w:eastAsia="TimesNewRoman"/>
          <w:szCs w:val="22"/>
          <w:lang w:val="sr-Latn-ME"/>
        </w:rPr>
      </w:pPr>
      <w:r w:rsidRPr="001202A2">
        <w:rPr>
          <w:rFonts w:eastAsia="TimesNewRoman"/>
          <w:szCs w:val="22"/>
          <w:vertAlign w:val="superscript"/>
          <w:lang w:val="sr-Latn-ME"/>
        </w:rPr>
        <w:t>c</w:t>
      </w:r>
      <w:r w:rsidRPr="001202A2">
        <w:rPr>
          <w:rFonts w:eastAsia="TimesNewRoman"/>
          <w:szCs w:val="22"/>
          <w:lang w:val="sr-Latn-ME"/>
        </w:rPr>
        <w:t xml:space="preserve"> Dvostrana p-vr</w:t>
      </w:r>
      <w:r w:rsidR="00DA2EFC" w:rsidRPr="001202A2">
        <w:rPr>
          <w:rFonts w:eastAsia="TimesNewRoman"/>
          <w:szCs w:val="22"/>
          <w:lang w:val="sr-Latn-ME"/>
        </w:rPr>
        <w:t>ij</w:t>
      </w:r>
      <w:r w:rsidRPr="001202A2">
        <w:rPr>
          <w:rFonts w:eastAsia="TimesNewRoman"/>
          <w:szCs w:val="22"/>
          <w:lang w:val="sr-Latn-ME"/>
        </w:rPr>
        <w:t>ednost zasniva se na granici neinferiornosti od 1,38.</w:t>
      </w:r>
    </w:p>
    <w:p w14:paraId="4AF1C61C" w14:textId="77777777" w:rsidR="00586C81" w:rsidRPr="001202A2" w:rsidRDefault="00586C81" w:rsidP="00880F49">
      <w:pPr>
        <w:rPr>
          <w:rFonts w:eastAsia="TimesNewRoman"/>
          <w:szCs w:val="22"/>
          <w:lang w:val="sr-Latn-ME"/>
        </w:rPr>
      </w:pPr>
    </w:p>
    <w:p w14:paraId="5367EBEF" w14:textId="163375E6" w:rsidR="00112D4B" w:rsidRPr="001202A2" w:rsidRDefault="00112D4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Tokom c</w:t>
      </w:r>
      <w:r w:rsidR="00DA2EFC" w:rsidRPr="001202A2">
        <w:rPr>
          <w:rFonts w:eastAsia="TimesNewRoman"/>
          <w:szCs w:val="22"/>
          <w:lang w:val="sr-Latn-ME"/>
        </w:rPr>
        <w:t>j</w:t>
      </w:r>
      <w:r w:rsidRPr="001202A2">
        <w:rPr>
          <w:rFonts w:eastAsia="TimesNewRoman"/>
          <w:szCs w:val="22"/>
          <w:lang w:val="sr-Latn-ME"/>
        </w:rPr>
        <w:t>elokupnog trajanja studije u ITT populaciji (analiza kojom bi se pokazala superiornost), proc</w:t>
      </w:r>
      <w:r w:rsidR="00DA2EFC" w:rsidRPr="001202A2">
        <w:rPr>
          <w:rFonts w:eastAsia="TimesNewRoman"/>
          <w:szCs w:val="22"/>
          <w:lang w:val="sr-Latn-ME"/>
        </w:rPr>
        <w:t>ij</w:t>
      </w:r>
      <w:r w:rsidRPr="001202A2">
        <w:rPr>
          <w:rFonts w:eastAsia="TimesNewRoman"/>
          <w:szCs w:val="22"/>
          <w:lang w:val="sr-Latn-ME"/>
        </w:rPr>
        <w:t xml:space="preserve">enjeno je da </w:t>
      </w:r>
      <w:r w:rsidR="006D4E63" w:rsidRPr="001202A2">
        <w:rPr>
          <w:rFonts w:eastAsia="TimesNewRoman"/>
          <w:szCs w:val="22"/>
          <w:lang w:val="sr-Latn-ME"/>
        </w:rPr>
        <w:t xml:space="preserve">su </w:t>
      </w:r>
      <w:r w:rsidRPr="001202A2">
        <w:rPr>
          <w:rFonts w:eastAsia="TimesNewRoman"/>
          <w:szCs w:val="22"/>
          <w:lang w:val="sr-Latn-ME"/>
        </w:rPr>
        <w:t>s</w:t>
      </w:r>
      <w:r w:rsidR="006D4E63" w:rsidRPr="001202A2">
        <w:rPr>
          <w:rFonts w:eastAsia="TimesNewRoman"/>
          <w:szCs w:val="22"/>
          <w:lang w:val="sr-Latn-ME"/>
        </w:rPr>
        <w:t xml:space="preserve">e </w:t>
      </w:r>
      <w:r w:rsidRPr="001202A2">
        <w:rPr>
          <w:rFonts w:eastAsia="TimesNewRoman"/>
          <w:szCs w:val="22"/>
          <w:lang w:val="sr-Latn-ME"/>
        </w:rPr>
        <w:t xml:space="preserve">moždani udar ili SED </w:t>
      </w:r>
      <w:r w:rsidR="006D4E63" w:rsidRPr="001202A2">
        <w:rPr>
          <w:rFonts w:eastAsia="TimesNewRoman"/>
          <w:szCs w:val="22"/>
          <w:lang w:val="sr-Latn-ME"/>
        </w:rPr>
        <w:t>javili kod</w:t>
      </w:r>
      <w:r w:rsidRPr="001202A2">
        <w:rPr>
          <w:rFonts w:eastAsia="TimesNewRoman"/>
          <w:szCs w:val="22"/>
          <w:lang w:val="sr-Latn-ME"/>
        </w:rPr>
        <w:t xml:space="preserve"> 296 ispitanika u grupi l</w:t>
      </w:r>
      <w:r w:rsidR="00DA2EFC" w:rsidRPr="001202A2">
        <w:rPr>
          <w:rFonts w:eastAsia="TimesNewRoman"/>
          <w:szCs w:val="22"/>
          <w:lang w:val="sr-Latn-ME"/>
        </w:rPr>
        <w:t>ij</w:t>
      </w:r>
      <w:r w:rsidRPr="001202A2">
        <w:rPr>
          <w:rFonts w:eastAsia="TimesNewRoman"/>
          <w:szCs w:val="22"/>
          <w:lang w:val="sr-Latn-ME"/>
        </w:rPr>
        <w:t>ečenoj edoksabanom u dozi od 60 mg (1,57% godišnje) i 337 ispitanika u grupi l</w:t>
      </w:r>
      <w:r w:rsidR="00DA2EFC" w:rsidRPr="001202A2">
        <w:rPr>
          <w:rFonts w:eastAsia="TimesNewRoman"/>
          <w:szCs w:val="22"/>
          <w:lang w:val="sr-Latn-ME"/>
        </w:rPr>
        <w:t>ij</w:t>
      </w:r>
      <w:r w:rsidRPr="001202A2">
        <w:rPr>
          <w:rFonts w:eastAsia="TimesNewRoman"/>
          <w:szCs w:val="22"/>
          <w:lang w:val="sr-Latn-ME"/>
        </w:rPr>
        <w:t>ečenoj varfarinom (1,80% godišnje). U poređenju sa ispitanicima l</w:t>
      </w:r>
      <w:r w:rsidR="00DA2EFC" w:rsidRPr="001202A2">
        <w:rPr>
          <w:rFonts w:eastAsia="TimesNewRoman"/>
          <w:szCs w:val="22"/>
          <w:lang w:val="sr-Latn-ME"/>
        </w:rPr>
        <w:t>ij</w:t>
      </w:r>
      <w:r w:rsidRPr="001202A2">
        <w:rPr>
          <w:rFonts w:eastAsia="TimesNewRoman"/>
          <w:szCs w:val="22"/>
          <w:lang w:val="sr-Latn-ME"/>
        </w:rPr>
        <w:t>ečenima varfarinom, HR u grupi l</w:t>
      </w:r>
      <w:r w:rsidR="00DA2EFC" w:rsidRPr="001202A2">
        <w:rPr>
          <w:rFonts w:eastAsia="TimesNewRoman"/>
          <w:szCs w:val="22"/>
          <w:lang w:val="sr-Latn-ME"/>
        </w:rPr>
        <w:t>ij</w:t>
      </w:r>
      <w:r w:rsidRPr="001202A2">
        <w:rPr>
          <w:rFonts w:eastAsia="TimesNewRoman"/>
          <w:szCs w:val="22"/>
          <w:lang w:val="sr-Latn-ME"/>
        </w:rPr>
        <w:t>ečenoj edoksabanom od 60 mg iznosio je 0,87 (99% CI: 0,71</w:t>
      </w:r>
      <w:r w:rsidR="006D4E63" w:rsidRPr="001202A2">
        <w:rPr>
          <w:rFonts w:eastAsia="TimesNewRoman"/>
          <w:szCs w:val="22"/>
          <w:lang w:val="sr-Latn-ME"/>
        </w:rPr>
        <w:t>;</w:t>
      </w:r>
      <w:r w:rsidRPr="001202A2">
        <w:rPr>
          <w:rFonts w:eastAsia="TimesNewRoman"/>
          <w:szCs w:val="22"/>
          <w:lang w:val="sr-Latn-ME"/>
        </w:rPr>
        <w:t xml:space="preserve"> 1,07; p = 0,08 za superiornost).</w:t>
      </w:r>
    </w:p>
    <w:p w14:paraId="4F3EA390"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60EABA5F" w14:textId="09394CC9" w:rsidR="00112D4B" w:rsidRPr="001202A2" w:rsidRDefault="00112D4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analizi podgrupa, kod ispitanika u grupi l</w:t>
      </w:r>
      <w:r w:rsidR="00DA2EFC" w:rsidRPr="001202A2">
        <w:rPr>
          <w:rFonts w:eastAsia="TimesNewRoman"/>
          <w:szCs w:val="22"/>
          <w:lang w:val="sr-Latn-ME"/>
        </w:rPr>
        <w:t>ij</w:t>
      </w:r>
      <w:r w:rsidRPr="001202A2">
        <w:rPr>
          <w:rFonts w:eastAsia="TimesNewRoman"/>
          <w:szCs w:val="22"/>
          <w:lang w:val="sr-Latn-ME"/>
        </w:rPr>
        <w:t>ečenoj dozom od 60 mg</w:t>
      </w:r>
      <w:r w:rsidR="00013909" w:rsidRPr="001202A2">
        <w:rPr>
          <w:rFonts w:eastAsia="TimesNewRoman"/>
          <w:szCs w:val="22"/>
          <w:lang w:val="sr-Latn-ME"/>
        </w:rPr>
        <w:t>, koja je</w:t>
      </w:r>
      <w:r w:rsidRPr="001202A2">
        <w:rPr>
          <w:rFonts w:eastAsia="TimesNewRoman"/>
          <w:szCs w:val="22"/>
          <w:lang w:val="sr-Latn-ME"/>
        </w:rPr>
        <w:t xml:space="preserve"> smanjena na 30 mg u ENGAGE AF-TIMI 48 </w:t>
      </w:r>
      <w:r w:rsidR="00013909" w:rsidRPr="001202A2">
        <w:rPr>
          <w:rFonts w:eastAsia="TimesNewRoman"/>
          <w:szCs w:val="22"/>
          <w:lang w:val="sr-Latn-ME"/>
        </w:rPr>
        <w:t xml:space="preserve">studiji </w:t>
      </w:r>
      <w:r w:rsidRPr="001202A2">
        <w:rPr>
          <w:rFonts w:eastAsia="TimesNewRoman"/>
          <w:szCs w:val="22"/>
          <w:lang w:val="sr-Latn-ME"/>
        </w:rPr>
        <w:t>(zbog t</w:t>
      </w:r>
      <w:r w:rsidR="00DA2EFC" w:rsidRPr="001202A2">
        <w:rPr>
          <w:rFonts w:eastAsia="TimesNewRoman"/>
          <w:szCs w:val="22"/>
          <w:lang w:val="sr-Latn-ME"/>
        </w:rPr>
        <w:t>j</w:t>
      </w:r>
      <w:r w:rsidRPr="001202A2">
        <w:rPr>
          <w:rFonts w:eastAsia="TimesNewRoman"/>
          <w:szCs w:val="22"/>
          <w:lang w:val="sr-Latn-ME"/>
        </w:rPr>
        <w:t>elesne mase ≤ 60 kg, um</w:t>
      </w:r>
      <w:r w:rsidR="00DA2EFC" w:rsidRPr="001202A2">
        <w:rPr>
          <w:rFonts w:eastAsia="TimesNewRoman"/>
          <w:szCs w:val="22"/>
          <w:lang w:val="sr-Latn-ME"/>
        </w:rPr>
        <w:t>j</w:t>
      </w:r>
      <w:r w:rsidRPr="001202A2">
        <w:rPr>
          <w:rFonts w:eastAsia="TimesNewRoman"/>
          <w:szCs w:val="22"/>
          <w:lang w:val="sr-Latn-ME"/>
        </w:rPr>
        <w:t>erenog oštećenja funkcije bubrega ili istovremene prim</w:t>
      </w:r>
      <w:r w:rsidR="00DA2EFC" w:rsidRPr="001202A2">
        <w:rPr>
          <w:rFonts w:eastAsia="TimesNewRoman"/>
          <w:szCs w:val="22"/>
          <w:lang w:val="sr-Latn-ME"/>
        </w:rPr>
        <w:t>j</w:t>
      </w:r>
      <w:r w:rsidRPr="001202A2">
        <w:rPr>
          <w:rFonts w:eastAsia="TimesNewRoman"/>
          <w:szCs w:val="22"/>
          <w:lang w:val="sr-Latn-ME"/>
        </w:rPr>
        <w:t>ene inhibitora P-gp), stopa događaja bila je 2,29% godišnje za primarni paramet</w:t>
      </w:r>
      <w:r w:rsidR="004935D8" w:rsidRPr="001202A2">
        <w:rPr>
          <w:rFonts w:eastAsia="TimesNewRoman"/>
          <w:szCs w:val="22"/>
          <w:lang w:val="sr-Latn-ME"/>
        </w:rPr>
        <w:t>a</w:t>
      </w:r>
      <w:r w:rsidRPr="001202A2">
        <w:rPr>
          <w:rFonts w:eastAsia="TimesNewRoman"/>
          <w:szCs w:val="22"/>
          <w:lang w:val="sr-Latn-ME"/>
        </w:rPr>
        <w:t xml:space="preserve">r praćenja, u poređenju sa stopom događaja od 2,66% godišnje za </w:t>
      </w:r>
      <w:r w:rsidR="00013909" w:rsidRPr="001202A2">
        <w:rPr>
          <w:rFonts w:eastAsia="TimesNewRoman"/>
          <w:szCs w:val="22"/>
          <w:lang w:val="sr-Latn-ME"/>
        </w:rPr>
        <w:t>odgovarajuće</w:t>
      </w:r>
      <w:r w:rsidRPr="001202A2">
        <w:rPr>
          <w:rFonts w:eastAsia="TimesNewRoman"/>
          <w:szCs w:val="22"/>
          <w:lang w:val="sr-Latn-ME"/>
        </w:rPr>
        <w:t xml:space="preserve"> ispitanike u grupi l</w:t>
      </w:r>
      <w:r w:rsidR="00DA2EFC" w:rsidRPr="001202A2">
        <w:rPr>
          <w:rFonts w:eastAsia="TimesNewRoman"/>
          <w:szCs w:val="22"/>
          <w:lang w:val="sr-Latn-ME"/>
        </w:rPr>
        <w:t>ij</w:t>
      </w:r>
      <w:r w:rsidRPr="001202A2">
        <w:rPr>
          <w:rFonts w:eastAsia="TimesNewRoman"/>
          <w:szCs w:val="22"/>
          <w:lang w:val="sr-Latn-ME"/>
        </w:rPr>
        <w:t>ečenoj varfarinom [HR (95% CI): 0,86 (0,66; 1,13)].</w:t>
      </w:r>
    </w:p>
    <w:p w14:paraId="76437F80"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48C1412D" w14:textId="20C7E262" w:rsidR="00112D4B" w:rsidRPr="001202A2" w:rsidRDefault="00112D4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Rezultati efikasnosti za unapr</w:t>
      </w:r>
      <w:r w:rsidR="00DA2EFC" w:rsidRPr="001202A2">
        <w:rPr>
          <w:rFonts w:eastAsia="TimesNewRoman"/>
          <w:szCs w:val="22"/>
          <w:lang w:val="sr-Latn-ME"/>
        </w:rPr>
        <w:t>ij</w:t>
      </w:r>
      <w:r w:rsidRPr="001202A2">
        <w:rPr>
          <w:rFonts w:eastAsia="TimesNewRoman"/>
          <w:szCs w:val="22"/>
          <w:lang w:val="sr-Latn-ME"/>
        </w:rPr>
        <w:t xml:space="preserve">ed </w:t>
      </w:r>
      <w:r w:rsidR="00F4136C" w:rsidRPr="001202A2">
        <w:rPr>
          <w:rFonts w:eastAsia="TimesNewRoman"/>
          <w:szCs w:val="22"/>
          <w:lang w:val="sr-Latn-ME"/>
        </w:rPr>
        <w:t>definisane</w:t>
      </w:r>
      <w:r w:rsidRPr="001202A2">
        <w:rPr>
          <w:rFonts w:eastAsia="TimesNewRoman"/>
          <w:szCs w:val="22"/>
          <w:lang w:val="sr-Latn-ME"/>
        </w:rPr>
        <w:t xml:space="preserve"> glavne podgrupe (uz smanjenje doze prema potrebi), uključujući starost, t</w:t>
      </w:r>
      <w:r w:rsidR="00DA2EFC" w:rsidRPr="001202A2">
        <w:rPr>
          <w:rFonts w:eastAsia="TimesNewRoman"/>
          <w:szCs w:val="22"/>
          <w:lang w:val="sr-Latn-ME"/>
        </w:rPr>
        <w:t>j</w:t>
      </w:r>
      <w:r w:rsidRPr="001202A2">
        <w:rPr>
          <w:rFonts w:eastAsia="TimesNewRoman"/>
          <w:szCs w:val="22"/>
          <w:lang w:val="sr-Latn-ME"/>
        </w:rPr>
        <w:t xml:space="preserve">elesnu masu, pol, stanje funkcije bubrega, prethodni moždani udar ili TIA, </w:t>
      </w:r>
      <w:r w:rsidR="00F4136C" w:rsidRPr="001202A2">
        <w:rPr>
          <w:rFonts w:eastAsia="TimesNewRoman"/>
          <w:szCs w:val="22"/>
          <w:lang w:val="sr-Latn-ME"/>
        </w:rPr>
        <w:t>dijabetes</w:t>
      </w:r>
      <w:r w:rsidRPr="001202A2">
        <w:rPr>
          <w:rFonts w:eastAsia="TimesNewRoman"/>
          <w:szCs w:val="22"/>
          <w:lang w:val="sr-Latn-ME"/>
        </w:rPr>
        <w:t xml:space="preserve"> i prim</w:t>
      </w:r>
      <w:r w:rsidR="00DA2EFC" w:rsidRPr="001202A2">
        <w:rPr>
          <w:rFonts w:eastAsia="TimesNewRoman"/>
          <w:szCs w:val="22"/>
          <w:lang w:val="sr-Latn-ME"/>
        </w:rPr>
        <w:t>j</w:t>
      </w:r>
      <w:r w:rsidRPr="001202A2">
        <w:rPr>
          <w:rFonts w:eastAsia="TimesNewRoman"/>
          <w:szCs w:val="22"/>
          <w:lang w:val="sr-Latn-ME"/>
        </w:rPr>
        <w:t>enu inhibitora P-gp</w:t>
      </w:r>
      <w:r w:rsidR="00F4136C" w:rsidRPr="001202A2">
        <w:rPr>
          <w:rFonts w:eastAsia="TimesNewRoman"/>
          <w:szCs w:val="22"/>
          <w:lang w:val="sr-Latn-ME"/>
        </w:rPr>
        <w:t>,</w:t>
      </w:r>
      <w:r w:rsidRPr="001202A2">
        <w:rPr>
          <w:rFonts w:eastAsia="TimesNewRoman"/>
          <w:szCs w:val="22"/>
          <w:lang w:val="sr-Latn-ME"/>
        </w:rPr>
        <w:t xml:space="preserve"> bili su u </w:t>
      </w:r>
      <w:r w:rsidR="00F4136C" w:rsidRPr="001202A2">
        <w:rPr>
          <w:rFonts w:eastAsia="TimesNewRoman"/>
          <w:szCs w:val="22"/>
          <w:lang w:val="sr-Latn-ME"/>
        </w:rPr>
        <w:t>uglavnom</w:t>
      </w:r>
      <w:r w:rsidRPr="001202A2">
        <w:rPr>
          <w:rFonts w:eastAsia="TimesNewRoman"/>
          <w:szCs w:val="22"/>
          <w:lang w:val="sr-Latn-ME"/>
        </w:rPr>
        <w:t xml:space="preserve"> dosl</w:t>
      </w:r>
      <w:r w:rsidR="00DA2EFC" w:rsidRPr="001202A2">
        <w:rPr>
          <w:rFonts w:eastAsia="TimesNewRoman"/>
          <w:szCs w:val="22"/>
          <w:lang w:val="sr-Latn-ME"/>
        </w:rPr>
        <w:t>j</w:t>
      </w:r>
      <w:r w:rsidRPr="001202A2">
        <w:rPr>
          <w:rFonts w:eastAsia="TimesNewRoman"/>
          <w:szCs w:val="22"/>
          <w:lang w:val="sr-Latn-ME"/>
        </w:rPr>
        <w:t xml:space="preserve">edni rezultatima za primarnu efikasnost u </w:t>
      </w:r>
      <w:r w:rsidR="00F4136C" w:rsidRPr="001202A2">
        <w:rPr>
          <w:rFonts w:eastAsia="TimesNewRoman"/>
          <w:szCs w:val="22"/>
          <w:lang w:val="sr-Latn-ME"/>
        </w:rPr>
        <w:t>u</w:t>
      </w:r>
      <w:r w:rsidRPr="001202A2">
        <w:rPr>
          <w:rFonts w:eastAsia="TimesNewRoman"/>
          <w:szCs w:val="22"/>
          <w:lang w:val="sr-Latn-ME"/>
        </w:rPr>
        <w:t xml:space="preserve">kupnoj </w:t>
      </w:r>
      <w:r w:rsidR="00282149" w:rsidRPr="001202A2">
        <w:rPr>
          <w:rFonts w:eastAsia="TimesNewRoman"/>
          <w:szCs w:val="22"/>
          <w:lang w:val="sr-Latn-ME"/>
        </w:rPr>
        <w:t xml:space="preserve">studijskoj </w:t>
      </w:r>
      <w:r w:rsidRPr="001202A2">
        <w:rPr>
          <w:rFonts w:eastAsia="TimesNewRoman"/>
          <w:szCs w:val="22"/>
          <w:lang w:val="sr-Latn-ME"/>
        </w:rPr>
        <w:t>populaciji.</w:t>
      </w:r>
    </w:p>
    <w:p w14:paraId="2F449F79" w14:textId="77777777" w:rsidR="000358E8" w:rsidRPr="001202A2" w:rsidRDefault="000358E8" w:rsidP="00480B31">
      <w:pPr>
        <w:tabs>
          <w:tab w:val="clear" w:pos="284"/>
        </w:tabs>
        <w:autoSpaceDE w:val="0"/>
        <w:autoSpaceDN w:val="0"/>
        <w:adjustRightInd w:val="0"/>
        <w:rPr>
          <w:rFonts w:eastAsia="TimesNewRoman"/>
          <w:szCs w:val="22"/>
          <w:lang w:val="sr-Latn-ME"/>
        </w:rPr>
      </w:pPr>
    </w:p>
    <w:p w14:paraId="2FAE071B" w14:textId="00BD9AFB" w:rsidR="00112D4B" w:rsidRPr="001202A2" w:rsidRDefault="00282149"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Odnos rizika</w:t>
      </w:r>
      <w:r w:rsidR="00112D4B" w:rsidRPr="001202A2">
        <w:rPr>
          <w:rFonts w:eastAsia="TimesNewRoman"/>
          <w:i/>
          <w:iCs/>
          <w:szCs w:val="22"/>
          <w:lang w:val="sr-Latn-ME"/>
        </w:rPr>
        <w:t xml:space="preserve"> </w:t>
      </w:r>
      <w:r w:rsidR="00112D4B" w:rsidRPr="001202A2">
        <w:rPr>
          <w:rFonts w:eastAsia="TimesNewRoman"/>
          <w:szCs w:val="22"/>
          <w:lang w:val="sr-Latn-ME"/>
        </w:rPr>
        <w:t>(edoksaban u dozi od 60 mg u odnosu na varfarin) za primarni parametar praćenja u centrima sa manjim pros</w:t>
      </w:r>
      <w:r w:rsidR="00DA2EFC" w:rsidRPr="001202A2">
        <w:rPr>
          <w:rFonts w:eastAsia="TimesNewRoman"/>
          <w:szCs w:val="22"/>
          <w:lang w:val="sr-Latn-ME"/>
        </w:rPr>
        <w:t>j</w:t>
      </w:r>
      <w:r w:rsidR="00112D4B" w:rsidRPr="001202A2">
        <w:rPr>
          <w:rFonts w:eastAsia="TimesNewRoman"/>
          <w:szCs w:val="22"/>
          <w:lang w:val="sr-Latn-ME"/>
        </w:rPr>
        <w:t>ečnim vremenom INR</w:t>
      </w:r>
      <w:r w:rsidR="00A07FEE" w:rsidRPr="001202A2">
        <w:rPr>
          <w:rFonts w:eastAsia="TimesNewRoman"/>
          <w:szCs w:val="22"/>
          <w:lang w:val="sr-Latn-ME"/>
        </w:rPr>
        <w:t>-a</w:t>
      </w:r>
      <w:r w:rsidR="00112D4B" w:rsidRPr="001202A2">
        <w:rPr>
          <w:rFonts w:eastAsia="TimesNewRoman"/>
          <w:szCs w:val="22"/>
          <w:lang w:val="sr-Latn-ME"/>
        </w:rPr>
        <w:t xml:space="preserve"> u terapijskom rasponu (INR TTR) za varfarin, iznosio je 0,73 - 0,80 za najniža 3 kvartila (INR TTR ≤ 57,7% do ≤ 73,9%). U centrima sa najboljom kontrolom terapije varfarinom iznosio je 1,07 (4. kvartil &gt; 73,9% vr</w:t>
      </w:r>
      <w:r w:rsidR="00DA2EFC" w:rsidRPr="001202A2">
        <w:rPr>
          <w:rFonts w:eastAsia="TimesNewRoman"/>
          <w:szCs w:val="22"/>
          <w:lang w:val="sr-Latn-ME"/>
        </w:rPr>
        <w:t>ij</w:t>
      </w:r>
      <w:r w:rsidR="00112D4B" w:rsidRPr="001202A2">
        <w:rPr>
          <w:rFonts w:eastAsia="TimesNewRoman"/>
          <w:szCs w:val="22"/>
          <w:lang w:val="sr-Latn-ME"/>
        </w:rPr>
        <w:t>ednosti INR-a unutar terapijskog raspona).</w:t>
      </w:r>
    </w:p>
    <w:p w14:paraId="04EF43B6"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0EAD5691" w14:textId="25E2C7B6" w:rsidR="00112D4B" w:rsidRPr="001202A2" w:rsidRDefault="00112D4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Postojala je statistički značajna interakcija </w:t>
      </w:r>
      <w:r w:rsidR="00453E3A" w:rsidRPr="001202A2">
        <w:rPr>
          <w:rFonts w:eastAsia="TimesNewRoman"/>
          <w:szCs w:val="22"/>
          <w:lang w:val="sr-Latn-ME"/>
        </w:rPr>
        <w:t>efekata</w:t>
      </w:r>
      <w:r w:rsidRPr="001202A2">
        <w:rPr>
          <w:rFonts w:eastAsia="TimesNewRoman"/>
          <w:szCs w:val="22"/>
          <w:lang w:val="sr-Latn-ME"/>
        </w:rPr>
        <w:t xml:space="preserve"> edoksabana u poređenju sa varfarinom na glavni ishod </w:t>
      </w:r>
      <w:r w:rsidR="00453E3A" w:rsidRPr="001202A2">
        <w:rPr>
          <w:rFonts w:eastAsia="TimesNewRoman"/>
          <w:szCs w:val="22"/>
          <w:lang w:val="sr-Latn-ME"/>
        </w:rPr>
        <w:t>studije</w:t>
      </w:r>
      <w:r w:rsidRPr="001202A2">
        <w:rPr>
          <w:rFonts w:eastAsia="TimesNewRoman"/>
          <w:szCs w:val="22"/>
          <w:lang w:val="sr-Latn-ME"/>
        </w:rPr>
        <w:t xml:space="preserve"> (moždani udar/SED) i funkciju bubrega (p-vr</w:t>
      </w:r>
      <w:r w:rsidR="00DA2EFC" w:rsidRPr="001202A2">
        <w:rPr>
          <w:rFonts w:eastAsia="TimesNewRoman"/>
          <w:szCs w:val="22"/>
          <w:lang w:val="sr-Latn-ME"/>
        </w:rPr>
        <w:t>ij</w:t>
      </w:r>
      <w:r w:rsidRPr="001202A2">
        <w:rPr>
          <w:rFonts w:eastAsia="TimesNewRoman"/>
          <w:szCs w:val="22"/>
          <w:lang w:val="sr-Latn-ME"/>
        </w:rPr>
        <w:t xml:space="preserve">ednost 0,0042; mITT, </w:t>
      </w:r>
      <w:r w:rsidR="00453E3A" w:rsidRPr="001202A2">
        <w:rPr>
          <w:rFonts w:eastAsia="TimesNewRoman"/>
          <w:szCs w:val="22"/>
          <w:lang w:val="sr-Latn-ME"/>
        </w:rPr>
        <w:t>u</w:t>
      </w:r>
      <w:r w:rsidRPr="001202A2">
        <w:rPr>
          <w:rFonts w:eastAsia="TimesNewRoman"/>
          <w:szCs w:val="22"/>
          <w:lang w:val="sr-Latn-ME"/>
        </w:rPr>
        <w:t xml:space="preserve">kupno trajanje </w:t>
      </w:r>
      <w:r w:rsidR="00453E3A" w:rsidRPr="001202A2">
        <w:rPr>
          <w:rFonts w:eastAsia="TimesNewRoman"/>
          <w:szCs w:val="22"/>
          <w:lang w:val="sr-Latn-ME"/>
        </w:rPr>
        <w:t>studije</w:t>
      </w:r>
      <w:r w:rsidRPr="001202A2">
        <w:rPr>
          <w:rFonts w:eastAsia="TimesNewRoman"/>
          <w:szCs w:val="22"/>
          <w:lang w:val="sr-Latn-ME"/>
        </w:rPr>
        <w:t>).</w:t>
      </w:r>
    </w:p>
    <w:p w14:paraId="0814626B"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3374E43F" w14:textId="2EA23928" w:rsidR="00112D4B" w:rsidRPr="001202A2" w:rsidRDefault="00453E3A"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t</w:t>
      </w:r>
      <w:r w:rsidR="00112D4B" w:rsidRPr="001202A2">
        <w:rPr>
          <w:rFonts w:eastAsia="TimesNewRoman"/>
          <w:szCs w:val="22"/>
          <w:lang w:val="sr-Latn-ME"/>
        </w:rPr>
        <w:t>abel</w:t>
      </w:r>
      <w:r w:rsidRPr="001202A2">
        <w:rPr>
          <w:rFonts w:eastAsia="TimesNewRoman"/>
          <w:szCs w:val="22"/>
          <w:lang w:val="sr-Latn-ME"/>
        </w:rPr>
        <w:t>i</w:t>
      </w:r>
      <w:r w:rsidR="00112D4B" w:rsidRPr="001202A2">
        <w:rPr>
          <w:rFonts w:eastAsia="TimesNewRoman"/>
          <w:szCs w:val="22"/>
          <w:lang w:val="sr-Latn-ME"/>
        </w:rPr>
        <w:t xml:space="preserve"> 5 </w:t>
      </w:r>
      <w:r w:rsidRPr="001202A2">
        <w:rPr>
          <w:rFonts w:eastAsia="TimesNewRoman"/>
          <w:szCs w:val="22"/>
          <w:lang w:val="sr-Latn-ME"/>
        </w:rPr>
        <w:t xml:space="preserve">su prikazani </w:t>
      </w:r>
      <w:r w:rsidR="00112D4B" w:rsidRPr="001202A2">
        <w:rPr>
          <w:rFonts w:eastAsia="TimesNewRoman"/>
          <w:szCs w:val="22"/>
          <w:lang w:val="sr-Latn-ME"/>
        </w:rPr>
        <w:t>ishemijsk</w:t>
      </w:r>
      <w:r w:rsidRPr="001202A2">
        <w:rPr>
          <w:rFonts w:eastAsia="TimesNewRoman"/>
          <w:szCs w:val="22"/>
          <w:lang w:val="sr-Latn-ME"/>
        </w:rPr>
        <w:t>i</w:t>
      </w:r>
      <w:r w:rsidR="00112D4B" w:rsidRPr="001202A2">
        <w:rPr>
          <w:rFonts w:eastAsia="TimesNewRoman"/>
          <w:szCs w:val="22"/>
          <w:lang w:val="sr-Latn-ME"/>
        </w:rPr>
        <w:t xml:space="preserve"> moždan</w:t>
      </w:r>
      <w:r w:rsidRPr="001202A2">
        <w:rPr>
          <w:rFonts w:eastAsia="TimesNewRoman"/>
          <w:szCs w:val="22"/>
          <w:lang w:val="sr-Latn-ME"/>
        </w:rPr>
        <w:t>i</w:t>
      </w:r>
      <w:r w:rsidR="00112D4B" w:rsidRPr="001202A2">
        <w:rPr>
          <w:rFonts w:eastAsia="TimesNewRoman"/>
          <w:szCs w:val="22"/>
          <w:lang w:val="sr-Latn-ME"/>
        </w:rPr>
        <w:t xml:space="preserve"> udar</w:t>
      </w:r>
      <w:r w:rsidRPr="001202A2">
        <w:rPr>
          <w:rFonts w:eastAsia="TimesNewRoman"/>
          <w:szCs w:val="22"/>
          <w:lang w:val="sr-Latn-ME"/>
        </w:rPr>
        <w:t>i</w:t>
      </w:r>
      <w:r w:rsidR="00112D4B" w:rsidRPr="001202A2">
        <w:rPr>
          <w:rFonts w:eastAsia="TimesNewRoman"/>
          <w:szCs w:val="22"/>
          <w:lang w:val="sr-Latn-ME"/>
        </w:rPr>
        <w:t>/SED prema kategoriji CrCl-a kod pacijenata sa NVAF u ENGAGE AF-TIMI 48</w:t>
      </w:r>
      <w:r w:rsidRPr="001202A2">
        <w:rPr>
          <w:rFonts w:eastAsia="TimesNewRoman"/>
          <w:szCs w:val="22"/>
          <w:lang w:val="sr-Latn-ME"/>
        </w:rPr>
        <w:t xml:space="preserve"> studiji</w:t>
      </w:r>
      <w:r w:rsidR="00112D4B" w:rsidRPr="001202A2">
        <w:rPr>
          <w:rFonts w:eastAsia="TimesNewRoman"/>
          <w:szCs w:val="22"/>
          <w:lang w:val="sr-Latn-ME"/>
        </w:rPr>
        <w:t>. Stopa događaja</w:t>
      </w:r>
      <w:r w:rsidRPr="001202A2">
        <w:rPr>
          <w:rFonts w:eastAsia="TimesNewRoman"/>
          <w:szCs w:val="22"/>
          <w:lang w:val="sr-Latn-ME"/>
        </w:rPr>
        <w:t xml:space="preserve"> se</w:t>
      </w:r>
      <w:r w:rsidR="00112D4B" w:rsidRPr="001202A2">
        <w:rPr>
          <w:rFonts w:eastAsia="TimesNewRoman"/>
          <w:szCs w:val="22"/>
          <w:lang w:val="sr-Latn-ME"/>
        </w:rPr>
        <w:t xml:space="preserve"> smanjuje sa povećanjem CrCl-a u ob</w:t>
      </w:r>
      <w:r w:rsidR="00DA2EFC" w:rsidRPr="001202A2">
        <w:rPr>
          <w:rFonts w:eastAsia="TimesNewRoman"/>
          <w:szCs w:val="22"/>
          <w:lang w:val="sr-Latn-ME"/>
        </w:rPr>
        <w:t>j</w:t>
      </w:r>
      <w:r w:rsidR="00112D4B" w:rsidRPr="001202A2">
        <w:rPr>
          <w:rFonts w:eastAsia="TimesNewRoman"/>
          <w:szCs w:val="22"/>
          <w:lang w:val="sr-Latn-ME"/>
        </w:rPr>
        <w:t>e terapijske grupe.</w:t>
      </w:r>
    </w:p>
    <w:p w14:paraId="207791F1"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68050BDA" w14:textId="4AC608EC" w:rsidR="00FA7259" w:rsidRPr="001202A2" w:rsidRDefault="00112D4B" w:rsidP="00480B31">
      <w:pPr>
        <w:rPr>
          <w:b/>
          <w:bCs/>
          <w:szCs w:val="22"/>
          <w:lang w:val="sr-Latn-ME"/>
        </w:rPr>
      </w:pPr>
      <w:r w:rsidRPr="001202A2">
        <w:rPr>
          <w:rFonts w:eastAsia="TimesNewRoman"/>
          <w:b/>
          <w:bCs/>
          <w:szCs w:val="22"/>
          <w:lang w:val="sr-Latn-ME"/>
        </w:rPr>
        <w:t xml:space="preserve">Tabela 5: Broj ishemijskih moždanih udara/SED prema kategoriji CrCl u </w:t>
      </w:r>
      <w:r w:rsidR="00453E3A" w:rsidRPr="001202A2">
        <w:rPr>
          <w:b/>
          <w:bCs/>
          <w:szCs w:val="22"/>
          <w:lang w:val="sr-Latn-ME"/>
        </w:rPr>
        <w:t>ENGAGE AF-TIMI 48 studiji, mITT populacija u ukupnoj studiji</w:t>
      </w:r>
    </w:p>
    <w:p w14:paraId="2A5115D6" w14:textId="7E1DEAF0" w:rsidR="00743938" w:rsidRDefault="00743938" w:rsidP="00480B31">
      <w:pPr>
        <w:rPr>
          <w:b/>
          <w:bCs/>
          <w:szCs w:val="22"/>
          <w:lang w:val="sr-Latn-ME"/>
        </w:rPr>
      </w:pPr>
    </w:p>
    <w:p w14:paraId="5CCAFF62" w14:textId="77777777" w:rsidR="001202A2" w:rsidRPr="001202A2" w:rsidRDefault="001202A2" w:rsidP="00480B31">
      <w:pPr>
        <w:rPr>
          <w:b/>
          <w:bCs/>
          <w:szCs w:val="22"/>
          <w:lang w:val="sr-Latn-ME"/>
        </w:rPr>
      </w:pPr>
    </w:p>
    <w:tbl>
      <w:tblPr>
        <w:tblStyle w:val="TableGrid"/>
        <w:tblW w:w="9889" w:type="dxa"/>
        <w:tblLayout w:type="fixed"/>
        <w:tblLook w:val="04A0" w:firstRow="1" w:lastRow="0" w:firstColumn="1" w:lastColumn="0" w:noHBand="0" w:noVBand="1"/>
      </w:tblPr>
      <w:tblGrid>
        <w:gridCol w:w="1668"/>
        <w:gridCol w:w="708"/>
        <w:gridCol w:w="1134"/>
        <w:gridCol w:w="1418"/>
        <w:gridCol w:w="709"/>
        <w:gridCol w:w="1134"/>
        <w:gridCol w:w="1417"/>
        <w:gridCol w:w="1701"/>
      </w:tblGrid>
      <w:tr w:rsidR="00D568D6" w:rsidRPr="001202A2" w14:paraId="7F2462CD" w14:textId="77777777" w:rsidTr="001202A2">
        <w:tc>
          <w:tcPr>
            <w:tcW w:w="1668" w:type="dxa"/>
            <w:vMerge w:val="restart"/>
            <w:shd w:val="clear" w:color="auto" w:fill="BFBFBF" w:themeFill="background1" w:themeFillShade="BF"/>
            <w:vAlign w:val="center"/>
          </w:tcPr>
          <w:p w14:paraId="79DC50F3" w14:textId="1D77AFF9" w:rsidR="00D568D6" w:rsidRPr="001202A2" w:rsidRDefault="00F36CF5" w:rsidP="00880F49">
            <w:pPr>
              <w:rPr>
                <w:b/>
                <w:bCs/>
                <w:iCs/>
                <w:szCs w:val="22"/>
                <w:lang w:val="sr-Latn-ME"/>
              </w:rPr>
            </w:pPr>
            <w:r w:rsidRPr="001202A2">
              <w:rPr>
                <w:b/>
                <w:bCs/>
                <w:iCs/>
                <w:szCs w:val="22"/>
                <w:lang w:val="sr-Latn-ME"/>
              </w:rPr>
              <w:lastRenderedPageBreak/>
              <w:t>Podgrupa prema CrCl (m</w:t>
            </w:r>
            <w:r w:rsidR="00456FFB" w:rsidRPr="001202A2">
              <w:rPr>
                <w:b/>
                <w:bCs/>
                <w:iCs/>
                <w:szCs w:val="22"/>
                <w:lang w:val="sr-Latn-ME"/>
              </w:rPr>
              <w:t>l</w:t>
            </w:r>
            <w:r w:rsidRPr="001202A2">
              <w:rPr>
                <w:b/>
                <w:bCs/>
                <w:iCs/>
                <w:szCs w:val="22"/>
                <w:lang w:val="sr-Latn-ME"/>
              </w:rPr>
              <w:t>/min)</w:t>
            </w:r>
          </w:p>
        </w:tc>
        <w:tc>
          <w:tcPr>
            <w:tcW w:w="3260" w:type="dxa"/>
            <w:gridSpan w:val="3"/>
            <w:shd w:val="clear" w:color="auto" w:fill="BFBFBF" w:themeFill="background1" w:themeFillShade="BF"/>
            <w:vAlign w:val="center"/>
          </w:tcPr>
          <w:p w14:paraId="27506BED" w14:textId="77777777" w:rsidR="00D568D6" w:rsidRPr="001202A2" w:rsidRDefault="00D568D6" w:rsidP="00880F49">
            <w:pPr>
              <w:jc w:val="center"/>
              <w:rPr>
                <w:b/>
                <w:bCs/>
                <w:iCs/>
                <w:szCs w:val="22"/>
                <w:lang w:val="sr-Latn-ME"/>
              </w:rPr>
            </w:pPr>
            <w:r w:rsidRPr="001202A2">
              <w:rPr>
                <w:b/>
                <w:bCs/>
                <w:iCs/>
                <w:szCs w:val="22"/>
                <w:lang w:val="sr-Latn-ME"/>
              </w:rPr>
              <w:t>Edoksaban 60 mg</w:t>
            </w:r>
          </w:p>
          <w:p w14:paraId="3A97C1C7" w14:textId="2A2E5CFD" w:rsidR="00D568D6" w:rsidRPr="001202A2" w:rsidRDefault="00D568D6" w:rsidP="00880F49">
            <w:pPr>
              <w:jc w:val="center"/>
              <w:rPr>
                <w:b/>
                <w:bCs/>
                <w:iCs/>
                <w:szCs w:val="22"/>
                <w:lang w:val="sr-Latn-ME"/>
              </w:rPr>
            </w:pPr>
            <w:r w:rsidRPr="001202A2">
              <w:rPr>
                <w:b/>
                <w:bCs/>
                <w:iCs/>
                <w:szCs w:val="22"/>
                <w:lang w:val="sr-Latn-ME"/>
              </w:rPr>
              <w:t>(N=7012)</w:t>
            </w:r>
          </w:p>
        </w:tc>
        <w:tc>
          <w:tcPr>
            <w:tcW w:w="3260" w:type="dxa"/>
            <w:gridSpan w:val="3"/>
            <w:shd w:val="clear" w:color="auto" w:fill="BFBFBF" w:themeFill="background1" w:themeFillShade="BF"/>
            <w:vAlign w:val="center"/>
          </w:tcPr>
          <w:p w14:paraId="306F1AD1" w14:textId="77777777" w:rsidR="00D568D6" w:rsidRPr="001202A2" w:rsidRDefault="00D568D6" w:rsidP="00880F49">
            <w:pPr>
              <w:jc w:val="center"/>
              <w:rPr>
                <w:b/>
                <w:bCs/>
                <w:iCs/>
                <w:szCs w:val="22"/>
                <w:lang w:val="sr-Latn-ME"/>
              </w:rPr>
            </w:pPr>
            <w:r w:rsidRPr="001202A2">
              <w:rPr>
                <w:b/>
                <w:bCs/>
                <w:iCs/>
                <w:szCs w:val="22"/>
                <w:lang w:val="sr-Latn-ME"/>
              </w:rPr>
              <w:t>Varfarin</w:t>
            </w:r>
          </w:p>
          <w:p w14:paraId="26C99E2C" w14:textId="31649EE4" w:rsidR="00D568D6" w:rsidRPr="001202A2" w:rsidRDefault="00D568D6" w:rsidP="00880F49">
            <w:pPr>
              <w:jc w:val="center"/>
              <w:rPr>
                <w:b/>
                <w:bCs/>
                <w:iCs/>
                <w:szCs w:val="22"/>
                <w:lang w:val="sr-Latn-ME"/>
              </w:rPr>
            </w:pPr>
            <w:r w:rsidRPr="001202A2">
              <w:rPr>
                <w:b/>
                <w:bCs/>
                <w:iCs/>
                <w:szCs w:val="22"/>
                <w:lang w:val="sr-Latn-ME"/>
              </w:rPr>
              <w:t>(N=7012)</w:t>
            </w:r>
          </w:p>
        </w:tc>
        <w:tc>
          <w:tcPr>
            <w:tcW w:w="1701" w:type="dxa"/>
            <w:shd w:val="clear" w:color="auto" w:fill="BFBFBF" w:themeFill="background1" w:themeFillShade="BF"/>
            <w:vAlign w:val="center"/>
          </w:tcPr>
          <w:p w14:paraId="1FC5B7AE" w14:textId="77777777" w:rsidR="00D568D6" w:rsidRPr="001202A2" w:rsidRDefault="00D568D6" w:rsidP="00880F49">
            <w:pPr>
              <w:rPr>
                <w:b/>
                <w:bCs/>
                <w:iCs/>
                <w:szCs w:val="22"/>
                <w:lang w:val="sr-Latn-ME"/>
              </w:rPr>
            </w:pPr>
          </w:p>
        </w:tc>
      </w:tr>
      <w:tr w:rsidR="00D568D6" w:rsidRPr="001202A2" w14:paraId="2A8BECDD" w14:textId="77777777" w:rsidTr="001202A2">
        <w:tc>
          <w:tcPr>
            <w:tcW w:w="1668" w:type="dxa"/>
            <w:vMerge/>
            <w:shd w:val="clear" w:color="auto" w:fill="BFBFBF" w:themeFill="background1" w:themeFillShade="BF"/>
            <w:vAlign w:val="center"/>
          </w:tcPr>
          <w:p w14:paraId="31EF5573" w14:textId="77777777" w:rsidR="00D568D6" w:rsidRPr="001202A2" w:rsidRDefault="00D568D6" w:rsidP="00880F49">
            <w:pPr>
              <w:rPr>
                <w:b/>
                <w:bCs/>
                <w:iCs/>
                <w:szCs w:val="22"/>
                <w:lang w:val="sr-Latn-ME"/>
              </w:rPr>
            </w:pPr>
          </w:p>
        </w:tc>
        <w:tc>
          <w:tcPr>
            <w:tcW w:w="708" w:type="dxa"/>
            <w:shd w:val="clear" w:color="auto" w:fill="BFBFBF" w:themeFill="background1" w:themeFillShade="BF"/>
            <w:vAlign w:val="center"/>
          </w:tcPr>
          <w:p w14:paraId="45ADE3BC" w14:textId="08103405" w:rsidR="00D568D6" w:rsidRPr="001202A2" w:rsidRDefault="00D568D6"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3B067DA9" w14:textId="7442F0B7" w:rsidR="00D568D6" w:rsidRPr="001202A2" w:rsidRDefault="00D568D6" w:rsidP="00880F49">
            <w:pPr>
              <w:jc w:val="center"/>
              <w:rPr>
                <w:b/>
                <w:bCs/>
                <w:iCs/>
                <w:szCs w:val="22"/>
                <w:lang w:val="sr-Latn-ME"/>
              </w:rPr>
            </w:pPr>
            <w:r w:rsidRPr="001202A2">
              <w:rPr>
                <w:b/>
                <w:bCs/>
                <w:iCs/>
                <w:szCs w:val="22"/>
                <w:lang w:val="sr-Latn-ME"/>
              </w:rPr>
              <w:t>Broj događaja</w:t>
            </w:r>
          </w:p>
        </w:tc>
        <w:tc>
          <w:tcPr>
            <w:tcW w:w="1418" w:type="dxa"/>
            <w:shd w:val="clear" w:color="auto" w:fill="BFBFBF" w:themeFill="background1" w:themeFillShade="BF"/>
            <w:vAlign w:val="center"/>
          </w:tcPr>
          <w:p w14:paraId="030F987C" w14:textId="7464F28D" w:rsidR="00D568D6" w:rsidRPr="001202A2" w:rsidRDefault="00D568D6" w:rsidP="00880F49">
            <w:pPr>
              <w:jc w:val="center"/>
              <w:rPr>
                <w:b/>
                <w:bCs/>
                <w:iCs/>
                <w:szCs w:val="22"/>
                <w:lang w:val="sr-Latn-ME"/>
              </w:rPr>
            </w:pPr>
            <w:r w:rsidRPr="001202A2">
              <w:rPr>
                <w:b/>
                <w:bCs/>
                <w:iCs/>
                <w:szCs w:val="22"/>
                <w:lang w:val="sr-Latn-ME"/>
              </w:rPr>
              <w:t>Stopa događaja (%/godina)</w:t>
            </w:r>
          </w:p>
        </w:tc>
        <w:tc>
          <w:tcPr>
            <w:tcW w:w="709" w:type="dxa"/>
            <w:shd w:val="clear" w:color="auto" w:fill="BFBFBF" w:themeFill="background1" w:themeFillShade="BF"/>
            <w:vAlign w:val="center"/>
          </w:tcPr>
          <w:p w14:paraId="08598998" w14:textId="2965E225" w:rsidR="00D568D6" w:rsidRPr="001202A2" w:rsidRDefault="00F36CF5"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6E0036B4" w14:textId="167EA237" w:rsidR="00D568D6" w:rsidRPr="001202A2" w:rsidRDefault="00D568D6" w:rsidP="00880F49">
            <w:pPr>
              <w:jc w:val="center"/>
              <w:rPr>
                <w:b/>
                <w:bCs/>
                <w:iCs/>
                <w:szCs w:val="22"/>
                <w:lang w:val="sr-Latn-ME"/>
              </w:rPr>
            </w:pPr>
            <w:r w:rsidRPr="001202A2">
              <w:rPr>
                <w:b/>
                <w:bCs/>
                <w:iCs/>
                <w:szCs w:val="22"/>
                <w:lang w:val="sr-Latn-ME"/>
              </w:rPr>
              <w:t>Broj događaja</w:t>
            </w:r>
          </w:p>
        </w:tc>
        <w:tc>
          <w:tcPr>
            <w:tcW w:w="1417" w:type="dxa"/>
            <w:shd w:val="clear" w:color="auto" w:fill="BFBFBF" w:themeFill="background1" w:themeFillShade="BF"/>
            <w:vAlign w:val="center"/>
          </w:tcPr>
          <w:p w14:paraId="193F87DA" w14:textId="1AB310A9" w:rsidR="00D568D6" w:rsidRPr="001202A2" w:rsidRDefault="00D568D6" w:rsidP="00880F49">
            <w:pPr>
              <w:jc w:val="center"/>
              <w:rPr>
                <w:b/>
                <w:bCs/>
                <w:iCs/>
                <w:szCs w:val="22"/>
                <w:lang w:val="sr-Latn-ME"/>
              </w:rPr>
            </w:pPr>
            <w:r w:rsidRPr="001202A2">
              <w:rPr>
                <w:b/>
                <w:bCs/>
                <w:iCs/>
                <w:szCs w:val="22"/>
                <w:lang w:val="sr-Latn-ME"/>
              </w:rPr>
              <w:t>Stopa događaja (%/godina)</w:t>
            </w:r>
          </w:p>
        </w:tc>
        <w:tc>
          <w:tcPr>
            <w:tcW w:w="1701" w:type="dxa"/>
            <w:shd w:val="clear" w:color="auto" w:fill="BFBFBF" w:themeFill="background1" w:themeFillShade="BF"/>
            <w:vAlign w:val="center"/>
          </w:tcPr>
          <w:p w14:paraId="354B731D" w14:textId="3ABF0C25" w:rsidR="00D568D6" w:rsidRPr="001202A2" w:rsidRDefault="00D568D6" w:rsidP="00880F49">
            <w:pPr>
              <w:jc w:val="center"/>
              <w:rPr>
                <w:b/>
                <w:bCs/>
                <w:iCs/>
                <w:szCs w:val="22"/>
                <w:lang w:val="sr-Latn-ME"/>
              </w:rPr>
            </w:pPr>
            <w:r w:rsidRPr="001202A2">
              <w:rPr>
                <w:b/>
                <w:bCs/>
                <w:iCs/>
                <w:szCs w:val="22"/>
                <w:lang w:val="sr-Latn-ME"/>
              </w:rPr>
              <w:t>HR (95% CI)</w:t>
            </w:r>
          </w:p>
        </w:tc>
      </w:tr>
      <w:tr w:rsidR="00F36CF5" w:rsidRPr="001202A2" w14:paraId="4B45B528" w14:textId="77777777" w:rsidTr="001202A2">
        <w:tc>
          <w:tcPr>
            <w:tcW w:w="1668" w:type="dxa"/>
            <w:vAlign w:val="center"/>
          </w:tcPr>
          <w:p w14:paraId="550A9F25" w14:textId="55038B5B" w:rsidR="00453E3A" w:rsidRPr="001202A2" w:rsidRDefault="00F36CF5" w:rsidP="00880F49">
            <w:pPr>
              <w:rPr>
                <w:iCs/>
                <w:szCs w:val="22"/>
                <w:lang w:val="sr-Latn-ME"/>
              </w:rPr>
            </w:pPr>
            <w:r w:rsidRPr="001202A2">
              <w:rPr>
                <w:iCs/>
                <w:szCs w:val="22"/>
                <w:lang w:val="sr-Latn-ME"/>
              </w:rPr>
              <w:t>≥ 30 do ≤ 50</w:t>
            </w:r>
          </w:p>
        </w:tc>
        <w:tc>
          <w:tcPr>
            <w:tcW w:w="708" w:type="dxa"/>
            <w:vAlign w:val="center"/>
          </w:tcPr>
          <w:p w14:paraId="13882583" w14:textId="3C13766E" w:rsidR="00453E3A" w:rsidRPr="001202A2" w:rsidRDefault="00F36CF5" w:rsidP="00880F49">
            <w:pPr>
              <w:jc w:val="center"/>
              <w:rPr>
                <w:iCs/>
                <w:szCs w:val="22"/>
                <w:lang w:val="sr-Latn-ME"/>
              </w:rPr>
            </w:pPr>
            <w:r w:rsidRPr="001202A2">
              <w:rPr>
                <w:iCs/>
                <w:szCs w:val="22"/>
                <w:lang w:val="sr-Latn-ME"/>
              </w:rPr>
              <w:t>1302</w:t>
            </w:r>
          </w:p>
        </w:tc>
        <w:tc>
          <w:tcPr>
            <w:tcW w:w="1134" w:type="dxa"/>
            <w:vAlign w:val="center"/>
          </w:tcPr>
          <w:p w14:paraId="6913C89C" w14:textId="5FEE92A3" w:rsidR="00453E3A" w:rsidRPr="001202A2" w:rsidRDefault="00F36CF5" w:rsidP="00880F49">
            <w:pPr>
              <w:jc w:val="center"/>
              <w:rPr>
                <w:iCs/>
                <w:szCs w:val="22"/>
                <w:lang w:val="sr-Latn-ME"/>
              </w:rPr>
            </w:pPr>
            <w:r w:rsidRPr="001202A2">
              <w:rPr>
                <w:iCs/>
                <w:szCs w:val="22"/>
                <w:lang w:val="sr-Latn-ME"/>
              </w:rPr>
              <w:t>63</w:t>
            </w:r>
          </w:p>
        </w:tc>
        <w:tc>
          <w:tcPr>
            <w:tcW w:w="1418" w:type="dxa"/>
            <w:vAlign w:val="center"/>
          </w:tcPr>
          <w:p w14:paraId="37040774" w14:textId="1D2DC506" w:rsidR="00453E3A" w:rsidRPr="001202A2" w:rsidRDefault="00F36CF5" w:rsidP="00880F49">
            <w:pPr>
              <w:jc w:val="center"/>
              <w:rPr>
                <w:iCs/>
                <w:szCs w:val="22"/>
                <w:lang w:val="sr-Latn-ME"/>
              </w:rPr>
            </w:pPr>
            <w:r w:rsidRPr="001202A2">
              <w:rPr>
                <w:iCs/>
                <w:szCs w:val="22"/>
                <w:lang w:val="sr-Latn-ME"/>
              </w:rPr>
              <w:t>1,89</w:t>
            </w:r>
          </w:p>
        </w:tc>
        <w:tc>
          <w:tcPr>
            <w:tcW w:w="709" w:type="dxa"/>
            <w:vAlign w:val="center"/>
          </w:tcPr>
          <w:p w14:paraId="309EAD81" w14:textId="6A925883" w:rsidR="00453E3A" w:rsidRPr="001202A2" w:rsidRDefault="00F36CF5" w:rsidP="00880F49">
            <w:pPr>
              <w:jc w:val="center"/>
              <w:rPr>
                <w:iCs/>
                <w:szCs w:val="22"/>
                <w:lang w:val="sr-Latn-ME"/>
              </w:rPr>
            </w:pPr>
            <w:r w:rsidRPr="001202A2">
              <w:rPr>
                <w:iCs/>
                <w:szCs w:val="22"/>
                <w:lang w:val="sr-Latn-ME"/>
              </w:rPr>
              <w:t>1305</w:t>
            </w:r>
          </w:p>
        </w:tc>
        <w:tc>
          <w:tcPr>
            <w:tcW w:w="1134" w:type="dxa"/>
            <w:vAlign w:val="center"/>
          </w:tcPr>
          <w:p w14:paraId="527308D3" w14:textId="29A90203" w:rsidR="00453E3A" w:rsidRPr="001202A2" w:rsidRDefault="00F36CF5" w:rsidP="00880F49">
            <w:pPr>
              <w:jc w:val="center"/>
              <w:rPr>
                <w:iCs/>
                <w:szCs w:val="22"/>
                <w:lang w:val="sr-Latn-ME"/>
              </w:rPr>
            </w:pPr>
            <w:r w:rsidRPr="001202A2">
              <w:rPr>
                <w:iCs/>
                <w:szCs w:val="22"/>
                <w:lang w:val="sr-Latn-ME"/>
              </w:rPr>
              <w:t>67</w:t>
            </w:r>
          </w:p>
        </w:tc>
        <w:tc>
          <w:tcPr>
            <w:tcW w:w="1417" w:type="dxa"/>
            <w:vAlign w:val="center"/>
          </w:tcPr>
          <w:p w14:paraId="22267420" w14:textId="69273C5E" w:rsidR="00453E3A" w:rsidRPr="001202A2" w:rsidRDefault="00F36CF5" w:rsidP="00880F49">
            <w:pPr>
              <w:jc w:val="center"/>
              <w:rPr>
                <w:iCs/>
                <w:szCs w:val="22"/>
                <w:lang w:val="sr-Latn-ME"/>
              </w:rPr>
            </w:pPr>
            <w:r w:rsidRPr="001202A2">
              <w:rPr>
                <w:iCs/>
                <w:szCs w:val="22"/>
                <w:lang w:val="sr-Latn-ME"/>
              </w:rPr>
              <w:t>2,05</w:t>
            </w:r>
          </w:p>
        </w:tc>
        <w:tc>
          <w:tcPr>
            <w:tcW w:w="1701" w:type="dxa"/>
            <w:vAlign w:val="center"/>
          </w:tcPr>
          <w:p w14:paraId="3841B190" w14:textId="013C3076" w:rsidR="00453E3A" w:rsidRPr="001202A2" w:rsidRDefault="00F36CF5" w:rsidP="00880F49">
            <w:pPr>
              <w:jc w:val="center"/>
              <w:rPr>
                <w:iCs/>
                <w:szCs w:val="22"/>
                <w:lang w:val="sr-Latn-ME"/>
              </w:rPr>
            </w:pPr>
            <w:r w:rsidRPr="001202A2">
              <w:rPr>
                <w:iCs/>
                <w:szCs w:val="22"/>
                <w:lang w:val="sr-Latn-ME"/>
              </w:rPr>
              <w:t>0,93 (0,66; 1,31)</w:t>
            </w:r>
          </w:p>
        </w:tc>
      </w:tr>
      <w:tr w:rsidR="00F36CF5" w:rsidRPr="001202A2" w14:paraId="3886F8B0" w14:textId="77777777" w:rsidTr="001202A2">
        <w:tc>
          <w:tcPr>
            <w:tcW w:w="1668" w:type="dxa"/>
            <w:vAlign w:val="center"/>
          </w:tcPr>
          <w:p w14:paraId="4C43A32F" w14:textId="28972CCA" w:rsidR="00453E3A" w:rsidRPr="001202A2" w:rsidRDefault="00F36CF5" w:rsidP="00880F49">
            <w:pPr>
              <w:rPr>
                <w:iCs/>
                <w:szCs w:val="22"/>
                <w:lang w:val="sr-Latn-ME"/>
              </w:rPr>
            </w:pPr>
            <w:r w:rsidRPr="001202A2">
              <w:rPr>
                <w:iCs/>
                <w:szCs w:val="22"/>
                <w:lang w:val="sr-Latn-ME"/>
              </w:rPr>
              <w:t>&gt; 50 do ≤ 70</w:t>
            </w:r>
          </w:p>
        </w:tc>
        <w:tc>
          <w:tcPr>
            <w:tcW w:w="708" w:type="dxa"/>
            <w:vAlign w:val="center"/>
          </w:tcPr>
          <w:p w14:paraId="59D8323E" w14:textId="1E4423E1" w:rsidR="00453E3A" w:rsidRPr="001202A2" w:rsidRDefault="00220BF7" w:rsidP="00880F49">
            <w:pPr>
              <w:jc w:val="center"/>
              <w:rPr>
                <w:iCs/>
                <w:szCs w:val="22"/>
                <w:lang w:val="sr-Latn-ME"/>
              </w:rPr>
            </w:pPr>
            <w:r w:rsidRPr="001202A2">
              <w:rPr>
                <w:iCs/>
                <w:szCs w:val="22"/>
                <w:lang w:val="sr-Latn-ME"/>
              </w:rPr>
              <w:t>2093</w:t>
            </w:r>
          </w:p>
        </w:tc>
        <w:tc>
          <w:tcPr>
            <w:tcW w:w="1134" w:type="dxa"/>
            <w:vAlign w:val="center"/>
          </w:tcPr>
          <w:p w14:paraId="560C4B24" w14:textId="109FC1D3" w:rsidR="00453E3A" w:rsidRPr="001202A2" w:rsidRDefault="00220BF7" w:rsidP="00880F49">
            <w:pPr>
              <w:jc w:val="center"/>
              <w:rPr>
                <w:iCs/>
                <w:szCs w:val="22"/>
                <w:lang w:val="sr-Latn-ME"/>
              </w:rPr>
            </w:pPr>
            <w:r w:rsidRPr="001202A2">
              <w:rPr>
                <w:iCs/>
                <w:szCs w:val="22"/>
                <w:lang w:val="sr-Latn-ME"/>
              </w:rPr>
              <w:t>85</w:t>
            </w:r>
          </w:p>
        </w:tc>
        <w:tc>
          <w:tcPr>
            <w:tcW w:w="1418" w:type="dxa"/>
            <w:vAlign w:val="center"/>
          </w:tcPr>
          <w:p w14:paraId="30AB7D05" w14:textId="0F93851C" w:rsidR="00453E3A" w:rsidRPr="001202A2" w:rsidRDefault="00220BF7" w:rsidP="00880F49">
            <w:pPr>
              <w:jc w:val="center"/>
              <w:rPr>
                <w:iCs/>
                <w:szCs w:val="22"/>
                <w:lang w:val="sr-Latn-ME"/>
              </w:rPr>
            </w:pPr>
            <w:r w:rsidRPr="001202A2">
              <w:rPr>
                <w:iCs/>
                <w:szCs w:val="22"/>
                <w:lang w:val="sr-Latn-ME"/>
              </w:rPr>
              <w:t>1,51</w:t>
            </w:r>
          </w:p>
        </w:tc>
        <w:tc>
          <w:tcPr>
            <w:tcW w:w="709" w:type="dxa"/>
            <w:vAlign w:val="center"/>
          </w:tcPr>
          <w:p w14:paraId="3DE7F398" w14:textId="5144545D" w:rsidR="00453E3A" w:rsidRPr="001202A2" w:rsidRDefault="00220BF7" w:rsidP="00880F49">
            <w:pPr>
              <w:jc w:val="center"/>
              <w:rPr>
                <w:iCs/>
                <w:szCs w:val="22"/>
                <w:lang w:val="sr-Latn-ME"/>
              </w:rPr>
            </w:pPr>
            <w:r w:rsidRPr="001202A2">
              <w:rPr>
                <w:iCs/>
                <w:szCs w:val="22"/>
                <w:lang w:val="sr-Latn-ME"/>
              </w:rPr>
              <w:t>2106</w:t>
            </w:r>
          </w:p>
        </w:tc>
        <w:tc>
          <w:tcPr>
            <w:tcW w:w="1134" w:type="dxa"/>
            <w:vAlign w:val="center"/>
          </w:tcPr>
          <w:p w14:paraId="0678F2B4" w14:textId="5A48C5D5" w:rsidR="00453E3A" w:rsidRPr="001202A2" w:rsidRDefault="00220BF7" w:rsidP="00880F49">
            <w:pPr>
              <w:jc w:val="center"/>
              <w:rPr>
                <w:iCs/>
                <w:szCs w:val="22"/>
                <w:lang w:val="sr-Latn-ME"/>
              </w:rPr>
            </w:pPr>
            <w:r w:rsidRPr="001202A2">
              <w:rPr>
                <w:iCs/>
                <w:szCs w:val="22"/>
                <w:lang w:val="sr-Latn-ME"/>
              </w:rPr>
              <w:t>95</w:t>
            </w:r>
          </w:p>
        </w:tc>
        <w:tc>
          <w:tcPr>
            <w:tcW w:w="1417" w:type="dxa"/>
            <w:vAlign w:val="center"/>
          </w:tcPr>
          <w:p w14:paraId="690386C1" w14:textId="20B43AE1" w:rsidR="00453E3A" w:rsidRPr="001202A2" w:rsidRDefault="00220BF7" w:rsidP="00880F49">
            <w:pPr>
              <w:jc w:val="center"/>
              <w:rPr>
                <w:iCs/>
                <w:szCs w:val="22"/>
                <w:lang w:val="sr-Latn-ME"/>
              </w:rPr>
            </w:pPr>
            <w:r w:rsidRPr="001202A2">
              <w:rPr>
                <w:iCs/>
                <w:szCs w:val="22"/>
                <w:lang w:val="sr-Latn-ME"/>
              </w:rPr>
              <w:t>1,70</w:t>
            </w:r>
          </w:p>
        </w:tc>
        <w:tc>
          <w:tcPr>
            <w:tcW w:w="1701" w:type="dxa"/>
            <w:vAlign w:val="center"/>
          </w:tcPr>
          <w:p w14:paraId="47559020" w14:textId="405CEFBC" w:rsidR="00453E3A" w:rsidRPr="001202A2" w:rsidRDefault="00220BF7" w:rsidP="00880F49">
            <w:pPr>
              <w:jc w:val="center"/>
              <w:rPr>
                <w:iCs/>
                <w:szCs w:val="22"/>
                <w:lang w:val="sr-Latn-ME"/>
              </w:rPr>
            </w:pPr>
            <w:r w:rsidRPr="001202A2">
              <w:rPr>
                <w:iCs/>
                <w:szCs w:val="22"/>
                <w:lang w:val="sr-Latn-ME"/>
              </w:rPr>
              <w:t>0,88 (0,66; 1,18)</w:t>
            </w:r>
          </w:p>
        </w:tc>
      </w:tr>
      <w:tr w:rsidR="00F36CF5" w:rsidRPr="001202A2" w14:paraId="140B303A" w14:textId="77777777" w:rsidTr="001202A2">
        <w:tc>
          <w:tcPr>
            <w:tcW w:w="1668" w:type="dxa"/>
            <w:vAlign w:val="center"/>
          </w:tcPr>
          <w:p w14:paraId="2CFF4258" w14:textId="54649DBA" w:rsidR="00453E3A" w:rsidRPr="001202A2" w:rsidRDefault="00F36CF5" w:rsidP="00880F49">
            <w:pPr>
              <w:rPr>
                <w:iCs/>
                <w:szCs w:val="22"/>
                <w:lang w:val="sr-Latn-ME"/>
              </w:rPr>
            </w:pPr>
            <w:r w:rsidRPr="001202A2">
              <w:rPr>
                <w:iCs/>
                <w:szCs w:val="22"/>
                <w:lang w:val="sr-Latn-ME"/>
              </w:rPr>
              <w:t>&gt; 70 do ≤ 90</w:t>
            </w:r>
          </w:p>
        </w:tc>
        <w:tc>
          <w:tcPr>
            <w:tcW w:w="708" w:type="dxa"/>
            <w:vAlign w:val="center"/>
          </w:tcPr>
          <w:p w14:paraId="57A0EB9B" w14:textId="3B18E718" w:rsidR="00453E3A" w:rsidRPr="001202A2" w:rsidRDefault="00220BF7" w:rsidP="00880F49">
            <w:pPr>
              <w:jc w:val="center"/>
              <w:rPr>
                <w:iCs/>
                <w:szCs w:val="22"/>
                <w:lang w:val="sr-Latn-ME"/>
              </w:rPr>
            </w:pPr>
            <w:r w:rsidRPr="001202A2">
              <w:rPr>
                <w:iCs/>
                <w:szCs w:val="22"/>
                <w:lang w:val="sr-Latn-ME"/>
              </w:rPr>
              <w:t>1661</w:t>
            </w:r>
          </w:p>
        </w:tc>
        <w:tc>
          <w:tcPr>
            <w:tcW w:w="1134" w:type="dxa"/>
            <w:vAlign w:val="center"/>
          </w:tcPr>
          <w:p w14:paraId="537B77A4" w14:textId="00B3248F" w:rsidR="00453E3A" w:rsidRPr="001202A2" w:rsidRDefault="00220BF7" w:rsidP="00880F49">
            <w:pPr>
              <w:jc w:val="center"/>
              <w:rPr>
                <w:iCs/>
                <w:szCs w:val="22"/>
                <w:lang w:val="sr-Latn-ME"/>
              </w:rPr>
            </w:pPr>
            <w:r w:rsidRPr="001202A2">
              <w:rPr>
                <w:iCs/>
                <w:szCs w:val="22"/>
                <w:lang w:val="sr-Latn-ME"/>
              </w:rPr>
              <w:t>45</w:t>
            </w:r>
          </w:p>
        </w:tc>
        <w:tc>
          <w:tcPr>
            <w:tcW w:w="1418" w:type="dxa"/>
            <w:vAlign w:val="center"/>
          </w:tcPr>
          <w:p w14:paraId="42A9C2B8" w14:textId="1B79CEB0" w:rsidR="00453E3A" w:rsidRPr="001202A2" w:rsidRDefault="00220BF7" w:rsidP="00880F49">
            <w:pPr>
              <w:jc w:val="center"/>
              <w:rPr>
                <w:iCs/>
                <w:szCs w:val="22"/>
                <w:lang w:val="sr-Latn-ME"/>
              </w:rPr>
            </w:pPr>
            <w:r w:rsidRPr="001202A2">
              <w:rPr>
                <w:iCs/>
                <w:szCs w:val="22"/>
                <w:lang w:val="sr-Latn-ME"/>
              </w:rPr>
              <w:t>0,99</w:t>
            </w:r>
          </w:p>
        </w:tc>
        <w:tc>
          <w:tcPr>
            <w:tcW w:w="709" w:type="dxa"/>
            <w:vAlign w:val="center"/>
          </w:tcPr>
          <w:p w14:paraId="059FD527" w14:textId="2C1BA47B" w:rsidR="00453E3A" w:rsidRPr="001202A2" w:rsidRDefault="00220BF7" w:rsidP="00880F49">
            <w:pPr>
              <w:jc w:val="center"/>
              <w:rPr>
                <w:iCs/>
                <w:szCs w:val="22"/>
                <w:lang w:val="sr-Latn-ME"/>
              </w:rPr>
            </w:pPr>
            <w:r w:rsidRPr="001202A2">
              <w:rPr>
                <w:iCs/>
                <w:szCs w:val="22"/>
                <w:lang w:val="sr-Latn-ME"/>
              </w:rPr>
              <w:t>1703</w:t>
            </w:r>
          </w:p>
        </w:tc>
        <w:tc>
          <w:tcPr>
            <w:tcW w:w="1134" w:type="dxa"/>
            <w:vAlign w:val="center"/>
          </w:tcPr>
          <w:p w14:paraId="5FC0F782" w14:textId="7C8ED989" w:rsidR="00453E3A" w:rsidRPr="001202A2" w:rsidRDefault="00220BF7" w:rsidP="00880F49">
            <w:pPr>
              <w:jc w:val="center"/>
              <w:rPr>
                <w:iCs/>
                <w:szCs w:val="22"/>
                <w:lang w:val="sr-Latn-ME"/>
              </w:rPr>
            </w:pPr>
            <w:r w:rsidRPr="001202A2">
              <w:rPr>
                <w:iCs/>
                <w:szCs w:val="22"/>
                <w:lang w:val="sr-Latn-ME"/>
              </w:rPr>
              <w:t>50</w:t>
            </w:r>
          </w:p>
        </w:tc>
        <w:tc>
          <w:tcPr>
            <w:tcW w:w="1417" w:type="dxa"/>
            <w:vAlign w:val="center"/>
          </w:tcPr>
          <w:p w14:paraId="08E414DD" w14:textId="671F2830" w:rsidR="00453E3A" w:rsidRPr="001202A2" w:rsidRDefault="00220BF7" w:rsidP="00880F49">
            <w:pPr>
              <w:jc w:val="center"/>
              <w:rPr>
                <w:iCs/>
                <w:szCs w:val="22"/>
                <w:lang w:val="sr-Latn-ME"/>
              </w:rPr>
            </w:pPr>
            <w:r w:rsidRPr="001202A2">
              <w:rPr>
                <w:iCs/>
                <w:szCs w:val="22"/>
                <w:lang w:val="sr-Latn-ME"/>
              </w:rPr>
              <w:t>1,08</w:t>
            </w:r>
          </w:p>
        </w:tc>
        <w:tc>
          <w:tcPr>
            <w:tcW w:w="1701" w:type="dxa"/>
            <w:vAlign w:val="center"/>
          </w:tcPr>
          <w:p w14:paraId="31012592" w14:textId="5EF7EC58" w:rsidR="00453E3A" w:rsidRPr="001202A2" w:rsidRDefault="00220BF7" w:rsidP="00880F49">
            <w:pPr>
              <w:jc w:val="center"/>
              <w:rPr>
                <w:iCs/>
                <w:szCs w:val="22"/>
                <w:lang w:val="sr-Latn-ME"/>
              </w:rPr>
            </w:pPr>
            <w:r w:rsidRPr="001202A2">
              <w:rPr>
                <w:iCs/>
                <w:szCs w:val="22"/>
                <w:lang w:val="sr-Latn-ME"/>
              </w:rPr>
              <w:t>0,92 (0,61; 1,37)</w:t>
            </w:r>
          </w:p>
        </w:tc>
      </w:tr>
      <w:tr w:rsidR="00F36CF5" w:rsidRPr="001202A2" w14:paraId="73465020" w14:textId="77777777" w:rsidTr="001202A2">
        <w:tc>
          <w:tcPr>
            <w:tcW w:w="1668" w:type="dxa"/>
            <w:vAlign w:val="center"/>
          </w:tcPr>
          <w:p w14:paraId="0C45E0EA" w14:textId="257F1F06" w:rsidR="00453E3A" w:rsidRPr="001202A2" w:rsidRDefault="00F36CF5" w:rsidP="00880F49">
            <w:pPr>
              <w:rPr>
                <w:iCs/>
                <w:szCs w:val="22"/>
                <w:lang w:val="sr-Latn-ME"/>
              </w:rPr>
            </w:pPr>
            <w:r w:rsidRPr="001202A2">
              <w:rPr>
                <w:iCs/>
                <w:szCs w:val="22"/>
                <w:lang w:val="sr-Latn-ME"/>
              </w:rPr>
              <w:t>&gt; 90 do ≤ 110</w:t>
            </w:r>
          </w:p>
        </w:tc>
        <w:tc>
          <w:tcPr>
            <w:tcW w:w="708" w:type="dxa"/>
            <w:vAlign w:val="center"/>
          </w:tcPr>
          <w:p w14:paraId="6FD21B31" w14:textId="7A8BA852" w:rsidR="00453E3A" w:rsidRPr="001202A2" w:rsidRDefault="00220BF7" w:rsidP="00880F49">
            <w:pPr>
              <w:jc w:val="center"/>
              <w:rPr>
                <w:iCs/>
                <w:szCs w:val="22"/>
                <w:lang w:val="sr-Latn-ME"/>
              </w:rPr>
            </w:pPr>
            <w:r w:rsidRPr="001202A2">
              <w:rPr>
                <w:iCs/>
                <w:szCs w:val="22"/>
                <w:lang w:val="sr-Latn-ME"/>
              </w:rPr>
              <w:t>927</w:t>
            </w:r>
          </w:p>
        </w:tc>
        <w:tc>
          <w:tcPr>
            <w:tcW w:w="1134" w:type="dxa"/>
            <w:vAlign w:val="center"/>
          </w:tcPr>
          <w:p w14:paraId="6A6A0AC1" w14:textId="5C49A428" w:rsidR="00453E3A" w:rsidRPr="001202A2" w:rsidRDefault="00220BF7" w:rsidP="00880F49">
            <w:pPr>
              <w:jc w:val="center"/>
              <w:rPr>
                <w:iCs/>
                <w:szCs w:val="22"/>
                <w:lang w:val="sr-Latn-ME"/>
              </w:rPr>
            </w:pPr>
            <w:r w:rsidRPr="001202A2">
              <w:rPr>
                <w:iCs/>
                <w:szCs w:val="22"/>
                <w:lang w:val="sr-Latn-ME"/>
              </w:rPr>
              <w:t>27</w:t>
            </w:r>
          </w:p>
        </w:tc>
        <w:tc>
          <w:tcPr>
            <w:tcW w:w="1418" w:type="dxa"/>
            <w:vAlign w:val="center"/>
          </w:tcPr>
          <w:p w14:paraId="012B73F2" w14:textId="1B539DC1" w:rsidR="00453E3A" w:rsidRPr="001202A2" w:rsidRDefault="00220BF7" w:rsidP="00880F49">
            <w:pPr>
              <w:jc w:val="center"/>
              <w:rPr>
                <w:iCs/>
                <w:szCs w:val="22"/>
                <w:lang w:val="sr-Latn-ME"/>
              </w:rPr>
            </w:pPr>
            <w:r w:rsidRPr="001202A2">
              <w:rPr>
                <w:iCs/>
                <w:szCs w:val="22"/>
                <w:lang w:val="sr-Latn-ME"/>
              </w:rPr>
              <w:t>1,08</w:t>
            </w:r>
          </w:p>
        </w:tc>
        <w:tc>
          <w:tcPr>
            <w:tcW w:w="709" w:type="dxa"/>
            <w:vAlign w:val="center"/>
          </w:tcPr>
          <w:p w14:paraId="7B0BB89E" w14:textId="6D872B11" w:rsidR="00453E3A" w:rsidRPr="001202A2" w:rsidRDefault="00220BF7" w:rsidP="00880F49">
            <w:pPr>
              <w:jc w:val="center"/>
              <w:rPr>
                <w:iCs/>
                <w:szCs w:val="22"/>
                <w:lang w:val="sr-Latn-ME"/>
              </w:rPr>
            </w:pPr>
            <w:r w:rsidRPr="001202A2">
              <w:rPr>
                <w:iCs/>
                <w:szCs w:val="22"/>
                <w:lang w:val="sr-Latn-ME"/>
              </w:rPr>
              <w:t>960</w:t>
            </w:r>
          </w:p>
        </w:tc>
        <w:tc>
          <w:tcPr>
            <w:tcW w:w="1134" w:type="dxa"/>
            <w:vAlign w:val="center"/>
          </w:tcPr>
          <w:p w14:paraId="0BB67DF6" w14:textId="1B01D5AA" w:rsidR="00453E3A" w:rsidRPr="001202A2" w:rsidRDefault="00220BF7" w:rsidP="00880F49">
            <w:pPr>
              <w:jc w:val="center"/>
              <w:rPr>
                <w:iCs/>
                <w:szCs w:val="22"/>
                <w:lang w:val="sr-Latn-ME"/>
              </w:rPr>
            </w:pPr>
            <w:r w:rsidRPr="001202A2">
              <w:rPr>
                <w:iCs/>
                <w:szCs w:val="22"/>
                <w:lang w:val="sr-Latn-ME"/>
              </w:rPr>
              <w:t>26</w:t>
            </w:r>
          </w:p>
        </w:tc>
        <w:tc>
          <w:tcPr>
            <w:tcW w:w="1417" w:type="dxa"/>
            <w:vAlign w:val="center"/>
          </w:tcPr>
          <w:p w14:paraId="730B0F6B" w14:textId="415A9366" w:rsidR="00453E3A" w:rsidRPr="001202A2" w:rsidRDefault="00220BF7" w:rsidP="00880F49">
            <w:pPr>
              <w:jc w:val="center"/>
              <w:rPr>
                <w:iCs/>
                <w:szCs w:val="22"/>
                <w:lang w:val="sr-Latn-ME"/>
              </w:rPr>
            </w:pPr>
            <w:r w:rsidRPr="001202A2">
              <w:rPr>
                <w:iCs/>
                <w:szCs w:val="22"/>
                <w:lang w:val="sr-Latn-ME"/>
              </w:rPr>
              <w:t>0,98</w:t>
            </w:r>
          </w:p>
        </w:tc>
        <w:tc>
          <w:tcPr>
            <w:tcW w:w="1701" w:type="dxa"/>
            <w:vAlign w:val="center"/>
          </w:tcPr>
          <w:p w14:paraId="0A5B7FE6" w14:textId="34CCB0D8" w:rsidR="00453E3A" w:rsidRPr="001202A2" w:rsidRDefault="00220BF7" w:rsidP="00880F49">
            <w:pPr>
              <w:jc w:val="center"/>
              <w:rPr>
                <w:iCs/>
                <w:szCs w:val="22"/>
                <w:lang w:val="sr-Latn-ME"/>
              </w:rPr>
            </w:pPr>
            <w:r w:rsidRPr="001202A2">
              <w:rPr>
                <w:iCs/>
                <w:szCs w:val="22"/>
                <w:lang w:val="sr-Latn-ME"/>
              </w:rPr>
              <w:t>1,10 (0,64; 1,89)</w:t>
            </w:r>
          </w:p>
        </w:tc>
      </w:tr>
      <w:tr w:rsidR="00F36CF5" w:rsidRPr="001202A2" w14:paraId="5B6085C3" w14:textId="77777777" w:rsidTr="001202A2">
        <w:tc>
          <w:tcPr>
            <w:tcW w:w="1668" w:type="dxa"/>
            <w:vAlign w:val="center"/>
          </w:tcPr>
          <w:p w14:paraId="6B7CD6F4" w14:textId="42B4C538" w:rsidR="00453E3A" w:rsidRPr="001202A2" w:rsidRDefault="00F36CF5" w:rsidP="00880F49">
            <w:pPr>
              <w:rPr>
                <w:iCs/>
                <w:szCs w:val="22"/>
                <w:lang w:val="sr-Latn-ME"/>
              </w:rPr>
            </w:pPr>
            <w:r w:rsidRPr="001202A2">
              <w:rPr>
                <w:iCs/>
                <w:szCs w:val="22"/>
                <w:lang w:val="sr-Latn-ME"/>
              </w:rPr>
              <w:t>&gt; 110 do ≤ 130</w:t>
            </w:r>
          </w:p>
        </w:tc>
        <w:tc>
          <w:tcPr>
            <w:tcW w:w="708" w:type="dxa"/>
            <w:vAlign w:val="center"/>
          </w:tcPr>
          <w:p w14:paraId="2F4F4E3F" w14:textId="51BD8145" w:rsidR="00453E3A" w:rsidRPr="001202A2" w:rsidRDefault="00220BF7" w:rsidP="00880F49">
            <w:pPr>
              <w:jc w:val="center"/>
              <w:rPr>
                <w:iCs/>
                <w:szCs w:val="22"/>
                <w:lang w:val="sr-Latn-ME"/>
              </w:rPr>
            </w:pPr>
            <w:r w:rsidRPr="001202A2">
              <w:rPr>
                <w:iCs/>
                <w:szCs w:val="22"/>
                <w:lang w:val="sr-Latn-ME"/>
              </w:rPr>
              <w:t>497</w:t>
            </w:r>
          </w:p>
        </w:tc>
        <w:tc>
          <w:tcPr>
            <w:tcW w:w="1134" w:type="dxa"/>
            <w:vAlign w:val="center"/>
          </w:tcPr>
          <w:p w14:paraId="10798741" w14:textId="3CAE81D2" w:rsidR="00453E3A" w:rsidRPr="001202A2" w:rsidRDefault="00220BF7" w:rsidP="00880F49">
            <w:pPr>
              <w:jc w:val="center"/>
              <w:rPr>
                <w:iCs/>
                <w:szCs w:val="22"/>
                <w:lang w:val="sr-Latn-ME"/>
              </w:rPr>
            </w:pPr>
            <w:r w:rsidRPr="001202A2">
              <w:rPr>
                <w:iCs/>
                <w:szCs w:val="22"/>
                <w:lang w:val="sr-Latn-ME"/>
              </w:rPr>
              <w:t>14</w:t>
            </w:r>
          </w:p>
        </w:tc>
        <w:tc>
          <w:tcPr>
            <w:tcW w:w="1418" w:type="dxa"/>
            <w:vAlign w:val="center"/>
          </w:tcPr>
          <w:p w14:paraId="21467D37" w14:textId="4F75BB56" w:rsidR="00453E3A" w:rsidRPr="001202A2" w:rsidRDefault="00220BF7" w:rsidP="00880F49">
            <w:pPr>
              <w:jc w:val="center"/>
              <w:rPr>
                <w:iCs/>
                <w:szCs w:val="22"/>
                <w:lang w:val="sr-Latn-ME"/>
              </w:rPr>
            </w:pPr>
            <w:r w:rsidRPr="001202A2">
              <w:rPr>
                <w:iCs/>
                <w:szCs w:val="22"/>
                <w:lang w:val="sr-Latn-ME"/>
              </w:rPr>
              <w:t>1,01</w:t>
            </w:r>
          </w:p>
        </w:tc>
        <w:tc>
          <w:tcPr>
            <w:tcW w:w="709" w:type="dxa"/>
            <w:vAlign w:val="center"/>
          </w:tcPr>
          <w:p w14:paraId="283E6E17" w14:textId="0C664B15" w:rsidR="00453E3A" w:rsidRPr="001202A2" w:rsidRDefault="00220BF7" w:rsidP="00880F49">
            <w:pPr>
              <w:jc w:val="center"/>
              <w:rPr>
                <w:iCs/>
                <w:szCs w:val="22"/>
                <w:lang w:val="sr-Latn-ME"/>
              </w:rPr>
            </w:pPr>
            <w:r w:rsidRPr="001202A2">
              <w:rPr>
                <w:iCs/>
                <w:szCs w:val="22"/>
                <w:lang w:val="sr-Latn-ME"/>
              </w:rPr>
              <w:t>469</w:t>
            </w:r>
          </w:p>
        </w:tc>
        <w:tc>
          <w:tcPr>
            <w:tcW w:w="1134" w:type="dxa"/>
            <w:vAlign w:val="center"/>
          </w:tcPr>
          <w:p w14:paraId="7E122A4A" w14:textId="7F2347B6" w:rsidR="00453E3A" w:rsidRPr="001202A2" w:rsidRDefault="00220BF7" w:rsidP="00880F49">
            <w:pPr>
              <w:jc w:val="center"/>
              <w:rPr>
                <w:iCs/>
                <w:szCs w:val="22"/>
                <w:lang w:val="sr-Latn-ME"/>
              </w:rPr>
            </w:pPr>
            <w:r w:rsidRPr="001202A2">
              <w:rPr>
                <w:iCs/>
                <w:szCs w:val="22"/>
                <w:lang w:val="sr-Latn-ME"/>
              </w:rPr>
              <w:t>10</w:t>
            </w:r>
          </w:p>
        </w:tc>
        <w:tc>
          <w:tcPr>
            <w:tcW w:w="1417" w:type="dxa"/>
            <w:vAlign w:val="center"/>
          </w:tcPr>
          <w:p w14:paraId="19ED5318" w14:textId="636C4031" w:rsidR="00453E3A" w:rsidRPr="001202A2" w:rsidRDefault="00220BF7" w:rsidP="00880F49">
            <w:pPr>
              <w:jc w:val="center"/>
              <w:rPr>
                <w:iCs/>
                <w:szCs w:val="22"/>
                <w:lang w:val="sr-Latn-ME"/>
              </w:rPr>
            </w:pPr>
            <w:r w:rsidRPr="001202A2">
              <w:rPr>
                <w:iCs/>
                <w:szCs w:val="22"/>
                <w:lang w:val="sr-Latn-ME"/>
              </w:rPr>
              <w:t>0,78</w:t>
            </w:r>
          </w:p>
        </w:tc>
        <w:tc>
          <w:tcPr>
            <w:tcW w:w="1701" w:type="dxa"/>
            <w:vAlign w:val="center"/>
          </w:tcPr>
          <w:p w14:paraId="40997D16" w14:textId="53C23EE5" w:rsidR="00453E3A" w:rsidRPr="001202A2" w:rsidRDefault="00220BF7" w:rsidP="00880F49">
            <w:pPr>
              <w:jc w:val="center"/>
              <w:rPr>
                <w:iCs/>
                <w:szCs w:val="22"/>
                <w:lang w:val="sr-Latn-ME"/>
              </w:rPr>
            </w:pPr>
            <w:r w:rsidRPr="001202A2">
              <w:rPr>
                <w:iCs/>
                <w:szCs w:val="22"/>
                <w:lang w:val="sr-Latn-ME"/>
              </w:rPr>
              <w:t>1,27 (0,57; 2,85)</w:t>
            </w:r>
          </w:p>
        </w:tc>
      </w:tr>
      <w:tr w:rsidR="00F36CF5" w:rsidRPr="001202A2" w14:paraId="267C2810" w14:textId="77777777" w:rsidTr="001202A2">
        <w:tc>
          <w:tcPr>
            <w:tcW w:w="1668" w:type="dxa"/>
            <w:vAlign w:val="center"/>
          </w:tcPr>
          <w:p w14:paraId="20F882B4" w14:textId="20344B0F" w:rsidR="00453E3A" w:rsidRPr="001202A2" w:rsidRDefault="00F36CF5" w:rsidP="00880F49">
            <w:pPr>
              <w:rPr>
                <w:iCs/>
                <w:szCs w:val="22"/>
                <w:lang w:val="sr-Latn-ME"/>
              </w:rPr>
            </w:pPr>
            <w:r w:rsidRPr="001202A2">
              <w:rPr>
                <w:iCs/>
                <w:szCs w:val="22"/>
                <w:lang w:val="sr-Latn-ME"/>
              </w:rPr>
              <w:t>&gt; 130</w:t>
            </w:r>
          </w:p>
        </w:tc>
        <w:tc>
          <w:tcPr>
            <w:tcW w:w="708" w:type="dxa"/>
            <w:vAlign w:val="center"/>
          </w:tcPr>
          <w:p w14:paraId="78BAE657" w14:textId="6799F412" w:rsidR="00453E3A" w:rsidRPr="001202A2" w:rsidRDefault="00220BF7" w:rsidP="00880F49">
            <w:pPr>
              <w:jc w:val="center"/>
              <w:rPr>
                <w:iCs/>
                <w:szCs w:val="22"/>
                <w:lang w:val="sr-Latn-ME"/>
              </w:rPr>
            </w:pPr>
            <w:r w:rsidRPr="001202A2">
              <w:rPr>
                <w:iCs/>
                <w:szCs w:val="22"/>
                <w:lang w:val="sr-Latn-ME"/>
              </w:rPr>
              <w:t>462</w:t>
            </w:r>
          </w:p>
        </w:tc>
        <w:tc>
          <w:tcPr>
            <w:tcW w:w="1134" w:type="dxa"/>
            <w:vAlign w:val="center"/>
          </w:tcPr>
          <w:p w14:paraId="3523853A" w14:textId="50DA8DDE" w:rsidR="00453E3A" w:rsidRPr="001202A2" w:rsidRDefault="00220BF7" w:rsidP="00880F49">
            <w:pPr>
              <w:jc w:val="center"/>
              <w:rPr>
                <w:iCs/>
                <w:szCs w:val="22"/>
                <w:lang w:val="sr-Latn-ME"/>
              </w:rPr>
            </w:pPr>
            <w:r w:rsidRPr="001202A2">
              <w:rPr>
                <w:iCs/>
                <w:szCs w:val="22"/>
                <w:lang w:val="sr-Latn-ME"/>
              </w:rPr>
              <w:t>10</w:t>
            </w:r>
          </w:p>
        </w:tc>
        <w:tc>
          <w:tcPr>
            <w:tcW w:w="1418" w:type="dxa"/>
            <w:vAlign w:val="center"/>
          </w:tcPr>
          <w:p w14:paraId="2EBAD205" w14:textId="559A56A5" w:rsidR="00453E3A" w:rsidRPr="001202A2" w:rsidRDefault="00220BF7" w:rsidP="00880F49">
            <w:pPr>
              <w:jc w:val="center"/>
              <w:rPr>
                <w:iCs/>
                <w:szCs w:val="22"/>
                <w:lang w:val="sr-Latn-ME"/>
              </w:rPr>
            </w:pPr>
            <w:r w:rsidRPr="001202A2">
              <w:rPr>
                <w:iCs/>
                <w:szCs w:val="22"/>
                <w:lang w:val="sr-Latn-ME"/>
              </w:rPr>
              <w:t>0,78</w:t>
            </w:r>
          </w:p>
        </w:tc>
        <w:tc>
          <w:tcPr>
            <w:tcW w:w="709" w:type="dxa"/>
            <w:vAlign w:val="center"/>
          </w:tcPr>
          <w:p w14:paraId="5017DC63" w14:textId="0450BA02" w:rsidR="00453E3A" w:rsidRPr="001202A2" w:rsidRDefault="00220BF7" w:rsidP="00880F49">
            <w:pPr>
              <w:jc w:val="center"/>
              <w:rPr>
                <w:iCs/>
                <w:szCs w:val="22"/>
                <w:lang w:val="sr-Latn-ME"/>
              </w:rPr>
            </w:pPr>
            <w:r w:rsidRPr="001202A2">
              <w:rPr>
                <w:iCs/>
                <w:szCs w:val="22"/>
                <w:lang w:val="sr-Latn-ME"/>
              </w:rPr>
              <w:t>418</w:t>
            </w:r>
          </w:p>
        </w:tc>
        <w:tc>
          <w:tcPr>
            <w:tcW w:w="1134" w:type="dxa"/>
            <w:vAlign w:val="center"/>
          </w:tcPr>
          <w:p w14:paraId="3E6EA240" w14:textId="27FC8C6F" w:rsidR="00453E3A" w:rsidRPr="001202A2" w:rsidRDefault="00220BF7" w:rsidP="00880F49">
            <w:pPr>
              <w:jc w:val="center"/>
              <w:rPr>
                <w:iCs/>
                <w:szCs w:val="22"/>
                <w:lang w:val="sr-Latn-ME"/>
              </w:rPr>
            </w:pPr>
            <w:r w:rsidRPr="001202A2">
              <w:rPr>
                <w:iCs/>
                <w:szCs w:val="22"/>
                <w:lang w:val="sr-Latn-ME"/>
              </w:rPr>
              <w:t>3</w:t>
            </w:r>
          </w:p>
        </w:tc>
        <w:tc>
          <w:tcPr>
            <w:tcW w:w="1417" w:type="dxa"/>
            <w:vAlign w:val="center"/>
          </w:tcPr>
          <w:p w14:paraId="35533463" w14:textId="2679CFBD" w:rsidR="00453E3A" w:rsidRPr="001202A2" w:rsidRDefault="00220BF7" w:rsidP="00880F49">
            <w:pPr>
              <w:jc w:val="center"/>
              <w:rPr>
                <w:iCs/>
                <w:szCs w:val="22"/>
                <w:lang w:val="sr-Latn-ME"/>
              </w:rPr>
            </w:pPr>
            <w:r w:rsidRPr="001202A2">
              <w:rPr>
                <w:iCs/>
                <w:szCs w:val="22"/>
                <w:lang w:val="sr-Latn-ME"/>
              </w:rPr>
              <w:t>0,25</w:t>
            </w:r>
          </w:p>
        </w:tc>
        <w:tc>
          <w:tcPr>
            <w:tcW w:w="1701" w:type="dxa"/>
            <w:vAlign w:val="center"/>
          </w:tcPr>
          <w:p w14:paraId="540D8A36" w14:textId="6D0F3497" w:rsidR="00453E3A" w:rsidRPr="001202A2" w:rsidRDefault="00220BF7" w:rsidP="00880F49">
            <w:pPr>
              <w:jc w:val="center"/>
              <w:rPr>
                <w:iCs/>
                <w:szCs w:val="22"/>
                <w:vertAlign w:val="superscript"/>
                <w:lang w:val="sr-Latn-ME"/>
              </w:rPr>
            </w:pPr>
            <w:r w:rsidRPr="001202A2">
              <w:rPr>
                <w:iCs/>
                <w:szCs w:val="22"/>
                <w:lang w:val="sr-Latn-ME"/>
              </w:rPr>
              <w:t>--</w:t>
            </w:r>
            <w:r w:rsidRPr="001202A2">
              <w:rPr>
                <w:iCs/>
                <w:szCs w:val="22"/>
                <w:vertAlign w:val="superscript"/>
                <w:lang w:val="sr-Latn-ME"/>
              </w:rPr>
              <w:t>*</w:t>
            </w:r>
          </w:p>
        </w:tc>
      </w:tr>
    </w:tbl>
    <w:p w14:paraId="75F5F90A" w14:textId="24464BB9" w:rsidR="00220BF7" w:rsidRPr="001202A2" w:rsidRDefault="00220BF7" w:rsidP="00880F49">
      <w:pPr>
        <w:tabs>
          <w:tab w:val="clear" w:pos="284"/>
        </w:tabs>
        <w:autoSpaceDE w:val="0"/>
        <w:autoSpaceDN w:val="0"/>
        <w:adjustRightInd w:val="0"/>
        <w:rPr>
          <w:rFonts w:eastAsia="TimesNewRoman"/>
          <w:szCs w:val="22"/>
          <w:lang w:val="sr-Latn-ME"/>
        </w:rPr>
      </w:pPr>
      <w:r w:rsidRPr="001202A2">
        <w:rPr>
          <w:rFonts w:eastAsia="TimesNewRoman"/>
          <w:szCs w:val="22"/>
          <w:lang w:val="sr-Latn-ME"/>
        </w:rPr>
        <w:t>Skraćenice: CrCl = klirens kreatinina; N = broj ispitanika u mITT populaciji u ukupnoj studiji; mITT = izm</w:t>
      </w:r>
      <w:r w:rsidR="00DA2EFC" w:rsidRPr="001202A2">
        <w:rPr>
          <w:rFonts w:eastAsia="TimesNewRoman"/>
          <w:szCs w:val="22"/>
          <w:lang w:val="sr-Latn-ME"/>
        </w:rPr>
        <w:t>ij</w:t>
      </w:r>
      <w:r w:rsidRPr="001202A2">
        <w:rPr>
          <w:rFonts w:eastAsia="TimesNewRoman"/>
          <w:szCs w:val="22"/>
          <w:lang w:val="sr-Latn-ME"/>
        </w:rPr>
        <w:t>enjena populacija predviđena za l</w:t>
      </w:r>
      <w:r w:rsidR="00DA2EFC" w:rsidRPr="001202A2">
        <w:rPr>
          <w:rFonts w:eastAsia="TimesNewRoman"/>
          <w:szCs w:val="22"/>
          <w:lang w:val="sr-Latn-ME"/>
        </w:rPr>
        <w:t>ij</w:t>
      </w:r>
      <w:r w:rsidRPr="001202A2">
        <w:rPr>
          <w:rFonts w:eastAsia="TimesNewRoman"/>
          <w:szCs w:val="22"/>
          <w:lang w:val="sr-Latn-ME"/>
        </w:rPr>
        <w:t>ečenje; n = broj pacijenata po podgrupi; HR = odnos rizika</w:t>
      </w:r>
      <w:r w:rsidRPr="001202A2">
        <w:rPr>
          <w:rFonts w:eastAsia="TimesNewRoman"/>
          <w:i/>
          <w:iCs/>
          <w:szCs w:val="22"/>
          <w:lang w:val="sr-Latn-ME"/>
        </w:rPr>
        <w:t xml:space="preserve"> </w:t>
      </w:r>
      <w:r w:rsidRPr="001202A2">
        <w:rPr>
          <w:rFonts w:eastAsia="TimesNewRoman"/>
          <w:szCs w:val="22"/>
          <w:lang w:val="sr-Latn-ME"/>
        </w:rPr>
        <w:t xml:space="preserve">u odnosu na varfarin; CI = interval pouzdanosti. </w:t>
      </w:r>
    </w:p>
    <w:p w14:paraId="0DF9F31C" w14:textId="3F5417A6" w:rsidR="00453E3A" w:rsidRPr="001202A2" w:rsidRDefault="00220BF7"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w:t>
      </w:r>
      <w:r w:rsidRPr="001202A2">
        <w:rPr>
          <w:rFonts w:eastAsia="TimesNewRoman"/>
          <w:szCs w:val="22"/>
          <w:lang w:val="sr-Latn-ME"/>
        </w:rPr>
        <w:t xml:space="preserve"> HR nije izračunat ukoliko je broj događaja</w:t>
      </w:r>
      <w:r w:rsidR="0043602E" w:rsidRPr="001202A2">
        <w:rPr>
          <w:rFonts w:eastAsia="TimesNewRoman"/>
          <w:szCs w:val="22"/>
          <w:lang w:val="sr-Latn-ME"/>
        </w:rPr>
        <w:t xml:space="preserve"> bio</w:t>
      </w:r>
      <w:r w:rsidRPr="001202A2">
        <w:rPr>
          <w:rFonts w:eastAsia="TimesNewRoman"/>
          <w:szCs w:val="22"/>
          <w:lang w:val="sr-Latn-ME"/>
        </w:rPr>
        <w:t xml:space="preserve"> &lt; 5 u jednoj</w:t>
      </w:r>
      <w:r w:rsidR="002C76BA" w:rsidRPr="001202A2">
        <w:rPr>
          <w:rFonts w:eastAsia="TimesNewRoman"/>
          <w:szCs w:val="22"/>
          <w:lang w:val="sr-Latn-ME"/>
        </w:rPr>
        <w:t xml:space="preserve"> od</w:t>
      </w:r>
      <w:r w:rsidRPr="001202A2">
        <w:rPr>
          <w:rFonts w:eastAsia="TimesNewRoman"/>
          <w:szCs w:val="22"/>
          <w:lang w:val="sr-Latn-ME"/>
        </w:rPr>
        <w:t xml:space="preserve"> terapijsk</w:t>
      </w:r>
      <w:r w:rsidR="002C76BA" w:rsidRPr="001202A2">
        <w:rPr>
          <w:rFonts w:eastAsia="TimesNewRoman"/>
          <w:szCs w:val="22"/>
          <w:lang w:val="sr-Latn-ME"/>
        </w:rPr>
        <w:t>ih</w:t>
      </w:r>
      <w:r w:rsidRPr="001202A2">
        <w:rPr>
          <w:rFonts w:eastAsia="TimesNewRoman"/>
          <w:szCs w:val="22"/>
          <w:lang w:val="sr-Latn-ME"/>
        </w:rPr>
        <w:t xml:space="preserve"> grup</w:t>
      </w:r>
      <w:r w:rsidR="002C76BA" w:rsidRPr="001202A2">
        <w:rPr>
          <w:rFonts w:eastAsia="TimesNewRoman"/>
          <w:szCs w:val="22"/>
          <w:lang w:val="sr-Latn-ME"/>
        </w:rPr>
        <w:t>a</w:t>
      </w:r>
      <w:r w:rsidRPr="001202A2">
        <w:rPr>
          <w:rFonts w:eastAsia="TimesNewRoman"/>
          <w:szCs w:val="22"/>
          <w:lang w:val="sr-Latn-ME"/>
        </w:rPr>
        <w:t>.</w:t>
      </w:r>
    </w:p>
    <w:p w14:paraId="181C1585" w14:textId="77777777" w:rsidR="008366CD" w:rsidRPr="001202A2" w:rsidRDefault="008366CD" w:rsidP="00880F49">
      <w:pPr>
        <w:tabs>
          <w:tab w:val="clear" w:pos="284"/>
        </w:tabs>
        <w:autoSpaceDE w:val="0"/>
        <w:autoSpaceDN w:val="0"/>
        <w:adjustRightInd w:val="0"/>
        <w:rPr>
          <w:rFonts w:eastAsia="TimesNewRoman"/>
          <w:szCs w:val="22"/>
          <w:lang w:val="sr-Latn-ME"/>
        </w:rPr>
      </w:pPr>
    </w:p>
    <w:p w14:paraId="5FB4733F" w14:textId="3BF9CCED" w:rsidR="00E75727" w:rsidRPr="001202A2" w:rsidRDefault="00E7572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Unutar podgrupa prema funkciji bubrega, rezultati za sekundarne parametre praćenja efikasnosti bili su u skladu sa onima za primarni parametar praćenja. </w:t>
      </w:r>
    </w:p>
    <w:p w14:paraId="79376853"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177C40AE" w14:textId="4C5B46A7" w:rsidR="00E75727" w:rsidRPr="001202A2" w:rsidRDefault="00D52C8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Ispitivanje</w:t>
      </w:r>
      <w:r w:rsidR="00E75727" w:rsidRPr="001202A2">
        <w:rPr>
          <w:rFonts w:eastAsia="TimesNewRoman"/>
          <w:szCs w:val="22"/>
          <w:lang w:val="sr-Latn-ME"/>
        </w:rPr>
        <w:t xml:space="preserve"> superiornosti </w:t>
      </w:r>
      <w:r w:rsidRPr="001202A2">
        <w:rPr>
          <w:rFonts w:eastAsia="TimesNewRoman"/>
          <w:szCs w:val="22"/>
          <w:lang w:val="sr-Latn-ME"/>
        </w:rPr>
        <w:t xml:space="preserve">je </w:t>
      </w:r>
      <w:r w:rsidR="00E75727" w:rsidRPr="001202A2">
        <w:rPr>
          <w:rFonts w:eastAsia="TimesNewRoman"/>
          <w:szCs w:val="22"/>
          <w:lang w:val="sr-Latn-ME"/>
        </w:rPr>
        <w:t>sproveden</w:t>
      </w:r>
      <w:r w:rsidRPr="001202A2">
        <w:rPr>
          <w:rFonts w:eastAsia="TimesNewRoman"/>
          <w:szCs w:val="22"/>
          <w:lang w:val="sr-Latn-ME"/>
        </w:rPr>
        <w:t>o</w:t>
      </w:r>
      <w:r w:rsidR="00E75727" w:rsidRPr="001202A2">
        <w:rPr>
          <w:rFonts w:eastAsia="TimesNewRoman"/>
          <w:szCs w:val="22"/>
          <w:lang w:val="sr-Latn-ME"/>
        </w:rPr>
        <w:t xml:space="preserve"> za c</w:t>
      </w:r>
      <w:r w:rsidR="005D5955" w:rsidRPr="001202A2">
        <w:rPr>
          <w:rFonts w:eastAsia="TimesNewRoman"/>
          <w:szCs w:val="22"/>
          <w:lang w:val="sr-Latn-ME"/>
        </w:rPr>
        <w:t>j</w:t>
      </w:r>
      <w:r w:rsidR="00E75727" w:rsidRPr="001202A2">
        <w:rPr>
          <w:rFonts w:eastAsia="TimesNewRoman"/>
          <w:szCs w:val="22"/>
          <w:lang w:val="sr-Latn-ME"/>
        </w:rPr>
        <w:t xml:space="preserve">elokupni ITT period </w:t>
      </w:r>
      <w:r w:rsidRPr="001202A2">
        <w:rPr>
          <w:rFonts w:eastAsia="TimesNewRoman"/>
          <w:szCs w:val="22"/>
          <w:lang w:val="sr-Latn-ME"/>
        </w:rPr>
        <w:t>studije</w:t>
      </w:r>
      <w:r w:rsidR="00E75727" w:rsidRPr="001202A2">
        <w:rPr>
          <w:rFonts w:eastAsia="TimesNewRoman"/>
          <w:szCs w:val="22"/>
          <w:lang w:val="sr-Latn-ME"/>
        </w:rPr>
        <w:t>.</w:t>
      </w:r>
    </w:p>
    <w:p w14:paraId="0D79E124" w14:textId="0CEAFAD7" w:rsidR="00E75727" w:rsidRPr="001202A2" w:rsidRDefault="00D52C8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Kod </w:t>
      </w:r>
      <w:r w:rsidR="00E75727" w:rsidRPr="001202A2">
        <w:rPr>
          <w:rFonts w:eastAsia="TimesNewRoman"/>
          <w:szCs w:val="22"/>
          <w:lang w:val="sr-Latn-ME"/>
        </w:rPr>
        <w:t xml:space="preserve">ispitanika u grupi </w:t>
      </w:r>
      <w:r w:rsidRPr="001202A2">
        <w:rPr>
          <w:rFonts w:eastAsia="TimesNewRoman"/>
          <w:szCs w:val="22"/>
          <w:lang w:val="sr-Latn-ME"/>
        </w:rPr>
        <w:t xml:space="preserve">na </w:t>
      </w:r>
      <w:r w:rsidR="00E75727" w:rsidRPr="001202A2">
        <w:rPr>
          <w:rFonts w:eastAsia="TimesNewRoman"/>
          <w:szCs w:val="22"/>
          <w:lang w:val="sr-Latn-ME"/>
        </w:rPr>
        <w:t>edoksaban</w:t>
      </w:r>
      <w:r w:rsidRPr="001202A2">
        <w:rPr>
          <w:rFonts w:eastAsia="TimesNewRoman"/>
          <w:szCs w:val="22"/>
          <w:lang w:val="sr-Latn-ME"/>
        </w:rPr>
        <w:t>u</w:t>
      </w:r>
      <w:r w:rsidR="00E75727" w:rsidRPr="001202A2">
        <w:rPr>
          <w:rFonts w:eastAsia="TimesNewRoman"/>
          <w:szCs w:val="22"/>
          <w:lang w:val="sr-Latn-ME"/>
        </w:rPr>
        <w:t xml:space="preserve"> u dozi od 60 mg </w:t>
      </w:r>
      <w:r w:rsidR="004966FB" w:rsidRPr="001202A2">
        <w:rPr>
          <w:rFonts w:eastAsia="TimesNewRoman"/>
          <w:szCs w:val="22"/>
          <w:lang w:val="sr-Latn-ME"/>
        </w:rPr>
        <w:t>je zab</w:t>
      </w:r>
      <w:r w:rsidR="005D5955" w:rsidRPr="001202A2">
        <w:rPr>
          <w:rFonts w:eastAsia="TimesNewRoman"/>
          <w:szCs w:val="22"/>
          <w:lang w:val="sr-Latn-ME"/>
        </w:rPr>
        <w:t>i</w:t>
      </w:r>
      <w:r w:rsidR="004966FB" w:rsidRPr="001202A2">
        <w:rPr>
          <w:rFonts w:eastAsia="TimesNewRoman"/>
          <w:szCs w:val="22"/>
          <w:lang w:val="sr-Latn-ME"/>
        </w:rPr>
        <w:t>l</w:t>
      </w:r>
      <w:r w:rsidR="005D5955" w:rsidRPr="001202A2">
        <w:rPr>
          <w:rFonts w:eastAsia="TimesNewRoman"/>
          <w:szCs w:val="22"/>
          <w:lang w:val="sr-Latn-ME"/>
        </w:rPr>
        <w:t>j</w:t>
      </w:r>
      <w:r w:rsidR="004966FB" w:rsidRPr="001202A2">
        <w:rPr>
          <w:rFonts w:eastAsia="TimesNewRoman"/>
          <w:szCs w:val="22"/>
          <w:lang w:val="sr-Latn-ME"/>
        </w:rPr>
        <w:t>eženo manje moždanih udara</w:t>
      </w:r>
      <w:r w:rsidR="00386CCA" w:rsidRPr="001202A2">
        <w:rPr>
          <w:rFonts w:eastAsia="TimesNewRoman"/>
          <w:szCs w:val="22"/>
          <w:lang w:val="sr-Latn-ME"/>
        </w:rPr>
        <w:t xml:space="preserve"> i SED</w:t>
      </w:r>
      <w:r w:rsidR="00E75727" w:rsidRPr="001202A2">
        <w:rPr>
          <w:rFonts w:eastAsia="TimesNewRoman"/>
          <w:szCs w:val="22"/>
          <w:lang w:val="sr-Latn-ME"/>
        </w:rPr>
        <w:t xml:space="preserve"> </w:t>
      </w:r>
      <w:r w:rsidR="00386CCA" w:rsidRPr="001202A2">
        <w:rPr>
          <w:rFonts w:eastAsia="TimesNewRoman"/>
          <w:szCs w:val="22"/>
          <w:lang w:val="sr-Latn-ME"/>
        </w:rPr>
        <w:t>nego u grupi</w:t>
      </w:r>
      <w:r w:rsidR="00E75727" w:rsidRPr="001202A2">
        <w:rPr>
          <w:rFonts w:eastAsia="TimesNewRoman"/>
          <w:szCs w:val="22"/>
          <w:lang w:val="sr-Latn-ME"/>
        </w:rPr>
        <w:t xml:space="preserve"> l</w:t>
      </w:r>
      <w:r w:rsidR="005D5955" w:rsidRPr="001202A2">
        <w:rPr>
          <w:rFonts w:eastAsia="TimesNewRoman"/>
          <w:szCs w:val="22"/>
          <w:lang w:val="sr-Latn-ME"/>
        </w:rPr>
        <w:t>ij</w:t>
      </w:r>
      <w:r w:rsidR="00E75727" w:rsidRPr="001202A2">
        <w:rPr>
          <w:rFonts w:eastAsia="TimesNewRoman"/>
          <w:szCs w:val="22"/>
          <w:lang w:val="sr-Latn-ME"/>
        </w:rPr>
        <w:t>ečenoj varfarinom (1,57%</w:t>
      </w:r>
      <w:r w:rsidR="00386CCA" w:rsidRPr="001202A2">
        <w:rPr>
          <w:rFonts w:eastAsia="TimesNewRoman"/>
          <w:szCs w:val="22"/>
          <w:lang w:val="sr-Latn-ME"/>
        </w:rPr>
        <w:t>,</w:t>
      </w:r>
      <w:r w:rsidR="00E75727" w:rsidRPr="001202A2">
        <w:rPr>
          <w:rFonts w:eastAsia="TimesNewRoman"/>
          <w:szCs w:val="22"/>
          <w:lang w:val="sr-Latn-ME"/>
        </w:rPr>
        <w:t xml:space="preserve"> odnosno 1,80% godišnje), uz HR od 0,87 (99% CI: 0,71, 1,07, p = 0,0807 za superiornost).</w:t>
      </w:r>
    </w:p>
    <w:p w14:paraId="2DA5CB38"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6FE26C7F" w14:textId="02D07133" w:rsidR="00E75727" w:rsidRPr="001202A2" w:rsidRDefault="00386CCA"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Za</w:t>
      </w:r>
      <w:r w:rsidR="00E75727" w:rsidRPr="001202A2">
        <w:rPr>
          <w:rFonts w:eastAsia="TimesNewRoman"/>
          <w:szCs w:val="22"/>
          <w:lang w:val="sr-Latn-ME"/>
        </w:rPr>
        <w:t xml:space="preserve"> unapr</w:t>
      </w:r>
      <w:r w:rsidR="005D5955" w:rsidRPr="001202A2">
        <w:rPr>
          <w:rFonts w:eastAsia="TimesNewRoman"/>
          <w:szCs w:val="22"/>
          <w:lang w:val="sr-Latn-ME"/>
        </w:rPr>
        <w:t>ij</w:t>
      </w:r>
      <w:r w:rsidR="00E75727" w:rsidRPr="001202A2">
        <w:rPr>
          <w:rFonts w:eastAsia="TimesNewRoman"/>
          <w:szCs w:val="22"/>
          <w:lang w:val="sr-Latn-ME"/>
        </w:rPr>
        <w:t xml:space="preserve">ed </w:t>
      </w:r>
      <w:r w:rsidRPr="001202A2">
        <w:rPr>
          <w:rFonts w:eastAsia="TimesNewRoman"/>
          <w:szCs w:val="22"/>
          <w:lang w:val="sr-Latn-ME"/>
        </w:rPr>
        <w:t>definisan</w:t>
      </w:r>
      <w:r w:rsidR="00E75727" w:rsidRPr="001202A2">
        <w:rPr>
          <w:rFonts w:eastAsia="TimesNewRoman"/>
          <w:szCs w:val="22"/>
          <w:lang w:val="sr-Latn-ME"/>
        </w:rPr>
        <w:t xml:space="preserve"> </w:t>
      </w:r>
      <w:r w:rsidRPr="001202A2">
        <w:rPr>
          <w:rFonts w:eastAsia="TimesNewRoman"/>
          <w:szCs w:val="22"/>
          <w:lang w:val="sr-Latn-ME"/>
        </w:rPr>
        <w:t>zbir</w:t>
      </w:r>
      <w:r w:rsidR="00E75727" w:rsidRPr="001202A2">
        <w:rPr>
          <w:rFonts w:eastAsia="TimesNewRoman"/>
          <w:szCs w:val="22"/>
          <w:lang w:val="sr-Latn-ME"/>
        </w:rPr>
        <w:t xml:space="preserve"> ishoda za poređenje grupe </w:t>
      </w:r>
      <w:r w:rsidRPr="001202A2">
        <w:rPr>
          <w:rFonts w:eastAsia="TimesNewRoman"/>
          <w:szCs w:val="22"/>
          <w:lang w:val="sr-Latn-ME"/>
        </w:rPr>
        <w:t>na terapiji</w:t>
      </w:r>
      <w:r w:rsidR="00E75727" w:rsidRPr="001202A2">
        <w:rPr>
          <w:rFonts w:eastAsia="TimesNewRoman"/>
          <w:szCs w:val="22"/>
          <w:lang w:val="sr-Latn-ME"/>
        </w:rPr>
        <w:t xml:space="preserve"> edoksabanom u dozi od 60 mg s</w:t>
      </w:r>
      <w:r w:rsidRPr="001202A2">
        <w:rPr>
          <w:rFonts w:eastAsia="TimesNewRoman"/>
          <w:szCs w:val="22"/>
          <w:lang w:val="sr-Latn-ME"/>
        </w:rPr>
        <w:t>a</w:t>
      </w:r>
      <w:r w:rsidR="00E75727" w:rsidRPr="001202A2">
        <w:rPr>
          <w:rFonts w:eastAsia="TimesNewRoman"/>
          <w:szCs w:val="22"/>
          <w:lang w:val="sr-Latn-ME"/>
        </w:rPr>
        <w:t xml:space="preserve"> </w:t>
      </w:r>
      <w:r w:rsidR="00804182" w:rsidRPr="001202A2">
        <w:rPr>
          <w:rFonts w:eastAsia="TimesNewRoman"/>
          <w:szCs w:val="22"/>
          <w:lang w:val="sr-Latn-ME"/>
        </w:rPr>
        <w:t xml:space="preserve">grupom na </w:t>
      </w:r>
      <w:r w:rsidR="00E75727" w:rsidRPr="001202A2">
        <w:rPr>
          <w:rFonts w:eastAsia="TimesNewRoman"/>
          <w:szCs w:val="22"/>
          <w:lang w:val="sr-Latn-ME"/>
        </w:rPr>
        <w:t>varfarin</w:t>
      </w:r>
      <w:r w:rsidR="00804182" w:rsidRPr="001202A2">
        <w:rPr>
          <w:rFonts w:eastAsia="TimesNewRoman"/>
          <w:szCs w:val="22"/>
          <w:lang w:val="sr-Latn-ME"/>
        </w:rPr>
        <w:t>u</w:t>
      </w:r>
      <w:r w:rsidR="00E75727" w:rsidRPr="001202A2">
        <w:rPr>
          <w:rFonts w:eastAsia="TimesNewRoman"/>
          <w:szCs w:val="22"/>
          <w:lang w:val="sr-Latn-ME"/>
        </w:rPr>
        <w:t>, HR (99% CI) za moždani udar, SED i KV mortalitet je bio 0,87 (0,76; 0,99), za MACE 0,89 (0,78; 1,00), a za moždani udar, SED i mortalitet bilo kog uzroka 0,90 (0,80; 1,01).</w:t>
      </w:r>
    </w:p>
    <w:p w14:paraId="11935413"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1CFECB74" w14:textId="13A6ABEA" w:rsidR="00E75727" w:rsidRPr="001202A2" w:rsidRDefault="00E7572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Mortalitet bilo kog uzroka (pripisane smrti) u ENGAGE AF-TIMI 48 </w:t>
      </w:r>
      <w:r w:rsidR="00804182" w:rsidRPr="001202A2">
        <w:rPr>
          <w:rFonts w:eastAsia="TimesNewRoman"/>
          <w:szCs w:val="22"/>
          <w:lang w:val="sr-Latn-ME"/>
        </w:rPr>
        <w:t xml:space="preserve">studiji je </w:t>
      </w:r>
      <w:r w:rsidRPr="001202A2">
        <w:rPr>
          <w:rFonts w:eastAsia="TimesNewRoman"/>
          <w:szCs w:val="22"/>
          <w:lang w:val="sr-Latn-ME"/>
        </w:rPr>
        <w:t>iznosio 769 (3,99% godi</w:t>
      </w:r>
      <w:r w:rsidR="00804182" w:rsidRPr="001202A2">
        <w:rPr>
          <w:rFonts w:eastAsia="TimesNewRoman"/>
          <w:szCs w:val="22"/>
          <w:lang w:val="sr-Latn-ME"/>
        </w:rPr>
        <w:t>šnje</w:t>
      </w:r>
      <w:r w:rsidRPr="001202A2">
        <w:rPr>
          <w:rFonts w:eastAsia="TimesNewRoman"/>
          <w:szCs w:val="22"/>
          <w:lang w:val="sr-Latn-ME"/>
        </w:rPr>
        <w:t xml:space="preserve">) </w:t>
      </w:r>
      <w:r w:rsidR="00804182" w:rsidRPr="001202A2">
        <w:rPr>
          <w:rFonts w:eastAsia="TimesNewRoman"/>
          <w:szCs w:val="22"/>
          <w:lang w:val="sr-Latn-ME"/>
        </w:rPr>
        <w:t>za</w:t>
      </w:r>
      <w:r w:rsidRPr="001202A2">
        <w:rPr>
          <w:rFonts w:eastAsia="TimesNewRoman"/>
          <w:szCs w:val="22"/>
          <w:lang w:val="sr-Latn-ME"/>
        </w:rPr>
        <w:t xml:space="preserve"> ispitanik</w:t>
      </w:r>
      <w:r w:rsidR="00804182" w:rsidRPr="001202A2">
        <w:rPr>
          <w:rFonts w:eastAsia="TimesNewRoman"/>
          <w:szCs w:val="22"/>
          <w:lang w:val="sr-Latn-ME"/>
        </w:rPr>
        <w:t>e</w:t>
      </w:r>
      <w:r w:rsidRPr="001202A2">
        <w:rPr>
          <w:rFonts w:eastAsia="TimesNewRoman"/>
          <w:szCs w:val="22"/>
          <w:lang w:val="sr-Latn-ME"/>
        </w:rPr>
        <w:t xml:space="preserve"> koji su </w:t>
      </w:r>
      <w:r w:rsidR="009B005A" w:rsidRPr="001202A2">
        <w:rPr>
          <w:rFonts w:eastAsia="TimesNewRoman"/>
          <w:szCs w:val="22"/>
          <w:lang w:val="sr-Latn-ME"/>
        </w:rPr>
        <w:t>koristili</w:t>
      </w:r>
      <w:r w:rsidRPr="001202A2">
        <w:rPr>
          <w:rFonts w:eastAsia="TimesNewRoman"/>
          <w:szCs w:val="22"/>
          <w:lang w:val="sr-Latn-ME"/>
        </w:rPr>
        <w:t xml:space="preserve"> edoksaban u dozi od 60 mg (30 mg</w:t>
      </w:r>
      <w:r w:rsidR="00104636" w:rsidRPr="001202A2">
        <w:rPr>
          <w:rFonts w:eastAsia="TimesNewRoman"/>
          <w:szCs w:val="22"/>
          <w:lang w:val="sr-Latn-ME"/>
        </w:rPr>
        <w:t xml:space="preserve"> smanjena doza</w:t>
      </w:r>
      <w:r w:rsidRPr="001202A2">
        <w:rPr>
          <w:rFonts w:eastAsia="TimesNewRoman"/>
          <w:szCs w:val="22"/>
          <w:lang w:val="sr-Latn-ME"/>
        </w:rPr>
        <w:t xml:space="preserve">) </w:t>
      </w:r>
      <w:r w:rsidR="003C6685" w:rsidRPr="001202A2">
        <w:rPr>
          <w:rFonts w:eastAsia="TimesNewRoman"/>
          <w:szCs w:val="22"/>
          <w:lang w:val="sr-Latn-ME"/>
        </w:rPr>
        <w:t>u odnosu na</w:t>
      </w:r>
      <w:r w:rsidR="00D52C82" w:rsidRPr="001202A2">
        <w:rPr>
          <w:rFonts w:eastAsia="TimesNewRoman"/>
          <w:szCs w:val="22"/>
          <w:lang w:val="sr-Latn-ME"/>
        </w:rPr>
        <w:t xml:space="preserve"> </w:t>
      </w:r>
      <w:r w:rsidRPr="001202A2">
        <w:rPr>
          <w:rFonts w:eastAsia="TimesNewRoman"/>
          <w:szCs w:val="22"/>
          <w:lang w:val="sr-Latn-ME"/>
        </w:rPr>
        <w:t xml:space="preserve">836 (4,35% </w:t>
      </w:r>
      <w:r w:rsidR="003C6685" w:rsidRPr="001202A2">
        <w:rPr>
          <w:rFonts w:eastAsia="TimesNewRoman"/>
          <w:szCs w:val="22"/>
          <w:lang w:val="sr-Latn-ME"/>
        </w:rPr>
        <w:t>godišnje</w:t>
      </w:r>
      <w:r w:rsidRPr="001202A2">
        <w:rPr>
          <w:rFonts w:eastAsia="TimesNewRoman"/>
          <w:szCs w:val="22"/>
          <w:lang w:val="sr-Latn-ME"/>
        </w:rPr>
        <w:t>) za varfarin [HR (95% CI): 0,91 (0,83; 1,01).</w:t>
      </w:r>
    </w:p>
    <w:p w14:paraId="44470717" w14:textId="2B5B5473" w:rsidR="00E75727" w:rsidRPr="001202A2" w:rsidRDefault="00E7572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Mortalitet bilo kog uzroka (pripisane smrti) u podgrupama prema bubrežnoj funkciji (edoksaban</w:t>
      </w:r>
      <w:r w:rsidR="00D52C82" w:rsidRPr="001202A2">
        <w:rPr>
          <w:rFonts w:eastAsia="TimesNewRoman"/>
          <w:szCs w:val="22"/>
          <w:lang w:val="sr-Latn-ME"/>
        </w:rPr>
        <w:t xml:space="preserve"> </w:t>
      </w:r>
      <w:r w:rsidR="003C6685" w:rsidRPr="001202A2">
        <w:rPr>
          <w:rFonts w:eastAsia="TimesNewRoman"/>
          <w:szCs w:val="22"/>
          <w:lang w:val="sr-Latn-ME"/>
        </w:rPr>
        <w:t>u odnosu na</w:t>
      </w:r>
      <w:r w:rsidRPr="001202A2">
        <w:rPr>
          <w:rFonts w:eastAsia="TimesNewRoman"/>
          <w:szCs w:val="22"/>
          <w:lang w:val="sr-Latn-ME"/>
        </w:rPr>
        <w:t xml:space="preserve"> varfarin): CrCl 30 do ≤ 50 </w:t>
      </w:r>
      <w:r w:rsidR="003B1EE8" w:rsidRPr="001202A2">
        <w:rPr>
          <w:rFonts w:eastAsia="TimesNewRoman"/>
          <w:szCs w:val="22"/>
          <w:lang w:val="sr-Latn-ME"/>
        </w:rPr>
        <w:t>m</w:t>
      </w:r>
      <w:r w:rsidR="00456FFB" w:rsidRPr="001202A2">
        <w:rPr>
          <w:rFonts w:eastAsia="TimesNewRoman"/>
          <w:szCs w:val="22"/>
          <w:lang w:val="sr-Latn-ME"/>
        </w:rPr>
        <w:t>l</w:t>
      </w:r>
      <w:r w:rsidRPr="001202A2">
        <w:rPr>
          <w:rFonts w:eastAsia="TimesNewRoman"/>
          <w:szCs w:val="22"/>
          <w:lang w:val="sr-Latn-ME"/>
        </w:rPr>
        <w:t>/min [HR (95% CI): 0,81 (0,68; 0,97)]; CrCl &gt; 50 do &lt;</w:t>
      </w:r>
      <w:r w:rsidR="00D52C82" w:rsidRPr="001202A2">
        <w:rPr>
          <w:rFonts w:eastAsia="TimesNewRoman"/>
          <w:szCs w:val="22"/>
          <w:lang w:val="sr-Latn-ME"/>
        </w:rPr>
        <w:t xml:space="preserve"> </w:t>
      </w:r>
      <w:r w:rsidRPr="001202A2">
        <w:rPr>
          <w:rFonts w:eastAsia="TimesNewRoman"/>
          <w:szCs w:val="22"/>
          <w:lang w:val="sr-Latn-ME"/>
        </w:rPr>
        <w:t xml:space="preserve">80 </w:t>
      </w:r>
      <w:r w:rsidR="003B1EE8" w:rsidRPr="001202A2">
        <w:rPr>
          <w:rFonts w:eastAsia="TimesNewRoman"/>
          <w:szCs w:val="22"/>
          <w:lang w:val="sr-Latn-ME"/>
        </w:rPr>
        <w:t>m</w:t>
      </w:r>
      <w:r w:rsidR="00456FFB" w:rsidRPr="001202A2">
        <w:rPr>
          <w:rFonts w:eastAsia="TimesNewRoman"/>
          <w:szCs w:val="22"/>
          <w:lang w:val="sr-Latn-ME"/>
        </w:rPr>
        <w:t>l</w:t>
      </w:r>
      <w:r w:rsidRPr="001202A2">
        <w:rPr>
          <w:rFonts w:eastAsia="TimesNewRoman"/>
          <w:szCs w:val="22"/>
          <w:lang w:val="sr-Latn-ME"/>
        </w:rPr>
        <w:t xml:space="preserve">/min [HR (95% CI): 0,87 (0,75; 1,02)]; CrCl ≥ 80 </w:t>
      </w:r>
      <w:r w:rsidR="003B1EE8" w:rsidRPr="001202A2">
        <w:rPr>
          <w:rFonts w:eastAsia="TimesNewRoman"/>
          <w:szCs w:val="22"/>
          <w:lang w:val="sr-Latn-ME"/>
        </w:rPr>
        <w:t>m</w:t>
      </w:r>
      <w:r w:rsidR="00456FFB" w:rsidRPr="001202A2">
        <w:rPr>
          <w:rFonts w:eastAsia="TimesNewRoman"/>
          <w:szCs w:val="22"/>
          <w:lang w:val="sr-Latn-ME"/>
        </w:rPr>
        <w:t>l</w:t>
      </w:r>
      <w:r w:rsidRPr="001202A2">
        <w:rPr>
          <w:rFonts w:eastAsia="TimesNewRoman"/>
          <w:szCs w:val="22"/>
          <w:lang w:val="sr-Latn-ME"/>
        </w:rPr>
        <w:t>/min [HR (95% CI): 1,15 (0,95; 1,40)].</w:t>
      </w:r>
    </w:p>
    <w:p w14:paraId="69C38742"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1DB0A7F0" w14:textId="1DA38066" w:rsidR="00E75727" w:rsidRPr="001202A2" w:rsidRDefault="00E7572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u dozi od 60 mg (30 mg</w:t>
      </w:r>
      <w:r w:rsidR="00CE77C1" w:rsidRPr="001202A2">
        <w:rPr>
          <w:rFonts w:eastAsia="TimesNewRoman"/>
          <w:szCs w:val="22"/>
          <w:lang w:val="sr-Latn-ME"/>
        </w:rPr>
        <w:t xml:space="preserve"> smanjena doza</w:t>
      </w:r>
      <w:r w:rsidRPr="001202A2">
        <w:rPr>
          <w:rFonts w:eastAsia="TimesNewRoman"/>
          <w:szCs w:val="22"/>
          <w:lang w:val="sr-Latn-ME"/>
        </w:rPr>
        <w:t>) smanjio je stopu kardiovaskularnog</w:t>
      </w:r>
      <w:r w:rsidR="00D52C82" w:rsidRPr="001202A2">
        <w:rPr>
          <w:rFonts w:eastAsia="TimesNewRoman"/>
          <w:szCs w:val="22"/>
          <w:lang w:val="sr-Latn-ME"/>
        </w:rPr>
        <w:t xml:space="preserve"> </w:t>
      </w:r>
      <w:r w:rsidRPr="001202A2">
        <w:rPr>
          <w:rFonts w:eastAsia="TimesNewRoman"/>
          <w:szCs w:val="22"/>
          <w:lang w:val="sr-Latn-ME"/>
        </w:rPr>
        <w:t>mortaliteta u poređenju sa varfarinom [HR (95% CI): 0,86 (0,77; 0,97)].</w:t>
      </w:r>
    </w:p>
    <w:p w14:paraId="446E688C" w14:textId="5B06B087" w:rsidR="00E75727" w:rsidRPr="001202A2" w:rsidRDefault="00D444EA"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w:t>
      </w:r>
      <w:r w:rsidR="00E75727" w:rsidRPr="001202A2">
        <w:rPr>
          <w:rFonts w:eastAsia="TimesNewRoman"/>
          <w:szCs w:val="22"/>
          <w:lang w:val="sr-Latn-ME"/>
        </w:rPr>
        <w:t>ripisan</w:t>
      </w:r>
      <w:r w:rsidRPr="001202A2">
        <w:rPr>
          <w:rFonts w:eastAsia="TimesNewRoman"/>
          <w:szCs w:val="22"/>
          <w:lang w:val="sr-Latn-ME"/>
        </w:rPr>
        <w:t>a</w:t>
      </w:r>
      <w:r w:rsidR="00E75727" w:rsidRPr="001202A2">
        <w:rPr>
          <w:rFonts w:eastAsia="TimesNewRoman"/>
          <w:szCs w:val="22"/>
          <w:lang w:val="sr-Latn-ME"/>
        </w:rPr>
        <w:t xml:space="preserve"> efikasnost </w:t>
      </w:r>
      <w:r w:rsidRPr="001202A2">
        <w:rPr>
          <w:rFonts w:eastAsia="TimesNewRoman"/>
          <w:szCs w:val="22"/>
          <w:lang w:val="sr-Latn-ME"/>
        </w:rPr>
        <w:t>u smanjenju</w:t>
      </w:r>
      <w:r w:rsidR="00E75727" w:rsidRPr="001202A2">
        <w:rPr>
          <w:rFonts w:eastAsia="TimesNewRoman"/>
          <w:szCs w:val="22"/>
          <w:lang w:val="sr-Latn-ME"/>
        </w:rPr>
        <w:t xml:space="preserve"> kardiovaskularn</w:t>
      </w:r>
      <w:r w:rsidR="00854B89" w:rsidRPr="001202A2">
        <w:rPr>
          <w:rFonts w:eastAsia="TimesNewRoman"/>
          <w:szCs w:val="22"/>
          <w:lang w:val="sr-Latn-ME"/>
        </w:rPr>
        <w:t>o</w:t>
      </w:r>
      <w:r w:rsidRPr="001202A2">
        <w:rPr>
          <w:rFonts w:eastAsia="TimesNewRoman"/>
          <w:szCs w:val="22"/>
          <w:lang w:val="sr-Latn-ME"/>
        </w:rPr>
        <w:t>g</w:t>
      </w:r>
      <w:r w:rsidR="00E75727" w:rsidRPr="001202A2">
        <w:rPr>
          <w:rFonts w:eastAsia="TimesNewRoman"/>
          <w:szCs w:val="22"/>
          <w:lang w:val="sr-Latn-ME"/>
        </w:rPr>
        <w:t xml:space="preserve"> mortalitet</w:t>
      </w:r>
      <w:r w:rsidRPr="001202A2">
        <w:rPr>
          <w:rFonts w:eastAsia="TimesNewRoman"/>
          <w:szCs w:val="22"/>
          <w:lang w:val="sr-Latn-ME"/>
        </w:rPr>
        <w:t>a prema</w:t>
      </w:r>
      <w:r w:rsidR="00E75727" w:rsidRPr="001202A2">
        <w:rPr>
          <w:rFonts w:eastAsia="TimesNewRoman"/>
          <w:szCs w:val="22"/>
          <w:lang w:val="sr-Latn-ME"/>
        </w:rPr>
        <w:t xml:space="preserve"> podgrupama bubrežn</w:t>
      </w:r>
      <w:r w:rsidRPr="001202A2">
        <w:rPr>
          <w:rFonts w:eastAsia="TimesNewRoman"/>
          <w:szCs w:val="22"/>
          <w:lang w:val="sr-Latn-ME"/>
        </w:rPr>
        <w:t>e</w:t>
      </w:r>
      <w:r w:rsidR="00E75727" w:rsidRPr="001202A2">
        <w:rPr>
          <w:rFonts w:eastAsia="TimesNewRoman"/>
          <w:szCs w:val="22"/>
          <w:lang w:val="sr-Latn-ME"/>
        </w:rPr>
        <w:t xml:space="preserve"> funkcij</w:t>
      </w:r>
      <w:r w:rsidRPr="001202A2">
        <w:rPr>
          <w:rFonts w:eastAsia="TimesNewRoman"/>
          <w:szCs w:val="22"/>
          <w:lang w:val="sr-Latn-ME"/>
        </w:rPr>
        <w:t>e</w:t>
      </w:r>
      <w:r w:rsidR="00D52C82" w:rsidRPr="001202A2">
        <w:rPr>
          <w:rFonts w:eastAsia="TimesNewRoman"/>
          <w:szCs w:val="22"/>
          <w:lang w:val="sr-Latn-ME"/>
        </w:rPr>
        <w:t xml:space="preserve"> </w:t>
      </w:r>
      <w:r w:rsidR="00E75727" w:rsidRPr="001202A2">
        <w:rPr>
          <w:rFonts w:eastAsia="TimesNewRoman"/>
          <w:szCs w:val="22"/>
          <w:lang w:val="sr-Latn-ME"/>
        </w:rPr>
        <w:t>(edoksaban naspram varfarin</w:t>
      </w:r>
      <w:r w:rsidRPr="001202A2">
        <w:rPr>
          <w:rFonts w:eastAsia="TimesNewRoman"/>
          <w:szCs w:val="22"/>
          <w:lang w:val="sr-Latn-ME"/>
        </w:rPr>
        <w:t>a</w:t>
      </w:r>
      <w:r w:rsidR="00E75727" w:rsidRPr="001202A2">
        <w:rPr>
          <w:rFonts w:eastAsia="TimesNewRoman"/>
          <w:szCs w:val="22"/>
          <w:lang w:val="sr-Latn-ME"/>
        </w:rPr>
        <w:t xml:space="preserve">): CrCl 30 do ≤ 50 </w:t>
      </w:r>
      <w:r w:rsidR="00003AC6" w:rsidRPr="001202A2">
        <w:rPr>
          <w:rFonts w:eastAsia="TimesNewRoman"/>
          <w:szCs w:val="22"/>
          <w:lang w:val="sr-Latn-ME"/>
        </w:rPr>
        <w:t>m</w:t>
      </w:r>
      <w:r w:rsidR="00456FFB" w:rsidRPr="001202A2">
        <w:rPr>
          <w:rFonts w:eastAsia="TimesNewRoman"/>
          <w:szCs w:val="22"/>
          <w:lang w:val="sr-Latn-ME"/>
        </w:rPr>
        <w:t>l</w:t>
      </w:r>
      <w:r w:rsidR="00E75727" w:rsidRPr="001202A2">
        <w:rPr>
          <w:rFonts w:eastAsia="TimesNewRoman"/>
          <w:szCs w:val="22"/>
          <w:lang w:val="sr-Latn-ME"/>
        </w:rPr>
        <w:t xml:space="preserve">/min [HR (95% CI): 0,80 (0,65; 0,99)]; CrCl &gt; 50 do &lt; 80 </w:t>
      </w:r>
      <w:r w:rsidR="00003AC6" w:rsidRPr="001202A2">
        <w:rPr>
          <w:rFonts w:eastAsia="TimesNewRoman"/>
          <w:szCs w:val="22"/>
          <w:lang w:val="sr-Latn-ME"/>
        </w:rPr>
        <w:t>m</w:t>
      </w:r>
      <w:r w:rsidR="00456FFB" w:rsidRPr="001202A2">
        <w:rPr>
          <w:rFonts w:eastAsia="TimesNewRoman"/>
          <w:szCs w:val="22"/>
          <w:lang w:val="sr-Latn-ME"/>
        </w:rPr>
        <w:t>l</w:t>
      </w:r>
      <w:r w:rsidR="00E75727" w:rsidRPr="001202A2">
        <w:rPr>
          <w:rFonts w:eastAsia="TimesNewRoman"/>
          <w:szCs w:val="22"/>
          <w:lang w:val="sr-Latn-ME"/>
        </w:rPr>
        <w:t xml:space="preserve">/min [HR (95% CI): 0,75 (0,62; 0,90)]; CrCl ≥ 80 </w:t>
      </w:r>
      <w:r w:rsidR="00003AC6" w:rsidRPr="001202A2">
        <w:rPr>
          <w:rFonts w:eastAsia="TimesNewRoman"/>
          <w:szCs w:val="22"/>
          <w:lang w:val="sr-Latn-ME"/>
        </w:rPr>
        <w:t>m</w:t>
      </w:r>
      <w:r w:rsidR="00456FFB" w:rsidRPr="001202A2">
        <w:rPr>
          <w:rFonts w:eastAsia="TimesNewRoman"/>
          <w:szCs w:val="22"/>
          <w:lang w:val="sr-Latn-ME"/>
        </w:rPr>
        <w:t>l</w:t>
      </w:r>
      <w:r w:rsidR="00E75727" w:rsidRPr="001202A2">
        <w:rPr>
          <w:rFonts w:eastAsia="TimesNewRoman"/>
          <w:szCs w:val="22"/>
          <w:lang w:val="sr-Latn-ME"/>
        </w:rPr>
        <w:t>/min [HR (95% CI): 1,16 (0,92;</w:t>
      </w:r>
      <w:r w:rsidR="00D52C82" w:rsidRPr="001202A2">
        <w:rPr>
          <w:rFonts w:eastAsia="TimesNewRoman"/>
          <w:szCs w:val="22"/>
          <w:lang w:val="sr-Latn-ME"/>
        </w:rPr>
        <w:t xml:space="preserve"> </w:t>
      </w:r>
      <w:r w:rsidR="00E75727" w:rsidRPr="001202A2">
        <w:rPr>
          <w:rFonts w:eastAsia="TimesNewRoman"/>
          <w:szCs w:val="22"/>
          <w:lang w:val="sr-Latn-ME"/>
        </w:rPr>
        <w:t>1,46)].</w:t>
      </w:r>
    </w:p>
    <w:p w14:paraId="1A9AAB2A"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5AADA0BE" w14:textId="49985D72" w:rsidR="00E75727" w:rsidRPr="001202A2" w:rsidRDefault="00E7572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Primarni parametar </w:t>
      </w:r>
      <w:r w:rsidR="00516097" w:rsidRPr="001202A2">
        <w:rPr>
          <w:rFonts w:eastAsia="TimesNewRoman"/>
          <w:szCs w:val="22"/>
          <w:lang w:val="sr-Latn-ME"/>
        </w:rPr>
        <w:t>bezb</w:t>
      </w:r>
      <w:r w:rsidR="005D5955" w:rsidRPr="001202A2">
        <w:rPr>
          <w:rFonts w:eastAsia="TimesNewRoman"/>
          <w:szCs w:val="22"/>
          <w:lang w:val="sr-Latn-ME"/>
        </w:rPr>
        <w:t>j</w:t>
      </w:r>
      <w:r w:rsidR="00516097" w:rsidRPr="001202A2">
        <w:rPr>
          <w:rFonts w:eastAsia="TimesNewRoman"/>
          <w:szCs w:val="22"/>
          <w:lang w:val="sr-Latn-ME"/>
        </w:rPr>
        <w:t>ednosti</w:t>
      </w:r>
      <w:r w:rsidRPr="001202A2">
        <w:rPr>
          <w:rFonts w:eastAsia="TimesNewRoman"/>
          <w:szCs w:val="22"/>
          <w:lang w:val="sr-Latn-ME"/>
        </w:rPr>
        <w:t xml:space="preserve"> bilo je </w:t>
      </w:r>
      <w:r w:rsidR="001123CD" w:rsidRPr="001202A2">
        <w:rPr>
          <w:rFonts w:eastAsia="TimesNewRoman"/>
          <w:szCs w:val="22"/>
          <w:lang w:val="sr-Latn-ME"/>
        </w:rPr>
        <w:t>ozbiljno</w:t>
      </w:r>
      <w:r w:rsidRPr="001202A2">
        <w:rPr>
          <w:rFonts w:eastAsia="TimesNewRoman"/>
          <w:szCs w:val="22"/>
          <w:lang w:val="sr-Latn-ME"/>
        </w:rPr>
        <w:t xml:space="preserve"> krvarenje.</w:t>
      </w:r>
    </w:p>
    <w:p w14:paraId="7545B720"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77A08D15" w14:textId="20BF41A8" w:rsidR="007B6CB2" w:rsidRPr="001202A2" w:rsidRDefault="00E7572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grupi </w:t>
      </w:r>
      <w:r w:rsidR="00516097" w:rsidRPr="001202A2">
        <w:rPr>
          <w:rFonts w:eastAsia="TimesNewRoman"/>
          <w:szCs w:val="22"/>
          <w:lang w:val="sr-Latn-ME"/>
        </w:rPr>
        <w:t>na terapiji</w:t>
      </w:r>
      <w:r w:rsidRPr="001202A2">
        <w:rPr>
          <w:rFonts w:eastAsia="TimesNewRoman"/>
          <w:szCs w:val="22"/>
          <w:lang w:val="sr-Latn-ME"/>
        </w:rPr>
        <w:t xml:space="preserve"> edoksabanom u dozi od 60 mg u </w:t>
      </w:r>
      <w:r w:rsidR="00516097" w:rsidRPr="001202A2">
        <w:rPr>
          <w:rFonts w:eastAsia="TimesNewRoman"/>
          <w:szCs w:val="22"/>
          <w:lang w:val="sr-Latn-ME"/>
        </w:rPr>
        <w:t>odnosu</w:t>
      </w:r>
      <w:r w:rsidRPr="001202A2">
        <w:rPr>
          <w:rFonts w:eastAsia="TimesNewRoman"/>
          <w:szCs w:val="22"/>
          <w:lang w:val="sr-Latn-ME"/>
        </w:rPr>
        <w:t xml:space="preserve"> </w:t>
      </w:r>
      <w:r w:rsidR="00516097" w:rsidRPr="001202A2">
        <w:rPr>
          <w:rFonts w:eastAsia="TimesNewRoman"/>
          <w:szCs w:val="22"/>
          <w:lang w:val="sr-Latn-ME"/>
        </w:rPr>
        <w:t>n</w:t>
      </w:r>
      <w:r w:rsidRPr="001202A2">
        <w:rPr>
          <w:rFonts w:eastAsia="TimesNewRoman"/>
          <w:szCs w:val="22"/>
          <w:lang w:val="sr-Latn-ME"/>
        </w:rPr>
        <w:t>a grup</w:t>
      </w:r>
      <w:r w:rsidR="00516097" w:rsidRPr="001202A2">
        <w:rPr>
          <w:rFonts w:eastAsia="TimesNewRoman"/>
          <w:szCs w:val="22"/>
          <w:lang w:val="sr-Latn-ME"/>
        </w:rPr>
        <w:t>u</w:t>
      </w:r>
      <w:r w:rsidRPr="001202A2">
        <w:rPr>
          <w:rFonts w:eastAsia="TimesNewRoman"/>
          <w:szCs w:val="22"/>
          <w:lang w:val="sr-Latn-ME"/>
        </w:rPr>
        <w:t xml:space="preserve"> l</w:t>
      </w:r>
      <w:r w:rsidR="005D5955" w:rsidRPr="001202A2">
        <w:rPr>
          <w:rFonts w:eastAsia="TimesNewRoman"/>
          <w:szCs w:val="22"/>
          <w:lang w:val="sr-Latn-ME"/>
        </w:rPr>
        <w:t>ij</w:t>
      </w:r>
      <w:r w:rsidRPr="001202A2">
        <w:rPr>
          <w:rFonts w:eastAsia="TimesNewRoman"/>
          <w:szCs w:val="22"/>
          <w:lang w:val="sr-Latn-ME"/>
        </w:rPr>
        <w:t xml:space="preserve">ečenom varfarinom </w:t>
      </w:r>
      <w:r w:rsidR="00516097" w:rsidRPr="001202A2">
        <w:rPr>
          <w:rFonts w:eastAsia="TimesNewRoman"/>
          <w:szCs w:val="22"/>
          <w:lang w:val="sr-Latn-ME"/>
        </w:rPr>
        <w:t>zab</w:t>
      </w:r>
      <w:r w:rsidR="005D5955" w:rsidRPr="001202A2">
        <w:rPr>
          <w:rFonts w:eastAsia="TimesNewRoman"/>
          <w:szCs w:val="22"/>
          <w:lang w:val="sr-Latn-ME"/>
        </w:rPr>
        <w:t>i</w:t>
      </w:r>
      <w:r w:rsidR="00516097" w:rsidRPr="001202A2">
        <w:rPr>
          <w:rFonts w:eastAsia="TimesNewRoman"/>
          <w:szCs w:val="22"/>
          <w:lang w:val="sr-Latn-ME"/>
        </w:rPr>
        <w:t>l</w:t>
      </w:r>
      <w:r w:rsidR="005D5955" w:rsidRPr="001202A2">
        <w:rPr>
          <w:rFonts w:eastAsia="TimesNewRoman"/>
          <w:szCs w:val="22"/>
          <w:lang w:val="sr-Latn-ME"/>
        </w:rPr>
        <w:t>j</w:t>
      </w:r>
      <w:r w:rsidR="00516097" w:rsidRPr="001202A2">
        <w:rPr>
          <w:rFonts w:eastAsia="TimesNewRoman"/>
          <w:szCs w:val="22"/>
          <w:lang w:val="sr-Latn-ME"/>
        </w:rPr>
        <w:t>eženo</w:t>
      </w:r>
      <w:r w:rsidRPr="001202A2">
        <w:rPr>
          <w:rFonts w:eastAsia="TimesNewRoman"/>
          <w:szCs w:val="22"/>
          <w:lang w:val="sr-Latn-ME"/>
        </w:rPr>
        <w:t xml:space="preserve"> je</w:t>
      </w:r>
      <w:r w:rsidR="00D52C82" w:rsidRPr="001202A2">
        <w:rPr>
          <w:rFonts w:eastAsia="TimesNewRoman"/>
          <w:szCs w:val="22"/>
          <w:lang w:val="sr-Latn-ME"/>
        </w:rPr>
        <w:t xml:space="preserve"> </w:t>
      </w:r>
      <w:r w:rsidRPr="001202A2">
        <w:rPr>
          <w:rFonts w:eastAsia="TimesNewRoman"/>
          <w:szCs w:val="22"/>
          <w:lang w:val="sr-Latn-ME"/>
        </w:rPr>
        <w:t xml:space="preserve">značajno smanjenje rizika od </w:t>
      </w:r>
      <w:r w:rsidR="001123CD" w:rsidRPr="001202A2">
        <w:rPr>
          <w:rFonts w:eastAsia="TimesNewRoman"/>
          <w:szCs w:val="22"/>
          <w:lang w:val="sr-Latn-ME"/>
        </w:rPr>
        <w:t>ozbiljnog</w:t>
      </w:r>
      <w:r w:rsidRPr="001202A2">
        <w:rPr>
          <w:rFonts w:eastAsia="TimesNewRoman"/>
          <w:szCs w:val="22"/>
          <w:lang w:val="sr-Latn-ME"/>
        </w:rPr>
        <w:t xml:space="preserve"> krvarenja (2,75%</w:t>
      </w:r>
      <w:r w:rsidR="00516097" w:rsidRPr="001202A2">
        <w:rPr>
          <w:rFonts w:eastAsia="TimesNewRoman"/>
          <w:szCs w:val="22"/>
          <w:lang w:val="sr-Latn-ME"/>
        </w:rPr>
        <w:t>,</w:t>
      </w:r>
      <w:r w:rsidRPr="001202A2">
        <w:rPr>
          <w:rFonts w:eastAsia="TimesNewRoman"/>
          <w:szCs w:val="22"/>
          <w:lang w:val="sr-Latn-ME"/>
        </w:rPr>
        <w:t xml:space="preserve"> odnosno 3,43% godišnje) [HR (95% CI): 0,80</w:t>
      </w:r>
      <w:r w:rsidR="00D52C82" w:rsidRPr="001202A2">
        <w:rPr>
          <w:rFonts w:eastAsia="TimesNewRoman"/>
          <w:szCs w:val="22"/>
          <w:lang w:val="sr-Latn-ME"/>
        </w:rPr>
        <w:t xml:space="preserve"> </w:t>
      </w:r>
      <w:r w:rsidRPr="001202A2">
        <w:rPr>
          <w:rFonts w:eastAsia="TimesNewRoman"/>
          <w:szCs w:val="22"/>
          <w:lang w:val="sr-Latn-ME"/>
        </w:rPr>
        <w:t>(0,71; 0,91); p = 0,0009], intrakranijalno</w:t>
      </w:r>
      <w:r w:rsidR="00516097" w:rsidRPr="001202A2">
        <w:rPr>
          <w:rFonts w:eastAsia="TimesNewRoman"/>
          <w:szCs w:val="22"/>
          <w:lang w:val="sr-Latn-ME"/>
        </w:rPr>
        <w:t>g</w:t>
      </w:r>
      <w:r w:rsidRPr="001202A2">
        <w:rPr>
          <w:rFonts w:eastAsia="TimesNewRoman"/>
          <w:szCs w:val="22"/>
          <w:lang w:val="sr-Latn-ME"/>
        </w:rPr>
        <w:t xml:space="preserve"> krvarenj</w:t>
      </w:r>
      <w:r w:rsidR="00516097" w:rsidRPr="001202A2">
        <w:rPr>
          <w:rFonts w:eastAsia="TimesNewRoman"/>
          <w:szCs w:val="22"/>
          <w:lang w:val="sr-Latn-ME"/>
        </w:rPr>
        <w:t>a</w:t>
      </w:r>
      <w:r w:rsidRPr="001202A2">
        <w:rPr>
          <w:rFonts w:eastAsia="TimesNewRoman"/>
          <w:szCs w:val="22"/>
          <w:lang w:val="sr-Latn-ME"/>
        </w:rPr>
        <w:t xml:space="preserve"> (0,39%</w:t>
      </w:r>
      <w:r w:rsidR="00FE6374" w:rsidRPr="001202A2">
        <w:rPr>
          <w:rFonts w:eastAsia="TimesNewRoman"/>
          <w:szCs w:val="22"/>
          <w:lang w:val="sr-Latn-ME"/>
        </w:rPr>
        <w:t>,</w:t>
      </w:r>
      <w:r w:rsidRPr="001202A2">
        <w:rPr>
          <w:rFonts w:eastAsia="TimesNewRoman"/>
          <w:szCs w:val="22"/>
          <w:lang w:val="sr-Latn-ME"/>
        </w:rPr>
        <w:t xml:space="preserve"> odnosno 0,85% godišnje) [HR (95% CI): 0,47</w:t>
      </w:r>
      <w:r w:rsidR="00D52C82" w:rsidRPr="001202A2">
        <w:rPr>
          <w:rFonts w:eastAsia="TimesNewRoman"/>
          <w:szCs w:val="22"/>
          <w:lang w:val="sr-Latn-ME"/>
        </w:rPr>
        <w:t xml:space="preserve"> </w:t>
      </w:r>
      <w:r w:rsidRPr="001202A2">
        <w:rPr>
          <w:rFonts w:eastAsia="TimesNewRoman"/>
          <w:szCs w:val="22"/>
          <w:lang w:val="sr-Latn-ME"/>
        </w:rPr>
        <w:t xml:space="preserve">(0,34; 0,63); p &lt; 0,0001] i </w:t>
      </w:r>
      <w:r w:rsidR="00516097" w:rsidRPr="001202A2">
        <w:rPr>
          <w:rFonts w:eastAsia="TimesNewRoman"/>
          <w:szCs w:val="22"/>
          <w:lang w:val="sr-Latn-ME"/>
        </w:rPr>
        <w:t>drugog</w:t>
      </w:r>
      <w:r w:rsidRPr="001202A2">
        <w:rPr>
          <w:rFonts w:eastAsia="TimesNewRoman"/>
          <w:szCs w:val="22"/>
          <w:lang w:val="sr-Latn-ME"/>
        </w:rPr>
        <w:t xml:space="preserve"> krvarenja (tabela 6).</w:t>
      </w:r>
    </w:p>
    <w:p w14:paraId="644696D5" w14:textId="77777777" w:rsidR="008366CD" w:rsidRPr="001202A2" w:rsidRDefault="008366CD" w:rsidP="00480B31">
      <w:pPr>
        <w:tabs>
          <w:tab w:val="clear" w:pos="284"/>
        </w:tabs>
        <w:autoSpaceDE w:val="0"/>
        <w:autoSpaceDN w:val="0"/>
        <w:adjustRightInd w:val="0"/>
        <w:rPr>
          <w:rFonts w:eastAsia="TimesNewRoman"/>
          <w:szCs w:val="22"/>
          <w:lang w:val="sr-Latn-ME"/>
        </w:rPr>
      </w:pPr>
    </w:p>
    <w:p w14:paraId="55A36602" w14:textId="08DD79BF" w:rsidR="00516097" w:rsidRPr="001202A2" w:rsidRDefault="007D0B13"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Krvarenje sa smrtnim ishodom takođe je bilo značajno smanjeno u grupi l</w:t>
      </w:r>
      <w:r w:rsidR="005D5955" w:rsidRPr="001202A2">
        <w:rPr>
          <w:rFonts w:eastAsia="TimesNewRoman"/>
          <w:szCs w:val="22"/>
          <w:lang w:val="sr-Latn-ME"/>
        </w:rPr>
        <w:t>ij</w:t>
      </w:r>
      <w:r w:rsidRPr="001202A2">
        <w:rPr>
          <w:rFonts w:eastAsia="TimesNewRoman"/>
          <w:szCs w:val="22"/>
          <w:lang w:val="sr-Latn-ME"/>
        </w:rPr>
        <w:t xml:space="preserve">ečenoj edoksabanom u dozi od 60 mg u poređenju sa grupom </w:t>
      </w:r>
      <w:r w:rsidR="00283E81" w:rsidRPr="001202A2">
        <w:rPr>
          <w:rFonts w:eastAsia="TimesNewRoman"/>
          <w:szCs w:val="22"/>
          <w:lang w:val="sr-Latn-ME"/>
        </w:rPr>
        <w:t>na terapiji</w:t>
      </w:r>
      <w:r w:rsidRPr="001202A2">
        <w:rPr>
          <w:rFonts w:eastAsia="TimesNewRoman"/>
          <w:szCs w:val="22"/>
          <w:lang w:val="sr-Latn-ME"/>
        </w:rPr>
        <w:t xml:space="preserve"> varfarinom (0,21%</w:t>
      </w:r>
      <w:r w:rsidR="00961684" w:rsidRPr="001202A2">
        <w:rPr>
          <w:rFonts w:eastAsia="TimesNewRoman"/>
          <w:szCs w:val="22"/>
          <w:lang w:val="sr-Latn-ME"/>
        </w:rPr>
        <w:t>,</w:t>
      </w:r>
      <w:r w:rsidRPr="001202A2">
        <w:rPr>
          <w:rFonts w:eastAsia="TimesNewRoman"/>
          <w:szCs w:val="22"/>
          <w:lang w:val="sr-Latn-ME"/>
        </w:rPr>
        <w:t xml:space="preserve"> odnosno 0,38%) [HR (95% CI): 0,55 (0,36; 0,84); p = 0,0059 za superiornost], prvenstveno zbog smanjenja intrakranijalnih krvarenja sa smrtnim ishodom [HR (95% CI): 0,58 (0,35, 0,95); p = 0,0312].</w:t>
      </w:r>
    </w:p>
    <w:p w14:paraId="33945068" w14:textId="3D450E9B" w:rsidR="00586C81" w:rsidRDefault="00586C81" w:rsidP="00480B31">
      <w:pPr>
        <w:tabs>
          <w:tab w:val="clear" w:pos="284"/>
        </w:tabs>
        <w:autoSpaceDE w:val="0"/>
        <w:autoSpaceDN w:val="0"/>
        <w:adjustRightInd w:val="0"/>
        <w:rPr>
          <w:rFonts w:eastAsia="TimesNewRoman"/>
          <w:szCs w:val="22"/>
          <w:lang w:val="sr-Latn-ME"/>
        </w:rPr>
      </w:pPr>
    </w:p>
    <w:p w14:paraId="1D4E2FD8" w14:textId="35F38985" w:rsidR="001202A2" w:rsidRDefault="001202A2" w:rsidP="00480B31">
      <w:pPr>
        <w:tabs>
          <w:tab w:val="clear" w:pos="284"/>
        </w:tabs>
        <w:autoSpaceDE w:val="0"/>
        <w:autoSpaceDN w:val="0"/>
        <w:adjustRightInd w:val="0"/>
        <w:rPr>
          <w:rFonts w:eastAsia="TimesNewRoman"/>
          <w:szCs w:val="22"/>
          <w:lang w:val="sr-Latn-ME"/>
        </w:rPr>
      </w:pPr>
    </w:p>
    <w:p w14:paraId="5AEF9266" w14:textId="77777777" w:rsidR="001202A2" w:rsidRPr="001202A2" w:rsidRDefault="001202A2" w:rsidP="00480B31">
      <w:pPr>
        <w:tabs>
          <w:tab w:val="clear" w:pos="284"/>
        </w:tabs>
        <w:autoSpaceDE w:val="0"/>
        <w:autoSpaceDN w:val="0"/>
        <w:adjustRightInd w:val="0"/>
        <w:rPr>
          <w:rFonts w:eastAsia="TimesNewRoman"/>
          <w:szCs w:val="22"/>
          <w:lang w:val="sr-Latn-ME"/>
        </w:rPr>
      </w:pPr>
    </w:p>
    <w:p w14:paraId="02D3353A" w14:textId="53BF7851" w:rsidR="00283E81" w:rsidRPr="001202A2" w:rsidRDefault="00283E81" w:rsidP="00880F49">
      <w:pPr>
        <w:tabs>
          <w:tab w:val="clear" w:pos="284"/>
        </w:tabs>
        <w:autoSpaceDE w:val="0"/>
        <w:autoSpaceDN w:val="0"/>
        <w:adjustRightInd w:val="0"/>
        <w:jc w:val="left"/>
        <w:rPr>
          <w:b/>
          <w:bCs/>
          <w:szCs w:val="22"/>
          <w:lang w:val="sr-Latn-ME"/>
        </w:rPr>
      </w:pPr>
      <w:r w:rsidRPr="001202A2">
        <w:rPr>
          <w:b/>
          <w:bCs/>
          <w:szCs w:val="22"/>
          <w:lang w:val="sr-Latn-ME"/>
        </w:rPr>
        <w:lastRenderedPageBreak/>
        <w:t>Tabela 6: Događaji krvarenja u ENGAGE AF-TIMI 48 studiji – analiza bezb</w:t>
      </w:r>
      <w:r w:rsidR="005D5955" w:rsidRPr="001202A2">
        <w:rPr>
          <w:b/>
          <w:bCs/>
          <w:szCs w:val="22"/>
          <w:lang w:val="sr-Latn-ME"/>
        </w:rPr>
        <w:t>j</w:t>
      </w:r>
      <w:r w:rsidRPr="001202A2">
        <w:rPr>
          <w:b/>
          <w:bCs/>
          <w:szCs w:val="22"/>
          <w:lang w:val="sr-Latn-ME"/>
        </w:rPr>
        <w:t>ednosti tokom terapije</w:t>
      </w:r>
    </w:p>
    <w:p w14:paraId="73779E54" w14:textId="77777777" w:rsidR="00743938" w:rsidRPr="001202A2" w:rsidRDefault="00743938" w:rsidP="00880F49">
      <w:pPr>
        <w:tabs>
          <w:tab w:val="clear" w:pos="284"/>
        </w:tabs>
        <w:autoSpaceDE w:val="0"/>
        <w:autoSpaceDN w:val="0"/>
        <w:adjustRightInd w:val="0"/>
        <w:jc w:val="left"/>
        <w:rPr>
          <w:b/>
          <w:bCs/>
          <w:szCs w:val="22"/>
          <w:lang w:val="sr-Latn-ME"/>
        </w:rPr>
      </w:pPr>
    </w:p>
    <w:tbl>
      <w:tblPr>
        <w:tblStyle w:val="TableGrid"/>
        <w:tblW w:w="0" w:type="auto"/>
        <w:tblLook w:val="04A0" w:firstRow="1" w:lastRow="0" w:firstColumn="1" w:lastColumn="0" w:noHBand="0" w:noVBand="1"/>
      </w:tblPr>
      <w:tblGrid>
        <w:gridCol w:w="3206"/>
        <w:gridCol w:w="3216"/>
        <w:gridCol w:w="3207"/>
      </w:tblGrid>
      <w:tr w:rsidR="00283E81" w:rsidRPr="001202A2" w14:paraId="5180A68B" w14:textId="77777777" w:rsidTr="001202A2">
        <w:tc>
          <w:tcPr>
            <w:tcW w:w="3285" w:type="dxa"/>
            <w:shd w:val="clear" w:color="auto" w:fill="BFBFBF" w:themeFill="background1" w:themeFillShade="BF"/>
            <w:vAlign w:val="center"/>
          </w:tcPr>
          <w:p w14:paraId="5B045BCC" w14:textId="77777777" w:rsidR="00283E81" w:rsidRPr="001202A2" w:rsidRDefault="00283E81" w:rsidP="00880F49">
            <w:pPr>
              <w:tabs>
                <w:tab w:val="clear" w:pos="284"/>
              </w:tabs>
              <w:autoSpaceDE w:val="0"/>
              <w:autoSpaceDN w:val="0"/>
              <w:adjustRightInd w:val="0"/>
              <w:jc w:val="center"/>
              <w:rPr>
                <w:b/>
                <w:bCs/>
                <w:iCs/>
                <w:szCs w:val="22"/>
                <w:lang w:val="sr-Latn-ME"/>
              </w:rPr>
            </w:pPr>
          </w:p>
        </w:tc>
        <w:tc>
          <w:tcPr>
            <w:tcW w:w="3285" w:type="dxa"/>
            <w:shd w:val="clear" w:color="auto" w:fill="BFBFBF" w:themeFill="background1" w:themeFillShade="BF"/>
            <w:vAlign w:val="center"/>
          </w:tcPr>
          <w:p w14:paraId="635D0D8A" w14:textId="77777777" w:rsidR="00283E81" w:rsidRPr="001202A2" w:rsidRDefault="00283E81" w:rsidP="00880F49">
            <w:pPr>
              <w:tabs>
                <w:tab w:val="clear" w:pos="284"/>
              </w:tabs>
              <w:autoSpaceDE w:val="0"/>
              <w:autoSpaceDN w:val="0"/>
              <w:adjustRightInd w:val="0"/>
              <w:jc w:val="center"/>
              <w:rPr>
                <w:b/>
                <w:bCs/>
                <w:iCs/>
                <w:szCs w:val="22"/>
                <w:lang w:val="sr-Latn-ME"/>
              </w:rPr>
            </w:pPr>
            <w:r w:rsidRPr="001202A2">
              <w:rPr>
                <w:b/>
                <w:bCs/>
                <w:iCs/>
                <w:szCs w:val="22"/>
                <w:lang w:val="sr-Latn-ME"/>
              </w:rPr>
              <w:t>Edoksaban 60 mg</w:t>
            </w:r>
          </w:p>
          <w:p w14:paraId="26B90C76" w14:textId="77777777" w:rsidR="00283E81" w:rsidRPr="001202A2" w:rsidRDefault="00283E81" w:rsidP="00880F49">
            <w:pPr>
              <w:tabs>
                <w:tab w:val="clear" w:pos="284"/>
              </w:tabs>
              <w:autoSpaceDE w:val="0"/>
              <w:autoSpaceDN w:val="0"/>
              <w:adjustRightInd w:val="0"/>
              <w:jc w:val="center"/>
              <w:rPr>
                <w:b/>
                <w:bCs/>
                <w:iCs/>
                <w:szCs w:val="22"/>
                <w:lang w:val="sr-Latn-ME"/>
              </w:rPr>
            </w:pPr>
            <w:r w:rsidRPr="001202A2">
              <w:rPr>
                <w:b/>
                <w:bCs/>
                <w:iCs/>
                <w:szCs w:val="22"/>
                <w:lang w:val="sr-Latn-ME"/>
              </w:rPr>
              <w:t>(30 mg redukovana doza)</w:t>
            </w:r>
          </w:p>
          <w:p w14:paraId="51427F25" w14:textId="241FDF17" w:rsidR="00283E81" w:rsidRPr="001202A2" w:rsidRDefault="00283E81" w:rsidP="00880F49">
            <w:pPr>
              <w:tabs>
                <w:tab w:val="clear" w:pos="284"/>
              </w:tabs>
              <w:autoSpaceDE w:val="0"/>
              <w:autoSpaceDN w:val="0"/>
              <w:adjustRightInd w:val="0"/>
              <w:jc w:val="center"/>
              <w:rPr>
                <w:b/>
                <w:bCs/>
                <w:iCs/>
                <w:szCs w:val="22"/>
                <w:lang w:val="sr-Latn-ME"/>
              </w:rPr>
            </w:pPr>
            <w:r w:rsidRPr="001202A2">
              <w:rPr>
                <w:b/>
                <w:bCs/>
                <w:iCs/>
                <w:szCs w:val="22"/>
                <w:lang w:val="sr-Latn-ME"/>
              </w:rPr>
              <w:t>(N=7012)</w:t>
            </w:r>
          </w:p>
        </w:tc>
        <w:tc>
          <w:tcPr>
            <w:tcW w:w="3285" w:type="dxa"/>
            <w:shd w:val="clear" w:color="auto" w:fill="BFBFBF" w:themeFill="background1" w:themeFillShade="BF"/>
            <w:vAlign w:val="center"/>
          </w:tcPr>
          <w:p w14:paraId="78D908FB" w14:textId="77777777" w:rsidR="00283E81" w:rsidRPr="001202A2" w:rsidRDefault="00283E81" w:rsidP="00880F49">
            <w:pPr>
              <w:tabs>
                <w:tab w:val="clear" w:pos="284"/>
              </w:tabs>
              <w:autoSpaceDE w:val="0"/>
              <w:autoSpaceDN w:val="0"/>
              <w:adjustRightInd w:val="0"/>
              <w:jc w:val="center"/>
              <w:rPr>
                <w:b/>
                <w:bCs/>
                <w:iCs/>
                <w:szCs w:val="22"/>
                <w:lang w:val="sr-Latn-ME"/>
              </w:rPr>
            </w:pPr>
            <w:r w:rsidRPr="001202A2">
              <w:rPr>
                <w:b/>
                <w:bCs/>
                <w:iCs/>
                <w:szCs w:val="22"/>
                <w:lang w:val="sr-Latn-ME"/>
              </w:rPr>
              <w:t>Varfarin</w:t>
            </w:r>
          </w:p>
          <w:p w14:paraId="7F1486B4" w14:textId="34D3BBC5" w:rsidR="00283E81" w:rsidRPr="001202A2" w:rsidRDefault="00283E81" w:rsidP="00880F49">
            <w:pPr>
              <w:tabs>
                <w:tab w:val="clear" w:pos="284"/>
              </w:tabs>
              <w:autoSpaceDE w:val="0"/>
              <w:autoSpaceDN w:val="0"/>
              <w:adjustRightInd w:val="0"/>
              <w:jc w:val="center"/>
              <w:rPr>
                <w:b/>
                <w:bCs/>
                <w:iCs/>
                <w:szCs w:val="22"/>
                <w:lang w:val="sr-Latn-ME"/>
              </w:rPr>
            </w:pPr>
            <w:r w:rsidRPr="001202A2">
              <w:rPr>
                <w:b/>
                <w:bCs/>
                <w:iCs/>
                <w:szCs w:val="22"/>
                <w:lang w:val="sr-Latn-ME"/>
              </w:rPr>
              <w:t>(N=7012)</w:t>
            </w:r>
          </w:p>
        </w:tc>
      </w:tr>
      <w:tr w:rsidR="00283E81" w:rsidRPr="001202A2" w14:paraId="134BD2D5" w14:textId="77777777" w:rsidTr="001202A2">
        <w:tc>
          <w:tcPr>
            <w:tcW w:w="9855" w:type="dxa"/>
            <w:gridSpan w:val="3"/>
            <w:shd w:val="clear" w:color="auto" w:fill="BFBFBF" w:themeFill="background1" w:themeFillShade="BF"/>
            <w:vAlign w:val="center"/>
          </w:tcPr>
          <w:p w14:paraId="7301489E" w14:textId="787188AD" w:rsidR="00283E81" w:rsidRPr="001202A2" w:rsidRDefault="00FD681D" w:rsidP="00880F49">
            <w:pPr>
              <w:tabs>
                <w:tab w:val="clear" w:pos="284"/>
              </w:tabs>
              <w:autoSpaceDE w:val="0"/>
              <w:autoSpaceDN w:val="0"/>
              <w:adjustRightInd w:val="0"/>
              <w:jc w:val="left"/>
              <w:rPr>
                <w:b/>
                <w:bCs/>
                <w:iCs/>
                <w:szCs w:val="22"/>
                <w:lang w:val="sr-Latn-ME"/>
              </w:rPr>
            </w:pPr>
            <w:r w:rsidRPr="001202A2">
              <w:rPr>
                <w:b/>
                <w:bCs/>
                <w:iCs/>
                <w:szCs w:val="22"/>
                <w:lang w:val="sr-Latn-ME"/>
              </w:rPr>
              <w:t>Ozbiljno</w:t>
            </w:r>
            <w:r w:rsidR="00283E81" w:rsidRPr="001202A2">
              <w:rPr>
                <w:b/>
                <w:bCs/>
                <w:iCs/>
                <w:szCs w:val="22"/>
                <w:lang w:val="sr-Latn-ME"/>
              </w:rPr>
              <w:t xml:space="preserve"> krvarenje</w:t>
            </w:r>
          </w:p>
        </w:tc>
      </w:tr>
      <w:tr w:rsidR="00283E81" w:rsidRPr="001202A2" w14:paraId="65C8272D" w14:textId="77777777" w:rsidTr="001202A2">
        <w:tc>
          <w:tcPr>
            <w:tcW w:w="3285" w:type="dxa"/>
            <w:vAlign w:val="center"/>
          </w:tcPr>
          <w:p w14:paraId="5EE3EB8D" w14:textId="05B27974"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n</w:t>
            </w:r>
          </w:p>
        </w:tc>
        <w:tc>
          <w:tcPr>
            <w:tcW w:w="3285" w:type="dxa"/>
            <w:vAlign w:val="center"/>
          </w:tcPr>
          <w:p w14:paraId="68D06693" w14:textId="7E4605D3"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418</w:t>
            </w:r>
          </w:p>
        </w:tc>
        <w:tc>
          <w:tcPr>
            <w:tcW w:w="3285" w:type="dxa"/>
            <w:vAlign w:val="center"/>
          </w:tcPr>
          <w:p w14:paraId="1DFBF3E4" w14:textId="78D26310"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524</w:t>
            </w:r>
          </w:p>
        </w:tc>
      </w:tr>
      <w:tr w:rsidR="00283E81" w:rsidRPr="001202A2" w14:paraId="06322D9B" w14:textId="77777777" w:rsidTr="001202A2">
        <w:tc>
          <w:tcPr>
            <w:tcW w:w="3285" w:type="dxa"/>
            <w:vAlign w:val="center"/>
          </w:tcPr>
          <w:p w14:paraId="4A93CFC6" w14:textId="27430D76" w:rsidR="00283E81" w:rsidRPr="001202A2" w:rsidRDefault="00283E81" w:rsidP="00880F49">
            <w:pPr>
              <w:tabs>
                <w:tab w:val="clear" w:pos="284"/>
              </w:tabs>
              <w:autoSpaceDE w:val="0"/>
              <w:autoSpaceDN w:val="0"/>
              <w:adjustRightInd w:val="0"/>
              <w:jc w:val="left"/>
              <w:rPr>
                <w:iCs/>
                <w:szCs w:val="22"/>
                <w:vertAlign w:val="superscript"/>
                <w:lang w:val="sr-Latn-ME"/>
              </w:rPr>
            </w:pPr>
            <w:r w:rsidRPr="001202A2">
              <w:rPr>
                <w:iCs/>
                <w:szCs w:val="22"/>
                <w:lang w:val="sr-Latn-ME"/>
              </w:rPr>
              <w:t>Stopa događaja (%/god)</w:t>
            </w:r>
            <w:r w:rsidRPr="001202A2">
              <w:rPr>
                <w:iCs/>
                <w:szCs w:val="22"/>
                <w:vertAlign w:val="superscript"/>
                <w:lang w:val="sr-Latn-ME"/>
              </w:rPr>
              <w:t>a</w:t>
            </w:r>
          </w:p>
        </w:tc>
        <w:tc>
          <w:tcPr>
            <w:tcW w:w="3285" w:type="dxa"/>
            <w:vAlign w:val="center"/>
          </w:tcPr>
          <w:p w14:paraId="2396C462" w14:textId="1A8EEE7B"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2,75</w:t>
            </w:r>
          </w:p>
        </w:tc>
        <w:tc>
          <w:tcPr>
            <w:tcW w:w="3285" w:type="dxa"/>
            <w:vAlign w:val="center"/>
          </w:tcPr>
          <w:p w14:paraId="69F8BB31" w14:textId="2C3D616D"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3,43</w:t>
            </w:r>
          </w:p>
        </w:tc>
      </w:tr>
      <w:tr w:rsidR="00283E81" w:rsidRPr="001202A2" w14:paraId="1B947B6D" w14:textId="77777777" w:rsidTr="001202A2">
        <w:tc>
          <w:tcPr>
            <w:tcW w:w="3285" w:type="dxa"/>
            <w:vAlign w:val="center"/>
          </w:tcPr>
          <w:p w14:paraId="4E0C4EE0" w14:textId="1AFCC603"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HR (95% CI)</w:t>
            </w:r>
          </w:p>
        </w:tc>
        <w:tc>
          <w:tcPr>
            <w:tcW w:w="3285" w:type="dxa"/>
            <w:vAlign w:val="center"/>
          </w:tcPr>
          <w:p w14:paraId="493AD0B9" w14:textId="60A904B6"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0,80 (0,71; 0,91)</w:t>
            </w:r>
          </w:p>
        </w:tc>
        <w:tc>
          <w:tcPr>
            <w:tcW w:w="3285" w:type="dxa"/>
            <w:vAlign w:val="center"/>
          </w:tcPr>
          <w:p w14:paraId="706631E1" w14:textId="77777777" w:rsidR="00283E81" w:rsidRPr="001202A2" w:rsidRDefault="00283E81" w:rsidP="00880F49">
            <w:pPr>
              <w:tabs>
                <w:tab w:val="clear" w:pos="284"/>
              </w:tabs>
              <w:autoSpaceDE w:val="0"/>
              <w:autoSpaceDN w:val="0"/>
              <w:adjustRightInd w:val="0"/>
              <w:jc w:val="center"/>
              <w:rPr>
                <w:iCs/>
                <w:szCs w:val="22"/>
                <w:lang w:val="sr-Latn-ME"/>
              </w:rPr>
            </w:pPr>
          </w:p>
        </w:tc>
      </w:tr>
      <w:tr w:rsidR="00283E81" w:rsidRPr="001202A2" w14:paraId="4AE6F697" w14:textId="77777777" w:rsidTr="001202A2">
        <w:tc>
          <w:tcPr>
            <w:tcW w:w="3285" w:type="dxa"/>
            <w:vAlign w:val="center"/>
          </w:tcPr>
          <w:p w14:paraId="2A4FD3A6" w14:textId="46D71C50"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p-vr</w:t>
            </w:r>
            <w:r w:rsidR="005D5955" w:rsidRPr="001202A2">
              <w:rPr>
                <w:iCs/>
                <w:szCs w:val="22"/>
                <w:lang w:val="sr-Latn-ME"/>
              </w:rPr>
              <w:t>ij</w:t>
            </w:r>
            <w:r w:rsidRPr="001202A2">
              <w:rPr>
                <w:iCs/>
                <w:szCs w:val="22"/>
                <w:lang w:val="sr-Latn-ME"/>
              </w:rPr>
              <w:t>ednost</w:t>
            </w:r>
          </w:p>
        </w:tc>
        <w:tc>
          <w:tcPr>
            <w:tcW w:w="3285" w:type="dxa"/>
            <w:vAlign w:val="center"/>
          </w:tcPr>
          <w:p w14:paraId="537752FB" w14:textId="41A22FAB"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0,0009</w:t>
            </w:r>
          </w:p>
        </w:tc>
        <w:tc>
          <w:tcPr>
            <w:tcW w:w="3285" w:type="dxa"/>
            <w:vAlign w:val="center"/>
          </w:tcPr>
          <w:p w14:paraId="23B7528F" w14:textId="77777777" w:rsidR="00283E81" w:rsidRPr="001202A2" w:rsidRDefault="00283E81" w:rsidP="00880F49">
            <w:pPr>
              <w:tabs>
                <w:tab w:val="clear" w:pos="284"/>
              </w:tabs>
              <w:autoSpaceDE w:val="0"/>
              <w:autoSpaceDN w:val="0"/>
              <w:adjustRightInd w:val="0"/>
              <w:jc w:val="center"/>
              <w:rPr>
                <w:iCs/>
                <w:szCs w:val="22"/>
                <w:lang w:val="sr-Latn-ME"/>
              </w:rPr>
            </w:pPr>
          </w:p>
        </w:tc>
      </w:tr>
      <w:tr w:rsidR="00283E81" w:rsidRPr="001202A2" w14:paraId="6750B7AA" w14:textId="77777777" w:rsidTr="001202A2">
        <w:tc>
          <w:tcPr>
            <w:tcW w:w="9855" w:type="dxa"/>
            <w:gridSpan w:val="3"/>
            <w:shd w:val="clear" w:color="auto" w:fill="BFBFBF" w:themeFill="background1" w:themeFillShade="BF"/>
            <w:vAlign w:val="center"/>
          </w:tcPr>
          <w:p w14:paraId="46DEAAF1" w14:textId="273D9B4E" w:rsidR="00283E81" w:rsidRPr="001202A2" w:rsidRDefault="00283E81" w:rsidP="00880F49">
            <w:pPr>
              <w:tabs>
                <w:tab w:val="clear" w:pos="284"/>
              </w:tabs>
              <w:autoSpaceDE w:val="0"/>
              <w:autoSpaceDN w:val="0"/>
              <w:adjustRightInd w:val="0"/>
              <w:jc w:val="left"/>
              <w:rPr>
                <w:b/>
                <w:bCs/>
                <w:iCs/>
                <w:szCs w:val="22"/>
                <w:vertAlign w:val="superscript"/>
                <w:lang w:val="sr-Latn-ME"/>
              </w:rPr>
            </w:pPr>
            <w:r w:rsidRPr="001202A2">
              <w:rPr>
                <w:b/>
                <w:bCs/>
                <w:iCs/>
                <w:szCs w:val="22"/>
                <w:lang w:val="sr-Latn-ME"/>
              </w:rPr>
              <w:t>ICH</w:t>
            </w:r>
            <w:r w:rsidRPr="001202A2">
              <w:rPr>
                <w:b/>
                <w:bCs/>
                <w:iCs/>
                <w:szCs w:val="22"/>
                <w:vertAlign w:val="superscript"/>
                <w:lang w:val="sr-Latn-ME"/>
              </w:rPr>
              <w:t>b</w:t>
            </w:r>
          </w:p>
        </w:tc>
      </w:tr>
      <w:tr w:rsidR="00283E81" w:rsidRPr="001202A2" w14:paraId="19DF8BDB" w14:textId="77777777" w:rsidTr="001202A2">
        <w:tc>
          <w:tcPr>
            <w:tcW w:w="3285" w:type="dxa"/>
            <w:vAlign w:val="center"/>
          </w:tcPr>
          <w:p w14:paraId="1EA2E5FA" w14:textId="6457AB9B"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n</w:t>
            </w:r>
          </w:p>
        </w:tc>
        <w:tc>
          <w:tcPr>
            <w:tcW w:w="3285" w:type="dxa"/>
            <w:vAlign w:val="center"/>
          </w:tcPr>
          <w:p w14:paraId="6A5D6CE7" w14:textId="4BE51A3A"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61</w:t>
            </w:r>
          </w:p>
        </w:tc>
        <w:tc>
          <w:tcPr>
            <w:tcW w:w="3285" w:type="dxa"/>
            <w:vAlign w:val="center"/>
          </w:tcPr>
          <w:p w14:paraId="1D27C5E4" w14:textId="62DF7F98"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132</w:t>
            </w:r>
          </w:p>
        </w:tc>
      </w:tr>
      <w:tr w:rsidR="00283E81" w:rsidRPr="001202A2" w14:paraId="63A716F7" w14:textId="77777777" w:rsidTr="001202A2">
        <w:tc>
          <w:tcPr>
            <w:tcW w:w="3285" w:type="dxa"/>
            <w:vAlign w:val="center"/>
          </w:tcPr>
          <w:p w14:paraId="300503BC" w14:textId="1F490CEE"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Stopa događaja (%/god)</w:t>
            </w:r>
            <w:r w:rsidRPr="001202A2">
              <w:rPr>
                <w:iCs/>
                <w:szCs w:val="22"/>
                <w:vertAlign w:val="superscript"/>
                <w:lang w:val="sr-Latn-ME"/>
              </w:rPr>
              <w:t>a</w:t>
            </w:r>
          </w:p>
        </w:tc>
        <w:tc>
          <w:tcPr>
            <w:tcW w:w="3285" w:type="dxa"/>
            <w:vAlign w:val="center"/>
          </w:tcPr>
          <w:p w14:paraId="4B6D1F75" w14:textId="46A2816C"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0,39</w:t>
            </w:r>
          </w:p>
        </w:tc>
        <w:tc>
          <w:tcPr>
            <w:tcW w:w="3285" w:type="dxa"/>
            <w:vAlign w:val="center"/>
          </w:tcPr>
          <w:p w14:paraId="345CB561" w14:textId="31A7A306"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0,85</w:t>
            </w:r>
          </w:p>
        </w:tc>
      </w:tr>
      <w:tr w:rsidR="00283E81" w:rsidRPr="001202A2" w14:paraId="1FD99574" w14:textId="77777777" w:rsidTr="001202A2">
        <w:tc>
          <w:tcPr>
            <w:tcW w:w="3285" w:type="dxa"/>
            <w:vAlign w:val="center"/>
          </w:tcPr>
          <w:p w14:paraId="1C28DB92" w14:textId="0C6E8712"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HR (95% CI)</w:t>
            </w:r>
          </w:p>
        </w:tc>
        <w:tc>
          <w:tcPr>
            <w:tcW w:w="3285" w:type="dxa"/>
            <w:vAlign w:val="center"/>
          </w:tcPr>
          <w:p w14:paraId="667C41B5" w14:textId="5C45EDB0"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0,47 (0,34; 0,63)</w:t>
            </w:r>
          </w:p>
        </w:tc>
        <w:tc>
          <w:tcPr>
            <w:tcW w:w="3285" w:type="dxa"/>
            <w:vAlign w:val="center"/>
          </w:tcPr>
          <w:p w14:paraId="47F1BC82" w14:textId="77777777" w:rsidR="00283E81" w:rsidRPr="001202A2" w:rsidRDefault="00283E81" w:rsidP="00880F49">
            <w:pPr>
              <w:tabs>
                <w:tab w:val="clear" w:pos="284"/>
              </w:tabs>
              <w:autoSpaceDE w:val="0"/>
              <w:autoSpaceDN w:val="0"/>
              <w:adjustRightInd w:val="0"/>
              <w:jc w:val="center"/>
              <w:rPr>
                <w:iCs/>
                <w:szCs w:val="22"/>
                <w:lang w:val="sr-Latn-ME"/>
              </w:rPr>
            </w:pPr>
          </w:p>
        </w:tc>
      </w:tr>
      <w:tr w:rsidR="00283E81" w:rsidRPr="001202A2" w14:paraId="7011FE1F" w14:textId="77777777" w:rsidTr="001202A2">
        <w:tc>
          <w:tcPr>
            <w:tcW w:w="9855" w:type="dxa"/>
            <w:gridSpan w:val="3"/>
            <w:shd w:val="clear" w:color="auto" w:fill="BFBFBF" w:themeFill="background1" w:themeFillShade="BF"/>
            <w:vAlign w:val="center"/>
          </w:tcPr>
          <w:p w14:paraId="091119A8" w14:textId="05263EA3" w:rsidR="00283E81" w:rsidRPr="001202A2" w:rsidRDefault="00283E81" w:rsidP="00880F49">
            <w:pPr>
              <w:tabs>
                <w:tab w:val="clear" w:pos="284"/>
              </w:tabs>
              <w:autoSpaceDE w:val="0"/>
              <w:autoSpaceDN w:val="0"/>
              <w:adjustRightInd w:val="0"/>
              <w:jc w:val="left"/>
              <w:rPr>
                <w:b/>
                <w:bCs/>
                <w:iCs/>
                <w:szCs w:val="22"/>
                <w:lang w:val="sr-Latn-ME"/>
              </w:rPr>
            </w:pPr>
            <w:r w:rsidRPr="001202A2">
              <w:rPr>
                <w:b/>
                <w:bCs/>
                <w:iCs/>
                <w:szCs w:val="22"/>
                <w:lang w:val="sr-Latn-ME"/>
              </w:rPr>
              <w:t>Krvarenje sa smrtnim ishodom</w:t>
            </w:r>
          </w:p>
        </w:tc>
      </w:tr>
      <w:tr w:rsidR="00283E81" w:rsidRPr="001202A2" w14:paraId="628F1506" w14:textId="77777777" w:rsidTr="001202A2">
        <w:tc>
          <w:tcPr>
            <w:tcW w:w="3285" w:type="dxa"/>
            <w:vAlign w:val="center"/>
          </w:tcPr>
          <w:p w14:paraId="7D4EDF06" w14:textId="416F57BA"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n</w:t>
            </w:r>
          </w:p>
        </w:tc>
        <w:tc>
          <w:tcPr>
            <w:tcW w:w="3285" w:type="dxa"/>
            <w:vAlign w:val="center"/>
          </w:tcPr>
          <w:p w14:paraId="55CEDB72" w14:textId="3064721B"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32</w:t>
            </w:r>
          </w:p>
        </w:tc>
        <w:tc>
          <w:tcPr>
            <w:tcW w:w="3285" w:type="dxa"/>
            <w:vAlign w:val="center"/>
          </w:tcPr>
          <w:p w14:paraId="7BC57E66" w14:textId="24016201"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59</w:t>
            </w:r>
          </w:p>
        </w:tc>
      </w:tr>
      <w:tr w:rsidR="00283E81" w:rsidRPr="001202A2" w14:paraId="5DE418FE" w14:textId="77777777" w:rsidTr="001202A2">
        <w:tc>
          <w:tcPr>
            <w:tcW w:w="3285" w:type="dxa"/>
            <w:vAlign w:val="center"/>
          </w:tcPr>
          <w:p w14:paraId="26267EB1" w14:textId="69D40B90"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Stopa događaja (%/god)</w:t>
            </w:r>
            <w:r w:rsidRPr="001202A2">
              <w:rPr>
                <w:iCs/>
                <w:szCs w:val="22"/>
                <w:vertAlign w:val="superscript"/>
                <w:lang w:val="sr-Latn-ME"/>
              </w:rPr>
              <w:t>a</w:t>
            </w:r>
          </w:p>
        </w:tc>
        <w:tc>
          <w:tcPr>
            <w:tcW w:w="3285" w:type="dxa"/>
            <w:vAlign w:val="center"/>
          </w:tcPr>
          <w:p w14:paraId="2DD71B47" w14:textId="6F5B0978"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0,21</w:t>
            </w:r>
          </w:p>
        </w:tc>
        <w:tc>
          <w:tcPr>
            <w:tcW w:w="3285" w:type="dxa"/>
            <w:vAlign w:val="center"/>
          </w:tcPr>
          <w:p w14:paraId="303E3781" w14:textId="1575EF38"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0,38</w:t>
            </w:r>
          </w:p>
        </w:tc>
      </w:tr>
      <w:tr w:rsidR="00283E81" w:rsidRPr="001202A2" w14:paraId="3EC62B5E" w14:textId="77777777" w:rsidTr="001202A2">
        <w:tc>
          <w:tcPr>
            <w:tcW w:w="3285" w:type="dxa"/>
            <w:vAlign w:val="center"/>
          </w:tcPr>
          <w:p w14:paraId="129FACE8" w14:textId="1186C1A3"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HR (95% CI)</w:t>
            </w:r>
          </w:p>
        </w:tc>
        <w:tc>
          <w:tcPr>
            <w:tcW w:w="3285" w:type="dxa"/>
            <w:vAlign w:val="center"/>
          </w:tcPr>
          <w:p w14:paraId="12B8F196" w14:textId="2300BDBE"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0,55 (0,36; 0,84)</w:t>
            </w:r>
          </w:p>
        </w:tc>
        <w:tc>
          <w:tcPr>
            <w:tcW w:w="3285" w:type="dxa"/>
            <w:vAlign w:val="center"/>
          </w:tcPr>
          <w:p w14:paraId="5C18CEE6" w14:textId="77777777" w:rsidR="00283E81" w:rsidRPr="001202A2" w:rsidRDefault="00283E81" w:rsidP="00880F49">
            <w:pPr>
              <w:tabs>
                <w:tab w:val="clear" w:pos="284"/>
              </w:tabs>
              <w:autoSpaceDE w:val="0"/>
              <w:autoSpaceDN w:val="0"/>
              <w:adjustRightInd w:val="0"/>
              <w:jc w:val="center"/>
              <w:rPr>
                <w:iCs/>
                <w:szCs w:val="22"/>
                <w:lang w:val="sr-Latn-ME"/>
              </w:rPr>
            </w:pPr>
          </w:p>
        </w:tc>
      </w:tr>
      <w:tr w:rsidR="00283E81" w:rsidRPr="001202A2" w14:paraId="1060B1B7" w14:textId="77777777" w:rsidTr="001202A2">
        <w:tc>
          <w:tcPr>
            <w:tcW w:w="9855" w:type="dxa"/>
            <w:gridSpan w:val="3"/>
            <w:shd w:val="clear" w:color="auto" w:fill="BFBFBF" w:themeFill="background1" w:themeFillShade="BF"/>
            <w:vAlign w:val="center"/>
          </w:tcPr>
          <w:p w14:paraId="41DE8352" w14:textId="6020D043" w:rsidR="00283E81" w:rsidRPr="001202A2" w:rsidRDefault="00283E81" w:rsidP="00880F49">
            <w:pPr>
              <w:tabs>
                <w:tab w:val="clear" w:pos="284"/>
              </w:tabs>
              <w:autoSpaceDE w:val="0"/>
              <w:autoSpaceDN w:val="0"/>
              <w:adjustRightInd w:val="0"/>
              <w:jc w:val="left"/>
              <w:rPr>
                <w:b/>
                <w:bCs/>
                <w:iCs/>
                <w:szCs w:val="22"/>
                <w:lang w:val="sr-Latn-ME"/>
              </w:rPr>
            </w:pPr>
            <w:r w:rsidRPr="001202A2">
              <w:rPr>
                <w:b/>
                <w:bCs/>
                <w:iCs/>
                <w:szCs w:val="22"/>
                <w:lang w:val="sr-Latn-ME"/>
              </w:rPr>
              <w:t>CRNM krvarenje</w:t>
            </w:r>
          </w:p>
        </w:tc>
      </w:tr>
      <w:tr w:rsidR="00283E81" w:rsidRPr="001202A2" w14:paraId="123F563B" w14:textId="77777777" w:rsidTr="001202A2">
        <w:tc>
          <w:tcPr>
            <w:tcW w:w="3285" w:type="dxa"/>
            <w:vAlign w:val="center"/>
          </w:tcPr>
          <w:p w14:paraId="688E738C" w14:textId="5497359F"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n</w:t>
            </w:r>
          </w:p>
        </w:tc>
        <w:tc>
          <w:tcPr>
            <w:tcW w:w="3285" w:type="dxa"/>
            <w:vAlign w:val="center"/>
          </w:tcPr>
          <w:p w14:paraId="3BF3B94C" w14:textId="6F390A3B"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1214</w:t>
            </w:r>
          </w:p>
        </w:tc>
        <w:tc>
          <w:tcPr>
            <w:tcW w:w="3285" w:type="dxa"/>
            <w:vAlign w:val="center"/>
          </w:tcPr>
          <w:p w14:paraId="1018609E" w14:textId="727BE944"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1396</w:t>
            </w:r>
          </w:p>
        </w:tc>
      </w:tr>
      <w:tr w:rsidR="00283E81" w:rsidRPr="001202A2" w14:paraId="662229BC" w14:textId="77777777" w:rsidTr="001202A2">
        <w:tc>
          <w:tcPr>
            <w:tcW w:w="3285" w:type="dxa"/>
            <w:vAlign w:val="center"/>
          </w:tcPr>
          <w:p w14:paraId="22DBDE31" w14:textId="0B402A14"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Stopa događaja (%/god)</w:t>
            </w:r>
            <w:r w:rsidRPr="001202A2">
              <w:rPr>
                <w:iCs/>
                <w:szCs w:val="22"/>
                <w:vertAlign w:val="superscript"/>
                <w:lang w:val="sr-Latn-ME"/>
              </w:rPr>
              <w:t>a</w:t>
            </w:r>
          </w:p>
        </w:tc>
        <w:tc>
          <w:tcPr>
            <w:tcW w:w="3285" w:type="dxa"/>
            <w:vAlign w:val="center"/>
          </w:tcPr>
          <w:p w14:paraId="67E7BF96" w14:textId="29B7556B"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8,67</w:t>
            </w:r>
          </w:p>
        </w:tc>
        <w:tc>
          <w:tcPr>
            <w:tcW w:w="3285" w:type="dxa"/>
            <w:vAlign w:val="center"/>
          </w:tcPr>
          <w:p w14:paraId="40ADC9C4" w14:textId="5908E3B0"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10,15</w:t>
            </w:r>
          </w:p>
        </w:tc>
      </w:tr>
      <w:tr w:rsidR="00283E81" w:rsidRPr="001202A2" w14:paraId="13DB65AF" w14:textId="77777777" w:rsidTr="001202A2">
        <w:tc>
          <w:tcPr>
            <w:tcW w:w="3285" w:type="dxa"/>
            <w:vAlign w:val="center"/>
          </w:tcPr>
          <w:p w14:paraId="47A800B7" w14:textId="6FDCE770"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HR (95% CI)</w:t>
            </w:r>
          </w:p>
        </w:tc>
        <w:tc>
          <w:tcPr>
            <w:tcW w:w="3285" w:type="dxa"/>
            <w:vAlign w:val="center"/>
          </w:tcPr>
          <w:p w14:paraId="13304A25" w14:textId="6957632C"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0,86 (0,80; 0,93)</w:t>
            </w:r>
          </w:p>
        </w:tc>
        <w:tc>
          <w:tcPr>
            <w:tcW w:w="3285" w:type="dxa"/>
            <w:vAlign w:val="center"/>
          </w:tcPr>
          <w:p w14:paraId="3E9922DE" w14:textId="77777777" w:rsidR="00283E81" w:rsidRPr="001202A2" w:rsidRDefault="00283E81" w:rsidP="00880F49">
            <w:pPr>
              <w:tabs>
                <w:tab w:val="clear" w:pos="284"/>
              </w:tabs>
              <w:autoSpaceDE w:val="0"/>
              <w:autoSpaceDN w:val="0"/>
              <w:adjustRightInd w:val="0"/>
              <w:jc w:val="center"/>
              <w:rPr>
                <w:iCs/>
                <w:szCs w:val="22"/>
                <w:lang w:val="sr-Latn-ME"/>
              </w:rPr>
            </w:pPr>
          </w:p>
        </w:tc>
      </w:tr>
      <w:tr w:rsidR="00283E81" w:rsidRPr="001202A2" w14:paraId="2A68CE22" w14:textId="77777777" w:rsidTr="001202A2">
        <w:tc>
          <w:tcPr>
            <w:tcW w:w="9855" w:type="dxa"/>
            <w:gridSpan w:val="3"/>
            <w:shd w:val="clear" w:color="auto" w:fill="BFBFBF" w:themeFill="background1" w:themeFillShade="BF"/>
            <w:vAlign w:val="center"/>
          </w:tcPr>
          <w:p w14:paraId="1ECC9B26" w14:textId="250C9E08" w:rsidR="00283E81" w:rsidRPr="001202A2" w:rsidRDefault="00283E81" w:rsidP="00880F49">
            <w:pPr>
              <w:tabs>
                <w:tab w:val="clear" w:pos="284"/>
              </w:tabs>
              <w:autoSpaceDE w:val="0"/>
              <w:autoSpaceDN w:val="0"/>
              <w:adjustRightInd w:val="0"/>
              <w:jc w:val="left"/>
              <w:rPr>
                <w:b/>
                <w:bCs/>
                <w:iCs/>
                <w:szCs w:val="22"/>
                <w:vertAlign w:val="superscript"/>
                <w:lang w:val="sr-Latn-ME"/>
              </w:rPr>
            </w:pPr>
            <w:r w:rsidRPr="001202A2">
              <w:rPr>
                <w:b/>
                <w:bCs/>
                <w:iCs/>
                <w:szCs w:val="22"/>
                <w:lang w:val="sr-Latn-ME"/>
              </w:rPr>
              <w:t>Bilo koje potvrđeno krvarenje</w:t>
            </w:r>
            <w:r w:rsidRPr="001202A2">
              <w:rPr>
                <w:b/>
                <w:bCs/>
                <w:iCs/>
                <w:szCs w:val="22"/>
                <w:vertAlign w:val="superscript"/>
                <w:lang w:val="sr-Latn-ME"/>
              </w:rPr>
              <w:t>c</w:t>
            </w:r>
          </w:p>
        </w:tc>
      </w:tr>
      <w:tr w:rsidR="00283E81" w:rsidRPr="001202A2" w14:paraId="3C1AB3DC" w14:textId="77777777" w:rsidTr="001202A2">
        <w:tc>
          <w:tcPr>
            <w:tcW w:w="3285" w:type="dxa"/>
            <w:vAlign w:val="center"/>
          </w:tcPr>
          <w:p w14:paraId="11B8B337" w14:textId="32D028BF"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n</w:t>
            </w:r>
          </w:p>
        </w:tc>
        <w:tc>
          <w:tcPr>
            <w:tcW w:w="3285" w:type="dxa"/>
            <w:vAlign w:val="center"/>
          </w:tcPr>
          <w:p w14:paraId="75BFF5AE" w14:textId="026B5A32"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1865</w:t>
            </w:r>
          </w:p>
        </w:tc>
        <w:tc>
          <w:tcPr>
            <w:tcW w:w="3285" w:type="dxa"/>
            <w:vAlign w:val="center"/>
          </w:tcPr>
          <w:p w14:paraId="604116F6" w14:textId="2CAAED4F"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2114</w:t>
            </w:r>
          </w:p>
        </w:tc>
      </w:tr>
      <w:tr w:rsidR="00283E81" w:rsidRPr="001202A2" w14:paraId="32DB6D54" w14:textId="77777777" w:rsidTr="001202A2">
        <w:tc>
          <w:tcPr>
            <w:tcW w:w="3285" w:type="dxa"/>
            <w:vAlign w:val="center"/>
          </w:tcPr>
          <w:p w14:paraId="6772C640" w14:textId="1EED6A61"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Stopa događaja (%/god)</w:t>
            </w:r>
            <w:r w:rsidRPr="001202A2">
              <w:rPr>
                <w:iCs/>
                <w:szCs w:val="22"/>
                <w:vertAlign w:val="superscript"/>
                <w:lang w:val="sr-Latn-ME"/>
              </w:rPr>
              <w:t>a</w:t>
            </w:r>
          </w:p>
        </w:tc>
        <w:tc>
          <w:tcPr>
            <w:tcW w:w="3285" w:type="dxa"/>
            <w:vAlign w:val="center"/>
          </w:tcPr>
          <w:p w14:paraId="392C8275" w14:textId="72DCA2EA"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14,15</w:t>
            </w:r>
          </w:p>
        </w:tc>
        <w:tc>
          <w:tcPr>
            <w:tcW w:w="3285" w:type="dxa"/>
            <w:vAlign w:val="center"/>
          </w:tcPr>
          <w:p w14:paraId="7B9589FB" w14:textId="4D71A56E"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16,40</w:t>
            </w:r>
          </w:p>
        </w:tc>
      </w:tr>
      <w:tr w:rsidR="00283E81" w:rsidRPr="001202A2" w14:paraId="7AEC9AAB" w14:textId="77777777" w:rsidTr="001202A2">
        <w:tc>
          <w:tcPr>
            <w:tcW w:w="3285" w:type="dxa"/>
            <w:vAlign w:val="center"/>
          </w:tcPr>
          <w:p w14:paraId="26FDEED5" w14:textId="4546415F" w:rsidR="00283E81" w:rsidRPr="001202A2" w:rsidRDefault="00283E81" w:rsidP="00880F49">
            <w:pPr>
              <w:tabs>
                <w:tab w:val="clear" w:pos="284"/>
              </w:tabs>
              <w:autoSpaceDE w:val="0"/>
              <w:autoSpaceDN w:val="0"/>
              <w:adjustRightInd w:val="0"/>
              <w:jc w:val="left"/>
              <w:rPr>
                <w:iCs/>
                <w:szCs w:val="22"/>
                <w:lang w:val="sr-Latn-ME"/>
              </w:rPr>
            </w:pPr>
            <w:r w:rsidRPr="001202A2">
              <w:rPr>
                <w:iCs/>
                <w:szCs w:val="22"/>
                <w:lang w:val="sr-Latn-ME"/>
              </w:rPr>
              <w:t>HR (95% CI)</w:t>
            </w:r>
          </w:p>
        </w:tc>
        <w:tc>
          <w:tcPr>
            <w:tcW w:w="3285" w:type="dxa"/>
            <w:vAlign w:val="center"/>
          </w:tcPr>
          <w:p w14:paraId="76C02782" w14:textId="507E4DE2" w:rsidR="00283E81" w:rsidRPr="001202A2" w:rsidRDefault="00283E81" w:rsidP="00880F49">
            <w:pPr>
              <w:tabs>
                <w:tab w:val="clear" w:pos="284"/>
              </w:tabs>
              <w:autoSpaceDE w:val="0"/>
              <w:autoSpaceDN w:val="0"/>
              <w:adjustRightInd w:val="0"/>
              <w:jc w:val="center"/>
              <w:rPr>
                <w:iCs/>
                <w:szCs w:val="22"/>
                <w:lang w:val="sr-Latn-ME"/>
              </w:rPr>
            </w:pPr>
            <w:r w:rsidRPr="001202A2">
              <w:rPr>
                <w:iCs/>
                <w:szCs w:val="22"/>
                <w:lang w:val="sr-Latn-ME"/>
              </w:rPr>
              <w:t>0,87 (0,82; 0,92)</w:t>
            </w:r>
          </w:p>
        </w:tc>
        <w:tc>
          <w:tcPr>
            <w:tcW w:w="3285" w:type="dxa"/>
            <w:vAlign w:val="center"/>
          </w:tcPr>
          <w:p w14:paraId="44B8A707" w14:textId="77777777" w:rsidR="00283E81" w:rsidRPr="001202A2" w:rsidRDefault="00283E81" w:rsidP="00880F49">
            <w:pPr>
              <w:tabs>
                <w:tab w:val="clear" w:pos="284"/>
              </w:tabs>
              <w:autoSpaceDE w:val="0"/>
              <w:autoSpaceDN w:val="0"/>
              <w:adjustRightInd w:val="0"/>
              <w:jc w:val="center"/>
              <w:rPr>
                <w:iCs/>
                <w:szCs w:val="22"/>
                <w:lang w:val="sr-Latn-ME"/>
              </w:rPr>
            </w:pPr>
          </w:p>
        </w:tc>
      </w:tr>
    </w:tbl>
    <w:p w14:paraId="69973431" w14:textId="3D5684E1" w:rsidR="000A112D" w:rsidRPr="001202A2" w:rsidRDefault="000A112D" w:rsidP="00880F49">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Skraćenice: ICH = intrakranijalno krvarenje (engl. </w:t>
      </w:r>
      <w:r w:rsidRPr="001202A2">
        <w:rPr>
          <w:rFonts w:eastAsia="TimesNewRoman"/>
          <w:i/>
          <w:iCs/>
          <w:szCs w:val="22"/>
          <w:lang w:val="sr-Latn-ME"/>
        </w:rPr>
        <w:t>intracranial haemorrhage</w:t>
      </w:r>
      <w:r w:rsidRPr="001202A2">
        <w:rPr>
          <w:rFonts w:eastAsia="TimesNewRoman"/>
          <w:szCs w:val="22"/>
          <w:lang w:val="sr-Latn-ME"/>
        </w:rPr>
        <w:t>) HR = odnos rizika</w:t>
      </w:r>
      <w:r w:rsidRPr="001202A2">
        <w:rPr>
          <w:rFonts w:eastAsia="TimesNewRoman"/>
          <w:i/>
          <w:iCs/>
          <w:szCs w:val="22"/>
          <w:lang w:val="sr-Latn-ME"/>
        </w:rPr>
        <w:t xml:space="preserve"> </w:t>
      </w:r>
      <w:r w:rsidRPr="001202A2">
        <w:rPr>
          <w:rFonts w:eastAsia="TimesNewRoman"/>
          <w:szCs w:val="22"/>
          <w:lang w:val="sr-Latn-ME"/>
        </w:rPr>
        <w:t xml:space="preserve">u odnosu na varfarin, CI = interval pouzdanosti, CRNM (engl. </w:t>
      </w:r>
      <w:r w:rsidRPr="001202A2">
        <w:rPr>
          <w:rFonts w:eastAsia="TimesNewRoman"/>
          <w:i/>
          <w:iCs/>
          <w:szCs w:val="22"/>
          <w:lang w:val="sr-Latn-ME"/>
        </w:rPr>
        <w:t>clinically relevant non-major</w:t>
      </w:r>
      <w:r w:rsidRPr="001202A2">
        <w:rPr>
          <w:rFonts w:eastAsia="TimesNewRoman"/>
          <w:szCs w:val="22"/>
          <w:lang w:val="sr-Latn-ME"/>
        </w:rPr>
        <w:t>) = klinički značajna krvarenja koja ni</w:t>
      </w:r>
      <w:r w:rsidR="008366CD" w:rsidRPr="001202A2">
        <w:rPr>
          <w:rFonts w:eastAsia="TimesNewRoman"/>
          <w:szCs w:val="22"/>
          <w:lang w:val="sr-Latn-ME"/>
        </w:rPr>
        <w:t>je</w:t>
      </w:r>
      <w:r w:rsidRPr="001202A2">
        <w:rPr>
          <w:rFonts w:eastAsia="TimesNewRoman"/>
          <w:szCs w:val="22"/>
          <w:lang w:val="sr-Latn-ME"/>
        </w:rPr>
        <w:t>su klasifikovana kao ozbiljna, n = broj ispitanika sa događajima, N = broj ispitanika u populaciji za proc</w:t>
      </w:r>
      <w:r w:rsidR="005D5955" w:rsidRPr="001202A2">
        <w:rPr>
          <w:rFonts w:eastAsia="TimesNewRoman"/>
          <w:szCs w:val="22"/>
          <w:lang w:val="sr-Latn-ME"/>
        </w:rPr>
        <w:t>j</w:t>
      </w:r>
      <w:r w:rsidRPr="001202A2">
        <w:rPr>
          <w:rFonts w:eastAsia="TimesNewRoman"/>
          <w:szCs w:val="22"/>
          <w:lang w:val="sr-Latn-ME"/>
        </w:rPr>
        <w:t>enu bezb</w:t>
      </w:r>
      <w:r w:rsidR="005D5955" w:rsidRPr="001202A2">
        <w:rPr>
          <w:rFonts w:eastAsia="TimesNewRoman"/>
          <w:szCs w:val="22"/>
          <w:lang w:val="sr-Latn-ME"/>
        </w:rPr>
        <w:t>j</w:t>
      </w:r>
      <w:r w:rsidRPr="001202A2">
        <w:rPr>
          <w:rFonts w:eastAsia="TimesNewRoman"/>
          <w:szCs w:val="22"/>
          <w:lang w:val="sr-Latn-ME"/>
        </w:rPr>
        <w:t>ednosti prim</w:t>
      </w:r>
      <w:r w:rsidR="005D5955" w:rsidRPr="001202A2">
        <w:rPr>
          <w:rFonts w:eastAsia="TimesNewRoman"/>
          <w:szCs w:val="22"/>
          <w:lang w:val="sr-Latn-ME"/>
        </w:rPr>
        <w:t>j</w:t>
      </w:r>
      <w:r w:rsidRPr="001202A2">
        <w:rPr>
          <w:rFonts w:eastAsia="TimesNewRoman"/>
          <w:szCs w:val="22"/>
          <w:lang w:val="sr-Latn-ME"/>
        </w:rPr>
        <w:t>ene, god = godina.</w:t>
      </w:r>
    </w:p>
    <w:p w14:paraId="68BA2380" w14:textId="77777777" w:rsidR="000A112D" w:rsidRPr="001202A2" w:rsidRDefault="000A112D"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a</w:t>
      </w:r>
      <w:r w:rsidRPr="001202A2">
        <w:rPr>
          <w:rFonts w:eastAsia="TimesNewRoman"/>
          <w:szCs w:val="22"/>
          <w:lang w:val="sr-Latn-ME"/>
        </w:rPr>
        <w:t xml:space="preserve"> Stopa događaja (%/god) izračunata je kao broj događaja/izloženost izražena kao ispitanik-godina.</w:t>
      </w:r>
    </w:p>
    <w:p w14:paraId="24E7A766" w14:textId="167C919A" w:rsidR="000A112D" w:rsidRPr="001202A2" w:rsidRDefault="000A112D"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b</w:t>
      </w:r>
      <w:r w:rsidRPr="001202A2">
        <w:rPr>
          <w:rFonts w:eastAsia="TimesNewRoman"/>
          <w:szCs w:val="22"/>
          <w:lang w:val="sr-Latn-ME"/>
        </w:rPr>
        <w:t xml:space="preserve"> ICH </w:t>
      </w:r>
      <w:r w:rsidR="00AE365D" w:rsidRPr="001202A2">
        <w:rPr>
          <w:rFonts w:eastAsia="TimesNewRoman"/>
          <w:szCs w:val="22"/>
          <w:lang w:val="sr-Latn-ME"/>
        </w:rPr>
        <w:t>obuhvata</w:t>
      </w:r>
      <w:r w:rsidRPr="001202A2">
        <w:rPr>
          <w:rFonts w:eastAsia="TimesNewRoman"/>
          <w:szCs w:val="22"/>
          <w:lang w:val="sr-Latn-ME"/>
        </w:rPr>
        <w:t xml:space="preserve"> primarni hemoragijski moždani udar, subarahnoidalno krvarenje, epiduralno ili subduralno krvarenje i ishemijski moždani udar sa konverzijom u </w:t>
      </w:r>
      <w:r w:rsidR="001123CD" w:rsidRPr="001202A2">
        <w:rPr>
          <w:rFonts w:eastAsia="TimesNewRoman"/>
          <w:szCs w:val="22"/>
          <w:lang w:val="sr-Latn-ME"/>
        </w:rPr>
        <w:t>ozbiljno</w:t>
      </w:r>
      <w:r w:rsidRPr="001202A2">
        <w:rPr>
          <w:rFonts w:eastAsia="TimesNewRoman"/>
          <w:szCs w:val="22"/>
          <w:lang w:val="sr-Latn-ME"/>
        </w:rPr>
        <w:t xml:space="preserve"> krvarenje. U broj ICH uključena su sva </w:t>
      </w:r>
      <w:r w:rsidR="00AE365D" w:rsidRPr="001202A2">
        <w:rPr>
          <w:rFonts w:eastAsia="TimesNewRoman"/>
          <w:szCs w:val="22"/>
          <w:lang w:val="sr-Latn-ME"/>
        </w:rPr>
        <w:t xml:space="preserve">cerebrovaskularna i ne-intrakranijalna krvarenja </w:t>
      </w:r>
      <w:r w:rsidRPr="001202A2">
        <w:rPr>
          <w:rFonts w:eastAsia="TimesNewRoman"/>
          <w:szCs w:val="22"/>
          <w:lang w:val="sr-Latn-ME"/>
        </w:rPr>
        <w:t xml:space="preserve">prijavljena putem elektronskih </w:t>
      </w:r>
      <w:r w:rsidR="00AE365D" w:rsidRPr="001202A2">
        <w:rPr>
          <w:rFonts w:eastAsia="TimesNewRoman"/>
          <w:szCs w:val="22"/>
          <w:lang w:val="sr-Latn-ME"/>
        </w:rPr>
        <w:t>formulara</w:t>
      </w:r>
      <w:r w:rsidRPr="001202A2">
        <w:rPr>
          <w:rFonts w:eastAsia="TimesNewRoman"/>
          <w:szCs w:val="22"/>
          <w:lang w:val="sr-Latn-ME"/>
        </w:rPr>
        <w:t xml:space="preserve"> za pr</w:t>
      </w:r>
      <w:r w:rsidR="00AE365D" w:rsidRPr="001202A2">
        <w:rPr>
          <w:rFonts w:eastAsia="TimesNewRoman"/>
          <w:szCs w:val="22"/>
          <w:lang w:val="sr-Latn-ME"/>
        </w:rPr>
        <w:t>ijavu</w:t>
      </w:r>
      <w:r w:rsidRPr="001202A2">
        <w:rPr>
          <w:rFonts w:eastAsia="TimesNewRoman"/>
          <w:szCs w:val="22"/>
          <w:lang w:val="sr-Latn-ME"/>
        </w:rPr>
        <w:t xml:space="preserve"> (engl. </w:t>
      </w:r>
      <w:r w:rsidRPr="001202A2">
        <w:rPr>
          <w:rFonts w:eastAsia="TimesNewRoman"/>
          <w:i/>
          <w:iCs/>
          <w:szCs w:val="22"/>
          <w:lang w:val="sr-Latn-ME"/>
        </w:rPr>
        <w:t>electronic case report forms</w:t>
      </w:r>
      <w:r w:rsidRPr="001202A2">
        <w:rPr>
          <w:rFonts w:eastAsia="TimesNewRoman"/>
          <w:szCs w:val="22"/>
          <w:lang w:val="sr-Latn-ME"/>
        </w:rPr>
        <w:t>, eCRF)</w:t>
      </w:r>
      <w:r w:rsidR="00AE365D" w:rsidRPr="001202A2">
        <w:rPr>
          <w:rFonts w:eastAsia="TimesNewRoman"/>
          <w:szCs w:val="22"/>
          <w:lang w:val="sr-Latn-ME"/>
        </w:rPr>
        <w:t>, koje su potvrdili proc</w:t>
      </w:r>
      <w:r w:rsidR="005D5955" w:rsidRPr="001202A2">
        <w:rPr>
          <w:rFonts w:eastAsia="TimesNewRoman"/>
          <w:szCs w:val="22"/>
          <w:lang w:val="sr-Latn-ME"/>
        </w:rPr>
        <w:t>j</w:t>
      </w:r>
      <w:r w:rsidR="00AE365D" w:rsidRPr="001202A2">
        <w:rPr>
          <w:rFonts w:eastAsia="TimesNewRoman"/>
          <w:szCs w:val="22"/>
          <w:lang w:val="sr-Latn-ME"/>
        </w:rPr>
        <w:t>enitelji</w:t>
      </w:r>
      <w:r w:rsidRPr="001202A2">
        <w:rPr>
          <w:rFonts w:eastAsia="TimesNewRoman"/>
          <w:szCs w:val="22"/>
          <w:lang w:val="sr-Latn-ME"/>
        </w:rPr>
        <w:t>.</w:t>
      </w:r>
    </w:p>
    <w:p w14:paraId="469CBBD1" w14:textId="2D550860" w:rsidR="00283E81" w:rsidRPr="001202A2" w:rsidRDefault="000A112D"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c</w:t>
      </w:r>
      <w:r w:rsidRPr="001202A2">
        <w:rPr>
          <w:rFonts w:eastAsia="TimesNewRoman"/>
          <w:szCs w:val="22"/>
          <w:lang w:val="sr-Latn-ME"/>
        </w:rPr>
        <w:t xml:space="preserve"> Bilo koje potvrđeno krvarenje </w:t>
      </w:r>
      <w:r w:rsidR="006C1C71" w:rsidRPr="001202A2">
        <w:rPr>
          <w:rFonts w:eastAsia="TimesNewRoman"/>
          <w:szCs w:val="22"/>
          <w:lang w:val="sr-Latn-ME"/>
        </w:rPr>
        <w:t>obuhvata</w:t>
      </w:r>
      <w:r w:rsidRPr="001202A2">
        <w:rPr>
          <w:rFonts w:eastAsia="TimesNewRoman"/>
          <w:szCs w:val="22"/>
          <w:lang w:val="sr-Latn-ME"/>
        </w:rPr>
        <w:t xml:space="preserve"> krvarenja koja je proc</w:t>
      </w:r>
      <w:r w:rsidR="005D5955" w:rsidRPr="001202A2">
        <w:rPr>
          <w:rFonts w:eastAsia="TimesNewRoman"/>
          <w:szCs w:val="22"/>
          <w:lang w:val="sr-Latn-ME"/>
        </w:rPr>
        <w:t>j</w:t>
      </w:r>
      <w:r w:rsidRPr="001202A2">
        <w:rPr>
          <w:rFonts w:eastAsia="TimesNewRoman"/>
          <w:szCs w:val="22"/>
          <w:lang w:val="sr-Latn-ME"/>
        </w:rPr>
        <w:t>enitelj definisao kao klinički vidljiva.</w:t>
      </w:r>
    </w:p>
    <w:p w14:paraId="322F2025" w14:textId="77777777" w:rsidR="008366CD" w:rsidRPr="001202A2" w:rsidRDefault="008366CD" w:rsidP="00880F49">
      <w:pPr>
        <w:tabs>
          <w:tab w:val="clear" w:pos="284"/>
        </w:tabs>
        <w:autoSpaceDE w:val="0"/>
        <w:autoSpaceDN w:val="0"/>
        <w:adjustRightInd w:val="0"/>
        <w:rPr>
          <w:rFonts w:eastAsia="TimesNewRoman"/>
          <w:szCs w:val="22"/>
          <w:lang w:val="sr-Latn-ME"/>
        </w:rPr>
      </w:pPr>
    </w:p>
    <w:p w14:paraId="5C91FFF2" w14:textId="4AB41FB1" w:rsidR="006C1C71" w:rsidRPr="001202A2" w:rsidRDefault="006C1C7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Napomena: Ispitanik može biti uključen u više podkategorija</w:t>
      </w:r>
      <w:r w:rsidR="004D0FF1" w:rsidRPr="001202A2">
        <w:rPr>
          <w:rFonts w:eastAsia="TimesNewRoman"/>
          <w:szCs w:val="22"/>
          <w:lang w:val="sr-Latn-ME"/>
        </w:rPr>
        <w:t>,</w:t>
      </w:r>
      <w:r w:rsidRPr="001202A2">
        <w:rPr>
          <w:rFonts w:eastAsia="TimesNewRoman"/>
          <w:szCs w:val="22"/>
          <w:lang w:val="sr-Latn-ME"/>
        </w:rPr>
        <w:t xml:space="preserve"> ukoliko je imao događaj u tim kategorijama. Prvi događaj u </w:t>
      </w:r>
      <w:r w:rsidR="004D0FF1" w:rsidRPr="001202A2">
        <w:rPr>
          <w:rFonts w:eastAsia="TimesNewRoman"/>
          <w:szCs w:val="22"/>
          <w:lang w:val="sr-Latn-ME"/>
        </w:rPr>
        <w:t>svakoj</w:t>
      </w:r>
      <w:r w:rsidRPr="001202A2">
        <w:rPr>
          <w:rFonts w:eastAsia="TimesNewRoman"/>
          <w:szCs w:val="22"/>
          <w:lang w:val="sr-Latn-ME"/>
        </w:rPr>
        <w:t xml:space="preserve"> kategoriji</w:t>
      </w:r>
      <w:r w:rsidR="004D0FF1" w:rsidRPr="001202A2">
        <w:rPr>
          <w:rFonts w:eastAsia="TimesNewRoman"/>
          <w:szCs w:val="22"/>
          <w:lang w:val="sr-Latn-ME"/>
        </w:rPr>
        <w:t xml:space="preserve"> je</w:t>
      </w:r>
      <w:r w:rsidRPr="001202A2">
        <w:rPr>
          <w:rFonts w:eastAsia="TimesNewRoman"/>
          <w:szCs w:val="22"/>
          <w:lang w:val="sr-Latn-ME"/>
        </w:rPr>
        <w:t xml:space="preserve"> uključen u analizu.</w:t>
      </w:r>
    </w:p>
    <w:p w14:paraId="7B30B5F2"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25F5EC04" w14:textId="7FAFACE1" w:rsidR="00B34273" w:rsidRPr="001202A2" w:rsidRDefault="00B34273"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Tabele 7, 8 i 9 pokazuju velika krvarenja, krvarenja sa smrtnim ishodom, odnosno intrakranijalna krvarenja, prema kategoriji CrCl kod pacijenata sa NVAF u ENGAGE AF-TIMI 48 studiji. Uočeno je smanjenje stope događaja sa povećanjem CrCl u ob</w:t>
      </w:r>
      <w:r w:rsidR="005D5955" w:rsidRPr="001202A2">
        <w:rPr>
          <w:rFonts w:eastAsia="TimesNewRoman"/>
          <w:szCs w:val="22"/>
          <w:lang w:val="sr-Latn-ME"/>
        </w:rPr>
        <w:t>j</w:t>
      </w:r>
      <w:r w:rsidRPr="001202A2">
        <w:rPr>
          <w:rFonts w:eastAsia="TimesNewRoman"/>
          <w:szCs w:val="22"/>
          <w:lang w:val="sr-Latn-ME"/>
        </w:rPr>
        <w:t>e terapijske grupe.</w:t>
      </w:r>
    </w:p>
    <w:p w14:paraId="11882EA0"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7A8D8631" w14:textId="13C27277" w:rsidR="005E3E6D" w:rsidRPr="001202A2" w:rsidRDefault="00316457" w:rsidP="00480B31">
      <w:pPr>
        <w:tabs>
          <w:tab w:val="clear" w:pos="284"/>
        </w:tabs>
        <w:autoSpaceDE w:val="0"/>
        <w:autoSpaceDN w:val="0"/>
        <w:adjustRightInd w:val="0"/>
        <w:rPr>
          <w:b/>
          <w:bCs/>
          <w:iCs/>
          <w:szCs w:val="22"/>
          <w:vertAlign w:val="superscript"/>
          <w:lang w:val="sr-Latn-ME"/>
        </w:rPr>
      </w:pPr>
      <w:r w:rsidRPr="001202A2">
        <w:rPr>
          <w:b/>
          <w:bCs/>
          <w:iCs/>
          <w:szCs w:val="22"/>
          <w:lang w:val="sr-Latn-ME"/>
        </w:rPr>
        <w:t>Tabela 7.</w:t>
      </w:r>
      <w:r w:rsidR="001D31FB" w:rsidRPr="001202A2">
        <w:rPr>
          <w:b/>
          <w:bCs/>
          <w:iCs/>
          <w:szCs w:val="22"/>
          <w:lang w:val="sr-Latn-ME"/>
        </w:rPr>
        <w:t xml:space="preserve"> Broj velikih krvarenja prema kategoriji CrCl u ENGAGE AF-TIMI 48 studiji, analiza bezb</w:t>
      </w:r>
      <w:r w:rsidR="005D5955" w:rsidRPr="001202A2">
        <w:rPr>
          <w:b/>
          <w:bCs/>
          <w:iCs/>
          <w:szCs w:val="22"/>
          <w:lang w:val="sr-Latn-ME"/>
        </w:rPr>
        <w:t>j</w:t>
      </w:r>
      <w:r w:rsidR="001D31FB" w:rsidRPr="001202A2">
        <w:rPr>
          <w:b/>
          <w:bCs/>
          <w:iCs/>
          <w:szCs w:val="22"/>
          <w:lang w:val="sr-Latn-ME"/>
        </w:rPr>
        <w:t>ednosti tokom terapije</w:t>
      </w:r>
      <w:r w:rsidR="001D31FB" w:rsidRPr="001202A2">
        <w:rPr>
          <w:b/>
          <w:bCs/>
          <w:iCs/>
          <w:szCs w:val="22"/>
          <w:vertAlign w:val="superscript"/>
          <w:lang w:val="sr-Latn-ME"/>
        </w:rPr>
        <w:t>a</w:t>
      </w:r>
    </w:p>
    <w:p w14:paraId="25ADFB7A" w14:textId="77777777" w:rsidR="00743938" w:rsidRPr="001202A2" w:rsidRDefault="00743938" w:rsidP="00480B31">
      <w:pPr>
        <w:tabs>
          <w:tab w:val="clear" w:pos="284"/>
        </w:tabs>
        <w:autoSpaceDE w:val="0"/>
        <w:autoSpaceDN w:val="0"/>
        <w:adjustRightInd w:val="0"/>
        <w:rPr>
          <w:b/>
          <w:bCs/>
          <w:iCs/>
          <w:szCs w:val="22"/>
          <w:vertAlign w:val="superscript"/>
          <w:lang w:val="sr-Latn-ME"/>
        </w:rPr>
      </w:pPr>
    </w:p>
    <w:tbl>
      <w:tblPr>
        <w:tblStyle w:val="TableGrid"/>
        <w:tblW w:w="9889" w:type="dxa"/>
        <w:tblLayout w:type="fixed"/>
        <w:tblLook w:val="04A0" w:firstRow="1" w:lastRow="0" w:firstColumn="1" w:lastColumn="0" w:noHBand="0" w:noVBand="1"/>
      </w:tblPr>
      <w:tblGrid>
        <w:gridCol w:w="1668"/>
        <w:gridCol w:w="708"/>
        <w:gridCol w:w="1134"/>
        <w:gridCol w:w="1418"/>
        <w:gridCol w:w="709"/>
        <w:gridCol w:w="1134"/>
        <w:gridCol w:w="1417"/>
        <w:gridCol w:w="1701"/>
      </w:tblGrid>
      <w:tr w:rsidR="00316457" w:rsidRPr="001202A2" w14:paraId="295D2A5A" w14:textId="77777777" w:rsidTr="001202A2">
        <w:tc>
          <w:tcPr>
            <w:tcW w:w="1668" w:type="dxa"/>
            <w:vMerge w:val="restart"/>
            <w:shd w:val="clear" w:color="auto" w:fill="BFBFBF" w:themeFill="background1" w:themeFillShade="BF"/>
            <w:vAlign w:val="center"/>
          </w:tcPr>
          <w:p w14:paraId="17691E8A" w14:textId="3246BF76" w:rsidR="00316457" w:rsidRPr="001202A2" w:rsidRDefault="00316457" w:rsidP="00480B31">
            <w:pPr>
              <w:jc w:val="left"/>
              <w:rPr>
                <w:b/>
                <w:bCs/>
                <w:iCs/>
                <w:szCs w:val="22"/>
                <w:lang w:val="sr-Latn-ME"/>
              </w:rPr>
            </w:pPr>
            <w:r w:rsidRPr="001202A2">
              <w:rPr>
                <w:b/>
                <w:bCs/>
                <w:iCs/>
                <w:szCs w:val="22"/>
                <w:lang w:val="sr-Latn-ME"/>
              </w:rPr>
              <w:t>Podgrupa prema CrCl (</w:t>
            </w:r>
            <w:r w:rsidR="009353CF" w:rsidRPr="001202A2">
              <w:rPr>
                <w:b/>
                <w:bCs/>
                <w:iCs/>
                <w:szCs w:val="22"/>
                <w:lang w:val="sr-Latn-ME"/>
              </w:rPr>
              <w:t>m</w:t>
            </w:r>
            <w:r w:rsidR="00456FFB" w:rsidRPr="001202A2">
              <w:rPr>
                <w:b/>
                <w:bCs/>
                <w:iCs/>
                <w:szCs w:val="22"/>
                <w:lang w:val="sr-Latn-ME"/>
              </w:rPr>
              <w:t>l</w:t>
            </w:r>
            <w:r w:rsidRPr="001202A2">
              <w:rPr>
                <w:b/>
                <w:bCs/>
                <w:iCs/>
                <w:szCs w:val="22"/>
                <w:lang w:val="sr-Latn-ME"/>
              </w:rPr>
              <w:t>/min)</w:t>
            </w:r>
          </w:p>
        </w:tc>
        <w:tc>
          <w:tcPr>
            <w:tcW w:w="3260" w:type="dxa"/>
            <w:gridSpan w:val="3"/>
            <w:shd w:val="clear" w:color="auto" w:fill="BFBFBF" w:themeFill="background1" w:themeFillShade="BF"/>
            <w:vAlign w:val="center"/>
          </w:tcPr>
          <w:p w14:paraId="36C54EE1" w14:textId="77777777" w:rsidR="00316457" w:rsidRPr="001202A2" w:rsidRDefault="00316457" w:rsidP="00880F49">
            <w:pPr>
              <w:jc w:val="center"/>
              <w:rPr>
                <w:b/>
                <w:bCs/>
                <w:iCs/>
                <w:szCs w:val="22"/>
                <w:lang w:val="sr-Latn-ME"/>
              </w:rPr>
            </w:pPr>
            <w:r w:rsidRPr="001202A2">
              <w:rPr>
                <w:b/>
                <w:bCs/>
                <w:iCs/>
                <w:szCs w:val="22"/>
                <w:lang w:val="sr-Latn-ME"/>
              </w:rPr>
              <w:t>Edoksaban 60 mg</w:t>
            </w:r>
          </w:p>
          <w:p w14:paraId="4A6FD0CC" w14:textId="77777777" w:rsidR="00316457" w:rsidRPr="001202A2" w:rsidRDefault="00316457" w:rsidP="00880F49">
            <w:pPr>
              <w:jc w:val="center"/>
              <w:rPr>
                <w:b/>
                <w:bCs/>
                <w:iCs/>
                <w:szCs w:val="22"/>
                <w:lang w:val="sr-Latn-ME"/>
              </w:rPr>
            </w:pPr>
            <w:r w:rsidRPr="001202A2">
              <w:rPr>
                <w:b/>
                <w:bCs/>
                <w:iCs/>
                <w:szCs w:val="22"/>
                <w:lang w:val="sr-Latn-ME"/>
              </w:rPr>
              <w:t>(N=7012)</w:t>
            </w:r>
          </w:p>
        </w:tc>
        <w:tc>
          <w:tcPr>
            <w:tcW w:w="3260" w:type="dxa"/>
            <w:gridSpan w:val="3"/>
            <w:shd w:val="clear" w:color="auto" w:fill="BFBFBF" w:themeFill="background1" w:themeFillShade="BF"/>
            <w:vAlign w:val="center"/>
          </w:tcPr>
          <w:p w14:paraId="3EAA11C1" w14:textId="77777777" w:rsidR="00316457" w:rsidRPr="001202A2" w:rsidRDefault="00316457" w:rsidP="00880F49">
            <w:pPr>
              <w:jc w:val="center"/>
              <w:rPr>
                <w:b/>
                <w:bCs/>
                <w:iCs/>
                <w:szCs w:val="22"/>
                <w:lang w:val="sr-Latn-ME"/>
              </w:rPr>
            </w:pPr>
            <w:r w:rsidRPr="001202A2">
              <w:rPr>
                <w:b/>
                <w:bCs/>
                <w:iCs/>
                <w:szCs w:val="22"/>
                <w:lang w:val="sr-Latn-ME"/>
              </w:rPr>
              <w:t>Varfarin</w:t>
            </w:r>
          </w:p>
          <w:p w14:paraId="1D77E551" w14:textId="77777777" w:rsidR="00316457" w:rsidRPr="001202A2" w:rsidRDefault="00316457" w:rsidP="00880F49">
            <w:pPr>
              <w:jc w:val="center"/>
              <w:rPr>
                <w:b/>
                <w:bCs/>
                <w:iCs/>
                <w:szCs w:val="22"/>
                <w:lang w:val="sr-Latn-ME"/>
              </w:rPr>
            </w:pPr>
            <w:r w:rsidRPr="001202A2">
              <w:rPr>
                <w:b/>
                <w:bCs/>
                <w:iCs/>
                <w:szCs w:val="22"/>
                <w:lang w:val="sr-Latn-ME"/>
              </w:rPr>
              <w:t>(N=7012)</w:t>
            </w:r>
          </w:p>
        </w:tc>
        <w:tc>
          <w:tcPr>
            <w:tcW w:w="1701" w:type="dxa"/>
            <w:shd w:val="clear" w:color="auto" w:fill="BFBFBF" w:themeFill="background1" w:themeFillShade="BF"/>
            <w:vAlign w:val="center"/>
          </w:tcPr>
          <w:p w14:paraId="1BA523DA" w14:textId="77777777" w:rsidR="00316457" w:rsidRPr="001202A2" w:rsidRDefault="00316457" w:rsidP="00880F49">
            <w:pPr>
              <w:rPr>
                <w:b/>
                <w:bCs/>
                <w:iCs/>
                <w:szCs w:val="22"/>
                <w:lang w:val="sr-Latn-ME"/>
              </w:rPr>
            </w:pPr>
          </w:p>
        </w:tc>
      </w:tr>
      <w:tr w:rsidR="00316457" w:rsidRPr="001202A2" w14:paraId="0D477FF0" w14:textId="77777777" w:rsidTr="001202A2">
        <w:tc>
          <w:tcPr>
            <w:tcW w:w="1668" w:type="dxa"/>
            <w:vMerge/>
            <w:shd w:val="clear" w:color="auto" w:fill="BFBFBF" w:themeFill="background1" w:themeFillShade="BF"/>
            <w:vAlign w:val="center"/>
          </w:tcPr>
          <w:p w14:paraId="762E9576" w14:textId="77777777" w:rsidR="00316457" w:rsidRPr="001202A2" w:rsidRDefault="00316457" w:rsidP="00880F49">
            <w:pPr>
              <w:rPr>
                <w:b/>
                <w:bCs/>
                <w:iCs/>
                <w:szCs w:val="22"/>
                <w:lang w:val="sr-Latn-ME"/>
              </w:rPr>
            </w:pPr>
          </w:p>
        </w:tc>
        <w:tc>
          <w:tcPr>
            <w:tcW w:w="708" w:type="dxa"/>
            <w:shd w:val="clear" w:color="auto" w:fill="BFBFBF" w:themeFill="background1" w:themeFillShade="BF"/>
            <w:vAlign w:val="center"/>
          </w:tcPr>
          <w:p w14:paraId="7428B6BE" w14:textId="77777777" w:rsidR="00316457" w:rsidRPr="001202A2" w:rsidRDefault="00316457"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58F77FFF" w14:textId="77777777" w:rsidR="00316457" w:rsidRPr="001202A2" w:rsidRDefault="00316457" w:rsidP="00880F49">
            <w:pPr>
              <w:jc w:val="center"/>
              <w:rPr>
                <w:b/>
                <w:bCs/>
                <w:iCs/>
                <w:szCs w:val="22"/>
                <w:lang w:val="sr-Latn-ME"/>
              </w:rPr>
            </w:pPr>
            <w:r w:rsidRPr="001202A2">
              <w:rPr>
                <w:b/>
                <w:bCs/>
                <w:iCs/>
                <w:szCs w:val="22"/>
                <w:lang w:val="sr-Latn-ME"/>
              </w:rPr>
              <w:t>Broj događaja</w:t>
            </w:r>
          </w:p>
        </w:tc>
        <w:tc>
          <w:tcPr>
            <w:tcW w:w="1418" w:type="dxa"/>
            <w:shd w:val="clear" w:color="auto" w:fill="BFBFBF" w:themeFill="background1" w:themeFillShade="BF"/>
            <w:vAlign w:val="center"/>
          </w:tcPr>
          <w:p w14:paraId="29F645E9" w14:textId="77777777" w:rsidR="00316457" w:rsidRPr="001202A2" w:rsidRDefault="00316457" w:rsidP="00880F49">
            <w:pPr>
              <w:jc w:val="center"/>
              <w:rPr>
                <w:b/>
                <w:bCs/>
                <w:iCs/>
                <w:szCs w:val="22"/>
                <w:lang w:val="sr-Latn-ME"/>
              </w:rPr>
            </w:pPr>
            <w:r w:rsidRPr="001202A2">
              <w:rPr>
                <w:b/>
                <w:bCs/>
                <w:iCs/>
                <w:szCs w:val="22"/>
                <w:lang w:val="sr-Latn-ME"/>
              </w:rPr>
              <w:t>Stopa događaja (%/godina)</w:t>
            </w:r>
          </w:p>
        </w:tc>
        <w:tc>
          <w:tcPr>
            <w:tcW w:w="709" w:type="dxa"/>
            <w:shd w:val="clear" w:color="auto" w:fill="BFBFBF" w:themeFill="background1" w:themeFillShade="BF"/>
            <w:vAlign w:val="center"/>
          </w:tcPr>
          <w:p w14:paraId="67E4C12D" w14:textId="77777777" w:rsidR="00316457" w:rsidRPr="001202A2" w:rsidRDefault="00316457"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4DD3CAC4" w14:textId="77777777" w:rsidR="00316457" w:rsidRPr="001202A2" w:rsidRDefault="00316457" w:rsidP="00880F49">
            <w:pPr>
              <w:jc w:val="center"/>
              <w:rPr>
                <w:b/>
                <w:bCs/>
                <w:iCs/>
                <w:szCs w:val="22"/>
                <w:lang w:val="sr-Latn-ME"/>
              </w:rPr>
            </w:pPr>
            <w:r w:rsidRPr="001202A2">
              <w:rPr>
                <w:b/>
                <w:bCs/>
                <w:iCs/>
                <w:szCs w:val="22"/>
                <w:lang w:val="sr-Latn-ME"/>
              </w:rPr>
              <w:t>Broj događaja</w:t>
            </w:r>
          </w:p>
        </w:tc>
        <w:tc>
          <w:tcPr>
            <w:tcW w:w="1417" w:type="dxa"/>
            <w:shd w:val="clear" w:color="auto" w:fill="BFBFBF" w:themeFill="background1" w:themeFillShade="BF"/>
            <w:vAlign w:val="center"/>
          </w:tcPr>
          <w:p w14:paraId="51169EDD" w14:textId="77777777" w:rsidR="00316457" w:rsidRPr="001202A2" w:rsidRDefault="00316457" w:rsidP="00880F49">
            <w:pPr>
              <w:jc w:val="center"/>
              <w:rPr>
                <w:b/>
                <w:bCs/>
                <w:iCs/>
                <w:szCs w:val="22"/>
                <w:lang w:val="sr-Latn-ME"/>
              </w:rPr>
            </w:pPr>
            <w:r w:rsidRPr="001202A2">
              <w:rPr>
                <w:b/>
                <w:bCs/>
                <w:iCs/>
                <w:szCs w:val="22"/>
                <w:lang w:val="sr-Latn-ME"/>
              </w:rPr>
              <w:t>Stopa događaja (%/godina)</w:t>
            </w:r>
          </w:p>
        </w:tc>
        <w:tc>
          <w:tcPr>
            <w:tcW w:w="1701" w:type="dxa"/>
            <w:shd w:val="clear" w:color="auto" w:fill="BFBFBF" w:themeFill="background1" w:themeFillShade="BF"/>
            <w:vAlign w:val="center"/>
          </w:tcPr>
          <w:p w14:paraId="6BD96012" w14:textId="77777777" w:rsidR="00316457" w:rsidRPr="001202A2" w:rsidRDefault="00316457" w:rsidP="00880F49">
            <w:pPr>
              <w:jc w:val="center"/>
              <w:rPr>
                <w:b/>
                <w:bCs/>
                <w:iCs/>
                <w:szCs w:val="22"/>
                <w:lang w:val="sr-Latn-ME"/>
              </w:rPr>
            </w:pPr>
            <w:r w:rsidRPr="001202A2">
              <w:rPr>
                <w:b/>
                <w:bCs/>
                <w:iCs/>
                <w:szCs w:val="22"/>
                <w:lang w:val="sr-Latn-ME"/>
              </w:rPr>
              <w:t>HR (95% CI)</w:t>
            </w:r>
          </w:p>
        </w:tc>
      </w:tr>
      <w:tr w:rsidR="00316457" w:rsidRPr="001202A2" w14:paraId="2B5A501F" w14:textId="77777777" w:rsidTr="001202A2">
        <w:tc>
          <w:tcPr>
            <w:tcW w:w="1668" w:type="dxa"/>
            <w:vAlign w:val="center"/>
          </w:tcPr>
          <w:p w14:paraId="0B03D529" w14:textId="77777777" w:rsidR="00316457" w:rsidRPr="001202A2" w:rsidRDefault="00316457" w:rsidP="00880F49">
            <w:pPr>
              <w:rPr>
                <w:iCs/>
                <w:szCs w:val="22"/>
                <w:lang w:val="sr-Latn-ME"/>
              </w:rPr>
            </w:pPr>
            <w:r w:rsidRPr="001202A2">
              <w:rPr>
                <w:iCs/>
                <w:szCs w:val="22"/>
                <w:lang w:val="sr-Latn-ME"/>
              </w:rPr>
              <w:t>≥ 30 do ≤ 50</w:t>
            </w:r>
          </w:p>
        </w:tc>
        <w:tc>
          <w:tcPr>
            <w:tcW w:w="708" w:type="dxa"/>
            <w:vAlign w:val="center"/>
          </w:tcPr>
          <w:p w14:paraId="2D153780" w14:textId="40389F10" w:rsidR="00316457" w:rsidRPr="001202A2" w:rsidRDefault="00316457" w:rsidP="00880F49">
            <w:pPr>
              <w:jc w:val="center"/>
              <w:rPr>
                <w:iCs/>
                <w:szCs w:val="22"/>
                <w:lang w:val="sr-Latn-ME"/>
              </w:rPr>
            </w:pPr>
            <w:r w:rsidRPr="001202A2">
              <w:rPr>
                <w:iCs/>
                <w:szCs w:val="22"/>
                <w:lang w:val="sr-Latn-ME"/>
              </w:rPr>
              <w:t>1302</w:t>
            </w:r>
          </w:p>
        </w:tc>
        <w:tc>
          <w:tcPr>
            <w:tcW w:w="1134" w:type="dxa"/>
            <w:vAlign w:val="center"/>
          </w:tcPr>
          <w:p w14:paraId="21FEE66B" w14:textId="0C7D2261" w:rsidR="00316457" w:rsidRPr="001202A2" w:rsidRDefault="00316457" w:rsidP="00880F49">
            <w:pPr>
              <w:jc w:val="center"/>
              <w:rPr>
                <w:iCs/>
                <w:szCs w:val="22"/>
                <w:lang w:val="sr-Latn-ME"/>
              </w:rPr>
            </w:pPr>
            <w:r w:rsidRPr="001202A2">
              <w:rPr>
                <w:iCs/>
                <w:szCs w:val="22"/>
                <w:lang w:val="sr-Latn-ME"/>
              </w:rPr>
              <w:t>96</w:t>
            </w:r>
          </w:p>
        </w:tc>
        <w:tc>
          <w:tcPr>
            <w:tcW w:w="1418" w:type="dxa"/>
            <w:vAlign w:val="center"/>
          </w:tcPr>
          <w:p w14:paraId="4ADA6432" w14:textId="17E9A537" w:rsidR="00316457" w:rsidRPr="001202A2" w:rsidRDefault="00316457" w:rsidP="00880F49">
            <w:pPr>
              <w:jc w:val="center"/>
              <w:rPr>
                <w:iCs/>
                <w:szCs w:val="22"/>
                <w:lang w:val="sr-Latn-ME"/>
              </w:rPr>
            </w:pPr>
            <w:r w:rsidRPr="001202A2">
              <w:rPr>
                <w:iCs/>
                <w:szCs w:val="22"/>
                <w:lang w:val="sr-Latn-ME"/>
              </w:rPr>
              <w:t>3.91</w:t>
            </w:r>
          </w:p>
        </w:tc>
        <w:tc>
          <w:tcPr>
            <w:tcW w:w="709" w:type="dxa"/>
            <w:vAlign w:val="center"/>
          </w:tcPr>
          <w:p w14:paraId="3742BD63" w14:textId="6ECB987F" w:rsidR="00316457" w:rsidRPr="001202A2" w:rsidRDefault="00316457" w:rsidP="00880F49">
            <w:pPr>
              <w:jc w:val="center"/>
              <w:rPr>
                <w:iCs/>
                <w:szCs w:val="22"/>
                <w:lang w:val="sr-Latn-ME"/>
              </w:rPr>
            </w:pPr>
            <w:r w:rsidRPr="001202A2">
              <w:rPr>
                <w:iCs/>
                <w:szCs w:val="22"/>
                <w:lang w:val="sr-Latn-ME"/>
              </w:rPr>
              <w:t>1305</w:t>
            </w:r>
          </w:p>
        </w:tc>
        <w:tc>
          <w:tcPr>
            <w:tcW w:w="1134" w:type="dxa"/>
            <w:vAlign w:val="center"/>
          </w:tcPr>
          <w:p w14:paraId="16685609" w14:textId="26FC7B2E" w:rsidR="00316457" w:rsidRPr="001202A2" w:rsidRDefault="00316457" w:rsidP="00880F49">
            <w:pPr>
              <w:jc w:val="center"/>
              <w:rPr>
                <w:iCs/>
                <w:szCs w:val="22"/>
                <w:lang w:val="sr-Latn-ME"/>
              </w:rPr>
            </w:pPr>
            <w:r w:rsidRPr="001202A2">
              <w:rPr>
                <w:iCs/>
                <w:szCs w:val="22"/>
                <w:lang w:val="sr-Latn-ME"/>
              </w:rPr>
              <w:t>128</w:t>
            </w:r>
          </w:p>
        </w:tc>
        <w:tc>
          <w:tcPr>
            <w:tcW w:w="1417" w:type="dxa"/>
            <w:vAlign w:val="center"/>
          </w:tcPr>
          <w:p w14:paraId="3BB94D4B" w14:textId="142DE54B" w:rsidR="00316457" w:rsidRPr="001202A2" w:rsidRDefault="00316457" w:rsidP="00880F49">
            <w:pPr>
              <w:jc w:val="center"/>
              <w:rPr>
                <w:iCs/>
                <w:szCs w:val="22"/>
                <w:lang w:val="sr-Latn-ME"/>
              </w:rPr>
            </w:pPr>
            <w:r w:rsidRPr="001202A2">
              <w:rPr>
                <w:iCs/>
                <w:szCs w:val="22"/>
                <w:lang w:val="sr-Latn-ME"/>
              </w:rPr>
              <w:t>5.23</w:t>
            </w:r>
          </w:p>
        </w:tc>
        <w:tc>
          <w:tcPr>
            <w:tcW w:w="1701" w:type="dxa"/>
            <w:vAlign w:val="center"/>
          </w:tcPr>
          <w:p w14:paraId="4ED70EA9" w14:textId="47966C25" w:rsidR="00316457" w:rsidRPr="001202A2" w:rsidRDefault="00316457" w:rsidP="00880F49">
            <w:pPr>
              <w:jc w:val="center"/>
              <w:rPr>
                <w:iCs/>
                <w:szCs w:val="22"/>
                <w:lang w:val="sr-Latn-ME"/>
              </w:rPr>
            </w:pPr>
            <w:r w:rsidRPr="001202A2">
              <w:rPr>
                <w:iCs/>
                <w:szCs w:val="22"/>
                <w:lang w:val="sr-Latn-ME"/>
              </w:rPr>
              <w:t>0.75 (0,58; 0,98)</w:t>
            </w:r>
          </w:p>
        </w:tc>
      </w:tr>
      <w:tr w:rsidR="00316457" w:rsidRPr="001202A2" w14:paraId="3BF6CB39" w14:textId="77777777" w:rsidTr="001202A2">
        <w:tc>
          <w:tcPr>
            <w:tcW w:w="1668" w:type="dxa"/>
            <w:vAlign w:val="center"/>
          </w:tcPr>
          <w:p w14:paraId="42C0903A" w14:textId="77777777" w:rsidR="00316457" w:rsidRPr="001202A2" w:rsidRDefault="00316457" w:rsidP="00880F49">
            <w:pPr>
              <w:rPr>
                <w:iCs/>
                <w:szCs w:val="22"/>
                <w:lang w:val="sr-Latn-ME"/>
              </w:rPr>
            </w:pPr>
            <w:r w:rsidRPr="001202A2">
              <w:rPr>
                <w:iCs/>
                <w:szCs w:val="22"/>
                <w:lang w:val="sr-Latn-ME"/>
              </w:rPr>
              <w:t>&gt; 50 do ≤ 70</w:t>
            </w:r>
          </w:p>
        </w:tc>
        <w:tc>
          <w:tcPr>
            <w:tcW w:w="708" w:type="dxa"/>
            <w:vAlign w:val="center"/>
          </w:tcPr>
          <w:p w14:paraId="7069C82D" w14:textId="27403AE5" w:rsidR="00316457" w:rsidRPr="001202A2" w:rsidRDefault="00316457" w:rsidP="00880F49">
            <w:pPr>
              <w:jc w:val="center"/>
              <w:rPr>
                <w:iCs/>
                <w:szCs w:val="22"/>
                <w:lang w:val="sr-Latn-ME"/>
              </w:rPr>
            </w:pPr>
            <w:r w:rsidRPr="001202A2">
              <w:rPr>
                <w:iCs/>
                <w:szCs w:val="22"/>
                <w:lang w:val="sr-Latn-ME"/>
              </w:rPr>
              <w:t>2093</w:t>
            </w:r>
          </w:p>
        </w:tc>
        <w:tc>
          <w:tcPr>
            <w:tcW w:w="1134" w:type="dxa"/>
            <w:vAlign w:val="center"/>
          </w:tcPr>
          <w:p w14:paraId="25314EA6" w14:textId="13D7DDF4" w:rsidR="00316457" w:rsidRPr="001202A2" w:rsidRDefault="00316457" w:rsidP="00880F49">
            <w:pPr>
              <w:jc w:val="center"/>
              <w:rPr>
                <w:iCs/>
                <w:szCs w:val="22"/>
                <w:lang w:val="sr-Latn-ME"/>
              </w:rPr>
            </w:pPr>
            <w:r w:rsidRPr="001202A2">
              <w:rPr>
                <w:iCs/>
                <w:szCs w:val="22"/>
                <w:lang w:val="sr-Latn-ME"/>
              </w:rPr>
              <w:t>148</w:t>
            </w:r>
          </w:p>
        </w:tc>
        <w:tc>
          <w:tcPr>
            <w:tcW w:w="1418" w:type="dxa"/>
            <w:vAlign w:val="center"/>
          </w:tcPr>
          <w:p w14:paraId="6FA30A26" w14:textId="6322823C" w:rsidR="00316457" w:rsidRPr="001202A2" w:rsidRDefault="00316457" w:rsidP="00880F49">
            <w:pPr>
              <w:jc w:val="center"/>
              <w:rPr>
                <w:iCs/>
                <w:szCs w:val="22"/>
                <w:lang w:val="sr-Latn-ME"/>
              </w:rPr>
            </w:pPr>
            <w:r w:rsidRPr="001202A2">
              <w:rPr>
                <w:iCs/>
                <w:szCs w:val="22"/>
                <w:lang w:val="sr-Latn-ME"/>
              </w:rPr>
              <w:t>3,31</w:t>
            </w:r>
          </w:p>
        </w:tc>
        <w:tc>
          <w:tcPr>
            <w:tcW w:w="709" w:type="dxa"/>
            <w:vAlign w:val="center"/>
          </w:tcPr>
          <w:p w14:paraId="5CC93775" w14:textId="42EB8905" w:rsidR="00316457" w:rsidRPr="001202A2" w:rsidRDefault="00316457" w:rsidP="00880F49">
            <w:pPr>
              <w:jc w:val="center"/>
              <w:rPr>
                <w:iCs/>
                <w:szCs w:val="22"/>
                <w:lang w:val="sr-Latn-ME"/>
              </w:rPr>
            </w:pPr>
            <w:r w:rsidRPr="001202A2">
              <w:rPr>
                <w:iCs/>
                <w:szCs w:val="22"/>
                <w:lang w:val="sr-Latn-ME"/>
              </w:rPr>
              <w:t>2106</w:t>
            </w:r>
          </w:p>
        </w:tc>
        <w:tc>
          <w:tcPr>
            <w:tcW w:w="1134" w:type="dxa"/>
            <w:vAlign w:val="center"/>
          </w:tcPr>
          <w:p w14:paraId="2E6173D3" w14:textId="4CA192F9" w:rsidR="00316457" w:rsidRPr="001202A2" w:rsidRDefault="00316457" w:rsidP="00880F49">
            <w:pPr>
              <w:jc w:val="center"/>
              <w:rPr>
                <w:iCs/>
                <w:szCs w:val="22"/>
                <w:lang w:val="sr-Latn-ME"/>
              </w:rPr>
            </w:pPr>
            <w:r w:rsidRPr="001202A2">
              <w:rPr>
                <w:iCs/>
                <w:szCs w:val="22"/>
                <w:lang w:val="sr-Latn-ME"/>
              </w:rPr>
              <w:t>171</w:t>
            </w:r>
          </w:p>
        </w:tc>
        <w:tc>
          <w:tcPr>
            <w:tcW w:w="1417" w:type="dxa"/>
            <w:vAlign w:val="center"/>
          </w:tcPr>
          <w:p w14:paraId="6BA523D7" w14:textId="2AA4B735" w:rsidR="00316457" w:rsidRPr="001202A2" w:rsidRDefault="00316457" w:rsidP="00880F49">
            <w:pPr>
              <w:jc w:val="center"/>
              <w:rPr>
                <w:iCs/>
                <w:szCs w:val="22"/>
                <w:lang w:val="sr-Latn-ME"/>
              </w:rPr>
            </w:pPr>
            <w:r w:rsidRPr="001202A2">
              <w:rPr>
                <w:iCs/>
                <w:szCs w:val="22"/>
                <w:lang w:val="sr-Latn-ME"/>
              </w:rPr>
              <w:t>3,77</w:t>
            </w:r>
          </w:p>
        </w:tc>
        <w:tc>
          <w:tcPr>
            <w:tcW w:w="1701" w:type="dxa"/>
            <w:vAlign w:val="center"/>
          </w:tcPr>
          <w:p w14:paraId="395CE62B" w14:textId="29FAD1BF" w:rsidR="00316457" w:rsidRPr="001202A2" w:rsidRDefault="00316457" w:rsidP="00880F49">
            <w:pPr>
              <w:jc w:val="center"/>
              <w:rPr>
                <w:iCs/>
                <w:szCs w:val="22"/>
                <w:lang w:val="sr-Latn-ME"/>
              </w:rPr>
            </w:pPr>
            <w:r w:rsidRPr="001202A2">
              <w:rPr>
                <w:iCs/>
                <w:szCs w:val="22"/>
                <w:lang w:val="sr-Latn-ME"/>
              </w:rPr>
              <w:t>0,88 (0,71; 1,10)</w:t>
            </w:r>
          </w:p>
        </w:tc>
      </w:tr>
      <w:tr w:rsidR="00316457" w:rsidRPr="001202A2" w14:paraId="2034D0F8" w14:textId="77777777" w:rsidTr="001202A2">
        <w:tc>
          <w:tcPr>
            <w:tcW w:w="1668" w:type="dxa"/>
            <w:vAlign w:val="center"/>
          </w:tcPr>
          <w:p w14:paraId="05DF2E1D" w14:textId="77777777" w:rsidR="00316457" w:rsidRPr="001202A2" w:rsidRDefault="00316457" w:rsidP="00880F49">
            <w:pPr>
              <w:rPr>
                <w:iCs/>
                <w:szCs w:val="22"/>
                <w:lang w:val="sr-Latn-ME"/>
              </w:rPr>
            </w:pPr>
            <w:r w:rsidRPr="001202A2">
              <w:rPr>
                <w:iCs/>
                <w:szCs w:val="22"/>
                <w:lang w:val="sr-Latn-ME"/>
              </w:rPr>
              <w:t>&gt; 70 do ≤ 90</w:t>
            </w:r>
          </w:p>
        </w:tc>
        <w:tc>
          <w:tcPr>
            <w:tcW w:w="708" w:type="dxa"/>
            <w:vAlign w:val="center"/>
          </w:tcPr>
          <w:p w14:paraId="5DF8D14B" w14:textId="7BB42080" w:rsidR="00316457" w:rsidRPr="001202A2" w:rsidRDefault="00316457" w:rsidP="00880F49">
            <w:pPr>
              <w:jc w:val="center"/>
              <w:rPr>
                <w:iCs/>
                <w:szCs w:val="22"/>
                <w:lang w:val="sr-Latn-ME"/>
              </w:rPr>
            </w:pPr>
            <w:r w:rsidRPr="001202A2">
              <w:rPr>
                <w:iCs/>
                <w:szCs w:val="22"/>
                <w:lang w:val="sr-Latn-ME"/>
              </w:rPr>
              <w:t>1661</w:t>
            </w:r>
          </w:p>
        </w:tc>
        <w:tc>
          <w:tcPr>
            <w:tcW w:w="1134" w:type="dxa"/>
            <w:vAlign w:val="center"/>
          </w:tcPr>
          <w:p w14:paraId="2D822461" w14:textId="1D86DEEC" w:rsidR="00316457" w:rsidRPr="001202A2" w:rsidRDefault="00316457" w:rsidP="00880F49">
            <w:pPr>
              <w:jc w:val="center"/>
              <w:rPr>
                <w:iCs/>
                <w:szCs w:val="22"/>
                <w:lang w:val="sr-Latn-ME"/>
              </w:rPr>
            </w:pPr>
            <w:r w:rsidRPr="001202A2">
              <w:rPr>
                <w:iCs/>
                <w:szCs w:val="22"/>
                <w:lang w:val="sr-Latn-ME"/>
              </w:rPr>
              <w:t>108</w:t>
            </w:r>
          </w:p>
        </w:tc>
        <w:tc>
          <w:tcPr>
            <w:tcW w:w="1418" w:type="dxa"/>
            <w:vAlign w:val="center"/>
          </w:tcPr>
          <w:p w14:paraId="74BA79EC" w14:textId="0F6614B6" w:rsidR="00316457" w:rsidRPr="001202A2" w:rsidRDefault="00316457" w:rsidP="00880F49">
            <w:pPr>
              <w:jc w:val="center"/>
              <w:rPr>
                <w:iCs/>
                <w:szCs w:val="22"/>
                <w:lang w:val="sr-Latn-ME"/>
              </w:rPr>
            </w:pPr>
            <w:r w:rsidRPr="001202A2">
              <w:rPr>
                <w:iCs/>
                <w:szCs w:val="22"/>
                <w:lang w:val="sr-Latn-ME"/>
              </w:rPr>
              <w:t>2,88</w:t>
            </w:r>
          </w:p>
        </w:tc>
        <w:tc>
          <w:tcPr>
            <w:tcW w:w="709" w:type="dxa"/>
            <w:vAlign w:val="center"/>
          </w:tcPr>
          <w:p w14:paraId="30E44706" w14:textId="5A408BEB" w:rsidR="00316457" w:rsidRPr="001202A2" w:rsidRDefault="00316457" w:rsidP="00880F49">
            <w:pPr>
              <w:jc w:val="center"/>
              <w:rPr>
                <w:iCs/>
                <w:szCs w:val="22"/>
                <w:lang w:val="sr-Latn-ME"/>
              </w:rPr>
            </w:pPr>
            <w:r w:rsidRPr="001202A2">
              <w:rPr>
                <w:iCs/>
                <w:szCs w:val="22"/>
                <w:lang w:val="sr-Latn-ME"/>
              </w:rPr>
              <w:t>1703</w:t>
            </w:r>
          </w:p>
        </w:tc>
        <w:tc>
          <w:tcPr>
            <w:tcW w:w="1134" w:type="dxa"/>
            <w:vAlign w:val="center"/>
          </w:tcPr>
          <w:p w14:paraId="4085876C" w14:textId="3594094F" w:rsidR="00316457" w:rsidRPr="001202A2" w:rsidRDefault="00316457" w:rsidP="00880F49">
            <w:pPr>
              <w:jc w:val="center"/>
              <w:rPr>
                <w:iCs/>
                <w:szCs w:val="22"/>
                <w:lang w:val="sr-Latn-ME"/>
              </w:rPr>
            </w:pPr>
            <w:r w:rsidRPr="001202A2">
              <w:rPr>
                <w:iCs/>
                <w:szCs w:val="22"/>
                <w:lang w:val="sr-Latn-ME"/>
              </w:rPr>
              <w:t>119</w:t>
            </w:r>
          </w:p>
        </w:tc>
        <w:tc>
          <w:tcPr>
            <w:tcW w:w="1417" w:type="dxa"/>
            <w:vAlign w:val="center"/>
          </w:tcPr>
          <w:p w14:paraId="5DA916B2" w14:textId="5E949411" w:rsidR="00316457" w:rsidRPr="001202A2" w:rsidRDefault="00316457" w:rsidP="00880F49">
            <w:pPr>
              <w:jc w:val="center"/>
              <w:rPr>
                <w:iCs/>
                <w:szCs w:val="22"/>
                <w:lang w:val="sr-Latn-ME"/>
              </w:rPr>
            </w:pPr>
            <w:r w:rsidRPr="001202A2">
              <w:rPr>
                <w:iCs/>
                <w:szCs w:val="22"/>
                <w:lang w:val="sr-Latn-ME"/>
              </w:rPr>
              <w:t>3,08</w:t>
            </w:r>
          </w:p>
        </w:tc>
        <w:tc>
          <w:tcPr>
            <w:tcW w:w="1701" w:type="dxa"/>
            <w:vAlign w:val="center"/>
          </w:tcPr>
          <w:p w14:paraId="3AD88A0C" w14:textId="5B5D37FE" w:rsidR="00316457" w:rsidRPr="001202A2" w:rsidRDefault="00316457" w:rsidP="00880F49">
            <w:pPr>
              <w:jc w:val="center"/>
              <w:rPr>
                <w:iCs/>
                <w:szCs w:val="22"/>
                <w:lang w:val="sr-Latn-ME"/>
              </w:rPr>
            </w:pPr>
            <w:r w:rsidRPr="001202A2">
              <w:rPr>
                <w:iCs/>
                <w:szCs w:val="22"/>
                <w:lang w:val="sr-Latn-ME"/>
              </w:rPr>
              <w:t>0,93 (0,72; 1,21)</w:t>
            </w:r>
          </w:p>
        </w:tc>
      </w:tr>
      <w:tr w:rsidR="00316457" w:rsidRPr="001202A2" w14:paraId="3DA7D134" w14:textId="77777777" w:rsidTr="001202A2">
        <w:tc>
          <w:tcPr>
            <w:tcW w:w="1668" w:type="dxa"/>
            <w:vAlign w:val="center"/>
          </w:tcPr>
          <w:p w14:paraId="25416F12" w14:textId="77777777" w:rsidR="00316457" w:rsidRPr="001202A2" w:rsidRDefault="00316457" w:rsidP="00880F49">
            <w:pPr>
              <w:rPr>
                <w:iCs/>
                <w:szCs w:val="22"/>
                <w:lang w:val="sr-Latn-ME"/>
              </w:rPr>
            </w:pPr>
            <w:r w:rsidRPr="001202A2">
              <w:rPr>
                <w:iCs/>
                <w:szCs w:val="22"/>
                <w:lang w:val="sr-Latn-ME"/>
              </w:rPr>
              <w:lastRenderedPageBreak/>
              <w:t>&gt; 90 do ≤ 110</w:t>
            </w:r>
          </w:p>
        </w:tc>
        <w:tc>
          <w:tcPr>
            <w:tcW w:w="708" w:type="dxa"/>
            <w:vAlign w:val="center"/>
          </w:tcPr>
          <w:p w14:paraId="5A4EC920" w14:textId="631B0952" w:rsidR="00316457" w:rsidRPr="001202A2" w:rsidRDefault="00316457" w:rsidP="00880F49">
            <w:pPr>
              <w:jc w:val="center"/>
              <w:rPr>
                <w:iCs/>
                <w:szCs w:val="22"/>
                <w:lang w:val="sr-Latn-ME"/>
              </w:rPr>
            </w:pPr>
            <w:r w:rsidRPr="001202A2">
              <w:rPr>
                <w:iCs/>
                <w:szCs w:val="22"/>
                <w:lang w:val="sr-Latn-ME"/>
              </w:rPr>
              <w:t>927</w:t>
            </w:r>
          </w:p>
        </w:tc>
        <w:tc>
          <w:tcPr>
            <w:tcW w:w="1134" w:type="dxa"/>
            <w:vAlign w:val="center"/>
          </w:tcPr>
          <w:p w14:paraId="1B86A453" w14:textId="2B353BB7" w:rsidR="00316457" w:rsidRPr="001202A2" w:rsidRDefault="00316457" w:rsidP="00880F49">
            <w:pPr>
              <w:jc w:val="center"/>
              <w:rPr>
                <w:iCs/>
                <w:szCs w:val="22"/>
                <w:lang w:val="sr-Latn-ME"/>
              </w:rPr>
            </w:pPr>
            <w:r w:rsidRPr="001202A2">
              <w:rPr>
                <w:iCs/>
                <w:szCs w:val="22"/>
                <w:lang w:val="sr-Latn-ME"/>
              </w:rPr>
              <w:t>29</w:t>
            </w:r>
          </w:p>
        </w:tc>
        <w:tc>
          <w:tcPr>
            <w:tcW w:w="1418" w:type="dxa"/>
            <w:vAlign w:val="center"/>
          </w:tcPr>
          <w:p w14:paraId="175AB383" w14:textId="6F62EB2D" w:rsidR="00316457" w:rsidRPr="001202A2" w:rsidRDefault="00316457" w:rsidP="00880F49">
            <w:pPr>
              <w:jc w:val="center"/>
              <w:rPr>
                <w:iCs/>
                <w:szCs w:val="22"/>
                <w:lang w:val="sr-Latn-ME"/>
              </w:rPr>
            </w:pPr>
            <w:r w:rsidRPr="001202A2">
              <w:rPr>
                <w:iCs/>
                <w:szCs w:val="22"/>
                <w:lang w:val="sr-Latn-ME"/>
              </w:rPr>
              <w:t>1,33</w:t>
            </w:r>
          </w:p>
        </w:tc>
        <w:tc>
          <w:tcPr>
            <w:tcW w:w="709" w:type="dxa"/>
            <w:vAlign w:val="center"/>
          </w:tcPr>
          <w:p w14:paraId="0DA55447" w14:textId="011683FB" w:rsidR="00316457" w:rsidRPr="001202A2" w:rsidRDefault="00316457" w:rsidP="00880F49">
            <w:pPr>
              <w:jc w:val="center"/>
              <w:rPr>
                <w:iCs/>
                <w:szCs w:val="22"/>
                <w:lang w:val="sr-Latn-ME"/>
              </w:rPr>
            </w:pPr>
            <w:r w:rsidRPr="001202A2">
              <w:rPr>
                <w:iCs/>
                <w:szCs w:val="22"/>
                <w:lang w:val="sr-Latn-ME"/>
              </w:rPr>
              <w:t>960</w:t>
            </w:r>
          </w:p>
        </w:tc>
        <w:tc>
          <w:tcPr>
            <w:tcW w:w="1134" w:type="dxa"/>
            <w:vAlign w:val="center"/>
          </w:tcPr>
          <w:p w14:paraId="1A9ED74D" w14:textId="28442C01" w:rsidR="00316457" w:rsidRPr="001202A2" w:rsidRDefault="00316457" w:rsidP="00880F49">
            <w:pPr>
              <w:jc w:val="center"/>
              <w:rPr>
                <w:iCs/>
                <w:szCs w:val="22"/>
                <w:lang w:val="sr-Latn-ME"/>
              </w:rPr>
            </w:pPr>
            <w:r w:rsidRPr="001202A2">
              <w:rPr>
                <w:iCs/>
                <w:szCs w:val="22"/>
                <w:lang w:val="sr-Latn-ME"/>
              </w:rPr>
              <w:t>56</w:t>
            </w:r>
          </w:p>
        </w:tc>
        <w:tc>
          <w:tcPr>
            <w:tcW w:w="1417" w:type="dxa"/>
            <w:vAlign w:val="center"/>
          </w:tcPr>
          <w:p w14:paraId="5AB65E97" w14:textId="110103B2" w:rsidR="00316457" w:rsidRPr="001202A2" w:rsidRDefault="00316457" w:rsidP="00880F49">
            <w:pPr>
              <w:jc w:val="center"/>
              <w:rPr>
                <w:iCs/>
                <w:szCs w:val="22"/>
                <w:lang w:val="sr-Latn-ME"/>
              </w:rPr>
            </w:pPr>
            <w:r w:rsidRPr="001202A2">
              <w:rPr>
                <w:iCs/>
                <w:szCs w:val="22"/>
                <w:lang w:val="sr-Latn-ME"/>
              </w:rPr>
              <w:t>2,48</w:t>
            </w:r>
          </w:p>
        </w:tc>
        <w:tc>
          <w:tcPr>
            <w:tcW w:w="1701" w:type="dxa"/>
            <w:vAlign w:val="center"/>
          </w:tcPr>
          <w:p w14:paraId="2157BAD9" w14:textId="0E253363" w:rsidR="00316457" w:rsidRPr="001202A2" w:rsidRDefault="00316457" w:rsidP="00880F49">
            <w:pPr>
              <w:jc w:val="center"/>
              <w:rPr>
                <w:iCs/>
                <w:szCs w:val="22"/>
                <w:lang w:val="sr-Latn-ME"/>
              </w:rPr>
            </w:pPr>
            <w:r w:rsidRPr="001202A2">
              <w:rPr>
                <w:iCs/>
                <w:szCs w:val="22"/>
                <w:lang w:val="sr-Latn-ME"/>
              </w:rPr>
              <w:t>0,54 (0,34; 0,84)</w:t>
            </w:r>
          </w:p>
        </w:tc>
      </w:tr>
      <w:tr w:rsidR="00316457" w:rsidRPr="001202A2" w14:paraId="4FCD8110" w14:textId="77777777" w:rsidTr="001202A2">
        <w:tc>
          <w:tcPr>
            <w:tcW w:w="1668" w:type="dxa"/>
            <w:vAlign w:val="center"/>
          </w:tcPr>
          <w:p w14:paraId="6A117E79" w14:textId="77777777" w:rsidR="00316457" w:rsidRPr="001202A2" w:rsidRDefault="00316457" w:rsidP="00880F49">
            <w:pPr>
              <w:rPr>
                <w:iCs/>
                <w:szCs w:val="22"/>
                <w:lang w:val="sr-Latn-ME"/>
              </w:rPr>
            </w:pPr>
            <w:r w:rsidRPr="001202A2">
              <w:rPr>
                <w:iCs/>
                <w:szCs w:val="22"/>
                <w:lang w:val="sr-Latn-ME"/>
              </w:rPr>
              <w:t>&gt; 110 do ≤ 130</w:t>
            </w:r>
          </w:p>
        </w:tc>
        <w:tc>
          <w:tcPr>
            <w:tcW w:w="708" w:type="dxa"/>
            <w:vAlign w:val="center"/>
          </w:tcPr>
          <w:p w14:paraId="3C2DC5D8" w14:textId="55C655CC" w:rsidR="00316457" w:rsidRPr="001202A2" w:rsidRDefault="00316457" w:rsidP="00880F49">
            <w:pPr>
              <w:jc w:val="center"/>
              <w:rPr>
                <w:iCs/>
                <w:szCs w:val="22"/>
                <w:lang w:val="sr-Latn-ME"/>
              </w:rPr>
            </w:pPr>
            <w:r w:rsidRPr="001202A2">
              <w:rPr>
                <w:iCs/>
                <w:szCs w:val="22"/>
                <w:lang w:val="sr-Latn-ME"/>
              </w:rPr>
              <w:t>497</w:t>
            </w:r>
          </w:p>
        </w:tc>
        <w:tc>
          <w:tcPr>
            <w:tcW w:w="1134" w:type="dxa"/>
            <w:vAlign w:val="center"/>
          </w:tcPr>
          <w:p w14:paraId="430BB9CC" w14:textId="1FB6F0E5" w:rsidR="00316457" w:rsidRPr="001202A2" w:rsidRDefault="00316457" w:rsidP="00880F49">
            <w:pPr>
              <w:jc w:val="center"/>
              <w:rPr>
                <w:iCs/>
                <w:szCs w:val="22"/>
                <w:lang w:val="sr-Latn-ME"/>
              </w:rPr>
            </w:pPr>
            <w:r w:rsidRPr="001202A2">
              <w:rPr>
                <w:iCs/>
                <w:szCs w:val="22"/>
                <w:lang w:val="sr-Latn-ME"/>
              </w:rPr>
              <w:t>20</w:t>
            </w:r>
          </w:p>
        </w:tc>
        <w:tc>
          <w:tcPr>
            <w:tcW w:w="1418" w:type="dxa"/>
            <w:vAlign w:val="center"/>
          </w:tcPr>
          <w:p w14:paraId="33E3A824" w14:textId="111093CB" w:rsidR="00316457" w:rsidRPr="001202A2" w:rsidRDefault="00316457" w:rsidP="00880F49">
            <w:pPr>
              <w:jc w:val="center"/>
              <w:rPr>
                <w:iCs/>
                <w:szCs w:val="22"/>
                <w:lang w:val="sr-Latn-ME"/>
              </w:rPr>
            </w:pPr>
            <w:r w:rsidRPr="001202A2">
              <w:rPr>
                <w:iCs/>
                <w:szCs w:val="22"/>
                <w:lang w:val="sr-Latn-ME"/>
              </w:rPr>
              <w:t>1,70</w:t>
            </w:r>
          </w:p>
        </w:tc>
        <w:tc>
          <w:tcPr>
            <w:tcW w:w="709" w:type="dxa"/>
            <w:vAlign w:val="center"/>
          </w:tcPr>
          <w:p w14:paraId="3FB64F89" w14:textId="681C9865" w:rsidR="00316457" w:rsidRPr="001202A2" w:rsidRDefault="00316457" w:rsidP="00880F49">
            <w:pPr>
              <w:jc w:val="center"/>
              <w:rPr>
                <w:iCs/>
                <w:szCs w:val="22"/>
                <w:lang w:val="sr-Latn-ME"/>
              </w:rPr>
            </w:pPr>
            <w:r w:rsidRPr="001202A2">
              <w:rPr>
                <w:iCs/>
                <w:szCs w:val="22"/>
                <w:lang w:val="sr-Latn-ME"/>
              </w:rPr>
              <w:t>469</w:t>
            </w:r>
          </w:p>
        </w:tc>
        <w:tc>
          <w:tcPr>
            <w:tcW w:w="1134" w:type="dxa"/>
            <w:vAlign w:val="center"/>
          </w:tcPr>
          <w:p w14:paraId="5016082B" w14:textId="5FD4C644" w:rsidR="00316457" w:rsidRPr="001202A2" w:rsidRDefault="00316457" w:rsidP="00880F49">
            <w:pPr>
              <w:jc w:val="center"/>
              <w:rPr>
                <w:iCs/>
                <w:szCs w:val="22"/>
                <w:lang w:val="sr-Latn-ME"/>
              </w:rPr>
            </w:pPr>
            <w:r w:rsidRPr="001202A2">
              <w:rPr>
                <w:iCs/>
                <w:szCs w:val="22"/>
                <w:lang w:val="sr-Latn-ME"/>
              </w:rPr>
              <w:t>24</w:t>
            </w:r>
          </w:p>
        </w:tc>
        <w:tc>
          <w:tcPr>
            <w:tcW w:w="1417" w:type="dxa"/>
            <w:vAlign w:val="center"/>
          </w:tcPr>
          <w:p w14:paraId="78444BCF" w14:textId="52617C5C" w:rsidR="00316457" w:rsidRPr="001202A2" w:rsidRDefault="00316457" w:rsidP="00880F49">
            <w:pPr>
              <w:jc w:val="center"/>
              <w:rPr>
                <w:iCs/>
                <w:szCs w:val="22"/>
                <w:lang w:val="sr-Latn-ME"/>
              </w:rPr>
            </w:pPr>
            <w:r w:rsidRPr="001202A2">
              <w:rPr>
                <w:iCs/>
                <w:szCs w:val="22"/>
                <w:lang w:val="sr-Latn-ME"/>
              </w:rPr>
              <w:t>2,14</w:t>
            </w:r>
          </w:p>
        </w:tc>
        <w:tc>
          <w:tcPr>
            <w:tcW w:w="1701" w:type="dxa"/>
            <w:vAlign w:val="center"/>
          </w:tcPr>
          <w:p w14:paraId="6F1D3D81" w14:textId="3095DA64" w:rsidR="00316457" w:rsidRPr="001202A2" w:rsidRDefault="00316457" w:rsidP="00880F49">
            <w:pPr>
              <w:jc w:val="center"/>
              <w:rPr>
                <w:iCs/>
                <w:szCs w:val="22"/>
                <w:lang w:val="sr-Latn-ME"/>
              </w:rPr>
            </w:pPr>
            <w:r w:rsidRPr="001202A2">
              <w:rPr>
                <w:iCs/>
                <w:szCs w:val="22"/>
                <w:lang w:val="sr-Latn-ME"/>
              </w:rPr>
              <w:t>0,79 (0,44; 1,42)</w:t>
            </w:r>
          </w:p>
        </w:tc>
      </w:tr>
      <w:tr w:rsidR="00316457" w:rsidRPr="001202A2" w14:paraId="780E8771" w14:textId="77777777" w:rsidTr="001202A2">
        <w:tc>
          <w:tcPr>
            <w:tcW w:w="1668" w:type="dxa"/>
            <w:vAlign w:val="center"/>
          </w:tcPr>
          <w:p w14:paraId="19DD1EC1" w14:textId="77777777" w:rsidR="00316457" w:rsidRPr="001202A2" w:rsidRDefault="00316457" w:rsidP="00880F49">
            <w:pPr>
              <w:rPr>
                <w:iCs/>
                <w:szCs w:val="22"/>
                <w:lang w:val="sr-Latn-ME"/>
              </w:rPr>
            </w:pPr>
            <w:r w:rsidRPr="001202A2">
              <w:rPr>
                <w:iCs/>
                <w:szCs w:val="22"/>
                <w:lang w:val="sr-Latn-ME"/>
              </w:rPr>
              <w:t>&gt; 130</w:t>
            </w:r>
          </w:p>
        </w:tc>
        <w:tc>
          <w:tcPr>
            <w:tcW w:w="708" w:type="dxa"/>
            <w:vAlign w:val="center"/>
          </w:tcPr>
          <w:p w14:paraId="52F180B8" w14:textId="646736DA" w:rsidR="00316457" w:rsidRPr="001202A2" w:rsidRDefault="00316457" w:rsidP="00880F49">
            <w:pPr>
              <w:jc w:val="center"/>
              <w:rPr>
                <w:iCs/>
                <w:szCs w:val="22"/>
                <w:lang w:val="sr-Latn-ME"/>
              </w:rPr>
            </w:pPr>
            <w:r w:rsidRPr="001202A2">
              <w:rPr>
                <w:iCs/>
                <w:szCs w:val="22"/>
                <w:lang w:val="sr-Latn-ME"/>
              </w:rPr>
              <w:t>462</w:t>
            </w:r>
          </w:p>
        </w:tc>
        <w:tc>
          <w:tcPr>
            <w:tcW w:w="1134" w:type="dxa"/>
            <w:vAlign w:val="center"/>
          </w:tcPr>
          <w:p w14:paraId="15E3EBF0" w14:textId="1216D596" w:rsidR="00316457" w:rsidRPr="001202A2" w:rsidRDefault="00316457" w:rsidP="00880F49">
            <w:pPr>
              <w:jc w:val="center"/>
              <w:rPr>
                <w:iCs/>
                <w:szCs w:val="22"/>
                <w:lang w:val="sr-Latn-ME"/>
              </w:rPr>
            </w:pPr>
            <w:r w:rsidRPr="001202A2">
              <w:rPr>
                <w:iCs/>
                <w:szCs w:val="22"/>
                <w:lang w:val="sr-Latn-ME"/>
              </w:rPr>
              <w:t>13</w:t>
            </w:r>
          </w:p>
        </w:tc>
        <w:tc>
          <w:tcPr>
            <w:tcW w:w="1418" w:type="dxa"/>
            <w:vAlign w:val="center"/>
          </w:tcPr>
          <w:p w14:paraId="63DF088A" w14:textId="6248A53E" w:rsidR="00316457" w:rsidRPr="001202A2" w:rsidRDefault="00316457" w:rsidP="00880F49">
            <w:pPr>
              <w:jc w:val="center"/>
              <w:rPr>
                <w:iCs/>
                <w:szCs w:val="22"/>
                <w:lang w:val="sr-Latn-ME"/>
              </w:rPr>
            </w:pPr>
            <w:r w:rsidRPr="001202A2">
              <w:rPr>
                <w:iCs/>
                <w:szCs w:val="22"/>
                <w:lang w:val="sr-Latn-ME"/>
              </w:rPr>
              <w:t>1,18</w:t>
            </w:r>
          </w:p>
        </w:tc>
        <w:tc>
          <w:tcPr>
            <w:tcW w:w="709" w:type="dxa"/>
            <w:vAlign w:val="center"/>
          </w:tcPr>
          <w:p w14:paraId="7E57725E" w14:textId="783FB3A1" w:rsidR="00316457" w:rsidRPr="001202A2" w:rsidRDefault="00316457" w:rsidP="00880F49">
            <w:pPr>
              <w:jc w:val="center"/>
              <w:rPr>
                <w:iCs/>
                <w:szCs w:val="22"/>
                <w:lang w:val="sr-Latn-ME"/>
              </w:rPr>
            </w:pPr>
            <w:r w:rsidRPr="001202A2">
              <w:rPr>
                <w:iCs/>
                <w:szCs w:val="22"/>
                <w:lang w:val="sr-Latn-ME"/>
              </w:rPr>
              <w:t>418</w:t>
            </w:r>
          </w:p>
        </w:tc>
        <w:tc>
          <w:tcPr>
            <w:tcW w:w="1134" w:type="dxa"/>
            <w:vAlign w:val="center"/>
          </w:tcPr>
          <w:p w14:paraId="7BCB70FD" w14:textId="74E84D27" w:rsidR="00316457" w:rsidRPr="001202A2" w:rsidRDefault="00316457" w:rsidP="00880F49">
            <w:pPr>
              <w:jc w:val="center"/>
              <w:rPr>
                <w:iCs/>
                <w:szCs w:val="22"/>
                <w:lang w:val="sr-Latn-ME"/>
              </w:rPr>
            </w:pPr>
            <w:r w:rsidRPr="001202A2">
              <w:rPr>
                <w:iCs/>
                <w:szCs w:val="22"/>
                <w:lang w:val="sr-Latn-ME"/>
              </w:rPr>
              <w:t>21</w:t>
            </w:r>
          </w:p>
        </w:tc>
        <w:tc>
          <w:tcPr>
            <w:tcW w:w="1417" w:type="dxa"/>
            <w:vAlign w:val="center"/>
          </w:tcPr>
          <w:p w14:paraId="46BA8907" w14:textId="6AAF41F1" w:rsidR="00316457" w:rsidRPr="001202A2" w:rsidRDefault="00316457" w:rsidP="00880F49">
            <w:pPr>
              <w:jc w:val="center"/>
              <w:rPr>
                <w:iCs/>
                <w:szCs w:val="22"/>
                <w:lang w:val="sr-Latn-ME"/>
              </w:rPr>
            </w:pPr>
            <w:r w:rsidRPr="001202A2">
              <w:rPr>
                <w:iCs/>
                <w:szCs w:val="22"/>
                <w:lang w:val="sr-Latn-ME"/>
              </w:rPr>
              <w:t>2,08</w:t>
            </w:r>
          </w:p>
        </w:tc>
        <w:tc>
          <w:tcPr>
            <w:tcW w:w="1701" w:type="dxa"/>
            <w:vAlign w:val="center"/>
          </w:tcPr>
          <w:p w14:paraId="7D27B9C4" w14:textId="1AC291F2" w:rsidR="00316457" w:rsidRPr="001202A2" w:rsidRDefault="00316457" w:rsidP="00880F49">
            <w:pPr>
              <w:jc w:val="center"/>
              <w:rPr>
                <w:iCs/>
                <w:szCs w:val="22"/>
                <w:lang w:val="sr-Latn-ME"/>
              </w:rPr>
            </w:pPr>
            <w:r w:rsidRPr="001202A2">
              <w:rPr>
                <w:iCs/>
                <w:szCs w:val="22"/>
                <w:lang w:val="sr-Latn-ME"/>
              </w:rPr>
              <w:t>0,58 (0,29; 1,15)</w:t>
            </w:r>
          </w:p>
        </w:tc>
      </w:tr>
    </w:tbl>
    <w:p w14:paraId="24383A04" w14:textId="77777777" w:rsidR="005F2BED" w:rsidRPr="001202A2" w:rsidRDefault="005F2BED" w:rsidP="00480B31">
      <w:pPr>
        <w:tabs>
          <w:tab w:val="clear" w:pos="284"/>
        </w:tabs>
        <w:autoSpaceDE w:val="0"/>
        <w:autoSpaceDN w:val="0"/>
        <w:adjustRightInd w:val="0"/>
        <w:rPr>
          <w:b/>
          <w:bCs/>
          <w:iCs/>
          <w:szCs w:val="22"/>
          <w:lang w:val="sr-Latn-ME"/>
        </w:rPr>
      </w:pPr>
    </w:p>
    <w:p w14:paraId="5FE8767B" w14:textId="54424BCB" w:rsidR="00316457" w:rsidRPr="001202A2" w:rsidRDefault="00316457" w:rsidP="00480B31">
      <w:pPr>
        <w:tabs>
          <w:tab w:val="clear" w:pos="284"/>
        </w:tabs>
        <w:autoSpaceDE w:val="0"/>
        <w:autoSpaceDN w:val="0"/>
        <w:adjustRightInd w:val="0"/>
        <w:rPr>
          <w:b/>
          <w:bCs/>
          <w:iCs/>
          <w:szCs w:val="22"/>
          <w:vertAlign w:val="superscript"/>
          <w:lang w:val="sr-Latn-ME"/>
        </w:rPr>
      </w:pPr>
      <w:r w:rsidRPr="001202A2">
        <w:rPr>
          <w:b/>
          <w:bCs/>
          <w:iCs/>
          <w:szCs w:val="22"/>
          <w:lang w:val="sr-Latn-ME"/>
        </w:rPr>
        <w:t>Tabela 8.</w:t>
      </w:r>
      <w:r w:rsidR="00A43DC6" w:rsidRPr="001202A2">
        <w:rPr>
          <w:b/>
          <w:bCs/>
          <w:iCs/>
          <w:szCs w:val="22"/>
          <w:lang w:val="sr-Latn-ME"/>
        </w:rPr>
        <w:t xml:space="preserve"> Broj krvarenja sa smrtnim ishodom prema kategoriji CrCl u ENGAGE AF-TIMI 48 studiji, analiza bezb</w:t>
      </w:r>
      <w:r w:rsidR="005D5955" w:rsidRPr="001202A2">
        <w:rPr>
          <w:b/>
          <w:bCs/>
          <w:iCs/>
          <w:szCs w:val="22"/>
          <w:lang w:val="sr-Latn-ME"/>
        </w:rPr>
        <w:t>j</w:t>
      </w:r>
      <w:r w:rsidR="00A43DC6" w:rsidRPr="001202A2">
        <w:rPr>
          <w:b/>
          <w:bCs/>
          <w:iCs/>
          <w:szCs w:val="22"/>
          <w:lang w:val="sr-Latn-ME"/>
        </w:rPr>
        <w:t>ednosti tokom terapije</w:t>
      </w:r>
      <w:r w:rsidR="00A43DC6" w:rsidRPr="001202A2">
        <w:rPr>
          <w:b/>
          <w:bCs/>
          <w:iCs/>
          <w:szCs w:val="22"/>
          <w:vertAlign w:val="superscript"/>
          <w:lang w:val="sr-Latn-ME"/>
        </w:rPr>
        <w:t>a</w:t>
      </w:r>
    </w:p>
    <w:p w14:paraId="0E628231" w14:textId="77777777" w:rsidR="00743938" w:rsidRPr="001202A2" w:rsidRDefault="00743938" w:rsidP="00480B31">
      <w:pPr>
        <w:tabs>
          <w:tab w:val="clear" w:pos="284"/>
        </w:tabs>
        <w:autoSpaceDE w:val="0"/>
        <w:autoSpaceDN w:val="0"/>
        <w:adjustRightInd w:val="0"/>
        <w:rPr>
          <w:b/>
          <w:bCs/>
          <w:iCs/>
          <w:szCs w:val="22"/>
          <w:lang w:val="sr-Latn-ME"/>
        </w:rPr>
      </w:pPr>
    </w:p>
    <w:tbl>
      <w:tblPr>
        <w:tblStyle w:val="TableGrid"/>
        <w:tblW w:w="9889" w:type="dxa"/>
        <w:tblLayout w:type="fixed"/>
        <w:tblLook w:val="04A0" w:firstRow="1" w:lastRow="0" w:firstColumn="1" w:lastColumn="0" w:noHBand="0" w:noVBand="1"/>
      </w:tblPr>
      <w:tblGrid>
        <w:gridCol w:w="1668"/>
        <w:gridCol w:w="708"/>
        <w:gridCol w:w="1134"/>
        <w:gridCol w:w="1418"/>
        <w:gridCol w:w="709"/>
        <w:gridCol w:w="1134"/>
        <w:gridCol w:w="1417"/>
        <w:gridCol w:w="1701"/>
      </w:tblGrid>
      <w:tr w:rsidR="00316457" w:rsidRPr="001202A2" w14:paraId="3ADC2CBA" w14:textId="77777777" w:rsidTr="001202A2">
        <w:tc>
          <w:tcPr>
            <w:tcW w:w="1668" w:type="dxa"/>
            <w:vMerge w:val="restart"/>
            <w:shd w:val="clear" w:color="auto" w:fill="BFBFBF" w:themeFill="background1" w:themeFillShade="BF"/>
            <w:vAlign w:val="center"/>
          </w:tcPr>
          <w:p w14:paraId="04E680EB" w14:textId="24B70983" w:rsidR="00316457" w:rsidRPr="001202A2" w:rsidRDefault="00316457" w:rsidP="00480B31">
            <w:pPr>
              <w:jc w:val="left"/>
              <w:rPr>
                <w:b/>
                <w:bCs/>
                <w:iCs/>
                <w:szCs w:val="22"/>
                <w:lang w:val="sr-Latn-ME"/>
              </w:rPr>
            </w:pPr>
            <w:r w:rsidRPr="001202A2">
              <w:rPr>
                <w:b/>
                <w:bCs/>
                <w:iCs/>
                <w:szCs w:val="22"/>
                <w:lang w:val="sr-Latn-ME"/>
              </w:rPr>
              <w:t>Podgrupa prema CrCl (</w:t>
            </w:r>
            <w:r w:rsidR="008675AD" w:rsidRPr="001202A2">
              <w:rPr>
                <w:b/>
                <w:bCs/>
                <w:iCs/>
                <w:szCs w:val="22"/>
                <w:lang w:val="sr-Latn-ME"/>
              </w:rPr>
              <w:t>m</w:t>
            </w:r>
            <w:r w:rsidR="00456FFB" w:rsidRPr="001202A2">
              <w:rPr>
                <w:b/>
                <w:bCs/>
                <w:iCs/>
                <w:szCs w:val="22"/>
                <w:lang w:val="sr-Latn-ME"/>
              </w:rPr>
              <w:t>l</w:t>
            </w:r>
            <w:r w:rsidRPr="001202A2">
              <w:rPr>
                <w:b/>
                <w:bCs/>
                <w:iCs/>
                <w:szCs w:val="22"/>
                <w:lang w:val="sr-Latn-ME"/>
              </w:rPr>
              <w:t>/min)</w:t>
            </w:r>
          </w:p>
        </w:tc>
        <w:tc>
          <w:tcPr>
            <w:tcW w:w="3260" w:type="dxa"/>
            <w:gridSpan w:val="3"/>
            <w:shd w:val="clear" w:color="auto" w:fill="BFBFBF" w:themeFill="background1" w:themeFillShade="BF"/>
            <w:vAlign w:val="center"/>
          </w:tcPr>
          <w:p w14:paraId="19EC7C9C" w14:textId="77777777" w:rsidR="00316457" w:rsidRPr="001202A2" w:rsidRDefault="00316457" w:rsidP="00880F49">
            <w:pPr>
              <w:jc w:val="center"/>
              <w:rPr>
                <w:b/>
                <w:bCs/>
                <w:iCs/>
                <w:szCs w:val="22"/>
                <w:lang w:val="sr-Latn-ME"/>
              </w:rPr>
            </w:pPr>
            <w:r w:rsidRPr="001202A2">
              <w:rPr>
                <w:b/>
                <w:bCs/>
                <w:iCs/>
                <w:szCs w:val="22"/>
                <w:lang w:val="sr-Latn-ME"/>
              </w:rPr>
              <w:t>Edoksaban 60 mg</w:t>
            </w:r>
          </w:p>
          <w:p w14:paraId="207519DB" w14:textId="77777777" w:rsidR="00316457" w:rsidRPr="001202A2" w:rsidRDefault="00316457" w:rsidP="00880F49">
            <w:pPr>
              <w:jc w:val="center"/>
              <w:rPr>
                <w:b/>
                <w:bCs/>
                <w:iCs/>
                <w:szCs w:val="22"/>
                <w:lang w:val="sr-Latn-ME"/>
              </w:rPr>
            </w:pPr>
            <w:r w:rsidRPr="001202A2">
              <w:rPr>
                <w:b/>
                <w:bCs/>
                <w:iCs/>
                <w:szCs w:val="22"/>
                <w:lang w:val="sr-Latn-ME"/>
              </w:rPr>
              <w:t>(N=7012)</w:t>
            </w:r>
          </w:p>
        </w:tc>
        <w:tc>
          <w:tcPr>
            <w:tcW w:w="3260" w:type="dxa"/>
            <w:gridSpan w:val="3"/>
            <w:shd w:val="clear" w:color="auto" w:fill="BFBFBF" w:themeFill="background1" w:themeFillShade="BF"/>
            <w:vAlign w:val="center"/>
          </w:tcPr>
          <w:p w14:paraId="476DAE57" w14:textId="77777777" w:rsidR="00316457" w:rsidRPr="001202A2" w:rsidRDefault="00316457" w:rsidP="00880F49">
            <w:pPr>
              <w:jc w:val="center"/>
              <w:rPr>
                <w:b/>
                <w:bCs/>
                <w:iCs/>
                <w:szCs w:val="22"/>
                <w:lang w:val="sr-Latn-ME"/>
              </w:rPr>
            </w:pPr>
            <w:r w:rsidRPr="001202A2">
              <w:rPr>
                <w:b/>
                <w:bCs/>
                <w:iCs/>
                <w:szCs w:val="22"/>
                <w:lang w:val="sr-Latn-ME"/>
              </w:rPr>
              <w:t>Varfarin</w:t>
            </w:r>
          </w:p>
          <w:p w14:paraId="55C619E5" w14:textId="77777777" w:rsidR="00316457" w:rsidRPr="001202A2" w:rsidRDefault="00316457" w:rsidP="00880F49">
            <w:pPr>
              <w:jc w:val="center"/>
              <w:rPr>
                <w:b/>
                <w:bCs/>
                <w:iCs/>
                <w:szCs w:val="22"/>
                <w:lang w:val="sr-Latn-ME"/>
              </w:rPr>
            </w:pPr>
            <w:r w:rsidRPr="001202A2">
              <w:rPr>
                <w:b/>
                <w:bCs/>
                <w:iCs/>
                <w:szCs w:val="22"/>
                <w:lang w:val="sr-Latn-ME"/>
              </w:rPr>
              <w:t>(N=7012)</w:t>
            </w:r>
          </w:p>
        </w:tc>
        <w:tc>
          <w:tcPr>
            <w:tcW w:w="1701" w:type="dxa"/>
            <w:shd w:val="clear" w:color="auto" w:fill="BFBFBF" w:themeFill="background1" w:themeFillShade="BF"/>
            <w:vAlign w:val="center"/>
          </w:tcPr>
          <w:p w14:paraId="2BDC3B50" w14:textId="77777777" w:rsidR="00316457" w:rsidRPr="001202A2" w:rsidRDefault="00316457" w:rsidP="00880F49">
            <w:pPr>
              <w:rPr>
                <w:b/>
                <w:bCs/>
                <w:iCs/>
                <w:szCs w:val="22"/>
                <w:lang w:val="sr-Latn-ME"/>
              </w:rPr>
            </w:pPr>
          </w:p>
        </w:tc>
      </w:tr>
      <w:tr w:rsidR="00316457" w:rsidRPr="001202A2" w14:paraId="0876DF24" w14:textId="77777777" w:rsidTr="001202A2">
        <w:tc>
          <w:tcPr>
            <w:tcW w:w="1668" w:type="dxa"/>
            <w:vMerge/>
            <w:shd w:val="clear" w:color="auto" w:fill="BFBFBF" w:themeFill="background1" w:themeFillShade="BF"/>
            <w:vAlign w:val="center"/>
          </w:tcPr>
          <w:p w14:paraId="2BACAC0B" w14:textId="77777777" w:rsidR="00316457" w:rsidRPr="001202A2" w:rsidRDefault="00316457" w:rsidP="00880F49">
            <w:pPr>
              <w:rPr>
                <w:b/>
                <w:bCs/>
                <w:iCs/>
                <w:szCs w:val="22"/>
                <w:lang w:val="sr-Latn-ME"/>
              </w:rPr>
            </w:pPr>
          </w:p>
        </w:tc>
        <w:tc>
          <w:tcPr>
            <w:tcW w:w="708" w:type="dxa"/>
            <w:shd w:val="clear" w:color="auto" w:fill="BFBFBF" w:themeFill="background1" w:themeFillShade="BF"/>
            <w:vAlign w:val="center"/>
          </w:tcPr>
          <w:p w14:paraId="1A50FEFC" w14:textId="77777777" w:rsidR="00316457" w:rsidRPr="001202A2" w:rsidRDefault="00316457"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3052CCFC" w14:textId="77777777" w:rsidR="00316457" w:rsidRPr="001202A2" w:rsidRDefault="00316457" w:rsidP="00880F49">
            <w:pPr>
              <w:jc w:val="center"/>
              <w:rPr>
                <w:b/>
                <w:bCs/>
                <w:iCs/>
                <w:szCs w:val="22"/>
                <w:lang w:val="sr-Latn-ME"/>
              </w:rPr>
            </w:pPr>
            <w:r w:rsidRPr="001202A2">
              <w:rPr>
                <w:b/>
                <w:bCs/>
                <w:iCs/>
                <w:szCs w:val="22"/>
                <w:lang w:val="sr-Latn-ME"/>
              </w:rPr>
              <w:t>Broj događaja</w:t>
            </w:r>
          </w:p>
        </w:tc>
        <w:tc>
          <w:tcPr>
            <w:tcW w:w="1418" w:type="dxa"/>
            <w:shd w:val="clear" w:color="auto" w:fill="BFBFBF" w:themeFill="background1" w:themeFillShade="BF"/>
            <w:vAlign w:val="center"/>
          </w:tcPr>
          <w:p w14:paraId="738EA54D" w14:textId="77777777" w:rsidR="00316457" w:rsidRPr="001202A2" w:rsidRDefault="00316457" w:rsidP="00880F49">
            <w:pPr>
              <w:jc w:val="center"/>
              <w:rPr>
                <w:b/>
                <w:bCs/>
                <w:iCs/>
                <w:szCs w:val="22"/>
                <w:lang w:val="sr-Latn-ME"/>
              </w:rPr>
            </w:pPr>
            <w:r w:rsidRPr="001202A2">
              <w:rPr>
                <w:b/>
                <w:bCs/>
                <w:iCs/>
                <w:szCs w:val="22"/>
                <w:lang w:val="sr-Latn-ME"/>
              </w:rPr>
              <w:t>Stopa događaja (%/godina)</w:t>
            </w:r>
          </w:p>
        </w:tc>
        <w:tc>
          <w:tcPr>
            <w:tcW w:w="709" w:type="dxa"/>
            <w:shd w:val="clear" w:color="auto" w:fill="BFBFBF" w:themeFill="background1" w:themeFillShade="BF"/>
            <w:vAlign w:val="center"/>
          </w:tcPr>
          <w:p w14:paraId="42687F4C" w14:textId="77777777" w:rsidR="00316457" w:rsidRPr="001202A2" w:rsidRDefault="00316457"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3DE8580F" w14:textId="77777777" w:rsidR="00316457" w:rsidRPr="001202A2" w:rsidRDefault="00316457" w:rsidP="00880F49">
            <w:pPr>
              <w:jc w:val="center"/>
              <w:rPr>
                <w:b/>
                <w:bCs/>
                <w:iCs/>
                <w:szCs w:val="22"/>
                <w:lang w:val="sr-Latn-ME"/>
              </w:rPr>
            </w:pPr>
            <w:r w:rsidRPr="001202A2">
              <w:rPr>
                <w:b/>
                <w:bCs/>
                <w:iCs/>
                <w:szCs w:val="22"/>
                <w:lang w:val="sr-Latn-ME"/>
              </w:rPr>
              <w:t>Broj događaja</w:t>
            </w:r>
          </w:p>
        </w:tc>
        <w:tc>
          <w:tcPr>
            <w:tcW w:w="1417" w:type="dxa"/>
            <w:shd w:val="clear" w:color="auto" w:fill="BFBFBF" w:themeFill="background1" w:themeFillShade="BF"/>
            <w:vAlign w:val="center"/>
          </w:tcPr>
          <w:p w14:paraId="1586FBF0" w14:textId="77777777" w:rsidR="00316457" w:rsidRPr="001202A2" w:rsidRDefault="00316457" w:rsidP="00880F49">
            <w:pPr>
              <w:jc w:val="center"/>
              <w:rPr>
                <w:b/>
                <w:bCs/>
                <w:iCs/>
                <w:szCs w:val="22"/>
                <w:lang w:val="sr-Latn-ME"/>
              </w:rPr>
            </w:pPr>
            <w:r w:rsidRPr="001202A2">
              <w:rPr>
                <w:b/>
                <w:bCs/>
                <w:iCs/>
                <w:szCs w:val="22"/>
                <w:lang w:val="sr-Latn-ME"/>
              </w:rPr>
              <w:t>Stopa događaja (%/godina)</w:t>
            </w:r>
          </w:p>
        </w:tc>
        <w:tc>
          <w:tcPr>
            <w:tcW w:w="1701" w:type="dxa"/>
            <w:shd w:val="clear" w:color="auto" w:fill="BFBFBF" w:themeFill="background1" w:themeFillShade="BF"/>
            <w:vAlign w:val="center"/>
          </w:tcPr>
          <w:p w14:paraId="767BDA69" w14:textId="77777777" w:rsidR="00316457" w:rsidRPr="001202A2" w:rsidRDefault="00316457" w:rsidP="00880F49">
            <w:pPr>
              <w:jc w:val="center"/>
              <w:rPr>
                <w:b/>
                <w:bCs/>
                <w:iCs/>
                <w:szCs w:val="22"/>
                <w:lang w:val="sr-Latn-ME"/>
              </w:rPr>
            </w:pPr>
            <w:r w:rsidRPr="001202A2">
              <w:rPr>
                <w:b/>
                <w:bCs/>
                <w:iCs/>
                <w:szCs w:val="22"/>
                <w:lang w:val="sr-Latn-ME"/>
              </w:rPr>
              <w:t>HR (95% CI)</w:t>
            </w:r>
          </w:p>
        </w:tc>
      </w:tr>
      <w:tr w:rsidR="00316457" w:rsidRPr="001202A2" w14:paraId="5349B9D4" w14:textId="77777777" w:rsidTr="001202A2">
        <w:tc>
          <w:tcPr>
            <w:tcW w:w="1668" w:type="dxa"/>
            <w:vAlign w:val="center"/>
          </w:tcPr>
          <w:p w14:paraId="535B1842" w14:textId="77777777" w:rsidR="00316457" w:rsidRPr="001202A2" w:rsidRDefault="00316457" w:rsidP="00880F49">
            <w:pPr>
              <w:rPr>
                <w:iCs/>
                <w:szCs w:val="22"/>
                <w:lang w:val="sr-Latn-ME"/>
              </w:rPr>
            </w:pPr>
            <w:r w:rsidRPr="001202A2">
              <w:rPr>
                <w:iCs/>
                <w:szCs w:val="22"/>
                <w:lang w:val="sr-Latn-ME"/>
              </w:rPr>
              <w:t>≥ 30 do ≤ 50</w:t>
            </w:r>
          </w:p>
        </w:tc>
        <w:tc>
          <w:tcPr>
            <w:tcW w:w="708" w:type="dxa"/>
            <w:vAlign w:val="center"/>
          </w:tcPr>
          <w:p w14:paraId="68BE6DF2" w14:textId="162437D3" w:rsidR="00316457" w:rsidRPr="001202A2" w:rsidRDefault="008B3EAC" w:rsidP="00880F49">
            <w:pPr>
              <w:jc w:val="center"/>
              <w:rPr>
                <w:iCs/>
                <w:szCs w:val="22"/>
                <w:lang w:val="sr-Latn-ME"/>
              </w:rPr>
            </w:pPr>
            <w:r w:rsidRPr="001202A2">
              <w:rPr>
                <w:iCs/>
                <w:szCs w:val="22"/>
                <w:lang w:val="sr-Latn-ME"/>
              </w:rPr>
              <w:t>1302</w:t>
            </w:r>
          </w:p>
        </w:tc>
        <w:tc>
          <w:tcPr>
            <w:tcW w:w="1134" w:type="dxa"/>
            <w:vAlign w:val="center"/>
          </w:tcPr>
          <w:p w14:paraId="6C8CD22D" w14:textId="067E5D51" w:rsidR="00316457" w:rsidRPr="001202A2" w:rsidRDefault="008B3EAC" w:rsidP="00880F49">
            <w:pPr>
              <w:jc w:val="center"/>
              <w:rPr>
                <w:iCs/>
                <w:szCs w:val="22"/>
                <w:lang w:val="sr-Latn-ME"/>
              </w:rPr>
            </w:pPr>
            <w:r w:rsidRPr="001202A2">
              <w:rPr>
                <w:iCs/>
                <w:szCs w:val="22"/>
                <w:lang w:val="sr-Latn-ME"/>
              </w:rPr>
              <w:t>9</w:t>
            </w:r>
          </w:p>
        </w:tc>
        <w:tc>
          <w:tcPr>
            <w:tcW w:w="1418" w:type="dxa"/>
            <w:vAlign w:val="center"/>
          </w:tcPr>
          <w:p w14:paraId="7167EC73" w14:textId="22CF4558" w:rsidR="00316457" w:rsidRPr="001202A2" w:rsidRDefault="008B3EAC" w:rsidP="00880F49">
            <w:pPr>
              <w:jc w:val="center"/>
              <w:rPr>
                <w:iCs/>
                <w:szCs w:val="22"/>
                <w:lang w:val="sr-Latn-ME"/>
              </w:rPr>
            </w:pPr>
            <w:r w:rsidRPr="001202A2">
              <w:rPr>
                <w:iCs/>
                <w:szCs w:val="22"/>
                <w:lang w:val="sr-Latn-ME"/>
              </w:rPr>
              <w:t>0,36</w:t>
            </w:r>
          </w:p>
        </w:tc>
        <w:tc>
          <w:tcPr>
            <w:tcW w:w="709" w:type="dxa"/>
            <w:vAlign w:val="center"/>
          </w:tcPr>
          <w:p w14:paraId="3AE6EB64" w14:textId="72680282" w:rsidR="00316457" w:rsidRPr="001202A2" w:rsidRDefault="008B3EAC" w:rsidP="00880F49">
            <w:pPr>
              <w:jc w:val="center"/>
              <w:rPr>
                <w:iCs/>
                <w:szCs w:val="22"/>
                <w:lang w:val="sr-Latn-ME"/>
              </w:rPr>
            </w:pPr>
            <w:r w:rsidRPr="001202A2">
              <w:rPr>
                <w:iCs/>
                <w:szCs w:val="22"/>
                <w:lang w:val="sr-Latn-ME"/>
              </w:rPr>
              <w:t>1305</w:t>
            </w:r>
          </w:p>
        </w:tc>
        <w:tc>
          <w:tcPr>
            <w:tcW w:w="1134" w:type="dxa"/>
            <w:vAlign w:val="center"/>
          </w:tcPr>
          <w:p w14:paraId="47E13FA8" w14:textId="5F9259D9" w:rsidR="00316457" w:rsidRPr="001202A2" w:rsidRDefault="008B3EAC" w:rsidP="00880F49">
            <w:pPr>
              <w:jc w:val="center"/>
              <w:rPr>
                <w:iCs/>
                <w:szCs w:val="22"/>
                <w:lang w:val="sr-Latn-ME"/>
              </w:rPr>
            </w:pPr>
            <w:r w:rsidRPr="001202A2">
              <w:rPr>
                <w:iCs/>
                <w:szCs w:val="22"/>
                <w:lang w:val="sr-Latn-ME"/>
              </w:rPr>
              <w:t>18</w:t>
            </w:r>
          </w:p>
        </w:tc>
        <w:tc>
          <w:tcPr>
            <w:tcW w:w="1417" w:type="dxa"/>
            <w:vAlign w:val="center"/>
          </w:tcPr>
          <w:p w14:paraId="2753F230" w14:textId="3FDBDABC" w:rsidR="00316457" w:rsidRPr="001202A2" w:rsidRDefault="008B3EAC" w:rsidP="00880F49">
            <w:pPr>
              <w:jc w:val="center"/>
              <w:rPr>
                <w:iCs/>
                <w:szCs w:val="22"/>
                <w:lang w:val="sr-Latn-ME"/>
              </w:rPr>
            </w:pPr>
            <w:r w:rsidRPr="001202A2">
              <w:rPr>
                <w:iCs/>
                <w:szCs w:val="22"/>
                <w:lang w:val="sr-Latn-ME"/>
              </w:rPr>
              <w:t>0,72</w:t>
            </w:r>
          </w:p>
        </w:tc>
        <w:tc>
          <w:tcPr>
            <w:tcW w:w="1701" w:type="dxa"/>
            <w:vAlign w:val="center"/>
          </w:tcPr>
          <w:p w14:paraId="5A7EF354" w14:textId="23D62872" w:rsidR="00316457" w:rsidRPr="001202A2" w:rsidRDefault="008B3EAC" w:rsidP="00880F49">
            <w:pPr>
              <w:jc w:val="center"/>
              <w:rPr>
                <w:iCs/>
                <w:szCs w:val="22"/>
                <w:lang w:val="sr-Latn-ME"/>
              </w:rPr>
            </w:pPr>
            <w:r w:rsidRPr="001202A2">
              <w:rPr>
                <w:iCs/>
                <w:szCs w:val="22"/>
                <w:lang w:val="sr-Latn-ME"/>
              </w:rPr>
              <w:t>0,51 (0,23; 1,14)</w:t>
            </w:r>
          </w:p>
        </w:tc>
      </w:tr>
      <w:tr w:rsidR="00316457" w:rsidRPr="001202A2" w14:paraId="2DDF82B5" w14:textId="77777777" w:rsidTr="001202A2">
        <w:tc>
          <w:tcPr>
            <w:tcW w:w="1668" w:type="dxa"/>
            <w:vAlign w:val="center"/>
          </w:tcPr>
          <w:p w14:paraId="4E6ACB76" w14:textId="77777777" w:rsidR="00316457" w:rsidRPr="001202A2" w:rsidRDefault="00316457" w:rsidP="00880F49">
            <w:pPr>
              <w:rPr>
                <w:iCs/>
                <w:szCs w:val="22"/>
                <w:lang w:val="sr-Latn-ME"/>
              </w:rPr>
            </w:pPr>
            <w:r w:rsidRPr="001202A2">
              <w:rPr>
                <w:iCs/>
                <w:szCs w:val="22"/>
                <w:lang w:val="sr-Latn-ME"/>
              </w:rPr>
              <w:t>&gt; 50 do ≤ 70</w:t>
            </w:r>
          </w:p>
        </w:tc>
        <w:tc>
          <w:tcPr>
            <w:tcW w:w="708" w:type="dxa"/>
            <w:vAlign w:val="center"/>
          </w:tcPr>
          <w:p w14:paraId="720C58B6" w14:textId="26B83442" w:rsidR="00316457" w:rsidRPr="001202A2" w:rsidRDefault="008B3EAC" w:rsidP="00880F49">
            <w:pPr>
              <w:jc w:val="center"/>
              <w:rPr>
                <w:iCs/>
                <w:szCs w:val="22"/>
                <w:lang w:val="sr-Latn-ME"/>
              </w:rPr>
            </w:pPr>
            <w:r w:rsidRPr="001202A2">
              <w:rPr>
                <w:iCs/>
                <w:szCs w:val="22"/>
                <w:lang w:val="sr-Latn-ME"/>
              </w:rPr>
              <w:t>2093</w:t>
            </w:r>
          </w:p>
        </w:tc>
        <w:tc>
          <w:tcPr>
            <w:tcW w:w="1134" w:type="dxa"/>
            <w:vAlign w:val="center"/>
          </w:tcPr>
          <w:p w14:paraId="5EB43F11" w14:textId="03B9A0B2" w:rsidR="00316457" w:rsidRPr="001202A2" w:rsidRDefault="008B3EAC" w:rsidP="00880F49">
            <w:pPr>
              <w:jc w:val="center"/>
              <w:rPr>
                <w:iCs/>
                <w:szCs w:val="22"/>
                <w:lang w:val="sr-Latn-ME"/>
              </w:rPr>
            </w:pPr>
            <w:r w:rsidRPr="001202A2">
              <w:rPr>
                <w:iCs/>
                <w:szCs w:val="22"/>
                <w:lang w:val="sr-Latn-ME"/>
              </w:rPr>
              <w:t>8</w:t>
            </w:r>
          </w:p>
        </w:tc>
        <w:tc>
          <w:tcPr>
            <w:tcW w:w="1418" w:type="dxa"/>
            <w:vAlign w:val="center"/>
          </w:tcPr>
          <w:p w14:paraId="43E4603E" w14:textId="322FE2CB" w:rsidR="00316457" w:rsidRPr="001202A2" w:rsidRDefault="008B3EAC" w:rsidP="00880F49">
            <w:pPr>
              <w:jc w:val="center"/>
              <w:rPr>
                <w:iCs/>
                <w:szCs w:val="22"/>
                <w:lang w:val="sr-Latn-ME"/>
              </w:rPr>
            </w:pPr>
            <w:r w:rsidRPr="001202A2">
              <w:rPr>
                <w:iCs/>
                <w:szCs w:val="22"/>
                <w:lang w:val="sr-Latn-ME"/>
              </w:rPr>
              <w:t>0,18</w:t>
            </w:r>
          </w:p>
        </w:tc>
        <w:tc>
          <w:tcPr>
            <w:tcW w:w="709" w:type="dxa"/>
            <w:vAlign w:val="center"/>
          </w:tcPr>
          <w:p w14:paraId="2B4D0809" w14:textId="229B14ED" w:rsidR="00316457" w:rsidRPr="001202A2" w:rsidRDefault="008B3EAC" w:rsidP="00880F49">
            <w:pPr>
              <w:jc w:val="center"/>
              <w:rPr>
                <w:iCs/>
                <w:szCs w:val="22"/>
                <w:lang w:val="sr-Latn-ME"/>
              </w:rPr>
            </w:pPr>
            <w:r w:rsidRPr="001202A2">
              <w:rPr>
                <w:iCs/>
                <w:szCs w:val="22"/>
                <w:lang w:val="sr-Latn-ME"/>
              </w:rPr>
              <w:t>2106</w:t>
            </w:r>
          </w:p>
        </w:tc>
        <w:tc>
          <w:tcPr>
            <w:tcW w:w="1134" w:type="dxa"/>
            <w:vAlign w:val="center"/>
          </w:tcPr>
          <w:p w14:paraId="453A0F1F" w14:textId="3DA7566A" w:rsidR="00316457" w:rsidRPr="001202A2" w:rsidRDefault="008B3EAC" w:rsidP="00880F49">
            <w:pPr>
              <w:jc w:val="center"/>
              <w:rPr>
                <w:iCs/>
                <w:szCs w:val="22"/>
                <w:lang w:val="sr-Latn-ME"/>
              </w:rPr>
            </w:pPr>
            <w:r w:rsidRPr="001202A2">
              <w:rPr>
                <w:iCs/>
                <w:szCs w:val="22"/>
                <w:lang w:val="sr-Latn-ME"/>
              </w:rPr>
              <w:t>23</w:t>
            </w:r>
          </w:p>
        </w:tc>
        <w:tc>
          <w:tcPr>
            <w:tcW w:w="1417" w:type="dxa"/>
            <w:vAlign w:val="center"/>
          </w:tcPr>
          <w:p w14:paraId="5F62E789" w14:textId="6982AC2A" w:rsidR="00316457" w:rsidRPr="001202A2" w:rsidRDefault="008B3EAC" w:rsidP="00880F49">
            <w:pPr>
              <w:jc w:val="center"/>
              <w:rPr>
                <w:iCs/>
                <w:szCs w:val="22"/>
                <w:lang w:val="sr-Latn-ME"/>
              </w:rPr>
            </w:pPr>
            <w:r w:rsidRPr="001202A2">
              <w:rPr>
                <w:iCs/>
                <w:szCs w:val="22"/>
                <w:lang w:val="sr-Latn-ME"/>
              </w:rPr>
              <w:t>0,50</w:t>
            </w:r>
          </w:p>
        </w:tc>
        <w:tc>
          <w:tcPr>
            <w:tcW w:w="1701" w:type="dxa"/>
            <w:vAlign w:val="center"/>
          </w:tcPr>
          <w:p w14:paraId="70595359" w14:textId="1B70B9E9" w:rsidR="00316457" w:rsidRPr="001202A2" w:rsidRDefault="008B3EAC" w:rsidP="00880F49">
            <w:pPr>
              <w:jc w:val="center"/>
              <w:rPr>
                <w:iCs/>
                <w:szCs w:val="22"/>
                <w:lang w:val="sr-Latn-ME"/>
              </w:rPr>
            </w:pPr>
            <w:r w:rsidRPr="001202A2">
              <w:rPr>
                <w:iCs/>
                <w:szCs w:val="22"/>
                <w:lang w:val="sr-Latn-ME"/>
              </w:rPr>
              <w:t>0,35 (0,16; 0,79)</w:t>
            </w:r>
          </w:p>
        </w:tc>
      </w:tr>
      <w:tr w:rsidR="00316457" w:rsidRPr="001202A2" w14:paraId="73D295AE" w14:textId="77777777" w:rsidTr="001202A2">
        <w:tc>
          <w:tcPr>
            <w:tcW w:w="1668" w:type="dxa"/>
            <w:vAlign w:val="center"/>
          </w:tcPr>
          <w:p w14:paraId="72A61984" w14:textId="77777777" w:rsidR="00316457" w:rsidRPr="001202A2" w:rsidRDefault="00316457" w:rsidP="00880F49">
            <w:pPr>
              <w:rPr>
                <w:iCs/>
                <w:szCs w:val="22"/>
                <w:lang w:val="sr-Latn-ME"/>
              </w:rPr>
            </w:pPr>
            <w:r w:rsidRPr="001202A2">
              <w:rPr>
                <w:iCs/>
                <w:szCs w:val="22"/>
                <w:lang w:val="sr-Latn-ME"/>
              </w:rPr>
              <w:t>&gt; 70 do ≤ 90</w:t>
            </w:r>
          </w:p>
        </w:tc>
        <w:tc>
          <w:tcPr>
            <w:tcW w:w="708" w:type="dxa"/>
            <w:vAlign w:val="center"/>
          </w:tcPr>
          <w:p w14:paraId="692DCCE5" w14:textId="3FFEC3CC" w:rsidR="00316457" w:rsidRPr="001202A2" w:rsidRDefault="008B3EAC" w:rsidP="00880F49">
            <w:pPr>
              <w:jc w:val="center"/>
              <w:rPr>
                <w:iCs/>
                <w:szCs w:val="22"/>
                <w:lang w:val="sr-Latn-ME"/>
              </w:rPr>
            </w:pPr>
            <w:r w:rsidRPr="001202A2">
              <w:rPr>
                <w:iCs/>
                <w:szCs w:val="22"/>
                <w:lang w:val="sr-Latn-ME"/>
              </w:rPr>
              <w:t>1661</w:t>
            </w:r>
          </w:p>
        </w:tc>
        <w:tc>
          <w:tcPr>
            <w:tcW w:w="1134" w:type="dxa"/>
            <w:vAlign w:val="center"/>
          </w:tcPr>
          <w:p w14:paraId="1D1A556B" w14:textId="3B984FD1" w:rsidR="00316457" w:rsidRPr="001202A2" w:rsidRDefault="008B3EAC" w:rsidP="00880F49">
            <w:pPr>
              <w:jc w:val="center"/>
              <w:rPr>
                <w:iCs/>
                <w:szCs w:val="22"/>
                <w:lang w:val="sr-Latn-ME"/>
              </w:rPr>
            </w:pPr>
            <w:r w:rsidRPr="001202A2">
              <w:rPr>
                <w:iCs/>
                <w:szCs w:val="22"/>
                <w:lang w:val="sr-Latn-ME"/>
              </w:rPr>
              <w:t>10</w:t>
            </w:r>
          </w:p>
        </w:tc>
        <w:tc>
          <w:tcPr>
            <w:tcW w:w="1418" w:type="dxa"/>
            <w:vAlign w:val="center"/>
          </w:tcPr>
          <w:p w14:paraId="164BB6C0" w14:textId="776C1EAE" w:rsidR="00316457" w:rsidRPr="001202A2" w:rsidRDefault="008B3EAC" w:rsidP="00880F49">
            <w:pPr>
              <w:jc w:val="center"/>
              <w:rPr>
                <w:iCs/>
                <w:szCs w:val="22"/>
                <w:lang w:val="sr-Latn-ME"/>
              </w:rPr>
            </w:pPr>
            <w:r w:rsidRPr="001202A2">
              <w:rPr>
                <w:iCs/>
                <w:szCs w:val="22"/>
                <w:lang w:val="sr-Latn-ME"/>
              </w:rPr>
              <w:t>0,26</w:t>
            </w:r>
          </w:p>
        </w:tc>
        <w:tc>
          <w:tcPr>
            <w:tcW w:w="709" w:type="dxa"/>
            <w:vAlign w:val="center"/>
          </w:tcPr>
          <w:p w14:paraId="71AEA529" w14:textId="3440F823" w:rsidR="00316457" w:rsidRPr="001202A2" w:rsidRDefault="008B3EAC" w:rsidP="00880F49">
            <w:pPr>
              <w:jc w:val="center"/>
              <w:rPr>
                <w:iCs/>
                <w:szCs w:val="22"/>
                <w:lang w:val="sr-Latn-ME"/>
              </w:rPr>
            </w:pPr>
            <w:r w:rsidRPr="001202A2">
              <w:rPr>
                <w:iCs/>
                <w:szCs w:val="22"/>
                <w:lang w:val="sr-Latn-ME"/>
              </w:rPr>
              <w:t>1703</w:t>
            </w:r>
          </w:p>
        </w:tc>
        <w:tc>
          <w:tcPr>
            <w:tcW w:w="1134" w:type="dxa"/>
            <w:vAlign w:val="center"/>
          </w:tcPr>
          <w:p w14:paraId="540305B0" w14:textId="3B7C307B" w:rsidR="00316457" w:rsidRPr="001202A2" w:rsidRDefault="008B3EAC" w:rsidP="00880F49">
            <w:pPr>
              <w:jc w:val="center"/>
              <w:rPr>
                <w:iCs/>
                <w:szCs w:val="22"/>
                <w:lang w:val="sr-Latn-ME"/>
              </w:rPr>
            </w:pPr>
            <w:r w:rsidRPr="001202A2">
              <w:rPr>
                <w:iCs/>
                <w:szCs w:val="22"/>
                <w:lang w:val="sr-Latn-ME"/>
              </w:rPr>
              <w:t>9</w:t>
            </w:r>
          </w:p>
        </w:tc>
        <w:tc>
          <w:tcPr>
            <w:tcW w:w="1417" w:type="dxa"/>
            <w:vAlign w:val="center"/>
          </w:tcPr>
          <w:p w14:paraId="12FE0B14" w14:textId="4A603D42" w:rsidR="00316457" w:rsidRPr="001202A2" w:rsidRDefault="008B3EAC" w:rsidP="00880F49">
            <w:pPr>
              <w:jc w:val="center"/>
              <w:rPr>
                <w:iCs/>
                <w:szCs w:val="22"/>
                <w:lang w:val="sr-Latn-ME"/>
              </w:rPr>
            </w:pPr>
            <w:r w:rsidRPr="001202A2">
              <w:rPr>
                <w:iCs/>
                <w:szCs w:val="22"/>
                <w:lang w:val="sr-Latn-ME"/>
              </w:rPr>
              <w:t>0,23</w:t>
            </w:r>
          </w:p>
        </w:tc>
        <w:tc>
          <w:tcPr>
            <w:tcW w:w="1701" w:type="dxa"/>
            <w:vAlign w:val="center"/>
          </w:tcPr>
          <w:p w14:paraId="36FBC573" w14:textId="17E2D971" w:rsidR="00316457" w:rsidRPr="001202A2" w:rsidRDefault="008B3EAC" w:rsidP="00880F49">
            <w:pPr>
              <w:jc w:val="center"/>
              <w:rPr>
                <w:iCs/>
                <w:szCs w:val="22"/>
                <w:lang w:val="sr-Latn-ME"/>
              </w:rPr>
            </w:pPr>
            <w:r w:rsidRPr="001202A2">
              <w:rPr>
                <w:iCs/>
                <w:szCs w:val="22"/>
                <w:lang w:val="sr-Latn-ME"/>
              </w:rPr>
              <w:t>1,14 (0,46; 2,82)</w:t>
            </w:r>
          </w:p>
        </w:tc>
      </w:tr>
      <w:tr w:rsidR="00316457" w:rsidRPr="001202A2" w14:paraId="7C804B24" w14:textId="77777777" w:rsidTr="001202A2">
        <w:tc>
          <w:tcPr>
            <w:tcW w:w="1668" w:type="dxa"/>
            <w:vAlign w:val="center"/>
          </w:tcPr>
          <w:p w14:paraId="70C52A4C" w14:textId="77777777" w:rsidR="00316457" w:rsidRPr="001202A2" w:rsidRDefault="00316457" w:rsidP="00880F49">
            <w:pPr>
              <w:rPr>
                <w:iCs/>
                <w:szCs w:val="22"/>
                <w:lang w:val="sr-Latn-ME"/>
              </w:rPr>
            </w:pPr>
            <w:r w:rsidRPr="001202A2">
              <w:rPr>
                <w:iCs/>
                <w:szCs w:val="22"/>
                <w:lang w:val="sr-Latn-ME"/>
              </w:rPr>
              <w:t>&gt; 90 do ≤ 110</w:t>
            </w:r>
          </w:p>
        </w:tc>
        <w:tc>
          <w:tcPr>
            <w:tcW w:w="708" w:type="dxa"/>
            <w:vAlign w:val="center"/>
          </w:tcPr>
          <w:p w14:paraId="56F489A3" w14:textId="333D0E7A" w:rsidR="00316457" w:rsidRPr="001202A2" w:rsidRDefault="008B3EAC" w:rsidP="00880F49">
            <w:pPr>
              <w:jc w:val="center"/>
              <w:rPr>
                <w:iCs/>
                <w:szCs w:val="22"/>
                <w:lang w:val="sr-Latn-ME"/>
              </w:rPr>
            </w:pPr>
            <w:r w:rsidRPr="001202A2">
              <w:rPr>
                <w:iCs/>
                <w:szCs w:val="22"/>
                <w:lang w:val="sr-Latn-ME"/>
              </w:rPr>
              <w:t>927</w:t>
            </w:r>
          </w:p>
        </w:tc>
        <w:tc>
          <w:tcPr>
            <w:tcW w:w="1134" w:type="dxa"/>
            <w:vAlign w:val="center"/>
          </w:tcPr>
          <w:p w14:paraId="7E511EEF" w14:textId="4861219B" w:rsidR="00316457" w:rsidRPr="001202A2" w:rsidRDefault="008B3EAC" w:rsidP="00880F49">
            <w:pPr>
              <w:jc w:val="center"/>
              <w:rPr>
                <w:iCs/>
                <w:szCs w:val="22"/>
                <w:lang w:val="sr-Latn-ME"/>
              </w:rPr>
            </w:pPr>
            <w:r w:rsidRPr="001202A2">
              <w:rPr>
                <w:iCs/>
                <w:szCs w:val="22"/>
                <w:lang w:val="sr-Latn-ME"/>
              </w:rPr>
              <w:t>2</w:t>
            </w:r>
          </w:p>
        </w:tc>
        <w:tc>
          <w:tcPr>
            <w:tcW w:w="1418" w:type="dxa"/>
            <w:vAlign w:val="center"/>
          </w:tcPr>
          <w:p w14:paraId="091CA62C" w14:textId="750A941B" w:rsidR="00316457" w:rsidRPr="001202A2" w:rsidRDefault="008B3EAC" w:rsidP="00880F49">
            <w:pPr>
              <w:jc w:val="center"/>
              <w:rPr>
                <w:iCs/>
                <w:szCs w:val="22"/>
                <w:lang w:val="sr-Latn-ME"/>
              </w:rPr>
            </w:pPr>
            <w:r w:rsidRPr="001202A2">
              <w:rPr>
                <w:iCs/>
                <w:szCs w:val="22"/>
                <w:lang w:val="sr-Latn-ME"/>
              </w:rPr>
              <w:t>0,09</w:t>
            </w:r>
          </w:p>
        </w:tc>
        <w:tc>
          <w:tcPr>
            <w:tcW w:w="709" w:type="dxa"/>
            <w:vAlign w:val="center"/>
          </w:tcPr>
          <w:p w14:paraId="2B1F9677" w14:textId="01324B85" w:rsidR="00316457" w:rsidRPr="001202A2" w:rsidRDefault="008B3EAC" w:rsidP="00880F49">
            <w:pPr>
              <w:jc w:val="center"/>
              <w:rPr>
                <w:iCs/>
                <w:szCs w:val="22"/>
                <w:lang w:val="sr-Latn-ME"/>
              </w:rPr>
            </w:pPr>
            <w:r w:rsidRPr="001202A2">
              <w:rPr>
                <w:iCs/>
                <w:szCs w:val="22"/>
                <w:lang w:val="sr-Latn-ME"/>
              </w:rPr>
              <w:t>960</w:t>
            </w:r>
          </w:p>
        </w:tc>
        <w:tc>
          <w:tcPr>
            <w:tcW w:w="1134" w:type="dxa"/>
            <w:vAlign w:val="center"/>
          </w:tcPr>
          <w:p w14:paraId="75DC1AB6" w14:textId="0187D974" w:rsidR="00316457" w:rsidRPr="001202A2" w:rsidRDefault="008B3EAC" w:rsidP="00880F49">
            <w:pPr>
              <w:jc w:val="center"/>
              <w:rPr>
                <w:iCs/>
                <w:szCs w:val="22"/>
                <w:lang w:val="sr-Latn-ME"/>
              </w:rPr>
            </w:pPr>
            <w:r w:rsidRPr="001202A2">
              <w:rPr>
                <w:iCs/>
                <w:szCs w:val="22"/>
                <w:lang w:val="sr-Latn-ME"/>
              </w:rPr>
              <w:t>3</w:t>
            </w:r>
          </w:p>
        </w:tc>
        <w:tc>
          <w:tcPr>
            <w:tcW w:w="1417" w:type="dxa"/>
            <w:vAlign w:val="center"/>
          </w:tcPr>
          <w:p w14:paraId="17F99CE6" w14:textId="24C98520" w:rsidR="00316457" w:rsidRPr="001202A2" w:rsidRDefault="008B3EAC" w:rsidP="00880F49">
            <w:pPr>
              <w:jc w:val="center"/>
              <w:rPr>
                <w:iCs/>
                <w:szCs w:val="22"/>
                <w:lang w:val="sr-Latn-ME"/>
              </w:rPr>
            </w:pPr>
            <w:r w:rsidRPr="001202A2">
              <w:rPr>
                <w:iCs/>
                <w:szCs w:val="22"/>
                <w:lang w:val="sr-Latn-ME"/>
              </w:rPr>
              <w:t>0,13</w:t>
            </w:r>
          </w:p>
        </w:tc>
        <w:tc>
          <w:tcPr>
            <w:tcW w:w="1701" w:type="dxa"/>
            <w:vAlign w:val="center"/>
          </w:tcPr>
          <w:p w14:paraId="5E04E2DE" w14:textId="0EB35424" w:rsidR="00316457" w:rsidRPr="001202A2" w:rsidRDefault="008B3EAC" w:rsidP="00880F49">
            <w:pPr>
              <w:jc w:val="center"/>
              <w:rPr>
                <w:iCs/>
                <w:szCs w:val="22"/>
                <w:vertAlign w:val="superscript"/>
                <w:lang w:val="sr-Latn-ME"/>
              </w:rPr>
            </w:pPr>
            <w:r w:rsidRPr="001202A2">
              <w:rPr>
                <w:iCs/>
                <w:szCs w:val="22"/>
                <w:lang w:val="sr-Latn-ME"/>
              </w:rPr>
              <w:t>--</w:t>
            </w:r>
            <w:r w:rsidRPr="001202A2">
              <w:rPr>
                <w:iCs/>
                <w:szCs w:val="22"/>
                <w:vertAlign w:val="superscript"/>
                <w:lang w:val="sr-Latn-ME"/>
              </w:rPr>
              <w:t>*</w:t>
            </w:r>
          </w:p>
        </w:tc>
      </w:tr>
      <w:tr w:rsidR="00316457" w:rsidRPr="001202A2" w14:paraId="663CB102" w14:textId="77777777" w:rsidTr="001202A2">
        <w:tc>
          <w:tcPr>
            <w:tcW w:w="1668" w:type="dxa"/>
            <w:vAlign w:val="center"/>
          </w:tcPr>
          <w:p w14:paraId="60CFA4E1" w14:textId="77777777" w:rsidR="00316457" w:rsidRPr="001202A2" w:rsidRDefault="00316457" w:rsidP="00880F49">
            <w:pPr>
              <w:rPr>
                <w:iCs/>
                <w:szCs w:val="22"/>
                <w:lang w:val="sr-Latn-ME"/>
              </w:rPr>
            </w:pPr>
            <w:r w:rsidRPr="001202A2">
              <w:rPr>
                <w:iCs/>
                <w:szCs w:val="22"/>
                <w:lang w:val="sr-Latn-ME"/>
              </w:rPr>
              <w:t>&gt; 110 do ≤ 130</w:t>
            </w:r>
          </w:p>
        </w:tc>
        <w:tc>
          <w:tcPr>
            <w:tcW w:w="708" w:type="dxa"/>
            <w:vAlign w:val="center"/>
          </w:tcPr>
          <w:p w14:paraId="18F52EDF" w14:textId="7754C76B" w:rsidR="00316457" w:rsidRPr="001202A2" w:rsidRDefault="008B3EAC" w:rsidP="00880F49">
            <w:pPr>
              <w:jc w:val="center"/>
              <w:rPr>
                <w:iCs/>
                <w:szCs w:val="22"/>
                <w:lang w:val="sr-Latn-ME"/>
              </w:rPr>
            </w:pPr>
            <w:r w:rsidRPr="001202A2">
              <w:rPr>
                <w:iCs/>
                <w:szCs w:val="22"/>
                <w:lang w:val="sr-Latn-ME"/>
              </w:rPr>
              <w:t>497</w:t>
            </w:r>
          </w:p>
        </w:tc>
        <w:tc>
          <w:tcPr>
            <w:tcW w:w="1134" w:type="dxa"/>
            <w:vAlign w:val="center"/>
          </w:tcPr>
          <w:p w14:paraId="1113E067" w14:textId="0A735ABF" w:rsidR="00316457" w:rsidRPr="001202A2" w:rsidRDefault="008B3EAC" w:rsidP="00880F49">
            <w:pPr>
              <w:jc w:val="center"/>
              <w:rPr>
                <w:iCs/>
                <w:szCs w:val="22"/>
                <w:lang w:val="sr-Latn-ME"/>
              </w:rPr>
            </w:pPr>
            <w:r w:rsidRPr="001202A2">
              <w:rPr>
                <w:iCs/>
                <w:szCs w:val="22"/>
                <w:lang w:val="sr-Latn-ME"/>
              </w:rPr>
              <w:t>1</w:t>
            </w:r>
          </w:p>
        </w:tc>
        <w:tc>
          <w:tcPr>
            <w:tcW w:w="1418" w:type="dxa"/>
            <w:vAlign w:val="center"/>
          </w:tcPr>
          <w:p w14:paraId="42949C85" w14:textId="311A770D" w:rsidR="00316457" w:rsidRPr="001202A2" w:rsidRDefault="008B3EAC" w:rsidP="00880F49">
            <w:pPr>
              <w:jc w:val="center"/>
              <w:rPr>
                <w:iCs/>
                <w:szCs w:val="22"/>
                <w:lang w:val="sr-Latn-ME"/>
              </w:rPr>
            </w:pPr>
            <w:r w:rsidRPr="001202A2">
              <w:rPr>
                <w:iCs/>
                <w:szCs w:val="22"/>
                <w:lang w:val="sr-Latn-ME"/>
              </w:rPr>
              <w:t>0,08</w:t>
            </w:r>
          </w:p>
        </w:tc>
        <w:tc>
          <w:tcPr>
            <w:tcW w:w="709" w:type="dxa"/>
            <w:vAlign w:val="center"/>
          </w:tcPr>
          <w:p w14:paraId="5A4570A2" w14:textId="794B0E1E" w:rsidR="00316457" w:rsidRPr="001202A2" w:rsidRDefault="008B3EAC" w:rsidP="00880F49">
            <w:pPr>
              <w:jc w:val="center"/>
              <w:rPr>
                <w:iCs/>
                <w:szCs w:val="22"/>
                <w:lang w:val="sr-Latn-ME"/>
              </w:rPr>
            </w:pPr>
            <w:r w:rsidRPr="001202A2">
              <w:rPr>
                <w:iCs/>
                <w:szCs w:val="22"/>
                <w:lang w:val="sr-Latn-ME"/>
              </w:rPr>
              <w:t>469</w:t>
            </w:r>
          </w:p>
        </w:tc>
        <w:tc>
          <w:tcPr>
            <w:tcW w:w="1134" w:type="dxa"/>
            <w:vAlign w:val="center"/>
          </w:tcPr>
          <w:p w14:paraId="34FEDA48" w14:textId="4F699061" w:rsidR="00316457" w:rsidRPr="001202A2" w:rsidRDefault="008B3EAC" w:rsidP="00880F49">
            <w:pPr>
              <w:jc w:val="center"/>
              <w:rPr>
                <w:iCs/>
                <w:szCs w:val="22"/>
                <w:lang w:val="sr-Latn-ME"/>
              </w:rPr>
            </w:pPr>
            <w:r w:rsidRPr="001202A2">
              <w:rPr>
                <w:iCs/>
                <w:szCs w:val="22"/>
                <w:lang w:val="sr-Latn-ME"/>
              </w:rPr>
              <w:t>5</w:t>
            </w:r>
          </w:p>
        </w:tc>
        <w:tc>
          <w:tcPr>
            <w:tcW w:w="1417" w:type="dxa"/>
            <w:vAlign w:val="center"/>
          </w:tcPr>
          <w:p w14:paraId="3008D76C" w14:textId="6B17BDE7" w:rsidR="00316457" w:rsidRPr="001202A2" w:rsidRDefault="008B3EAC" w:rsidP="00880F49">
            <w:pPr>
              <w:jc w:val="center"/>
              <w:rPr>
                <w:iCs/>
                <w:szCs w:val="22"/>
                <w:lang w:val="sr-Latn-ME"/>
              </w:rPr>
            </w:pPr>
            <w:r w:rsidRPr="001202A2">
              <w:rPr>
                <w:iCs/>
                <w:szCs w:val="22"/>
                <w:lang w:val="sr-Latn-ME"/>
              </w:rPr>
              <w:t>0,44</w:t>
            </w:r>
          </w:p>
        </w:tc>
        <w:tc>
          <w:tcPr>
            <w:tcW w:w="1701" w:type="dxa"/>
            <w:vAlign w:val="center"/>
          </w:tcPr>
          <w:p w14:paraId="5E3D06DA" w14:textId="2832C4A7" w:rsidR="00316457" w:rsidRPr="001202A2" w:rsidRDefault="008B3EAC" w:rsidP="00880F49">
            <w:pPr>
              <w:jc w:val="center"/>
              <w:rPr>
                <w:iCs/>
                <w:szCs w:val="22"/>
                <w:lang w:val="sr-Latn-ME"/>
              </w:rPr>
            </w:pPr>
            <w:r w:rsidRPr="001202A2">
              <w:rPr>
                <w:iCs/>
                <w:szCs w:val="22"/>
                <w:lang w:val="sr-Latn-ME"/>
              </w:rPr>
              <w:t>--</w:t>
            </w:r>
            <w:r w:rsidRPr="001202A2">
              <w:rPr>
                <w:iCs/>
                <w:szCs w:val="22"/>
                <w:vertAlign w:val="superscript"/>
                <w:lang w:val="sr-Latn-ME"/>
              </w:rPr>
              <w:t>*</w:t>
            </w:r>
          </w:p>
        </w:tc>
      </w:tr>
      <w:tr w:rsidR="00316457" w:rsidRPr="001202A2" w14:paraId="31905B05" w14:textId="77777777" w:rsidTr="001202A2">
        <w:tc>
          <w:tcPr>
            <w:tcW w:w="1668" w:type="dxa"/>
            <w:vAlign w:val="center"/>
          </w:tcPr>
          <w:p w14:paraId="415F956F" w14:textId="77777777" w:rsidR="00316457" w:rsidRPr="001202A2" w:rsidRDefault="00316457" w:rsidP="00880F49">
            <w:pPr>
              <w:rPr>
                <w:iCs/>
                <w:szCs w:val="22"/>
                <w:lang w:val="sr-Latn-ME"/>
              </w:rPr>
            </w:pPr>
            <w:r w:rsidRPr="001202A2">
              <w:rPr>
                <w:iCs/>
                <w:szCs w:val="22"/>
                <w:lang w:val="sr-Latn-ME"/>
              </w:rPr>
              <w:t>&gt; 130</w:t>
            </w:r>
          </w:p>
        </w:tc>
        <w:tc>
          <w:tcPr>
            <w:tcW w:w="708" w:type="dxa"/>
            <w:vAlign w:val="center"/>
          </w:tcPr>
          <w:p w14:paraId="0AF498E5" w14:textId="31B49E5C" w:rsidR="00316457" w:rsidRPr="001202A2" w:rsidRDefault="008B3EAC" w:rsidP="00880F49">
            <w:pPr>
              <w:jc w:val="center"/>
              <w:rPr>
                <w:iCs/>
                <w:szCs w:val="22"/>
                <w:lang w:val="sr-Latn-ME"/>
              </w:rPr>
            </w:pPr>
            <w:r w:rsidRPr="001202A2">
              <w:rPr>
                <w:iCs/>
                <w:szCs w:val="22"/>
                <w:lang w:val="sr-Latn-ME"/>
              </w:rPr>
              <w:t>462</w:t>
            </w:r>
          </w:p>
        </w:tc>
        <w:tc>
          <w:tcPr>
            <w:tcW w:w="1134" w:type="dxa"/>
            <w:vAlign w:val="center"/>
          </w:tcPr>
          <w:p w14:paraId="649A4D4D" w14:textId="792BF374" w:rsidR="00316457" w:rsidRPr="001202A2" w:rsidRDefault="008B3EAC" w:rsidP="00880F49">
            <w:pPr>
              <w:jc w:val="center"/>
              <w:rPr>
                <w:iCs/>
                <w:szCs w:val="22"/>
                <w:lang w:val="sr-Latn-ME"/>
              </w:rPr>
            </w:pPr>
            <w:r w:rsidRPr="001202A2">
              <w:rPr>
                <w:iCs/>
                <w:szCs w:val="22"/>
                <w:lang w:val="sr-Latn-ME"/>
              </w:rPr>
              <w:t>2</w:t>
            </w:r>
          </w:p>
        </w:tc>
        <w:tc>
          <w:tcPr>
            <w:tcW w:w="1418" w:type="dxa"/>
            <w:vAlign w:val="center"/>
          </w:tcPr>
          <w:p w14:paraId="0E946116" w14:textId="1A7FCA37" w:rsidR="00316457" w:rsidRPr="001202A2" w:rsidRDefault="008B3EAC" w:rsidP="00880F49">
            <w:pPr>
              <w:jc w:val="center"/>
              <w:rPr>
                <w:iCs/>
                <w:szCs w:val="22"/>
                <w:lang w:val="sr-Latn-ME"/>
              </w:rPr>
            </w:pPr>
            <w:r w:rsidRPr="001202A2">
              <w:rPr>
                <w:iCs/>
                <w:szCs w:val="22"/>
                <w:lang w:val="sr-Latn-ME"/>
              </w:rPr>
              <w:t>0,18</w:t>
            </w:r>
          </w:p>
        </w:tc>
        <w:tc>
          <w:tcPr>
            <w:tcW w:w="709" w:type="dxa"/>
            <w:vAlign w:val="center"/>
          </w:tcPr>
          <w:p w14:paraId="6D5D41DC" w14:textId="4975E0F8" w:rsidR="00316457" w:rsidRPr="001202A2" w:rsidRDefault="008B3EAC" w:rsidP="00880F49">
            <w:pPr>
              <w:jc w:val="center"/>
              <w:rPr>
                <w:iCs/>
                <w:szCs w:val="22"/>
                <w:lang w:val="sr-Latn-ME"/>
              </w:rPr>
            </w:pPr>
            <w:r w:rsidRPr="001202A2">
              <w:rPr>
                <w:iCs/>
                <w:szCs w:val="22"/>
                <w:lang w:val="sr-Latn-ME"/>
              </w:rPr>
              <w:t>418</w:t>
            </w:r>
          </w:p>
        </w:tc>
        <w:tc>
          <w:tcPr>
            <w:tcW w:w="1134" w:type="dxa"/>
            <w:vAlign w:val="center"/>
          </w:tcPr>
          <w:p w14:paraId="2DB48FF5" w14:textId="4A446954" w:rsidR="00316457" w:rsidRPr="001202A2" w:rsidRDefault="008B3EAC" w:rsidP="00880F49">
            <w:pPr>
              <w:jc w:val="center"/>
              <w:rPr>
                <w:iCs/>
                <w:szCs w:val="22"/>
                <w:lang w:val="sr-Latn-ME"/>
              </w:rPr>
            </w:pPr>
            <w:r w:rsidRPr="001202A2">
              <w:rPr>
                <w:iCs/>
                <w:szCs w:val="22"/>
                <w:lang w:val="sr-Latn-ME"/>
              </w:rPr>
              <w:t>0</w:t>
            </w:r>
          </w:p>
        </w:tc>
        <w:tc>
          <w:tcPr>
            <w:tcW w:w="1417" w:type="dxa"/>
            <w:vAlign w:val="center"/>
          </w:tcPr>
          <w:p w14:paraId="03036760" w14:textId="00FBA064" w:rsidR="00316457" w:rsidRPr="001202A2" w:rsidRDefault="008B3EAC" w:rsidP="00880F49">
            <w:pPr>
              <w:jc w:val="center"/>
              <w:rPr>
                <w:iCs/>
                <w:szCs w:val="22"/>
                <w:lang w:val="sr-Latn-ME"/>
              </w:rPr>
            </w:pPr>
            <w:r w:rsidRPr="001202A2">
              <w:rPr>
                <w:iCs/>
                <w:szCs w:val="22"/>
                <w:lang w:val="sr-Latn-ME"/>
              </w:rPr>
              <w:t>0,00</w:t>
            </w:r>
          </w:p>
        </w:tc>
        <w:tc>
          <w:tcPr>
            <w:tcW w:w="1701" w:type="dxa"/>
            <w:vAlign w:val="center"/>
          </w:tcPr>
          <w:p w14:paraId="34A17849" w14:textId="3EAEF078" w:rsidR="00316457" w:rsidRPr="001202A2" w:rsidRDefault="008B3EAC" w:rsidP="00880F49">
            <w:pPr>
              <w:jc w:val="center"/>
              <w:rPr>
                <w:iCs/>
                <w:szCs w:val="22"/>
                <w:vertAlign w:val="superscript"/>
                <w:lang w:val="sr-Latn-ME"/>
              </w:rPr>
            </w:pPr>
            <w:r w:rsidRPr="001202A2">
              <w:rPr>
                <w:iCs/>
                <w:szCs w:val="22"/>
                <w:lang w:val="sr-Latn-ME"/>
              </w:rPr>
              <w:t>--</w:t>
            </w:r>
            <w:r w:rsidRPr="001202A2">
              <w:rPr>
                <w:iCs/>
                <w:szCs w:val="22"/>
                <w:vertAlign w:val="superscript"/>
                <w:lang w:val="sr-Latn-ME"/>
              </w:rPr>
              <w:t>*</w:t>
            </w:r>
          </w:p>
        </w:tc>
      </w:tr>
    </w:tbl>
    <w:p w14:paraId="5BCB40EA" w14:textId="77777777" w:rsidR="005F2BED" w:rsidRPr="001202A2" w:rsidRDefault="005F2BED" w:rsidP="00480B31">
      <w:pPr>
        <w:tabs>
          <w:tab w:val="clear" w:pos="284"/>
        </w:tabs>
        <w:autoSpaceDE w:val="0"/>
        <w:autoSpaceDN w:val="0"/>
        <w:adjustRightInd w:val="0"/>
        <w:rPr>
          <w:b/>
          <w:bCs/>
          <w:iCs/>
          <w:szCs w:val="22"/>
          <w:lang w:val="sr-Latn-ME"/>
        </w:rPr>
      </w:pPr>
    </w:p>
    <w:p w14:paraId="39EAEF2E" w14:textId="6D72B8A3" w:rsidR="00316457" w:rsidRPr="001202A2" w:rsidRDefault="00316457" w:rsidP="00480B31">
      <w:pPr>
        <w:tabs>
          <w:tab w:val="clear" w:pos="284"/>
        </w:tabs>
        <w:autoSpaceDE w:val="0"/>
        <w:autoSpaceDN w:val="0"/>
        <w:adjustRightInd w:val="0"/>
        <w:rPr>
          <w:b/>
          <w:bCs/>
          <w:iCs/>
          <w:szCs w:val="22"/>
          <w:vertAlign w:val="superscript"/>
          <w:lang w:val="sr-Latn-ME"/>
        </w:rPr>
      </w:pPr>
      <w:r w:rsidRPr="001202A2">
        <w:rPr>
          <w:b/>
          <w:bCs/>
          <w:iCs/>
          <w:szCs w:val="22"/>
          <w:lang w:val="sr-Latn-ME"/>
        </w:rPr>
        <w:t>Tabela 9.</w:t>
      </w:r>
      <w:r w:rsidR="00A43DC6" w:rsidRPr="001202A2">
        <w:rPr>
          <w:b/>
          <w:bCs/>
          <w:iCs/>
          <w:szCs w:val="22"/>
          <w:lang w:val="sr-Latn-ME"/>
        </w:rPr>
        <w:t xml:space="preserve"> Broj intrakranijalnih krvarenja prema kategoriji CrCl u ENGAGE AF-TIMI 48 studiji, analiza bezb</w:t>
      </w:r>
      <w:r w:rsidR="005D5955" w:rsidRPr="001202A2">
        <w:rPr>
          <w:b/>
          <w:bCs/>
          <w:iCs/>
          <w:szCs w:val="22"/>
          <w:lang w:val="sr-Latn-ME"/>
        </w:rPr>
        <w:t>j</w:t>
      </w:r>
      <w:r w:rsidR="00A43DC6" w:rsidRPr="001202A2">
        <w:rPr>
          <w:b/>
          <w:bCs/>
          <w:iCs/>
          <w:szCs w:val="22"/>
          <w:lang w:val="sr-Latn-ME"/>
        </w:rPr>
        <w:t>ednosti tokom terapije</w:t>
      </w:r>
      <w:r w:rsidR="00A43DC6" w:rsidRPr="001202A2">
        <w:rPr>
          <w:b/>
          <w:bCs/>
          <w:iCs/>
          <w:szCs w:val="22"/>
          <w:vertAlign w:val="superscript"/>
          <w:lang w:val="sr-Latn-ME"/>
        </w:rPr>
        <w:t>a</w:t>
      </w:r>
    </w:p>
    <w:p w14:paraId="652228CB" w14:textId="77777777" w:rsidR="00743938" w:rsidRPr="001202A2" w:rsidRDefault="00743938" w:rsidP="00480B31">
      <w:pPr>
        <w:tabs>
          <w:tab w:val="clear" w:pos="284"/>
        </w:tabs>
        <w:autoSpaceDE w:val="0"/>
        <w:autoSpaceDN w:val="0"/>
        <w:adjustRightInd w:val="0"/>
        <w:rPr>
          <w:b/>
          <w:bCs/>
          <w:iCs/>
          <w:szCs w:val="22"/>
          <w:lang w:val="sr-Latn-ME"/>
        </w:rPr>
      </w:pPr>
    </w:p>
    <w:tbl>
      <w:tblPr>
        <w:tblStyle w:val="TableGrid"/>
        <w:tblW w:w="9889" w:type="dxa"/>
        <w:tblLayout w:type="fixed"/>
        <w:tblLook w:val="04A0" w:firstRow="1" w:lastRow="0" w:firstColumn="1" w:lastColumn="0" w:noHBand="0" w:noVBand="1"/>
      </w:tblPr>
      <w:tblGrid>
        <w:gridCol w:w="1668"/>
        <w:gridCol w:w="708"/>
        <w:gridCol w:w="1134"/>
        <w:gridCol w:w="1418"/>
        <w:gridCol w:w="709"/>
        <w:gridCol w:w="1134"/>
        <w:gridCol w:w="1417"/>
        <w:gridCol w:w="1701"/>
      </w:tblGrid>
      <w:tr w:rsidR="00316457" w:rsidRPr="001202A2" w14:paraId="01E68E73" w14:textId="77777777" w:rsidTr="001202A2">
        <w:tc>
          <w:tcPr>
            <w:tcW w:w="1668" w:type="dxa"/>
            <w:vMerge w:val="restart"/>
            <w:shd w:val="clear" w:color="auto" w:fill="BFBFBF" w:themeFill="background1" w:themeFillShade="BF"/>
            <w:vAlign w:val="center"/>
          </w:tcPr>
          <w:p w14:paraId="0D3D818F" w14:textId="21DA40D9" w:rsidR="00316457" w:rsidRPr="001202A2" w:rsidRDefault="00316457" w:rsidP="00480B31">
            <w:pPr>
              <w:jc w:val="left"/>
              <w:rPr>
                <w:b/>
                <w:bCs/>
                <w:iCs/>
                <w:szCs w:val="22"/>
                <w:lang w:val="sr-Latn-ME"/>
              </w:rPr>
            </w:pPr>
            <w:r w:rsidRPr="001202A2">
              <w:rPr>
                <w:b/>
                <w:bCs/>
                <w:iCs/>
                <w:szCs w:val="22"/>
                <w:lang w:val="sr-Latn-ME"/>
              </w:rPr>
              <w:t>Podgrupa prema CrCl (</w:t>
            </w:r>
            <w:r w:rsidR="008675AD" w:rsidRPr="001202A2">
              <w:rPr>
                <w:b/>
                <w:bCs/>
                <w:iCs/>
                <w:szCs w:val="22"/>
                <w:lang w:val="sr-Latn-ME"/>
              </w:rPr>
              <w:t>m</w:t>
            </w:r>
            <w:r w:rsidR="00456FFB" w:rsidRPr="001202A2">
              <w:rPr>
                <w:b/>
                <w:bCs/>
                <w:iCs/>
                <w:szCs w:val="22"/>
                <w:lang w:val="sr-Latn-ME"/>
              </w:rPr>
              <w:t>l</w:t>
            </w:r>
            <w:r w:rsidRPr="001202A2">
              <w:rPr>
                <w:b/>
                <w:bCs/>
                <w:iCs/>
                <w:szCs w:val="22"/>
                <w:lang w:val="sr-Latn-ME"/>
              </w:rPr>
              <w:t>/min)</w:t>
            </w:r>
          </w:p>
        </w:tc>
        <w:tc>
          <w:tcPr>
            <w:tcW w:w="3260" w:type="dxa"/>
            <w:gridSpan w:val="3"/>
            <w:shd w:val="clear" w:color="auto" w:fill="BFBFBF" w:themeFill="background1" w:themeFillShade="BF"/>
            <w:vAlign w:val="center"/>
          </w:tcPr>
          <w:p w14:paraId="0BA00D57" w14:textId="77777777" w:rsidR="00316457" w:rsidRPr="001202A2" w:rsidRDefault="00316457" w:rsidP="00880F49">
            <w:pPr>
              <w:jc w:val="center"/>
              <w:rPr>
                <w:b/>
                <w:bCs/>
                <w:iCs/>
                <w:szCs w:val="22"/>
                <w:lang w:val="sr-Latn-ME"/>
              </w:rPr>
            </w:pPr>
            <w:r w:rsidRPr="001202A2">
              <w:rPr>
                <w:b/>
                <w:bCs/>
                <w:iCs/>
                <w:szCs w:val="22"/>
                <w:lang w:val="sr-Latn-ME"/>
              </w:rPr>
              <w:t>Edoksaban 60 mg</w:t>
            </w:r>
          </w:p>
          <w:p w14:paraId="162C7389" w14:textId="77777777" w:rsidR="00316457" w:rsidRPr="001202A2" w:rsidRDefault="00316457" w:rsidP="00880F49">
            <w:pPr>
              <w:jc w:val="center"/>
              <w:rPr>
                <w:b/>
                <w:bCs/>
                <w:iCs/>
                <w:szCs w:val="22"/>
                <w:lang w:val="sr-Latn-ME"/>
              </w:rPr>
            </w:pPr>
            <w:r w:rsidRPr="001202A2">
              <w:rPr>
                <w:b/>
                <w:bCs/>
                <w:iCs/>
                <w:szCs w:val="22"/>
                <w:lang w:val="sr-Latn-ME"/>
              </w:rPr>
              <w:t>(N=7012)</w:t>
            </w:r>
          </w:p>
        </w:tc>
        <w:tc>
          <w:tcPr>
            <w:tcW w:w="3260" w:type="dxa"/>
            <w:gridSpan w:val="3"/>
            <w:shd w:val="clear" w:color="auto" w:fill="BFBFBF" w:themeFill="background1" w:themeFillShade="BF"/>
            <w:vAlign w:val="center"/>
          </w:tcPr>
          <w:p w14:paraId="425919B3" w14:textId="77777777" w:rsidR="00316457" w:rsidRPr="001202A2" w:rsidRDefault="00316457" w:rsidP="00880F49">
            <w:pPr>
              <w:jc w:val="center"/>
              <w:rPr>
                <w:b/>
                <w:bCs/>
                <w:iCs/>
                <w:szCs w:val="22"/>
                <w:lang w:val="sr-Latn-ME"/>
              </w:rPr>
            </w:pPr>
            <w:r w:rsidRPr="001202A2">
              <w:rPr>
                <w:b/>
                <w:bCs/>
                <w:iCs/>
                <w:szCs w:val="22"/>
                <w:lang w:val="sr-Latn-ME"/>
              </w:rPr>
              <w:t>Varfarin</w:t>
            </w:r>
          </w:p>
          <w:p w14:paraId="6F3BB414" w14:textId="77777777" w:rsidR="00316457" w:rsidRPr="001202A2" w:rsidRDefault="00316457" w:rsidP="00880F49">
            <w:pPr>
              <w:jc w:val="center"/>
              <w:rPr>
                <w:b/>
                <w:bCs/>
                <w:iCs/>
                <w:szCs w:val="22"/>
                <w:lang w:val="sr-Latn-ME"/>
              </w:rPr>
            </w:pPr>
            <w:r w:rsidRPr="001202A2">
              <w:rPr>
                <w:b/>
                <w:bCs/>
                <w:iCs/>
                <w:szCs w:val="22"/>
                <w:lang w:val="sr-Latn-ME"/>
              </w:rPr>
              <w:t>(N=7012)</w:t>
            </w:r>
          </w:p>
        </w:tc>
        <w:tc>
          <w:tcPr>
            <w:tcW w:w="1701" w:type="dxa"/>
            <w:shd w:val="clear" w:color="auto" w:fill="BFBFBF" w:themeFill="background1" w:themeFillShade="BF"/>
            <w:vAlign w:val="center"/>
          </w:tcPr>
          <w:p w14:paraId="60784B1D" w14:textId="77777777" w:rsidR="00316457" w:rsidRPr="001202A2" w:rsidRDefault="00316457" w:rsidP="00880F49">
            <w:pPr>
              <w:rPr>
                <w:b/>
                <w:bCs/>
                <w:iCs/>
                <w:szCs w:val="22"/>
                <w:lang w:val="sr-Latn-ME"/>
              </w:rPr>
            </w:pPr>
          </w:p>
        </w:tc>
      </w:tr>
      <w:tr w:rsidR="00316457" w:rsidRPr="001202A2" w14:paraId="0613A476" w14:textId="77777777" w:rsidTr="001202A2">
        <w:tc>
          <w:tcPr>
            <w:tcW w:w="1668" w:type="dxa"/>
            <w:vMerge/>
            <w:shd w:val="clear" w:color="auto" w:fill="BFBFBF" w:themeFill="background1" w:themeFillShade="BF"/>
            <w:vAlign w:val="center"/>
          </w:tcPr>
          <w:p w14:paraId="04F38F5F" w14:textId="77777777" w:rsidR="00316457" w:rsidRPr="001202A2" w:rsidRDefault="00316457" w:rsidP="00880F49">
            <w:pPr>
              <w:rPr>
                <w:b/>
                <w:bCs/>
                <w:iCs/>
                <w:szCs w:val="22"/>
                <w:lang w:val="sr-Latn-ME"/>
              </w:rPr>
            </w:pPr>
          </w:p>
        </w:tc>
        <w:tc>
          <w:tcPr>
            <w:tcW w:w="708" w:type="dxa"/>
            <w:shd w:val="clear" w:color="auto" w:fill="BFBFBF" w:themeFill="background1" w:themeFillShade="BF"/>
            <w:vAlign w:val="center"/>
          </w:tcPr>
          <w:p w14:paraId="0ECFEED5" w14:textId="77777777" w:rsidR="00316457" w:rsidRPr="001202A2" w:rsidRDefault="00316457"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5A0A1824" w14:textId="77777777" w:rsidR="00316457" w:rsidRPr="001202A2" w:rsidRDefault="00316457" w:rsidP="00880F49">
            <w:pPr>
              <w:jc w:val="center"/>
              <w:rPr>
                <w:b/>
                <w:bCs/>
                <w:iCs/>
                <w:szCs w:val="22"/>
                <w:lang w:val="sr-Latn-ME"/>
              </w:rPr>
            </w:pPr>
            <w:r w:rsidRPr="001202A2">
              <w:rPr>
                <w:b/>
                <w:bCs/>
                <w:iCs/>
                <w:szCs w:val="22"/>
                <w:lang w:val="sr-Latn-ME"/>
              </w:rPr>
              <w:t>Broj događaja</w:t>
            </w:r>
          </w:p>
        </w:tc>
        <w:tc>
          <w:tcPr>
            <w:tcW w:w="1418" w:type="dxa"/>
            <w:shd w:val="clear" w:color="auto" w:fill="BFBFBF" w:themeFill="background1" w:themeFillShade="BF"/>
            <w:vAlign w:val="center"/>
          </w:tcPr>
          <w:p w14:paraId="504D0591" w14:textId="77777777" w:rsidR="00316457" w:rsidRPr="001202A2" w:rsidRDefault="00316457" w:rsidP="00880F49">
            <w:pPr>
              <w:jc w:val="center"/>
              <w:rPr>
                <w:b/>
                <w:bCs/>
                <w:iCs/>
                <w:szCs w:val="22"/>
                <w:lang w:val="sr-Latn-ME"/>
              </w:rPr>
            </w:pPr>
            <w:r w:rsidRPr="001202A2">
              <w:rPr>
                <w:b/>
                <w:bCs/>
                <w:iCs/>
                <w:szCs w:val="22"/>
                <w:lang w:val="sr-Latn-ME"/>
              </w:rPr>
              <w:t>Stopa događaja (%/godina)</w:t>
            </w:r>
          </w:p>
        </w:tc>
        <w:tc>
          <w:tcPr>
            <w:tcW w:w="709" w:type="dxa"/>
            <w:shd w:val="clear" w:color="auto" w:fill="BFBFBF" w:themeFill="background1" w:themeFillShade="BF"/>
            <w:vAlign w:val="center"/>
          </w:tcPr>
          <w:p w14:paraId="35DB5DCC" w14:textId="77777777" w:rsidR="00316457" w:rsidRPr="001202A2" w:rsidRDefault="00316457" w:rsidP="00880F49">
            <w:pPr>
              <w:jc w:val="center"/>
              <w:rPr>
                <w:b/>
                <w:bCs/>
                <w:iCs/>
                <w:szCs w:val="22"/>
                <w:lang w:val="sr-Latn-ME"/>
              </w:rPr>
            </w:pPr>
            <w:r w:rsidRPr="001202A2">
              <w:rPr>
                <w:b/>
                <w:bCs/>
                <w:iCs/>
                <w:szCs w:val="22"/>
                <w:lang w:val="sr-Latn-ME"/>
              </w:rPr>
              <w:t>n</w:t>
            </w:r>
          </w:p>
        </w:tc>
        <w:tc>
          <w:tcPr>
            <w:tcW w:w="1134" w:type="dxa"/>
            <w:shd w:val="clear" w:color="auto" w:fill="BFBFBF" w:themeFill="background1" w:themeFillShade="BF"/>
            <w:vAlign w:val="center"/>
          </w:tcPr>
          <w:p w14:paraId="3BAA37F2" w14:textId="77777777" w:rsidR="00316457" w:rsidRPr="001202A2" w:rsidRDefault="00316457" w:rsidP="00880F49">
            <w:pPr>
              <w:jc w:val="center"/>
              <w:rPr>
                <w:b/>
                <w:bCs/>
                <w:iCs/>
                <w:szCs w:val="22"/>
                <w:lang w:val="sr-Latn-ME"/>
              </w:rPr>
            </w:pPr>
            <w:r w:rsidRPr="001202A2">
              <w:rPr>
                <w:b/>
                <w:bCs/>
                <w:iCs/>
                <w:szCs w:val="22"/>
                <w:lang w:val="sr-Latn-ME"/>
              </w:rPr>
              <w:t>Broj događaja</w:t>
            </w:r>
          </w:p>
        </w:tc>
        <w:tc>
          <w:tcPr>
            <w:tcW w:w="1417" w:type="dxa"/>
            <w:shd w:val="clear" w:color="auto" w:fill="BFBFBF" w:themeFill="background1" w:themeFillShade="BF"/>
            <w:vAlign w:val="center"/>
          </w:tcPr>
          <w:p w14:paraId="0C311AC8" w14:textId="77777777" w:rsidR="00316457" w:rsidRPr="001202A2" w:rsidRDefault="00316457" w:rsidP="00880F49">
            <w:pPr>
              <w:jc w:val="center"/>
              <w:rPr>
                <w:b/>
                <w:bCs/>
                <w:iCs/>
                <w:szCs w:val="22"/>
                <w:lang w:val="sr-Latn-ME"/>
              </w:rPr>
            </w:pPr>
            <w:r w:rsidRPr="001202A2">
              <w:rPr>
                <w:b/>
                <w:bCs/>
                <w:iCs/>
                <w:szCs w:val="22"/>
                <w:lang w:val="sr-Latn-ME"/>
              </w:rPr>
              <w:t>Stopa događaja (%/godina)</w:t>
            </w:r>
          </w:p>
        </w:tc>
        <w:tc>
          <w:tcPr>
            <w:tcW w:w="1701" w:type="dxa"/>
            <w:shd w:val="clear" w:color="auto" w:fill="BFBFBF" w:themeFill="background1" w:themeFillShade="BF"/>
            <w:vAlign w:val="center"/>
          </w:tcPr>
          <w:p w14:paraId="52DD124B" w14:textId="77777777" w:rsidR="00316457" w:rsidRPr="001202A2" w:rsidRDefault="00316457" w:rsidP="00880F49">
            <w:pPr>
              <w:jc w:val="center"/>
              <w:rPr>
                <w:b/>
                <w:bCs/>
                <w:iCs/>
                <w:szCs w:val="22"/>
                <w:lang w:val="sr-Latn-ME"/>
              </w:rPr>
            </w:pPr>
            <w:r w:rsidRPr="001202A2">
              <w:rPr>
                <w:b/>
                <w:bCs/>
                <w:iCs/>
                <w:szCs w:val="22"/>
                <w:lang w:val="sr-Latn-ME"/>
              </w:rPr>
              <w:t>HR (95% CI)</w:t>
            </w:r>
          </w:p>
        </w:tc>
      </w:tr>
      <w:tr w:rsidR="00316457" w:rsidRPr="001202A2" w14:paraId="3D6DFDD0" w14:textId="77777777" w:rsidTr="001202A2">
        <w:tc>
          <w:tcPr>
            <w:tcW w:w="1668" w:type="dxa"/>
            <w:vAlign w:val="center"/>
          </w:tcPr>
          <w:p w14:paraId="3A98F4D8" w14:textId="77777777" w:rsidR="00316457" w:rsidRPr="001202A2" w:rsidRDefault="00316457" w:rsidP="00880F49">
            <w:pPr>
              <w:rPr>
                <w:iCs/>
                <w:szCs w:val="22"/>
                <w:lang w:val="sr-Latn-ME"/>
              </w:rPr>
            </w:pPr>
            <w:r w:rsidRPr="001202A2">
              <w:rPr>
                <w:iCs/>
                <w:szCs w:val="22"/>
                <w:lang w:val="sr-Latn-ME"/>
              </w:rPr>
              <w:t>≥ 30 do ≤ 50</w:t>
            </w:r>
          </w:p>
        </w:tc>
        <w:tc>
          <w:tcPr>
            <w:tcW w:w="708" w:type="dxa"/>
            <w:vAlign w:val="center"/>
          </w:tcPr>
          <w:p w14:paraId="18F5E23B" w14:textId="624EB376" w:rsidR="00316457" w:rsidRPr="001202A2" w:rsidRDefault="008B3EAC" w:rsidP="00880F49">
            <w:pPr>
              <w:jc w:val="center"/>
              <w:rPr>
                <w:iCs/>
                <w:szCs w:val="22"/>
                <w:lang w:val="sr-Latn-ME"/>
              </w:rPr>
            </w:pPr>
            <w:r w:rsidRPr="001202A2">
              <w:rPr>
                <w:iCs/>
                <w:szCs w:val="22"/>
                <w:lang w:val="sr-Latn-ME"/>
              </w:rPr>
              <w:t>1302</w:t>
            </w:r>
          </w:p>
        </w:tc>
        <w:tc>
          <w:tcPr>
            <w:tcW w:w="1134" w:type="dxa"/>
            <w:vAlign w:val="center"/>
          </w:tcPr>
          <w:p w14:paraId="2BF4AA28" w14:textId="59C78638" w:rsidR="00316457" w:rsidRPr="001202A2" w:rsidRDefault="008B3EAC" w:rsidP="00880F49">
            <w:pPr>
              <w:jc w:val="center"/>
              <w:rPr>
                <w:iCs/>
                <w:szCs w:val="22"/>
                <w:lang w:val="sr-Latn-ME"/>
              </w:rPr>
            </w:pPr>
            <w:r w:rsidRPr="001202A2">
              <w:rPr>
                <w:iCs/>
                <w:szCs w:val="22"/>
                <w:lang w:val="sr-Latn-ME"/>
              </w:rPr>
              <w:t>16</w:t>
            </w:r>
          </w:p>
        </w:tc>
        <w:tc>
          <w:tcPr>
            <w:tcW w:w="1418" w:type="dxa"/>
            <w:vAlign w:val="center"/>
          </w:tcPr>
          <w:p w14:paraId="64308743" w14:textId="0C1E0C94" w:rsidR="00316457" w:rsidRPr="001202A2" w:rsidRDefault="008B3EAC" w:rsidP="00880F49">
            <w:pPr>
              <w:jc w:val="center"/>
              <w:rPr>
                <w:iCs/>
                <w:szCs w:val="22"/>
                <w:lang w:val="sr-Latn-ME"/>
              </w:rPr>
            </w:pPr>
            <w:r w:rsidRPr="001202A2">
              <w:rPr>
                <w:iCs/>
                <w:szCs w:val="22"/>
                <w:lang w:val="sr-Latn-ME"/>
              </w:rPr>
              <w:t>0,64</w:t>
            </w:r>
          </w:p>
        </w:tc>
        <w:tc>
          <w:tcPr>
            <w:tcW w:w="709" w:type="dxa"/>
            <w:vAlign w:val="center"/>
          </w:tcPr>
          <w:p w14:paraId="34C2012A" w14:textId="3F782641" w:rsidR="00316457" w:rsidRPr="001202A2" w:rsidRDefault="008B3EAC" w:rsidP="00880F49">
            <w:pPr>
              <w:jc w:val="center"/>
              <w:rPr>
                <w:iCs/>
                <w:szCs w:val="22"/>
                <w:lang w:val="sr-Latn-ME"/>
              </w:rPr>
            </w:pPr>
            <w:r w:rsidRPr="001202A2">
              <w:rPr>
                <w:iCs/>
                <w:szCs w:val="22"/>
                <w:lang w:val="sr-Latn-ME"/>
              </w:rPr>
              <w:t>1305</w:t>
            </w:r>
          </w:p>
        </w:tc>
        <w:tc>
          <w:tcPr>
            <w:tcW w:w="1134" w:type="dxa"/>
            <w:vAlign w:val="center"/>
          </w:tcPr>
          <w:p w14:paraId="11B36A59" w14:textId="2FA26A81" w:rsidR="00316457" w:rsidRPr="001202A2" w:rsidRDefault="008B3EAC" w:rsidP="00880F49">
            <w:pPr>
              <w:jc w:val="center"/>
              <w:rPr>
                <w:iCs/>
                <w:szCs w:val="22"/>
                <w:lang w:val="sr-Latn-ME"/>
              </w:rPr>
            </w:pPr>
            <w:r w:rsidRPr="001202A2">
              <w:rPr>
                <w:iCs/>
                <w:szCs w:val="22"/>
                <w:lang w:val="sr-Latn-ME"/>
              </w:rPr>
              <w:t>35</w:t>
            </w:r>
          </w:p>
        </w:tc>
        <w:tc>
          <w:tcPr>
            <w:tcW w:w="1417" w:type="dxa"/>
            <w:vAlign w:val="center"/>
          </w:tcPr>
          <w:p w14:paraId="2B0393C0" w14:textId="11F831EC" w:rsidR="00316457" w:rsidRPr="001202A2" w:rsidRDefault="008B3EAC" w:rsidP="00880F49">
            <w:pPr>
              <w:jc w:val="center"/>
              <w:rPr>
                <w:iCs/>
                <w:szCs w:val="22"/>
                <w:lang w:val="sr-Latn-ME"/>
              </w:rPr>
            </w:pPr>
            <w:r w:rsidRPr="001202A2">
              <w:rPr>
                <w:iCs/>
                <w:szCs w:val="22"/>
                <w:lang w:val="sr-Latn-ME"/>
              </w:rPr>
              <w:t>1,40</w:t>
            </w:r>
          </w:p>
        </w:tc>
        <w:tc>
          <w:tcPr>
            <w:tcW w:w="1701" w:type="dxa"/>
            <w:vAlign w:val="center"/>
          </w:tcPr>
          <w:p w14:paraId="4348082A" w14:textId="712AA74C" w:rsidR="00316457" w:rsidRPr="001202A2" w:rsidRDefault="008B3EAC" w:rsidP="00880F49">
            <w:pPr>
              <w:jc w:val="center"/>
              <w:rPr>
                <w:iCs/>
                <w:szCs w:val="22"/>
                <w:lang w:val="sr-Latn-ME"/>
              </w:rPr>
            </w:pPr>
            <w:r w:rsidRPr="001202A2">
              <w:rPr>
                <w:iCs/>
                <w:szCs w:val="22"/>
                <w:lang w:val="sr-Latn-ME"/>
              </w:rPr>
              <w:t>0,45 (0,25; 0,81)</w:t>
            </w:r>
          </w:p>
        </w:tc>
      </w:tr>
      <w:tr w:rsidR="00316457" w:rsidRPr="001202A2" w14:paraId="654DA0E6" w14:textId="77777777" w:rsidTr="001202A2">
        <w:tc>
          <w:tcPr>
            <w:tcW w:w="1668" w:type="dxa"/>
            <w:vAlign w:val="center"/>
          </w:tcPr>
          <w:p w14:paraId="3FAEE423" w14:textId="77777777" w:rsidR="00316457" w:rsidRPr="001202A2" w:rsidRDefault="00316457" w:rsidP="00880F49">
            <w:pPr>
              <w:rPr>
                <w:iCs/>
                <w:szCs w:val="22"/>
                <w:lang w:val="sr-Latn-ME"/>
              </w:rPr>
            </w:pPr>
            <w:r w:rsidRPr="001202A2">
              <w:rPr>
                <w:iCs/>
                <w:szCs w:val="22"/>
                <w:lang w:val="sr-Latn-ME"/>
              </w:rPr>
              <w:t>&gt; 50 do ≤ 70</w:t>
            </w:r>
          </w:p>
        </w:tc>
        <w:tc>
          <w:tcPr>
            <w:tcW w:w="708" w:type="dxa"/>
            <w:vAlign w:val="center"/>
          </w:tcPr>
          <w:p w14:paraId="3372E8CF" w14:textId="0EBD5C18" w:rsidR="00316457" w:rsidRPr="001202A2" w:rsidRDefault="008B3EAC" w:rsidP="00880F49">
            <w:pPr>
              <w:jc w:val="center"/>
              <w:rPr>
                <w:iCs/>
                <w:szCs w:val="22"/>
                <w:lang w:val="sr-Latn-ME"/>
              </w:rPr>
            </w:pPr>
            <w:r w:rsidRPr="001202A2">
              <w:rPr>
                <w:iCs/>
                <w:szCs w:val="22"/>
                <w:lang w:val="sr-Latn-ME"/>
              </w:rPr>
              <w:t>2093</w:t>
            </w:r>
          </w:p>
        </w:tc>
        <w:tc>
          <w:tcPr>
            <w:tcW w:w="1134" w:type="dxa"/>
            <w:vAlign w:val="center"/>
          </w:tcPr>
          <w:p w14:paraId="5A5A1BB9" w14:textId="5D7CB7DF" w:rsidR="00316457" w:rsidRPr="001202A2" w:rsidRDefault="008B3EAC" w:rsidP="00880F49">
            <w:pPr>
              <w:jc w:val="center"/>
              <w:rPr>
                <w:iCs/>
                <w:szCs w:val="22"/>
                <w:lang w:val="sr-Latn-ME"/>
              </w:rPr>
            </w:pPr>
            <w:r w:rsidRPr="001202A2">
              <w:rPr>
                <w:iCs/>
                <w:szCs w:val="22"/>
                <w:lang w:val="sr-Latn-ME"/>
              </w:rPr>
              <w:t>19</w:t>
            </w:r>
          </w:p>
        </w:tc>
        <w:tc>
          <w:tcPr>
            <w:tcW w:w="1418" w:type="dxa"/>
            <w:vAlign w:val="center"/>
          </w:tcPr>
          <w:p w14:paraId="4DE66FD5" w14:textId="6518CAE5" w:rsidR="00316457" w:rsidRPr="001202A2" w:rsidRDefault="008B3EAC" w:rsidP="00880F49">
            <w:pPr>
              <w:jc w:val="center"/>
              <w:rPr>
                <w:iCs/>
                <w:szCs w:val="22"/>
                <w:lang w:val="sr-Latn-ME"/>
              </w:rPr>
            </w:pPr>
            <w:r w:rsidRPr="001202A2">
              <w:rPr>
                <w:iCs/>
                <w:szCs w:val="22"/>
                <w:lang w:val="sr-Latn-ME"/>
              </w:rPr>
              <w:t>0,42</w:t>
            </w:r>
          </w:p>
        </w:tc>
        <w:tc>
          <w:tcPr>
            <w:tcW w:w="709" w:type="dxa"/>
            <w:vAlign w:val="center"/>
          </w:tcPr>
          <w:p w14:paraId="1C5D203D" w14:textId="2B7F0125" w:rsidR="00316457" w:rsidRPr="001202A2" w:rsidRDefault="008B3EAC" w:rsidP="00880F49">
            <w:pPr>
              <w:jc w:val="center"/>
              <w:rPr>
                <w:iCs/>
                <w:szCs w:val="22"/>
                <w:lang w:val="sr-Latn-ME"/>
              </w:rPr>
            </w:pPr>
            <w:r w:rsidRPr="001202A2">
              <w:rPr>
                <w:iCs/>
                <w:szCs w:val="22"/>
                <w:lang w:val="sr-Latn-ME"/>
              </w:rPr>
              <w:t>2106</w:t>
            </w:r>
          </w:p>
        </w:tc>
        <w:tc>
          <w:tcPr>
            <w:tcW w:w="1134" w:type="dxa"/>
            <w:vAlign w:val="center"/>
          </w:tcPr>
          <w:p w14:paraId="3BAA802E" w14:textId="516AA1AB" w:rsidR="00316457" w:rsidRPr="001202A2" w:rsidRDefault="008B3EAC" w:rsidP="00880F49">
            <w:pPr>
              <w:jc w:val="center"/>
              <w:rPr>
                <w:iCs/>
                <w:szCs w:val="22"/>
                <w:lang w:val="sr-Latn-ME"/>
              </w:rPr>
            </w:pPr>
            <w:r w:rsidRPr="001202A2">
              <w:rPr>
                <w:iCs/>
                <w:szCs w:val="22"/>
                <w:lang w:val="sr-Latn-ME"/>
              </w:rPr>
              <w:t>51</w:t>
            </w:r>
          </w:p>
        </w:tc>
        <w:tc>
          <w:tcPr>
            <w:tcW w:w="1417" w:type="dxa"/>
            <w:vAlign w:val="center"/>
          </w:tcPr>
          <w:p w14:paraId="17042B25" w14:textId="24812F75" w:rsidR="00316457" w:rsidRPr="001202A2" w:rsidRDefault="008B3EAC" w:rsidP="00880F49">
            <w:pPr>
              <w:jc w:val="center"/>
              <w:rPr>
                <w:iCs/>
                <w:szCs w:val="22"/>
                <w:lang w:val="sr-Latn-ME"/>
              </w:rPr>
            </w:pPr>
            <w:r w:rsidRPr="001202A2">
              <w:rPr>
                <w:iCs/>
                <w:szCs w:val="22"/>
                <w:lang w:val="sr-Latn-ME"/>
              </w:rPr>
              <w:t>1,10</w:t>
            </w:r>
          </w:p>
        </w:tc>
        <w:tc>
          <w:tcPr>
            <w:tcW w:w="1701" w:type="dxa"/>
            <w:vAlign w:val="center"/>
          </w:tcPr>
          <w:p w14:paraId="15F7FA65" w14:textId="51AC657D" w:rsidR="00316457" w:rsidRPr="001202A2" w:rsidRDefault="008B3EAC" w:rsidP="00880F49">
            <w:pPr>
              <w:jc w:val="center"/>
              <w:rPr>
                <w:iCs/>
                <w:szCs w:val="22"/>
                <w:lang w:val="sr-Latn-ME"/>
              </w:rPr>
            </w:pPr>
            <w:r w:rsidRPr="001202A2">
              <w:rPr>
                <w:iCs/>
                <w:szCs w:val="22"/>
                <w:lang w:val="sr-Latn-ME"/>
              </w:rPr>
              <w:t>0,38 (0,22; 0,64)</w:t>
            </w:r>
          </w:p>
        </w:tc>
      </w:tr>
      <w:tr w:rsidR="00316457" w:rsidRPr="001202A2" w14:paraId="17B37F8F" w14:textId="77777777" w:rsidTr="001202A2">
        <w:tc>
          <w:tcPr>
            <w:tcW w:w="1668" w:type="dxa"/>
            <w:vAlign w:val="center"/>
          </w:tcPr>
          <w:p w14:paraId="6E2277D6" w14:textId="77777777" w:rsidR="00316457" w:rsidRPr="001202A2" w:rsidRDefault="00316457" w:rsidP="00880F49">
            <w:pPr>
              <w:rPr>
                <w:iCs/>
                <w:szCs w:val="22"/>
                <w:lang w:val="sr-Latn-ME"/>
              </w:rPr>
            </w:pPr>
            <w:r w:rsidRPr="001202A2">
              <w:rPr>
                <w:iCs/>
                <w:szCs w:val="22"/>
                <w:lang w:val="sr-Latn-ME"/>
              </w:rPr>
              <w:t>&gt; 70 do ≤ 90</w:t>
            </w:r>
          </w:p>
        </w:tc>
        <w:tc>
          <w:tcPr>
            <w:tcW w:w="708" w:type="dxa"/>
            <w:vAlign w:val="center"/>
          </w:tcPr>
          <w:p w14:paraId="3B5C363E" w14:textId="50DD3C16" w:rsidR="00316457" w:rsidRPr="001202A2" w:rsidRDefault="008B3EAC" w:rsidP="00880F49">
            <w:pPr>
              <w:jc w:val="center"/>
              <w:rPr>
                <w:iCs/>
                <w:szCs w:val="22"/>
                <w:lang w:val="sr-Latn-ME"/>
              </w:rPr>
            </w:pPr>
            <w:r w:rsidRPr="001202A2">
              <w:rPr>
                <w:iCs/>
                <w:szCs w:val="22"/>
                <w:lang w:val="sr-Latn-ME"/>
              </w:rPr>
              <w:t>1661</w:t>
            </w:r>
          </w:p>
        </w:tc>
        <w:tc>
          <w:tcPr>
            <w:tcW w:w="1134" w:type="dxa"/>
            <w:vAlign w:val="center"/>
          </w:tcPr>
          <w:p w14:paraId="5B99B8C5" w14:textId="6B8E354D" w:rsidR="00316457" w:rsidRPr="001202A2" w:rsidRDefault="008B3EAC" w:rsidP="00880F49">
            <w:pPr>
              <w:jc w:val="center"/>
              <w:rPr>
                <w:iCs/>
                <w:szCs w:val="22"/>
                <w:lang w:val="sr-Latn-ME"/>
              </w:rPr>
            </w:pPr>
            <w:r w:rsidRPr="001202A2">
              <w:rPr>
                <w:iCs/>
                <w:szCs w:val="22"/>
                <w:lang w:val="sr-Latn-ME"/>
              </w:rPr>
              <w:t>17</w:t>
            </w:r>
          </w:p>
        </w:tc>
        <w:tc>
          <w:tcPr>
            <w:tcW w:w="1418" w:type="dxa"/>
            <w:vAlign w:val="center"/>
          </w:tcPr>
          <w:p w14:paraId="33524C03" w14:textId="27045A1E" w:rsidR="00316457" w:rsidRPr="001202A2" w:rsidRDefault="008B3EAC" w:rsidP="00880F49">
            <w:pPr>
              <w:jc w:val="center"/>
              <w:rPr>
                <w:iCs/>
                <w:szCs w:val="22"/>
                <w:lang w:val="sr-Latn-ME"/>
              </w:rPr>
            </w:pPr>
            <w:r w:rsidRPr="001202A2">
              <w:rPr>
                <w:iCs/>
                <w:szCs w:val="22"/>
                <w:lang w:val="sr-Latn-ME"/>
              </w:rPr>
              <w:t>0,44</w:t>
            </w:r>
          </w:p>
        </w:tc>
        <w:tc>
          <w:tcPr>
            <w:tcW w:w="709" w:type="dxa"/>
            <w:vAlign w:val="center"/>
          </w:tcPr>
          <w:p w14:paraId="773ADEE3" w14:textId="7989C47F" w:rsidR="00316457" w:rsidRPr="001202A2" w:rsidRDefault="008B3EAC" w:rsidP="00880F49">
            <w:pPr>
              <w:jc w:val="center"/>
              <w:rPr>
                <w:iCs/>
                <w:szCs w:val="22"/>
                <w:lang w:val="sr-Latn-ME"/>
              </w:rPr>
            </w:pPr>
            <w:r w:rsidRPr="001202A2">
              <w:rPr>
                <w:iCs/>
                <w:szCs w:val="22"/>
                <w:lang w:val="sr-Latn-ME"/>
              </w:rPr>
              <w:t>1703</w:t>
            </w:r>
          </w:p>
        </w:tc>
        <w:tc>
          <w:tcPr>
            <w:tcW w:w="1134" w:type="dxa"/>
            <w:vAlign w:val="center"/>
          </w:tcPr>
          <w:p w14:paraId="28859577" w14:textId="172777A2" w:rsidR="00316457" w:rsidRPr="001202A2" w:rsidRDefault="008B3EAC" w:rsidP="00880F49">
            <w:pPr>
              <w:jc w:val="center"/>
              <w:rPr>
                <w:iCs/>
                <w:szCs w:val="22"/>
                <w:lang w:val="sr-Latn-ME"/>
              </w:rPr>
            </w:pPr>
            <w:r w:rsidRPr="001202A2">
              <w:rPr>
                <w:iCs/>
                <w:szCs w:val="22"/>
                <w:lang w:val="sr-Latn-ME"/>
              </w:rPr>
              <w:t>35</w:t>
            </w:r>
          </w:p>
        </w:tc>
        <w:tc>
          <w:tcPr>
            <w:tcW w:w="1417" w:type="dxa"/>
            <w:vAlign w:val="center"/>
          </w:tcPr>
          <w:p w14:paraId="27C3B865" w14:textId="1C4F553B" w:rsidR="00316457" w:rsidRPr="001202A2" w:rsidRDefault="008B3EAC" w:rsidP="00880F49">
            <w:pPr>
              <w:jc w:val="center"/>
              <w:rPr>
                <w:iCs/>
                <w:szCs w:val="22"/>
                <w:lang w:val="sr-Latn-ME"/>
              </w:rPr>
            </w:pPr>
            <w:r w:rsidRPr="001202A2">
              <w:rPr>
                <w:iCs/>
                <w:szCs w:val="22"/>
                <w:lang w:val="sr-Latn-ME"/>
              </w:rPr>
              <w:t>0,89</w:t>
            </w:r>
          </w:p>
        </w:tc>
        <w:tc>
          <w:tcPr>
            <w:tcW w:w="1701" w:type="dxa"/>
            <w:vAlign w:val="center"/>
          </w:tcPr>
          <w:p w14:paraId="1A85BD15" w14:textId="2421B706" w:rsidR="00316457" w:rsidRPr="001202A2" w:rsidRDefault="008B3EAC" w:rsidP="00880F49">
            <w:pPr>
              <w:jc w:val="center"/>
              <w:rPr>
                <w:iCs/>
                <w:szCs w:val="22"/>
                <w:lang w:val="sr-Latn-ME"/>
              </w:rPr>
            </w:pPr>
            <w:r w:rsidRPr="001202A2">
              <w:rPr>
                <w:iCs/>
                <w:szCs w:val="22"/>
                <w:lang w:val="sr-Latn-ME"/>
              </w:rPr>
              <w:t>0,50 (0,28; 0,89)</w:t>
            </w:r>
          </w:p>
        </w:tc>
      </w:tr>
      <w:tr w:rsidR="00316457" w:rsidRPr="001202A2" w14:paraId="52094182" w14:textId="77777777" w:rsidTr="001202A2">
        <w:tc>
          <w:tcPr>
            <w:tcW w:w="1668" w:type="dxa"/>
            <w:vAlign w:val="center"/>
          </w:tcPr>
          <w:p w14:paraId="5C315BE0" w14:textId="77777777" w:rsidR="00316457" w:rsidRPr="001202A2" w:rsidRDefault="00316457" w:rsidP="00880F49">
            <w:pPr>
              <w:rPr>
                <w:iCs/>
                <w:szCs w:val="22"/>
                <w:lang w:val="sr-Latn-ME"/>
              </w:rPr>
            </w:pPr>
            <w:r w:rsidRPr="001202A2">
              <w:rPr>
                <w:iCs/>
                <w:szCs w:val="22"/>
                <w:lang w:val="sr-Latn-ME"/>
              </w:rPr>
              <w:t>&gt; 90 do ≤ 110</w:t>
            </w:r>
          </w:p>
        </w:tc>
        <w:tc>
          <w:tcPr>
            <w:tcW w:w="708" w:type="dxa"/>
            <w:vAlign w:val="center"/>
          </w:tcPr>
          <w:p w14:paraId="6C9E92CA" w14:textId="0C1ABD9E" w:rsidR="00316457" w:rsidRPr="001202A2" w:rsidRDefault="008B3EAC" w:rsidP="00880F49">
            <w:pPr>
              <w:jc w:val="center"/>
              <w:rPr>
                <w:iCs/>
                <w:szCs w:val="22"/>
                <w:lang w:val="sr-Latn-ME"/>
              </w:rPr>
            </w:pPr>
            <w:r w:rsidRPr="001202A2">
              <w:rPr>
                <w:iCs/>
                <w:szCs w:val="22"/>
                <w:lang w:val="sr-Latn-ME"/>
              </w:rPr>
              <w:t>927</w:t>
            </w:r>
          </w:p>
        </w:tc>
        <w:tc>
          <w:tcPr>
            <w:tcW w:w="1134" w:type="dxa"/>
            <w:vAlign w:val="center"/>
          </w:tcPr>
          <w:p w14:paraId="1A72373C" w14:textId="78E912B6" w:rsidR="00316457" w:rsidRPr="001202A2" w:rsidRDefault="008B3EAC" w:rsidP="00880F49">
            <w:pPr>
              <w:jc w:val="center"/>
              <w:rPr>
                <w:iCs/>
                <w:szCs w:val="22"/>
                <w:lang w:val="sr-Latn-ME"/>
              </w:rPr>
            </w:pPr>
            <w:r w:rsidRPr="001202A2">
              <w:rPr>
                <w:iCs/>
                <w:szCs w:val="22"/>
                <w:lang w:val="sr-Latn-ME"/>
              </w:rPr>
              <w:t>5</w:t>
            </w:r>
          </w:p>
        </w:tc>
        <w:tc>
          <w:tcPr>
            <w:tcW w:w="1418" w:type="dxa"/>
            <w:vAlign w:val="center"/>
          </w:tcPr>
          <w:p w14:paraId="2ABDC959" w14:textId="53B1C41D" w:rsidR="00316457" w:rsidRPr="001202A2" w:rsidRDefault="008B3EAC" w:rsidP="00880F49">
            <w:pPr>
              <w:jc w:val="center"/>
              <w:rPr>
                <w:iCs/>
                <w:szCs w:val="22"/>
                <w:lang w:val="sr-Latn-ME"/>
              </w:rPr>
            </w:pPr>
            <w:r w:rsidRPr="001202A2">
              <w:rPr>
                <w:iCs/>
                <w:szCs w:val="22"/>
                <w:lang w:val="sr-Latn-ME"/>
              </w:rPr>
              <w:t>0,23</w:t>
            </w:r>
          </w:p>
        </w:tc>
        <w:tc>
          <w:tcPr>
            <w:tcW w:w="709" w:type="dxa"/>
            <w:vAlign w:val="center"/>
          </w:tcPr>
          <w:p w14:paraId="4DE218EC" w14:textId="069A3B9A" w:rsidR="00316457" w:rsidRPr="001202A2" w:rsidRDefault="008B3EAC" w:rsidP="00880F49">
            <w:pPr>
              <w:jc w:val="center"/>
              <w:rPr>
                <w:iCs/>
                <w:szCs w:val="22"/>
                <w:lang w:val="sr-Latn-ME"/>
              </w:rPr>
            </w:pPr>
            <w:r w:rsidRPr="001202A2">
              <w:rPr>
                <w:iCs/>
                <w:szCs w:val="22"/>
                <w:lang w:val="sr-Latn-ME"/>
              </w:rPr>
              <w:t>960</w:t>
            </w:r>
          </w:p>
        </w:tc>
        <w:tc>
          <w:tcPr>
            <w:tcW w:w="1134" w:type="dxa"/>
            <w:vAlign w:val="center"/>
          </w:tcPr>
          <w:p w14:paraId="75E2FB69" w14:textId="65ED36A5" w:rsidR="00316457" w:rsidRPr="001202A2" w:rsidRDefault="008B3EAC" w:rsidP="00880F49">
            <w:pPr>
              <w:jc w:val="center"/>
              <w:rPr>
                <w:iCs/>
                <w:szCs w:val="22"/>
                <w:lang w:val="sr-Latn-ME"/>
              </w:rPr>
            </w:pPr>
            <w:r w:rsidRPr="001202A2">
              <w:rPr>
                <w:iCs/>
                <w:szCs w:val="22"/>
                <w:lang w:val="sr-Latn-ME"/>
              </w:rPr>
              <w:t>6</w:t>
            </w:r>
          </w:p>
        </w:tc>
        <w:tc>
          <w:tcPr>
            <w:tcW w:w="1417" w:type="dxa"/>
            <w:vAlign w:val="center"/>
          </w:tcPr>
          <w:p w14:paraId="1FD3D7A5" w14:textId="7F45B70C" w:rsidR="00316457" w:rsidRPr="001202A2" w:rsidRDefault="008B3EAC" w:rsidP="00880F49">
            <w:pPr>
              <w:jc w:val="center"/>
              <w:rPr>
                <w:iCs/>
                <w:szCs w:val="22"/>
                <w:lang w:val="sr-Latn-ME"/>
              </w:rPr>
            </w:pPr>
            <w:r w:rsidRPr="001202A2">
              <w:rPr>
                <w:iCs/>
                <w:szCs w:val="22"/>
                <w:lang w:val="sr-Latn-ME"/>
              </w:rPr>
              <w:t>0,26</w:t>
            </w:r>
          </w:p>
        </w:tc>
        <w:tc>
          <w:tcPr>
            <w:tcW w:w="1701" w:type="dxa"/>
            <w:vAlign w:val="center"/>
          </w:tcPr>
          <w:p w14:paraId="1D048905" w14:textId="3154B6A9" w:rsidR="00316457" w:rsidRPr="001202A2" w:rsidRDefault="008B3EAC" w:rsidP="00880F49">
            <w:pPr>
              <w:jc w:val="center"/>
              <w:rPr>
                <w:iCs/>
                <w:szCs w:val="22"/>
                <w:lang w:val="sr-Latn-ME"/>
              </w:rPr>
            </w:pPr>
            <w:r w:rsidRPr="001202A2">
              <w:rPr>
                <w:iCs/>
                <w:szCs w:val="22"/>
                <w:lang w:val="sr-Latn-ME"/>
              </w:rPr>
              <w:t>0,87 (0,27; 2,86)</w:t>
            </w:r>
          </w:p>
        </w:tc>
      </w:tr>
      <w:tr w:rsidR="00316457" w:rsidRPr="001202A2" w14:paraId="0236E305" w14:textId="77777777" w:rsidTr="001202A2">
        <w:tc>
          <w:tcPr>
            <w:tcW w:w="1668" w:type="dxa"/>
            <w:vAlign w:val="center"/>
          </w:tcPr>
          <w:p w14:paraId="4822F703" w14:textId="77777777" w:rsidR="00316457" w:rsidRPr="001202A2" w:rsidRDefault="00316457" w:rsidP="00880F49">
            <w:pPr>
              <w:rPr>
                <w:iCs/>
                <w:szCs w:val="22"/>
                <w:lang w:val="sr-Latn-ME"/>
              </w:rPr>
            </w:pPr>
            <w:r w:rsidRPr="001202A2">
              <w:rPr>
                <w:iCs/>
                <w:szCs w:val="22"/>
                <w:lang w:val="sr-Latn-ME"/>
              </w:rPr>
              <w:t>&gt; 110 do ≤ 130</w:t>
            </w:r>
          </w:p>
        </w:tc>
        <w:tc>
          <w:tcPr>
            <w:tcW w:w="708" w:type="dxa"/>
            <w:vAlign w:val="center"/>
          </w:tcPr>
          <w:p w14:paraId="006AFF51" w14:textId="21E8928C" w:rsidR="00316457" w:rsidRPr="001202A2" w:rsidRDefault="008B3EAC" w:rsidP="00880F49">
            <w:pPr>
              <w:jc w:val="center"/>
              <w:rPr>
                <w:iCs/>
                <w:szCs w:val="22"/>
                <w:lang w:val="sr-Latn-ME"/>
              </w:rPr>
            </w:pPr>
            <w:r w:rsidRPr="001202A2">
              <w:rPr>
                <w:iCs/>
                <w:szCs w:val="22"/>
                <w:lang w:val="sr-Latn-ME"/>
              </w:rPr>
              <w:t>497</w:t>
            </w:r>
          </w:p>
        </w:tc>
        <w:tc>
          <w:tcPr>
            <w:tcW w:w="1134" w:type="dxa"/>
            <w:vAlign w:val="center"/>
          </w:tcPr>
          <w:p w14:paraId="23D17602" w14:textId="724AD495" w:rsidR="00316457" w:rsidRPr="001202A2" w:rsidRDefault="008B3EAC" w:rsidP="00880F49">
            <w:pPr>
              <w:jc w:val="center"/>
              <w:rPr>
                <w:iCs/>
                <w:szCs w:val="22"/>
                <w:lang w:val="sr-Latn-ME"/>
              </w:rPr>
            </w:pPr>
            <w:r w:rsidRPr="001202A2">
              <w:rPr>
                <w:iCs/>
                <w:szCs w:val="22"/>
                <w:lang w:val="sr-Latn-ME"/>
              </w:rPr>
              <w:t>2</w:t>
            </w:r>
          </w:p>
        </w:tc>
        <w:tc>
          <w:tcPr>
            <w:tcW w:w="1418" w:type="dxa"/>
            <w:vAlign w:val="center"/>
          </w:tcPr>
          <w:p w14:paraId="35A8EB51" w14:textId="7662FAE8" w:rsidR="00316457" w:rsidRPr="001202A2" w:rsidRDefault="008B3EAC" w:rsidP="00880F49">
            <w:pPr>
              <w:jc w:val="center"/>
              <w:rPr>
                <w:iCs/>
                <w:szCs w:val="22"/>
                <w:lang w:val="sr-Latn-ME"/>
              </w:rPr>
            </w:pPr>
            <w:r w:rsidRPr="001202A2">
              <w:rPr>
                <w:iCs/>
                <w:szCs w:val="22"/>
                <w:lang w:val="sr-Latn-ME"/>
              </w:rPr>
              <w:t>0,17</w:t>
            </w:r>
          </w:p>
        </w:tc>
        <w:tc>
          <w:tcPr>
            <w:tcW w:w="709" w:type="dxa"/>
            <w:vAlign w:val="center"/>
          </w:tcPr>
          <w:p w14:paraId="2C58576F" w14:textId="0C6FC161" w:rsidR="00316457" w:rsidRPr="001202A2" w:rsidRDefault="008B3EAC" w:rsidP="00880F49">
            <w:pPr>
              <w:jc w:val="center"/>
              <w:rPr>
                <w:iCs/>
                <w:szCs w:val="22"/>
                <w:lang w:val="sr-Latn-ME"/>
              </w:rPr>
            </w:pPr>
            <w:r w:rsidRPr="001202A2">
              <w:rPr>
                <w:iCs/>
                <w:szCs w:val="22"/>
                <w:lang w:val="sr-Latn-ME"/>
              </w:rPr>
              <w:t>469</w:t>
            </w:r>
          </w:p>
        </w:tc>
        <w:tc>
          <w:tcPr>
            <w:tcW w:w="1134" w:type="dxa"/>
            <w:vAlign w:val="center"/>
          </w:tcPr>
          <w:p w14:paraId="541F06C1" w14:textId="365A6C72" w:rsidR="00316457" w:rsidRPr="001202A2" w:rsidRDefault="008B3EAC" w:rsidP="00880F49">
            <w:pPr>
              <w:jc w:val="center"/>
              <w:rPr>
                <w:iCs/>
                <w:szCs w:val="22"/>
                <w:lang w:val="sr-Latn-ME"/>
              </w:rPr>
            </w:pPr>
            <w:r w:rsidRPr="001202A2">
              <w:rPr>
                <w:iCs/>
                <w:szCs w:val="22"/>
                <w:lang w:val="sr-Latn-ME"/>
              </w:rPr>
              <w:t>3</w:t>
            </w:r>
          </w:p>
        </w:tc>
        <w:tc>
          <w:tcPr>
            <w:tcW w:w="1417" w:type="dxa"/>
            <w:vAlign w:val="center"/>
          </w:tcPr>
          <w:p w14:paraId="4552F441" w14:textId="0DA2805A" w:rsidR="00316457" w:rsidRPr="001202A2" w:rsidRDefault="008B3EAC" w:rsidP="00880F49">
            <w:pPr>
              <w:jc w:val="center"/>
              <w:rPr>
                <w:iCs/>
                <w:szCs w:val="22"/>
                <w:lang w:val="sr-Latn-ME"/>
              </w:rPr>
            </w:pPr>
            <w:r w:rsidRPr="001202A2">
              <w:rPr>
                <w:iCs/>
                <w:szCs w:val="22"/>
                <w:lang w:val="sr-Latn-ME"/>
              </w:rPr>
              <w:t>0,26</w:t>
            </w:r>
          </w:p>
        </w:tc>
        <w:tc>
          <w:tcPr>
            <w:tcW w:w="1701" w:type="dxa"/>
            <w:vAlign w:val="center"/>
          </w:tcPr>
          <w:p w14:paraId="1A7128CC" w14:textId="6463D7EC" w:rsidR="00316457" w:rsidRPr="001202A2" w:rsidRDefault="008B3EAC" w:rsidP="00880F49">
            <w:pPr>
              <w:jc w:val="center"/>
              <w:rPr>
                <w:iCs/>
                <w:szCs w:val="22"/>
                <w:lang w:val="sr-Latn-ME"/>
              </w:rPr>
            </w:pPr>
            <w:r w:rsidRPr="001202A2">
              <w:rPr>
                <w:iCs/>
                <w:szCs w:val="22"/>
                <w:lang w:val="sr-Latn-ME"/>
              </w:rPr>
              <w:t>--</w:t>
            </w:r>
            <w:r w:rsidRPr="001202A2">
              <w:rPr>
                <w:iCs/>
                <w:szCs w:val="22"/>
                <w:vertAlign w:val="superscript"/>
                <w:lang w:val="sr-Latn-ME"/>
              </w:rPr>
              <w:t>*</w:t>
            </w:r>
          </w:p>
        </w:tc>
      </w:tr>
      <w:tr w:rsidR="00316457" w:rsidRPr="001202A2" w14:paraId="65A0F681" w14:textId="77777777" w:rsidTr="001202A2">
        <w:tc>
          <w:tcPr>
            <w:tcW w:w="1668" w:type="dxa"/>
            <w:vAlign w:val="center"/>
          </w:tcPr>
          <w:p w14:paraId="0EAFE02E" w14:textId="77777777" w:rsidR="00316457" w:rsidRPr="001202A2" w:rsidRDefault="00316457" w:rsidP="00880F49">
            <w:pPr>
              <w:rPr>
                <w:iCs/>
                <w:szCs w:val="22"/>
                <w:lang w:val="sr-Latn-ME"/>
              </w:rPr>
            </w:pPr>
            <w:r w:rsidRPr="001202A2">
              <w:rPr>
                <w:iCs/>
                <w:szCs w:val="22"/>
                <w:lang w:val="sr-Latn-ME"/>
              </w:rPr>
              <w:t>&gt; 130</w:t>
            </w:r>
          </w:p>
        </w:tc>
        <w:tc>
          <w:tcPr>
            <w:tcW w:w="708" w:type="dxa"/>
            <w:vAlign w:val="center"/>
          </w:tcPr>
          <w:p w14:paraId="0C380262" w14:textId="36633E1D" w:rsidR="00316457" w:rsidRPr="001202A2" w:rsidRDefault="008B3EAC" w:rsidP="00880F49">
            <w:pPr>
              <w:jc w:val="center"/>
              <w:rPr>
                <w:iCs/>
                <w:szCs w:val="22"/>
                <w:lang w:val="sr-Latn-ME"/>
              </w:rPr>
            </w:pPr>
            <w:r w:rsidRPr="001202A2">
              <w:rPr>
                <w:iCs/>
                <w:szCs w:val="22"/>
                <w:lang w:val="sr-Latn-ME"/>
              </w:rPr>
              <w:t>462</w:t>
            </w:r>
          </w:p>
        </w:tc>
        <w:tc>
          <w:tcPr>
            <w:tcW w:w="1134" w:type="dxa"/>
            <w:vAlign w:val="center"/>
          </w:tcPr>
          <w:p w14:paraId="5BC02086" w14:textId="1852A306" w:rsidR="00316457" w:rsidRPr="001202A2" w:rsidRDefault="008B3EAC" w:rsidP="00880F49">
            <w:pPr>
              <w:jc w:val="center"/>
              <w:rPr>
                <w:iCs/>
                <w:szCs w:val="22"/>
                <w:lang w:val="sr-Latn-ME"/>
              </w:rPr>
            </w:pPr>
            <w:r w:rsidRPr="001202A2">
              <w:rPr>
                <w:iCs/>
                <w:szCs w:val="22"/>
                <w:lang w:val="sr-Latn-ME"/>
              </w:rPr>
              <w:t>1</w:t>
            </w:r>
          </w:p>
        </w:tc>
        <w:tc>
          <w:tcPr>
            <w:tcW w:w="1418" w:type="dxa"/>
            <w:vAlign w:val="center"/>
          </w:tcPr>
          <w:p w14:paraId="74AC93FC" w14:textId="1EFBB0E9" w:rsidR="00316457" w:rsidRPr="001202A2" w:rsidRDefault="008B3EAC" w:rsidP="00880F49">
            <w:pPr>
              <w:jc w:val="center"/>
              <w:rPr>
                <w:iCs/>
                <w:szCs w:val="22"/>
                <w:lang w:val="sr-Latn-ME"/>
              </w:rPr>
            </w:pPr>
            <w:r w:rsidRPr="001202A2">
              <w:rPr>
                <w:iCs/>
                <w:szCs w:val="22"/>
                <w:lang w:val="sr-Latn-ME"/>
              </w:rPr>
              <w:t>0,09</w:t>
            </w:r>
          </w:p>
        </w:tc>
        <w:tc>
          <w:tcPr>
            <w:tcW w:w="709" w:type="dxa"/>
            <w:vAlign w:val="center"/>
          </w:tcPr>
          <w:p w14:paraId="1BB62C8D" w14:textId="5F2B6A32" w:rsidR="00316457" w:rsidRPr="001202A2" w:rsidRDefault="008B3EAC" w:rsidP="00880F49">
            <w:pPr>
              <w:jc w:val="center"/>
              <w:rPr>
                <w:iCs/>
                <w:szCs w:val="22"/>
                <w:lang w:val="sr-Latn-ME"/>
              </w:rPr>
            </w:pPr>
            <w:r w:rsidRPr="001202A2">
              <w:rPr>
                <w:iCs/>
                <w:szCs w:val="22"/>
                <w:lang w:val="sr-Latn-ME"/>
              </w:rPr>
              <w:t>418</w:t>
            </w:r>
          </w:p>
        </w:tc>
        <w:tc>
          <w:tcPr>
            <w:tcW w:w="1134" w:type="dxa"/>
            <w:vAlign w:val="center"/>
          </w:tcPr>
          <w:p w14:paraId="36D7D665" w14:textId="1F95E46C" w:rsidR="00316457" w:rsidRPr="001202A2" w:rsidRDefault="008B3EAC" w:rsidP="00880F49">
            <w:pPr>
              <w:jc w:val="center"/>
              <w:rPr>
                <w:iCs/>
                <w:szCs w:val="22"/>
                <w:lang w:val="sr-Latn-ME"/>
              </w:rPr>
            </w:pPr>
            <w:r w:rsidRPr="001202A2">
              <w:rPr>
                <w:iCs/>
                <w:szCs w:val="22"/>
                <w:lang w:val="sr-Latn-ME"/>
              </w:rPr>
              <w:t>1</w:t>
            </w:r>
          </w:p>
        </w:tc>
        <w:tc>
          <w:tcPr>
            <w:tcW w:w="1417" w:type="dxa"/>
            <w:vAlign w:val="center"/>
          </w:tcPr>
          <w:p w14:paraId="1148AAE0" w14:textId="2656A0CE" w:rsidR="00316457" w:rsidRPr="001202A2" w:rsidRDefault="008B3EAC" w:rsidP="00880F49">
            <w:pPr>
              <w:jc w:val="center"/>
              <w:rPr>
                <w:iCs/>
                <w:szCs w:val="22"/>
                <w:lang w:val="sr-Latn-ME"/>
              </w:rPr>
            </w:pPr>
            <w:r w:rsidRPr="001202A2">
              <w:rPr>
                <w:iCs/>
                <w:szCs w:val="22"/>
                <w:lang w:val="sr-Latn-ME"/>
              </w:rPr>
              <w:t>0,10</w:t>
            </w:r>
          </w:p>
        </w:tc>
        <w:tc>
          <w:tcPr>
            <w:tcW w:w="1701" w:type="dxa"/>
            <w:vAlign w:val="center"/>
          </w:tcPr>
          <w:p w14:paraId="2BD0001C" w14:textId="655F77D0" w:rsidR="00316457" w:rsidRPr="001202A2" w:rsidRDefault="008B3EAC" w:rsidP="00880F49">
            <w:pPr>
              <w:jc w:val="center"/>
              <w:rPr>
                <w:iCs/>
                <w:szCs w:val="22"/>
                <w:vertAlign w:val="superscript"/>
                <w:lang w:val="sr-Latn-ME"/>
              </w:rPr>
            </w:pPr>
            <w:r w:rsidRPr="001202A2">
              <w:rPr>
                <w:iCs/>
                <w:szCs w:val="22"/>
                <w:lang w:val="sr-Latn-ME"/>
              </w:rPr>
              <w:t>--</w:t>
            </w:r>
            <w:r w:rsidRPr="001202A2">
              <w:rPr>
                <w:iCs/>
                <w:szCs w:val="22"/>
                <w:vertAlign w:val="superscript"/>
                <w:lang w:val="sr-Latn-ME"/>
              </w:rPr>
              <w:t>*</w:t>
            </w:r>
          </w:p>
        </w:tc>
      </w:tr>
    </w:tbl>
    <w:p w14:paraId="132437E5" w14:textId="523340FF" w:rsidR="00A43DC6" w:rsidRPr="001202A2" w:rsidRDefault="00A43DC6" w:rsidP="00880F49">
      <w:pPr>
        <w:tabs>
          <w:tab w:val="clear" w:pos="284"/>
        </w:tabs>
        <w:autoSpaceDE w:val="0"/>
        <w:autoSpaceDN w:val="0"/>
        <w:adjustRightInd w:val="0"/>
        <w:rPr>
          <w:rFonts w:eastAsia="TimesNewRoman"/>
          <w:szCs w:val="22"/>
          <w:lang w:val="sr-Latn-ME"/>
        </w:rPr>
      </w:pPr>
      <w:r w:rsidRPr="001202A2">
        <w:rPr>
          <w:rFonts w:eastAsia="TimesNewRoman"/>
          <w:szCs w:val="22"/>
          <w:lang w:val="sr-Latn-ME"/>
        </w:rPr>
        <w:t>Skraćenice: N = broj ispitanika u mITT populaciji tokom ukupnog trajanja studije; mITT = izm</w:t>
      </w:r>
      <w:r w:rsidR="005D5955" w:rsidRPr="001202A2">
        <w:rPr>
          <w:rFonts w:eastAsia="TimesNewRoman"/>
          <w:szCs w:val="22"/>
          <w:lang w:val="sr-Latn-ME"/>
        </w:rPr>
        <w:t>ij</w:t>
      </w:r>
      <w:r w:rsidRPr="001202A2">
        <w:rPr>
          <w:rFonts w:eastAsia="TimesNewRoman"/>
          <w:szCs w:val="22"/>
          <w:lang w:val="sr-Latn-ME"/>
        </w:rPr>
        <w:t>enjena populacija predviđena za l</w:t>
      </w:r>
      <w:r w:rsidR="005D5955" w:rsidRPr="001202A2">
        <w:rPr>
          <w:rFonts w:eastAsia="TimesNewRoman"/>
          <w:szCs w:val="22"/>
          <w:lang w:val="sr-Latn-ME"/>
        </w:rPr>
        <w:t>ij</w:t>
      </w:r>
      <w:r w:rsidRPr="001202A2">
        <w:rPr>
          <w:rFonts w:eastAsia="TimesNewRoman"/>
          <w:szCs w:val="22"/>
          <w:lang w:val="sr-Latn-ME"/>
        </w:rPr>
        <w:t>ečenje; n = broj pacijenata po podgrupi; HR = odnos rizika</w:t>
      </w:r>
      <w:r w:rsidRPr="001202A2">
        <w:rPr>
          <w:rFonts w:eastAsia="TimesNewRoman"/>
          <w:i/>
          <w:iCs/>
          <w:szCs w:val="22"/>
          <w:lang w:val="sr-Latn-ME"/>
        </w:rPr>
        <w:t xml:space="preserve"> </w:t>
      </w:r>
      <w:r w:rsidRPr="001202A2">
        <w:rPr>
          <w:rFonts w:eastAsia="TimesNewRoman"/>
          <w:szCs w:val="22"/>
          <w:lang w:val="sr-Latn-ME"/>
        </w:rPr>
        <w:t>u odnosu na varfarin, CI = interval pouzdanosti.</w:t>
      </w:r>
    </w:p>
    <w:p w14:paraId="6F8116D1" w14:textId="2F81A5CE" w:rsidR="00A43DC6" w:rsidRPr="001202A2" w:rsidRDefault="00A43DC6" w:rsidP="00880F49">
      <w:pPr>
        <w:tabs>
          <w:tab w:val="clear" w:pos="284"/>
        </w:tabs>
        <w:autoSpaceDE w:val="0"/>
        <w:autoSpaceDN w:val="0"/>
        <w:adjustRightInd w:val="0"/>
        <w:jc w:val="left"/>
        <w:rPr>
          <w:rFonts w:eastAsia="TimesNewRoman"/>
          <w:szCs w:val="22"/>
          <w:lang w:val="sr-Latn-ME"/>
        </w:rPr>
      </w:pPr>
      <w:r w:rsidRPr="001202A2">
        <w:rPr>
          <w:rFonts w:eastAsia="TimesNewRoman"/>
          <w:szCs w:val="22"/>
          <w:vertAlign w:val="superscript"/>
          <w:lang w:val="sr-Latn-ME"/>
        </w:rPr>
        <w:t>*</w:t>
      </w:r>
      <w:r w:rsidRPr="001202A2">
        <w:rPr>
          <w:rFonts w:eastAsia="TimesNewRoman"/>
          <w:szCs w:val="22"/>
          <w:lang w:val="sr-Latn-ME"/>
        </w:rPr>
        <w:t xml:space="preserve"> HR nije izračunat ako je broj događaja</w:t>
      </w:r>
      <w:r w:rsidR="008C14B1" w:rsidRPr="001202A2">
        <w:rPr>
          <w:rFonts w:eastAsia="TimesNewRoman"/>
          <w:szCs w:val="22"/>
          <w:lang w:val="sr-Latn-ME"/>
        </w:rPr>
        <w:t xml:space="preserve"> bio</w:t>
      </w:r>
      <w:r w:rsidRPr="001202A2">
        <w:rPr>
          <w:rFonts w:eastAsia="TimesNewRoman"/>
          <w:szCs w:val="22"/>
          <w:lang w:val="sr-Latn-ME"/>
        </w:rPr>
        <w:t xml:space="preserve"> &lt; 5 u jednoj od terapijskih grupa.</w:t>
      </w:r>
    </w:p>
    <w:p w14:paraId="54A65CA8" w14:textId="1C13D809" w:rsidR="00316457" w:rsidRPr="001202A2" w:rsidRDefault="00A43DC6"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a</w:t>
      </w:r>
      <w:r w:rsidRPr="001202A2">
        <w:rPr>
          <w:rFonts w:eastAsia="TimesNewRoman"/>
          <w:szCs w:val="22"/>
          <w:lang w:val="sr-Latn-ME"/>
        </w:rPr>
        <w:t xml:space="preserve"> Tokom terapije: vr</w:t>
      </w:r>
      <w:r w:rsidR="005D5955" w:rsidRPr="001202A2">
        <w:rPr>
          <w:rFonts w:eastAsia="TimesNewRoman"/>
          <w:szCs w:val="22"/>
          <w:lang w:val="sr-Latn-ME"/>
        </w:rPr>
        <w:t>ij</w:t>
      </w:r>
      <w:r w:rsidRPr="001202A2">
        <w:rPr>
          <w:rFonts w:eastAsia="TimesNewRoman"/>
          <w:szCs w:val="22"/>
          <w:lang w:val="sr-Latn-ME"/>
        </w:rPr>
        <w:t>eme od prve doze ispitivanog l</w:t>
      </w:r>
      <w:r w:rsidR="005D5955" w:rsidRPr="001202A2">
        <w:rPr>
          <w:rFonts w:eastAsia="TimesNewRoman"/>
          <w:szCs w:val="22"/>
          <w:lang w:val="sr-Latn-ME"/>
        </w:rPr>
        <w:t>ij</w:t>
      </w:r>
      <w:r w:rsidRPr="001202A2">
        <w:rPr>
          <w:rFonts w:eastAsia="TimesNewRoman"/>
          <w:szCs w:val="22"/>
          <w:lang w:val="sr-Latn-ME"/>
        </w:rPr>
        <w:t>eka do posl</w:t>
      </w:r>
      <w:r w:rsidR="005D5955" w:rsidRPr="001202A2">
        <w:rPr>
          <w:rFonts w:eastAsia="TimesNewRoman"/>
          <w:szCs w:val="22"/>
          <w:lang w:val="sr-Latn-ME"/>
        </w:rPr>
        <w:t>j</w:t>
      </w:r>
      <w:r w:rsidRPr="001202A2">
        <w:rPr>
          <w:rFonts w:eastAsia="TimesNewRoman"/>
          <w:szCs w:val="22"/>
          <w:lang w:val="sr-Latn-ME"/>
        </w:rPr>
        <w:t>ednje doze plus 3 dana.</w:t>
      </w:r>
    </w:p>
    <w:p w14:paraId="40539D2C" w14:textId="77777777" w:rsidR="005F2BED" w:rsidRPr="001202A2" w:rsidRDefault="005F2BED" w:rsidP="00880F49">
      <w:pPr>
        <w:tabs>
          <w:tab w:val="clear" w:pos="284"/>
        </w:tabs>
        <w:autoSpaceDE w:val="0"/>
        <w:autoSpaceDN w:val="0"/>
        <w:adjustRightInd w:val="0"/>
        <w:rPr>
          <w:rFonts w:eastAsia="TimesNewRoman"/>
          <w:szCs w:val="22"/>
          <w:lang w:val="sr-Latn-ME"/>
        </w:rPr>
      </w:pPr>
    </w:p>
    <w:p w14:paraId="7A59879F" w14:textId="113CCD0A" w:rsidR="00F54E97" w:rsidRPr="001202A2" w:rsidRDefault="00F54E9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analizi podgrupa, </w:t>
      </w:r>
      <w:r w:rsidR="00007ED4" w:rsidRPr="001202A2">
        <w:rPr>
          <w:rFonts w:eastAsia="TimesNewRoman"/>
          <w:szCs w:val="22"/>
          <w:lang w:val="sr-Latn-ME"/>
        </w:rPr>
        <w:t>među</w:t>
      </w:r>
      <w:r w:rsidRPr="001202A2">
        <w:rPr>
          <w:rFonts w:eastAsia="TimesNewRoman"/>
          <w:szCs w:val="22"/>
          <w:lang w:val="sr-Latn-ME"/>
        </w:rPr>
        <w:t xml:space="preserve"> ispitani</w:t>
      </w:r>
      <w:r w:rsidR="00007ED4" w:rsidRPr="001202A2">
        <w:rPr>
          <w:rFonts w:eastAsia="TimesNewRoman"/>
          <w:szCs w:val="22"/>
          <w:lang w:val="sr-Latn-ME"/>
        </w:rPr>
        <w:t>cima</w:t>
      </w:r>
      <w:r w:rsidRPr="001202A2">
        <w:rPr>
          <w:rFonts w:eastAsia="TimesNewRoman"/>
          <w:szCs w:val="22"/>
          <w:lang w:val="sr-Latn-ME"/>
        </w:rPr>
        <w:t xml:space="preserve"> </w:t>
      </w:r>
      <w:r w:rsidR="00007ED4" w:rsidRPr="001202A2">
        <w:rPr>
          <w:rFonts w:eastAsia="TimesNewRoman"/>
          <w:szCs w:val="22"/>
          <w:lang w:val="sr-Latn-ME"/>
        </w:rPr>
        <w:t>koji su primali edoksaban u dozi</w:t>
      </w:r>
      <w:r w:rsidRPr="001202A2">
        <w:rPr>
          <w:rFonts w:eastAsia="TimesNewRoman"/>
          <w:szCs w:val="22"/>
          <w:lang w:val="sr-Latn-ME"/>
        </w:rPr>
        <w:t xml:space="preserve"> od 60 mg</w:t>
      </w:r>
      <w:r w:rsidR="00007ED4" w:rsidRPr="001202A2">
        <w:rPr>
          <w:rFonts w:eastAsia="TimesNewRoman"/>
          <w:szCs w:val="22"/>
          <w:lang w:val="sr-Latn-ME"/>
        </w:rPr>
        <w:t>, koja je u ENGAGE AF-TIMI 48 studiji smanjena na 30 mg</w:t>
      </w:r>
      <w:r w:rsidRPr="001202A2">
        <w:rPr>
          <w:rFonts w:eastAsia="TimesNewRoman"/>
          <w:szCs w:val="22"/>
          <w:lang w:val="sr-Latn-ME"/>
        </w:rPr>
        <w:t xml:space="preserve"> zbog t</w:t>
      </w:r>
      <w:r w:rsidR="005D5955" w:rsidRPr="001202A2">
        <w:rPr>
          <w:rFonts w:eastAsia="TimesNewRoman"/>
          <w:szCs w:val="22"/>
          <w:lang w:val="sr-Latn-ME"/>
        </w:rPr>
        <w:t>j</w:t>
      </w:r>
      <w:r w:rsidRPr="001202A2">
        <w:rPr>
          <w:rFonts w:eastAsia="TimesNewRoman"/>
          <w:szCs w:val="22"/>
          <w:lang w:val="sr-Latn-ME"/>
        </w:rPr>
        <w:t>elesne mase ≤ 60 kg, um</w:t>
      </w:r>
      <w:r w:rsidR="005D5955" w:rsidRPr="001202A2">
        <w:rPr>
          <w:rFonts w:eastAsia="TimesNewRoman"/>
          <w:szCs w:val="22"/>
          <w:lang w:val="sr-Latn-ME"/>
        </w:rPr>
        <w:t>j</w:t>
      </w:r>
      <w:r w:rsidRPr="001202A2">
        <w:rPr>
          <w:rFonts w:eastAsia="TimesNewRoman"/>
          <w:szCs w:val="22"/>
          <w:lang w:val="sr-Latn-ME"/>
        </w:rPr>
        <w:t>erenog oštećenja funkcije bubrega ili istovremene prim</w:t>
      </w:r>
      <w:r w:rsidR="005D5955" w:rsidRPr="001202A2">
        <w:rPr>
          <w:rFonts w:eastAsia="TimesNewRoman"/>
          <w:szCs w:val="22"/>
          <w:lang w:val="sr-Latn-ME"/>
        </w:rPr>
        <w:t>j</w:t>
      </w:r>
      <w:r w:rsidRPr="001202A2">
        <w:rPr>
          <w:rFonts w:eastAsia="TimesNewRoman"/>
          <w:szCs w:val="22"/>
          <w:lang w:val="sr-Latn-ME"/>
        </w:rPr>
        <w:t xml:space="preserve">ene inhibitora P-gp, </w:t>
      </w:r>
      <w:r w:rsidR="00007ED4" w:rsidRPr="001202A2">
        <w:rPr>
          <w:rFonts w:eastAsia="TimesNewRoman"/>
          <w:szCs w:val="22"/>
          <w:lang w:val="sr-Latn-ME"/>
        </w:rPr>
        <w:t>kod</w:t>
      </w:r>
      <w:r w:rsidRPr="001202A2">
        <w:rPr>
          <w:rFonts w:eastAsia="TimesNewRoman"/>
          <w:szCs w:val="22"/>
          <w:lang w:val="sr-Latn-ME"/>
        </w:rPr>
        <w:t xml:space="preserve"> 104 (3,05% godišnje)</w:t>
      </w:r>
      <w:r w:rsidR="00007ED4" w:rsidRPr="001202A2">
        <w:rPr>
          <w:rFonts w:eastAsia="TimesNewRoman"/>
          <w:szCs w:val="22"/>
          <w:lang w:val="sr-Latn-ME"/>
        </w:rPr>
        <w:t xml:space="preserve"> ispitanika</w:t>
      </w:r>
      <w:r w:rsidRPr="001202A2">
        <w:rPr>
          <w:rFonts w:eastAsia="TimesNewRoman"/>
          <w:szCs w:val="22"/>
          <w:lang w:val="sr-Latn-ME"/>
        </w:rPr>
        <w:t xml:space="preserve"> kojima je doza edoksabana smanjena na 30 mg i 166 (4,85% godišnje) </w:t>
      </w:r>
      <w:r w:rsidR="00007ED4" w:rsidRPr="001202A2">
        <w:rPr>
          <w:rFonts w:eastAsia="TimesNewRoman"/>
          <w:szCs w:val="22"/>
          <w:lang w:val="sr-Latn-ME"/>
        </w:rPr>
        <w:t xml:space="preserve">ispitanika </w:t>
      </w:r>
      <w:r w:rsidRPr="001202A2">
        <w:rPr>
          <w:rFonts w:eastAsia="TimesNewRoman"/>
          <w:szCs w:val="22"/>
          <w:lang w:val="sr-Latn-ME"/>
        </w:rPr>
        <w:t xml:space="preserve">kojima je doza varfarina </w:t>
      </w:r>
      <w:r w:rsidR="00007ED4" w:rsidRPr="001202A2">
        <w:rPr>
          <w:rFonts w:eastAsia="TimesNewRoman"/>
          <w:szCs w:val="22"/>
          <w:lang w:val="sr-Latn-ME"/>
        </w:rPr>
        <w:t xml:space="preserve">snižena </w:t>
      </w:r>
      <w:r w:rsidRPr="001202A2">
        <w:rPr>
          <w:rFonts w:eastAsia="TimesNewRoman"/>
          <w:szCs w:val="22"/>
          <w:lang w:val="sr-Latn-ME"/>
        </w:rPr>
        <w:t xml:space="preserve">imalo je događaj </w:t>
      </w:r>
      <w:r w:rsidR="001123CD" w:rsidRPr="001202A2">
        <w:rPr>
          <w:rFonts w:eastAsia="TimesNewRoman"/>
          <w:szCs w:val="22"/>
          <w:lang w:val="sr-Latn-ME"/>
        </w:rPr>
        <w:t>ozbiljnog</w:t>
      </w:r>
      <w:r w:rsidRPr="001202A2">
        <w:rPr>
          <w:rFonts w:eastAsia="TimesNewRoman"/>
          <w:szCs w:val="22"/>
          <w:lang w:val="sr-Latn-ME"/>
        </w:rPr>
        <w:t xml:space="preserve"> krvarenja [HR (95% CI): 0,63 (0,50; 0,81)].</w:t>
      </w:r>
    </w:p>
    <w:p w14:paraId="6492A750" w14:textId="77777777" w:rsidR="005F2BED" w:rsidRPr="001202A2" w:rsidRDefault="005F2BED" w:rsidP="00480B31">
      <w:pPr>
        <w:tabs>
          <w:tab w:val="clear" w:pos="284"/>
        </w:tabs>
        <w:autoSpaceDE w:val="0"/>
        <w:autoSpaceDN w:val="0"/>
        <w:adjustRightInd w:val="0"/>
        <w:rPr>
          <w:rFonts w:eastAsia="TimesNewRoman"/>
          <w:szCs w:val="22"/>
          <w:lang w:val="sr-Latn-ME"/>
        </w:rPr>
      </w:pPr>
    </w:p>
    <w:p w14:paraId="73ABEEB4" w14:textId="5075CCCE" w:rsidR="00F54E97" w:rsidRPr="001202A2" w:rsidRDefault="00F54E9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ENGAGE AF-TIMI 48</w:t>
      </w:r>
      <w:r w:rsidR="00007ED4" w:rsidRPr="001202A2">
        <w:rPr>
          <w:rFonts w:eastAsia="TimesNewRoman"/>
          <w:szCs w:val="22"/>
          <w:lang w:val="sr-Latn-ME"/>
        </w:rPr>
        <w:t xml:space="preserve"> studiji</w:t>
      </w:r>
      <w:r w:rsidRPr="001202A2">
        <w:rPr>
          <w:rFonts w:eastAsia="TimesNewRoman"/>
          <w:szCs w:val="22"/>
          <w:lang w:val="sr-Latn-ME"/>
        </w:rPr>
        <w:t xml:space="preserve"> </w:t>
      </w:r>
      <w:r w:rsidR="00007ED4" w:rsidRPr="001202A2">
        <w:rPr>
          <w:rFonts w:eastAsia="TimesNewRoman"/>
          <w:szCs w:val="22"/>
          <w:lang w:val="sr-Latn-ME"/>
        </w:rPr>
        <w:t>zab</w:t>
      </w:r>
      <w:r w:rsidR="005D5955" w:rsidRPr="001202A2">
        <w:rPr>
          <w:rFonts w:eastAsia="TimesNewRoman"/>
          <w:szCs w:val="22"/>
          <w:lang w:val="sr-Latn-ME"/>
        </w:rPr>
        <w:t>i</w:t>
      </w:r>
      <w:r w:rsidR="00007ED4" w:rsidRPr="001202A2">
        <w:rPr>
          <w:rFonts w:eastAsia="TimesNewRoman"/>
          <w:szCs w:val="22"/>
          <w:lang w:val="sr-Latn-ME"/>
        </w:rPr>
        <w:t>l</w:t>
      </w:r>
      <w:r w:rsidR="005D5955" w:rsidRPr="001202A2">
        <w:rPr>
          <w:rFonts w:eastAsia="TimesNewRoman"/>
          <w:szCs w:val="22"/>
          <w:lang w:val="sr-Latn-ME"/>
        </w:rPr>
        <w:t>j</w:t>
      </w:r>
      <w:r w:rsidR="00007ED4" w:rsidRPr="001202A2">
        <w:rPr>
          <w:rFonts w:eastAsia="TimesNewRoman"/>
          <w:szCs w:val="22"/>
          <w:lang w:val="sr-Latn-ME"/>
        </w:rPr>
        <w:t>eženo</w:t>
      </w:r>
      <w:r w:rsidRPr="001202A2">
        <w:rPr>
          <w:rFonts w:eastAsia="TimesNewRoman"/>
          <w:szCs w:val="22"/>
          <w:lang w:val="sr-Latn-ME"/>
        </w:rPr>
        <w:t xml:space="preserve"> je značajno poboljšanje u</w:t>
      </w:r>
      <w:r w:rsidR="00007ED4" w:rsidRPr="001202A2">
        <w:rPr>
          <w:rFonts w:eastAsia="TimesNewRoman"/>
          <w:szCs w:val="22"/>
          <w:lang w:val="sr-Latn-ME"/>
        </w:rPr>
        <w:t xml:space="preserve">kupnog </w:t>
      </w:r>
      <w:r w:rsidRPr="001202A2">
        <w:rPr>
          <w:rFonts w:eastAsia="TimesNewRoman"/>
          <w:szCs w:val="22"/>
          <w:lang w:val="sr-Latn-ME"/>
        </w:rPr>
        <w:t>kliničko</w:t>
      </w:r>
      <w:r w:rsidR="00007ED4" w:rsidRPr="001202A2">
        <w:rPr>
          <w:rFonts w:eastAsia="TimesNewRoman"/>
          <w:szCs w:val="22"/>
          <w:lang w:val="sr-Latn-ME"/>
        </w:rPr>
        <w:t>g</w:t>
      </w:r>
      <w:r w:rsidRPr="001202A2">
        <w:rPr>
          <w:rFonts w:eastAsia="TimesNewRoman"/>
          <w:szCs w:val="22"/>
          <w:lang w:val="sr-Latn-ME"/>
        </w:rPr>
        <w:t xml:space="preserve"> ishod</w:t>
      </w:r>
      <w:r w:rsidR="00007ED4" w:rsidRPr="001202A2">
        <w:rPr>
          <w:rFonts w:eastAsia="TimesNewRoman"/>
          <w:szCs w:val="22"/>
          <w:lang w:val="sr-Latn-ME"/>
        </w:rPr>
        <w:t>a</w:t>
      </w:r>
      <w:r w:rsidRPr="001202A2">
        <w:rPr>
          <w:rFonts w:eastAsia="TimesNewRoman"/>
          <w:szCs w:val="22"/>
          <w:lang w:val="sr-Latn-ME"/>
        </w:rPr>
        <w:t xml:space="preserve"> (prvi moždani udar, SED, </w:t>
      </w:r>
      <w:r w:rsidR="001123CD" w:rsidRPr="001202A2">
        <w:rPr>
          <w:rFonts w:eastAsia="TimesNewRoman"/>
          <w:szCs w:val="22"/>
          <w:lang w:val="sr-Latn-ME"/>
        </w:rPr>
        <w:t>ozbiljno</w:t>
      </w:r>
      <w:r w:rsidRPr="001202A2">
        <w:rPr>
          <w:rFonts w:eastAsia="TimesNewRoman"/>
          <w:szCs w:val="22"/>
          <w:lang w:val="sr-Latn-ME"/>
        </w:rPr>
        <w:t xml:space="preserve"> krvarenje ili mortalitet bilo kog uzroka, izm</w:t>
      </w:r>
      <w:r w:rsidR="005D5955" w:rsidRPr="001202A2">
        <w:rPr>
          <w:rFonts w:eastAsia="TimesNewRoman"/>
          <w:szCs w:val="22"/>
          <w:lang w:val="sr-Latn-ME"/>
        </w:rPr>
        <w:t>ij</w:t>
      </w:r>
      <w:r w:rsidRPr="001202A2">
        <w:rPr>
          <w:rFonts w:eastAsia="TimesNewRoman"/>
          <w:szCs w:val="22"/>
          <w:lang w:val="sr-Latn-ME"/>
        </w:rPr>
        <w:t>enjena populacija predviđena za l</w:t>
      </w:r>
      <w:r w:rsidR="005D5955" w:rsidRPr="001202A2">
        <w:rPr>
          <w:rFonts w:eastAsia="TimesNewRoman"/>
          <w:szCs w:val="22"/>
          <w:lang w:val="sr-Latn-ME"/>
        </w:rPr>
        <w:t>ij</w:t>
      </w:r>
      <w:r w:rsidRPr="001202A2">
        <w:rPr>
          <w:rFonts w:eastAsia="TimesNewRoman"/>
          <w:szCs w:val="22"/>
          <w:lang w:val="sr-Latn-ME"/>
        </w:rPr>
        <w:t xml:space="preserve">ečenje [mITT], </w:t>
      </w:r>
      <w:r w:rsidR="00007ED4" w:rsidRPr="001202A2">
        <w:rPr>
          <w:rFonts w:eastAsia="TimesNewRoman"/>
          <w:szCs w:val="22"/>
          <w:lang w:val="sr-Latn-ME"/>
        </w:rPr>
        <w:t>ukupno</w:t>
      </w:r>
      <w:r w:rsidRPr="001202A2">
        <w:rPr>
          <w:rFonts w:eastAsia="TimesNewRoman"/>
          <w:szCs w:val="22"/>
          <w:lang w:val="sr-Latn-ME"/>
        </w:rPr>
        <w:t xml:space="preserve"> </w:t>
      </w:r>
      <w:r w:rsidR="00007ED4" w:rsidRPr="001202A2">
        <w:rPr>
          <w:rFonts w:eastAsia="TimesNewRoman"/>
          <w:szCs w:val="22"/>
          <w:lang w:val="sr-Latn-ME"/>
        </w:rPr>
        <w:t>trajanje studije</w:t>
      </w:r>
      <w:r w:rsidRPr="001202A2">
        <w:rPr>
          <w:rFonts w:eastAsia="TimesNewRoman"/>
          <w:szCs w:val="22"/>
          <w:lang w:val="sr-Latn-ME"/>
        </w:rPr>
        <w:t xml:space="preserve">) u korist edoksabana, HR (95% CI): 0,89 (0,83; 0,96) p = 0,0024, </w:t>
      </w:r>
      <w:r w:rsidR="00007ED4" w:rsidRPr="001202A2">
        <w:rPr>
          <w:rFonts w:eastAsia="TimesNewRoman"/>
          <w:szCs w:val="22"/>
          <w:lang w:val="sr-Latn-ME"/>
        </w:rPr>
        <w:t>pri poređenju grupe na edoksabanu u dozi od 60 mg</w:t>
      </w:r>
      <w:r w:rsidRPr="001202A2">
        <w:rPr>
          <w:rFonts w:eastAsia="TimesNewRoman"/>
          <w:szCs w:val="22"/>
          <w:lang w:val="sr-Latn-ME"/>
        </w:rPr>
        <w:t xml:space="preserve"> </w:t>
      </w:r>
      <w:r w:rsidR="00007ED4" w:rsidRPr="001202A2">
        <w:rPr>
          <w:rFonts w:eastAsia="TimesNewRoman"/>
          <w:szCs w:val="22"/>
          <w:lang w:val="sr-Latn-ME"/>
        </w:rPr>
        <w:t>i</w:t>
      </w:r>
      <w:r w:rsidRPr="001202A2">
        <w:rPr>
          <w:rFonts w:eastAsia="TimesNewRoman"/>
          <w:szCs w:val="22"/>
          <w:lang w:val="sr-Latn-ME"/>
        </w:rPr>
        <w:t xml:space="preserve"> grup</w:t>
      </w:r>
      <w:r w:rsidR="00007ED4" w:rsidRPr="001202A2">
        <w:rPr>
          <w:rFonts w:eastAsia="TimesNewRoman"/>
          <w:szCs w:val="22"/>
          <w:lang w:val="sr-Latn-ME"/>
        </w:rPr>
        <w:t>e</w:t>
      </w:r>
      <w:r w:rsidRPr="001202A2">
        <w:rPr>
          <w:rFonts w:eastAsia="TimesNewRoman"/>
          <w:szCs w:val="22"/>
          <w:lang w:val="sr-Latn-ME"/>
        </w:rPr>
        <w:t xml:space="preserve"> </w:t>
      </w:r>
      <w:r w:rsidR="00007ED4" w:rsidRPr="001202A2">
        <w:rPr>
          <w:rFonts w:eastAsia="TimesNewRoman"/>
          <w:szCs w:val="22"/>
          <w:lang w:val="sr-Latn-ME"/>
        </w:rPr>
        <w:t>na terapiji varfarinom</w:t>
      </w:r>
      <w:r w:rsidRPr="001202A2">
        <w:rPr>
          <w:rFonts w:eastAsia="TimesNewRoman"/>
          <w:szCs w:val="22"/>
          <w:lang w:val="sr-Latn-ME"/>
        </w:rPr>
        <w:t>.</w:t>
      </w:r>
    </w:p>
    <w:p w14:paraId="523ECA56"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25F169D3" w14:textId="46A75117" w:rsidR="00F54E97" w:rsidRPr="001202A2" w:rsidRDefault="009E33D1"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Terapija</w:t>
      </w:r>
      <w:r w:rsidR="00F54E97" w:rsidRPr="001202A2">
        <w:rPr>
          <w:rFonts w:eastAsia="TimesNewRoman"/>
          <w:i/>
          <w:iCs/>
          <w:szCs w:val="22"/>
          <w:lang w:val="sr-Latn-ME"/>
        </w:rPr>
        <w:t xml:space="preserve"> TDV</w:t>
      </w:r>
      <w:r w:rsidRPr="001202A2">
        <w:rPr>
          <w:rFonts w:eastAsia="TimesNewRoman"/>
          <w:i/>
          <w:iCs/>
          <w:szCs w:val="22"/>
          <w:lang w:val="sr-Latn-ME"/>
        </w:rPr>
        <w:t xml:space="preserve"> i</w:t>
      </w:r>
      <w:r w:rsidR="00F54E97" w:rsidRPr="001202A2">
        <w:rPr>
          <w:rFonts w:eastAsia="TimesNewRoman"/>
          <w:i/>
          <w:iCs/>
          <w:szCs w:val="22"/>
          <w:lang w:val="sr-Latn-ME"/>
        </w:rPr>
        <w:t xml:space="preserve"> PE i prevencija </w:t>
      </w:r>
      <w:r w:rsidRPr="001202A2">
        <w:rPr>
          <w:rFonts w:eastAsia="TimesNewRoman"/>
          <w:i/>
          <w:iCs/>
          <w:szCs w:val="22"/>
          <w:lang w:val="sr-Latn-ME"/>
        </w:rPr>
        <w:t>rekurentne</w:t>
      </w:r>
      <w:r w:rsidR="00F54E97" w:rsidRPr="001202A2">
        <w:rPr>
          <w:rFonts w:eastAsia="TimesNewRoman"/>
          <w:i/>
          <w:iCs/>
          <w:szCs w:val="22"/>
          <w:lang w:val="sr-Latn-ME"/>
        </w:rPr>
        <w:t xml:space="preserve"> TDV i PE (VTE)</w:t>
      </w:r>
    </w:p>
    <w:p w14:paraId="2BF3DDBD" w14:textId="02DD4AD1" w:rsidR="00F54E97" w:rsidRPr="001202A2" w:rsidRDefault="009E33D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w:t>
      </w:r>
      <w:r w:rsidR="00F54E97" w:rsidRPr="001202A2">
        <w:rPr>
          <w:rFonts w:eastAsia="TimesNewRoman"/>
          <w:szCs w:val="22"/>
          <w:lang w:val="sr-Latn-ME"/>
        </w:rPr>
        <w:t xml:space="preserve">rogram </w:t>
      </w:r>
      <w:r w:rsidRPr="001202A2">
        <w:rPr>
          <w:rFonts w:eastAsia="TimesNewRoman"/>
          <w:szCs w:val="22"/>
          <w:lang w:val="sr-Latn-ME"/>
        </w:rPr>
        <w:t>kliničke studije za VTE</w:t>
      </w:r>
      <w:r w:rsidR="00F54E97" w:rsidRPr="001202A2">
        <w:rPr>
          <w:rFonts w:eastAsia="TimesNewRoman"/>
          <w:szCs w:val="22"/>
          <w:lang w:val="sr-Latn-ME"/>
        </w:rPr>
        <w:t xml:space="preserve"> </w:t>
      </w:r>
      <w:r w:rsidRPr="001202A2">
        <w:rPr>
          <w:rFonts w:eastAsia="TimesNewRoman"/>
          <w:szCs w:val="22"/>
          <w:lang w:val="sr-Latn-ME"/>
        </w:rPr>
        <w:t>je osmišljen da pokaže efikasnost i bezb</w:t>
      </w:r>
      <w:r w:rsidR="005D5955" w:rsidRPr="001202A2">
        <w:rPr>
          <w:rFonts w:eastAsia="TimesNewRoman"/>
          <w:szCs w:val="22"/>
          <w:lang w:val="sr-Latn-ME"/>
        </w:rPr>
        <w:t>j</w:t>
      </w:r>
      <w:r w:rsidRPr="001202A2">
        <w:rPr>
          <w:rFonts w:eastAsia="TimesNewRoman"/>
          <w:szCs w:val="22"/>
          <w:lang w:val="sr-Latn-ME"/>
        </w:rPr>
        <w:t xml:space="preserve">ednost </w:t>
      </w:r>
      <w:r w:rsidR="00F54E97" w:rsidRPr="001202A2">
        <w:rPr>
          <w:rFonts w:eastAsia="TimesNewRoman"/>
          <w:szCs w:val="22"/>
          <w:lang w:val="sr-Latn-ME"/>
        </w:rPr>
        <w:t xml:space="preserve">edoksabana u </w:t>
      </w:r>
      <w:r w:rsidRPr="001202A2">
        <w:rPr>
          <w:rFonts w:eastAsia="TimesNewRoman"/>
          <w:szCs w:val="22"/>
          <w:lang w:val="sr-Latn-ME"/>
        </w:rPr>
        <w:t>terapiji</w:t>
      </w:r>
      <w:r w:rsidR="00F54E97" w:rsidRPr="001202A2">
        <w:rPr>
          <w:rFonts w:eastAsia="TimesNewRoman"/>
          <w:szCs w:val="22"/>
          <w:lang w:val="sr-Latn-ME"/>
        </w:rPr>
        <w:t xml:space="preserve"> TDV i PE, kao i u prevenciji </w:t>
      </w:r>
      <w:r w:rsidRPr="001202A2">
        <w:rPr>
          <w:rFonts w:eastAsia="TimesNewRoman"/>
          <w:szCs w:val="22"/>
          <w:lang w:val="sr-Latn-ME"/>
        </w:rPr>
        <w:t>rekurentnih</w:t>
      </w:r>
      <w:r w:rsidR="00F54E97" w:rsidRPr="001202A2">
        <w:rPr>
          <w:rFonts w:eastAsia="TimesNewRoman"/>
          <w:szCs w:val="22"/>
          <w:lang w:val="sr-Latn-ME"/>
        </w:rPr>
        <w:t xml:space="preserve"> TDV i PE.</w:t>
      </w:r>
    </w:p>
    <w:p w14:paraId="7E8BD3EB" w14:textId="77777777" w:rsidR="005F2BED" w:rsidRPr="001202A2" w:rsidRDefault="005F2BED" w:rsidP="00480B31">
      <w:pPr>
        <w:tabs>
          <w:tab w:val="clear" w:pos="284"/>
        </w:tabs>
        <w:autoSpaceDE w:val="0"/>
        <w:autoSpaceDN w:val="0"/>
        <w:adjustRightInd w:val="0"/>
        <w:rPr>
          <w:rFonts w:eastAsia="TimesNewRoman"/>
          <w:szCs w:val="22"/>
          <w:lang w:val="sr-Latn-ME"/>
        </w:rPr>
      </w:pPr>
    </w:p>
    <w:p w14:paraId="14CF9FCC" w14:textId="6938E0E7" w:rsidR="00F54E97" w:rsidRPr="001202A2" w:rsidRDefault="00F54E9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lastRenderedPageBreak/>
        <w:t xml:space="preserve">U </w:t>
      </w:r>
      <w:r w:rsidR="009E33D1" w:rsidRPr="001202A2">
        <w:rPr>
          <w:rFonts w:eastAsia="TimesNewRoman"/>
          <w:szCs w:val="22"/>
          <w:lang w:val="sr-Latn-ME"/>
        </w:rPr>
        <w:t>glavnoj</w:t>
      </w:r>
      <w:r w:rsidRPr="001202A2">
        <w:rPr>
          <w:rFonts w:eastAsia="TimesNewRoman"/>
          <w:szCs w:val="22"/>
          <w:lang w:val="sr-Latn-ME"/>
        </w:rPr>
        <w:t xml:space="preserve"> Hokusai-VTE</w:t>
      </w:r>
      <w:r w:rsidR="009E33D1" w:rsidRPr="001202A2">
        <w:rPr>
          <w:rFonts w:eastAsia="TimesNewRoman"/>
          <w:szCs w:val="22"/>
          <w:lang w:val="sr-Latn-ME"/>
        </w:rPr>
        <w:t xml:space="preserve"> studiji</w:t>
      </w:r>
      <w:r w:rsidRPr="001202A2">
        <w:rPr>
          <w:rFonts w:eastAsia="TimesNewRoman"/>
          <w:szCs w:val="22"/>
          <w:lang w:val="sr-Latn-ME"/>
        </w:rPr>
        <w:t>, 8292 ispitanika je randomi</w:t>
      </w:r>
      <w:r w:rsidR="009E33D1" w:rsidRPr="001202A2">
        <w:rPr>
          <w:rFonts w:eastAsia="TimesNewRoman"/>
          <w:szCs w:val="22"/>
          <w:lang w:val="sr-Latn-ME"/>
        </w:rPr>
        <w:t>zov</w:t>
      </w:r>
      <w:r w:rsidRPr="001202A2">
        <w:rPr>
          <w:rFonts w:eastAsia="TimesNewRoman"/>
          <w:szCs w:val="22"/>
          <w:lang w:val="sr-Latn-ME"/>
        </w:rPr>
        <w:t xml:space="preserve">ano </w:t>
      </w:r>
      <w:r w:rsidR="00C16B88" w:rsidRPr="001202A2">
        <w:rPr>
          <w:rFonts w:eastAsia="TimesNewRoman"/>
          <w:szCs w:val="22"/>
          <w:lang w:val="sr-Latn-ME"/>
        </w:rPr>
        <w:t>da prima</w:t>
      </w:r>
      <w:r w:rsidRPr="001202A2">
        <w:rPr>
          <w:rFonts w:eastAsia="TimesNewRoman"/>
          <w:szCs w:val="22"/>
          <w:lang w:val="sr-Latn-ME"/>
        </w:rPr>
        <w:t xml:space="preserve"> početnu terapiju heparinom (enoksaparin ili nefrakcionisani heparin) </w:t>
      </w:r>
      <w:r w:rsidR="00C16B88" w:rsidRPr="001202A2">
        <w:rPr>
          <w:rFonts w:eastAsia="TimesNewRoman"/>
          <w:szCs w:val="22"/>
          <w:lang w:val="sr-Latn-ME"/>
        </w:rPr>
        <w:t>praćenu</w:t>
      </w:r>
      <w:r w:rsidRPr="001202A2">
        <w:rPr>
          <w:rFonts w:eastAsia="TimesNewRoman"/>
          <w:szCs w:val="22"/>
          <w:lang w:val="sr-Latn-ME"/>
        </w:rPr>
        <w:t xml:space="preserve"> edoksaban</w:t>
      </w:r>
      <w:r w:rsidR="00C16B88" w:rsidRPr="001202A2">
        <w:rPr>
          <w:rFonts w:eastAsia="TimesNewRoman"/>
          <w:szCs w:val="22"/>
          <w:lang w:val="sr-Latn-ME"/>
        </w:rPr>
        <w:t>om</w:t>
      </w:r>
      <w:r w:rsidRPr="001202A2">
        <w:rPr>
          <w:rFonts w:eastAsia="TimesNewRoman"/>
          <w:szCs w:val="22"/>
          <w:lang w:val="sr-Latn-ME"/>
        </w:rPr>
        <w:t xml:space="preserve"> u dozi od 60 mg jednom dnevno ili komparator</w:t>
      </w:r>
      <w:r w:rsidR="00CB7C41" w:rsidRPr="001202A2">
        <w:rPr>
          <w:rFonts w:eastAsia="TimesNewRoman"/>
          <w:szCs w:val="22"/>
          <w:lang w:val="sr-Latn-ME"/>
        </w:rPr>
        <w:t>om</w:t>
      </w:r>
      <w:r w:rsidRPr="001202A2">
        <w:rPr>
          <w:rFonts w:eastAsia="TimesNewRoman"/>
          <w:szCs w:val="22"/>
          <w:lang w:val="sr-Latn-ME"/>
        </w:rPr>
        <w:t xml:space="preserve">. U grupi koja je primala komparator, ispitanici su </w:t>
      </w:r>
      <w:r w:rsidR="00C93BEB" w:rsidRPr="001202A2">
        <w:rPr>
          <w:rFonts w:eastAsia="TimesNewRoman"/>
          <w:szCs w:val="22"/>
          <w:lang w:val="sr-Latn-ME"/>
        </w:rPr>
        <w:t xml:space="preserve">inicijalno </w:t>
      </w:r>
      <w:r w:rsidRPr="001202A2">
        <w:rPr>
          <w:rFonts w:eastAsia="TimesNewRoman"/>
          <w:szCs w:val="22"/>
          <w:lang w:val="sr-Latn-ME"/>
        </w:rPr>
        <w:t>prim</w:t>
      </w:r>
      <w:r w:rsidR="00C93BEB" w:rsidRPr="001202A2">
        <w:rPr>
          <w:rFonts w:eastAsia="TimesNewRoman"/>
          <w:szCs w:val="22"/>
          <w:lang w:val="sr-Latn-ME"/>
        </w:rPr>
        <w:t>i</w:t>
      </w:r>
      <w:r w:rsidRPr="001202A2">
        <w:rPr>
          <w:rFonts w:eastAsia="TimesNewRoman"/>
          <w:szCs w:val="22"/>
          <w:lang w:val="sr-Latn-ME"/>
        </w:rPr>
        <w:t>li heparin istovremeno sa varfarinom, titriranim do ciljnog INR</w:t>
      </w:r>
      <w:r w:rsidR="00434501" w:rsidRPr="001202A2">
        <w:rPr>
          <w:rFonts w:eastAsia="TimesNewRoman"/>
          <w:szCs w:val="22"/>
          <w:lang w:val="sr-Latn-ME"/>
        </w:rPr>
        <w:t>-a</w:t>
      </w:r>
      <w:r w:rsidRPr="001202A2">
        <w:rPr>
          <w:rFonts w:eastAsia="TimesNewRoman"/>
          <w:szCs w:val="22"/>
          <w:lang w:val="sr-Latn-ME"/>
        </w:rPr>
        <w:t xml:space="preserve"> od 2,0 do 3,0, </w:t>
      </w:r>
      <w:r w:rsidR="00C93BEB" w:rsidRPr="001202A2">
        <w:rPr>
          <w:rFonts w:eastAsia="TimesNewRoman"/>
          <w:szCs w:val="22"/>
          <w:lang w:val="sr-Latn-ME"/>
        </w:rPr>
        <w:t>nakon čega su primali</w:t>
      </w:r>
      <w:r w:rsidRPr="001202A2">
        <w:rPr>
          <w:rFonts w:eastAsia="TimesNewRoman"/>
          <w:szCs w:val="22"/>
          <w:lang w:val="sr-Latn-ME"/>
        </w:rPr>
        <w:t xml:space="preserve"> samo varfarin. </w:t>
      </w:r>
      <w:r w:rsidR="00C93BEB" w:rsidRPr="001202A2">
        <w:rPr>
          <w:rFonts w:eastAsia="TimesNewRoman"/>
          <w:szCs w:val="22"/>
          <w:lang w:val="sr-Latn-ME"/>
        </w:rPr>
        <w:t>Terapija</w:t>
      </w:r>
      <w:r w:rsidRPr="001202A2">
        <w:rPr>
          <w:rFonts w:eastAsia="TimesNewRoman"/>
          <w:szCs w:val="22"/>
          <w:lang w:val="sr-Latn-ME"/>
        </w:rPr>
        <w:t xml:space="preserve"> je trajal</w:t>
      </w:r>
      <w:r w:rsidR="00C93BEB" w:rsidRPr="001202A2">
        <w:rPr>
          <w:rFonts w:eastAsia="TimesNewRoman"/>
          <w:szCs w:val="22"/>
          <w:lang w:val="sr-Latn-ME"/>
        </w:rPr>
        <w:t>a</w:t>
      </w:r>
      <w:r w:rsidRPr="001202A2">
        <w:rPr>
          <w:rFonts w:eastAsia="TimesNewRoman"/>
          <w:szCs w:val="22"/>
          <w:lang w:val="sr-Latn-ME"/>
        </w:rPr>
        <w:t xml:space="preserve"> 3 do 12 m</w:t>
      </w:r>
      <w:r w:rsidR="005D5955" w:rsidRPr="001202A2">
        <w:rPr>
          <w:rFonts w:eastAsia="TimesNewRoman"/>
          <w:szCs w:val="22"/>
          <w:lang w:val="sr-Latn-ME"/>
        </w:rPr>
        <w:t>j</w:t>
      </w:r>
      <w:r w:rsidRPr="001202A2">
        <w:rPr>
          <w:rFonts w:eastAsia="TimesNewRoman"/>
          <w:szCs w:val="22"/>
          <w:lang w:val="sr-Latn-ME"/>
        </w:rPr>
        <w:t xml:space="preserve">eseci, </w:t>
      </w:r>
      <w:r w:rsidR="0039311C" w:rsidRPr="001202A2">
        <w:rPr>
          <w:rFonts w:eastAsia="TimesNewRoman"/>
          <w:szCs w:val="22"/>
          <w:lang w:val="sr-Latn-ME"/>
        </w:rPr>
        <w:t>prema proc</w:t>
      </w:r>
      <w:r w:rsidR="005D5955" w:rsidRPr="001202A2">
        <w:rPr>
          <w:rFonts w:eastAsia="TimesNewRoman"/>
          <w:szCs w:val="22"/>
          <w:lang w:val="sr-Latn-ME"/>
        </w:rPr>
        <w:t>j</w:t>
      </w:r>
      <w:r w:rsidR="0039311C" w:rsidRPr="001202A2">
        <w:rPr>
          <w:rFonts w:eastAsia="TimesNewRoman"/>
          <w:szCs w:val="22"/>
          <w:lang w:val="sr-Latn-ME"/>
        </w:rPr>
        <w:t xml:space="preserve">eni ispitivača, a </w:t>
      </w:r>
      <w:r w:rsidR="00C93BEB" w:rsidRPr="001202A2">
        <w:rPr>
          <w:rFonts w:eastAsia="TimesNewRoman"/>
          <w:szCs w:val="22"/>
          <w:lang w:val="sr-Latn-ME"/>
        </w:rPr>
        <w:t xml:space="preserve">zavisno od </w:t>
      </w:r>
      <w:r w:rsidRPr="001202A2">
        <w:rPr>
          <w:rFonts w:eastAsia="TimesNewRoman"/>
          <w:szCs w:val="22"/>
          <w:lang w:val="sr-Latn-ME"/>
        </w:rPr>
        <w:t>kliničke slike pacijent</w:t>
      </w:r>
      <w:r w:rsidR="00C93BEB" w:rsidRPr="001202A2">
        <w:rPr>
          <w:rFonts w:eastAsia="TimesNewRoman"/>
          <w:szCs w:val="22"/>
          <w:lang w:val="sr-Latn-ME"/>
        </w:rPr>
        <w:t>a</w:t>
      </w:r>
      <w:r w:rsidR="0039311C" w:rsidRPr="001202A2">
        <w:rPr>
          <w:rFonts w:eastAsia="TimesNewRoman"/>
          <w:szCs w:val="22"/>
          <w:lang w:val="sr-Latn-ME"/>
        </w:rPr>
        <w:t>.</w:t>
      </w:r>
    </w:p>
    <w:p w14:paraId="4618E5C5" w14:textId="77777777" w:rsidR="005F2BED" w:rsidRPr="001202A2" w:rsidRDefault="005F2BED" w:rsidP="00480B31">
      <w:pPr>
        <w:tabs>
          <w:tab w:val="clear" w:pos="284"/>
        </w:tabs>
        <w:autoSpaceDE w:val="0"/>
        <w:autoSpaceDN w:val="0"/>
        <w:adjustRightInd w:val="0"/>
        <w:rPr>
          <w:rFonts w:eastAsia="TimesNewRoman"/>
          <w:szCs w:val="22"/>
          <w:lang w:val="sr-Latn-ME"/>
        </w:rPr>
      </w:pPr>
    </w:p>
    <w:p w14:paraId="25A5BDFF" w14:textId="747BC05B" w:rsidR="00F54E97" w:rsidRPr="001202A2" w:rsidRDefault="0039311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Većina p</w:t>
      </w:r>
      <w:r w:rsidR="00F54E97" w:rsidRPr="001202A2">
        <w:rPr>
          <w:rFonts w:eastAsia="TimesNewRoman"/>
          <w:szCs w:val="22"/>
          <w:lang w:val="sr-Latn-ME"/>
        </w:rPr>
        <w:t>acijen</w:t>
      </w:r>
      <w:r w:rsidRPr="001202A2">
        <w:rPr>
          <w:rFonts w:eastAsia="TimesNewRoman"/>
          <w:szCs w:val="22"/>
          <w:lang w:val="sr-Latn-ME"/>
        </w:rPr>
        <w:t>a</w:t>
      </w:r>
      <w:r w:rsidR="00F54E97" w:rsidRPr="001202A2">
        <w:rPr>
          <w:rFonts w:eastAsia="TimesNewRoman"/>
          <w:szCs w:val="22"/>
          <w:lang w:val="sr-Latn-ME"/>
        </w:rPr>
        <w:t>t</w:t>
      </w:r>
      <w:r w:rsidRPr="001202A2">
        <w:rPr>
          <w:rFonts w:eastAsia="TimesNewRoman"/>
          <w:szCs w:val="22"/>
          <w:lang w:val="sr-Latn-ME"/>
        </w:rPr>
        <w:t>a</w:t>
      </w:r>
      <w:r w:rsidR="00F54E97" w:rsidRPr="001202A2">
        <w:rPr>
          <w:rFonts w:eastAsia="TimesNewRoman"/>
          <w:szCs w:val="22"/>
          <w:lang w:val="sr-Latn-ME"/>
        </w:rPr>
        <w:t xml:space="preserve"> l</w:t>
      </w:r>
      <w:r w:rsidR="005D5955" w:rsidRPr="001202A2">
        <w:rPr>
          <w:rFonts w:eastAsia="TimesNewRoman"/>
          <w:szCs w:val="22"/>
          <w:lang w:val="sr-Latn-ME"/>
        </w:rPr>
        <w:t>ij</w:t>
      </w:r>
      <w:r w:rsidR="00F54E97" w:rsidRPr="001202A2">
        <w:rPr>
          <w:rFonts w:eastAsia="TimesNewRoman"/>
          <w:szCs w:val="22"/>
          <w:lang w:val="sr-Latn-ME"/>
        </w:rPr>
        <w:t>ečeni</w:t>
      </w:r>
      <w:r w:rsidRPr="001202A2">
        <w:rPr>
          <w:rFonts w:eastAsia="TimesNewRoman"/>
          <w:szCs w:val="22"/>
          <w:lang w:val="sr-Latn-ME"/>
        </w:rPr>
        <w:t>h</w:t>
      </w:r>
      <w:r w:rsidR="00F54E97" w:rsidRPr="001202A2">
        <w:rPr>
          <w:rFonts w:eastAsia="TimesNewRoman"/>
          <w:szCs w:val="22"/>
          <w:lang w:val="sr-Latn-ME"/>
        </w:rPr>
        <w:t xml:space="preserve"> edoksabanom </w:t>
      </w:r>
      <w:r w:rsidRPr="001202A2">
        <w:rPr>
          <w:rFonts w:eastAsia="TimesNewRoman"/>
          <w:szCs w:val="22"/>
          <w:lang w:val="sr-Latn-ME"/>
        </w:rPr>
        <w:t xml:space="preserve">su </w:t>
      </w:r>
      <w:r w:rsidR="00F54E97" w:rsidRPr="001202A2">
        <w:rPr>
          <w:rFonts w:eastAsia="TimesNewRoman"/>
          <w:szCs w:val="22"/>
          <w:lang w:val="sr-Latn-ME"/>
        </w:rPr>
        <w:t>bili pripadnici b</w:t>
      </w:r>
      <w:r w:rsidR="005D5955" w:rsidRPr="001202A2">
        <w:rPr>
          <w:rFonts w:eastAsia="TimesNewRoman"/>
          <w:szCs w:val="22"/>
          <w:lang w:val="sr-Latn-ME"/>
        </w:rPr>
        <w:t>ij</w:t>
      </w:r>
      <w:r w:rsidR="00F54E97" w:rsidRPr="001202A2">
        <w:rPr>
          <w:rFonts w:eastAsia="TimesNewRoman"/>
          <w:szCs w:val="22"/>
          <w:lang w:val="sr-Latn-ME"/>
        </w:rPr>
        <w:t xml:space="preserve">ele rase (69,6%) i </w:t>
      </w:r>
      <w:r w:rsidR="00644858" w:rsidRPr="001202A2">
        <w:rPr>
          <w:rFonts w:eastAsia="TimesNewRoman"/>
          <w:szCs w:val="22"/>
          <w:lang w:val="sr-Latn-ME"/>
        </w:rPr>
        <w:t xml:space="preserve">Azijati </w:t>
      </w:r>
      <w:r w:rsidR="00F54E97" w:rsidRPr="001202A2">
        <w:rPr>
          <w:rFonts w:eastAsia="TimesNewRoman"/>
          <w:szCs w:val="22"/>
          <w:lang w:val="sr-Latn-ME"/>
        </w:rPr>
        <w:t xml:space="preserve">(21,0%), 3,8% </w:t>
      </w:r>
      <w:r w:rsidRPr="001202A2">
        <w:rPr>
          <w:rFonts w:eastAsia="TimesNewRoman"/>
          <w:szCs w:val="22"/>
          <w:lang w:val="sr-Latn-ME"/>
        </w:rPr>
        <w:t>su bili</w:t>
      </w:r>
      <w:r w:rsidR="00F54E97" w:rsidRPr="001202A2">
        <w:rPr>
          <w:rFonts w:eastAsia="TimesNewRoman"/>
          <w:szCs w:val="22"/>
          <w:lang w:val="sr-Latn-ME"/>
        </w:rPr>
        <w:t xml:space="preserve"> pripadnici crne rase, dok je 5,3% kategori</w:t>
      </w:r>
      <w:r w:rsidRPr="001202A2">
        <w:rPr>
          <w:rFonts w:eastAsia="TimesNewRoman"/>
          <w:szCs w:val="22"/>
          <w:lang w:val="sr-Latn-ME"/>
        </w:rPr>
        <w:t>sa</w:t>
      </w:r>
      <w:r w:rsidR="00F54E97" w:rsidRPr="001202A2">
        <w:rPr>
          <w:rFonts w:eastAsia="TimesNewRoman"/>
          <w:szCs w:val="22"/>
          <w:lang w:val="sr-Latn-ME"/>
        </w:rPr>
        <w:t>no kao „drug</w:t>
      </w:r>
      <w:r w:rsidRPr="001202A2">
        <w:rPr>
          <w:rFonts w:eastAsia="TimesNewRoman"/>
          <w:szCs w:val="22"/>
          <w:lang w:val="sr-Latn-ME"/>
        </w:rPr>
        <w:t>a</w:t>
      </w:r>
      <w:r w:rsidR="00F54E97" w:rsidRPr="001202A2">
        <w:rPr>
          <w:rFonts w:eastAsia="TimesNewRoman"/>
          <w:szCs w:val="22"/>
          <w:lang w:val="sr-Latn-ME"/>
        </w:rPr>
        <w:t xml:space="preserve"> ras</w:t>
      </w:r>
      <w:r w:rsidRPr="001202A2">
        <w:rPr>
          <w:rFonts w:eastAsia="TimesNewRoman"/>
          <w:szCs w:val="22"/>
          <w:lang w:val="sr-Latn-ME"/>
        </w:rPr>
        <w:t>a</w:t>
      </w:r>
      <w:r w:rsidR="00F54E97" w:rsidRPr="001202A2">
        <w:rPr>
          <w:rFonts w:eastAsia="TimesNewRoman"/>
          <w:szCs w:val="22"/>
          <w:lang w:val="sr-Latn-ME"/>
        </w:rPr>
        <w:t>“.</w:t>
      </w:r>
    </w:p>
    <w:p w14:paraId="4A8F6908" w14:textId="77777777" w:rsidR="005F2BED" w:rsidRPr="001202A2" w:rsidRDefault="005F2BED" w:rsidP="00480B31">
      <w:pPr>
        <w:tabs>
          <w:tab w:val="clear" w:pos="284"/>
        </w:tabs>
        <w:autoSpaceDE w:val="0"/>
        <w:autoSpaceDN w:val="0"/>
        <w:adjustRightInd w:val="0"/>
        <w:rPr>
          <w:rFonts w:eastAsia="TimesNewRoman"/>
          <w:szCs w:val="22"/>
          <w:lang w:val="sr-Latn-ME"/>
        </w:rPr>
      </w:pPr>
    </w:p>
    <w:p w14:paraId="74B941D6" w14:textId="4EDC7CB5" w:rsidR="00F54E97" w:rsidRPr="001202A2" w:rsidRDefault="00F54E9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Terapija je trajala najmanje 3 m</w:t>
      </w:r>
      <w:r w:rsidR="005D5955" w:rsidRPr="001202A2">
        <w:rPr>
          <w:rFonts w:eastAsia="TimesNewRoman"/>
          <w:szCs w:val="22"/>
          <w:lang w:val="sr-Latn-ME"/>
        </w:rPr>
        <w:t>j</w:t>
      </w:r>
      <w:r w:rsidRPr="001202A2">
        <w:rPr>
          <w:rFonts w:eastAsia="TimesNewRoman"/>
          <w:szCs w:val="22"/>
          <w:lang w:val="sr-Latn-ME"/>
        </w:rPr>
        <w:t xml:space="preserve">eseca </w:t>
      </w:r>
      <w:r w:rsidR="0039311C" w:rsidRPr="001202A2">
        <w:rPr>
          <w:rFonts w:eastAsia="TimesNewRoman"/>
          <w:szCs w:val="22"/>
          <w:lang w:val="sr-Latn-ME"/>
        </w:rPr>
        <w:t>kod</w:t>
      </w:r>
      <w:r w:rsidRPr="001202A2">
        <w:rPr>
          <w:rFonts w:eastAsia="TimesNewRoman"/>
          <w:szCs w:val="22"/>
          <w:lang w:val="sr-Latn-ME"/>
        </w:rPr>
        <w:t xml:space="preserve"> 3718 (91,6%) ispitanika koji su primali edoksaban </w:t>
      </w:r>
      <w:r w:rsidR="0039311C" w:rsidRPr="001202A2">
        <w:rPr>
          <w:rFonts w:eastAsia="TimesNewRoman"/>
          <w:szCs w:val="22"/>
          <w:lang w:val="sr-Latn-ME"/>
        </w:rPr>
        <w:t>u odnosu na</w:t>
      </w:r>
      <w:r w:rsidRPr="001202A2">
        <w:rPr>
          <w:rFonts w:eastAsia="TimesNewRoman"/>
          <w:szCs w:val="22"/>
          <w:lang w:val="sr-Latn-ME"/>
        </w:rPr>
        <w:t xml:space="preserve"> 3727 (91,4%) ispitanika koji su primali varfarin; najmanje 6 m</w:t>
      </w:r>
      <w:r w:rsidR="005D5955" w:rsidRPr="001202A2">
        <w:rPr>
          <w:rFonts w:eastAsia="TimesNewRoman"/>
          <w:szCs w:val="22"/>
          <w:lang w:val="sr-Latn-ME"/>
        </w:rPr>
        <w:t>j</w:t>
      </w:r>
      <w:r w:rsidRPr="001202A2">
        <w:rPr>
          <w:rFonts w:eastAsia="TimesNewRoman"/>
          <w:szCs w:val="22"/>
          <w:lang w:val="sr-Latn-ME"/>
        </w:rPr>
        <w:t xml:space="preserve">eseci </w:t>
      </w:r>
      <w:r w:rsidR="0039311C" w:rsidRPr="001202A2">
        <w:rPr>
          <w:rFonts w:eastAsia="TimesNewRoman"/>
          <w:szCs w:val="22"/>
          <w:lang w:val="sr-Latn-ME"/>
        </w:rPr>
        <w:t>kod</w:t>
      </w:r>
      <w:r w:rsidRPr="001202A2">
        <w:rPr>
          <w:rFonts w:eastAsia="TimesNewRoman"/>
          <w:szCs w:val="22"/>
          <w:lang w:val="sr-Latn-ME"/>
        </w:rPr>
        <w:t xml:space="preserve"> 3495 (86,1%) ispitanika koji su primali edoksaban </w:t>
      </w:r>
      <w:r w:rsidR="0039311C" w:rsidRPr="001202A2">
        <w:rPr>
          <w:rFonts w:eastAsia="TimesNewRoman"/>
          <w:szCs w:val="22"/>
          <w:lang w:val="sr-Latn-ME"/>
        </w:rPr>
        <w:t>naspram</w:t>
      </w:r>
      <w:r w:rsidRPr="001202A2">
        <w:rPr>
          <w:rFonts w:eastAsia="TimesNewRoman"/>
          <w:szCs w:val="22"/>
          <w:lang w:val="sr-Latn-ME"/>
        </w:rPr>
        <w:t xml:space="preserve"> 3491 (85,6%) ispitanika koji su primali varfarin; kao i 12 m</w:t>
      </w:r>
      <w:r w:rsidR="005D5955" w:rsidRPr="001202A2">
        <w:rPr>
          <w:rFonts w:eastAsia="TimesNewRoman"/>
          <w:szCs w:val="22"/>
          <w:lang w:val="sr-Latn-ME"/>
        </w:rPr>
        <w:t>j</w:t>
      </w:r>
      <w:r w:rsidRPr="001202A2">
        <w:rPr>
          <w:rFonts w:eastAsia="TimesNewRoman"/>
          <w:szCs w:val="22"/>
          <w:lang w:val="sr-Latn-ME"/>
        </w:rPr>
        <w:t xml:space="preserve">eseci </w:t>
      </w:r>
      <w:r w:rsidR="0039311C" w:rsidRPr="001202A2">
        <w:rPr>
          <w:rFonts w:eastAsia="TimesNewRoman"/>
          <w:szCs w:val="22"/>
          <w:lang w:val="sr-Latn-ME"/>
        </w:rPr>
        <w:t>kod</w:t>
      </w:r>
      <w:r w:rsidRPr="001202A2">
        <w:rPr>
          <w:rFonts w:eastAsia="TimesNewRoman"/>
          <w:szCs w:val="22"/>
          <w:lang w:val="sr-Latn-ME"/>
        </w:rPr>
        <w:t xml:space="preserve"> 1643 (40,5%) ispitanika </w:t>
      </w:r>
      <w:r w:rsidR="0039311C" w:rsidRPr="001202A2">
        <w:rPr>
          <w:rFonts w:eastAsia="TimesNewRoman"/>
          <w:szCs w:val="22"/>
          <w:lang w:val="sr-Latn-ME"/>
        </w:rPr>
        <w:t>na</w:t>
      </w:r>
      <w:r w:rsidRPr="001202A2">
        <w:rPr>
          <w:rFonts w:eastAsia="TimesNewRoman"/>
          <w:szCs w:val="22"/>
          <w:lang w:val="sr-Latn-ME"/>
        </w:rPr>
        <w:t xml:space="preserve"> edoksaban</w:t>
      </w:r>
      <w:r w:rsidR="0039311C" w:rsidRPr="001202A2">
        <w:rPr>
          <w:rFonts w:eastAsia="TimesNewRoman"/>
          <w:szCs w:val="22"/>
          <w:lang w:val="sr-Latn-ME"/>
        </w:rPr>
        <w:t>u</w:t>
      </w:r>
      <w:r w:rsidRPr="001202A2">
        <w:rPr>
          <w:rFonts w:eastAsia="TimesNewRoman"/>
          <w:szCs w:val="22"/>
          <w:lang w:val="sr-Latn-ME"/>
        </w:rPr>
        <w:t xml:space="preserve"> u odnosu na 1659 (40,4%) ispitanika </w:t>
      </w:r>
      <w:r w:rsidR="0039311C" w:rsidRPr="001202A2">
        <w:rPr>
          <w:rFonts w:eastAsia="TimesNewRoman"/>
          <w:szCs w:val="22"/>
          <w:lang w:val="sr-Latn-ME"/>
        </w:rPr>
        <w:t>na terapiji</w:t>
      </w:r>
      <w:r w:rsidRPr="001202A2">
        <w:rPr>
          <w:rFonts w:eastAsia="TimesNewRoman"/>
          <w:szCs w:val="22"/>
          <w:lang w:val="sr-Latn-ME"/>
        </w:rPr>
        <w:t xml:space="preserve"> varfarin</w:t>
      </w:r>
      <w:r w:rsidR="0039311C" w:rsidRPr="001202A2">
        <w:rPr>
          <w:rFonts w:eastAsia="TimesNewRoman"/>
          <w:szCs w:val="22"/>
          <w:lang w:val="sr-Latn-ME"/>
        </w:rPr>
        <w:t>om</w:t>
      </w:r>
      <w:r w:rsidRPr="001202A2">
        <w:rPr>
          <w:rFonts w:eastAsia="TimesNewRoman"/>
          <w:szCs w:val="22"/>
          <w:lang w:val="sr-Latn-ME"/>
        </w:rPr>
        <w:t>.</w:t>
      </w:r>
    </w:p>
    <w:p w14:paraId="41F9C33A" w14:textId="37E94E52" w:rsidR="00F54E97" w:rsidRPr="001202A2" w:rsidRDefault="00F54E9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Primarni parametar praćenja efikasnosti je</w:t>
      </w:r>
      <w:r w:rsidR="006E78B5" w:rsidRPr="001202A2">
        <w:rPr>
          <w:rFonts w:eastAsia="TimesNewRoman"/>
          <w:szCs w:val="22"/>
          <w:lang w:val="sr-Latn-ME"/>
        </w:rPr>
        <w:t xml:space="preserve"> bio</w:t>
      </w:r>
      <w:r w:rsidRPr="001202A2">
        <w:rPr>
          <w:rFonts w:eastAsia="TimesNewRoman"/>
          <w:szCs w:val="22"/>
          <w:lang w:val="sr-Latn-ME"/>
        </w:rPr>
        <w:t xml:space="preserve"> recidiv simptomatskog VTE, definisan kao </w:t>
      </w:r>
      <w:r w:rsidR="006E78B5" w:rsidRPr="001202A2">
        <w:rPr>
          <w:rFonts w:eastAsia="TimesNewRoman"/>
          <w:szCs w:val="22"/>
          <w:lang w:val="sr-Latn-ME"/>
        </w:rPr>
        <w:t>zbir</w:t>
      </w:r>
      <w:r w:rsidRPr="001202A2">
        <w:rPr>
          <w:rFonts w:eastAsia="TimesNewRoman"/>
          <w:szCs w:val="22"/>
          <w:lang w:val="sr-Latn-ME"/>
        </w:rPr>
        <w:t xml:space="preserve"> </w:t>
      </w:r>
      <w:r w:rsidR="006E78B5" w:rsidRPr="001202A2">
        <w:rPr>
          <w:rFonts w:eastAsia="TimesNewRoman"/>
          <w:szCs w:val="22"/>
          <w:lang w:val="sr-Latn-ME"/>
        </w:rPr>
        <w:t>rekurentne</w:t>
      </w:r>
      <w:r w:rsidRPr="001202A2">
        <w:rPr>
          <w:rFonts w:eastAsia="TimesNewRoman"/>
          <w:szCs w:val="22"/>
          <w:lang w:val="sr-Latn-ME"/>
        </w:rPr>
        <w:t xml:space="preserve"> simptomatsk</w:t>
      </w:r>
      <w:r w:rsidR="006E78B5" w:rsidRPr="001202A2">
        <w:rPr>
          <w:rFonts w:eastAsia="TimesNewRoman"/>
          <w:szCs w:val="22"/>
          <w:lang w:val="sr-Latn-ME"/>
        </w:rPr>
        <w:t>e</w:t>
      </w:r>
      <w:r w:rsidRPr="001202A2">
        <w:rPr>
          <w:rFonts w:eastAsia="TimesNewRoman"/>
          <w:szCs w:val="22"/>
          <w:lang w:val="sr-Latn-ME"/>
        </w:rPr>
        <w:t xml:space="preserve"> TDV, simptomatsk</w:t>
      </w:r>
      <w:r w:rsidR="006E78B5" w:rsidRPr="001202A2">
        <w:rPr>
          <w:rFonts w:eastAsia="TimesNewRoman"/>
          <w:szCs w:val="22"/>
          <w:lang w:val="sr-Latn-ME"/>
        </w:rPr>
        <w:t>e</w:t>
      </w:r>
      <w:r w:rsidRPr="001202A2">
        <w:rPr>
          <w:rFonts w:eastAsia="TimesNewRoman"/>
          <w:szCs w:val="22"/>
          <w:lang w:val="sr-Latn-ME"/>
        </w:rPr>
        <w:t xml:space="preserve"> PE bez smrtnog ishoda i PE sa smrtnim ishodom </w:t>
      </w:r>
      <w:r w:rsidR="006E78B5" w:rsidRPr="001202A2">
        <w:rPr>
          <w:rFonts w:eastAsia="TimesNewRoman"/>
          <w:szCs w:val="22"/>
          <w:lang w:val="sr-Latn-ME"/>
        </w:rPr>
        <w:t>kod</w:t>
      </w:r>
      <w:r w:rsidRPr="001202A2">
        <w:rPr>
          <w:rFonts w:eastAsia="TimesNewRoman"/>
          <w:szCs w:val="22"/>
          <w:lang w:val="sr-Latn-ME"/>
        </w:rPr>
        <w:t xml:space="preserve"> ispitanika tokom 12-m</w:t>
      </w:r>
      <w:r w:rsidR="005D5955" w:rsidRPr="001202A2">
        <w:rPr>
          <w:rFonts w:eastAsia="TimesNewRoman"/>
          <w:szCs w:val="22"/>
          <w:lang w:val="sr-Latn-ME"/>
        </w:rPr>
        <w:t>j</w:t>
      </w:r>
      <w:r w:rsidRPr="001202A2">
        <w:rPr>
          <w:rFonts w:eastAsia="TimesNewRoman"/>
          <w:szCs w:val="22"/>
          <w:lang w:val="sr-Latn-ME"/>
        </w:rPr>
        <w:t>esečnog perioda ispitivanja. Sekundarne m</w:t>
      </w:r>
      <w:r w:rsidR="005D5955" w:rsidRPr="001202A2">
        <w:rPr>
          <w:rFonts w:eastAsia="TimesNewRoman"/>
          <w:szCs w:val="22"/>
          <w:lang w:val="sr-Latn-ME"/>
        </w:rPr>
        <w:t>j</w:t>
      </w:r>
      <w:r w:rsidRPr="001202A2">
        <w:rPr>
          <w:rFonts w:eastAsia="TimesNewRoman"/>
          <w:szCs w:val="22"/>
          <w:lang w:val="sr-Latn-ME"/>
        </w:rPr>
        <w:t xml:space="preserve">ere ishoda efikasnosti </w:t>
      </w:r>
      <w:r w:rsidR="006E78B5" w:rsidRPr="001202A2">
        <w:rPr>
          <w:rFonts w:eastAsia="TimesNewRoman"/>
          <w:szCs w:val="22"/>
          <w:lang w:val="sr-Latn-ME"/>
        </w:rPr>
        <w:t>obuhvatile</w:t>
      </w:r>
      <w:r w:rsidRPr="001202A2">
        <w:rPr>
          <w:rFonts w:eastAsia="TimesNewRoman"/>
          <w:szCs w:val="22"/>
          <w:lang w:val="sr-Latn-ME"/>
        </w:rPr>
        <w:t xml:space="preserve"> su </w:t>
      </w:r>
      <w:r w:rsidR="006E78B5" w:rsidRPr="001202A2">
        <w:rPr>
          <w:rFonts w:eastAsia="TimesNewRoman"/>
          <w:szCs w:val="22"/>
          <w:lang w:val="sr-Latn-ME"/>
        </w:rPr>
        <w:t>zbir</w:t>
      </w:r>
      <w:r w:rsidRPr="001202A2">
        <w:rPr>
          <w:rFonts w:eastAsia="TimesNewRoman"/>
          <w:szCs w:val="22"/>
          <w:lang w:val="sr-Latn-ME"/>
        </w:rPr>
        <w:t xml:space="preserve"> kliničkog ishoda </w:t>
      </w:r>
      <w:r w:rsidR="006E78B5" w:rsidRPr="001202A2">
        <w:rPr>
          <w:rFonts w:eastAsia="TimesNewRoman"/>
          <w:szCs w:val="22"/>
          <w:lang w:val="sr-Latn-ME"/>
        </w:rPr>
        <w:t>rekurentne</w:t>
      </w:r>
      <w:r w:rsidRPr="001202A2">
        <w:rPr>
          <w:rFonts w:eastAsia="TimesNewRoman"/>
          <w:szCs w:val="22"/>
          <w:lang w:val="sr-Latn-ME"/>
        </w:rPr>
        <w:t xml:space="preserve"> VTE </w:t>
      </w:r>
      <w:r w:rsidR="006E78B5" w:rsidRPr="001202A2">
        <w:rPr>
          <w:rFonts w:eastAsia="TimesNewRoman"/>
          <w:szCs w:val="22"/>
          <w:lang w:val="sr-Latn-ME"/>
        </w:rPr>
        <w:t>i</w:t>
      </w:r>
      <w:r w:rsidRPr="001202A2">
        <w:rPr>
          <w:rFonts w:eastAsia="TimesNewRoman"/>
          <w:szCs w:val="22"/>
          <w:lang w:val="sr-Latn-ME"/>
        </w:rPr>
        <w:t xml:space="preserve"> mortaliteta bilo kog uzroka.</w:t>
      </w:r>
    </w:p>
    <w:p w14:paraId="0C6E61D8" w14:textId="77777777" w:rsidR="005F2BED" w:rsidRPr="001202A2" w:rsidRDefault="005F2BED" w:rsidP="00480B31">
      <w:pPr>
        <w:tabs>
          <w:tab w:val="clear" w:pos="284"/>
        </w:tabs>
        <w:autoSpaceDE w:val="0"/>
        <w:autoSpaceDN w:val="0"/>
        <w:adjustRightInd w:val="0"/>
        <w:rPr>
          <w:rFonts w:eastAsia="TimesNewRoman"/>
          <w:szCs w:val="22"/>
          <w:lang w:val="sr-Latn-ME"/>
        </w:rPr>
      </w:pPr>
    </w:p>
    <w:p w14:paraId="6FC49174" w14:textId="555E1885" w:rsidR="00516D53" w:rsidRPr="001202A2" w:rsidRDefault="00F54E9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u dozi od 30 mg jednom dnevno je</w:t>
      </w:r>
      <w:r w:rsidR="006E78B5" w:rsidRPr="001202A2">
        <w:rPr>
          <w:rFonts w:eastAsia="TimesNewRoman"/>
          <w:szCs w:val="22"/>
          <w:lang w:val="sr-Latn-ME"/>
        </w:rPr>
        <w:t xml:space="preserve"> korišćen</w:t>
      </w:r>
      <w:r w:rsidRPr="001202A2">
        <w:rPr>
          <w:rFonts w:eastAsia="TimesNewRoman"/>
          <w:szCs w:val="22"/>
          <w:lang w:val="sr-Latn-ME"/>
        </w:rPr>
        <w:t xml:space="preserve"> kod ispitanika sa jednim ili više sl</w:t>
      </w:r>
      <w:r w:rsidR="005D5955" w:rsidRPr="001202A2">
        <w:rPr>
          <w:rFonts w:eastAsia="TimesNewRoman"/>
          <w:szCs w:val="22"/>
          <w:lang w:val="sr-Latn-ME"/>
        </w:rPr>
        <w:t>j</w:t>
      </w:r>
      <w:r w:rsidRPr="001202A2">
        <w:rPr>
          <w:rFonts w:eastAsia="TimesNewRoman"/>
          <w:szCs w:val="22"/>
          <w:lang w:val="sr-Latn-ME"/>
        </w:rPr>
        <w:t xml:space="preserve">edećih kliničkih </w:t>
      </w:r>
      <w:r w:rsidR="006E78B5" w:rsidRPr="001202A2">
        <w:rPr>
          <w:rFonts w:eastAsia="TimesNewRoman"/>
          <w:szCs w:val="22"/>
          <w:lang w:val="sr-Latn-ME"/>
        </w:rPr>
        <w:t>faktora</w:t>
      </w:r>
      <w:r w:rsidRPr="001202A2">
        <w:rPr>
          <w:rFonts w:eastAsia="TimesNewRoman"/>
          <w:szCs w:val="22"/>
          <w:lang w:val="sr-Latn-ME"/>
        </w:rPr>
        <w:t>: um</w:t>
      </w:r>
      <w:r w:rsidR="005D5955" w:rsidRPr="001202A2">
        <w:rPr>
          <w:rFonts w:eastAsia="TimesNewRoman"/>
          <w:szCs w:val="22"/>
          <w:lang w:val="sr-Latn-ME"/>
        </w:rPr>
        <w:t>j</w:t>
      </w:r>
      <w:r w:rsidRPr="001202A2">
        <w:rPr>
          <w:rFonts w:eastAsia="TimesNewRoman"/>
          <w:szCs w:val="22"/>
          <w:lang w:val="sr-Latn-ME"/>
        </w:rPr>
        <w:t xml:space="preserve">ereno oštećenje funkcije bubrega (CrCl 30 - 50 </w:t>
      </w:r>
      <w:r w:rsidR="00055868" w:rsidRPr="001202A2">
        <w:rPr>
          <w:rFonts w:eastAsia="TimesNewRoman"/>
          <w:szCs w:val="22"/>
          <w:lang w:val="sr-Latn-ME"/>
        </w:rPr>
        <w:t>m</w:t>
      </w:r>
      <w:r w:rsidR="00456FFB" w:rsidRPr="001202A2">
        <w:rPr>
          <w:rFonts w:eastAsia="TimesNewRoman"/>
          <w:szCs w:val="22"/>
          <w:lang w:val="sr-Latn-ME"/>
        </w:rPr>
        <w:t>l</w:t>
      </w:r>
      <w:r w:rsidRPr="001202A2">
        <w:rPr>
          <w:rFonts w:eastAsia="TimesNewRoman"/>
          <w:szCs w:val="22"/>
          <w:lang w:val="sr-Latn-ME"/>
        </w:rPr>
        <w:t>/min); t</w:t>
      </w:r>
      <w:r w:rsidR="005D5955" w:rsidRPr="001202A2">
        <w:rPr>
          <w:rFonts w:eastAsia="TimesNewRoman"/>
          <w:szCs w:val="22"/>
          <w:lang w:val="sr-Latn-ME"/>
        </w:rPr>
        <w:t>j</w:t>
      </w:r>
      <w:r w:rsidRPr="001202A2">
        <w:rPr>
          <w:rFonts w:eastAsia="TimesNewRoman"/>
          <w:szCs w:val="22"/>
          <w:lang w:val="sr-Latn-ME"/>
        </w:rPr>
        <w:t>elesna masa ≤ 60 kg; istovremena prim</w:t>
      </w:r>
      <w:r w:rsidR="005D5955" w:rsidRPr="001202A2">
        <w:rPr>
          <w:rFonts w:eastAsia="TimesNewRoman"/>
          <w:szCs w:val="22"/>
          <w:lang w:val="sr-Latn-ME"/>
        </w:rPr>
        <w:t>j</w:t>
      </w:r>
      <w:r w:rsidRPr="001202A2">
        <w:rPr>
          <w:rFonts w:eastAsia="TimesNewRoman"/>
          <w:szCs w:val="22"/>
          <w:lang w:val="sr-Latn-ME"/>
        </w:rPr>
        <w:t xml:space="preserve">ena </w:t>
      </w:r>
      <w:r w:rsidR="006E78B5" w:rsidRPr="001202A2">
        <w:rPr>
          <w:rFonts w:eastAsia="TimesNewRoman"/>
          <w:szCs w:val="22"/>
          <w:lang w:val="sr-Latn-ME"/>
        </w:rPr>
        <w:t xml:space="preserve">određenih </w:t>
      </w:r>
      <w:r w:rsidRPr="001202A2">
        <w:rPr>
          <w:rFonts w:eastAsia="TimesNewRoman"/>
          <w:szCs w:val="22"/>
          <w:lang w:val="sr-Latn-ME"/>
        </w:rPr>
        <w:t>inhibitora P-gp.</w:t>
      </w:r>
    </w:p>
    <w:p w14:paraId="15DF8D6C" w14:textId="77777777" w:rsidR="005F2BED" w:rsidRPr="001202A2" w:rsidRDefault="005F2BED" w:rsidP="00480B31">
      <w:pPr>
        <w:tabs>
          <w:tab w:val="clear" w:pos="284"/>
        </w:tabs>
        <w:autoSpaceDE w:val="0"/>
        <w:autoSpaceDN w:val="0"/>
        <w:adjustRightInd w:val="0"/>
        <w:rPr>
          <w:rFonts w:eastAsia="TimesNewRoman"/>
          <w:szCs w:val="22"/>
          <w:lang w:val="sr-Latn-ME"/>
        </w:rPr>
      </w:pPr>
    </w:p>
    <w:p w14:paraId="1C84B1A3" w14:textId="1029A3FA" w:rsidR="00F54E97" w:rsidRPr="001202A2" w:rsidRDefault="00F54E9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Hokusai-VTE</w:t>
      </w:r>
      <w:r w:rsidR="006E78B5" w:rsidRPr="001202A2">
        <w:rPr>
          <w:rFonts w:eastAsia="TimesNewRoman"/>
          <w:szCs w:val="22"/>
          <w:lang w:val="sr-Latn-ME"/>
        </w:rPr>
        <w:t xml:space="preserve"> studiji</w:t>
      </w:r>
      <w:r w:rsidRPr="001202A2">
        <w:rPr>
          <w:rFonts w:eastAsia="TimesNewRoman"/>
          <w:szCs w:val="22"/>
          <w:lang w:val="sr-Latn-ME"/>
        </w:rPr>
        <w:t xml:space="preserve"> (tabela 10)</w:t>
      </w:r>
      <w:r w:rsidR="006D7836" w:rsidRPr="001202A2">
        <w:rPr>
          <w:rFonts w:eastAsia="TimesNewRoman"/>
          <w:szCs w:val="22"/>
          <w:lang w:val="sr-Latn-ME"/>
        </w:rPr>
        <w:t xml:space="preserve"> </w:t>
      </w:r>
      <w:r w:rsidRPr="001202A2">
        <w:rPr>
          <w:rFonts w:eastAsia="TimesNewRoman"/>
          <w:szCs w:val="22"/>
          <w:lang w:val="sr-Latn-ME"/>
        </w:rPr>
        <w:t xml:space="preserve">edoksaban </w:t>
      </w:r>
      <w:r w:rsidR="009E0350" w:rsidRPr="001202A2">
        <w:rPr>
          <w:rFonts w:eastAsia="TimesNewRoman"/>
          <w:szCs w:val="22"/>
          <w:lang w:val="sr-Latn-ME"/>
        </w:rPr>
        <w:t xml:space="preserve">je </w:t>
      </w:r>
      <w:r w:rsidR="00215633" w:rsidRPr="001202A2">
        <w:rPr>
          <w:rFonts w:eastAsia="TimesNewRoman"/>
          <w:szCs w:val="22"/>
          <w:lang w:val="sr-Latn-ME"/>
        </w:rPr>
        <w:t xml:space="preserve">pokazao neinferiornost </w:t>
      </w:r>
      <w:r w:rsidRPr="001202A2">
        <w:rPr>
          <w:rFonts w:eastAsia="TimesNewRoman"/>
          <w:szCs w:val="22"/>
          <w:lang w:val="sr-Latn-ME"/>
        </w:rPr>
        <w:t>u odnosu na varfarin za primarn</w:t>
      </w:r>
      <w:r w:rsidR="006D7836" w:rsidRPr="001202A2">
        <w:rPr>
          <w:rFonts w:eastAsia="TimesNewRoman"/>
          <w:szCs w:val="22"/>
          <w:lang w:val="sr-Latn-ME"/>
        </w:rPr>
        <w:t>i</w:t>
      </w:r>
      <w:r w:rsidRPr="001202A2">
        <w:rPr>
          <w:rFonts w:eastAsia="TimesNewRoman"/>
          <w:szCs w:val="22"/>
          <w:lang w:val="sr-Latn-ME"/>
        </w:rPr>
        <w:t xml:space="preserve"> </w:t>
      </w:r>
      <w:r w:rsidR="006D7836" w:rsidRPr="001202A2">
        <w:rPr>
          <w:rFonts w:eastAsia="TimesNewRoman"/>
          <w:szCs w:val="22"/>
          <w:lang w:val="sr-Latn-ME"/>
        </w:rPr>
        <w:t>parametar</w:t>
      </w:r>
      <w:r w:rsidRPr="001202A2">
        <w:rPr>
          <w:rFonts w:eastAsia="TimesNewRoman"/>
          <w:szCs w:val="22"/>
          <w:lang w:val="sr-Latn-ME"/>
        </w:rPr>
        <w:t xml:space="preserve"> efikasnosti, </w:t>
      </w:r>
      <w:r w:rsidR="006D7836" w:rsidRPr="001202A2">
        <w:rPr>
          <w:rFonts w:eastAsia="TimesNewRoman"/>
          <w:szCs w:val="22"/>
          <w:lang w:val="sr-Latn-ME"/>
        </w:rPr>
        <w:t>rekurentni</w:t>
      </w:r>
      <w:r w:rsidRPr="001202A2">
        <w:rPr>
          <w:rFonts w:eastAsia="TimesNewRoman"/>
          <w:szCs w:val="22"/>
          <w:lang w:val="sr-Latn-ME"/>
        </w:rPr>
        <w:t xml:space="preserve"> VTE, koji </w:t>
      </w:r>
      <w:r w:rsidR="006D7836" w:rsidRPr="001202A2">
        <w:rPr>
          <w:rFonts w:eastAsia="TimesNewRoman"/>
          <w:szCs w:val="22"/>
          <w:lang w:val="sr-Latn-ME"/>
        </w:rPr>
        <w:t>se</w:t>
      </w:r>
      <w:r w:rsidRPr="001202A2">
        <w:rPr>
          <w:rFonts w:eastAsia="TimesNewRoman"/>
          <w:szCs w:val="22"/>
          <w:lang w:val="sr-Latn-ME"/>
        </w:rPr>
        <w:t xml:space="preserve"> </w:t>
      </w:r>
      <w:r w:rsidR="006D7836" w:rsidRPr="001202A2">
        <w:rPr>
          <w:rFonts w:eastAsia="TimesNewRoman"/>
          <w:szCs w:val="22"/>
          <w:lang w:val="sr-Latn-ME"/>
        </w:rPr>
        <w:t>javio</w:t>
      </w:r>
      <w:r w:rsidRPr="001202A2">
        <w:rPr>
          <w:rFonts w:eastAsia="TimesNewRoman"/>
          <w:szCs w:val="22"/>
          <w:lang w:val="sr-Latn-ME"/>
        </w:rPr>
        <w:t xml:space="preserve"> </w:t>
      </w:r>
      <w:r w:rsidR="006D7836" w:rsidRPr="001202A2">
        <w:rPr>
          <w:rFonts w:eastAsia="TimesNewRoman"/>
          <w:szCs w:val="22"/>
          <w:lang w:val="sr-Latn-ME"/>
        </w:rPr>
        <w:t>kod</w:t>
      </w:r>
      <w:r w:rsidRPr="001202A2">
        <w:rPr>
          <w:rFonts w:eastAsia="TimesNewRoman"/>
          <w:szCs w:val="22"/>
          <w:lang w:val="sr-Latn-ME"/>
        </w:rPr>
        <w:t xml:space="preserve"> 130 od 4118 ispitanika (3,2%) u grupi </w:t>
      </w:r>
      <w:r w:rsidR="006D7836" w:rsidRPr="001202A2">
        <w:rPr>
          <w:rFonts w:eastAsia="TimesNewRoman"/>
          <w:szCs w:val="22"/>
          <w:lang w:val="sr-Latn-ME"/>
        </w:rPr>
        <w:t>koja je primala</w:t>
      </w:r>
      <w:r w:rsidRPr="001202A2">
        <w:rPr>
          <w:rFonts w:eastAsia="TimesNewRoman"/>
          <w:szCs w:val="22"/>
          <w:lang w:val="sr-Latn-ME"/>
        </w:rPr>
        <w:t xml:space="preserve"> edoksaban u odnosu na 146 od 4122 ispitanika (3,5%) u grupi l</w:t>
      </w:r>
      <w:r w:rsidR="005D5955" w:rsidRPr="001202A2">
        <w:rPr>
          <w:rFonts w:eastAsia="TimesNewRoman"/>
          <w:szCs w:val="22"/>
          <w:lang w:val="sr-Latn-ME"/>
        </w:rPr>
        <w:t>ij</w:t>
      </w:r>
      <w:r w:rsidRPr="001202A2">
        <w:rPr>
          <w:rFonts w:eastAsia="TimesNewRoman"/>
          <w:szCs w:val="22"/>
          <w:lang w:val="sr-Latn-ME"/>
        </w:rPr>
        <w:t xml:space="preserve">ečenoj varfarinom [HR (95% CI): 0,89 (0,70; 1,13); p &lt; 0,0001 za neinferiornost]. U grupi koja je primala varfarin, medijana TTR (INR od 2,0 do 3,0) </w:t>
      </w:r>
      <w:r w:rsidR="006D7836" w:rsidRPr="001202A2">
        <w:rPr>
          <w:rFonts w:eastAsia="TimesNewRoman"/>
          <w:szCs w:val="22"/>
          <w:lang w:val="sr-Latn-ME"/>
        </w:rPr>
        <w:t xml:space="preserve">je </w:t>
      </w:r>
      <w:r w:rsidRPr="001202A2">
        <w:rPr>
          <w:rFonts w:eastAsia="TimesNewRoman"/>
          <w:szCs w:val="22"/>
          <w:lang w:val="sr-Latn-ME"/>
        </w:rPr>
        <w:t xml:space="preserve">iznosila 65,6%. Kod ispitanika sa </w:t>
      </w:r>
      <w:r w:rsidR="006D7836" w:rsidRPr="001202A2">
        <w:rPr>
          <w:rFonts w:eastAsia="TimesNewRoman"/>
          <w:szCs w:val="22"/>
          <w:lang w:val="sr-Latn-ME"/>
        </w:rPr>
        <w:t>kliničkom slikom</w:t>
      </w:r>
      <w:r w:rsidRPr="001202A2">
        <w:rPr>
          <w:rFonts w:eastAsia="TimesNewRoman"/>
          <w:szCs w:val="22"/>
          <w:lang w:val="sr-Latn-ME"/>
        </w:rPr>
        <w:t xml:space="preserve"> PE (sa ili bez TDV), 47 (2,8%) ispitanika koji su primali edoksaban i 65 (3,9%) ispitanika </w:t>
      </w:r>
      <w:r w:rsidR="006D7836" w:rsidRPr="001202A2">
        <w:rPr>
          <w:rFonts w:eastAsia="TimesNewRoman"/>
          <w:szCs w:val="22"/>
          <w:lang w:val="sr-Latn-ME"/>
        </w:rPr>
        <w:t>na terapiji</w:t>
      </w:r>
      <w:r w:rsidRPr="001202A2">
        <w:rPr>
          <w:rFonts w:eastAsia="TimesNewRoman"/>
          <w:szCs w:val="22"/>
          <w:lang w:val="sr-Latn-ME"/>
        </w:rPr>
        <w:t xml:space="preserve"> varfarin</w:t>
      </w:r>
      <w:r w:rsidR="006D7836" w:rsidRPr="001202A2">
        <w:rPr>
          <w:rFonts w:eastAsia="TimesNewRoman"/>
          <w:szCs w:val="22"/>
          <w:lang w:val="sr-Latn-ME"/>
        </w:rPr>
        <w:t>om</w:t>
      </w:r>
      <w:r w:rsidRPr="001202A2">
        <w:rPr>
          <w:rFonts w:eastAsia="TimesNewRoman"/>
          <w:szCs w:val="22"/>
          <w:lang w:val="sr-Latn-ME"/>
        </w:rPr>
        <w:t xml:space="preserve"> </w:t>
      </w:r>
      <w:r w:rsidR="006D7836" w:rsidRPr="001202A2">
        <w:rPr>
          <w:rFonts w:eastAsia="TimesNewRoman"/>
          <w:szCs w:val="22"/>
          <w:lang w:val="sr-Latn-ME"/>
        </w:rPr>
        <w:t xml:space="preserve">je </w:t>
      </w:r>
      <w:r w:rsidRPr="001202A2">
        <w:rPr>
          <w:rFonts w:eastAsia="TimesNewRoman"/>
          <w:szCs w:val="22"/>
          <w:lang w:val="sr-Latn-ME"/>
        </w:rPr>
        <w:t xml:space="preserve">imalo </w:t>
      </w:r>
      <w:r w:rsidR="006D7836" w:rsidRPr="001202A2">
        <w:rPr>
          <w:rFonts w:eastAsia="TimesNewRoman"/>
          <w:szCs w:val="22"/>
          <w:lang w:val="sr-Latn-ME"/>
        </w:rPr>
        <w:t>rekurentni</w:t>
      </w:r>
      <w:r w:rsidRPr="001202A2">
        <w:rPr>
          <w:rFonts w:eastAsia="TimesNewRoman"/>
          <w:szCs w:val="22"/>
          <w:lang w:val="sr-Latn-ME"/>
        </w:rPr>
        <w:t xml:space="preserve"> VTE [HR (95% CI): 0,73 (0,50; 1,06)].</w:t>
      </w:r>
    </w:p>
    <w:p w14:paraId="28846F89" w14:textId="77777777" w:rsidR="00743938" w:rsidRPr="001202A2" w:rsidRDefault="00743938" w:rsidP="00480B31">
      <w:pPr>
        <w:tabs>
          <w:tab w:val="clear" w:pos="284"/>
        </w:tabs>
        <w:autoSpaceDE w:val="0"/>
        <w:autoSpaceDN w:val="0"/>
        <w:adjustRightInd w:val="0"/>
        <w:rPr>
          <w:rFonts w:eastAsia="TimesNewRoman"/>
          <w:szCs w:val="22"/>
          <w:lang w:val="sr-Latn-ME"/>
        </w:rPr>
      </w:pPr>
    </w:p>
    <w:p w14:paraId="55AABE4B" w14:textId="01F11D7F" w:rsidR="006D7836" w:rsidRPr="001202A2" w:rsidRDefault="006D7836" w:rsidP="00480B31">
      <w:pPr>
        <w:tabs>
          <w:tab w:val="clear" w:pos="284"/>
        </w:tabs>
        <w:autoSpaceDE w:val="0"/>
        <w:autoSpaceDN w:val="0"/>
        <w:adjustRightInd w:val="0"/>
        <w:rPr>
          <w:b/>
          <w:bCs/>
          <w:szCs w:val="22"/>
          <w:lang w:val="sr-Latn-ME"/>
        </w:rPr>
      </w:pPr>
      <w:r w:rsidRPr="001202A2">
        <w:rPr>
          <w:b/>
          <w:bCs/>
          <w:szCs w:val="22"/>
          <w:lang w:val="sr-Latn-ME"/>
        </w:rPr>
        <w:t>Tabela 10: Rezultati efikasnosti u Hokusai-VTE studiji – mITT populacija, ukupno trajanje studije</w:t>
      </w:r>
    </w:p>
    <w:p w14:paraId="1A0546F0" w14:textId="77777777" w:rsidR="00743938" w:rsidRPr="001202A2" w:rsidRDefault="00743938" w:rsidP="00480B31">
      <w:pPr>
        <w:tabs>
          <w:tab w:val="clear" w:pos="284"/>
        </w:tabs>
        <w:autoSpaceDE w:val="0"/>
        <w:autoSpaceDN w:val="0"/>
        <w:adjustRightInd w:val="0"/>
        <w:rPr>
          <w:b/>
          <w:bCs/>
          <w:szCs w:val="22"/>
          <w:lang w:val="sr-Latn-ME"/>
        </w:rPr>
      </w:pPr>
    </w:p>
    <w:tbl>
      <w:tblPr>
        <w:tblStyle w:val="TableGrid"/>
        <w:tblW w:w="0" w:type="auto"/>
        <w:tblLook w:val="04A0" w:firstRow="1" w:lastRow="0" w:firstColumn="1" w:lastColumn="0" w:noHBand="0" w:noVBand="1"/>
      </w:tblPr>
      <w:tblGrid>
        <w:gridCol w:w="2602"/>
        <w:gridCol w:w="2487"/>
        <w:gridCol w:w="2122"/>
        <w:gridCol w:w="2418"/>
      </w:tblGrid>
      <w:tr w:rsidR="006D7836" w:rsidRPr="001202A2" w14:paraId="747AED37" w14:textId="77777777" w:rsidTr="001202A2">
        <w:tc>
          <w:tcPr>
            <w:tcW w:w="2660" w:type="dxa"/>
            <w:shd w:val="clear" w:color="auto" w:fill="BFBFBF" w:themeFill="background1" w:themeFillShade="BF"/>
            <w:vAlign w:val="center"/>
          </w:tcPr>
          <w:p w14:paraId="33E7E6E7" w14:textId="0935CFF2" w:rsidR="006D7836" w:rsidRPr="001202A2" w:rsidRDefault="006D7836" w:rsidP="00880F49">
            <w:pPr>
              <w:tabs>
                <w:tab w:val="clear" w:pos="284"/>
              </w:tabs>
              <w:autoSpaceDE w:val="0"/>
              <w:autoSpaceDN w:val="0"/>
              <w:adjustRightInd w:val="0"/>
              <w:jc w:val="left"/>
              <w:rPr>
                <w:b/>
                <w:bCs/>
                <w:iCs/>
                <w:szCs w:val="22"/>
                <w:vertAlign w:val="superscript"/>
                <w:lang w:val="sr-Latn-ME"/>
              </w:rPr>
            </w:pPr>
            <w:r w:rsidRPr="001202A2">
              <w:rPr>
                <w:b/>
                <w:bCs/>
                <w:iCs/>
                <w:szCs w:val="22"/>
                <w:lang w:val="sr-Latn-ME"/>
              </w:rPr>
              <w:t>Primarni parametar praćenja</w:t>
            </w:r>
            <w:r w:rsidRPr="001202A2">
              <w:rPr>
                <w:b/>
                <w:bCs/>
                <w:iCs/>
                <w:szCs w:val="22"/>
                <w:vertAlign w:val="superscript"/>
                <w:lang w:val="sr-Latn-ME"/>
              </w:rPr>
              <w:t>a</w:t>
            </w:r>
          </w:p>
        </w:tc>
        <w:tc>
          <w:tcPr>
            <w:tcW w:w="2551" w:type="dxa"/>
            <w:shd w:val="clear" w:color="auto" w:fill="BFBFBF" w:themeFill="background1" w:themeFillShade="BF"/>
            <w:vAlign w:val="center"/>
          </w:tcPr>
          <w:p w14:paraId="299F8C55" w14:textId="77777777" w:rsidR="006D7836" w:rsidRPr="001202A2" w:rsidRDefault="006D7836" w:rsidP="00880F49">
            <w:pPr>
              <w:tabs>
                <w:tab w:val="clear" w:pos="284"/>
              </w:tabs>
              <w:autoSpaceDE w:val="0"/>
              <w:autoSpaceDN w:val="0"/>
              <w:adjustRightInd w:val="0"/>
              <w:jc w:val="center"/>
              <w:rPr>
                <w:b/>
                <w:bCs/>
                <w:iCs/>
                <w:szCs w:val="22"/>
                <w:lang w:val="sr-Latn-ME"/>
              </w:rPr>
            </w:pPr>
            <w:r w:rsidRPr="001202A2">
              <w:rPr>
                <w:b/>
                <w:bCs/>
                <w:iCs/>
                <w:szCs w:val="22"/>
                <w:lang w:val="sr-Latn-ME"/>
              </w:rPr>
              <w:t xml:space="preserve">Edoksaban 60 mg </w:t>
            </w:r>
          </w:p>
          <w:p w14:paraId="2979DE61" w14:textId="5846A7C8" w:rsidR="006D7836" w:rsidRPr="001202A2" w:rsidRDefault="006D7836" w:rsidP="00880F49">
            <w:pPr>
              <w:tabs>
                <w:tab w:val="clear" w:pos="284"/>
              </w:tabs>
              <w:autoSpaceDE w:val="0"/>
              <w:autoSpaceDN w:val="0"/>
              <w:adjustRightInd w:val="0"/>
              <w:jc w:val="center"/>
              <w:rPr>
                <w:b/>
                <w:bCs/>
                <w:iCs/>
                <w:szCs w:val="22"/>
                <w:lang w:val="sr-Latn-ME"/>
              </w:rPr>
            </w:pPr>
            <w:r w:rsidRPr="001202A2">
              <w:rPr>
                <w:b/>
                <w:bCs/>
                <w:iCs/>
                <w:szCs w:val="22"/>
                <w:lang w:val="sr-Latn-ME"/>
              </w:rPr>
              <w:t>(30 mg redukovana doza)</w:t>
            </w:r>
          </w:p>
          <w:p w14:paraId="6291FBB7" w14:textId="54006A55" w:rsidR="006D7836" w:rsidRPr="001202A2" w:rsidRDefault="006D7836" w:rsidP="00880F49">
            <w:pPr>
              <w:tabs>
                <w:tab w:val="clear" w:pos="284"/>
              </w:tabs>
              <w:autoSpaceDE w:val="0"/>
              <w:autoSpaceDN w:val="0"/>
              <w:adjustRightInd w:val="0"/>
              <w:jc w:val="center"/>
              <w:rPr>
                <w:b/>
                <w:bCs/>
                <w:iCs/>
                <w:szCs w:val="22"/>
                <w:lang w:val="sr-Latn-ME"/>
              </w:rPr>
            </w:pPr>
            <w:r w:rsidRPr="001202A2">
              <w:rPr>
                <w:b/>
                <w:bCs/>
                <w:iCs/>
                <w:szCs w:val="22"/>
                <w:lang w:val="sr-Latn-ME"/>
              </w:rPr>
              <w:t>(N=4118)</w:t>
            </w:r>
          </w:p>
        </w:tc>
        <w:tc>
          <w:tcPr>
            <w:tcW w:w="2180" w:type="dxa"/>
            <w:shd w:val="clear" w:color="auto" w:fill="BFBFBF" w:themeFill="background1" w:themeFillShade="BF"/>
            <w:vAlign w:val="center"/>
          </w:tcPr>
          <w:p w14:paraId="684105F0" w14:textId="77777777" w:rsidR="006D7836" w:rsidRPr="001202A2" w:rsidRDefault="006D7836" w:rsidP="00880F49">
            <w:pPr>
              <w:tabs>
                <w:tab w:val="clear" w:pos="284"/>
              </w:tabs>
              <w:autoSpaceDE w:val="0"/>
              <w:autoSpaceDN w:val="0"/>
              <w:adjustRightInd w:val="0"/>
              <w:jc w:val="center"/>
              <w:rPr>
                <w:b/>
                <w:bCs/>
                <w:iCs/>
                <w:szCs w:val="22"/>
                <w:lang w:val="sr-Latn-ME"/>
              </w:rPr>
            </w:pPr>
            <w:r w:rsidRPr="001202A2">
              <w:rPr>
                <w:b/>
                <w:bCs/>
                <w:iCs/>
                <w:szCs w:val="22"/>
                <w:lang w:val="sr-Latn-ME"/>
              </w:rPr>
              <w:t>Varfarin</w:t>
            </w:r>
          </w:p>
          <w:p w14:paraId="1572867B" w14:textId="72AC12D5" w:rsidR="006D7836" w:rsidRPr="001202A2" w:rsidRDefault="006D7836" w:rsidP="00880F49">
            <w:pPr>
              <w:tabs>
                <w:tab w:val="clear" w:pos="284"/>
              </w:tabs>
              <w:autoSpaceDE w:val="0"/>
              <w:autoSpaceDN w:val="0"/>
              <w:adjustRightInd w:val="0"/>
              <w:jc w:val="center"/>
              <w:rPr>
                <w:b/>
                <w:bCs/>
                <w:iCs/>
                <w:szCs w:val="22"/>
                <w:lang w:val="sr-Latn-ME"/>
              </w:rPr>
            </w:pPr>
            <w:r w:rsidRPr="001202A2">
              <w:rPr>
                <w:b/>
                <w:bCs/>
                <w:iCs/>
                <w:szCs w:val="22"/>
                <w:lang w:val="sr-Latn-ME"/>
              </w:rPr>
              <w:t>(N=4122)</w:t>
            </w:r>
          </w:p>
        </w:tc>
        <w:tc>
          <w:tcPr>
            <w:tcW w:w="2464" w:type="dxa"/>
            <w:shd w:val="clear" w:color="auto" w:fill="BFBFBF" w:themeFill="background1" w:themeFillShade="BF"/>
            <w:vAlign w:val="center"/>
          </w:tcPr>
          <w:p w14:paraId="592E8F86" w14:textId="77777777" w:rsidR="006D7836" w:rsidRPr="001202A2" w:rsidRDefault="006D7836" w:rsidP="00880F49">
            <w:pPr>
              <w:tabs>
                <w:tab w:val="clear" w:pos="284"/>
              </w:tabs>
              <w:autoSpaceDE w:val="0"/>
              <w:autoSpaceDN w:val="0"/>
              <w:adjustRightInd w:val="0"/>
              <w:jc w:val="center"/>
              <w:rPr>
                <w:b/>
                <w:bCs/>
                <w:iCs/>
                <w:szCs w:val="22"/>
                <w:lang w:val="sr-Latn-ME"/>
              </w:rPr>
            </w:pPr>
            <w:r w:rsidRPr="001202A2">
              <w:rPr>
                <w:b/>
                <w:bCs/>
                <w:iCs/>
                <w:szCs w:val="22"/>
                <w:lang w:val="sr-Latn-ME"/>
              </w:rPr>
              <w:t>Edoksaban naspram varfarina</w:t>
            </w:r>
          </w:p>
          <w:p w14:paraId="25857CCE" w14:textId="77777777" w:rsidR="006D7836" w:rsidRPr="001202A2" w:rsidRDefault="006D7836" w:rsidP="00880F49">
            <w:pPr>
              <w:tabs>
                <w:tab w:val="clear" w:pos="284"/>
              </w:tabs>
              <w:autoSpaceDE w:val="0"/>
              <w:autoSpaceDN w:val="0"/>
              <w:adjustRightInd w:val="0"/>
              <w:jc w:val="center"/>
              <w:rPr>
                <w:b/>
                <w:bCs/>
                <w:iCs/>
                <w:szCs w:val="22"/>
                <w:vertAlign w:val="superscript"/>
                <w:lang w:val="sr-Latn-ME"/>
              </w:rPr>
            </w:pPr>
            <w:r w:rsidRPr="001202A2">
              <w:rPr>
                <w:b/>
                <w:bCs/>
                <w:iCs/>
                <w:szCs w:val="22"/>
                <w:lang w:val="sr-Latn-ME"/>
              </w:rPr>
              <w:t>HR (95% CI)</w:t>
            </w:r>
            <w:r w:rsidRPr="001202A2">
              <w:rPr>
                <w:b/>
                <w:bCs/>
                <w:iCs/>
                <w:szCs w:val="22"/>
                <w:vertAlign w:val="superscript"/>
                <w:lang w:val="sr-Latn-ME"/>
              </w:rPr>
              <w:t>b</w:t>
            </w:r>
          </w:p>
          <w:p w14:paraId="659DDED8" w14:textId="0D8D7EFF" w:rsidR="006D7836" w:rsidRPr="001202A2" w:rsidRDefault="006D7836" w:rsidP="00880F49">
            <w:pPr>
              <w:tabs>
                <w:tab w:val="clear" w:pos="284"/>
              </w:tabs>
              <w:autoSpaceDE w:val="0"/>
              <w:autoSpaceDN w:val="0"/>
              <w:adjustRightInd w:val="0"/>
              <w:jc w:val="center"/>
              <w:rPr>
                <w:b/>
                <w:bCs/>
                <w:iCs/>
                <w:szCs w:val="22"/>
                <w:vertAlign w:val="superscript"/>
                <w:lang w:val="sr-Latn-ME"/>
              </w:rPr>
            </w:pPr>
            <w:r w:rsidRPr="001202A2">
              <w:rPr>
                <w:b/>
                <w:bCs/>
                <w:iCs/>
                <w:szCs w:val="22"/>
                <w:lang w:val="sr-Latn-ME"/>
              </w:rPr>
              <w:t>p-vr</w:t>
            </w:r>
            <w:r w:rsidR="005D5955" w:rsidRPr="001202A2">
              <w:rPr>
                <w:b/>
                <w:bCs/>
                <w:iCs/>
                <w:szCs w:val="22"/>
                <w:lang w:val="sr-Latn-ME"/>
              </w:rPr>
              <w:t>ij</w:t>
            </w:r>
            <w:r w:rsidRPr="001202A2">
              <w:rPr>
                <w:b/>
                <w:bCs/>
                <w:iCs/>
                <w:szCs w:val="22"/>
                <w:lang w:val="sr-Latn-ME"/>
              </w:rPr>
              <w:t>ednost</w:t>
            </w:r>
            <w:r w:rsidRPr="001202A2">
              <w:rPr>
                <w:b/>
                <w:bCs/>
                <w:iCs/>
                <w:szCs w:val="22"/>
                <w:vertAlign w:val="superscript"/>
                <w:lang w:val="sr-Latn-ME"/>
              </w:rPr>
              <w:t>c</w:t>
            </w:r>
          </w:p>
        </w:tc>
      </w:tr>
      <w:tr w:rsidR="006D7836" w:rsidRPr="001202A2" w14:paraId="61DA1AB9" w14:textId="77777777" w:rsidTr="001202A2">
        <w:tc>
          <w:tcPr>
            <w:tcW w:w="2660" w:type="dxa"/>
            <w:vAlign w:val="center"/>
          </w:tcPr>
          <w:p w14:paraId="2AEB54A3" w14:textId="7A6D4950" w:rsidR="006D7836" w:rsidRPr="001202A2" w:rsidRDefault="006D7836" w:rsidP="00880F49">
            <w:pPr>
              <w:tabs>
                <w:tab w:val="clear" w:pos="284"/>
              </w:tabs>
              <w:autoSpaceDE w:val="0"/>
              <w:autoSpaceDN w:val="0"/>
              <w:adjustRightInd w:val="0"/>
              <w:rPr>
                <w:iCs/>
                <w:szCs w:val="22"/>
                <w:lang w:val="sr-Latn-ME"/>
              </w:rPr>
            </w:pPr>
            <w:r w:rsidRPr="001202A2">
              <w:rPr>
                <w:iCs/>
                <w:szCs w:val="22"/>
                <w:lang w:val="sr-Latn-ME"/>
              </w:rPr>
              <w:t>Svi ispitanici sa simptomatskim rekurentnim VTE</w:t>
            </w:r>
            <w:r w:rsidRPr="001202A2">
              <w:rPr>
                <w:iCs/>
                <w:szCs w:val="22"/>
                <w:vertAlign w:val="superscript"/>
                <w:lang w:val="sr-Latn-ME"/>
              </w:rPr>
              <w:t>c</w:t>
            </w:r>
            <w:r w:rsidRPr="001202A2">
              <w:rPr>
                <w:iCs/>
                <w:szCs w:val="22"/>
                <w:lang w:val="sr-Latn-ME"/>
              </w:rPr>
              <w:t>, n (%)</w:t>
            </w:r>
          </w:p>
        </w:tc>
        <w:tc>
          <w:tcPr>
            <w:tcW w:w="2551" w:type="dxa"/>
            <w:vAlign w:val="center"/>
          </w:tcPr>
          <w:p w14:paraId="211ABC38" w14:textId="7BA0CA00" w:rsidR="006D7836" w:rsidRPr="001202A2" w:rsidRDefault="006D7836" w:rsidP="00880F49">
            <w:pPr>
              <w:tabs>
                <w:tab w:val="clear" w:pos="284"/>
              </w:tabs>
              <w:autoSpaceDE w:val="0"/>
              <w:autoSpaceDN w:val="0"/>
              <w:adjustRightInd w:val="0"/>
              <w:jc w:val="center"/>
              <w:rPr>
                <w:iCs/>
                <w:szCs w:val="22"/>
                <w:lang w:val="sr-Latn-ME"/>
              </w:rPr>
            </w:pPr>
            <w:r w:rsidRPr="001202A2">
              <w:rPr>
                <w:iCs/>
                <w:szCs w:val="22"/>
                <w:lang w:val="sr-Latn-ME"/>
              </w:rPr>
              <w:t>130 (3,2)</w:t>
            </w:r>
          </w:p>
        </w:tc>
        <w:tc>
          <w:tcPr>
            <w:tcW w:w="2180" w:type="dxa"/>
            <w:vAlign w:val="center"/>
          </w:tcPr>
          <w:p w14:paraId="19B3835E" w14:textId="5A17F178" w:rsidR="006D7836" w:rsidRPr="001202A2" w:rsidRDefault="006D7836" w:rsidP="00880F49">
            <w:pPr>
              <w:tabs>
                <w:tab w:val="clear" w:pos="284"/>
              </w:tabs>
              <w:autoSpaceDE w:val="0"/>
              <w:autoSpaceDN w:val="0"/>
              <w:adjustRightInd w:val="0"/>
              <w:jc w:val="center"/>
              <w:rPr>
                <w:iCs/>
                <w:szCs w:val="22"/>
                <w:lang w:val="sr-Latn-ME"/>
              </w:rPr>
            </w:pPr>
            <w:r w:rsidRPr="001202A2">
              <w:rPr>
                <w:iCs/>
                <w:szCs w:val="22"/>
                <w:lang w:val="sr-Latn-ME"/>
              </w:rPr>
              <w:t>146 (3,5)</w:t>
            </w:r>
          </w:p>
        </w:tc>
        <w:tc>
          <w:tcPr>
            <w:tcW w:w="2464" w:type="dxa"/>
            <w:vAlign w:val="center"/>
          </w:tcPr>
          <w:p w14:paraId="5FF2C519" w14:textId="77777777" w:rsidR="006D7836" w:rsidRPr="001202A2" w:rsidRDefault="006D7836" w:rsidP="00880F49">
            <w:pPr>
              <w:tabs>
                <w:tab w:val="clear" w:pos="284"/>
              </w:tabs>
              <w:autoSpaceDE w:val="0"/>
              <w:autoSpaceDN w:val="0"/>
              <w:adjustRightInd w:val="0"/>
              <w:jc w:val="center"/>
              <w:rPr>
                <w:iCs/>
                <w:szCs w:val="22"/>
                <w:lang w:val="sr-Latn-ME"/>
              </w:rPr>
            </w:pPr>
            <w:r w:rsidRPr="001202A2">
              <w:rPr>
                <w:iCs/>
                <w:szCs w:val="22"/>
                <w:lang w:val="sr-Latn-ME"/>
              </w:rPr>
              <w:t>0,89 (0,70; 1,13)</w:t>
            </w:r>
          </w:p>
          <w:p w14:paraId="074F7B84" w14:textId="77777777" w:rsidR="006D7836" w:rsidRPr="001202A2" w:rsidRDefault="006D7836" w:rsidP="00880F49">
            <w:pPr>
              <w:tabs>
                <w:tab w:val="clear" w:pos="284"/>
              </w:tabs>
              <w:autoSpaceDE w:val="0"/>
              <w:autoSpaceDN w:val="0"/>
              <w:adjustRightInd w:val="0"/>
              <w:jc w:val="center"/>
              <w:rPr>
                <w:iCs/>
                <w:szCs w:val="22"/>
                <w:lang w:val="sr-Latn-ME"/>
              </w:rPr>
            </w:pPr>
            <w:r w:rsidRPr="001202A2">
              <w:rPr>
                <w:iCs/>
                <w:szCs w:val="22"/>
                <w:lang w:val="sr-Latn-ME"/>
              </w:rPr>
              <w:t>p &lt; 0,0001</w:t>
            </w:r>
          </w:p>
          <w:p w14:paraId="16C36A84" w14:textId="2BD8603E" w:rsidR="00F5795F"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(neinferiornost)</w:t>
            </w:r>
          </w:p>
        </w:tc>
      </w:tr>
      <w:tr w:rsidR="006D7836" w:rsidRPr="001202A2" w14:paraId="4D3C8C42" w14:textId="77777777" w:rsidTr="001202A2">
        <w:tc>
          <w:tcPr>
            <w:tcW w:w="2660" w:type="dxa"/>
            <w:vAlign w:val="center"/>
          </w:tcPr>
          <w:p w14:paraId="07402412" w14:textId="74CF8C31" w:rsidR="006D7836" w:rsidRPr="001202A2" w:rsidRDefault="006D7836" w:rsidP="00880F49">
            <w:pPr>
              <w:tabs>
                <w:tab w:val="clear" w:pos="284"/>
              </w:tabs>
              <w:autoSpaceDE w:val="0"/>
              <w:autoSpaceDN w:val="0"/>
              <w:adjustRightInd w:val="0"/>
              <w:ind w:left="284"/>
              <w:rPr>
                <w:iCs/>
                <w:szCs w:val="22"/>
                <w:lang w:val="sr-Latn-ME"/>
              </w:rPr>
            </w:pPr>
            <w:r w:rsidRPr="001202A2">
              <w:rPr>
                <w:iCs/>
                <w:szCs w:val="22"/>
                <w:lang w:val="sr-Latn-ME"/>
              </w:rPr>
              <w:t>PE sa ili bez TDV</w:t>
            </w:r>
          </w:p>
        </w:tc>
        <w:tc>
          <w:tcPr>
            <w:tcW w:w="2551" w:type="dxa"/>
            <w:vAlign w:val="center"/>
          </w:tcPr>
          <w:p w14:paraId="42B4797E" w14:textId="15C22857"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73 (1,8)</w:t>
            </w:r>
          </w:p>
        </w:tc>
        <w:tc>
          <w:tcPr>
            <w:tcW w:w="2180" w:type="dxa"/>
            <w:vAlign w:val="center"/>
          </w:tcPr>
          <w:p w14:paraId="20A59E08" w14:textId="0D27AE43"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83 (2,0)</w:t>
            </w:r>
          </w:p>
        </w:tc>
        <w:tc>
          <w:tcPr>
            <w:tcW w:w="2464" w:type="dxa"/>
            <w:vAlign w:val="center"/>
          </w:tcPr>
          <w:p w14:paraId="0CAC68C9" w14:textId="77777777" w:rsidR="006D7836" w:rsidRPr="001202A2" w:rsidRDefault="006D7836" w:rsidP="00880F49">
            <w:pPr>
              <w:tabs>
                <w:tab w:val="clear" w:pos="284"/>
              </w:tabs>
              <w:autoSpaceDE w:val="0"/>
              <w:autoSpaceDN w:val="0"/>
              <w:adjustRightInd w:val="0"/>
              <w:jc w:val="center"/>
              <w:rPr>
                <w:iCs/>
                <w:szCs w:val="22"/>
                <w:lang w:val="sr-Latn-ME"/>
              </w:rPr>
            </w:pPr>
          </w:p>
        </w:tc>
      </w:tr>
      <w:tr w:rsidR="006D7836" w:rsidRPr="001202A2" w14:paraId="6558985A" w14:textId="77777777" w:rsidTr="001202A2">
        <w:tc>
          <w:tcPr>
            <w:tcW w:w="2660" w:type="dxa"/>
            <w:vAlign w:val="center"/>
          </w:tcPr>
          <w:p w14:paraId="26DDA462" w14:textId="084DC0D3" w:rsidR="006D7836" w:rsidRPr="001202A2" w:rsidRDefault="006D7836" w:rsidP="00880F49">
            <w:pPr>
              <w:tabs>
                <w:tab w:val="clear" w:pos="284"/>
              </w:tabs>
              <w:autoSpaceDE w:val="0"/>
              <w:autoSpaceDN w:val="0"/>
              <w:adjustRightInd w:val="0"/>
              <w:ind w:left="284"/>
              <w:rPr>
                <w:iCs/>
                <w:szCs w:val="22"/>
                <w:lang w:val="sr-Latn-ME"/>
              </w:rPr>
            </w:pPr>
            <w:r w:rsidRPr="001202A2">
              <w:rPr>
                <w:iCs/>
                <w:szCs w:val="22"/>
                <w:lang w:val="sr-Latn-ME"/>
              </w:rPr>
              <w:t>PE sa smrtnim ishodom ili smrt gd</w:t>
            </w:r>
            <w:r w:rsidR="005D5955" w:rsidRPr="001202A2">
              <w:rPr>
                <w:iCs/>
                <w:szCs w:val="22"/>
                <w:lang w:val="sr-Latn-ME"/>
              </w:rPr>
              <w:t>j</w:t>
            </w:r>
            <w:r w:rsidRPr="001202A2">
              <w:rPr>
                <w:iCs/>
                <w:szCs w:val="22"/>
                <w:lang w:val="sr-Latn-ME"/>
              </w:rPr>
              <w:t>e se PE ne može isključiti</w:t>
            </w:r>
          </w:p>
        </w:tc>
        <w:tc>
          <w:tcPr>
            <w:tcW w:w="2551" w:type="dxa"/>
            <w:vAlign w:val="center"/>
          </w:tcPr>
          <w:p w14:paraId="1FF8065D" w14:textId="7DFC1E43"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24 (0,6)</w:t>
            </w:r>
          </w:p>
        </w:tc>
        <w:tc>
          <w:tcPr>
            <w:tcW w:w="2180" w:type="dxa"/>
            <w:vAlign w:val="center"/>
          </w:tcPr>
          <w:p w14:paraId="0918F18F" w14:textId="57D2090B"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24 (0,6)</w:t>
            </w:r>
          </w:p>
        </w:tc>
        <w:tc>
          <w:tcPr>
            <w:tcW w:w="2464" w:type="dxa"/>
            <w:vAlign w:val="center"/>
          </w:tcPr>
          <w:p w14:paraId="1CF7B146" w14:textId="77777777" w:rsidR="006D7836" w:rsidRPr="001202A2" w:rsidRDefault="006D7836" w:rsidP="00880F49">
            <w:pPr>
              <w:tabs>
                <w:tab w:val="clear" w:pos="284"/>
              </w:tabs>
              <w:autoSpaceDE w:val="0"/>
              <w:autoSpaceDN w:val="0"/>
              <w:adjustRightInd w:val="0"/>
              <w:jc w:val="center"/>
              <w:rPr>
                <w:iCs/>
                <w:szCs w:val="22"/>
                <w:lang w:val="sr-Latn-ME"/>
              </w:rPr>
            </w:pPr>
          </w:p>
        </w:tc>
      </w:tr>
      <w:tr w:rsidR="006D7836" w:rsidRPr="001202A2" w14:paraId="7D7126C2" w14:textId="77777777" w:rsidTr="001202A2">
        <w:tc>
          <w:tcPr>
            <w:tcW w:w="2660" w:type="dxa"/>
            <w:vAlign w:val="center"/>
          </w:tcPr>
          <w:p w14:paraId="12D9B14E" w14:textId="539E874B" w:rsidR="006D7836" w:rsidRPr="001202A2" w:rsidRDefault="006D7836" w:rsidP="00880F49">
            <w:pPr>
              <w:tabs>
                <w:tab w:val="clear" w:pos="284"/>
              </w:tabs>
              <w:autoSpaceDE w:val="0"/>
              <w:autoSpaceDN w:val="0"/>
              <w:adjustRightInd w:val="0"/>
              <w:ind w:left="284"/>
              <w:rPr>
                <w:iCs/>
                <w:szCs w:val="22"/>
                <w:lang w:val="sr-Latn-ME"/>
              </w:rPr>
            </w:pPr>
            <w:r w:rsidRPr="001202A2">
              <w:rPr>
                <w:iCs/>
                <w:szCs w:val="22"/>
                <w:lang w:val="sr-Latn-ME"/>
              </w:rPr>
              <w:t>PE bez smrtnog ishoda</w:t>
            </w:r>
          </w:p>
        </w:tc>
        <w:tc>
          <w:tcPr>
            <w:tcW w:w="2551" w:type="dxa"/>
            <w:vAlign w:val="center"/>
          </w:tcPr>
          <w:p w14:paraId="4473B36F" w14:textId="4EE889DE"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49 (1,2)</w:t>
            </w:r>
          </w:p>
        </w:tc>
        <w:tc>
          <w:tcPr>
            <w:tcW w:w="2180" w:type="dxa"/>
            <w:vAlign w:val="center"/>
          </w:tcPr>
          <w:p w14:paraId="25B788B6" w14:textId="51E55696"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59 (1,4)</w:t>
            </w:r>
          </w:p>
        </w:tc>
        <w:tc>
          <w:tcPr>
            <w:tcW w:w="2464" w:type="dxa"/>
            <w:vAlign w:val="center"/>
          </w:tcPr>
          <w:p w14:paraId="0D046A5D" w14:textId="77777777" w:rsidR="006D7836" w:rsidRPr="001202A2" w:rsidRDefault="006D7836" w:rsidP="00880F49">
            <w:pPr>
              <w:tabs>
                <w:tab w:val="clear" w:pos="284"/>
              </w:tabs>
              <w:autoSpaceDE w:val="0"/>
              <w:autoSpaceDN w:val="0"/>
              <w:adjustRightInd w:val="0"/>
              <w:jc w:val="center"/>
              <w:rPr>
                <w:iCs/>
                <w:szCs w:val="22"/>
                <w:lang w:val="sr-Latn-ME"/>
              </w:rPr>
            </w:pPr>
          </w:p>
        </w:tc>
      </w:tr>
      <w:tr w:rsidR="006D7836" w:rsidRPr="001202A2" w14:paraId="09DEEC76" w14:textId="77777777" w:rsidTr="001202A2">
        <w:trPr>
          <w:trHeight w:val="60"/>
        </w:trPr>
        <w:tc>
          <w:tcPr>
            <w:tcW w:w="2660" w:type="dxa"/>
            <w:vAlign w:val="center"/>
          </w:tcPr>
          <w:p w14:paraId="78E8CA6C" w14:textId="018732C8" w:rsidR="006D7836" w:rsidRPr="001202A2" w:rsidRDefault="006D7836" w:rsidP="00880F49">
            <w:pPr>
              <w:tabs>
                <w:tab w:val="clear" w:pos="284"/>
              </w:tabs>
              <w:autoSpaceDE w:val="0"/>
              <w:autoSpaceDN w:val="0"/>
              <w:adjustRightInd w:val="0"/>
              <w:rPr>
                <w:iCs/>
                <w:szCs w:val="22"/>
                <w:lang w:val="sr-Latn-ME"/>
              </w:rPr>
            </w:pPr>
            <w:r w:rsidRPr="001202A2">
              <w:rPr>
                <w:iCs/>
                <w:szCs w:val="22"/>
                <w:lang w:val="sr-Latn-ME"/>
              </w:rPr>
              <w:t>Samo TDV</w:t>
            </w:r>
          </w:p>
        </w:tc>
        <w:tc>
          <w:tcPr>
            <w:tcW w:w="2551" w:type="dxa"/>
            <w:vAlign w:val="center"/>
          </w:tcPr>
          <w:p w14:paraId="15AA8B72" w14:textId="33F72E49"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57 (1,4)</w:t>
            </w:r>
          </w:p>
        </w:tc>
        <w:tc>
          <w:tcPr>
            <w:tcW w:w="2180" w:type="dxa"/>
            <w:vAlign w:val="center"/>
          </w:tcPr>
          <w:p w14:paraId="4AB451C8" w14:textId="1272AF27" w:rsidR="006D7836" w:rsidRPr="001202A2" w:rsidRDefault="00F5795F" w:rsidP="00880F49">
            <w:pPr>
              <w:tabs>
                <w:tab w:val="clear" w:pos="284"/>
              </w:tabs>
              <w:autoSpaceDE w:val="0"/>
              <w:autoSpaceDN w:val="0"/>
              <w:adjustRightInd w:val="0"/>
              <w:jc w:val="center"/>
              <w:rPr>
                <w:iCs/>
                <w:szCs w:val="22"/>
                <w:lang w:val="sr-Latn-ME"/>
              </w:rPr>
            </w:pPr>
            <w:r w:rsidRPr="001202A2">
              <w:rPr>
                <w:iCs/>
                <w:szCs w:val="22"/>
                <w:lang w:val="sr-Latn-ME"/>
              </w:rPr>
              <w:t>63 (1,5)</w:t>
            </w:r>
          </w:p>
        </w:tc>
        <w:tc>
          <w:tcPr>
            <w:tcW w:w="2464" w:type="dxa"/>
            <w:vAlign w:val="center"/>
          </w:tcPr>
          <w:p w14:paraId="02B2366F" w14:textId="77777777" w:rsidR="006D7836" w:rsidRPr="001202A2" w:rsidRDefault="006D7836" w:rsidP="00880F49">
            <w:pPr>
              <w:tabs>
                <w:tab w:val="clear" w:pos="284"/>
              </w:tabs>
              <w:autoSpaceDE w:val="0"/>
              <w:autoSpaceDN w:val="0"/>
              <w:adjustRightInd w:val="0"/>
              <w:jc w:val="center"/>
              <w:rPr>
                <w:iCs/>
                <w:szCs w:val="22"/>
                <w:lang w:val="sr-Latn-ME"/>
              </w:rPr>
            </w:pPr>
          </w:p>
        </w:tc>
      </w:tr>
    </w:tbl>
    <w:p w14:paraId="3859FC1E" w14:textId="39D85CA9" w:rsidR="00882F16" w:rsidRPr="001202A2" w:rsidRDefault="00882F16" w:rsidP="00880F49">
      <w:pPr>
        <w:tabs>
          <w:tab w:val="clear" w:pos="284"/>
        </w:tabs>
        <w:autoSpaceDE w:val="0"/>
        <w:autoSpaceDN w:val="0"/>
        <w:adjustRightInd w:val="0"/>
        <w:rPr>
          <w:rFonts w:eastAsia="TimesNewRoman"/>
          <w:szCs w:val="22"/>
          <w:lang w:val="sr-Latn-ME"/>
        </w:rPr>
      </w:pPr>
      <w:r w:rsidRPr="001202A2">
        <w:rPr>
          <w:rFonts w:eastAsia="TimesNewRoman"/>
          <w:szCs w:val="22"/>
          <w:lang w:val="sr-Latn-ME"/>
        </w:rPr>
        <w:t>Skraćenice: CI = interval pouzdanosti; TDV = tromboza dubokih vena; mITT = izm</w:t>
      </w:r>
      <w:r w:rsidR="005D5955" w:rsidRPr="001202A2">
        <w:rPr>
          <w:rFonts w:eastAsia="TimesNewRoman"/>
          <w:szCs w:val="22"/>
          <w:lang w:val="sr-Latn-ME"/>
        </w:rPr>
        <w:t>ij</w:t>
      </w:r>
      <w:r w:rsidRPr="001202A2">
        <w:rPr>
          <w:rFonts w:eastAsia="TimesNewRoman"/>
          <w:szCs w:val="22"/>
          <w:lang w:val="sr-Latn-ME"/>
        </w:rPr>
        <w:t>enjena populacija predviđena za l</w:t>
      </w:r>
      <w:r w:rsidR="005D5955" w:rsidRPr="001202A2">
        <w:rPr>
          <w:rFonts w:eastAsia="TimesNewRoman"/>
          <w:szCs w:val="22"/>
          <w:lang w:val="sr-Latn-ME"/>
        </w:rPr>
        <w:t>ij</w:t>
      </w:r>
      <w:r w:rsidRPr="001202A2">
        <w:rPr>
          <w:rFonts w:eastAsia="TimesNewRoman"/>
          <w:szCs w:val="22"/>
          <w:lang w:val="sr-Latn-ME"/>
        </w:rPr>
        <w:t>ečenje; HR = odnos rizika</w:t>
      </w:r>
      <w:r w:rsidRPr="001202A2">
        <w:rPr>
          <w:rFonts w:eastAsia="TimesNewRoman"/>
          <w:i/>
          <w:iCs/>
          <w:szCs w:val="22"/>
          <w:lang w:val="sr-Latn-ME"/>
        </w:rPr>
        <w:t xml:space="preserve"> </w:t>
      </w:r>
      <w:r w:rsidRPr="001202A2">
        <w:rPr>
          <w:rFonts w:eastAsia="TimesNewRoman"/>
          <w:szCs w:val="22"/>
          <w:lang w:val="sr-Latn-ME"/>
        </w:rPr>
        <w:t>u poređenju sa varfarinom; n = broj ispitanika sa događajima; N = broj ispitanika u mITT populaciji; PE = plućna embolija; VTE = venski tromboembolijski događaji.</w:t>
      </w:r>
    </w:p>
    <w:p w14:paraId="73877C52" w14:textId="6CA52D85" w:rsidR="00882F16" w:rsidRPr="001202A2" w:rsidRDefault="00882F16"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a</w:t>
      </w:r>
      <w:r w:rsidRPr="001202A2">
        <w:rPr>
          <w:rFonts w:eastAsia="TimesNewRoman"/>
          <w:szCs w:val="22"/>
          <w:lang w:val="sr-Latn-ME"/>
        </w:rPr>
        <w:t xml:space="preserve"> Primarni parametar praćenja efikasnosti je proc</w:t>
      </w:r>
      <w:r w:rsidR="005D5955" w:rsidRPr="001202A2">
        <w:rPr>
          <w:rFonts w:eastAsia="TimesNewRoman"/>
          <w:szCs w:val="22"/>
          <w:lang w:val="sr-Latn-ME"/>
        </w:rPr>
        <w:t>ij</w:t>
      </w:r>
      <w:r w:rsidRPr="001202A2">
        <w:rPr>
          <w:rFonts w:eastAsia="TimesNewRoman"/>
          <w:szCs w:val="22"/>
          <w:lang w:val="sr-Latn-ME"/>
        </w:rPr>
        <w:t xml:space="preserve">enjen simptomatski rekurentni VTE (tj. </w:t>
      </w:r>
      <w:r w:rsidR="00600327" w:rsidRPr="001202A2">
        <w:rPr>
          <w:rFonts w:eastAsia="TimesNewRoman"/>
          <w:szCs w:val="22"/>
          <w:lang w:val="sr-Latn-ME"/>
        </w:rPr>
        <w:t>zbir</w:t>
      </w:r>
      <w:r w:rsidRPr="001202A2">
        <w:rPr>
          <w:rFonts w:eastAsia="TimesNewRoman"/>
          <w:szCs w:val="22"/>
          <w:lang w:val="sr-Latn-ME"/>
        </w:rPr>
        <w:t xml:space="preserve"> ishoda TDV, PE bez smrtnog ishoda i PE sa smrtnim ishodom).</w:t>
      </w:r>
    </w:p>
    <w:p w14:paraId="70AAFAF2" w14:textId="17D034A4" w:rsidR="00882F16" w:rsidRPr="001202A2" w:rsidRDefault="00882F16"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b</w:t>
      </w:r>
      <w:r w:rsidRPr="001202A2">
        <w:rPr>
          <w:rFonts w:eastAsia="TimesNewRoman"/>
          <w:szCs w:val="22"/>
          <w:lang w:val="sr-Latn-ME"/>
        </w:rPr>
        <w:t xml:space="preserve"> HR, dvostrani CI se </w:t>
      </w:r>
      <w:r w:rsidR="00600327" w:rsidRPr="001202A2">
        <w:rPr>
          <w:rFonts w:eastAsia="TimesNewRoman"/>
          <w:szCs w:val="22"/>
          <w:lang w:val="sr-Latn-ME"/>
        </w:rPr>
        <w:t xml:space="preserve">zasnivaju </w:t>
      </w:r>
      <w:r w:rsidRPr="001202A2">
        <w:rPr>
          <w:rFonts w:eastAsia="TimesNewRoman"/>
          <w:szCs w:val="22"/>
          <w:lang w:val="sr-Latn-ME"/>
        </w:rPr>
        <w:t xml:space="preserve">na </w:t>
      </w:r>
      <w:r w:rsidRPr="001202A2">
        <w:rPr>
          <w:rFonts w:eastAsia="TimesNewRoman"/>
          <w:i/>
          <w:iCs/>
          <w:szCs w:val="22"/>
          <w:lang w:val="sr-Latn-ME"/>
        </w:rPr>
        <w:t>Cox</w:t>
      </w:r>
      <w:r w:rsidRPr="001202A2">
        <w:rPr>
          <w:rFonts w:eastAsia="TimesNewRoman"/>
          <w:szCs w:val="22"/>
          <w:lang w:val="sr-Latn-ME"/>
        </w:rPr>
        <w:t>-ovom modelu</w:t>
      </w:r>
      <w:r w:rsidR="00600327" w:rsidRPr="001202A2">
        <w:rPr>
          <w:rFonts w:eastAsia="TimesNewRoman"/>
          <w:szCs w:val="22"/>
          <w:lang w:val="sr-Latn-ME"/>
        </w:rPr>
        <w:t xml:space="preserve"> regresije</w:t>
      </w:r>
      <w:r w:rsidRPr="001202A2">
        <w:rPr>
          <w:rFonts w:eastAsia="TimesNewRoman"/>
          <w:szCs w:val="22"/>
          <w:lang w:val="sr-Latn-ME"/>
        </w:rPr>
        <w:t xml:space="preserve"> proporcionalnih rizika</w:t>
      </w:r>
      <w:r w:rsidR="00600327" w:rsidRPr="001202A2">
        <w:rPr>
          <w:rFonts w:eastAsia="TimesNewRoman"/>
          <w:szCs w:val="22"/>
          <w:lang w:val="sr-Latn-ME"/>
        </w:rPr>
        <w:t>,</w:t>
      </w:r>
      <w:r w:rsidRPr="001202A2">
        <w:rPr>
          <w:rFonts w:eastAsia="TimesNewRoman"/>
          <w:szCs w:val="22"/>
          <w:lang w:val="sr-Latn-ME"/>
        </w:rPr>
        <w:t xml:space="preserve"> uključujući </w:t>
      </w:r>
      <w:r w:rsidR="00600327" w:rsidRPr="001202A2">
        <w:rPr>
          <w:rFonts w:eastAsia="TimesNewRoman"/>
          <w:szCs w:val="22"/>
          <w:lang w:val="sr-Latn-ME"/>
        </w:rPr>
        <w:t>terapiju</w:t>
      </w:r>
      <w:r w:rsidRPr="001202A2">
        <w:rPr>
          <w:rFonts w:eastAsia="TimesNewRoman"/>
          <w:szCs w:val="22"/>
          <w:lang w:val="sr-Latn-ME"/>
        </w:rPr>
        <w:t xml:space="preserve"> i sl</w:t>
      </w:r>
      <w:r w:rsidR="005D5955" w:rsidRPr="001202A2">
        <w:rPr>
          <w:rFonts w:eastAsia="TimesNewRoman"/>
          <w:szCs w:val="22"/>
          <w:lang w:val="sr-Latn-ME"/>
        </w:rPr>
        <w:t>j</w:t>
      </w:r>
      <w:r w:rsidRPr="001202A2">
        <w:rPr>
          <w:rFonts w:eastAsia="TimesNewRoman"/>
          <w:szCs w:val="22"/>
          <w:lang w:val="sr-Latn-ME"/>
        </w:rPr>
        <w:t xml:space="preserve">edeće </w:t>
      </w:r>
      <w:r w:rsidR="007776D0" w:rsidRPr="001202A2">
        <w:rPr>
          <w:rFonts w:eastAsia="TimesNewRoman"/>
          <w:szCs w:val="22"/>
          <w:lang w:val="sr-Latn-ME"/>
        </w:rPr>
        <w:t>faktore</w:t>
      </w:r>
      <w:r w:rsidRPr="001202A2">
        <w:rPr>
          <w:rFonts w:eastAsia="TimesNewRoman"/>
          <w:szCs w:val="22"/>
          <w:lang w:val="sr-Latn-ME"/>
        </w:rPr>
        <w:t xml:space="preserve"> randomizovane stratifikacije kao </w:t>
      </w:r>
      <w:r w:rsidR="007776D0" w:rsidRPr="001202A2">
        <w:rPr>
          <w:rFonts w:eastAsia="TimesNewRoman"/>
          <w:szCs w:val="22"/>
          <w:lang w:val="sr-Latn-ME"/>
        </w:rPr>
        <w:t>kovarijable</w:t>
      </w:r>
      <w:r w:rsidRPr="001202A2">
        <w:rPr>
          <w:rFonts w:eastAsia="TimesNewRoman"/>
          <w:szCs w:val="22"/>
          <w:lang w:val="sr-Latn-ME"/>
        </w:rPr>
        <w:t>: dijagnoza</w:t>
      </w:r>
      <w:r w:rsidR="007776D0" w:rsidRPr="001202A2">
        <w:rPr>
          <w:rFonts w:eastAsia="TimesNewRoman"/>
          <w:szCs w:val="22"/>
          <w:lang w:val="sr-Latn-ME"/>
        </w:rPr>
        <w:t xml:space="preserve"> na prijemu</w:t>
      </w:r>
      <w:r w:rsidRPr="001202A2">
        <w:rPr>
          <w:rFonts w:eastAsia="TimesNewRoman"/>
          <w:szCs w:val="22"/>
          <w:lang w:val="sr-Latn-ME"/>
        </w:rPr>
        <w:t xml:space="preserve"> (PE s</w:t>
      </w:r>
      <w:r w:rsidR="007776D0" w:rsidRPr="001202A2">
        <w:rPr>
          <w:rFonts w:eastAsia="TimesNewRoman"/>
          <w:szCs w:val="22"/>
          <w:lang w:val="sr-Latn-ME"/>
        </w:rPr>
        <w:t>a</w:t>
      </w:r>
      <w:r w:rsidRPr="001202A2">
        <w:rPr>
          <w:rFonts w:eastAsia="TimesNewRoman"/>
          <w:szCs w:val="22"/>
          <w:lang w:val="sr-Latn-ME"/>
        </w:rPr>
        <w:t xml:space="preserve"> TDV ili bez </w:t>
      </w:r>
      <w:r w:rsidR="007776D0" w:rsidRPr="001202A2">
        <w:rPr>
          <w:rFonts w:eastAsia="TimesNewRoman"/>
          <w:szCs w:val="22"/>
          <w:lang w:val="sr-Latn-ME"/>
        </w:rPr>
        <w:t>nje</w:t>
      </w:r>
      <w:r w:rsidRPr="001202A2">
        <w:rPr>
          <w:rFonts w:eastAsia="TimesNewRoman"/>
          <w:szCs w:val="22"/>
          <w:lang w:val="sr-Latn-ME"/>
        </w:rPr>
        <w:t xml:space="preserve">; samo TDV), početni faktori rizika (privremeni </w:t>
      </w:r>
      <w:r w:rsidR="007776D0" w:rsidRPr="001202A2">
        <w:rPr>
          <w:rFonts w:eastAsia="TimesNewRoman"/>
          <w:szCs w:val="22"/>
          <w:lang w:val="sr-Latn-ME"/>
        </w:rPr>
        <w:t>faktori</w:t>
      </w:r>
      <w:r w:rsidRPr="001202A2">
        <w:rPr>
          <w:rFonts w:eastAsia="TimesNewRoman"/>
          <w:szCs w:val="22"/>
          <w:lang w:val="sr-Latn-ME"/>
        </w:rPr>
        <w:t>, svi ostali) i potreba za edoksaban</w:t>
      </w:r>
      <w:r w:rsidR="00382B00" w:rsidRPr="001202A2">
        <w:rPr>
          <w:rFonts w:eastAsia="TimesNewRoman"/>
          <w:szCs w:val="22"/>
          <w:lang w:val="sr-Latn-ME"/>
        </w:rPr>
        <w:t>om u dozi od 30 mg</w:t>
      </w:r>
      <w:r w:rsidRPr="001202A2">
        <w:rPr>
          <w:rFonts w:eastAsia="TimesNewRoman"/>
          <w:szCs w:val="22"/>
          <w:lang w:val="sr-Latn-ME"/>
        </w:rPr>
        <w:t>/placeb</w:t>
      </w:r>
      <w:r w:rsidR="00382B00" w:rsidRPr="001202A2">
        <w:rPr>
          <w:rFonts w:eastAsia="TimesNewRoman"/>
          <w:szCs w:val="22"/>
          <w:lang w:val="sr-Latn-ME"/>
        </w:rPr>
        <w:t>om</w:t>
      </w:r>
      <w:r w:rsidRPr="001202A2">
        <w:rPr>
          <w:rFonts w:eastAsia="TimesNewRoman"/>
          <w:szCs w:val="22"/>
          <w:lang w:val="sr-Latn-ME"/>
        </w:rPr>
        <w:t xml:space="preserve"> </w:t>
      </w:r>
      <w:r w:rsidR="00382B00" w:rsidRPr="001202A2">
        <w:rPr>
          <w:rFonts w:eastAsia="TimesNewRoman"/>
          <w:szCs w:val="22"/>
          <w:lang w:val="sr-Latn-ME"/>
        </w:rPr>
        <w:t>u dozi</w:t>
      </w:r>
      <w:r w:rsidRPr="001202A2">
        <w:rPr>
          <w:rFonts w:eastAsia="TimesNewRoman"/>
          <w:szCs w:val="22"/>
          <w:lang w:val="sr-Latn-ME"/>
        </w:rPr>
        <w:t xml:space="preserve"> edoksaban</w:t>
      </w:r>
      <w:r w:rsidR="00382B00" w:rsidRPr="001202A2">
        <w:rPr>
          <w:rFonts w:eastAsia="TimesNewRoman"/>
          <w:szCs w:val="22"/>
          <w:lang w:val="sr-Latn-ME"/>
        </w:rPr>
        <w:t>a</w:t>
      </w:r>
      <w:r w:rsidRPr="001202A2">
        <w:rPr>
          <w:rFonts w:eastAsia="TimesNewRoman"/>
          <w:szCs w:val="22"/>
          <w:lang w:val="sr-Latn-ME"/>
        </w:rPr>
        <w:t xml:space="preserve"> pri randomizaciji (da/ne).</w:t>
      </w:r>
    </w:p>
    <w:p w14:paraId="1659A357" w14:textId="16B00B96" w:rsidR="006D7836" w:rsidRPr="001202A2" w:rsidRDefault="00882F16"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c</w:t>
      </w:r>
      <w:r w:rsidRPr="001202A2">
        <w:rPr>
          <w:rFonts w:eastAsia="TimesNewRoman"/>
          <w:szCs w:val="22"/>
          <w:lang w:val="sr-Latn-ME"/>
        </w:rPr>
        <w:t xml:space="preserve"> P-vr</w:t>
      </w:r>
      <w:r w:rsidR="00107D57" w:rsidRPr="001202A2">
        <w:rPr>
          <w:rFonts w:eastAsia="TimesNewRoman"/>
          <w:szCs w:val="22"/>
          <w:lang w:val="sr-Latn-ME"/>
        </w:rPr>
        <w:t>ij</w:t>
      </w:r>
      <w:r w:rsidRPr="001202A2">
        <w:rPr>
          <w:rFonts w:eastAsia="TimesNewRoman"/>
          <w:szCs w:val="22"/>
          <w:lang w:val="sr-Latn-ME"/>
        </w:rPr>
        <w:t>ednost odnosi se na unapr</w:t>
      </w:r>
      <w:r w:rsidR="00107D57" w:rsidRPr="001202A2">
        <w:rPr>
          <w:rFonts w:eastAsia="TimesNewRoman"/>
          <w:szCs w:val="22"/>
          <w:lang w:val="sr-Latn-ME"/>
        </w:rPr>
        <w:t>ij</w:t>
      </w:r>
      <w:r w:rsidRPr="001202A2">
        <w:rPr>
          <w:rFonts w:eastAsia="TimesNewRoman"/>
          <w:szCs w:val="22"/>
          <w:lang w:val="sr-Latn-ME"/>
        </w:rPr>
        <w:t xml:space="preserve">ed definisanu </w:t>
      </w:r>
      <w:r w:rsidR="00382B00" w:rsidRPr="001202A2">
        <w:rPr>
          <w:rFonts w:eastAsia="TimesNewRoman"/>
          <w:szCs w:val="22"/>
          <w:lang w:val="sr-Latn-ME"/>
        </w:rPr>
        <w:t>granicu</w:t>
      </w:r>
      <w:r w:rsidRPr="001202A2">
        <w:rPr>
          <w:rFonts w:eastAsia="TimesNewRoman"/>
          <w:szCs w:val="22"/>
          <w:lang w:val="sr-Latn-ME"/>
        </w:rPr>
        <w:t xml:space="preserve"> neinferiornosti od 1,5.</w:t>
      </w:r>
    </w:p>
    <w:p w14:paraId="7AB935E2" w14:textId="77777777" w:rsidR="005F2BED" w:rsidRPr="001202A2" w:rsidRDefault="005F2BED" w:rsidP="00880F49">
      <w:pPr>
        <w:tabs>
          <w:tab w:val="clear" w:pos="284"/>
        </w:tabs>
        <w:autoSpaceDE w:val="0"/>
        <w:autoSpaceDN w:val="0"/>
        <w:adjustRightInd w:val="0"/>
        <w:rPr>
          <w:rFonts w:eastAsia="TimesNewRoman"/>
          <w:szCs w:val="22"/>
          <w:lang w:val="sr-Latn-ME"/>
        </w:rPr>
      </w:pPr>
    </w:p>
    <w:p w14:paraId="0D41DCE4" w14:textId="24E30F73" w:rsidR="00CF1CFF" w:rsidRPr="001202A2" w:rsidRDefault="00CF1CF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Kod 15 (2,1%) ispitanika kojima je doza edoksabana smanjena na 30 mg (pretežno zbog male t</w:t>
      </w:r>
      <w:r w:rsidR="00107D57" w:rsidRPr="001202A2">
        <w:rPr>
          <w:rFonts w:eastAsia="TimesNewRoman"/>
          <w:szCs w:val="22"/>
          <w:lang w:val="sr-Latn-ME"/>
        </w:rPr>
        <w:t>j</w:t>
      </w:r>
      <w:r w:rsidRPr="001202A2">
        <w:rPr>
          <w:rFonts w:eastAsia="TimesNewRoman"/>
          <w:szCs w:val="22"/>
          <w:lang w:val="sr-Latn-ME"/>
        </w:rPr>
        <w:t>elesne mase ili bubrežne funkcije) i 22 (3,1%) ispitanika l</w:t>
      </w:r>
      <w:r w:rsidR="00107D57" w:rsidRPr="001202A2">
        <w:rPr>
          <w:rFonts w:eastAsia="TimesNewRoman"/>
          <w:szCs w:val="22"/>
          <w:lang w:val="sr-Latn-ME"/>
        </w:rPr>
        <w:t>ij</w:t>
      </w:r>
      <w:r w:rsidRPr="001202A2">
        <w:rPr>
          <w:rFonts w:eastAsia="TimesNewRoman"/>
          <w:szCs w:val="22"/>
          <w:lang w:val="sr-Latn-ME"/>
        </w:rPr>
        <w:t>ečenih varfarinom</w:t>
      </w:r>
      <w:r w:rsidR="007C43BD" w:rsidRPr="001202A2">
        <w:rPr>
          <w:rFonts w:eastAsia="TimesNewRoman"/>
          <w:szCs w:val="22"/>
          <w:lang w:val="sr-Latn-ME"/>
        </w:rPr>
        <w:t xml:space="preserve">, bio </w:t>
      </w:r>
      <w:r w:rsidRPr="001202A2">
        <w:rPr>
          <w:rFonts w:eastAsia="TimesNewRoman"/>
          <w:szCs w:val="22"/>
          <w:lang w:val="sr-Latn-ME"/>
        </w:rPr>
        <w:t>je</w:t>
      </w:r>
      <w:r w:rsidR="007C43BD" w:rsidRPr="001202A2">
        <w:rPr>
          <w:rFonts w:eastAsia="TimesNewRoman"/>
          <w:szCs w:val="22"/>
          <w:lang w:val="sr-Latn-ME"/>
        </w:rPr>
        <w:t xml:space="preserve"> prisutan</w:t>
      </w:r>
      <w:r w:rsidRPr="001202A2">
        <w:rPr>
          <w:rFonts w:eastAsia="TimesNewRoman"/>
          <w:szCs w:val="22"/>
          <w:lang w:val="sr-Latn-ME"/>
        </w:rPr>
        <w:t xml:space="preserve"> re</w:t>
      </w:r>
      <w:r w:rsidR="007C43BD" w:rsidRPr="001202A2">
        <w:rPr>
          <w:rFonts w:eastAsia="TimesNewRoman"/>
          <w:szCs w:val="22"/>
          <w:lang w:val="sr-Latn-ME"/>
        </w:rPr>
        <w:t>kurentni</w:t>
      </w:r>
      <w:r w:rsidRPr="001202A2">
        <w:rPr>
          <w:rFonts w:eastAsia="TimesNewRoman"/>
          <w:szCs w:val="22"/>
          <w:lang w:val="sr-Latn-ME"/>
        </w:rPr>
        <w:t xml:space="preserve"> VTE [HR (95% CI): 0,69 (0,36, 1,34)].</w:t>
      </w:r>
    </w:p>
    <w:p w14:paraId="35D4664D" w14:textId="77777777" w:rsidR="00326741" w:rsidRPr="001202A2" w:rsidRDefault="00326741" w:rsidP="00480B31">
      <w:pPr>
        <w:tabs>
          <w:tab w:val="clear" w:pos="284"/>
        </w:tabs>
        <w:autoSpaceDE w:val="0"/>
        <w:autoSpaceDN w:val="0"/>
        <w:adjustRightInd w:val="0"/>
        <w:rPr>
          <w:rFonts w:eastAsia="TimesNewRoman"/>
          <w:szCs w:val="22"/>
          <w:lang w:val="sr-Latn-ME"/>
        </w:rPr>
      </w:pPr>
    </w:p>
    <w:p w14:paraId="24878249" w14:textId="7E1B65CE" w:rsidR="00CF1CFF" w:rsidRPr="001202A2" w:rsidRDefault="00CF1CF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Sekundarni parametar praćenja</w:t>
      </w:r>
      <w:r w:rsidR="000A67B8" w:rsidRPr="001202A2">
        <w:rPr>
          <w:rFonts w:eastAsia="TimesNewRoman"/>
          <w:szCs w:val="22"/>
          <w:lang w:val="sr-Latn-ME"/>
        </w:rPr>
        <w:t>,</w:t>
      </w:r>
      <w:r w:rsidRPr="001202A2">
        <w:rPr>
          <w:rFonts w:eastAsia="TimesNewRoman"/>
          <w:szCs w:val="22"/>
          <w:lang w:val="sr-Latn-ME"/>
        </w:rPr>
        <w:t xml:space="preserve"> </w:t>
      </w:r>
      <w:r w:rsidR="000A67B8" w:rsidRPr="001202A2">
        <w:rPr>
          <w:rFonts w:eastAsia="TimesNewRoman"/>
          <w:szCs w:val="22"/>
          <w:lang w:val="sr-Latn-ME"/>
        </w:rPr>
        <w:t>zbir</w:t>
      </w:r>
      <w:r w:rsidRPr="001202A2">
        <w:rPr>
          <w:rFonts w:eastAsia="TimesNewRoman"/>
          <w:szCs w:val="22"/>
          <w:lang w:val="sr-Latn-ME"/>
        </w:rPr>
        <w:t xml:space="preserve"> </w:t>
      </w:r>
      <w:r w:rsidR="000A67B8" w:rsidRPr="001202A2">
        <w:rPr>
          <w:rFonts w:eastAsia="TimesNewRoman"/>
          <w:szCs w:val="22"/>
          <w:lang w:val="sr-Latn-ME"/>
        </w:rPr>
        <w:t>rekurentnog</w:t>
      </w:r>
      <w:r w:rsidRPr="001202A2">
        <w:rPr>
          <w:rFonts w:eastAsia="TimesNewRoman"/>
          <w:szCs w:val="22"/>
          <w:lang w:val="sr-Latn-ME"/>
        </w:rPr>
        <w:t xml:space="preserve"> VTE i mortaliteta bilo kog uzroka </w:t>
      </w:r>
      <w:r w:rsidR="000A67B8" w:rsidRPr="001202A2">
        <w:rPr>
          <w:rFonts w:eastAsia="TimesNewRoman"/>
          <w:szCs w:val="22"/>
          <w:lang w:val="sr-Latn-ME"/>
        </w:rPr>
        <w:t xml:space="preserve">se javio </w:t>
      </w:r>
      <w:r w:rsidRPr="001202A2">
        <w:rPr>
          <w:rFonts w:eastAsia="TimesNewRoman"/>
          <w:szCs w:val="22"/>
          <w:lang w:val="sr-Latn-ME"/>
        </w:rPr>
        <w:t xml:space="preserve">kod 138 ispitanika (3,4%) u grupi </w:t>
      </w:r>
      <w:r w:rsidR="000A67B8" w:rsidRPr="001202A2">
        <w:rPr>
          <w:rFonts w:eastAsia="TimesNewRoman"/>
          <w:szCs w:val="22"/>
          <w:lang w:val="sr-Latn-ME"/>
        </w:rPr>
        <w:t>na terapiji</w:t>
      </w:r>
      <w:r w:rsidRPr="001202A2">
        <w:rPr>
          <w:rFonts w:eastAsia="TimesNewRoman"/>
          <w:szCs w:val="22"/>
          <w:lang w:val="sr-Latn-ME"/>
        </w:rPr>
        <w:t xml:space="preserve"> edoksabanom i 158 ispitanika (3,9%) u grupi l</w:t>
      </w:r>
      <w:r w:rsidR="00107D57" w:rsidRPr="001202A2">
        <w:rPr>
          <w:rFonts w:eastAsia="TimesNewRoman"/>
          <w:szCs w:val="22"/>
          <w:lang w:val="sr-Latn-ME"/>
        </w:rPr>
        <w:t>ij</w:t>
      </w:r>
      <w:r w:rsidRPr="001202A2">
        <w:rPr>
          <w:rFonts w:eastAsia="TimesNewRoman"/>
          <w:szCs w:val="22"/>
          <w:lang w:val="sr-Latn-ME"/>
        </w:rPr>
        <w:t>ečenoj varfarinom [HR (95% CI): 0,87 (0,70; 1,10)].</w:t>
      </w:r>
    </w:p>
    <w:p w14:paraId="7C1D91AF" w14:textId="77777777" w:rsidR="00326741" w:rsidRPr="001202A2" w:rsidRDefault="00326741" w:rsidP="00480B31">
      <w:pPr>
        <w:tabs>
          <w:tab w:val="clear" w:pos="284"/>
        </w:tabs>
        <w:autoSpaceDE w:val="0"/>
        <w:autoSpaceDN w:val="0"/>
        <w:adjustRightInd w:val="0"/>
        <w:rPr>
          <w:rFonts w:eastAsia="TimesNewRoman"/>
          <w:szCs w:val="22"/>
          <w:lang w:val="sr-Latn-ME"/>
        </w:rPr>
      </w:pPr>
    </w:p>
    <w:p w14:paraId="270D3911" w14:textId="6D6F59D8" w:rsidR="00CF1CFF" w:rsidRPr="001202A2" w:rsidRDefault="00CF1CF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Mortalitet bilo kog uzroka (</w:t>
      </w:r>
      <w:r w:rsidR="000A67B8" w:rsidRPr="001202A2">
        <w:rPr>
          <w:rFonts w:eastAsia="TimesNewRoman"/>
          <w:szCs w:val="22"/>
          <w:lang w:val="sr-Latn-ME"/>
        </w:rPr>
        <w:t>proc</w:t>
      </w:r>
      <w:r w:rsidR="00107D57" w:rsidRPr="001202A2">
        <w:rPr>
          <w:rFonts w:eastAsia="TimesNewRoman"/>
          <w:szCs w:val="22"/>
          <w:lang w:val="sr-Latn-ME"/>
        </w:rPr>
        <w:t>ij</w:t>
      </w:r>
      <w:r w:rsidR="000A67B8" w:rsidRPr="001202A2">
        <w:rPr>
          <w:rFonts w:eastAsia="TimesNewRoman"/>
          <w:szCs w:val="22"/>
          <w:lang w:val="sr-Latn-ME"/>
        </w:rPr>
        <w:t>enjene smrti</w:t>
      </w:r>
      <w:r w:rsidRPr="001202A2">
        <w:rPr>
          <w:rFonts w:eastAsia="TimesNewRoman"/>
          <w:szCs w:val="22"/>
          <w:lang w:val="sr-Latn-ME"/>
        </w:rPr>
        <w:t>) u Hokusai-VTE</w:t>
      </w:r>
      <w:r w:rsidR="000A67B8" w:rsidRPr="001202A2">
        <w:rPr>
          <w:rFonts w:eastAsia="TimesNewRoman"/>
          <w:szCs w:val="22"/>
          <w:lang w:val="sr-Latn-ME"/>
        </w:rPr>
        <w:t xml:space="preserve"> studiji je</w:t>
      </w:r>
      <w:r w:rsidRPr="001202A2">
        <w:rPr>
          <w:rFonts w:eastAsia="TimesNewRoman"/>
          <w:szCs w:val="22"/>
          <w:lang w:val="sr-Latn-ME"/>
        </w:rPr>
        <w:t xml:space="preserve"> </w:t>
      </w:r>
      <w:r w:rsidR="000A67B8" w:rsidRPr="001202A2">
        <w:rPr>
          <w:rFonts w:eastAsia="TimesNewRoman"/>
          <w:szCs w:val="22"/>
          <w:lang w:val="sr-Latn-ME"/>
        </w:rPr>
        <w:t>bio</w:t>
      </w:r>
      <w:r w:rsidRPr="001202A2">
        <w:rPr>
          <w:rFonts w:eastAsia="TimesNewRoman"/>
          <w:szCs w:val="22"/>
          <w:lang w:val="sr-Latn-ME"/>
        </w:rPr>
        <w:t xml:space="preserve"> 136 (3,3%) kod ispitanika koji su </w:t>
      </w:r>
      <w:r w:rsidR="000A67B8" w:rsidRPr="001202A2">
        <w:rPr>
          <w:rFonts w:eastAsia="TimesNewRoman"/>
          <w:szCs w:val="22"/>
          <w:lang w:val="sr-Latn-ME"/>
        </w:rPr>
        <w:t>primali</w:t>
      </w:r>
      <w:r w:rsidRPr="001202A2">
        <w:rPr>
          <w:rFonts w:eastAsia="TimesNewRoman"/>
          <w:szCs w:val="22"/>
          <w:lang w:val="sr-Latn-ME"/>
        </w:rPr>
        <w:t xml:space="preserve"> edoksaban u dozi od 60 mg (</w:t>
      </w:r>
      <w:r w:rsidR="000A67B8" w:rsidRPr="001202A2">
        <w:rPr>
          <w:rFonts w:eastAsia="TimesNewRoman"/>
          <w:szCs w:val="22"/>
          <w:lang w:val="sr-Latn-ME"/>
        </w:rPr>
        <w:t>redukovanoj dozi od</w:t>
      </w:r>
      <w:r w:rsidRPr="001202A2">
        <w:rPr>
          <w:rFonts w:eastAsia="TimesNewRoman"/>
          <w:szCs w:val="22"/>
          <w:lang w:val="sr-Latn-ME"/>
        </w:rPr>
        <w:t xml:space="preserve"> 30 mg)</w:t>
      </w:r>
      <w:r w:rsidR="000A67B8" w:rsidRPr="001202A2">
        <w:rPr>
          <w:rFonts w:eastAsia="TimesNewRoman"/>
          <w:szCs w:val="22"/>
          <w:lang w:val="sr-Latn-ME"/>
        </w:rPr>
        <w:t>,</w:t>
      </w:r>
      <w:r w:rsidRPr="001202A2">
        <w:rPr>
          <w:rFonts w:eastAsia="TimesNewRoman"/>
          <w:szCs w:val="22"/>
          <w:lang w:val="sr-Latn-ME"/>
        </w:rPr>
        <w:t xml:space="preserve"> </w:t>
      </w:r>
      <w:r w:rsidR="000A67B8" w:rsidRPr="001202A2">
        <w:rPr>
          <w:rFonts w:eastAsia="TimesNewRoman"/>
          <w:szCs w:val="22"/>
          <w:lang w:val="sr-Latn-ME"/>
        </w:rPr>
        <w:t>u poređenju sa</w:t>
      </w:r>
      <w:r w:rsidRPr="001202A2">
        <w:rPr>
          <w:rFonts w:eastAsia="TimesNewRoman"/>
          <w:szCs w:val="22"/>
          <w:lang w:val="sr-Latn-ME"/>
        </w:rPr>
        <w:t xml:space="preserve"> 130 (3,2%) za</w:t>
      </w:r>
      <w:r w:rsidR="000A67B8" w:rsidRPr="001202A2">
        <w:rPr>
          <w:rFonts w:eastAsia="TimesNewRoman"/>
          <w:szCs w:val="22"/>
          <w:lang w:val="sr-Latn-ME"/>
        </w:rPr>
        <w:t xml:space="preserve"> grupu na</w:t>
      </w:r>
      <w:r w:rsidRPr="001202A2">
        <w:rPr>
          <w:rFonts w:eastAsia="TimesNewRoman"/>
          <w:szCs w:val="22"/>
          <w:lang w:val="sr-Latn-ME"/>
        </w:rPr>
        <w:t xml:space="preserve"> varfarin</w:t>
      </w:r>
      <w:r w:rsidR="000A67B8" w:rsidRPr="001202A2">
        <w:rPr>
          <w:rFonts w:eastAsia="TimesNewRoman"/>
          <w:szCs w:val="22"/>
          <w:lang w:val="sr-Latn-ME"/>
        </w:rPr>
        <w:t>u</w:t>
      </w:r>
      <w:r w:rsidRPr="001202A2">
        <w:rPr>
          <w:rFonts w:eastAsia="TimesNewRoman"/>
          <w:szCs w:val="22"/>
          <w:lang w:val="sr-Latn-ME"/>
        </w:rPr>
        <w:t>.</w:t>
      </w:r>
    </w:p>
    <w:p w14:paraId="63D6A32F" w14:textId="77777777" w:rsidR="00326741" w:rsidRPr="001202A2" w:rsidRDefault="00326741" w:rsidP="00480B31">
      <w:pPr>
        <w:tabs>
          <w:tab w:val="clear" w:pos="284"/>
        </w:tabs>
        <w:autoSpaceDE w:val="0"/>
        <w:autoSpaceDN w:val="0"/>
        <w:adjustRightInd w:val="0"/>
        <w:rPr>
          <w:rFonts w:eastAsia="TimesNewRoman"/>
          <w:szCs w:val="22"/>
          <w:lang w:val="sr-Latn-ME"/>
        </w:rPr>
      </w:pPr>
    </w:p>
    <w:p w14:paraId="3B6E7F13" w14:textId="14CAFE17" w:rsidR="00CF1CFF" w:rsidRPr="001202A2" w:rsidRDefault="00CF1CF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unapr</w:t>
      </w:r>
      <w:r w:rsidR="00107D57" w:rsidRPr="001202A2">
        <w:rPr>
          <w:rFonts w:eastAsia="TimesNewRoman"/>
          <w:szCs w:val="22"/>
          <w:lang w:val="sr-Latn-ME"/>
        </w:rPr>
        <w:t>ij</w:t>
      </w:r>
      <w:r w:rsidRPr="001202A2">
        <w:rPr>
          <w:rFonts w:eastAsia="TimesNewRoman"/>
          <w:szCs w:val="22"/>
          <w:lang w:val="sr-Latn-ME"/>
        </w:rPr>
        <w:t xml:space="preserve">ed </w:t>
      </w:r>
      <w:r w:rsidR="00F25BEE" w:rsidRPr="001202A2">
        <w:rPr>
          <w:rFonts w:eastAsia="TimesNewRoman"/>
          <w:szCs w:val="22"/>
          <w:lang w:val="sr-Latn-ME"/>
        </w:rPr>
        <w:t>definisanoj</w:t>
      </w:r>
      <w:r w:rsidRPr="001202A2">
        <w:rPr>
          <w:rFonts w:eastAsia="TimesNewRoman"/>
          <w:szCs w:val="22"/>
          <w:lang w:val="sr-Latn-ME"/>
        </w:rPr>
        <w:t xml:space="preserve"> analizi podgrupe ispitanika sa PE, </w:t>
      </w:r>
      <w:r w:rsidR="00F25BEE" w:rsidRPr="001202A2">
        <w:rPr>
          <w:rFonts w:eastAsia="TimesNewRoman"/>
          <w:szCs w:val="22"/>
          <w:lang w:val="sr-Latn-ME"/>
        </w:rPr>
        <w:t>prisustvo PE i N-terminalnog prohormona natriuretič</w:t>
      </w:r>
      <w:r w:rsidR="00854B89" w:rsidRPr="001202A2">
        <w:rPr>
          <w:rFonts w:eastAsia="TimesNewRoman"/>
          <w:szCs w:val="22"/>
          <w:lang w:val="sr-Latn-ME"/>
        </w:rPr>
        <w:t>k</w:t>
      </w:r>
      <w:r w:rsidR="00F25BEE" w:rsidRPr="001202A2">
        <w:rPr>
          <w:rFonts w:eastAsia="TimesNewRoman"/>
          <w:szCs w:val="22"/>
          <w:lang w:val="sr-Latn-ME"/>
        </w:rPr>
        <w:t xml:space="preserve">og peptida tipa B (engl. </w:t>
      </w:r>
      <w:r w:rsidR="00F25BEE" w:rsidRPr="001202A2">
        <w:rPr>
          <w:rFonts w:eastAsia="TimesNewRoman"/>
          <w:i/>
          <w:iCs/>
          <w:szCs w:val="22"/>
          <w:lang w:val="sr-Latn-ME"/>
        </w:rPr>
        <w:t xml:space="preserve">N-terminal pro-B-type natriuretic peptide, </w:t>
      </w:r>
      <w:r w:rsidR="00F25BEE" w:rsidRPr="001202A2">
        <w:rPr>
          <w:rFonts w:eastAsia="TimesNewRoman"/>
          <w:szCs w:val="22"/>
          <w:lang w:val="sr-Latn-ME"/>
        </w:rPr>
        <w:t>NT-proBNP) ≥ 500 pg/</w:t>
      </w:r>
      <w:r w:rsidR="00D163F3" w:rsidRPr="001202A2">
        <w:rPr>
          <w:rFonts w:eastAsia="TimesNewRoman"/>
          <w:szCs w:val="22"/>
          <w:lang w:val="sr-Latn-ME"/>
        </w:rPr>
        <w:t>m</w:t>
      </w:r>
      <w:r w:rsidR="00456FFB" w:rsidRPr="001202A2">
        <w:rPr>
          <w:rFonts w:eastAsia="TimesNewRoman"/>
          <w:szCs w:val="22"/>
          <w:lang w:val="sr-Latn-ME"/>
        </w:rPr>
        <w:t>l</w:t>
      </w:r>
      <w:r w:rsidR="00D163F3" w:rsidRPr="001202A2">
        <w:rPr>
          <w:rFonts w:eastAsia="TimesNewRoman"/>
          <w:szCs w:val="22"/>
          <w:lang w:val="sr-Latn-ME"/>
        </w:rPr>
        <w:t xml:space="preserve"> </w:t>
      </w:r>
      <w:r w:rsidR="00F25BEE" w:rsidRPr="001202A2">
        <w:rPr>
          <w:rFonts w:eastAsia="TimesNewRoman"/>
          <w:szCs w:val="22"/>
          <w:lang w:val="sr-Latn-ME"/>
        </w:rPr>
        <w:t xml:space="preserve">je ustanovljeno kod 447 (30,6%) </w:t>
      </w:r>
      <w:r w:rsidRPr="001202A2">
        <w:rPr>
          <w:rFonts w:eastAsia="TimesNewRoman"/>
          <w:szCs w:val="22"/>
          <w:lang w:val="sr-Latn-ME"/>
        </w:rPr>
        <w:t xml:space="preserve">ispitanika </w:t>
      </w:r>
      <w:r w:rsidR="00F25BEE" w:rsidRPr="001202A2">
        <w:rPr>
          <w:rFonts w:eastAsia="TimesNewRoman"/>
          <w:szCs w:val="22"/>
          <w:lang w:val="sr-Latn-ME"/>
        </w:rPr>
        <w:t>na terapiji</w:t>
      </w:r>
      <w:r w:rsidRPr="001202A2">
        <w:rPr>
          <w:rFonts w:eastAsia="TimesNewRoman"/>
          <w:szCs w:val="22"/>
          <w:lang w:val="sr-Latn-ME"/>
        </w:rPr>
        <w:t xml:space="preserve"> edoksabanom </w:t>
      </w:r>
      <w:r w:rsidR="00F25BEE" w:rsidRPr="001202A2">
        <w:rPr>
          <w:rFonts w:eastAsia="TimesNewRoman"/>
          <w:szCs w:val="22"/>
          <w:lang w:val="sr-Latn-ME"/>
        </w:rPr>
        <w:t>i</w:t>
      </w:r>
      <w:r w:rsidRPr="001202A2">
        <w:rPr>
          <w:rFonts w:eastAsia="TimesNewRoman"/>
          <w:szCs w:val="22"/>
          <w:lang w:val="sr-Latn-ME"/>
        </w:rPr>
        <w:t xml:space="preserve"> 483 (32,2%) ispitanika l</w:t>
      </w:r>
      <w:r w:rsidR="00107D57" w:rsidRPr="001202A2">
        <w:rPr>
          <w:rFonts w:eastAsia="TimesNewRoman"/>
          <w:szCs w:val="22"/>
          <w:lang w:val="sr-Latn-ME"/>
        </w:rPr>
        <w:t>ij</w:t>
      </w:r>
      <w:r w:rsidRPr="001202A2">
        <w:rPr>
          <w:rFonts w:eastAsia="TimesNewRoman"/>
          <w:szCs w:val="22"/>
          <w:lang w:val="sr-Latn-ME"/>
        </w:rPr>
        <w:t>ečenih varfarinom. Primarn</w:t>
      </w:r>
      <w:r w:rsidR="00F25BEE" w:rsidRPr="001202A2">
        <w:rPr>
          <w:rFonts w:eastAsia="TimesNewRoman"/>
          <w:szCs w:val="22"/>
          <w:lang w:val="sr-Latn-ME"/>
        </w:rPr>
        <w:t xml:space="preserve">i parametar </w:t>
      </w:r>
      <w:r w:rsidRPr="001202A2">
        <w:rPr>
          <w:rFonts w:eastAsia="TimesNewRoman"/>
          <w:szCs w:val="22"/>
          <w:lang w:val="sr-Latn-ME"/>
        </w:rPr>
        <w:t xml:space="preserve">efikasnosti </w:t>
      </w:r>
      <w:r w:rsidR="00F25BEE" w:rsidRPr="001202A2">
        <w:rPr>
          <w:rFonts w:eastAsia="TimesNewRoman"/>
          <w:szCs w:val="22"/>
          <w:lang w:val="sr-Latn-ME"/>
        </w:rPr>
        <w:t>se javio</w:t>
      </w:r>
      <w:r w:rsidRPr="001202A2">
        <w:rPr>
          <w:rFonts w:eastAsia="TimesNewRoman"/>
          <w:szCs w:val="22"/>
          <w:lang w:val="sr-Latn-ME"/>
        </w:rPr>
        <w:t xml:space="preserve"> kod 14 (3,1%) ispitanika </w:t>
      </w:r>
      <w:r w:rsidR="00F25BEE" w:rsidRPr="001202A2">
        <w:rPr>
          <w:rFonts w:eastAsia="TimesNewRoman"/>
          <w:szCs w:val="22"/>
          <w:lang w:val="sr-Latn-ME"/>
        </w:rPr>
        <w:t>na terapiji</w:t>
      </w:r>
      <w:r w:rsidRPr="001202A2">
        <w:rPr>
          <w:rFonts w:eastAsia="TimesNewRoman"/>
          <w:szCs w:val="22"/>
          <w:lang w:val="sr-Latn-ME"/>
        </w:rPr>
        <w:t xml:space="preserve"> edoksabanom i 30 (6,2%) ispitanika l</w:t>
      </w:r>
      <w:r w:rsidR="00107D57" w:rsidRPr="001202A2">
        <w:rPr>
          <w:rFonts w:eastAsia="TimesNewRoman"/>
          <w:szCs w:val="22"/>
          <w:lang w:val="sr-Latn-ME"/>
        </w:rPr>
        <w:t>ij</w:t>
      </w:r>
      <w:r w:rsidRPr="001202A2">
        <w:rPr>
          <w:rFonts w:eastAsia="TimesNewRoman"/>
          <w:szCs w:val="22"/>
          <w:lang w:val="sr-Latn-ME"/>
        </w:rPr>
        <w:t>ečenih varfarinom [HR (95% CI): 0,50 (0,26; 0,94)].</w:t>
      </w:r>
    </w:p>
    <w:p w14:paraId="1C1918BA" w14:textId="77777777" w:rsidR="00326741" w:rsidRPr="001202A2" w:rsidRDefault="00326741" w:rsidP="00480B31">
      <w:pPr>
        <w:tabs>
          <w:tab w:val="clear" w:pos="284"/>
        </w:tabs>
        <w:autoSpaceDE w:val="0"/>
        <w:autoSpaceDN w:val="0"/>
        <w:adjustRightInd w:val="0"/>
        <w:rPr>
          <w:rFonts w:eastAsia="TimesNewRoman"/>
          <w:szCs w:val="22"/>
          <w:lang w:val="sr-Latn-ME"/>
        </w:rPr>
      </w:pPr>
    </w:p>
    <w:p w14:paraId="12EDC2C1" w14:textId="623CCF74" w:rsidR="00CF1CFF" w:rsidRPr="001202A2" w:rsidRDefault="00CF1CF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Rezultati efikasnosti u unapr</w:t>
      </w:r>
      <w:r w:rsidR="00107D57" w:rsidRPr="001202A2">
        <w:rPr>
          <w:rFonts w:eastAsia="TimesNewRoman"/>
          <w:szCs w:val="22"/>
          <w:lang w:val="sr-Latn-ME"/>
        </w:rPr>
        <w:t>ij</w:t>
      </w:r>
      <w:r w:rsidRPr="001202A2">
        <w:rPr>
          <w:rFonts w:eastAsia="TimesNewRoman"/>
          <w:szCs w:val="22"/>
          <w:lang w:val="sr-Latn-ME"/>
        </w:rPr>
        <w:t>ed određenim glavnim podgrupama (sa</w:t>
      </w:r>
      <w:r w:rsidR="00F25BEE" w:rsidRPr="001202A2">
        <w:rPr>
          <w:rFonts w:eastAsia="TimesNewRoman"/>
          <w:szCs w:val="22"/>
          <w:lang w:val="sr-Latn-ME"/>
        </w:rPr>
        <w:t xml:space="preserve"> smanjenjem</w:t>
      </w:r>
      <w:r w:rsidRPr="001202A2">
        <w:rPr>
          <w:rFonts w:eastAsia="TimesNewRoman"/>
          <w:szCs w:val="22"/>
          <w:lang w:val="sr-Latn-ME"/>
        </w:rPr>
        <w:t xml:space="preserve"> doz</w:t>
      </w:r>
      <w:r w:rsidR="00F25BEE" w:rsidRPr="001202A2">
        <w:rPr>
          <w:rFonts w:eastAsia="TimesNewRoman"/>
          <w:szCs w:val="22"/>
          <w:lang w:val="sr-Latn-ME"/>
        </w:rPr>
        <w:t xml:space="preserve">e </w:t>
      </w:r>
      <w:r w:rsidRPr="001202A2">
        <w:rPr>
          <w:rFonts w:eastAsia="TimesNewRoman"/>
          <w:szCs w:val="22"/>
          <w:lang w:val="sr-Latn-ME"/>
        </w:rPr>
        <w:t xml:space="preserve">po potrebi), uključujući </w:t>
      </w:r>
      <w:r w:rsidR="00F25BEE" w:rsidRPr="001202A2">
        <w:rPr>
          <w:rFonts w:eastAsia="TimesNewRoman"/>
          <w:szCs w:val="22"/>
          <w:lang w:val="sr-Latn-ME"/>
        </w:rPr>
        <w:t>starost</w:t>
      </w:r>
      <w:r w:rsidRPr="001202A2">
        <w:rPr>
          <w:rFonts w:eastAsia="TimesNewRoman"/>
          <w:szCs w:val="22"/>
          <w:lang w:val="sr-Latn-ME"/>
        </w:rPr>
        <w:t>, t</w:t>
      </w:r>
      <w:r w:rsidR="00107D57" w:rsidRPr="001202A2">
        <w:rPr>
          <w:rFonts w:eastAsia="TimesNewRoman"/>
          <w:szCs w:val="22"/>
          <w:lang w:val="sr-Latn-ME"/>
        </w:rPr>
        <w:t>j</w:t>
      </w:r>
      <w:r w:rsidRPr="001202A2">
        <w:rPr>
          <w:rFonts w:eastAsia="TimesNewRoman"/>
          <w:szCs w:val="22"/>
          <w:lang w:val="sr-Latn-ME"/>
        </w:rPr>
        <w:t xml:space="preserve">elesnu masu, pol i </w:t>
      </w:r>
      <w:r w:rsidR="00F25BEE" w:rsidRPr="001202A2">
        <w:rPr>
          <w:rFonts w:eastAsia="TimesNewRoman"/>
          <w:szCs w:val="22"/>
          <w:lang w:val="sr-Latn-ME"/>
        </w:rPr>
        <w:t>očuvanost funkcije</w:t>
      </w:r>
      <w:r w:rsidRPr="001202A2">
        <w:rPr>
          <w:rFonts w:eastAsia="TimesNewRoman"/>
          <w:szCs w:val="22"/>
          <w:lang w:val="sr-Latn-ME"/>
        </w:rPr>
        <w:t xml:space="preserve"> bubrega, bili su u skladu sa primarnim rezultatima efikasnosti u ukupnoj populaciji u </w:t>
      </w:r>
      <w:r w:rsidR="00F25BEE" w:rsidRPr="001202A2">
        <w:rPr>
          <w:rFonts w:eastAsia="TimesNewRoman"/>
          <w:szCs w:val="22"/>
          <w:lang w:val="sr-Latn-ME"/>
        </w:rPr>
        <w:t>ovoj studiji</w:t>
      </w:r>
      <w:r w:rsidRPr="001202A2">
        <w:rPr>
          <w:rFonts w:eastAsia="TimesNewRoman"/>
          <w:szCs w:val="22"/>
          <w:lang w:val="sr-Latn-ME"/>
        </w:rPr>
        <w:t>.</w:t>
      </w:r>
    </w:p>
    <w:p w14:paraId="51EF7A71" w14:textId="77777777" w:rsidR="00326741" w:rsidRPr="001202A2" w:rsidRDefault="00326741" w:rsidP="00480B31">
      <w:pPr>
        <w:tabs>
          <w:tab w:val="clear" w:pos="284"/>
        </w:tabs>
        <w:autoSpaceDE w:val="0"/>
        <w:autoSpaceDN w:val="0"/>
        <w:adjustRightInd w:val="0"/>
        <w:rPr>
          <w:rFonts w:eastAsia="TimesNewRoman"/>
          <w:szCs w:val="22"/>
          <w:lang w:val="sr-Latn-ME"/>
        </w:rPr>
      </w:pPr>
    </w:p>
    <w:p w14:paraId="491DB9DA" w14:textId="731A4A9E" w:rsidR="00CF1CFF" w:rsidRPr="001202A2" w:rsidRDefault="00CF1CFF"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Primarni parametar praćenja bezb</w:t>
      </w:r>
      <w:r w:rsidR="00107D57" w:rsidRPr="001202A2">
        <w:rPr>
          <w:rFonts w:eastAsia="TimesNewRoman"/>
          <w:szCs w:val="22"/>
          <w:lang w:val="sr-Latn-ME"/>
        </w:rPr>
        <w:t>j</w:t>
      </w:r>
      <w:r w:rsidRPr="001202A2">
        <w:rPr>
          <w:rFonts w:eastAsia="TimesNewRoman"/>
          <w:szCs w:val="22"/>
          <w:lang w:val="sr-Latn-ME"/>
        </w:rPr>
        <w:t>ednosti bilo je klinički značajno krvarenje (</w:t>
      </w:r>
      <w:r w:rsidR="005D4F91" w:rsidRPr="001202A2">
        <w:rPr>
          <w:rFonts w:eastAsia="TimesNewRoman"/>
          <w:szCs w:val="22"/>
          <w:lang w:val="sr-Latn-ME"/>
        </w:rPr>
        <w:t>ozbiljno</w:t>
      </w:r>
      <w:r w:rsidRPr="001202A2">
        <w:rPr>
          <w:rFonts w:eastAsia="TimesNewRoman"/>
          <w:szCs w:val="22"/>
          <w:lang w:val="sr-Latn-ME"/>
        </w:rPr>
        <w:t xml:space="preserve"> krvarenje ili klinički značajno</w:t>
      </w:r>
      <w:r w:rsidR="00EE1FA7" w:rsidRPr="001202A2">
        <w:rPr>
          <w:rFonts w:eastAsia="TimesNewRoman"/>
          <w:szCs w:val="22"/>
          <w:lang w:val="sr-Latn-ME"/>
        </w:rPr>
        <w:t xml:space="preserve"> krvarenje koje nije klasifikovano kao ozbiljno</w:t>
      </w:r>
      <w:r w:rsidRPr="001202A2">
        <w:rPr>
          <w:rFonts w:eastAsia="TimesNewRoman"/>
          <w:szCs w:val="22"/>
          <w:lang w:val="sr-Latn-ME"/>
        </w:rPr>
        <w:t>).</w:t>
      </w:r>
    </w:p>
    <w:p w14:paraId="52AD8FC0" w14:textId="77777777" w:rsidR="00326741" w:rsidRPr="001202A2" w:rsidRDefault="00326741" w:rsidP="00480B31">
      <w:pPr>
        <w:tabs>
          <w:tab w:val="clear" w:pos="284"/>
        </w:tabs>
        <w:autoSpaceDE w:val="0"/>
        <w:autoSpaceDN w:val="0"/>
        <w:adjustRightInd w:val="0"/>
        <w:rPr>
          <w:rFonts w:eastAsia="TimesNewRoman"/>
          <w:szCs w:val="22"/>
          <w:lang w:val="sr-Latn-ME"/>
        </w:rPr>
      </w:pPr>
    </w:p>
    <w:p w14:paraId="0793D8BD" w14:textId="66EFC792" w:rsidR="00CF1CFF" w:rsidRPr="001202A2" w:rsidRDefault="00EE1FA7"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tabeli 11 su sažeto prikazani</w:t>
      </w:r>
      <w:r w:rsidR="00CF1CFF" w:rsidRPr="001202A2">
        <w:rPr>
          <w:rFonts w:eastAsia="TimesNewRoman"/>
          <w:szCs w:val="22"/>
          <w:lang w:val="sr-Latn-ME"/>
        </w:rPr>
        <w:t xml:space="preserve"> </w:t>
      </w:r>
      <w:r w:rsidRPr="001202A2">
        <w:rPr>
          <w:rFonts w:eastAsia="TimesNewRoman"/>
          <w:szCs w:val="22"/>
          <w:lang w:val="sr-Latn-ME"/>
        </w:rPr>
        <w:t>proc</w:t>
      </w:r>
      <w:r w:rsidR="00107D57" w:rsidRPr="001202A2">
        <w:rPr>
          <w:rFonts w:eastAsia="TimesNewRoman"/>
          <w:szCs w:val="22"/>
          <w:lang w:val="sr-Latn-ME"/>
        </w:rPr>
        <w:t>ij</w:t>
      </w:r>
      <w:r w:rsidRPr="001202A2">
        <w:rPr>
          <w:rFonts w:eastAsia="TimesNewRoman"/>
          <w:szCs w:val="22"/>
          <w:lang w:val="sr-Latn-ME"/>
        </w:rPr>
        <w:t xml:space="preserve">enjeni </w:t>
      </w:r>
      <w:r w:rsidR="00CF1CFF" w:rsidRPr="001202A2">
        <w:rPr>
          <w:rFonts w:eastAsia="TimesNewRoman"/>
          <w:szCs w:val="22"/>
          <w:lang w:val="sr-Latn-ME"/>
        </w:rPr>
        <w:t>događaj</w:t>
      </w:r>
      <w:r w:rsidRPr="001202A2">
        <w:rPr>
          <w:rFonts w:eastAsia="TimesNewRoman"/>
          <w:szCs w:val="22"/>
          <w:lang w:val="sr-Latn-ME"/>
        </w:rPr>
        <w:t>i</w:t>
      </w:r>
      <w:r w:rsidR="00CF1CFF" w:rsidRPr="001202A2">
        <w:rPr>
          <w:rFonts w:eastAsia="TimesNewRoman"/>
          <w:szCs w:val="22"/>
          <w:lang w:val="sr-Latn-ME"/>
        </w:rPr>
        <w:t xml:space="preserve"> krvarenja </w:t>
      </w:r>
      <w:r w:rsidRPr="001202A2">
        <w:rPr>
          <w:rFonts w:eastAsia="TimesNewRoman"/>
          <w:szCs w:val="22"/>
          <w:lang w:val="sr-Latn-ME"/>
        </w:rPr>
        <w:t>za analizu</w:t>
      </w:r>
      <w:r w:rsidR="00CF1CFF" w:rsidRPr="001202A2">
        <w:rPr>
          <w:rFonts w:eastAsia="TimesNewRoman"/>
          <w:szCs w:val="22"/>
          <w:lang w:val="sr-Latn-ME"/>
        </w:rPr>
        <w:t xml:space="preserve"> bezb</w:t>
      </w:r>
      <w:r w:rsidR="00107D57" w:rsidRPr="001202A2">
        <w:rPr>
          <w:rFonts w:eastAsia="TimesNewRoman"/>
          <w:szCs w:val="22"/>
          <w:lang w:val="sr-Latn-ME"/>
        </w:rPr>
        <w:t>j</w:t>
      </w:r>
      <w:r w:rsidR="00CF1CFF" w:rsidRPr="001202A2">
        <w:rPr>
          <w:rFonts w:eastAsia="TimesNewRoman"/>
          <w:szCs w:val="22"/>
          <w:lang w:val="sr-Latn-ME"/>
        </w:rPr>
        <w:t>ednost</w:t>
      </w:r>
      <w:r w:rsidRPr="001202A2">
        <w:rPr>
          <w:rFonts w:eastAsia="TimesNewRoman"/>
          <w:szCs w:val="22"/>
          <w:lang w:val="sr-Latn-ME"/>
        </w:rPr>
        <w:t>i</w:t>
      </w:r>
      <w:r w:rsidR="00CF1CFF" w:rsidRPr="001202A2">
        <w:rPr>
          <w:rFonts w:eastAsia="TimesNewRoman"/>
          <w:szCs w:val="22"/>
          <w:lang w:val="sr-Latn-ME"/>
        </w:rPr>
        <w:t xml:space="preserve"> </w:t>
      </w:r>
      <w:r w:rsidRPr="001202A2">
        <w:rPr>
          <w:rFonts w:eastAsia="TimesNewRoman"/>
          <w:szCs w:val="22"/>
          <w:lang w:val="sr-Latn-ME"/>
        </w:rPr>
        <w:t xml:space="preserve">koja je obuhvatila </w:t>
      </w:r>
      <w:r w:rsidR="00CF1CFF" w:rsidRPr="001202A2">
        <w:rPr>
          <w:rFonts w:eastAsia="TimesNewRoman"/>
          <w:szCs w:val="22"/>
          <w:lang w:val="sr-Latn-ME"/>
        </w:rPr>
        <w:t xml:space="preserve">period </w:t>
      </w:r>
      <w:r w:rsidRPr="001202A2">
        <w:rPr>
          <w:rFonts w:eastAsia="TimesNewRoman"/>
          <w:szCs w:val="22"/>
          <w:lang w:val="sr-Latn-ME"/>
        </w:rPr>
        <w:t>primanja terapije</w:t>
      </w:r>
      <w:r w:rsidR="00CF1CFF" w:rsidRPr="001202A2">
        <w:rPr>
          <w:rFonts w:eastAsia="TimesNewRoman"/>
          <w:szCs w:val="22"/>
          <w:lang w:val="sr-Latn-ME"/>
        </w:rPr>
        <w:t xml:space="preserve">. </w:t>
      </w:r>
      <w:r w:rsidRPr="001202A2">
        <w:rPr>
          <w:rFonts w:eastAsia="TimesNewRoman"/>
          <w:szCs w:val="22"/>
          <w:lang w:val="sr-Latn-ME"/>
        </w:rPr>
        <w:t>Uočeno je</w:t>
      </w:r>
      <w:r w:rsidR="00CF1CFF" w:rsidRPr="001202A2">
        <w:rPr>
          <w:rFonts w:eastAsia="TimesNewRoman"/>
          <w:szCs w:val="22"/>
          <w:lang w:val="sr-Latn-ME"/>
        </w:rPr>
        <w:t xml:space="preserve"> značajno smanjenje rizika u grupi koja je primala edoksaban u poređenju sa </w:t>
      </w:r>
      <w:r w:rsidRPr="001202A2">
        <w:rPr>
          <w:rFonts w:eastAsia="TimesNewRoman"/>
          <w:szCs w:val="22"/>
          <w:lang w:val="sr-Latn-ME"/>
        </w:rPr>
        <w:t xml:space="preserve">grupom na </w:t>
      </w:r>
      <w:r w:rsidR="00CF1CFF" w:rsidRPr="001202A2">
        <w:rPr>
          <w:rFonts w:eastAsia="TimesNewRoman"/>
          <w:szCs w:val="22"/>
          <w:lang w:val="sr-Latn-ME"/>
        </w:rPr>
        <w:t>varfarin</w:t>
      </w:r>
      <w:r w:rsidRPr="001202A2">
        <w:rPr>
          <w:rFonts w:eastAsia="TimesNewRoman"/>
          <w:szCs w:val="22"/>
          <w:lang w:val="sr-Latn-ME"/>
        </w:rPr>
        <w:t>u</w:t>
      </w:r>
      <w:r w:rsidR="00CF1CFF" w:rsidRPr="001202A2">
        <w:rPr>
          <w:rFonts w:eastAsia="TimesNewRoman"/>
          <w:szCs w:val="22"/>
          <w:lang w:val="sr-Latn-ME"/>
        </w:rPr>
        <w:t xml:space="preserve"> </w:t>
      </w:r>
      <w:r w:rsidRPr="001202A2">
        <w:rPr>
          <w:rFonts w:eastAsia="TimesNewRoman"/>
          <w:szCs w:val="22"/>
          <w:lang w:val="sr-Latn-ME"/>
        </w:rPr>
        <w:t>za</w:t>
      </w:r>
      <w:r w:rsidR="00CF1CFF" w:rsidRPr="001202A2">
        <w:rPr>
          <w:rFonts w:eastAsia="TimesNewRoman"/>
          <w:szCs w:val="22"/>
          <w:lang w:val="sr-Latn-ME"/>
        </w:rPr>
        <w:t xml:space="preserve"> primarn</w:t>
      </w:r>
      <w:r w:rsidRPr="001202A2">
        <w:rPr>
          <w:rFonts w:eastAsia="TimesNewRoman"/>
          <w:szCs w:val="22"/>
          <w:lang w:val="sr-Latn-ME"/>
        </w:rPr>
        <w:t>i</w:t>
      </w:r>
      <w:r w:rsidR="00CF1CFF" w:rsidRPr="001202A2">
        <w:rPr>
          <w:rFonts w:eastAsia="TimesNewRoman"/>
          <w:szCs w:val="22"/>
          <w:lang w:val="sr-Latn-ME"/>
        </w:rPr>
        <w:t xml:space="preserve"> paramet</w:t>
      </w:r>
      <w:r w:rsidRPr="001202A2">
        <w:rPr>
          <w:rFonts w:eastAsia="TimesNewRoman"/>
          <w:szCs w:val="22"/>
          <w:lang w:val="sr-Latn-ME"/>
        </w:rPr>
        <w:t>a</w:t>
      </w:r>
      <w:r w:rsidR="00CF1CFF" w:rsidRPr="001202A2">
        <w:rPr>
          <w:rFonts w:eastAsia="TimesNewRoman"/>
          <w:szCs w:val="22"/>
          <w:lang w:val="sr-Latn-ME"/>
        </w:rPr>
        <w:t>r praćenja, klinički značajno krvarenj</w:t>
      </w:r>
      <w:r w:rsidRPr="001202A2">
        <w:rPr>
          <w:rFonts w:eastAsia="TimesNewRoman"/>
          <w:szCs w:val="22"/>
          <w:lang w:val="sr-Latn-ME"/>
        </w:rPr>
        <w:t>e</w:t>
      </w:r>
      <w:r w:rsidR="00CF1CFF" w:rsidRPr="001202A2">
        <w:rPr>
          <w:rFonts w:eastAsia="TimesNewRoman"/>
          <w:szCs w:val="22"/>
          <w:lang w:val="sr-Latn-ME"/>
        </w:rPr>
        <w:t xml:space="preserve">, koje </w:t>
      </w:r>
      <w:r w:rsidRPr="001202A2">
        <w:rPr>
          <w:rFonts w:eastAsia="TimesNewRoman"/>
          <w:szCs w:val="22"/>
          <w:lang w:val="sr-Latn-ME"/>
        </w:rPr>
        <w:t>predstavlja zbir</w:t>
      </w:r>
      <w:r w:rsidR="00CF1CFF" w:rsidRPr="001202A2">
        <w:rPr>
          <w:rFonts w:eastAsia="TimesNewRoman"/>
          <w:szCs w:val="22"/>
          <w:lang w:val="sr-Latn-ME"/>
        </w:rPr>
        <w:t xml:space="preserve"> </w:t>
      </w:r>
      <w:r w:rsidRPr="001202A2">
        <w:rPr>
          <w:rFonts w:eastAsia="TimesNewRoman"/>
          <w:szCs w:val="22"/>
          <w:lang w:val="sr-Latn-ME"/>
        </w:rPr>
        <w:t>ozbiljnog</w:t>
      </w:r>
      <w:r w:rsidR="00CF1CFF" w:rsidRPr="001202A2">
        <w:rPr>
          <w:rFonts w:eastAsia="TimesNewRoman"/>
          <w:szCs w:val="22"/>
          <w:lang w:val="sr-Latn-ME"/>
        </w:rPr>
        <w:t xml:space="preserve"> krvarenja i klinički značajnog</w:t>
      </w:r>
      <w:r w:rsidRPr="001202A2">
        <w:rPr>
          <w:rFonts w:eastAsia="TimesNewRoman"/>
          <w:szCs w:val="22"/>
          <w:lang w:val="sr-Latn-ME"/>
        </w:rPr>
        <w:t xml:space="preserve"> krvarenja koje nije klasifikovano kao ozbiljno</w:t>
      </w:r>
      <w:r w:rsidR="00CF1CFF" w:rsidRPr="001202A2">
        <w:rPr>
          <w:rFonts w:eastAsia="TimesNewRoman"/>
          <w:szCs w:val="22"/>
          <w:lang w:val="sr-Latn-ME"/>
        </w:rPr>
        <w:t xml:space="preserve"> (engl. </w:t>
      </w:r>
      <w:r w:rsidR="00CF1CFF" w:rsidRPr="001202A2">
        <w:rPr>
          <w:rFonts w:eastAsia="TimesNewRoman"/>
          <w:i/>
          <w:iCs/>
          <w:szCs w:val="22"/>
          <w:lang w:val="sr-Latn-ME"/>
        </w:rPr>
        <w:t xml:space="preserve">clinically relevant non-major, </w:t>
      </w:r>
      <w:r w:rsidR="00CF1CFF" w:rsidRPr="001202A2">
        <w:rPr>
          <w:rFonts w:eastAsia="TimesNewRoman"/>
          <w:szCs w:val="22"/>
          <w:lang w:val="sr-Latn-ME"/>
        </w:rPr>
        <w:t xml:space="preserve">CRNM) krvarenja, a koje se </w:t>
      </w:r>
      <w:r w:rsidRPr="001202A2">
        <w:rPr>
          <w:rFonts w:eastAsia="TimesNewRoman"/>
          <w:szCs w:val="22"/>
          <w:lang w:val="sr-Latn-ME"/>
        </w:rPr>
        <w:t>javilo</w:t>
      </w:r>
      <w:r w:rsidR="00CF1CFF" w:rsidRPr="001202A2">
        <w:rPr>
          <w:rFonts w:eastAsia="TimesNewRoman"/>
          <w:szCs w:val="22"/>
          <w:lang w:val="sr-Latn-ME"/>
        </w:rPr>
        <w:t xml:space="preserve"> kod 349 od 4118 ispitanika (8,5%) u grupi </w:t>
      </w:r>
      <w:r w:rsidRPr="001202A2">
        <w:rPr>
          <w:rFonts w:eastAsia="TimesNewRoman"/>
          <w:szCs w:val="22"/>
          <w:lang w:val="sr-Latn-ME"/>
        </w:rPr>
        <w:t>na terapiji</w:t>
      </w:r>
      <w:r w:rsidR="00CF1CFF" w:rsidRPr="001202A2">
        <w:rPr>
          <w:rFonts w:eastAsia="TimesNewRoman"/>
          <w:szCs w:val="22"/>
          <w:lang w:val="sr-Latn-ME"/>
        </w:rPr>
        <w:t xml:space="preserve"> edoksabanom i 423 od 4122 ispitanika (10,3%) u grupi l</w:t>
      </w:r>
      <w:r w:rsidR="00107D57" w:rsidRPr="001202A2">
        <w:rPr>
          <w:rFonts w:eastAsia="TimesNewRoman"/>
          <w:szCs w:val="22"/>
          <w:lang w:val="sr-Latn-ME"/>
        </w:rPr>
        <w:t>ij</w:t>
      </w:r>
      <w:r w:rsidR="00CF1CFF" w:rsidRPr="001202A2">
        <w:rPr>
          <w:rFonts w:eastAsia="TimesNewRoman"/>
          <w:szCs w:val="22"/>
          <w:lang w:val="sr-Latn-ME"/>
        </w:rPr>
        <w:t>ečenoj varfarinom [HR (95% CI): 0,81 (0,71; 0,94); p = 0,004 za superiornost].</w:t>
      </w:r>
    </w:p>
    <w:p w14:paraId="17C820A1"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315CD1AD" w14:textId="2E7C7523" w:rsidR="00CF1CFF" w:rsidRPr="001202A2" w:rsidRDefault="00CF1CFF" w:rsidP="00480B31">
      <w:pPr>
        <w:tabs>
          <w:tab w:val="clear" w:pos="284"/>
        </w:tabs>
        <w:autoSpaceDE w:val="0"/>
        <w:autoSpaceDN w:val="0"/>
        <w:adjustRightInd w:val="0"/>
        <w:rPr>
          <w:rFonts w:eastAsia="TimesNewRoman"/>
          <w:b/>
          <w:bCs/>
          <w:szCs w:val="22"/>
          <w:vertAlign w:val="superscript"/>
          <w:lang w:val="sr-Latn-ME"/>
        </w:rPr>
      </w:pPr>
      <w:r w:rsidRPr="001202A2">
        <w:rPr>
          <w:rFonts w:eastAsia="TimesNewRoman"/>
          <w:b/>
          <w:bCs/>
          <w:szCs w:val="22"/>
          <w:lang w:val="sr-Latn-ME"/>
        </w:rPr>
        <w:t>Tabela 11: Događaji krvarenja u Hokusai</w:t>
      </w:r>
      <w:r w:rsidRPr="001202A2">
        <w:rPr>
          <w:rFonts w:eastAsia="TimesNewRoman"/>
          <w:b/>
          <w:bCs/>
          <w:i/>
          <w:iCs/>
          <w:szCs w:val="22"/>
          <w:lang w:val="sr-Latn-ME"/>
        </w:rPr>
        <w:t>-</w:t>
      </w:r>
      <w:r w:rsidRPr="001202A2">
        <w:rPr>
          <w:rFonts w:eastAsia="TimesNewRoman"/>
          <w:b/>
          <w:bCs/>
          <w:szCs w:val="22"/>
          <w:lang w:val="sr-Latn-ME"/>
        </w:rPr>
        <w:t xml:space="preserve">VTE </w:t>
      </w:r>
      <w:r w:rsidR="00EE1FA7" w:rsidRPr="001202A2">
        <w:rPr>
          <w:rFonts w:eastAsia="TimesNewRoman"/>
          <w:b/>
          <w:bCs/>
          <w:szCs w:val="22"/>
          <w:lang w:val="sr-Latn-ME"/>
        </w:rPr>
        <w:t xml:space="preserve">studiji </w:t>
      </w:r>
      <w:r w:rsidRPr="001202A2">
        <w:rPr>
          <w:rFonts w:eastAsia="TimesNewRoman"/>
          <w:b/>
          <w:bCs/>
          <w:szCs w:val="22"/>
          <w:lang w:val="sr-Latn-ME"/>
        </w:rPr>
        <w:t>– analiza bezb</w:t>
      </w:r>
      <w:r w:rsidR="00107D57" w:rsidRPr="001202A2">
        <w:rPr>
          <w:rFonts w:eastAsia="TimesNewRoman"/>
          <w:b/>
          <w:bCs/>
          <w:szCs w:val="22"/>
          <w:lang w:val="sr-Latn-ME"/>
        </w:rPr>
        <w:t>j</w:t>
      </w:r>
      <w:r w:rsidRPr="001202A2">
        <w:rPr>
          <w:rFonts w:eastAsia="TimesNewRoman"/>
          <w:b/>
          <w:bCs/>
          <w:szCs w:val="22"/>
          <w:lang w:val="sr-Latn-ME"/>
        </w:rPr>
        <w:t>ednosti prim</w:t>
      </w:r>
      <w:r w:rsidR="00107D57" w:rsidRPr="001202A2">
        <w:rPr>
          <w:rFonts w:eastAsia="TimesNewRoman"/>
          <w:b/>
          <w:bCs/>
          <w:szCs w:val="22"/>
          <w:lang w:val="sr-Latn-ME"/>
        </w:rPr>
        <w:t>j</w:t>
      </w:r>
      <w:r w:rsidRPr="001202A2">
        <w:rPr>
          <w:rFonts w:eastAsia="TimesNewRoman"/>
          <w:b/>
          <w:bCs/>
          <w:szCs w:val="22"/>
          <w:lang w:val="sr-Latn-ME"/>
        </w:rPr>
        <w:t xml:space="preserve">ene </w:t>
      </w:r>
      <w:r w:rsidR="00EE1FA7" w:rsidRPr="001202A2">
        <w:rPr>
          <w:rFonts w:eastAsia="TimesNewRoman"/>
          <w:b/>
          <w:bCs/>
          <w:szCs w:val="22"/>
          <w:lang w:val="sr-Latn-ME"/>
        </w:rPr>
        <w:t>tokom perioda primanja terapije</w:t>
      </w:r>
      <w:r w:rsidR="00EE1FA7" w:rsidRPr="001202A2">
        <w:rPr>
          <w:rFonts w:eastAsia="TimesNewRoman"/>
          <w:b/>
          <w:bCs/>
          <w:szCs w:val="22"/>
          <w:vertAlign w:val="superscript"/>
          <w:lang w:val="sr-Latn-ME"/>
        </w:rPr>
        <w:t>a</w:t>
      </w:r>
    </w:p>
    <w:p w14:paraId="77A695BB" w14:textId="77777777" w:rsidR="00743938" w:rsidRPr="001202A2" w:rsidRDefault="00743938" w:rsidP="00480B31">
      <w:pPr>
        <w:tabs>
          <w:tab w:val="clear" w:pos="284"/>
        </w:tabs>
        <w:autoSpaceDE w:val="0"/>
        <w:autoSpaceDN w:val="0"/>
        <w:adjustRightInd w:val="0"/>
        <w:rPr>
          <w:rFonts w:eastAsia="TimesNewRoman"/>
          <w:b/>
          <w:bCs/>
          <w:szCs w:val="22"/>
          <w:vertAlign w:val="superscript"/>
          <w:lang w:val="sr-Latn-ME"/>
        </w:rPr>
      </w:pPr>
    </w:p>
    <w:tbl>
      <w:tblPr>
        <w:tblStyle w:val="TableGrid"/>
        <w:tblW w:w="0" w:type="auto"/>
        <w:tblLook w:val="04A0" w:firstRow="1" w:lastRow="0" w:firstColumn="1" w:lastColumn="0" w:noHBand="0" w:noVBand="1"/>
      </w:tblPr>
      <w:tblGrid>
        <w:gridCol w:w="3207"/>
        <w:gridCol w:w="3216"/>
        <w:gridCol w:w="3206"/>
      </w:tblGrid>
      <w:tr w:rsidR="00FD681D" w:rsidRPr="001202A2" w14:paraId="33F8B59C" w14:textId="77777777" w:rsidTr="001202A2">
        <w:tc>
          <w:tcPr>
            <w:tcW w:w="3285" w:type="dxa"/>
            <w:shd w:val="clear" w:color="auto" w:fill="BFBFBF" w:themeFill="background1" w:themeFillShade="BF"/>
            <w:vAlign w:val="center"/>
          </w:tcPr>
          <w:p w14:paraId="41E9BC40" w14:textId="77777777" w:rsidR="00FD681D" w:rsidRPr="001202A2" w:rsidRDefault="00FD681D" w:rsidP="00880F49">
            <w:pPr>
              <w:tabs>
                <w:tab w:val="clear" w:pos="284"/>
              </w:tabs>
              <w:autoSpaceDE w:val="0"/>
              <w:autoSpaceDN w:val="0"/>
              <w:adjustRightInd w:val="0"/>
              <w:rPr>
                <w:b/>
                <w:bCs/>
                <w:iCs/>
                <w:szCs w:val="22"/>
                <w:lang w:val="sr-Latn-ME"/>
              </w:rPr>
            </w:pPr>
          </w:p>
        </w:tc>
        <w:tc>
          <w:tcPr>
            <w:tcW w:w="3285" w:type="dxa"/>
            <w:shd w:val="clear" w:color="auto" w:fill="BFBFBF" w:themeFill="background1" w:themeFillShade="BF"/>
            <w:vAlign w:val="center"/>
          </w:tcPr>
          <w:p w14:paraId="2640E37A" w14:textId="77777777" w:rsidR="00FD681D" w:rsidRPr="001202A2" w:rsidRDefault="00FD681D" w:rsidP="00880F49">
            <w:pPr>
              <w:tabs>
                <w:tab w:val="clear" w:pos="284"/>
              </w:tabs>
              <w:autoSpaceDE w:val="0"/>
              <w:autoSpaceDN w:val="0"/>
              <w:adjustRightInd w:val="0"/>
              <w:jc w:val="center"/>
              <w:rPr>
                <w:b/>
                <w:bCs/>
                <w:iCs/>
                <w:szCs w:val="22"/>
                <w:lang w:val="sr-Latn-ME"/>
              </w:rPr>
            </w:pPr>
            <w:r w:rsidRPr="001202A2">
              <w:rPr>
                <w:b/>
                <w:bCs/>
                <w:iCs/>
                <w:szCs w:val="22"/>
                <w:lang w:val="sr-Latn-ME"/>
              </w:rPr>
              <w:t>Edoksaban 60 mg</w:t>
            </w:r>
          </w:p>
          <w:p w14:paraId="0EB34027" w14:textId="77777777" w:rsidR="00FD681D" w:rsidRPr="001202A2" w:rsidRDefault="00FD681D" w:rsidP="00880F49">
            <w:pPr>
              <w:tabs>
                <w:tab w:val="clear" w:pos="284"/>
              </w:tabs>
              <w:autoSpaceDE w:val="0"/>
              <w:autoSpaceDN w:val="0"/>
              <w:adjustRightInd w:val="0"/>
              <w:jc w:val="center"/>
              <w:rPr>
                <w:b/>
                <w:bCs/>
                <w:iCs/>
                <w:szCs w:val="22"/>
                <w:lang w:val="sr-Latn-ME"/>
              </w:rPr>
            </w:pPr>
            <w:r w:rsidRPr="001202A2">
              <w:rPr>
                <w:b/>
                <w:bCs/>
                <w:iCs/>
                <w:szCs w:val="22"/>
                <w:lang w:val="sr-Latn-ME"/>
              </w:rPr>
              <w:t>(30 mg redukovana doza)</w:t>
            </w:r>
          </w:p>
          <w:p w14:paraId="3EE7C21C" w14:textId="4FC4DC2A" w:rsidR="00FD681D" w:rsidRPr="001202A2" w:rsidRDefault="00FD681D" w:rsidP="00880F49">
            <w:pPr>
              <w:tabs>
                <w:tab w:val="clear" w:pos="284"/>
              </w:tabs>
              <w:autoSpaceDE w:val="0"/>
              <w:autoSpaceDN w:val="0"/>
              <w:adjustRightInd w:val="0"/>
              <w:jc w:val="center"/>
              <w:rPr>
                <w:b/>
                <w:bCs/>
                <w:iCs/>
                <w:szCs w:val="22"/>
                <w:lang w:val="sr-Latn-ME"/>
              </w:rPr>
            </w:pPr>
            <w:r w:rsidRPr="001202A2">
              <w:rPr>
                <w:b/>
                <w:bCs/>
                <w:iCs/>
                <w:szCs w:val="22"/>
                <w:lang w:val="sr-Latn-ME"/>
              </w:rPr>
              <w:t>(N=4118)</w:t>
            </w:r>
          </w:p>
        </w:tc>
        <w:tc>
          <w:tcPr>
            <w:tcW w:w="3285" w:type="dxa"/>
            <w:shd w:val="clear" w:color="auto" w:fill="BFBFBF" w:themeFill="background1" w:themeFillShade="BF"/>
            <w:vAlign w:val="center"/>
          </w:tcPr>
          <w:p w14:paraId="2B464DF9" w14:textId="77777777" w:rsidR="00FD681D" w:rsidRPr="001202A2" w:rsidRDefault="00FD681D" w:rsidP="00880F49">
            <w:pPr>
              <w:tabs>
                <w:tab w:val="clear" w:pos="284"/>
              </w:tabs>
              <w:autoSpaceDE w:val="0"/>
              <w:autoSpaceDN w:val="0"/>
              <w:adjustRightInd w:val="0"/>
              <w:jc w:val="center"/>
              <w:rPr>
                <w:b/>
                <w:bCs/>
                <w:iCs/>
                <w:szCs w:val="22"/>
                <w:lang w:val="sr-Latn-ME"/>
              </w:rPr>
            </w:pPr>
            <w:r w:rsidRPr="001202A2">
              <w:rPr>
                <w:b/>
                <w:bCs/>
                <w:iCs/>
                <w:szCs w:val="22"/>
                <w:lang w:val="sr-Latn-ME"/>
              </w:rPr>
              <w:t>Varfarin</w:t>
            </w:r>
          </w:p>
          <w:p w14:paraId="5C0E845C" w14:textId="342EC6A2" w:rsidR="00FD681D" w:rsidRPr="001202A2" w:rsidRDefault="00FD681D" w:rsidP="00880F49">
            <w:pPr>
              <w:tabs>
                <w:tab w:val="clear" w:pos="284"/>
              </w:tabs>
              <w:autoSpaceDE w:val="0"/>
              <w:autoSpaceDN w:val="0"/>
              <w:adjustRightInd w:val="0"/>
              <w:jc w:val="center"/>
              <w:rPr>
                <w:b/>
                <w:bCs/>
                <w:iCs/>
                <w:szCs w:val="22"/>
                <w:lang w:val="sr-Latn-ME"/>
              </w:rPr>
            </w:pPr>
            <w:r w:rsidRPr="001202A2">
              <w:rPr>
                <w:b/>
                <w:bCs/>
                <w:iCs/>
                <w:szCs w:val="22"/>
                <w:lang w:val="sr-Latn-ME"/>
              </w:rPr>
              <w:t>(N=4122)</w:t>
            </w:r>
          </w:p>
        </w:tc>
      </w:tr>
      <w:tr w:rsidR="00FD681D" w:rsidRPr="001202A2" w14:paraId="617879D7" w14:textId="77777777" w:rsidTr="001202A2">
        <w:tc>
          <w:tcPr>
            <w:tcW w:w="9855" w:type="dxa"/>
            <w:gridSpan w:val="3"/>
            <w:shd w:val="clear" w:color="auto" w:fill="BFBFBF" w:themeFill="background1" w:themeFillShade="BF"/>
            <w:vAlign w:val="center"/>
          </w:tcPr>
          <w:p w14:paraId="18286A08" w14:textId="4B7DFFBD" w:rsidR="00FD681D" w:rsidRPr="001202A2" w:rsidRDefault="00FD681D" w:rsidP="00880F49">
            <w:pPr>
              <w:tabs>
                <w:tab w:val="clear" w:pos="284"/>
              </w:tabs>
              <w:autoSpaceDE w:val="0"/>
              <w:autoSpaceDN w:val="0"/>
              <w:adjustRightInd w:val="0"/>
              <w:rPr>
                <w:iCs/>
                <w:szCs w:val="22"/>
                <w:lang w:val="sr-Latn-ME"/>
              </w:rPr>
            </w:pPr>
            <w:r w:rsidRPr="001202A2">
              <w:rPr>
                <w:b/>
                <w:bCs/>
                <w:iCs/>
                <w:szCs w:val="22"/>
                <w:lang w:val="sr-Latn-ME"/>
              </w:rPr>
              <w:t>Klinički značajno krvarenje</w:t>
            </w:r>
            <w:r w:rsidR="00F81FAE" w:rsidRPr="001202A2">
              <w:rPr>
                <w:iCs/>
                <w:szCs w:val="22"/>
                <w:lang w:val="sr-Latn-ME"/>
              </w:rPr>
              <w:t xml:space="preserve"> </w:t>
            </w:r>
            <w:r w:rsidRPr="001202A2">
              <w:rPr>
                <w:iCs/>
                <w:szCs w:val="22"/>
                <w:lang w:val="sr-Latn-ME"/>
              </w:rPr>
              <w:t>(</w:t>
            </w:r>
            <w:r w:rsidR="00F81FAE" w:rsidRPr="001202A2">
              <w:rPr>
                <w:iCs/>
                <w:szCs w:val="22"/>
                <w:lang w:val="sr-Latn-ME"/>
              </w:rPr>
              <w:t>o</w:t>
            </w:r>
            <w:r w:rsidRPr="001202A2">
              <w:rPr>
                <w:iCs/>
                <w:szCs w:val="22"/>
                <w:lang w:val="sr-Latn-ME"/>
              </w:rPr>
              <w:t>zbiljno i CRNM)</w:t>
            </w:r>
            <w:r w:rsidRPr="001202A2">
              <w:rPr>
                <w:iCs/>
                <w:szCs w:val="22"/>
                <w:vertAlign w:val="superscript"/>
                <w:lang w:val="sr-Latn-ME"/>
              </w:rPr>
              <w:t>b</w:t>
            </w:r>
            <w:r w:rsidRPr="001202A2">
              <w:rPr>
                <w:iCs/>
                <w:szCs w:val="22"/>
                <w:lang w:val="sr-Latn-ME"/>
              </w:rPr>
              <w:t>, n (%)</w:t>
            </w:r>
          </w:p>
        </w:tc>
      </w:tr>
      <w:tr w:rsidR="00FD681D" w:rsidRPr="001202A2" w14:paraId="1B44F9C2" w14:textId="77777777" w:rsidTr="001202A2">
        <w:tc>
          <w:tcPr>
            <w:tcW w:w="3285" w:type="dxa"/>
            <w:vAlign w:val="center"/>
          </w:tcPr>
          <w:p w14:paraId="65E70B23" w14:textId="2F715EC8"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n</w:t>
            </w:r>
          </w:p>
        </w:tc>
        <w:tc>
          <w:tcPr>
            <w:tcW w:w="3285" w:type="dxa"/>
            <w:vAlign w:val="center"/>
          </w:tcPr>
          <w:p w14:paraId="6BA33C57" w14:textId="3E452CEB" w:rsidR="00FD681D" w:rsidRPr="001202A2" w:rsidRDefault="00FD681D" w:rsidP="00880F49">
            <w:pPr>
              <w:tabs>
                <w:tab w:val="clear" w:pos="284"/>
              </w:tabs>
              <w:autoSpaceDE w:val="0"/>
              <w:autoSpaceDN w:val="0"/>
              <w:adjustRightInd w:val="0"/>
              <w:jc w:val="center"/>
              <w:rPr>
                <w:iCs/>
                <w:szCs w:val="22"/>
                <w:lang w:val="sr-Latn-ME"/>
              </w:rPr>
            </w:pPr>
            <w:r w:rsidRPr="001202A2">
              <w:rPr>
                <w:iCs/>
                <w:szCs w:val="22"/>
                <w:lang w:val="sr-Latn-ME"/>
              </w:rPr>
              <w:t>349 (8,5)</w:t>
            </w:r>
          </w:p>
        </w:tc>
        <w:tc>
          <w:tcPr>
            <w:tcW w:w="3285" w:type="dxa"/>
            <w:vAlign w:val="center"/>
          </w:tcPr>
          <w:p w14:paraId="704ED4C2" w14:textId="1EF562F5" w:rsidR="00FD681D" w:rsidRPr="001202A2" w:rsidRDefault="00FD681D" w:rsidP="00880F49">
            <w:pPr>
              <w:tabs>
                <w:tab w:val="clear" w:pos="284"/>
              </w:tabs>
              <w:autoSpaceDE w:val="0"/>
              <w:autoSpaceDN w:val="0"/>
              <w:adjustRightInd w:val="0"/>
              <w:jc w:val="center"/>
              <w:rPr>
                <w:iCs/>
                <w:szCs w:val="22"/>
                <w:lang w:val="sr-Latn-ME"/>
              </w:rPr>
            </w:pPr>
            <w:r w:rsidRPr="001202A2">
              <w:rPr>
                <w:iCs/>
                <w:szCs w:val="22"/>
                <w:lang w:val="sr-Latn-ME"/>
              </w:rPr>
              <w:t>423 (10,3)</w:t>
            </w:r>
          </w:p>
        </w:tc>
      </w:tr>
      <w:tr w:rsidR="00FD681D" w:rsidRPr="001202A2" w14:paraId="31636886" w14:textId="77777777" w:rsidTr="001202A2">
        <w:tc>
          <w:tcPr>
            <w:tcW w:w="3285" w:type="dxa"/>
            <w:vAlign w:val="center"/>
          </w:tcPr>
          <w:p w14:paraId="402E54E1" w14:textId="12339F2D"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HR (95% CI)</w:t>
            </w:r>
          </w:p>
        </w:tc>
        <w:tc>
          <w:tcPr>
            <w:tcW w:w="3285" w:type="dxa"/>
            <w:vAlign w:val="center"/>
          </w:tcPr>
          <w:p w14:paraId="4C7B0791" w14:textId="18AD7446" w:rsidR="00FD681D" w:rsidRPr="001202A2" w:rsidRDefault="00FD681D" w:rsidP="00880F49">
            <w:pPr>
              <w:tabs>
                <w:tab w:val="clear" w:pos="284"/>
              </w:tabs>
              <w:autoSpaceDE w:val="0"/>
              <w:autoSpaceDN w:val="0"/>
              <w:adjustRightInd w:val="0"/>
              <w:jc w:val="center"/>
              <w:rPr>
                <w:iCs/>
                <w:szCs w:val="22"/>
                <w:lang w:val="sr-Latn-ME"/>
              </w:rPr>
            </w:pPr>
            <w:r w:rsidRPr="001202A2">
              <w:rPr>
                <w:iCs/>
                <w:szCs w:val="22"/>
                <w:lang w:val="sr-Latn-ME"/>
              </w:rPr>
              <w:t>0,81 (0,71; 0,94)</w:t>
            </w:r>
          </w:p>
        </w:tc>
        <w:tc>
          <w:tcPr>
            <w:tcW w:w="3285" w:type="dxa"/>
            <w:vAlign w:val="center"/>
          </w:tcPr>
          <w:p w14:paraId="26DE18A0" w14:textId="77777777" w:rsidR="00FD681D" w:rsidRPr="001202A2" w:rsidRDefault="00FD681D" w:rsidP="00880F49">
            <w:pPr>
              <w:tabs>
                <w:tab w:val="clear" w:pos="284"/>
              </w:tabs>
              <w:autoSpaceDE w:val="0"/>
              <w:autoSpaceDN w:val="0"/>
              <w:adjustRightInd w:val="0"/>
              <w:rPr>
                <w:iCs/>
                <w:szCs w:val="22"/>
                <w:lang w:val="sr-Latn-ME"/>
              </w:rPr>
            </w:pPr>
          </w:p>
        </w:tc>
      </w:tr>
      <w:tr w:rsidR="00FD681D" w:rsidRPr="001202A2" w14:paraId="631C06D0" w14:textId="77777777" w:rsidTr="001202A2">
        <w:tc>
          <w:tcPr>
            <w:tcW w:w="3285" w:type="dxa"/>
            <w:vAlign w:val="center"/>
          </w:tcPr>
          <w:p w14:paraId="4DADB193" w14:textId="38617F02"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p-vr</w:t>
            </w:r>
            <w:r w:rsidR="00107D57" w:rsidRPr="001202A2">
              <w:rPr>
                <w:iCs/>
                <w:szCs w:val="22"/>
                <w:lang w:val="sr-Latn-ME"/>
              </w:rPr>
              <w:t>ij</w:t>
            </w:r>
            <w:r w:rsidRPr="001202A2">
              <w:rPr>
                <w:iCs/>
                <w:szCs w:val="22"/>
                <w:lang w:val="sr-Latn-ME"/>
              </w:rPr>
              <w:t>ednost</w:t>
            </w:r>
          </w:p>
        </w:tc>
        <w:tc>
          <w:tcPr>
            <w:tcW w:w="3285" w:type="dxa"/>
            <w:vAlign w:val="center"/>
          </w:tcPr>
          <w:p w14:paraId="1B822687" w14:textId="23AF648F" w:rsidR="00FD681D" w:rsidRPr="001202A2" w:rsidRDefault="00FD681D" w:rsidP="00880F49">
            <w:pPr>
              <w:tabs>
                <w:tab w:val="clear" w:pos="284"/>
              </w:tabs>
              <w:autoSpaceDE w:val="0"/>
              <w:autoSpaceDN w:val="0"/>
              <w:adjustRightInd w:val="0"/>
              <w:jc w:val="center"/>
              <w:rPr>
                <w:iCs/>
                <w:szCs w:val="22"/>
                <w:lang w:val="sr-Latn-ME"/>
              </w:rPr>
            </w:pPr>
            <w:r w:rsidRPr="001202A2">
              <w:rPr>
                <w:iCs/>
                <w:szCs w:val="22"/>
                <w:lang w:val="sr-Latn-ME"/>
              </w:rPr>
              <w:t>0,004 (za superiornost)</w:t>
            </w:r>
          </w:p>
        </w:tc>
        <w:tc>
          <w:tcPr>
            <w:tcW w:w="3285" w:type="dxa"/>
            <w:vAlign w:val="center"/>
          </w:tcPr>
          <w:p w14:paraId="6B0CBF83" w14:textId="77777777" w:rsidR="00FD681D" w:rsidRPr="001202A2" w:rsidRDefault="00FD681D" w:rsidP="00880F49">
            <w:pPr>
              <w:tabs>
                <w:tab w:val="clear" w:pos="284"/>
              </w:tabs>
              <w:autoSpaceDE w:val="0"/>
              <w:autoSpaceDN w:val="0"/>
              <w:adjustRightInd w:val="0"/>
              <w:rPr>
                <w:iCs/>
                <w:szCs w:val="22"/>
                <w:lang w:val="sr-Latn-ME"/>
              </w:rPr>
            </w:pPr>
          </w:p>
        </w:tc>
      </w:tr>
      <w:tr w:rsidR="00FD681D" w:rsidRPr="001202A2" w14:paraId="10913CCD" w14:textId="77777777" w:rsidTr="001202A2">
        <w:tc>
          <w:tcPr>
            <w:tcW w:w="9855" w:type="dxa"/>
            <w:gridSpan w:val="3"/>
            <w:shd w:val="clear" w:color="auto" w:fill="BFBFBF" w:themeFill="background1" w:themeFillShade="BF"/>
            <w:vAlign w:val="center"/>
          </w:tcPr>
          <w:p w14:paraId="566234D2" w14:textId="28CBB2BA" w:rsidR="00FD681D" w:rsidRPr="001202A2" w:rsidRDefault="00FD681D" w:rsidP="00880F49">
            <w:pPr>
              <w:tabs>
                <w:tab w:val="clear" w:pos="284"/>
              </w:tabs>
              <w:autoSpaceDE w:val="0"/>
              <w:autoSpaceDN w:val="0"/>
              <w:adjustRightInd w:val="0"/>
              <w:rPr>
                <w:iCs/>
                <w:szCs w:val="22"/>
                <w:lang w:val="sr-Latn-ME"/>
              </w:rPr>
            </w:pPr>
            <w:r w:rsidRPr="001202A2">
              <w:rPr>
                <w:b/>
                <w:bCs/>
                <w:iCs/>
                <w:szCs w:val="22"/>
                <w:lang w:val="sr-Latn-ME"/>
              </w:rPr>
              <w:t xml:space="preserve">Ozbiljno krvarenje </w:t>
            </w:r>
            <w:r w:rsidRPr="001202A2">
              <w:rPr>
                <w:iCs/>
                <w:szCs w:val="22"/>
                <w:lang w:val="sr-Latn-ME"/>
              </w:rPr>
              <w:t>n</w:t>
            </w:r>
          </w:p>
        </w:tc>
      </w:tr>
      <w:tr w:rsidR="00FD681D" w:rsidRPr="001202A2" w14:paraId="42B7D4BB" w14:textId="77777777" w:rsidTr="001202A2">
        <w:tc>
          <w:tcPr>
            <w:tcW w:w="3285" w:type="dxa"/>
            <w:vAlign w:val="center"/>
          </w:tcPr>
          <w:p w14:paraId="2ED64D28" w14:textId="446CE9BC"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n</w:t>
            </w:r>
          </w:p>
        </w:tc>
        <w:tc>
          <w:tcPr>
            <w:tcW w:w="3285" w:type="dxa"/>
            <w:vAlign w:val="center"/>
          </w:tcPr>
          <w:p w14:paraId="6E5AB259" w14:textId="7E3007CA" w:rsidR="00FD681D" w:rsidRPr="001202A2" w:rsidRDefault="00FD681D" w:rsidP="00880F49">
            <w:pPr>
              <w:tabs>
                <w:tab w:val="clear" w:pos="284"/>
              </w:tabs>
              <w:autoSpaceDE w:val="0"/>
              <w:autoSpaceDN w:val="0"/>
              <w:adjustRightInd w:val="0"/>
              <w:jc w:val="center"/>
              <w:rPr>
                <w:iCs/>
                <w:szCs w:val="22"/>
                <w:lang w:val="sr-Latn-ME"/>
              </w:rPr>
            </w:pPr>
            <w:r w:rsidRPr="001202A2">
              <w:rPr>
                <w:iCs/>
                <w:szCs w:val="22"/>
                <w:lang w:val="sr-Latn-ME"/>
              </w:rPr>
              <w:t>56 (1,4)</w:t>
            </w:r>
          </w:p>
        </w:tc>
        <w:tc>
          <w:tcPr>
            <w:tcW w:w="3285" w:type="dxa"/>
            <w:vAlign w:val="center"/>
          </w:tcPr>
          <w:p w14:paraId="2878F0BA" w14:textId="2CE1BDA1"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66 (1,6)</w:t>
            </w:r>
          </w:p>
        </w:tc>
      </w:tr>
      <w:tr w:rsidR="00FD681D" w:rsidRPr="001202A2" w14:paraId="2B9AEA94" w14:textId="77777777" w:rsidTr="001202A2">
        <w:tc>
          <w:tcPr>
            <w:tcW w:w="3285" w:type="dxa"/>
            <w:vAlign w:val="center"/>
          </w:tcPr>
          <w:p w14:paraId="2168D683" w14:textId="24FDF7E3"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HR (95% CI)</w:t>
            </w:r>
          </w:p>
        </w:tc>
        <w:tc>
          <w:tcPr>
            <w:tcW w:w="3285" w:type="dxa"/>
            <w:vAlign w:val="center"/>
          </w:tcPr>
          <w:p w14:paraId="4DFA2B7E" w14:textId="754FA00E"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0,84 (0,59; 1,21)</w:t>
            </w:r>
          </w:p>
        </w:tc>
        <w:tc>
          <w:tcPr>
            <w:tcW w:w="3285" w:type="dxa"/>
            <w:vAlign w:val="center"/>
          </w:tcPr>
          <w:p w14:paraId="11635AB1" w14:textId="77777777" w:rsidR="00FD681D" w:rsidRPr="001202A2" w:rsidRDefault="00FD681D" w:rsidP="00880F49">
            <w:pPr>
              <w:tabs>
                <w:tab w:val="clear" w:pos="284"/>
              </w:tabs>
              <w:autoSpaceDE w:val="0"/>
              <w:autoSpaceDN w:val="0"/>
              <w:adjustRightInd w:val="0"/>
              <w:rPr>
                <w:iCs/>
                <w:szCs w:val="22"/>
                <w:lang w:val="sr-Latn-ME"/>
              </w:rPr>
            </w:pPr>
          </w:p>
        </w:tc>
      </w:tr>
      <w:tr w:rsidR="00FD681D" w:rsidRPr="001202A2" w14:paraId="29014722" w14:textId="77777777" w:rsidTr="001202A2">
        <w:tc>
          <w:tcPr>
            <w:tcW w:w="3285" w:type="dxa"/>
            <w:vAlign w:val="center"/>
          </w:tcPr>
          <w:p w14:paraId="71260508" w14:textId="738BC2E9"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ICH sa smrtnim ishodom</w:t>
            </w:r>
          </w:p>
        </w:tc>
        <w:tc>
          <w:tcPr>
            <w:tcW w:w="3285" w:type="dxa"/>
            <w:vAlign w:val="center"/>
          </w:tcPr>
          <w:p w14:paraId="5A9BF8DE" w14:textId="33CD9140"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0</w:t>
            </w:r>
          </w:p>
        </w:tc>
        <w:tc>
          <w:tcPr>
            <w:tcW w:w="3285" w:type="dxa"/>
            <w:vAlign w:val="center"/>
          </w:tcPr>
          <w:p w14:paraId="2CA74B52" w14:textId="096425A9"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6 (0,1)</w:t>
            </w:r>
          </w:p>
        </w:tc>
      </w:tr>
      <w:tr w:rsidR="00FD681D" w:rsidRPr="001202A2" w14:paraId="652FDAB7" w14:textId="77777777" w:rsidTr="001202A2">
        <w:tc>
          <w:tcPr>
            <w:tcW w:w="3285" w:type="dxa"/>
            <w:vAlign w:val="center"/>
          </w:tcPr>
          <w:p w14:paraId="31129BA0" w14:textId="0DB7D7A7"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ICH bez smrtnog ishoda</w:t>
            </w:r>
          </w:p>
        </w:tc>
        <w:tc>
          <w:tcPr>
            <w:tcW w:w="3285" w:type="dxa"/>
            <w:vAlign w:val="center"/>
          </w:tcPr>
          <w:p w14:paraId="31E90C69" w14:textId="43F8A663"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5 (0,1)</w:t>
            </w:r>
          </w:p>
        </w:tc>
        <w:tc>
          <w:tcPr>
            <w:tcW w:w="3285" w:type="dxa"/>
            <w:vAlign w:val="center"/>
          </w:tcPr>
          <w:p w14:paraId="548DF654" w14:textId="51557C9E"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12 (0,3)</w:t>
            </w:r>
          </w:p>
        </w:tc>
      </w:tr>
      <w:tr w:rsidR="00FD681D" w:rsidRPr="001202A2" w14:paraId="3EF2F39E" w14:textId="77777777" w:rsidTr="001202A2">
        <w:tc>
          <w:tcPr>
            <w:tcW w:w="9855" w:type="dxa"/>
            <w:gridSpan w:val="3"/>
            <w:shd w:val="clear" w:color="auto" w:fill="BFBFBF" w:themeFill="background1" w:themeFillShade="BF"/>
            <w:vAlign w:val="center"/>
          </w:tcPr>
          <w:p w14:paraId="22840CFC" w14:textId="44179299" w:rsidR="00FD681D" w:rsidRPr="001202A2" w:rsidRDefault="00FD681D" w:rsidP="00880F49">
            <w:pPr>
              <w:tabs>
                <w:tab w:val="clear" w:pos="284"/>
              </w:tabs>
              <w:autoSpaceDE w:val="0"/>
              <w:autoSpaceDN w:val="0"/>
              <w:adjustRightInd w:val="0"/>
              <w:rPr>
                <w:b/>
                <w:bCs/>
                <w:iCs/>
                <w:szCs w:val="22"/>
                <w:lang w:val="sr-Latn-ME"/>
              </w:rPr>
            </w:pPr>
            <w:r w:rsidRPr="001202A2">
              <w:rPr>
                <w:b/>
                <w:bCs/>
                <w:iCs/>
                <w:szCs w:val="22"/>
                <w:lang w:val="sr-Latn-ME"/>
              </w:rPr>
              <w:t>CRNM krvarenje</w:t>
            </w:r>
          </w:p>
        </w:tc>
      </w:tr>
      <w:tr w:rsidR="00FD681D" w:rsidRPr="001202A2" w14:paraId="6E87F62F" w14:textId="77777777" w:rsidTr="001202A2">
        <w:tc>
          <w:tcPr>
            <w:tcW w:w="3285" w:type="dxa"/>
            <w:vAlign w:val="center"/>
          </w:tcPr>
          <w:p w14:paraId="0978C699" w14:textId="1A5B66C6"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n</w:t>
            </w:r>
          </w:p>
        </w:tc>
        <w:tc>
          <w:tcPr>
            <w:tcW w:w="3285" w:type="dxa"/>
            <w:vAlign w:val="center"/>
          </w:tcPr>
          <w:p w14:paraId="79679905" w14:textId="427AC0D9"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298 (7,2)</w:t>
            </w:r>
          </w:p>
        </w:tc>
        <w:tc>
          <w:tcPr>
            <w:tcW w:w="3285" w:type="dxa"/>
            <w:vAlign w:val="center"/>
          </w:tcPr>
          <w:p w14:paraId="166652EC" w14:textId="7868825B"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368 (8,9)</w:t>
            </w:r>
          </w:p>
        </w:tc>
      </w:tr>
      <w:tr w:rsidR="00FD681D" w:rsidRPr="001202A2" w14:paraId="46EF9046" w14:textId="77777777" w:rsidTr="001202A2">
        <w:tc>
          <w:tcPr>
            <w:tcW w:w="3285" w:type="dxa"/>
            <w:vAlign w:val="center"/>
          </w:tcPr>
          <w:p w14:paraId="70FC49BB" w14:textId="3F828635"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HR (95% CI)</w:t>
            </w:r>
          </w:p>
        </w:tc>
        <w:tc>
          <w:tcPr>
            <w:tcW w:w="3285" w:type="dxa"/>
            <w:vAlign w:val="center"/>
          </w:tcPr>
          <w:p w14:paraId="19A57110" w14:textId="2DB72C94"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0,80 (0,68; 0,93)</w:t>
            </w:r>
          </w:p>
        </w:tc>
        <w:tc>
          <w:tcPr>
            <w:tcW w:w="3285" w:type="dxa"/>
            <w:vAlign w:val="center"/>
          </w:tcPr>
          <w:p w14:paraId="7AEF3C77" w14:textId="77777777" w:rsidR="00FD681D" w:rsidRPr="001202A2" w:rsidRDefault="00FD681D" w:rsidP="00880F49">
            <w:pPr>
              <w:tabs>
                <w:tab w:val="clear" w:pos="284"/>
              </w:tabs>
              <w:autoSpaceDE w:val="0"/>
              <w:autoSpaceDN w:val="0"/>
              <w:adjustRightInd w:val="0"/>
              <w:jc w:val="center"/>
              <w:rPr>
                <w:iCs/>
                <w:szCs w:val="22"/>
                <w:lang w:val="sr-Latn-ME"/>
              </w:rPr>
            </w:pPr>
          </w:p>
        </w:tc>
      </w:tr>
      <w:tr w:rsidR="00FD681D" w:rsidRPr="001202A2" w14:paraId="5A087BF7" w14:textId="77777777" w:rsidTr="001202A2">
        <w:tc>
          <w:tcPr>
            <w:tcW w:w="9855" w:type="dxa"/>
            <w:gridSpan w:val="3"/>
            <w:shd w:val="clear" w:color="auto" w:fill="BFBFBF" w:themeFill="background1" w:themeFillShade="BF"/>
            <w:vAlign w:val="center"/>
          </w:tcPr>
          <w:p w14:paraId="1AC03045" w14:textId="06C5DB50" w:rsidR="00FD681D" w:rsidRPr="001202A2" w:rsidRDefault="00FD681D" w:rsidP="00880F49">
            <w:pPr>
              <w:tabs>
                <w:tab w:val="clear" w:pos="284"/>
              </w:tabs>
              <w:autoSpaceDE w:val="0"/>
              <w:autoSpaceDN w:val="0"/>
              <w:adjustRightInd w:val="0"/>
              <w:rPr>
                <w:b/>
                <w:bCs/>
                <w:iCs/>
                <w:szCs w:val="22"/>
                <w:lang w:val="sr-Latn-ME"/>
              </w:rPr>
            </w:pPr>
            <w:r w:rsidRPr="001202A2">
              <w:rPr>
                <w:b/>
                <w:bCs/>
                <w:iCs/>
                <w:szCs w:val="22"/>
                <w:lang w:val="sr-Latn-ME"/>
              </w:rPr>
              <w:t>Bilo kakvo krvarenje</w:t>
            </w:r>
          </w:p>
        </w:tc>
      </w:tr>
      <w:tr w:rsidR="00FD681D" w:rsidRPr="001202A2" w14:paraId="275E4331" w14:textId="77777777" w:rsidTr="001202A2">
        <w:tc>
          <w:tcPr>
            <w:tcW w:w="3285" w:type="dxa"/>
            <w:vAlign w:val="center"/>
          </w:tcPr>
          <w:p w14:paraId="128895B7" w14:textId="1BF4192C"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n</w:t>
            </w:r>
          </w:p>
        </w:tc>
        <w:tc>
          <w:tcPr>
            <w:tcW w:w="3285" w:type="dxa"/>
            <w:vAlign w:val="center"/>
          </w:tcPr>
          <w:p w14:paraId="1CE43EF0" w14:textId="44ACA7ED"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895 (21,7)</w:t>
            </w:r>
          </w:p>
        </w:tc>
        <w:tc>
          <w:tcPr>
            <w:tcW w:w="3285" w:type="dxa"/>
            <w:vAlign w:val="center"/>
          </w:tcPr>
          <w:p w14:paraId="7B4F2C2A" w14:textId="24AB01F3"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1056 (25,6)</w:t>
            </w:r>
          </w:p>
        </w:tc>
      </w:tr>
      <w:tr w:rsidR="00FD681D" w:rsidRPr="001202A2" w14:paraId="7995CC7A" w14:textId="77777777" w:rsidTr="001202A2">
        <w:tc>
          <w:tcPr>
            <w:tcW w:w="3285" w:type="dxa"/>
            <w:vAlign w:val="center"/>
          </w:tcPr>
          <w:p w14:paraId="6644730F" w14:textId="7AD6ACD4" w:rsidR="00FD681D" w:rsidRPr="001202A2" w:rsidRDefault="00FD681D" w:rsidP="00880F49">
            <w:pPr>
              <w:tabs>
                <w:tab w:val="clear" w:pos="284"/>
              </w:tabs>
              <w:autoSpaceDE w:val="0"/>
              <w:autoSpaceDN w:val="0"/>
              <w:adjustRightInd w:val="0"/>
              <w:rPr>
                <w:iCs/>
                <w:szCs w:val="22"/>
                <w:lang w:val="sr-Latn-ME"/>
              </w:rPr>
            </w:pPr>
            <w:r w:rsidRPr="001202A2">
              <w:rPr>
                <w:iCs/>
                <w:szCs w:val="22"/>
                <w:lang w:val="sr-Latn-ME"/>
              </w:rPr>
              <w:t>HR (95% CI)</w:t>
            </w:r>
          </w:p>
        </w:tc>
        <w:tc>
          <w:tcPr>
            <w:tcW w:w="3285" w:type="dxa"/>
            <w:vAlign w:val="center"/>
          </w:tcPr>
          <w:p w14:paraId="6AFEF27E" w14:textId="4F59C6AD" w:rsidR="00FD681D" w:rsidRPr="001202A2" w:rsidRDefault="00F91B9B" w:rsidP="00880F49">
            <w:pPr>
              <w:tabs>
                <w:tab w:val="clear" w:pos="284"/>
              </w:tabs>
              <w:autoSpaceDE w:val="0"/>
              <w:autoSpaceDN w:val="0"/>
              <w:adjustRightInd w:val="0"/>
              <w:jc w:val="center"/>
              <w:rPr>
                <w:iCs/>
                <w:szCs w:val="22"/>
                <w:lang w:val="sr-Latn-ME"/>
              </w:rPr>
            </w:pPr>
            <w:r w:rsidRPr="001202A2">
              <w:rPr>
                <w:iCs/>
                <w:szCs w:val="22"/>
                <w:lang w:val="sr-Latn-ME"/>
              </w:rPr>
              <w:t>0,82 (0,75; 0,90)</w:t>
            </w:r>
          </w:p>
        </w:tc>
        <w:tc>
          <w:tcPr>
            <w:tcW w:w="3285" w:type="dxa"/>
            <w:vAlign w:val="center"/>
          </w:tcPr>
          <w:p w14:paraId="51A9C921" w14:textId="77777777" w:rsidR="00FD681D" w:rsidRPr="001202A2" w:rsidRDefault="00FD681D" w:rsidP="00880F49">
            <w:pPr>
              <w:tabs>
                <w:tab w:val="clear" w:pos="284"/>
              </w:tabs>
              <w:autoSpaceDE w:val="0"/>
              <w:autoSpaceDN w:val="0"/>
              <w:adjustRightInd w:val="0"/>
              <w:rPr>
                <w:iCs/>
                <w:szCs w:val="22"/>
                <w:lang w:val="sr-Latn-ME"/>
              </w:rPr>
            </w:pPr>
          </w:p>
        </w:tc>
      </w:tr>
    </w:tbl>
    <w:p w14:paraId="5907B342" w14:textId="0F523B55" w:rsidR="00F91B9B" w:rsidRPr="001202A2" w:rsidRDefault="00F91B9B" w:rsidP="00880F49">
      <w:pPr>
        <w:tabs>
          <w:tab w:val="clear" w:pos="284"/>
        </w:tabs>
        <w:autoSpaceDE w:val="0"/>
        <w:autoSpaceDN w:val="0"/>
        <w:adjustRightInd w:val="0"/>
        <w:rPr>
          <w:rFonts w:eastAsia="TimesNewRoman"/>
          <w:szCs w:val="22"/>
          <w:lang w:val="sr-Latn-ME"/>
        </w:rPr>
      </w:pPr>
      <w:r w:rsidRPr="001202A2">
        <w:rPr>
          <w:rFonts w:eastAsia="TimesNewRoman"/>
          <w:szCs w:val="22"/>
          <w:lang w:val="sr-Latn-ME"/>
        </w:rPr>
        <w:lastRenderedPageBreak/>
        <w:t xml:space="preserve">Skraćenice: ICH = intrakranijalno krvarenje, HR = </w:t>
      </w:r>
      <w:r w:rsidRPr="001202A2">
        <w:rPr>
          <w:rFonts w:eastAsia="TimesNewRoman"/>
          <w:iCs/>
          <w:szCs w:val="22"/>
          <w:lang w:val="sr-Latn-ME"/>
        </w:rPr>
        <w:t>odnos rizika</w:t>
      </w:r>
      <w:r w:rsidRPr="001202A2">
        <w:rPr>
          <w:rFonts w:eastAsia="TimesNewRoman"/>
          <w:i/>
          <w:iCs/>
          <w:szCs w:val="22"/>
          <w:lang w:val="sr-Latn-ME"/>
        </w:rPr>
        <w:t xml:space="preserve"> </w:t>
      </w:r>
      <w:r w:rsidRPr="001202A2">
        <w:rPr>
          <w:rFonts w:eastAsia="TimesNewRoman"/>
          <w:szCs w:val="22"/>
          <w:lang w:val="sr-Latn-ME"/>
        </w:rPr>
        <w:t>u poređenju sa varfarinom; CI = interval pouzdanosti; N = broj ispitanika u populaciji za analizu bezb</w:t>
      </w:r>
      <w:r w:rsidR="00107D57" w:rsidRPr="001202A2">
        <w:rPr>
          <w:rFonts w:eastAsia="TimesNewRoman"/>
          <w:szCs w:val="22"/>
          <w:lang w:val="sr-Latn-ME"/>
        </w:rPr>
        <w:t>j</w:t>
      </w:r>
      <w:r w:rsidRPr="001202A2">
        <w:rPr>
          <w:rFonts w:eastAsia="TimesNewRoman"/>
          <w:szCs w:val="22"/>
          <w:lang w:val="sr-Latn-ME"/>
        </w:rPr>
        <w:t>ednosti; n = broj događaja; CRNM = klinički značajno krvarenje koje nije klasifikovano kao ozbiljno.</w:t>
      </w:r>
    </w:p>
    <w:p w14:paraId="1774C6EB" w14:textId="4E1D3DD7" w:rsidR="00F91B9B" w:rsidRPr="001202A2" w:rsidRDefault="00F91B9B"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a</w:t>
      </w:r>
      <w:r w:rsidRPr="001202A2">
        <w:rPr>
          <w:rFonts w:eastAsia="TimesNewRoman"/>
          <w:szCs w:val="22"/>
          <w:lang w:val="sr-Latn-ME"/>
        </w:rPr>
        <w:t xml:space="preserve"> Period primanja terapije: vr</w:t>
      </w:r>
      <w:r w:rsidR="00107D57" w:rsidRPr="001202A2">
        <w:rPr>
          <w:rFonts w:eastAsia="TimesNewRoman"/>
          <w:szCs w:val="22"/>
          <w:lang w:val="sr-Latn-ME"/>
        </w:rPr>
        <w:t>ij</w:t>
      </w:r>
      <w:r w:rsidRPr="001202A2">
        <w:rPr>
          <w:rFonts w:eastAsia="TimesNewRoman"/>
          <w:szCs w:val="22"/>
          <w:lang w:val="sr-Latn-ME"/>
        </w:rPr>
        <w:t>eme od prim</w:t>
      </w:r>
      <w:r w:rsidR="00107D57" w:rsidRPr="001202A2">
        <w:rPr>
          <w:rFonts w:eastAsia="TimesNewRoman"/>
          <w:szCs w:val="22"/>
          <w:lang w:val="sr-Latn-ME"/>
        </w:rPr>
        <w:t>j</w:t>
      </w:r>
      <w:r w:rsidRPr="001202A2">
        <w:rPr>
          <w:rFonts w:eastAsia="TimesNewRoman"/>
          <w:szCs w:val="22"/>
          <w:lang w:val="sr-Latn-ME"/>
        </w:rPr>
        <w:t>ene prve doze ispitivanog l</w:t>
      </w:r>
      <w:r w:rsidR="00107D57" w:rsidRPr="001202A2">
        <w:rPr>
          <w:rFonts w:eastAsia="TimesNewRoman"/>
          <w:szCs w:val="22"/>
          <w:lang w:val="sr-Latn-ME"/>
        </w:rPr>
        <w:t>ij</w:t>
      </w:r>
      <w:r w:rsidRPr="001202A2">
        <w:rPr>
          <w:rFonts w:eastAsia="TimesNewRoman"/>
          <w:szCs w:val="22"/>
          <w:lang w:val="sr-Latn-ME"/>
        </w:rPr>
        <w:t>eka do posl</w:t>
      </w:r>
      <w:r w:rsidR="00107D57" w:rsidRPr="001202A2">
        <w:rPr>
          <w:rFonts w:eastAsia="TimesNewRoman"/>
          <w:szCs w:val="22"/>
          <w:lang w:val="sr-Latn-ME"/>
        </w:rPr>
        <w:t>j</w:t>
      </w:r>
      <w:r w:rsidRPr="001202A2">
        <w:rPr>
          <w:rFonts w:eastAsia="TimesNewRoman"/>
          <w:szCs w:val="22"/>
          <w:lang w:val="sr-Latn-ME"/>
        </w:rPr>
        <w:t>ednje doze plus 3 dana.</w:t>
      </w:r>
    </w:p>
    <w:p w14:paraId="2D45D8C6" w14:textId="72F0353C" w:rsidR="00EE1FA7" w:rsidRPr="001202A2" w:rsidRDefault="00F91B9B"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b</w:t>
      </w:r>
      <w:r w:rsidRPr="001202A2">
        <w:rPr>
          <w:rFonts w:eastAsia="TimesNewRoman"/>
          <w:szCs w:val="22"/>
          <w:lang w:val="sr-Latn-ME"/>
        </w:rPr>
        <w:t xml:space="preserve"> Primarni parametar praćenja bezb</w:t>
      </w:r>
      <w:r w:rsidR="00107D57" w:rsidRPr="001202A2">
        <w:rPr>
          <w:rFonts w:eastAsia="TimesNewRoman"/>
          <w:szCs w:val="22"/>
          <w:lang w:val="sr-Latn-ME"/>
        </w:rPr>
        <w:t>j</w:t>
      </w:r>
      <w:r w:rsidRPr="001202A2">
        <w:rPr>
          <w:rFonts w:eastAsia="TimesNewRoman"/>
          <w:szCs w:val="22"/>
          <w:lang w:val="sr-Latn-ME"/>
        </w:rPr>
        <w:t>ednosti: klinički značajno krvarenje (zbir ozbiljnog i klinički značajnog</w:t>
      </w:r>
      <w:r w:rsidR="00107D57" w:rsidRPr="001202A2">
        <w:rPr>
          <w:rFonts w:eastAsia="TimesNewRoman"/>
          <w:szCs w:val="22"/>
          <w:lang w:val="sr-Latn-ME"/>
        </w:rPr>
        <w:t xml:space="preserve"> </w:t>
      </w:r>
      <w:r w:rsidRPr="001202A2">
        <w:rPr>
          <w:rFonts w:eastAsia="TimesNewRoman"/>
          <w:szCs w:val="22"/>
          <w:lang w:val="sr-Latn-ME"/>
        </w:rPr>
        <w:t>krvarenja koje nije klasifikovano kao ozbiljno).</w:t>
      </w:r>
    </w:p>
    <w:p w14:paraId="04373FC1" w14:textId="77777777" w:rsidR="00586C81" w:rsidRPr="001202A2" w:rsidRDefault="00586C81" w:rsidP="00880F49">
      <w:pPr>
        <w:tabs>
          <w:tab w:val="clear" w:pos="284"/>
        </w:tabs>
        <w:autoSpaceDE w:val="0"/>
        <w:autoSpaceDN w:val="0"/>
        <w:adjustRightInd w:val="0"/>
        <w:rPr>
          <w:rFonts w:eastAsia="TimesNewRoman"/>
          <w:szCs w:val="22"/>
          <w:lang w:val="sr-Latn-ME"/>
        </w:rPr>
      </w:pPr>
    </w:p>
    <w:p w14:paraId="5FB709F6" w14:textId="31BAB44E" w:rsidR="002A2881" w:rsidRPr="001202A2" w:rsidRDefault="002A288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analizi podgrupa, </w:t>
      </w:r>
      <w:r w:rsidR="00591432" w:rsidRPr="001202A2">
        <w:rPr>
          <w:rFonts w:eastAsia="TimesNewRoman"/>
          <w:szCs w:val="22"/>
          <w:lang w:val="sr-Latn-ME"/>
        </w:rPr>
        <w:t>među ispitanicima kojima je</w:t>
      </w:r>
      <w:r w:rsidRPr="001202A2">
        <w:rPr>
          <w:rFonts w:eastAsia="TimesNewRoman"/>
          <w:szCs w:val="22"/>
          <w:lang w:val="sr-Latn-ME"/>
        </w:rPr>
        <w:t xml:space="preserve"> u </w:t>
      </w:r>
      <w:r w:rsidRPr="001202A2">
        <w:rPr>
          <w:rFonts w:eastAsia="TimesNewRoman"/>
          <w:iCs/>
          <w:szCs w:val="22"/>
          <w:lang w:val="sr-Latn-ME"/>
        </w:rPr>
        <w:t>Hokusai</w:t>
      </w:r>
      <w:r w:rsidRPr="001202A2">
        <w:rPr>
          <w:rFonts w:eastAsia="TimesNewRoman"/>
          <w:szCs w:val="22"/>
          <w:lang w:val="sr-Latn-ME"/>
        </w:rPr>
        <w:t xml:space="preserve">-VTE </w:t>
      </w:r>
      <w:r w:rsidR="004D481D" w:rsidRPr="001202A2">
        <w:rPr>
          <w:rFonts w:eastAsia="TimesNewRoman"/>
          <w:szCs w:val="22"/>
          <w:lang w:val="sr-Latn-ME"/>
        </w:rPr>
        <w:t xml:space="preserve">studiji </w:t>
      </w:r>
      <w:r w:rsidRPr="001202A2">
        <w:rPr>
          <w:rFonts w:eastAsia="TimesNewRoman"/>
          <w:szCs w:val="22"/>
          <w:lang w:val="sr-Latn-ME"/>
        </w:rPr>
        <w:t>doza</w:t>
      </w:r>
      <w:r w:rsidR="00900980" w:rsidRPr="001202A2">
        <w:rPr>
          <w:rFonts w:eastAsia="TimesNewRoman"/>
          <w:szCs w:val="22"/>
          <w:lang w:val="sr-Latn-ME"/>
        </w:rPr>
        <w:t xml:space="preserve"> edoksabana</w:t>
      </w:r>
      <w:r w:rsidRPr="001202A2">
        <w:rPr>
          <w:rFonts w:eastAsia="TimesNewRoman"/>
          <w:szCs w:val="22"/>
          <w:lang w:val="sr-Latn-ME"/>
        </w:rPr>
        <w:t xml:space="preserve"> smanjena na 30 mg zbog t</w:t>
      </w:r>
      <w:r w:rsidR="00107D57" w:rsidRPr="001202A2">
        <w:rPr>
          <w:rFonts w:eastAsia="TimesNewRoman"/>
          <w:szCs w:val="22"/>
          <w:lang w:val="sr-Latn-ME"/>
        </w:rPr>
        <w:t>j</w:t>
      </w:r>
      <w:r w:rsidRPr="001202A2">
        <w:rPr>
          <w:rFonts w:eastAsia="TimesNewRoman"/>
          <w:szCs w:val="22"/>
          <w:lang w:val="sr-Latn-ME"/>
        </w:rPr>
        <w:t>elesne mase ≤ 60 kg, um</w:t>
      </w:r>
      <w:r w:rsidR="00107D57" w:rsidRPr="001202A2">
        <w:rPr>
          <w:rFonts w:eastAsia="TimesNewRoman"/>
          <w:szCs w:val="22"/>
          <w:lang w:val="sr-Latn-ME"/>
        </w:rPr>
        <w:t>j</w:t>
      </w:r>
      <w:r w:rsidRPr="001202A2">
        <w:rPr>
          <w:rFonts w:eastAsia="TimesNewRoman"/>
          <w:szCs w:val="22"/>
          <w:lang w:val="sr-Latn-ME"/>
        </w:rPr>
        <w:t>erenog oštećenja funkcije bubrega ili istovremene prim</w:t>
      </w:r>
      <w:r w:rsidR="00107D57" w:rsidRPr="001202A2">
        <w:rPr>
          <w:rFonts w:eastAsia="TimesNewRoman"/>
          <w:szCs w:val="22"/>
          <w:lang w:val="sr-Latn-ME"/>
        </w:rPr>
        <w:t>j</w:t>
      </w:r>
      <w:r w:rsidRPr="001202A2">
        <w:rPr>
          <w:rFonts w:eastAsia="TimesNewRoman"/>
          <w:szCs w:val="22"/>
          <w:lang w:val="sr-Latn-ME"/>
        </w:rPr>
        <w:t xml:space="preserve">ene inhibitora P-gp, 58 (7,9%) ispitanika </w:t>
      </w:r>
      <w:r w:rsidR="00900980" w:rsidRPr="001202A2">
        <w:rPr>
          <w:rFonts w:eastAsia="TimesNewRoman"/>
          <w:szCs w:val="22"/>
          <w:lang w:val="sr-Latn-ME"/>
        </w:rPr>
        <w:t>na terapiji</w:t>
      </w:r>
      <w:r w:rsidRPr="001202A2">
        <w:rPr>
          <w:rFonts w:eastAsia="TimesNewRoman"/>
          <w:szCs w:val="22"/>
          <w:lang w:val="sr-Latn-ME"/>
        </w:rPr>
        <w:t xml:space="preserve"> </w:t>
      </w:r>
      <w:r w:rsidR="00900980" w:rsidRPr="001202A2">
        <w:rPr>
          <w:rFonts w:eastAsia="TimesNewRoman"/>
          <w:szCs w:val="22"/>
          <w:lang w:val="sr-Latn-ME"/>
        </w:rPr>
        <w:t>redukovanom dozom edoksabana od</w:t>
      </w:r>
      <w:r w:rsidRPr="001202A2">
        <w:rPr>
          <w:rFonts w:eastAsia="TimesNewRoman"/>
          <w:szCs w:val="22"/>
          <w:lang w:val="sr-Latn-ME"/>
        </w:rPr>
        <w:t xml:space="preserve"> 30 mg i 92 (12,8%) ispitanika l</w:t>
      </w:r>
      <w:r w:rsidR="00107D57" w:rsidRPr="001202A2">
        <w:rPr>
          <w:rFonts w:eastAsia="TimesNewRoman"/>
          <w:szCs w:val="22"/>
          <w:lang w:val="sr-Latn-ME"/>
        </w:rPr>
        <w:t>ij</w:t>
      </w:r>
      <w:r w:rsidRPr="001202A2">
        <w:rPr>
          <w:rFonts w:eastAsia="TimesNewRoman"/>
          <w:szCs w:val="22"/>
          <w:lang w:val="sr-Latn-ME"/>
        </w:rPr>
        <w:t xml:space="preserve">ečenih varfarinom imalo je događaj </w:t>
      </w:r>
      <w:r w:rsidR="00900980" w:rsidRPr="001202A2">
        <w:rPr>
          <w:rFonts w:eastAsia="TimesNewRoman"/>
          <w:szCs w:val="22"/>
          <w:lang w:val="sr-Latn-ME"/>
        </w:rPr>
        <w:t>ozbiljnog</w:t>
      </w:r>
      <w:r w:rsidRPr="001202A2">
        <w:rPr>
          <w:rFonts w:eastAsia="TimesNewRoman"/>
          <w:szCs w:val="22"/>
          <w:lang w:val="sr-Latn-ME"/>
        </w:rPr>
        <w:t xml:space="preserve"> krvarenja ili CRNM krvarenja [HR (95%): 0,62 (0,44; 0,86)].</w:t>
      </w:r>
    </w:p>
    <w:p w14:paraId="62A3F4C4" w14:textId="77777777" w:rsidR="00326741" w:rsidRPr="001202A2" w:rsidRDefault="00326741" w:rsidP="00480B31">
      <w:pPr>
        <w:tabs>
          <w:tab w:val="clear" w:pos="284"/>
        </w:tabs>
        <w:autoSpaceDE w:val="0"/>
        <w:autoSpaceDN w:val="0"/>
        <w:adjustRightInd w:val="0"/>
        <w:rPr>
          <w:rFonts w:eastAsia="TimesNewRoman"/>
          <w:szCs w:val="22"/>
          <w:lang w:val="sr-Latn-ME"/>
        </w:rPr>
      </w:pPr>
    </w:p>
    <w:p w14:paraId="0162A0D0" w14:textId="6CAE6C0A" w:rsidR="002A2881" w:rsidRPr="001202A2" w:rsidRDefault="002A288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w:t>
      </w:r>
      <w:r w:rsidRPr="001202A2">
        <w:rPr>
          <w:rFonts w:eastAsia="TimesNewRoman"/>
          <w:iCs/>
          <w:szCs w:val="22"/>
          <w:lang w:val="sr-Latn-ME"/>
        </w:rPr>
        <w:t>Hokusai</w:t>
      </w:r>
      <w:r w:rsidRPr="001202A2">
        <w:rPr>
          <w:rFonts w:eastAsia="TimesNewRoman"/>
          <w:i/>
          <w:iCs/>
          <w:szCs w:val="22"/>
          <w:lang w:val="sr-Latn-ME"/>
        </w:rPr>
        <w:t>-</w:t>
      </w:r>
      <w:r w:rsidRPr="001202A2">
        <w:rPr>
          <w:rFonts w:eastAsia="TimesNewRoman"/>
          <w:iCs/>
          <w:szCs w:val="22"/>
          <w:lang w:val="sr-Latn-ME"/>
        </w:rPr>
        <w:t>VTE</w:t>
      </w:r>
      <w:r w:rsidR="00900980" w:rsidRPr="001202A2">
        <w:rPr>
          <w:rFonts w:eastAsia="TimesNewRoman"/>
          <w:szCs w:val="22"/>
          <w:lang w:val="sr-Latn-ME"/>
        </w:rPr>
        <w:t xml:space="preserve"> studiji, ukupan </w:t>
      </w:r>
      <w:r w:rsidRPr="001202A2">
        <w:rPr>
          <w:rFonts w:eastAsia="TimesNewRoman"/>
          <w:szCs w:val="22"/>
          <w:lang w:val="sr-Latn-ME"/>
        </w:rPr>
        <w:t>klinički ishod (</w:t>
      </w:r>
      <w:r w:rsidR="00900980" w:rsidRPr="001202A2">
        <w:rPr>
          <w:rFonts w:eastAsia="TimesNewRoman"/>
          <w:szCs w:val="22"/>
          <w:lang w:val="sr-Latn-ME"/>
        </w:rPr>
        <w:t>rekurentni</w:t>
      </w:r>
      <w:r w:rsidRPr="001202A2">
        <w:rPr>
          <w:rFonts w:eastAsia="TimesNewRoman"/>
          <w:szCs w:val="22"/>
          <w:lang w:val="sr-Latn-ME"/>
        </w:rPr>
        <w:t xml:space="preserve"> VTE, </w:t>
      </w:r>
      <w:r w:rsidR="00900980" w:rsidRPr="001202A2">
        <w:rPr>
          <w:rFonts w:eastAsia="TimesNewRoman"/>
          <w:szCs w:val="22"/>
          <w:lang w:val="sr-Latn-ME"/>
        </w:rPr>
        <w:t>ozbiljno</w:t>
      </w:r>
      <w:r w:rsidRPr="001202A2">
        <w:rPr>
          <w:rFonts w:eastAsia="TimesNewRoman"/>
          <w:szCs w:val="22"/>
          <w:lang w:val="sr-Latn-ME"/>
        </w:rPr>
        <w:t xml:space="preserve"> krvarenje ili mortalitet bilo kog uzroka; izm</w:t>
      </w:r>
      <w:r w:rsidR="00107D57" w:rsidRPr="001202A2">
        <w:rPr>
          <w:rFonts w:eastAsia="TimesNewRoman"/>
          <w:szCs w:val="22"/>
          <w:lang w:val="sr-Latn-ME"/>
        </w:rPr>
        <w:t>ij</w:t>
      </w:r>
      <w:r w:rsidRPr="001202A2">
        <w:rPr>
          <w:rFonts w:eastAsia="TimesNewRoman"/>
          <w:szCs w:val="22"/>
          <w:lang w:val="sr-Latn-ME"/>
        </w:rPr>
        <w:t>enjena populacija predviđena za l</w:t>
      </w:r>
      <w:r w:rsidR="00107D57" w:rsidRPr="001202A2">
        <w:rPr>
          <w:rFonts w:eastAsia="TimesNewRoman"/>
          <w:szCs w:val="22"/>
          <w:lang w:val="sr-Latn-ME"/>
        </w:rPr>
        <w:t>ij</w:t>
      </w:r>
      <w:r w:rsidRPr="001202A2">
        <w:rPr>
          <w:rFonts w:eastAsia="TimesNewRoman"/>
          <w:szCs w:val="22"/>
          <w:lang w:val="sr-Latn-ME"/>
        </w:rPr>
        <w:t xml:space="preserve">ečenje [mITT], </w:t>
      </w:r>
      <w:r w:rsidR="00900980" w:rsidRPr="001202A2">
        <w:rPr>
          <w:rFonts w:eastAsia="TimesNewRoman"/>
          <w:szCs w:val="22"/>
          <w:lang w:val="sr-Latn-ME"/>
        </w:rPr>
        <w:t>ukupni</w:t>
      </w:r>
      <w:r w:rsidRPr="001202A2">
        <w:rPr>
          <w:rFonts w:eastAsia="TimesNewRoman"/>
          <w:szCs w:val="22"/>
          <w:lang w:val="sr-Latn-ME"/>
        </w:rPr>
        <w:t xml:space="preserve"> period ispitivanja) HR (95% CI) </w:t>
      </w:r>
      <w:r w:rsidR="00900980" w:rsidRPr="001202A2">
        <w:rPr>
          <w:rFonts w:eastAsia="TimesNewRoman"/>
          <w:szCs w:val="22"/>
          <w:lang w:val="sr-Latn-ME"/>
        </w:rPr>
        <w:t>iznosio</w:t>
      </w:r>
      <w:r w:rsidRPr="001202A2">
        <w:rPr>
          <w:rFonts w:eastAsia="TimesNewRoman"/>
          <w:szCs w:val="22"/>
          <w:lang w:val="sr-Latn-ME"/>
        </w:rPr>
        <w:t xml:space="preserve"> je 1,00 (0,85; 1,18)</w:t>
      </w:r>
      <w:r w:rsidR="00900980" w:rsidRPr="001202A2">
        <w:rPr>
          <w:rFonts w:eastAsia="TimesNewRoman"/>
          <w:szCs w:val="22"/>
          <w:lang w:val="sr-Latn-ME"/>
        </w:rPr>
        <w:t>,</w:t>
      </w:r>
      <w:r w:rsidRPr="001202A2">
        <w:rPr>
          <w:rFonts w:eastAsia="TimesNewRoman"/>
          <w:szCs w:val="22"/>
          <w:lang w:val="sr-Latn-ME"/>
        </w:rPr>
        <w:t xml:space="preserve"> kada se edoksaban poredio sa varfarinom.</w:t>
      </w:r>
    </w:p>
    <w:p w14:paraId="623B16FF" w14:textId="77777777" w:rsidR="00326741" w:rsidRPr="001202A2" w:rsidRDefault="00326741" w:rsidP="00480B31">
      <w:pPr>
        <w:tabs>
          <w:tab w:val="clear" w:pos="284"/>
        </w:tabs>
        <w:autoSpaceDE w:val="0"/>
        <w:autoSpaceDN w:val="0"/>
        <w:adjustRightInd w:val="0"/>
        <w:rPr>
          <w:rFonts w:eastAsia="TimesNewRoman"/>
          <w:i/>
          <w:iCs/>
          <w:szCs w:val="22"/>
          <w:lang w:val="sr-Latn-ME"/>
        </w:rPr>
      </w:pPr>
    </w:p>
    <w:p w14:paraId="441DCF01" w14:textId="5447D173" w:rsidR="002A2881" w:rsidRPr="001202A2" w:rsidRDefault="002A2881"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 xml:space="preserve">Prevencija moždanog udara i sistemske embolije kod pacijenata sa NVAF i </w:t>
      </w:r>
      <w:r w:rsidR="00900980" w:rsidRPr="001202A2">
        <w:rPr>
          <w:rFonts w:eastAsia="TimesNewRoman"/>
          <w:i/>
          <w:iCs/>
          <w:szCs w:val="22"/>
          <w:lang w:val="sr-Latn-ME"/>
        </w:rPr>
        <w:t>visokim</w:t>
      </w:r>
      <w:r w:rsidRPr="001202A2">
        <w:rPr>
          <w:rFonts w:eastAsia="TimesNewRoman"/>
          <w:i/>
          <w:iCs/>
          <w:szCs w:val="22"/>
          <w:lang w:val="sr-Latn-ME"/>
        </w:rPr>
        <w:t xml:space="preserve"> CrCl (CrCl &gt;100 </w:t>
      </w:r>
      <w:r w:rsidR="007C4C36" w:rsidRPr="001202A2">
        <w:rPr>
          <w:rFonts w:eastAsia="TimesNewRoman"/>
          <w:i/>
          <w:iCs/>
          <w:szCs w:val="22"/>
          <w:lang w:val="sr-Latn-ME"/>
        </w:rPr>
        <w:t>m</w:t>
      </w:r>
      <w:r w:rsidR="00456FFB" w:rsidRPr="001202A2">
        <w:rPr>
          <w:rFonts w:eastAsia="TimesNewRoman"/>
          <w:i/>
          <w:iCs/>
          <w:szCs w:val="22"/>
          <w:lang w:val="sr-Latn-ME"/>
        </w:rPr>
        <w:t>l</w:t>
      </w:r>
      <w:r w:rsidRPr="001202A2">
        <w:rPr>
          <w:rFonts w:eastAsia="TimesNewRoman"/>
          <w:i/>
          <w:iCs/>
          <w:szCs w:val="22"/>
          <w:lang w:val="sr-Latn-ME"/>
        </w:rPr>
        <w:t>/min)</w:t>
      </w:r>
    </w:p>
    <w:p w14:paraId="7CBD592A" w14:textId="76326378" w:rsidR="002A2881" w:rsidRPr="001202A2" w:rsidRDefault="00900980"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Dvostruko sl</w:t>
      </w:r>
      <w:r w:rsidR="00107D57" w:rsidRPr="001202A2">
        <w:rPr>
          <w:rFonts w:eastAsia="TimesNewRoman"/>
          <w:szCs w:val="22"/>
          <w:lang w:val="sr-Latn-ME"/>
        </w:rPr>
        <w:t>ij</w:t>
      </w:r>
      <w:r w:rsidRPr="001202A2">
        <w:rPr>
          <w:rFonts w:eastAsia="TimesNewRoman"/>
          <w:szCs w:val="22"/>
          <w:lang w:val="sr-Latn-ME"/>
        </w:rPr>
        <w:t>epa randomizovana</w:t>
      </w:r>
      <w:r w:rsidR="002A2881" w:rsidRPr="001202A2">
        <w:rPr>
          <w:rFonts w:eastAsia="TimesNewRoman"/>
          <w:szCs w:val="22"/>
          <w:lang w:val="sr-Latn-ME"/>
        </w:rPr>
        <w:t xml:space="preserve"> </w:t>
      </w:r>
      <w:r w:rsidRPr="001202A2">
        <w:rPr>
          <w:rFonts w:eastAsia="TimesNewRoman"/>
          <w:szCs w:val="22"/>
          <w:lang w:val="sr-Latn-ME"/>
        </w:rPr>
        <w:t>studija</w:t>
      </w:r>
      <w:r w:rsidR="002A2881" w:rsidRPr="001202A2">
        <w:rPr>
          <w:rFonts w:eastAsia="TimesNewRoman"/>
          <w:szCs w:val="22"/>
          <w:lang w:val="sr-Latn-ME"/>
        </w:rPr>
        <w:t xml:space="preserve"> sa p</w:t>
      </w:r>
      <w:r w:rsidRPr="001202A2">
        <w:rPr>
          <w:rFonts w:eastAsia="TimesNewRoman"/>
          <w:szCs w:val="22"/>
          <w:lang w:val="sr-Latn-ME"/>
        </w:rPr>
        <w:t>osebnom svrhom (E314) sprovedena</w:t>
      </w:r>
      <w:r w:rsidR="002A2881" w:rsidRPr="001202A2">
        <w:rPr>
          <w:rFonts w:eastAsia="TimesNewRoman"/>
          <w:szCs w:val="22"/>
          <w:lang w:val="sr-Latn-ME"/>
        </w:rPr>
        <w:t xml:space="preserve"> je </w:t>
      </w:r>
      <w:r w:rsidR="0055771D" w:rsidRPr="001202A2">
        <w:rPr>
          <w:rFonts w:eastAsia="TimesNewRoman"/>
          <w:szCs w:val="22"/>
          <w:lang w:val="sr-Latn-ME"/>
        </w:rPr>
        <w:t xml:space="preserve">kod </w:t>
      </w:r>
      <w:r w:rsidR="002A2881" w:rsidRPr="001202A2">
        <w:rPr>
          <w:rFonts w:eastAsia="TimesNewRoman"/>
          <w:szCs w:val="22"/>
          <w:lang w:val="sr-Latn-ME"/>
        </w:rPr>
        <w:t xml:space="preserve">607 pacijenata sa NVAF i </w:t>
      </w:r>
      <w:r w:rsidRPr="001202A2">
        <w:rPr>
          <w:rFonts w:eastAsia="TimesNewRoman"/>
          <w:szCs w:val="22"/>
          <w:lang w:val="sr-Latn-ME"/>
        </w:rPr>
        <w:t>visokim</w:t>
      </w:r>
      <w:r w:rsidR="002A2881" w:rsidRPr="001202A2">
        <w:rPr>
          <w:rFonts w:eastAsia="TimesNewRoman"/>
          <w:szCs w:val="22"/>
          <w:lang w:val="sr-Latn-ME"/>
        </w:rPr>
        <w:t xml:space="preserve"> CrCl (CrCl &gt; 100 </w:t>
      </w:r>
      <w:r w:rsidR="0055771D" w:rsidRPr="001202A2">
        <w:rPr>
          <w:rFonts w:eastAsia="TimesNewRoman"/>
          <w:szCs w:val="22"/>
          <w:lang w:val="sr-Latn-ME"/>
        </w:rPr>
        <w:t>m</w:t>
      </w:r>
      <w:r w:rsidR="00456FFB" w:rsidRPr="001202A2">
        <w:rPr>
          <w:rFonts w:eastAsia="TimesNewRoman"/>
          <w:szCs w:val="22"/>
          <w:lang w:val="sr-Latn-ME"/>
        </w:rPr>
        <w:t>l</w:t>
      </w:r>
      <w:r w:rsidR="002A2881" w:rsidRPr="001202A2">
        <w:rPr>
          <w:rFonts w:eastAsia="TimesNewRoman"/>
          <w:szCs w:val="22"/>
          <w:lang w:val="sr-Latn-ME"/>
        </w:rPr>
        <w:t xml:space="preserve">/min </w:t>
      </w:r>
      <w:r w:rsidRPr="001202A2">
        <w:rPr>
          <w:rFonts w:eastAsia="TimesNewRoman"/>
          <w:szCs w:val="22"/>
          <w:lang w:val="sr-Latn-ME"/>
        </w:rPr>
        <w:t>izračunat</w:t>
      </w:r>
      <w:r w:rsidR="002A2881" w:rsidRPr="001202A2">
        <w:rPr>
          <w:rFonts w:eastAsia="TimesNewRoman"/>
          <w:szCs w:val="22"/>
          <w:lang w:val="sr-Latn-ME"/>
        </w:rPr>
        <w:t xml:space="preserve"> prema </w:t>
      </w:r>
      <w:r w:rsidR="002A2881" w:rsidRPr="001202A2">
        <w:rPr>
          <w:rFonts w:eastAsia="TimesNewRoman"/>
          <w:i/>
          <w:iCs/>
          <w:szCs w:val="22"/>
          <w:lang w:val="sr-Latn-ME"/>
        </w:rPr>
        <w:t>Cockcroft-Gault</w:t>
      </w:r>
      <w:r w:rsidR="002A2881" w:rsidRPr="001202A2">
        <w:rPr>
          <w:rFonts w:eastAsia="TimesNewRoman"/>
          <w:szCs w:val="22"/>
          <w:lang w:val="sr-Latn-ME"/>
        </w:rPr>
        <w:t xml:space="preserve">-ovoj formuli), </w:t>
      </w:r>
      <w:r w:rsidRPr="001202A2">
        <w:rPr>
          <w:rFonts w:eastAsia="TimesNewRoman"/>
          <w:szCs w:val="22"/>
          <w:lang w:val="sr-Latn-ME"/>
        </w:rPr>
        <w:t>s</w:t>
      </w:r>
      <w:r w:rsidR="002A2881" w:rsidRPr="001202A2">
        <w:rPr>
          <w:rFonts w:eastAsia="TimesNewRoman"/>
          <w:szCs w:val="22"/>
          <w:lang w:val="sr-Latn-ME"/>
        </w:rPr>
        <w:t>a primarni</w:t>
      </w:r>
      <w:r w:rsidRPr="001202A2">
        <w:rPr>
          <w:rFonts w:eastAsia="TimesNewRoman"/>
          <w:szCs w:val="22"/>
          <w:lang w:val="sr-Latn-ME"/>
        </w:rPr>
        <w:t>m</w:t>
      </w:r>
      <w:r w:rsidR="002A2881" w:rsidRPr="001202A2">
        <w:rPr>
          <w:rFonts w:eastAsia="TimesNewRoman"/>
          <w:szCs w:val="22"/>
          <w:lang w:val="sr-Latn-ME"/>
        </w:rPr>
        <w:t xml:space="preserve"> cilj</w:t>
      </w:r>
      <w:r w:rsidRPr="001202A2">
        <w:rPr>
          <w:rFonts w:eastAsia="TimesNewRoman"/>
          <w:szCs w:val="22"/>
          <w:lang w:val="sr-Latn-ME"/>
        </w:rPr>
        <w:t>em</w:t>
      </w:r>
      <w:r w:rsidR="002A2881" w:rsidRPr="001202A2">
        <w:rPr>
          <w:rFonts w:eastAsia="TimesNewRoman"/>
          <w:szCs w:val="22"/>
          <w:lang w:val="sr-Latn-ME"/>
        </w:rPr>
        <w:t xml:space="preserve"> </w:t>
      </w:r>
      <w:r w:rsidRPr="001202A2">
        <w:rPr>
          <w:rFonts w:eastAsia="TimesNewRoman"/>
          <w:szCs w:val="22"/>
          <w:lang w:val="sr-Latn-ME"/>
        </w:rPr>
        <w:t>proc</w:t>
      </w:r>
      <w:r w:rsidR="00107D57" w:rsidRPr="001202A2">
        <w:rPr>
          <w:rFonts w:eastAsia="TimesNewRoman"/>
          <w:szCs w:val="22"/>
          <w:lang w:val="sr-Latn-ME"/>
        </w:rPr>
        <w:t>j</w:t>
      </w:r>
      <w:r w:rsidRPr="001202A2">
        <w:rPr>
          <w:rFonts w:eastAsia="TimesNewRoman"/>
          <w:szCs w:val="22"/>
          <w:lang w:val="sr-Latn-ME"/>
        </w:rPr>
        <w:t>ene</w:t>
      </w:r>
      <w:r w:rsidR="002A2881" w:rsidRPr="001202A2">
        <w:rPr>
          <w:rFonts w:eastAsia="TimesNewRoman"/>
          <w:szCs w:val="22"/>
          <w:lang w:val="sr-Latn-ME"/>
        </w:rPr>
        <w:t xml:space="preserve"> farmakokinetike/farmakodinamike edoksabana u dozi od 60 mg jednom dnevno u odnosu na </w:t>
      </w:r>
      <w:r w:rsidRPr="001202A2">
        <w:rPr>
          <w:rFonts w:eastAsia="TimesNewRoman"/>
          <w:szCs w:val="22"/>
          <w:lang w:val="sr-Latn-ME"/>
        </w:rPr>
        <w:t>dozu</w:t>
      </w:r>
      <w:r w:rsidR="002A2881" w:rsidRPr="001202A2">
        <w:rPr>
          <w:rFonts w:eastAsia="TimesNewRoman"/>
          <w:szCs w:val="22"/>
          <w:lang w:val="sr-Latn-ME"/>
        </w:rPr>
        <w:t xml:space="preserve"> od 75 mg jednom dnevno. Pored farmakokinetike/farmakodinamike kao primarnog parametra praćenja, </w:t>
      </w:r>
      <w:r w:rsidRPr="001202A2">
        <w:rPr>
          <w:rFonts w:eastAsia="TimesNewRoman"/>
          <w:szCs w:val="22"/>
          <w:lang w:val="sr-Latn-ME"/>
        </w:rPr>
        <w:t>studija je obuhvatila</w:t>
      </w:r>
      <w:r w:rsidR="002A2881" w:rsidRPr="001202A2">
        <w:rPr>
          <w:rFonts w:eastAsia="TimesNewRoman"/>
          <w:szCs w:val="22"/>
          <w:lang w:val="sr-Latn-ME"/>
        </w:rPr>
        <w:t xml:space="preserve"> proc</w:t>
      </w:r>
      <w:r w:rsidR="00107D57" w:rsidRPr="001202A2">
        <w:rPr>
          <w:rFonts w:eastAsia="TimesNewRoman"/>
          <w:szCs w:val="22"/>
          <w:lang w:val="sr-Latn-ME"/>
        </w:rPr>
        <w:t>j</w:t>
      </w:r>
      <w:r w:rsidR="002A2881" w:rsidRPr="001202A2">
        <w:rPr>
          <w:rFonts w:eastAsia="TimesNewRoman"/>
          <w:szCs w:val="22"/>
          <w:lang w:val="sr-Latn-ME"/>
        </w:rPr>
        <w:t>enu moždanog udara i krvarenja tokom perioda l</w:t>
      </w:r>
      <w:r w:rsidR="00107D57" w:rsidRPr="001202A2">
        <w:rPr>
          <w:rFonts w:eastAsia="TimesNewRoman"/>
          <w:szCs w:val="22"/>
          <w:lang w:val="sr-Latn-ME"/>
        </w:rPr>
        <w:t>ij</w:t>
      </w:r>
      <w:r w:rsidR="002A2881" w:rsidRPr="001202A2">
        <w:rPr>
          <w:rFonts w:eastAsia="TimesNewRoman"/>
          <w:szCs w:val="22"/>
          <w:lang w:val="sr-Latn-ME"/>
        </w:rPr>
        <w:t>ečenja od 12 m</w:t>
      </w:r>
      <w:r w:rsidR="00107D57" w:rsidRPr="001202A2">
        <w:rPr>
          <w:rFonts w:eastAsia="TimesNewRoman"/>
          <w:szCs w:val="22"/>
          <w:lang w:val="sr-Latn-ME"/>
        </w:rPr>
        <w:t>j</w:t>
      </w:r>
      <w:r w:rsidR="002A2881" w:rsidRPr="001202A2">
        <w:rPr>
          <w:rFonts w:eastAsia="TimesNewRoman"/>
          <w:szCs w:val="22"/>
          <w:lang w:val="sr-Latn-ME"/>
        </w:rPr>
        <w:t>eseci</w:t>
      </w:r>
      <w:r w:rsidRPr="001202A2">
        <w:rPr>
          <w:rFonts w:eastAsia="TimesNewRoman"/>
          <w:szCs w:val="22"/>
          <w:lang w:val="sr-Latn-ME"/>
        </w:rPr>
        <w:t>,</w:t>
      </w:r>
      <w:r w:rsidR="002A2881" w:rsidRPr="001202A2">
        <w:rPr>
          <w:rFonts w:eastAsia="TimesNewRoman"/>
          <w:szCs w:val="22"/>
          <w:lang w:val="sr-Latn-ME"/>
        </w:rPr>
        <w:t xml:space="preserve"> kao kliničkih parametara praćenja.</w:t>
      </w:r>
    </w:p>
    <w:p w14:paraId="061EDFFE" w14:textId="77777777" w:rsidR="00E87DC6" w:rsidRPr="001202A2" w:rsidRDefault="00E87DC6" w:rsidP="00480B31">
      <w:pPr>
        <w:tabs>
          <w:tab w:val="clear" w:pos="284"/>
        </w:tabs>
        <w:autoSpaceDE w:val="0"/>
        <w:autoSpaceDN w:val="0"/>
        <w:adjustRightInd w:val="0"/>
        <w:rPr>
          <w:rFonts w:eastAsia="TimesNewRoman"/>
          <w:szCs w:val="22"/>
          <w:lang w:val="sr-Latn-ME"/>
        </w:rPr>
      </w:pPr>
    </w:p>
    <w:p w14:paraId="4F90D1E3" w14:textId="03099911" w:rsidR="002A2881" w:rsidRPr="001202A2" w:rsidRDefault="00900980"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w:t>
      </w:r>
      <w:r w:rsidR="00107D57" w:rsidRPr="001202A2">
        <w:rPr>
          <w:rFonts w:eastAsia="TimesNewRoman"/>
          <w:szCs w:val="22"/>
          <w:lang w:val="sr-Latn-ME"/>
        </w:rPr>
        <w:t>j</w:t>
      </w:r>
      <w:r w:rsidRPr="001202A2">
        <w:rPr>
          <w:rFonts w:eastAsia="TimesNewRoman"/>
          <w:szCs w:val="22"/>
          <w:lang w:val="sr-Latn-ME"/>
        </w:rPr>
        <w:t>ena</w:t>
      </w:r>
      <w:r w:rsidR="002A2881" w:rsidRPr="001202A2">
        <w:rPr>
          <w:rFonts w:eastAsia="TimesNewRoman"/>
          <w:szCs w:val="22"/>
          <w:lang w:val="sr-Latn-ME"/>
        </w:rPr>
        <w:t xml:space="preserve"> edoksabana </w:t>
      </w:r>
      <w:r w:rsidRPr="001202A2">
        <w:rPr>
          <w:rFonts w:eastAsia="TimesNewRoman"/>
          <w:szCs w:val="22"/>
          <w:lang w:val="sr-Latn-ME"/>
        </w:rPr>
        <w:t xml:space="preserve">u dozi </w:t>
      </w:r>
      <w:r w:rsidR="002A2881" w:rsidRPr="001202A2">
        <w:rPr>
          <w:rFonts w:eastAsia="TimesNewRoman"/>
          <w:szCs w:val="22"/>
          <w:lang w:val="sr-Latn-ME"/>
        </w:rPr>
        <w:t xml:space="preserve">od 75 mg jednom dnevno u podgrupi ispitanika sa </w:t>
      </w:r>
      <w:r w:rsidRPr="001202A2">
        <w:rPr>
          <w:rFonts w:eastAsia="TimesNewRoman"/>
          <w:szCs w:val="22"/>
          <w:lang w:val="sr-Latn-ME"/>
        </w:rPr>
        <w:t>visokim CrCl</w:t>
      </w:r>
      <w:r w:rsidR="002A2881" w:rsidRPr="001202A2">
        <w:rPr>
          <w:rFonts w:eastAsia="TimesNewRoman"/>
          <w:szCs w:val="22"/>
          <w:lang w:val="sr-Latn-ME"/>
        </w:rPr>
        <w:t xml:space="preserve"> (&gt; 100 </w:t>
      </w:r>
      <w:r w:rsidR="00A51E3D" w:rsidRPr="001202A2">
        <w:rPr>
          <w:rFonts w:eastAsia="TimesNewRoman"/>
          <w:szCs w:val="22"/>
          <w:lang w:val="sr-Latn-ME"/>
        </w:rPr>
        <w:t>m</w:t>
      </w:r>
      <w:r w:rsidR="00456FFB" w:rsidRPr="001202A2">
        <w:rPr>
          <w:rFonts w:eastAsia="TimesNewRoman"/>
          <w:szCs w:val="22"/>
          <w:lang w:val="sr-Latn-ME"/>
        </w:rPr>
        <w:t>l</w:t>
      </w:r>
      <w:r w:rsidR="002A2881" w:rsidRPr="001202A2">
        <w:rPr>
          <w:rFonts w:eastAsia="TimesNewRoman"/>
          <w:szCs w:val="22"/>
          <w:lang w:val="sr-Latn-ME"/>
        </w:rPr>
        <w:t xml:space="preserve">/min) </w:t>
      </w:r>
      <w:r w:rsidRPr="001202A2">
        <w:rPr>
          <w:rFonts w:eastAsia="TimesNewRoman"/>
          <w:szCs w:val="22"/>
          <w:lang w:val="sr-Latn-ME"/>
        </w:rPr>
        <w:t>dovela je do povećanja</w:t>
      </w:r>
      <w:r w:rsidR="002A2881" w:rsidRPr="001202A2">
        <w:rPr>
          <w:rFonts w:eastAsia="TimesNewRoman"/>
          <w:szCs w:val="22"/>
          <w:lang w:val="sr-Latn-ME"/>
        </w:rPr>
        <w:t xml:space="preserve"> izloženosti od ~25% u </w:t>
      </w:r>
      <w:r w:rsidRPr="001202A2">
        <w:rPr>
          <w:rFonts w:eastAsia="TimesNewRoman"/>
          <w:szCs w:val="22"/>
          <w:lang w:val="sr-Latn-ME"/>
        </w:rPr>
        <w:t>odnosu na izloženost</w:t>
      </w:r>
      <w:r w:rsidR="002A2881" w:rsidRPr="001202A2">
        <w:rPr>
          <w:rFonts w:eastAsia="TimesNewRoman"/>
          <w:szCs w:val="22"/>
          <w:lang w:val="sr-Latn-ME"/>
        </w:rPr>
        <w:t xml:space="preserve"> pri dozi edoksabana od 60 mg jednom dnevno, </w:t>
      </w:r>
      <w:r w:rsidRPr="001202A2">
        <w:rPr>
          <w:rFonts w:eastAsia="TimesNewRoman"/>
          <w:szCs w:val="22"/>
          <w:lang w:val="sr-Latn-ME"/>
        </w:rPr>
        <w:t>što se i očekivalo</w:t>
      </w:r>
      <w:r w:rsidR="002A2881" w:rsidRPr="001202A2">
        <w:rPr>
          <w:rFonts w:eastAsia="TimesNewRoman"/>
          <w:szCs w:val="22"/>
          <w:lang w:val="sr-Latn-ME"/>
        </w:rPr>
        <w:t>.</w:t>
      </w:r>
    </w:p>
    <w:p w14:paraId="2241C7C4" w14:textId="77777777" w:rsidR="00E87DC6" w:rsidRPr="001202A2" w:rsidRDefault="00E87DC6" w:rsidP="00480B31">
      <w:pPr>
        <w:tabs>
          <w:tab w:val="clear" w:pos="284"/>
        </w:tabs>
        <w:autoSpaceDE w:val="0"/>
        <w:autoSpaceDN w:val="0"/>
        <w:adjustRightInd w:val="0"/>
        <w:rPr>
          <w:rFonts w:eastAsia="TimesNewRoman"/>
          <w:szCs w:val="22"/>
          <w:lang w:val="sr-Latn-ME"/>
        </w:rPr>
      </w:pPr>
    </w:p>
    <w:p w14:paraId="34E3CFA8" w14:textId="4D5DC23E" w:rsidR="002A2881" w:rsidRPr="001202A2" w:rsidRDefault="002A288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Broj ispitanika kod kojih </w:t>
      </w:r>
      <w:r w:rsidR="00B0793F" w:rsidRPr="001202A2">
        <w:rPr>
          <w:rFonts w:eastAsia="TimesNewRoman"/>
          <w:szCs w:val="22"/>
          <w:lang w:val="sr-Latn-ME"/>
        </w:rPr>
        <w:t>se</w:t>
      </w:r>
      <w:r w:rsidRPr="001202A2">
        <w:rPr>
          <w:rFonts w:eastAsia="TimesNewRoman"/>
          <w:szCs w:val="22"/>
          <w:lang w:val="sr-Latn-ME"/>
        </w:rPr>
        <w:t>, prema stručnoj proc</w:t>
      </w:r>
      <w:r w:rsidR="00107D57" w:rsidRPr="001202A2">
        <w:rPr>
          <w:rFonts w:eastAsia="TimesNewRoman"/>
          <w:szCs w:val="22"/>
          <w:lang w:val="sr-Latn-ME"/>
        </w:rPr>
        <w:t>j</w:t>
      </w:r>
      <w:r w:rsidRPr="001202A2">
        <w:rPr>
          <w:rFonts w:eastAsia="TimesNewRoman"/>
          <w:szCs w:val="22"/>
          <w:lang w:val="sr-Latn-ME"/>
        </w:rPr>
        <w:t xml:space="preserve">eni, </w:t>
      </w:r>
      <w:r w:rsidR="00B0793F" w:rsidRPr="001202A2">
        <w:rPr>
          <w:rFonts w:eastAsia="TimesNewRoman"/>
          <w:szCs w:val="22"/>
          <w:lang w:val="sr-Latn-ME"/>
        </w:rPr>
        <w:t>javio</w:t>
      </w:r>
      <w:r w:rsidRPr="001202A2">
        <w:rPr>
          <w:rFonts w:eastAsia="TimesNewRoman"/>
          <w:szCs w:val="22"/>
          <w:lang w:val="sr-Latn-ME"/>
        </w:rPr>
        <w:t xml:space="preserve"> </w:t>
      </w:r>
      <w:r w:rsidR="00B0793F" w:rsidRPr="001202A2">
        <w:rPr>
          <w:rFonts w:eastAsia="TimesNewRoman"/>
          <w:szCs w:val="22"/>
          <w:lang w:val="sr-Latn-ME"/>
        </w:rPr>
        <w:t>zbirni parametar</w:t>
      </w:r>
      <w:r w:rsidRPr="001202A2">
        <w:rPr>
          <w:rFonts w:eastAsia="TimesNewRoman"/>
          <w:szCs w:val="22"/>
          <w:lang w:val="sr-Latn-ME"/>
        </w:rPr>
        <w:t xml:space="preserve"> praćenja efikasnosti</w:t>
      </w:r>
      <w:r w:rsidR="00B0793F" w:rsidRPr="001202A2">
        <w:rPr>
          <w:rFonts w:eastAsia="TimesNewRoman"/>
          <w:szCs w:val="22"/>
          <w:lang w:val="sr-Latn-ME"/>
        </w:rPr>
        <w:t>, a koji je predstavljao</w:t>
      </w:r>
      <w:r w:rsidRPr="001202A2">
        <w:rPr>
          <w:rFonts w:eastAsia="TimesNewRoman"/>
          <w:szCs w:val="22"/>
          <w:lang w:val="sr-Latn-ME"/>
        </w:rPr>
        <w:t xml:space="preserve"> moždani udar/tranzitorni ishemijski atak (TIA)/sistemski embolijski događaj (SED)</w:t>
      </w:r>
      <w:r w:rsidR="00B0793F" w:rsidRPr="001202A2">
        <w:rPr>
          <w:rFonts w:eastAsia="TimesNewRoman"/>
          <w:szCs w:val="22"/>
          <w:lang w:val="sr-Latn-ME"/>
        </w:rPr>
        <w:t>,</w:t>
      </w:r>
      <w:r w:rsidRPr="001202A2">
        <w:rPr>
          <w:rFonts w:eastAsia="TimesNewRoman"/>
          <w:szCs w:val="22"/>
          <w:lang w:val="sr-Latn-ME"/>
        </w:rPr>
        <w:t xml:space="preserve"> bio je ograničen i uključivao je 2 događaja moždanog udara u grupi koja je primala edoksaban u dozi od 60 mg (0,7%; 95% CI: 0,1% do 2,4%) i 3 događaja moždanog udara u grupi koja je primala edoksaban u dozi od 75 mg (1%; 95% CI: 0,2% do 2,9%).</w:t>
      </w:r>
    </w:p>
    <w:p w14:paraId="20F1A93B" w14:textId="77777777" w:rsidR="00E87DC6" w:rsidRPr="001202A2" w:rsidRDefault="00E87DC6" w:rsidP="00480B31">
      <w:pPr>
        <w:tabs>
          <w:tab w:val="clear" w:pos="284"/>
        </w:tabs>
        <w:autoSpaceDE w:val="0"/>
        <w:autoSpaceDN w:val="0"/>
        <w:adjustRightInd w:val="0"/>
        <w:rPr>
          <w:rFonts w:eastAsia="TimesNewRoman"/>
          <w:szCs w:val="22"/>
          <w:lang w:val="sr-Latn-ME"/>
        </w:rPr>
      </w:pPr>
    </w:p>
    <w:p w14:paraId="43C97F4B" w14:textId="6A961F69" w:rsidR="002A2881" w:rsidRPr="001202A2" w:rsidRDefault="002A288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Događaji </w:t>
      </w:r>
      <w:r w:rsidR="00F7082E" w:rsidRPr="001202A2">
        <w:rPr>
          <w:rFonts w:eastAsia="TimesNewRoman"/>
          <w:szCs w:val="22"/>
          <w:lang w:val="sr-Latn-ME"/>
        </w:rPr>
        <w:t>ozbiljnog</w:t>
      </w:r>
      <w:r w:rsidRPr="001202A2">
        <w:rPr>
          <w:rFonts w:eastAsia="TimesNewRoman"/>
          <w:szCs w:val="22"/>
          <w:lang w:val="sr-Latn-ME"/>
        </w:rPr>
        <w:t xml:space="preserve"> krvarenja prema stručnoj proc</w:t>
      </w:r>
      <w:r w:rsidR="00107D57" w:rsidRPr="001202A2">
        <w:rPr>
          <w:rFonts w:eastAsia="TimesNewRoman"/>
          <w:szCs w:val="22"/>
          <w:lang w:val="sr-Latn-ME"/>
        </w:rPr>
        <w:t>j</w:t>
      </w:r>
      <w:r w:rsidRPr="001202A2">
        <w:rPr>
          <w:rFonts w:eastAsia="TimesNewRoman"/>
          <w:szCs w:val="22"/>
          <w:lang w:val="sr-Latn-ME"/>
        </w:rPr>
        <w:t xml:space="preserve">eni </w:t>
      </w:r>
      <w:r w:rsidR="00F7082E" w:rsidRPr="001202A2">
        <w:rPr>
          <w:rFonts w:eastAsia="TimesNewRoman"/>
          <w:szCs w:val="22"/>
          <w:lang w:val="sr-Latn-ME"/>
        </w:rPr>
        <w:t>javili</w:t>
      </w:r>
      <w:r w:rsidRPr="001202A2">
        <w:rPr>
          <w:rFonts w:eastAsia="TimesNewRoman"/>
          <w:szCs w:val="22"/>
          <w:lang w:val="sr-Latn-ME"/>
        </w:rPr>
        <w:t xml:space="preserve"> su se kod 2 (0,7%; 95% CI: 0,1% do 2,4%) ispitanika u grupi koja je primala edoksaban u dozi od 60 mg u poređenju sa 3 (1,0%; 95% CI: 0,2% do 2,9%) ispitanika u grupi koja je primala edoksaban u dozi od 75 mg. Od 2 </w:t>
      </w:r>
      <w:r w:rsidR="00F7082E" w:rsidRPr="001202A2">
        <w:rPr>
          <w:rFonts w:eastAsia="TimesNewRoman"/>
          <w:szCs w:val="22"/>
          <w:lang w:val="sr-Latn-ME"/>
        </w:rPr>
        <w:t>ozbiljna</w:t>
      </w:r>
      <w:r w:rsidRPr="001202A2">
        <w:rPr>
          <w:rFonts w:eastAsia="TimesNewRoman"/>
          <w:szCs w:val="22"/>
          <w:lang w:val="sr-Latn-ME"/>
        </w:rPr>
        <w:t xml:space="preserve"> krvarenja u grupi koja je primala edoksaban u dozi od 60 mg, jedno krvarenje bilo je u </w:t>
      </w:r>
      <w:r w:rsidR="00F7082E" w:rsidRPr="001202A2">
        <w:rPr>
          <w:rFonts w:eastAsia="TimesNewRoman"/>
          <w:szCs w:val="22"/>
          <w:lang w:val="sr-Latn-ME"/>
        </w:rPr>
        <w:t>kritičnom</w:t>
      </w:r>
      <w:r w:rsidRPr="001202A2">
        <w:rPr>
          <w:rFonts w:eastAsia="TimesNewRoman"/>
          <w:szCs w:val="22"/>
          <w:lang w:val="sr-Latn-ME"/>
        </w:rPr>
        <w:t xml:space="preserve"> području/organu (intraokularno), dok je drugo krvarenje bilo intramuskularno. Od 3 </w:t>
      </w:r>
      <w:r w:rsidR="00F7082E" w:rsidRPr="001202A2">
        <w:rPr>
          <w:rFonts w:eastAsia="TimesNewRoman"/>
          <w:szCs w:val="22"/>
          <w:lang w:val="sr-Latn-ME"/>
        </w:rPr>
        <w:t>ozbiljna</w:t>
      </w:r>
      <w:r w:rsidRPr="001202A2">
        <w:rPr>
          <w:rFonts w:eastAsia="TimesNewRoman"/>
          <w:szCs w:val="22"/>
          <w:lang w:val="sr-Latn-ME"/>
        </w:rPr>
        <w:t xml:space="preserve"> krvarenja u grupi koja je primala edoksaban u dozi od 75 mg, 2 krvarenja su bila u </w:t>
      </w:r>
      <w:r w:rsidR="00F7082E" w:rsidRPr="001202A2">
        <w:rPr>
          <w:rFonts w:eastAsia="TimesNewRoman"/>
          <w:szCs w:val="22"/>
          <w:lang w:val="sr-Latn-ME"/>
        </w:rPr>
        <w:t>kritičnom</w:t>
      </w:r>
      <w:r w:rsidRPr="001202A2">
        <w:rPr>
          <w:rFonts w:eastAsia="TimesNewRoman"/>
          <w:szCs w:val="22"/>
          <w:lang w:val="sr-Latn-ME"/>
        </w:rPr>
        <w:t xml:space="preserve"> p</w:t>
      </w:r>
      <w:r w:rsidR="00F7082E" w:rsidRPr="001202A2">
        <w:rPr>
          <w:rFonts w:eastAsia="TimesNewRoman"/>
          <w:szCs w:val="22"/>
          <w:lang w:val="sr-Latn-ME"/>
        </w:rPr>
        <w:t>odručju/organu (intracerebralno</w:t>
      </w:r>
      <w:r w:rsidRPr="001202A2">
        <w:rPr>
          <w:rFonts w:eastAsia="TimesNewRoman"/>
          <w:szCs w:val="22"/>
          <w:lang w:val="sr-Latn-ME"/>
        </w:rPr>
        <w:t xml:space="preserve">/1 smrtni ishod), a </w:t>
      </w:r>
      <w:r w:rsidR="00F7082E" w:rsidRPr="001202A2">
        <w:rPr>
          <w:rFonts w:eastAsia="TimesNewRoman"/>
          <w:szCs w:val="22"/>
          <w:lang w:val="sr-Latn-ME"/>
        </w:rPr>
        <w:t>jedno</w:t>
      </w:r>
      <w:r w:rsidRPr="001202A2">
        <w:rPr>
          <w:rFonts w:eastAsia="TimesNewRoman"/>
          <w:szCs w:val="22"/>
          <w:lang w:val="sr-Latn-ME"/>
        </w:rPr>
        <w:t xml:space="preserve"> krvarenje je </w:t>
      </w:r>
      <w:r w:rsidR="00F7082E" w:rsidRPr="001202A2">
        <w:rPr>
          <w:rFonts w:eastAsia="TimesNewRoman"/>
          <w:szCs w:val="22"/>
          <w:lang w:val="sr-Latn-ME"/>
        </w:rPr>
        <w:t xml:space="preserve">bilo </w:t>
      </w:r>
      <w:r w:rsidRPr="001202A2">
        <w:rPr>
          <w:rFonts w:eastAsia="TimesNewRoman"/>
          <w:szCs w:val="22"/>
          <w:lang w:val="sr-Latn-ME"/>
        </w:rPr>
        <w:t>u gornjem d</w:t>
      </w:r>
      <w:r w:rsidR="00107D57" w:rsidRPr="001202A2">
        <w:rPr>
          <w:rFonts w:eastAsia="TimesNewRoman"/>
          <w:szCs w:val="22"/>
          <w:lang w:val="sr-Latn-ME"/>
        </w:rPr>
        <w:t>ij</w:t>
      </w:r>
      <w:r w:rsidRPr="001202A2">
        <w:rPr>
          <w:rFonts w:eastAsia="TimesNewRoman"/>
          <w:szCs w:val="22"/>
          <w:lang w:val="sr-Latn-ME"/>
        </w:rPr>
        <w:t xml:space="preserve">elu </w:t>
      </w:r>
      <w:r w:rsidR="00F7082E" w:rsidRPr="001202A2">
        <w:rPr>
          <w:rFonts w:eastAsia="TimesNewRoman"/>
          <w:szCs w:val="22"/>
          <w:lang w:val="sr-Latn-ME"/>
        </w:rPr>
        <w:t>gastrointestinalnog</w:t>
      </w:r>
      <w:r w:rsidRPr="001202A2">
        <w:rPr>
          <w:rFonts w:eastAsia="TimesNewRoman"/>
          <w:szCs w:val="22"/>
          <w:lang w:val="sr-Latn-ME"/>
        </w:rPr>
        <w:t xml:space="preserve"> </w:t>
      </w:r>
      <w:r w:rsidR="00F7082E" w:rsidRPr="001202A2">
        <w:rPr>
          <w:rFonts w:eastAsia="TimesNewRoman"/>
          <w:szCs w:val="22"/>
          <w:lang w:val="sr-Latn-ME"/>
        </w:rPr>
        <w:t>trakta</w:t>
      </w:r>
      <w:r w:rsidRPr="001202A2">
        <w:rPr>
          <w:rFonts w:eastAsia="TimesNewRoman"/>
          <w:szCs w:val="22"/>
          <w:lang w:val="sr-Latn-ME"/>
        </w:rPr>
        <w:t xml:space="preserve"> (životno ugrožavajuće). </w:t>
      </w:r>
      <w:r w:rsidR="00F7082E" w:rsidRPr="001202A2">
        <w:rPr>
          <w:rFonts w:eastAsia="TimesNewRoman"/>
          <w:szCs w:val="22"/>
          <w:lang w:val="sr-Latn-ME"/>
        </w:rPr>
        <w:t>Takođe, u</w:t>
      </w:r>
      <w:r w:rsidRPr="001202A2">
        <w:rPr>
          <w:rFonts w:eastAsia="TimesNewRoman"/>
          <w:szCs w:val="22"/>
          <w:lang w:val="sr-Latn-ME"/>
        </w:rPr>
        <w:t xml:space="preserve"> grupi koja je primala edoksaban u dozi od 60 mg</w:t>
      </w:r>
      <w:r w:rsidR="00F7082E" w:rsidRPr="001202A2">
        <w:rPr>
          <w:rFonts w:eastAsia="TimesNewRoman"/>
          <w:szCs w:val="22"/>
          <w:lang w:val="sr-Latn-ME"/>
        </w:rPr>
        <w:t>,</w:t>
      </w:r>
      <w:r w:rsidRPr="001202A2">
        <w:rPr>
          <w:rFonts w:eastAsia="TimesNewRoman"/>
          <w:szCs w:val="22"/>
          <w:lang w:val="sr-Latn-ME"/>
        </w:rPr>
        <w:t xml:space="preserve"> bilo je 9 (3%) klinički značajnih krvarenja koja ni</w:t>
      </w:r>
      <w:r w:rsidR="00072E07" w:rsidRPr="001202A2">
        <w:rPr>
          <w:rFonts w:eastAsia="TimesNewRoman"/>
          <w:szCs w:val="22"/>
          <w:lang w:val="sr-Latn-ME"/>
        </w:rPr>
        <w:t>je</w:t>
      </w:r>
      <w:r w:rsidRPr="001202A2">
        <w:rPr>
          <w:rFonts w:eastAsia="TimesNewRoman"/>
          <w:szCs w:val="22"/>
          <w:lang w:val="sr-Latn-ME"/>
        </w:rPr>
        <w:t xml:space="preserve">su </w:t>
      </w:r>
      <w:r w:rsidR="00F7082E" w:rsidRPr="001202A2">
        <w:rPr>
          <w:rFonts w:eastAsia="TimesNewRoman"/>
          <w:szCs w:val="22"/>
          <w:lang w:val="sr-Latn-ME"/>
        </w:rPr>
        <w:t>klasifikovana kao ozbiljna</w:t>
      </w:r>
      <w:r w:rsidRPr="001202A2">
        <w:rPr>
          <w:rFonts w:eastAsia="TimesNewRoman"/>
          <w:szCs w:val="22"/>
          <w:lang w:val="sr-Latn-ME"/>
        </w:rPr>
        <w:t xml:space="preserve"> (CRNM) i 7 (2,3%) CRNM krvarenja u grupi koja je primala edoksaban u dozi od 75 mg. </w:t>
      </w:r>
    </w:p>
    <w:p w14:paraId="66F6F39B" w14:textId="77777777" w:rsidR="00E87DC6" w:rsidRPr="001202A2" w:rsidRDefault="00E87DC6" w:rsidP="00480B31">
      <w:pPr>
        <w:tabs>
          <w:tab w:val="clear" w:pos="284"/>
        </w:tabs>
        <w:autoSpaceDE w:val="0"/>
        <w:autoSpaceDN w:val="0"/>
        <w:adjustRightInd w:val="0"/>
        <w:rPr>
          <w:rFonts w:eastAsia="TimesNewRoman"/>
          <w:szCs w:val="22"/>
          <w:lang w:val="sr-Latn-ME"/>
        </w:rPr>
      </w:pPr>
    </w:p>
    <w:p w14:paraId="3F880384" w14:textId="4CAF98DB" w:rsidR="002A2881" w:rsidRPr="001202A2" w:rsidRDefault="002A288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Pored E314</w:t>
      </w:r>
      <w:r w:rsidR="00F7082E" w:rsidRPr="001202A2">
        <w:rPr>
          <w:rFonts w:eastAsia="TimesNewRoman"/>
          <w:szCs w:val="22"/>
          <w:lang w:val="sr-Latn-ME"/>
        </w:rPr>
        <w:t xml:space="preserve"> kliničke studije, prospektivna, multinacionalna, multicentrična opservaciona</w:t>
      </w:r>
      <w:r w:rsidRPr="001202A2">
        <w:rPr>
          <w:rFonts w:eastAsia="TimesNewRoman"/>
          <w:szCs w:val="22"/>
          <w:lang w:val="sr-Latn-ME"/>
        </w:rPr>
        <w:t xml:space="preserve"> </w:t>
      </w:r>
      <w:r w:rsidR="00F7082E" w:rsidRPr="001202A2">
        <w:rPr>
          <w:rFonts w:eastAsia="TimesNewRoman"/>
          <w:szCs w:val="22"/>
          <w:lang w:val="sr-Latn-ME"/>
        </w:rPr>
        <w:t>studija</w:t>
      </w:r>
      <w:r w:rsidRPr="001202A2">
        <w:rPr>
          <w:rFonts w:eastAsia="TimesNewRoman"/>
          <w:szCs w:val="22"/>
          <w:lang w:val="sr-Latn-ME"/>
        </w:rPr>
        <w:t xml:space="preserve"> nakon </w:t>
      </w:r>
      <w:r w:rsidR="00F7082E" w:rsidRPr="001202A2">
        <w:rPr>
          <w:rFonts w:eastAsia="TimesNewRoman"/>
          <w:szCs w:val="22"/>
          <w:lang w:val="sr-Latn-ME"/>
        </w:rPr>
        <w:t>stavljanja l</w:t>
      </w:r>
      <w:r w:rsidR="00107D57" w:rsidRPr="001202A2">
        <w:rPr>
          <w:rFonts w:eastAsia="TimesNewRoman"/>
          <w:szCs w:val="22"/>
          <w:lang w:val="sr-Latn-ME"/>
        </w:rPr>
        <w:t>ij</w:t>
      </w:r>
      <w:r w:rsidR="00F7082E" w:rsidRPr="001202A2">
        <w:rPr>
          <w:rFonts w:eastAsia="TimesNewRoman"/>
          <w:szCs w:val="22"/>
          <w:lang w:val="sr-Latn-ME"/>
        </w:rPr>
        <w:t>eka u promet (ETNA-AF) sprovedena</w:t>
      </w:r>
      <w:r w:rsidRPr="001202A2">
        <w:rPr>
          <w:rFonts w:eastAsia="TimesNewRoman"/>
          <w:szCs w:val="22"/>
          <w:lang w:val="sr-Latn-ME"/>
        </w:rPr>
        <w:t xml:space="preserve"> je u 10 evropskih zemalja i </w:t>
      </w:r>
      <w:r w:rsidR="00F7082E" w:rsidRPr="001202A2">
        <w:rPr>
          <w:rFonts w:eastAsia="TimesNewRoman"/>
          <w:szCs w:val="22"/>
          <w:lang w:val="sr-Latn-ME"/>
        </w:rPr>
        <w:t>obuhvatila</w:t>
      </w:r>
      <w:r w:rsidRPr="001202A2">
        <w:rPr>
          <w:rFonts w:eastAsia="TimesNewRoman"/>
          <w:szCs w:val="22"/>
          <w:lang w:val="sr-Latn-ME"/>
        </w:rPr>
        <w:t xml:space="preserve"> je 13980 ispitanika. U </w:t>
      </w:r>
      <w:r w:rsidR="00F7082E" w:rsidRPr="001202A2">
        <w:rPr>
          <w:rFonts w:eastAsia="TimesNewRoman"/>
          <w:szCs w:val="22"/>
          <w:lang w:val="sr-Latn-ME"/>
        </w:rPr>
        <w:t>ovoj</w:t>
      </w:r>
      <w:r w:rsidRPr="001202A2">
        <w:rPr>
          <w:rFonts w:eastAsia="TimesNewRoman"/>
          <w:szCs w:val="22"/>
          <w:lang w:val="sr-Latn-ME"/>
        </w:rPr>
        <w:t xml:space="preserve"> populaciji</w:t>
      </w:r>
      <w:r w:rsidR="00F7082E" w:rsidRPr="001202A2">
        <w:rPr>
          <w:rFonts w:eastAsia="TimesNewRoman"/>
          <w:szCs w:val="22"/>
          <w:lang w:val="sr-Latn-ME"/>
        </w:rPr>
        <w:t>,</w:t>
      </w:r>
      <w:r w:rsidRPr="001202A2">
        <w:rPr>
          <w:rFonts w:eastAsia="TimesNewRoman"/>
          <w:szCs w:val="22"/>
          <w:lang w:val="sr-Latn-ME"/>
        </w:rPr>
        <w:t xml:space="preserve"> 1826 ispitanika im</w:t>
      </w:r>
      <w:r w:rsidR="00F7082E" w:rsidRPr="001202A2">
        <w:rPr>
          <w:rFonts w:eastAsia="TimesNewRoman"/>
          <w:szCs w:val="22"/>
          <w:lang w:val="sr-Latn-ME"/>
        </w:rPr>
        <w:t xml:space="preserve">alo je CrCl &gt; 100 </w:t>
      </w:r>
      <w:r w:rsidR="001B7E32" w:rsidRPr="001202A2">
        <w:rPr>
          <w:rFonts w:eastAsia="TimesNewRoman"/>
          <w:szCs w:val="22"/>
          <w:lang w:val="sr-Latn-ME"/>
        </w:rPr>
        <w:t>m</w:t>
      </w:r>
      <w:r w:rsidR="00C154D8" w:rsidRPr="001202A2">
        <w:rPr>
          <w:rFonts w:eastAsia="TimesNewRoman"/>
          <w:szCs w:val="22"/>
          <w:lang w:val="sr-Latn-ME"/>
        </w:rPr>
        <w:t>l</w:t>
      </w:r>
      <w:r w:rsidR="00F7082E" w:rsidRPr="001202A2">
        <w:rPr>
          <w:rFonts w:eastAsia="TimesNewRoman"/>
          <w:szCs w:val="22"/>
          <w:lang w:val="sr-Latn-ME"/>
        </w:rPr>
        <w:t>/min i primi</w:t>
      </w:r>
      <w:r w:rsidRPr="001202A2">
        <w:rPr>
          <w:rFonts w:eastAsia="TimesNewRoman"/>
          <w:szCs w:val="22"/>
          <w:lang w:val="sr-Latn-ME"/>
        </w:rPr>
        <w:t>lo je edoksaban</w:t>
      </w:r>
      <w:r w:rsidR="00F7082E" w:rsidRPr="001202A2">
        <w:rPr>
          <w:rFonts w:eastAsia="TimesNewRoman"/>
          <w:szCs w:val="22"/>
          <w:lang w:val="sr-Latn-ME"/>
        </w:rPr>
        <w:t xml:space="preserve"> u dozi od</w:t>
      </w:r>
      <w:r w:rsidRPr="001202A2">
        <w:rPr>
          <w:rFonts w:eastAsia="TimesNewRoman"/>
          <w:szCs w:val="22"/>
          <w:lang w:val="sr-Latn-ME"/>
        </w:rPr>
        <w:t xml:space="preserve"> 60 mg</w:t>
      </w:r>
      <w:r w:rsidR="00F7082E" w:rsidRPr="001202A2">
        <w:rPr>
          <w:rFonts w:eastAsia="TimesNewRoman"/>
          <w:szCs w:val="22"/>
          <w:lang w:val="sr-Latn-ME"/>
        </w:rPr>
        <w:t>,</w:t>
      </w:r>
      <w:r w:rsidRPr="001202A2">
        <w:rPr>
          <w:rFonts w:eastAsia="TimesNewRoman"/>
          <w:szCs w:val="22"/>
          <w:lang w:val="sr-Latn-ME"/>
        </w:rPr>
        <w:t xml:space="preserve"> u skladu sa kriterijumima doziranja navedenim u Sažetku karakteristika l</w:t>
      </w:r>
      <w:r w:rsidR="00107D57" w:rsidRPr="001202A2">
        <w:rPr>
          <w:rFonts w:eastAsia="TimesNewRoman"/>
          <w:szCs w:val="22"/>
          <w:lang w:val="sr-Latn-ME"/>
        </w:rPr>
        <w:t>ij</w:t>
      </w:r>
      <w:r w:rsidRPr="001202A2">
        <w:rPr>
          <w:rFonts w:eastAsia="TimesNewRoman"/>
          <w:szCs w:val="22"/>
          <w:lang w:val="sr-Latn-ME"/>
        </w:rPr>
        <w:t xml:space="preserve">eka. Godišnje stope </w:t>
      </w:r>
      <w:r w:rsidR="00F7082E" w:rsidRPr="001202A2">
        <w:rPr>
          <w:rFonts w:eastAsia="TimesNewRoman"/>
          <w:szCs w:val="22"/>
          <w:lang w:val="sr-Latn-ME"/>
        </w:rPr>
        <w:t>zbira</w:t>
      </w:r>
      <w:r w:rsidRPr="001202A2">
        <w:rPr>
          <w:rFonts w:eastAsia="TimesNewRoman"/>
          <w:szCs w:val="22"/>
          <w:lang w:val="sr-Latn-ME"/>
        </w:rPr>
        <w:t xml:space="preserve"> ishemijskog moždanog udara </w:t>
      </w:r>
      <w:r w:rsidR="00F7082E" w:rsidRPr="001202A2">
        <w:rPr>
          <w:rFonts w:eastAsia="TimesNewRoman"/>
          <w:szCs w:val="22"/>
          <w:lang w:val="sr-Latn-ME"/>
        </w:rPr>
        <w:t>i</w:t>
      </w:r>
      <w:r w:rsidRPr="001202A2">
        <w:rPr>
          <w:rFonts w:eastAsia="TimesNewRoman"/>
          <w:szCs w:val="22"/>
          <w:lang w:val="sr-Latn-ME"/>
        </w:rPr>
        <w:t xml:space="preserve"> sistemske embolije iznosile su 0,39% godišnje, a događaji </w:t>
      </w:r>
      <w:r w:rsidR="00F7082E" w:rsidRPr="001202A2">
        <w:rPr>
          <w:rFonts w:eastAsia="TimesNewRoman"/>
          <w:szCs w:val="22"/>
          <w:lang w:val="sr-Latn-ME"/>
        </w:rPr>
        <w:t>ozbiljnog</w:t>
      </w:r>
      <w:r w:rsidRPr="001202A2">
        <w:rPr>
          <w:rFonts w:eastAsia="TimesNewRoman"/>
          <w:szCs w:val="22"/>
          <w:lang w:val="sr-Latn-ME"/>
        </w:rPr>
        <w:t xml:space="preserve"> krvarenja javljali su se sa </w:t>
      </w:r>
      <w:r w:rsidR="00F7082E" w:rsidRPr="001202A2">
        <w:rPr>
          <w:rFonts w:eastAsia="TimesNewRoman"/>
          <w:szCs w:val="22"/>
          <w:lang w:val="sr-Latn-ME"/>
        </w:rPr>
        <w:t>učestalošću</w:t>
      </w:r>
      <w:r w:rsidRPr="001202A2">
        <w:rPr>
          <w:rFonts w:eastAsia="TimesNewRoman"/>
          <w:szCs w:val="22"/>
          <w:lang w:val="sr-Latn-ME"/>
        </w:rPr>
        <w:t xml:space="preserve"> 0,73% godišnje.</w:t>
      </w:r>
    </w:p>
    <w:p w14:paraId="0787ECFE" w14:textId="77777777" w:rsidR="00E87DC6" w:rsidRPr="001202A2" w:rsidRDefault="00E87DC6" w:rsidP="00480B31">
      <w:pPr>
        <w:tabs>
          <w:tab w:val="clear" w:pos="284"/>
        </w:tabs>
        <w:autoSpaceDE w:val="0"/>
        <w:autoSpaceDN w:val="0"/>
        <w:adjustRightInd w:val="0"/>
        <w:rPr>
          <w:rFonts w:eastAsia="TimesNewRoman"/>
          <w:szCs w:val="22"/>
          <w:lang w:val="sr-Latn-ME"/>
        </w:rPr>
      </w:pPr>
    </w:p>
    <w:p w14:paraId="7F391381" w14:textId="65A8356F" w:rsidR="00F91B9B" w:rsidRPr="001202A2" w:rsidRDefault="002A2881"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Na osnovu </w:t>
      </w:r>
      <w:r w:rsidR="00F7082E" w:rsidRPr="001202A2">
        <w:rPr>
          <w:rFonts w:eastAsia="TimesNewRoman"/>
          <w:szCs w:val="22"/>
          <w:lang w:val="sr-Latn-ME"/>
        </w:rPr>
        <w:t>zbirnih</w:t>
      </w:r>
      <w:r w:rsidRPr="001202A2">
        <w:rPr>
          <w:rFonts w:eastAsia="TimesNewRoman"/>
          <w:szCs w:val="22"/>
          <w:lang w:val="sr-Latn-ME"/>
        </w:rPr>
        <w:t xml:space="preserve"> podataka iz </w:t>
      </w:r>
      <w:r w:rsidR="00F7082E" w:rsidRPr="001202A2">
        <w:rPr>
          <w:rFonts w:eastAsia="TimesNewRoman"/>
          <w:szCs w:val="22"/>
          <w:lang w:val="sr-Latn-ME"/>
        </w:rPr>
        <w:t>studija</w:t>
      </w:r>
      <w:r w:rsidRPr="001202A2">
        <w:rPr>
          <w:rFonts w:eastAsia="TimesNewRoman"/>
          <w:szCs w:val="22"/>
          <w:lang w:val="sr-Latn-ME"/>
        </w:rPr>
        <w:t xml:space="preserve"> ENGAGE AF, E314 i ETNA-AF, očekuje se da će</w:t>
      </w:r>
      <w:r w:rsidR="00F7082E" w:rsidRPr="001202A2">
        <w:rPr>
          <w:rFonts w:eastAsia="TimesNewRoman"/>
          <w:szCs w:val="22"/>
          <w:lang w:val="sr-Latn-ME"/>
        </w:rPr>
        <w:t>,</w:t>
      </w:r>
      <w:r w:rsidRPr="001202A2">
        <w:rPr>
          <w:rFonts w:eastAsia="TimesNewRoman"/>
          <w:szCs w:val="22"/>
          <w:lang w:val="sr-Latn-ME"/>
        </w:rPr>
        <w:t xml:space="preserve"> kod pacijenata sa NVAF i </w:t>
      </w:r>
      <w:r w:rsidR="00F7082E" w:rsidRPr="001202A2">
        <w:rPr>
          <w:rFonts w:eastAsia="TimesNewRoman"/>
          <w:szCs w:val="22"/>
          <w:lang w:val="sr-Latn-ME"/>
        </w:rPr>
        <w:t>visokom vr</w:t>
      </w:r>
      <w:r w:rsidR="00107D57" w:rsidRPr="001202A2">
        <w:rPr>
          <w:rFonts w:eastAsia="TimesNewRoman"/>
          <w:szCs w:val="22"/>
          <w:lang w:val="sr-Latn-ME"/>
        </w:rPr>
        <w:t>ij</w:t>
      </w:r>
      <w:r w:rsidR="00F7082E" w:rsidRPr="001202A2">
        <w:rPr>
          <w:rFonts w:eastAsia="TimesNewRoman"/>
          <w:szCs w:val="22"/>
          <w:lang w:val="sr-Latn-ME"/>
        </w:rPr>
        <w:t>ednošću CrCl</w:t>
      </w:r>
      <w:r w:rsidRPr="001202A2">
        <w:rPr>
          <w:rFonts w:eastAsia="TimesNewRoman"/>
          <w:szCs w:val="22"/>
          <w:lang w:val="sr-Latn-ME"/>
        </w:rPr>
        <w:t xml:space="preserve"> </w:t>
      </w:r>
      <w:r w:rsidR="00F7082E" w:rsidRPr="001202A2">
        <w:rPr>
          <w:rFonts w:eastAsia="TimesNewRoman"/>
          <w:szCs w:val="22"/>
          <w:lang w:val="sr-Latn-ME"/>
        </w:rPr>
        <w:t>na terapiji</w:t>
      </w:r>
      <w:r w:rsidRPr="001202A2">
        <w:rPr>
          <w:rFonts w:eastAsia="TimesNewRoman"/>
          <w:szCs w:val="22"/>
          <w:lang w:val="sr-Latn-ME"/>
        </w:rPr>
        <w:t xml:space="preserve"> edoksabanom u dozi od 60 mg</w:t>
      </w:r>
      <w:r w:rsidR="00F7082E" w:rsidRPr="001202A2">
        <w:rPr>
          <w:rFonts w:eastAsia="TimesNewRoman"/>
          <w:szCs w:val="22"/>
          <w:lang w:val="sr-Latn-ME"/>
        </w:rPr>
        <w:t>,</w:t>
      </w:r>
      <w:r w:rsidRPr="001202A2">
        <w:rPr>
          <w:rFonts w:eastAsia="TimesNewRoman"/>
          <w:szCs w:val="22"/>
          <w:lang w:val="sr-Latn-ME"/>
        </w:rPr>
        <w:t xml:space="preserve"> godišnja stopa ishemijskog moždanog udara/sistemske embolije </w:t>
      </w:r>
      <w:r w:rsidR="00F7082E" w:rsidRPr="001202A2">
        <w:rPr>
          <w:rFonts w:eastAsia="TimesNewRoman"/>
          <w:szCs w:val="22"/>
          <w:lang w:val="sr-Latn-ME"/>
        </w:rPr>
        <w:t>biti</w:t>
      </w:r>
      <w:r w:rsidRPr="001202A2">
        <w:rPr>
          <w:rFonts w:eastAsia="TimesNewRoman"/>
          <w:szCs w:val="22"/>
          <w:lang w:val="sr-Latn-ME"/>
        </w:rPr>
        <w:t xml:space="preserve"> ≤ 1%. Ne očekuje se da </w:t>
      </w:r>
      <w:r w:rsidR="00F7082E" w:rsidRPr="001202A2">
        <w:rPr>
          <w:rFonts w:eastAsia="TimesNewRoman"/>
          <w:szCs w:val="22"/>
          <w:lang w:val="sr-Latn-ME"/>
        </w:rPr>
        <w:t>će</w:t>
      </w:r>
      <w:r w:rsidRPr="001202A2">
        <w:rPr>
          <w:rFonts w:eastAsia="TimesNewRoman"/>
          <w:szCs w:val="22"/>
          <w:lang w:val="sr-Latn-ME"/>
        </w:rPr>
        <w:t xml:space="preserve"> povećanje doze iznad 60 mg kod pacijenata sa NVAF i </w:t>
      </w:r>
      <w:r w:rsidR="00F7082E" w:rsidRPr="001202A2">
        <w:rPr>
          <w:rFonts w:eastAsia="TimesNewRoman"/>
          <w:szCs w:val="22"/>
          <w:lang w:val="sr-Latn-ME"/>
        </w:rPr>
        <w:t>visokim CrCl</w:t>
      </w:r>
      <w:r w:rsidRPr="001202A2">
        <w:rPr>
          <w:rFonts w:eastAsia="TimesNewRoman"/>
          <w:szCs w:val="22"/>
          <w:lang w:val="sr-Latn-ME"/>
        </w:rPr>
        <w:t xml:space="preserve"> (&gt; 100 </w:t>
      </w:r>
      <w:r w:rsidR="002C0B75" w:rsidRPr="001202A2">
        <w:rPr>
          <w:rFonts w:eastAsia="TimesNewRoman"/>
          <w:szCs w:val="22"/>
          <w:lang w:val="sr-Latn-ME"/>
        </w:rPr>
        <w:t>m</w:t>
      </w:r>
      <w:r w:rsidR="00C154D8" w:rsidRPr="001202A2">
        <w:rPr>
          <w:rFonts w:eastAsia="TimesNewRoman"/>
          <w:szCs w:val="22"/>
          <w:lang w:val="sr-Latn-ME"/>
        </w:rPr>
        <w:t>l</w:t>
      </w:r>
      <w:r w:rsidRPr="001202A2">
        <w:rPr>
          <w:rFonts w:eastAsia="TimesNewRoman"/>
          <w:szCs w:val="22"/>
          <w:lang w:val="sr-Latn-ME"/>
        </w:rPr>
        <w:t xml:space="preserve">/min) </w:t>
      </w:r>
      <w:r w:rsidR="00F7082E" w:rsidRPr="001202A2">
        <w:rPr>
          <w:rFonts w:eastAsia="TimesNewRoman"/>
          <w:szCs w:val="22"/>
          <w:lang w:val="sr-Latn-ME"/>
        </w:rPr>
        <w:t>obezb</w:t>
      </w:r>
      <w:r w:rsidR="00107D57" w:rsidRPr="001202A2">
        <w:rPr>
          <w:rFonts w:eastAsia="TimesNewRoman"/>
          <w:szCs w:val="22"/>
          <w:lang w:val="sr-Latn-ME"/>
        </w:rPr>
        <w:t>ij</w:t>
      </w:r>
      <w:r w:rsidR="00F7082E" w:rsidRPr="001202A2">
        <w:rPr>
          <w:rFonts w:eastAsia="TimesNewRoman"/>
          <w:szCs w:val="22"/>
          <w:lang w:val="sr-Latn-ME"/>
        </w:rPr>
        <w:t>editi</w:t>
      </w:r>
      <w:r w:rsidRPr="001202A2">
        <w:rPr>
          <w:rFonts w:eastAsia="TimesNewRoman"/>
          <w:szCs w:val="22"/>
          <w:lang w:val="sr-Latn-ME"/>
        </w:rPr>
        <w:t xml:space="preserve"> bolju zaštitu </w:t>
      </w:r>
      <w:r w:rsidR="00F7082E" w:rsidRPr="001202A2">
        <w:rPr>
          <w:rFonts w:eastAsia="TimesNewRoman"/>
          <w:szCs w:val="22"/>
          <w:lang w:val="sr-Latn-ME"/>
        </w:rPr>
        <w:t>od</w:t>
      </w:r>
      <w:r w:rsidRPr="001202A2">
        <w:rPr>
          <w:rFonts w:eastAsia="TimesNewRoman"/>
          <w:szCs w:val="22"/>
          <w:lang w:val="sr-Latn-ME"/>
        </w:rPr>
        <w:t xml:space="preserve"> moždanog udara, a može biti povezano sa većim brojem neželjenih dejstava. </w:t>
      </w:r>
      <w:r w:rsidR="00F7082E" w:rsidRPr="001202A2">
        <w:rPr>
          <w:rFonts w:eastAsia="TimesNewRoman"/>
          <w:szCs w:val="22"/>
          <w:lang w:val="sr-Latn-ME"/>
        </w:rPr>
        <w:t>Stoga</w:t>
      </w:r>
      <w:r w:rsidRPr="001202A2">
        <w:rPr>
          <w:rFonts w:eastAsia="TimesNewRoman"/>
          <w:szCs w:val="22"/>
          <w:lang w:val="sr-Latn-ME"/>
        </w:rPr>
        <w:t>, nakon pažljive proc</w:t>
      </w:r>
      <w:r w:rsidR="00107D57" w:rsidRPr="001202A2">
        <w:rPr>
          <w:rFonts w:eastAsia="TimesNewRoman"/>
          <w:szCs w:val="22"/>
          <w:lang w:val="sr-Latn-ME"/>
        </w:rPr>
        <w:t>j</w:t>
      </w:r>
      <w:r w:rsidRPr="001202A2">
        <w:rPr>
          <w:rFonts w:eastAsia="TimesNewRoman"/>
          <w:szCs w:val="22"/>
          <w:lang w:val="sr-Latn-ME"/>
        </w:rPr>
        <w:t>ene</w:t>
      </w:r>
      <w:r w:rsidR="001123CD" w:rsidRPr="001202A2">
        <w:rPr>
          <w:rFonts w:eastAsia="TimesNewRoman"/>
          <w:szCs w:val="22"/>
          <w:lang w:val="sr-Latn-ME"/>
        </w:rPr>
        <w:t xml:space="preserve"> rizika od pojave tromboembolizma</w:t>
      </w:r>
      <w:r w:rsidRPr="001202A2">
        <w:rPr>
          <w:rFonts w:eastAsia="TimesNewRoman"/>
          <w:szCs w:val="22"/>
          <w:lang w:val="sr-Latn-ME"/>
        </w:rPr>
        <w:t xml:space="preserve"> i </w:t>
      </w:r>
      <w:r w:rsidRPr="001202A2">
        <w:rPr>
          <w:rFonts w:eastAsia="TimesNewRoman"/>
          <w:szCs w:val="22"/>
          <w:lang w:val="sr-Latn-ME"/>
        </w:rPr>
        <w:lastRenderedPageBreak/>
        <w:t xml:space="preserve">krvarenja kod svakog pacijenta, preporučuje se </w:t>
      </w:r>
      <w:r w:rsidR="00F7082E" w:rsidRPr="001202A2">
        <w:rPr>
          <w:rFonts w:eastAsia="TimesNewRoman"/>
          <w:szCs w:val="22"/>
          <w:lang w:val="sr-Latn-ME"/>
        </w:rPr>
        <w:t>prim</w:t>
      </w:r>
      <w:r w:rsidR="00107D57" w:rsidRPr="001202A2">
        <w:rPr>
          <w:rFonts w:eastAsia="TimesNewRoman"/>
          <w:szCs w:val="22"/>
          <w:lang w:val="sr-Latn-ME"/>
        </w:rPr>
        <w:t>j</w:t>
      </w:r>
      <w:r w:rsidR="00F7082E" w:rsidRPr="001202A2">
        <w:rPr>
          <w:rFonts w:eastAsia="TimesNewRoman"/>
          <w:szCs w:val="22"/>
          <w:lang w:val="sr-Latn-ME"/>
        </w:rPr>
        <w:t>ena</w:t>
      </w:r>
      <w:r w:rsidRPr="001202A2">
        <w:rPr>
          <w:rFonts w:eastAsia="TimesNewRoman"/>
          <w:szCs w:val="22"/>
          <w:lang w:val="sr-Latn-ME"/>
        </w:rPr>
        <w:t xml:space="preserve"> edoksabana u dozi od 60 mg jednom dnevno </w:t>
      </w:r>
      <w:r w:rsidR="00F7082E" w:rsidRPr="001202A2">
        <w:rPr>
          <w:rFonts w:eastAsia="TimesNewRoman"/>
          <w:szCs w:val="22"/>
          <w:lang w:val="sr-Latn-ME"/>
        </w:rPr>
        <w:t xml:space="preserve">u ovoj grupi pacijenata </w:t>
      </w:r>
      <w:r w:rsidRPr="001202A2">
        <w:rPr>
          <w:rFonts w:eastAsia="TimesNewRoman"/>
          <w:szCs w:val="22"/>
          <w:lang w:val="sr-Latn-ME"/>
        </w:rPr>
        <w:t>(vid</w:t>
      </w:r>
      <w:r w:rsidR="00107D57" w:rsidRPr="001202A2">
        <w:rPr>
          <w:rFonts w:eastAsia="TimesNewRoman"/>
          <w:szCs w:val="22"/>
          <w:lang w:val="sr-Latn-ME"/>
        </w:rPr>
        <w:t>j</w:t>
      </w:r>
      <w:r w:rsidRPr="001202A2">
        <w:rPr>
          <w:rFonts w:eastAsia="TimesNewRoman"/>
          <w:szCs w:val="22"/>
          <w:lang w:val="sr-Latn-ME"/>
        </w:rPr>
        <w:t xml:space="preserve">eti </w:t>
      </w:r>
      <w:r w:rsidR="00107D57" w:rsidRPr="001202A2">
        <w:rPr>
          <w:rFonts w:eastAsia="TimesNewRoman"/>
          <w:szCs w:val="22"/>
          <w:lang w:val="sr-Latn-ME"/>
        </w:rPr>
        <w:t>dio</w:t>
      </w:r>
      <w:r w:rsidRPr="001202A2">
        <w:rPr>
          <w:rFonts w:eastAsia="TimesNewRoman"/>
          <w:szCs w:val="22"/>
          <w:lang w:val="sr-Latn-ME"/>
        </w:rPr>
        <w:t xml:space="preserve"> 4.4).</w:t>
      </w:r>
    </w:p>
    <w:p w14:paraId="0116D226"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378E3950" w14:textId="77777777" w:rsidR="00F46022" w:rsidRPr="001202A2" w:rsidRDefault="00F46022" w:rsidP="00480B31">
      <w:pPr>
        <w:tabs>
          <w:tab w:val="clear" w:pos="284"/>
        </w:tabs>
        <w:autoSpaceDE w:val="0"/>
        <w:autoSpaceDN w:val="0"/>
        <w:adjustRightInd w:val="0"/>
        <w:rPr>
          <w:i/>
          <w:iCs/>
          <w:szCs w:val="22"/>
          <w:lang w:val="sr-Latn-ME"/>
        </w:rPr>
      </w:pPr>
      <w:r w:rsidRPr="001202A2">
        <w:rPr>
          <w:i/>
          <w:iCs/>
          <w:szCs w:val="22"/>
          <w:lang w:val="sr-Latn-ME"/>
        </w:rPr>
        <w:t>Pacijenti koji će biti podvrgnuti kardioverziji</w:t>
      </w:r>
    </w:p>
    <w:p w14:paraId="58ECBA3E" w14:textId="14614AE6" w:rsidR="00F46022" w:rsidRPr="001202A2" w:rsidRDefault="00A154B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Sprovedena</w:t>
      </w:r>
      <w:r w:rsidR="00F46022" w:rsidRPr="001202A2">
        <w:rPr>
          <w:rFonts w:eastAsia="TimesNewRoman"/>
          <w:szCs w:val="22"/>
          <w:lang w:val="sr-Latn-ME"/>
        </w:rPr>
        <w:t xml:space="preserve"> je multicentrič</w:t>
      </w:r>
      <w:r w:rsidRPr="001202A2">
        <w:rPr>
          <w:rFonts w:eastAsia="TimesNewRoman"/>
          <w:szCs w:val="22"/>
          <w:lang w:val="sr-Latn-ME"/>
        </w:rPr>
        <w:t>na, prospektivna, randomizovana, studija otvorenog dizajna</w:t>
      </w:r>
      <w:r w:rsidR="00F46022" w:rsidRPr="001202A2">
        <w:rPr>
          <w:rFonts w:eastAsia="TimesNewRoman"/>
          <w:szCs w:val="22"/>
          <w:lang w:val="sr-Latn-ME"/>
        </w:rPr>
        <w:t xml:space="preserve"> sa sl</w:t>
      </w:r>
      <w:r w:rsidR="00107D57" w:rsidRPr="001202A2">
        <w:rPr>
          <w:rFonts w:eastAsia="TimesNewRoman"/>
          <w:szCs w:val="22"/>
          <w:lang w:val="sr-Latn-ME"/>
        </w:rPr>
        <w:t>ij</w:t>
      </w:r>
      <w:r w:rsidR="00F46022" w:rsidRPr="001202A2">
        <w:rPr>
          <w:rFonts w:eastAsia="TimesNewRoman"/>
          <w:szCs w:val="22"/>
          <w:lang w:val="sr-Latn-ME"/>
        </w:rPr>
        <w:t>epom proc</w:t>
      </w:r>
      <w:r w:rsidR="00107D57" w:rsidRPr="001202A2">
        <w:rPr>
          <w:rFonts w:eastAsia="TimesNewRoman"/>
          <w:szCs w:val="22"/>
          <w:lang w:val="sr-Latn-ME"/>
        </w:rPr>
        <w:t>j</w:t>
      </w:r>
      <w:r w:rsidR="00F46022" w:rsidRPr="001202A2">
        <w:rPr>
          <w:rFonts w:eastAsia="TimesNewRoman"/>
          <w:szCs w:val="22"/>
          <w:lang w:val="sr-Latn-ME"/>
        </w:rPr>
        <w:t>enom</w:t>
      </w:r>
      <w:r w:rsidR="00C90F85" w:rsidRPr="001202A2">
        <w:rPr>
          <w:rFonts w:eastAsia="TimesNewRoman"/>
          <w:szCs w:val="22"/>
          <w:lang w:val="sr-Latn-ME"/>
        </w:rPr>
        <w:t xml:space="preserve"> </w:t>
      </w:r>
      <w:r w:rsidR="00F46022" w:rsidRPr="001202A2">
        <w:rPr>
          <w:rFonts w:eastAsia="TimesNewRoman"/>
          <w:szCs w:val="22"/>
          <w:lang w:val="sr-Latn-ME"/>
        </w:rPr>
        <w:t>parametra praćenja (ENSURE-AF)</w:t>
      </w:r>
      <w:r w:rsidRPr="001202A2">
        <w:rPr>
          <w:rFonts w:eastAsia="TimesNewRoman"/>
          <w:szCs w:val="22"/>
          <w:lang w:val="sr-Latn-ME"/>
        </w:rPr>
        <w:t>,</w:t>
      </w:r>
      <w:r w:rsidR="00F46022" w:rsidRPr="001202A2">
        <w:rPr>
          <w:rFonts w:eastAsia="TimesNewRoman"/>
          <w:szCs w:val="22"/>
          <w:lang w:val="sr-Latn-ME"/>
        </w:rPr>
        <w:t xml:space="preserve"> u </w:t>
      </w:r>
      <w:r w:rsidRPr="001202A2">
        <w:rPr>
          <w:rFonts w:eastAsia="TimesNewRoman"/>
          <w:szCs w:val="22"/>
          <w:lang w:val="sr-Latn-ME"/>
        </w:rPr>
        <w:t>kojoj</w:t>
      </w:r>
      <w:r w:rsidR="00F46022" w:rsidRPr="001202A2">
        <w:rPr>
          <w:rFonts w:eastAsia="TimesNewRoman"/>
          <w:szCs w:val="22"/>
          <w:lang w:val="sr-Latn-ME"/>
        </w:rPr>
        <w:t xml:space="preserve"> je randomizovano 2199 ispitanika (koji </w:t>
      </w:r>
      <w:r w:rsidRPr="001202A2">
        <w:rPr>
          <w:rFonts w:eastAsia="TimesNewRoman"/>
          <w:szCs w:val="22"/>
          <w:lang w:val="sr-Latn-ME"/>
        </w:rPr>
        <w:t>ranije</w:t>
      </w:r>
      <w:r w:rsidR="00F46022" w:rsidRPr="001202A2">
        <w:rPr>
          <w:rFonts w:eastAsia="TimesNewRoman"/>
          <w:szCs w:val="22"/>
          <w:lang w:val="sr-Latn-ME"/>
        </w:rPr>
        <w:t xml:space="preserve"> ni</w:t>
      </w:r>
      <w:r w:rsidR="00E87DC6" w:rsidRPr="001202A2">
        <w:rPr>
          <w:rFonts w:eastAsia="TimesNewRoman"/>
          <w:szCs w:val="22"/>
          <w:lang w:val="sr-Latn-ME"/>
        </w:rPr>
        <w:t>je</w:t>
      </w:r>
      <w:r w:rsidR="00F46022" w:rsidRPr="001202A2">
        <w:rPr>
          <w:rFonts w:eastAsia="TimesNewRoman"/>
          <w:szCs w:val="22"/>
          <w:lang w:val="sr-Latn-ME"/>
        </w:rPr>
        <w:t>su</w:t>
      </w:r>
      <w:r w:rsidR="00C90F85" w:rsidRPr="001202A2">
        <w:rPr>
          <w:rFonts w:eastAsia="TimesNewRoman"/>
          <w:szCs w:val="22"/>
          <w:lang w:val="sr-Latn-ME"/>
        </w:rPr>
        <w:t xml:space="preserve"> </w:t>
      </w:r>
      <w:r w:rsidR="00F46022" w:rsidRPr="001202A2">
        <w:rPr>
          <w:rFonts w:eastAsia="TimesNewRoman"/>
          <w:szCs w:val="22"/>
          <w:lang w:val="sr-Latn-ME"/>
        </w:rPr>
        <w:t>bili l</w:t>
      </w:r>
      <w:r w:rsidR="00107D57" w:rsidRPr="001202A2">
        <w:rPr>
          <w:rFonts w:eastAsia="TimesNewRoman"/>
          <w:szCs w:val="22"/>
          <w:lang w:val="sr-Latn-ME"/>
        </w:rPr>
        <w:t>ij</w:t>
      </w:r>
      <w:r w:rsidR="00F46022" w:rsidRPr="001202A2">
        <w:rPr>
          <w:rFonts w:eastAsia="TimesNewRoman"/>
          <w:szCs w:val="22"/>
          <w:lang w:val="sr-Latn-ME"/>
        </w:rPr>
        <w:t>ečeni oralnim antikoagulansima i koji su već l</w:t>
      </w:r>
      <w:r w:rsidR="00107D57" w:rsidRPr="001202A2">
        <w:rPr>
          <w:rFonts w:eastAsia="TimesNewRoman"/>
          <w:szCs w:val="22"/>
          <w:lang w:val="sr-Latn-ME"/>
        </w:rPr>
        <w:t>ij</w:t>
      </w:r>
      <w:r w:rsidR="00F46022" w:rsidRPr="001202A2">
        <w:rPr>
          <w:rFonts w:eastAsia="TimesNewRoman"/>
          <w:szCs w:val="22"/>
          <w:lang w:val="sr-Latn-ME"/>
        </w:rPr>
        <w:t>ečeni) sa NVAF predviđ</w:t>
      </w:r>
      <w:r w:rsidRPr="001202A2">
        <w:rPr>
          <w:rFonts w:eastAsia="TimesNewRoman"/>
          <w:szCs w:val="22"/>
          <w:lang w:val="sr-Latn-ME"/>
        </w:rPr>
        <w:t>enih</w:t>
      </w:r>
      <w:r w:rsidR="00F46022" w:rsidRPr="001202A2">
        <w:rPr>
          <w:rFonts w:eastAsia="TimesNewRoman"/>
          <w:szCs w:val="22"/>
          <w:lang w:val="sr-Latn-ME"/>
        </w:rPr>
        <w:t xml:space="preserve"> za kardioverziju,</w:t>
      </w:r>
      <w:r w:rsidR="00C90F85" w:rsidRPr="001202A2">
        <w:rPr>
          <w:rFonts w:eastAsia="TimesNewRoman"/>
          <w:szCs w:val="22"/>
          <w:lang w:val="sr-Latn-ME"/>
        </w:rPr>
        <w:t xml:space="preserve"> </w:t>
      </w:r>
      <w:r w:rsidR="00F46022" w:rsidRPr="001202A2">
        <w:rPr>
          <w:rFonts w:eastAsia="TimesNewRoman"/>
          <w:szCs w:val="22"/>
          <w:lang w:val="sr-Latn-ME"/>
        </w:rPr>
        <w:t>kako bi se uporedila prim</w:t>
      </w:r>
      <w:r w:rsidR="00107D57" w:rsidRPr="001202A2">
        <w:rPr>
          <w:rFonts w:eastAsia="TimesNewRoman"/>
          <w:szCs w:val="22"/>
          <w:lang w:val="sr-Latn-ME"/>
        </w:rPr>
        <w:t>j</w:t>
      </w:r>
      <w:r w:rsidR="00F46022" w:rsidRPr="001202A2">
        <w:rPr>
          <w:rFonts w:eastAsia="TimesNewRoman"/>
          <w:szCs w:val="22"/>
          <w:lang w:val="sr-Latn-ME"/>
        </w:rPr>
        <w:t>ena edoksabana u dozi od 60 mg jednom dnevno sa kombinacijom</w:t>
      </w:r>
      <w:r w:rsidR="00C90F85" w:rsidRPr="001202A2">
        <w:rPr>
          <w:rFonts w:eastAsia="TimesNewRoman"/>
          <w:szCs w:val="22"/>
          <w:lang w:val="sr-Latn-ME"/>
        </w:rPr>
        <w:t xml:space="preserve"> </w:t>
      </w:r>
      <w:r w:rsidR="00F46022" w:rsidRPr="001202A2">
        <w:rPr>
          <w:rFonts w:eastAsia="TimesNewRoman"/>
          <w:szCs w:val="22"/>
          <w:lang w:val="sr-Latn-ME"/>
        </w:rPr>
        <w:t>enoksaparin/varfarin radi održavanja terapijskog INR</w:t>
      </w:r>
      <w:r w:rsidR="00D45E3D" w:rsidRPr="001202A2">
        <w:rPr>
          <w:rFonts w:eastAsia="TimesNewRoman"/>
          <w:szCs w:val="22"/>
          <w:lang w:val="sr-Latn-ME"/>
        </w:rPr>
        <w:t>-a</w:t>
      </w:r>
      <w:r w:rsidR="00F46022" w:rsidRPr="001202A2">
        <w:rPr>
          <w:rFonts w:eastAsia="TimesNewRoman"/>
          <w:szCs w:val="22"/>
          <w:lang w:val="sr-Latn-ME"/>
        </w:rPr>
        <w:t xml:space="preserve"> od 2,0 do 3,0 (randomizovani 1:1), srednja</w:t>
      </w:r>
      <w:r w:rsidR="00C90F85" w:rsidRPr="001202A2">
        <w:rPr>
          <w:rFonts w:eastAsia="TimesNewRoman"/>
          <w:szCs w:val="22"/>
          <w:lang w:val="sr-Latn-ME"/>
        </w:rPr>
        <w:t xml:space="preserve"> </w:t>
      </w:r>
      <w:r w:rsidR="00F46022" w:rsidRPr="001202A2">
        <w:rPr>
          <w:rFonts w:eastAsia="TimesNewRoman"/>
          <w:szCs w:val="22"/>
          <w:lang w:val="sr-Latn-ME"/>
        </w:rPr>
        <w:t>vr</w:t>
      </w:r>
      <w:r w:rsidR="00107D57" w:rsidRPr="001202A2">
        <w:rPr>
          <w:rFonts w:eastAsia="TimesNewRoman"/>
          <w:szCs w:val="22"/>
          <w:lang w:val="sr-Latn-ME"/>
        </w:rPr>
        <w:t>ij</w:t>
      </w:r>
      <w:r w:rsidR="00F46022" w:rsidRPr="001202A2">
        <w:rPr>
          <w:rFonts w:eastAsia="TimesNewRoman"/>
          <w:szCs w:val="22"/>
          <w:lang w:val="sr-Latn-ME"/>
        </w:rPr>
        <w:t xml:space="preserve">ednost TTR </w:t>
      </w:r>
      <w:r w:rsidRPr="001202A2">
        <w:rPr>
          <w:rFonts w:eastAsia="TimesNewRoman"/>
          <w:szCs w:val="22"/>
          <w:lang w:val="sr-Latn-ME"/>
        </w:rPr>
        <w:t>za</w:t>
      </w:r>
      <w:r w:rsidR="00F46022" w:rsidRPr="001202A2">
        <w:rPr>
          <w:rFonts w:eastAsia="TimesNewRoman"/>
          <w:szCs w:val="22"/>
          <w:lang w:val="sr-Latn-ME"/>
        </w:rPr>
        <w:t xml:space="preserve"> varfarin </w:t>
      </w:r>
      <w:r w:rsidRPr="001202A2">
        <w:rPr>
          <w:rFonts w:eastAsia="TimesNewRoman"/>
          <w:szCs w:val="22"/>
          <w:lang w:val="sr-Latn-ME"/>
        </w:rPr>
        <w:t>iznosila</w:t>
      </w:r>
      <w:r w:rsidR="00F46022" w:rsidRPr="001202A2">
        <w:rPr>
          <w:rFonts w:eastAsia="TimesNewRoman"/>
          <w:szCs w:val="22"/>
          <w:lang w:val="sr-Latn-ME"/>
        </w:rPr>
        <w:t xml:space="preserve"> je 70,8%. Ukupno 2149 ispitanika l</w:t>
      </w:r>
      <w:r w:rsidR="00107D57" w:rsidRPr="001202A2">
        <w:rPr>
          <w:rFonts w:eastAsia="TimesNewRoman"/>
          <w:szCs w:val="22"/>
          <w:lang w:val="sr-Latn-ME"/>
        </w:rPr>
        <w:t>ij</w:t>
      </w:r>
      <w:r w:rsidR="00F46022" w:rsidRPr="001202A2">
        <w:rPr>
          <w:rFonts w:eastAsia="TimesNewRoman"/>
          <w:szCs w:val="22"/>
          <w:lang w:val="sr-Latn-ME"/>
        </w:rPr>
        <w:t>ečeno je edoksabanom (N = 1067)</w:t>
      </w:r>
      <w:r w:rsidR="00C90F85" w:rsidRPr="001202A2">
        <w:rPr>
          <w:rFonts w:eastAsia="TimesNewRoman"/>
          <w:szCs w:val="22"/>
          <w:lang w:val="sr-Latn-ME"/>
        </w:rPr>
        <w:t xml:space="preserve"> </w:t>
      </w:r>
      <w:r w:rsidR="00F46022" w:rsidRPr="001202A2">
        <w:rPr>
          <w:rFonts w:eastAsia="TimesNewRoman"/>
          <w:szCs w:val="22"/>
          <w:lang w:val="sr-Latn-ME"/>
        </w:rPr>
        <w:t>ili kombinacijom enoksaparin/varfarin (N = 1082). Ispitanici u grupi koja je l</w:t>
      </w:r>
      <w:r w:rsidR="00107D57" w:rsidRPr="001202A2">
        <w:rPr>
          <w:rFonts w:eastAsia="TimesNewRoman"/>
          <w:szCs w:val="22"/>
          <w:lang w:val="sr-Latn-ME"/>
        </w:rPr>
        <w:t>ij</w:t>
      </w:r>
      <w:r w:rsidR="00F46022" w:rsidRPr="001202A2">
        <w:rPr>
          <w:rFonts w:eastAsia="TimesNewRoman"/>
          <w:szCs w:val="22"/>
          <w:lang w:val="sr-Latn-ME"/>
        </w:rPr>
        <w:t>ečena edoksabanom</w:t>
      </w:r>
      <w:r w:rsidR="00C90F85" w:rsidRPr="001202A2">
        <w:rPr>
          <w:rFonts w:eastAsia="TimesNewRoman"/>
          <w:szCs w:val="22"/>
          <w:lang w:val="sr-Latn-ME"/>
        </w:rPr>
        <w:t xml:space="preserve"> </w:t>
      </w:r>
      <w:r w:rsidR="00F46022" w:rsidRPr="001202A2">
        <w:rPr>
          <w:rFonts w:eastAsia="TimesNewRoman"/>
          <w:szCs w:val="22"/>
          <w:lang w:val="sr-Latn-ME"/>
        </w:rPr>
        <w:t>prim</w:t>
      </w:r>
      <w:r w:rsidRPr="001202A2">
        <w:rPr>
          <w:rFonts w:eastAsia="TimesNewRoman"/>
          <w:szCs w:val="22"/>
          <w:lang w:val="sr-Latn-ME"/>
        </w:rPr>
        <w:t>i</w:t>
      </w:r>
      <w:r w:rsidR="00F46022" w:rsidRPr="001202A2">
        <w:rPr>
          <w:rFonts w:eastAsia="TimesNewRoman"/>
          <w:szCs w:val="22"/>
          <w:lang w:val="sr-Latn-ME"/>
        </w:rPr>
        <w:t>li su 30 mg jednom dnevno</w:t>
      </w:r>
      <w:r w:rsidRPr="001202A2">
        <w:rPr>
          <w:rFonts w:eastAsia="TimesNewRoman"/>
          <w:szCs w:val="22"/>
          <w:lang w:val="sr-Latn-ME"/>
        </w:rPr>
        <w:t>,</w:t>
      </w:r>
      <w:r w:rsidR="00F46022" w:rsidRPr="001202A2">
        <w:rPr>
          <w:rFonts w:eastAsia="TimesNewRoman"/>
          <w:szCs w:val="22"/>
          <w:lang w:val="sr-Latn-ME"/>
        </w:rPr>
        <w:t xml:space="preserve"> ako je bio prisutan jedan ili više sl</w:t>
      </w:r>
      <w:r w:rsidR="00107D57" w:rsidRPr="001202A2">
        <w:rPr>
          <w:rFonts w:eastAsia="TimesNewRoman"/>
          <w:szCs w:val="22"/>
          <w:lang w:val="sr-Latn-ME"/>
        </w:rPr>
        <w:t>j</w:t>
      </w:r>
      <w:r w:rsidR="00F46022" w:rsidRPr="001202A2">
        <w:rPr>
          <w:rFonts w:eastAsia="TimesNewRoman"/>
          <w:szCs w:val="22"/>
          <w:lang w:val="sr-Latn-ME"/>
        </w:rPr>
        <w:t>edećih kliničkih faktora: um</w:t>
      </w:r>
      <w:r w:rsidR="00107D57" w:rsidRPr="001202A2">
        <w:rPr>
          <w:rFonts w:eastAsia="TimesNewRoman"/>
          <w:szCs w:val="22"/>
          <w:lang w:val="sr-Latn-ME"/>
        </w:rPr>
        <w:t>j</w:t>
      </w:r>
      <w:r w:rsidR="00F46022" w:rsidRPr="001202A2">
        <w:rPr>
          <w:rFonts w:eastAsia="TimesNewRoman"/>
          <w:szCs w:val="22"/>
          <w:lang w:val="sr-Latn-ME"/>
        </w:rPr>
        <w:t>ereno</w:t>
      </w:r>
      <w:r w:rsidR="00C90F85" w:rsidRPr="001202A2">
        <w:rPr>
          <w:rFonts w:eastAsia="TimesNewRoman"/>
          <w:szCs w:val="22"/>
          <w:lang w:val="sr-Latn-ME"/>
        </w:rPr>
        <w:t xml:space="preserve"> </w:t>
      </w:r>
      <w:r w:rsidR="00F46022" w:rsidRPr="001202A2">
        <w:rPr>
          <w:rFonts w:eastAsia="TimesNewRoman"/>
          <w:szCs w:val="22"/>
          <w:lang w:val="sr-Latn-ME"/>
        </w:rPr>
        <w:t xml:space="preserve">oštećenje funkcije bubrega (CrCl 30 – 50 </w:t>
      </w:r>
      <w:r w:rsidR="007906CB" w:rsidRPr="001202A2">
        <w:rPr>
          <w:rFonts w:eastAsia="TimesNewRoman"/>
          <w:szCs w:val="22"/>
          <w:lang w:val="sr-Latn-ME"/>
        </w:rPr>
        <w:t>m</w:t>
      </w:r>
      <w:r w:rsidR="00C154D8" w:rsidRPr="001202A2">
        <w:rPr>
          <w:rFonts w:eastAsia="TimesNewRoman"/>
          <w:szCs w:val="22"/>
          <w:lang w:val="sr-Latn-ME"/>
        </w:rPr>
        <w:t>l</w:t>
      </w:r>
      <w:r w:rsidR="00F46022" w:rsidRPr="001202A2">
        <w:rPr>
          <w:rFonts w:eastAsia="TimesNewRoman"/>
          <w:szCs w:val="22"/>
          <w:lang w:val="sr-Latn-ME"/>
        </w:rPr>
        <w:t>/min), mala t</w:t>
      </w:r>
      <w:r w:rsidR="00107D57" w:rsidRPr="001202A2">
        <w:rPr>
          <w:rFonts w:eastAsia="TimesNewRoman"/>
          <w:szCs w:val="22"/>
          <w:lang w:val="sr-Latn-ME"/>
        </w:rPr>
        <w:t>j</w:t>
      </w:r>
      <w:r w:rsidR="00F46022" w:rsidRPr="001202A2">
        <w:rPr>
          <w:rFonts w:eastAsia="TimesNewRoman"/>
          <w:szCs w:val="22"/>
          <w:lang w:val="sr-Latn-ME"/>
        </w:rPr>
        <w:t>elesna masa (</w:t>
      </w:r>
      <w:r w:rsidRPr="001202A2">
        <w:rPr>
          <w:szCs w:val="22"/>
          <w:lang w:val="sr-Latn-ME"/>
        </w:rPr>
        <w:t xml:space="preserve">≤ </w:t>
      </w:r>
      <w:r w:rsidR="00F46022" w:rsidRPr="001202A2">
        <w:rPr>
          <w:rFonts w:eastAsia="TimesNewRoman"/>
          <w:szCs w:val="22"/>
          <w:lang w:val="sr-Latn-ME"/>
        </w:rPr>
        <w:t>60 kg) ili istovremena</w:t>
      </w:r>
      <w:r w:rsidR="00C90F85" w:rsidRPr="001202A2">
        <w:rPr>
          <w:rFonts w:eastAsia="TimesNewRoman"/>
          <w:szCs w:val="22"/>
          <w:lang w:val="sr-Latn-ME"/>
        </w:rPr>
        <w:t xml:space="preserve"> </w:t>
      </w:r>
      <w:r w:rsidR="00F46022" w:rsidRPr="001202A2">
        <w:rPr>
          <w:rFonts w:eastAsia="TimesNewRoman"/>
          <w:szCs w:val="22"/>
          <w:lang w:val="sr-Latn-ME"/>
        </w:rPr>
        <w:t>prim</w:t>
      </w:r>
      <w:r w:rsidR="00107D57" w:rsidRPr="001202A2">
        <w:rPr>
          <w:rFonts w:eastAsia="TimesNewRoman"/>
          <w:szCs w:val="22"/>
          <w:lang w:val="sr-Latn-ME"/>
        </w:rPr>
        <w:t>j</w:t>
      </w:r>
      <w:r w:rsidR="00F46022" w:rsidRPr="001202A2">
        <w:rPr>
          <w:rFonts w:eastAsia="TimesNewRoman"/>
          <w:szCs w:val="22"/>
          <w:lang w:val="sr-Latn-ME"/>
        </w:rPr>
        <w:t xml:space="preserve">ena </w:t>
      </w:r>
      <w:r w:rsidRPr="001202A2">
        <w:rPr>
          <w:rFonts w:eastAsia="TimesNewRoman"/>
          <w:szCs w:val="22"/>
          <w:lang w:val="sr-Latn-ME"/>
        </w:rPr>
        <w:t>određenih</w:t>
      </w:r>
      <w:r w:rsidR="00F46022" w:rsidRPr="001202A2">
        <w:rPr>
          <w:rFonts w:eastAsia="TimesNewRoman"/>
          <w:szCs w:val="22"/>
          <w:lang w:val="sr-Latn-ME"/>
        </w:rPr>
        <w:t xml:space="preserve"> inhibitora P-gp. Kod većine ispitanika u grupama koje su</w:t>
      </w:r>
      <w:r w:rsidR="007135A6" w:rsidRPr="001202A2">
        <w:rPr>
          <w:rFonts w:eastAsia="TimesNewRoman"/>
          <w:szCs w:val="22"/>
          <w:lang w:val="sr-Latn-ME"/>
        </w:rPr>
        <w:t xml:space="preserve"> primi</w:t>
      </w:r>
      <w:r w:rsidR="00F46022" w:rsidRPr="001202A2">
        <w:rPr>
          <w:rFonts w:eastAsia="TimesNewRoman"/>
          <w:szCs w:val="22"/>
          <w:lang w:val="sr-Latn-ME"/>
        </w:rPr>
        <w:t xml:space="preserve">le edoksaban </w:t>
      </w:r>
      <w:r w:rsidR="007135A6" w:rsidRPr="001202A2">
        <w:rPr>
          <w:rFonts w:eastAsia="TimesNewRoman"/>
          <w:szCs w:val="22"/>
          <w:lang w:val="sr-Latn-ME"/>
        </w:rPr>
        <w:t>i</w:t>
      </w:r>
      <w:r w:rsidR="00C90F85" w:rsidRPr="001202A2">
        <w:rPr>
          <w:rFonts w:eastAsia="TimesNewRoman"/>
          <w:szCs w:val="22"/>
          <w:lang w:val="sr-Latn-ME"/>
        </w:rPr>
        <w:t xml:space="preserve"> </w:t>
      </w:r>
      <w:r w:rsidR="00F46022" w:rsidRPr="001202A2">
        <w:rPr>
          <w:rFonts w:eastAsia="TimesNewRoman"/>
          <w:szCs w:val="22"/>
          <w:lang w:val="sr-Latn-ME"/>
        </w:rPr>
        <w:t>varfarin</w:t>
      </w:r>
      <w:r w:rsidR="007135A6" w:rsidRPr="001202A2">
        <w:rPr>
          <w:rFonts w:eastAsia="TimesNewRoman"/>
          <w:szCs w:val="22"/>
          <w:lang w:val="sr-Latn-ME"/>
        </w:rPr>
        <w:t>,</w:t>
      </w:r>
      <w:r w:rsidR="00F46022" w:rsidRPr="001202A2">
        <w:rPr>
          <w:rFonts w:eastAsia="TimesNewRoman"/>
          <w:szCs w:val="22"/>
          <w:lang w:val="sr-Latn-ME"/>
        </w:rPr>
        <w:t xml:space="preserve"> sprovedena</w:t>
      </w:r>
      <w:r w:rsidR="007135A6" w:rsidRPr="001202A2">
        <w:rPr>
          <w:rFonts w:eastAsia="TimesNewRoman"/>
          <w:szCs w:val="22"/>
          <w:lang w:val="sr-Latn-ME"/>
        </w:rPr>
        <w:t xml:space="preserve"> je</w:t>
      </w:r>
      <w:r w:rsidR="00F46022" w:rsidRPr="001202A2">
        <w:rPr>
          <w:rFonts w:eastAsia="TimesNewRoman"/>
          <w:szCs w:val="22"/>
          <w:lang w:val="sr-Latn-ME"/>
        </w:rPr>
        <w:t xml:space="preserve"> kardioverzija (83,7% i 78,9%) ili je konverzija nastupila spontano (6,6% </w:t>
      </w:r>
      <w:r w:rsidR="007135A6" w:rsidRPr="001202A2">
        <w:rPr>
          <w:rFonts w:eastAsia="TimesNewRoman"/>
          <w:szCs w:val="22"/>
          <w:lang w:val="sr-Latn-ME"/>
        </w:rPr>
        <w:t>i</w:t>
      </w:r>
      <w:r w:rsidR="00C90F85" w:rsidRPr="001202A2">
        <w:rPr>
          <w:rFonts w:eastAsia="TimesNewRoman"/>
          <w:szCs w:val="22"/>
          <w:lang w:val="sr-Latn-ME"/>
        </w:rPr>
        <w:t xml:space="preserve"> </w:t>
      </w:r>
      <w:r w:rsidR="00F46022" w:rsidRPr="001202A2">
        <w:rPr>
          <w:rFonts w:eastAsia="TimesNewRoman"/>
          <w:szCs w:val="22"/>
          <w:lang w:val="sr-Latn-ME"/>
        </w:rPr>
        <w:t xml:space="preserve">8,6%). </w:t>
      </w:r>
      <w:r w:rsidR="007135A6" w:rsidRPr="001202A2">
        <w:rPr>
          <w:rFonts w:eastAsia="TimesNewRoman"/>
          <w:szCs w:val="22"/>
          <w:lang w:val="sr-Latn-ME"/>
        </w:rPr>
        <w:t>Prim</w:t>
      </w:r>
      <w:r w:rsidR="00107D57" w:rsidRPr="001202A2">
        <w:rPr>
          <w:rFonts w:eastAsia="TimesNewRoman"/>
          <w:szCs w:val="22"/>
          <w:lang w:val="sr-Latn-ME"/>
        </w:rPr>
        <w:t>ij</w:t>
      </w:r>
      <w:r w:rsidR="007135A6" w:rsidRPr="001202A2">
        <w:rPr>
          <w:rFonts w:eastAsia="TimesNewRoman"/>
          <w:szCs w:val="22"/>
          <w:lang w:val="sr-Latn-ME"/>
        </w:rPr>
        <w:t>enjena</w:t>
      </w:r>
      <w:r w:rsidR="00F46022" w:rsidRPr="001202A2">
        <w:rPr>
          <w:rFonts w:eastAsia="TimesNewRoman"/>
          <w:szCs w:val="22"/>
          <w:lang w:val="sr-Latn-ME"/>
        </w:rPr>
        <w:t xml:space="preserve"> je kardioverzija vođena TEE-om (unutar 3 dana od početka l</w:t>
      </w:r>
      <w:r w:rsidR="00107D57" w:rsidRPr="001202A2">
        <w:rPr>
          <w:rFonts w:eastAsia="TimesNewRoman"/>
          <w:szCs w:val="22"/>
          <w:lang w:val="sr-Latn-ME"/>
        </w:rPr>
        <w:t>ij</w:t>
      </w:r>
      <w:r w:rsidR="00F46022" w:rsidRPr="001202A2">
        <w:rPr>
          <w:rFonts w:eastAsia="TimesNewRoman"/>
          <w:szCs w:val="22"/>
          <w:lang w:val="sr-Latn-ME"/>
        </w:rPr>
        <w:t>ečenja) ili</w:t>
      </w:r>
      <w:r w:rsidR="00C90F85" w:rsidRPr="001202A2">
        <w:rPr>
          <w:rFonts w:eastAsia="TimesNewRoman"/>
          <w:szCs w:val="22"/>
          <w:lang w:val="sr-Latn-ME"/>
        </w:rPr>
        <w:t xml:space="preserve"> </w:t>
      </w:r>
      <w:r w:rsidR="00F46022" w:rsidRPr="001202A2">
        <w:rPr>
          <w:rFonts w:eastAsia="TimesNewRoman"/>
          <w:szCs w:val="22"/>
          <w:lang w:val="sr-Latn-ME"/>
        </w:rPr>
        <w:t>konvencionalna kardioverzija (najmanje 21</w:t>
      </w:r>
      <w:r w:rsidR="007135A6" w:rsidRPr="001202A2">
        <w:rPr>
          <w:rFonts w:eastAsia="TimesNewRoman"/>
          <w:szCs w:val="22"/>
          <w:lang w:val="sr-Latn-ME"/>
        </w:rPr>
        <w:t xml:space="preserve"> dan pre</w:t>
      </w:r>
      <w:r w:rsidR="00F46022" w:rsidRPr="001202A2">
        <w:rPr>
          <w:rFonts w:eastAsia="TimesNewRoman"/>
          <w:szCs w:val="22"/>
          <w:lang w:val="sr-Latn-ME"/>
        </w:rPr>
        <w:t>medikacije). Nakon kardioverzije</w:t>
      </w:r>
      <w:r w:rsidR="007135A6" w:rsidRPr="001202A2">
        <w:rPr>
          <w:rFonts w:eastAsia="TimesNewRoman"/>
          <w:szCs w:val="22"/>
          <w:lang w:val="sr-Latn-ME"/>
        </w:rPr>
        <w:t>,</w:t>
      </w:r>
      <w:r w:rsidR="00F46022" w:rsidRPr="001202A2">
        <w:rPr>
          <w:rFonts w:eastAsia="TimesNewRoman"/>
          <w:szCs w:val="22"/>
          <w:lang w:val="sr-Latn-ME"/>
        </w:rPr>
        <w:t xml:space="preserve"> ispitanici su</w:t>
      </w:r>
      <w:r w:rsidR="00C90F85" w:rsidRPr="001202A2">
        <w:rPr>
          <w:rFonts w:eastAsia="TimesNewRoman"/>
          <w:szCs w:val="22"/>
          <w:lang w:val="sr-Latn-ME"/>
        </w:rPr>
        <w:t xml:space="preserve"> </w:t>
      </w:r>
      <w:r w:rsidR="00F46022" w:rsidRPr="001202A2">
        <w:rPr>
          <w:rFonts w:eastAsia="TimesNewRoman"/>
          <w:szCs w:val="22"/>
          <w:lang w:val="sr-Latn-ME"/>
        </w:rPr>
        <w:t>zadržani na l</w:t>
      </w:r>
      <w:r w:rsidR="00107D57" w:rsidRPr="001202A2">
        <w:rPr>
          <w:rFonts w:eastAsia="TimesNewRoman"/>
          <w:szCs w:val="22"/>
          <w:lang w:val="sr-Latn-ME"/>
        </w:rPr>
        <w:t>ij</w:t>
      </w:r>
      <w:r w:rsidR="00F46022" w:rsidRPr="001202A2">
        <w:rPr>
          <w:rFonts w:eastAsia="TimesNewRoman"/>
          <w:szCs w:val="22"/>
          <w:lang w:val="sr-Latn-ME"/>
        </w:rPr>
        <w:t>ečenju 28 dana.</w:t>
      </w:r>
    </w:p>
    <w:p w14:paraId="738311C0" w14:textId="77777777" w:rsidR="00E87DC6" w:rsidRPr="001202A2" w:rsidRDefault="00E87DC6" w:rsidP="00480B31">
      <w:pPr>
        <w:tabs>
          <w:tab w:val="clear" w:pos="284"/>
        </w:tabs>
        <w:autoSpaceDE w:val="0"/>
        <w:autoSpaceDN w:val="0"/>
        <w:adjustRightInd w:val="0"/>
        <w:rPr>
          <w:rFonts w:eastAsia="TimesNewRoman"/>
          <w:szCs w:val="22"/>
          <w:lang w:val="sr-Latn-ME"/>
        </w:rPr>
      </w:pPr>
    </w:p>
    <w:p w14:paraId="479111FD" w14:textId="6178D5FB" w:rsidR="00F46022" w:rsidRPr="001202A2" w:rsidRDefault="007135A6"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Primarni</w:t>
      </w:r>
      <w:r w:rsidR="00F46022" w:rsidRPr="001202A2">
        <w:rPr>
          <w:rFonts w:eastAsia="TimesNewRoman"/>
          <w:szCs w:val="22"/>
          <w:lang w:val="sr-Latn-ME"/>
        </w:rPr>
        <w:t xml:space="preserve"> </w:t>
      </w:r>
      <w:r w:rsidRPr="001202A2">
        <w:rPr>
          <w:rFonts w:eastAsia="TimesNewRoman"/>
          <w:szCs w:val="22"/>
          <w:lang w:val="sr-Latn-ME"/>
        </w:rPr>
        <w:t>parametar</w:t>
      </w:r>
      <w:r w:rsidR="00F46022" w:rsidRPr="001202A2">
        <w:rPr>
          <w:rFonts w:eastAsia="TimesNewRoman"/>
          <w:szCs w:val="22"/>
          <w:lang w:val="sr-Latn-ME"/>
        </w:rPr>
        <w:t xml:space="preserve"> efikasnosti </w:t>
      </w:r>
      <w:r w:rsidRPr="001202A2">
        <w:rPr>
          <w:rFonts w:eastAsia="TimesNewRoman"/>
          <w:szCs w:val="22"/>
          <w:lang w:val="sr-Latn-ME"/>
        </w:rPr>
        <w:t>bio</w:t>
      </w:r>
      <w:r w:rsidR="00F46022" w:rsidRPr="001202A2">
        <w:rPr>
          <w:rFonts w:eastAsia="TimesNewRoman"/>
          <w:szCs w:val="22"/>
          <w:lang w:val="sr-Latn-ME"/>
        </w:rPr>
        <w:t xml:space="preserve"> je </w:t>
      </w:r>
      <w:r w:rsidRPr="001202A2">
        <w:rPr>
          <w:rFonts w:eastAsia="TimesNewRoman"/>
          <w:szCs w:val="22"/>
          <w:lang w:val="sr-Latn-ME"/>
        </w:rPr>
        <w:t>zbir</w:t>
      </w:r>
      <w:r w:rsidR="00F46022" w:rsidRPr="001202A2">
        <w:rPr>
          <w:rFonts w:eastAsia="TimesNewRoman"/>
          <w:szCs w:val="22"/>
          <w:lang w:val="sr-Latn-ME"/>
        </w:rPr>
        <w:t xml:space="preserve"> svi</w:t>
      </w:r>
      <w:r w:rsidRPr="001202A2">
        <w:rPr>
          <w:rFonts w:eastAsia="TimesNewRoman"/>
          <w:szCs w:val="22"/>
          <w:lang w:val="sr-Latn-ME"/>
        </w:rPr>
        <w:t>h</w:t>
      </w:r>
      <w:r w:rsidR="00F46022" w:rsidRPr="001202A2">
        <w:rPr>
          <w:rFonts w:eastAsia="TimesNewRoman"/>
          <w:szCs w:val="22"/>
          <w:lang w:val="sr-Latn-ME"/>
        </w:rPr>
        <w:t xml:space="preserve"> moždani</w:t>
      </w:r>
      <w:r w:rsidRPr="001202A2">
        <w:rPr>
          <w:rFonts w:eastAsia="TimesNewRoman"/>
          <w:szCs w:val="22"/>
          <w:lang w:val="sr-Latn-ME"/>
        </w:rPr>
        <w:t>h</w:t>
      </w:r>
      <w:r w:rsidR="00F46022" w:rsidRPr="001202A2">
        <w:rPr>
          <w:rFonts w:eastAsia="TimesNewRoman"/>
          <w:szCs w:val="22"/>
          <w:lang w:val="sr-Latn-ME"/>
        </w:rPr>
        <w:t xml:space="preserve"> udar</w:t>
      </w:r>
      <w:r w:rsidRPr="001202A2">
        <w:rPr>
          <w:rFonts w:eastAsia="TimesNewRoman"/>
          <w:szCs w:val="22"/>
          <w:lang w:val="sr-Latn-ME"/>
        </w:rPr>
        <w:t>a</w:t>
      </w:r>
      <w:r w:rsidR="00F46022" w:rsidRPr="001202A2">
        <w:rPr>
          <w:rFonts w:eastAsia="TimesNewRoman"/>
          <w:szCs w:val="22"/>
          <w:lang w:val="sr-Latn-ME"/>
        </w:rPr>
        <w:t>, sistemski</w:t>
      </w:r>
      <w:r w:rsidRPr="001202A2">
        <w:rPr>
          <w:rFonts w:eastAsia="TimesNewRoman"/>
          <w:szCs w:val="22"/>
          <w:lang w:val="sr-Latn-ME"/>
        </w:rPr>
        <w:t>h</w:t>
      </w:r>
      <w:r w:rsidR="00C90F85" w:rsidRPr="001202A2">
        <w:rPr>
          <w:rFonts w:eastAsia="TimesNewRoman"/>
          <w:szCs w:val="22"/>
          <w:lang w:val="sr-Latn-ME"/>
        </w:rPr>
        <w:t xml:space="preserve"> </w:t>
      </w:r>
      <w:r w:rsidR="00F46022" w:rsidRPr="001202A2">
        <w:rPr>
          <w:rFonts w:eastAsia="TimesNewRoman"/>
          <w:szCs w:val="22"/>
          <w:lang w:val="sr-Latn-ME"/>
        </w:rPr>
        <w:t>embolijski</w:t>
      </w:r>
      <w:r w:rsidRPr="001202A2">
        <w:rPr>
          <w:rFonts w:eastAsia="TimesNewRoman"/>
          <w:szCs w:val="22"/>
          <w:lang w:val="sr-Latn-ME"/>
        </w:rPr>
        <w:t>h</w:t>
      </w:r>
      <w:r w:rsidR="00F46022" w:rsidRPr="001202A2">
        <w:rPr>
          <w:rFonts w:eastAsia="TimesNewRoman"/>
          <w:szCs w:val="22"/>
          <w:lang w:val="sr-Latn-ME"/>
        </w:rPr>
        <w:t xml:space="preserve"> događ</w:t>
      </w:r>
      <w:r w:rsidRPr="001202A2">
        <w:rPr>
          <w:rFonts w:eastAsia="TimesNewRoman"/>
          <w:szCs w:val="22"/>
          <w:lang w:val="sr-Latn-ME"/>
        </w:rPr>
        <w:t>aja</w:t>
      </w:r>
      <w:r w:rsidR="00F46022" w:rsidRPr="001202A2">
        <w:rPr>
          <w:rFonts w:eastAsia="TimesNewRoman"/>
          <w:szCs w:val="22"/>
          <w:lang w:val="sr-Latn-ME"/>
        </w:rPr>
        <w:t xml:space="preserve"> (SED), infarkt</w:t>
      </w:r>
      <w:r w:rsidRPr="001202A2">
        <w:rPr>
          <w:rFonts w:eastAsia="TimesNewRoman"/>
          <w:szCs w:val="22"/>
          <w:lang w:val="sr-Latn-ME"/>
        </w:rPr>
        <w:t>a</w:t>
      </w:r>
      <w:r w:rsidR="00F46022" w:rsidRPr="001202A2">
        <w:rPr>
          <w:rFonts w:eastAsia="TimesNewRoman"/>
          <w:szCs w:val="22"/>
          <w:lang w:val="sr-Latn-ME"/>
        </w:rPr>
        <w:t xml:space="preserve"> </w:t>
      </w:r>
      <w:r w:rsidRPr="001202A2">
        <w:rPr>
          <w:rFonts w:eastAsia="TimesNewRoman"/>
          <w:szCs w:val="22"/>
          <w:lang w:val="sr-Latn-ME"/>
        </w:rPr>
        <w:t>miokarda (MI) i kardiovaskularnog</w:t>
      </w:r>
      <w:r w:rsidR="00F46022" w:rsidRPr="001202A2">
        <w:rPr>
          <w:rFonts w:eastAsia="TimesNewRoman"/>
          <w:szCs w:val="22"/>
          <w:lang w:val="sr-Latn-ME"/>
        </w:rPr>
        <w:t xml:space="preserve"> (CV) </w:t>
      </w:r>
      <w:r w:rsidRPr="001202A2">
        <w:rPr>
          <w:rFonts w:eastAsia="TimesNewRoman"/>
          <w:szCs w:val="22"/>
          <w:lang w:val="sr-Latn-ME"/>
        </w:rPr>
        <w:t>mortaliteta</w:t>
      </w:r>
      <w:r w:rsidR="00F46022" w:rsidRPr="001202A2">
        <w:rPr>
          <w:rFonts w:eastAsia="TimesNewRoman"/>
          <w:szCs w:val="22"/>
          <w:lang w:val="sr-Latn-ME"/>
        </w:rPr>
        <w:t>. U grupi koja je</w:t>
      </w:r>
      <w:r w:rsidR="00C90F85" w:rsidRPr="001202A2">
        <w:rPr>
          <w:rFonts w:eastAsia="TimesNewRoman"/>
          <w:szCs w:val="22"/>
          <w:lang w:val="sr-Latn-ME"/>
        </w:rPr>
        <w:t xml:space="preserve"> </w:t>
      </w:r>
      <w:r w:rsidR="00F46022" w:rsidRPr="001202A2">
        <w:rPr>
          <w:rFonts w:eastAsia="TimesNewRoman"/>
          <w:szCs w:val="22"/>
          <w:lang w:val="sr-Latn-ME"/>
        </w:rPr>
        <w:t>primala edoksaban (N = 1095)</w:t>
      </w:r>
      <w:r w:rsidRPr="001202A2">
        <w:rPr>
          <w:rFonts w:eastAsia="TimesNewRoman"/>
          <w:szCs w:val="22"/>
          <w:lang w:val="sr-Latn-ME"/>
        </w:rPr>
        <w:t>,</w:t>
      </w:r>
      <w:r w:rsidR="00F46022" w:rsidRPr="001202A2">
        <w:rPr>
          <w:rFonts w:eastAsia="TimesNewRoman"/>
          <w:szCs w:val="22"/>
          <w:lang w:val="sr-Latn-ME"/>
        </w:rPr>
        <w:t xml:space="preserve"> </w:t>
      </w:r>
      <w:r w:rsidRPr="001202A2">
        <w:rPr>
          <w:rFonts w:eastAsia="TimesNewRoman"/>
          <w:szCs w:val="22"/>
          <w:lang w:val="sr-Latn-ME"/>
        </w:rPr>
        <w:t>bilo je</w:t>
      </w:r>
      <w:r w:rsidR="00F46022" w:rsidRPr="001202A2">
        <w:rPr>
          <w:rFonts w:eastAsia="TimesNewRoman"/>
          <w:szCs w:val="22"/>
          <w:lang w:val="sr-Latn-ME"/>
        </w:rPr>
        <w:t xml:space="preserve"> ukupno 5 (0,5%; 95% CI 0,15% ‒ 1,06%) događaja, </w:t>
      </w:r>
      <w:r w:rsidRPr="001202A2">
        <w:rPr>
          <w:rFonts w:eastAsia="TimesNewRoman"/>
          <w:szCs w:val="22"/>
          <w:lang w:val="sr-Latn-ME"/>
        </w:rPr>
        <w:t>dok je u</w:t>
      </w:r>
      <w:r w:rsidR="00F46022" w:rsidRPr="001202A2">
        <w:rPr>
          <w:rFonts w:eastAsia="TimesNewRoman"/>
          <w:szCs w:val="22"/>
          <w:lang w:val="sr-Latn-ME"/>
        </w:rPr>
        <w:t xml:space="preserve"> grupi koja je primala varfarin (N = 1104) bilo 11 (1,0%; 95% CI 0,50% ‒ 1,78%) događaja; odnos</w:t>
      </w:r>
      <w:r w:rsidR="00C90F85" w:rsidRPr="001202A2">
        <w:rPr>
          <w:rFonts w:eastAsia="TimesNewRoman"/>
          <w:szCs w:val="22"/>
          <w:lang w:val="sr-Latn-ME"/>
        </w:rPr>
        <w:t xml:space="preserve"> </w:t>
      </w:r>
      <w:r w:rsidR="00F46022" w:rsidRPr="001202A2">
        <w:rPr>
          <w:rFonts w:eastAsia="TimesNewRoman"/>
          <w:szCs w:val="22"/>
          <w:lang w:val="sr-Latn-ME"/>
        </w:rPr>
        <w:t>v</w:t>
      </w:r>
      <w:r w:rsidR="00107D57" w:rsidRPr="001202A2">
        <w:rPr>
          <w:rFonts w:eastAsia="TimesNewRoman"/>
          <w:szCs w:val="22"/>
          <w:lang w:val="sr-Latn-ME"/>
        </w:rPr>
        <w:t>j</w:t>
      </w:r>
      <w:r w:rsidR="00F46022" w:rsidRPr="001202A2">
        <w:rPr>
          <w:rFonts w:eastAsia="TimesNewRoman"/>
          <w:szCs w:val="22"/>
          <w:lang w:val="sr-Latn-ME"/>
        </w:rPr>
        <w:t xml:space="preserve">erovatnoće 0,46 (95% CI 0,12 ‒ 1,43); ITT </w:t>
      </w:r>
      <w:r w:rsidRPr="001202A2">
        <w:rPr>
          <w:rFonts w:eastAsia="TimesNewRoman"/>
          <w:szCs w:val="22"/>
          <w:lang w:val="sr-Latn-ME"/>
        </w:rPr>
        <w:t>analiza je sprovedena za ukupni period trajanja studije, koji je u pros</w:t>
      </w:r>
      <w:r w:rsidR="00107D57" w:rsidRPr="001202A2">
        <w:rPr>
          <w:rFonts w:eastAsia="TimesNewRoman"/>
          <w:szCs w:val="22"/>
          <w:lang w:val="sr-Latn-ME"/>
        </w:rPr>
        <w:t>j</w:t>
      </w:r>
      <w:r w:rsidRPr="001202A2">
        <w:rPr>
          <w:rFonts w:eastAsia="TimesNewRoman"/>
          <w:szCs w:val="22"/>
          <w:lang w:val="sr-Latn-ME"/>
        </w:rPr>
        <w:t>eku iznosio</w:t>
      </w:r>
      <w:r w:rsidR="00F46022" w:rsidRPr="001202A2">
        <w:rPr>
          <w:rFonts w:eastAsia="TimesNewRoman"/>
          <w:szCs w:val="22"/>
          <w:lang w:val="sr-Latn-ME"/>
        </w:rPr>
        <w:t xml:space="preserve"> 66 dana.</w:t>
      </w:r>
    </w:p>
    <w:p w14:paraId="73B5DE9D" w14:textId="77777777" w:rsidR="00E87DC6" w:rsidRPr="001202A2" w:rsidRDefault="00E87DC6" w:rsidP="00480B31">
      <w:pPr>
        <w:tabs>
          <w:tab w:val="clear" w:pos="284"/>
        </w:tabs>
        <w:autoSpaceDE w:val="0"/>
        <w:autoSpaceDN w:val="0"/>
        <w:adjustRightInd w:val="0"/>
        <w:rPr>
          <w:rFonts w:eastAsia="TimesNewRoman"/>
          <w:szCs w:val="22"/>
          <w:lang w:val="sr-Latn-ME"/>
        </w:rPr>
      </w:pPr>
    </w:p>
    <w:p w14:paraId="1C07D0D3" w14:textId="632DD0DC" w:rsidR="00F46022" w:rsidRPr="001202A2" w:rsidRDefault="007135A6"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Primarni parametar</w:t>
      </w:r>
      <w:r w:rsidR="00F46022" w:rsidRPr="001202A2">
        <w:rPr>
          <w:rFonts w:eastAsia="TimesNewRoman"/>
          <w:szCs w:val="22"/>
          <w:lang w:val="sr-Latn-ME"/>
        </w:rPr>
        <w:t xml:space="preserve"> bezb</w:t>
      </w:r>
      <w:r w:rsidR="00D80EEF" w:rsidRPr="001202A2">
        <w:rPr>
          <w:rFonts w:eastAsia="TimesNewRoman"/>
          <w:szCs w:val="22"/>
          <w:lang w:val="sr-Latn-ME"/>
        </w:rPr>
        <w:t>j</w:t>
      </w:r>
      <w:r w:rsidR="00F46022" w:rsidRPr="001202A2">
        <w:rPr>
          <w:rFonts w:eastAsia="TimesNewRoman"/>
          <w:szCs w:val="22"/>
          <w:lang w:val="sr-Latn-ME"/>
        </w:rPr>
        <w:t xml:space="preserve">ednosti bio je </w:t>
      </w:r>
      <w:r w:rsidRPr="001202A2">
        <w:rPr>
          <w:rFonts w:eastAsia="TimesNewRoman"/>
          <w:szCs w:val="22"/>
          <w:lang w:val="sr-Latn-ME"/>
        </w:rPr>
        <w:t>zbir</w:t>
      </w:r>
      <w:r w:rsidR="00F46022" w:rsidRPr="001202A2">
        <w:rPr>
          <w:rFonts w:eastAsia="TimesNewRoman"/>
          <w:szCs w:val="22"/>
          <w:lang w:val="sr-Latn-ME"/>
        </w:rPr>
        <w:t xml:space="preserve"> </w:t>
      </w:r>
      <w:r w:rsidR="00DA7AB7" w:rsidRPr="001202A2">
        <w:rPr>
          <w:rFonts w:eastAsia="TimesNewRoman"/>
          <w:szCs w:val="22"/>
          <w:lang w:val="sr-Latn-ME"/>
        </w:rPr>
        <w:t xml:space="preserve">ozbiljnih </w:t>
      </w:r>
      <w:r w:rsidR="00F46022" w:rsidRPr="001202A2">
        <w:rPr>
          <w:rFonts w:eastAsia="TimesNewRoman"/>
          <w:szCs w:val="22"/>
          <w:lang w:val="sr-Latn-ME"/>
        </w:rPr>
        <w:t xml:space="preserve">i </w:t>
      </w:r>
      <w:r w:rsidR="00DA7AB7" w:rsidRPr="001202A2">
        <w:rPr>
          <w:rFonts w:eastAsia="TimesNewRoman"/>
          <w:szCs w:val="22"/>
          <w:lang w:val="sr-Latn-ME"/>
        </w:rPr>
        <w:t>CRNM</w:t>
      </w:r>
      <w:r w:rsidR="00F46022" w:rsidRPr="001202A2">
        <w:rPr>
          <w:rFonts w:eastAsia="TimesNewRoman"/>
          <w:szCs w:val="22"/>
          <w:lang w:val="sr-Latn-ME"/>
        </w:rPr>
        <w:t xml:space="preserve"> krvarenja. Ukupno 16 (1,5%; 95% CI 0,86% ‒ 2,42%) događaja se </w:t>
      </w:r>
      <w:r w:rsidR="00442936" w:rsidRPr="001202A2">
        <w:rPr>
          <w:rFonts w:eastAsia="TimesNewRoman"/>
          <w:szCs w:val="22"/>
          <w:lang w:val="sr-Latn-ME"/>
        </w:rPr>
        <w:t>javilo</w:t>
      </w:r>
      <w:r w:rsidR="00F46022" w:rsidRPr="001202A2">
        <w:rPr>
          <w:rFonts w:eastAsia="TimesNewRoman"/>
          <w:szCs w:val="22"/>
          <w:lang w:val="sr-Latn-ME"/>
        </w:rPr>
        <w:t xml:space="preserve"> kod</w:t>
      </w:r>
      <w:r w:rsidR="00C90F85" w:rsidRPr="001202A2">
        <w:rPr>
          <w:rFonts w:eastAsia="TimesNewRoman"/>
          <w:szCs w:val="22"/>
          <w:lang w:val="sr-Latn-ME"/>
        </w:rPr>
        <w:t xml:space="preserve"> </w:t>
      </w:r>
      <w:r w:rsidR="00F46022" w:rsidRPr="001202A2">
        <w:rPr>
          <w:rFonts w:eastAsia="TimesNewRoman"/>
          <w:szCs w:val="22"/>
          <w:lang w:val="sr-Latn-ME"/>
        </w:rPr>
        <w:t xml:space="preserve">ispitanika </w:t>
      </w:r>
      <w:r w:rsidR="00442936" w:rsidRPr="001202A2">
        <w:rPr>
          <w:rFonts w:eastAsia="TimesNewRoman"/>
          <w:szCs w:val="22"/>
          <w:lang w:val="sr-Latn-ME"/>
        </w:rPr>
        <w:t>na terapiji</w:t>
      </w:r>
      <w:r w:rsidR="00F46022" w:rsidRPr="001202A2">
        <w:rPr>
          <w:rFonts w:eastAsia="TimesNewRoman"/>
          <w:szCs w:val="22"/>
          <w:lang w:val="sr-Latn-ME"/>
        </w:rPr>
        <w:t xml:space="preserve"> edoksabanom (N = 1067) i 11 (1,0%; 95% CI 0,51% ‒ 1,81%) događaja kod onih</w:t>
      </w:r>
      <w:r w:rsidR="00C90F85" w:rsidRPr="001202A2">
        <w:rPr>
          <w:rFonts w:eastAsia="TimesNewRoman"/>
          <w:szCs w:val="22"/>
          <w:lang w:val="sr-Latn-ME"/>
        </w:rPr>
        <w:t xml:space="preserve"> </w:t>
      </w:r>
      <w:r w:rsidR="00F46022" w:rsidRPr="001202A2">
        <w:rPr>
          <w:rFonts w:eastAsia="TimesNewRoman"/>
          <w:szCs w:val="22"/>
          <w:lang w:val="sr-Latn-ME"/>
        </w:rPr>
        <w:t>l</w:t>
      </w:r>
      <w:r w:rsidR="00D80EEF" w:rsidRPr="001202A2">
        <w:rPr>
          <w:rFonts w:eastAsia="TimesNewRoman"/>
          <w:szCs w:val="22"/>
          <w:lang w:val="sr-Latn-ME"/>
        </w:rPr>
        <w:t>ij</w:t>
      </w:r>
      <w:r w:rsidR="00F46022" w:rsidRPr="001202A2">
        <w:rPr>
          <w:rFonts w:eastAsia="TimesNewRoman"/>
          <w:szCs w:val="22"/>
          <w:lang w:val="sr-Latn-ME"/>
        </w:rPr>
        <w:t>ečenih varfarinom (N = 1082); odnos v</w:t>
      </w:r>
      <w:r w:rsidR="00D80EEF" w:rsidRPr="001202A2">
        <w:rPr>
          <w:rFonts w:eastAsia="TimesNewRoman"/>
          <w:szCs w:val="22"/>
          <w:lang w:val="sr-Latn-ME"/>
        </w:rPr>
        <w:t>j</w:t>
      </w:r>
      <w:r w:rsidR="00F46022" w:rsidRPr="001202A2">
        <w:rPr>
          <w:rFonts w:eastAsia="TimesNewRoman"/>
          <w:szCs w:val="22"/>
          <w:lang w:val="sr-Latn-ME"/>
        </w:rPr>
        <w:t>erovatnoće 1,48 (95% CI 0,64 – 3,55); analiza bezb</w:t>
      </w:r>
      <w:r w:rsidR="00D80EEF" w:rsidRPr="001202A2">
        <w:rPr>
          <w:rFonts w:eastAsia="TimesNewRoman"/>
          <w:szCs w:val="22"/>
          <w:lang w:val="sr-Latn-ME"/>
        </w:rPr>
        <w:t>j</w:t>
      </w:r>
      <w:r w:rsidR="00F46022" w:rsidRPr="001202A2">
        <w:rPr>
          <w:rFonts w:eastAsia="TimesNewRoman"/>
          <w:szCs w:val="22"/>
          <w:lang w:val="sr-Latn-ME"/>
        </w:rPr>
        <w:t>ednosti</w:t>
      </w:r>
      <w:r w:rsidR="00C90F85" w:rsidRPr="001202A2">
        <w:rPr>
          <w:rFonts w:eastAsia="TimesNewRoman"/>
          <w:szCs w:val="22"/>
          <w:lang w:val="sr-Latn-ME"/>
        </w:rPr>
        <w:t xml:space="preserve"> </w:t>
      </w:r>
      <w:r w:rsidR="00F46022" w:rsidRPr="001202A2">
        <w:rPr>
          <w:rFonts w:eastAsia="TimesNewRoman"/>
          <w:szCs w:val="22"/>
          <w:lang w:val="sr-Latn-ME"/>
        </w:rPr>
        <w:t>odnosila se na period trajanja l</w:t>
      </w:r>
      <w:r w:rsidR="00D80EEF" w:rsidRPr="001202A2">
        <w:rPr>
          <w:rFonts w:eastAsia="TimesNewRoman"/>
          <w:szCs w:val="22"/>
          <w:lang w:val="sr-Latn-ME"/>
        </w:rPr>
        <w:t>ij</w:t>
      </w:r>
      <w:r w:rsidR="00F46022" w:rsidRPr="001202A2">
        <w:rPr>
          <w:rFonts w:eastAsia="TimesNewRoman"/>
          <w:szCs w:val="22"/>
          <w:lang w:val="sr-Latn-ME"/>
        </w:rPr>
        <w:t>ečenja.</w:t>
      </w:r>
    </w:p>
    <w:p w14:paraId="227BD1BE" w14:textId="388CE1FF" w:rsidR="00586C81" w:rsidRPr="001202A2" w:rsidRDefault="00F4602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Ovo ispitivanje pokazalo je male stope </w:t>
      </w:r>
      <w:r w:rsidR="00442936" w:rsidRPr="001202A2">
        <w:rPr>
          <w:rFonts w:eastAsia="TimesNewRoman"/>
          <w:szCs w:val="22"/>
          <w:lang w:val="sr-Latn-ME"/>
        </w:rPr>
        <w:t>ozbiljnog</w:t>
      </w:r>
      <w:r w:rsidRPr="001202A2">
        <w:rPr>
          <w:rFonts w:eastAsia="TimesNewRoman"/>
          <w:szCs w:val="22"/>
          <w:lang w:val="sr-Latn-ME"/>
        </w:rPr>
        <w:t xml:space="preserve"> i CRNM krvarenja</w:t>
      </w:r>
      <w:r w:rsidR="00442936" w:rsidRPr="001202A2">
        <w:rPr>
          <w:rFonts w:eastAsia="TimesNewRoman"/>
          <w:szCs w:val="22"/>
          <w:lang w:val="sr-Latn-ME"/>
        </w:rPr>
        <w:t>, kao i tromboembolizma,</w:t>
      </w:r>
      <w:r w:rsidR="00C90F85" w:rsidRPr="001202A2">
        <w:rPr>
          <w:rFonts w:eastAsia="TimesNewRoman"/>
          <w:szCs w:val="22"/>
          <w:lang w:val="sr-Latn-ME"/>
        </w:rPr>
        <w:t xml:space="preserve"> </w:t>
      </w:r>
      <w:r w:rsidR="00442936" w:rsidRPr="001202A2">
        <w:rPr>
          <w:rFonts w:eastAsia="TimesNewRoman"/>
          <w:szCs w:val="22"/>
          <w:lang w:val="sr-Latn-ME"/>
        </w:rPr>
        <w:t>prilikom</w:t>
      </w:r>
      <w:r w:rsidRPr="001202A2">
        <w:rPr>
          <w:rFonts w:eastAsia="TimesNewRoman"/>
          <w:szCs w:val="22"/>
          <w:lang w:val="sr-Latn-ME"/>
        </w:rPr>
        <w:t xml:space="preserve"> kardioverzije u ob</w:t>
      </w:r>
      <w:r w:rsidR="00D80EEF" w:rsidRPr="001202A2">
        <w:rPr>
          <w:rFonts w:eastAsia="TimesNewRoman"/>
          <w:szCs w:val="22"/>
          <w:lang w:val="sr-Latn-ME"/>
        </w:rPr>
        <w:t>j</w:t>
      </w:r>
      <w:r w:rsidRPr="001202A2">
        <w:rPr>
          <w:rFonts w:eastAsia="TimesNewRoman"/>
          <w:szCs w:val="22"/>
          <w:lang w:val="sr-Latn-ME"/>
        </w:rPr>
        <w:t>e terapijske grupe.</w:t>
      </w:r>
    </w:p>
    <w:p w14:paraId="79F1D726" w14:textId="4A826BC2" w:rsidR="00586C81" w:rsidRPr="001202A2" w:rsidRDefault="00586C81" w:rsidP="00480B31">
      <w:pPr>
        <w:tabs>
          <w:tab w:val="clear" w:pos="284"/>
        </w:tabs>
        <w:autoSpaceDE w:val="0"/>
        <w:autoSpaceDN w:val="0"/>
        <w:adjustRightInd w:val="0"/>
        <w:rPr>
          <w:rFonts w:eastAsia="TimesNewRoman"/>
          <w:szCs w:val="22"/>
          <w:u w:val="single"/>
          <w:lang w:val="sr-Latn-ME"/>
        </w:rPr>
      </w:pPr>
    </w:p>
    <w:p w14:paraId="79B79E11" w14:textId="2DFD08FD" w:rsidR="00B34CDB" w:rsidRPr="001202A2" w:rsidRDefault="00B34CDB"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Pedijatrijska populacija</w:t>
      </w:r>
    </w:p>
    <w:p w14:paraId="07D19FB3" w14:textId="39EEDF28" w:rsidR="00E87DC6" w:rsidRPr="001202A2" w:rsidRDefault="00B34CDB"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Bezb</w:t>
      </w:r>
      <w:r w:rsidR="00C154D8" w:rsidRPr="001202A2">
        <w:rPr>
          <w:rFonts w:eastAsia="TimesNewRoman"/>
          <w:szCs w:val="22"/>
          <w:lang w:val="sr-Latn-ME"/>
        </w:rPr>
        <w:t>j</w:t>
      </w:r>
      <w:r w:rsidRPr="001202A2">
        <w:rPr>
          <w:rFonts w:eastAsia="TimesNewRoman"/>
          <w:szCs w:val="22"/>
          <w:lang w:val="sr-Latn-ME"/>
        </w:rPr>
        <w:t>ednost, efikasnost, farmakokinetika i farmakodinamika edoksabana su proc</w:t>
      </w:r>
      <w:r w:rsidR="00C154D8" w:rsidRPr="001202A2">
        <w:rPr>
          <w:rFonts w:eastAsia="TimesNewRoman"/>
          <w:szCs w:val="22"/>
          <w:lang w:val="sr-Latn-ME"/>
        </w:rPr>
        <w:t>ij</w:t>
      </w:r>
      <w:r w:rsidRPr="001202A2">
        <w:rPr>
          <w:rFonts w:eastAsia="TimesNewRoman"/>
          <w:szCs w:val="22"/>
          <w:lang w:val="sr-Latn-ME"/>
        </w:rPr>
        <w:t>enjeni kod pedijatrijskih pacijenata od rođenja do 18 godina starosti sa VTE i srčanim oboljenjima sa rizikom od trombotičkih događaja u dv</w:t>
      </w:r>
      <w:r w:rsidR="00C154D8" w:rsidRPr="001202A2">
        <w:rPr>
          <w:rFonts w:eastAsia="TimesNewRoman"/>
          <w:szCs w:val="22"/>
          <w:lang w:val="sr-Latn-ME"/>
        </w:rPr>
        <w:t>ij</w:t>
      </w:r>
      <w:r w:rsidRPr="001202A2">
        <w:rPr>
          <w:rFonts w:eastAsia="TimesNewRoman"/>
          <w:szCs w:val="22"/>
          <w:lang w:val="sr-Latn-ME"/>
        </w:rPr>
        <w:t>e studije faze 3, Hokusai VTE PEDIATRICS i ENNOBLE-ATE (vid</w:t>
      </w:r>
      <w:r w:rsidR="00C154D8" w:rsidRPr="001202A2">
        <w:rPr>
          <w:rFonts w:eastAsia="TimesNewRoman"/>
          <w:szCs w:val="22"/>
          <w:lang w:val="sr-Latn-ME"/>
        </w:rPr>
        <w:t>j</w:t>
      </w:r>
      <w:r w:rsidRPr="001202A2">
        <w:rPr>
          <w:rFonts w:eastAsia="TimesNewRoman"/>
          <w:szCs w:val="22"/>
          <w:lang w:val="sr-Latn-ME"/>
        </w:rPr>
        <w:t xml:space="preserve">eti </w:t>
      </w:r>
      <w:r w:rsidR="00C154D8" w:rsidRPr="001202A2">
        <w:rPr>
          <w:rFonts w:eastAsia="TimesNewRoman"/>
          <w:szCs w:val="22"/>
          <w:lang w:val="sr-Latn-ME"/>
        </w:rPr>
        <w:t>dio</w:t>
      </w:r>
      <w:r w:rsidRPr="001202A2">
        <w:rPr>
          <w:rFonts w:eastAsia="TimesNewRoman"/>
          <w:szCs w:val="22"/>
          <w:lang w:val="sr-Latn-ME"/>
        </w:rPr>
        <w:t xml:space="preserve"> 4.2). Glavna pedijatrijska studija, Hokusai VTE PEDIATRICS, je opisana u nastavku teksta.</w:t>
      </w:r>
    </w:p>
    <w:p w14:paraId="42882E69" w14:textId="38EC9B7D" w:rsidR="00B34CDB" w:rsidRPr="001202A2" w:rsidRDefault="00B34CDB" w:rsidP="00480B31">
      <w:pPr>
        <w:tabs>
          <w:tab w:val="clear" w:pos="284"/>
        </w:tabs>
        <w:autoSpaceDE w:val="0"/>
        <w:autoSpaceDN w:val="0"/>
        <w:adjustRightInd w:val="0"/>
        <w:rPr>
          <w:iCs/>
          <w:szCs w:val="22"/>
          <w:lang w:val="sr-Latn-ME"/>
        </w:rPr>
      </w:pPr>
      <w:r w:rsidRPr="001202A2">
        <w:rPr>
          <w:iCs/>
          <w:szCs w:val="22"/>
          <w:lang w:val="sr-Latn-ME"/>
        </w:rPr>
        <w:t>Glavna studija (Hokusai VTE PEDIATRICS) je bila randomizovana, multicentrična studija faze 3 otvorenog dizajna sa kontrolnom grupom, sprovedena u cilju proc</w:t>
      </w:r>
      <w:r w:rsidR="00C154D8" w:rsidRPr="001202A2">
        <w:rPr>
          <w:iCs/>
          <w:szCs w:val="22"/>
          <w:lang w:val="sr-Latn-ME"/>
        </w:rPr>
        <w:t>j</w:t>
      </w:r>
      <w:r w:rsidRPr="001202A2">
        <w:rPr>
          <w:iCs/>
          <w:szCs w:val="22"/>
          <w:lang w:val="sr-Latn-ME"/>
        </w:rPr>
        <w:t>ene farmakokinetike i farmakodinamike edoksabana u poređenju sa standardnom (kontrolna grupa) antikoagulantnom terapijom, kod pedijatrijskih pacijenata od rođenja do 18 godina starosti sa potvrđenim venskim tromboembolizmom (VTE).</w:t>
      </w:r>
    </w:p>
    <w:p w14:paraId="6815CE4B" w14:textId="77777777" w:rsidR="00E87DC6" w:rsidRPr="001202A2" w:rsidRDefault="00E87DC6" w:rsidP="00480B31">
      <w:pPr>
        <w:tabs>
          <w:tab w:val="clear" w:pos="284"/>
        </w:tabs>
        <w:autoSpaceDE w:val="0"/>
        <w:autoSpaceDN w:val="0"/>
        <w:adjustRightInd w:val="0"/>
        <w:rPr>
          <w:iCs/>
          <w:szCs w:val="22"/>
          <w:lang w:val="sr-Latn-ME"/>
        </w:rPr>
      </w:pPr>
    </w:p>
    <w:p w14:paraId="7D693EB8" w14:textId="649FDEA2" w:rsidR="00B34CDB" w:rsidRPr="001202A2" w:rsidRDefault="00B34CDB" w:rsidP="00480B31">
      <w:pPr>
        <w:tabs>
          <w:tab w:val="clear" w:pos="284"/>
        </w:tabs>
        <w:autoSpaceDE w:val="0"/>
        <w:autoSpaceDN w:val="0"/>
        <w:adjustRightInd w:val="0"/>
        <w:rPr>
          <w:iCs/>
          <w:szCs w:val="22"/>
          <w:lang w:val="sr-Latn-ME"/>
        </w:rPr>
      </w:pPr>
      <w:r w:rsidRPr="001202A2">
        <w:rPr>
          <w:iCs/>
          <w:szCs w:val="22"/>
          <w:lang w:val="sr-Latn-ME"/>
        </w:rPr>
        <w:t>Primarni parametar efikasnosti je bio zbir sl</w:t>
      </w:r>
      <w:r w:rsidR="00C154D8" w:rsidRPr="001202A2">
        <w:rPr>
          <w:iCs/>
          <w:szCs w:val="22"/>
          <w:lang w:val="sr-Latn-ME"/>
        </w:rPr>
        <w:t>j</w:t>
      </w:r>
      <w:r w:rsidRPr="001202A2">
        <w:rPr>
          <w:iCs/>
          <w:szCs w:val="22"/>
          <w:lang w:val="sr-Latn-ME"/>
        </w:rPr>
        <w:t>edećih ishoda: simptomatske rekurentne venske tromboembolijske bolesti, smrti usl</w:t>
      </w:r>
      <w:r w:rsidR="00C154D8" w:rsidRPr="001202A2">
        <w:rPr>
          <w:iCs/>
          <w:szCs w:val="22"/>
          <w:lang w:val="sr-Latn-ME"/>
        </w:rPr>
        <w:t>j</w:t>
      </w:r>
      <w:r w:rsidRPr="001202A2">
        <w:rPr>
          <w:iCs/>
          <w:szCs w:val="22"/>
          <w:lang w:val="sr-Latn-ME"/>
        </w:rPr>
        <w:t>ed VTE i izostanka prom</w:t>
      </w:r>
      <w:r w:rsidR="00C154D8" w:rsidRPr="001202A2">
        <w:rPr>
          <w:iCs/>
          <w:szCs w:val="22"/>
          <w:lang w:val="sr-Latn-ME"/>
        </w:rPr>
        <w:t>j</w:t>
      </w:r>
      <w:r w:rsidRPr="001202A2">
        <w:rPr>
          <w:iCs/>
          <w:szCs w:val="22"/>
          <w:lang w:val="sr-Latn-ME"/>
        </w:rPr>
        <w:t>ena ili povećanje trombotičkog opterećenja tokom prva 3 m</w:t>
      </w:r>
      <w:r w:rsidR="00C154D8" w:rsidRPr="001202A2">
        <w:rPr>
          <w:iCs/>
          <w:szCs w:val="22"/>
          <w:lang w:val="sr-Latn-ME"/>
        </w:rPr>
        <w:t>j</w:t>
      </w:r>
      <w:r w:rsidRPr="001202A2">
        <w:rPr>
          <w:iCs/>
          <w:szCs w:val="22"/>
          <w:lang w:val="sr-Latn-ME"/>
        </w:rPr>
        <w:t>eseca (planirano trajanje terapije je bilo 6 do 12 ned</w:t>
      </w:r>
      <w:r w:rsidR="00C154D8" w:rsidRPr="001202A2">
        <w:rPr>
          <w:iCs/>
          <w:szCs w:val="22"/>
          <w:lang w:val="sr-Latn-ME"/>
        </w:rPr>
        <w:t>j</w:t>
      </w:r>
      <w:r w:rsidRPr="001202A2">
        <w:rPr>
          <w:iCs/>
          <w:szCs w:val="22"/>
          <w:lang w:val="sr-Latn-ME"/>
        </w:rPr>
        <w:t>elja za pedijatrijske pacijente od rođenja do manje od 6 m</w:t>
      </w:r>
      <w:r w:rsidR="00C154D8" w:rsidRPr="001202A2">
        <w:rPr>
          <w:iCs/>
          <w:szCs w:val="22"/>
          <w:lang w:val="sr-Latn-ME"/>
        </w:rPr>
        <w:t>j</w:t>
      </w:r>
      <w:r w:rsidRPr="001202A2">
        <w:rPr>
          <w:iCs/>
          <w:szCs w:val="22"/>
          <w:lang w:val="sr-Latn-ME"/>
        </w:rPr>
        <w:t>eseci starosti).</w:t>
      </w:r>
    </w:p>
    <w:p w14:paraId="642CDB98" w14:textId="77777777" w:rsidR="00E87DC6" w:rsidRPr="001202A2" w:rsidRDefault="00E87DC6" w:rsidP="00480B31">
      <w:pPr>
        <w:tabs>
          <w:tab w:val="clear" w:pos="284"/>
        </w:tabs>
        <w:autoSpaceDE w:val="0"/>
        <w:autoSpaceDN w:val="0"/>
        <w:adjustRightInd w:val="0"/>
        <w:rPr>
          <w:iCs/>
          <w:szCs w:val="22"/>
          <w:lang w:val="sr-Latn-ME"/>
        </w:rPr>
      </w:pPr>
    </w:p>
    <w:p w14:paraId="49980B1C" w14:textId="7F1F72EA" w:rsidR="00B34CDB" w:rsidRPr="001202A2" w:rsidRDefault="00B34CDB" w:rsidP="00480B31">
      <w:pPr>
        <w:tabs>
          <w:tab w:val="clear" w:pos="284"/>
        </w:tabs>
        <w:autoSpaceDE w:val="0"/>
        <w:autoSpaceDN w:val="0"/>
        <w:adjustRightInd w:val="0"/>
        <w:rPr>
          <w:iCs/>
          <w:szCs w:val="22"/>
          <w:lang w:val="sr-Latn-ME"/>
        </w:rPr>
      </w:pPr>
      <w:r w:rsidRPr="001202A2">
        <w:rPr>
          <w:iCs/>
          <w:szCs w:val="22"/>
          <w:lang w:val="sr-Latn-ME"/>
        </w:rPr>
        <w:t>Doze edoksabana ispitane u Hokusai VTE PEDIATRICS studiji su ustanovljene na osnovu uzrasta i t</w:t>
      </w:r>
      <w:r w:rsidR="00C154D8" w:rsidRPr="001202A2">
        <w:rPr>
          <w:iCs/>
          <w:szCs w:val="22"/>
          <w:lang w:val="sr-Latn-ME"/>
        </w:rPr>
        <w:t>j</w:t>
      </w:r>
      <w:r w:rsidRPr="001202A2">
        <w:rPr>
          <w:iCs/>
          <w:szCs w:val="22"/>
          <w:lang w:val="sr-Latn-ME"/>
        </w:rPr>
        <w:t>elesne mase. Smanjenje doze je preporučeno na osnovu kliničkih faktora, uključujući funkciju bubrega i istovremenu prim</w:t>
      </w:r>
      <w:r w:rsidR="00C154D8" w:rsidRPr="001202A2">
        <w:rPr>
          <w:iCs/>
          <w:szCs w:val="22"/>
          <w:lang w:val="sr-Latn-ME"/>
        </w:rPr>
        <w:t>j</w:t>
      </w:r>
      <w:r w:rsidRPr="001202A2">
        <w:rPr>
          <w:iCs/>
          <w:szCs w:val="22"/>
          <w:lang w:val="sr-Latn-ME"/>
        </w:rPr>
        <w:t>en</w:t>
      </w:r>
      <w:r w:rsidR="00C154D8" w:rsidRPr="001202A2">
        <w:rPr>
          <w:iCs/>
          <w:szCs w:val="22"/>
          <w:lang w:val="sr-Latn-ME"/>
        </w:rPr>
        <w:t>u</w:t>
      </w:r>
      <w:r w:rsidRPr="001202A2">
        <w:rPr>
          <w:iCs/>
          <w:szCs w:val="22"/>
          <w:lang w:val="sr-Latn-ME"/>
        </w:rPr>
        <w:t xml:space="preserve"> P-gp inhibitora (tabela 12).</w:t>
      </w:r>
    </w:p>
    <w:p w14:paraId="7488895E" w14:textId="77777777" w:rsidR="00586C81" w:rsidRPr="001202A2" w:rsidRDefault="00586C81" w:rsidP="00480B31">
      <w:pPr>
        <w:tabs>
          <w:tab w:val="clear" w:pos="284"/>
        </w:tabs>
        <w:autoSpaceDE w:val="0"/>
        <w:autoSpaceDN w:val="0"/>
        <w:adjustRightInd w:val="0"/>
        <w:rPr>
          <w:iCs/>
          <w:szCs w:val="22"/>
          <w:lang w:val="sr-Latn-ME"/>
        </w:rPr>
      </w:pPr>
    </w:p>
    <w:p w14:paraId="68EF0B29" w14:textId="79532DA3" w:rsidR="00B34CDB" w:rsidRPr="001202A2" w:rsidRDefault="00B34CDB" w:rsidP="00480B31">
      <w:pPr>
        <w:tabs>
          <w:tab w:val="clear" w:pos="284"/>
        </w:tabs>
        <w:autoSpaceDE w:val="0"/>
        <w:autoSpaceDN w:val="0"/>
        <w:adjustRightInd w:val="0"/>
        <w:rPr>
          <w:b/>
          <w:bCs/>
          <w:iCs/>
          <w:szCs w:val="22"/>
          <w:lang w:val="sr-Latn-ME"/>
        </w:rPr>
      </w:pPr>
      <w:r w:rsidRPr="001202A2">
        <w:rPr>
          <w:b/>
          <w:bCs/>
          <w:iCs/>
          <w:szCs w:val="22"/>
          <w:lang w:val="sr-Latn-ME"/>
        </w:rPr>
        <w:t>Tabela 12. Doze edoksabana ispitane u Hokusai VTE PEDIATRICS studiji</w:t>
      </w:r>
    </w:p>
    <w:p w14:paraId="070AAFCB" w14:textId="77777777" w:rsidR="00743938" w:rsidRPr="001202A2" w:rsidRDefault="00743938" w:rsidP="00480B31">
      <w:pPr>
        <w:tabs>
          <w:tab w:val="clear" w:pos="284"/>
        </w:tabs>
        <w:autoSpaceDE w:val="0"/>
        <w:autoSpaceDN w:val="0"/>
        <w:adjustRightInd w:val="0"/>
        <w:rPr>
          <w:b/>
          <w:bCs/>
          <w:iCs/>
          <w:szCs w:val="22"/>
          <w:lang w:val="sr-Latn-ME"/>
        </w:rPr>
      </w:pPr>
    </w:p>
    <w:tbl>
      <w:tblPr>
        <w:tblStyle w:val="TableGrid"/>
        <w:tblW w:w="9493" w:type="dxa"/>
        <w:tblLook w:val="04A0" w:firstRow="1" w:lastRow="0" w:firstColumn="1" w:lastColumn="0" w:noHBand="0" w:noVBand="1"/>
      </w:tblPr>
      <w:tblGrid>
        <w:gridCol w:w="2524"/>
        <w:gridCol w:w="2524"/>
        <w:gridCol w:w="1081"/>
        <w:gridCol w:w="1672"/>
        <w:gridCol w:w="1692"/>
      </w:tblGrid>
      <w:tr w:rsidR="00F72DA9" w:rsidRPr="001202A2" w14:paraId="31FD1E80" w14:textId="77777777" w:rsidTr="001202A2">
        <w:tc>
          <w:tcPr>
            <w:tcW w:w="2524" w:type="dxa"/>
          </w:tcPr>
          <w:p w14:paraId="0F9CC0BF" w14:textId="11F7C171" w:rsidR="00F72DA9" w:rsidRPr="001202A2" w:rsidRDefault="00F72DA9" w:rsidP="00880F49">
            <w:pPr>
              <w:tabs>
                <w:tab w:val="clear" w:pos="284"/>
              </w:tabs>
              <w:autoSpaceDE w:val="0"/>
              <w:autoSpaceDN w:val="0"/>
              <w:adjustRightInd w:val="0"/>
              <w:jc w:val="center"/>
              <w:rPr>
                <w:b/>
                <w:bCs/>
                <w:iCs/>
                <w:szCs w:val="22"/>
                <w:lang w:val="sr-Latn-ME"/>
              </w:rPr>
            </w:pPr>
            <w:r w:rsidRPr="001202A2">
              <w:rPr>
                <w:b/>
                <w:bCs/>
                <w:iCs/>
                <w:szCs w:val="22"/>
                <w:lang w:val="sr-Latn-ME"/>
              </w:rPr>
              <w:t>Uzrast u vr</w:t>
            </w:r>
            <w:r w:rsidR="00C154D8" w:rsidRPr="001202A2">
              <w:rPr>
                <w:b/>
                <w:bCs/>
                <w:iCs/>
                <w:szCs w:val="22"/>
                <w:lang w:val="sr-Latn-ME"/>
              </w:rPr>
              <w:t>ij</w:t>
            </w:r>
            <w:r w:rsidRPr="001202A2">
              <w:rPr>
                <w:b/>
                <w:bCs/>
                <w:iCs/>
                <w:szCs w:val="22"/>
                <w:lang w:val="sr-Latn-ME"/>
              </w:rPr>
              <w:t>eme saglasnosti</w:t>
            </w:r>
          </w:p>
        </w:tc>
        <w:tc>
          <w:tcPr>
            <w:tcW w:w="2524" w:type="dxa"/>
          </w:tcPr>
          <w:p w14:paraId="0B9B1AA9" w14:textId="639B4396" w:rsidR="00F72DA9" w:rsidRPr="001202A2" w:rsidRDefault="00F72DA9" w:rsidP="00880F49">
            <w:pPr>
              <w:tabs>
                <w:tab w:val="clear" w:pos="284"/>
              </w:tabs>
              <w:autoSpaceDE w:val="0"/>
              <w:autoSpaceDN w:val="0"/>
              <w:adjustRightInd w:val="0"/>
              <w:jc w:val="center"/>
              <w:rPr>
                <w:b/>
                <w:bCs/>
                <w:iCs/>
                <w:szCs w:val="22"/>
                <w:lang w:val="sr-Latn-ME"/>
              </w:rPr>
            </w:pPr>
            <w:r w:rsidRPr="001202A2">
              <w:rPr>
                <w:b/>
                <w:bCs/>
                <w:iCs/>
                <w:szCs w:val="22"/>
                <w:lang w:val="sr-Latn-ME"/>
              </w:rPr>
              <w:t>T</w:t>
            </w:r>
            <w:r w:rsidR="00C154D8" w:rsidRPr="001202A2">
              <w:rPr>
                <w:b/>
                <w:bCs/>
                <w:iCs/>
                <w:szCs w:val="22"/>
                <w:lang w:val="sr-Latn-ME"/>
              </w:rPr>
              <w:t>j</w:t>
            </w:r>
            <w:r w:rsidRPr="001202A2">
              <w:rPr>
                <w:b/>
                <w:bCs/>
                <w:iCs/>
                <w:szCs w:val="22"/>
                <w:lang w:val="sr-Latn-ME"/>
              </w:rPr>
              <w:t>elesna masa</w:t>
            </w:r>
          </w:p>
        </w:tc>
        <w:tc>
          <w:tcPr>
            <w:tcW w:w="1081" w:type="dxa"/>
          </w:tcPr>
          <w:p w14:paraId="585A6C82" w14:textId="77777777" w:rsidR="00F72DA9" w:rsidRPr="001202A2" w:rsidRDefault="00F72DA9" w:rsidP="00880F49">
            <w:pPr>
              <w:tabs>
                <w:tab w:val="clear" w:pos="284"/>
              </w:tabs>
              <w:autoSpaceDE w:val="0"/>
              <w:autoSpaceDN w:val="0"/>
              <w:adjustRightInd w:val="0"/>
              <w:rPr>
                <w:b/>
                <w:bCs/>
                <w:iCs/>
                <w:szCs w:val="22"/>
                <w:vertAlign w:val="superscript"/>
                <w:lang w:val="sr-Latn-ME"/>
              </w:rPr>
            </w:pPr>
            <w:r w:rsidRPr="001202A2">
              <w:rPr>
                <w:b/>
                <w:bCs/>
                <w:iCs/>
                <w:szCs w:val="22"/>
                <w:lang w:val="sr-Latn-ME"/>
              </w:rPr>
              <w:t>Doza (tableta)</w:t>
            </w:r>
            <w:r w:rsidRPr="001202A2">
              <w:rPr>
                <w:b/>
                <w:bCs/>
                <w:iCs/>
                <w:szCs w:val="22"/>
                <w:vertAlign w:val="superscript"/>
                <w:lang w:val="sr-Latn-ME"/>
              </w:rPr>
              <w:t>a</w:t>
            </w:r>
          </w:p>
        </w:tc>
        <w:tc>
          <w:tcPr>
            <w:tcW w:w="1672" w:type="dxa"/>
          </w:tcPr>
          <w:p w14:paraId="20018A06" w14:textId="77777777" w:rsidR="00F72DA9" w:rsidRPr="001202A2" w:rsidRDefault="00F72DA9" w:rsidP="00880F49">
            <w:pPr>
              <w:tabs>
                <w:tab w:val="clear" w:pos="284"/>
              </w:tabs>
              <w:autoSpaceDE w:val="0"/>
              <w:autoSpaceDN w:val="0"/>
              <w:adjustRightInd w:val="0"/>
              <w:rPr>
                <w:b/>
                <w:bCs/>
                <w:iCs/>
                <w:szCs w:val="22"/>
                <w:vertAlign w:val="superscript"/>
                <w:lang w:val="sr-Latn-ME"/>
              </w:rPr>
            </w:pPr>
            <w:r w:rsidRPr="001202A2">
              <w:rPr>
                <w:b/>
                <w:bCs/>
                <w:iCs/>
                <w:szCs w:val="22"/>
                <w:lang w:val="sr-Latn-ME"/>
              </w:rPr>
              <w:t>Doza (suspenzija)</w:t>
            </w:r>
            <w:r w:rsidRPr="001202A2">
              <w:rPr>
                <w:b/>
                <w:bCs/>
                <w:iCs/>
                <w:szCs w:val="22"/>
                <w:vertAlign w:val="superscript"/>
                <w:lang w:val="sr-Latn-ME"/>
              </w:rPr>
              <w:t>a</w:t>
            </w:r>
          </w:p>
        </w:tc>
        <w:tc>
          <w:tcPr>
            <w:tcW w:w="1692" w:type="dxa"/>
          </w:tcPr>
          <w:p w14:paraId="7618D700" w14:textId="77777777" w:rsidR="00F72DA9" w:rsidRPr="001202A2" w:rsidRDefault="00F72DA9" w:rsidP="00880F49">
            <w:pPr>
              <w:tabs>
                <w:tab w:val="clear" w:pos="284"/>
              </w:tabs>
              <w:autoSpaceDE w:val="0"/>
              <w:autoSpaceDN w:val="0"/>
              <w:adjustRightInd w:val="0"/>
              <w:jc w:val="center"/>
              <w:rPr>
                <w:b/>
                <w:bCs/>
                <w:iCs/>
                <w:szCs w:val="22"/>
                <w:vertAlign w:val="superscript"/>
                <w:lang w:val="sr-Latn-ME"/>
              </w:rPr>
            </w:pPr>
            <w:r w:rsidRPr="001202A2">
              <w:rPr>
                <w:b/>
                <w:bCs/>
                <w:iCs/>
                <w:szCs w:val="22"/>
                <w:lang w:val="sr-Latn-ME"/>
              </w:rPr>
              <w:t>Smanjenje doze</w:t>
            </w:r>
            <w:r w:rsidRPr="001202A2">
              <w:rPr>
                <w:b/>
                <w:bCs/>
                <w:iCs/>
                <w:szCs w:val="22"/>
                <w:vertAlign w:val="superscript"/>
                <w:lang w:val="sr-Latn-ME"/>
              </w:rPr>
              <w:t>b</w:t>
            </w:r>
          </w:p>
        </w:tc>
      </w:tr>
      <w:tr w:rsidR="00F72DA9" w:rsidRPr="001202A2" w14:paraId="35A03A07" w14:textId="77777777" w:rsidTr="001202A2">
        <w:tc>
          <w:tcPr>
            <w:tcW w:w="2524" w:type="dxa"/>
            <w:vMerge w:val="restart"/>
          </w:tcPr>
          <w:p w14:paraId="5687E5F2"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12 do &lt; 18 godina</w:t>
            </w:r>
          </w:p>
        </w:tc>
        <w:tc>
          <w:tcPr>
            <w:tcW w:w="2524" w:type="dxa"/>
          </w:tcPr>
          <w:p w14:paraId="368D5FC3"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 60 kg</w:t>
            </w:r>
          </w:p>
        </w:tc>
        <w:tc>
          <w:tcPr>
            <w:tcW w:w="1081" w:type="dxa"/>
          </w:tcPr>
          <w:p w14:paraId="689F966D"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60 mg</w:t>
            </w:r>
          </w:p>
        </w:tc>
        <w:tc>
          <w:tcPr>
            <w:tcW w:w="1672" w:type="dxa"/>
          </w:tcPr>
          <w:p w14:paraId="4D5AC497"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92" w:type="dxa"/>
          </w:tcPr>
          <w:p w14:paraId="2E34AB66"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45 mg</w:t>
            </w:r>
          </w:p>
        </w:tc>
      </w:tr>
      <w:tr w:rsidR="00F72DA9" w:rsidRPr="001202A2" w14:paraId="5A79B764" w14:textId="77777777" w:rsidTr="001202A2">
        <w:tc>
          <w:tcPr>
            <w:tcW w:w="2524" w:type="dxa"/>
            <w:vMerge/>
          </w:tcPr>
          <w:p w14:paraId="5EDEED71" w14:textId="77777777" w:rsidR="00F72DA9" w:rsidRPr="001202A2" w:rsidRDefault="00F72DA9" w:rsidP="00880F49">
            <w:pPr>
              <w:tabs>
                <w:tab w:val="clear" w:pos="284"/>
              </w:tabs>
              <w:autoSpaceDE w:val="0"/>
              <w:autoSpaceDN w:val="0"/>
              <w:adjustRightInd w:val="0"/>
              <w:rPr>
                <w:iCs/>
                <w:szCs w:val="22"/>
                <w:lang w:val="sr-Latn-ME"/>
              </w:rPr>
            </w:pPr>
          </w:p>
        </w:tc>
        <w:tc>
          <w:tcPr>
            <w:tcW w:w="2524" w:type="dxa"/>
          </w:tcPr>
          <w:p w14:paraId="2947EC28"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 30 kg do &lt; 60 kg</w:t>
            </w:r>
          </w:p>
        </w:tc>
        <w:tc>
          <w:tcPr>
            <w:tcW w:w="1081" w:type="dxa"/>
          </w:tcPr>
          <w:p w14:paraId="473B87C8"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45 mg</w:t>
            </w:r>
          </w:p>
        </w:tc>
        <w:tc>
          <w:tcPr>
            <w:tcW w:w="1672" w:type="dxa"/>
          </w:tcPr>
          <w:p w14:paraId="51D4E7E9"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92" w:type="dxa"/>
          </w:tcPr>
          <w:p w14:paraId="6FD1B0D4"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30 mg</w:t>
            </w:r>
          </w:p>
        </w:tc>
      </w:tr>
      <w:tr w:rsidR="00F72DA9" w:rsidRPr="001202A2" w14:paraId="1C64FF32" w14:textId="77777777" w:rsidTr="001202A2">
        <w:tc>
          <w:tcPr>
            <w:tcW w:w="2524" w:type="dxa"/>
            <w:vMerge/>
          </w:tcPr>
          <w:p w14:paraId="0A7D5345" w14:textId="77777777" w:rsidR="00F72DA9" w:rsidRPr="001202A2" w:rsidRDefault="00F72DA9" w:rsidP="00880F49">
            <w:pPr>
              <w:tabs>
                <w:tab w:val="clear" w:pos="284"/>
              </w:tabs>
              <w:autoSpaceDE w:val="0"/>
              <w:autoSpaceDN w:val="0"/>
              <w:adjustRightInd w:val="0"/>
              <w:rPr>
                <w:iCs/>
                <w:szCs w:val="22"/>
                <w:lang w:val="sr-Latn-ME"/>
              </w:rPr>
            </w:pPr>
          </w:p>
        </w:tc>
        <w:tc>
          <w:tcPr>
            <w:tcW w:w="2524" w:type="dxa"/>
          </w:tcPr>
          <w:p w14:paraId="04F02CAD" w14:textId="7C308AF1"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&lt; 5-og pe</w:t>
            </w:r>
            <w:r w:rsidR="00854B89" w:rsidRPr="001202A2">
              <w:rPr>
                <w:iCs/>
                <w:szCs w:val="22"/>
                <w:lang w:val="sr-Latn-ME"/>
              </w:rPr>
              <w:t>r</w:t>
            </w:r>
            <w:r w:rsidRPr="001202A2">
              <w:rPr>
                <w:iCs/>
                <w:szCs w:val="22"/>
                <w:lang w:val="sr-Latn-ME"/>
              </w:rPr>
              <w:t>centila za uzrast</w:t>
            </w:r>
          </w:p>
        </w:tc>
        <w:tc>
          <w:tcPr>
            <w:tcW w:w="1081" w:type="dxa"/>
          </w:tcPr>
          <w:p w14:paraId="0CEE9B94"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30 mg</w:t>
            </w:r>
          </w:p>
        </w:tc>
        <w:tc>
          <w:tcPr>
            <w:tcW w:w="1672" w:type="dxa"/>
          </w:tcPr>
          <w:p w14:paraId="38D32F1E"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92" w:type="dxa"/>
          </w:tcPr>
          <w:p w14:paraId="18C36E23"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r>
      <w:tr w:rsidR="00F72DA9" w:rsidRPr="001202A2" w14:paraId="4CDAB72C" w14:textId="77777777" w:rsidTr="001202A2">
        <w:tc>
          <w:tcPr>
            <w:tcW w:w="2524" w:type="dxa"/>
          </w:tcPr>
          <w:p w14:paraId="699EE9C4"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6 do &lt; 12 godina</w:t>
            </w:r>
          </w:p>
        </w:tc>
        <w:tc>
          <w:tcPr>
            <w:tcW w:w="2524" w:type="dxa"/>
          </w:tcPr>
          <w:p w14:paraId="107B04C9"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&lt; 60 kg; doziranje zasnovano na mg/kg</w:t>
            </w:r>
          </w:p>
        </w:tc>
        <w:tc>
          <w:tcPr>
            <w:tcW w:w="1081" w:type="dxa"/>
          </w:tcPr>
          <w:p w14:paraId="5A733ACE"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72" w:type="dxa"/>
          </w:tcPr>
          <w:p w14:paraId="11A3DBFD"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1,2 mg/kg</w:t>
            </w:r>
          </w:p>
          <w:p w14:paraId="563B22A5"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(najviše 45 mg)</w:t>
            </w:r>
          </w:p>
        </w:tc>
        <w:tc>
          <w:tcPr>
            <w:tcW w:w="1692" w:type="dxa"/>
          </w:tcPr>
          <w:p w14:paraId="35ACF473"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0,8 mg/kg</w:t>
            </w:r>
          </w:p>
          <w:p w14:paraId="472AB7D1"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45 mg)</w:t>
            </w:r>
          </w:p>
        </w:tc>
      </w:tr>
      <w:tr w:rsidR="00F72DA9" w:rsidRPr="001202A2" w14:paraId="4DDF9B7D" w14:textId="77777777" w:rsidTr="001202A2">
        <w:tc>
          <w:tcPr>
            <w:tcW w:w="2524" w:type="dxa"/>
          </w:tcPr>
          <w:p w14:paraId="7DB2028D"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2 do &lt; 6 godina</w:t>
            </w:r>
          </w:p>
        </w:tc>
        <w:tc>
          <w:tcPr>
            <w:tcW w:w="2524" w:type="dxa"/>
          </w:tcPr>
          <w:p w14:paraId="3118C6D2"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Doziranje zasnovano na mg/kg</w:t>
            </w:r>
          </w:p>
        </w:tc>
        <w:tc>
          <w:tcPr>
            <w:tcW w:w="1081" w:type="dxa"/>
          </w:tcPr>
          <w:p w14:paraId="1E9039D6"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72" w:type="dxa"/>
          </w:tcPr>
          <w:p w14:paraId="1E078E87"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1,4 mg/kg</w:t>
            </w:r>
          </w:p>
          <w:p w14:paraId="22F384F8"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45 mg)</w:t>
            </w:r>
          </w:p>
        </w:tc>
        <w:tc>
          <w:tcPr>
            <w:tcW w:w="1692" w:type="dxa"/>
          </w:tcPr>
          <w:p w14:paraId="7340F336"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0,7 mg/kg</w:t>
            </w:r>
          </w:p>
          <w:p w14:paraId="1DBF45A5"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24 mg)</w:t>
            </w:r>
          </w:p>
        </w:tc>
      </w:tr>
      <w:tr w:rsidR="00F72DA9" w:rsidRPr="001202A2" w14:paraId="4F42D746" w14:textId="77777777" w:rsidTr="001202A2">
        <w:tc>
          <w:tcPr>
            <w:tcW w:w="2524" w:type="dxa"/>
          </w:tcPr>
          <w:p w14:paraId="165CEE5E" w14:textId="10D32E26"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6 m</w:t>
            </w:r>
            <w:r w:rsidR="00C154D8" w:rsidRPr="001202A2">
              <w:rPr>
                <w:iCs/>
                <w:szCs w:val="22"/>
                <w:lang w:val="sr-Latn-ME"/>
              </w:rPr>
              <w:t>j</w:t>
            </w:r>
            <w:r w:rsidRPr="001202A2">
              <w:rPr>
                <w:iCs/>
                <w:szCs w:val="22"/>
                <w:lang w:val="sr-Latn-ME"/>
              </w:rPr>
              <w:t>eseci do &lt; 2 godine</w:t>
            </w:r>
          </w:p>
        </w:tc>
        <w:tc>
          <w:tcPr>
            <w:tcW w:w="2524" w:type="dxa"/>
          </w:tcPr>
          <w:p w14:paraId="06314B77"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Doziranje zasnovano na mg/kg</w:t>
            </w:r>
          </w:p>
        </w:tc>
        <w:tc>
          <w:tcPr>
            <w:tcW w:w="1081" w:type="dxa"/>
          </w:tcPr>
          <w:p w14:paraId="2C28DA5D"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72" w:type="dxa"/>
          </w:tcPr>
          <w:p w14:paraId="364DFC39"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1,5 mg/kg</w:t>
            </w:r>
          </w:p>
          <w:p w14:paraId="68D1F9C3"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45 mg)</w:t>
            </w:r>
          </w:p>
        </w:tc>
        <w:tc>
          <w:tcPr>
            <w:tcW w:w="1692" w:type="dxa"/>
          </w:tcPr>
          <w:p w14:paraId="5A678C9F"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0,75 mg/kg</w:t>
            </w:r>
          </w:p>
          <w:p w14:paraId="518AA759"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24 mg)</w:t>
            </w:r>
          </w:p>
        </w:tc>
      </w:tr>
      <w:tr w:rsidR="00F72DA9" w:rsidRPr="001202A2" w14:paraId="1FFDE165" w14:textId="77777777" w:rsidTr="001202A2">
        <w:tc>
          <w:tcPr>
            <w:tcW w:w="2524" w:type="dxa"/>
          </w:tcPr>
          <w:p w14:paraId="52497F61" w14:textId="50D0F9B2"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&gt; 28 dana do &lt; 6 m</w:t>
            </w:r>
            <w:r w:rsidR="00C154D8" w:rsidRPr="001202A2">
              <w:rPr>
                <w:iCs/>
                <w:szCs w:val="22"/>
                <w:lang w:val="sr-Latn-ME"/>
              </w:rPr>
              <w:t>j</w:t>
            </w:r>
            <w:r w:rsidRPr="001202A2">
              <w:rPr>
                <w:iCs/>
                <w:szCs w:val="22"/>
                <w:lang w:val="sr-Latn-ME"/>
              </w:rPr>
              <w:t>eseci</w:t>
            </w:r>
          </w:p>
        </w:tc>
        <w:tc>
          <w:tcPr>
            <w:tcW w:w="2524" w:type="dxa"/>
          </w:tcPr>
          <w:p w14:paraId="68A89C1B"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Doziranje zasnovano na mg/kg</w:t>
            </w:r>
          </w:p>
        </w:tc>
        <w:tc>
          <w:tcPr>
            <w:tcW w:w="1081" w:type="dxa"/>
          </w:tcPr>
          <w:p w14:paraId="277998EB"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72" w:type="dxa"/>
          </w:tcPr>
          <w:p w14:paraId="7EEC326E"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0,8 mg/kg</w:t>
            </w:r>
          </w:p>
          <w:p w14:paraId="4657959B"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12 mg)</w:t>
            </w:r>
          </w:p>
        </w:tc>
        <w:tc>
          <w:tcPr>
            <w:tcW w:w="1692" w:type="dxa"/>
          </w:tcPr>
          <w:p w14:paraId="291327AA"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0,4 mg/kg</w:t>
            </w:r>
          </w:p>
          <w:p w14:paraId="5EE55BC1"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6 mg)</w:t>
            </w:r>
          </w:p>
        </w:tc>
      </w:tr>
      <w:tr w:rsidR="00F72DA9" w:rsidRPr="001202A2" w14:paraId="0DF0C2A5" w14:textId="77777777" w:rsidTr="001202A2">
        <w:tc>
          <w:tcPr>
            <w:tcW w:w="2524" w:type="dxa"/>
          </w:tcPr>
          <w:p w14:paraId="69BC90D8" w14:textId="6939692D"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Novorođenče (38 ned</w:t>
            </w:r>
            <w:r w:rsidR="00C154D8" w:rsidRPr="001202A2">
              <w:rPr>
                <w:iCs/>
                <w:szCs w:val="22"/>
                <w:lang w:val="sr-Latn-ME"/>
              </w:rPr>
              <w:t>j</w:t>
            </w:r>
            <w:r w:rsidRPr="001202A2">
              <w:rPr>
                <w:iCs/>
                <w:szCs w:val="22"/>
                <w:lang w:val="sr-Latn-ME"/>
              </w:rPr>
              <w:t>elja gestacije) do ≤ 28 dana</w:t>
            </w:r>
          </w:p>
        </w:tc>
        <w:tc>
          <w:tcPr>
            <w:tcW w:w="2524" w:type="dxa"/>
          </w:tcPr>
          <w:p w14:paraId="020D8E4E" w14:textId="77777777" w:rsidR="00F72DA9" w:rsidRPr="001202A2" w:rsidRDefault="00F72DA9" w:rsidP="00880F49">
            <w:pPr>
              <w:tabs>
                <w:tab w:val="clear" w:pos="284"/>
              </w:tabs>
              <w:autoSpaceDE w:val="0"/>
              <w:autoSpaceDN w:val="0"/>
              <w:adjustRightInd w:val="0"/>
              <w:rPr>
                <w:iCs/>
                <w:szCs w:val="22"/>
                <w:lang w:val="sr-Latn-ME"/>
              </w:rPr>
            </w:pPr>
            <w:r w:rsidRPr="001202A2">
              <w:rPr>
                <w:iCs/>
                <w:szCs w:val="22"/>
                <w:lang w:val="sr-Latn-ME"/>
              </w:rPr>
              <w:t>Doziranje zasnovano na mg/kg</w:t>
            </w:r>
          </w:p>
        </w:tc>
        <w:tc>
          <w:tcPr>
            <w:tcW w:w="1081" w:type="dxa"/>
          </w:tcPr>
          <w:p w14:paraId="5D190606"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w:t>
            </w:r>
          </w:p>
        </w:tc>
        <w:tc>
          <w:tcPr>
            <w:tcW w:w="1672" w:type="dxa"/>
          </w:tcPr>
          <w:p w14:paraId="2408FD29"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0,4 mg/kg</w:t>
            </w:r>
          </w:p>
          <w:p w14:paraId="07E4C45F"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6 mg)</w:t>
            </w:r>
          </w:p>
        </w:tc>
        <w:tc>
          <w:tcPr>
            <w:tcW w:w="1692" w:type="dxa"/>
          </w:tcPr>
          <w:p w14:paraId="6E4E2602"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0,4 mg/kg</w:t>
            </w:r>
          </w:p>
          <w:p w14:paraId="47150F17" w14:textId="77777777" w:rsidR="00F72DA9" w:rsidRPr="001202A2" w:rsidRDefault="00F72DA9" w:rsidP="00880F49">
            <w:pPr>
              <w:tabs>
                <w:tab w:val="clear" w:pos="284"/>
              </w:tabs>
              <w:autoSpaceDE w:val="0"/>
              <w:autoSpaceDN w:val="0"/>
              <w:adjustRightInd w:val="0"/>
              <w:jc w:val="center"/>
              <w:rPr>
                <w:iCs/>
                <w:szCs w:val="22"/>
                <w:lang w:val="sr-Latn-ME"/>
              </w:rPr>
            </w:pPr>
            <w:r w:rsidRPr="001202A2">
              <w:rPr>
                <w:iCs/>
                <w:szCs w:val="22"/>
                <w:lang w:val="sr-Latn-ME"/>
              </w:rPr>
              <w:t>(najviše 6 mg)</w:t>
            </w:r>
          </w:p>
        </w:tc>
      </w:tr>
    </w:tbl>
    <w:p w14:paraId="72E13507" w14:textId="7E71ECE0"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NA = nije prim</w:t>
      </w:r>
      <w:r w:rsidR="00C154D8" w:rsidRPr="001202A2">
        <w:rPr>
          <w:iCs/>
          <w:szCs w:val="22"/>
          <w:lang w:val="sr-Latn-ME"/>
        </w:rPr>
        <w:t>j</w:t>
      </w:r>
      <w:r w:rsidRPr="001202A2">
        <w:rPr>
          <w:iCs/>
          <w:szCs w:val="22"/>
          <w:lang w:val="sr-Latn-ME"/>
        </w:rPr>
        <w:t xml:space="preserve">enljivo (engl. </w:t>
      </w:r>
      <w:r w:rsidRPr="001202A2">
        <w:rPr>
          <w:i/>
          <w:szCs w:val="22"/>
          <w:lang w:val="sr-Latn-ME"/>
        </w:rPr>
        <w:t>not applicable</w:t>
      </w:r>
      <w:r w:rsidRPr="001202A2">
        <w:rPr>
          <w:iCs/>
          <w:szCs w:val="22"/>
          <w:lang w:val="sr-Latn-ME"/>
        </w:rPr>
        <w:t>).</w:t>
      </w:r>
    </w:p>
    <w:p w14:paraId="44BC4E32" w14:textId="0C004E81" w:rsidR="00C37787" w:rsidRPr="001202A2" w:rsidRDefault="00C37787" w:rsidP="00880F49">
      <w:pPr>
        <w:tabs>
          <w:tab w:val="clear" w:pos="284"/>
        </w:tabs>
        <w:autoSpaceDE w:val="0"/>
        <w:autoSpaceDN w:val="0"/>
        <w:adjustRightInd w:val="0"/>
        <w:rPr>
          <w:iCs/>
          <w:szCs w:val="22"/>
          <w:lang w:val="sr-Latn-ME"/>
        </w:rPr>
      </w:pPr>
      <w:r w:rsidRPr="001202A2">
        <w:rPr>
          <w:iCs/>
          <w:szCs w:val="22"/>
          <w:vertAlign w:val="superscript"/>
          <w:lang w:val="sr-Latn-ME"/>
        </w:rPr>
        <w:t>a</w:t>
      </w:r>
      <w:r w:rsidRPr="001202A2">
        <w:rPr>
          <w:iCs/>
          <w:szCs w:val="22"/>
          <w:lang w:val="sr-Latn-ME"/>
        </w:rPr>
        <w:t xml:space="preserve"> Ispitanicima je objašnjeno da uzmu edoksaban (tablete ili granule) oralno jednom dnevno, svaki dan u isto vr</w:t>
      </w:r>
      <w:r w:rsidR="00C154D8" w:rsidRPr="001202A2">
        <w:rPr>
          <w:iCs/>
          <w:szCs w:val="22"/>
          <w:lang w:val="sr-Latn-ME"/>
        </w:rPr>
        <w:t>ij</w:t>
      </w:r>
      <w:r w:rsidRPr="001202A2">
        <w:rPr>
          <w:iCs/>
          <w:szCs w:val="22"/>
          <w:lang w:val="sr-Latn-ME"/>
        </w:rPr>
        <w:t>eme, sa ili bez hrane. Tablete je trebalo progutati c</w:t>
      </w:r>
      <w:r w:rsidR="00C154D8" w:rsidRPr="001202A2">
        <w:rPr>
          <w:iCs/>
          <w:szCs w:val="22"/>
          <w:lang w:val="sr-Latn-ME"/>
        </w:rPr>
        <w:t>ij</w:t>
      </w:r>
      <w:r w:rsidRPr="001202A2">
        <w:rPr>
          <w:iCs/>
          <w:szCs w:val="22"/>
          <w:lang w:val="sr-Latn-ME"/>
        </w:rPr>
        <w:t>ele sa čašom vode.</w:t>
      </w:r>
    </w:p>
    <w:p w14:paraId="0710A95D" w14:textId="6D9964D5" w:rsidR="00C37787" w:rsidRPr="001202A2" w:rsidRDefault="00C37787" w:rsidP="00880F49">
      <w:pPr>
        <w:tabs>
          <w:tab w:val="clear" w:pos="284"/>
        </w:tabs>
        <w:autoSpaceDE w:val="0"/>
        <w:autoSpaceDN w:val="0"/>
        <w:adjustRightInd w:val="0"/>
        <w:rPr>
          <w:iCs/>
          <w:szCs w:val="22"/>
          <w:lang w:val="sr-Latn-ME"/>
        </w:rPr>
      </w:pPr>
      <w:r w:rsidRPr="001202A2">
        <w:rPr>
          <w:iCs/>
          <w:szCs w:val="22"/>
          <w:vertAlign w:val="superscript"/>
          <w:lang w:val="sr-Latn-ME"/>
        </w:rPr>
        <w:t>b</w:t>
      </w:r>
      <w:r w:rsidRPr="001202A2">
        <w:rPr>
          <w:iCs/>
          <w:szCs w:val="22"/>
          <w:lang w:val="sr-Latn-ME"/>
        </w:rPr>
        <w:t xml:space="preserve"> Na osnovu kliničkih faktora, uključujući funkciju bubrega (um</w:t>
      </w:r>
      <w:r w:rsidR="00C154D8" w:rsidRPr="001202A2">
        <w:rPr>
          <w:iCs/>
          <w:szCs w:val="22"/>
          <w:lang w:val="sr-Latn-ME"/>
        </w:rPr>
        <w:t>j</w:t>
      </w:r>
      <w:r w:rsidRPr="001202A2">
        <w:rPr>
          <w:iCs/>
          <w:szCs w:val="22"/>
          <w:lang w:val="sr-Latn-ME"/>
        </w:rPr>
        <w:t>ereno do teško oštećenje funkcije bubrega sa proc</w:t>
      </w:r>
      <w:r w:rsidR="00C154D8" w:rsidRPr="001202A2">
        <w:rPr>
          <w:iCs/>
          <w:szCs w:val="22"/>
          <w:lang w:val="sr-Latn-ME"/>
        </w:rPr>
        <w:t>ij</w:t>
      </w:r>
      <w:r w:rsidRPr="001202A2">
        <w:rPr>
          <w:iCs/>
          <w:szCs w:val="22"/>
          <w:lang w:val="sr-Latn-ME"/>
        </w:rPr>
        <w:t xml:space="preserve">enjenom brzinom glomerularne filtracije (engl. </w:t>
      </w:r>
      <w:r w:rsidRPr="001202A2">
        <w:rPr>
          <w:i/>
          <w:szCs w:val="22"/>
          <w:lang w:val="sr-Latn-ME"/>
        </w:rPr>
        <w:t>estimated glomerular filtration rate</w:t>
      </w:r>
      <w:r w:rsidRPr="001202A2">
        <w:rPr>
          <w:iCs/>
          <w:szCs w:val="22"/>
          <w:lang w:val="sr-Latn-ME"/>
        </w:rPr>
        <w:t>, eGFR) 10 – 20, 20 – 35, 30 – 50 m</w:t>
      </w:r>
      <w:r w:rsidR="00C154D8" w:rsidRPr="001202A2">
        <w:rPr>
          <w:iCs/>
          <w:szCs w:val="22"/>
          <w:lang w:val="sr-Latn-ME"/>
        </w:rPr>
        <w:t>l</w:t>
      </w:r>
      <w:r w:rsidRPr="001202A2">
        <w:rPr>
          <w:iCs/>
          <w:szCs w:val="22"/>
          <w:lang w:val="sr-Latn-ME"/>
        </w:rPr>
        <w:t>/min/1,73 m</w:t>
      </w:r>
      <w:r w:rsidRPr="001202A2">
        <w:rPr>
          <w:iCs/>
          <w:szCs w:val="22"/>
          <w:vertAlign w:val="superscript"/>
          <w:lang w:val="sr-Latn-ME"/>
        </w:rPr>
        <w:t>2</w:t>
      </w:r>
      <w:r w:rsidRPr="001202A2">
        <w:rPr>
          <w:iCs/>
          <w:szCs w:val="22"/>
          <w:lang w:val="sr-Latn-ME"/>
        </w:rPr>
        <w:t xml:space="preserve"> za ispitanike uzrasta &gt; 4 i ≤ 8 ned</w:t>
      </w:r>
      <w:r w:rsidR="00C154D8" w:rsidRPr="001202A2">
        <w:rPr>
          <w:iCs/>
          <w:szCs w:val="22"/>
          <w:lang w:val="sr-Latn-ME"/>
        </w:rPr>
        <w:t>j</w:t>
      </w:r>
      <w:r w:rsidRPr="001202A2">
        <w:rPr>
          <w:iCs/>
          <w:szCs w:val="22"/>
          <w:lang w:val="sr-Latn-ME"/>
        </w:rPr>
        <w:t>elja, &gt; 8 ned</w:t>
      </w:r>
      <w:r w:rsidR="00C154D8" w:rsidRPr="001202A2">
        <w:rPr>
          <w:iCs/>
          <w:szCs w:val="22"/>
          <w:lang w:val="sr-Latn-ME"/>
        </w:rPr>
        <w:t>j</w:t>
      </w:r>
      <w:r w:rsidRPr="001202A2">
        <w:rPr>
          <w:iCs/>
          <w:szCs w:val="22"/>
          <w:lang w:val="sr-Latn-ME"/>
        </w:rPr>
        <w:t>elja i ≤ 2 godine, &gt; 2 i ≤ 8 12 godina; eGFR 35 – 55 m</w:t>
      </w:r>
      <w:r w:rsidR="00C154D8" w:rsidRPr="001202A2">
        <w:rPr>
          <w:iCs/>
          <w:szCs w:val="22"/>
          <w:lang w:val="sr-Latn-ME"/>
        </w:rPr>
        <w:t>l</w:t>
      </w:r>
      <w:r w:rsidRPr="001202A2">
        <w:rPr>
          <w:iCs/>
          <w:szCs w:val="22"/>
          <w:lang w:val="sr-Latn-ME"/>
        </w:rPr>
        <w:t>/min/1,73 m</w:t>
      </w:r>
      <w:r w:rsidRPr="001202A2">
        <w:rPr>
          <w:iCs/>
          <w:szCs w:val="22"/>
          <w:vertAlign w:val="superscript"/>
          <w:lang w:val="sr-Latn-ME"/>
        </w:rPr>
        <w:t>2</w:t>
      </w:r>
      <w:r w:rsidRPr="001202A2">
        <w:rPr>
          <w:iCs/>
          <w:szCs w:val="22"/>
          <w:lang w:val="sr-Latn-ME"/>
        </w:rPr>
        <w:t xml:space="preserve"> za d</w:t>
      </w:r>
      <w:r w:rsidR="00C154D8" w:rsidRPr="001202A2">
        <w:rPr>
          <w:iCs/>
          <w:szCs w:val="22"/>
          <w:lang w:val="sr-Latn-ME"/>
        </w:rPr>
        <w:t>j</w:t>
      </w:r>
      <w:r w:rsidRPr="001202A2">
        <w:rPr>
          <w:iCs/>
          <w:szCs w:val="22"/>
          <w:lang w:val="sr-Latn-ME"/>
        </w:rPr>
        <w:t>ečake uzrasta &gt; 12 do &lt; 18 godina i eGFR 30 – 50 m</w:t>
      </w:r>
      <w:r w:rsidR="00C154D8" w:rsidRPr="001202A2">
        <w:rPr>
          <w:iCs/>
          <w:szCs w:val="22"/>
          <w:lang w:val="sr-Latn-ME"/>
        </w:rPr>
        <w:t>l</w:t>
      </w:r>
      <w:r w:rsidRPr="001202A2">
        <w:rPr>
          <w:iCs/>
          <w:szCs w:val="22"/>
          <w:lang w:val="sr-Latn-ME"/>
        </w:rPr>
        <w:t>/min/1,73 m</w:t>
      </w:r>
      <w:r w:rsidRPr="001202A2">
        <w:rPr>
          <w:iCs/>
          <w:szCs w:val="22"/>
          <w:vertAlign w:val="superscript"/>
          <w:lang w:val="sr-Latn-ME"/>
        </w:rPr>
        <w:t xml:space="preserve">2 </w:t>
      </w:r>
      <w:r w:rsidRPr="001202A2">
        <w:rPr>
          <w:iCs/>
          <w:szCs w:val="22"/>
          <w:lang w:val="sr-Latn-ME"/>
        </w:rPr>
        <w:t>za d</w:t>
      </w:r>
      <w:r w:rsidR="00C154D8" w:rsidRPr="001202A2">
        <w:rPr>
          <w:iCs/>
          <w:szCs w:val="22"/>
          <w:lang w:val="sr-Latn-ME"/>
        </w:rPr>
        <w:t>j</w:t>
      </w:r>
      <w:r w:rsidRPr="001202A2">
        <w:rPr>
          <w:iCs/>
          <w:szCs w:val="22"/>
          <w:lang w:val="sr-Latn-ME"/>
        </w:rPr>
        <w:t>evojčice uzrasta &gt; 12 do &lt; 18 godina) i istovremenu prim</w:t>
      </w:r>
      <w:r w:rsidR="00C154D8" w:rsidRPr="001202A2">
        <w:rPr>
          <w:iCs/>
          <w:szCs w:val="22"/>
          <w:lang w:val="sr-Latn-ME"/>
        </w:rPr>
        <w:t>j</w:t>
      </w:r>
      <w:r w:rsidRPr="001202A2">
        <w:rPr>
          <w:iCs/>
          <w:szCs w:val="22"/>
          <w:lang w:val="sr-Latn-ME"/>
        </w:rPr>
        <w:t>enu P-gp inhibitora (npr. ciklosporin, dronedaron, eritromicin, ketokonazol).</w:t>
      </w:r>
    </w:p>
    <w:p w14:paraId="30BE41E8" w14:textId="77777777" w:rsidR="00586C81" w:rsidRPr="001202A2" w:rsidRDefault="00586C81" w:rsidP="00880F49">
      <w:pPr>
        <w:tabs>
          <w:tab w:val="clear" w:pos="284"/>
        </w:tabs>
        <w:autoSpaceDE w:val="0"/>
        <w:autoSpaceDN w:val="0"/>
        <w:adjustRightInd w:val="0"/>
        <w:rPr>
          <w:iCs/>
          <w:szCs w:val="22"/>
          <w:lang w:val="sr-Latn-ME"/>
        </w:rPr>
      </w:pPr>
    </w:p>
    <w:p w14:paraId="253DF60E" w14:textId="7AD63401" w:rsidR="00C37787" w:rsidRPr="001202A2" w:rsidRDefault="00C37787" w:rsidP="00480B31">
      <w:pPr>
        <w:tabs>
          <w:tab w:val="clear" w:pos="284"/>
        </w:tabs>
        <w:autoSpaceDE w:val="0"/>
        <w:autoSpaceDN w:val="0"/>
        <w:adjustRightInd w:val="0"/>
        <w:rPr>
          <w:iCs/>
          <w:szCs w:val="22"/>
          <w:lang w:val="sr-Latn-ME"/>
        </w:rPr>
      </w:pPr>
      <w:r w:rsidRPr="001202A2">
        <w:rPr>
          <w:iCs/>
          <w:szCs w:val="22"/>
          <w:lang w:val="sr-Latn-ME"/>
        </w:rPr>
        <w:t>Ukupno 290 ispitanika je randomizovano u studiji: 147 u grupu na edoksabanu i 143 u grupu na standardnoj terapiji, od kojih je 286 ispitanika primilo najmanje jednu dozu ispitivanog l</w:t>
      </w:r>
      <w:r w:rsidR="00C154D8" w:rsidRPr="001202A2">
        <w:rPr>
          <w:iCs/>
          <w:szCs w:val="22"/>
          <w:lang w:val="sr-Latn-ME"/>
        </w:rPr>
        <w:t>ij</w:t>
      </w:r>
      <w:r w:rsidRPr="001202A2">
        <w:rPr>
          <w:iCs/>
          <w:szCs w:val="22"/>
          <w:lang w:val="sr-Latn-ME"/>
        </w:rPr>
        <w:t>eka (mITT); 145 ispitanika u grupi na edoksabanu i 141 ispitanik u kontrolnoj grupi. Približno polovina ukupnih ispitanika je bilo muškog pola (52,4%) i većina je bila b</w:t>
      </w:r>
      <w:r w:rsidR="00C154D8" w:rsidRPr="001202A2">
        <w:rPr>
          <w:iCs/>
          <w:szCs w:val="22"/>
          <w:lang w:val="sr-Latn-ME"/>
        </w:rPr>
        <w:t>ij</w:t>
      </w:r>
      <w:r w:rsidRPr="001202A2">
        <w:rPr>
          <w:iCs/>
          <w:szCs w:val="22"/>
          <w:lang w:val="sr-Latn-ME"/>
        </w:rPr>
        <w:t>ele rase (177 [61,9%]). Srednja vr</w:t>
      </w:r>
      <w:r w:rsidR="00C154D8" w:rsidRPr="001202A2">
        <w:rPr>
          <w:iCs/>
          <w:szCs w:val="22"/>
          <w:lang w:val="sr-Latn-ME"/>
        </w:rPr>
        <w:t>ij</w:t>
      </w:r>
      <w:r w:rsidRPr="001202A2">
        <w:rPr>
          <w:iCs/>
          <w:szCs w:val="22"/>
          <w:lang w:val="sr-Latn-ME"/>
        </w:rPr>
        <w:t>ednost t</w:t>
      </w:r>
      <w:r w:rsidR="00C154D8" w:rsidRPr="001202A2">
        <w:rPr>
          <w:iCs/>
          <w:szCs w:val="22"/>
          <w:lang w:val="sr-Latn-ME"/>
        </w:rPr>
        <w:t>j</w:t>
      </w:r>
      <w:r w:rsidRPr="001202A2">
        <w:rPr>
          <w:iCs/>
          <w:szCs w:val="22"/>
          <w:lang w:val="sr-Latn-ME"/>
        </w:rPr>
        <w:t>elesne mase je iznosila 45,35 kg, a pros</w:t>
      </w:r>
      <w:r w:rsidR="00C154D8" w:rsidRPr="001202A2">
        <w:rPr>
          <w:iCs/>
          <w:szCs w:val="22"/>
          <w:lang w:val="sr-Latn-ME"/>
        </w:rPr>
        <w:t>j</w:t>
      </w:r>
      <w:r w:rsidRPr="001202A2">
        <w:rPr>
          <w:iCs/>
          <w:szCs w:val="22"/>
          <w:lang w:val="sr-Latn-ME"/>
        </w:rPr>
        <w:t>ečan indeks t</w:t>
      </w:r>
      <w:r w:rsidR="00C154D8" w:rsidRPr="001202A2">
        <w:rPr>
          <w:iCs/>
          <w:szCs w:val="22"/>
          <w:lang w:val="sr-Latn-ME"/>
        </w:rPr>
        <w:t>j</w:t>
      </w:r>
      <w:r w:rsidRPr="001202A2">
        <w:rPr>
          <w:iCs/>
          <w:szCs w:val="22"/>
          <w:lang w:val="sr-Latn-ME"/>
        </w:rPr>
        <w:t xml:space="preserve">elesne mase (engl. </w:t>
      </w:r>
      <w:r w:rsidRPr="001202A2">
        <w:rPr>
          <w:i/>
          <w:szCs w:val="22"/>
          <w:lang w:val="sr-Latn-ME"/>
        </w:rPr>
        <w:t>body mass index</w:t>
      </w:r>
      <w:r w:rsidRPr="001202A2">
        <w:rPr>
          <w:iCs/>
          <w:szCs w:val="22"/>
          <w:lang w:val="sr-Latn-ME"/>
        </w:rPr>
        <w:t>, BMI) 20,4 kg/m</w:t>
      </w:r>
      <w:r w:rsidRPr="001202A2">
        <w:rPr>
          <w:iCs/>
          <w:szCs w:val="22"/>
          <w:vertAlign w:val="superscript"/>
          <w:lang w:val="sr-Latn-ME"/>
        </w:rPr>
        <w:t>2</w:t>
      </w:r>
      <w:r w:rsidRPr="001202A2">
        <w:rPr>
          <w:iCs/>
          <w:szCs w:val="22"/>
          <w:lang w:val="sr-Latn-ME"/>
        </w:rPr>
        <w:t>. Ukupno 167 (58,4%) pacijenata je bilo u starosnoj grupi 12 do &lt; 18 godina, 44 (15,4%) ispitanika u grupi 6 do &lt; 12 godina, 31 (10,8%) ispitanik u grupi 2 do &lt; 6 godina, 28 (9,8%) ispitanika u grupi 6 m</w:t>
      </w:r>
      <w:r w:rsidR="00C154D8" w:rsidRPr="001202A2">
        <w:rPr>
          <w:iCs/>
          <w:szCs w:val="22"/>
          <w:lang w:val="sr-Latn-ME"/>
        </w:rPr>
        <w:t>j</w:t>
      </w:r>
      <w:r w:rsidRPr="001202A2">
        <w:rPr>
          <w:iCs/>
          <w:szCs w:val="22"/>
          <w:lang w:val="sr-Latn-ME"/>
        </w:rPr>
        <w:t>eseci do &lt; 2 godine i 16 (5,6%) ispitanika u grupi 0 do &lt; 6 m</w:t>
      </w:r>
      <w:r w:rsidR="00C154D8" w:rsidRPr="001202A2">
        <w:rPr>
          <w:iCs/>
          <w:szCs w:val="22"/>
          <w:lang w:val="sr-Latn-ME"/>
        </w:rPr>
        <w:t>j</w:t>
      </w:r>
      <w:r w:rsidRPr="001202A2">
        <w:rPr>
          <w:iCs/>
          <w:szCs w:val="22"/>
          <w:lang w:val="sr-Latn-ME"/>
        </w:rPr>
        <w:t>eseci. Ukupno 28 (19,3%) d</w:t>
      </w:r>
      <w:r w:rsidR="00C154D8" w:rsidRPr="001202A2">
        <w:rPr>
          <w:iCs/>
          <w:szCs w:val="22"/>
          <w:lang w:val="sr-Latn-ME"/>
        </w:rPr>
        <w:t>j</w:t>
      </w:r>
      <w:r w:rsidRPr="001202A2">
        <w:rPr>
          <w:iCs/>
          <w:szCs w:val="22"/>
          <w:lang w:val="sr-Latn-ME"/>
        </w:rPr>
        <w:t>ece u grupi na edoksabanu i 31 (22,0%) d</w:t>
      </w:r>
      <w:r w:rsidR="00C154D8" w:rsidRPr="001202A2">
        <w:rPr>
          <w:iCs/>
          <w:szCs w:val="22"/>
          <w:lang w:val="sr-Latn-ME"/>
        </w:rPr>
        <w:t>ij</w:t>
      </w:r>
      <w:r w:rsidRPr="001202A2">
        <w:rPr>
          <w:iCs/>
          <w:szCs w:val="22"/>
          <w:lang w:val="sr-Latn-ME"/>
        </w:rPr>
        <w:t>ete u kontrolnoj grupi je imalo neoplazme u anamnezi. Postojeći događaj u anamnezi je bila DVT sa ili bez PE kod 125 (86,2%) od 145 d</w:t>
      </w:r>
      <w:r w:rsidR="00C154D8" w:rsidRPr="001202A2">
        <w:rPr>
          <w:iCs/>
          <w:szCs w:val="22"/>
          <w:lang w:val="sr-Latn-ME"/>
        </w:rPr>
        <w:t>j</w:t>
      </w:r>
      <w:r w:rsidRPr="001202A2">
        <w:rPr>
          <w:iCs/>
          <w:szCs w:val="22"/>
          <w:lang w:val="sr-Latn-ME"/>
        </w:rPr>
        <w:t>ece u grupi na edoksabanu i 121 (85,8%) od 141 d</w:t>
      </w:r>
      <w:r w:rsidR="00C154D8" w:rsidRPr="001202A2">
        <w:rPr>
          <w:iCs/>
          <w:szCs w:val="22"/>
          <w:lang w:val="sr-Latn-ME"/>
        </w:rPr>
        <w:t>j</w:t>
      </w:r>
      <w:r w:rsidRPr="001202A2">
        <w:rPr>
          <w:iCs/>
          <w:szCs w:val="22"/>
          <w:lang w:val="sr-Latn-ME"/>
        </w:rPr>
        <w:t>eteta u kontrolnoj grupi, dok su ostali događaji, 20 (13,8%) u grupi na edoksabanu i 20 (14,2%) u kontrolnoj grupi bile PE bez DVT. Duboke venske tromboze su najčešće zahvatale donje ekstremitete (50 (34,5%) i 44 (31,2%) slučajeva u grupi na edoksabanu, odnosno kontrolnoj grupi), gornje ekstremitete (22 (15,2%) naspram 24 (17,0%)) i cerebralni venski sinus (27(18,6%) naspram 21 (14,9%)).</w:t>
      </w:r>
    </w:p>
    <w:p w14:paraId="069611FD" w14:textId="77777777" w:rsidR="00E87DC6" w:rsidRPr="001202A2" w:rsidRDefault="00E87DC6" w:rsidP="00480B31">
      <w:pPr>
        <w:tabs>
          <w:tab w:val="clear" w:pos="284"/>
        </w:tabs>
        <w:autoSpaceDE w:val="0"/>
        <w:autoSpaceDN w:val="0"/>
        <w:adjustRightInd w:val="0"/>
        <w:rPr>
          <w:iCs/>
          <w:szCs w:val="22"/>
          <w:lang w:val="sr-Latn-ME"/>
        </w:rPr>
      </w:pPr>
    </w:p>
    <w:p w14:paraId="55154370" w14:textId="36493BFF" w:rsidR="00C37787" w:rsidRPr="001202A2" w:rsidRDefault="00C37787" w:rsidP="00480B31">
      <w:pPr>
        <w:tabs>
          <w:tab w:val="clear" w:pos="284"/>
        </w:tabs>
        <w:autoSpaceDE w:val="0"/>
        <w:autoSpaceDN w:val="0"/>
        <w:adjustRightInd w:val="0"/>
        <w:rPr>
          <w:iCs/>
          <w:szCs w:val="22"/>
          <w:lang w:val="sr-Latn-ME"/>
        </w:rPr>
      </w:pPr>
      <w:r w:rsidRPr="001202A2">
        <w:rPr>
          <w:iCs/>
          <w:szCs w:val="22"/>
          <w:lang w:val="sr-Latn-ME"/>
        </w:rPr>
        <w:t>Odnos rizika (HR) za grupu na edoksabanu u poređenju sa standardnom terapijom je iznosio 1,01 (95% CI: 0,59 do 1,72). Gornja granica 95% CI (1,72) je bila iznad unapr</w:t>
      </w:r>
      <w:r w:rsidR="006F0097" w:rsidRPr="001202A2">
        <w:rPr>
          <w:iCs/>
          <w:szCs w:val="22"/>
          <w:lang w:val="sr-Latn-ME"/>
        </w:rPr>
        <w:t>ij</w:t>
      </w:r>
      <w:r w:rsidRPr="001202A2">
        <w:rPr>
          <w:iCs/>
          <w:szCs w:val="22"/>
          <w:lang w:val="sr-Latn-ME"/>
        </w:rPr>
        <w:t>ed definisane granice neinferiornosti od 1,5. Neinferiornost edoksabana u odnosu na standardnu terapiju nije potvrđena (vid</w:t>
      </w:r>
      <w:r w:rsidR="006F0097" w:rsidRPr="001202A2">
        <w:rPr>
          <w:iCs/>
          <w:szCs w:val="22"/>
          <w:lang w:val="sr-Latn-ME"/>
        </w:rPr>
        <w:t>j</w:t>
      </w:r>
      <w:r w:rsidRPr="001202A2">
        <w:rPr>
          <w:iCs/>
          <w:szCs w:val="22"/>
          <w:lang w:val="sr-Latn-ME"/>
        </w:rPr>
        <w:t xml:space="preserve">eti tabelu 13). </w:t>
      </w:r>
    </w:p>
    <w:p w14:paraId="328F7284" w14:textId="77777777" w:rsidR="00586C81" w:rsidRPr="001202A2" w:rsidRDefault="00586C81" w:rsidP="00480B31">
      <w:pPr>
        <w:tabs>
          <w:tab w:val="clear" w:pos="284"/>
        </w:tabs>
        <w:autoSpaceDE w:val="0"/>
        <w:autoSpaceDN w:val="0"/>
        <w:adjustRightInd w:val="0"/>
        <w:rPr>
          <w:iCs/>
          <w:szCs w:val="22"/>
          <w:lang w:val="sr-Latn-ME"/>
        </w:rPr>
      </w:pPr>
    </w:p>
    <w:p w14:paraId="2BC8FD0D" w14:textId="52EF0CEC" w:rsidR="00C37787" w:rsidRPr="001202A2" w:rsidRDefault="00C37787" w:rsidP="00480B31">
      <w:pPr>
        <w:tabs>
          <w:tab w:val="clear" w:pos="284"/>
        </w:tabs>
        <w:autoSpaceDE w:val="0"/>
        <w:autoSpaceDN w:val="0"/>
        <w:adjustRightInd w:val="0"/>
        <w:rPr>
          <w:b/>
          <w:bCs/>
          <w:iCs/>
          <w:szCs w:val="22"/>
          <w:lang w:val="sr-Latn-ME"/>
        </w:rPr>
      </w:pPr>
      <w:r w:rsidRPr="001202A2">
        <w:rPr>
          <w:b/>
          <w:bCs/>
          <w:iCs/>
          <w:szCs w:val="22"/>
          <w:lang w:val="sr-Latn-ME"/>
        </w:rPr>
        <w:t>Tabela 13: Proc</w:t>
      </w:r>
      <w:r w:rsidR="006F0097" w:rsidRPr="001202A2">
        <w:rPr>
          <w:b/>
          <w:bCs/>
          <w:iCs/>
          <w:szCs w:val="22"/>
          <w:lang w:val="sr-Latn-ME"/>
        </w:rPr>
        <w:t>ij</w:t>
      </w:r>
      <w:r w:rsidRPr="001202A2">
        <w:rPr>
          <w:b/>
          <w:bCs/>
          <w:iCs/>
          <w:szCs w:val="22"/>
          <w:lang w:val="sr-Latn-ME"/>
        </w:rPr>
        <w:t>enjen zbirni primarni ishod efikasnosti – period glavne terapije (set mITT analiza)</w:t>
      </w:r>
    </w:p>
    <w:p w14:paraId="37CFA40F" w14:textId="77777777" w:rsidR="00743938" w:rsidRPr="001202A2" w:rsidRDefault="00743938" w:rsidP="00480B31">
      <w:pPr>
        <w:tabs>
          <w:tab w:val="clear" w:pos="284"/>
        </w:tabs>
        <w:autoSpaceDE w:val="0"/>
        <w:autoSpaceDN w:val="0"/>
        <w:adjustRightInd w:val="0"/>
        <w:rPr>
          <w:b/>
          <w:bCs/>
          <w:iCs/>
          <w:szCs w:val="22"/>
          <w:lang w:val="sr-Latn-ME"/>
        </w:rPr>
      </w:pPr>
    </w:p>
    <w:tbl>
      <w:tblPr>
        <w:tblStyle w:val="TableGrid"/>
        <w:tblW w:w="0" w:type="auto"/>
        <w:tblLook w:val="04A0" w:firstRow="1" w:lastRow="0" w:firstColumn="1" w:lastColumn="0" w:noHBand="0" w:noVBand="1"/>
      </w:tblPr>
      <w:tblGrid>
        <w:gridCol w:w="4106"/>
        <w:gridCol w:w="2552"/>
        <w:gridCol w:w="2967"/>
      </w:tblGrid>
      <w:tr w:rsidR="00C37787" w:rsidRPr="001202A2" w14:paraId="29326397" w14:textId="77777777" w:rsidTr="001202A2">
        <w:tc>
          <w:tcPr>
            <w:tcW w:w="4106" w:type="dxa"/>
          </w:tcPr>
          <w:p w14:paraId="58A09BA3" w14:textId="77777777" w:rsidR="00C37787" w:rsidRPr="001202A2" w:rsidRDefault="00C37787" w:rsidP="00880F49">
            <w:pPr>
              <w:tabs>
                <w:tab w:val="clear" w:pos="284"/>
              </w:tabs>
              <w:autoSpaceDE w:val="0"/>
              <w:autoSpaceDN w:val="0"/>
              <w:adjustRightInd w:val="0"/>
              <w:rPr>
                <w:iCs/>
                <w:szCs w:val="22"/>
                <w:lang w:val="sr-Latn-ME"/>
              </w:rPr>
            </w:pPr>
          </w:p>
        </w:tc>
        <w:tc>
          <w:tcPr>
            <w:tcW w:w="2552" w:type="dxa"/>
          </w:tcPr>
          <w:p w14:paraId="247F93BC"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Edoksaban</w:t>
            </w:r>
          </w:p>
          <w:p w14:paraId="4D534CC4"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(N=145)</w:t>
            </w:r>
          </w:p>
        </w:tc>
        <w:tc>
          <w:tcPr>
            <w:tcW w:w="2967" w:type="dxa"/>
          </w:tcPr>
          <w:p w14:paraId="0FB4E142"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Standardna terapija (N=141)</w:t>
            </w:r>
          </w:p>
        </w:tc>
      </w:tr>
      <w:tr w:rsidR="00C37787" w:rsidRPr="001202A2" w14:paraId="65CFDDF0" w14:textId="77777777" w:rsidTr="001202A2">
        <w:tc>
          <w:tcPr>
            <w:tcW w:w="4106" w:type="dxa"/>
          </w:tcPr>
          <w:p w14:paraId="0D235DB1" w14:textId="77777777"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Ispitanici sa događajima (n,%)</w:t>
            </w:r>
          </w:p>
        </w:tc>
        <w:tc>
          <w:tcPr>
            <w:tcW w:w="2552" w:type="dxa"/>
          </w:tcPr>
          <w:p w14:paraId="20CE0DDE"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26 (17,9)</w:t>
            </w:r>
          </w:p>
        </w:tc>
        <w:tc>
          <w:tcPr>
            <w:tcW w:w="2967" w:type="dxa"/>
          </w:tcPr>
          <w:p w14:paraId="1BF6CAD4"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31 (22,0)</w:t>
            </w:r>
          </w:p>
        </w:tc>
      </w:tr>
      <w:tr w:rsidR="00C37787" w:rsidRPr="001202A2" w14:paraId="6F97F468" w14:textId="77777777" w:rsidTr="001202A2">
        <w:tc>
          <w:tcPr>
            <w:tcW w:w="4106" w:type="dxa"/>
          </w:tcPr>
          <w:p w14:paraId="72821F7E" w14:textId="77777777"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Simptomatski, rekurentni VTE (n,%)</w:t>
            </w:r>
          </w:p>
        </w:tc>
        <w:tc>
          <w:tcPr>
            <w:tcW w:w="2552" w:type="dxa"/>
          </w:tcPr>
          <w:p w14:paraId="04FF26C7"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5 (3,4)</w:t>
            </w:r>
          </w:p>
        </w:tc>
        <w:tc>
          <w:tcPr>
            <w:tcW w:w="2967" w:type="dxa"/>
          </w:tcPr>
          <w:p w14:paraId="4B7F5976"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2 (1,4)</w:t>
            </w:r>
          </w:p>
        </w:tc>
      </w:tr>
      <w:tr w:rsidR="00C37787" w:rsidRPr="001202A2" w14:paraId="2549752A" w14:textId="77777777" w:rsidTr="001202A2">
        <w:tc>
          <w:tcPr>
            <w:tcW w:w="4106" w:type="dxa"/>
          </w:tcPr>
          <w:p w14:paraId="3388333E" w14:textId="77777777"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PE sa ili bez DVT (n, %)</w:t>
            </w:r>
          </w:p>
        </w:tc>
        <w:tc>
          <w:tcPr>
            <w:tcW w:w="2552" w:type="dxa"/>
          </w:tcPr>
          <w:p w14:paraId="0B2295F0"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w:t>
            </w:r>
          </w:p>
        </w:tc>
        <w:tc>
          <w:tcPr>
            <w:tcW w:w="2967" w:type="dxa"/>
          </w:tcPr>
          <w:p w14:paraId="48DEC572"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1 (0,7)</w:t>
            </w:r>
          </w:p>
        </w:tc>
      </w:tr>
      <w:tr w:rsidR="00C37787" w:rsidRPr="001202A2" w14:paraId="0F93A828" w14:textId="77777777" w:rsidTr="001202A2">
        <w:tc>
          <w:tcPr>
            <w:tcW w:w="4106" w:type="dxa"/>
          </w:tcPr>
          <w:p w14:paraId="0E20A26E" w14:textId="77777777" w:rsidR="00C37787" w:rsidRPr="001202A2" w:rsidRDefault="00C37787" w:rsidP="00880F49">
            <w:pPr>
              <w:tabs>
                <w:tab w:val="clear" w:pos="284"/>
              </w:tabs>
              <w:autoSpaceDE w:val="0"/>
              <w:autoSpaceDN w:val="0"/>
              <w:adjustRightInd w:val="0"/>
              <w:ind w:left="316"/>
              <w:rPr>
                <w:iCs/>
                <w:szCs w:val="22"/>
                <w:lang w:val="sr-Latn-ME"/>
              </w:rPr>
            </w:pPr>
            <w:r w:rsidRPr="001202A2">
              <w:rPr>
                <w:iCs/>
                <w:szCs w:val="22"/>
                <w:lang w:val="sr-Latn-ME"/>
              </w:rPr>
              <w:t>PE sa smrtnim ishodom (n,%)</w:t>
            </w:r>
          </w:p>
        </w:tc>
        <w:tc>
          <w:tcPr>
            <w:tcW w:w="2552" w:type="dxa"/>
          </w:tcPr>
          <w:p w14:paraId="15040518"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w:t>
            </w:r>
          </w:p>
        </w:tc>
        <w:tc>
          <w:tcPr>
            <w:tcW w:w="2967" w:type="dxa"/>
          </w:tcPr>
          <w:p w14:paraId="564426DC"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w:t>
            </w:r>
          </w:p>
        </w:tc>
      </w:tr>
      <w:tr w:rsidR="00C37787" w:rsidRPr="001202A2" w14:paraId="455F6B39" w14:textId="77777777" w:rsidTr="001202A2">
        <w:tc>
          <w:tcPr>
            <w:tcW w:w="4106" w:type="dxa"/>
          </w:tcPr>
          <w:p w14:paraId="2EA6BF07" w14:textId="77777777" w:rsidR="00C37787" w:rsidRPr="001202A2" w:rsidRDefault="00C37787" w:rsidP="00880F49">
            <w:pPr>
              <w:tabs>
                <w:tab w:val="clear" w:pos="284"/>
              </w:tabs>
              <w:autoSpaceDE w:val="0"/>
              <w:autoSpaceDN w:val="0"/>
              <w:adjustRightInd w:val="0"/>
              <w:ind w:left="316"/>
              <w:rPr>
                <w:iCs/>
                <w:szCs w:val="22"/>
                <w:lang w:val="sr-Latn-ME"/>
              </w:rPr>
            </w:pPr>
            <w:r w:rsidRPr="001202A2">
              <w:rPr>
                <w:iCs/>
                <w:szCs w:val="22"/>
                <w:lang w:val="sr-Latn-ME"/>
              </w:rPr>
              <w:t>PE bez smrtnog ishoda (n,%)</w:t>
            </w:r>
          </w:p>
        </w:tc>
        <w:tc>
          <w:tcPr>
            <w:tcW w:w="2552" w:type="dxa"/>
          </w:tcPr>
          <w:p w14:paraId="4DFB47BC"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w:t>
            </w:r>
          </w:p>
        </w:tc>
        <w:tc>
          <w:tcPr>
            <w:tcW w:w="2967" w:type="dxa"/>
          </w:tcPr>
          <w:p w14:paraId="3BFBC91F"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1 (0,7)</w:t>
            </w:r>
          </w:p>
        </w:tc>
      </w:tr>
      <w:tr w:rsidR="00C37787" w:rsidRPr="001202A2" w14:paraId="19212F4B" w14:textId="77777777" w:rsidTr="001202A2">
        <w:tc>
          <w:tcPr>
            <w:tcW w:w="4106" w:type="dxa"/>
          </w:tcPr>
          <w:p w14:paraId="78A1560D" w14:textId="77777777"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Samo DVT (n,%)</w:t>
            </w:r>
          </w:p>
        </w:tc>
        <w:tc>
          <w:tcPr>
            <w:tcW w:w="2552" w:type="dxa"/>
          </w:tcPr>
          <w:p w14:paraId="606F2396"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5 (3,4)</w:t>
            </w:r>
          </w:p>
        </w:tc>
        <w:tc>
          <w:tcPr>
            <w:tcW w:w="2967" w:type="dxa"/>
          </w:tcPr>
          <w:p w14:paraId="22B51CDE"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1 (0,7)</w:t>
            </w:r>
          </w:p>
        </w:tc>
      </w:tr>
      <w:tr w:rsidR="00C37787" w:rsidRPr="001202A2" w14:paraId="698906CD" w14:textId="77777777" w:rsidTr="001202A2">
        <w:tc>
          <w:tcPr>
            <w:tcW w:w="4106" w:type="dxa"/>
          </w:tcPr>
          <w:p w14:paraId="291FFE07" w14:textId="77777777" w:rsidR="00C37787" w:rsidRPr="001202A2" w:rsidRDefault="00C37787" w:rsidP="00880F49">
            <w:pPr>
              <w:tabs>
                <w:tab w:val="clear" w:pos="284"/>
              </w:tabs>
              <w:autoSpaceDE w:val="0"/>
              <w:autoSpaceDN w:val="0"/>
              <w:adjustRightInd w:val="0"/>
              <w:ind w:left="316"/>
              <w:rPr>
                <w:iCs/>
                <w:szCs w:val="22"/>
                <w:lang w:val="sr-Latn-ME"/>
              </w:rPr>
            </w:pPr>
            <w:r w:rsidRPr="001202A2">
              <w:rPr>
                <w:iCs/>
                <w:szCs w:val="22"/>
                <w:lang w:val="sr-Latn-ME"/>
              </w:rPr>
              <w:t>DVT sa smrtnim ishodom (n,%)</w:t>
            </w:r>
          </w:p>
        </w:tc>
        <w:tc>
          <w:tcPr>
            <w:tcW w:w="2552" w:type="dxa"/>
          </w:tcPr>
          <w:p w14:paraId="4B612BB5"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w:t>
            </w:r>
          </w:p>
        </w:tc>
        <w:tc>
          <w:tcPr>
            <w:tcW w:w="2967" w:type="dxa"/>
          </w:tcPr>
          <w:p w14:paraId="69D69E6F"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w:t>
            </w:r>
          </w:p>
        </w:tc>
      </w:tr>
      <w:tr w:rsidR="00C37787" w:rsidRPr="001202A2" w14:paraId="4F8F3C80" w14:textId="77777777" w:rsidTr="001202A2">
        <w:tc>
          <w:tcPr>
            <w:tcW w:w="4106" w:type="dxa"/>
          </w:tcPr>
          <w:p w14:paraId="48D6D7B0" w14:textId="77777777" w:rsidR="00C37787" w:rsidRPr="001202A2" w:rsidRDefault="00C37787" w:rsidP="00880F49">
            <w:pPr>
              <w:tabs>
                <w:tab w:val="clear" w:pos="284"/>
              </w:tabs>
              <w:autoSpaceDE w:val="0"/>
              <w:autoSpaceDN w:val="0"/>
              <w:adjustRightInd w:val="0"/>
              <w:ind w:left="316"/>
              <w:rPr>
                <w:iCs/>
                <w:szCs w:val="22"/>
                <w:lang w:val="sr-Latn-ME"/>
              </w:rPr>
            </w:pPr>
            <w:r w:rsidRPr="001202A2">
              <w:rPr>
                <w:iCs/>
                <w:szCs w:val="22"/>
                <w:lang w:val="sr-Latn-ME"/>
              </w:rPr>
              <w:t>DVT bez smrtnog ishoda (n,%)</w:t>
            </w:r>
          </w:p>
        </w:tc>
        <w:tc>
          <w:tcPr>
            <w:tcW w:w="2552" w:type="dxa"/>
          </w:tcPr>
          <w:p w14:paraId="751D6662"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4 (2,8)</w:t>
            </w:r>
          </w:p>
        </w:tc>
        <w:tc>
          <w:tcPr>
            <w:tcW w:w="2967" w:type="dxa"/>
          </w:tcPr>
          <w:p w14:paraId="03EDA994"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w:t>
            </w:r>
          </w:p>
        </w:tc>
      </w:tr>
      <w:tr w:rsidR="00C37787" w:rsidRPr="001202A2" w14:paraId="12A23B59" w14:textId="77777777" w:rsidTr="001202A2">
        <w:tc>
          <w:tcPr>
            <w:tcW w:w="4106" w:type="dxa"/>
          </w:tcPr>
          <w:p w14:paraId="4510DB02" w14:textId="3E6F2420" w:rsidR="00C37787" w:rsidRPr="001202A2" w:rsidRDefault="00C37787" w:rsidP="00480B31">
            <w:pPr>
              <w:tabs>
                <w:tab w:val="clear" w:pos="284"/>
              </w:tabs>
              <w:autoSpaceDE w:val="0"/>
              <w:autoSpaceDN w:val="0"/>
              <w:adjustRightInd w:val="0"/>
              <w:ind w:left="316"/>
              <w:jc w:val="left"/>
              <w:rPr>
                <w:iCs/>
                <w:szCs w:val="22"/>
                <w:lang w:val="sr-Latn-ME"/>
              </w:rPr>
            </w:pPr>
            <w:r w:rsidRPr="001202A2">
              <w:rPr>
                <w:iCs/>
                <w:szCs w:val="22"/>
                <w:lang w:val="sr-Latn-ME"/>
              </w:rPr>
              <w:t>Neobjašnjena smrt gd</w:t>
            </w:r>
            <w:r w:rsidR="006F0097" w:rsidRPr="001202A2">
              <w:rPr>
                <w:iCs/>
                <w:szCs w:val="22"/>
                <w:lang w:val="sr-Latn-ME"/>
              </w:rPr>
              <w:t>j</w:t>
            </w:r>
            <w:r w:rsidRPr="001202A2">
              <w:rPr>
                <w:iCs/>
                <w:szCs w:val="22"/>
                <w:lang w:val="sr-Latn-ME"/>
              </w:rPr>
              <w:t>e se ne može isključiti VTE (n,%)</w:t>
            </w:r>
          </w:p>
        </w:tc>
        <w:tc>
          <w:tcPr>
            <w:tcW w:w="2552" w:type="dxa"/>
          </w:tcPr>
          <w:p w14:paraId="32AEB3C5"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1 (0,7)</w:t>
            </w:r>
          </w:p>
        </w:tc>
        <w:tc>
          <w:tcPr>
            <w:tcW w:w="2967" w:type="dxa"/>
          </w:tcPr>
          <w:p w14:paraId="73335073"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1 (0,7)</w:t>
            </w:r>
          </w:p>
        </w:tc>
      </w:tr>
      <w:tr w:rsidR="00C37787" w:rsidRPr="001202A2" w14:paraId="6C17DFE6" w14:textId="77777777" w:rsidTr="001202A2">
        <w:tc>
          <w:tcPr>
            <w:tcW w:w="4106" w:type="dxa"/>
          </w:tcPr>
          <w:p w14:paraId="74CB8AA3" w14:textId="79F7F49B" w:rsidR="00C37787" w:rsidRPr="001202A2" w:rsidRDefault="00C37787" w:rsidP="00480B31">
            <w:pPr>
              <w:tabs>
                <w:tab w:val="clear" w:pos="284"/>
              </w:tabs>
              <w:autoSpaceDE w:val="0"/>
              <w:autoSpaceDN w:val="0"/>
              <w:adjustRightInd w:val="0"/>
              <w:jc w:val="left"/>
              <w:rPr>
                <w:iCs/>
                <w:szCs w:val="22"/>
                <w:lang w:val="sr-Latn-ME"/>
              </w:rPr>
            </w:pPr>
            <w:r w:rsidRPr="001202A2">
              <w:rPr>
                <w:iCs/>
                <w:szCs w:val="22"/>
                <w:lang w:val="sr-Latn-ME"/>
              </w:rPr>
              <w:lastRenderedPageBreak/>
              <w:t>Izostanak prom</w:t>
            </w:r>
            <w:r w:rsidR="006F0097" w:rsidRPr="001202A2">
              <w:rPr>
                <w:iCs/>
                <w:szCs w:val="22"/>
                <w:lang w:val="sr-Latn-ME"/>
              </w:rPr>
              <w:t>j</w:t>
            </w:r>
            <w:r w:rsidRPr="001202A2">
              <w:rPr>
                <w:iCs/>
                <w:szCs w:val="22"/>
                <w:lang w:val="sr-Latn-ME"/>
              </w:rPr>
              <w:t>ena ili povećanje trombotičkog opterećenja na snimku (n,%)</w:t>
            </w:r>
          </w:p>
        </w:tc>
        <w:tc>
          <w:tcPr>
            <w:tcW w:w="2552" w:type="dxa"/>
          </w:tcPr>
          <w:p w14:paraId="3F929018"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21 (14,5)</w:t>
            </w:r>
          </w:p>
        </w:tc>
        <w:tc>
          <w:tcPr>
            <w:tcW w:w="2967" w:type="dxa"/>
          </w:tcPr>
          <w:p w14:paraId="74AEAC60"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29 (20,6)</w:t>
            </w:r>
          </w:p>
        </w:tc>
      </w:tr>
      <w:tr w:rsidR="00C37787" w:rsidRPr="001202A2" w14:paraId="04DDA541" w14:textId="77777777" w:rsidTr="001202A2">
        <w:tc>
          <w:tcPr>
            <w:tcW w:w="4106" w:type="dxa"/>
          </w:tcPr>
          <w:p w14:paraId="6AF572AA" w14:textId="77777777"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Odnos rizika</w:t>
            </w:r>
            <w:r w:rsidRPr="001202A2">
              <w:rPr>
                <w:iCs/>
                <w:szCs w:val="22"/>
                <w:vertAlign w:val="superscript"/>
                <w:lang w:val="sr-Latn-ME"/>
              </w:rPr>
              <w:t>a</w:t>
            </w:r>
          </w:p>
        </w:tc>
        <w:tc>
          <w:tcPr>
            <w:tcW w:w="2552" w:type="dxa"/>
          </w:tcPr>
          <w:p w14:paraId="653CC430"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1,01</w:t>
            </w:r>
          </w:p>
        </w:tc>
        <w:tc>
          <w:tcPr>
            <w:tcW w:w="2967" w:type="dxa"/>
          </w:tcPr>
          <w:p w14:paraId="673F5CF2"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w:t>
            </w:r>
          </w:p>
        </w:tc>
      </w:tr>
      <w:tr w:rsidR="00C37787" w:rsidRPr="001202A2" w14:paraId="6CD32CAF" w14:textId="77777777" w:rsidTr="001202A2">
        <w:tc>
          <w:tcPr>
            <w:tcW w:w="4106" w:type="dxa"/>
          </w:tcPr>
          <w:p w14:paraId="46197353" w14:textId="77777777"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Dvostrani 95% CI za odnos rizika</w:t>
            </w:r>
          </w:p>
        </w:tc>
        <w:tc>
          <w:tcPr>
            <w:tcW w:w="2552" w:type="dxa"/>
          </w:tcPr>
          <w:p w14:paraId="596A0048"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(0,59; 1,72)</w:t>
            </w:r>
          </w:p>
        </w:tc>
        <w:tc>
          <w:tcPr>
            <w:tcW w:w="2967" w:type="dxa"/>
          </w:tcPr>
          <w:p w14:paraId="5299AEC9" w14:textId="77777777" w:rsidR="00C37787" w:rsidRPr="001202A2" w:rsidRDefault="00C37787" w:rsidP="00880F49">
            <w:pPr>
              <w:tabs>
                <w:tab w:val="clear" w:pos="284"/>
              </w:tabs>
              <w:autoSpaceDE w:val="0"/>
              <w:autoSpaceDN w:val="0"/>
              <w:adjustRightInd w:val="0"/>
              <w:jc w:val="center"/>
              <w:rPr>
                <w:iCs/>
                <w:szCs w:val="22"/>
                <w:lang w:val="sr-Latn-ME"/>
              </w:rPr>
            </w:pPr>
            <w:r w:rsidRPr="001202A2">
              <w:rPr>
                <w:iCs/>
                <w:szCs w:val="22"/>
                <w:lang w:val="sr-Latn-ME"/>
              </w:rPr>
              <w:t>-</w:t>
            </w:r>
          </w:p>
        </w:tc>
      </w:tr>
    </w:tbl>
    <w:p w14:paraId="7C662357" w14:textId="0F97F87C"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Skraćenice: CI = interval pouzdanosti; DVT = duboka venska tromboza; mITT = izm</w:t>
      </w:r>
      <w:r w:rsidR="006F0097" w:rsidRPr="001202A2">
        <w:rPr>
          <w:iCs/>
          <w:szCs w:val="22"/>
          <w:lang w:val="sr-Latn-ME"/>
        </w:rPr>
        <w:t>ij</w:t>
      </w:r>
      <w:r w:rsidRPr="001202A2">
        <w:rPr>
          <w:iCs/>
          <w:szCs w:val="22"/>
          <w:lang w:val="sr-Latn-ME"/>
        </w:rPr>
        <w:t>enjena populacija predviđena za l</w:t>
      </w:r>
      <w:r w:rsidR="006F0097" w:rsidRPr="001202A2">
        <w:rPr>
          <w:iCs/>
          <w:szCs w:val="22"/>
          <w:lang w:val="sr-Latn-ME"/>
        </w:rPr>
        <w:t>ij</w:t>
      </w:r>
      <w:r w:rsidRPr="001202A2">
        <w:rPr>
          <w:iCs/>
          <w:szCs w:val="22"/>
          <w:lang w:val="sr-Latn-ME"/>
        </w:rPr>
        <w:t>ečenje; PE = plućna embolija; VTE = venski tromboembolizam.</w:t>
      </w:r>
    </w:p>
    <w:p w14:paraId="7566C4DA" w14:textId="77777777" w:rsidR="00C37787" w:rsidRPr="001202A2" w:rsidRDefault="00C37787" w:rsidP="00880F49">
      <w:pPr>
        <w:tabs>
          <w:tab w:val="clear" w:pos="284"/>
        </w:tabs>
        <w:autoSpaceDE w:val="0"/>
        <w:autoSpaceDN w:val="0"/>
        <w:adjustRightInd w:val="0"/>
        <w:rPr>
          <w:iCs/>
          <w:szCs w:val="22"/>
          <w:lang w:val="sr-Latn-ME"/>
        </w:rPr>
      </w:pPr>
      <w:r w:rsidRPr="001202A2">
        <w:rPr>
          <w:iCs/>
          <w:szCs w:val="22"/>
          <w:vertAlign w:val="superscript"/>
          <w:lang w:val="sr-Latn-ME"/>
        </w:rPr>
        <w:t>a</w:t>
      </w:r>
      <w:r w:rsidRPr="001202A2">
        <w:rPr>
          <w:iCs/>
          <w:szCs w:val="22"/>
          <w:lang w:val="sr-Latn-ME"/>
        </w:rPr>
        <w:t>Odnos rizika za edoksaban u poređenju sa standardnom terapijom.</w:t>
      </w:r>
    </w:p>
    <w:p w14:paraId="029ACFF7" w14:textId="4263FB6E"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Napomena: proc</w:t>
      </w:r>
      <w:r w:rsidR="006F0097" w:rsidRPr="001202A2">
        <w:rPr>
          <w:iCs/>
          <w:szCs w:val="22"/>
          <w:lang w:val="sr-Latn-ME"/>
        </w:rPr>
        <w:t>ij</w:t>
      </w:r>
      <w:r w:rsidRPr="001202A2">
        <w:rPr>
          <w:iCs/>
          <w:szCs w:val="22"/>
          <w:lang w:val="sr-Latn-ME"/>
        </w:rPr>
        <w:t>enjen zbirni primarni ishod efikasnosti obuhvata simptomatski, rekurentni VTE, smrt usl</w:t>
      </w:r>
      <w:r w:rsidR="006F0097" w:rsidRPr="001202A2">
        <w:rPr>
          <w:iCs/>
          <w:szCs w:val="22"/>
          <w:lang w:val="sr-Latn-ME"/>
        </w:rPr>
        <w:t>j</w:t>
      </w:r>
      <w:r w:rsidRPr="001202A2">
        <w:rPr>
          <w:iCs/>
          <w:szCs w:val="22"/>
          <w:lang w:val="sr-Latn-ME"/>
        </w:rPr>
        <w:t>ed VTE, izostanak prom</w:t>
      </w:r>
      <w:r w:rsidR="006F0097" w:rsidRPr="001202A2">
        <w:rPr>
          <w:iCs/>
          <w:szCs w:val="22"/>
          <w:lang w:val="sr-Latn-ME"/>
        </w:rPr>
        <w:t>j</w:t>
      </w:r>
      <w:r w:rsidRPr="001202A2">
        <w:rPr>
          <w:iCs/>
          <w:szCs w:val="22"/>
          <w:lang w:val="sr-Latn-ME"/>
        </w:rPr>
        <w:t>ena ili povećanje trombotičkog opterećenja na snimku.</w:t>
      </w:r>
    </w:p>
    <w:p w14:paraId="0828F872" w14:textId="3A53FC3D" w:rsidR="00C37787" w:rsidRPr="001202A2" w:rsidRDefault="00C37787" w:rsidP="00880F49">
      <w:pPr>
        <w:tabs>
          <w:tab w:val="clear" w:pos="284"/>
        </w:tabs>
        <w:autoSpaceDE w:val="0"/>
        <w:autoSpaceDN w:val="0"/>
        <w:adjustRightInd w:val="0"/>
        <w:rPr>
          <w:iCs/>
          <w:szCs w:val="22"/>
          <w:lang w:val="sr-Latn-ME"/>
        </w:rPr>
      </w:pPr>
      <w:r w:rsidRPr="001202A2">
        <w:rPr>
          <w:iCs/>
          <w:szCs w:val="22"/>
          <w:lang w:val="sr-Latn-ME"/>
        </w:rPr>
        <w:t>Napomena: period glavne terapije se definiše kao period od randomizacije do kontrole u 3. m</w:t>
      </w:r>
      <w:r w:rsidR="006F0097" w:rsidRPr="001202A2">
        <w:rPr>
          <w:iCs/>
          <w:szCs w:val="22"/>
          <w:lang w:val="sr-Latn-ME"/>
        </w:rPr>
        <w:t>j</w:t>
      </w:r>
      <w:r w:rsidRPr="001202A2">
        <w:rPr>
          <w:iCs/>
          <w:szCs w:val="22"/>
          <w:lang w:val="sr-Latn-ME"/>
        </w:rPr>
        <w:t>esecu + 3 dana.</w:t>
      </w:r>
    </w:p>
    <w:p w14:paraId="4300940A" w14:textId="77777777" w:rsidR="00E87DC6" w:rsidRPr="001202A2" w:rsidRDefault="00E87DC6" w:rsidP="00880F49">
      <w:pPr>
        <w:tabs>
          <w:tab w:val="clear" w:pos="284"/>
        </w:tabs>
        <w:autoSpaceDE w:val="0"/>
        <w:autoSpaceDN w:val="0"/>
        <w:adjustRightInd w:val="0"/>
        <w:rPr>
          <w:iCs/>
          <w:szCs w:val="22"/>
          <w:lang w:val="sr-Latn-ME"/>
        </w:rPr>
      </w:pPr>
    </w:p>
    <w:p w14:paraId="26CFEC5C" w14:textId="4EAB2916" w:rsidR="00C37787" w:rsidRPr="001202A2" w:rsidRDefault="00C37787" w:rsidP="00480B31">
      <w:pPr>
        <w:tabs>
          <w:tab w:val="clear" w:pos="284"/>
        </w:tabs>
        <w:autoSpaceDE w:val="0"/>
        <w:autoSpaceDN w:val="0"/>
        <w:adjustRightInd w:val="0"/>
        <w:rPr>
          <w:iCs/>
          <w:szCs w:val="22"/>
          <w:lang w:val="sr-Latn-ME"/>
        </w:rPr>
      </w:pPr>
      <w:r w:rsidRPr="001202A2">
        <w:rPr>
          <w:iCs/>
          <w:szCs w:val="22"/>
          <w:lang w:val="sr-Latn-ME"/>
        </w:rPr>
        <w:t>Primarni ishod bezb</w:t>
      </w:r>
      <w:r w:rsidR="006F0097" w:rsidRPr="001202A2">
        <w:rPr>
          <w:iCs/>
          <w:szCs w:val="22"/>
          <w:lang w:val="sr-Latn-ME"/>
        </w:rPr>
        <w:t>j</w:t>
      </w:r>
      <w:r w:rsidRPr="001202A2">
        <w:rPr>
          <w:iCs/>
          <w:szCs w:val="22"/>
          <w:lang w:val="sr-Latn-ME"/>
        </w:rPr>
        <w:t>ednosti je bio zbir događaja ozbiljnog i CRNM krvarenja koji su se javili tokom perioda glavne terapije (3 m</w:t>
      </w:r>
      <w:r w:rsidR="006F0097" w:rsidRPr="001202A2">
        <w:rPr>
          <w:iCs/>
          <w:szCs w:val="22"/>
          <w:lang w:val="sr-Latn-ME"/>
        </w:rPr>
        <w:t>j</w:t>
      </w:r>
      <w:r w:rsidRPr="001202A2">
        <w:rPr>
          <w:iCs/>
          <w:szCs w:val="22"/>
          <w:lang w:val="sr-Latn-ME"/>
        </w:rPr>
        <w:t>eseca + 3 dana).</w:t>
      </w:r>
    </w:p>
    <w:p w14:paraId="1754218A" w14:textId="77777777" w:rsidR="00E87DC6" w:rsidRPr="001202A2" w:rsidRDefault="00E87DC6" w:rsidP="00480B31">
      <w:pPr>
        <w:tabs>
          <w:tab w:val="clear" w:pos="284"/>
        </w:tabs>
        <w:autoSpaceDE w:val="0"/>
        <w:autoSpaceDN w:val="0"/>
        <w:adjustRightInd w:val="0"/>
        <w:rPr>
          <w:iCs/>
          <w:szCs w:val="22"/>
          <w:lang w:val="sr-Latn-ME"/>
        </w:rPr>
      </w:pPr>
    </w:p>
    <w:p w14:paraId="11AB3FB6" w14:textId="1CB4040A" w:rsidR="00C37787" w:rsidRPr="001202A2" w:rsidRDefault="00C37787" w:rsidP="00480B31">
      <w:pPr>
        <w:tabs>
          <w:tab w:val="clear" w:pos="284"/>
        </w:tabs>
        <w:autoSpaceDE w:val="0"/>
        <w:autoSpaceDN w:val="0"/>
        <w:adjustRightInd w:val="0"/>
        <w:rPr>
          <w:iCs/>
          <w:szCs w:val="22"/>
          <w:lang w:val="sr-Latn-ME"/>
        </w:rPr>
      </w:pPr>
      <w:r w:rsidRPr="001202A2">
        <w:rPr>
          <w:iCs/>
          <w:szCs w:val="22"/>
          <w:lang w:val="sr-Latn-ME"/>
        </w:rPr>
        <w:t>Rezultati bezb</w:t>
      </w:r>
      <w:r w:rsidR="006F0097" w:rsidRPr="001202A2">
        <w:rPr>
          <w:iCs/>
          <w:szCs w:val="22"/>
          <w:lang w:val="sr-Latn-ME"/>
        </w:rPr>
        <w:t>j</w:t>
      </w:r>
      <w:r w:rsidRPr="001202A2">
        <w:rPr>
          <w:iCs/>
          <w:szCs w:val="22"/>
          <w:lang w:val="sr-Latn-ME"/>
        </w:rPr>
        <w:t xml:space="preserve">ednosti su bili slični za edoksaban i kontrolnu grupu na standardnoj terapiji. Ukupno 3 (2,1%) ispitanika u grupi na edoksabanu i 5 (3,5%) ispitanika u kontrolnoj grupi je imalo najmanje 1 potvrđen događaj ozbiljnog ili CRNM krvarenja na terapiji tokom perioda glavne terapije [HR (95% CI): 0,60 (0,139; 2,597).] </w:t>
      </w:r>
    </w:p>
    <w:p w14:paraId="410BB20C" w14:textId="77777777" w:rsidR="00586C81" w:rsidRPr="001202A2" w:rsidRDefault="00586C81" w:rsidP="00480B31">
      <w:pPr>
        <w:tabs>
          <w:tab w:val="clear" w:pos="284"/>
        </w:tabs>
        <w:autoSpaceDE w:val="0"/>
        <w:autoSpaceDN w:val="0"/>
        <w:adjustRightInd w:val="0"/>
        <w:rPr>
          <w:iCs/>
          <w:szCs w:val="22"/>
          <w:lang w:val="sr-Latn-ME"/>
        </w:rPr>
      </w:pPr>
    </w:p>
    <w:p w14:paraId="3D711147" w14:textId="086CBC2F" w:rsidR="00CE09F3" w:rsidRPr="001202A2" w:rsidRDefault="00CE09F3" w:rsidP="00480B31">
      <w:pPr>
        <w:pStyle w:val="ListParagraph"/>
        <w:numPr>
          <w:ilvl w:val="1"/>
          <w:numId w:val="12"/>
        </w:numPr>
        <w:rPr>
          <w:b/>
          <w:bCs/>
          <w:szCs w:val="22"/>
          <w:lang w:val="sr-Latn-ME"/>
        </w:rPr>
      </w:pPr>
      <w:r w:rsidRPr="001202A2">
        <w:rPr>
          <w:b/>
          <w:bCs/>
          <w:szCs w:val="22"/>
          <w:lang w:val="sr-Latn-ME"/>
        </w:rPr>
        <w:t>Farmakokinetički podaci</w:t>
      </w:r>
    </w:p>
    <w:p w14:paraId="79024B22" w14:textId="77777777" w:rsidR="00586C81" w:rsidRPr="001202A2" w:rsidRDefault="00586C81" w:rsidP="00480B31">
      <w:pPr>
        <w:pStyle w:val="ListParagraph"/>
        <w:ind w:left="765"/>
        <w:rPr>
          <w:b/>
          <w:bCs/>
          <w:szCs w:val="22"/>
          <w:lang w:val="sr-Latn-ME"/>
        </w:rPr>
      </w:pPr>
    </w:p>
    <w:p w14:paraId="3D711149" w14:textId="4C87CD65" w:rsidR="001E71CA" w:rsidRPr="001202A2" w:rsidRDefault="001E71CA" w:rsidP="00480B31">
      <w:pPr>
        <w:rPr>
          <w:iCs/>
          <w:szCs w:val="22"/>
          <w:u w:val="single"/>
          <w:lang w:val="sr-Latn-ME"/>
        </w:rPr>
      </w:pPr>
      <w:r w:rsidRPr="001202A2">
        <w:rPr>
          <w:iCs/>
          <w:szCs w:val="22"/>
          <w:u w:val="single"/>
          <w:lang w:val="sr-Latn-ME"/>
        </w:rPr>
        <w:t>Resorpcija</w:t>
      </w:r>
    </w:p>
    <w:p w14:paraId="21B3346A" w14:textId="58855BF6" w:rsidR="00064DE8" w:rsidRPr="001202A2" w:rsidRDefault="00064DE8"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resorbuje uz maksimalne koncentracije u plazmi unutar 1 - 2 sata. Apsolutna bioraspoloživost je približno 62%. Hrana povećava maksimalnu izloženost u različitoj m</w:t>
      </w:r>
      <w:r w:rsidR="00303F9A" w:rsidRPr="001202A2">
        <w:rPr>
          <w:rFonts w:eastAsia="TimesNewRoman"/>
          <w:szCs w:val="22"/>
          <w:lang w:val="sr-Latn-ME"/>
        </w:rPr>
        <w:t>j</w:t>
      </w:r>
      <w:r w:rsidRPr="001202A2">
        <w:rPr>
          <w:rFonts w:eastAsia="TimesNewRoman"/>
          <w:szCs w:val="22"/>
          <w:lang w:val="sr-Latn-ME"/>
        </w:rPr>
        <w:t>eri, ali ima minimalni uticaj na ukupnu izloženost. Edoksaban je prim</w:t>
      </w:r>
      <w:r w:rsidR="00303F9A" w:rsidRPr="001202A2">
        <w:rPr>
          <w:rFonts w:eastAsia="TimesNewRoman"/>
          <w:szCs w:val="22"/>
          <w:lang w:val="sr-Latn-ME"/>
        </w:rPr>
        <w:t>j</w:t>
      </w:r>
      <w:r w:rsidRPr="001202A2">
        <w:rPr>
          <w:rFonts w:eastAsia="TimesNewRoman"/>
          <w:szCs w:val="22"/>
          <w:lang w:val="sr-Latn-ME"/>
        </w:rPr>
        <w:t xml:space="preserve">enjivan sa ili bez hrane u ENGAGE AF-TIMI 48 i </w:t>
      </w:r>
      <w:r w:rsidRPr="001202A2">
        <w:rPr>
          <w:rFonts w:eastAsia="TimesNewRoman"/>
          <w:iCs/>
          <w:szCs w:val="22"/>
          <w:lang w:val="sr-Latn-ME"/>
        </w:rPr>
        <w:t>Hokusai</w:t>
      </w:r>
      <w:r w:rsidRPr="001202A2">
        <w:rPr>
          <w:rFonts w:eastAsia="TimesNewRoman"/>
          <w:szCs w:val="22"/>
          <w:lang w:val="sr-Latn-ME"/>
        </w:rPr>
        <w:t>-VTE studijama</w:t>
      </w:r>
      <w:r w:rsidR="00057755" w:rsidRPr="001202A2">
        <w:rPr>
          <w:rFonts w:eastAsia="TimesNewRoman"/>
          <w:szCs w:val="22"/>
          <w:lang w:val="sr-Latn-ME"/>
        </w:rPr>
        <w:t xml:space="preserve">, kao i </w:t>
      </w:r>
      <w:r w:rsidR="00AF755E" w:rsidRPr="001202A2">
        <w:rPr>
          <w:rFonts w:eastAsia="TimesNewRoman"/>
          <w:szCs w:val="22"/>
          <w:lang w:val="sr-Latn-ME"/>
        </w:rPr>
        <w:t>u pedijatrijskim studijama efikasnosti i bezb</w:t>
      </w:r>
      <w:r w:rsidR="006F0097" w:rsidRPr="001202A2">
        <w:rPr>
          <w:rFonts w:eastAsia="TimesNewRoman"/>
          <w:szCs w:val="22"/>
          <w:lang w:val="sr-Latn-ME"/>
        </w:rPr>
        <w:t>j</w:t>
      </w:r>
      <w:r w:rsidR="00AF755E" w:rsidRPr="001202A2">
        <w:rPr>
          <w:rFonts w:eastAsia="TimesNewRoman"/>
          <w:szCs w:val="22"/>
          <w:lang w:val="sr-Latn-ME"/>
        </w:rPr>
        <w:t>ednosti.</w:t>
      </w:r>
      <w:r w:rsidRPr="001202A2">
        <w:rPr>
          <w:rFonts w:eastAsia="TimesNewRoman"/>
          <w:szCs w:val="22"/>
          <w:lang w:val="sr-Latn-ME"/>
        </w:rPr>
        <w:t xml:space="preserve"> Edoksaban je slabo rastvorljiv pri pH vr</w:t>
      </w:r>
      <w:r w:rsidR="00303F9A" w:rsidRPr="001202A2">
        <w:rPr>
          <w:rFonts w:eastAsia="TimesNewRoman"/>
          <w:szCs w:val="22"/>
          <w:lang w:val="sr-Latn-ME"/>
        </w:rPr>
        <w:t>ij</w:t>
      </w:r>
      <w:r w:rsidRPr="001202A2">
        <w:rPr>
          <w:rFonts w:eastAsia="TimesNewRoman"/>
          <w:szCs w:val="22"/>
          <w:lang w:val="sr-Latn-ME"/>
        </w:rPr>
        <w:t xml:space="preserve">ednostima </w:t>
      </w:r>
      <w:r w:rsidR="00B9785D" w:rsidRPr="001202A2">
        <w:rPr>
          <w:rFonts w:eastAsia="TimesNewRoman"/>
          <w:szCs w:val="22"/>
          <w:lang w:val="sr-Latn-ME"/>
        </w:rPr>
        <w:t xml:space="preserve">od </w:t>
      </w:r>
      <w:r w:rsidRPr="001202A2">
        <w:rPr>
          <w:rFonts w:eastAsia="TimesNewRoman"/>
          <w:szCs w:val="22"/>
          <w:lang w:val="sr-Latn-ME"/>
        </w:rPr>
        <w:t>6,0 ili većim. Istovremena prim</w:t>
      </w:r>
      <w:r w:rsidR="00303F9A" w:rsidRPr="001202A2">
        <w:rPr>
          <w:rFonts w:eastAsia="TimesNewRoman"/>
          <w:szCs w:val="22"/>
          <w:lang w:val="sr-Latn-ME"/>
        </w:rPr>
        <w:t>j</w:t>
      </w:r>
      <w:r w:rsidRPr="001202A2">
        <w:rPr>
          <w:rFonts w:eastAsia="TimesNewRoman"/>
          <w:szCs w:val="22"/>
          <w:lang w:val="sr-Latn-ME"/>
        </w:rPr>
        <w:t>ena sa inhibitorima protonske pumpe nije imala značajan uticaj na izloženost edoksabanu.</w:t>
      </w:r>
    </w:p>
    <w:p w14:paraId="74BFDED5" w14:textId="77777777" w:rsidR="0081120D" w:rsidRPr="001202A2" w:rsidRDefault="0081120D" w:rsidP="00480B31">
      <w:pPr>
        <w:tabs>
          <w:tab w:val="clear" w:pos="284"/>
        </w:tabs>
        <w:autoSpaceDE w:val="0"/>
        <w:autoSpaceDN w:val="0"/>
        <w:adjustRightInd w:val="0"/>
        <w:rPr>
          <w:rFonts w:eastAsia="TimesNewRoman"/>
          <w:szCs w:val="22"/>
          <w:lang w:val="sr-Latn-ME"/>
        </w:rPr>
      </w:pPr>
    </w:p>
    <w:p w14:paraId="3F476ECF" w14:textId="3593736D" w:rsidR="00E87DC6" w:rsidRPr="001202A2" w:rsidRDefault="00E87DC6"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ispitivanju sprovedenom kod 30 zdravih ispitanika, vrijednosti AUC-a i C</w:t>
      </w:r>
      <w:r w:rsidRPr="001202A2">
        <w:rPr>
          <w:rFonts w:eastAsia="TimesNewRoman"/>
          <w:szCs w:val="22"/>
          <w:vertAlign w:val="subscript"/>
          <w:lang w:val="sr-Latn-ME"/>
        </w:rPr>
        <w:t>max</w:t>
      </w:r>
      <w:r w:rsidRPr="001202A2">
        <w:rPr>
          <w:rFonts w:eastAsia="TimesNewRoman"/>
          <w:szCs w:val="22"/>
          <w:lang w:val="sr-Latn-ME"/>
        </w:rPr>
        <w:t xml:space="preserve"> za edoksaban u dozi od 60</w:t>
      </w:r>
      <w:r w:rsidR="0081120D" w:rsidRPr="001202A2">
        <w:rPr>
          <w:rFonts w:eastAsia="TimesNewRoman"/>
          <w:szCs w:val="22"/>
          <w:lang w:val="sr-Latn-ME"/>
        </w:rPr>
        <w:t xml:space="preserve"> </w:t>
      </w:r>
      <w:r w:rsidRPr="001202A2">
        <w:rPr>
          <w:rFonts w:eastAsia="TimesNewRoman"/>
          <w:szCs w:val="22"/>
          <w:lang w:val="sr-Latn-ME"/>
        </w:rPr>
        <w:t>mg bile su bioekvivalentne cijeloj tableti i kad je zdrobljena tableta izmiješana sa</w:t>
      </w:r>
      <w:r w:rsidR="0081120D" w:rsidRPr="001202A2">
        <w:rPr>
          <w:rFonts w:eastAsia="TimesNewRoman"/>
          <w:szCs w:val="22"/>
          <w:lang w:val="sr-Latn-ME"/>
        </w:rPr>
        <w:t xml:space="preserve"> pireom od jabuka </w:t>
      </w:r>
      <w:r w:rsidRPr="001202A2">
        <w:rPr>
          <w:rFonts w:eastAsia="TimesNewRoman"/>
          <w:szCs w:val="22"/>
          <w:lang w:val="sr-Latn-ME"/>
        </w:rPr>
        <w:t>i primijenjena peroralno ili izmiješana u vodi i primijenjena kroz na</w:t>
      </w:r>
      <w:r w:rsidR="0081120D" w:rsidRPr="001202A2">
        <w:rPr>
          <w:rFonts w:eastAsia="TimesNewRoman"/>
          <w:szCs w:val="22"/>
          <w:lang w:val="sr-Latn-ME"/>
        </w:rPr>
        <w:t xml:space="preserve">zogastričnu sondu. S obzirom na </w:t>
      </w:r>
      <w:r w:rsidRPr="001202A2">
        <w:rPr>
          <w:rFonts w:eastAsia="TimesNewRoman"/>
          <w:szCs w:val="22"/>
          <w:lang w:val="sr-Latn-ME"/>
        </w:rPr>
        <w:t>predvidljiv farmakokinetički profil edoksabana koji je proporcion</w:t>
      </w:r>
      <w:r w:rsidR="0081120D" w:rsidRPr="001202A2">
        <w:rPr>
          <w:rFonts w:eastAsia="TimesNewRoman"/>
          <w:szCs w:val="22"/>
          <w:lang w:val="sr-Latn-ME"/>
        </w:rPr>
        <w:t xml:space="preserve">alan dozi, rezultati bioraspoloživosti </w:t>
      </w:r>
      <w:r w:rsidRPr="001202A2">
        <w:rPr>
          <w:rFonts w:eastAsia="TimesNewRoman"/>
          <w:szCs w:val="22"/>
          <w:lang w:val="sr-Latn-ME"/>
        </w:rPr>
        <w:t xml:space="preserve">iz ovog ispitivanja vjerojatno su primjenjivi i za </w:t>
      </w:r>
      <w:r w:rsidR="0081120D" w:rsidRPr="001202A2">
        <w:rPr>
          <w:rFonts w:eastAsia="TimesNewRoman"/>
          <w:szCs w:val="22"/>
          <w:lang w:val="sr-Latn-ME"/>
        </w:rPr>
        <w:t>niž</w:t>
      </w:r>
      <w:r w:rsidRPr="001202A2">
        <w:rPr>
          <w:rFonts w:eastAsia="TimesNewRoman"/>
          <w:szCs w:val="22"/>
          <w:lang w:val="sr-Latn-ME"/>
        </w:rPr>
        <w:t>e doze edoksabana.</w:t>
      </w:r>
    </w:p>
    <w:p w14:paraId="6800C2D6"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3D71114E" w14:textId="1F2F16D9" w:rsidR="001E71CA" w:rsidRPr="001202A2" w:rsidRDefault="001E71CA" w:rsidP="00480B31">
      <w:pPr>
        <w:rPr>
          <w:iCs/>
          <w:szCs w:val="22"/>
          <w:u w:val="single"/>
          <w:lang w:val="sr-Latn-ME"/>
        </w:rPr>
      </w:pPr>
      <w:r w:rsidRPr="001202A2">
        <w:rPr>
          <w:iCs/>
          <w:szCs w:val="22"/>
          <w:u w:val="single"/>
          <w:lang w:val="sr-Latn-ME"/>
        </w:rPr>
        <w:t>Distribucija</w:t>
      </w:r>
    </w:p>
    <w:p w14:paraId="6350DDB2" w14:textId="4E7C0E39" w:rsidR="00967170" w:rsidRPr="001202A2" w:rsidRDefault="00967170"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Raspod</w:t>
      </w:r>
      <w:r w:rsidR="00303F9A" w:rsidRPr="001202A2">
        <w:rPr>
          <w:rFonts w:eastAsia="TimesNewRoman"/>
          <w:szCs w:val="22"/>
          <w:lang w:val="sr-Latn-ME"/>
        </w:rPr>
        <w:t>j</w:t>
      </w:r>
      <w:r w:rsidRPr="001202A2">
        <w:rPr>
          <w:rFonts w:eastAsia="TimesNewRoman"/>
          <w:szCs w:val="22"/>
          <w:lang w:val="sr-Latn-ME"/>
        </w:rPr>
        <w:t xml:space="preserve">ela je bifazna. Volumen distribucije iznosi 107 (19,9) </w:t>
      </w:r>
      <w:r w:rsidR="0081120D" w:rsidRPr="001202A2">
        <w:rPr>
          <w:rFonts w:eastAsia="TimesNewRoman"/>
          <w:szCs w:val="22"/>
          <w:lang w:val="sr-Latn-ME"/>
        </w:rPr>
        <w:t>l</w:t>
      </w:r>
      <w:r w:rsidRPr="001202A2">
        <w:rPr>
          <w:rFonts w:eastAsia="TimesNewRoman"/>
          <w:szCs w:val="22"/>
          <w:lang w:val="sr-Latn-ME"/>
        </w:rPr>
        <w:t xml:space="preserve"> (srednja vr</w:t>
      </w:r>
      <w:r w:rsidR="00303F9A" w:rsidRPr="001202A2">
        <w:rPr>
          <w:rFonts w:eastAsia="TimesNewRoman"/>
          <w:szCs w:val="22"/>
          <w:lang w:val="sr-Latn-ME"/>
        </w:rPr>
        <w:t>ij</w:t>
      </w:r>
      <w:r w:rsidRPr="001202A2">
        <w:rPr>
          <w:rFonts w:eastAsia="TimesNewRoman"/>
          <w:szCs w:val="22"/>
          <w:lang w:val="sr-Latn-ME"/>
        </w:rPr>
        <w:t>ednost (SD)).</w:t>
      </w:r>
    </w:p>
    <w:p w14:paraId="6C8C3D46" w14:textId="32073447" w:rsidR="00967170" w:rsidRPr="001202A2" w:rsidRDefault="00967170" w:rsidP="00480B31">
      <w:pPr>
        <w:tabs>
          <w:tab w:val="clear" w:pos="284"/>
        </w:tabs>
        <w:autoSpaceDE w:val="0"/>
        <w:autoSpaceDN w:val="0"/>
        <w:adjustRightInd w:val="0"/>
        <w:rPr>
          <w:rFonts w:eastAsia="TimesNewRoman"/>
          <w:szCs w:val="22"/>
          <w:lang w:val="sr-Latn-ME"/>
        </w:rPr>
      </w:pPr>
      <w:r w:rsidRPr="001202A2">
        <w:rPr>
          <w:rFonts w:eastAsia="TimesNewRoman"/>
          <w:i/>
          <w:iCs/>
          <w:szCs w:val="22"/>
          <w:lang w:val="sr-Latn-ME"/>
        </w:rPr>
        <w:t xml:space="preserve">In vitro </w:t>
      </w:r>
      <w:r w:rsidRPr="001202A2">
        <w:rPr>
          <w:rFonts w:eastAsia="TimesNewRoman"/>
          <w:szCs w:val="22"/>
          <w:lang w:val="sr-Latn-ME"/>
        </w:rPr>
        <w:t xml:space="preserve">vezivanje za proteine plazme je približno 55%. Nema klinički značajnog nakupljanja edoksabana (odnos nakupljanja 1,14) </w:t>
      </w:r>
      <w:r w:rsidR="00597478" w:rsidRPr="001202A2">
        <w:rPr>
          <w:rFonts w:eastAsia="TimesNewRoman"/>
          <w:szCs w:val="22"/>
          <w:lang w:val="sr-Latn-ME"/>
        </w:rPr>
        <w:t>prilikom</w:t>
      </w:r>
      <w:r w:rsidRPr="001202A2">
        <w:rPr>
          <w:rFonts w:eastAsia="TimesNewRoman"/>
          <w:szCs w:val="22"/>
          <w:lang w:val="sr-Latn-ME"/>
        </w:rPr>
        <w:t xml:space="preserve"> doziranja jednom dnevno. Koncentracije u stanju dinamičke ravnoteže postižu se unutar 3 dana.</w:t>
      </w:r>
    </w:p>
    <w:p w14:paraId="596D54E5" w14:textId="77777777" w:rsidR="00586C81" w:rsidRPr="001202A2" w:rsidRDefault="00586C81" w:rsidP="00480B31">
      <w:pPr>
        <w:tabs>
          <w:tab w:val="clear" w:pos="284"/>
        </w:tabs>
        <w:autoSpaceDE w:val="0"/>
        <w:autoSpaceDN w:val="0"/>
        <w:adjustRightInd w:val="0"/>
        <w:rPr>
          <w:iCs/>
          <w:szCs w:val="22"/>
          <w:u w:val="single"/>
          <w:lang w:val="sr-Latn-ME"/>
        </w:rPr>
      </w:pPr>
    </w:p>
    <w:p w14:paraId="3D711151" w14:textId="55637F70" w:rsidR="001E71CA" w:rsidRPr="001202A2" w:rsidRDefault="001E71CA" w:rsidP="00480B31">
      <w:pPr>
        <w:rPr>
          <w:iCs/>
          <w:szCs w:val="22"/>
          <w:u w:val="single"/>
          <w:lang w:val="sr-Latn-ME"/>
        </w:rPr>
      </w:pPr>
      <w:r w:rsidRPr="001202A2">
        <w:rPr>
          <w:iCs/>
          <w:szCs w:val="22"/>
          <w:u w:val="single"/>
          <w:lang w:val="sr-Latn-ME"/>
        </w:rPr>
        <w:t>Biotransformacija</w:t>
      </w:r>
    </w:p>
    <w:p w14:paraId="651CC7FF" w14:textId="36BDDD92" w:rsidR="00597478" w:rsidRPr="001202A2" w:rsidRDefault="00597478"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Edoksaban se u plazmi pretežno nalazi u neprom</w:t>
      </w:r>
      <w:r w:rsidR="00303F9A" w:rsidRPr="001202A2">
        <w:rPr>
          <w:rFonts w:eastAsia="TimesNewRoman"/>
          <w:szCs w:val="22"/>
          <w:lang w:val="sr-Latn-ME"/>
        </w:rPr>
        <w:t>ij</w:t>
      </w:r>
      <w:r w:rsidRPr="001202A2">
        <w:rPr>
          <w:rFonts w:eastAsia="TimesNewRoman"/>
          <w:szCs w:val="22"/>
          <w:lang w:val="sr-Latn-ME"/>
        </w:rPr>
        <w:t>enjenom obliku. Edoksaban se metaboliše hidrolizom (posredovanom karboksilesterazom 1), konjugacijom ili oksidacijom putem CYP3A4/5 (&lt; 10%). Edoksaban ima tri aktivna metabolita. Glavni meta</w:t>
      </w:r>
      <w:r w:rsidR="00982AD6" w:rsidRPr="001202A2">
        <w:rPr>
          <w:rFonts w:eastAsia="TimesNewRoman"/>
          <w:szCs w:val="22"/>
          <w:lang w:val="sr-Latn-ME"/>
        </w:rPr>
        <w:t xml:space="preserve">bolit (M-4) nastaje hidrolizom, aktivan je i </w:t>
      </w:r>
      <w:r w:rsidR="00FF498C" w:rsidRPr="001202A2">
        <w:rPr>
          <w:rFonts w:eastAsia="TimesNewRoman"/>
          <w:szCs w:val="22"/>
          <w:lang w:val="sr-Latn-ME"/>
        </w:rPr>
        <w:t>dostiže</w:t>
      </w:r>
      <w:r w:rsidRPr="001202A2">
        <w:rPr>
          <w:rFonts w:eastAsia="TimesNewRoman"/>
          <w:szCs w:val="22"/>
          <w:lang w:val="sr-Latn-ME"/>
        </w:rPr>
        <w:t xml:space="preserve"> </w:t>
      </w:r>
      <w:r w:rsidR="00982AD6" w:rsidRPr="001202A2">
        <w:rPr>
          <w:rFonts w:eastAsia="TimesNewRoman"/>
          <w:szCs w:val="22"/>
          <w:lang w:val="sr-Latn-ME"/>
        </w:rPr>
        <w:t>manj</w:t>
      </w:r>
      <w:r w:rsidR="00FF498C" w:rsidRPr="001202A2">
        <w:rPr>
          <w:rFonts w:eastAsia="TimesNewRoman"/>
          <w:szCs w:val="22"/>
          <w:lang w:val="sr-Latn-ME"/>
        </w:rPr>
        <w:t>e</w:t>
      </w:r>
      <w:r w:rsidR="00982AD6" w:rsidRPr="001202A2">
        <w:rPr>
          <w:rFonts w:eastAsia="TimesNewRoman"/>
          <w:szCs w:val="22"/>
          <w:lang w:val="sr-Latn-ME"/>
        </w:rPr>
        <w:t xml:space="preserve"> o</w:t>
      </w:r>
      <w:r w:rsidRPr="001202A2">
        <w:rPr>
          <w:rFonts w:eastAsia="TimesNewRoman"/>
          <w:szCs w:val="22"/>
          <w:lang w:val="sr-Latn-ME"/>
        </w:rPr>
        <w:t xml:space="preserve">d 10% izloženosti osnovnom molekulu kod zdravih ispitanika. Izloženost drugim metabolitima </w:t>
      </w:r>
      <w:r w:rsidR="00FF498C" w:rsidRPr="001202A2">
        <w:rPr>
          <w:rFonts w:eastAsia="TimesNewRoman"/>
          <w:szCs w:val="22"/>
          <w:lang w:val="sr-Latn-ME"/>
        </w:rPr>
        <w:t xml:space="preserve">je </w:t>
      </w:r>
      <w:r w:rsidRPr="001202A2">
        <w:rPr>
          <w:rFonts w:eastAsia="TimesNewRoman"/>
          <w:szCs w:val="22"/>
          <w:lang w:val="sr-Latn-ME"/>
        </w:rPr>
        <w:t xml:space="preserve">manja od 5%. Edoksaban je supstrat efluksnog transportera P-gp, ali nije supstrat </w:t>
      </w:r>
      <w:r w:rsidR="00FF498C" w:rsidRPr="001202A2">
        <w:rPr>
          <w:rFonts w:eastAsia="TimesNewRoman"/>
          <w:szCs w:val="22"/>
          <w:lang w:val="sr-Latn-ME"/>
        </w:rPr>
        <w:t>transportera</w:t>
      </w:r>
      <w:r w:rsidRPr="001202A2">
        <w:rPr>
          <w:rFonts w:eastAsia="TimesNewRoman"/>
          <w:szCs w:val="22"/>
          <w:lang w:val="sr-Latn-ME"/>
        </w:rPr>
        <w:t xml:space="preserve"> za </w:t>
      </w:r>
      <w:r w:rsidR="00FF498C" w:rsidRPr="001202A2">
        <w:rPr>
          <w:rFonts w:eastAsia="TimesNewRoman"/>
          <w:szCs w:val="22"/>
          <w:lang w:val="sr-Latn-ME"/>
        </w:rPr>
        <w:t>preuzimanje</w:t>
      </w:r>
      <w:r w:rsidRPr="001202A2">
        <w:rPr>
          <w:rFonts w:eastAsia="TimesNewRoman"/>
          <w:szCs w:val="22"/>
          <w:lang w:val="sr-Latn-ME"/>
        </w:rPr>
        <w:t xml:space="preserve">, kao što su polipeptidni </w:t>
      </w:r>
      <w:r w:rsidR="00FF498C" w:rsidRPr="001202A2">
        <w:rPr>
          <w:rFonts w:eastAsia="TimesNewRoman"/>
          <w:szCs w:val="22"/>
          <w:lang w:val="sr-Latn-ME"/>
        </w:rPr>
        <w:t>transporter</w:t>
      </w:r>
      <w:r w:rsidRPr="001202A2">
        <w:rPr>
          <w:rFonts w:eastAsia="TimesNewRoman"/>
          <w:szCs w:val="22"/>
          <w:lang w:val="sr-Latn-ME"/>
        </w:rPr>
        <w:t xml:space="preserve"> organskih anjona OATP1B1 (engl. </w:t>
      </w:r>
      <w:r w:rsidRPr="001202A2">
        <w:rPr>
          <w:rFonts w:eastAsia="TimesNewRoman"/>
          <w:i/>
          <w:iCs/>
          <w:szCs w:val="22"/>
          <w:lang w:val="sr-Latn-ME"/>
        </w:rPr>
        <w:t>organic anion transporter</w:t>
      </w:r>
      <w:r w:rsidRPr="001202A2">
        <w:rPr>
          <w:rFonts w:eastAsia="TimesNewRoman"/>
          <w:szCs w:val="22"/>
          <w:lang w:val="sr-Latn-ME"/>
        </w:rPr>
        <w:t xml:space="preserve"> </w:t>
      </w:r>
      <w:r w:rsidRPr="001202A2">
        <w:rPr>
          <w:rFonts w:eastAsia="TimesNewRoman"/>
          <w:i/>
          <w:iCs/>
          <w:szCs w:val="22"/>
          <w:lang w:val="sr-Latn-ME"/>
        </w:rPr>
        <w:t>polypeptide)</w:t>
      </w:r>
      <w:r w:rsidRPr="001202A2">
        <w:rPr>
          <w:rFonts w:eastAsia="TimesNewRoman"/>
          <w:szCs w:val="22"/>
          <w:lang w:val="sr-Latn-ME"/>
        </w:rPr>
        <w:t xml:space="preserve">, </w:t>
      </w:r>
      <w:r w:rsidR="00FF498C" w:rsidRPr="001202A2">
        <w:rPr>
          <w:rFonts w:eastAsia="TimesNewRoman"/>
          <w:szCs w:val="22"/>
          <w:lang w:val="sr-Latn-ME"/>
        </w:rPr>
        <w:t>transporteri</w:t>
      </w:r>
      <w:r w:rsidRPr="001202A2">
        <w:rPr>
          <w:rFonts w:eastAsia="TimesNewRoman"/>
          <w:szCs w:val="22"/>
          <w:lang w:val="sr-Latn-ME"/>
        </w:rPr>
        <w:t xml:space="preserve"> organskih anjona OAT1 ili OAT3 (engl. </w:t>
      </w:r>
      <w:r w:rsidRPr="001202A2">
        <w:rPr>
          <w:rFonts w:eastAsia="TimesNewRoman"/>
          <w:i/>
          <w:iCs/>
          <w:szCs w:val="22"/>
          <w:lang w:val="sr-Latn-ME"/>
        </w:rPr>
        <w:t>organic anion transporters</w:t>
      </w:r>
      <w:r w:rsidRPr="001202A2">
        <w:rPr>
          <w:rFonts w:eastAsia="TimesNewRoman"/>
          <w:szCs w:val="22"/>
          <w:lang w:val="sr-Latn-ME"/>
        </w:rPr>
        <w:t xml:space="preserve">) ili </w:t>
      </w:r>
      <w:r w:rsidR="00FF498C" w:rsidRPr="001202A2">
        <w:rPr>
          <w:rFonts w:eastAsia="TimesNewRoman"/>
          <w:szCs w:val="22"/>
          <w:lang w:val="sr-Latn-ME"/>
        </w:rPr>
        <w:t>transporter</w:t>
      </w:r>
      <w:r w:rsidRPr="001202A2">
        <w:rPr>
          <w:rFonts w:eastAsia="TimesNewRoman"/>
          <w:szCs w:val="22"/>
          <w:lang w:val="sr-Latn-ME"/>
        </w:rPr>
        <w:t xml:space="preserve"> organskih katjona OCT2 (engl. </w:t>
      </w:r>
      <w:r w:rsidRPr="001202A2">
        <w:rPr>
          <w:rFonts w:eastAsia="TimesNewRoman"/>
          <w:i/>
          <w:iCs/>
          <w:szCs w:val="22"/>
          <w:lang w:val="sr-Latn-ME"/>
        </w:rPr>
        <w:t>organic cation transporter</w:t>
      </w:r>
      <w:r w:rsidRPr="001202A2">
        <w:rPr>
          <w:rFonts w:eastAsia="TimesNewRoman"/>
          <w:szCs w:val="22"/>
          <w:lang w:val="sr-Latn-ME"/>
        </w:rPr>
        <w:t xml:space="preserve">). Njegov aktivni metabolit je supstrat </w:t>
      </w:r>
      <w:r w:rsidR="00FF498C" w:rsidRPr="001202A2">
        <w:rPr>
          <w:rFonts w:eastAsia="TimesNewRoman"/>
          <w:szCs w:val="22"/>
          <w:lang w:val="sr-Latn-ME"/>
        </w:rPr>
        <w:t>transportera</w:t>
      </w:r>
      <w:r w:rsidRPr="001202A2">
        <w:rPr>
          <w:rFonts w:eastAsia="TimesNewRoman"/>
          <w:szCs w:val="22"/>
          <w:lang w:val="sr-Latn-ME"/>
        </w:rPr>
        <w:t xml:space="preserve"> OATP1B1.</w:t>
      </w:r>
    </w:p>
    <w:p w14:paraId="2CE9E921"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3D711154" w14:textId="7E1B4C01" w:rsidR="001E71CA" w:rsidRPr="001202A2" w:rsidRDefault="001E71CA" w:rsidP="00480B31">
      <w:pPr>
        <w:rPr>
          <w:iCs/>
          <w:szCs w:val="22"/>
          <w:u w:val="single"/>
          <w:lang w:val="sr-Latn-ME"/>
        </w:rPr>
      </w:pPr>
      <w:r w:rsidRPr="001202A2">
        <w:rPr>
          <w:iCs/>
          <w:szCs w:val="22"/>
          <w:u w:val="single"/>
          <w:lang w:val="sr-Latn-ME"/>
        </w:rPr>
        <w:t>Eliminacija</w:t>
      </w:r>
    </w:p>
    <w:p w14:paraId="783FC4CF" w14:textId="51BD070C" w:rsidR="000825F2" w:rsidRPr="001202A2" w:rsidRDefault="000825F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Proc</w:t>
      </w:r>
      <w:r w:rsidR="00303F9A" w:rsidRPr="001202A2">
        <w:rPr>
          <w:rFonts w:eastAsia="TimesNewRoman"/>
          <w:szCs w:val="22"/>
          <w:lang w:val="sr-Latn-ME"/>
        </w:rPr>
        <w:t>j</w:t>
      </w:r>
      <w:r w:rsidRPr="001202A2">
        <w:rPr>
          <w:rFonts w:eastAsia="TimesNewRoman"/>
          <w:szCs w:val="22"/>
          <w:lang w:val="sr-Latn-ME"/>
        </w:rPr>
        <w:t xml:space="preserve">enjuje se da je ukupni klirens kod zdravih ispitanika 22 (± 3) </w:t>
      </w:r>
      <w:r w:rsidR="00223A14" w:rsidRPr="001202A2">
        <w:rPr>
          <w:rFonts w:eastAsia="TimesNewRoman"/>
          <w:szCs w:val="22"/>
          <w:lang w:val="sr-Latn-ME"/>
        </w:rPr>
        <w:t>L</w:t>
      </w:r>
      <w:r w:rsidRPr="001202A2">
        <w:rPr>
          <w:rFonts w:eastAsia="TimesNewRoman"/>
          <w:szCs w:val="22"/>
          <w:lang w:val="sr-Latn-ME"/>
        </w:rPr>
        <w:t xml:space="preserve">/sat; 50% se uklanja putem bubrega (11 </w:t>
      </w:r>
      <w:r w:rsidR="006F0097" w:rsidRPr="001202A2">
        <w:rPr>
          <w:rFonts w:eastAsia="TimesNewRoman"/>
          <w:szCs w:val="22"/>
          <w:lang w:val="sr-Latn-ME"/>
        </w:rPr>
        <w:t>l</w:t>
      </w:r>
      <w:r w:rsidRPr="001202A2">
        <w:rPr>
          <w:rFonts w:eastAsia="TimesNewRoman"/>
          <w:szCs w:val="22"/>
          <w:lang w:val="sr-Latn-ME"/>
        </w:rPr>
        <w:t>/sat). Približno 35% prim</w:t>
      </w:r>
      <w:r w:rsidR="00303F9A" w:rsidRPr="001202A2">
        <w:rPr>
          <w:rFonts w:eastAsia="TimesNewRoman"/>
          <w:szCs w:val="22"/>
          <w:lang w:val="sr-Latn-ME"/>
        </w:rPr>
        <w:t>ij</w:t>
      </w:r>
      <w:r w:rsidRPr="001202A2">
        <w:rPr>
          <w:rFonts w:eastAsia="TimesNewRoman"/>
          <w:szCs w:val="22"/>
          <w:lang w:val="sr-Latn-ME"/>
        </w:rPr>
        <w:t>enjene doze se uklanja putem bubrega. Ostatak se uklanja metabolizmom i eliminacijom putem žuči/cr</w:t>
      </w:r>
      <w:r w:rsidR="00303F9A" w:rsidRPr="001202A2">
        <w:rPr>
          <w:rFonts w:eastAsia="TimesNewRoman"/>
          <w:szCs w:val="22"/>
          <w:lang w:val="sr-Latn-ME"/>
        </w:rPr>
        <w:t>ij</w:t>
      </w:r>
      <w:r w:rsidRPr="001202A2">
        <w:rPr>
          <w:rFonts w:eastAsia="TimesNewRoman"/>
          <w:szCs w:val="22"/>
          <w:lang w:val="sr-Latn-ME"/>
        </w:rPr>
        <w:t>eva. Kod oralne prim</w:t>
      </w:r>
      <w:r w:rsidR="00303F9A" w:rsidRPr="001202A2">
        <w:rPr>
          <w:rFonts w:eastAsia="TimesNewRoman"/>
          <w:szCs w:val="22"/>
          <w:lang w:val="sr-Latn-ME"/>
        </w:rPr>
        <w:t>j</w:t>
      </w:r>
      <w:r w:rsidRPr="001202A2">
        <w:rPr>
          <w:rFonts w:eastAsia="TimesNewRoman"/>
          <w:szCs w:val="22"/>
          <w:lang w:val="sr-Latn-ME"/>
        </w:rPr>
        <w:t>ene, t½ iznosi 10 do 14 sati.</w:t>
      </w:r>
    </w:p>
    <w:p w14:paraId="5BC44820"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3D711157" w14:textId="374C7515" w:rsidR="001E71CA" w:rsidRPr="001202A2" w:rsidRDefault="001E71CA" w:rsidP="00480B31">
      <w:pPr>
        <w:rPr>
          <w:szCs w:val="22"/>
          <w:u w:val="single"/>
          <w:lang w:val="sr-Latn-ME"/>
        </w:rPr>
      </w:pPr>
      <w:r w:rsidRPr="001202A2">
        <w:rPr>
          <w:szCs w:val="22"/>
          <w:u w:val="single"/>
          <w:lang w:val="sr-Latn-ME"/>
        </w:rPr>
        <w:t>Linearnost</w:t>
      </w:r>
      <w:r w:rsidR="000825F2" w:rsidRPr="001202A2">
        <w:rPr>
          <w:szCs w:val="22"/>
          <w:u w:val="single"/>
          <w:lang w:val="sr-Latn-ME"/>
        </w:rPr>
        <w:t>/nelinearnost</w:t>
      </w:r>
    </w:p>
    <w:p w14:paraId="481C8797" w14:textId="66B159F2" w:rsidR="000825F2" w:rsidRPr="001202A2" w:rsidRDefault="000825F2"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lastRenderedPageBreak/>
        <w:t>Edoksaban pokazuje farmakokinetiku približno proporcionalnu dozi u rasponu doza od 15 mg do 60 mg, kod zdravih ispitanika</w:t>
      </w:r>
      <w:r w:rsidR="00DB7D82" w:rsidRPr="001202A2">
        <w:rPr>
          <w:rFonts w:eastAsia="TimesNewRoman"/>
          <w:szCs w:val="22"/>
          <w:lang w:val="sr-Latn-ME"/>
        </w:rPr>
        <w:t>.</w:t>
      </w:r>
    </w:p>
    <w:p w14:paraId="3CD49406"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7F539587" w14:textId="5B409C10" w:rsidR="00A61C84" w:rsidRPr="001202A2" w:rsidRDefault="00A61C84"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Posebne populacije</w:t>
      </w:r>
    </w:p>
    <w:p w14:paraId="58B0062D" w14:textId="77777777" w:rsidR="00586C81" w:rsidRPr="001202A2" w:rsidRDefault="00586C81" w:rsidP="00480B31">
      <w:pPr>
        <w:tabs>
          <w:tab w:val="clear" w:pos="284"/>
        </w:tabs>
        <w:autoSpaceDE w:val="0"/>
        <w:autoSpaceDN w:val="0"/>
        <w:adjustRightInd w:val="0"/>
        <w:rPr>
          <w:rFonts w:eastAsia="TimesNewRoman"/>
          <w:szCs w:val="22"/>
          <w:u w:val="single"/>
          <w:lang w:val="sr-Latn-ME"/>
        </w:rPr>
      </w:pPr>
    </w:p>
    <w:p w14:paraId="449C5EB8" w14:textId="77777777" w:rsidR="00A61C84" w:rsidRPr="001202A2" w:rsidRDefault="00A61C84"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Stariji pacijenti</w:t>
      </w:r>
    </w:p>
    <w:p w14:paraId="38EB52EA" w14:textId="39E75ED6" w:rsidR="00A61C84" w:rsidRPr="001202A2" w:rsidRDefault="00A61C8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Nakon što su u obzir uzeti funkcija bubrega i t</w:t>
      </w:r>
      <w:r w:rsidR="00303F9A" w:rsidRPr="001202A2">
        <w:rPr>
          <w:rFonts w:eastAsia="TimesNewRoman"/>
          <w:szCs w:val="22"/>
          <w:lang w:val="sr-Latn-ME"/>
        </w:rPr>
        <w:t>j</w:t>
      </w:r>
      <w:r w:rsidRPr="001202A2">
        <w:rPr>
          <w:rFonts w:eastAsia="TimesNewRoman"/>
          <w:szCs w:val="22"/>
          <w:lang w:val="sr-Latn-ME"/>
        </w:rPr>
        <w:t>elesna masa, starost nije imala dodatni klinički značajan efekat na farmakokinetiku edoksabana u populacionoj farmakokinetičkoj analizi u glavnoj studiji faze 3 kod NVAF (ENGAGE AF-TIMI 48).</w:t>
      </w:r>
    </w:p>
    <w:p w14:paraId="7C2E0B35" w14:textId="77777777" w:rsidR="00586C81" w:rsidRPr="001202A2" w:rsidRDefault="00586C81" w:rsidP="00480B31">
      <w:pPr>
        <w:tabs>
          <w:tab w:val="clear" w:pos="284"/>
        </w:tabs>
        <w:autoSpaceDE w:val="0"/>
        <w:autoSpaceDN w:val="0"/>
        <w:adjustRightInd w:val="0"/>
        <w:rPr>
          <w:szCs w:val="22"/>
          <w:lang w:val="sr-Latn-ME"/>
        </w:rPr>
      </w:pPr>
    </w:p>
    <w:p w14:paraId="3D711160" w14:textId="06379EF3" w:rsidR="001A5599" w:rsidRPr="001202A2" w:rsidRDefault="00A347AA" w:rsidP="00480B31">
      <w:pPr>
        <w:rPr>
          <w:i/>
          <w:szCs w:val="22"/>
          <w:lang w:val="sr-Latn-ME"/>
        </w:rPr>
      </w:pPr>
      <w:r w:rsidRPr="001202A2">
        <w:rPr>
          <w:i/>
          <w:szCs w:val="22"/>
          <w:lang w:val="sr-Latn-ME"/>
        </w:rPr>
        <w:t>Oštećenje funkcije</w:t>
      </w:r>
      <w:r w:rsidR="001E71CA" w:rsidRPr="001202A2">
        <w:rPr>
          <w:i/>
          <w:szCs w:val="22"/>
          <w:lang w:val="sr-Latn-ME"/>
        </w:rPr>
        <w:t xml:space="preserve"> bubrega </w:t>
      </w:r>
    </w:p>
    <w:p w14:paraId="4485FE4D" w14:textId="4F063231" w:rsidR="004B1074" w:rsidRPr="001202A2" w:rsidRDefault="004B107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Vr</w:t>
      </w:r>
      <w:r w:rsidR="00303F9A" w:rsidRPr="001202A2">
        <w:rPr>
          <w:rFonts w:eastAsia="TimesNewRoman"/>
          <w:szCs w:val="22"/>
          <w:lang w:val="sr-Latn-ME"/>
        </w:rPr>
        <w:t>ij</w:t>
      </w:r>
      <w:r w:rsidRPr="001202A2">
        <w:rPr>
          <w:rFonts w:eastAsia="TimesNewRoman"/>
          <w:szCs w:val="22"/>
          <w:lang w:val="sr-Latn-ME"/>
        </w:rPr>
        <w:t>ednost PIK</w:t>
      </w:r>
      <w:r w:rsidR="009E2162" w:rsidRPr="001202A2">
        <w:rPr>
          <w:rFonts w:eastAsia="TimesNewRoman"/>
          <w:szCs w:val="22"/>
          <w:lang w:val="sr-Latn-ME"/>
        </w:rPr>
        <w:t>-a</w:t>
      </w:r>
      <w:r w:rsidRPr="001202A2">
        <w:rPr>
          <w:rFonts w:eastAsia="TimesNewRoman"/>
          <w:szCs w:val="22"/>
          <w:lang w:val="sr-Latn-ME"/>
        </w:rPr>
        <w:t xml:space="preserve"> u plazmi kod ispitanika sa blagim (CrCl &gt; 50 - 80 </w:t>
      </w:r>
      <w:r w:rsidR="009E2162" w:rsidRPr="001202A2">
        <w:rPr>
          <w:rFonts w:eastAsia="TimesNewRoman"/>
          <w:szCs w:val="22"/>
          <w:lang w:val="sr-Latn-ME"/>
        </w:rPr>
        <w:t>m</w:t>
      </w:r>
      <w:r w:rsidR="006F0097" w:rsidRPr="001202A2">
        <w:rPr>
          <w:rFonts w:eastAsia="TimesNewRoman"/>
          <w:szCs w:val="22"/>
          <w:lang w:val="sr-Latn-ME"/>
        </w:rPr>
        <w:t>l</w:t>
      </w:r>
      <w:r w:rsidRPr="001202A2">
        <w:rPr>
          <w:rFonts w:eastAsia="TimesNewRoman"/>
          <w:szCs w:val="22"/>
          <w:lang w:val="sr-Latn-ME"/>
        </w:rPr>
        <w:t>/min), um</w:t>
      </w:r>
      <w:r w:rsidR="00303F9A" w:rsidRPr="001202A2">
        <w:rPr>
          <w:rFonts w:eastAsia="TimesNewRoman"/>
          <w:szCs w:val="22"/>
          <w:lang w:val="sr-Latn-ME"/>
        </w:rPr>
        <w:t>j</w:t>
      </w:r>
      <w:r w:rsidRPr="001202A2">
        <w:rPr>
          <w:rFonts w:eastAsia="TimesNewRoman"/>
          <w:szCs w:val="22"/>
          <w:lang w:val="sr-Latn-ME"/>
        </w:rPr>
        <w:t xml:space="preserve">erenim (CrCL 30 – 50 </w:t>
      </w:r>
      <w:r w:rsidR="009E2162" w:rsidRPr="001202A2">
        <w:rPr>
          <w:rFonts w:eastAsia="TimesNewRoman"/>
          <w:szCs w:val="22"/>
          <w:lang w:val="sr-Latn-ME"/>
        </w:rPr>
        <w:t>m</w:t>
      </w:r>
      <w:r w:rsidR="006F0097" w:rsidRPr="001202A2">
        <w:rPr>
          <w:rFonts w:eastAsia="TimesNewRoman"/>
          <w:szCs w:val="22"/>
          <w:lang w:val="sr-Latn-ME"/>
        </w:rPr>
        <w:t>l</w:t>
      </w:r>
      <w:r w:rsidRPr="001202A2">
        <w:rPr>
          <w:rFonts w:eastAsia="TimesNewRoman"/>
          <w:szCs w:val="22"/>
          <w:lang w:val="sr-Latn-ME"/>
        </w:rPr>
        <w:t xml:space="preserve">/min) i teškim (CrCl &lt; 30 </w:t>
      </w:r>
      <w:r w:rsidR="009E2162" w:rsidRPr="001202A2">
        <w:rPr>
          <w:rFonts w:eastAsia="TimesNewRoman"/>
          <w:szCs w:val="22"/>
          <w:lang w:val="sr-Latn-ME"/>
        </w:rPr>
        <w:t>m</w:t>
      </w:r>
      <w:r w:rsidR="006F0097" w:rsidRPr="001202A2">
        <w:rPr>
          <w:rFonts w:eastAsia="TimesNewRoman"/>
          <w:szCs w:val="22"/>
          <w:lang w:val="sr-Latn-ME"/>
        </w:rPr>
        <w:t>l</w:t>
      </w:r>
      <w:r w:rsidRPr="001202A2">
        <w:rPr>
          <w:rFonts w:eastAsia="TimesNewRoman"/>
          <w:szCs w:val="22"/>
          <w:lang w:val="sr-Latn-ME"/>
        </w:rPr>
        <w:t>/min</w:t>
      </w:r>
      <w:r w:rsidR="005B7640" w:rsidRPr="001202A2">
        <w:rPr>
          <w:rFonts w:eastAsia="TimesNewRoman"/>
          <w:szCs w:val="22"/>
          <w:lang w:val="sr-Latn-ME"/>
        </w:rPr>
        <w:t>,</w:t>
      </w:r>
      <w:r w:rsidRPr="001202A2">
        <w:rPr>
          <w:rFonts w:eastAsia="TimesNewRoman"/>
          <w:szCs w:val="22"/>
          <w:lang w:val="sr-Latn-ME"/>
        </w:rPr>
        <w:t xml:space="preserve"> ali ne na dijalizi) oštećenjem funkcije bubrega bila je povećana za 32%, 74%</w:t>
      </w:r>
      <w:r w:rsidR="00DB7D82" w:rsidRPr="001202A2">
        <w:rPr>
          <w:rFonts w:eastAsia="TimesNewRoman"/>
          <w:szCs w:val="22"/>
          <w:lang w:val="sr-Latn-ME"/>
        </w:rPr>
        <w:t>,</w:t>
      </w:r>
      <w:r w:rsidRPr="001202A2">
        <w:rPr>
          <w:rFonts w:eastAsia="TimesNewRoman"/>
          <w:szCs w:val="22"/>
          <w:lang w:val="sr-Latn-ME"/>
        </w:rPr>
        <w:t xml:space="preserve"> odnosno 72% u odnosu na </w:t>
      </w:r>
      <w:r w:rsidR="00070CFF" w:rsidRPr="001202A2">
        <w:rPr>
          <w:rFonts w:eastAsia="TimesNewRoman"/>
          <w:szCs w:val="22"/>
          <w:lang w:val="sr-Latn-ME"/>
        </w:rPr>
        <w:t>ispitanike</w:t>
      </w:r>
      <w:r w:rsidRPr="001202A2">
        <w:rPr>
          <w:rFonts w:eastAsia="TimesNewRoman"/>
          <w:szCs w:val="22"/>
          <w:lang w:val="sr-Latn-ME"/>
        </w:rPr>
        <w:t xml:space="preserve"> s</w:t>
      </w:r>
      <w:r w:rsidR="00070CFF" w:rsidRPr="001202A2">
        <w:rPr>
          <w:rFonts w:eastAsia="TimesNewRoman"/>
          <w:szCs w:val="22"/>
          <w:lang w:val="sr-Latn-ME"/>
        </w:rPr>
        <w:t>a</w:t>
      </w:r>
      <w:r w:rsidRPr="001202A2">
        <w:rPr>
          <w:rFonts w:eastAsia="TimesNewRoman"/>
          <w:szCs w:val="22"/>
          <w:lang w:val="sr-Latn-ME"/>
        </w:rPr>
        <w:t xml:space="preserve"> očuvanom funkcijom bubrega. Kod pacijenata sa oštećenjem funkcije bubrega</w:t>
      </w:r>
      <w:r w:rsidR="00070CFF" w:rsidRPr="001202A2">
        <w:rPr>
          <w:rFonts w:eastAsia="TimesNewRoman"/>
          <w:szCs w:val="22"/>
          <w:lang w:val="sr-Latn-ME"/>
        </w:rPr>
        <w:t>,</w:t>
      </w:r>
      <w:r w:rsidRPr="001202A2">
        <w:rPr>
          <w:rFonts w:eastAsia="TimesNewRoman"/>
          <w:szCs w:val="22"/>
          <w:lang w:val="sr-Latn-ME"/>
        </w:rPr>
        <w:t xml:space="preserve"> profil metabolita </w:t>
      </w:r>
      <w:r w:rsidR="00070CFF" w:rsidRPr="001202A2">
        <w:rPr>
          <w:rFonts w:eastAsia="TimesNewRoman"/>
          <w:szCs w:val="22"/>
          <w:lang w:val="sr-Latn-ME"/>
        </w:rPr>
        <w:t>se m</w:t>
      </w:r>
      <w:r w:rsidR="00303F9A" w:rsidRPr="001202A2">
        <w:rPr>
          <w:rFonts w:eastAsia="TimesNewRoman"/>
          <w:szCs w:val="22"/>
          <w:lang w:val="sr-Latn-ME"/>
        </w:rPr>
        <w:t>ij</w:t>
      </w:r>
      <w:r w:rsidR="00070CFF" w:rsidRPr="001202A2">
        <w:rPr>
          <w:rFonts w:eastAsia="TimesNewRoman"/>
          <w:szCs w:val="22"/>
          <w:lang w:val="sr-Latn-ME"/>
        </w:rPr>
        <w:t xml:space="preserve">enja </w:t>
      </w:r>
      <w:r w:rsidRPr="001202A2">
        <w:rPr>
          <w:rFonts w:eastAsia="TimesNewRoman"/>
          <w:szCs w:val="22"/>
          <w:lang w:val="sr-Latn-ME"/>
        </w:rPr>
        <w:t>i aktivni metaboliti se stvaraju u većoj količini.</w:t>
      </w:r>
    </w:p>
    <w:p w14:paraId="3BC05D37" w14:textId="77777777" w:rsidR="0081120D" w:rsidRPr="001202A2" w:rsidRDefault="0081120D" w:rsidP="00480B31">
      <w:pPr>
        <w:tabs>
          <w:tab w:val="clear" w:pos="284"/>
        </w:tabs>
        <w:autoSpaceDE w:val="0"/>
        <w:autoSpaceDN w:val="0"/>
        <w:adjustRightInd w:val="0"/>
        <w:rPr>
          <w:rFonts w:eastAsia="TimesNewRoman"/>
          <w:szCs w:val="22"/>
          <w:lang w:val="sr-Latn-ME"/>
        </w:rPr>
      </w:pPr>
    </w:p>
    <w:p w14:paraId="4CCDA9BC" w14:textId="4C69AF07" w:rsidR="004B1074" w:rsidRPr="001202A2" w:rsidRDefault="004B107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Između koncentracije</w:t>
      </w:r>
      <w:r w:rsidR="00070CFF" w:rsidRPr="001202A2">
        <w:rPr>
          <w:rFonts w:eastAsia="TimesNewRoman"/>
          <w:szCs w:val="22"/>
          <w:lang w:val="sr-Latn-ME"/>
        </w:rPr>
        <w:t xml:space="preserve"> edoksabana u plazmi i anti-</w:t>
      </w:r>
      <w:r w:rsidRPr="001202A2">
        <w:rPr>
          <w:rFonts w:eastAsia="TimesNewRoman"/>
          <w:szCs w:val="22"/>
          <w:lang w:val="sr-Latn-ME"/>
        </w:rPr>
        <w:t xml:space="preserve">FXa </w:t>
      </w:r>
      <w:r w:rsidR="00070CFF" w:rsidRPr="001202A2">
        <w:rPr>
          <w:rFonts w:eastAsia="TimesNewRoman"/>
          <w:szCs w:val="22"/>
          <w:lang w:val="sr-Latn-ME"/>
        </w:rPr>
        <w:t xml:space="preserve">aktivnosti </w:t>
      </w:r>
      <w:r w:rsidRPr="001202A2">
        <w:rPr>
          <w:rFonts w:eastAsia="TimesNewRoman"/>
          <w:szCs w:val="22"/>
          <w:lang w:val="sr-Latn-ME"/>
        </w:rPr>
        <w:t>postoji linearna korelacija</w:t>
      </w:r>
      <w:r w:rsidR="00070CFF" w:rsidRPr="001202A2">
        <w:rPr>
          <w:rFonts w:eastAsia="TimesNewRoman"/>
          <w:szCs w:val="22"/>
          <w:lang w:val="sr-Latn-ME"/>
        </w:rPr>
        <w:t>, nezavisno od funkcije</w:t>
      </w:r>
      <w:r w:rsidRPr="001202A2">
        <w:rPr>
          <w:rFonts w:eastAsia="TimesNewRoman"/>
          <w:szCs w:val="22"/>
          <w:lang w:val="sr-Latn-ME"/>
        </w:rPr>
        <w:t xml:space="preserve"> bubrega.</w:t>
      </w:r>
    </w:p>
    <w:p w14:paraId="530A1499" w14:textId="083A6E90" w:rsidR="004B1074" w:rsidRPr="001202A2" w:rsidRDefault="004B107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Ispitanici sa ESRD koji su na peritonealnoj dijalizi imali su 93% veću ukupnu izloženost u poređenju sa zdravim ispitanicima.</w:t>
      </w:r>
      <w:r w:rsidR="0081120D" w:rsidRPr="001202A2">
        <w:rPr>
          <w:rFonts w:eastAsia="TimesNewRoman"/>
          <w:szCs w:val="22"/>
          <w:lang w:val="sr-Latn-ME"/>
        </w:rPr>
        <w:t xml:space="preserve"> </w:t>
      </w:r>
      <w:r w:rsidR="00070CFF" w:rsidRPr="001202A2">
        <w:rPr>
          <w:rFonts w:eastAsia="TimesNewRoman"/>
          <w:szCs w:val="22"/>
          <w:lang w:val="sr-Latn-ME"/>
        </w:rPr>
        <w:t>Populaciono</w:t>
      </w:r>
      <w:r w:rsidRPr="001202A2">
        <w:rPr>
          <w:rFonts w:eastAsia="TimesNewRoman"/>
          <w:szCs w:val="22"/>
          <w:lang w:val="sr-Latn-ME"/>
        </w:rPr>
        <w:t xml:space="preserve"> farmakokinetič</w:t>
      </w:r>
      <w:r w:rsidR="00070CFF" w:rsidRPr="001202A2">
        <w:rPr>
          <w:rFonts w:eastAsia="TimesNewRoman"/>
          <w:szCs w:val="22"/>
          <w:lang w:val="sr-Latn-ME"/>
        </w:rPr>
        <w:t>ko modelovanje</w:t>
      </w:r>
      <w:r w:rsidRPr="001202A2">
        <w:rPr>
          <w:rFonts w:eastAsia="TimesNewRoman"/>
          <w:szCs w:val="22"/>
          <w:lang w:val="sr-Latn-ME"/>
        </w:rPr>
        <w:t xml:space="preserve"> </w:t>
      </w:r>
      <w:r w:rsidR="00070CFF" w:rsidRPr="001202A2">
        <w:rPr>
          <w:rFonts w:eastAsia="TimesNewRoman"/>
          <w:szCs w:val="22"/>
          <w:lang w:val="sr-Latn-ME"/>
        </w:rPr>
        <w:t>ukazuje</w:t>
      </w:r>
      <w:r w:rsidRPr="001202A2">
        <w:rPr>
          <w:rFonts w:eastAsia="TimesNewRoman"/>
          <w:szCs w:val="22"/>
          <w:lang w:val="sr-Latn-ME"/>
        </w:rPr>
        <w:t xml:space="preserve"> da se izloženost </w:t>
      </w:r>
      <w:r w:rsidR="00070CFF" w:rsidRPr="001202A2">
        <w:rPr>
          <w:rFonts w:eastAsia="TimesNewRoman"/>
          <w:szCs w:val="22"/>
          <w:lang w:val="sr-Latn-ME"/>
        </w:rPr>
        <w:t>približno</w:t>
      </w:r>
      <w:r w:rsidRPr="001202A2">
        <w:rPr>
          <w:rFonts w:eastAsia="TimesNewRoman"/>
          <w:szCs w:val="22"/>
          <w:lang w:val="sr-Latn-ME"/>
        </w:rPr>
        <w:t xml:space="preserve"> udvostručuje kod pacijenata sa teškim oštećenjem funkcije bubrega (CrCl 15 – 29 </w:t>
      </w:r>
      <w:r w:rsidR="00913B7C" w:rsidRPr="001202A2">
        <w:rPr>
          <w:rFonts w:eastAsia="TimesNewRoman"/>
          <w:szCs w:val="22"/>
          <w:lang w:val="sr-Latn-ME"/>
        </w:rPr>
        <w:t>m</w:t>
      </w:r>
      <w:r w:rsidR="006F0097" w:rsidRPr="001202A2">
        <w:rPr>
          <w:rFonts w:eastAsia="TimesNewRoman"/>
          <w:szCs w:val="22"/>
          <w:lang w:val="sr-Latn-ME"/>
        </w:rPr>
        <w:t>l</w:t>
      </w:r>
      <w:r w:rsidRPr="001202A2">
        <w:rPr>
          <w:rFonts w:eastAsia="TimesNewRoman"/>
          <w:szCs w:val="22"/>
          <w:lang w:val="sr-Latn-ME"/>
        </w:rPr>
        <w:t>/min)</w:t>
      </w:r>
      <w:r w:rsidR="00070CFF" w:rsidRPr="001202A2">
        <w:rPr>
          <w:rFonts w:eastAsia="TimesNewRoman"/>
          <w:szCs w:val="22"/>
          <w:lang w:val="sr-Latn-ME"/>
        </w:rPr>
        <w:t>,</w:t>
      </w:r>
      <w:r w:rsidRPr="001202A2">
        <w:rPr>
          <w:rFonts w:eastAsia="TimesNewRoman"/>
          <w:szCs w:val="22"/>
          <w:lang w:val="sr-Latn-ME"/>
        </w:rPr>
        <w:t xml:space="preserve"> u odnosu na pacijent</w:t>
      </w:r>
      <w:r w:rsidR="00070CFF" w:rsidRPr="001202A2">
        <w:rPr>
          <w:rFonts w:eastAsia="TimesNewRoman"/>
          <w:szCs w:val="22"/>
          <w:lang w:val="sr-Latn-ME"/>
        </w:rPr>
        <w:t>e</w:t>
      </w:r>
      <w:r w:rsidRPr="001202A2">
        <w:rPr>
          <w:rFonts w:eastAsia="TimesNewRoman"/>
          <w:szCs w:val="22"/>
          <w:lang w:val="sr-Latn-ME"/>
        </w:rPr>
        <w:t xml:space="preserve"> sa očuvanom funkcijom bubrega.</w:t>
      </w:r>
    </w:p>
    <w:p w14:paraId="59DC0A2E" w14:textId="77777777" w:rsidR="0081120D" w:rsidRPr="001202A2" w:rsidRDefault="0081120D" w:rsidP="00480B31">
      <w:pPr>
        <w:tabs>
          <w:tab w:val="clear" w:pos="284"/>
        </w:tabs>
        <w:autoSpaceDE w:val="0"/>
        <w:autoSpaceDN w:val="0"/>
        <w:adjustRightInd w:val="0"/>
        <w:rPr>
          <w:rFonts w:eastAsia="TimesNewRoman"/>
          <w:szCs w:val="22"/>
          <w:lang w:val="sr-Latn-ME"/>
        </w:rPr>
      </w:pPr>
    </w:p>
    <w:p w14:paraId="1ED97332" w14:textId="2EC50008" w:rsidR="00A347AA" w:rsidRPr="001202A2" w:rsidRDefault="004B107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Tabela </w:t>
      </w:r>
      <w:r w:rsidR="00913B7C" w:rsidRPr="001202A2">
        <w:rPr>
          <w:rFonts w:eastAsia="TimesNewRoman"/>
          <w:szCs w:val="22"/>
          <w:lang w:val="sr-Latn-ME"/>
        </w:rPr>
        <w:t xml:space="preserve">14 </w:t>
      </w:r>
      <w:r w:rsidRPr="001202A2">
        <w:rPr>
          <w:rFonts w:eastAsia="TimesNewRoman"/>
          <w:szCs w:val="22"/>
          <w:lang w:val="sr-Latn-ME"/>
        </w:rPr>
        <w:t>u nastavku</w:t>
      </w:r>
      <w:r w:rsidR="007C117B" w:rsidRPr="001202A2">
        <w:rPr>
          <w:rFonts w:eastAsia="TimesNewRoman"/>
          <w:szCs w:val="22"/>
          <w:lang w:val="sr-Latn-ME"/>
        </w:rPr>
        <w:t xml:space="preserve"> teksta</w:t>
      </w:r>
      <w:r w:rsidRPr="001202A2">
        <w:rPr>
          <w:rFonts w:eastAsia="TimesNewRoman"/>
          <w:szCs w:val="22"/>
          <w:lang w:val="sr-Latn-ME"/>
        </w:rPr>
        <w:t xml:space="preserve"> pokazuje </w:t>
      </w:r>
      <w:r w:rsidR="007C117B" w:rsidRPr="001202A2">
        <w:rPr>
          <w:rFonts w:eastAsia="TimesNewRoman"/>
          <w:szCs w:val="22"/>
          <w:lang w:val="sr-Latn-ME"/>
        </w:rPr>
        <w:t>anti-</w:t>
      </w:r>
      <w:r w:rsidRPr="001202A2">
        <w:rPr>
          <w:rFonts w:eastAsia="TimesNewRoman"/>
          <w:szCs w:val="22"/>
          <w:lang w:val="sr-Latn-ME"/>
        </w:rPr>
        <w:t xml:space="preserve"> F</w:t>
      </w:r>
      <w:r w:rsidR="007C117B" w:rsidRPr="001202A2">
        <w:rPr>
          <w:rFonts w:eastAsia="TimesNewRoman"/>
          <w:szCs w:val="22"/>
          <w:lang w:val="sr-Latn-ME"/>
        </w:rPr>
        <w:t>x</w:t>
      </w:r>
      <w:r w:rsidRPr="001202A2">
        <w:rPr>
          <w:rFonts w:eastAsia="TimesNewRoman"/>
          <w:szCs w:val="22"/>
          <w:lang w:val="sr-Latn-ME"/>
        </w:rPr>
        <w:t>a</w:t>
      </w:r>
      <w:r w:rsidR="007C117B" w:rsidRPr="001202A2">
        <w:rPr>
          <w:rFonts w:eastAsia="TimesNewRoman"/>
          <w:szCs w:val="22"/>
          <w:lang w:val="sr-Latn-ME"/>
        </w:rPr>
        <w:t xml:space="preserve"> aktivnost edoksabana,</w:t>
      </w:r>
      <w:r w:rsidRPr="001202A2">
        <w:rPr>
          <w:rFonts w:eastAsia="TimesNewRoman"/>
          <w:szCs w:val="22"/>
          <w:lang w:val="sr-Latn-ME"/>
        </w:rPr>
        <w:t xml:space="preserve"> prema kategoriji CrCl </w:t>
      </w:r>
      <w:r w:rsidR="000317E3" w:rsidRPr="001202A2">
        <w:rPr>
          <w:rFonts w:eastAsia="TimesNewRoman"/>
          <w:szCs w:val="22"/>
          <w:lang w:val="sr-Latn-ME"/>
        </w:rPr>
        <w:t>za svaku</w:t>
      </w:r>
      <w:r w:rsidRPr="001202A2">
        <w:rPr>
          <w:rFonts w:eastAsia="TimesNewRoman"/>
          <w:szCs w:val="22"/>
          <w:lang w:val="sr-Latn-ME"/>
        </w:rPr>
        <w:t xml:space="preserve"> </w:t>
      </w:r>
      <w:r w:rsidR="000317E3" w:rsidRPr="001202A2">
        <w:rPr>
          <w:rFonts w:eastAsia="TimesNewRoman"/>
          <w:szCs w:val="22"/>
          <w:lang w:val="sr-Latn-ME"/>
        </w:rPr>
        <w:t>indikaciju</w:t>
      </w:r>
      <w:r w:rsidRPr="001202A2">
        <w:rPr>
          <w:rFonts w:eastAsia="TimesNewRoman"/>
          <w:szCs w:val="22"/>
          <w:lang w:val="sr-Latn-ME"/>
        </w:rPr>
        <w:t>.</w:t>
      </w:r>
    </w:p>
    <w:p w14:paraId="569EF1EB"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4A05B3A7" w14:textId="4D3FF0BA" w:rsidR="00881D81" w:rsidRPr="001202A2" w:rsidRDefault="00881D81" w:rsidP="00480B31">
      <w:pPr>
        <w:tabs>
          <w:tab w:val="clear" w:pos="284"/>
        </w:tabs>
        <w:autoSpaceDE w:val="0"/>
        <w:autoSpaceDN w:val="0"/>
        <w:adjustRightInd w:val="0"/>
        <w:rPr>
          <w:rFonts w:eastAsia="TimesNewRoman"/>
          <w:b/>
          <w:bCs/>
          <w:szCs w:val="22"/>
          <w:lang w:val="sr-Latn-ME"/>
        </w:rPr>
      </w:pPr>
      <w:r w:rsidRPr="001202A2">
        <w:rPr>
          <w:rFonts w:eastAsia="TimesNewRoman"/>
          <w:b/>
          <w:bCs/>
          <w:szCs w:val="22"/>
          <w:lang w:val="sr-Latn-ME"/>
        </w:rPr>
        <w:t>Tabela 14. Anti-FXa aktivnost edoksabana prema CrCl</w:t>
      </w:r>
    </w:p>
    <w:p w14:paraId="2902DC39" w14:textId="77777777" w:rsidR="00743938" w:rsidRPr="001202A2" w:rsidRDefault="00743938" w:rsidP="00480B31">
      <w:pPr>
        <w:tabs>
          <w:tab w:val="clear" w:pos="284"/>
        </w:tabs>
        <w:autoSpaceDE w:val="0"/>
        <w:autoSpaceDN w:val="0"/>
        <w:adjustRightInd w:val="0"/>
        <w:rPr>
          <w:rFonts w:eastAsia="TimesNewRoman"/>
          <w:b/>
          <w:bCs/>
          <w:szCs w:val="22"/>
          <w:lang w:val="sr-Latn-ME"/>
        </w:rPr>
      </w:pPr>
    </w:p>
    <w:tbl>
      <w:tblPr>
        <w:tblStyle w:val="TableGrid"/>
        <w:tblW w:w="0" w:type="auto"/>
        <w:tblLook w:val="04A0" w:firstRow="1" w:lastRow="0" w:firstColumn="1" w:lastColumn="0" w:noHBand="0" w:noVBand="1"/>
      </w:tblPr>
      <w:tblGrid>
        <w:gridCol w:w="2410"/>
        <w:gridCol w:w="2397"/>
        <w:gridCol w:w="2411"/>
        <w:gridCol w:w="2411"/>
      </w:tblGrid>
      <w:tr w:rsidR="000317E3" w:rsidRPr="001202A2" w14:paraId="44D225C1" w14:textId="77777777" w:rsidTr="001202A2">
        <w:tc>
          <w:tcPr>
            <w:tcW w:w="2463" w:type="dxa"/>
            <w:shd w:val="clear" w:color="auto" w:fill="BFBFBF" w:themeFill="background1" w:themeFillShade="BF"/>
            <w:vAlign w:val="center"/>
          </w:tcPr>
          <w:p w14:paraId="7F661F61" w14:textId="5A241CF3" w:rsidR="000317E3" w:rsidRPr="001202A2" w:rsidRDefault="000317E3" w:rsidP="00880F49">
            <w:pPr>
              <w:tabs>
                <w:tab w:val="clear" w:pos="284"/>
              </w:tabs>
              <w:autoSpaceDE w:val="0"/>
              <w:autoSpaceDN w:val="0"/>
              <w:adjustRightInd w:val="0"/>
              <w:jc w:val="center"/>
              <w:rPr>
                <w:b/>
                <w:szCs w:val="22"/>
                <w:lang w:val="sr-Latn-ME"/>
              </w:rPr>
            </w:pPr>
            <w:r w:rsidRPr="001202A2">
              <w:rPr>
                <w:b/>
                <w:szCs w:val="22"/>
                <w:lang w:val="sr-Latn-ME"/>
              </w:rPr>
              <w:t>Doza edoksabana</w:t>
            </w:r>
          </w:p>
        </w:tc>
        <w:tc>
          <w:tcPr>
            <w:tcW w:w="2464" w:type="dxa"/>
            <w:shd w:val="clear" w:color="auto" w:fill="BFBFBF" w:themeFill="background1" w:themeFillShade="BF"/>
            <w:vAlign w:val="center"/>
          </w:tcPr>
          <w:p w14:paraId="0D934C3C" w14:textId="77777777" w:rsidR="000317E3" w:rsidRPr="001202A2" w:rsidRDefault="000317E3" w:rsidP="00880F49">
            <w:pPr>
              <w:tabs>
                <w:tab w:val="clear" w:pos="284"/>
              </w:tabs>
              <w:autoSpaceDE w:val="0"/>
              <w:autoSpaceDN w:val="0"/>
              <w:adjustRightInd w:val="0"/>
              <w:jc w:val="center"/>
              <w:rPr>
                <w:b/>
                <w:szCs w:val="22"/>
                <w:lang w:val="sr-Latn-ME"/>
              </w:rPr>
            </w:pPr>
            <w:r w:rsidRPr="001202A2">
              <w:rPr>
                <w:b/>
                <w:szCs w:val="22"/>
                <w:lang w:val="sr-Latn-ME"/>
              </w:rPr>
              <w:t>CrCL</w:t>
            </w:r>
          </w:p>
          <w:p w14:paraId="0BCEC0AE" w14:textId="062EF274" w:rsidR="000317E3" w:rsidRPr="001202A2" w:rsidRDefault="000317E3" w:rsidP="00880F49">
            <w:pPr>
              <w:tabs>
                <w:tab w:val="clear" w:pos="284"/>
              </w:tabs>
              <w:autoSpaceDE w:val="0"/>
              <w:autoSpaceDN w:val="0"/>
              <w:adjustRightInd w:val="0"/>
              <w:jc w:val="center"/>
              <w:rPr>
                <w:szCs w:val="22"/>
                <w:lang w:val="sr-Latn-ME"/>
              </w:rPr>
            </w:pPr>
            <w:r w:rsidRPr="001202A2">
              <w:rPr>
                <w:b/>
                <w:szCs w:val="22"/>
                <w:lang w:val="sr-Latn-ME"/>
              </w:rPr>
              <w:t>(</w:t>
            </w:r>
            <w:r w:rsidR="0000752F" w:rsidRPr="001202A2">
              <w:rPr>
                <w:b/>
                <w:szCs w:val="22"/>
                <w:lang w:val="sr-Latn-ME"/>
              </w:rPr>
              <w:t>m</w:t>
            </w:r>
            <w:r w:rsidR="006F0097" w:rsidRPr="001202A2">
              <w:rPr>
                <w:b/>
                <w:szCs w:val="22"/>
                <w:lang w:val="sr-Latn-ME"/>
              </w:rPr>
              <w:t>l</w:t>
            </w:r>
            <w:r w:rsidRPr="001202A2">
              <w:rPr>
                <w:b/>
                <w:szCs w:val="22"/>
                <w:lang w:val="sr-Latn-ME"/>
              </w:rPr>
              <w:t>/min)</w:t>
            </w:r>
          </w:p>
        </w:tc>
        <w:tc>
          <w:tcPr>
            <w:tcW w:w="2464" w:type="dxa"/>
            <w:shd w:val="clear" w:color="auto" w:fill="BFBFBF" w:themeFill="background1" w:themeFillShade="BF"/>
            <w:vAlign w:val="center"/>
          </w:tcPr>
          <w:p w14:paraId="15C2912E" w14:textId="4B39E396" w:rsidR="000317E3" w:rsidRPr="001202A2" w:rsidRDefault="000317E3" w:rsidP="00880F49">
            <w:pPr>
              <w:tabs>
                <w:tab w:val="clear" w:pos="284"/>
              </w:tabs>
              <w:autoSpaceDE w:val="0"/>
              <w:autoSpaceDN w:val="0"/>
              <w:adjustRightInd w:val="0"/>
              <w:jc w:val="center"/>
              <w:rPr>
                <w:b/>
                <w:szCs w:val="22"/>
                <w:vertAlign w:val="superscript"/>
                <w:lang w:val="sr-Latn-ME"/>
              </w:rPr>
            </w:pPr>
            <w:r w:rsidRPr="001202A2">
              <w:rPr>
                <w:b/>
                <w:szCs w:val="22"/>
                <w:lang w:val="sr-Latn-ME"/>
              </w:rPr>
              <w:t>Anti-Fxa aktivnost edoksabana nakon prim</w:t>
            </w:r>
            <w:r w:rsidR="00303F9A" w:rsidRPr="001202A2">
              <w:rPr>
                <w:b/>
                <w:szCs w:val="22"/>
                <w:lang w:val="sr-Latn-ME"/>
              </w:rPr>
              <w:t>j</w:t>
            </w:r>
            <w:r w:rsidRPr="001202A2">
              <w:rPr>
                <w:b/>
                <w:szCs w:val="22"/>
                <w:lang w:val="sr-Latn-ME"/>
              </w:rPr>
              <w:t>ene doze (IU/</w:t>
            </w:r>
            <w:r w:rsidR="0000752F" w:rsidRPr="001202A2">
              <w:rPr>
                <w:b/>
                <w:szCs w:val="22"/>
                <w:lang w:val="sr-Latn-ME"/>
              </w:rPr>
              <w:t>m</w:t>
            </w:r>
            <w:r w:rsidR="006F0097" w:rsidRPr="001202A2">
              <w:rPr>
                <w:b/>
                <w:szCs w:val="22"/>
                <w:lang w:val="sr-Latn-ME"/>
              </w:rPr>
              <w:t>l</w:t>
            </w:r>
            <w:r w:rsidRPr="001202A2">
              <w:rPr>
                <w:b/>
                <w:szCs w:val="22"/>
                <w:lang w:val="sr-Latn-ME"/>
              </w:rPr>
              <w:t>)</w:t>
            </w:r>
            <w:r w:rsidRPr="001202A2">
              <w:rPr>
                <w:b/>
                <w:szCs w:val="22"/>
                <w:vertAlign w:val="superscript"/>
                <w:lang w:val="sr-Latn-ME"/>
              </w:rPr>
              <w:t>1</w:t>
            </w:r>
          </w:p>
        </w:tc>
        <w:tc>
          <w:tcPr>
            <w:tcW w:w="2464" w:type="dxa"/>
            <w:shd w:val="clear" w:color="auto" w:fill="BFBFBF" w:themeFill="background1" w:themeFillShade="BF"/>
            <w:vAlign w:val="center"/>
          </w:tcPr>
          <w:p w14:paraId="64484D80" w14:textId="2E2134BE" w:rsidR="000317E3" w:rsidRPr="001202A2" w:rsidRDefault="000317E3" w:rsidP="00880F49">
            <w:pPr>
              <w:tabs>
                <w:tab w:val="clear" w:pos="284"/>
              </w:tabs>
              <w:autoSpaceDE w:val="0"/>
              <w:autoSpaceDN w:val="0"/>
              <w:adjustRightInd w:val="0"/>
              <w:jc w:val="center"/>
              <w:rPr>
                <w:b/>
                <w:szCs w:val="22"/>
                <w:lang w:val="sr-Latn-ME"/>
              </w:rPr>
            </w:pPr>
            <w:r w:rsidRPr="001202A2">
              <w:rPr>
                <w:b/>
                <w:szCs w:val="22"/>
                <w:lang w:val="sr-Latn-ME"/>
              </w:rPr>
              <w:t>Anti-Fxa aktivnost edoksabana pr</w:t>
            </w:r>
            <w:r w:rsidR="00303F9A" w:rsidRPr="001202A2">
              <w:rPr>
                <w:b/>
                <w:szCs w:val="22"/>
                <w:lang w:val="sr-Latn-ME"/>
              </w:rPr>
              <w:t>ij</w:t>
            </w:r>
            <w:r w:rsidRPr="001202A2">
              <w:rPr>
                <w:b/>
                <w:szCs w:val="22"/>
                <w:lang w:val="sr-Latn-ME"/>
              </w:rPr>
              <w:t>e prim</w:t>
            </w:r>
            <w:r w:rsidR="00303F9A" w:rsidRPr="001202A2">
              <w:rPr>
                <w:b/>
                <w:szCs w:val="22"/>
                <w:lang w:val="sr-Latn-ME"/>
              </w:rPr>
              <w:t>j</w:t>
            </w:r>
            <w:r w:rsidRPr="001202A2">
              <w:rPr>
                <w:b/>
                <w:szCs w:val="22"/>
                <w:lang w:val="sr-Latn-ME"/>
              </w:rPr>
              <w:t>ene doze (IU/</w:t>
            </w:r>
            <w:r w:rsidR="0000752F" w:rsidRPr="001202A2">
              <w:rPr>
                <w:b/>
                <w:szCs w:val="22"/>
                <w:lang w:val="sr-Latn-ME"/>
              </w:rPr>
              <w:t>m</w:t>
            </w:r>
            <w:r w:rsidR="006F0097" w:rsidRPr="001202A2">
              <w:rPr>
                <w:b/>
                <w:szCs w:val="22"/>
                <w:lang w:val="sr-Latn-ME"/>
              </w:rPr>
              <w:t>l</w:t>
            </w:r>
            <w:r w:rsidRPr="001202A2">
              <w:rPr>
                <w:b/>
                <w:szCs w:val="22"/>
                <w:lang w:val="sr-Latn-ME"/>
              </w:rPr>
              <w:t>)</w:t>
            </w:r>
            <w:r w:rsidRPr="001202A2">
              <w:rPr>
                <w:b/>
                <w:szCs w:val="22"/>
                <w:vertAlign w:val="superscript"/>
                <w:lang w:val="sr-Latn-ME"/>
              </w:rPr>
              <w:t>2</w:t>
            </w:r>
          </w:p>
        </w:tc>
      </w:tr>
      <w:tr w:rsidR="000317E3" w:rsidRPr="001202A2" w14:paraId="3F0DDAD2" w14:textId="77777777" w:rsidTr="001202A2">
        <w:tc>
          <w:tcPr>
            <w:tcW w:w="9855" w:type="dxa"/>
            <w:gridSpan w:val="4"/>
            <w:vAlign w:val="center"/>
          </w:tcPr>
          <w:p w14:paraId="620A4535" w14:textId="44B03339" w:rsidR="000317E3" w:rsidRPr="001202A2" w:rsidRDefault="000317E3">
            <w:pPr>
              <w:tabs>
                <w:tab w:val="clear" w:pos="284"/>
              </w:tabs>
              <w:autoSpaceDE w:val="0"/>
              <w:autoSpaceDN w:val="0"/>
              <w:adjustRightInd w:val="0"/>
              <w:jc w:val="center"/>
              <w:rPr>
                <w:szCs w:val="22"/>
                <w:lang w:val="sr-Latn-ME"/>
              </w:rPr>
            </w:pPr>
            <w:r w:rsidRPr="001202A2">
              <w:rPr>
                <w:szCs w:val="22"/>
                <w:lang w:val="sr-Latn-ME"/>
              </w:rPr>
              <w:t>Medijana [opseg 2,5 – 97,5% ]</w:t>
            </w:r>
          </w:p>
        </w:tc>
      </w:tr>
      <w:tr w:rsidR="000317E3" w:rsidRPr="001202A2" w14:paraId="624050BF" w14:textId="77777777" w:rsidTr="001202A2">
        <w:tc>
          <w:tcPr>
            <w:tcW w:w="9855" w:type="dxa"/>
            <w:gridSpan w:val="4"/>
            <w:shd w:val="clear" w:color="auto" w:fill="BFBFBF" w:themeFill="background1" w:themeFillShade="BF"/>
            <w:vAlign w:val="center"/>
          </w:tcPr>
          <w:p w14:paraId="240801F8" w14:textId="430CE87F"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Prevencija moždanog udara i sistemske embolije: NVAF</w:t>
            </w:r>
          </w:p>
        </w:tc>
      </w:tr>
      <w:tr w:rsidR="000317E3" w:rsidRPr="001202A2" w14:paraId="4C5AC5AF" w14:textId="77777777" w:rsidTr="001202A2">
        <w:tc>
          <w:tcPr>
            <w:tcW w:w="2463" w:type="dxa"/>
            <w:vAlign w:val="center"/>
          </w:tcPr>
          <w:p w14:paraId="11907898" w14:textId="7BE936BC"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30 mg jednom dnevno</w:t>
            </w:r>
          </w:p>
        </w:tc>
        <w:tc>
          <w:tcPr>
            <w:tcW w:w="2464" w:type="dxa"/>
            <w:vAlign w:val="center"/>
          </w:tcPr>
          <w:p w14:paraId="6E6F0B93" w14:textId="20DF192A"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 30 do ≤ 50</w:t>
            </w:r>
          </w:p>
        </w:tc>
        <w:tc>
          <w:tcPr>
            <w:tcW w:w="2464" w:type="dxa"/>
            <w:vAlign w:val="center"/>
          </w:tcPr>
          <w:p w14:paraId="4EF1A803"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2,92</w:t>
            </w:r>
          </w:p>
          <w:p w14:paraId="351BF49F" w14:textId="2F733480"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[0,33 – 5,88]</w:t>
            </w:r>
          </w:p>
        </w:tc>
        <w:tc>
          <w:tcPr>
            <w:tcW w:w="2464" w:type="dxa"/>
            <w:vAlign w:val="center"/>
          </w:tcPr>
          <w:p w14:paraId="4A82AA7C"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0,53</w:t>
            </w:r>
          </w:p>
          <w:p w14:paraId="0C845919" w14:textId="1C8AF6BE"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[0,11 – 2,06]</w:t>
            </w:r>
          </w:p>
        </w:tc>
      </w:tr>
      <w:tr w:rsidR="000317E3" w:rsidRPr="001202A2" w14:paraId="18292FBC" w14:textId="77777777" w:rsidTr="001202A2">
        <w:tc>
          <w:tcPr>
            <w:tcW w:w="2463" w:type="dxa"/>
            <w:vMerge w:val="restart"/>
            <w:vAlign w:val="center"/>
          </w:tcPr>
          <w:p w14:paraId="515EADDA" w14:textId="347727AB" w:rsidR="000317E3" w:rsidRPr="001202A2" w:rsidRDefault="000317E3" w:rsidP="00880F49">
            <w:pPr>
              <w:tabs>
                <w:tab w:val="clear" w:pos="284"/>
              </w:tabs>
              <w:autoSpaceDE w:val="0"/>
              <w:autoSpaceDN w:val="0"/>
              <w:adjustRightInd w:val="0"/>
              <w:rPr>
                <w:szCs w:val="22"/>
                <w:vertAlign w:val="superscript"/>
                <w:lang w:val="sr-Latn-ME"/>
              </w:rPr>
            </w:pPr>
            <w:r w:rsidRPr="001202A2">
              <w:rPr>
                <w:szCs w:val="22"/>
                <w:lang w:val="sr-Latn-ME"/>
              </w:rPr>
              <w:t>60 mg jednom dnevno</w:t>
            </w:r>
            <w:r w:rsidRPr="001202A2">
              <w:rPr>
                <w:szCs w:val="22"/>
                <w:vertAlign w:val="superscript"/>
                <w:lang w:val="sr-Latn-ME"/>
              </w:rPr>
              <w:t>*</w:t>
            </w:r>
          </w:p>
        </w:tc>
        <w:tc>
          <w:tcPr>
            <w:tcW w:w="2464" w:type="dxa"/>
            <w:vAlign w:val="center"/>
          </w:tcPr>
          <w:p w14:paraId="384077E3" w14:textId="50057734"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&gt; 50 do ≤ 70</w:t>
            </w:r>
          </w:p>
        </w:tc>
        <w:tc>
          <w:tcPr>
            <w:tcW w:w="2464" w:type="dxa"/>
            <w:vAlign w:val="center"/>
          </w:tcPr>
          <w:p w14:paraId="566AFB09"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4,52</w:t>
            </w:r>
          </w:p>
          <w:p w14:paraId="1C440454" w14:textId="7DDA54FE"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[0,38 – 7,64]</w:t>
            </w:r>
          </w:p>
        </w:tc>
        <w:tc>
          <w:tcPr>
            <w:tcW w:w="2464" w:type="dxa"/>
            <w:vAlign w:val="center"/>
          </w:tcPr>
          <w:p w14:paraId="3300131B" w14:textId="16B559D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0,83</w:t>
            </w:r>
          </w:p>
          <w:p w14:paraId="7866BB37" w14:textId="6E892219"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[0,16 – 2,61]</w:t>
            </w:r>
          </w:p>
        </w:tc>
      </w:tr>
      <w:tr w:rsidR="000317E3" w:rsidRPr="001202A2" w14:paraId="41D3E793" w14:textId="77777777" w:rsidTr="001202A2">
        <w:tc>
          <w:tcPr>
            <w:tcW w:w="2463" w:type="dxa"/>
            <w:vMerge/>
            <w:vAlign w:val="center"/>
          </w:tcPr>
          <w:p w14:paraId="7F18F16C" w14:textId="77777777" w:rsidR="000317E3" w:rsidRPr="001202A2" w:rsidRDefault="000317E3" w:rsidP="00880F49">
            <w:pPr>
              <w:tabs>
                <w:tab w:val="clear" w:pos="284"/>
              </w:tabs>
              <w:autoSpaceDE w:val="0"/>
              <w:autoSpaceDN w:val="0"/>
              <w:adjustRightInd w:val="0"/>
              <w:rPr>
                <w:szCs w:val="22"/>
                <w:lang w:val="sr-Latn-ME"/>
              </w:rPr>
            </w:pPr>
          </w:p>
        </w:tc>
        <w:tc>
          <w:tcPr>
            <w:tcW w:w="2464" w:type="dxa"/>
            <w:vAlign w:val="center"/>
          </w:tcPr>
          <w:p w14:paraId="7AF2A9ED" w14:textId="55ABD1FB"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&gt; 70 do ≤ 90</w:t>
            </w:r>
          </w:p>
        </w:tc>
        <w:tc>
          <w:tcPr>
            <w:tcW w:w="2464" w:type="dxa"/>
            <w:vAlign w:val="center"/>
          </w:tcPr>
          <w:p w14:paraId="69F51C24"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4,12</w:t>
            </w:r>
          </w:p>
          <w:p w14:paraId="4A6DE64D" w14:textId="0227C55E"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[0,19 – 7,55]</w:t>
            </w:r>
          </w:p>
        </w:tc>
        <w:tc>
          <w:tcPr>
            <w:tcW w:w="2464" w:type="dxa"/>
            <w:vAlign w:val="center"/>
          </w:tcPr>
          <w:p w14:paraId="07D67834"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0,68</w:t>
            </w:r>
          </w:p>
          <w:p w14:paraId="752905E4" w14:textId="4351E88D"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[0,05 – 2,33]</w:t>
            </w:r>
          </w:p>
        </w:tc>
      </w:tr>
      <w:tr w:rsidR="000317E3" w:rsidRPr="001202A2" w14:paraId="05E3517A" w14:textId="77777777" w:rsidTr="001202A2">
        <w:tc>
          <w:tcPr>
            <w:tcW w:w="2463" w:type="dxa"/>
            <w:vMerge/>
            <w:vAlign w:val="center"/>
          </w:tcPr>
          <w:p w14:paraId="7967D408" w14:textId="77777777" w:rsidR="000317E3" w:rsidRPr="001202A2" w:rsidRDefault="000317E3" w:rsidP="00880F49">
            <w:pPr>
              <w:tabs>
                <w:tab w:val="clear" w:pos="284"/>
              </w:tabs>
              <w:autoSpaceDE w:val="0"/>
              <w:autoSpaceDN w:val="0"/>
              <w:adjustRightInd w:val="0"/>
              <w:rPr>
                <w:szCs w:val="22"/>
                <w:lang w:val="sr-Latn-ME"/>
              </w:rPr>
            </w:pPr>
          </w:p>
        </w:tc>
        <w:tc>
          <w:tcPr>
            <w:tcW w:w="2464" w:type="dxa"/>
            <w:vAlign w:val="center"/>
          </w:tcPr>
          <w:p w14:paraId="1F3E2ABF" w14:textId="68C397EF"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&gt; 90 do ≤ 110</w:t>
            </w:r>
          </w:p>
        </w:tc>
        <w:tc>
          <w:tcPr>
            <w:tcW w:w="2464" w:type="dxa"/>
            <w:vAlign w:val="center"/>
          </w:tcPr>
          <w:p w14:paraId="0CD69CFC"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3,82</w:t>
            </w:r>
          </w:p>
          <w:p w14:paraId="2EFAB455" w14:textId="03756054"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[0,36 – 7,39]</w:t>
            </w:r>
          </w:p>
        </w:tc>
        <w:tc>
          <w:tcPr>
            <w:tcW w:w="2464" w:type="dxa"/>
            <w:vAlign w:val="center"/>
          </w:tcPr>
          <w:p w14:paraId="4C720236"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0,60</w:t>
            </w:r>
          </w:p>
          <w:p w14:paraId="62E4FDA3" w14:textId="7771EC3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[0,14 – 3,57]</w:t>
            </w:r>
          </w:p>
        </w:tc>
      </w:tr>
      <w:tr w:rsidR="000317E3" w:rsidRPr="001202A2" w14:paraId="6FEF9412" w14:textId="77777777" w:rsidTr="001202A2">
        <w:tc>
          <w:tcPr>
            <w:tcW w:w="2463" w:type="dxa"/>
            <w:vMerge/>
            <w:vAlign w:val="center"/>
          </w:tcPr>
          <w:p w14:paraId="7CB96113" w14:textId="77777777" w:rsidR="000317E3" w:rsidRPr="001202A2" w:rsidRDefault="000317E3" w:rsidP="00880F49">
            <w:pPr>
              <w:tabs>
                <w:tab w:val="clear" w:pos="284"/>
              </w:tabs>
              <w:autoSpaceDE w:val="0"/>
              <w:autoSpaceDN w:val="0"/>
              <w:adjustRightInd w:val="0"/>
              <w:rPr>
                <w:szCs w:val="22"/>
                <w:lang w:val="sr-Latn-ME"/>
              </w:rPr>
            </w:pPr>
          </w:p>
        </w:tc>
        <w:tc>
          <w:tcPr>
            <w:tcW w:w="2464" w:type="dxa"/>
            <w:vAlign w:val="center"/>
          </w:tcPr>
          <w:p w14:paraId="6ECE1919" w14:textId="31BCF6E3"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&gt; 110 do ≤ 130</w:t>
            </w:r>
          </w:p>
        </w:tc>
        <w:tc>
          <w:tcPr>
            <w:tcW w:w="2464" w:type="dxa"/>
            <w:vAlign w:val="center"/>
          </w:tcPr>
          <w:p w14:paraId="0560AC20"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3,16</w:t>
            </w:r>
          </w:p>
          <w:p w14:paraId="73A5D661" w14:textId="7A520AA5"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[0,28 – 6,71]</w:t>
            </w:r>
          </w:p>
        </w:tc>
        <w:tc>
          <w:tcPr>
            <w:tcW w:w="2464" w:type="dxa"/>
            <w:vAlign w:val="center"/>
          </w:tcPr>
          <w:p w14:paraId="58B6E56E"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0,41</w:t>
            </w:r>
          </w:p>
          <w:p w14:paraId="3C1E42A5" w14:textId="6D0F5A95"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[0,15 – 1,51]</w:t>
            </w:r>
          </w:p>
        </w:tc>
      </w:tr>
      <w:tr w:rsidR="000317E3" w:rsidRPr="001202A2" w14:paraId="585D6B86" w14:textId="77777777" w:rsidTr="001202A2">
        <w:tc>
          <w:tcPr>
            <w:tcW w:w="2463" w:type="dxa"/>
            <w:vMerge/>
            <w:vAlign w:val="center"/>
          </w:tcPr>
          <w:p w14:paraId="55107877" w14:textId="77777777" w:rsidR="000317E3" w:rsidRPr="001202A2" w:rsidRDefault="000317E3" w:rsidP="00880F49">
            <w:pPr>
              <w:tabs>
                <w:tab w:val="clear" w:pos="284"/>
              </w:tabs>
              <w:autoSpaceDE w:val="0"/>
              <w:autoSpaceDN w:val="0"/>
              <w:adjustRightInd w:val="0"/>
              <w:rPr>
                <w:szCs w:val="22"/>
                <w:lang w:val="sr-Latn-ME"/>
              </w:rPr>
            </w:pPr>
          </w:p>
        </w:tc>
        <w:tc>
          <w:tcPr>
            <w:tcW w:w="2464" w:type="dxa"/>
            <w:vAlign w:val="center"/>
          </w:tcPr>
          <w:p w14:paraId="73EA45DE" w14:textId="38F09FC8" w:rsidR="000317E3" w:rsidRPr="001202A2" w:rsidRDefault="000317E3" w:rsidP="00880F49">
            <w:pPr>
              <w:tabs>
                <w:tab w:val="clear" w:pos="284"/>
              </w:tabs>
              <w:autoSpaceDE w:val="0"/>
              <w:autoSpaceDN w:val="0"/>
              <w:adjustRightInd w:val="0"/>
              <w:rPr>
                <w:szCs w:val="22"/>
                <w:lang w:val="sr-Latn-ME"/>
              </w:rPr>
            </w:pPr>
            <w:r w:rsidRPr="001202A2">
              <w:rPr>
                <w:szCs w:val="22"/>
                <w:lang w:val="sr-Latn-ME"/>
              </w:rPr>
              <w:t>&gt; 130</w:t>
            </w:r>
          </w:p>
        </w:tc>
        <w:tc>
          <w:tcPr>
            <w:tcW w:w="2464" w:type="dxa"/>
            <w:vAlign w:val="center"/>
          </w:tcPr>
          <w:p w14:paraId="2ADFB035"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2,76</w:t>
            </w:r>
          </w:p>
          <w:p w14:paraId="7D875147" w14:textId="4E1F4D7F"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[0,12 – 6,10]</w:t>
            </w:r>
          </w:p>
        </w:tc>
        <w:tc>
          <w:tcPr>
            <w:tcW w:w="2464" w:type="dxa"/>
            <w:vAlign w:val="center"/>
          </w:tcPr>
          <w:p w14:paraId="6F97822A"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0,45</w:t>
            </w:r>
          </w:p>
          <w:p w14:paraId="4B4605E8" w14:textId="77C3B9FB"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[0,00 – 3,10]</w:t>
            </w:r>
          </w:p>
        </w:tc>
      </w:tr>
      <w:tr w:rsidR="00435FA3" w:rsidRPr="001202A2" w14:paraId="1C5C0D46" w14:textId="77777777" w:rsidTr="001202A2">
        <w:tc>
          <w:tcPr>
            <w:tcW w:w="9855" w:type="dxa"/>
            <w:gridSpan w:val="4"/>
            <w:shd w:val="clear" w:color="auto" w:fill="BFBFBF" w:themeFill="background1" w:themeFillShade="BF"/>
            <w:vAlign w:val="center"/>
          </w:tcPr>
          <w:p w14:paraId="79891E4B" w14:textId="25B8BBEE" w:rsidR="00435FA3" w:rsidRPr="001202A2" w:rsidRDefault="00435FA3" w:rsidP="00880F49">
            <w:pPr>
              <w:tabs>
                <w:tab w:val="clear" w:pos="284"/>
              </w:tabs>
              <w:autoSpaceDE w:val="0"/>
              <w:autoSpaceDN w:val="0"/>
              <w:adjustRightInd w:val="0"/>
              <w:rPr>
                <w:szCs w:val="22"/>
                <w:lang w:val="sr-Latn-ME"/>
              </w:rPr>
            </w:pPr>
            <w:r w:rsidRPr="001202A2">
              <w:rPr>
                <w:szCs w:val="22"/>
                <w:lang w:val="sr-Latn-ME"/>
              </w:rPr>
              <w:t>Terapija TDV i PE, prevencija rekurentne TDV i PE (VTE)</w:t>
            </w:r>
          </w:p>
        </w:tc>
      </w:tr>
      <w:tr w:rsidR="000317E3" w:rsidRPr="001202A2" w14:paraId="643EB588" w14:textId="77777777" w:rsidTr="001202A2">
        <w:tc>
          <w:tcPr>
            <w:tcW w:w="2463" w:type="dxa"/>
            <w:vAlign w:val="center"/>
          </w:tcPr>
          <w:p w14:paraId="1275EACF" w14:textId="2B0E91BD" w:rsidR="000317E3" w:rsidRPr="001202A2" w:rsidRDefault="00435FA3" w:rsidP="00880F49">
            <w:pPr>
              <w:tabs>
                <w:tab w:val="clear" w:pos="284"/>
              </w:tabs>
              <w:autoSpaceDE w:val="0"/>
              <w:autoSpaceDN w:val="0"/>
              <w:adjustRightInd w:val="0"/>
              <w:rPr>
                <w:szCs w:val="22"/>
                <w:lang w:val="sr-Latn-ME"/>
              </w:rPr>
            </w:pPr>
            <w:r w:rsidRPr="001202A2">
              <w:rPr>
                <w:szCs w:val="22"/>
                <w:lang w:val="sr-Latn-ME"/>
              </w:rPr>
              <w:t>30 mg jednom dnevno</w:t>
            </w:r>
          </w:p>
        </w:tc>
        <w:tc>
          <w:tcPr>
            <w:tcW w:w="2464" w:type="dxa"/>
            <w:vAlign w:val="center"/>
          </w:tcPr>
          <w:p w14:paraId="50BDB967" w14:textId="0470B3A2" w:rsidR="000317E3" w:rsidRPr="001202A2" w:rsidRDefault="00435FA3" w:rsidP="00880F49">
            <w:pPr>
              <w:tabs>
                <w:tab w:val="clear" w:pos="284"/>
              </w:tabs>
              <w:autoSpaceDE w:val="0"/>
              <w:autoSpaceDN w:val="0"/>
              <w:adjustRightInd w:val="0"/>
              <w:rPr>
                <w:szCs w:val="22"/>
                <w:lang w:val="sr-Latn-ME"/>
              </w:rPr>
            </w:pPr>
            <w:r w:rsidRPr="001202A2">
              <w:rPr>
                <w:szCs w:val="22"/>
                <w:lang w:val="sr-Latn-ME"/>
              </w:rPr>
              <w:t>≥ 30 do ≤ 50</w:t>
            </w:r>
          </w:p>
        </w:tc>
        <w:tc>
          <w:tcPr>
            <w:tcW w:w="2464" w:type="dxa"/>
            <w:vAlign w:val="center"/>
          </w:tcPr>
          <w:p w14:paraId="31460359"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2,21</w:t>
            </w:r>
          </w:p>
          <w:p w14:paraId="197E72B9" w14:textId="2689F289"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[0,14 – 4,47]</w:t>
            </w:r>
          </w:p>
        </w:tc>
        <w:tc>
          <w:tcPr>
            <w:tcW w:w="2464" w:type="dxa"/>
            <w:vAlign w:val="center"/>
          </w:tcPr>
          <w:p w14:paraId="745AD671" w14:textId="77777777" w:rsidR="000317E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0,22</w:t>
            </w:r>
          </w:p>
          <w:p w14:paraId="2303CF91" w14:textId="30CA36A5"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[0,00 – 1,09]</w:t>
            </w:r>
          </w:p>
        </w:tc>
      </w:tr>
      <w:tr w:rsidR="00435FA3" w:rsidRPr="001202A2" w14:paraId="05D8E0AA" w14:textId="77777777" w:rsidTr="001202A2">
        <w:tc>
          <w:tcPr>
            <w:tcW w:w="2463" w:type="dxa"/>
            <w:vMerge w:val="restart"/>
            <w:vAlign w:val="center"/>
          </w:tcPr>
          <w:p w14:paraId="54C703AA" w14:textId="0BE811FF" w:rsidR="00435FA3" w:rsidRPr="001202A2" w:rsidRDefault="00435FA3" w:rsidP="00880F49">
            <w:pPr>
              <w:tabs>
                <w:tab w:val="clear" w:pos="284"/>
              </w:tabs>
              <w:autoSpaceDE w:val="0"/>
              <w:autoSpaceDN w:val="0"/>
              <w:adjustRightInd w:val="0"/>
              <w:rPr>
                <w:szCs w:val="22"/>
                <w:lang w:val="sr-Latn-ME"/>
              </w:rPr>
            </w:pPr>
            <w:r w:rsidRPr="001202A2">
              <w:rPr>
                <w:szCs w:val="22"/>
                <w:lang w:val="sr-Latn-ME"/>
              </w:rPr>
              <w:t>60 mg jednom dnevno</w:t>
            </w:r>
            <w:r w:rsidRPr="001202A2">
              <w:rPr>
                <w:szCs w:val="22"/>
                <w:vertAlign w:val="superscript"/>
                <w:lang w:val="sr-Latn-ME"/>
              </w:rPr>
              <w:t>*</w:t>
            </w:r>
          </w:p>
        </w:tc>
        <w:tc>
          <w:tcPr>
            <w:tcW w:w="2464" w:type="dxa"/>
            <w:vAlign w:val="center"/>
          </w:tcPr>
          <w:p w14:paraId="71E461C1" w14:textId="3662DE6B" w:rsidR="00435FA3" w:rsidRPr="001202A2" w:rsidRDefault="00435FA3" w:rsidP="00880F49">
            <w:pPr>
              <w:tabs>
                <w:tab w:val="clear" w:pos="284"/>
              </w:tabs>
              <w:autoSpaceDE w:val="0"/>
              <w:autoSpaceDN w:val="0"/>
              <w:adjustRightInd w:val="0"/>
              <w:rPr>
                <w:szCs w:val="22"/>
                <w:lang w:val="sr-Latn-ME"/>
              </w:rPr>
            </w:pPr>
            <w:r w:rsidRPr="001202A2">
              <w:rPr>
                <w:szCs w:val="22"/>
                <w:lang w:val="sr-Latn-ME"/>
              </w:rPr>
              <w:t>&gt; 50 do ≤ 70</w:t>
            </w:r>
          </w:p>
        </w:tc>
        <w:tc>
          <w:tcPr>
            <w:tcW w:w="2464" w:type="dxa"/>
            <w:vAlign w:val="center"/>
          </w:tcPr>
          <w:p w14:paraId="166F791F"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3,42</w:t>
            </w:r>
          </w:p>
          <w:p w14:paraId="61871083" w14:textId="755E6EFE"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[0,19 – 6,13]</w:t>
            </w:r>
          </w:p>
        </w:tc>
        <w:tc>
          <w:tcPr>
            <w:tcW w:w="2464" w:type="dxa"/>
            <w:vAlign w:val="center"/>
          </w:tcPr>
          <w:p w14:paraId="6BD8EA34"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0,34</w:t>
            </w:r>
          </w:p>
          <w:p w14:paraId="159164E8" w14:textId="0CC78DD3"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[0,00 – 3,10]</w:t>
            </w:r>
          </w:p>
        </w:tc>
      </w:tr>
      <w:tr w:rsidR="00435FA3" w:rsidRPr="001202A2" w14:paraId="2404DA73" w14:textId="77777777" w:rsidTr="001202A2">
        <w:tc>
          <w:tcPr>
            <w:tcW w:w="2463" w:type="dxa"/>
            <w:vMerge/>
            <w:vAlign w:val="center"/>
          </w:tcPr>
          <w:p w14:paraId="6C2F9F10" w14:textId="77777777" w:rsidR="00435FA3" w:rsidRPr="001202A2" w:rsidRDefault="00435FA3" w:rsidP="00880F49">
            <w:pPr>
              <w:tabs>
                <w:tab w:val="clear" w:pos="284"/>
              </w:tabs>
              <w:autoSpaceDE w:val="0"/>
              <w:autoSpaceDN w:val="0"/>
              <w:adjustRightInd w:val="0"/>
              <w:rPr>
                <w:szCs w:val="22"/>
                <w:lang w:val="sr-Latn-ME"/>
              </w:rPr>
            </w:pPr>
          </w:p>
        </w:tc>
        <w:tc>
          <w:tcPr>
            <w:tcW w:w="2464" w:type="dxa"/>
            <w:vAlign w:val="center"/>
          </w:tcPr>
          <w:p w14:paraId="79F629B0" w14:textId="166A0F09" w:rsidR="00435FA3" w:rsidRPr="001202A2" w:rsidRDefault="00435FA3" w:rsidP="00880F49">
            <w:pPr>
              <w:tabs>
                <w:tab w:val="clear" w:pos="284"/>
              </w:tabs>
              <w:autoSpaceDE w:val="0"/>
              <w:autoSpaceDN w:val="0"/>
              <w:adjustRightInd w:val="0"/>
              <w:rPr>
                <w:szCs w:val="22"/>
                <w:lang w:val="sr-Latn-ME"/>
              </w:rPr>
            </w:pPr>
            <w:r w:rsidRPr="001202A2">
              <w:rPr>
                <w:szCs w:val="22"/>
                <w:lang w:val="sr-Latn-ME"/>
              </w:rPr>
              <w:t>&gt; 70 do ≤ 90</w:t>
            </w:r>
          </w:p>
        </w:tc>
        <w:tc>
          <w:tcPr>
            <w:tcW w:w="2464" w:type="dxa"/>
            <w:vAlign w:val="center"/>
          </w:tcPr>
          <w:p w14:paraId="57F68820"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2,97</w:t>
            </w:r>
          </w:p>
          <w:p w14:paraId="73AA2EF5" w14:textId="3FC11CFC"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[0,24 – 5,82]</w:t>
            </w:r>
          </w:p>
        </w:tc>
        <w:tc>
          <w:tcPr>
            <w:tcW w:w="2464" w:type="dxa"/>
            <w:vAlign w:val="center"/>
          </w:tcPr>
          <w:p w14:paraId="43355A7F"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0,24</w:t>
            </w:r>
          </w:p>
          <w:p w14:paraId="62D86E1B" w14:textId="4713B406"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[0,00 – 1,77]</w:t>
            </w:r>
          </w:p>
        </w:tc>
      </w:tr>
      <w:tr w:rsidR="00435FA3" w:rsidRPr="001202A2" w14:paraId="31990742" w14:textId="77777777" w:rsidTr="001202A2">
        <w:tc>
          <w:tcPr>
            <w:tcW w:w="2463" w:type="dxa"/>
            <w:vMerge/>
            <w:vAlign w:val="center"/>
          </w:tcPr>
          <w:p w14:paraId="693D430B" w14:textId="77777777" w:rsidR="00435FA3" w:rsidRPr="001202A2" w:rsidRDefault="00435FA3" w:rsidP="00880F49">
            <w:pPr>
              <w:tabs>
                <w:tab w:val="clear" w:pos="284"/>
              </w:tabs>
              <w:autoSpaceDE w:val="0"/>
              <w:autoSpaceDN w:val="0"/>
              <w:adjustRightInd w:val="0"/>
              <w:rPr>
                <w:szCs w:val="22"/>
                <w:lang w:val="sr-Latn-ME"/>
              </w:rPr>
            </w:pPr>
          </w:p>
        </w:tc>
        <w:tc>
          <w:tcPr>
            <w:tcW w:w="2464" w:type="dxa"/>
            <w:vAlign w:val="center"/>
          </w:tcPr>
          <w:p w14:paraId="6E41F1F5" w14:textId="23ED7E30" w:rsidR="00435FA3" w:rsidRPr="001202A2" w:rsidRDefault="00435FA3" w:rsidP="00880F49">
            <w:pPr>
              <w:tabs>
                <w:tab w:val="clear" w:pos="284"/>
              </w:tabs>
              <w:autoSpaceDE w:val="0"/>
              <w:autoSpaceDN w:val="0"/>
              <w:adjustRightInd w:val="0"/>
              <w:rPr>
                <w:szCs w:val="22"/>
                <w:lang w:val="sr-Latn-ME"/>
              </w:rPr>
            </w:pPr>
            <w:r w:rsidRPr="001202A2">
              <w:rPr>
                <w:szCs w:val="22"/>
                <w:lang w:val="sr-Latn-ME"/>
              </w:rPr>
              <w:t>&gt; 90 do ≤ 110</w:t>
            </w:r>
          </w:p>
        </w:tc>
        <w:tc>
          <w:tcPr>
            <w:tcW w:w="2464" w:type="dxa"/>
            <w:vAlign w:val="center"/>
          </w:tcPr>
          <w:p w14:paraId="5EBC23B0"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2,82</w:t>
            </w:r>
          </w:p>
          <w:p w14:paraId="72EC3298" w14:textId="0D243D85"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[0,14 – 5,31]</w:t>
            </w:r>
          </w:p>
        </w:tc>
        <w:tc>
          <w:tcPr>
            <w:tcW w:w="2464" w:type="dxa"/>
            <w:vAlign w:val="center"/>
          </w:tcPr>
          <w:p w14:paraId="257E7482"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0,20</w:t>
            </w:r>
          </w:p>
          <w:p w14:paraId="6A5DF551" w14:textId="301CF7EC"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[0,00 – 2,52]</w:t>
            </w:r>
          </w:p>
        </w:tc>
      </w:tr>
      <w:tr w:rsidR="00435FA3" w:rsidRPr="001202A2" w14:paraId="28E0A6BB" w14:textId="77777777" w:rsidTr="001202A2">
        <w:tc>
          <w:tcPr>
            <w:tcW w:w="2463" w:type="dxa"/>
            <w:vMerge/>
            <w:vAlign w:val="center"/>
          </w:tcPr>
          <w:p w14:paraId="56B838DB" w14:textId="77777777" w:rsidR="00435FA3" w:rsidRPr="001202A2" w:rsidRDefault="00435FA3" w:rsidP="00880F49">
            <w:pPr>
              <w:tabs>
                <w:tab w:val="clear" w:pos="284"/>
              </w:tabs>
              <w:autoSpaceDE w:val="0"/>
              <w:autoSpaceDN w:val="0"/>
              <w:adjustRightInd w:val="0"/>
              <w:rPr>
                <w:szCs w:val="22"/>
                <w:lang w:val="sr-Latn-ME"/>
              </w:rPr>
            </w:pPr>
          </w:p>
        </w:tc>
        <w:tc>
          <w:tcPr>
            <w:tcW w:w="2464" w:type="dxa"/>
            <w:vAlign w:val="center"/>
          </w:tcPr>
          <w:p w14:paraId="746A0724" w14:textId="1123181D" w:rsidR="00435FA3" w:rsidRPr="001202A2" w:rsidRDefault="00435FA3" w:rsidP="00880F49">
            <w:pPr>
              <w:tabs>
                <w:tab w:val="clear" w:pos="284"/>
              </w:tabs>
              <w:autoSpaceDE w:val="0"/>
              <w:autoSpaceDN w:val="0"/>
              <w:adjustRightInd w:val="0"/>
              <w:rPr>
                <w:szCs w:val="22"/>
                <w:lang w:val="sr-Latn-ME"/>
              </w:rPr>
            </w:pPr>
            <w:r w:rsidRPr="001202A2">
              <w:rPr>
                <w:szCs w:val="22"/>
                <w:lang w:val="sr-Latn-ME"/>
              </w:rPr>
              <w:t>&gt; 110 do ≤ 130</w:t>
            </w:r>
          </w:p>
        </w:tc>
        <w:tc>
          <w:tcPr>
            <w:tcW w:w="2464" w:type="dxa"/>
            <w:vAlign w:val="center"/>
          </w:tcPr>
          <w:p w14:paraId="05651445"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2,64</w:t>
            </w:r>
          </w:p>
          <w:p w14:paraId="22A0EB43" w14:textId="45489AB5"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lastRenderedPageBreak/>
              <w:t>[0,13 – 5,57]</w:t>
            </w:r>
          </w:p>
        </w:tc>
        <w:tc>
          <w:tcPr>
            <w:tcW w:w="2464" w:type="dxa"/>
            <w:vAlign w:val="center"/>
          </w:tcPr>
          <w:p w14:paraId="60EF5701"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lastRenderedPageBreak/>
              <w:t>0,17</w:t>
            </w:r>
          </w:p>
          <w:p w14:paraId="126E347F" w14:textId="62B7710A"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lastRenderedPageBreak/>
              <w:t>[0,00 – 1,86]</w:t>
            </w:r>
          </w:p>
        </w:tc>
      </w:tr>
      <w:tr w:rsidR="00435FA3" w:rsidRPr="001202A2" w14:paraId="622FD976" w14:textId="77777777" w:rsidTr="001202A2">
        <w:tc>
          <w:tcPr>
            <w:tcW w:w="2463" w:type="dxa"/>
            <w:vMerge/>
            <w:vAlign w:val="center"/>
          </w:tcPr>
          <w:p w14:paraId="4D692F6C" w14:textId="77777777" w:rsidR="00435FA3" w:rsidRPr="001202A2" w:rsidRDefault="00435FA3" w:rsidP="00880F49">
            <w:pPr>
              <w:tabs>
                <w:tab w:val="clear" w:pos="284"/>
              </w:tabs>
              <w:autoSpaceDE w:val="0"/>
              <w:autoSpaceDN w:val="0"/>
              <w:adjustRightInd w:val="0"/>
              <w:rPr>
                <w:szCs w:val="22"/>
                <w:lang w:val="sr-Latn-ME"/>
              </w:rPr>
            </w:pPr>
          </w:p>
        </w:tc>
        <w:tc>
          <w:tcPr>
            <w:tcW w:w="2464" w:type="dxa"/>
            <w:vAlign w:val="center"/>
          </w:tcPr>
          <w:p w14:paraId="574D13C1" w14:textId="6B0D60D1" w:rsidR="00435FA3" w:rsidRPr="001202A2" w:rsidRDefault="00435FA3" w:rsidP="00880F49">
            <w:pPr>
              <w:tabs>
                <w:tab w:val="clear" w:pos="284"/>
              </w:tabs>
              <w:autoSpaceDE w:val="0"/>
              <w:autoSpaceDN w:val="0"/>
              <w:adjustRightInd w:val="0"/>
              <w:rPr>
                <w:szCs w:val="22"/>
                <w:lang w:val="sr-Latn-ME"/>
              </w:rPr>
            </w:pPr>
            <w:r w:rsidRPr="001202A2">
              <w:rPr>
                <w:szCs w:val="22"/>
                <w:lang w:val="sr-Latn-ME"/>
              </w:rPr>
              <w:t>&gt; 130</w:t>
            </w:r>
          </w:p>
        </w:tc>
        <w:tc>
          <w:tcPr>
            <w:tcW w:w="2464" w:type="dxa"/>
            <w:vAlign w:val="center"/>
          </w:tcPr>
          <w:p w14:paraId="1200FCF8"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2,39</w:t>
            </w:r>
          </w:p>
          <w:p w14:paraId="42FBC4EE" w14:textId="7B94AC0B"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[0,10 – 4,92]</w:t>
            </w:r>
          </w:p>
        </w:tc>
        <w:tc>
          <w:tcPr>
            <w:tcW w:w="2464" w:type="dxa"/>
            <w:vAlign w:val="center"/>
          </w:tcPr>
          <w:p w14:paraId="4C7A6A21" w14:textId="77777777"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0,13</w:t>
            </w:r>
          </w:p>
          <w:p w14:paraId="4FBEB4ED" w14:textId="68DB1ACC" w:rsidR="00435FA3" w:rsidRPr="001202A2" w:rsidRDefault="00435FA3" w:rsidP="00880F49">
            <w:pPr>
              <w:tabs>
                <w:tab w:val="clear" w:pos="284"/>
              </w:tabs>
              <w:autoSpaceDE w:val="0"/>
              <w:autoSpaceDN w:val="0"/>
              <w:adjustRightInd w:val="0"/>
              <w:jc w:val="center"/>
              <w:rPr>
                <w:szCs w:val="22"/>
                <w:lang w:val="sr-Latn-ME"/>
              </w:rPr>
            </w:pPr>
            <w:r w:rsidRPr="001202A2">
              <w:rPr>
                <w:szCs w:val="22"/>
                <w:lang w:val="sr-Latn-ME"/>
              </w:rPr>
              <w:t>[0,00 – 2,43]</w:t>
            </w:r>
          </w:p>
        </w:tc>
      </w:tr>
    </w:tbl>
    <w:p w14:paraId="4E2E1A5F" w14:textId="2D7B2FFD" w:rsidR="000317E3" w:rsidRPr="001202A2" w:rsidRDefault="00DB0CF1"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 xml:space="preserve">* </w:t>
      </w:r>
      <w:r w:rsidRPr="001202A2">
        <w:rPr>
          <w:rFonts w:eastAsia="TimesNewRoman"/>
          <w:szCs w:val="22"/>
          <w:lang w:val="sr-Latn-ME"/>
        </w:rPr>
        <w:t>Smanjenje doze na 30 mg zbog male t</w:t>
      </w:r>
      <w:r w:rsidR="00303F9A" w:rsidRPr="001202A2">
        <w:rPr>
          <w:rFonts w:eastAsia="TimesNewRoman"/>
          <w:szCs w:val="22"/>
          <w:lang w:val="sr-Latn-ME"/>
        </w:rPr>
        <w:t>j</w:t>
      </w:r>
      <w:r w:rsidRPr="001202A2">
        <w:rPr>
          <w:rFonts w:eastAsia="TimesNewRoman"/>
          <w:szCs w:val="22"/>
          <w:lang w:val="sr-Latn-ME"/>
        </w:rPr>
        <w:t>elesne mase ≤ 60 kg ili istovremene prim</w:t>
      </w:r>
      <w:r w:rsidR="00303F9A" w:rsidRPr="001202A2">
        <w:rPr>
          <w:rFonts w:eastAsia="TimesNewRoman"/>
          <w:szCs w:val="22"/>
          <w:lang w:val="sr-Latn-ME"/>
        </w:rPr>
        <w:t>j</w:t>
      </w:r>
      <w:r w:rsidRPr="001202A2">
        <w:rPr>
          <w:rFonts w:eastAsia="TimesNewRoman"/>
          <w:szCs w:val="22"/>
          <w:lang w:val="sr-Latn-ME"/>
        </w:rPr>
        <w:t>ene određenih inhibitora P-gp.</w:t>
      </w:r>
    </w:p>
    <w:p w14:paraId="5BEB201B" w14:textId="44B7F8A4" w:rsidR="00DB0CF1" w:rsidRPr="001202A2" w:rsidRDefault="00DB0CF1"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 xml:space="preserve">1 </w:t>
      </w:r>
      <w:r w:rsidRPr="001202A2">
        <w:rPr>
          <w:rFonts w:eastAsia="TimesNewRoman"/>
          <w:szCs w:val="22"/>
          <w:lang w:val="sr-Latn-ME"/>
        </w:rPr>
        <w:t>Nakon prim</w:t>
      </w:r>
      <w:r w:rsidR="00303F9A" w:rsidRPr="001202A2">
        <w:rPr>
          <w:rFonts w:eastAsia="TimesNewRoman"/>
          <w:szCs w:val="22"/>
          <w:lang w:val="sr-Latn-ME"/>
        </w:rPr>
        <w:t>j</w:t>
      </w:r>
      <w:r w:rsidRPr="001202A2">
        <w:rPr>
          <w:rFonts w:eastAsia="TimesNewRoman"/>
          <w:szCs w:val="22"/>
          <w:lang w:val="sr-Latn-ME"/>
        </w:rPr>
        <w:t>ene doze se odnosi na C</w:t>
      </w:r>
      <w:r w:rsidRPr="001202A2">
        <w:rPr>
          <w:rFonts w:eastAsia="TimesNewRoman"/>
          <w:szCs w:val="22"/>
          <w:vertAlign w:val="subscript"/>
          <w:lang w:val="sr-Latn-ME"/>
        </w:rPr>
        <w:t>max</w:t>
      </w:r>
      <w:r w:rsidRPr="001202A2">
        <w:rPr>
          <w:rFonts w:eastAsia="TimesNewRoman"/>
          <w:szCs w:val="22"/>
          <w:lang w:val="sr-Latn-ME"/>
        </w:rPr>
        <w:t xml:space="preserve"> (uzorci nakon </w:t>
      </w:r>
      <w:r w:rsidR="00CB4C44" w:rsidRPr="001202A2">
        <w:rPr>
          <w:rFonts w:eastAsia="TimesNewRoman"/>
          <w:szCs w:val="22"/>
          <w:lang w:val="sr-Latn-ME"/>
        </w:rPr>
        <w:t>prim</w:t>
      </w:r>
      <w:r w:rsidR="00303F9A" w:rsidRPr="001202A2">
        <w:rPr>
          <w:rFonts w:eastAsia="TimesNewRoman"/>
          <w:szCs w:val="22"/>
          <w:lang w:val="sr-Latn-ME"/>
        </w:rPr>
        <w:t>j</w:t>
      </w:r>
      <w:r w:rsidR="00CB4C44" w:rsidRPr="001202A2">
        <w:rPr>
          <w:rFonts w:eastAsia="TimesNewRoman"/>
          <w:szCs w:val="22"/>
          <w:lang w:val="sr-Latn-ME"/>
        </w:rPr>
        <w:t xml:space="preserve">ene </w:t>
      </w:r>
      <w:r w:rsidRPr="001202A2">
        <w:rPr>
          <w:rFonts w:eastAsia="TimesNewRoman"/>
          <w:szCs w:val="22"/>
          <w:lang w:val="sr-Latn-ME"/>
        </w:rPr>
        <w:t xml:space="preserve">doze su </w:t>
      </w:r>
      <w:r w:rsidR="00305B24" w:rsidRPr="001202A2">
        <w:rPr>
          <w:rFonts w:eastAsia="TimesNewRoman"/>
          <w:szCs w:val="22"/>
          <w:lang w:val="sr-Latn-ME"/>
        </w:rPr>
        <w:t xml:space="preserve">sakupljeni </w:t>
      </w:r>
      <w:r w:rsidRPr="001202A2">
        <w:rPr>
          <w:rFonts w:eastAsia="TimesNewRoman"/>
          <w:szCs w:val="22"/>
          <w:lang w:val="sr-Latn-ME"/>
        </w:rPr>
        <w:t>1 – 3 sata posl</w:t>
      </w:r>
      <w:r w:rsidR="00303F9A" w:rsidRPr="001202A2">
        <w:rPr>
          <w:rFonts w:eastAsia="TimesNewRoman"/>
          <w:szCs w:val="22"/>
          <w:lang w:val="sr-Latn-ME"/>
        </w:rPr>
        <w:t>ij</w:t>
      </w:r>
      <w:r w:rsidRPr="001202A2">
        <w:rPr>
          <w:rFonts w:eastAsia="TimesNewRoman"/>
          <w:szCs w:val="22"/>
          <w:lang w:val="sr-Latn-ME"/>
        </w:rPr>
        <w:t>e prim</w:t>
      </w:r>
      <w:r w:rsidR="00303F9A" w:rsidRPr="001202A2">
        <w:rPr>
          <w:rFonts w:eastAsia="TimesNewRoman"/>
          <w:szCs w:val="22"/>
          <w:lang w:val="sr-Latn-ME"/>
        </w:rPr>
        <w:t>j</w:t>
      </w:r>
      <w:r w:rsidRPr="001202A2">
        <w:rPr>
          <w:rFonts w:eastAsia="TimesNewRoman"/>
          <w:szCs w:val="22"/>
          <w:lang w:val="sr-Latn-ME"/>
        </w:rPr>
        <w:t>ene edoksabana).</w:t>
      </w:r>
    </w:p>
    <w:p w14:paraId="2BC14484" w14:textId="07642960" w:rsidR="00DB0CF1" w:rsidRPr="001202A2" w:rsidRDefault="00DB0CF1" w:rsidP="00880F49">
      <w:pPr>
        <w:tabs>
          <w:tab w:val="clear" w:pos="284"/>
        </w:tabs>
        <w:autoSpaceDE w:val="0"/>
        <w:autoSpaceDN w:val="0"/>
        <w:adjustRightInd w:val="0"/>
        <w:rPr>
          <w:rFonts w:eastAsia="TimesNewRoman"/>
          <w:szCs w:val="22"/>
          <w:lang w:val="sr-Latn-ME"/>
        </w:rPr>
      </w:pPr>
      <w:r w:rsidRPr="001202A2">
        <w:rPr>
          <w:rFonts w:eastAsia="TimesNewRoman"/>
          <w:szCs w:val="22"/>
          <w:vertAlign w:val="superscript"/>
          <w:lang w:val="sr-Latn-ME"/>
        </w:rPr>
        <w:t>2</w:t>
      </w:r>
      <w:r w:rsidRPr="001202A2">
        <w:rPr>
          <w:rFonts w:eastAsia="TimesNewRoman"/>
          <w:szCs w:val="22"/>
          <w:lang w:val="sr-Latn-ME"/>
        </w:rPr>
        <w:t xml:space="preserve"> Pr</w:t>
      </w:r>
      <w:r w:rsidR="00303F9A" w:rsidRPr="001202A2">
        <w:rPr>
          <w:rFonts w:eastAsia="TimesNewRoman"/>
          <w:szCs w:val="22"/>
          <w:lang w:val="sr-Latn-ME"/>
        </w:rPr>
        <w:t>ij</w:t>
      </w:r>
      <w:r w:rsidRPr="001202A2">
        <w:rPr>
          <w:rFonts w:eastAsia="TimesNewRoman"/>
          <w:szCs w:val="22"/>
          <w:lang w:val="sr-Latn-ME"/>
        </w:rPr>
        <w:t>e prim</w:t>
      </w:r>
      <w:r w:rsidR="00303F9A" w:rsidRPr="001202A2">
        <w:rPr>
          <w:rFonts w:eastAsia="TimesNewRoman"/>
          <w:szCs w:val="22"/>
          <w:lang w:val="sr-Latn-ME"/>
        </w:rPr>
        <w:t>j</w:t>
      </w:r>
      <w:r w:rsidRPr="001202A2">
        <w:rPr>
          <w:rFonts w:eastAsia="TimesNewRoman"/>
          <w:szCs w:val="22"/>
          <w:lang w:val="sr-Latn-ME"/>
        </w:rPr>
        <w:t>ene doze se odnosi na C</w:t>
      </w:r>
      <w:r w:rsidRPr="001202A2">
        <w:rPr>
          <w:rFonts w:eastAsia="TimesNewRoman"/>
          <w:szCs w:val="22"/>
          <w:vertAlign w:val="subscript"/>
          <w:lang w:val="sr-Latn-ME"/>
        </w:rPr>
        <w:t>min</w:t>
      </w:r>
      <w:r w:rsidRPr="001202A2">
        <w:rPr>
          <w:rFonts w:eastAsia="TimesNewRoman"/>
          <w:szCs w:val="22"/>
          <w:lang w:val="sr-Latn-ME"/>
        </w:rPr>
        <w:t>.</w:t>
      </w:r>
    </w:p>
    <w:p w14:paraId="289404F1" w14:textId="77777777" w:rsidR="00586C81" w:rsidRPr="001202A2" w:rsidRDefault="00586C81" w:rsidP="00880F49">
      <w:pPr>
        <w:tabs>
          <w:tab w:val="clear" w:pos="284"/>
        </w:tabs>
        <w:autoSpaceDE w:val="0"/>
        <w:autoSpaceDN w:val="0"/>
        <w:adjustRightInd w:val="0"/>
        <w:rPr>
          <w:rFonts w:eastAsia="TimesNewRoman"/>
          <w:szCs w:val="22"/>
          <w:lang w:val="sr-Latn-ME"/>
        </w:rPr>
      </w:pPr>
    </w:p>
    <w:p w14:paraId="3D75B505" w14:textId="52CE21FD" w:rsidR="00CF0CE5" w:rsidRPr="001202A2" w:rsidRDefault="00CF0CE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Iako terapija edoksabanom ne zaht</w:t>
      </w:r>
      <w:r w:rsidR="00303F9A" w:rsidRPr="001202A2">
        <w:rPr>
          <w:rFonts w:eastAsia="TimesNewRoman"/>
          <w:szCs w:val="22"/>
          <w:lang w:val="sr-Latn-ME"/>
        </w:rPr>
        <w:t>ij</w:t>
      </w:r>
      <w:r w:rsidRPr="001202A2">
        <w:rPr>
          <w:rFonts w:eastAsia="TimesNewRoman"/>
          <w:szCs w:val="22"/>
          <w:lang w:val="sr-Latn-ME"/>
        </w:rPr>
        <w:t>eva rutinsko praćenje, efekat na antikoagulaciju se može proc</w:t>
      </w:r>
      <w:r w:rsidR="00303F9A" w:rsidRPr="001202A2">
        <w:rPr>
          <w:rFonts w:eastAsia="TimesNewRoman"/>
          <w:szCs w:val="22"/>
          <w:lang w:val="sr-Latn-ME"/>
        </w:rPr>
        <w:t>ij</w:t>
      </w:r>
      <w:r w:rsidRPr="001202A2">
        <w:rPr>
          <w:rFonts w:eastAsia="TimesNewRoman"/>
          <w:szCs w:val="22"/>
          <w:lang w:val="sr-Latn-ME"/>
        </w:rPr>
        <w:t>eniti kalibrisanim kvantitativnim anti-FXa testom, koji može biti koristan u izuzetnim situacijama kada informacija o izloženosti edoksabanu može pomoći pri donošenju kliničkih odluka, npr. kod predoziranja i hitnih hirurških intervencija (vid</w:t>
      </w:r>
      <w:r w:rsidR="00303F9A" w:rsidRPr="001202A2">
        <w:rPr>
          <w:rFonts w:eastAsia="TimesNewRoman"/>
          <w:szCs w:val="22"/>
          <w:lang w:val="sr-Latn-ME"/>
        </w:rPr>
        <w:t>j</w:t>
      </w:r>
      <w:r w:rsidRPr="001202A2">
        <w:rPr>
          <w:rFonts w:eastAsia="TimesNewRoman"/>
          <w:szCs w:val="22"/>
          <w:lang w:val="sr-Latn-ME"/>
        </w:rPr>
        <w:t xml:space="preserve">eti takođe </w:t>
      </w:r>
      <w:r w:rsidR="00303F9A" w:rsidRPr="001202A2">
        <w:rPr>
          <w:rFonts w:eastAsia="TimesNewRoman"/>
          <w:szCs w:val="22"/>
          <w:lang w:val="sr-Latn-ME"/>
        </w:rPr>
        <w:t>dio</w:t>
      </w:r>
      <w:r w:rsidRPr="001202A2">
        <w:rPr>
          <w:rFonts w:eastAsia="TimesNewRoman"/>
          <w:szCs w:val="22"/>
          <w:lang w:val="sr-Latn-ME"/>
        </w:rPr>
        <w:t xml:space="preserve"> 4.4).</w:t>
      </w:r>
    </w:p>
    <w:p w14:paraId="48FAC53F" w14:textId="77777777" w:rsidR="0081120D" w:rsidRPr="001202A2" w:rsidRDefault="0081120D" w:rsidP="00480B31">
      <w:pPr>
        <w:tabs>
          <w:tab w:val="clear" w:pos="284"/>
        </w:tabs>
        <w:autoSpaceDE w:val="0"/>
        <w:autoSpaceDN w:val="0"/>
        <w:adjustRightInd w:val="0"/>
        <w:rPr>
          <w:rFonts w:eastAsia="TimesNewRoman"/>
          <w:szCs w:val="22"/>
          <w:lang w:val="sr-Latn-ME"/>
        </w:rPr>
      </w:pPr>
    </w:p>
    <w:p w14:paraId="0328BCBB" w14:textId="36595597" w:rsidR="00CF0CE5" w:rsidRPr="001202A2" w:rsidRDefault="00CF0CE5"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Četv</w:t>
      </w:r>
      <w:r w:rsidR="003441CC" w:rsidRPr="001202A2">
        <w:rPr>
          <w:rFonts w:eastAsia="TimesNewRoman"/>
          <w:szCs w:val="22"/>
          <w:lang w:val="sr-Latn-ME"/>
        </w:rPr>
        <w:t>o</w:t>
      </w:r>
      <w:r w:rsidRPr="001202A2">
        <w:rPr>
          <w:rFonts w:eastAsia="TimesNewRoman"/>
          <w:szCs w:val="22"/>
          <w:lang w:val="sr-Latn-ME"/>
        </w:rPr>
        <w:t>rosatna hemodijaliza smanjila je ukupnu izloženost edoksabanu manje od 9%.</w:t>
      </w:r>
    </w:p>
    <w:p w14:paraId="1C3556D4" w14:textId="77777777" w:rsidR="00586C81" w:rsidRPr="001202A2" w:rsidRDefault="00586C81" w:rsidP="00480B31">
      <w:pPr>
        <w:tabs>
          <w:tab w:val="clear" w:pos="284"/>
        </w:tabs>
        <w:autoSpaceDE w:val="0"/>
        <w:autoSpaceDN w:val="0"/>
        <w:adjustRightInd w:val="0"/>
        <w:rPr>
          <w:szCs w:val="22"/>
          <w:u w:val="single"/>
          <w:lang w:val="sr-Latn-ME"/>
        </w:rPr>
      </w:pPr>
    </w:p>
    <w:p w14:paraId="0BB7F665" w14:textId="7F7FB9D1" w:rsidR="00A347AA" w:rsidRPr="001202A2" w:rsidRDefault="00A347AA" w:rsidP="00480B31">
      <w:pPr>
        <w:rPr>
          <w:i/>
          <w:szCs w:val="22"/>
          <w:lang w:val="sr-Latn-ME"/>
        </w:rPr>
      </w:pPr>
      <w:r w:rsidRPr="001202A2">
        <w:rPr>
          <w:i/>
          <w:szCs w:val="22"/>
          <w:lang w:val="sr-Latn-ME"/>
        </w:rPr>
        <w:t xml:space="preserve">Oštećenje funkcije jetre </w:t>
      </w:r>
    </w:p>
    <w:p w14:paraId="62087C43" w14:textId="7B156FD3" w:rsidR="00C31254" w:rsidRPr="001202A2" w:rsidRDefault="00C3125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Pokazalo se da su farmakokinetika i farmakodinamika kod pacijenata sa blagim ili um</w:t>
      </w:r>
      <w:r w:rsidR="00303F9A" w:rsidRPr="001202A2">
        <w:rPr>
          <w:rFonts w:eastAsia="TimesNewRoman"/>
          <w:szCs w:val="22"/>
          <w:lang w:val="sr-Latn-ME"/>
        </w:rPr>
        <w:t>j</w:t>
      </w:r>
      <w:r w:rsidRPr="001202A2">
        <w:rPr>
          <w:rFonts w:eastAsia="TimesNewRoman"/>
          <w:szCs w:val="22"/>
          <w:lang w:val="sr-Latn-ME"/>
        </w:rPr>
        <w:t xml:space="preserve">erenim oštećenjem funkcije jetre </w:t>
      </w:r>
      <w:r w:rsidR="003441CC" w:rsidRPr="001202A2">
        <w:rPr>
          <w:rFonts w:eastAsia="TimesNewRoman"/>
          <w:szCs w:val="22"/>
          <w:lang w:val="sr-Latn-ME"/>
        </w:rPr>
        <w:t xml:space="preserve">slične </w:t>
      </w:r>
      <w:r w:rsidRPr="001202A2">
        <w:rPr>
          <w:rFonts w:eastAsia="TimesNewRoman"/>
          <w:szCs w:val="22"/>
          <w:lang w:val="sr-Latn-ME"/>
        </w:rPr>
        <w:t xml:space="preserve">onima </w:t>
      </w:r>
      <w:r w:rsidR="003441CC" w:rsidRPr="001202A2">
        <w:rPr>
          <w:rFonts w:eastAsia="TimesNewRoman"/>
          <w:szCs w:val="22"/>
          <w:lang w:val="sr-Latn-ME"/>
        </w:rPr>
        <w:t xml:space="preserve">kod </w:t>
      </w:r>
      <w:r w:rsidRPr="001202A2">
        <w:rPr>
          <w:rFonts w:eastAsia="TimesNewRoman"/>
          <w:szCs w:val="22"/>
          <w:lang w:val="sr-Latn-ME"/>
        </w:rPr>
        <w:t>zdravih ispitanika u kontrolnoj grupi. Edoksaban nije ispitan kod pacijenata sa teškim oštećenjem funkcije jetre (vid</w:t>
      </w:r>
      <w:r w:rsidR="00303F9A" w:rsidRPr="001202A2">
        <w:rPr>
          <w:rFonts w:eastAsia="TimesNewRoman"/>
          <w:szCs w:val="22"/>
          <w:lang w:val="sr-Latn-ME"/>
        </w:rPr>
        <w:t>j</w:t>
      </w:r>
      <w:r w:rsidRPr="001202A2">
        <w:rPr>
          <w:rFonts w:eastAsia="TimesNewRoman"/>
          <w:szCs w:val="22"/>
          <w:lang w:val="sr-Latn-ME"/>
        </w:rPr>
        <w:t xml:space="preserve">eti </w:t>
      </w:r>
      <w:r w:rsidR="00303F9A" w:rsidRPr="001202A2">
        <w:rPr>
          <w:rFonts w:eastAsia="TimesNewRoman"/>
          <w:szCs w:val="22"/>
          <w:lang w:val="sr-Latn-ME"/>
        </w:rPr>
        <w:t>dio</w:t>
      </w:r>
      <w:r w:rsidRPr="001202A2">
        <w:rPr>
          <w:rFonts w:eastAsia="TimesNewRoman"/>
          <w:szCs w:val="22"/>
          <w:lang w:val="sr-Latn-ME"/>
        </w:rPr>
        <w:t xml:space="preserve"> 4.2).</w:t>
      </w:r>
    </w:p>
    <w:p w14:paraId="006FF588"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5D191718" w14:textId="77777777" w:rsidR="003441CC" w:rsidRPr="001202A2" w:rsidRDefault="003441CC" w:rsidP="00480B31">
      <w:pPr>
        <w:tabs>
          <w:tab w:val="clear" w:pos="284"/>
        </w:tabs>
        <w:autoSpaceDE w:val="0"/>
        <w:autoSpaceDN w:val="0"/>
        <w:adjustRightInd w:val="0"/>
        <w:rPr>
          <w:i/>
          <w:iCs/>
          <w:szCs w:val="22"/>
          <w:lang w:val="sr-Latn-ME"/>
        </w:rPr>
      </w:pPr>
      <w:r w:rsidRPr="001202A2">
        <w:rPr>
          <w:i/>
          <w:iCs/>
          <w:szCs w:val="22"/>
          <w:lang w:val="sr-Latn-ME"/>
        </w:rPr>
        <w:t>Pol</w:t>
      </w:r>
    </w:p>
    <w:p w14:paraId="3CCD1FE4" w14:textId="686D8C4B" w:rsidR="003441CC" w:rsidRPr="001202A2" w:rsidRDefault="003441C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Nakon korekcije u odnosu na t</w:t>
      </w:r>
      <w:r w:rsidR="00303F9A" w:rsidRPr="001202A2">
        <w:rPr>
          <w:rFonts w:eastAsia="TimesNewRoman"/>
          <w:szCs w:val="22"/>
          <w:lang w:val="sr-Latn-ME"/>
        </w:rPr>
        <w:t>j</w:t>
      </w:r>
      <w:r w:rsidRPr="001202A2">
        <w:rPr>
          <w:rFonts w:eastAsia="TimesNewRoman"/>
          <w:szCs w:val="22"/>
          <w:lang w:val="sr-Latn-ME"/>
        </w:rPr>
        <w:t xml:space="preserve">elesnu masu, pol nije imao dodatni </w:t>
      </w:r>
      <w:r w:rsidR="00B24AD2" w:rsidRPr="001202A2">
        <w:rPr>
          <w:rFonts w:eastAsia="TimesNewRoman"/>
          <w:szCs w:val="22"/>
          <w:lang w:val="sr-Latn-ME"/>
        </w:rPr>
        <w:t xml:space="preserve">klinički </w:t>
      </w:r>
      <w:r w:rsidRPr="001202A2">
        <w:rPr>
          <w:rFonts w:eastAsia="TimesNewRoman"/>
          <w:szCs w:val="22"/>
          <w:lang w:val="sr-Latn-ME"/>
        </w:rPr>
        <w:t>značajan efekat na farmakokinetiku edoksabana u populacionoj farmakokinetičkoj analizi u studiji faze 3 kod NVAF (ENGAGE AF-TIMI 48).</w:t>
      </w:r>
    </w:p>
    <w:p w14:paraId="4DABF602"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244D3C48" w14:textId="7DEA222F" w:rsidR="003441CC" w:rsidRPr="001202A2" w:rsidRDefault="003441CC" w:rsidP="00480B31">
      <w:pPr>
        <w:tabs>
          <w:tab w:val="clear" w:pos="284"/>
        </w:tabs>
        <w:autoSpaceDE w:val="0"/>
        <w:autoSpaceDN w:val="0"/>
        <w:adjustRightInd w:val="0"/>
        <w:rPr>
          <w:i/>
          <w:iCs/>
          <w:szCs w:val="22"/>
          <w:lang w:val="sr-Latn-ME"/>
        </w:rPr>
      </w:pPr>
      <w:r w:rsidRPr="001202A2">
        <w:rPr>
          <w:i/>
          <w:iCs/>
          <w:szCs w:val="22"/>
          <w:lang w:val="sr-Latn-ME"/>
        </w:rPr>
        <w:t>Etničko por</w:t>
      </w:r>
      <w:r w:rsidR="00303F9A" w:rsidRPr="001202A2">
        <w:rPr>
          <w:i/>
          <w:iCs/>
          <w:szCs w:val="22"/>
          <w:lang w:val="sr-Latn-ME"/>
        </w:rPr>
        <w:t>ij</w:t>
      </w:r>
      <w:r w:rsidRPr="001202A2">
        <w:rPr>
          <w:i/>
          <w:iCs/>
          <w:szCs w:val="22"/>
          <w:lang w:val="sr-Latn-ME"/>
        </w:rPr>
        <w:t>eklo</w:t>
      </w:r>
    </w:p>
    <w:p w14:paraId="3A3131C1" w14:textId="3DEE0D44" w:rsidR="003441CC" w:rsidRPr="001202A2" w:rsidRDefault="003441C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populacionoj farmakokinetičkoj analizi u ENGAGE AF-TIMI 48 studiji, maksimalna i ukupna izloženost kod pacijenata azijskog por</w:t>
      </w:r>
      <w:r w:rsidR="00303F9A" w:rsidRPr="001202A2">
        <w:rPr>
          <w:rFonts w:eastAsia="TimesNewRoman"/>
          <w:szCs w:val="22"/>
          <w:lang w:val="sr-Latn-ME"/>
        </w:rPr>
        <w:t>ij</w:t>
      </w:r>
      <w:r w:rsidRPr="001202A2">
        <w:rPr>
          <w:rFonts w:eastAsia="TimesNewRoman"/>
          <w:szCs w:val="22"/>
          <w:lang w:val="sr-Latn-ME"/>
        </w:rPr>
        <w:t>ekla i pacijenata koji ni</w:t>
      </w:r>
      <w:r w:rsidR="00072E07" w:rsidRPr="001202A2">
        <w:rPr>
          <w:rFonts w:eastAsia="TimesNewRoman"/>
          <w:szCs w:val="22"/>
          <w:lang w:val="sr-Latn-ME"/>
        </w:rPr>
        <w:t>je</w:t>
      </w:r>
      <w:r w:rsidRPr="001202A2">
        <w:rPr>
          <w:rFonts w:eastAsia="TimesNewRoman"/>
          <w:szCs w:val="22"/>
          <w:lang w:val="sr-Latn-ME"/>
        </w:rPr>
        <w:t>su azijskog por</w:t>
      </w:r>
      <w:r w:rsidR="00303F9A" w:rsidRPr="001202A2">
        <w:rPr>
          <w:rFonts w:eastAsia="TimesNewRoman"/>
          <w:szCs w:val="22"/>
          <w:lang w:val="sr-Latn-ME"/>
        </w:rPr>
        <w:t>ij</w:t>
      </w:r>
      <w:r w:rsidRPr="001202A2">
        <w:rPr>
          <w:rFonts w:eastAsia="TimesNewRoman"/>
          <w:szCs w:val="22"/>
          <w:lang w:val="sr-Latn-ME"/>
        </w:rPr>
        <w:t>ekla bile su slične.</w:t>
      </w:r>
    </w:p>
    <w:p w14:paraId="1F8D80A7"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645B068F" w14:textId="1EA0E5B2" w:rsidR="00A0165C" w:rsidRPr="001202A2" w:rsidRDefault="00A0165C"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Pedijatrijska populacija</w:t>
      </w:r>
    </w:p>
    <w:p w14:paraId="1317853A" w14:textId="36A9F24A" w:rsidR="00A0165C" w:rsidRPr="001202A2" w:rsidRDefault="00A0165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Farmakokinetika edoksabana je ispitana kod 208 pedijatrijskih pacijenata u 3 kliničke studije (Hokusai VTE PEDIATRICS, ENNOBLE-ATE, i PK/PD stu</w:t>
      </w:r>
      <w:r w:rsidR="00B24AD2" w:rsidRPr="001202A2">
        <w:rPr>
          <w:rFonts w:eastAsia="TimesNewRoman"/>
          <w:szCs w:val="22"/>
          <w:lang w:val="sr-Latn-ME"/>
        </w:rPr>
        <w:t>d</w:t>
      </w:r>
      <w:r w:rsidRPr="001202A2">
        <w:rPr>
          <w:rFonts w:eastAsia="TimesNewRoman"/>
          <w:szCs w:val="22"/>
          <w:lang w:val="sr-Latn-ME"/>
        </w:rPr>
        <w:t>i</w:t>
      </w:r>
      <w:r w:rsidR="00B24AD2" w:rsidRPr="001202A2">
        <w:rPr>
          <w:rFonts w:eastAsia="TimesNewRoman"/>
          <w:szCs w:val="22"/>
          <w:lang w:val="sr-Latn-ME"/>
        </w:rPr>
        <w:t>j</w:t>
      </w:r>
      <w:r w:rsidRPr="001202A2">
        <w:rPr>
          <w:rFonts w:eastAsia="TimesNewRoman"/>
          <w:szCs w:val="22"/>
          <w:lang w:val="sr-Latn-ME"/>
        </w:rPr>
        <w:t>a pojedinačne doze) prim</w:t>
      </w:r>
      <w:r w:rsidR="006F0097" w:rsidRPr="001202A2">
        <w:rPr>
          <w:rFonts w:eastAsia="TimesNewRoman"/>
          <w:szCs w:val="22"/>
          <w:lang w:val="sr-Latn-ME"/>
        </w:rPr>
        <w:t>j</w:t>
      </w:r>
      <w:r w:rsidRPr="001202A2">
        <w:rPr>
          <w:rFonts w:eastAsia="TimesNewRoman"/>
          <w:szCs w:val="22"/>
          <w:lang w:val="sr-Latn-ME"/>
        </w:rPr>
        <w:t>enom modela populacione farmakokinetike (PopPK). PopPK analiza je obuhvatila farmakokinetičke podatke 141 pacijenta uključenog u Hokusai VTE PEDIATRICS i ENNOBLE-ATE studije. Izloženost edoksabanu kod pedijatrijskih ispitanika je uglavnom bila unutar opsega izloženosti zab</w:t>
      </w:r>
      <w:r w:rsidR="006F0097" w:rsidRPr="001202A2">
        <w:rPr>
          <w:rFonts w:eastAsia="TimesNewRoman"/>
          <w:szCs w:val="22"/>
          <w:lang w:val="sr-Latn-ME"/>
        </w:rPr>
        <w:t>i</w:t>
      </w:r>
      <w:r w:rsidRPr="001202A2">
        <w:rPr>
          <w:rFonts w:eastAsia="TimesNewRoman"/>
          <w:szCs w:val="22"/>
          <w:lang w:val="sr-Latn-ME"/>
        </w:rPr>
        <w:t>l</w:t>
      </w:r>
      <w:r w:rsidR="006F0097" w:rsidRPr="001202A2">
        <w:rPr>
          <w:rFonts w:eastAsia="TimesNewRoman"/>
          <w:szCs w:val="22"/>
          <w:lang w:val="sr-Latn-ME"/>
        </w:rPr>
        <w:t>j</w:t>
      </w:r>
      <w:r w:rsidRPr="001202A2">
        <w:rPr>
          <w:rFonts w:eastAsia="TimesNewRoman"/>
          <w:szCs w:val="22"/>
          <w:lang w:val="sr-Latn-ME"/>
        </w:rPr>
        <w:t>eženog kod odraslih pacijenata, ali je kod adolescenata uzrasta 12 do &lt; 18 godina zab</w:t>
      </w:r>
      <w:r w:rsidR="006F0097" w:rsidRPr="001202A2">
        <w:rPr>
          <w:rFonts w:eastAsia="TimesNewRoman"/>
          <w:szCs w:val="22"/>
          <w:lang w:val="sr-Latn-ME"/>
        </w:rPr>
        <w:t>i</w:t>
      </w:r>
      <w:r w:rsidRPr="001202A2">
        <w:rPr>
          <w:rFonts w:eastAsia="TimesNewRoman"/>
          <w:szCs w:val="22"/>
          <w:lang w:val="sr-Latn-ME"/>
        </w:rPr>
        <w:t>l</w:t>
      </w:r>
      <w:r w:rsidR="006F0097" w:rsidRPr="001202A2">
        <w:rPr>
          <w:rFonts w:eastAsia="TimesNewRoman"/>
          <w:szCs w:val="22"/>
          <w:lang w:val="sr-Latn-ME"/>
        </w:rPr>
        <w:t>j</w:t>
      </w:r>
      <w:r w:rsidRPr="001202A2">
        <w:rPr>
          <w:rFonts w:eastAsia="TimesNewRoman"/>
          <w:szCs w:val="22"/>
          <w:lang w:val="sr-Latn-ME"/>
        </w:rPr>
        <w:t>ežena nedovoljna izloženost od 20-30%, u poređenju sa odraslim pacijentima koji su primili edoksaban u d</w:t>
      </w:r>
      <w:r w:rsidR="00B24AD2" w:rsidRPr="001202A2">
        <w:rPr>
          <w:rFonts w:eastAsia="TimesNewRoman"/>
          <w:szCs w:val="22"/>
          <w:lang w:val="sr-Latn-ME"/>
        </w:rPr>
        <w:t>o</w:t>
      </w:r>
      <w:r w:rsidRPr="001202A2">
        <w:rPr>
          <w:rFonts w:eastAsia="TimesNewRoman"/>
          <w:szCs w:val="22"/>
          <w:lang w:val="sr-Latn-ME"/>
        </w:rPr>
        <w:t>zi od 60 mg. U Hokusai VTE PEDIATRICS i ENNOBLE-ATE studijama, zab</w:t>
      </w:r>
      <w:r w:rsidR="006F0097" w:rsidRPr="001202A2">
        <w:rPr>
          <w:rFonts w:eastAsia="TimesNewRoman"/>
          <w:szCs w:val="22"/>
          <w:lang w:val="sr-Latn-ME"/>
        </w:rPr>
        <w:t>i</w:t>
      </w:r>
      <w:r w:rsidRPr="001202A2">
        <w:rPr>
          <w:rFonts w:eastAsia="TimesNewRoman"/>
          <w:szCs w:val="22"/>
          <w:lang w:val="sr-Latn-ME"/>
        </w:rPr>
        <w:t>l</w:t>
      </w:r>
      <w:r w:rsidR="006F0097" w:rsidRPr="001202A2">
        <w:rPr>
          <w:rFonts w:eastAsia="TimesNewRoman"/>
          <w:szCs w:val="22"/>
          <w:lang w:val="sr-Latn-ME"/>
        </w:rPr>
        <w:t>j</w:t>
      </w:r>
      <w:r w:rsidRPr="001202A2">
        <w:rPr>
          <w:rFonts w:eastAsia="TimesNewRoman"/>
          <w:szCs w:val="22"/>
          <w:lang w:val="sr-Latn-ME"/>
        </w:rPr>
        <w:t>ežena geometrijska srednja vr</w:t>
      </w:r>
      <w:r w:rsidR="006F0097" w:rsidRPr="001202A2">
        <w:rPr>
          <w:rFonts w:eastAsia="TimesNewRoman"/>
          <w:szCs w:val="22"/>
          <w:lang w:val="sr-Latn-ME"/>
        </w:rPr>
        <w:t>ij</w:t>
      </w:r>
      <w:r w:rsidRPr="001202A2">
        <w:rPr>
          <w:rFonts w:eastAsia="TimesNewRoman"/>
          <w:szCs w:val="22"/>
          <w:lang w:val="sr-Latn-ME"/>
        </w:rPr>
        <w:t>ednost minimalne izloženosti edoksabanu kod pedijatrijske populacije je iznosila 7,8 ng/m</w:t>
      </w:r>
      <w:r w:rsidR="006F0097" w:rsidRPr="001202A2">
        <w:rPr>
          <w:rFonts w:eastAsia="TimesNewRoman"/>
          <w:szCs w:val="22"/>
          <w:lang w:val="sr-Latn-ME"/>
        </w:rPr>
        <w:t>l</w:t>
      </w:r>
      <w:r w:rsidRPr="001202A2">
        <w:rPr>
          <w:rFonts w:eastAsia="TimesNewRoman"/>
          <w:szCs w:val="22"/>
          <w:lang w:val="sr-Latn-ME"/>
        </w:rPr>
        <w:t xml:space="preserve"> kod ispitanika uzrasta 0 do &lt; 6 m</w:t>
      </w:r>
      <w:r w:rsidR="006F0097" w:rsidRPr="001202A2">
        <w:rPr>
          <w:rFonts w:eastAsia="TimesNewRoman"/>
          <w:szCs w:val="22"/>
          <w:lang w:val="sr-Latn-ME"/>
        </w:rPr>
        <w:t>j</w:t>
      </w:r>
      <w:r w:rsidRPr="001202A2">
        <w:rPr>
          <w:rFonts w:eastAsia="TimesNewRoman"/>
          <w:szCs w:val="22"/>
          <w:lang w:val="sr-Latn-ME"/>
        </w:rPr>
        <w:t>eseci (N = 9); 8,6 ng/m</w:t>
      </w:r>
      <w:r w:rsidR="006F0097" w:rsidRPr="001202A2">
        <w:rPr>
          <w:rFonts w:eastAsia="TimesNewRoman"/>
          <w:szCs w:val="22"/>
          <w:lang w:val="sr-Latn-ME"/>
        </w:rPr>
        <w:t>l</w:t>
      </w:r>
      <w:r w:rsidRPr="001202A2">
        <w:rPr>
          <w:rFonts w:eastAsia="TimesNewRoman"/>
          <w:szCs w:val="22"/>
          <w:lang w:val="sr-Latn-ME"/>
        </w:rPr>
        <w:t xml:space="preserve"> kod ispitanika uzrasta 6 m</w:t>
      </w:r>
      <w:r w:rsidR="006F0097" w:rsidRPr="001202A2">
        <w:rPr>
          <w:rFonts w:eastAsia="TimesNewRoman"/>
          <w:szCs w:val="22"/>
          <w:lang w:val="sr-Latn-ME"/>
        </w:rPr>
        <w:t>j</w:t>
      </w:r>
      <w:r w:rsidRPr="001202A2">
        <w:rPr>
          <w:rFonts w:eastAsia="TimesNewRoman"/>
          <w:szCs w:val="22"/>
          <w:lang w:val="sr-Latn-ME"/>
        </w:rPr>
        <w:t>eseci do &lt; 2 godine (N = 19); 7,4 ng/m</w:t>
      </w:r>
      <w:r w:rsidR="006F0097" w:rsidRPr="001202A2">
        <w:rPr>
          <w:rFonts w:eastAsia="TimesNewRoman"/>
          <w:szCs w:val="22"/>
          <w:lang w:val="sr-Latn-ME"/>
        </w:rPr>
        <w:t>l</w:t>
      </w:r>
      <w:r w:rsidRPr="001202A2">
        <w:rPr>
          <w:rFonts w:eastAsia="TimesNewRoman"/>
          <w:szCs w:val="22"/>
          <w:lang w:val="sr-Latn-ME"/>
        </w:rPr>
        <w:t xml:space="preserve"> kod ispitanika uzrasta 2 do &lt; 6 godina (N = 36); 13,7 ng/m</w:t>
      </w:r>
      <w:r w:rsidR="006F0097" w:rsidRPr="001202A2">
        <w:rPr>
          <w:rFonts w:eastAsia="TimesNewRoman"/>
          <w:szCs w:val="22"/>
          <w:lang w:val="sr-Latn-ME"/>
        </w:rPr>
        <w:t>l</w:t>
      </w:r>
      <w:r w:rsidRPr="001202A2">
        <w:rPr>
          <w:rFonts w:eastAsia="TimesNewRoman"/>
          <w:szCs w:val="22"/>
          <w:lang w:val="sr-Latn-ME"/>
        </w:rPr>
        <w:t xml:space="preserve"> kod ispitanika uzrasta 6 do &lt; 12 godina (N = 38) i 10,8 ng/m</w:t>
      </w:r>
      <w:r w:rsidR="006F0097" w:rsidRPr="001202A2">
        <w:rPr>
          <w:rFonts w:eastAsia="TimesNewRoman"/>
          <w:szCs w:val="22"/>
          <w:lang w:val="sr-Latn-ME"/>
        </w:rPr>
        <w:t>l</w:t>
      </w:r>
      <w:r w:rsidRPr="001202A2">
        <w:rPr>
          <w:rFonts w:eastAsia="TimesNewRoman"/>
          <w:szCs w:val="22"/>
          <w:lang w:val="sr-Latn-ME"/>
        </w:rPr>
        <w:t xml:space="preserve"> kod ispitanika uzrasta 12 do &lt; 18 godina (N = 39);</w:t>
      </w:r>
    </w:p>
    <w:p w14:paraId="1C0D1FC0" w14:textId="77777777" w:rsidR="00A0165C" w:rsidRPr="001202A2" w:rsidRDefault="00A0165C" w:rsidP="00480B31">
      <w:pPr>
        <w:tabs>
          <w:tab w:val="clear" w:pos="284"/>
        </w:tabs>
        <w:autoSpaceDE w:val="0"/>
        <w:autoSpaceDN w:val="0"/>
        <w:adjustRightInd w:val="0"/>
        <w:rPr>
          <w:rFonts w:eastAsia="TimesNewRoman"/>
          <w:szCs w:val="22"/>
          <w:lang w:val="sr-Latn-ME"/>
        </w:rPr>
      </w:pPr>
    </w:p>
    <w:p w14:paraId="0C4E9B1F" w14:textId="50E2CD6E" w:rsidR="003441CC" w:rsidRPr="001202A2" w:rsidRDefault="003441CC" w:rsidP="00480B31">
      <w:pPr>
        <w:tabs>
          <w:tab w:val="clear" w:pos="284"/>
        </w:tabs>
        <w:autoSpaceDE w:val="0"/>
        <w:autoSpaceDN w:val="0"/>
        <w:adjustRightInd w:val="0"/>
        <w:rPr>
          <w:i/>
          <w:iCs/>
          <w:szCs w:val="22"/>
          <w:lang w:val="sr-Latn-ME"/>
        </w:rPr>
      </w:pPr>
      <w:r w:rsidRPr="001202A2">
        <w:rPr>
          <w:i/>
          <w:iCs/>
          <w:szCs w:val="22"/>
          <w:lang w:val="sr-Latn-ME"/>
        </w:rPr>
        <w:t>T</w:t>
      </w:r>
      <w:r w:rsidR="00303F9A" w:rsidRPr="001202A2">
        <w:rPr>
          <w:i/>
          <w:iCs/>
          <w:szCs w:val="22"/>
          <w:lang w:val="sr-Latn-ME"/>
        </w:rPr>
        <w:t>j</w:t>
      </w:r>
      <w:r w:rsidRPr="001202A2">
        <w:rPr>
          <w:i/>
          <w:iCs/>
          <w:szCs w:val="22"/>
          <w:lang w:val="sr-Latn-ME"/>
        </w:rPr>
        <w:t>elesna masa</w:t>
      </w:r>
    </w:p>
    <w:p w14:paraId="05F9F506" w14:textId="25ACACCB" w:rsidR="003441CC" w:rsidRPr="001202A2" w:rsidRDefault="003441C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populacionoj farmakokinetičkoj analizi u ENGAGE AF-TIMI 48 studiji kod NVAF, kod pacijenata sa malom medijanom t</w:t>
      </w:r>
      <w:r w:rsidR="00303F9A" w:rsidRPr="001202A2">
        <w:rPr>
          <w:rFonts w:eastAsia="TimesNewRoman"/>
          <w:szCs w:val="22"/>
          <w:lang w:val="sr-Latn-ME"/>
        </w:rPr>
        <w:t>j</w:t>
      </w:r>
      <w:r w:rsidRPr="001202A2">
        <w:rPr>
          <w:rFonts w:eastAsia="TimesNewRoman"/>
          <w:szCs w:val="22"/>
          <w:lang w:val="sr-Latn-ME"/>
        </w:rPr>
        <w:t xml:space="preserve">elesne mase (55 kg) Cmax i PIK su bili </w:t>
      </w:r>
      <w:r w:rsidR="00B24AD2" w:rsidRPr="001202A2">
        <w:rPr>
          <w:rFonts w:eastAsia="TimesNewRoman"/>
          <w:szCs w:val="22"/>
          <w:lang w:val="sr-Latn-ME"/>
        </w:rPr>
        <w:t xml:space="preserve">povećani </w:t>
      </w:r>
      <w:r w:rsidRPr="001202A2">
        <w:rPr>
          <w:rFonts w:eastAsia="TimesNewRoman"/>
          <w:szCs w:val="22"/>
          <w:lang w:val="sr-Latn-ME"/>
        </w:rPr>
        <w:t>za 40%</w:t>
      </w:r>
      <w:r w:rsidR="0029420C" w:rsidRPr="001202A2">
        <w:rPr>
          <w:rFonts w:eastAsia="TimesNewRoman"/>
          <w:szCs w:val="22"/>
          <w:lang w:val="sr-Latn-ME"/>
        </w:rPr>
        <w:t>,</w:t>
      </w:r>
      <w:r w:rsidRPr="001202A2">
        <w:rPr>
          <w:rFonts w:eastAsia="TimesNewRoman"/>
          <w:szCs w:val="22"/>
          <w:lang w:val="sr-Latn-ME"/>
        </w:rPr>
        <w:t xml:space="preserve"> odnosno 13% u poređenju sa pacijentima sa velikom medijanom t</w:t>
      </w:r>
      <w:r w:rsidR="00303F9A" w:rsidRPr="001202A2">
        <w:rPr>
          <w:rFonts w:eastAsia="TimesNewRoman"/>
          <w:szCs w:val="22"/>
          <w:lang w:val="sr-Latn-ME"/>
        </w:rPr>
        <w:t>j</w:t>
      </w:r>
      <w:r w:rsidRPr="001202A2">
        <w:rPr>
          <w:rFonts w:eastAsia="TimesNewRoman"/>
          <w:szCs w:val="22"/>
          <w:lang w:val="sr-Latn-ME"/>
        </w:rPr>
        <w:t>elesne mase (84 kg). U kliničkim studijama faze 3 (za indikacije NVAF i VTE), pacijentima sa t</w:t>
      </w:r>
      <w:r w:rsidR="00303F9A" w:rsidRPr="001202A2">
        <w:rPr>
          <w:rFonts w:eastAsia="TimesNewRoman"/>
          <w:szCs w:val="22"/>
          <w:lang w:val="sr-Latn-ME"/>
        </w:rPr>
        <w:t>j</w:t>
      </w:r>
      <w:r w:rsidRPr="001202A2">
        <w:rPr>
          <w:rFonts w:eastAsia="TimesNewRoman"/>
          <w:szCs w:val="22"/>
          <w:lang w:val="sr-Latn-ME"/>
        </w:rPr>
        <w:t xml:space="preserve">elesnom masom ≤ 60 kg doza </w:t>
      </w:r>
      <w:r w:rsidR="004F7BB8" w:rsidRPr="001202A2">
        <w:rPr>
          <w:rFonts w:eastAsia="TimesNewRoman"/>
          <w:szCs w:val="22"/>
          <w:lang w:val="sr-Latn-ME"/>
        </w:rPr>
        <w:t xml:space="preserve">edoksabana </w:t>
      </w:r>
      <w:r w:rsidRPr="001202A2">
        <w:rPr>
          <w:rFonts w:eastAsia="TimesNewRoman"/>
          <w:szCs w:val="22"/>
          <w:lang w:val="sr-Latn-ME"/>
        </w:rPr>
        <w:t>je smanjena za 50%</w:t>
      </w:r>
      <w:r w:rsidR="00C363B0" w:rsidRPr="001202A2">
        <w:rPr>
          <w:rFonts w:eastAsia="TimesNewRoman"/>
          <w:szCs w:val="22"/>
          <w:lang w:val="sr-Latn-ME"/>
        </w:rPr>
        <w:t xml:space="preserve"> i</w:t>
      </w:r>
      <w:r w:rsidRPr="001202A2">
        <w:rPr>
          <w:rFonts w:eastAsia="TimesNewRoman"/>
          <w:szCs w:val="22"/>
          <w:lang w:val="sr-Latn-ME"/>
        </w:rPr>
        <w:t xml:space="preserve"> pokazala</w:t>
      </w:r>
      <w:r w:rsidR="00C363B0" w:rsidRPr="001202A2">
        <w:rPr>
          <w:rFonts w:eastAsia="TimesNewRoman"/>
          <w:szCs w:val="22"/>
          <w:lang w:val="sr-Latn-ME"/>
        </w:rPr>
        <w:t xml:space="preserve"> je</w:t>
      </w:r>
      <w:r w:rsidRPr="001202A2">
        <w:rPr>
          <w:rFonts w:eastAsia="TimesNewRoman"/>
          <w:szCs w:val="22"/>
          <w:lang w:val="sr-Latn-ME"/>
        </w:rPr>
        <w:t xml:space="preserve"> sličnu efikasnost uz manje krvarenja u poređenju sa varfarinom. </w:t>
      </w:r>
    </w:p>
    <w:p w14:paraId="6C6DA602"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677F72E8" w14:textId="5CC17D8A" w:rsidR="003441CC" w:rsidRPr="001202A2" w:rsidRDefault="003441CC"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Farmakokinetički/farmakodinamski odnos(i)</w:t>
      </w:r>
    </w:p>
    <w:p w14:paraId="0A52E1B4" w14:textId="30C0DFE5" w:rsidR="00F8459F" w:rsidRPr="001202A2" w:rsidRDefault="003441C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PT, INR, aPTT i anti-FXa linearno koreliraju sa koncentracijama edoksabana</w:t>
      </w:r>
      <w:r w:rsidR="00F8459F" w:rsidRPr="001202A2">
        <w:rPr>
          <w:rFonts w:eastAsia="TimesNewRoman"/>
          <w:szCs w:val="22"/>
          <w:lang w:val="sr-Latn-ME"/>
        </w:rPr>
        <w:t xml:space="preserve"> kod odraslih osoba. Linearna korelacija je takođe zab</w:t>
      </w:r>
      <w:r w:rsidR="006F0097" w:rsidRPr="001202A2">
        <w:rPr>
          <w:rFonts w:eastAsia="TimesNewRoman"/>
          <w:szCs w:val="22"/>
          <w:lang w:val="sr-Latn-ME"/>
        </w:rPr>
        <w:t>i</w:t>
      </w:r>
      <w:r w:rsidR="00F8459F" w:rsidRPr="001202A2">
        <w:rPr>
          <w:rFonts w:eastAsia="TimesNewRoman"/>
          <w:szCs w:val="22"/>
          <w:lang w:val="sr-Latn-ME"/>
        </w:rPr>
        <w:t>l</w:t>
      </w:r>
      <w:r w:rsidR="006F0097" w:rsidRPr="001202A2">
        <w:rPr>
          <w:rFonts w:eastAsia="TimesNewRoman"/>
          <w:szCs w:val="22"/>
          <w:lang w:val="sr-Latn-ME"/>
        </w:rPr>
        <w:t>j</w:t>
      </w:r>
      <w:r w:rsidR="00F8459F" w:rsidRPr="001202A2">
        <w:rPr>
          <w:rFonts w:eastAsia="TimesNewRoman"/>
          <w:szCs w:val="22"/>
          <w:lang w:val="sr-Latn-ME"/>
        </w:rPr>
        <w:t>ežena između anti-FXa dejstva i koncentracija edoksabana u plazmi kod pedijatrijskih pacijenata od rođenja do 18 godina starosti. Sveukupno, odnos</w:t>
      </w:r>
      <w:r w:rsidR="0081120D" w:rsidRPr="001202A2">
        <w:rPr>
          <w:rFonts w:eastAsia="TimesNewRoman"/>
          <w:szCs w:val="22"/>
          <w:lang w:val="sr-Latn-ME"/>
        </w:rPr>
        <w:t xml:space="preserve"> </w:t>
      </w:r>
      <w:r w:rsidR="00F8459F" w:rsidRPr="001202A2">
        <w:rPr>
          <w:rFonts w:eastAsia="TimesNewRoman"/>
          <w:szCs w:val="22"/>
          <w:lang w:val="sr-Latn-ME"/>
        </w:rPr>
        <w:t>farmakokinetike/farmakodinamike je bio sličan kod pedijatrijskih pacijenata od rođenja do 18 godina starosti i odraslih pacijenata sa VTE. Međutim, varijabilnost u farmakodinamici je proizvela značajne nesigurnosti u proc</w:t>
      </w:r>
      <w:r w:rsidR="006F0097" w:rsidRPr="001202A2">
        <w:rPr>
          <w:rFonts w:eastAsia="TimesNewRoman"/>
          <w:szCs w:val="22"/>
          <w:lang w:val="sr-Latn-ME"/>
        </w:rPr>
        <w:t>j</w:t>
      </w:r>
      <w:r w:rsidR="00F8459F" w:rsidRPr="001202A2">
        <w:rPr>
          <w:rFonts w:eastAsia="TimesNewRoman"/>
          <w:szCs w:val="22"/>
          <w:lang w:val="sr-Latn-ME"/>
        </w:rPr>
        <w:t>eni ovog odnosa.</w:t>
      </w:r>
    </w:p>
    <w:p w14:paraId="730F8348" w14:textId="7AA1F66A" w:rsidR="00586C81" w:rsidRPr="001202A2" w:rsidRDefault="00586C81" w:rsidP="00480B31">
      <w:pPr>
        <w:tabs>
          <w:tab w:val="clear" w:pos="284"/>
        </w:tabs>
        <w:autoSpaceDE w:val="0"/>
        <w:autoSpaceDN w:val="0"/>
        <w:adjustRightInd w:val="0"/>
        <w:rPr>
          <w:szCs w:val="22"/>
          <w:lang w:val="sr-Latn-ME"/>
        </w:rPr>
      </w:pPr>
    </w:p>
    <w:p w14:paraId="3D711166" w14:textId="725A13F4" w:rsidR="00CE09F3" w:rsidRPr="001202A2" w:rsidRDefault="00CE09F3" w:rsidP="00480B31">
      <w:pPr>
        <w:pStyle w:val="ListParagraph"/>
        <w:numPr>
          <w:ilvl w:val="1"/>
          <w:numId w:val="12"/>
        </w:numPr>
        <w:tabs>
          <w:tab w:val="clear" w:pos="284"/>
        </w:tabs>
        <w:autoSpaceDE w:val="0"/>
        <w:autoSpaceDN w:val="0"/>
        <w:adjustRightInd w:val="0"/>
        <w:rPr>
          <w:b/>
          <w:bCs/>
          <w:szCs w:val="22"/>
          <w:lang w:val="sr-Latn-ME"/>
        </w:rPr>
      </w:pPr>
      <w:r w:rsidRPr="001202A2">
        <w:rPr>
          <w:b/>
          <w:bCs/>
          <w:szCs w:val="22"/>
          <w:lang w:val="sr-Latn-ME"/>
        </w:rPr>
        <w:t>Pretklinički podaci o bezb</w:t>
      </w:r>
      <w:r w:rsidR="00303F9A" w:rsidRPr="001202A2">
        <w:rPr>
          <w:b/>
          <w:bCs/>
          <w:szCs w:val="22"/>
          <w:lang w:val="sr-Latn-ME"/>
        </w:rPr>
        <w:t>j</w:t>
      </w:r>
      <w:r w:rsidRPr="001202A2">
        <w:rPr>
          <w:b/>
          <w:bCs/>
          <w:szCs w:val="22"/>
          <w:lang w:val="sr-Latn-ME"/>
        </w:rPr>
        <w:t>ednosti</w:t>
      </w:r>
    </w:p>
    <w:p w14:paraId="05B7AAEA" w14:textId="77777777" w:rsidR="00586C81" w:rsidRPr="001202A2" w:rsidRDefault="00586C81" w:rsidP="00480B31">
      <w:pPr>
        <w:pStyle w:val="ListParagraph"/>
        <w:tabs>
          <w:tab w:val="clear" w:pos="284"/>
        </w:tabs>
        <w:autoSpaceDE w:val="0"/>
        <w:autoSpaceDN w:val="0"/>
        <w:adjustRightInd w:val="0"/>
        <w:ind w:left="765"/>
        <w:rPr>
          <w:b/>
          <w:bCs/>
          <w:szCs w:val="22"/>
          <w:lang w:val="sr-Latn-ME"/>
        </w:rPr>
      </w:pPr>
    </w:p>
    <w:p w14:paraId="0FE2E20A" w14:textId="1EE3924E" w:rsidR="003441CC" w:rsidRPr="001202A2" w:rsidRDefault="003441C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Pretklinički podaci </w:t>
      </w:r>
      <w:r w:rsidR="009E2C14" w:rsidRPr="001202A2">
        <w:rPr>
          <w:rFonts w:eastAsia="TimesNewRoman"/>
          <w:szCs w:val="22"/>
          <w:lang w:val="sr-Latn-ME"/>
        </w:rPr>
        <w:t>iz</w:t>
      </w:r>
      <w:r w:rsidRPr="001202A2">
        <w:rPr>
          <w:rFonts w:eastAsia="TimesNewRoman"/>
          <w:szCs w:val="22"/>
          <w:lang w:val="sr-Latn-ME"/>
        </w:rPr>
        <w:t xml:space="preserve"> konvencionalnih </w:t>
      </w:r>
      <w:r w:rsidR="009E2C14" w:rsidRPr="001202A2">
        <w:rPr>
          <w:rFonts w:eastAsia="TimesNewRoman"/>
          <w:szCs w:val="22"/>
          <w:lang w:val="sr-Latn-ME"/>
        </w:rPr>
        <w:t>studija</w:t>
      </w:r>
      <w:r w:rsidRPr="001202A2">
        <w:rPr>
          <w:rFonts w:eastAsia="TimesNewRoman"/>
          <w:szCs w:val="22"/>
          <w:lang w:val="sr-Latn-ME"/>
        </w:rPr>
        <w:t xml:space="preserve"> bezb</w:t>
      </w:r>
      <w:r w:rsidR="00303F9A" w:rsidRPr="001202A2">
        <w:rPr>
          <w:rFonts w:eastAsia="TimesNewRoman"/>
          <w:szCs w:val="22"/>
          <w:lang w:val="sr-Latn-ME"/>
        </w:rPr>
        <w:t>j</w:t>
      </w:r>
      <w:r w:rsidRPr="001202A2">
        <w:rPr>
          <w:rFonts w:eastAsia="TimesNewRoman"/>
          <w:szCs w:val="22"/>
          <w:lang w:val="sr-Latn-ME"/>
        </w:rPr>
        <w:t>ednosne farmakologije, toksičnosti ponovljenih doza, genotoksičnosti, karcinogenog potencijala ili fototoksičnosti ne ukazuju na posebne rizike pri prim</w:t>
      </w:r>
      <w:r w:rsidR="00303F9A" w:rsidRPr="001202A2">
        <w:rPr>
          <w:rFonts w:eastAsia="TimesNewRoman"/>
          <w:szCs w:val="22"/>
          <w:lang w:val="sr-Latn-ME"/>
        </w:rPr>
        <w:t>j</w:t>
      </w:r>
      <w:r w:rsidRPr="001202A2">
        <w:rPr>
          <w:rFonts w:eastAsia="TimesNewRoman"/>
          <w:szCs w:val="22"/>
          <w:lang w:val="sr-Latn-ME"/>
        </w:rPr>
        <w:t>eni l</w:t>
      </w:r>
      <w:r w:rsidR="00303F9A" w:rsidRPr="001202A2">
        <w:rPr>
          <w:rFonts w:eastAsia="TimesNewRoman"/>
          <w:szCs w:val="22"/>
          <w:lang w:val="sr-Latn-ME"/>
        </w:rPr>
        <w:t>ij</w:t>
      </w:r>
      <w:r w:rsidRPr="001202A2">
        <w:rPr>
          <w:rFonts w:eastAsia="TimesNewRoman"/>
          <w:szCs w:val="22"/>
          <w:lang w:val="sr-Latn-ME"/>
        </w:rPr>
        <w:t>eka kod ljudi.</w:t>
      </w:r>
    </w:p>
    <w:p w14:paraId="1B7089B0" w14:textId="77777777" w:rsidR="00586C81" w:rsidRPr="001202A2" w:rsidRDefault="00586C81" w:rsidP="00480B31">
      <w:pPr>
        <w:tabs>
          <w:tab w:val="clear" w:pos="284"/>
        </w:tabs>
        <w:autoSpaceDE w:val="0"/>
        <w:autoSpaceDN w:val="0"/>
        <w:adjustRightInd w:val="0"/>
        <w:rPr>
          <w:rFonts w:eastAsia="TimesNewRoman"/>
          <w:szCs w:val="22"/>
          <w:lang w:val="sr-Latn-ME"/>
        </w:rPr>
      </w:pPr>
    </w:p>
    <w:p w14:paraId="0E06591A" w14:textId="77777777" w:rsidR="003441CC" w:rsidRPr="001202A2" w:rsidRDefault="003441CC" w:rsidP="00480B31">
      <w:pPr>
        <w:tabs>
          <w:tab w:val="clear" w:pos="284"/>
        </w:tabs>
        <w:autoSpaceDE w:val="0"/>
        <w:autoSpaceDN w:val="0"/>
        <w:adjustRightInd w:val="0"/>
        <w:rPr>
          <w:rFonts w:eastAsia="TimesNewRoman"/>
          <w:i/>
          <w:iCs/>
          <w:szCs w:val="22"/>
          <w:lang w:val="sr-Latn-ME"/>
        </w:rPr>
      </w:pPr>
      <w:r w:rsidRPr="001202A2">
        <w:rPr>
          <w:rFonts w:eastAsia="TimesNewRoman"/>
          <w:i/>
          <w:iCs/>
          <w:szCs w:val="22"/>
          <w:lang w:val="sr-Latn-ME"/>
        </w:rPr>
        <w:t>Reproduktivna toksičnost</w:t>
      </w:r>
    </w:p>
    <w:p w14:paraId="7F9AF25C" w14:textId="3DE602C0" w:rsidR="003441CC" w:rsidRPr="001202A2" w:rsidRDefault="009E2C14"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U ve</w:t>
      </w:r>
      <w:r w:rsidR="00DC187F" w:rsidRPr="001202A2">
        <w:rPr>
          <w:rFonts w:eastAsia="TimesNewRoman"/>
          <w:szCs w:val="22"/>
          <w:lang w:val="sr-Latn-ME"/>
        </w:rPr>
        <w:t>ć</w:t>
      </w:r>
      <w:r w:rsidRPr="001202A2">
        <w:rPr>
          <w:rFonts w:eastAsia="TimesNewRoman"/>
          <w:szCs w:val="22"/>
          <w:lang w:val="sr-Latn-ME"/>
        </w:rPr>
        <w:t>im dozama. e</w:t>
      </w:r>
      <w:r w:rsidR="003441CC" w:rsidRPr="001202A2">
        <w:rPr>
          <w:rFonts w:eastAsia="TimesNewRoman"/>
          <w:szCs w:val="22"/>
          <w:lang w:val="sr-Latn-ME"/>
        </w:rPr>
        <w:t xml:space="preserve">doksaban je izazvao vaginalno krvarenje kod pacova i kunića, ali nije imao </w:t>
      </w:r>
      <w:r w:rsidRPr="001202A2">
        <w:rPr>
          <w:rFonts w:eastAsia="TimesNewRoman"/>
          <w:szCs w:val="22"/>
          <w:lang w:val="sr-Latn-ME"/>
        </w:rPr>
        <w:t>efekat</w:t>
      </w:r>
      <w:r w:rsidR="003441CC" w:rsidRPr="001202A2">
        <w:rPr>
          <w:rFonts w:eastAsia="TimesNewRoman"/>
          <w:szCs w:val="22"/>
          <w:lang w:val="sr-Latn-ME"/>
        </w:rPr>
        <w:t xml:space="preserve"> na reproduktivnu sposobnost ženki i mužjaka pacova.</w:t>
      </w:r>
    </w:p>
    <w:p w14:paraId="3C046727" w14:textId="77777777" w:rsidR="0081120D" w:rsidRPr="001202A2" w:rsidRDefault="0081120D" w:rsidP="00480B31">
      <w:pPr>
        <w:tabs>
          <w:tab w:val="clear" w:pos="284"/>
        </w:tabs>
        <w:autoSpaceDE w:val="0"/>
        <w:autoSpaceDN w:val="0"/>
        <w:adjustRightInd w:val="0"/>
        <w:rPr>
          <w:rFonts w:eastAsia="TimesNewRoman"/>
          <w:szCs w:val="22"/>
          <w:lang w:val="sr-Latn-ME"/>
        </w:rPr>
      </w:pPr>
    </w:p>
    <w:p w14:paraId="7650BD96" w14:textId="6E6CFB07" w:rsidR="003441CC" w:rsidRPr="001202A2" w:rsidRDefault="003441C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Kod pacova ni</w:t>
      </w:r>
      <w:r w:rsidR="0081120D" w:rsidRPr="001202A2">
        <w:rPr>
          <w:rFonts w:eastAsia="TimesNewRoman"/>
          <w:szCs w:val="22"/>
          <w:lang w:val="sr-Latn-ME"/>
        </w:rPr>
        <w:t>je</w:t>
      </w:r>
      <w:r w:rsidRPr="001202A2">
        <w:rPr>
          <w:rFonts w:eastAsia="TimesNewRoman"/>
          <w:szCs w:val="22"/>
          <w:lang w:val="sr-Latn-ME"/>
        </w:rPr>
        <w:t xml:space="preserve">su zapaženi </w:t>
      </w:r>
      <w:r w:rsidR="009E2C14" w:rsidRPr="001202A2">
        <w:rPr>
          <w:rFonts w:eastAsia="TimesNewRoman"/>
          <w:szCs w:val="22"/>
          <w:lang w:val="sr-Latn-ME"/>
        </w:rPr>
        <w:t>efekti</w:t>
      </w:r>
      <w:r w:rsidRPr="001202A2">
        <w:rPr>
          <w:rFonts w:eastAsia="TimesNewRoman"/>
          <w:szCs w:val="22"/>
          <w:lang w:val="sr-Latn-ME"/>
        </w:rPr>
        <w:t xml:space="preserve"> na plodnost mužjaka ili ženki.</w:t>
      </w:r>
    </w:p>
    <w:p w14:paraId="18F19B7E" w14:textId="77777777" w:rsidR="0081120D" w:rsidRPr="001202A2" w:rsidRDefault="0081120D" w:rsidP="00480B31">
      <w:pPr>
        <w:tabs>
          <w:tab w:val="clear" w:pos="284"/>
        </w:tabs>
        <w:autoSpaceDE w:val="0"/>
        <w:autoSpaceDN w:val="0"/>
        <w:adjustRightInd w:val="0"/>
        <w:rPr>
          <w:rFonts w:eastAsia="TimesNewRoman"/>
          <w:szCs w:val="22"/>
          <w:lang w:val="sr-Latn-ME"/>
        </w:rPr>
      </w:pPr>
    </w:p>
    <w:p w14:paraId="16321EA8" w14:textId="3564EBAE" w:rsidR="003441CC" w:rsidRPr="001202A2" w:rsidRDefault="003441CC"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 xml:space="preserve">U reproduktivnim </w:t>
      </w:r>
      <w:r w:rsidR="009E2C14" w:rsidRPr="001202A2">
        <w:rPr>
          <w:rFonts w:eastAsia="TimesNewRoman"/>
          <w:szCs w:val="22"/>
          <w:lang w:val="sr-Latn-ME"/>
        </w:rPr>
        <w:t>studijama</w:t>
      </w:r>
      <w:r w:rsidRPr="001202A2">
        <w:rPr>
          <w:rFonts w:eastAsia="TimesNewRoman"/>
          <w:szCs w:val="22"/>
          <w:lang w:val="sr-Latn-ME"/>
        </w:rPr>
        <w:t xml:space="preserve"> na životinjama, kod kunića </w:t>
      </w:r>
      <w:r w:rsidR="009E2C14" w:rsidRPr="001202A2">
        <w:rPr>
          <w:rFonts w:eastAsia="TimesNewRoman"/>
          <w:szCs w:val="22"/>
          <w:lang w:val="sr-Latn-ME"/>
        </w:rPr>
        <w:t>je</w:t>
      </w:r>
      <w:r w:rsidRPr="001202A2">
        <w:rPr>
          <w:rFonts w:eastAsia="TimesNewRoman"/>
          <w:szCs w:val="22"/>
          <w:lang w:val="sr-Latn-ME"/>
        </w:rPr>
        <w:t xml:space="preserve"> </w:t>
      </w:r>
      <w:r w:rsidR="009E2C14" w:rsidRPr="001202A2">
        <w:rPr>
          <w:rFonts w:eastAsia="TimesNewRoman"/>
          <w:szCs w:val="22"/>
          <w:lang w:val="sr-Latn-ME"/>
        </w:rPr>
        <w:t>uočena</w:t>
      </w:r>
      <w:r w:rsidRPr="001202A2">
        <w:rPr>
          <w:rFonts w:eastAsia="TimesNewRoman"/>
          <w:szCs w:val="22"/>
          <w:lang w:val="sr-Latn-ME"/>
        </w:rPr>
        <w:t xml:space="preserve"> povećana </w:t>
      </w:r>
      <w:r w:rsidR="009E2C14" w:rsidRPr="001202A2">
        <w:rPr>
          <w:rFonts w:eastAsia="TimesNewRoman"/>
          <w:szCs w:val="22"/>
          <w:lang w:val="sr-Latn-ME"/>
        </w:rPr>
        <w:t>incidenc</w:t>
      </w:r>
      <w:r w:rsidRPr="001202A2">
        <w:rPr>
          <w:rFonts w:eastAsia="TimesNewRoman"/>
          <w:szCs w:val="22"/>
          <w:lang w:val="sr-Latn-ME"/>
        </w:rPr>
        <w:t>a prom</w:t>
      </w:r>
      <w:r w:rsidR="00303F9A" w:rsidRPr="001202A2">
        <w:rPr>
          <w:rFonts w:eastAsia="TimesNewRoman"/>
          <w:szCs w:val="22"/>
          <w:lang w:val="sr-Latn-ME"/>
        </w:rPr>
        <w:t>j</w:t>
      </w:r>
      <w:r w:rsidRPr="001202A2">
        <w:rPr>
          <w:rFonts w:eastAsia="TimesNewRoman"/>
          <w:szCs w:val="22"/>
          <w:lang w:val="sr-Latn-ME"/>
        </w:rPr>
        <w:t>ena na žučnoj kesi pri dozama od 200 mg/kg, što je približno 6</w:t>
      </w:r>
      <w:r w:rsidR="009E2C14" w:rsidRPr="001202A2">
        <w:rPr>
          <w:rFonts w:eastAsia="TimesNewRoman"/>
          <w:szCs w:val="22"/>
          <w:lang w:val="sr-Latn-ME"/>
        </w:rPr>
        <w:t>5 puta veće od</w:t>
      </w:r>
      <w:r w:rsidRPr="001202A2">
        <w:rPr>
          <w:rFonts w:eastAsia="TimesNewRoman"/>
          <w:szCs w:val="22"/>
          <w:lang w:val="sr-Latn-ME"/>
        </w:rPr>
        <w:t xml:space="preserve"> maksimalne preporučene doze za ljude (</w:t>
      </w:r>
      <w:r w:rsidR="009E2C14" w:rsidRPr="001202A2">
        <w:rPr>
          <w:rFonts w:eastAsia="TimesNewRoman"/>
          <w:szCs w:val="22"/>
          <w:lang w:val="sr-Latn-ME"/>
        </w:rPr>
        <w:t xml:space="preserve">engl. </w:t>
      </w:r>
      <w:r w:rsidR="009E2C14" w:rsidRPr="001202A2">
        <w:rPr>
          <w:rFonts w:eastAsia="TimesNewRoman"/>
          <w:i/>
          <w:szCs w:val="22"/>
          <w:lang w:val="sr-Latn-ME"/>
        </w:rPr>
        <w:t xml:space="preserve">maximum recommended human dose, </w:t>
      </w:r>
      <w:r w:rsidRPr="001202A2">
        <w:rPr>
          <w:rFonts w:eastAsia="TimesNewRoman"/>
          <w:szCs w:val="22"/>
          <w:lang w:val="sr-Latn-ME"/>
        </w:rPr>
        <w:t>MRHD)</w:t>
      </w:r>
      <w:r w:rsidR="003638D9" w:rsidRPr="001202A2">
        <w:rPr>
          <w:rFonts w:eastAsia="TimesNewRoman"/>
          <w:szCs w:val="22"/>
          <w:lang w:val="sr-Latn-ME"/>
        </w:rPr>
        <w:t>,</w:t>
      </w:r>
      <w:r w:rsidRPr="001202A2">
        <w:rPr>
          <w:rFonts w:eastAsia="TimesNewRoman"/>
          <w:szCs w:val="22"/>
          <w:lang w:val="sr-Latn-ME"/>
        </w:rPr>
        <w:t xml:space="preserve"> </w:t>
      </w:r>
      <w:r w:rsidR="000F7904" w:rsidRPr="001202A2">
        <w:rPr>
          <w:rFonts w:eastAsia="TimesNewRoman"/>
          <w:szCs w:val="22"/>
          <w:lang w:val="sr-Latn-ME"/>
        </w:rPr>
        <w:t xml:space="preserve">koja iznosi </w:t>
      </w:r>
      <w:r w:rsidRPr="001202A2">
        <w:rPr>
          <w:rFonts w:eastAsia="TimesNewRoman"/>
          <w:szCs w:val="22"/>
          <w:lang w:val="sr-Latn-ME"/>
        </w:rPr>
        <w:t>60 mg/dan na osnovu ukupne površine t</w:t>
      </w:r>
      <w:r w:rsidR="00303F9A" w:rsidRPr="001202A2">
        <w:rPr>
          <w:rFonts w:eastAsia="TimesNewRoman"/>
          <w:szCs w:val="22"/>
          <w:lang w:val="sr-Latn-ME"/>
        </w:rPr>
        <w:t>ij</w:t>
      </w:r>
      <w:r w:rsidRPr="001202A2">
        <w:rPr>
          <w:rFonts w:eastAsia="TimesNewRoman"/>
          <w:szCs w:val="22"/>
          <w:lang w:val="sr-Latn-ME"/>
        </w:rPr>
        <w:t>ela u mg/m</w:t>
      </w:r>
      <w:r w:rsidRPr="001202A2">
        <w:rPr>
          <w:rFonts w:eastAsia="TimesNewRoman"/>
          <w:szCs w:val="22"/>
          <w:vertAlign w:val="superscript"/>
          <w:lang w:val="sr-Latn-ME"/>
        </w:rPr>
        <w:t>2</w:t>
      </w:r>
      <w:r w:rsidRPr="001202A2">
        <w:rPr>
          <w:rFonts w:eastAsia="TimesNewRoman"/>
          <w:szCs w:val="22"/>
          <w:lang w:val="sr-Latn-ME"/>
        </w:rPr>
        <w:t xml:space="preserve">. Povećani postimplantacioni </w:t>
      </w:r>
      <w:r w:rsidR="000F7904" w:rsidRPr="001202A2">
        <w:rPr>
          <w:rFonts w:eastAsia="TimesNewRoman"/>
          <w:szCs w:val="22"/>
          <w:lang w:val="sr-Latn-ME"/>
        </w:rPr>
        <w:t>pobačaji</w:t>
      </w:r>
      <w:r w:rsidRPr="001202A2">
        <w:rPr>
          <w:rFonts w:eastAsia="TimesNewRoman"/>
          <w:szCs w:val="22"/>
          <w:lang w:val="sr-Latn-ME"/>
        </w:rPr>
        <w:t xml:space="preserve"> </w:t>
      </w:r>
      <w:r w:rsidR="000F7904" w:rsidRPr="001202A2">
        <w:rPr>
          <w:rFonts w:eastAsia="TimesNewRoman"/>
          <w:szCs w:val="22"/>
          <w:lang w:val="sr-Latn-ME"/>
        </w:rPr>
        <w:t>su se javljali</w:t>
      </w:r>
      <w:r w:rsidRPr="001202A2">
        <w:rPr>
          <w:rFonts w:eastAsia="TimesNewRoman"/>
          <w:szCs w:val="22"/>
          <w:lang w:val="sr-Latn-ME"/>
        </w:rPr>
        <w:t xml:space="preserve"> kod pacova pri dozi od 300 mg/kg/dan (približno 49 </w:t>
      </w:r>
      <w:r w:rsidR="000F7904" w:rsidRPr="001202A2">
        <w:rPr>
          <w:rFonts w:eastAsia="TimesNewRoman"/>
          <w:szCs w:val="22"/>
          <w:lang w:val="sr-Latn-ME"/>
        </w:rPr>
        <w:t>puta veće</w:t>
      </w:r>
      <w:r w:rsidRPr="001202A2">
        <w:rPr>
          <w:rFonts w:eastAsia="TimesNewRoman"/>
          <w:szCs w:val="22"/>
          <w:lang w:val="sr-Latn-ME"/>
        </w:rPr>
        <w:t xml:space="preserve"> od MRHD)</w:t>
      </w:r>
      <w:r w:rsidR="000F7904" w:rsidRPr="001202A2">
        <w:rPr>
          <w:rFonts w:eastAsia="TimesNewRoman"/>
          <w:szCs w:val="22"/>
          <w:lang w:val="sr-Latn-ME"/>
        </w:rPr>
        <w:t>,</w:t>
      </w:r>
      <w:r w:rsidRPr="001202A2">
        <w:rPr>
          <w:rFonts w:eastAsia="TimesNewRoman"/>
          <w:szCs w:val="22"/>
          <w:lang w:val="sr-Latn-ME"/>
        </w:rPr>
        <w:t xml:space="preserve"> kao i kod kunića pri dozi od 200 mg/kg/dan (približno 65 puta </w:t>
      </w:r>
      <w:r w:rsidR="000F7904" w:rsidRPr="001202A2">
        <w:rPr>
          <w:rFonts w:eastAsia="TimesNewRoman"/>
          <w:szCs w:val="22"/>
          <w:lang w:val="sr-Latn-ME"/>
        </w:rPr>
        <w:t>veće</w:t>
      </w:r>
      <w:r w:rsidRPr="001202A2">
        <w:rPr>
          <w:rFonts w:eastAsia="TimesNewRoman"/>
          <w:szCs w:val="22"/>
          <w:lang w:val="sr-Latn-ME"/>
        </w:rPr>
        <w:t xml:space="preserve"> od MRHD).</w:t>
      </w:r>
    </w:p>
    <w:p w14:paraId="7BB24694" w14:textId="77777777" w:rsidR="0081120D" w:rsidRPr="001202A2" w:rsidRDefault="0081120D" w:rsidP="00480B31">
      <w:pPr>
        <w:tabs>
          <w:tab w:val="clear" w:pos="284"/>
        </w:tabs>
        <w:autoSpaceDE w:val="0"/>
        <w:autoSpaceDN w:val="0"/>
        <w:adjustRightInd w:val="0"/>
        <w:rPr>
          <w:rFonts w:eastAsia="TimesNewRoman"/>
          <w:szCs w:val="22"/>
          <w:lang w:val="sr-Latn-ME"/>
        </w:rPr>
      </w:pPr>
    </w:p>
    <w:p w14:paraId="0BA5104D" w14:textId="77D2BA98" w:rsidR="003441CC" w:rsidRPr="001202A2" w:rsidRDefault="003441CC" w:rsidP="00480B31">
      <w:pPr>
        <w:rPr>
          <w:rFonts w:eastAsia="TimesNewRoman"/>
          <w:szCs w:val="22"/>
          <w:lang w:val="sr-Latn-ME"/>
        </w:rPr>
      </w:pPr>
      <w:r w:rsidRPr="001202A2">
        <w:rPr>
          <w:rFonts w:eastAsia="TimesNewRoman"/>
          <w:szCs w:val="22"/>
          <w:lang w:val="sr-Latn-ME"/>
        </w:rPr>
        <w:t xml:space="preserve">Edoksaban se izlučuje u </w:t>
      </w:r>
      <w:r w:rsidR="000F7904" w:rsidRPr="001202A2">
        <w:rPr>
          <w:rFonts w:eastAsia="TimesNewRoman"/>
          <w:szCs w:val="22"/>
          <w:lang w:val="sr-Latn-ME"/>
        </w:rPr>
        <w:t>ml</w:t>
      </w:r>
      <w:r w:rsidR="00303F9A" w:rsidRPr="001202A2">
        <w:rPr>
          <w:rFonts w:eastAsia="TimesNewRoman"/>
          <w:szCs w:val="22"/>
          <w:lang w:val="sr-Latn-ME"/>
        </w:rPr>
        <w:t>ij</w:t>
      </w:r>
      <w:r w:rsidR="000F7904" w:rsidRPr="001202A2">
        <w:rPr>
          <w:rFonts w:eastAsia="TimesNewRoman"/>
          <w:szCs w:val="22"/>
          <w:lang w:val="sr-Latn-ME"/>
        </w:rPr>
        <w:t>eko</w:t>
      </w:r>
      <w:r w:rsidRPr="001202A2">
        <w:rPr>
          <w:rFonts w:eastAsia="TimesNewRoman"/>
          <w:szCs w:val="22"/>
          <w:lang w:val="sr-Latn-ME"/>
        </w:rPr>
        <w:t xml:space="preserve"> ženki pacova tokom laktacije.</w:t>
      </w:r>
    </w:p>
    <w:p w14:paraId="6A4D4ABC" w14:textId="77777777" w:rsidR="00743938" w:rsidRPr="001202A2" w:rsidRDefault="00743938" w:rsidP="00480B31">
      <w:pPr>
        <w:rPr>
          <w:rFonts w:eastAsia="TimesNewRoman"/>
          <w:szCs w:val="22"/>
          <w:lang w:val="sr-Latn-ME"/>
        </w:rPr>
      </w:pPr>
    </w:p>
    <w:p w14:paraId="3C2727B5" w14:textId="183FF7AB" w:rsidR="00233273" w:rsidRPr="001202A2" w:rsidRDefault="00233273" w:rsidP="00480B31">
      <w:pPr>
        <w:tabs>
          <w:tab w:val="clear" w:pos="284"/>
        </w:tabs>
        <w:autoSpaceDE w:val="0"/>
        <w:autoSpaceDN w:val="0"/>
        <w:adjustRightInd w:val="0"/>
        <w:rPr>
          <w:rFonts w:eastAsia="TimesNewRoman"/>
          <w:szCs w:val="22"/>
          <w:u w:val="single"/>
          <w:lang w:val="sr-Latn-ME"/>
        </w:rPr>
      </w:pPr>
      <w:r w:rsidRPr="001202A2">
        <w:rPr>
          <w:rFonts w:eastAsia="TimesNewRoman"/>
          <w:szCs w:val="22"/>
          <w:u w:val="single"/>
          <w:lang w:val="sr-Latn-ME"/>
        </w:rPr>
        <w:t>Proc</w:t>
      </w:r>
      <w:r w:rsidR="00303F9A" w:rsidRPr="001202A2">
        <w:rPr>
          <w:rFonts w:eastAsia="TimesNewRoman"/>
          <w:szCs w:val="22"/>
          <w:u w:val="single"/>
          <w:lang w:val="sr-Latn-ME"/>
        </w:rPr>
        <w:t>j</w:t>
      </w:r>
      <w:r w:rsidRPr="001202A2">
        <w:rPr>
          <w:rFonts w:eastAsia="TimesNewRoman"/>
          <w:szCs w:val="22"/>
          <w:u w:val="single"/>
          <w:lang w:val="sr-Latn-ME"/>
        </w:rPr>
        <w:t xml:space="preserve">ena rizika po okolinu (engl. </w:t>
      </w:r>
      <w:r w:rsidRPr="001202A2">
        <w:rPr>
          <w:rFonts w:eastAsia="TimesNewRoman"/>
          <w:i/>
          <w:iCs/>
          <w:szCs w:val="22"/>
          <w:u w:val="single"/>
          <w:lang w:val="sr-Latn-ME"/>
        </w:rPr>
        <w:t xml:space="preserve">environmental risk assessment, </w:t>
      </w:r>
      <w:r w:rsidRPr="001202A2">
        <w:rPr>
          <w:rFonts w:eastAsia="TimesNewRoman"/>
          <w:szCs w:val="22"/>
          <w:u w:val="single"/>
          <w:lang w:val="sr-Latn-ME"/>
        </w:rPr>
        <w:t>ERA)</w:t>
      </w:r>
    </w:p>
    <w:p w14:paraId="639BEDA2" w14:textId="559B3738" w:rsidR="00233273" w:rsidRPr="001202A2" w:rsidRDefault="00233273" w:rsidP="00480B31">
      <w:pPr>
        <w:tabs>
          <w:tab w:val="clear" w:pos="284"/>
        </w:tabs>
        <w:autoSpaceDE w:val="0"/>
        <w:autoSpaceDN w:val="0"/>
        <w:adjustRightInd w:val="0"/>
        <w:rPr>
          <w:rFonts w:eastAsia="TimesNewRoman"/>
          <w:szCs w:val="22"/>
          <w:lang w:val="sr-Latn-ME"/>
        </w:rPr>
      </w:pPr>
      <w:r w:rsidRPr="001202A2">
        <w:rPr>
          <w:rFonts w:eastAsia="TimesNewRoman"/>
          <w:szCs w:val="22"/>
          <w:lang w:val="sr-Latn-ME"/>
        </w:rPr>
        <w:t>Aktivno jedinjenje edoksaban tosilat se zadržava u spoljnoj okolini (za informacije o uklanjanju l</w:t>
      </w:r>
      <w:r w:rsidR="00303F9A" w:rsidRPr="001202A2">
        <w:rPr>
          <w:rFonts w:eastAsia="TimesNewRoman"/>
          <w:szCs w:val="22"/>
          <w:lang w:val="sr-Latn-ME"/>
        </w:rPr>
        <w:t>ij</w:t>
      </w:r>
      <w:r w:rsidRPr="001202A2">
        <w:rPr>
          <w:rFonts w:eastAsia="TimesNewRoman"/>
          <w:szCs w:val="22"/>
          <w:lang w:val="sr-Latn-ME"/>
        </w:rPr>
        <w:t>eka vid</w:t>
      </w:r>
      <w:r w:rsidR="00303F9A" w:rsidRPr="001202A2">
        <w:rPr>
          <w:rFonts w:eastAsia="TimesNewRoman"/>
          <w:szCs w:val="22"/>
          <w:lang w:val="sr-Latn-ME"/>
        </w:rPr>
        <w:t>j</w:t>
      </w:r>
      <w:r w:rsidRPr="001202A2">
        <w:rPr>
          <w:rFonts w:eastAsia="TimesNewRoman"/>
          <w:szCs w:val="22"/>
          <w:lang w:val="sr-Latn-ME"/>
        </w:rPr>
        <w:t xml:space="preserve">eti </w:t>
      </w:r>
      <w:r w:rsidR="00303F9A" w:rsidRPr="001202A2">
        <w:rPr>
          <w:rFonts w:eastAsia="TimesNewRoman"/>
          <w:szCs w:val="22"/>
          <w:lang w:val="sr-Latn-ME"/>
        </w:rPr>
        <w:t>dio</w:t>
      </w:r>
      <w:r w:rsidRPr="001202A2">
        <w:rPr>
          <w:rFonts w:eastAsia="TimesNewRoman"/>
          <w:szCs w:val="22"/>
          <w:lang w:val="sr-Latn-ME"/>
        </w:rPr>
        <w:t xml:space="preserve"> 6.6).</w:t>
      </w:r>
    </w:p>
    <w:p w14:paraId="3EA23C55" w14:textId="6C0AFD93" w:rsidR="00586C81" w:rsidRPr="001202A2" w:rsidRDefault="00586C81" w:rsidP="00480B31">
      <w:pPr>
        <w:tabs>
          <w:tab w:val="clear" w:pos="284"/>
        </w:tabs>
        <w:autoSpaceDE w:val="0"/>
        <w:autoSpaceDN w:val="0"/>
        <w:adjustRightInd w:val="0"/>
        <w:rPr>
          <w:rFonts w:eastAsia="TimesNewRoman"/>
          <w:szCs w:val="22"/>
          <w:lang w:val="sr-Latn-ME"/>
        </w:rPr>
      </w:pPr>
    </w:p>
    <w:p w14:paraId="7CAEE583" w14:textId="77777777" w:rsidR="00586C81" w:rsidRPr="001202A2" w:rsidRDefault="00586C81" w:rsidP="00480B31">
      <w:pPr>
        <w:tabs>
          <w:tab w:val="clear" w:pos="284"/>
        </w:tabs>
        <w:autoSpaceDE w:val="0"/>
        <w:autoSpaceDN w:val="0"/>
        <w:adjustRightInd w:val="0"/>
        <w:rPr>
          <w:b/>
          <w:bCs/>
          <w:szCs w:val="22"/>
          <w:lang w:val="sr-Latn-ME"/>
        </w:rPr>
      </w:pPr>
    </w:p>
    <w:p w14:paraId="3D711171" w14:textId="04BC6796" w:rsidR="00CE09F3" w:rsidRPr="001202A2" w:rsidRDefault="00CE09F3" w:rsidP="00480B31">
      <w:pPr>
        <w:pStyle w:val="NASLOV123"/>
        <w:numPr>
          <w:ilvl w:val="0"/>
          <w:numId w:val="12"/>
        </w:numPr>
        <w:spacing w:before="0" w:after="0"/>
        <w:rPr>
          <w:lang w:val="sr-Latn-ME"/>
        </w:rPr>
      </w:pPr>
      <w:r w:rsidRPr="001202A2">
        <w:rPr>
          <w:lang w:val="sr-Latn-ME"/>
        </w:rPr>
        <w:t>FARMACEUTSKI PODACI</w:t>
      </w:r>
    </w:p>
    <w:p w14:paraId="5C952E5E" w14:textId="77777777" w:rsidR="00586C81" w:rsidRPr="001202A2" w:rsidRDefault="00586C81" w:rsidP="00480B31">
      <w:pPr>
        <w:pStyle w:val="NASLOV123"/>
        <w:spacing w:before="0" w:after="0"/>
        <w:ind w:left="720"/>
        <w:rPr>
          <w:lang w:val="sr-Latn-ME"/>
        </w:rPr>
      </w:pPr>
    </w:p>
    <w:p w14:paraId="3D711172" w14:textId="3166FB06" w:rsidR="00CE09F3" w:rsidRPr="001202A2" w:rsidRDefault="00CE09F3" w:rsidP="00480B31">
      <w:pPr>
        <w:rPr>
          <w:b/>
          <w:bCs/>
          <w:szCs w:val="22"/>
          <w:lang w:val="sr-Latn-ME"/>
        </w:rPr>
      </w:pPr>
      <w:r w:rsidRPr="001202A2">
        <w:rPr>
          <w:b/>
          <w:bCs/>
          <w:szCs w:val="22"/>
          <w:lang w:val="sr-Latn-ME"/>
        </w:rPr>
        <w:t>6.1. Lista pomoćnih supstanci</w:t>
      </w:r>
      <w:r w:rsidR="00303F9A" w:rsidRPr="001202A2">
        <w:rPr>
          <w:b/>
          <w:bCs/>
          <w:szCs w:val="22"/>
          <w:lang w:val="sr-Latn-ME"/>
        </w:rPr>
        <w:t xml:space="preserve"> </w:t>
      </w:r>
      <w:r w:rsidR="00462196" w:rsidRPr="001202A2">
        <w:rPr>
          <w:b/>
          <w:bCs/>
          <w:szCs w:val="22"/>
          <w:lang w:val="sr-Latn-ME"/>
        </w:rPr>
        <w:t>(ekscipijenasa)</w:t>
      </w:r>
    </w:p>
    <w:p w14:paraId="56B8DB29" w14:textId="29C7B2E8" w:rsidR="00743938" w:rsidRPr="001202A2" w:rsidRDefault="00743938" w:rsidP="00480B31">
      <w:pPr>
        <w:rPr>
          <w:b/>
          <w:bCs/>
          <w:szCs w:val="22"/>
          <w:lang w:val="sr-Latn-ME"/>
        </w:rPr>
      </w:pPr>
    </w:p>
    <w:p w14:paraId="6F40DBB4" w14:textId="77777777" w:rsidR="00743938" w:rsidRPr="001202A2" w:rsidRDefault="00743938" w:rsidP="00480B31">
      <w:pPr>
        <w:rPr>
          <w:i/>
          <w:szCs w:val="22"/>
          <w:lang w:val="sr-Latn-ME"/>
        </w:rPr>
      </w:pPr>
      <w:r w:rsidRPr="001202A2">
        <w:rPr>
          <w:i/>
          <w:szCs w:val="22"/>
          <w:lang w:val="sr-Latn-ME"/>
        </w:rPr>
        <w:t>Jezgro film tablete</w:t>
      </w:r>
    </w:p>
    <w:p w14:paraId="2DFA9D20" w14:textId="77777777" w:rsidR="00743938" w:rsidRPr="001202A2" w:rsidRDefault="00743938" w:rsidP="00480B31">
      <w:pPr>
        <w:rPr>
          <w:szCs w:val="22"/>
          <w:lang w:val="sr-Latn-ME"/>
        </w:rPr>
      </w:pPr>
      <w:r w:rsidRPr="001202A2">
        <w:rPr>
          <w:szCs w:val="22"/>
          <w:lang w:val="sr-Latn-ME"/>
        </w:rPr>
        <w:t>Celuloza, mikrokristalna;</w:t>
      </w:r>
    </w:p>
    <w:p w14:paraId="3C7FCB63" w14:textId="77777777" w:rsidR="00743938" w:rsidRPr="001202A2" w:rsidRDefault="00743938" w:rsidP="00480B31">
      <w:pPr>
        <w:rPr>
          <w:szCs w:val="22"/>
          <w:lang w:val="sr-Latn-ME"/>
        </w:rPr>
      </w:pPr>
      <w:r w:rsidRPr="001202A2">
        <w:rPr>
          <w:szCs w:val="22"/>
          <w:lang w:val="sr-Latn-ME"/>
        </w:rPr>
        <w:t>Hidroksipropilceluloza niskosupstituisana;</w:t>
      </w:r>
    </w:p>
    <w:p w14:paraId="63F1D828" w14:textId="77777777" w:rsidR="00743938" w:rsidRPr="001202A2" w:rsidRDefault="00743938" w:rsidP="00480B31">
      <w:pPr>
        <w:rPr>
          <w:szCs w:val="22"/>
          <w:lang w:val="sr-Latn-ME"/>
        </w:rPr>
      </w:pPr>
      <w:r w:rsidRPr="001202A2">
        <w:rPr>
          <w:szCs w:val="22"/>
          <w:lang w:val="sr-Latn-ME"/>
        </w:rPr>
        <w:t>Krospovidon (tip A);</w:t>
      </w:r>
    </w:p>
    <w:p w14:paraId="24142112" w14:textId="77777777" w:rsidR="00743938" w:rsidRPr="001202A2" w:rsidRDefault="00743938" w:rsidP="00480B31">
      <w:pPr>
        <w:rPr>
          <w:szCs w:val="22"/>
          <w:lang w:val="sr-Latn-ME"/>
        </w:rPr>
      </w:pPr>
      <w:r w:rsidRPr="001202A2">
        <w:rPr>
          <w:szCs w:val="22"/>
          <w:lang w:val="sr-Latn-ME"/>
        </w:rPr>
        <w:t xml:space="preserve">Hidroksipropilceluloza; </w:t>
      </w:r>
    </w:p>
    <w:p w14:paraId="71DDE2AB" w14:textId="77777777" w:rsidR="00743938" w:rsidRPr="001202A2" w:rsidRDefault="00743938" w:rsidP="00480B31">
      <w:pPr>
        <w:rPr>
          <w:szCs w:val="22"/>
          <w:lang w:val="sr-Latn-ME"/>
        </w:rPr>
      </w:pPr>
      <w:r w:rsidRPr="001202A2">
        <w:rPr>
          <w:szCs w:val="22"/>
          <w:lang w:val="sr-Latn-ME"/>
        </w:rPr>
        <w:t xml:space="preserve">Silicijum dioksid, koloidni, bezvodni; </w:t>
      </w:r>
    </w:p>
    <w:p w14:paraId="6D2734C9" w14:textId="327DC7EE" w:rsidR="00743938" w:rsidRPr="001202A2" w:rsidRDefault="00743938" w:rsidP="00480B31">
      <w:pPr>
        <w:rPr>
          <w:szCs w:val="22"/>
          <w:lang w:val="sr-Latn-ME"/>
        </w:rPr>
      </w:pPr>
      <w:r w:rsidRPr="001202A2">
        <w:rPr>
          <w:szCs w:val="22"/>
          <w:lang w:val="sr-Latn-ME"/>
        </w:rPr>
        <w:t>Magnezijum stearat.</w:t>
      </w:r>
    </w:p>
    <w:p w14:paraId="420B67B3" w14:textId="474ADCFC" w:rsidR="00743938" w:rsidRPr="001202A2" w:rsidRDefault="00743938" w:rsidP="00480B31">
      <w:pPr>
        <w:rPr>
          <w:b/>
          <w:bCs/>
          <w:szCs w:val="22"/>
          <w:lang w:val="sr-Latn-ME"/>
        </w:rPr>
      </w:pPr>
    </w:p>
    <w:p w14:paraId="58D41981" w14:textId="77777777" w:rsidR="00743938" w:rsidRPr="001202A2" w:rsidRDefault="00743938" w:rsidP="00743938">
      <w:pPr>
        <w:rPr>
          <w:szCs w:val="22"/>
          <w:u w:val="single"/>
          <w:lang w:val="sr-Latn-ME"/>
        </w:rPr>
      </w:pPr>
      <w:r w:rsidRPr="001202A2">
        <w:rPr>
          <w:iCs/>
          <w:szCs w:val="22"/>
          <w:u w:val="single"/>
          <w:lang w:val="sr-Latn-ME"/>
        </w:rPr>
        <w:t>Oxaway, 15 mg, film tableta</w:t>
      </w:r>
      <w:r w:rsidRPr="001202A2">
        <w:rPr>
          <w:szCs w:val="22"/>
          <w:u w:val="single"/>
          <w:lang w:val="sr-Latn-ME"/>
        </w:rPr>
        <w:t xml:space="preserve"> </w:t>
      </w:r>
    </w:p>
    <w:p w14:paraId="741E7E36" w14:textId="33007B2E" w:rsidR="00743938" w:rsidRPr="001202A2" w:rsidRDefault="00743938" w:rsidP="00480B31">
      <w:pPr>
        <w:rPr>
          <w:bCs/>
          <w:i/>
          <w:szCs w:val="22"/>
          <w:lang w:val="sr-Latn-ME"/>
        </w:rPr>
      </w:pPr>
      <w:r w:rsidRPr="001202A2">
        <w:rPr>
          <w:bCs/>
          <w:i/>
          <w:szCs w:val="22"/>
          <w:lang w:val="sr-Latn-ME"/>
        </w:rPr>
        <w:t>Film obloga tablete</w:t>
      </w:r>
    </w:p>
    <w:p w14:paraId="6C4B9343" w14:textId="2CC5DB52" w:rsidR="00743938" w:rsidRPr="001202A2" w:rsidRDefault="00743938" w:rsidP="00480B31">
      <w:pPr>
        <w:rPr>
          <w:szCs w:val="22"/>
          <w:lang w:val="sr-Latn-ME"/>
        </w:rPr>
      </w:pPr>
      <w:r w:rsidRPr="001202A2">
        <w:rPr>
          <w:szCs w:val="22"/>
          <w:lang w:val="sr-Latn-ME"/>
        </w:rPr>
        <w:t>H</w:t>
      </w:r>
      <w:r w:rsidR="00462196" w:rsidRPr="001202A2">
        <w:rPr>
          <w:szCs w:val="22"/>
          <w:lang w:val="sr-Latn-ME"/>
        </w:rPr>
        <w:t>ipromeloza 2910 (E464);</w:t>
      </w:r>
    </w:p>
    <w:p w14:paraId="31526CFB" w14:textId="3D7B95B5" w:rsidR="00743938" w:rsidRPr="001202A2" w:rsidRDefault="00743938" w:rsidP="00480B31">
      <w:pPr>
        <w:rPr>
          <w:szCs w:val="22"/>
          <w:lang w:val="sr-Latn-ME"/>
        </w:rPr>
      </w:pPr>
      <w:r w:rsidRPr="001202A2">
        <w:rPr>
          <w:szCs w:val="22"/>
          <w:lang w:val="sr-Latn-ME"/>
        </w:rPr>
        <w:t>M</w:t>
      </w:r>
      <w:r w:rsidR="00462196" w:rsidRPr="001202A2">
        <w:rPr>
          <w:szCs w:val="22"/>
          <w:lang w:val="sr-Latn-ME"/>
        </w:rPr>
        <w:t>akrogol 8000 (E1521);</w:t>
      </w:r>
    </w:p>
    <w:p w14:paraId="05F13EBB" w14:textId="492B0E14" w:rsidR="00743938" w:rsidRPr="001202A2" w:rsidRDefault="00743938" w:rsidP="00480B31">
      <w:pPr>
        <w:rPr>
          <w:szCs w:val="22"/>
          <w:lang w:val="sr-Latn-ME"/>
        </w:rPr>
      </w:pPr>
      <w:r w:rsidRPr="001202A2">
        <w:rPr>
          <w:szCs w:val="22"/>
          <w:lang w:val="sr-Latn-ME"/>
        </w:rPr>
        <w:t>T</w:t>
      </w:r>
      <w:r w:rsidR="00462196" w:rsidRPr="001202A2">
        <w:rPr>
          <w:szCs w:val="22"/>
          <w:lang w:val="sr-Latn-ME"/>
        </w:rPr>
        <w:t>itan dioksid (E171);</w:t>
      </w:r>
    </w:p>
    <w:p w14:paraId="64DF12B4" w14:textId="7AC79279" w:rsidR="00743938" w:rsidRPr="001202A2" w:rsidRDefault="00743938" w:rsidP="00480B31">
      <w:pPr>
        <w:rPr>
          <w:szCs w:val="22"/>
          <w:lang w:val="sr-Latn-ME"/>
        </w:rPr>
      </w:pPr>
      <w:r w:rsidRPr="001202A2">
        <w:rPr>
          <w:szCs w:val="22"/>
          <w:lang w:val="sr-Latn-ME"/>
        </w:rPr>
        <w:t>T</w:t>
      </w:r>
      <w:r w:rsidR="00462196" w:rsidRPr="001202A2">
        <w:rPr>
          <w:szCs w:val="22"/>
          <w:lang w:val="sr-Latn-ME"/>
        </w:rPr>
        <w:t>alk (E553b)</w:t>
      </w:r>
      <w:r w:rsidRPr="001202A2">
        <w:rPr>
          <w:szCs w:val="22"/>
          <w:lang w:val="sr-Latn-ME"/>
        </w:rPr>
        <w:t>;</w:t>
      </w:r>
    </w:p>
    <w:p w14:paraId="660BD46D" w14:textId="32686E38" w:rsidR="00743938" w:rsidRPr="001202A2" w:rsidRDefault="00743938" w:rsidP="00480B31">
      <w:pPr>
        <w:rPr>
          <w:szCs w:val="22"/>
          <w:lang w:val="sr-Latn-ME"/>
        </w:rPr>
      </w:pPr>
      <w:r w:rsidRPr="001202A2">
        <w:rPr>
          <w:szCs w:val="22"/>
          <w:lang w:val="sr-Latn-ME"/>
        </w:rPr>
        <w:t>G</w:t>
      </w:r>
      <w:r w:rsidR="00462196" w:rsidRPr="001202A2">
        <w:rPr>
          <w:szCs w:val="22"/>
          <w:lang w:val="sr-Latn-ME"/>
        </w:rPr>
        <w:t>vožđe</w:t>
      </w:r>
      <w:r w:rsidRPr="001202A2">
        <w:rPr>
          <w:szCs w:val="22"/>
          <w:lang w:val="sr-Latn-ME"/>
        </w:rPr>
        <w:t xml:space="preserve"> </w:t>
      </w:r>
      <w:r w:rsidR="00044F01" w:rsidRPr="001202A2">
        <w:rPr>
          <w:szCs w:val="22"/>
          <w:lang w:val="sr-Latn-ME"/>
        </w:rPr>
        <w:t>(III)</w:t>
      </w:r>
      <w:r w:rsidR="00462196" w:rsidRPr="001202A2">
        <w:rPr>
          <w:szCs w:val="22"/>
          <w:lang w:val="sr-Latn-ME"/>
        </w:rPr>
        <w:t xml:space="preserve"> oksid, crveni (E172)</w:t>
      </w:r>
      <w:r w:rsidRPr="001202A2">
        <w:rPr>
          <w:szCs w:val="22"/>
          <w:lang w:val="sr-Latn-ME"/>
        </w:rPr>
        <w:t>;</w:t>
      </w:r>
    </w:p>
    <w:p w14:paraId="5E97BA62" w14:textId="6B59312F" w:rsidR="00462196" w:rsidRPr="001202A2" w:rsidRDefault="00743938" w:rsidP="00480B31">
      <w:pPr>
        <w:rPr>
          <w:szCs w:val="22"/>
          <w:lang w:val="sr-Latn-ME"/>
        </w:rPr>
      </w:pPr>
      <w:r w:rsidRPr="001202A2">
        <w:rPr>
          <w:szCs w:val="22"/>
          <w:lang w:val="sr-Latn-ME"/>
        </w:rPr>
        <w:t>G</w:t>
      </w:r>
      <w:r w:rsidR="00462196" w:rsidRPr="001202A2">
        <w:rPr>
          <w:szCs w:val="22"/>
          <w:lang w:val="sr-Latn-ME"/>
        </w:rPr>
        <w:t>vožđe</w:t>
      </w:r>
      <w:r w:rsidRPr="001202A2">
        <w:rPr>
          <w:szCs w:val="22"/>
          <w:lang w:val="sr-Latn-ME"/>
        </w:rPr>
        <w:t xml:space="preserve"> </w:t>
      </w:r>
      <w:r w:rsidR="00044F01" w:rsidRPr="001202A2">
        <w:rPr>
          <w:szCs w:val="22"/>
          <w:lang w:val="sr-Latn-ME"/>
        </w:rPr>
        <w:t>(III)</w:t>
      </w:r>
      <w:r w:rsidR="00462196" w:rsidRPr="001202A2">
        <w:rPr>
          <w:szCs w:val="22"/>
          <w:lang w:val="sr-Latn-ME"/>
        </w:rPr>
        <w:t xml:space="preserve"> oksid, žuti (E172). </w:t>
      </w:r>
    </w:p>
    <w:p w14:paraId="26CD1AD7" w14:textId="0B1329DA" w:rsidR="00743938" w:rsidRPr="001202A2" w:rsidRDefault="00743938" w:rsidP="00480B31">
      <w:pPr>
        <w:rPr>
          <w:szCs w:val="22"/>
          <w:lang w:val="sr-Latn-ME"/>
        </w:rPr>
      </w:pPr>
    </w:p>
    <w:p w14:paraId="7DD62A6C" w14:textId="1975AD4D" w:rsidR="00462196" w:rsidRPr="001202A2" w:rsidRDefault="00462196" w:rsidP="00480B31">
      <w:pPr>
        <w:rPr>
          <w:szCs w:val="22"/>
          <w:lang w:val="sr-Latn-ME"/>
        </w:rPr>
      </w:pPr>
      <w:r w:rsidRPr="001202A2">
        <w:rPr>
          <w:iCs/>
          <w:szCs w:val="22"/>
          <w:u w:val="single"/>
          <w:lang w:val="sr-Latn-ME"/>
        </w:rPr>
        <w:t>Oxaway, 30 mg, film tablet</w:t>
      </w:r>
      <w:r w:rsidR="00743938" w:rsidRPr="001202A2">
        <w:rPr>
          <w:iCs/>
          <w:szCs w:val="22"/>
          <w:u w:val="single"/>
          <w:lang w:val="sr-Latn-ME"/>
        </w:rPr>
        <w:t>a</w:t>
      </w:r>
      <w:r w:rsidRPr="001202A2">
        <w:rPr>
          <w:szCs w:val="22"/>
          <w:lang w:val="sr-Latn-ME"/>
        </w:rPr>
        <w:t xml:space="preserve"> </w:t>
      </w:r>
    </w:p>
    <w:p w14:paraId="1BAD87A0" w14:textId="6E7694DC" w:rsidR="00743938" w:rsidRPr="001202A2" w:rsidRDefault="00462196" w:rsidP="00480B31">
      <w:pPr>
        <w:rPr>
          <w:szCs w:val="22"/>
          <w:u w:val="single"/>
          <w:lang w:val="sr-Latn-ME"/>
        </w:rPr>
      </w:pPr>
      <w:r w:rsidRPr="001202A2">
        <w:rPr>
          <w:i/>
          <w:szCs w:val="22"/>
          <w:lang w:val="sr-Latn-ME"/>
        </w:rPr>
        <w:t>Film obloga tablete</w:t>
      </w:r>
    </w:p>
    <w:p w14:paraId="6B4F4320" w14:textId="5639A07A" w:rsidR="00743938" w:rsidRPr="001202A2" w:rsidRDefault="00743938" w:rsidP="00480B31">
      <w:pPr>
        <w:rPr>
          <w:szCs w:val="22"/>
          <w:lang w:val="sr-Latn-ME"/>
        </w:rPr>
      </w:pPr>
      <w:r w:rsidRPr="001202A2">
        <w:rPr>
          <w:szCs w:val="22"/>
          <w:lang w:val="sr-Latn-ME"/>
        </w:rPr>
        <w:t>H</w:t>
      </w:r>
      <w:r w:rsidR="00462196" w:rsidRPr="001202A2">
        <w:rPr>
          <w:szCs w:val="22"/>
          <w:lang w:val="sr-Latn-ME"/>
        </w:rPr>
        <w:t>ipromeloza 2910 (E464);</w:t>
      </w:r>
    </w:p>
    <w:p w14:paraId="379183CD" w14:textId="7BCE392A" w:rsidR="00743938" w:rsidRPr="001202A2" w:rsidRDefault="00743938" w:rsidP="00480B31">
      <w:pPr>
        <w:rPr>
          <w:szCs w:val="22"/>
          <w:lang w:val="sr-Latn-ME"/>
        </w:rPr>
      </w:pPr>
      <w:r w:rsidRPr="001202A2">
        <w:rPr>
          <w:szCs w:val="22"/>
          <w:lang w:val="sr-Latn-ME"/>
        </w:rPr>
        <w:t>M</w:t>
      </w:r>
      <w:r w:rsidR="00462196" w:rsidRPr="001202A2">
        <w:rPr>
          <w:szCs w:val="22"/>
          <w:lang w:val="sr-Latn-ME"/>
        </w:rPr>
        <w:t>akrogol 8000 (E1521);</w:t>
      </w:r>
    </w:p>
    <w:p w14:paraId="1D6671CA" w14:textId="31740016" w:rsidR="00743938" w:rsidRPr="001202A2" w:rsidRDefault="00743938" w:rsidP="00480B31">
      <w:pPr>
        <w:rPr>
          <w:szCs w:val="22"/>
          <w:lang w:val="sr-Latn-ME"/>
        </w:rPr>
      </w:pPr>
      <w:r w:rsidRPr="001202A2">
        <w:rPr>
          <w:szCs w:val="22"/>
          <w:lang w:val="sr-Latn-ME"/>
        </w:rPr>
        <w:t>T</w:t>
      </w:r>
      <w:r w:rsidR="00462196" w:rsidRPr="001202A2">
        <w:rPr>
          <w:szCs w:val="22"/>
          <w:lang w:val="sr-Latn-ME"/>
        </w:rPr>
        <w:t>itan dioksid (E171);</w:t>
      </w:r>
    </w:p>
    <w:p w14:paraId="0BBD0330" w14:textId="4CEFB5CF" w:rsidR="00743938" w:rsidRPr="001202A2" w:rsidRDefault="00743938" w:rsidP="00480B31">
      <w:pPr>
        <w:rPr>
          <w:szCs w:val="22"/>
          <w:lang w:val="sr-Latn-ME"/>
        </w:rPr>
      </w:pPr>
      <w:r w:rsidRPr="001202A2">
        <w:rPr>
          <w:szCs w:val="22"/>
          <w:lang w:val="sr-Latn-ME"/>
        </w:rPr>
        <w:t>T</w:t>
      </w:r>
      <w:r w:rsidR="00462196" w:rsidRPr="001202A2">
        <w:rPr>
          <w:szCs w:val="22"/>
          <w:lang w:val="sr-Latn-ME"/>
        </w:rPr>
        <w:t>alk (E553b)</w:t>
      </w:r>
      <w:r w:rsidR="005F67AD" w:rsidRPr="001202A2">
        <w:rPr>
          <w:szCs w:val="22"/>
          <w:lang w:val="sr-Latn-ME"/>
        </w:rPr>
        <w:t>;</w:t>
      </w:r>
    </w:p>
    <w:p w14:paraId="0A843FE2" w14:textId="231EB0AD" w:rsidR="00462196" w:rsidRPr="001202A2" w:rsidRDefault="00743938" w:rsidP="00480B31">
      <w:pPr>
        <w:rPr>
          <w:szCs w:val="22"/>
          <w:lang w:val="sr-Latn-ME"/>
        </w:rPr>
      </w:pPr>
      <w:r w:rsidRPr="001202A2">
        <w:rPr>
          <w:szCs w:val="22"/>
          <w:lang w:val="sr-Latn-ME"/>
        </w:rPr>
        <w:t>G</w:t>
      </w:r>
      <w:r w:rsidR="00462196" w:rsidRPr="001202A2">
        <w:rPr>
          <w:szCs w:val="22"/>
          <w:lang w:val="sr-Latn-ME"/>
        </w:rPr>
        <w:t>vožđe</w:t>
      </w:r>
      <w:r w:rsidR="005F67AD" w:rsidRPr="001202A2">
        <w:rPr>
          <w:szCs w:val="22"/>
          <w:lang w:val="sr-Latn-ME"/>
        </w:rPr>
        <w:t xml:space="preserve"> </w:t>
      </w:r>
      <w:r w:rsidR="00426F1D" w:rsidRPr="001202A2">
        <w:rPr>
          <w:szCs w:val="22"/>
          <w:lang w:val="sr-Latn-ME"/>
        </w:rPr>
        <w:t>(III)</w:t>
      </w:r>
      <w:r w:rsidR="00462196" w:rsidRPr="001202A2">
        <w:rPr>
          <w:szCs w:val="22"/>
          <w:lang w:val="sr-Latn-ME"/>
        </w:rPr>
        <w:t xml:space="preserve"> oksid, crveni (E172)</w:t>
      </w:r>
      <w:r w:rsidR="005F67AD" w:rsidRPr="001202A2">
        <w:rPr>
          <w:szCs w:val="22"/>
          <w:lang w:val="sr-Latn-ME"/>
        </w:rPr>
        <w:t>.</w:t>
      </w:r>
    </w:p>
    <w:p w14:paraId="053EB113" w14:textId="77777777" w:rsidR="00743938" w:rsidRPr="001202A2" w:rsidRDefault="00743938" w:rsidP="00480B31">
      <w:pPr>
        <w:rPr>
          <w:szCs w:val="22"/>
          <w:lang w:val="sr-Latn-ME"/>
        </w:rPr>
      </w:pPr>
    </w:p>
    <w:p w14:paraId="0E93751B" w14:textId="6B6C9498" w:rsidR="00462196" w:rsidRPr="001202A2" w:rsidRDefault="00462196" w:rsidP="00480B31">
      <w:pPr>
        <w:rPr>
          <w:szCs w:val="22"/>
          <w:u w:val="single"/>
          <w:lang w:val="sr-Latn-ME"/>
        </w:rPr>
      </w:pPr>
      <w:r w:rsidRPr="001202A2">
        <w:rPr>
          <w:iCs/>
          <w:szCs w:val="22"/>
          <w:u w:val="single"/>
          <w:lang w:val="sr-Latn-ME"/>
        </w:rPr>
        <w:t>Oxaway, 60 mg, film tablet</w:t>
      </w:r>
      <w:r w:rsidR="00743938" w:rsidRPr="001202A2">
        <w:rPr>
          <w:iCs/>
          <w:szCs w:val="22"/>
          <w:u w:val="single"/>
          <w:lang w:val="sr-Latn-ME"/>
        </w:rPr>
        <w:t>a</w:t>
      </w:r>
      <w:r w:rsidRPr="001202A2">
        <w:rPr>
          <w:szCs w:val="22"/>
          <w:u w:val="single"/>
          <w:lang w:val="sr-Latn-ME"/>
        </w:rPr>
        <w:t xml:space="preserve"> </w:t>
      </w:r>
    </w:p>
    <w:p w14:paraId="11762318" w14:textId="22664923" w:rsidR="00743938" w:rsidRPr="001202A2" w:rsidRDefault="00462196" w:rsidP="00480B31">
      <w:pPr>
        <w:rPr>
          <w:szCs w:val="22"/>
          <w:u w:val="single"/>
          <w:lang w:val="sr-Latn-ME"/>
        </w:rPr>
      </w:pPr>
      <w:r w:rsidRPr="001202A2">
        <w:rPr>
          <w:i/>
          <w:szCs w:val="22"/>
          <w:lang w:val="sr-Latn-ME"/>
        </w:rPr>
        <w:lastRenderedPageBreak/>
        <w:t>Film obloga tablete</w:t>
      </w:r>
    </w:p>
    <w:p w14:paraId="26FDCD0C" w14:textId="4910962C" w:rsidR="00743938" w:rsidRPr="001202A2" w:rsidRDefault="00743938" w:rsidP="00480B31">
      <w:pPr>
        <w:rPr>
          <w:szCs w:val="22"/>
          <w:lang w:val="sr-Latn-ME"/>
        </w:rPr>
      </w:pPr>
      <w:r w:rsidRPr="001202A2">
        <w:rPr>
          <w:szCs w:val="22"/>
          <w:lang w:val="sr-Latn-ME"/>
        </w:rPr>
        <w:t>H</w:t>
      </w:r>
      <w:r w:rsidR="00462196" w:rsidRPr="001202A2">
        <w:rPr>
          <w:szCs w:val="22"/>
          <w:lang w:val="sr-Latn-ME"/>
        </w:rPr>
        <w:t xml:space="preserve">ipromeloza 2910 (E464); </w:t>
      </w:r>
    </w:p>
    <w:p w14:paraId="7A482D60" w14:textId="1C5DFF00" w:rsidR="00743938" w:rsidRPr="001202A2" w:rsidRDefault="00743938" w:rsidP="00480B31">
      <w:pPr>
        <w:rPr>
          <w:szCs w:val="22"/>
          <w:lang w:val="sr-Latn-ME"/>
        </w:rPr>
      </w:pPr>
      <w:r w:rsidRPr="001202A2">
        <w:rPr>
          <w:szCs w:val="22"/>
          <w:lang w:val="sr-Latn-ME"/>
        </w:rPr>
        <w:t>M</w:t>
      </w:r>
      <w:r w:rsidR="00462196" w:rsidRPr="001202A2">
        <w:rPr>
          <w:szCs w:val="22"/>
          <w:lang w:val="sr-Latn-ME"/>
        </w:rPr>
        <w:t>akrogol 8000 (E1521);</w:t>
      </w:r>
    </w:p>
    <w:p w14:paraId="79C160C9" w14:textId="5D0C5919" w:rsidR="00743938" w:rsidRPr="001202A2" w:rsidRDefault="00743938" w:rsidP="00480B31">
      <w:pPr>
        <w:rPr>
          <w:szCs w:val="22"/>
          <w:lang w:val="sr-Latn-ME"/>
        </w:rPr>
      </w:pPr>
      <w:r w:rsidRPr="001202A2">
        <w:rPr>
          <w:szCs w:val="22"/>
          <w:lang w:val="sr-Latn-ME"/>
        </w:rPr>
        <w:t>T</w:t>
      </w:r>
      <w:r w:rsidR="00462196" w:rsidRPr="001202A2">
        <w:rPr>
          <w:szCs w:val="22"/>
          <w:lang w:val="sr-Latn-ME"/>
        </w:rPr>
        <w:t>itan dioksid (E171);</w:t>
      </w:r>
    </w:p>
    <w:p w14:paraId="426379C9" w14:textId="7B02FED5" w:rsidR="00743938" w:rsidRPr="001202A2" w:rsidRDefault="00743938" w:rsidP="00480B31">
      <w:pPr>
        <w:rPr>
          <w:szCs w:val="22"/>
          <w:lang w:val="sr-Latn-ME"/>
        </w:rPr>
      </w:pPr>
      <w:r w:rsidRPr="001202A2">
        <w:rPr>
          <w:szCs w:val="22"/>
          <w:lang w:val="sr-Latn-ME"/>
        </w:rPr>
        <w:t>T</w:t>
      </w:r>
      <w:r w:rsidR="00462196" w:rsidRPr="001202A2">
        <w:rPr>
          <w:szCs w:val="22"/>
          <w:lang w:val="sr-Latn-ME"/>
        </w:rPr>
        <w:t>alk (E553b)</w:t>
      </w:r>
      <w:r w:rsidR="005F67AD" w:rsidRPr="001202A2">
        <w:rPr>
          <w:szCs w:val="22"/>
          <w:lang w:val="sr-Latn-ME"/>
        </w:rPr>
        <w:t>;</w:t>
      </w:r>
      <w:r w:rsidR="00462196" w:rsidRPr="001202A2">
        <w:rPr>
          <w:szCs w:val="22"/>
          <w:lang w:val="sr-Latn-ME"/>
        </w:rPr>
        <w:t xml:space="preserve"> </w:t>
      </w:r>
    </w:p>
    <w:p w14:paraId="1FD5C745" w14:textId="3CF73315" w:rsidR="00462196" w:rsidRPr="001202A2" w:rsidRDefault="00743938" w:rsidP="00480B31">
      <w:pPr>
        <w:rPr>
          <w:szCs w:val="22"/>
          <w:lang w:val="sr-Latn-ME"/>
        </w:rPr>
      </w:pPr>
      <w:r w:rsidRPr="001202A2">
        <w:rPr>
          <w:szCs w:val="22"/>
          <w:lang w:val="sr-Latn-ME"/>
        </w:rPr>
        <w:t>G</w:t>
      </w:r>
      <w:r w:rsidR="00462196" w:rsidRPr="001202A2">
        <w:rPr>
          <w:szCs w:val="22"/>
          <w:lang w:val="sr-Latn-ME"/>
        </w:rPr>
        <w:t>vožđe</w:t>
      </w:r>
      <w:r w:rsidR="005F67AD" w:rsidRPr="001202A2">
        <w:rPr>
          <w:szCs w:val="22"/>
          <w:lang w:val="sr-Latn-ME"/>
        </w:rPr>
        <w:t xml:space="preserve"> </w:t>
      </w:r>
      <w:r w:rsidR="00426F1D" w:rsidRPr="001202A2">
        <w:rPr>
          <w:szCs w:val="22"/>
          <w:lang w:val="sr-Latn-ME"/>
        </w:rPr>
        <w:t>(III)</w:t>
      </w:r>
      <w:r w:rsidR="00462196" w:rsidRPr="001202A2">
        <w:rPr>
          <w:szCs w:val="22"/>
          <w:lang w:val="sr-Latn-ME"/>
        </w:rPr>
        <w:t xml:space="preserve"> oksid, žuti (E172). </w:t>
      </w:r>
    </w:p>
    <w:p w14:paraId="47D7CE1A" w14:textId="77777777" w:rsidR="00743938" w:rsidRPr="001202A2" w:rsidRDefault="00743938" w:rsidP="00480B31">
      <w:pPr>
        <w:rPr>
          <w:szCs w:val="22"/>
          <w:lang w:val="sr-Latn-ME"/>
        </w:rPr>
      </w:pPr>
    </w:p>
    <w:p w14:paraId="3D711180" w14:textId="515079E5" w:rsidR="00CE09F3" w:rsidRPr="001202A2" w:rsidRDefault="00CE09F3" w:rsidP="00480B31">
      <w:pPr>
        <w:rPr>
          <w:b/>
          <w:bCs/>
          <w:szCs w:val="22"/>
          <w:lang w:val="sr-Latn-ME"/>
        </w:rPr>
      </w:pPr>
      <w:r w:rsidRPr="001202A2">
        <w:rPr>
          <w:b/>
          <w:bCs/>
          <w:szCs w:val="22"/>
          <w:lang w:val="sr-Latn-ME"/>
        </w:rPr>
        <w:t>6.2. Inkompatibilnost</w:t>
      </w:r>
      <w:r w:rsidR="00462196" w:rsidRPr="001202A2">
        <w:rPr>
          <w:b/>
          <w:bCs/>
          <w:szCs w:val="22"/>
          <w:lang w:val="sr-Latn-ME"/>
        </w:rPr>
        <w:t>i</w:t>
      </w:r>
    </w:p>
    <w:p w14:paraId="17611B03" w14:textId="68897437" w:rsidR="005F67AD" w:rsidRPr="001202A2" w:rsidRDefault="005F67AD" w:rsidP="00480B31">
      <w:pPr>
        <w:rPr>
          <w:b/>
          <w:bCs/>
          <w:szCs w:val="22"/>
          <w:lang w:val="sr-Latn-ME"/>
        </w:rPr>
      </w:pPr>
    </w:p>
    <w:p w14:paraId="7C3C52E5" w14:textId="5882A452" w:rsidR="005F67AD" w:rsidRPr="001202A2" w:rsidRDefault="005F67AD" w:rsidP="00480B31">
      <w:pPr>
        <w:rPr>
          <w:bCs/>
          <w:szCs w:val="22"/>
          <w:lang w:val="sr-Latn-ME"/>
        </w:rPr>
      </w:pPr>
      <w:r w:rsidRPr="001202A2">
        <w:rPr>
          <w:bCs/>
          <w:szCs w:val="22"/>
          <w:lang w:val="sr-Latn-ME"/>
        </w:rPr>
        <w:t xml:space="preserve">Nije primjenljivo. </w:t>
      </w:r>
    </w:p>
    <w:p w14:paraId="26E6C425" w14:textId="77777777" w:rsidR="005F67AD" w:rsidRPr="001202A2" w:rsidRDefault="005F67AD" w:rsidP="00480B31">
      <w:pPr>
        <w:rPr>
          <w:bCs/>
          <w:szCs w:val="22"/>
          <w:lang w:val="sr-Latn-ME"/>
        </w:rPr>
      </w:pPr>
    </w:p>
    <w:p w14:paraId="3D711184" w14:textId="6F78DC38" w:rsidR="00CE09F3" w:rsidRPr="001202A2" w:rsidRDefault="00CE09F3" w:rsidP="00480B31">
      <w:pPr>
        <w:rPr>
          <w:b/>
          <w:bCs/>
          <w:szCs w:val="22"/>
          <w:lang w:val="sr-Latn-ME"/>
        </w:rPr>
      </w:pPr>
      <w:r w:rsidRPr="001202A2">
        <w:rPr>
          <w:b/>
          <w:bCs/>
          <w:szCs w:val="22"/>
          <w:lang w:val="sr-Latn-ME"/>
        </w:rPr>
        <w:t>6.3. Rok upotrebe</w:t>
      </w:r>
    </w:p>
    <w:p w14:paraId="0AA53F9E" w14:textId="77777777" w:rsidR="005F67AD" w:rsidRPr="001202A2" w:rsidRDefault="005F67AD" w:rsidP="00480B31">
      <w:pPr>
        <w:rPr>
          <w:b/>
          <w:bCs/>
          <w:szCs w:val="22"/>
          <w:lang w:val="sr-Latn-ME"/>
        </w:rPr>
      </w:pPr>
    </w:p>
    <w:p w14:paraId="014EF12D" w14:textId="726F7049" w:rsidR="00426F1D" w:rsidRPr="001202A2" w:rsidRDefault="00426F1D" w:rsidP="00880F49">
      <w:pPr>
        <w:rPr>
          <w:iCs/>
          <w:szCs w:val="22"/>
          <w:u w:val="single"/>
          <w:lang w:val="sr-Latn-ME"/>
        </w:rPr>
      </w:pPr>
      <w:r w:rsidRPr="001202A2">
        <w:rPr>
          <w:iCs/>
          <w:szCs w:val="22"/>
          <w:u w:val="single"/>
          <w:lang w:val="sr-Latn-ME"/>
        </w:rPr>
        <w:t>Oxaway, 15 mg, film tablet</w:t>
      </w:r>
      <w:r w:rsidR="005F67AD" w:rsidRPr="001202A2">
        <w:rPr>
          <w:iCs/>
          <w:szCs w:val="22"/>
          <w:u w:val="single"/>
          <w:lang w:val="sr-Latn-ME"/>
        </w:rPr>
        <w:t>a</w:t>
      </w:r>
    </w:p>
    <w:p w14:paraId="7B6D3536" w14:textId="02373AAC" w:rsidR="00426F1D" w:rsidRPr="001202A2" w:rsidRDefault="00426F1D" w:rsidP="00480B31">
      <w:pPr>
        <w:rPr>
          <w:szCs w:val="22"/>
          <w:lang w:val="sr-Latn-ME"/>
        </w:rPr>
      </w:pPr>
      <w:r w:rsidRPr="001202A2">
        <w:rPr>
          <w:szCs w:val="22"/>
          <w:lang w:val="sr-Latn-ME"/>
        </w:rPr>
        <w:t>2 godine.</w:t>
      </w:r>
    </w:p>
    <w:p w14:paraId="63220FB0" w14:textId="77777777" w:rsidR="005F67AD" w:rsidRPr="001202A2" w:rsidRDefault="005F67AD" w:rsidP="00880F49">
      <w:pPr>
        <w:rPr>
          <w:i/>
          <w:iCs/>
          <w:szCs w:val="22"/>
          <w:lang w:val="sr-Latn-ME"/>
        </w:rPr>
      </w:pPr>
    </w:p>
    <w:p w14:paraId="100237B0" w14:textId="58199FAA" w:rsidR="00426F1D" w:rsidRPr="001202A2" w:rsidRDefault="00426F1D" w:rsidP="00880F49">
      <w:pPr>
        <w:rPr>
          <w:iCs/>
          <w:szCs w:val="22"/>
          <w:u w:val="single"/>
          <w:lang w:val="sr-Latn-ME"/>
        </w:rPr>
      </w:pPr>
      <w:r w:rsidRPr="001202A2">
        <w:rPr>
          <w:iCs/>
          <w:szCs w:val="22"/>
          <w:u w:val="single"/>
          <w:lang w:val="sr-Latn-ME"/>
        </w:rPr>
        <w:t>Oxaway, 30 mg, film tablet</w:t>
      </w:r>
      <w:r w:rsidR="005F67AD" w:rsidRPr="001202A2">
        <w:rPr>
          <w:iCs/>
          <w:szCs w:val="22"/>
          <w:u w:val="single"/>
          <w:lang w:val="sr-Latn-ME"/>
        </w:rPr>
        <w:t xml:space="preserve">a i </w:t>
      </w:r>
      <w:r w:rsidRPr="001202A2">
        <w:rPr>
          <w:iCs/>
          <w:szCs w:val="22"/>
          <w:u w:val="single"/>
          <w:lang w:val="sr-Latn-ME"/>
        </w:rPr>
        <w:t>Oxaway, 60 mg, film tablet</w:t>
      </w:r>
      <w:r w:rsidR="005F67AD" w:rsidRPr="001202A2">
        <w:rPr>
          <w:iCs/>
          <w:szCs w:val="22"/>
          <w:u w:val="single"/>
          <w:lang w:val="sr-Latn-ME"/>
        </w:rPr>
        <w:t>a</w:t>
      </w:r>
    </w:p>
    <w:p w14:paraId="5535152C" w14:textId="36A978EB" w:rsidR="00BA200F" w:rsidRPr="001202A2" w:rsidRDefault="00426F1D" w:rsidP="00480B31">
      <w:pPr>
        <w:rPr>
          <w:szCs w:val="22"/>
          <w:lang w:val="sr-Latn-ME"/>
        </w:rPr>
      </w:pPr>
      <w:r w:rsidRPr="001202A2">
        <w:rPr>
          <w:szCs w:val="22"/>
          <w:lang w:val="sr-Latn-ME"/>
        </w:rPr>
        <w:t>3 godine.</w:t>
      </w:r>
    </w:p>
    <w:p w14:paraId="1E90A910" w14:textId="77777777" w:rsidR="005F67AD" w:rsidRPr="001202A2" w:rsidRDefault="005F67AD" w:rsidP="00480B31">
      <w:pPr>
        <w:rPr>
          <w:szCs w:val="22"/>
          <w:lang w:val="sr-Latn-ME"/>
        </w:rPr>
      </w:pPr>
    </w:p>
    <w:p w14:paraId="3D711188" w14:textId="6A0F2D39" w:rsidR="00CE09F3" w:rsidRPr="001202A2" w:rsidRDefault="00CE09F3" w:rsidP="00480B31">
      <w:pPr>
        <w:rPr>
          <w:b/>
          <w:bCs/>
          <w:szCs w:val="22"/>
          <w:lang w:val="sr-Latn-ME"/>
        </w:rPr>
      </w:pPr>
      <w:r w:rsidRPr="001202A2">
        <w:rPr>
          <w:b/>
          <w:bCs/>
          <w:szCs w:val="22"/>
          <w:lang w:val="sr-Latn-ME"/>
        </w:rPr>
        <w:t>6.4. Posebne m</w:t>
      </w:r>
      <w:r w:rsidR="005F67AD" w:rsidRPr="001202A2">
        <w:rPr>
          <w:b/>
          <w:bCs/>
          <w:szCs w:val="22"/>
          <w:lang w:val="sr-Latn-ME"/>
        </w:rPr>
        <w:t>j</w:t>
      </w:r>
      <w:r w:rsidRPr="001202A2">
        <w:rPr>
          <w:b/>
          <w:bCs/>
          <w:szCs w:val="22"/>
          <w:lang w:val="sr-Latn-ME"/>
        </w:rPr>
        <w:t xml:space="preserve">ere </w:t>
      </w:r>
      <w:r w:rsidR="005F67AD" w:rsidRPr="001202A2">
        <w:rPr>
          <w:b/>
          <w:bCs/>
          <w:szCs w:val="22"/>
          <w:lang w:val="sr-Latn-ME"/>
        </w:rPr>
        <w:t xml:space="preserve">upozorenja </w:t>
      </w:r>
      <w:r w:rsidRPr="001202A2">
        <w:rPr>
          <w:b/>
          <w:bCs/>
          <w:szCs w:val="22"/>
          <w:lang w:val="sr-Latn-ME"/>
        </w:rPr>
        <w:t>pri čuvanju</w:t>
      </w:r>
      <w:r w:rsidR="005020F7" w:rsidRPr="001202A2">
        <w:rPr>
          <w:b/>
          <w:bCs/>
          <w:szCs w:val="22"/>
          <w:lang w:val="sr-Latn-ME"/>
        </w:rPr>
        <w:t xml:space="preserve"> lijeka</w:t>
      </w:r>
    </w:p>
    <w:p w14:paraId="02AC6C4C" w14:textId="77777777" w:rsidR="005F67AD" w:rsidRPr="001202A2" w:rsidRDefault="005F67AD" w:rsidP="00480B31">
      <w:pPr>
        <w:rPr>
          <w:b/>
          <w:bCs/>
          <w:szCs w:val="22"/>
          <w:lang w:val="sr-Latn-ME"/>
        </w:rPr>
      </w:pPr>
    </w:p>
    <w:p w14:paraId="2185C61E" w14:textId="3CBD5DDB" w:rsidR="005020F7" w:rsidRPr="001202A2" w:rsidRDefault="005020F7" w:rsidP="00480B31">
      <w:pPr>
        <w:rPr>
          <w:szCs w:val="22"/>
          <w:lang w:val="sr-Latn-ME"/>
        </w:rPr>
      </w:pPr>
      <w:r w:rsidRPr="001202A2">
        <w:rPr>
          <w:szCs w:val="22"/>
          <w:lang w:val="sr-Latn-ME"/>
        </w:rPr>
        <w:t>Lijek ne zahtijeva posebne uslove čuvanja</w:t>
      </w:r>
      <w:r w:rsidR="005F67AD" w:rsidRPr="001202A2">
        <w:rPr>
          <w:szCs w:val="22"/>
          <w:lang w:val="sr-Latn-ME"/>
        </w:rPr>
        <w:t>.</w:t>
      </w:r>
    </w:p>
    <w:p w14:paraId="5B83C933" w14:textId="77777777" w:rsidR="005F67AD" w:rsidRPr="001202A2" w:rsidRDefault="005F67AD" w:rsidP="00480B31">
      <w:pPr>
        <w:rPr>
          <w:szCs w:val="22"/>
          <w:lang w:val="sr-Latn-ME"/>
        </w:rPr>
      </w:pPr>
    </w:p>
    <w:p w14:paraId="3D71118C" w14:textId="00800749" w:rsidR="00CE09F3" w:rsidRPr="001202A2" w:rsidRDefault="0022223A" w:rsidP="00480B31">
      <w:pPr>
        <w:rPr>
          <w:b/>
          <w:bCs/>
          <w:szCs w:val="22"/>
          <w:lang w:val="sr-Latn-ME"/>
        </w:rPr>
      </w:pPr>
      <w:r w:rsidRPr="001202A2">
        <w:rPr>
          <w:b/>
          <w:bCs/>
          <w:szCs w:val="22"/>
          <w:lang w:val="sr-Latn-ME"/>
        </w:rPr>
        <w:t xml:space="preserve">6.5. </w:t>
      </w:r>
      <w:r w:rsidR="005020F7" w:rsidRPr="001202A2">
        <w:rPr>
          <w:b/>
          <w:bCs/>
          <w:szCs w:val="22"/>
          <w:lang w:val="sr-Latn-ME"/>
        </w:rPr>
        <w:t>Vrsta</w:t>
      </w:r>
      <w:r w:rsidR="00CE09F3" w:rsidRPr="001202A2">
        <w:rPr>
          <w:b/>
          <w:bCs/>
          <w:szCs w:val="22"/>
          <w:lang w:val="sr-Latn-ME"/>
        </w:rPr>
        <w:t xml:space="preserve"> i sadržaj pakovanja</w:t>
      </w:r>
    </w:p>
    <w:p w14:paraId="4AA43E48" w14:textId="77777777" w:rsidR="005F67AD" w:rsidRPr="001202A2" w:rsidRDefault="005F67AD" w:rsidP="00480B31">
      <w:pPr>
        <w:rPr>
          <w:b/>
          <w:bCs/>
          <w:szCs w:val="22"/>
          <w:lang w:val="sr-Latn-ME"/>
        </w:rPr>
      </w:pPr>
    </w:p>
    <w:p w14:paraId="68946B2C" w14:textId="6241D1D2" w:rsidR="003C6667" w:rsidRPr="001202A2" w:rsidRDefault="003C6667" w:rsidP="00480B31">
      <w:pPr>
        <w:rPr>
          <w:bCs/>
          <w:szCs w:val="22"/>
          <w:lang w:val="sr-Latn-ME"/>
        </w:rPr>
      </w:pPr>
      <w:r w:rsidRPr="001202A2">
        <w:rPr>
          <w:bCs/>
          <w:iCs/>
          <w:szCs w:val="22"/>
          <w:u w:val="single"/>
          <w:lang w:val="sr-Latn-ME"/>
        </w:rPr>
        <w:t>Oxaway</w:t>
      </w:r>
      <w:r w:rsidR="005F67AD" w:rsidRPr="001202A2">
        <w:rPr>
          <w:bCs/>
          <w:iCs/>
          <w:szCs w:val="22"/>
          <w:u w:val="single"/>
          <w:lang w:val="sr-Latn-ME"/>
        </w:rPr>
        <w:t>,</w:t>
      </w:r>
      <w:r w:rsidRPr="001202A2">
        <w:rPr>
          <w:bCs/>
          <w:iCs/>
          <w:szCs w:val="22"/>
          <w:u w:val="single"/>
          <w:lang w:val="sr-Latn-ME"/>
        </w:rPr>
        <w:t xml:space="preserve"> 15 mg</w:t>
      </w:r>
      <w:r w:rsidR="005F67AD" w:rsidRPr="001202A2">
        <w:rPr>
          <w:bCs/>
          <w:iCs/>
          <w:szCs w:val="22"/>
          <w:u w:val="single"/>
          <w:lang w:val="sr-Latn-ME"/>
        </w:rPr>
        <w:t>,</w:t>
      </w:r>
      <w:r w:rsidRPr="001202A2">
        <w:rPr>
          <w:bCs/>
          <w:iCs/>
          <w:szCs w:val="22"/>
          <w:u w:val="single"/>
          <w:lang w:val="sr-Latn-ME"/>
        </w:rPr>
        <w:t xml:space="preserve"> film tableta</w:t>
      </w:r>
      <w:r w:rsidRPr="001202A2">
        <w:rPr>
          <w:bCs/>
          <w:szCs w:val="22"/>
          <w:lang w:val="sr-Latn-ME"/>
        </w:rPr>
        <w:t xml:space="preserve"> </w:t>
      </w:r>
    </w:p>
    <w:p w14:paraId="20E056E5" w14:textId="6B30934D" w:rsidR="003C6667" w:rsidRPr="001202A2" w:rsidRDefault="003C6667" w:rsidP="00480B31">
      <w:pPr>
        <w:rPr>
          <w:szCs w:val="22"/>
          <w:lang w:val="sr-Latn-ME"/>
        </w:rPr>
      </w:pPr>
      <w:r w:rsidRPr="001202A2">
        <w:rPr>
          <w:szCs w:val="22"/>
          <w:lang w:val="sr-Latn-ME"/>
        </w:rPr>
        <w:t>Unutrašnje pakovanje je transparentni PVC/aluminij</w:t>
      </w:r>
      <w:r w:rsidR="005F67AD" w:rsidRPr="001202A2">
        <w:rPr>
          <w:szCs w:val="22"/>
          <w:lang w:val="sr-Latn-ME"/>
        </w:rPr>
        <w:t>um</w:t>
      </w:r>
      <w:r w:rsidRPr="001202A2">
        <w:rPr>
          <w:szCs w:val="22"/>
          <w:lang w:val="sr-Latn-ME"/>
        </w:rPr>
        <w:t xml:space="preserve">ski ili aluminijum/aluminijum blister koji sadrži 10 film tableta. </w:t>
      </w:r>
    </w:p>
    <w:p w14:paraId="0BB3D3D6" w14:textId="77777777" w:rsidR="005F67AD" w:rsidRPr="001202A2" w:rsidRDefault="005F67AD" w:rsidP="005F67AD">
      <w:pPr>
        <w:rPr>
          <w:szCs w:val="22"/>
          <w:lang w:val="sr-Latn-ME"/>
        </w:rPr>
      </w:pPr>
      <w:r w:rsidRPr="001202A2">
        <w:rPr>
          <w:szCs w:val="22"/>
          <w:lang w:val="sr-Latn-ME"/>
        </w:rPr>
        <w:t xml:space="preserve">Unutrašnje pakovanje je transparentni PVC/aluminijumski ili aluminijum/aluminijum blister djeljiv na pojedinačne doze koji sadrži 10 film tableta. </w:t>
      </w:r>
    </w:p>
    <w:p w14:paraId="12544AB0" w14:textId="121B620C" w:rsidR="003C6667" w:rsidRPr="001202A2" w:rsidRDefault="003C6667" w:rsidP="00480B31">
      <w:pPr>
        <w:rPr>
          <w:szCs w:val="22"/>
          <w:lang w:val="sr-Latn-ME"/>
        </w:rPr>
      </w:pPr>
      <w:r w:rsidRPr="001202A2">
        <w:rPr>
          <w:szCs w:val="22"/>
          <w:lang w:val="sr-Latn-ME"/>
        </w:rPr>
        <w:t>Spolj</w:t>
      </w:r>
      <w:r w:rsidR="005D1278" w:rsidRPr="001202A2">
        <w:rPr>
          <w:szCs w:val="22"/>
          <w:lang w:val="sr-Latn-ME"/>
        </w:rPr>
        <w:t>aš</w:t>
      </w:r>
      <w:r w:rsidRPr="001202A2">
        <w:rPr>
          <w:szCs w:val="22"/>
          <w:lang w:val="sr-Latn-ME"/>
        </w:rPr>
        <w:t>nje pakovanje je složiva kartonska kutija u kojoj se nalazi jedan blister (ukupno 10 film tableta) i Uputstvo za lijek.</w:t>
      </w:r>
    </w:p>
    <w:p w14:paraId="36A63940" w14:textId="19049DF8" w:rsidR="005D1278" w:rsidRPr="001202A2" w:rsidRDefault="005D1278" w:rsidP="005D1278">
      <w:pPr>
        <w:rPr>
          <w:szCs w:val="22"/>
          <w:lang w:val="sr-Latn-ME"/>
        </w:rPr>
      </w:pPr>
      <w:r w:rsidRPr="001202A2">
        <w:rPr>
          <w:szCs w:val="22"/>
          <w:lang w:val="sr-Latn-ME"/>
        </w:rPr>
        <w:t>Spoljašnje pakovanje je složiva kartonska kutija u kojoj se nalazi jedan blister djeljiv na pojedinačne doze (ukupno 10 film tableta) i Uputstvo za lijek.</w:t>
      </w:r>
    </w:p>
    <w:p w14:paraId="3790A542" w14:textId="77777777" w:rsidR="005D1278" w:rsidRPr="001202A2" w:rsidRDefault="005D1278" w:rsidP="00480B31">
      <w:pPr>
        <w:rPr>
          <w:szCs w:val="22"/>
          <w:lang w:val="sr-Latn-ME"/>
        </w:rPr>
      </w:pPr>
    </w:p>
    <w:p w14:paraId="46C20825" w14:textId="294B9C3B" w:rsidR="003C6667" w:rsidRPr="001202A2" w:rsidRDefault="003C6667" w:rsidP="00480B31">
      <w:pPr>
        <w:rPr>
          <w:bCs/>
          <w:i/>
          <w:iCs/>
          <w:szCs w:val="22"/>
          <w:lang w:val="sr-Latn-ME"/>
        </w:rPr>
      </w:pPr>
      <w:r w:rsidRPr="001202A2">
        <w:rPr>
          <w:bCs/>
          <w:iCs/>
          <w:szCs w:val="22"/>
          <w:u w:val="single"/>
          <w:lang w:val="sr-Latn-ME"/>
        </w:rPr>
        <w:t>Oxaway</w:t>
      </w:r>
      <w:r w:rsidR="005D1278" w:rsidRPr="001202A2">
        <w:rPr>
          <w:bCs/>
          <w:iCs/>
          <w:szCs w:val="22"/>
          <w:u w:val="single"/>
          <w:lang w:val="sr-Latn-ME"/>
        </w:rPr>
        <w:t>,</w:t>
      </w:r>
      <w:r w:rsidRPr="001202A2">
        <w:rPr>
          <w:bCs/>
          <w:iCs/>
          <w:szCs w:val="22"/>
          <w:u w:val="single"/>
          <w:lang w:val="sr-Latn-ME"/>
        </w:rPr>
        <w:t xml:space="preserve"> 30 mg</w:t>
      </w:r>
      <w:r w:rsidR="005D1278" w:rsidRPr="001202A2">
        <w:rPr>
          <w:bCs/>
          <w:iCs/>
          <w:szCs w:val="22"/>
          <w:u w:val="single"/>
          <w:lang w:val="sr-Latn-ME"/>
        </w:rPr>
        <w:t>,</w:t>
      </w:r>
      <w:r w:rsidRPr="001202A2">
        <w:rPr>
          <w:bCs/>
          <w:iCs/>
          <w:szCs w:val="22"/>
          <w:u w:val="single"/>
          <w:lang w:val="sr-Latn-ME"/>
        </w:rPr>
        <w:t xml:space="preserve"> film tableta</w:t>
      </w:r>
      <w:r w:rsidRPr="001202A2">
        <w:rPr>
          <w:bCs/>
          <w:i/>
          <w:iCs/>
          <w:szCs w:val="22"/>
          <w:lang w:val="sr-Latn-ME"/>
        </w:rPr>
        <w:t xml:space="preserve"> </w:t>
      </w:r>
    </w:p>
    <w:p w14:paraId="1CBF54DA" w14:textId="4A0CAC04" w:rsidR="003C6667" w:rsidRPr="001202A2" w:rsidRDefault="003C6667" w:rsidP="00480B31">
      <w:pPr>
        <w:rPr>
          <w:szCs w:val="22"/>
          <w:lang w:val="sr-Latn-ME"/>
        </w:rPr>
      </w:pPr>
      <w:r w:rsidRPr="001202A2">
        <w:rPr>
          <w:szCs w:val="22"/>
          <w:lang w:val="sr-Latn-ME"/>
        </w:rPr>
        <w:t>Unutrašnje pakovanje je transparentni PVC/aluminij</w:t>
      </w:r>
      <w:r w:rsidR="005D1278" w:rsidRPr="001202A2">
        <w:rPr>
          <w:szCs w:val="22"/>
          <w:lang w:val="sr-Latn-ME"/>
        </w:rPr>
        <w:t>um</w:t>
      </w:r>
      <w:r w:rsidRPr="001202A2">
        <w:rPr>
          <w:szCs w:val="22"/>
          <w:lang w:val="sr-Latn-ME"/>
        </w:rPr>
        <w:t xml:space="preserve">ski ili aluminijum/aluminijum blister koji sadrži </w:t>
      </w:r>
      <w:r w:rsidR="006F5CD1" w:rsidRPr="001202A2">
        <w:rPr>
          <w:szCs w:val="22"/>
          <w:lang w:val="sr-Latn-ME"/>
        </w:rPr>
        <w:t>14</w:t>
      </w:r>
      <w:r w:rsidRPr="001202A2">
        <w:rPr>
          <w:szCs w:val="22"/>
          <w:lang w:val="sr-Latn-ME"/>
        </w:rPr>
        <w:t xml:space="preserve"> film tableta. </w:t>
      </w:r>
    </w:p>
    <w:p w14:paraId="7326E7C3" w14:textId="7235E3AE" w:rsidR="003C6667" w:rsidRPr="001202A2" w:rsidRDefault="003C6667" w:rsidP="00480B31">
      <w:pPr>
        <w:rPr>
          <w:szCs w:val="22"/>
          <w:lang w:val="sr-Latn-ME"/>
        </w:rPr>
      </w:pPr>
      <w:r w:rsidRPr="001202A2">
        <w:rPr>
          <w:szCs w:val="22"/>
          <w:lang w:val="sr-Latn-ME"/>
        </w:rPr>
        <w:t>Spolj</w:t>
      </w:r>
      <w:r w:rsidR="005D1278" w:rsidRPr="001202A2">
        <w:rPr>
          <w:szCs w:val="22"/>
          <w:lang w:val="sr-Latn-ME"/>
        </w:rPr>
        <w:t>aš</w:t>
      </w:r>
      <w:r w:rsidRPr="001202A2">
        <w:rPr>
          <w:szCs w:val="22"/>
          <w:lang w:val="sr-Latn-ME"/>
        </w:rPr>
        <w:t>nje pakovanje je složiva kartonska kutija u kojoj se nalaz</w:t>
      </w:r>
      <w:r w:rsidR="005D1278" w:rsidRPr="001202A2">
        <w:rPr>
          <w:szCs w:val="22"/>
          <w:lang w:val="sr-Latn-ME"/>
        </w:rPr>
        <w:t>e</w:t>
      </w:r>
      <w:r w:rsidRPr="001202A2">
        <w:rPr>
          <w:szCs w:val="22"/>
          <w:lang w:val="sr-Latn-ME"/>
        </w:rPr>
        <w:t xml:space="preserve"> dva blistera ili sedam blistera (</w:t>
      </w:r>
      <w:r w:rsidR="005D1278" w:rsidRPr="001202A2">
        <w:rPr>
          <w:szCs w:val="22"/>
          <w:lang w:val="sr-Latn-ME"/>
        </w:rPr>
        <w:t xml:space="preserve">ukupno </w:t>
      </w:r>
      <w:r w:rsidR="006F5CD1" w:rsidRPr="001202A2">
        <w:rPr>
          <w:szCs w:val="22"/>
          <w:lang w:val="sr-Latn-ME"/>
        </w:rPr>
        <w:t>28</w:t>
      </w:r>
      <w:r w:rsidRPr="001202A2">
        <w:rPr>
          <w:szCs w:val="22"/>
          <w:lang w:val="sr-Latn-ME"/>
        </w:rPr>
        <w:t xml:space="preserve"> film tableta ili 98 film tableta) i Uputstvo za lijek.</w:t>
      </w:r>
    </w:p>
    <w:p w14:paraId="758D1214" w14:textId="77777777" w:rsidR="005D1278" w:rsidRPr="001202A2" w:rsidRDefault="005D1278" w:rsidP="00480B31">
      <w:pPr>
        <w:rPr>
          <w:szCs w:val="22"/>
          <w:lang w:val="sr-Latn-ME"/>
        </w:rPr>
      </w:pPr>
    </w:p>
    <w:p w14:paraId="3696295D" w14:textId="186C8326" w:rsidR="003C6667" w:rsidRPr="001202A2" w:rsidRDefault="003C6667" w:rsidP="00480B31">
      <w:pPr>
        <w:rPr>
          <w:bCs/>
          <w:iCs/>
          <w:szCs w:val="22"/>
          <w:u w:val="single"/>
          <w:lang w:val="sr-Latn-ME"/>
        </w:rPr>
      </w:pPr>
      <w:r w:rsidRPr="001202A2">
        <w:rPr>
          <w:bCs/>
          <w:iCs/>
          <w:szCs w:val="22"/>
          <w:u w:val="single"/>
          <w:lang w:val="sr-Latn-ME"/>
        </w:rPr>
        <w:t>Oxaway</w:t>
      </w:r>
      <w:r w:rsidR="005D1278" w:rsidRPr="001202A2">
        <w:rPr>
          <w:bCs/>
          <w:iCs/>
          <w:szCs w:val="22"/>
          <w:u w:val="single"/>
          <w:lang w:val="sr-Latn-ME"/>
        </w:rPr>
        <w:t>,</w:t>
      </w:r>
      <w:r w:rsidRPr="001202A2">
        <w:rPr>
          <w:bCs/>
          <w:iCs/>
          <w:szCs w:val="22"/>
          <w:u w:val="single"/>
          <w:lang w:val="sr-Latn-ME"/>
        </w:rPr>
        <w:t xml:space="preserve"> 60 mg</w:t>
      </w:r>
      <w:r w:rsidR="005D1278" w:rsidRPr="001202A2">
        <w:rPr>
          <w:bCs/>
          <w:iCs/>
          <w:szCs w:val="22"/>
          <w:u w:val="single"/>
          <w:lang w:val="sr-Latn-ME"/>
        </w:rPr>
        <w:t>,</w:t>
      </w:r>
      <w:r w:rsidRPr="001202A2">
        <w:rPr>
          <w:bCs/>
          <w:iCs/>
          <w:szCs w:val="22"/>
          <w:u w:val="single"/>
          <w:lang w:val="sr-Latn-ME"/>
        </w:rPr>
        <w:t xml:space="preserve"> film tableta </w:t>
      </w:r>
      <w:bookmarkStart w:id="0" w:name="_Hlk121821614"/>
    </w:p>
    <w:bookmarkEnd w:id="0"/>
    <w:p w14:paraId="39BDA2A3" w14:textId="37F24984" w:rsidR="003C6667" w:rsidRPr="001202A2" w:rsidRDefault="003C6667" w:rsidP="00480B31">
      <w:pPr>
        <w:rPr>
          <w:szCs w:val="22"/>
          <w:lang w:val="sr-Latn-ME"/>
        </w:rPr>
      </w:pPr>
      <w:r w:rsidRPr="001202A2">
        <w:rPr>
          <w:szCs w:val="22"/>
          <w:lang w:val="sr-Latn-ME"/>
        </w:rPr>
        <w:t>Unutrašnje pakovanje je transparentni PVC/aluminij</w:t>
      </w:r>
      <w:r w:rsidR="005D1278" w:rsidRPr="001202A2">
        <w:rPr>
          <w:szCs w:val="22"/>
          <w:lang w:val="sr-Latn-ME"/>
        </w:rPr>
        <w:t>um</w:t>
      </w:r>
      <w:r w:rsidRPr="001202A2">
        <w:rPr>
          <w:szCs w:val="22"/>
          <w:lang w:val="sr-Latn-ME"/>
        </w:rPr>
        <w:t xml:space="preserve">ski ili aluminijum/aluminijum blister koji sadrži </w:t>
      </w:r>
      <w:r w:rsidR="006F5CD1" w:rsidRPr="001202A2">
        <w:rPr>
          <w:szCs w:val="22"/>
          <w:lang w:val="sr-Latn-ME"/>
        </w:rPr>
        <w:t>14</w:t>
      </w:r>
      <w:r w:rsidRPr="001202A2">
        <w:rPr>
          <w:szCs w:val="22"/>
          <w:lang w:val="sr-Latn-ME"/>
        </w:rPr>
        <w:t xml:space="preserve"> film tableta. </w:t>
      </w:r>
    </w:p>
    <w:p w14:paraId="3CDB90C5" w14:textId="39330FAE" w:rsidR="005020F7" w:rsidRPr="001202A2" w:rsidRDefault="003C6667" w:rsidP="00480B31">
      <w:pPr>
        <w:rPr>
          <w:szCs w:val="22"/>
          <w:lang w:val="sr-Latn-ME"/>
        </w:rPr>
      </w:pPr>
      <w:r w:rsidRPr="001202A2">
        <w:rPr>
          <w:szCs w:val="22"/>
          <w:lang w:val="sr-Latn-ME"/>
        </w:rPr>
        <w:t>Spolj</w:t>
      </w:r>
      <w:r w:rsidR="005D1278" w:rsidRPr="001202A2">
        <w:rPr>
          <w:szCs w:val="22"/>
          <w:lang w:val="sr-Latn-ME"/>
        </w:rPr>
        <w:t>aš</w:t>
      </w:r>
      <w:r w:rsidRPr="001202A2">
        <w:rPr>
          <w:szCs w:val="22"/>
          <w:lang w:val="sr-Latn-ME"/>
        </w:rPr>
        <w:t>nje pakovanje je složiva kartonska kutija u kojoj se nalaz</w:t>
      </w:r>
      <w:r w:rsidR="005D1278" w:rsidRPr="001202A2">
        <w:rPr>
          <w:szCs w:val="22"/>
          <w:lang w:val="sr-Latn-ME"/>
        </w:rPr>
        <w:t>e</w:t>
      </w:r>
      <w:r w:rsidRPr="001202A2">
        <w:rPr>
          <w:szCs w:val="22"/>
          <w:lang w:val="sr-Latn-ME"/>
        </w:rPr>
        <w:t xml:space="preserve"> dva blistera ili sedam blistera (</w:t>
      </w:r>
      <w:r w:rsidR="005D1278" w:rsidRPr="001202A2">
        <w:rPr>
          <w:szCs w:val="22"/>
          <w:lang w:val="sr-Latn-ME"/>
        </w:rPr>
        <w:t xml:space="preserve">ukupno </w:t>
      </w:r>
      <w:r w:rsidR="006F5CD1" w:rsidRPr="001202A2">
        <w:rPr>
          <w:szCs w:val="22"/>
          <w:lang w:val="sr-Latn-ME"/>
        </w:rPr>
        <w:t>28</w:t>
      </w:r>
      <w:r w:rsidRPr="001202A2">
        <w:rPr>
          <w:szCs w:val="22"/>
          <w:lang w:val="sr-Latn-ME"/>
        </w:rPr>
        <w:t xml:space="preserve"> film tableta ili 98 film tableta) i Uputstvo za lijek.</w:t>
      </w:r>
    </w:p>
    <w:p w14:paraId="25310897" w14:textId="77777777" w:rsidR="005D1278" w:rsidRPr="001202A2" w:rsidRDefault="005D1278" w:rsidP="00480B31">
      <w:pPr>
        <w:rPr>
          <w:szCs w:val="22"/>
          <w:lang w:val="sr-Latn-ME"/>
        </w:rPr>
      </w:pPr>
    </w:p>
    <w:p w14:paraId="3D71119A" w14:textId="0411AF2B" w:rsidR="00CE09F3" w:rsidRPr="001202A2" w:rsidRDefault="00CE09F3" w:rsidP="00480B31">
      <w:pPr>
        <w:rPr>
          <w:b/>
          <w:bCs/>
          <w:szCs w:val="22"/>
          <w:lang w:val="sr-Latn-ME"/>
        </w:rPr>
      </w:pPr>
      <w:r w:rsidRPr="001202A2">
        <w:rPr>
          <w:b/>
          <w:bCs/>
          <w:szCs w:val="22"/>
          <w:lang w:val="sr-Latn-ME"/>
        </w:rPr>
        <w:t>6.6. Posebne m</w:t>
      </w:r>
      <w:r w:rsidR="003C6667" w:rsidRPr="001202A2">
        <w:rPr>
          <w:b/>
          <w:bCs/>
          <w:szCs w:val="22"/>
          <w:lang w:val="sr-Latn-ME"/>
        </w:rPr>
        <w:t>j</w:t>
      </w:r>
      <w:r w:rsidRPr="001202A2">
        <w:rPr>
          <w:b/>
          <w:bCs/>
          <w:szCs w:val="22"/>
          <w:lang w:val="sr-Latn-ME"/>
        </w:rPr>
        <w:t>ere opreza pri odlaganju materijala koji treba odbaciti nakon prim</w:t>
      </w:r>
      <w:r w:rsidR="003C6667" w:rsidRPr="001202A2">
        <w:rPr>
          <w:b/>
          <w:bCs/>
          <w:szCs w:val="22"/>
          <w:lang w:val="sr-Latn-ME"/>
        </w:rPr>
        <w:t>j</w:t>
      </w:r>
      <w:r w:rsidRPr="001202A2">
        <w:rPr>
          <w:b/>
          <w:bCs/>
          <w:szCs w:val="22"/>
          <w:lang w:val="sr-Latn-ME"/>
        </w:rPr>
        <w:t>ene l</w:t>
      </w:r>
      <w:r w:rsidR="003C6667" w:rsidRPr="001202A2">
        <w:rPr>
          <w:b/>
          <w:bCs/>
          <w:szCs w:val="22"/>
          <w:lang w:val="sr-Latn-ME"/>
        </w:rPr>
        <w:t>ij</w:t>
      </w:r>
      <w:r w:rsidRPr="001202A2">
        <w:rPr>
          <w:b/>
          <w:bCs/>
          <w:szCs w:val="22"/>
          <w:lang w:val="sr-Latn-ME"/>
        </w:rPr>
        <w:t>eka (i druga uputstva za rukovanje l</w:t>
      </w:r>
      <w:r w:rsidR="003C6667" w:rsidRPr="001202A2">
        <w:rPr>
          <w:b/>
          <w:bCs/>
          <w:szCs w:val="22"/>
          <w:lang w:val="sr-Latn-ME"/>
        </w:rPr>
        <w:t>ij</w:t>
      </w:r>
      <w:r w:rsidRPr="001202A2">
        <w:rPr>
          <w:b/>
          <w:bCs/>
          <w:szCs w:val="22"/>
          <w:lang w:val="sr-Latn-ME"/>
        </w:rPr>
        <w:t>ekom)</w:t>
      </w:r>
    </w:p>
    <w:p w14:paraId="3579C177" w14:textId="77777777" w:rsidR="005D1278" w:rsidRPr="001202A2" w:rsidRDefault="005D1278" w:rsidP="00480B31">
      <w:pPr>
        <w:rPr>
          <w:b/>
          <w:bCs/>
          <w:szCs w:val="22"/>
          <w:lang w:val="sr-Latn-ME"/>
        </w:rPr>
      </w:pPr>
    </w:p>
    <w:p w14:paraId="08A4822C" w14:textId="3E48AB3E" w:rsidR="003C6667" w:rsidRPr="001202A2" w:rsidRDefault="003C6667" w:rsidP="00880F49">
      <w:pPr>
        <w:rPr>
          <w:szCs w:val="22"/>
          <w:lang w:val="sr-Latn-ME"/>
        </w:rPr>
      </w:pPr>
      <w:r w:rsidRPr="001202A2">
        <w:rPr>
          <w:szCs w:val="22"/>
          <w:lang w:val="sr-Latn-ME"/>
        </w:rPr>
        <w:t>Svu neiskorišćenu količinu lijeka ili otpadnog materijala nakon njegove upotrebe treba ukloniti u skladu sa važećim propisima.</w:t>
      </w:r>
    </w:p>
    <w:p w14:paraId="04DE4A7C" w14:textId="2A124A25" w:rsidR="005D1278" w:rsidRPr="001202A2" w:rsidRDefault="005D1278" w:rsidP="00880F49">
      <w:pPr>
        <w:rPr>
          <w:szCs w:val="22"/>
          <w:lang w:val="sr-Latn-ME"/>
        </w:rPr>
      </w:pPr>
    </w:p>
    <w:p w14:paraId="1AB33021" w14:textId="77777777" w:rsidR="005D1278" w:rsidRPr="001202A2" w:rsidRDefault="005D1278" w:rsidP="00880F49">
      <w:pPr>
        <w:rPr>
          <w:szCs w:val="22"/>
          <w:lang w:val="sr-Latn-ME"/>
        </w:rPr>
      </w:pPr>
    </w:p>
    <w:p w14:paraId="3D71119D" w14:textId="5CAB9DC5" w:rsidR="00CE09F3" w:rsidRPr="001202A2" w:rsidRDefault="00CE09F3" w:rsidP="00480B31">
      <w:pPr>
        <w:pStyle w:val="NASLOV123"/>
        <w:spacing w:before="0" w:after="0"/>
        <w:rPr>
          <w:lang w:val="sr-Latn-ME"/>
        </w:rPr>
      </w:pPr>
      <w:r w:rsidRPr="001202A2">
        <w:rPr>
          <w:lang w:val="sr-Latn-ME"/>
        </w:rPr>
        <w:t xml:space="preserve">7. NOSILAC DOZVOLE </w:t>
      </w:r>
    </w:p>
    <w:p w14:paraId="3ED084CE" w14:textId="77777777" w:rsidR="005D1278" w:rsidRPr="001202A2" w:rsidRDefault="005D1278" w:rsidP="00480B31">
      <w:pPr>
        <w:pStyle w:val="NASLOV123"/>
        <w:spacing w:before="0" w:after="0"/>
        <w:rPr>
          <w:lang w:val="sr-Latn-ME"/>
        </w:rPr>
      </w:pPr>
    </w:p>
    <w:p w14:paraId="0D42E500" w14:textId="5D44632E" w:rsidR="003C6667" w:rsidRPr="001202A2" w:rsidRDefault="003C6667" w:rsidP="00880F49">
      <w:pPr>
        <w:rPr>
          <w:szCs w:val="22"/>
          <w:lang w:val="sr-Latn-ME"/>
        </w:rPr>
      </w:pPr>
      <w:r w:rsidRPr="001202A2">
        <w:rPr>
          <w:szCs w:val="22"/>
          <w:lang w:val="sr-Latn-ME"/>
        </w:rPr>
        <w:lastRenderedPageBreak/>
        <w:t>GLK pharma d.o.o. Podgorica</w:t>
      </w:r>
      <w:r w:rsidR="005D1278" w:rsidRPr="001202A2">
        <w:rPr>
          <w:szCs w:val="22"/>
          <w:lang w:val="sr-Latn-ME"/>
        </w:rPr>
        <w:t>,</w:t>
      </w:r>
    </w:p>
    <w:p w14:paraId="7B5D518A" w14:textId="02BB2FA3" w:rsidR="003C6667" w:rsidRPr="001202A2" w:rsidRDefault="003C6667" w:rsidP="00880F49">
      <w:pPr>
        <w:rPr>
          <w:szCs w:val="22"/>
          <w:lang w:val="sr-Latn-ME"/>
        </w:rPr>
      </w:pPr>
      <w:r w:rsidRPr="001202A2">
        <w:rPr>
          <w:szCs w:val="22"/>
          <w:lang w:val="sr-Latn-ME"/>
        </w:rPr>
        <w:t>Svetozara Markovića 46, 81000 Podgorica, Crna Gora</w:t>
      </w:r>
    </w:p>
    <w:p w14:paraId="1ED28232" w14:textId="119665CA" w:rsidR="005D1278" w:rsidRPr="001202A2" w:rsidRDefault="005D1278" w:rsidP="00880F49">
      <w:pPr>
        <w:rPr>
          <w:szCs w:val="22"/>
          <w:lang w:val="sr-Latn-ME"/>
        </w:rPr>
      </w:pPr>
    </w:p>
    <w:p w14:paraId="51CBAD87" w14:textId="77777777" w:rsidR="005D1278" w:rsidRPr="001202A2" w:rsidRDefault="005D1278" w:rsidP="00880F49">
      <w:pPr>
        <w:rPr>
          <w:szCs w:val="22"/>
          <w:lang w:val="sr-Latn-ME"/>
        </w:rPr>
      </w:pPr>
    </w:p>
    <w:p w14:paraId="3D71119F" w14:textId="26C05E45" w:rsidR="00CE09F3" w:rsidRPr="001202A2" w:rsidRDefault="00CE09F3" w:rsidP="00880F49">
      <w:pPr>
        <w:pStyle w:val="NASLOV123"/>
        <w:spacing w:before="0" w:after="0"/>
        <w:rPr>
          <w:lang w:val="sr-Latn-ME"/>
        </w:rPr>
      </w:pPr>
      <w:r w:rsidRPr="001202A2">
        <w:rPr>
          <w:lang w:val="sr-Latn-ME"/>
        </w:rPr>
        <w:t>8. BROJ DOZVOLE ZA STAVLJANJE L</w:t>
      </w:r>
      <w:r w:rsidR="003C6667" w:rsidRPr="001202A2">
        <w:rPr>
          <w:lang w:val="sr-Latn-ME"/>
        </w:rPr>
        <w:t>IJ</w:t>
      </w:r>
      <w:r w:rsidRPr="001202A2">
        <w:rPr>
          <w:lang w:val="sr-Latn-ME"/>
        </w:rPr>
        <w:t>EKA U PROMET</w:t>
      </w:r>
    </w:p>
    <w:p w14:paraId="568C84E6" w14:textId="6181574F" w:rsidR="003C6667" w:rsidRPr="001202A2" w:rsidRDefault="003C6667" w:rsidP="00880F49">
      <w:pPr>
        <w:pStyle w:val="NASLOV123"/>
        <w:spacing w:before="0" w:after="0"/>
        <w:rPr>
          <w:lang w:val="sr-Latn-ME"/>
        </w:rPr>
      </w:pPr>
    </w:p>
    <w:p w14:paraId="39FF6B4F" w14:textId="4A13268F" w:rsidR="005D1278" w:rsidRPr="001202A2" w:rsidRDefault="005D1278" w:rsidP="00880F49">
      <w:pPr>
        <w:pStyle w:val="NASLOV123"/>
        <w:spacing w:before="0" w:after="0"/>
        <w:rPr>
          <w:b w:val="0"/>
          <w:lang w:val="sr-Latn-ME"/>
        </w:rPr>
      </w:pPr>
      <w:r w:rsidRPr="001202A2">
        <w:rPr>
          <w:b w:val="0"/>
          <w:lang w:val="sr-Latn-ME"/>
        </w:rPr>
        <w:t>Oxaway, film tableta, 15 mg, blister, 10 (1x10) film tableta:</w:t>
      </w:r>
      <w:r w:rsidR="00F90ABA" w:rsidRPr="001202A2">
        <w:rPr>
          <w:lang w:val="sr-Latn-ME"/>
        </w:rPr>
        <w:t xml:space="preserve"> </w:t>
      </w:r>
      <w:r w:rsidR="00F90ABA" w:rsidRPr="001202A2">
        <w:rPr>
          <w:b w:val="0"/>
          <w:lang w:val="sr-Latn-ME"/>
        </w:rPr>
        <w:t xml:space="preserve">2030/25/2814 – 6077 </w:t>
      </w:r>
    </w:p>
    <w:p w14:paraId="538E10AD" w14:textId="77777777" w:rsidR="00962E24" w:rsidRPr="001202A2" w:rsidRDefault="005D1278" w:rsidP="00880F49">
      <w:pPr>
        <w:pStyle w:val="NASLOV123"/>
        <w:spacing w:before="0" w:after="0"/>
        <w:rPr>
          <w:lang w:val="sr-Latn-ME"/>
        </w:rPr>
      </w:pPr>
      <w:r w:rsidRPr="001202A2">
        <w:rPr>
          <w:b w:val="0"/>
          <w:lang w:val="sr-Latn-ME"/>
        </w:rPr>
        <w:t xml:space="preserve">Oxaway, film tableta, 15 mg, blister djeljiv na pojedinačne doze, 10 </w:t>
      </w:r>
      <w:r w:rsidR="00962E24" w:rsidRPr="001202A2">
        <w:rPr>
          <w:b w:val="0"/>
          <w:lang w:val="sr-Latn-ME"/>
        </w:rPr>
        <w:t>(1x</w:t>
      </w:r>
      <w:r w:rsidRPr="001202A2">
        <w:rPr>
          <w:b w:val="0"/>
          <w:lang w:val="sr-Latn-ME"/>
        </w:rPr>
        <w:t>(10x1</w:t>
      </w:r>
      <w:r w:rsidR="00962E24" w:rsidRPr="001202A2">
        <w:rPr>
          <w:b w:val="0"/>
          <w:lang w:val="sr-Latn-ME"/>
        </w:rPr>
        <w:t>)</w:t>
      </w:r>
      <w:r w:rsidRPr="001202A2">
        <w:rPr>
          <w:b w:val="0"/>
          <w:lang w:val="sr-Latn-ME"/>
        </w:rPr>
        <w:t>) film tableta:</w:t>
      </w:r>
      <w:r w:rsidR="00962E24" w:rsidRPr="001202A2">
        <w:rPr>
          <w:lang w:val="sr-Latn-ME"/>
        </w:rPr>
        <w:t xml:space="preserve"> </w:t>
      </w:r>
    </w:p>
    <w:p w14:paraId="6D42FF05" w14:textId="5F622764" w:rsidR="005D1278" w:rsidRPr="001202A2" w:rsidRDefault="00962E24" w:rsidP="00880F49">
      <w:pPr>
        <w:pStyle w:val="NASLOV123"/>
        <w:spacing w:before="0" w:after="0"/>
        <w:rPr>
          <w:b w:val="0"/>
          <w:lang w:val="sr-Latn-ME"/>
        </w:rPr>
      </w:pPr>
      <w:r w:rsidRPr="001202A2">
        <w:rPr>
          <w:b w:val="0"/>
          <w:lang w:val="sr-Latn-ME"/>
        </w:rPr>
        <w:t xml:space="preserve">2030/25/2815 – 6081 </w:t>
      </w:r>
    </w:p>
    <w:p w14:paraId="3A18F518" w14:textId="05F2AF94" w:rsidR="005D1278" w:rsidRPr="001202A2" w:rsidRDefault="005D1278" w:rsidP="00880F49">
      <w:pPr>
        <w:pStyle w:val="NASLOV123"/>
        <w:spacing w:before="0" w:after="0"/>
        <w:rPr>
          <w:b w:val="0"/>
          <w:lang w:val="sr-Latn-ME"/>
        </w:rPr>
      </w:pPr>
      <w:r w:rsidRPr="001202A2">
        <w:rPr>
          <w:b w:val="0"/>
          <w:lang w:val="sr-Latn-ME"/>
        </w:rPr>
        <w:t>Oxaway, film tableta, 30 mg, blister, 28 (2x14) film tableta:</w:t>
      </w:r>
      <w:r w:rsidR="00AC6929" w:rsidRPr="001202A2">
        <w:rPr>
          <w:lang w:val="sr-Latn-ME"/>
        </w:rPr>
        <w:t xml:space="preserve"> </w:t>
      </w:r>
      <w:r w:rsidR="00AC6929" w:rsidRPr="001202A2">
        <w:rPr>
          <w:b w:val="0"/>
          <w:lang w:val="sr-Latn-ME"/>
        </w:rPr>
        <w:t xml:space="preserve">2030/25/2816 – 6074 </w:t>
      </w:r>
    </w:p>
    <w:p w14:paraId="0845AD74" w14:textId="4965EF63" w:rsidR="005D1278" w:rsidRPr="001202A2" w:rsidRDefault="005D1278" w:rsidP="00880F49">
      <w:pPr>
        <w:pStyle w:val="NASLOV123"/>
        <w:spacing w:before="0" w:after="0"/>
        <w:rPr>
          <w:b w:val="0"/>
          <w:lang w:val="sr-Latn-ME"/>
        </w:rPr>
      </w:pPr>
      <w:r w:rsidRPr="001202A2">
        <w:rPr>
          <w:b w:val="0"/>
          <w:lang w:val="sr-Latn-ME"/>
        </w:rPr>
        <w:t>Oxaway, film tableta, 30 mg, blister, 98 (7x14) film tableta:</w:t>
      </w:r>
      <w:r w:rsidR="00EF5988" w:rsidRPr="001202A2">
        <w:rPr>
          <w:lang w:val="sr-Latn-ME"/>
        </w:rPr>
        <w:t xml:space="preserve"> </w:t>
      </w:r>
      <w:r w:rsidR="00EF5988" w:rsidRPr="001202A2">
        <w:rPr>
          <w:b w:val="0"/>
          <w:lang w:val="sr-Latn-ME"/>
        </w:rPr>
        <w:t xml:space="preserve">2030/25/2817 – 6075 </w:t>
      </w:r>
    </w:p>
    <w:p w14:paraId="0BE7AA45" w14:textId="4E1B3DDF" w:rsidR="005D1278" w:rsidRPr="001202A2" w:rsidRDefault="005D1278" w:rsidP="00880F49">
      <w:pPr>
        <w:pStyle w:val="NASLOV123"/>
        <w:spacing w:before="0" w:after="0"/>
        <w:rPr>
          <w:b w:val="0"/>
          <w:lang w:val="sr-Latn-ME"/>
        </w:rPr>
      </w:pPr>
      <w:r w:rsidRPr="001202A2">
        <w:rPr>
          <w:b w:val="0"/>
          <w:lang w:val="sr-Latn-ME"/>
        </w:rPr>
        <w:t>Oxaway, film tableta, 60 mg, blister, 28 (2x14) film tableta:</w:t>
      </w:r>
      <w:r w:rsidR="0087480D" w:rsidRPr="001202A2">
        <w:rPr>
          <w:lang w:val="sr-Latn-ME"/>
        </w:rPr>
        <w:t xml:space="preserve"> </w:t>
      </w:r>
      <w:r w:rsidR="0087480D" w:rsidRPr="001202A2">
        <w:rPr>
          <w:b w:val="0"/>
          <w:lang w:val="sr-Latn-ME"/>
        </w:rPr>
        <w:t xml:space="preserve">2030/25/2818 – 6078 </w:t>
      </w:r>
    </w:p>
    <w:p w14:paraId="05D4EB97" w14:textId="18033D68" w:rsidR="005D1278" w:rsidRPr="001202A2" w:rsidRDefault="005D1278" w:rsidP="00880F49">
      <w:pPr>
        <w:pStyle w:val="NASLOV123"/>
        <w:spacing w:before="0" w:after="0"/>
        <w:rPr>
          <w:b w:val="0"/>
          <w:lang w:val="sr-Latn-ME"/>
        </w:rPr>
      </w:pPr>
      <w:r w:rsidRPr="001202A2">
        <w:rPr>
          <w:b w:val="0"/>
          <w:lang w:val="sr-Latn-ME"/>
        </w:rPr>
        <w:t>Oxaway, film tableta, 60 mg, blister, 98 (7x14) film tableta:</w:t>
      </w:r>
      <w:r w:rsidR="001202A2" w:rsidRPr="001202A2">
        <w:rPr>
          <w:lang w:val="sr-Latn-ME"/>
        </w:rPr>
        <w:t xml:space="preserve"> </w:t>
      </w:r>
      <w:r w:rsidR="001202A2" w:rsidRPr="001202A2">
        <w:rPr>
          <w:b w:val="0"/>
          <w:lang w:val="sr-Latn-ME"/>
        </w:rPr>
        <w:t xml:space="preserve">2030/25/2819 – 6079 </w:t>
      </w:r>
    </w:p>
    <w:p w14:paraId="7896F47B" w14:textId="262B8E00" w:rsidR="005D1278" w:rsidRPr="001202A2" w:rsidRDefault="005D1278" w:rsidP="00880F49">
      <w:pPr>
        <w:pStyle w:val="NASLOV123"/>
        <w:spacing w:before="0" w:after="0"/>
        <w:rPr>
          <w:lang w:val="sr-Latn-ME"/>
        </w:rPr>
      </w:pPr>
    </w:p>
    <w:p w14:paraId="6FF34BCC" w14:textId="77777777" w:rsidR="005D1278" w:rsidRPr="001202A2" w:rsidRDefault="005D1278" w:rsidP="00880F49">
      <w:pPr>
        <w:pStyle w:val="NASLOV123"/>
        <w:spacing w:before="0" w:after="0"/>
        <w:rPr>
          <w:lang w:val="sr-Latn-ME"/>
        </w:rPr>
      </w:pPr>
    </w:p>
    <w:p w14:paraId="3D7111A5" w14:textId="00B5E50E" w:rsidR="00CE09F3" w:rsidRPr="001202A2" w:rsidRDefault="00ED4117" w:rsidP="00880F49">
      <w:pPr>
        <w:pStyle w:val="NASLOV123"/>
        <w:spacing w:before="0" w:after="0"/>
        <w:jc w:val="both"/>
        <w:rPr>
          <w:lang w:val="sr-Latn-ME"/>
        </w:rPr>
      </w:pPr>
      <w:r w:rsidRPr="001202A2">
        <w:rPr>
          <w:lang w:val="sr-Latn-ME"/>
        </w:rPr>
        <w:t xml:space="preserve">9. </w:t>
      </w:r>
      <w:r w:rsidR="00CE09F3" w:rsidRPr="001202A2">
        <w:rPr>
          <w:lang w:val="sr-Latn-ME"/>
        </w:rPr>
        <w:t>DATUM PRVE DOZVOLE</w:t>
      </w:r>
      <w:r w:rsidR="003C6667" w:rsidRPr="001202A2">
        <w:rPr>
          <w:lang w:val="sr-Latn-ME"/>
        </w:rPr>
        <w:t>/</w:t>
      </w:r>
      <w:r w:rsidR="00CE09F3" w:rsidRPr="001202A2">
        <w:rPr>
          <w:lang w:val="sr-Latn-ME"/>
        </w:rPr>
        <w:t>OBNOVE DOZVOLE ZA STAVLJANJE L</w:t>
      </w:r>
      <w:r w:rsidR="003C6667" w:rsidRPr="001202A2">
        <w:rPr>
          <w:lang w:val="sr-Latn-ME"/>
        </w:rPr>
        <w:t>IJ</w:t>
      </w:r>
      <w:r w:rsidR="00CE09F3" w:rsidRPr="001202A2">
        <w:rPr>
          <w:lang w:val="sr-Latn-ME"/>
        </w:rPr>
        <w:t>EKA U PROMET</w:t>
      </w:r>
    </w:p>
    <w:p w14:paraId="2E92EB71" w14:textId="7A75D33D" w:rsidR="003C6667" w:rsidRPr="001202A2" w:rsidRDefault="003C6667" w:rsidP="00880F49">
      <w:pPr>
        <w:pStyle w:val="NASLOV123"/>
        <w:spacing w:before="0" w:after="0"/>
        <w:jc w:val="both"/>
        <w:rPr>
          <w:lang w:val="sr-Latn-ME"/>
        </w:rPr>
      </w:pPr>
    </w:p>
    <w:p w14:paraId="1535B6E9" w14:textId="087196B7" w:rsidR="00F90ABA" w:rsidRPr="001202A2" w:rsidRDefault="00F90ABA" w:rsidP="00880F49">
      <w:pPr>
        <w:pStyle w:val="NASLOV123"/>
        <w:spacing w:before="0" w:after="0"/>
        <w:jc w:val="both"/>
        <w:rPr>
          <w:lang w:val="sr-Latn-ME"/>
        </w:rPr>
      </w:pPr>
      <w:r w:rsidRPr="001202A2">
        <w:rPr>
          <w:b w:val="0"/>
          <w:lang w:val="sr-Latn-ME"/>
        </w:rPr>
        <w:t>01.08.2025. godine</w:t>
      </w:r>
    </w:p>
    <w:p w14:paraId="0A58119A" w14:textId="395F5737" w:rsidR="005D1278" w:rsidRPr="001202A2" w:rsidRDefault="005D1278" w:rsidP="00880F49">
      <w:pPr>
        <w:pStyle w:val="NASLOV123"/>
        <w:spacing w:before="0" w:after="0"/>
        <w:jc w:val="both"/>
        <w:rPr>
          <w:lang w:val="sr-Latn-ME"/>
        </w:rPr>
      </w:pPr>
    </w:p>
    <w:p w14:paraId="19A1BA51" w14:textId="77777777" w:rsidR="005D1278" w:rsidRPr="001202A2" w:rsidRDefault="005D1278" w:rsidP="00880F49">
      <w:pPr>
        <w:pStyle w:val="NASLOV123"/>
        <w:spacing w:before="0" w:after="0"/>
        <w:jc w:val="both"/>
        <w:rPr>
          <w:lang w:val="sr-Latn-ME"/>
        </w:rPr>
      </w:pPr>
      <w:bookmarkStart w:id="1" w:name="_GoBack"/>
      <w:bookmarkEnd w:id="1"/>
    </w:p>
    <w:p w14:paraId="3D7111A8" w14:textId="77777777" w:rsidR="00CE09F3" w:rsidRPr="001202A2" w:rsidRDefault="00CE09F3" w:rsidP="00880F49">
      <w:pPr>
        <w:pStyle w:val="NASLOV123"/>
        <w:spacing w:before="0" w:after="0"/>
        <w:rPr>
          <w:lang w:val="sr-Latn-ME"/>
        </w:rPr>
      </w:pPr>
      <w:r w:rsidRPr="001202A2">
        <w:rPr>
          <w:lang w:val="sr-Latn-ME"/>
        </w:rPr>
        <w:t>10. DATUM REVIZIJE TEKSTA</w:t>
      </w:r>
    </w:p>
    <w:p w14:paraId="3D7111AA" w14:textId="24F6BB5E" w:rsidR="00923865" w:rsidRPr="001202A2" w:rsidRDefault="00923865" w:rsidP="00880F49">
      <w:pPr>
        <w:rPr>
          <w:bCs/>
          <w:szCs w:val="22"/>
          <w:lang w:val="sr-Latn-ME"/>
        </w:rPr>
      </w:pPr>
    </w:p>
    <w:p w14:paraId="287ECAFC" w14:textId="384C09F0" w:rsidR="00F90ABA" w:rsidRPr="001202A2" w:rsidRDefault="00F90ABA" w:rsidP="00880F49">
      <w:pPr>
        <w:rPr>
          <w:bCs/>
          <w:szCs w:val="22"/>
          <w:lang w:val="sr-Latn-ME"/>
        </w:rPr>
      </w:pPr>
      <w:r w:rsidRPr="001202A2">
        <w:rPr>
          <w:bCs/>
          <w:szCs w:val="22"/>
          <w:lang w:val="sr-Latn-ME"/>
        </w:rPr>
        <w:t>Avgust, 2025. godine</w:t>
      </w:r>
    </w:p>
    <w:sectPr w:rsidR="00F90ABA" w:rsidRPr="001202A2" w:rsidSect="001202A2">
      <w:headerReference w:type="even" r:id="rId12"/>
      <w:headerReference w:type="default" r:id="rId13"/>
      <w:footerReference w:type="even" r:id="rId14"/>
      <w:footerReference w:type="default" r:id="rId15"/>
      <w:pgSz w:w="11907" w:h="16840" w:code="9"/>
      <w:pgMar w:top="1276" w:right="1134" w:bottom="1276" w:left="1134" w:header="734" w:footer="734"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FDD625" w16cex:dateUtc="2025-08-01T08:19:00Z"/>
  <w16cex:commentExtensible w16cex:durableId="611565FB" w16cex:dateUtc="2025-08-01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28E" w16cid:durableId="58CA028E"/>
  <w16cid:commentId w16cid:paraId="3ED4A01A" w16cid:durableId="76FDD625"/>
  <w16cid:commentId w16cid:paraId="40D31885" w16cid:durableId="40D31885"/>
  <w16cid:commentId w16cid:paraId="22214711" w16cid:durableId="611565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C279E" w14:textId="77777777" w:rsidR="00E3044B" w:rsidRDefault="00E3044B">
      <w:r>
        <w:separator/>
      </w:r>
    </w:p>
  </w:endnote>
  <w:endnote w:type="continuationSeparator" w:id="0">
    <w:p w14:paraId="70979A9A" w14:textId="77777777" w:rsidR="00E3044B" w:rsidRDefault="00E3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Tahoma"/>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6"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11B1" w14:textId="77777777" w:rsidR="00880F49" w:rsidRDefault="00880F4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D7111B2" w14:textId="77777777" w:rsidR="00880F49" w:rsidRDefault="00880F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11B3" w14:textId="764115F6" w:rsidR="00880F49" w:rsidRPr="001202A2" w:rsidRDefault="00E3044B" w:rsidP="000E1DD2">
    <w:pPr>
      <w:pStyle w:val="Footer"/>
      <w:tabs>
        <w:tab w:val="left" w:pos="5448"/>
      </w:tabs>
      <w:spacing w:before="360"/>
      <w:jc w:val="center"/>
      <w:rPr>
        <w:sz w:val="28"/>
      </w:rPr>
    </w:pPr>
    <w:sdt>
      <w:sdtPr>
        <w:id w:val="1306277509"/>
        <w:docPartObj>
          <w:docPartGallery w:val="Page Numbers (Top of Page)"/>
          <w:docPartUnique/>
        </w:docPartObj>
      </w:sdtPr>
      <w:sdtEndPr>
        <w:rPr>
          <w:sz w:val="28"/>
        </w:rPr>
      </w:sdtEndPr>
      <w:sdtContent>
        <w:r w:rsidR="00880F49" w:rsidRPr="001202A2">
          <w:rPr>
            <w:szCs w:val="18"/>
          </w:rPr>
          <w:fldChar w:fldCharType="begin"/>
        </w:r>
        <w:r w:rsidR="00880F49" w:rsidRPr="001202A2">
          <w:rPr>
            <w:szCs w:val="18"/>
          </w:rPr>
          <w:instrText xml:space="preserve"> PAGE </w:instrText>
        </w:r>
        <w:r w:rsidR="00880F49" w:rsidRPr="001202A2">
          <w:rPr>
            <w:szCs w:val="18"/>
          </w:rPr>
          <w:fldChar w:fldCharType="separate"/>
        </w:r>
        <w:r w:rsidR="001202A2">
          <w:rPr>
            <w:noProof/>
            <w:szCs w:val="18"/>
          </w:rPr>
          <w:t>27</w:t>
        </w:r>
        <w:r w:rsidR="00880F49" w:rsidRPr="001202A2">
          <w:rPr>
            <w:szCs w:val="18"/>
          </w:rPr>
          <w:fldChar w:fldCharType="end"/>
        </w:r>
        <w:r w:rsidR="00880F49" w:rsidRPr="001202A2">
          <w:rPr>
            <w:szCs w:val="18"/>
          </w:rPr>
          <w:t xml:space="preserve"> </w:t>
        </w:r>
        <w:r w:rsidR="00384359" w:rsidRPr="001202A2">
          <w:rPr>
            <w:szCs w:val="18"/>
          </w:rPr>
          <w:t>/</w:t>
        </w:r>
        <w:r w:rsidR="00880F49" w:rsidRPr="001202A2">
          <w:rPr>
            <w:szCs w:val="18"/>
          </w:rPr>
          <w:t xml:space="preserve"> </w:t>
        </w:r>
        <w:r w:rsidR="00880F49" w:rsidRPr="001202A2">
          <w:rPr>
            <w:szCs w:val="18"/>
          </w:rPr>
          <w:fldChar w:fldCharType="begin"/>
        </w:r>
        <w:r w:rsidR="00880F49" w:rsidRPr="001202A2">
          <w:rPr>
            <w:szCs w:val="18"/>
          </w:rPr>
          <w:instrText xml:space="preserve"> NUMPAGES  </w:instrText>
        </w:r>
        <w:r w:rsidR="00880F49" w:rsidRPr="001202A2">
          <w:rPr>
            <w:szCs w:val="18"/>
          </w:rPr>
          <w:fldChar w:fldCharType="separate"/>
        </w:r>
        <w:r w:rsidR="001202A2">
          <w:rPr>
            <w:noProof/>
            <w:szCs w:val="18"/>
          </w:rPr>
          <w:t>29</w:t>
        </w:r>
        <w:r w:rsidR="00880F49" w:rsidRPr="001202A2">
          <w:rPr>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70D25" w14:textId="77777777" w:rsidR="00E3044B" w:rsidRDefault="00E3044B">
      <w:r>
        <w:separator/>
      </w:r>
    </w:p>
  </w:footnote>
  <w:footnote w:type="continuationSeparator" w:id="0">
    <w:p w14:paraId="76089EDA" w14:textId="77777777" w:rsidR="00E3044B" w:rsidRDefault="00E3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844F3" w14:textId="05804612" w:rsidR="00880F49" w:rsidRDefault="00880F49">
    <w:pPr>
      <w:pStyle w:val="Header"/>
    </w:pPr>
    <w:r>
      <w:rPr>
        <w:noProof/>
      </w:rPr>
      <mc:AlternateContent>
        <mc:Choice Requires="wps">
          <w:drawing>
            <wp:anchor distT="0" distB="0" distL="0" distR="0" simplePos="0" relativeHeight="251659264" behindDoc="0" locked="0" layoutInCell="1" allowOverlap="1" wp14:anchorId="250CC46F" wp14:editId="6BDD681F">
              <wp:simplePos x="635" y="635"/>
              <wp:positionH relativeFrom="page">
                <wp:align>right</wp:align>
              </wp:positionH>
              <wp:positionV relativeFrom="page">
                <wp:align>top</wp:align>
              </wp:positionV>
              <wp:extent cx="443865" cy="443865"/>
              <wp:effectExtent l="0" t="0" r="0" b="635"/>
              <wp:wrapNone/>
              <wp:docPr id="391439313"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B5594" w14:textId="08EEE516" w:rsidR="00880F49" w:rsidRPr="00D80EEF" w:rsidRDefault="00880F49" w:rsidP="00D80EEF">
                          <w:pPr>
                            <w:rPr>
                              <w:rFonts w:ascii="Calibri" w:eastAsia="Calibri" w:hAnsi="Calibri" w:cs="Calibri"/>
                              <w:noProof/>
                              <w:color w:val="008000"/>
                              <w:szCs w:val="22"/>
                            </w:rPr>
                          </w:pPr>
                          <w:r w:rsidRPr="00D80EEF">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0CC46F"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oQOAnHICAAC1BAAADgAAAAAAAAAAAAAA&#10;AAAuAgAAZHJzL2Uyb0RvYy54bWxQSwECLQAUAAYACAAAACEAd1eEQtoAAAADAQAADwAAAAAAAAAA&#10;AAAAAADMBAAAZHJzL2Rvd25yZXYueG1sUEsFBgAAAAAEAAQA8wAAANMFAAAAAA==&#10;" filled="f" stroked="f">
              <v:textbox style="mso-fit-shape-to-text:t" inset="0,15pt,20pt,0">
                <w:txbxContent>
                  <w:p w14:paraId="565B5594" w14:textId="08EEE516" w:rsidR="00880F49" w:rsidRPr="00D80EEF" w:rsidRDefault="00880F49" w:rsidP="00D80EEF">
                    <w:pPr>
                      <w:rPr>
                        <w:rFonts w:ascii="Calibri" w:eastAsia="Calibri" w:hAnsi="Calibri" w:cs="Calibri"/>
                        <w:noProof/>
                        <w:color w:val="008000"/>
                        <w:szCs w:val="22"/>
                      </w:rPr>
                    </w:pPr>
                    <w:r w:rsidRPr="00D80EEF">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11AF" w14:textId="6F46E99D" w:rsidR="00880F49" w:rsidRDefault="00880F49">
    <w:pPr>
      <w:pStyle w:val="Header"/>
    </w:pPr>
  </w:p>
  <w:p w14:paraId="3D7111B0" w14:textId="77777777" w:rsidR="00880F49" w:rsidRDefault="00880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1C1454"/>
    <w:multiLevelType w:val="hybridMultilevel"/>
    <w:tmpl w:val="2F5413D6"/>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E123794"/>
    <w:multiLevelType w:val="hybridMultilevel"/>
    <w:tmpl w:val="48F67CB8"/>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D0C1F"/>
    <w:multiLevelType w:val="hybridMultilevel"/>
    <w:tmpl w:val="5316D94E"/>
    <w:lvl w:ilvl="0" w:tplc="141A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37167D96"/>
    <w:multiLevelType w:val="hybridMultilevel"/>
    <w:tmpl w:val="5BD2D94A"/>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51A67"/>
    <w:multiLevelType w:val="hybridMultilevel"/>
    <w:tmpl w:val="21148022"/>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430E"/>
    <w:multiLevelType w:val="hybridMultilevel"/>
    <w:tmpl w:val="60B2EE3A"/>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27F38"/>
    <w:multiLevelType w:val="multilevel"/>
    <w:tmpl w:val="9818688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AF303F"/>
    <w:multiLevelType w:val="hybridMultilevel"/>
    <w:tmpl w:val="4ACA7D26"/>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C8E20EE"/>
    <w:multiLevelType w:val="hybridMultilevel"/>
    <w:tmpl w:val="4DB0BE96"/>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10"/>
  </w:num>
  <w:num w:numId="4">
    <w:abstractNumId w:val="3"/>
  </w:num>
  <w:num w:numId="5">
    <w:abstractNumId w:val="9"/>
  </w:num>
  <w:num w:numId="6">
    <w:abstractNumId w:val="11"/>
  </w:num>
  <w:num w:numId="7">
    <w:abstractNumId w:val="1"/>
  </w:num>
  <w:num w:numId="8">
    <w:abstractNumId w:val="5"/>
  </w:num>
  <w:num w:numId="9">
    <w:abstractNumId w:val="7"/>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AC6"/>
    <w:rsid w:val="000048E8"/>
    <w:rsid w:val="0000752F"/>
    <w:rsid w:val="000079AA"/>
    <w:rsid w:val="00007ED4"/>
    <w:rsid w:val="00013105"/>
    <w:rsid w:val="00013909"/>
    <w:rsid w:val="00013964"/>
    <w:rsid w:val="00017801"/>
    <w:rsid w:val="00025C18"/>
    <w:rsid w:val="000317E3"/>
    <w:rsid w:val="00032C3C"/>
    <w:rsid w:val="0003307F"/>
    <w:rsid w:val="00034F6E"/>
    <w:rsid w:val="000358DF"/>
    <w:rsid w:val="000358E8"/>
    <w:rsid w:val="00037557"/>
    <w:rsid w:val="00042DEF"/>
    <w:rsid w:val="00044F01"/>
    <w:rsid w:val="00045D3A"/>
    <w:rsid w:val="00055868"/>
    <w:rsid w:val="00057755"/>
    <w:rsid w:val="0005798D"/>
    <w:rsid w:val="00064273"/>
    <w:rsid w:val="00064DE8"/>
    <w:rsid w:val="0006534E"/>
    <w:rsid w:val="00070CFF"/>
    <w:rsid w:val="00072E07"/>
    <w:rsid w:val="00074776"/>
    <w:rsid w:val="000806B1"/>
    <w:rsid w:val="000825F2"/>
    <w:rsid w:val="00083BE0"/>
    <w:rsid w:val="00084038"/>
    <w:rsid w:val="00091B2D"/>
    <w:rsid w:val="00095FB6"/>
    <w:rsid w:val="0009758B"/>
    <w:rsid w:val="000A0F4A"/>
    <w:rsid w:val="000A112D"/>
    <w:rsid w:val="000A19F9"/>
    <w:rsid w:val="000A2BF9"/>
    <w:rsid w:val="000A37C5"/>
    <w:rsid w:val="000A4462"/>
    <w:rsid w:val="000A67B8"/>
    <w:rsid w:val="000C595C"/>
    <w:rsid w:val="000C5D68"/>
    <w:rsid w:val="000C6F54"/>
    <w:rsid w:val="000D1B67"/>
    <w:rsid w:val="000D5631"/>
    <w:rsid w:val="000E1DD2"/>
    <w:rsid w:val="000E31D5"/>
    <w:rsid w:val="000E3BD5"/>
    <w:rsid w:val="000E56AE"/>
    <w:rsid w:val="000E6366"/>
    <w:rsid w:val="000E7262"/>
    <w:rsid w:val="000E75C0"/>
    <w:rsid w:val="000F2AC1"/>
    <w:rsid w:val="000F4421"/>
    <w:rsid w:val="000F7904"/>
    <w:rsid w:val="00104636"/>
    <w:rsid w:val="00107D57"/>
    <w:rsid w:val="001123CD"/>
    <w:rsid w:val="00112D4B"/>
    <w:rsid w:val="00112E4D"/>
    <w:rsid w:val="001130D5"/>
    <w:rsid w:val="00115405"/>
    <w:rsid w:val="001202A2"/>
    <w:rsid w:val="00126716"/>
    <w:rsid w:val="0013590E"/>
    <w:rsid w:val="00135997"/>
    <w:rsid w:val="00140D5F"/>
    <w:rsid w:val="00141639"/>
    <w:rsid w:val="0014180A"/>
    <w:rsid w:val="00141F57"/>
    <w:rsid w:val="00143008"/>
    <w:rsid w:val="00145736"/>
    <w:rsid w:val="00156150"/>
    <w:rsid w:val="0016101D"/>
    <w:rsid w:val="00165684"/>
    <w:rsid w:val="001671BC"/>
    <w:rsid w:val="001703AF"/>
    <w:rsid w:val="00173D18"/>
    <w:rsid w:val="00175772"/>
    <w:rsid w:val="00175A7E"/>
    <w:rsid w:val="00182EF9"/>
    <w:rsid w:val="0018601D"/>
    <w:rsid w:val="001879CB"/>
    <w:rsid w:val="001973C0"/>
    <w:rsid w:val="001A03C0"/>
    <w:rsid w:val="001A3F8B"/>
    <w:rsid w:val="001A5599"/>
    <w:rsid w:val="001B12C0"/>
    <w:rsid w:val="001B188E"/>
    <w:rsid w:val="001B5DD2"/>
    <w:rsid w:val="001B706A"/>
    <w:rsid w:val="001B7E32"/>
    <w:rsid w:val="001C1C51"/>
    <w:rsid w:val="001C7726"/>
    <w:rsid w:val="001D10C9"/>
    <w:rsid w:val="001D130C"/>
    <w:rsid w:val="001D31FB"/>
    <w:rsid w:val="001D63D6"/>
    <w:rsid w:val="001E0A07"/>
    <w:rsid w:val="001E1687"/>
    <w:rsid w:val="001E6145"/>
    <w:rsid w:val="001E71CA"/>
    <w:rsid w:val="001F1A3E"/>
    <w:rsid w:val="001F2340"/>
    <w:rsid w:val="001F2D4E"/>
    <w:rsid w:val="001F39B6"/>
    <w:rsid w:val="00213B74"/>
    <w:rsid w:val="00215633"/>
    <w:rsid w:val="00220BF7"/>
    <w:rsid w:val="002214B9"/>
    <w:rsid w:val="0022218E"/>
    <w:rsid w:val="0022223A"/>
    <w:rsid w:val="00223A14"/>
    <w:rsid w:val="00224F77"/>
    <w:rsid w:val="00226CCA"/>
    <w:rsid w:val="002310CF"/>
    <w:rsid w:val="00233207"/>
    <w:rsid w:val="00233273"/>
    <w:rsid w:val="0024132F"/>
    <w:rsid w:val="00242DCD"/>
    <w:rsid w:val="00247C5C"/>
    <w:rsid w:val="00266857"/>
    <w:rsid w:val="00267869"/>
    <w:rsid w:val="00270339"/>
    <w:rsid w:val="0027109F"/>
    <w:rsid w:val="002731A1"/>
    <w:rsid w:val="0027354C"/>
    <w:rsid w:val="00273BE0"/>
    <w:rsid w:val="00274D46"/>
    <w:rsid w:val="00277547"/>
    <w:rsid w:val="00282149"/>
    <w:rsid w:val="00283E81"/>
    <w:rsid w:val="00284A4C"/>
    <w:rsid w:val="0029420C"/>
    <w:rsid w:val="00294AF4"/>
    <w:rsid w:val="00297524"/>
    <w:rsid w:val="002A2881"/>
    <w:rsid w:val="002A2AE8"/>
    <w:rsid w:val="002A7A73"/>
    <w:rsid w:val="002B2DFD"/>
    <w:rsid w:val="002B67ED"/>
    <w:rsid w:val="002B6F6A"/>
    <w:rsid w:val="002C0B75"/>
    <w:rsid w:val="002C0FBF"/>
    <w:rsid w:val="002C76BA"/>
    <w:rsid w:val="002D76D0"/>
    <w:rsid w:val="002E04FB"/>
    <w:rsid w:val="002E1485"/>
    <w:rsid w:val="002E343B"/>
    <w:rsid w:val="002E37FA"/>
    <w:rsid w:val="002E515A"/>
    <w:rsid w:val="002F5E2F"/>
    <w:rsid w:val="00303F9A"/>
    <w:rsid w:val="00305B24"/>
    <w:rsid w:val="00306895"/>
    <w:rsid w:val="00306D2F"/>
    <w:rsid w:val="00311801"/>
    <w:rsid w:val="00312E97"/>
    <w:rsid w:val="00316457"/>
    <w:rsid w:val="00316FC0"/>
    <w:rsid w:val="00326741"/>
    <w:rsid w:val="00326C37"/>
    <w:rsid w:val="00342F8B"/>
    <w:rsid w:val="00343752"/>
    <w:rsid w:val="003441CC"/>
    <w:rsid w:val="003452C0"/>
    <w:rsid w:val="00345E5C"/>
    <w:rsid w:val="00361FE2"/>
    <w:rsid w:val="003638D9"/>
    <w:rsid w:val="003664C9"/>
    <w:rsid w:val="00366E32"/>
    <w:rsid w:val="00370227"/>
    <w:rsid w:val="003747B6"/>
    <w:rsid w:val="00375517"/>
    <w:rsid w:val="0037742F"/>
    <w:rsid w:val="00377EBB"/>
    <w:rsid w:val="00382B00"/>
    <w:rsid w:val="00383195"/>
    <w:rsid w:val="00384359"/>
    <w:rsid w:val="00386CCA"/>
    <w:rsid w:val="003915DC"/>
    <w:rsid w:val="003921B3"/>
    <w:rsid w:val="0039221E"/>
    <w:rsid w:val="0039311C"/>
    <w:rsid w:val="003932DA"/>
    <w:rsid w:val="00395269"/>
    <w:rsid w:val="003A2DF8"/>
    <w:rsid w:val="003B1E94"/>
    <w:rsid w:val="003B1EE8"/>
    <w:rsid w:val="003B2082"/>
    <w:rsid w:val="003B6D4A"/>
    <w:rsid w:val="003C18A4"/>
    <w:rsid w:val="003C2EA2"/>
    <w:rsid w:val="003C48F6"/>
    <w:rsid w:val="003C6667"/>
    <w:rsid w:val="003C6685"/>
    <w:rsid w:val="003D0910"/>
    <w:rsid w:val="003E0491"/>
    <w:rsid w:val="003E3EC7"/>
    <w:rsid w:val="003E704B"/>
    <w:rsid w:val="003E78BA"/>
    <w:rsid w:val="003F2E06"/>
    <w:rsid w:val="003F39C1"/>
    <w:rsid w:val="003F4402"/>
    <w:rsid w:val="004019DF"/>
    <w:rsid w:val="00402D2F"/>
    <w:rsid w:val="004040C4"/>
    <w:rsid w:val="0040474B"/>
    <w:rsid w:val="00405D1E"/>
    <w:rsid w:val="00406835"/>
    <w:rsid w:val="004123CD"/>
    <w:rsid w:val="00416C35"/>
    <w:rsid w:val="00417F6F"/>
    <w:rsid w:val="00420481"/>
    <w:rsid w:val="004234ED"/>
    <w:rsid w:val="00426F1D"/>
    <w:rsid w:val="00427C41"/>
    <w:rsid w:val="00427D41"/>
    <w:rsid w:val="00434501"/>
    <w:rsid w:val="00435FA3"/>
    <w:rsid w:val="0043602E"/>
    <w:rsid w:val="00442936"/>
    <w:rsid w:val="0044325C"/>
    <w:rsid w:val="00453E3A"/>
    <w:rsid w:val="00456FFB"/>
    <w:rsid w:val="00457493"/>
    <w:rsid w:val="00457F11"/>
    <w:rsid w:val="00462196"/>
    <w:rsid w:val="00462874"/>
    <w:rsid w:val="00462C33"/>
    <w:rsid w:val="00464DF9"/>
    <w:rsid w:val="004665A0"/>
    <w:rsid w:val="00474144"/>
    <w:rsid w:val="00474DEB"/>
    <w:rsid w:val="00476EB7"/>
    <w:rsid w:val="00480826"/>
    <w:rsid w:val="00480B31"/>
    <w:rsid w:val="0048601F"/>
    <w:rsid w:val="00490E17"/>
    <w:rsid w:val="00490E87"/>
    <w:rsid w:val="00492248"/>
    <w:rsid w:val="004935D8"/>
    <w:rsid w:val="00495428"/>
    <w:rsid w:val="004966FB"/>
    <w:rsid w:val="00497648"/>
    <w:rsid w:val="004A0C26"/>
    <w:rsid w:val="004A3275"/>
    <w:rsid w:val="004A602A"/>
    <w:rsid w:val="004B0394"/>
    <w:rsid w:val="004B1074"/>
    <w:rsid w:val="004B5A11"/>
    <w:rsid w:val="004B6018"/>
    <w:rsid w:val="004B7A50"/>
    <w:rsid w:val="004C0D3C"/>
    <w:rsid w:val="004C3E93"/>
    <w:rsid w:val="004D0FF1"/>
    <w:rsid w:val="004D230F"/>
    <w:rsid w:val="004D481D"/>
    <w:rsid w:val="004D5C01"/>
    <w:rsid w:val="004E5E00"/>
    <w:rsid w:val="004F014D"/>
    <w:rsid w:val="004F5646"/>
    <w:rsid w:val="004F7BB8"/>
    <w:rsid w:val="00501A21"/>
    <w:rsid w:val="005020F7"/>
    <w:rsid w:val="00503974"/>
    <w:rsid w:val="00515A83"/>
    <w:rsid w:val="00515CF3"/>
    <w:rsid w:val="00516097"/>
    <w:rsid w:val="00516D53"/>
    <w:rsid w:val="005171DA"/>
    <w:rsid w:val="00517B70"/>
    <w:rsid w:val="005220EC"/>
    <w:rsid w:val="0052230B"/>
    <w:rsid w:val="00524854"/>
    <w:rsid w:val="00525A8A"/>
    <w:rsid w:val="005276F0"/>
    <w:rsid w:val="00530909"/>
    <w:rsid w:val="00530ED8"/>
    <w:rsid w:val="0053179E"/>
    <w:rsid w:val="00536FF4"/>
    <w:rsid w:val="00537352"/>
    <w:rsid w:val="00541601"/>
    <w:rsid w:val="00541D6C"/>
    <w:rsid w:val="005428CF"/>
    <w:rsid w:val="00542C0A"/>
    <w:rsid w:val="005446C0"/>
    <w:rsid w:val="00553AC1"/>
    <w:rsid w:val="0055771D"/>
    <w:rsid w:val="00571AC3"/>
    <w:rsid w:val="00573DE3"/>
    <w:rsid w:val="00586C81"/>
    <w:rsid w:val="00587A72"/>
    <w:rsid w:val="00591405"/>
    <w:rsid w:val="00591432"/>
    <w:rsid w:val="00591BB5"/>
    <w:rsid w:val="00591FE7"/>
    <w:rsid w:val="005924C5"/>
    <w:rsid w:val="0059321C"/>
    <w:rsid w:val="00595B87"/>
    <w:rsid w:val="00597478"/>
    <w:rsid w:val="005A101F"/>
    <w:rsid w:val="005B15A0"/>
    <w:rsid w:val="005B19E4"/>
    <w:rsid w:val="005B3082"/>
    <w:rsid w:val="005B3388"/>
    <w:rsid w:val="005B42C6"/>
    <w:rsid w:val="005B7640"/>
    <w:rsid w:val="005C3F73"/>
    <w:rsid w:val="005C7891"/>
    <w:rsid w:val="005D1278"/>
    <w:rsid w:val="005D3C90"/>
    <w:rsid w:val="005D3E8D"/>
    <w:rsid w:val="005D4F91"/>
    <w:rsid w:val="005D5955"/>
    <w:rsid w:val="005E3E6D"/>
    <w:rsid w:val="005F0852"/>
    <w:rsid w:val="005F2BED"/>
    <w:rsid w:val="005F67AD"/>
    <w:rsid w:val="005F75D8"/>
    <w:rsid w:val="00600327"/>
    <w:rsid w:val="00603302"/>
    <w:rsid w:val="00604E4F"/>
    <w:rsid w:val="006054EE"/>
    <w:rsid w:val="0060565E"/>
    <w:rsid w:val="006118B6"/>
    <w:rsid w:val="006148A0"/>
    <w:rsid w:val="006148FA"/>
    <w:rsid w:val="00616150"/>
    <w:rsid w:val="00623CE4"/>
    <w:rsid w:val="006270C0"/>
    <w:rsid w:val="00630195"/>
    <w:rsid w:val="0063641E"/>
    <w:rsid w:val="006418D2"/>
    <w:rsid w:val="00644858"/>
    <w:rsid w:val="00653BBE"/>
    <w:rsid w:val="006559AF"/>
    <w:rsid w:val="00660ED5"/>
    <w:rsid w:val="00667FFE"/>
    <w:rsid w:val="006711BA"/>
    <w:rsid w:val="00682DF8"/>
    <w:rsid w:val="006844ED"/>
    <w:rsid w:val="006903F4"/>
    <w:rsid w:val="00693874"/>
    <w:rsid w:val="00693F46"/>
    <w:rsid w:val="0069493B"/>
    <w:rsid w:val="00697FB1"/>
    <w:rsid w:val="006A2AE1"/>
    <w:rsid w:val="006B20B7"/>
    <w:rsid w:val="006B4080"/>
    <w:rsid w:val="006C1C71"/>
    <w:rsid w:val="006D4E63"/>
    <w:rsid w:val="006D7836"/>
    <w:rsid w:val="006E09AD"/>
    <w:rsid w:val="006E233C"/>
    <w:rsid w:val="006E740D"/>
    <w:rsid w:val="006E78B5"/>
    <w:rsid w:val="006F0097"/>
    <w:rsid w:val="006F158F"/>
    <w:rsid w:val="006F4901"/>
    <w:rsid w:val="006F4D68"/>
    <w:rsid w:val="006F5CD1"/>
    <w:rsid w:val="006F6555"/>
    <w:rsid w:val="007135A6"/>
    <w:rsid w:val="00714695"/>
    <w:rsid w:val="007226D5"/>
    <w:rsid w:val="007302DC"/>
    <w:rsid w:val="00730BE8"/>
    <w:rsid w:val="00737D07"/>
    <w:rsid w:val="00743938"/>
    <w:rsid w:val="00743BBC"/>
    <w:rsid w:val="00744658"/>
    <w:rsid w:val="00745434"/>
    <w:rsid w:val="007459BC"/>
    <w:rsid w:val="00757D34"/>
    <w:rsid w:val="00764648"/>
    <w:rsid w:val="007650CA"/>
    <w:rsid w:val="00765B38"/>
    <w:rsid w:val="007672F3"/>
    <w:rsid w:val="00771965"/>
    <w:rsid w:val="00771A09"/>
    <w:rsid w:val="00776DBC"/>
    <w:rsid w:val="007776D0"/>
    <w:rsid w:val="0078779B"/>
    <w:rsid w:val="00787863"/>
    <w:rsid w:val="00787C08"/>
    <w:rsid w:val="007906CB"/>
    <w:rsid w:val="00790DA3"/>
    <w:rsid w:val="007A493C"/>
    <w:rsid w:val="007A552E"/>
    <w:rsid w:val="007B0C20"/>
    <w:rsid w:val="007B16C4"/>
    <w:rsid w:val="007B6CB2"/>
    <w:rsid w:val="007B7E04"/>
    <w:rsid w:val="007C117B"/>
    <w:rsid w:val="007C2246"/>
    <w:rsid w:val="007C2D7E"/>
    <w:rsid w:val="007C43BD"/>
    <w:rsid w:val="007C4C36"/>
    <w:rsid w:val="007D0B13"/>
    <w:rsid w:val="007D17FD"/>
    <w:rsid w:val="007D206C"/>
    <w:rsid w:val="007D28CE"/>
    <w:rsid w:val="007D48C5"/>
    <w:rsid w:val="007E06F0"/>
    <w:rsid w:val="007E5DD7"/>
    <w:rsid w:val="007F65AF"/>
    <w:rsid w:val="007F6F42"/>
    <w:rsid w:val="00802DFC"/>
    <w:rsid w:val="00803EEE"/>
    <w:rsid w:val="00804182"/>
    <w:rsid w:val="00805DAB"/>
    <w:rsid w:val="0081117E"/>
    <w:rsid w:val="0081120D"/>
    <w:rsid w:val="00812C11"/>
    <w:rsid w:val="00813187"/>
    <w:rsid w:val="00814781"/>
    <w:rsid w:val="008170EC"/>
    <w:rsid w:val="00834DBB"/>
    <w:rsid w:val="008366CD"/>
    <w:rsid w:val="00836961"/>
    <w:rsid w:val="008373F5"/>
    <w:rsid w:val="00842FFB"/>
    <w:rsid w:val="00854B89"/>
    <w:rsid w:val="0085525E"/>
    <w:rsid w:val="008572B4"/>
    <w:rsid w:val="008605DA"/>
    <w:rsid w:val="00862B7F"/>
    <w:rsid w:val="0086351A"/>
    <w:rsid w:val="008675AD"/>
    <w:rsid w:val="008742F0"/>
    <w:rsid w:val="0087480D"/>
    <w:rsid w:val="00874B61"/>
    <w:rsid w:val="00877843"/>
    <w:rsid w:val="00880F49"/>
    <w:rsid w:val="0088148E"/>
    <w:rsid w:val="00881D81"/>
    <w:rsid w:val="00882F16"/>
    <w:rsid w:val="00883E77"/>
    <w:rsid w:val="00892995"/>
    <w:rsid w:val="00893B00"/>
    <w:rsid w:val="008970FA"/>
    <w:rsid w:val="008A1744"/>
    <w:rsid w:val="008A1BD2"/>
    <w:rsid w:val="008A48B7"/>
    <w:rsid w:val="008A6E00"/>
    <w:rsid w:val="008B0746"/>
    <w:rsid w:val="008B3255"/>
    <w:rsid w:val="008B3EAC"/>
    <w:rsid w:val="008B3EB5"/>
    <w:rsid w:val="008C14B1"/>
    <w:rsid w:val="008C161F"/>
    <w:rsid w:val="008C28E3"/>
    <w:rsid w:val="008C5809"/>
    <w:rsid w:val="008D02A6"/>
    <w:rsid w:val="008D4D18"/>
    <w:rsid w:val="008D78C9"/>
    <w:rsid w:val="008E0FC9"/>
    <w:rsid w:val="008E62B6"/>
    <w:rsid w:val="008E7103"/>
    <w:rsid w:val="008E7DF1"/>
    <w:rsid w:val="008F1EA4"/>
    <w:rsid w:val="00900240"/>
    <w:rsid w:val="00900980"/>
    <w:rsid w:val="00905482"/>
    <w:rsid w:val="00913684"/>
    <w:rsid w:val="00913B7C"/>
    <w:rsid w:val="009168C7"/>
    <w:rsid w:val="00917193"/>
    <w:rsid w:val="0092026A"/>
    <w:rsid w:val="00922B99"/>
    <w:rsid w:val="00923865"/>
    <w:rsid w:val="0092739C"/>
    <w:rsid w:val="00927D72"/>
    <w:rsid w:val="0093016E"/>
    <w:rsid w:val="00932025"/>
    <w:rsid w:val="00934B4D"/>
    <w:rsid w:val="009353CF"/>
    <w:rsid w:val="00936F8E"/>
    <w:rsid w:val="00940A52"/>
    <w:rsid w:val="00940E79"/>
    <w:rsid w:val="00941432"/>
    <w:rsid w:val="00955C75"/>
    <w:rsid w:val="00961684"/>
    <w:rsid w:val="00962E24"/>
    <w:rsid w:val="00967170"/>
    <w:rsid w:val="009677DF"/>
    <w:rsid w:val="00982AD6"/>
    <w:rsid w:val="00990F72"/>
    <w:rsid w:val="009946F8"/>
    <w:rsid w:val="00996E6B"/>
    <w:rsid w:val="009A1D64"/>
    <w:rsid w:val="009A498C"/>
    <w:rsid w:val="009B005A"/>
    <w:rsid w:val="009B1292"/>
    <w:rsid w:val="009B2430"/>
    <w:rsid w:val="009B2E7E"/>
    <w:rsid w:val="009B338B"/>
    <w:rsid w:val="009B58AD"/>
    <w:rsid w:val="009B7935"/>
    <w:rsid w:val="009C0B66"/>
    <w:rsid w:val="009C1F95"/>
    <w:rsid w:val="009C24B4"/>
    <w:rsid w:val="009C7BA2"/>
    <w:rsid w:val="009D1161"/>
    <w:rsid w:val="009D667B"/>
    <w:rsid w:val="009E0350"/>
    <w:rsid w:val="009E2162"/>
    <w:rsid w:val="009E2C14"/>
    <w:rsid w:val="009E33D1"/>
    <w:rsid w:val="009F0ADD"/>
    <w:rsid w:val="009F1EF0"/>
    <w:rsid w:val="009F305B"/>
    <w:rsid w:val="009F4449"/>
    <w:rsid w:val="009F6F11"/>
    <w:rsid w:val="00A0165C"/>
    <w:rsid w:val="00A02252"/>
    <w:rsid w:val="00A07FEE"/>
    <w:rsid w:val="00A127F1"/>
    <w:rsid w:val="00A135CF"/>
    <w:rsid w:val="00A1499B"/>
    <w:rsid w:val="00A154B5"/>
    <w:rsid w:val="00A2287B"/>
    <w:rsid w:val="00A23B6D"/>
    <w:rsid w:val="00A27130"/>
    <w:rsid w:val="00A347AA"/>
    <w:rsid w:val="00A4031E"/>
    <w:rsid w:val="00A43DC6"/>
    <w:rsid w:val="00A44A03"/>
    <w:rsid w:val="00A51E3D"/>
    <w:rsid w:val="00A527B5"/>
    <w:rsid w:val="00A54785"/>
    <w:rsid w:val="00A54B87"/>
    <w:rsid w:val="00A5698A"/>
    <w:rsid w:val="00A56CA8"/>
    <w:rsid w:val="00A57AD0"/>
    <w:rsid w:val="00A61C84"/>
    <w:rsid w:val="00A67621"/>
    <w:rsid w:val="00A7147C"/>
    <w:rsid w:val="00A7660B"/>
    <w:rsid w:val="00A7674C"/>
    <w:rsid w:val="00A80C1A"/>
    <w:rsid w:val="00A83A8B"/>
    <w:rsid w:val="00A86897"/>
    <w:rsid w:val="00A9402E"/>
    <w:rsid w:val="00A95733"/>
    <w:rsid w:val="00AA1317"/>
    <w:rsid w:val="00AB5465"/>
    <w:rsid w:val="00AC6929"/>
    <w:rsid w:val="00AC7C46"/>
    <w:rsid w:val="00AD3842"/>
    <w:rsid w:val="00AD6C5E"/>
    <w:rsid w:val="00AE1D6D"/>
    <w:rsid w:val="00AE365D"/>
    <w:rsid w:val="00AE492D"/>
    <w:rsid w:val="00AE4ED9"/>
    <w:rsid w:val="00AE523B"/>
    <w:rsid w:val="00AF755E"/>
    <w:rsid w:val="00B0793F"/>
    <w:rsid w:val="00B07E69"/>
    <w:rsid w:val="00B1107F"/>
    <w:rsid w:val="00B1183E"/>
    <w:rsid w:val="00B160EE"/>
    <w:rsid w:val="00B240B5"/>
    <w:rsid w:val="00B24AD2"/>
    <w:rsid w:val="00B2633E"/>
    <w:rsid w:val="00B26FAC"/>
    <w:rsid w:val="00B312E5"/>
    <w:rsid w:val="00B31AA2"/>
    <w:rsid w:val="00B339DF"/>
    <w:rsid w:val="00B33A9D"/>
    <w:rsid w:val="00B341A3"/>
    <w:rsid w:val="00B34273"/>
    <w:rsid w:val="00B34CDB"/>
    <w:rsid w:val="00B40457"/>
    <w:rsid w:val="00B52131"/>
    <w:rsid w:val="00B71933"/>
    <w:rsid w:val="00B722C5"/>
    <w:rsid w:val="00B74131"/>
    <w:rsid w:val="00B74C0B"/>
    <w:rsid w:val="00B77954"/>
    <w:rsid w:val="00B8400D"/>
    <w:rsid w:val="00B90646"/>
    <w:rsid w:val="00B92A22"/>
    <w:rsid w:val="00B93A37"/>
    <w:rsid w:val="00B951BB"/>
    <w:rsid w:val="00B9785D"/>
    <w:rsid w:val="00BA1819"/>
    <w:rsid w:val="00BA200F"/>
    <w:rsid w:val="00BA3F74"/>
    <w:rsid w:val="00BA5A22"/>
    <w:rsid w:val="00BA66B7"/>
    <w:rsid w:val="00BB2E85"/>
    <w:rsid w:val="00BB4D3F"/>
    <w:rsid w:val="00BB55E5"/>
    <w:rsid w:val="00BB698B"/>
    <w:rsid w:val="00BC02B8"/>
    <w:rsid w:val="00BC4CD8"/>
    <w:rsid w:val="00BD04E8"/>
    <w:rsid w:val="00BD3D8B"/>
    <w:rsid w:val="00BD6939"/>
    <w:rsid w:val="00BD725A"/>
    <w:rsid w:val="00BE09BA"/>
    <w:rsid w:val="00BE228A"/>
    <w:rsid w:val="00BF3750"/>
    <w:rsid w:val="00BF55D9"/>
    <w:rsid w:val="00C0089D"/>
    <w:rsid w:val="00C06244"/>
    <w:rsid w:val="00C154D8"/>
    <w:rsid w:val="00C16B88"/>
    <w:rsid w:val="00C20466"/>
    <w:rsid w:val="00C21DFC"/>
    <w:rsid w:val="00C24EF7"/>
    <w:rsid w:val="00C31254"/>
    <w:rsid w:val="00C363B0"/>
    <w:rsid w:val="00C37787"/>
    <w:rsid w:val="00C4451F"/>
    <w:rsid w:val="00C52A8E"/>
    <w:rsid w:val="00C536C2"/>
    <w:rsid w:val="00C55F47"/>
    <w:rsid w:val="00C56D72"/>
    <w:rsid w:val="00C56E2E"/>
    <w:rsid w:val="00C6442A"/>
    <w:rsid w:val="00C64A31"/>
    <w:rsid w:val="00C7144B"/>
    <w:rsid w:val="00C74580"/>
    <w:rsid w:val="00C82E8B"/>
    <w:rsid w:val="00C84977"/>
    <w:rsid w:val="00C90F85"/>
    <w:rsid w:val="00C925BB"/>
    <w:rsid w:val="00C93BEB"/>
    <w:rsid w:val="00C951D6"/>
    <w:rsid w:val="00C9644D"/>
    <w:rsid w:val="00C96D87"/>
    <w:rsid w:val="00CB05E3"/>
    <w:rsid w:val="00CB4C44"/>
    <w:rsid w:val="00CB7C41"/>
    <w:rsid w:val="00CC2399"/>
    <w:rsid w:val="00CC4C88"/>
    <w:rsid w:val="00CC74B9"/>
    <w:rsid w:val="00CD0B1F"/>
    <w:rsid w:val="00CD284D"/>
    <w:rsid w:val="00CD3F96"/>
    <w:rsid w:val="00CD5611"/>
    <w:rsid w:val="00CE09F3"/>
    <w:rsid w:val="00CE0B84"/>
    <w:rsid w:val="00CE3D55"/>
    <w:rsid w:val="00CE76DA"/>
    <w:rsid w:val="00CE77C1"/>
    <w:rsid w:val="00CF0CB9"/>
    <w:rsid w:val="00CF0CE5"/>
    <w:rsid w:val="00CF1CFF"/>
    <w:rsid w:val="00CF4978"/>
    <w:rsid w:val="00D11D9C"/>
    <w:rsid w:val="00D11E94"/>
    <w:rsid w:val="00D131E5"/>
    <w:rsid w:val="00D163F3"/>
    <w:rsid w:val="00D16BDF"/>
    <w:rsid w:val="00D30389"/>
    <w:rsid w:val="00D31A44"/>
    <w:rsid w:val="00D32DDF"/>
    <w:rsid w:val="00D330E2"/>
    <w:rsid w:val="00D337F6"/>
    <w:rsid w:val="00D4173F"/>
    <w:rsid w:val="00D444EA"/>
    <w:rsid w:val="00D45E3D"/>
    <w:rsid w:val="00D52C82"/>
    <w:rsid w:val="00D52CDB"/>
    <w:rsid w:val="00D54571"/>
    <w:rsid w:val="00D568D6"/>
    <w:rsid w:val="00D61710"/>
    <w:rsid w:val="00D63CAC"/>
    <w:rsid w:val="00D6611E"/>
    <w:rsid w:val="00D712F8"/>
    <w:rsid w:val="00D73F46"/>
    <w:rsid w:val="00D80EEF"/>
    <w:rsid w:val="00D81391"/>
    <w:rsid w:val="00D85F37"/>
    <w:rsid w:val="00D92270"/>
    <w:rsid w:val="00D96BC4"/>
    <w:rsid w:val="00DA0476"/>
    <w:rsid w:val="00DA2EFC"/>
    <w:rsid w:val="00DA4D7A"/>
    <w:rsid w:val="00DA7071"/>
    <w:rsid w:val="00DA7AB7"/>
    <w:rsid w:val="00DB0CF1"/>
    <w:rsid w:val="00DB0D81"/>
    <w:rsid w:val="00DB4534"/>
    <w:rsid w:val="00DB7967"/>
    <w:rsid w:val="00DB7CB3"/>
    <w:rsid w:val="00DB7D82"/>
    <w:rsid w:val="00DC187F"/>
    <w:rsid w:val="00DD19A7"/>
    <w:rsid w:val="00DD2A82"/>
    <w:rsid w:val="00DD60B1"/>
    <w:rsid w:val="00DD703A"/>
    <w:rsid w:val="00DF46E4"/>
    <w:rsid w:val="00DF7A06"/>
    <w:rsid w:val="00DF7DB9"/>
    <w:rsid w:val="00E04856"/>
    <w:rsid w:val="00E15A85"/>
    <w:rsid w:val="00E160D4"/>
    <w:rsid w:val="00E20263"/>
    <w:rsid w:val="00E20515"/>
    <w:rsid w:val="00E228A7"/>
    <w:rsid w:val="00E23FC3"/>
    <w:rsid w:val="00E25897"/>
    <w:rsid w:val="00E3044B"/>
    <w:rsid w:val="00E403E9"/>
    <w:rsid w:val="00E505B2"/>
    <w:rsid w:val="00E50CD3"/>
    <w:rsid w:val="00E526F3"/>
    <w:rsid w:val="00E56089"/>
    <w:rsid w:val="00E604F5"/>
    <w:rsid w:val="00E61C42"/>
    <w:rsid w:val="00E64201"/>
    <w:rsid w:val="00E71FC8"/>
    <w:rsid w:val="00E75727"/>
    <w:rsid w:val="00E757E1"/>
    <w:rsid w:val="00E75859"/>
    <w:rsid w:val="00E77820"/>
    <w:rsid w:val="00E8183F"/>
    <w:rsid w:val="00E82A1A"/>
    <w:rsid w:val="00E84365"/>
    <w:rsid w:val="00E87BE1"/>
    <w:rsid w:val="00E87DC6"/>
    <w:rsid w:val="00E87E81"/>
    <w:rsid w:val="00E94875"/>
    <w:rsid w:val="00EA020F"/>
    <w:rsid w:val="00EA1F85"/>
    <w:rsid w:val="00EB27D6"/>
    <w:rsid w:val="00EC0B0C"/>
    <w:rsid w:val="00EC74BD"/>
    <w:rsid w:val="00ED4117"/>
    <w:rsid w:val="00ED4585"/>
    <w:rsid w:val="00ED528F"/>
    <w:rsid w:val="00ED735F"/>
    <w:rsid w:val="00EE1F22"/>
    <w:rsid w:val="00EE1FA7"/>
    <w:rsid w:val="00EE2212"/>
    <w:rsid w:val="00EF5988"/>
    <w:rsid w:val="00EF705A"/>
    <w:rsid w:val="00F20088"/>
    <w:rsid w:val="00F203A8"/>
    <w:rsid w:val="00F2048C"/>
    <w:rsid w:val="00F21C68"/>
    <w:rsid w:val="00F23AF4"/>
    <w:rsid w:val="00F24021"/>
    <w:rsid w:val="00F25BEE"/>
    <w:rsid w:val="00F27367"/>
    <w:rsid w:val="00F33BC2"/>
    <w:rsid w:val="00F36CF5"/>
    <w:rsid w:val="00F40CE4"/>
    <w:rsid w:val="00F4136C"/>
    <w:rsid w:val="00F42610"/>
    <w:rsid w:val="00F43448"/>
    <w:rsid w:val="00F46022"/>
    <w:rsid w:val="00F46E6D"/>
    <w:rsid w:val="00F46FAC"/>
    <w:rsid w:val="00F52069"/>
    <w:rsid w:val="00F52A29"/>
    <w:rsid w:val="00F536DA"/>
    <w:rsid w:val="00F53A72"/>
    <w:rsid w:val="00F54E97"/>
    <w:rsid w:val="00F5775F"/>
    <w:rsid w:val="00F5795F"/>
    <w:rsid w:val="00F63865"/>
    <w:rsid w:val="00F63F24"/>
    <w:rsid w:val="00F642B4"/>
    <w:rsid w:val="00F6528B"/>
    <w:rsid w:val="00F7082E"/>
    <w:rsid w:val="00F72DA9"/>
    <w:rsid w:val="00F73BA0"/>
    <w:rsid w:val="00F744E6"/>
    <w:rsid w:val="00F80BFA"/>
    <w:rsid w:val="00F81FAE"/>
    <w:rsid w:val="00F83812"/>
    <w:rsid w:val="00F8459F"/>
    <w:rsid w:val="00F8598E"/>
    <w:rsid w:val="00F87B26"/>
    <w:rsid w:val="00F9039D"/>
    <w:rsid w:val="00F904C8"/>
    <w:rsid w:val="00F90ABA"/>
    <w:rsid w:val="00F9115B"/>
    <w:rsid w:val="00F91B9B"/>
    <w:rsid w:val="00F962D1"/>
    <w:rsid w:val="00FA1A0E"/>
    <w:rsid w:val="00FA26C6"/>
    <w:rsid w:val="00FA3FF3"/>
    <w:rsid w:val="00FA7259"/>
    <w:rsid w:val="00FB0DB2"/>
    <w:rsid w:val="00FB2D4A"/>
    <w:rsid w:val="00FB6B99"/>
    <w:rsid w:val="00FB71BB"/>
    <w:rsid w:val="00FB79A9"/>
    <w:rsid w:val="00FC215A"/>
    <w:rsid w:val="00FC42DE"/>
    <w:rsid w:val="00FC7B89"/>
    <w:rsid w:val="00FD681D"/>
    <w:rsid w:val="00FE074C"/>
    <w:rsid w:val="00FE6374"/>
    <w:rsid w:val="00FF0D13"/>
    <w:rsid w:val="00FF498C"/>
    <w:rsid w:val="00FF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10F13"/>
  <w15:docId w15:val="{AEF1BF00-BB4E-476F-95E3-CEE3921A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styleId="Hyperlink">
    <w:name w:val="Hyperlink"/>
    <w:basedOn w:val="DefaultParagraphFont"/>
    <w:unhideWhenUsed/>
    <w:rsid w:val="00490E17"/>
    <w:rPr>
      <w:color w:val="0000FF" w:themeColor="hyperlink"/>
      <w:u w:val="single"/>
    </w:rPr>
  </w:style>
  <w:style w:type="paragraph" w:styleId="Revision">
    <w:name w:val="Revision"/>
    <w:hidden/>
    <w:uiPriority w:val="99"/>
    <w:semiHidden/>
    <w:rsid w:val="001C1C51"/>
    <w:rPr>
      <w:sz w:val="22"/>
      <w:szCs w:val="24"/>
    </w:rPr>
  </w:style>
  <w:style w:type="character" w:customStyle="1" w:styleId="HeaderChar">
    <w:name w:val="Header Char"/>
    <w:basedOn w:val="DefaultParagraphFont"/>
    <w:link w:val="Header"/>
    <w:uiPriority w:val="99"/>
    <w:rsid w:val="001A5599"/>
    <w:rPr>
      <w:sz w:val="22"/>
      <w:szCs w:val="24"/>
    </w:rPr>
  </w:style>
  <w:style w:type="character" w:styleId="Emphasis">
    <w:name w:val="Emphasis"/>
    <w:basedOn w:val="DefaultParagraphFont"/>
    <w:uiPriority w:val="20"/>
    <w:qFormat/>
    <w:rsid w:val="00FC7B89"/>
    <w:rPr>
      <w:i/>
      <w:iCs/>
    </w:rPr>
  </w:style>
  <w:style w:type="paragraph" w:styleId="ListParagraph">
    <w:name w:val="List Paragraph"/>
    <w:basedOn w:val="Normal"/>
    <w:uiPriority w:val="34"/>
    <w:qFormat/>
    <w:rsid w:val="00F52A29"/>
    <w:pPr>
      <w:ind w:left="720"/>
      <w:contextualSpacing/>
    </w:pPr>
  </w:style>
  <w:style w:type="table" w:styleId="TableGrid">
    <w:name w:val="Table Grid"/>
    <w:basedOn w:val="TableNormal"/>
    <w:rsid w:val="006E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17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0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3BD6-76BB-41CD-8A9A-E06854A6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29</Pages>
  <Words>13295</Words>
  <Characters>75783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29</cp:revision>
  <cp:lastPrinted>2018-10-24T08:49:00Z</cp:lastPrinted>
  <dcterms:created xsi:type="dcterms:W3CDTF">2025-07-29T10:13:00Z</dcterms:created>
  <dcterms:modified xsi:type="dcterms:W3CDTF">2025-08-01T11:16:00Z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476e406,1754e3d1,6f16c58f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2023-08-30T13:52:35Z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df2c7cfd-d8bd-4b27-84f6-1ebc39fefa4a</vt:lpwstr>
  </property>
  <property fmtid="{D5CDD505-2E9C-101B-9397-08002B2CF9AE}" pid="11" name="MSIP_Label_80e91ba7-203e-4ac0-a045-4c37ad0b383b_ContentBits">
    <vt:lpwstr>1</vt:lpwstr>
  </property>
</Properties>
</file>