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56" w:rsidRDefault="00D52456"/>
    <w:p w:rsidR="00D52456" w:rsidRDefault="004941CB">
      <w:pPr>
        <w:jc w:val="center"/>
        <w:rPr>
          <w:b/>
          <w:u w:val="single"/>
        </w:rPr>
      </w:pPr>
      <w:r>
        <w:rPr>
          <w:b/>
          <w:u w:val="single"/>
        </w:rPr>
        <w:t xml:space="preserve">SAŽETAK KARAKTERISTIKA </w:t>
      </w:r>
      <w:r>
        <w:rPr>
          <w:b/>
          <w:bCs/>
          <w:iCs/>
          <w:szCs w:val="22"/>
          <w:u w:val="single"/>
        </w:rPr>
        <w:t>LIJEKA</w:t>
      </w:r>
    </w:p>
    <w:p w:rsidR="00D52456" w:rsidRDefault="00D52456">
      <w:pPr>
        <w:rPr>
          <w:b/>
          <w:i/>
          <w:u w:val="single"/>
        </w:rPr>
      </w:pPr>
    </w:p>
    <w:p w:rsidR="00D52456" w:rsidRDefault="00D52456">
      <w:pPr>
        <w:tabs>
          <w:tab w:val="left" w:pos="540"/>
          <w:tab w:val="left" w:pos="569"/>
        </w:tabs>
        <w:rPr>
          <w:lang w:val="hr-HR"/>
        </w:rPr>
      </w:pPr>
    </w:p>
    <w:p w:rsidR="00D52456" w:rsidRDefault="00D52456">
      <w:pPr>
        <w:tabs>
          <w:tab w:val="left" w:pos="540"/>
          <w:tab w:val="left" w:pos="569"/>
        </w:tabs>
        <w:rPr>
          <w:lang w:val="hr-HR"/>
        </w:rPr>
      </w:pPr>
    </w:p>
    <w:p w:rsidR="00D52456" w:rsidRDefault="004941CB">
      <w:pPr>
        <w:tabs>
          <w:tab w:val="left" w:pos="540"/>
          <w:tab w:val="left" w:pos="569"/>
        </w:tabs>
        <w:rPr>
          <w:b/>
        </w:rPr>
      </w:pPr>
      <w:r>
        <w:rPr>
          <w:b/>
        </w:rPr>
        <w:t>1.</w:t>
      </w:r>
      <w:r>
        <w:rPr>
          <w:b/>
          <w:bCs/>
          <w:szCs w:val="22"/>
        </w:rPr>
        <w:tab/>
        <w:t>NAZIV LIJEKA</w:t>
      </w:r>
    </w:p>
    <w:p w:rsidR="00D52456" w:rsidRDefault="00D52456">
      <w:pPr>
        <w:rPr>
          <w:lang w:val="sr-Latn-CS"/>
        </w:rPr>
      </w:pPr>
    </w:p>
    <w:p w:rsidR="00D52456" w:rsidRDefault="004941CB">
      <w:pPr>
        <w:rPr>
          <w:lang w:val="sr-Latn-CS"/>
        </w:rPr>
      </w:pPr>
      <w:r>
        <w:rPr>
          <w:lang w:val="sr-Latn-CS"/>
        </w:rPr>
        <w:t>Lioton 1000</w:t>
      </w:r>
      <w:r>
        <w:rPr>
          <w:szCs w:val="22"/>
          <w:lang w:val="sr-Latn-CS"/>
        </w:rPr>
        <w:t>,</w:t>
      </w:r>
      <w:r>
        <w:rPr>
          <w:lang w:val="sr-Latn-CS"/>
        </w:rPr>
        <w:t xml:space="preserve"> 1000 i.j./g</w:t>
      </w:r>
      <w:r>
        <w:rPr>
          <w:szCs w:val="22"/>
          <w:lang w:val="sr-Latn-CS"/>
        </w:rPr>
        <w:t>,</w:t>
      </w:r>
      <w:r>
        <w:rPr>
          <w:lang w:val="sr-Latn-CS"/>
        </w:rPr>
        <w:t xml:space="preserve"> gel</w:t>
      </w:r>
    </w:p>
    <w:p w:rsidR="00D52456" w:rsidRDefault="00D52456">
      <w:pPr>
        <w:rPr>
          <w:lang w:val="de-DE"/>
        </w:rPr>
      </w:pPr>
    </w:p>
    <w:p w:rsidR="00D52456" w:rsidRDefault="004941CB">
      <w:pPr>
        <w:rPr>
          <w:lang w:val="sr-Latn-CS"/>
        </w:rPr>
      </w:pPr>
      <w:r>
        <w:t xml:space="preserve">INN: </w:t>
      </w:r>
      <w:r>
        <w:rPr>
          <w:lang w:val="sr-Latn-CS"/>
        </w:rPr>
        <w:t>heparin</w:t>
      </w:r>
      <w:r>
        <w:rPr>
          <w:szCs w:val="22"/>
          <w:lang w:val="sr-Latn-CS"/>
        </w:rPr>
        <w:t xml:space="preserve"> </w:t>
      </w:r>
      <w:r>
        <w:rPr>
          <w:lang w:val="sr-Latn-CS"/>
        </w:rPr>
        <w:t>natrijum</w:t>
      </w:r>
    </w:p>
    <w:p w:rsidR="00D52456" w:rsidRDefault="00D52456"/>
    <w:p w:rsidR="00D52456" w:rsidRDefault="004941CB">
      <w:pPr>
        <w:pStyle w:val="NASLOV123"/>
      </w:pPr>
      <w:r>
        <w:t>2. KVALITATIVNI I KVANTITATIVNI SASTAV</w:t>
      </w:r>
    </w:p>
    <w:p w:rsidR="00D52456" w:rsidRDefault="004941CB">
      <w:pPr>
        <w:rPr>
          <w:lang w:val="sr-Latn-CS"/>
        </w:rPr>
      </w:pPr>
      <w:r>
        <w:rPr>
          <w:szCs w:val="22"/>
          <w:lang w:val="sr-Latn-CS"/>
        </w:rPr>
        <w:t>Jedan gram</w:t>
      </w:r>
      <w:r>
        <w:rPr>
          <w:lang w:val="sr-Latn-CS"/>
        </w:rPr>
        <w:t xml:space="preserve"> gela sadrži </w:t>
      </w:r>
      <w:r>
        <w:rPr>
          <w:szCs w:val="22"/>
          <w:lang w:val="sr-Latn-CS"/>
        </w:rPr>
        <w:t>1000</w:t>
      </w:r>
      <w:r>
        <w:rPr>
          <w:lang w:val="sr-Latn-CS"/>
        </w:rPr>
        <w:t xml:space="preserve"> i.j. heparin</w:t>
      </w:r>
      <w:r>
        <w:rPr>
          <w:szCs w:val="22"/>
          <w:lang w:val="sr-Latn-CS"/>
        </w:rPr>
        <w:t xml:space="preserve"> </w:t>
      </w:r>
      <w:r>
        <w:rPr>
          <w:lang w:val="sr-Latn-CS"/>
        </w:rPr>
        <w:t>natrijuma.</w:t>
      </w:r>
    </w:p>
    <w:p w:rsidR="00D52456" w:rsidRDefault="00D52456">
      <w:pPr>
        <w:rPr>
          <w:lang w:val="sr-Latn-CS"/>
        </w:rPr>
      </w:pPr>
    </w:p>
    <w:p w:rsidR="00D52456" w:rsidRDefault="004941CB">
      <w:pPr>
        <w:rPr>
          <w:lang w:val="sr-Latn-CS"/>
        </w:rPr>
      </w:pPr>
      <w:r>
        <w:rPr>
          <w:u w:val="single"/>
          <w:lang w:val="sr-Latn-CS"/>
        </w:rPr>
        <w:t>Pomoćne supstance sa potvrđenim dejstvom</w:t>
      </w:r>
      <w:r>
        <w:rPr>
          <w:lang w:val="sr-Latn-CS"/>
        </w:rPr>
        <w:t xml:space="preserve">: </w:t>
      </w:r>
    </w:p>
    <w:p w:rsidR="00D52456" w:rsidRDefault="004941CB">
      <w:pPr>
        <w:rPr>
          <w:rFonts w:eastAsia="Arial Unicode MS"/>
          <w:szCs w:val="22"/>
          <w:lang w:val="sr-Latn-CS"/>
        </w:rPr>
      </w:pPr>
      <w:r>
        <w:rPr>
          <w:rFonts w:eastAsia="Arial Unicode MS"/>
          <w:szCs w:val="22"/>
          <w:lang w:val="sr-Latn-CS"/>
        </w:rPr>
        <w:t xml:space="preserve">Sto grama gela </w:t>
      </w:r>
      <w:r>
        <w:rPr>
          <w:rFonts w:eastAsia="Arial Unicode MS"/>
          <w:szCs w:val="22"/>
          <w:lang w:val="sr-Latn-CS"/>
        </w:rPr>
        <w:t>sadrži 0,12 g metilparahidroksibenzoata i 0,03 g propilparahidroksibenzoata</w:t>
      </w:r>
      <w:r>
        <w:rPr>
          <w:rFonts w:eastAsia="Arial Unicode MS"/>
          <w:lang w:val="sr-Latn-CS"/>
        </w:rPr>
        <w:t xml:space="preserve"> kao </w:t>
      </w:r>
      <w:r>
        <w:rPr>
          <w:rFonts w:eastAsia="Arial Unicode MS"/>
          <w:szCs w:val="22"/>
          <w:lang w:val="sr-Latn-CS"/>
        </w:rPr>
        <w:t xml:space="preserve">konzervanse. </w:t>
      </w:r>
    </w:p>
    <w:p w:rsidR="00D52456" w:rsidRDefault="004941CB">
      <w:pPr>
        <w:rPr>
          <w:rFonts w:eastAsia="Arial Unicode MS"/>
          <w:lang w:val="sr-Latn-CS"/>
        </w:rPr>
      </w:pPr>
      <w:r>
        <w:rPr>
          <w:rFonts w:eastAsia="Arial Unicode MS"/>
          <w:lang w:val="sr-Latn-CS"/>
        </w:rPr>
        <w:t xml:space="preserve">Miris </w:t>
      </w:r>
      <w:r>
        <w:rPr>
          <w:rFonts w:eastAsia="Arial Unicode MS"/>
          <w:szCs w:val="22"/>
          <w:lang w:val="sr-Latn-CS"/>
        </w:rPr>
        <w:t>cvijeta</w:t>
      </w:r>
      <w:r>
        <w:rPr>
          <w:rFonts w:eastAsia="Arial Unicode MS"/>
          <w:lang w:val="sr-Latn-CS"/>
        </w:rPr>
        <w:t xml:space="preserve"> narandže i etarsko ulje lavandina sadrže: citral, citronelol, kumarin, d-limonen, farnesol, geraniol i linalol</w:t>
      </w:r>
      <w:r>
        <w:rPr>
          <w:rFonts w:eastAsia="Arial Unicode MS"/>
          <w:szCs w:val="22"/>
          <w:lang w:val="sr-Latn-CS"/>
        </w:rPr>
        <w:t xml:space="preserve"> (kao mirise).</w:t>
      </w:r>
    </w:p>
    <w:p w:rsidR="00D52456" w:rsidRDefault="00D52456">
      <w:pPr>
        <w:rPr>
          <w:rFonts w:eastAsia="Arial Unicode MS"/>
          <w:lang w:val="sr-Latn-CS"/>
        </w:rPr>
      </w:pPr>
    </w:p>
    <w:p w:rsidR="00D52456" w:rsidRDefault="004941CB">
      <w:pPr>
        <w:rPr>
          <w:rFonts w:eastAsia="Arial Unicode MS"/>
          <w:lang w:val="sr-Latn-CS"/>
        </w:rPr>
      </w:pPr>
      <w:r>
        <w:rPr>
          <w:rFonts w:eastAsia="Arial Unicode MS"/>
          <w:lang w:val="sr-Latn-CS"/>
        </w:rPr>
        <w:t>Jedan gram gela sadrži</w:t>
      </w:r>
      <w:r>
        <w:rPr>
          <w:rFonts w:eastAsia="Arial Unicode MS"/>
          <w:lang w:val="sr-Latn-CS"/>
        </w:rPr>
        <w:t xml:space="preserve"> 233 mg etanola.</w:t>
      </w:r>
    </w:p>
    <w:p w:rsidR="00D52456" w:rsidRDefault="00D52456">
      <w:pPr>
        <w:rPr>
          <w:lang w:val="sr-Latn-CS"/>
        </w:rPr>
      </w:pPr>
    </w:p>
    <w:p w:rsidR="00D52456" w:rsidRDefault="004941CB">
      <w:pPr>
        <w:rPr>
          <w:lang w:val="sr-Latn-CS"/>
        </w:rPr>
      </w:pPr>
      <w:r>
        <w:rPr>
          <w:lang w:val="sr-Latn-CS"/>
        </w:rPr>
        <w:t xml:space="preserve">Za </w:t>
      </w:r>
      <w:r>
        <w:rPr>
          <w:szCs w:val="22"/>
          <w:lang w:val="sr-Latn-CS"/>
        </w:rPr>
        <w:t>spisak</w:t>
      </w:r>
      <w:r>
        <w:rPr>
          <w:lang w:val="sr-Latn-CS"/>
        </w:rPr>
        <w:t xml:space="preserve"> svih </w:t>
      </w:r>
      <w:r>
        <w:rPr>
          <w:szCs w:val="22"/>
          <w:lang w:val="sr-Latn-CS"/>
        </w:rPr>
        <w:t>ekscipijenasa, pogledati dio</w:t>
      </w:r>
      <w:r>
        <w:rPr>
          <w:lang w:val="sr-Latn-CS"/>
        </w:rPr>
        <w:t xml:space="preserve"> 6.1.</w:t>
      </w:r>
    </w:p>
    <w:p w:rsidR="00D52456" w:rsidRDefault="00D52456">
      <w:pPr>
        <w:rPr>
          <w:lang w:val="sr-Latn-CS"/>
        </w:rPr>
      </w:pPr>
    </w:p>
    <w:p w:rsidR="00D52456" w:rsidRDefault="004941CB">
      <w:pPr>
        <w:pStyle w:val="NASLOV123"/>
        <w:rPr>
          <w:b w:val="0"/>
          <w:lang w:val="sr-Latn-CS"/>
        </w:rPr>
      </w:pPr>
      <w:r>
        <w:rPr>
          <w:lang w:val="sr-Latn-CS"/>
        </w:rPr>
        <w:t xml:space="preserve">3. </w:t>
      </w:r>
      <w:r>
        <w:t>FARMACEUTSKI</w:t>
      </w:r>
      <w:r>
        <w:rPr>
          <w:lang w:val="sr-Latn-CS"/>
        </w:rPr>
        <w:t xml:space="preserve"> </w:t>
      </w:r>
      <w:r>
        <w:t>OBLIK</w:t>
      </w:r>
    </w:p>
    <w:p w:rsidR="00D52456" w:rsidRDefault="004941CB">
      <w:pPr>
        <w:rPr>
          <w:lang w:val="sr-Latn-CS"/>
        </w:rPr>
      </w:pPr>
      <w:r>
        <w:rPr>
          <w:lang w:val="sr-Latn-CS"/>
        </w:rPr>
        <w:t>Gel.</w:t>
      </w:r>
    </w:p>
    <w:p w:rsidR="00D52456" w:rsidRDefault="004941CB">
      <w:pPr>
        <w:rPr>
          <w:lang w:val="sr-Latn-CS"/>
        </w:rPr>
      </w:pPr>
      <w:r>
        <w:rPr>
          <w:szCs w:val="22"/>
          <w:lang w:val="sr-Latn-CS"/>
        </w:rPr>
        <w:t xml:space="preserve">Lijek </w:t>
      </w:r>
      <w:r>
        <w:rPr>
          <w:lang w:val="sr-Latn-CS"/>
        </w:rPr>
        <w:t xml:space="preserve">Lioton 1000 je </w:t>
      </w:r>
      <w:r>
        <w:rPr>
          <w:szCs w:val="22"/>
          <w:lang w:val="sr-Latn-CS"/>
        </w:rPr>
        <w:t xml:space="preserve">gel </w:t>
      </w:r>
      <w:r>
        <w:rPr>
          <w:lang w:val="sr-Latn-CS"/>
        </w:rPr>
        <w:t xml:space="preserve">mucilaginozne </w:t>
      </w:r>
      <w:r>
        <w:rPr>
          <w:szCs w:val="22"/>
          <w:lang w:val="sr-Latn-CS"/>
        </w:rPr>
        <w:t>konzistencije</w:t>
      </w:r>
      <w:r>
        <w:rPr>
          <w:lang w:val="sr-Latn-CS"/>
        </w:rPr>
        <w:t>, bezbojan ili blago žućkast, skoro providan, aromatičnog mirisa.</w:t>
      </w:r>
    </w:p>
    <w:p w:rsidR="00D52456" w:rsidRDefault="00D52456">
      <w:pPr>
        <w:rPr>
          <w:lang w:val="sr-Latn-CS"/>
        </w:rPr>
      </w:pPr>
    </w:p>
    <w:p w:rsidR="00D52456" w:rsidRDefault="004941CB">
      <w:pPr>
        <w:pStyle w:val="NASLOV123"/>
        <w:rPr>
          <w:b w:val="0"/>
          <w:lang w:val="sr-Latn-CS"/>
        </w:rPr>
      </w:pPr>
      <w:r>
        <w:rPr>
          <w:lang w:val="sr-Latn-CS"/>
        </w:rPr>
        <w:t xml:space="preserve">4. </w:t>
      </w:r>
      <w:r>
        <w:t>KLINI</w:t>
      </w:r>
      <w:r>
        <w:rPr>
          <w:lang w:val="sr-Latn-CS"/>
        </w:rPr>
        <w:t>Č</w:t>
      </w:r>
      <w:r>
        <w:t>KI</w:t>
      </w:r>
      <w:r>
        <w:rPr>
          <w:lang w:val="sr-Latn-CS"/>
        </w:rPr>
        <w:t xml:space="preserve"> </w:t>
      </w:r>
      <w:r>
        <w:t>PODACI</w:t>
      </w:r>
    </w:p>
    <w:p w:rsidR="00D52456" w:rsidRDefault="004941CB">
      <w:pPr>
        <w:rPr>
          <w:b/>
          <w:lang w:val="sr-Latn-CS"/>
        </w:rPr>
      </w:pPr>
      <w:r>
        <w:rPr>
          <w:b/>
          <w:lang w:val="sr-Latn-CS"/>
        </w:rPr>
        <w:t xml:space="preserve">4.1. </w:t>
      </w:r>
      <w:r>
        <w:rPr>
          <w:b/>
        </w:rPr>
        <w:t>Terapijske</w:t>
      </w:r>
      <w:r>
        <w:rPr>
          <w:b/>
          <w:lang w:val="sr-Latn-CS"/>
        </w:rPr>
        <w:t xml:space="preserve"> </w:t>
      </w:r>
      <w:r>
        <w:rPr>
          <w:b/>
        </w:rPr>
        <w:t>indikacije</w:t>
      </w:r>
    </w:p>
    <w:p w:rsidR="00D52456" w:rsidRDefault="00D52456">
      <w:pPr>
        <w:rPr>
          <w:lang w:val="sr-Latn-CS"/>
        </w:rPr>
      </w:pPr>
    </w:p>
    <w:p w:rsidR="00D52456" w:rsidRDefault="004941CB">
      <w:pPr>
        <w:rPr>
          <w:lang w:val="sr-Latn-CS"/>
        </w:rPr>
      </w:pPr>
      <w:r>
        <w:rPr>
          <w:szCs w:val="22"/>
          <w:lang w:val="sr-Latn-CS"/>
        </w:rPr>
        <w:t xml:space="preserve">Simptomatska terapija </w:t>
      </w:r>
      <w:r>
        <w:rPr>
          <w:lang w:val="sr-Latn-CS"/>
        </w:rPr>
        <w:t xml:space="preserve">oboljenja površinskih vena kao što su: </w:t>
      </w:r>
      <w:r>
        <w:rPr>
          <w:szCs w:val="22"/>
          <w:lang w:val="sr-Latn-CS"/>
        </w:rPr>
        <w:t xml:space="preserve">površinski </w:t>
      </w:r>
      <w:r>
        <w:rPr>
          <w:lang w:val="sr-Latn-CS"/>
        </w:rPr>
        <w:t xml:space="preserve">tromboflebitis, površinski periflebitis, </w:t>
      </w:r>
      <w:r>
        <w:rPr>
          <w:szCs w:val="22"/>
          <w:lang w:val="sr-Latn-CS"/>
        </w:rPr>
        <w:t>hronična venska insuficijencija</w:t>
      </w:r>
      <w:r>
        <w:rPr>
          <w:lang w:val="sr-Latn-CS"/>
        </w:rPr>
        <w:t>, postoperativni varikoflebitis</w:t>
      </w:r>
      <w:r>
        <w:rPr>
          <w:szCs w:val="22"/>
          <w:lang w:val="sr-Latn-CS"/>
        </w:rPr>
        <w:t xml:space="preserve"> i</w:t>
      </w:r>
      <w:r>
        <w:rPr>
          <w:lang w:val="sr-Latn-CS"/>
        </w:rPr>
        <w:t xml:space="preserve"> sekvele safenektomije.  </w:t>
      </w:r>
    </w:p>
    <w:p w:rsidR="00D52456" w:rsidRDefault="004941CB">
      <w:pPr>
        <w:rPr>
          <w:szCs w:val="22"/>
          <w:lang w:val="sr-Latn-CS"/>
        </w:rPr>
      </w:pPr>
      <w:r>
        <w:rPr>
          <w:szCs w:val="22"/>
          <w:lang w:val="sr-Latn-CS"/>
        </w:rPr>
        <w:t>Terapija i olakšanje tegoba kod: hematoma</w:t>
      </w:r>
      <w:r>
        <w:rPr>
          <w:szCs w:val="22"/>
          <w:lang w:val="sr-Latn-CS"/>
        </w:rPr>
        <w:t xml:space="preserve">, otoka i bola nakon sportskih povreda ili slučajnih povreda kao što su  kontuzije, isčašenja, distorzije i  hematomi posle punkcije vena. </w:t>
      </w:r>
    </w:p>
    <w:p w:rsidR="00D52456" w:rsidRDefault="00D52456">
      <w:pPr>
        <w:rPr>
          <w:lang w:val="sr-Latn-CS"/>
        </w:rPr>
      </w:pPr>
    </w:p>
    <w:p w:rsidR="00D52456" w:rsidRDefault="004941CB">
      <w:pPr>
        <w:tabs>
          <w:tab w:val="left" w:pos="540"/>
          <w:tab w:val="left" w:pos="569"/>
        </w:tabs>
        <w:rPr>
          <w:b/>
        </w:rPr>
      </w:pPr>
      <w:r>
        <w:rPr>
          <w:b/>
          <w:lang w:val="sr-Latn-CS"/>
        </w:rPr>
        <w:t>4</w:t>
      </w:r>
      <w:r>
        <w:rPr>
          <w:b/>
        </w:rPr>
        <w:t xml:space="preserve">.2. </w:t>
      </w:r>
      <w:r>
        <w:rPr>
          <w:b/>
          <w:bCs/>
          <w:szCs w:val="22"/>
        </w:rPr>
        <w:tab/>
      </w:r>
      <w:r>
        <w:rPr>
          <w:b/>
        </w:rPr>
        <w:t xml:space="preserve">Doziranje i način </w:t>
      </w:r>
      <w:r>
        <w:rPr>
          <w:b/>
          <w:bCs/>
          <w:szCs w:val="22"/>
        </w:rPr>
        <w:t>primjene</w:t>
      </w:r>
    </w:p>
    <w:p w:rsidR="00D52456" w:rsidRDefault="00D52456">
      <w:pPr>
        <w:tabs>
          <w:tab w:val="left" w:pos="540"/>
          <w:tab w:val="left" w:pos="569"/>
        </w:tabs>
      </w:pPr>
    </w:p>
    <w:p w:rsidR="00D52456" w:rsidRDefault="004941CB">
      <w:pPr>
        <w:rPr>
          <w:szCs w:val="22"/>
          <w:u w:val="single"/>
          <w:lang w:val="sr-Latn-ME"/>
        </w:rPr>
      </w:pPr>
      <w:bookmarkStart w:id="0" w:name="_Hlk150842580"/>
      <w:r>
        <w:rPr>
          <w:szCs w:val="22"/>
          <w:u w:val="single"/>
          <w:lang w:val="sr-Latn-ME"/>
        </w:rPr>
        <w:t>Doziranje</w:t>
      </w:r>
    </w:p>
    <w:p w:rsidR="00D52456" w:rsidRDefault="004941CB">
      <w:pPr>
        <w:rPr>
          <w:bCs/>
          <w:szCs w:val="22"/>
        </w:rPr>
      </w:pPr>
      <w:r>
        <w:rPr>
          <w:bCs/>
          <w:szCs w:val="22"/>
        </w:rPr>
        <w:t>Lijek je namijenjen za primjenu kod odraslih.</w:t>
      </w:r>
    </w:p>
    <w:p w:rsidR="00D52456" w:rsidRDefault="004941CB">
      <w:pPr>
        <w:rPr>
          <w:szCs w:val="22"/>
          <w:lang w:val="sr-Latn-CS"/>
        </w:rPr>
      </w:pPr>
      <w:bookmarkStart w:id="1" w:name="_Hlk150842620"/>
      <w:bookmarkEnd w:id="0"/>
      <w:r>
        <w:rPr>
          <w:szCs w:val="22"/>
          <w:lang w:val="sr-Latn-CS"/>
        </w:rPr>
        <w:t>Gel nanijeti u tankom slo</w:t>
      </w:r>
      <w:r>
        <w:rPr>
          <w:szCs w:val="22"/>
          <w:lang w:val="sr-Latn-CS"/>
        </w:rPr>
        <w:t>ju, uz nježno masiranje, na kožu u zahvaćenoj oblasti, jednom</w:t>
      </w:r>
      <w:r>
        <w:rPr>
          <w:lang w:val="sr-Latn-CS"/>
        </w:rPr>
        <w:t xml:space="preserve"> do tri puta dnevno</w:t>
      </w:r>
      <w:r>
        <w:rPr>
          <w:szCs w:val="22"/>
          <w:lang w:val="sr-Latn-CS"/>
        </w:rPr>
        <w:t xml:space="preserve">. </w:t>
      </w:r>
    </w:p>
    <w:p w:rsidR="00D52456" w:rsidRDefault="004941CB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</w:rPr>
      </w:pPr>
      <w:r>
        <w:rPr>
          <w:rFonts w:eastAsia="TimesNewRoman"/>
          <w:szCs w:val="22"/>
        </w:rPr>
        <w:t>U slučaju tromboze ili tromboflebitisa, gel se primjenjuje u tankom sloju bez masiranja.</w:t>
      </w:r>
    </w:p>
    <w:p w:rsidR="00D52456" w:rsidRDefault="004941CB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</w:rPr>
      </w:pPr>
      <w:r>
        <w:rPr>
          <w:rFonts w:eastAsia="TimesNewRoman"/>
          <w:szCs w:val="22"/>
        </w:rPr>
        <w:t>Lijek se nanosi u tankom sloju samo na neoštećenu kožu, ne smije se primjenjivati na</w:t>
      </w:r>
      <w:r>
        <w:rPr>
          <w:rFonts w:eastAsia="TimesNewRoman"/>
          <w:szCs w:val="22"/>
        </w:rPr>
        <w:t xml:space="preserve"> otvorene rane,</w:t>
      </w:r>
    </w:p>
    <w:p w:rsidR="00D52456" w:rsidRDefault="004941CB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</w:rPr>
      </w:pPr>
      <w:r>
        <w:rPr>
          <w:rFonts w:eastAsia="TimesNewRoman"/>
          <w:szCs w:val="22"/>
        </w:rPr>
        <w:t>sluzokožu i inficiranu kožu.</w:t>
      </w:r>
    </w:p>
    <w:bookmarkEnd w:id="1"/>
    <w:p w:rsidR="00D52456" w:rsidRDefault="00D52456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</w:rPr>
      </w:pPr>
    </w:p>
    <w:p w:rsidR="00D52456" w:rsidRDefault="004941CB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</w:rPr>
      </w:pPr>
      <w:r>
        <w:rPr>
          <w:rFonts w:eastAsia="TimesNewRoman"/>
          <w:szCs w:val="22"/>
        </w:rPr>
        <w:t>Trajanje terapije zavisi od indikacije:</w:t>
      </w:r>
    </w:p>
    <w:p w:rsidR="00D52456" w:rsidRDefault="004941CB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</w:rPr>
      </w:pPr>
      <w:r>
        <w:rPr>
          <w:rFonts w:eastAsia="TimesNewRoman"/>
          <w:szCs w:val="22"/>
        </w:rPr>
        <w:t>- Kod lokalizovanih trauma i povreda (hematomi, infiltrati, otoci), lijek Lioton 1000, gel, može se</w:t>
      </w:r>
    </w:p>
    <w:p w:rsidR="00D52456" w:rsidRDefault="004941CB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</w:rPr>
      </w:pPr>
      <w:r>
        <w:rPr>
          <w:rFonts w:eastAsia="TimesNewRoman"/>
          <w:szCs w:val="22"/>
        </w:rPr>
        <w:t>primjenjivati do povlačenja simptoma.</w:t>
      </w:r>
    </w:p>
    <w:p w:rsidR="00D52456" w:rsidRDefault="00D52456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</w:rPr>
      </w:pPr>
    </w:p>
    <w:p w:rsidR="00D52456" w:rsidRDefault="004941CB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</w:rPr>
      </w:pPr>
      <w:r>
        <w:rPr>
          <w:rFonts w:eastAsia="TimesNewRoman"/>
          <w:szCs w:val="22"/>
        </w:rPr>
        <w:t xml:space="preserve">- Kod početnih simptoma venske </w:t>
      </w:r>
      <w:r>
        <w:rPr>
          <w:rFonts w:eastAsia="TimesNewRoman"/>
          <w:szCs w:val="22"/>
        </w:rPr>
        <w:t>insuficijencije (osjećaj težine i bol u nogama, otok vena), lijek</w:t>
      </w:r>
    </w:p>
    <w:p w:rsidR="00D52456" w:rsidRDefault="004941CB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</w:rPr>
      </w:pPr>
      <w:r>
        <w:rPr>
          <w:rFonts w:eastAsia="TimesNewRoman"/>
          <w:szCs w:val="22"/>
        </w:rPr>
        <w:t>Lioton 1000, gel, može se primjenjivati tokom 1-</w:t>
      </w:r>
      <w:r>
        <w:rPr>
          <w:rFonts w:eastAsia="TimesNewRoman"/>
        </w:rPr>
        <w:t>3</w:t>
      </w:r>
      <w:r>
        <w:rPr>
          <w:rFonts w:eastAsia="TimesNewRoman"/>
          <w:szCs w:val="22"/>
        </w:rPr>
        <w:t xml:space="preserve"> nedjelje u zavisnosti od intenziteta simptoma</w:t>
      </w:r>
      <w:r>
        <w:rPr>
          <w:rFonts w:eastAsia="TimesNewRoman"/>
        </w:rPr>
        <w:t>.</w:t>
      </w:r>
    </w:p>
    <w:p w:rsidR="00D52456" w:rsidRDefault="00D52456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</w:rPr>
      </w:pPr>
    </w:p>
    <w:p w:rsidR="00D52456" w:rsidRDefault="004941CB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</w:rPr>
      </w:pPr>
      <w:r>
        <w:rPr>
          <w:rFonts w:eastAsia="TimesNewRoman"/>
          <w:szCs w:val="22"/>
        </w:rPr>
        <w:t>- Kod hronične venske insuficijencije (varikozne dilatacije, površinski periflebitis, površi</w:t>
      </w:r>
      <w:r>
        <w:rPr>
          <w:rFonts w:eastAsia="TimesNewRoman"/>
          <w:szCs w:val="22"/>
        </w:rPr>
        <w:t>nski</w:t>
      </w:r>
    </w:p>
    <w:p w:rsidR="00D52456" w:rsidRDefault="004941CB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</w:rPr>
      </w:pPr>
      <w:r>
        <w:rPr>
          <w:rFonts w:eastAsia="TimesNewRoman"/>
          <w:szCs w:val="22"/>
        </w:rPr>
        <w:t>tromboflebitis), lijek Lioton 1000, gel, može se primjenjivati tokom 2-4 nedjelje u zavisnosti od</w:t>
      </w:r>
    </w:p>
    <w:p w:rsidR="00D52456" w:rsidRDefault="004941CB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</w:rPr>
      </w:pPr>
      <w:r>
        <w:rPr>
          <w:rFonts w:eastAsia="TimesNewRoman"/>
          <w:szCs w:val="22"/>
        </w:rPr>
        <w:t>intenziteta simptoma.</w:t>
      </w:r>
    </w:p>
    <w:p w:rsidR="00D52456" w:rsidRDefault="00D52456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</w:rPr>
      </w:pPr>
    </w:p>
    <w:p w:rsidR="00D52456" w:rsidRDefault="004941CB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</w:rPr>
      </w:pPr>
      <w:r>
        <w:rPr>
          <w:rFonts w:eastAsia="TimesNewRoman"/>
          <w:szCs w:val="22"/>
        </w:rPr>
        <w:t>- Kod postoperativnog varikoflebitisa i sekvela safenektomije, lijek Lioton 1000, gel, može se</w:t>
      </w:r>
    </w:p>
    <w:p w:rsidR="00D52456" w:rsidRDefault="004941CB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</w:rPr>
      </w:pPr>
      <w:r>
        <w:rPr>
          <w:rFonts w:eastAsia="TimesNewRoman"/>
          <w:szCs w:val="22"/>
        </w:rPr>
        <w:t xml:space="preserve">primjenjivati tokom 3-6 nedjelja u </w:t>
      </w:r>
      <w:r>
        <w:rPr>
          <w:rFonts w:eastAsia="TimesNewRoman"/>
          <w:szCs w:val="22"/>
        </w:rPr>
        <w:t>zavisnosti od intenziteta simptoma.</w:t>
      </w:r>
    </w:p>
    <w:p w:rsidR="00D52456" w:rsidRDefault="00D52456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</w:rPr>
      </w:pPr>
    </w:p>
    <w:p w:rsidR="00D52456" w:rsidRDefault="004941CB">
      <w:pPr>
        <w:rPr>
          <w:szCs w:val="22"/>
          <w:lang w:val="sr-Latn-CS"/>
        </w:rPr>
      </w:pPr>
      <w:r>
        <w:rPr>
          <w:rFonts w:eastAsia="TimesNewRoman"/>
          <w:szCs w:val="22"/>
        </w:rPr>
        <w:t>Ljekar treba da procijeni potrebu za nastavkom terapije.</w:t>
      </w:r>
    </w:p>
    <w:p w:rsidR="00D52456" w:rsidRDefault="00D52456">
      <w:pPr>
        <w:rPr>
          <w:szCs w:val="22"/>
          <w:lang w:val="de-DE"/>
        </w:rPr>
      </w:pPr>
    </w:p>
    <w:p w:rsidR="00D52456" w:rsidRDefault="004941CB">
      <w:pPr>
        <w:rPr>
          <w:lang w:val="sr-Latn-CS"/>
        </w:rPr>
      </w:pPr>
      <w:r>
        <w:rPr>
          <w:szCs w:val="22"/>
          <w:lang w:val="sr-Latn-CS"/>
        </w:rPr>
        <w:t>Usljed</w:t>
      </w:r>
      <w:r>
        <w:rPr>
          <w:lang w:val="sr-Latn-CS"/>
        </w:rPr>
        <w:t xml:space="preserve"> ograničenog iskustva i na osnovu dostupnih podataka, gel ne treba </w:t>
      </w:r>
      <w:r>
        <w:rPr>
          <w:szCs w:val="22"/>
          <w:lang w:val="sr-Latn-CS"/>
        </w:rPr>
        <w:t>primjenjivati</w:t>
      </w:r>
      <w:r>
        <w:rPr>
          <w:lang w:val="sr-Latn-CS"/>
        </w:rPr>
        <w:t xml:space="preserve"> kod </w:t>
      </w:r>
      <w:r>
        <w:rPr>
          <w:szCs w:val="22"/>
          <w:lang w:val="sr-Latn-ME"/>
        </w:rPr>
        <w:t>djece</w:t>
      </w:r>
      <w:r>
        <w:rPr>
          <w:lang w:val="sr-Latn-CS"/>
        </w:rPr>
        <w:t>.</w:t>
      </w:r>
    </w:p>
    <w:p w:rsidR="00D52456" w:rsidRDefault="00D52456">
      <w:pPr>
        <w:rPr>
          <w:lang w:val="sr-Latn-CS"/>
        </w:rPr>
      </w:pPr>
    </w:p>
    <w:p w:rsidR="00D52456" w:rsidRDefault="00D52456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de-DE"/>
        </w:rPr>
      </w:pPr>
    </w:p>
    <w:p w:rsidR="00D52456" w:rsidRDefault="004941CB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u w:val="single"/>
        </w:rPr>
      </w:pPr>
      <w:r>
        <w:rPr>
          <w:rFonts w:eastAsia="TimesNewRoman"/>
          <w:szCs w:val="22"/>
          <w:u w:val="single"/>
        </w:rPr>
        <w:t>Način primjene</w:t>
      </w:r>
    </w:p>
    <w:p w:rsidR="00D52456" w:rsidRDefault="004941CB">
      <w:pPr>
        <w:rPr>
          <w:rFonts w:eastAsia="TimesNewRoman"/>
          <w:szCs w:val="22"/>
        </w:rPr>
      </w:pPr>
      <w:r>
        <w:rPr>
          <w:rFonts w:eastAsia="TimesNewRoman"/>
          <w:szCs w:val="22"/>
        </w:rPr>
        <w:t>Lijek je namijenjen za dermalnu primjenu.</w:t>
      </w:r>
    </w:p>
    <w:p w:rsidR="00D52456" w:rsidRDefault="00D52456">
      <w:pPr>
        <w:rPr>
          <w:lang w:val="de-DE"/>
        </w:rPr>
      </w:pPr>
    </w:p>
    <w:p w:rsidR="00D52456" w:rsidRDefault="00D52456">
      <w:pPr>
        <w:rPr>
          <w:lang w:val="de-DE"/>
        </w:rPr>
      </w:pPr>
    </w:p>
    <w:p w:rsidR="00D52456" w:rsidRDefault="004941CB">
      <w:pPr>
        <w:rPr>
          <w:b/>
          <w:lang w:val="de-DE"/>
        </w:rPr>
      </w:pPr>
      <w:r>
        <w:rPr>
          <w:b/>
          <w:lang w:val="de-DE"/>
        </w:rPr>
        <w:t>4.3. Kontraindikacije</w:t>
      </w:r>
    </w:p>
    <w:p w:rsidR="00D52456" w:rsidRDefault="004941CB">
      <w:pPr>
        <w:rPr>
          <w:b/>
          <w:lang w:val="de-DE"/>
        </w:rPr>
      </w:pPr>
      <w:r>
        <w:rPr>
          <w:szCs w:val="22"/>
          <w:lang w:val="sr-Latn-CS"/>
        </w:rPr>
        <w:t xml:space="preserve">Lijek Lioton 1000 gel se ne smije koristiti kod poznate preosjetljivosti na </w:t>
      </w:r>
      <w:r>
        <w:rPr>
          <w:lang w:val="sr-Latn-CS"/>
        </w:rPr>
        <w:t>heparin</w:t>
      </w:r>
      <w:r>
        <w:rPr>
          <w:szCs w:val="22"/>
          <w:lang w:val="sr-Latn-CS"/>
        </w:rPr>
        <w:t>-natrijum</w:t>
      </w:r>
      <w:r>
        <w:rPr>
          <w:lang w:val="sr-Latn-CS"/>
        </w:rPr>
        <w:t xml:space="preserve"> ili na bilo koju od pomoćnih </w:t>
      </w:r>
      <w:r>
        <w:rPr>
          <w:szCs w:val="22"/>
          <w:lang w:val="sr-Latn-CS"/>
        </w:rPr>
        <w:t xml:space="preserve"> </w:t>
      </w:r>
      <w:r>
        <w:rPr>
          <w:lang w:val="sr-Latn-CS"/>
        </w:rPr>
        <w:t>supstanci navedenih u dijelu  6.1.</w:t>
      </w:r>
    </w:p>
    <w:p w:rsidR="00D52456" w:rsidRDefault="00D52456">
      <w:pPr>
        <w:rPr>
          <w:lang w:val="de-DE"/>
        </w:rPr>
      </w:pPr>
    </w:p>
    <w:p w:rsidR="00D52456" w:rsidRDefault="00D52456">
      <w:pPr>
        <w:rPr>
          <w:lang w:val="de-DE"/>
        </w:rPr>
      </w:pPr>
    </w:p>
    <w:p w:rsidR="00D52456" w:rsidRDefault="004941CB">
      <w:pPr>
        <w:tabs>
          <w:tab w:val="left" w:pos="540"/>
          <w:tab w:val="left" w:pos="569"/>
        </w:tabs>
        <w:rPr>
          <w:b/>
        </w:rPr>
      </w:pPr>
      <w:r>
        <w:rPr>
          <w:b/>
          <w:bCs/>
          <w:szCs w:val="22"/>
        </w:rPr>
        <w:t>4.</w:t>
      </w:r>
      <w:r>
        <w:rPr>
          <w:b/>
        </w:rPr>
        <w:t>4.</w:t>
      </w:r>
      <w:r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ab/>
      </w:r>
      <w:r>
        <w:rPr>
          <w:b/>
        </w:rPr>
        <w:t xml:space="preserve">Posebna upozorenja i </w:t>
      </w:r>
      <w:r>
        <w:rPr>
          <w:b/>
          <w:bCs/>
          <w:szCs w:val="22"/>
        </w:rPr>
        <w:t>mjere</w:t>
      </w:r>
      <w:r>
        <w:rPr>
          <w:b/>
        </w:rPr>
        <w:t xml:space="preserve"> opreza pri upotrebi </w:t>
      </w:r>
      <w:r>
        <w:rPr>
          <w:b/>
          <w:bCs/>
          <w:szCs w:val="22"/>
        </w:rPr>
        <w:t>lijeka</w:t>
      </w:r>
    </w:p>
    <w:p w:rsidR="00D52456" w:rsidRDefault="00D52456">
      <w:pPr>
        <w:rPr>
          <w:b/>
        </w:rPr>
      </w:pPr>
    </w:p>
    <w:p w:rsidR="00D52456" w:rsidRDefault="004941CB">
      <w:pPr>
        <w:rPr>
          <w:szCs w:val="22"/>
          <w:lang w:val="sr-Latn-CS"/>
        </w:rPr>
      </w:pPr>
      <w:r>
        <w:rPr>
          <w:szCs w:val="22"/>
          <w:lang w:val="sr-Latn-CS"/>
        </w:rPr>
        <w:t xml:space="preserve">Lijek Lioton </w:t>
      </w:r>
      <w:r>
        <w:rPr>
          <w:szCs w:val="22"/>
          <w:lang w:val="sr-Latn-CS"/>
        </w:rPr>
        <w:t>1000 gel ne treba primjenjivati u području očiju, nosa i usta.</w:t>
      </w:r>
    </w:p>
    <w:p w:rsidR="00D52456" w:rsidRDefault="00D52456">
      <w:pPr>
        <w:rPr>
          <w:szCs w:val="22"/>
          <w:lang w:val="sr-Latn-CS"/>
        </w:rPr>
      </w:pPr>
    </w:p>
    <w:p w:rsidR="00D52456" w:rsidRDefault="004941CB">
      <w:pPr>
        <w:rPr>
          <w:lang w:val="sr-Latn-CS"/>
        </w:rPr>
      </w:pPr>
      <w:r>
        <w:rPr>
          <w:szCs w:val="22"/>
          <w:lang w:val="sr-Latn-CS"/>
        </w:rPr>
        <w:t xml:space="preserve">Lijek </w:t>
      </w:r>
      <w:r>
        <w:rPr>
          <w:lang w:val="sr-Latn-CS"/>
        </w:rPr>
        <w:t xml:space="preserve">Lioton 1000 ne treba </w:t>
      </w:r>
      <w:r>
        <w:rPr>
          <w:szCs w:val="22"/>
          <w:lang w:val="sr-Latn-CS"/>
        </w:rPr>
        <w:t>primjenjivati  u slučaju krvarenja</w:t>
      </w:r>
      <w:r>
        <w:rPr>
          <w:lang w:val="sr-Latn-CS"/>
        </w:rPr>
        <w:t>, na otvorene rane</w:t>
      </w:r>
      <w:r>
        <w:rPr>
          <w:szCs w:val="22"/>
          <w:lang w:val="sr-Latn-CS"/>
        </w:rPr>
        <w:t>,</w:t>
      </w:r>
      <w:r>
        <w:rPr>
          <w:lang w:val="sr-Latn-CS"/>
        </w:rPr>
        <w:t xml:space="preserve"> na sluzokože, niti na </w:t>
      </w:r>
      <w:r>
        <w:rPr>
          <w:szCs w:val="22"/>
          <w:lang w:val="sr-Latn-CS"/>
        </w:rPr>
        <w:t>mjestu</w:t>
      </w:r>
      <w:r>
        <w:rPr>
          <w:lang w:val="sr-Latn-CS"/>
        </w:rPr>
        <w:t xml:space="preserve"> infekcije u slučaju gnojnih procesa.</w:t>
      </w:r>
    </w:p>
    <w:p w:rsidR="00D52456" w:rsidRDefault="00D52456">
      <w:pPr>
        <w:rPr>
          <w:lang w:val="sr-Latn-CS"/>
        </w:rPr>
      </w:pPr>
    </w:p>
    <w:p w:rsidR="00D52456" w:rsidRDefault="004941CB">
      <w:pPr>
        <w:rPr>
          <w:szCs w:val="22"/>
          <w:lang w:val="sr-Latn-CS"/>
        </w:rPr>
      </w:pPr>
      <w:r>
        <w:rPr>
          <w:szCs w:val="22"/>
          <w:lang w:val="sr-Latn-CS"/>
        </w:rPr>
        <w:t>Pri lokalnoj primjeni heparina opisana je re</w:t>
      </w:r>
      <w:r>
        <w:rPr>
          <w:szCs w:val="22"/>
          <w:lang w:val="sr-Latn-CS"/>
        </w:rPr>
        <w:t>sorpcija heparina kroz zdravu kožu pa se zato, u slučaju sumnje na tromboembolijske komplikacije, prilikom diferencijalne dijagnoze, mora razmotriti postojanje trombocitopenije tip II indukovane heparinom i zbog toga kontrolisati broj trombocita.</w:t>
      </w:r>
    </w:p>
    <w:p w:rsidR="00D52456" w:rsidRDefault="00D52456">
      <w:pPr>
        <w:rPr>
          <w:szCs w:val="22"/>
          <w:lang w:val="sr-Latn-CS"/>
        </w:rPr>
      </w:pPr>
    </w:p>
    <w:p w:rsidR="00D52456" w:rsidRDefault="004941CB">
      <w:pPr>
        <w:rPr>
          <w:rFonts w:eastAsia="Arial Unicode MS"/>
          <w:lang w:val="sr-Latn-CS"/>
        </w:rPr>
      </w:pPr>
      <w:r>
        <w:rPr>
          <w:szCs w:val="22"/>
          <w:lang w:val="sr-Latn-CS"/>
        </w:rPr>
        <w:t xml:space="preserve">Lijek </w:t>
      </w:r>
      <w:r>
        <w:rPr>
          <w:lang w:val="sr-Latn-CS"/>
        </w:rPr>
        <w:t>Li</w:t>
      </w:r>
      <w:r>
        <w:rPr>
          <w:lang w:val="sr-Latn-CS"/>
        </w:rPr>
        <w:t xml:space="preserve">oton 1000 sadrži </w:t>
      </w:r>
      <w:r>
        <w:rPr>
          <w:szCs w:val="22"/>
          <w:lang w:val="sr-Latn-CS"/>
        </w:rPr>
        <w:t xml:space="preserve">pomoćne supstance </w:t>
      </w:r>
      <w:r>
        <w:rPr>
          <w:rFonts w:eastAsia="Arial Unicode MS"/>
          <w:lang w:val="sr-Latn-CS"/>
        </w:rPr>
        <w:t xml:space="preserve">metilparahidroksibenzoat i propilparahidroksibenzoat koji mogu izazvati alergijske reakcije </w:t>
      </w:r>
      <w:r>
        <w:rPr>
          <w:rFonts w:eastAsia="Arial Unicode MS"/>
          <w:szCs w:val="22"/>
          <w:lang w:val="sr-Latn-CS"/>
        </w:rPr>
        <w:t>čak</w:t>
      </w:r>
      <w:r>
        <w:rPr>
          <w:rFonts w:eastAsia="Arial Unicode MS"/>
          <w:lang w:val="sr-Latn-CS"/>
        </w:rPr>
        <w:t xml:space="preserve"> i odložene</w:t>
      </w:r>
      <w:r>
        <w:rPr>
          <w:rFonts w:eastAsia="Arial Unicode MS"/>
          <w:szCs w:val="22"/>
          <w:lang w:val="sr-Latn-CS"/>
        </w:rPr>
        <w:t>.</w:t>
      </w:r>
    </w:p>
    <w:p w:rsidR="00D52456" w:rsidRDefault="00D52456">
      <w:pPr>
        <w:rPr>
          <w:rFonts w:eastAsia="Arial Unicode MS"/>
          <w:lang w:val="sr-Latn-CS"/>
        </w:rPr>
      </w:pPr>
    </w:p>
    <w:p w:rsidR="00D52456" w:rsidRDefault="004941CB">
      <w:pPr>
        <w:rPr>
          <w:lang w:val="sr-Latn-CS"/>
        </w:rPr>
      </w:pPr>
      <w:r>
        <w:rPr>
          <w:szCs w:val="22"/>
          <w:lang w:val="sr-Latn-CS"/>
        </w:rPr>
        <w:t>Lijek Lioton 1000</w:t>
      </w:r>
      <w:r>
        <w:rPr>
          <w:lang w:val="sr-Latn-CS"/>
        </w:rPr>
        <w:t xml:space="preserve"> sadrži </w:t>
      </w:r>
      <w:r>
        <w:rPr>
          <w:szCs w:val="22"/>
          <w:lang w:val="sr-Latn-CS"/>
        </w:rPr>
        <w:t xml:space="preserve">etanol koji može </w:t>
      </w:r>
      <w:r>
        <w:rPr>
          <w:lang w:val="sr-Latn-CS"/>
        </w:rPr>
        <w:t xml:space="preserve">izazvati </w:t>
      </w:r>
      <w:r>
        <w:rPr>
          <w:szCs w:val="22"/>
          <w:lang w:val="sr-Latn-CS"/>
        </w:rPr>
        <w:t>osjećaj</w:t>
      </w:r>
      <w:r>
        <w:rPr>
          <w:lang w:val="sr-Latn-CS"/>
        </w:rPr>
        <w:t xml:space="preserve"> pečenja na oštećenoj koži.</w:t>
      </w:r>
    </w:p>
    <w:p w:rsidR="00D52456" w:rsidRDefault="00D52456">
      <w:pPr>
        <w:rPr>
          <w:szCs w:val="22"/>
          <w:lang w:val="sr-Latn-CS"/>
        </w:rPr>
      </w:pPr>
    </w:p>
    <w:p w:rsidR="00D52456" w:rsidRDefault="00D52456">
      <w:pPr>
        <w:rPr>
          <w:lang w:val="sr-Latn-CS"/>
        </w:rPr>
      </w:pPr>
    </w:p>
    <w:p w:rsidR="00D52456" w:rsidRDefault="004941CB">
      <w:pPr>
        <w:tabs>
          <w:tab w:val="left" w:pos="540"/>
          <w:tab w:val="left" w:pos="569"/>
        </w:tabs>
        <w:rPr>
          <w:b/>
        </w:rPr>
      </w:pPr>
      <w:r>
        <w:rPr>
          <w:b/>
        </w:rPr>
        <w:t>4.5.</w:t>
      </w:r>
      <w:r>
        <w:rPr>
          <w:b/>
          <w:bCs/>
          <w:szCs w:val="22"/>
        </w:rPr>
        <w:tab/>
      </w:r>
      <w:r>
        <w:rPr>
          <w:b/>
        </w:rPr>
        <w:t xml:space="preserve">Interakcije sa drugim </w:t>
      </w:r>
      <w:r>
        <w:rPr>
          <w:b/>
          <w:bCs/>
          <w:szCs w:val="22"/>
        </w:rPr>
        <w:t>ljekovima</w:t>
      </w:r>
      <w:r>
        <w:rPr>
          <w:b/>
        </w:rPr>
        <w:t xml:space="preserve"> i druge vrste interakcija</w:t>
      </w:r>
    </w:p>
    <w:p w:rsidR="00D52456" w:rsidRDefault="00D52456">
      <w:pPr>
        <w:rPr>
          <w:lang w:val="de-DE"/>
        </w:rPr>
      </w:pPr>
    </w:p>
    <w:p w:rsidR="00D52456" w:rsidRDefault="004941CB">
      <w:pPr>
        <w:rPr>
          <w:szCs w:val="22"/>
          <w:lang w:val="sr-Latn-CS"/>
        </w:rPr>
      </w:pPr>
      <w:r>
        <w:rPr>
          <w:szCs w:val="22"/>
          <w:lang w:val="sr-Latn-CS"/>
        </w:rPr>
        <w:t>Nijesu poznate klini</w:t>
      </w:r>
      <w:r>
        <w:rPr>
          <w:rFonts w:hint="eastAsia"/>
          <w:szCs w:val="22"/>
          <w:lang w:val="sr-Latn-CS"/>
        </w:rPr>
        <w:t>č</w:t>
      </w:r>
      <w:r>
        <w:rPr>
          <w:szCs w:val="22"/>
          <w:lang w:val="sr-Latn-CS"/>
        </w:rPr>
        <w:t>ki zna</w:t>
      </w:r>
      <w:r>
        <w:rPr>
          <w:rFonts w:hint="eastAsia"/>
          <w:szCs w:val="22"/>
          <w:lang w:val="sr-Latn-CS"/>
        </w:rPr>
        <w:t>č</w:t>
      </w:r>
      <w:r>
        <w:rPr>
          <w:szCs w:val="22"/>
          <w:lang w:val="sr-Latn-CS"/>
        </w:rPr>
        <w:t>ajne interakcije sa drugim ljekovima pri lokalnoj primjeni ali se ne mogu isklju</w:t>
      </w:r>
      <w:r>
        <w:rPr>
          <w:rFonts w:hint="eastAsia"/>
          <w:szCs w:val="22"/>
          <w:lang w:val="sr-Latn-CS"/>
        </w:rPr>
        <w:t>č</w:t>
      </w:r>
      <w:r>
        <w:rPr>
          <w:szCs w:val="22"/>
          <w:lang w:val="sr-Latn-CS"/>
        </w:rPr>
        <w:t>iti, posebno kod produ</w:t>
      </w:r>
      <w:r>
        <w:rPr>
          <w:rFonts w:hint="eastAsia"/>
          <w:szCs w:val="22"/>
          <w:lang w:val="sr-Latn-CS"/>
        </w:rPr>
        <w:t>ž</w:t>
      </w:r>
      <w:r>
        <w:rPr>
          <w:szCs w:val="22"/>
          <w:lang w:val="sr-Latn-CS"/>
        </w:rPr>
        <w:t>ene primjene, jer je penetracija heparina uočena i kroz neo</w:t>
      </w:r>
      <w:r>
        <w:rPr>
          <w:rFonts w:hint="eastAsia"/>
          <w:szCs w:val="22"/>
          <w:lang w:val="sr-Latn-CS"/>
        </w:rPr>
        <w:t>š</w:t>
      </w:r>
      <w:r>
        <w:rPr>
          <w:szCs w:val="22"/>
          <w:lang w:val="sr-Latn-CS"/>
        </w:rPr>
        <w:t>te</w:t>
      </w:r>
      <w:r>
        <w:rPr>
          <w:rFonts w:hint="eastAsia"/>
          <w:szCs w:val="22"/>
          <w:lang w:val="sr-Latn-CS"/>
        </w:rPr>
        <w:t>ć</w:t>
      </w:r>
      <w:r>
        <w:rPr>
          <w:szCs w:val="22"/>
          <w:lang w:val="sr-Latn-CS"/>
        </w:rPr>
        <w:t>en</w:t>
      </w:r>
      <w:r>
        <w:rPr>
          <w:szCs w:val="22"/>
          <w:lang w:val="sr-Latn-CS"/>
        </w:rPr>
        <w:t>u ko</w:t>
      </w:r>
      <w:r>
        <w:rPr>
          <w:rFonts w:hint="eastAsia"/>
          <w:szCs w:val="22"/>
          <w:lang w:val="sr-Latn-CS"/>
        </w:rPr>
        <w:t>ž</w:t>
      </w:r>
      <w:r>
        <w:rPr>
          <w:szCs w:val="22"/>
          <w:lang w:val="sr-Latn-CS"/>
        </w:rPr>
        <w:t xml:space="preserve">u. </w:t>
      </w:r>
    </w:p>
    <w:p w:rsidR="00D52456" w:rsidRDefault="00D52456">
      <w:pPr>
        <w:rPr>
          <w:szCs w:val="22"/>
          <w:lang w:val="sr-Latn-CS"/>
        </w:rPr>
      </w:pPr>
    </w:p>
    <w:p w:rsidR="00D52456" w:rsidRDefault="004941CB">
      <w:pPr>
        <w:rPr>
          <w:szCs w:val="22"/>
          <w:lang w:val="sr-Latn-CS"/>
        </w:rPr>
      </w:pPr>
      <w:r>
        <w:rPr>
          <w:szCs w:val="22"/>
          <w:lang w:val="sr-Latn-CS"/>
        </w:rPr>
        <w:t>Pri parenteralnoj primjeni heparina opisane su sljede</w:t>
      </w:r>
      <w:r>
        <w:rPr>
          <w:rFonts w:hint="eastAsia"/>
          <w:szCs w:val="22"/>
          <w:lang w:val="sr-Latn-CS"/>
        </w:rPr>
        <w:t>ć</w:t>
      </w:r>
      <w:r>
        <w:rPr>
          <w:szCs w:val="22"/>
          <w:lang w:val="sr-Latn-CS"/>
        </w:rPr>
        <w:t>e interakcije:</w:t>
      </w:r>
    </w:p>
    <w:p w:rsidR="00D52456" w:rsidRDefault="004941CB">
      <w:pPr>
        <w:pStyle w:val="ListParagraph"/>
        <w:numPr>
          <w:ilvl w:val="0"/>
          <w:numId w:val="1"/>
        </w:numPr>
        <w:ind w:hanging="720"/>
        <w:rPr>
          <w:szCs w:val="22"/>
          <w:lang w:val="sr-Latn-CS"/>
        </w:rPr>
      </w:pPr>
      <w:r>
        <w:rPr>
          <w:szCs w:val="22"/>
          <w:lang w:val="sr-Latn-CS"/>
        </w:rPr>
        <w:t>sa inhibitorima agregacije trombocita (acetilsalicilna kiselina, tiklopidin, klopidogrel, dipiridamol</w:t>
      </w:r>
    </w:p>
    <w:p w:rsidR="00D52456" w:rsidRDefault="004941CB">
      <w:pPr>
        <w:pStyle w:val="ListParagraph"/>
        <w:numPr>
          <w:ilvl w:val="0"/>
          <w:numId w:val="1"/>
        </w:numPr>
        <w:ind w:hanging="720"/>
        <w:rPr>
          <w:szCs w:val="22"/>
          <w:lang w:val="sr-Latn-CS"/>
        </w:rPr>
      </w:pPr>
      <w:r>
        <w:rPr>
          <w:szCs w:val="22"/>
          <w:lang w:val="sr-Latn-CS"/>
        </w:rPr>
        <w:t>u velikim dozama),</w:t>
      </w:r>
    </w:p>
    <w:p w:rsidR="00D52456" w:rsidRDefault="004941CB">
      <w:pPr>
        <w:pStyle w:val="ListParagraph"/>
        <w:numPr>
          <w:ilvl w:val="0"/>
          <w:numId w:val="1"/>
        </w:numPr>
        <w:ind w:hanging="720"/>
        <w:rPr>
          <w:lang w:val="sr-Latn-CS"/>
        </w:rPr>
      </w:pPr>
      <w:r>
        <w:rPr>
          <w:szCs w:val="22"/>
          <w:lang w:val="sr-Latn-CS"/>
        </w:rPr>
        <w:t>sa fibrinoliticima, drugim</w:t>
      </w:r>
      <w:r>
        <w:rPr>
          <w:lang w:val="sr-Latn-CS"/>
        </w:rPr>
        <w:t xml:space="preserve"> antikoagulansima</w:t>
      </w:r>
      <w:r>
        <w:rPr>
          <w:szCs w:val="22"/>
          <w:lang w:val="sr-Latn-CS"/>
        </w:rPr>
        <w:t xml:space="preserve"> (derivati ku</w:t>
      </w:r>
      <w:r>
        <w:rPr>
          <w:szCs w:val="22"/>
          <w:lang w:val="sr-Latn-CS"/>
        </w:rPr>
        <w:t>marina),</w:t>
      </w:r>
    </w:p>
    <w:p w:rsidR="00D52456" w:rsidRDefault="004941CB">
      <w:pPr>
        <w:pStyle w:val="ListParagraph"/>
        <w:numPr>
          <w:ilvl w:val="0"/>
          <w:numId w:val="1"/>
        </w:numPr>
        <w:ind w:hanging="720"/>
        <w:rPr>
          <w:szCs w:val="22"/>
          <w:lang w:val="sr-Latn-CS"/>
        </w:rPr>
      </w:pPr>
      <w:r>
        <w:rPr>
          <w:szCs w:val="22"/>
          <w:lang w:val="sr-Latn-CS"/>
        </w:rPr>
        <w:t>sa nesteroidnim antiinflamatornim ljekovima (fenilbutazon, indometacin, sulfinpirazon),</w:t>
      </w:r>
    </w:p>
    <w:p w:rsidR="00D52456" w:rsidRDefault="004941CB">
      <w:pPr>
        <w:pStyle w:val="ListParagraph"/>
        <w:numPr>
          <w:ilvl w:val="0"/>
          <w:numId w:val="1"/>
        </w:numPr>
        <w:ind w:hanging="720"/>
        <w:rPr>
          <w:szCs w:val="22"/>
          <w:lang w:val="sr-Latn-CS"/>
        </w:rPr>
      </w:pPr>
      <w:r>
        <w:rPr>
          <w:szCs w:val="22"/>
          <w:lang w:val="sr-Latn-CS"/>
        </w:rPr>
        <w:t>sa antagonistima receptora glikoproteina IIb / IIIa,</w:t>
      </w:r>
    </w:p>
    <w:p w:rsidR="00D52456" w:rsidRDefault="004941CB">
      <w:pPr>
        <w:pStyle w:val="ListParagraph"/>
        <w:numPr>
          <w:ilvl w:val="0"/>
          <w:numId w:val="1"/>
        </w:numPr>
        <w:ind w:hanging="720"/>
        <w:rPr>
          <w:szCs w:val="22"/>
          <w:lang w:val="sr-Latn-CS"/>
        </w:rPr>
      </w:pPr>
      <w:r>
        <w:rPr>
          <w:szCs w:val="22"/>
          <w:lang w:val="sr-Latn-CS"/>
        </w:rPr>
        <w:t>sa penicilinom u velikim dozama i</w:t>
      </w:r>
    </w:p>
    <w:p w:rsidR="00D52456" w:rsidRDefault="004941CB">
      <w:pPr>
        <w:pStyle w:val="ListParagraph"/>
        <w:numPr>
          <w:ilvl w:val="0"/>
          <w:numId w:val="1"/>
        </w:numPr>
        <w:ind w:hanging="720"/>
        <w:rPr>
          <w:szCs w:val="22"/>
          <w:lang w:val="sr-Latn-CS"/>
        </w:rPr>
      </w:pPr>
      <w:r>
        <w:rPr>
          <w:szCs w:val="22"/>
          <w:lang w:val="sr-Latn-CS"/>
        </w:rPr>
        <w:t>sa dekstranom.</w:t>
      </w:r>
    </w:p>
    <w:p w:rsidR="00D52456" w:rsidRDefault="004941CB">
      <w:pPr>
        <w:rPr>
          <w:szCs w:val="22"/>
          <w:lang w:val="sr-Latn-CS"/>
        </w:rPr>
      </w:pPr>
      <w:r>
        <w:rPr>
          <w:szCs w:val="22"/>
        </w:rPr>
        <w:lastRenderedPageBreak/>
        <w:t>Pove</w:t>
      </w:r>
      <w:r>
        <w:rPr>
          <w:szCs w:val="22"/>
          <w:lang w:val="sr-Latn-CS"/>
        </w:rPr>
        <w:t>ć</w:t>
      </w:r>
      <w:r>
        <w:rPr>
          <w:szCs w:val="22"/>
        </w:rPr>
        <w:t>an</w:t>
      </w:r>
      <w:r>
        <w:rPr>
          <w:szCs w:val="22"/>
          <w:lang w:val="sr-Latn-CS"/>
        </w:rPr>
        <w:t xml:space="preserve"> </w:t>
      </w:r>
      <w:r>
        <w:rPr>
          <w:szCs w:val="22"/>
        </w:rPr>
        <w:t>rizik</w:t>
      </w:r>
      <w:r>
        <w:rPr>
          <w:szCs w:val="22"/>
          <w:lang w:val="sr-Latn-CS"/>
        </w:rPr>
        <w:t xml:space="preserve"> </w:t>
      </w:r>
      <w:r>
        <w:rPr>
          <w:szCs w:val="22"/>
        </w:rPr>
        <w:t>od</w:t>
      </w:r>
      <w:r>
        <w:rPr>
          <w:szCs w:val="22"/>
          <w:lang w:val="sr-Latn-CS"/>
        </w:rPr>
        <w:t xml:space="preserve"> </w:t>
      </w:r>
      <w:r>
        <w:rPr>
          <w:szCs w:val="22"/>
        </w:rPr>
        <w:t>krvarenja</w:t>
      </w:r>
      <w:r>
        <w:rPr>
          <w:szCs w:val="22"/>
          <w:lang w:val="sr-Latn-CS"/>
        </w:rPr>
        <w:t xml:space="preserve"> </w:t>
      </w:r>
      <w:r>
        <w:rPr>
          <w:szCs w:val="22"/>
        </w:rPr>
        <w:t>ne</w:t>
      </w:r>
      <w:r>
        <w:rPr>
          <w:szCs w:val="22"/>
          <w:lang w:val="sr-Latn-CS"/>
        </w:rPr>
        <w:t xml:space="preserve"> </w:t>
      </w:r>
      <w:r>
        <w:rPr>
          <w:szCs w:val="22"/>
        </w:rPr>
        <w:t>mo</w:t>
      </w:r>
      <w:r>
        <w:rPr>
          <w:szCs w:val="22"/>
          <w:lang w:val="sr-Latn-CS"/>
        </w:rPr>
        <w:t>ž</w:t>
      </w:r>
      <w:r>
        <w:rPr>
          <w:szCs w:val="22"/>
        </w:rPr>
        <w:t>e</w:t>
      </w:r>
      <w:r>
        <w:rPr>
          <w:szCs w:val="22"/>
          <w:lang w:val="sr-Latn-CS"/>
        </w:rPr>
        <w:t xml:space="preserve"> </w:t>
      </w:r>
      <w:r>
        <w:rPr>
          <w:szCs w:val="22"/>
        </w:rPr>
        <w:t>se</w:t>
      </w:r>
      <w:r>
        <w:rPr>
          <w:szCs w:val="22"/>
          <w:lang w:val="sr-Latn-CS"/>
        </w:rPr>
        <w:t xml:space="preserve"> </w:t>
      </w:r>
      <w:r>
        <w:rPr>
          <w:szCs w:val="22"/>
        </w:rPr>
        <w:t>isklju</w:t>
      </w:r>
      <w:r>
        <w:rPr>
          <w:szCs w:val="22"/>
          <w:lang w:val="sr-Latn-CS"/>
        </w:rPr>
        <w:t>č</w:t>
      </w:r>
      <w:r>
        <w:rPr>
          <w:szCs w:val="22"/>
        </w:rPr>
        <w:t>iti</w:t>
      </w:r>
      <w:r>
        <w:rPr>
          <w:szCs w:val="22"/>
          <w:lang w:val="sr-Latn-CS"/>
        </w:rPr>
        <w:t xml:space="preserve">. </w:t>
      </w:r>
      <w:r>
        <w:rPr>
          <w:szCs w:val="22"/>
          <w:lang w:val="sr-Latn-CS"/>
        </w:rPr>
        <w:t>Hematomi se mogu akumulirati ili postati češći.</w:t>
      </w:r>
    </w:p>
    <w:p w:rsidR="00D52456" w:rsidRDefault="00D52456">
      <w:pPr>
        <w:rPr>
          <w:szCs w:val="22"/>
          <w:lang w:val="sr-Latn-CS"/>
        </w:rPr>
      </w:pPr>
    </w:p>
    <w:p w:rsidR="00D52456" w:rsidRDefault="004941CB">
      <w:pPr>
        <w:rPr>
          <w:szCs w:val="22"/>
        </w:rPr>
      </w:pPr>
      <w:r>
        <w:rPr>
          <w:i/>
          <w:szCs w:val="22"/>
        </w:rPr>
        <w:t>Pedijatrijska populacija</w:t>
      </w:r>
      <w:r>
        <w:rPr>
          <w:szCs w:val="22"/>
        </w:rPr>
        <w:t>:</w:t>
      </w:r>
    </w:p>
    <w:p w:rsidR="00D52456" w:rsidRDefault="004941CB">
      <w:pPr>
        <w:rPr>
          <w:szCs w:val="22"/>
        </w:rPr>
      </w:pPr>
      <w:r>
        <w:rPr>
          <w:szCs w:val="22"/>
        </w:rPr>
        <w:t>Ispitivanja interakcija su sprovedena samo kod odraslih.</w:t>
      </w:r>
    </w:p>
    <w:p w:rsidR="00D52456" w:rsidRDefault="00D52456">
      <w:pPr>
        <w:rPr>
          <w:lang w:val="sr-Latn-CS"/>
        </w:rPr>
      </w:pPr>
    </w:p>
    <w:p w:rsidR="00D52456" w:rsidRDefault="00D52456"/>
    <w:p w:rsidR="00D52456" w:rsidRDefault="004941CB">
      <w:pPr>
        <w:tabs>
          <w:tab w:val="left" w:pos="540"/>
          <w:tab w:val="left" w:pos="569"/>
        </w:tabs>
        <w:rPr>
          <w:b/>
          <w:lang w:val="sr-Latn-CS"/>
        </w:rPr>
      </w:pPr>
      <w:r>
        <w:rPr>
          <w:b/>
        </w:rPr>
        <w:t xml:space="preserve">4.6. </w:t>
      </w:r>
      <w:r>
        <w:rPr>
          <w:b/>
          <w:bCs/>
          <w:szCs w:val="22"/>
        </w:rPr>
        <w:tab/>
      </w:r>
      <w:r>
        <w:rPr>
          <w:b/>
          <w:lang w:val="sr-Latn-CS"/>
        </w:rPr>
        <w:t>Plodnost, trudnoća i dojenje</w:t>
      </w:r>
    </w:p>
    <w:p w:rsidR="00D52456" w:rsidRDefault="00D52456">
      <w:pPr>
        <w:rPr>
          <w:b/>
        </w:rPr>
      </w:pPr>
    </w:p>
    <w:p w:rsidR="00D52456" w:rsidRDefault="004941CB">
      <w:pPr>
        <w:rPr>
          <w:szCs w:val="22"/>
          <w:u w:val="single"/>
          <w:lang w:val="sr-Latn-CS"/>
        </w:rPr>
      </w:pPr>
      <w:r>
        <w:rPr>
          <w:szCs w:val="22"/>
          <w:u w:val="single"/>
          <w:lang w:val="sr-Latn-CS"/>
        </w:rPr>
        <w:t>Plodnost</w:t>
      </w:r>
    </w:p>
    <w:p w:rsidR="00D52456" w:rsidRDefault="004941CB">
      <w:pPr>
        <w:rPr>
          <w:szCs w:val="22"/>
          <w:lang w:val="sr-Latn-CS"/>
        </w:rPr>
      </w:pPr>
      <w:r>
        <w:rPr>
          <w:szCs w:val="22"/>
          <w:lang w:val="sr-Latn-CS"/>
        </w:rPr>
        <w:t>Nema dostupnih podataka o uticaju heparina na plodnost pri lokalnoj upotrebi.</w:t>
      </w:r>
    </w:p>
    <w:p w:rsidR="00D52456" w:rsidRDefault="00D52456">
      <w:pPr>
        <w:rPr>
          <w:szCs w:val="22"/>
          <w:lang w:val="sr-Latn-CS"/>
        </w:rPr>
      </w:pPr>
    </w:p>
    <w:p w:rsidR="00D52456" w:rsidRDefault="004941CB">
      <w:pPr>
        <w:rPr>
          <w:szCs w:val="22"/>
          <w:u w:val="single"/>
          <w:lang w:val="sr-Latn-CS"/>
        </w:rPr>
      </w:pPr>
      <w:r>
        <w:rPr>
          <w:szCs w:val="22"/>
          <w:u w:val="single"/>
          <w:lang w:val="sr-Latn-CS"/>
        </w:rPr>
        <w:t>Trudnoća</w:t>
      </w:r>
    </w:p>
    <w:p w:rsidR="00D52456" w:rsidRDefault="004941CB">
      <w:pPr>
        <w:rPr>
          <w:szCs w:val="22"/>
          <w:lang w:val="sr-Latn-CS"/>
        </w:rPr>
      </w:pPr>
      <w:r>
        <w:rPr>
          <w:szCs w:val="22"/>
          <w:lang w:val="sr-Latn-CS"/>
        </w:rPr>
        <w:t xml:space="preserve">Pri lokalnoj primjeni heparina kod skotnih ženki pacova ili kunića u periodu organogeneze pokazano je da nije bilo uticaja na fetalni razvoj i na razvoj fetalnih malformacija. </w:t>
      </w:r>
    </w:p>
    <w:p w:rsidR="00D52456" w:rsidRDefault="004941CB">
      <w:pPr>
        <w:rPr>
          <w:szCs w:val="22"/>
          <w:lang w:val="sr-Latn-CS"/>
        </w:rPr>
      </w:pPr>
      <w:r>
        <w:rPr>
          <w:szCs w:val="22"/>
          <w:lang w:val="sr-Latn-CS"/>
        </w:rPr>
        <w:t>Heparin ne prolazi kroz placentu.</w:t>
      </w:r>
    </w:p>
    <w:p w:rsidR="00D52456" w:rsidRDefault="004941CB">
      <w:pPr>
        <w:rPr>
          <w:szCs w:val="22"/>
          <w:lang w:val="sr-Latn-CS"/>
        </w:rPr>
      </w:pPr>
      <w:r>
        <w:rPr>
          <w:szCs w:val="22"/>
          <w:lang w:val="sr-Latn-CS"/>
        </w:rPr>
        <w:t xml:space="preserve">Ipak, nijesu dostupni </w:t>
      </w:r>
      <w:r>
        <w:rPr>
          <w:lang w:val="sr-Latn-CS"/>
        </w:rPr>
        <w:t xml:space="preserve">specifični </w:t>
      </w:r>
      <w:r>
        <w:rPr>
          <w:szCs w:val="22"/>
          <w:lang w:val="sr-Latn-CS"/>
        </w:rPr>
        <w:t>p</w:t>
      </w:r>
      <w:r>
        <w:rPr>
          <w:szCs w:val="22"/>
          <w:lang w:val="sr-Latn-CS"/>
        </w:rPr>
        <w:t>odaci o primjeni lijeka</w:t>
      </w:r>
      <w:r>
        <w:rPr>
          <w:lang w:val="sr-Latn-CS"/>
        </w:rPr>
        <w:t xml:space="preserve"> tokom trudnoće </w:t>
      </w:r>
      <w:r>
        <w:rPr>
          <w:szCs w:val="22"/>
          <w:lang w:val="sr-Latn-CS"/>
        </w:rPr>
        <w:t>kod ljudi. Zato, tokom trudnoće se lijek Lioton 1000 gel može primjenjivati nakon pažljive procjene odnosa korist/rizik.</w:t>
      </w:r>
    </w:p>
    <w:p w:rsidR="00D52456" w:rsidRDefault="00D52456">
      <w:pPr>
        <w:rPr>
          <w:szCs w:val="22"/>
          <w:lang w:val="sr-Latn-CS"/>
        </w:rPr>
      </w:pPr>
    </w:p>
    <w:p w:rsidR="00D52456" w:rsidRDefault="004941CB">
      <w:pPr>
        <w:rPr>
          <w:szCs w:val="22"/>
          <w:u w:val="single"/>
          <w:lang w:val="sr-Latn-CS"/>
        </w:rPr>
      </w:pPr>
      <w:r>
        <w:rPr>
          <w:szCs w:val="22"/>
          <w:u w:val="single"/>
          <w:lang w:val="sr-Latn-CS"/>
        </w:rPr>
        <w:t>Dojenje</w:t>
      </w:r>
    </w:p>
    <w:p w:rsidR="00D52456" w:rsidRDefault="004941CB">
      <w:pPr>
        <w:rPr>
          <w:lang w:val="sr-Latn-CS"/>
        </w:rPr>
      </w:pPr>
      <w:r>
        <w:rPr>
          <w:szCs w:val="22"/>
          <w:lang w:val="sr-Latn-CS"/>
        </w:rPr>
        <w:t xml:space="preserve">Nijesu dostupni specifični podaci o upotrebi lijeka kod žena koje doje. Zato, tokom </w:t>
      </w:r>
      <w:r>
        <w:rPr>
          <w:szCs w:val="22"/>
          <w:lang w:val="sr-Latn-CS"/>
        </w:rPr>
        <w:t>perioda</w:t>
      </w:r>
      <w:r>
        <w:rPr>
          <w:lang w:val="sr-Latn-CS"/>
        </w:rPr>
        <w:t xml:space="preserve"> dojenja</w:t>
      </w:r>
      <w:r>
        <w:rPr>
          <w:szCs w:val="22"/>
          <w:lang w:val="sr-Latn-CS"/>
        </w:rPr>
        <w:t xml:space="preserve"> lijek Lioton 1000 gel se može primjenjivati nakon pažljive procjene odnosa korist/rizik</w:t>
      </w:r>
      <w:r>
        <w:rPr>
          <w:lang w:val="sr-Latn-CS"/>
        </w:rPr>
        <w:t>.</w:t>
      </w:r>
    </w:p>
    <w:p w:rsidR="00D52456" w:rsidRDefault="00D52456">
      <w:pPr>
        <w:rPr>
          <w:lang w:val="sr-Latn-CS"/>
        </w:rPr>
      </w:pPr>
    </w:p>
    <w:p w:rsidR="00D52456" w:rsidRDefault="004941CB">
      <w:pPr>
        <w:rPr>
          <w:b/>
          <w:spacing w:val="-8"/>
          <w:lang w:val="sr-Latn-CS"/>
        </w:rPr>
      </w:pPr>
      <w:r>
        <w:rPr>
          <w:b/>
          <w:bCs/>
          <w:szCs w:val="22"/>
        </w:rPr>
        <w:t xml:space="preserve">4.7. </w:t>
      </w:r>
      <w:r>
        <w:rPr>
          <w:b/>
          <w:bCs/>
          <w:szCs w:val="22"/>
        </w:rPr>
        <w:tab/>
        <w:t>Uticaj na sposobnost upravljanja vozilima i rukovanje mašinama</w:t>
      </w:r>
      <w:r>
        <w:rPr>
          <w:b/>
          <w:spacing w:val="-8"/>
          <w:lang w:val="ru-RU"/>
        </w:rPr>
        <w:t xml:space="preserve"> </w:t>
      </w:r>
    </w:p>
    <w:p w:rsidR="00D52456" w:rsidRDefault="00D52456">
      <w:pPr>
        <w:rPr>
          <w:b/>
          <w:spacing w:val="-8"/>
          <w:lang w:val="ru-RU"/>
        </w:rPr>
      </w:pPr>
    </w:p>
    <w:p w:rsidR="00D52456" w:rsidRDefault="004941CB">
      <w:pPr>
        <w:rPr>
          <w:lang w:val="ru-RU"/>
        </w:rPr>
      </w:pPr>
      <w:r>
        <w:rPr>
          <w:lang w:val="sr-Latn-CS"/>
        </w:rPr>
        <w:t xml:space="preserve">Lijek Lioton 1000 </w:t>
      </w:r>
      <w:r>
        <w:rPr>
          <w:szCs w:val="22"/>
          <w:lang w:val="sr-Latn-CS"/>
        </w:rPr>
        <w:t>nema</w:t>
      </w:r>
      <w:r>
        <w:rPr>
          <w:lang w:val="sr-Latn-CS"/>
        </w:rPr>
        <w:t xml:space="preserve"> ili </w:t>
      </w:r>
      <w:r>
        <w:rPr>
          <w:szCs w:val="22"/>
          <w:lang w:val="sr-Latn-CS"/>
        </w:rPr>
        <w:t>ima zanemarljiv uticaj</w:t>
      </w:r>
      <w:r>
        <w:rPr>
          <w:lang w:val="sr-Latn-CS"/>
        </w:rPr>
        <w:t xml:space="preserve"> na sposobnost upravljanja vozilima i rukovanja mašinama.</w:t>
      </w:r>
    </w:p>
    <w:p w:rsidR="00D52456" w:rsidRDefault="00D52456">
      <w:pPr>
        <w:rPr>
          <w:lang w:val="sr-Latn-RS"/>
        </w:rPr>
      </w:pPr>
    </w:p>
    <w:p w:rsidR="00D52456" w:rsidRDefault="004941CB">
      <w:pPr>
        <w:tabs>
          <w:tab w:val="left" w:pos="540"/>
          <w:tab w:val="left" w:pos="569"/>
        </w:tabs>
        <w:rPr>
          <w:b/>
          <w:bCs/>
          <w:szCs w:val="22"/>
        </w:rPr>
      </w:pPr>
      <w:r>
        <w:rPr>
          <w:b/>
          <w:bCs/>
          <w:szCs w:val="22"/>
        </w:rPr>
        <w:t xml:space="preserve">4.8. </w:t>
      </w:r>
      <w:r>
        <w:rPr>
          <w:b/>
          <w:bCs/>
          <w:szCs w:val="22"/>
        </w:rPr>
        <w:tab/>
        <w:t>Neželjena dejstva</w:t>
      </w:r>
    </w:p>
    <w:p w:rsidR="00D52456" w:rsidRDefault="00D52456">
      <w:pPr>
        <w:rPr>
          <w:b/>
          <w:lang w:val="ru-RU"/>
        </w:rPr>
      </w:pPr>
    </w:p>
    <w:p w:rsidR="00D52456" w:rsidRDefault="004941CB">
      <w:pPr>
        <w:rPr>
          <w:bCs/>
          <w:szCs w:val="22"/>
          <w:lang w:val="ru-RU"/>
        </w:rPr>
      </w:pPr>
      <w:r>
        <w:rPr>
          <w:bCs/>
          <w:szCs w:val="22"/>
        </w:rPr>
        <w:t>Ne</w:t>
      </w:r>
      <w:r>
        <w:rPr>
          <w:bCs/>
          <w:szCs w:val="22"/>
          <w:lang w:val="ru-RU"/>
        </w:rPr>
        <w:t>ž</w:t>
      </w:r>
      <w:r>
        <w:rPr>
          <w:bCs/>
          <w:szCs w:val="22"/>
        </w:rPr>
        <w:t>eljena</w:t>
      </w:r>
      <w:r>
        <w:rPr>
          <w:bCs/>
          <w:szCs w:val="22"/>
          <w:lang w:val="ru-RU"/>
        </w:rPr>
        <w:t xml:space="preserve"> </w:t>
      </w:r>
      <w:r>
        <w:rPr>
          <w:bCs/>
          <w:szCs w:val="22"/>
        </w:rPr>
        <w:t>dejstva</w:t>
      </w:r>
      <w:r>
        <w:rPr>
          <w:bCs/>
          <w:szCs w:val="22"/>
          <w:lang w:val="ru-RU"/>
        </w:rPr>
        <w:t xml:space="preserve"> </w:t>
      </w:r>
      <w:r>
        <w:rPr>
          <w:bCs/>
          <w:szCs w:val="22"/>
        </w:rPr>
        <w:t>su</w:t>
      </w:r>
      <w:r>
        <w:rPr>
          <w:bCs/>
          <w:szCs w:val="22"/>
          <w:lang w:val="ru-RU"/>
        </w:rPr>
        <w:t xml:space="preserve"> </w:t>
      </w:r>
      <w:r>
        <w:rPr>
          <w:bCs/>
          <w:szCs w:val="22"/>
        </w:rPr>
        <w:t>navedena</w:t>
      </w:r>
      <w:r>
        <w:rPr>
          <w:bCs/>
          <w:szCs w:val="22"/>
          <w:lang w:val="ru-RU"/>
        </w:rPr>
        <w:t xml:space="preserve"> </w:t>
      </w:r>
      <w:r>
        <w:rPr>
          <w:bCs/>
          <w:szCs w:val="22"/>
        </w:rPr>
        <w:t>prema</w:t>
      </w:r>
      <w:r>
        <w:rPr>
          <w:bCs/>
          <w:szCs w:val="22"/>
          <w:lang w:val="ru-RU"/>
        </w:rPr>
        <w:t xml:space="preserve"> </w:t>
      </w:r>
      <w:r>
        <w:rPr>
          <w:bCs/>
          <w:szCs w:val="22"/>
        </w:rPr>
        <w:t>sljede</w:t>
      </w:r>
      <w:r>
        <w:rPr>
          <w:bCs/>
          <w:szCs w:val="22"/>
          <w:lang w:val="ru-RU"/>
        </w:rPr>
        <w:t>ć</w:t>
      </w:r>
      <w:r>
        <w:rPr>
          <w:bCs/>
          <w:szCs w:val="22"/>
        </w:rPr>
        <w:t>im</w:t>
      </w:r>
      <w:r>
        <w:rPr>
          <w:bCs/>
          <w:szCs w:val="22"/>
          <w:lang w:val="ru-RU"/>
        </w:rPr>
        <w:t xml:space="preserve"> </w:t>
      </w:r>
      <w:r>
        <w:rPr>
          <w:bCs/>
          <w:szCs w:val="22"/>
        </w:rPr>
        <w:t>kategorijama</w:t>
      </w:r>
      <w:r>
        <w:rPr>
          <w:bCs/>
          <w:szCs w:val="22"/>
          <w:lang w:val="ru-RU"/>
        </w:rPr>
        <w:t xml:space="preserve"> </w:t>
      </w:r>
      <w:r>
        <w:rPr>
          <w:bCs/>
          <w:szCs w:val="22"/>
        </w:rPr>
        <w:t>u</w:t>
      </w:r>
      <w:r>
        <w:rPr>
          <w:bCs/>
          <w:szCs w:val="22"/>
          <w:lang w:val="ru-RU"/>
        </w:rPr>
        <w:t>č</w:t>
      </w:r>
      <w:r>
        <w:rPr>
          <w:bCs/>
          <w:szCs w:val="22"/>
        </w:rPr>
        <w:t>estalosti</w:t>
      </w:r>
      <w:r>
        <w:rPr>
          <w:bCs/>
          <w:szCs w:val="22"/>
          <w:lang w:val="ru-RU"/>
        </w:rPr>
        <w:t xml:space="preserve">: </w:t>
      </w:r>
    </w:p>
    <w:p w:rsidR="00D52456" w:rsidRDefault="004941CB">
      <w:pPr>
        <w:rPr>
          <w:bCs/>
          <w:szCs w:val="22"/>
        </w:rPr>
      </w:pPr>
      <w:r>
        <w:rPr>
          <w:bCs/>
          <w:szCs w:val="22"/>
        </w:rPr>
        <w:t>Veoma često: ≥1/10</w:t>
      </w:r>
    </w:p>
    <w:p w:rsidR="00D52456" w:rsidRDefault="004941CB">
      <w:pPr>
        <w:rPr>
          <w:bCs/>
          <w:szCs w:val="22"/>
        </w:rPr>
      </w:pPr>
      <w:r>
        <w:rPr>
          <w:bCs/>
          <w:szCs w:val="22"/>
        </w:rPr>
        <w:t>Često: ≥1/100 do &lt;1/10</w:t>
      </w:r>
    </w:p>
    <w:p w:rsidR="00D52456" w:rsidRDefault="004941CB">
      <w:pPr>
        <w:rPr>
          <w:bCs/>
          <w:szCs w:val="22"/>
        </w:rPr>
      </w:pPr>
      <w:r>
        <w:rPr>
          <w:bCs/>
          <w:szCs w:val="22"/>
        </w:rPr>
        <w:t>Povremeno: ≥1/1000 do &lt;1/100</w:t>
      </w:r>
    </w:p>
    <w:p w:rsidR="00D52456" w:rsidRDefault="004941CB">
      <w:pPr>
        <w:rPr>
          <w:bCs/>
          <w:szCs w:val="22"/>
        </w:rPr>
      </w:pPr>
      <w:r>
        <w:rPr>
          <w:bCs/>
          <w:szCs w:val="22"/>
        </w:rPr>
        <w:t>Retko: ≥1/10000 do &lt;1/1000</w:t>
      </w:r>
    </w:p>
    <w:p w:rsidR="00D52456" w:rsidRDefault="004941CB">
      <w:pPr>
        <w:rPr>
          <w:bCs/>
          <w:szCs w:val="22"/>
        </w:rPr>
      </w:pPr>
      <w:r>
        <w:rPr>
          <w:bCs/>
          <w:szCs w:val="22"/>
        </w:rPr>
        <w:t>V</w:t>
      </w:r>
      <w:r>
        <w:rPr>
          <w:bCs/>
          <w:szCs w:val="22"/>
        </w:rPr>
        <w:t>eoma retko: &lt;1/10000</w:t>
      </w:r>
    </w:p>
    <w:p w:rsidR="00D52456" w:rsidRDefault="004941CB">
      <w:pPr>
        <w:rPr>
          <w:bCs/>
          <w:szCs w:val="22"/>
        </w:rPr>
      </w:pPr>
      <w:r>
        <w:rPr>
          <w:bCs/>
          <w:szCs w:val="22"/>
        </w:rPr>
        <w:t>Nepoznato</w:t>
      </w:r>
      <w:r>
        <w:t>: ne može se procijeniti na osnovu dostupnih podataka</w:t>
      </w:r>
    </w:p>
    <w:p w:rsidR="00D52456" w:rsidRDefault="00D52456">
      <w:pPr>
        <w:rPr>
          <w:bCs/>
          <w:szCs w:val="22"/>
        </w:rPr>
      </w:pPr>
    </w:p>
    <w:p w:rsidR="00D52456" w:rsidRDefault="004941CB">
      <w:pPr>
        <w:rPr>
          <w:bCs/>
          <w:szCs w:val="22"/>
          <w:u w:val="single"/>
        </w:rPr>
      </w:pPr>
      <w:r>
        <w:rPr>
          <w:bCs/>
          <w:szCs w:val="22"/>
          <w:u w:val="single"/>
        </w:rPr>
        <w:t>Opšti poremećaji i reakcije na mjestu primjene</w:t>
      </w:r>
    </w:p>
    <w:p w:rsidR="00D52456" w:rsidRDefault="004941CB">
      <w:pPr>
        <w:rPr>
          <w:bCs/>
          <w:szCs w:val="22"/>
        </w:rPr>
      </w:pPr>
      <w:r>
        <w:rPr>
          <w:bCs/>
          <w:i/>
          <w:szCs w:val="22"/>
        </w:rPr>
        <w:t xml:space="preserve">Veoma rijetko: </w:t>
      </w:r>
      <w:r>
        <w:rPr>
          <w:bCs/>
          <w:szCs w:val="22"/>
        </w:rPr>
        <w:t xml:space="preserve">Alergijske reakcije na heparin </w:t>
      </w:r>
    </w:p>
    <w:p w:rsidR="00D52456" w:rsidRDefault="00D52456">
      <w:pPr>
        <w:rPr>
          <w:bCs/>
          <w:szCs w:val="22"/>
        </w:rPr>
      </w:pPr>
    </w:p>
    <w:p w:rsidR="00D52456" w:rsidRDefault="004941CB">
      <w:pPr>
        <w:rPr>
          <w:bCs/>
          <w:szCs w:val="22"/>
          <w:u w:val="single"/>
          <w:lang w:val="ru-RU"/>
        </w:rPr>
      </w:pPr>
      <w:r>
        <w:rPr>
          <w:bCs/>
          <w:szCs w:val="22"/>
          <w:u w:val="single"/>
        </w:rPr>
        <w:t>Poremećaji</w:t>
      </w:r>
      <w:r>
        <w:rPr>
          <w:u w:val="single"/>
        </w:rPr>
        <w:t xml:space="preserve"> kože i </w:t>
      </w:r>
      <w:r>
        <w:rPr>
          <w:bCs/>
          <w:szCs w:val="22"/>
          <w:u w:val="single"/>
        </w:rPr>
        <w:t>potkožnog tkiva</w:t>
      </w:r>
    </w:p>
    <w:p w:rsidR="00D52456" w:rsidRDefault="004941CB">
      <w:pPr>
        <w:rPr>
          <w:lang w:val="ru-RU"/>
        </w:rPr>
      </w:pPr>
      <w:r>
        <w:rPr>
          <w:bCs/>
          <w:i/>
          <w:szCs w:val="22"/>
        </w:rPr>
        <w:t>Nepoznato</w:t>
      </w:r>
      <w:r>
        <w:rPr>
          <w:bCs/>
          <w:i/>
          <w:szCs w:val="22"/>
          <w:lang w:val="ru-RU"/>
        </w:rPr>
        <w:t>:</w:t>
      </w:r>
      <w:r>
        <w:rPr>
          <w:bCs/>
          <w:i/>
          <w:szCs w:val="22"/>
          <w:lang w:val="sr-Latn-RS"/>
        </w:rPr>
        <w:t xml:space="preserve"> </w:t>
      </w:r>
      <w:r>
        <w:rPr>
          <w:bCs/>
          <w:szCs w:val="22"/>
          <w:lang w:val="sr-Latn-RS"/>
        </w:rPr>
        <w:t>C</w:t>
      </w:r>
      <w:r>
        <w:rPr>
          <w:bCs/>
          <w:szCs w:val="22"/>
        </w:rPr>
        <w:t>rvenilo</w:t>
      </w:r>
      <w:r>
        <w:rPr>
          <w:bCs/>
          <w:szCs w:val="22"/>
          <w:lang w:val="ru-RU"/>
        </w:rPr>
        <w:t xml:space="preserve"> </w:t>
      </w:r>
      <w:r>
        <w:rPr>
          <w:bCs/>
          <w:szCs w:val="22"/>
        </w:rPr>
        <w:t>ko</w:t>
      </w:r>
      <w:r>
        <w:rPr>
          <w:bCs/>
          <w:szCs w:val="22"/>
          <w:lang w:val="ru-RU"/>
        </w:rPr>
        <w:t>ž</w:t>
      </w:r>
      <w:r>
        <w:rPr>
          <w:bCs/>
          <w:szCs w:val="22"/>
        </w:rPr>
        <w:t>e</w:t>
      </w:r>
      <w:r>
        <w:rPr>
          <w:bCs/>
          <w:szCs w:val="22"/>
          <w:lang w:val="ru-RU"/>
        </w:rPr>
        <w:t xml:space="preserve">, </w:t>
      </w:r>
      <w:r>
        <w:rPr>
          <w:bCs/>
          <w:szCs w:val="22"/>
          <w:lang w:val="sr-Latn-RS"/>
        </w:rPr>
        <w:t>pruritus</w:t>
      </w:r>
      <w:r>
        <w:rPr>
          <w:lang w:val="sr-Latn-RS"/>
        </w:rPr>
        <w:t xml:space="preserve"> koji se </w:t>
      </w:r>
      <w:r>
        <w:t>obi</w:t>
      </w:r>
      <w:r>
        <w:rPr>
          <w:lang w:val="ru-RU"/>
        </w:rPr>
        <w:t>č</w:t>
      </w:r>
      <w:r>
        <w:t>no</w:t>
      </w:r>
      <w:r>
        <w:rPr>
          <w:lang w:val="ru-RU"/>
        </w:rPr>
        <w:t xml:space="preserve"> </w:t>
      </w:r>
      <w:r>
        <w:t>brzo</w:t>
      </w:r>
      <w:r>
        <w:rPr>
          <w:lang w:val="ru-RU"/>
        </w:rPr>
        <w:t xml:space="preserve"> </w:t>
      </w:r>
      <w:r>
        <w:t>povla</w:t>
      </w:r>
      <w:r>
        <w:rPr>
          <w:lang w:val="ru-RU"/>
        </w:rPr>
        <w:t>č</w:t>
      </w:r>
      <w:r>
        <w:t>e</w:t>
      </w:r>
      <w:r>
        <w:rPr>
          <w:lang w:val="ru-RU"/>
        </w:rPr>
        <w:t xml:space="preserve"> </w:t>
      </w:r>
      <w:r>
        <w:t>nakon</w:t>
      </w:r>
      <w:r>
        <w:rPr>
          <w:lang w:val="ru-RU"/>
        </w:rPr>
        <w:t xml:space="preserve"> </w:t>
      </w:r>
      <w:r>
        <w:t>prestanka</w:t>
      </w:r>
      <w:r>
        <w:rPr>
          <w:lang w:val="ru-RU"/>
        </w:rPr>
        <w:t xml:space="preserve"> </w:t>
      </w:r>
      <w:r>
        <w:rPr>
          <w:bCs/>
          <w:szCs w:val="22"/>
        </w:rPr>
        <w:t>primjene</w:t>
      </w:r>
      <w:r>
        <w:rPr>
          <w:bCs/>
          <w:szCs w:val="22"/>
          <w:lang w:val="ru-RU"/>
        </w:rPr>
        <w:t xml:space="preserve"> </w:t>
      </w:r>
      <w:r>
        <w:rPr>
          <w:bCs/>
          <w:szCs w:val="22"/>
        </w:rPr>
        <w:t>lijeka</w:t>
      </w:r>
      <w:r>
        <w:rPr>
          <w:lang w:val="ru-RU"/>
        </w:rPr>
        <w:t xml:space="preserve">. </w:t>
      </w:r>
    </w:p>
    <w:p w:rsidR="00D52456" w:rsidRDefault="00D52456">
      <w:pPr>
        <w:rPr>
          <w:u w:val="single"/>
          <w:lang w:val="hr-HR"/>
        </w:rPr>
      </w:pPr>
    </w:p>
    <w:p w:rsidR="00D52456" w:rsidRDefault="004941CB">
      <w:pPr>
        <w:spacing w:after="200" w:line="276" w:lineRule="auto"/>
        <w:rPr>
          <w:rFonts w:eastAsia="Calibri"/>
          <w:szCs w:val="22"/>
          <w:u w:val="single"/>
          <w:lang w:val="sr-Latn-RS"/>
        </w:rPr>
      </w:pPr>
      <w:r>
        <w:rPr>
          <w:rFonts w:eastAsia="Calibri"/>
          <w:szCs w:val="22"/>
          <w:u w:val="single"/>
          <w:lang w:val="sr-Latn-RS"/>
        </w:rPr>
        <w:t>Prijavljivanje sumnji na neželjena dejstva</w:t>
      </w:r>
    </w:p>
    <w:p w:rsidR="00D52456" w:rsidRDefault="004941CB">
      <w:pPr>
        <w:spacing w:after="200"/>
        <w:rPr>
          <w:lang w:val="sr-Latn-RS"/>
        </w:rPr>
      </w:pPr>
      <w:r>
        <w:rPr>
          <w:lang w:val="sr-Latn-RS"/>
        </w:rPr>
        <w:t xml:space="preserve">Prijavljivanje neželjenih </w:t>
      </w:r>
      <w:r>
        <w:rPr>
          <w:rFonts w:eastAsia="Calibri"/>
          <w:szCs w:val="22"/>
          <w:lang w:val="sr-Latn-RS"/>
        </w:rPr>
        <w:t xml:space="preserve">dejstava nakon </w:t>
      </w:r>
      <w:r>
        <w:rPr>
          <w:lang w:val="sr-Latn-RS"/>
        </w:rPr>
        <w:t xml:space="preserve">dobijanja dozvole </w:t>
      </w:r>
      <w:r>
        <w:rPr>
          <w:rFonts w:eastAsia="Calibri"/>
          <w:szCs w:val="22"/>
          <w:lang w:val="sr-Latn-RS"/>
        </w:rPr>
        <w:t>je od velikog značaja jer obezbjeđuje</w:t>
      </w:r>
      <w:r>
        <w:rPr>
          <w:lang w:val="sr-Latn-RS"/>
        </w:rPr>
        <w:t xml:space="preserve"> kontinuirano praćenje odnosa </w:t>
      </w:r>
      <w:r>
        <w:rPr>
          <w:rFonts w:eastAsia="Calibri"/>
          <w:szCs w:val="22"/>
          <w:lang w:val="sr-Latn-RS"/>
        </w:rPr>
        <w:t xml:space="preserve">korist/rizik primjene </w:t>
      </w:r>
      <w:r>
        <w:rPr>
          <w:rFonts w:eastAsia="Calibri"/>
          <w:szCs w:val="22"/>
          <w:lang w:val="sr-Latn-RS"/>
        </w:rPr>
        <w:t>lijeka.</w:t>
      </w:r>
      <w:r>
        <w:rPr>
          <w:lang w:val="sr-Latn-RS"/>
        </w:rPr>
        <w:t xml:space="preserve"> Zdravstveni radnici treba da prijave svaku sumnju na </w:t>
      </w:r>
      <w:r>
        <w:rPr>
          <w:rFonts w:eastAsia="Calibri"/>
          <w:szCs w:val="22"/>
          <w:lang w:val="sr-Latn-RS"/>
        </w:rPr>
        <w:t>neželjeno dejstvo ovog lijeka Institutu za ljekove</w:t>
      </w:r>
      <w:r>
        <w:rPr>
          <w:lang w:val="sr-Latn-RS"/>
        </w:rPr>
        <w:t xml:space="preserve"> i medicinska sredstva </w:t>
      </w:r>
      <w:r>
        <w:rPr>
          <w:rFonts w:eastAsia="Calibri"/>
          <w:szCs w:val="22"/>
          <w:lang w:val="sr-Latn-RS"/>
        </w:rPr>
        <w:t>(CInMED</w:t>
      </w:r>
      <w:r>
        <w:rPr>
          <w:lang w:val="sr-Latn-RS"/>
        </w:rPr>
        <w:t>):</w:t>
      </w:r>
    </w:p>
    <w:p w:rsidR="00D52456" w:rsidRDefault="004941CB">
      <w:pPr>
        <w:pStyle w:val="NoSpacing"/>
        <w:jc w:val="both"/>
        <w:rPr>
          <w:sz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Institut</w:t>
      </w:r>
      <w:r>
        <w:rPr>
          <w:sz w:val="22"/>
          <w:lang w:val="sr-Latn-RS"/>
        </w:rPr>
        <w:t xml:space="preserve"> za </w:t>
      </w:r>
      <w:r>
        <w:rPr>
          <w:rFonts w:eastAsia="Calibri"/>
          <w:sz w:val="22"/>
          <w:szCs w:val="22"/>
          <w:lang w:val="sr-Latn-RS"/>
        </w:rPr>
        <w:t>ljekove</w:t>
      </w:r>
      <w:r>
        <w:rPr>
          <w:sz w:val="22"/>
          <w:lang w:val="sr-Latn-RS"/>
        </w:rPr>
        <w:t xml:space="preserve"> i medicinska sredstva </w:t>
      </w:r>
    </w:p>
    <w:p w:rsidR="00D52456" w:rsidRDefault="004941CB">
      <w:pPr>
        <w:pStyle w:val="NoSpacing"/>
        <w:jc w:val="both"/>
        <w:rPr>
          <w:sz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Odjeljenje</w:t>
      </w:r>
      <w:r>
        <w:rPr>
          <w:sz w:val="22"/>
          <w:lang w:val="sr-Latn-RS"/>
        </w:rPr>
        <w:t xml:space="preserve"> za farmakovigilancu</w:t>
      </w:r>
    </w:p>
    <w:p w:rsidR="00D52456" w:rsidRDefault="004941CB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 xml:space="preserve">Bulevar Ivana Crnojevića 64a, 81000 </w:t>
      </w:r>
      <w:r>
        <w:rPr>
          <w:rFonts w:eastAsia="Calibri"/>
          <w:sz w:val="22"/>
          <w:szCs w:val="22"/>
          <w:lang w:val="sr-Latn-RS"/>
        </w:rPr>
        <w:t>Podgorica</w:t>
      </w:r>
    </w:p>
    <w:p w:rsidR="00D52456" w:rsidRDefault="00D52456">
      <w:pPr>
        <w:pStyle w:val="NoSpacing"/>
        <w:rPr>
          <w:rFonts w:eastAsia="Calibri"/>
          <w:sz w:val="22"/>
          <w:szCs w:val="22"/>
          <w:lang w:val="sr-Latn-RS"/>
        </w:rPr>
      </w:pPr>
    </w:p>
    <w:p w:rsidR="00D52456" w:rsidRDefault="004941CB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tel: +382 (0) 20 310 280</w:t>
      </w:r>
    </w:p>
    <w:p w:rsidR="00D52456" w:rsidRDefault="004941CB">
      <w:pPr>
        <w:pStyle w:val="NoSpacing"/>
        <w:tabs>
          <w:tab w:val="left" w:pos="6720"/>
        </w:tabs>
        <w:jc w:val="both"/>
        <w:rPr>
          <w:sz w:val="22"/>
          <w:lang w:val="sr-Latn-RS"/>
        </w:rPr>
      </w:pPr>
      <w:r>
        <w:rPr>
          <w:sz w:val="22"/>
          <w:lang w:val="sr-Latn-RS"/>
        </w:rPr>
        <w:t>fax: +</w:t>
      </w:r>
      <w:r>
        <w:rPr>
          <w:rFonts w:eastAsia="Calibri"/>
          <w:sz w:val="22"/>
          <w:szCs w:val="22"/>
          <w:lang w:val="sr-Latn-RS"/>
        </w:rPr>
        <w:t>382</w:t>
      </w:r>
      <w:r>
        <w:rPr>
          <w:sz w:val="22"/>
          <w:lang w:val="sr-Latn-RS"/>
        </w:rPr>
        <w:t xml:space="preserve"> (0)</w:t>
      </w:r>
      <w:r>
        <w:rPr>
          <w:rFonts w:eastAsia="Calibri"/>
          <w:sz w:val="22"/>
          <w:szCs w:val="22"/>
          <w:lang w:val="sr-Latn-RS"/>
        </w:rPr>
        <w:t xml:space="preserve"> 20 310 581</w:t>
      </w:r>
      <w:r>
        <w:rPr>
          <w:rFonts w:eastAsia="Calibri"/>
          <w:sz w:val="22"/>
          <w:szCs w:val="22"/>
          <w:lang w:val="sr-Latn-RS"/>
        </w:rPr>
        <w:tab/>
      </w:r>
    </w:p>
    <w:p w:rsidR="00D52456" w:rsidRDefault="004941CB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:rsidR="00D52456" w:rsidRDefault="004941CB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:rsidR="00D52456" w:rsidRDefault="004941CB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putem IS zdravstvene zaštite</w:t>
      </w:r>
    </w:p>
    <w:p w:rsidR="00D52456" w:rsidRDefault="004941CB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QR kod za online prijavu sumnje na ne</w:t>
      </w:r>
      <w:r>
        <w:rPr>
          <w:rFonts w:eastAsia="Calibri"/>
          <w:sz w:val="22"/>
          <w:szCs w:val="22"/>
          <w:lang w:val="sr-Latn-RS"/>
        </w:rPr>
        <w:t>željeno dejstvo lijeka:</w:t>
      </w:r>
    </w:p>
    <w:p w:rsidR="00D52456" w:rsidRDefault="00D52456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:rsidR="00D52456" w:rsidRDefault="004941CB">
      <w:pPr>
        <w:pStyle w:val="NoSpacing"/>
        <w:rPr>
          <w:sz w:val="22"/>
          <w:lang w:val="sr-Latn-RS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>
            <wp:extent cx="980440" cy="971550"/>
            <wp:effectExtent l="0" t="0" r="0" b="0"/>
            <wp:docPr id="1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>
                      <a:fillRect/>
                    </a:stretch>
                  </pic:blipFill>
                  <pic:spPr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456" w:rsidRDefault="00D52456">
      <w:pPr>
        <w:tabs>
          <w:tab w:val="left" w:pos="540"/>
          <w:tab w:val="left" w:pos="569"/>
        </w:tabs>
        <w:rPr>
          <w:b/>
        </w:rPr>
      </w:pPr>
    </w:p>
    <w:p w:rsidR="00D52456" w:rsidRDefault="004941CB">
      <w:pPr>
        <w:tabs>
          <w:tab w:val="left" w:pos="540"/>
          <w:tab w:val="left" w:pos="569"/>
        </w:tabs>
        <w:rPr>
          <w:b/>
          <w:bCs/>
          <w:szCs w:val="22"/>
        </w:rPr>
      </w:pPr>
      <w:r>
        <w:rPr>
          <w:b/>
          <w:bCs/>
          <w:szCs w:val="22"/>
        </w:rPr>
        <w:t xml:space="preserve">4.9. </w:t>
      </w:r>
      <w:r>
        <w:rPr>
          <w:b/>
          <w:bCs/>
          <w:szCs w:val="22"/>
        </w:rPr>
        <w:tab/>
        <w:t xml:space="preserve">Predoziranje </w:t>
      </w:r>
    </w:p>
    <w:p w:rsidR="00D52456" w:rsidRDefault="00D52456">
      <w:pPr>
        <w:rPr>
          <w:szCs w:val="22"/>
          <w:lang w:val="de-DE"/>
        </w:rPr>
      </w:pPr>
    </w:p>
    <w:p w:rsidR="00D52456" w:rsidRDefault="004941CB">
      <w:pPr>
        <w:rPr>
          <w:szCs w:val="22"/>
          <w:lang w:val="sr-Latn-CS"/>
        </w:rPr>
      </w:pPr>
      <w:r>
        <w:rPr>
          <w:szCs w:val="22"/>
          <w:lang w:val="sr-Latn-CS"/>
        </w:rPr>
        <w:t>Nijesu prijavljeni slučajevi predoziranja pri lokalnoj primjeni preparata sa heparinom. Sistemska raspoloživost heparina nakon lokalne primjene je zanemarljiva bez pokazanih uticaja na standardne koagulacione testove. S obzirom na to da ne postoje izvješta</w:t>
      </w:r>
      <w:r>
        <w:rPr>
          <w:szCs w:val="22"/>
          <w:lang w:val="sr-Latn-CS"/>
        </w:rPr>
        <w:t xml:space="preserve">ji o slučajnoj ingestiji lijeka, nema ni specifičnih preporuka. </w:t>
      </w:r>
    </w:p>
    <w:p w:rsidR="00D52456" w:rsidRDefault="004941CB">
      <w:pPr>
        <w:rPr>
          <w:szCs w:val="22"/>
          <w:lang w:val="sr-Latn-CS"/>
        </w:rPr>
      </w:pPr>
      <w:r>
        <w:rPr>
          <w:szCs w:val="22"/>
          <w:lang w:val="sr-Latn-CS"/>
        </w:rPr>
        <w:t xml:space="preserve">Mogu se primijeniti opšte mjere predostrožnosti. </w:t>
      </w:r>
    </w:p>
    <w:p w:rsidR="00D52456" w:rsidRDefault="00D52456">
      <w:pPr>
        <w:rPr>
          <w:szCs w:val="22"/>
          <w:lang w:val="sr-Latn-CS"/>
        </w:rPr>
      </w:pPr>
    </w:p>
    <w:p w:rsidR="00D52456" w:rsidRDefault="004941CB">
      <w:pPr>
        <w:tabs>
          <w:tab w:val="left" w:pos="540"/>
          <w:tab w:val="left" w:pos="569"/>
        </w:tabs>
        <w:rPr>
          <w:lang w:val="sr-Latn-CS"/>
        </w:rPr>
      </w:pPr>
      <w:r>
        <w:rPr>
          <w:b/>
          <w:bCs/>
          <w:szCs w:val="22"/>
        </w:rPr>
        <w:t xml:space="preserve">5. </w:t>
      </w:r>
      <w:r>
        <w:rPr>
          <w:b/>
          <w:bCs/>
          <w:szCs w:val="22"/>
        </w:rPr>
        <w:tab/>
        <w:t>FARMAKOLOŠKI PODACI</w:t>
      </w:r>
      <w:r>
        <w:rPr>
          <w:lang w:val="sr-Latn-CS"/>
        </w:rPr>
        <w:t xml:space="preserve"> </w:t>
      </w:r>
    </w:p>
    <w:p w:rsidR="00D52456" w:rsidRDefault="00D52456">
      <w:pPr>
        <w:tabs>
          <w:tab w:val="left" w:pos="540"/>
          <w:tab w:val="left" w:pos="569"/>
        </w:tabs>
        <w:rPr>
          <w:lang w:val="sr-Latn-CS"/>
        </w:rPr>
      </w:pPr>
    </w:p>
    <w:p w:rsidR="00D52456" w:rsidRDefault="004941CB">
      <w:pPr>
        <w:tabs>
          <w:tab w:val="left" w:pos="540"/>
          <w:tab w:val="left" w:pos="569"/>
        </w:tabs>
        <w:rPr>
          <w:b/>
          <w:bCs/>
          <w:szCs w:val="22"/>
        </w:rPr>
      </w:pPr>
      <w:r>
        <w:rPr>
          <w:b/>
          <w:bCs/>
          <w:szCs w:val="22"/>
        </w:rPr>
        <w:t xml:space="preserve">5.1. </w:t>
      </w:r>
      <w:r>
        <w:rPr>
          <w:b/>
          <w:bCs/>
          <w:szCs w:val="22"/>
        </w:rPr>
        <w:tab/>
        <w:t xml:space="preserve">Farmakodinamski podaci </w:t>
      </w:r>
    </w:p>
    <w:p w:rsidR="00D52456" w:rsidRDefault="00D52456">
      <w:pPr>
        <w:tabs>
          <w:tab w:val="left" w:pos="540"/>
          <w:tab w:val="left" w:pos="569"/>
        </w:tabs>
        <w:rPr>
          <w:b/>
          <w:bCs/>
          <w:szCs w:val="22"/>
        </w:rPr>
      </w:pPr>
    </w:p>
    <w:p w:rsidR="00D52456" w:rsidRDefault="004941CB">
      <w:pPr>
        <w:rPr>
          <w:lang w:val="sr-Latn-CS"/>
        </w:rPr>
      </w:pPr>
      <w:r>
        <w:rPr>
          <w:b/>
        </w:rPr>
        <w:t>Farmakoterapijska</w:t>
      </w:r>
      <w:r>
        <w:rPr>
          <w:b/>
          <w:lang w:val="sr-Latn-CS"/>
        </w:rPr>
        <w:t xml:space="preserve"> </w:t>
      </w:r>
      <w:r>
        <w:rPr>
          <w:b/>
        </w:rPr>
        <w:t>grupa</w:t>
      </w:r>
      <w:r>
        <w:rPr>
          <w:b/>
          <w:lang w:val="sr-Latn-CS"/>
        </w:rPr>
        <w:t>:</w:t>
      </w:r>
      <w:r>
        <w:rPr>
          <w:lang w:val="sr-Latn-CS"/>
        </w:rPr>
        <w:t xml:space="preserve"> </w:t>
      </w:r>
      <w:r>
        <w:rPr>
          <w:bCs/>
          <w:szCs w:val="22"/>
          <w:lang w:val="sr-Latn-CS"/>
        </w:rPr>
        <w:t xml:space="preserve"> </w:t>
      </w:r>
      <w:r>
        <w:rPr>
          <w:lang w:val="sr-Latn-CS"/>
        </w:rPr>
        <w:t>Antivarikozna terapija</w:t>
      </w:r>
      <w:r>
        <w:rPr>
          <w:szCs w:val="22"/>
          <w:lang w:val="sr-Latn-CS"/>
        </w:rPr>
        <w:t>; Heparin</w:t>
      </w:r>
      <w:r>
        <w:rPr>
          <w:lang w:val="sr-Latn-CS"/>
        </w:rPr>
        <w:t xml:space="preserve"> ili heparinoidi za lokaln</w:t>
      </w:r>
      <w:r>
        <w:rPr>
          <w:lang w:val="sr-Latn-CS"/>
        </w:rPr>
        <w:t xml:space="preserve">u </w:t>
      </w:r>
      <w:r>
        <w:rPr>
          <w:szCs w:val="22"/>
          <w:lang w:val="sr-Latn-CS"/>
        </w:rPr>
        <w:t>primjenu</w:t>
      </w:r>
    </w:p>
    <w:p w:rsidR="00D52456" w:rsidRDefault="00D52456"/>
    <w:p w:rsidR="00D52456" w:rsidRDefault="004941CB">
      <w:pPr>
        <w:tabs>
          <w:tab w:val="left" w:pos="540"/>
          <w:tab w:val="left" w:pos="569"/>
        </w:tabs>
        <w:rPr>
          <w:lang w:val="sr-Latn-CS"/>
        </w:rPr>
      </w:pPr>
      <w:r>
        <w:rPr>
          <w:b/>
        </w:rPr>
        <w:t xml:space="preserve">ATC </w:t>
      </w:r>
      <w:r>
        <w:rPr>
          <w:b/>
          <w:bCs/>
          <w:szCs w:val="22"/>
        </w:rPr>
        <w:t>kod</w:t>
      </w:r>
      <w:r>
        <w:rPr>
          <w:b/>
          <w:lang w:val="sr-Latn-CS"/>
        </w:rPr>
        <w:t>:</w:t>
      </w:r>
      <w:r>
        <w:rPr>
          <w:lang w:val="sr-Latn-CS"/>
        </w:rPr>
        <w:t xml:space="preserve"> </w:t>
      </w:r>
      <w:r>
        <w:rPr>
          <w:lang w:val="sr-Latn-CS"/>
        </w:rPr>
        <w:t>C05BA03</w:t>
      </w:r>
    </w:p>
    <w:p w:rsidR="00D52456" w:rsidRDefault="00D52456">
      <w:pPr>
        <w:rPr>
          <w:lang w:val="sr-Latn-CS"/>
        </w:rPr>
      </w:pPr>
    </w:p>
    <w:p w:rsidR="00D52456" w:rsidRDefault="004941CB">
      <w:pPr>
        <w:rPr>
          <w:lang w:val="sr-Latn-CS"/>
        </w:rPr>
      </w:pPr>
      <w:r>
        <w:rPr>
          <w:lang w:val="sr-Latn-CS"/>
        </w:rPr>
        <w:t xml:space="preserve">Eksperimentalni farmakološki podaci pokazuju da </w:t>
      </w:r>
      <w:r>
        <w:rPr>
          <w:szCs w:val="22"/>
          <w:lang w:val="sr-Latn-CS"/>
        </w:rPr>
        <w:t>heparin-natrijum primijenjen</w:t>
      </w:r>
      <w:r>
        <w:rPr>
          <w:lang w:val="sr-Latn-CS"/>
        </w:rPr>
        <w:t xml:space="preserve"> na kožu pokazuje značajnu antiedematoznu, antigranulomatoznu, antieksudativnu, antiflogističku i antikoagulacionu aktivnost.</w:t>
      </w:r>
    </w:p>
    <w:p w:rsidR="00D52456" w:rsidRDefault="00D52456">
      <w:pPr>
        <w:rPr>
          <w:lang w:val="sr-Latn-CS"/>
        </w:rPr>
      </w:pPr>
    </w:p>
    <w:p w:rsidR="00D52456" w:rsidRDefault="004941CB">
      <w:pPr>
        <w:tabs>
          <w:tab w:val="left" w:pos="540"/>
          <w:tab w:val="left" w:pos="569"/>
        </w:tabs>
        <w:rPr>
          <w:b/>
        </w:rPr>
      </w:pPr>
      <w:r>
        <w:rPr>
          <w:b/>
        </w:rPr>
        <w:t xml:space="preserve">5.2. </w:t>
      </w:r>
      <w:r>
        <w:rPr>
          <w:b/>
          <w:bCs/>
          <w:szCs w:val="22"/>
        </w:rPr>
        <w:tab/>
      </w:r>
      <w:r>
        <w:rPr>
          <w:b/>
        </w:rPr>
        <w:t xml:space="preserve">Farmakokinetički </w:t>
      </w:r>
      <w:r>
        <w:rPr>
          <w:b/>
        </w:rPr>
        <w:t>podaci</w:t>
      </w:r>
      <w:r>
        <w:rPr>
          <w:b/>
          <w:bCs/>
          <w:szCs w:val="22"/>
        </w:rPr>
        <w:t xml:space="preserve"> </w:t>
      </w:r>
    </w:p>
    <w:p w:rsidR="00D52456" w:rsidRDefault="00D52456">
      <w:pPr>
        <w:rPr>
          <w:lang w:val="sr-Latn-CS"/>
        </w:rPr>
      </w:pPr>
    </w:p>
    <w:p w:rsidR="00D52456" w:rsidRDefault="004941CB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</w:rPr>
      </w:pPr>
      <w:r>
        <w:rPr>
          <w:rFonts w:eastAsia="TimesNewRoman"/>
          <w:szCs w:val="22"/>
        </w:rPr>
        <w:t>Heparin brzo prodire kroz kožu i deponuje se u rožastom sloju derma, tako da ispoljava isključivo lokalno dejstvo. Zbog toga što postoji sličnost u hemijskoj strukturi heparina i heparin-sulfata (kiselog</w:t>
      </w:r>
    </w:p>
    <w:p w:rsidR="00D52456" w:rsidRDefault="004941CB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CS"/>
        </w:rPr>
      </w:pPr>
      <w:r>
        <w:rPr>
          <w:rFonts w:eastAsia="TimesNewRoman"/>
          <w:szCs w:val="22"/>
        </w:rPr>
        <w:t>mukopolisaharida međućelijske supstance vez</w:t>
      </w:r>
      <w:r>
        <w:rPr>
          <w:rFonts w:eastAsia="TimesNewRoman"/>
          <w:szCs w:val="22"/>
        </w:rPr>
        <w:t>ivnog tkiva kože), pretpostavlja se da dolazi do vezivanja heparina i međućelijske supstance i da zbog toga mali deo perkutano primijenjenog heparina prodire u cirkulaciju. Resorbovani dio se metaboliše u jetri, a izlučuje se putem urina.</w:t>
      </w:r>
    </w:p>
    <w:p w:rsidR="00D52456" w:rsidRDefault="00D52456">
      <w:pPr>
        <w:rPr>
          <w:rFonts w:eastAsia="Arial Unicode MS"/>
          <w:szCs w:val="22"/>
          <w:lang w:val="sr-Latn-CS"/>
        </w:rPr>
      </w:pPr>
    </w:p>
    <w:p w:rsidR="00D52456" w:rsidRDefault="004941CB">
      <w:pPr>
        <w:rPr>
          <w:rFonts w:eastAsia="Arial Unicode MS"/>
          <w:lang w:val="sr-Latn-CS"/>
        </w:rPr>
      </w:pPr>
      <w:r>
        <w:rPr>
          <w:rFonts w:eastAsia="Arial Unicode MS"/>
          <w:lang w:val="sr-Latn-CS"/>
        </w:rPr>
        <w:t>Farmakokinetički</w:t>
      </w:r>
      <w:r>
        <w:rPr>
          <w:rFonts w:eastAsia="Arial Unicode MS"/>
          <w:lang w:val="sr-Latn-CS"/>
        </w:rPr>
        <w:t xml:space="preserve"> testovi sprovedeni na pacovima su pokazali da su koncentracije heparina u plazmi </w:t>
      </w:r>
      <w:r>
        <w:rPr>
          <w:rFonts w:eastAsia="Arial Unicode MS"/>
          <w:szCs w:val="22"/>
          <w:lang w:val="sr-Latn-CS"/>
        </w:rPr>
        <w:t>mjerljive</w:t>
      </w:r>
      <w:r>
        <w:rPr>
          <w:rFonts w:eastAsia="Arial Unicode MS"/>
          <w:lang w:val="sr-Latn-CS"/>
        </w:rPr>
        <w:t xml:space="preserve"> do 24 sata nakon </w:t>
      </w:r>
      <w:r>
        <w:rPr>
          <w:rFonts w:eastAsia="Arial Unicode MS"/>
          <w:szCs w:val="22"/>
        </w:rPr>
        <w:t>primjene</w:t>
      </w:r>
      <w:r>
        <w:rPr>
          <w:rFonts w:eastAsia="Arial Unicode MS"/>
          <w:lang w:val="sr-Latn-CS"/>
        </w:rPr>
        <w:t xml:space="preserve">, sa maksimalnim </w:t>
      </w:r>
      <w:r>
        <w:rPr>
          <w:rFonts w:eastAsia="Arial Unicode MS"/>
          <w:szCs w:val="22"/>
        </w:rPr>
        <w:t>vrijednostima</w:t>
      </w:r>
      <w:r>
        <w:rPr>
          <w:rFonts w:eastAsia="Arial Unicode MS"/>
          <w:lang w:val="sr-Latn-CS"/>
        </w:rPr>
        <w:t xml:space="preserve"> nakon osam sati. </w:t>
      </w:r>
      <w:r>
        <w:rPr>
          <w:rFonts w:eastAsia="Arial Unicode MS"/>
          <w:szCs w:val="22"/>
          <w:lang w:val="sr-Latn-CS"/>
        </w:rPr>
        <w:t>Dermalna primjena lijeka</w:t>
      </w:r>
      <w:r>
        <w:rPr>
          <w:rFonts w:eastAsia="Arial Unicode MS"/>
          <w:lang w:val="sr-Latn-CS"/>
        </w:rPr>
        <w:t xml:space="preserve"> Lioton 1000 nije </w:t>
      </w:r>
      <w:r>
        <w:rPr>
          <w:rFonts w:eastAsia="Arial Unicode MS"/>
          <w:szCs w:val="22"/>
          <w:lang w:val="sr-Latn-CS"/>
        </w:rPr>
        <w:t>izazvala</w:t>
      </w:r>
      <w:r>
        <w:rPr>
          <w:rFonts w:eastAsia="Arial Unicode MS"/>
          <w:lang w:val="sr-Latn-CS"/>
        </w:rPr>
        <w:t xml:space="preserve"> nikakve </w:t>
      </w:r>
      <w:r>
        <w:rPr>
          <w:rFonts w:eastAsia="Arial Unicode MS"/>
          <w:szCs w:val="22"/>
        </w:rPr>
        <w:t>promjene</w:t>
      </w:r>
      <w:r>
        <w:rPr>
          <w:rFonts w:eastAsia="Arial Unicode MS"/>
          <w:lang w:val="sr-Latn-CS"/>
        </w:rPr>
        <w:t xml:space="preserve"> koagulacionih parametara kod ljudi.</w:t>
      </w:r>
    </w:p>
    <w:p w:rsidR="00D52456" w:rsidRDefault="00D52456">
      <w:pPr>
        <w:rPr>
          <w:rFonts w:eastAsia="Arial Unicode MS"/>
          <w:lang w:val="sr-Latn-CS"/>
        </w:rPr>
      </w:pPr>
    </w:p>
    <w:p w:rsidR="00D52456" w:rsidRDefault="004941CB">
      <w:pPr>
        <w:tabs>
          <w:tab w:val="left" w:pos="540"/>
          <w:tab w:val="left" w:pos="569"/>
        </w:tabs>
        <w:rPr>
          <w:b/>
        </w:rPr>
      </w:pPr>
      <w:r>
        <w:rPr>
          <w:b/>
          <w:lang w:val="ru-RU"/>
        </w:rPr>
        <w:t>5</w:t>
      </w:r>
      <w:r>
        <w:rPr>
          <w:b/>
        </w:rPr>
        <w:t xml:space="preserve">.3. </w:t>
      </w:r>
      <w:r>
        <w:rPr>
          <w:b/>
          <w:bCs/>
          <w:szCs w:val="22"/>
        </w:rPr>
        <w:tab/>
      </w:r>
      <w:r>
        <w:rPr>
          <w:b/>
        </w:rPr>
        <w:t xml:space="preserve">Pretklinički podaci o </w:t>
      </w:r>
      <w:r>
        <w:rPr>
          <w:b/>
          <w:bCs/>
          <w:szCs w:val="22"/>
        </w:rPr>
        <w:t xml:space="preserve">bezbjednosti </w:t>
      </w:r>
    </w:p>
    <w:p w:rsidR="00D52456" w:rsidRDefault="00D52456">
      <w:pPr>
        <w:rPr>
          <w:b/>
          <w:lang w:val="sr-Latn-CS"/>
        </w:rPr>
      </w:pPr>
    </w:p>
    <w:p w:rsidR="00D52456" w:rsidRDefault="004941CB">
      <w:pPr>
        <w:tabs>
          <w:tab w:val="left" w:pos="540"/>
          <w:tab w:val="left" w:pos="569"/>
        </w:tabs>
        <w:rPr>
          <w:lang w:val="sr-Latn-CS"/>
        </w:rPr>
      </w:pPr>
      <w:r>
        <w:rPr>
          <w:rFonts w:eastAsia="Arial Unicode MS"/>
          <w:lang w:val="sr-Latn-CS"/>
        </w:rPr>
        <w:t xml:space="preserve">Testovi akutne toksičnosti sprovedeni na miševima i pacovima su pokazali da </w:t>
      </w:r>
      <w:r>
        <w:rPr>
          <w:rFonts w:eastAsia="Arial Unicode MS"/>
          <w:szCs w:val="22"/>
          <w:lang w:val="sr-Latn-CS"/>
        </w:rPr>
        <w:t>heparin-natrijum</w:t>
      </w:r>
      <w:r>
        <w:rPr>
          <w:rFonts w:eastAsia="Arial Unicode MS"/>
          <w:lang w:val="sr-Latn-CS"/>
        </w:rPr>
        <w:t xml:space="preserve"> ima veoma </w:t>
      </w:r>
      <w:r>
        <w:rPr>
          <w:rFonts w:eastAsia="Arial Unicode MS"/>
          <w:szCs w:val="22"/>
          <w:lang w:val="sr-Latn-CS"/>
        </w:rPr>
        <w:t>malu  s.c. i i.p.</w:t>
      </w:r>
      <w:r>
        <w:rPr>
          <w:rFonts w:eastAsia="Arial Unicode MS"/>
          <w:lang w:val="sr-Latn-CS"/>
        </w:rPr>
        <w:t xml:space="preserve"> toksičnost (LD</w:t>
      </w:r>
      <w:r>
        <w:rPr>
          <w:rFonts w:eastAsia="Arial Unicode MS"/>
          <w:vertAlign w:val="subscript"/>
          <w:lang w:val="sr-Latn-CS"/>
        </w:rPr>
        <w:t>50</w:t>
      </w:r>
      <w:r>
        <w:rPr>
          <w:rFonts w:eastAsia="Arial Unicode MS"/>
          <w:lang w:val="sr-Latn-CS"/>
        </w:rPr>
        <w:t xml:space="preserve"> 2000 mg/kg). Takođe, </w:t>
      </w:r>
      <w:r>
        <w:rPr>
          <w:rFonts w:eastAsia="Arial Unicode MS"/>
          <w:szCs w:val="22"/>
          <w:lang w:val="sr-Latn-CS"/>
        </w:rPr>
        <w:t>tokom suphroničn</w:t>
      </w:r>
      <w:r>
        <w:rPr>
          <w:rFonts w:eastAsia="Arial Unicode MS"/>
          <w:szCs w:val="22"/>
          <w:lang w:val="sr-Latn-CS"/>
        </w:rPr>
        <w:t>e i hronične primjene</w:t>
      </w:r>
      <w:r>
        <w:rPr>
          <w:rFonts w:eastAsia="Arial Unicode MS"/>
          <w:lang w:val="sr-Latn-CS"/>
        </w:rPr>
        <w:t xml:space="preserve"> na koži je </w:t>
      </w:r>
      <w:r>
        <w:rPr>
          <w:rFonts w:eastAsia="Arial Unicode MS"/>
          <w:szCs w:val="22"/>
          <w:lang w:val="sr-Latn-CS"/>
        </w:rPr>
        <w:t>pokazana dobra lokalna i sistemska</w:t>
      </w:r>
      <w:r>
        <w:rPr>
          <w:rFonts w:eastAsia="Arial Unicode MS"/>
          <w:lang w:val="sr-Latn-CS"/>
        </w:rPr>
        <w:t xml:space="preserve"> podnošljivost </w:t>
      </w:r>
      <w:r>
        <w:rPr>
          <w:rFonts w:eastAsia="Arial Unicode MS"/>
          <w:szCs w:val="22"/>
        </w:rPr>
        <w:t>lijeka</w:t>
      </w:r>
      <w:r>
        <w:rPr>
          <w:rFonts w:eastAsia="Arial Unicode MS"/>
          <w:lang w:val="sr-Latn-CS"/>
        </w:rPr>
        <w:t>.</w:t>
      </w:r>
    </w:p>
    <w:p w:rsidR="00D52456" w:rsidRDefault="00D52456">
      <w:pPr>
        <w:rPr>
          <w:lang w:val="sr-Latn-CS"/>
        </w:rPr>
      </w:pPr>
    </w:p>
    <w:p w:rsidR="00D52456" w:rsidRDefault="004941CB">
      <w:pPr>
        <w:pStyle w:val="NASLOV123"/>
        <w:rPr>
          <w:b w:val="0"/>
          <w:lang w:val="sr-Latn-CS"/>
        </w:rPr>
      </w:pPr>
      <w:r>
        <w:rPr>
          <w:lang w:val="sr-Latn-CS"/>
        </w:rPr>
        <w:t xml:space="preserve">6. </w:t>
      </w:r>
      <w:r>
        <w:t>FARMACEUTSKI</w:t>
      </w:r>
      <w:r>
        <w:rPr>
          <w:lang w:val="sr-Latn-CS"/>
        </w:rPr>
        <w:t xml:space="preserve"> </w:t>
      </w:r>
      <w:r>
        <w:t>PODACI</w:t>
      </w:r>
    </w:p>
    <w:p w:rsidR="00D52456" w:rsidRDefault="004941CB">
      <w:pPr>
        <w:tabs>
          <w:tab w:val="left" w:pos="540"/>
          <w:tab w:val="left" w:pos="569"/>
        </w:tabs>
        <w:rPr>
          <w:b/>
        </w:rPr>
      </w:pPr>
      <w:r>
        <w:rPr>
          <w:b/>
        </w:rPr>
        <w:t xml:space="preserve">6.1. </w:t>
      </w:r>
      <w:r>
        <w:rPr>
          <w:b/>
          <w:bCs/>
          <w:szCs w:val="22"/>
        </w:rPr>
        <w:tab/>
      </w:r>
      <w:r>
        <w:rPr>
          <w:b/>
        </w:rPr>
        <w:t>Lista pomoćnih supstanci</w:t>
      </w:r>
      <w:r>
        <w:rPr>
          <w:b/>
          <w:bCs/>
          <w:szCs w:val="22"/>
        </w:rPr>
        <w:t xml:space="preserve"> (ekscipijenasa)</w:t>
      </w:r>
    </w:p>
    <w:p w:rsidR="00D52456" w:rsidRDefault="00D52456">
      <w:pPr>
        <w:rPr>
          <w:b/>
          <w:bCs/>
          <w:szCs w:val="22"/>
          <w:lang w:val="sr-Latn-CS"/>
        </w:rPr>
      </w:pPr>
    </w:p>
    <w:p w:rsidR="00D52456" w:rsidRDefault="004941CB">
      <w:pPr>
        <w:rPr>
          <w:rFonts w:eastAsia="Arial Unicode MS"/>
          <w:szCs w:val="22"/>
          <w:lang w:val="sr-Latn-CS"/>
        </w:rPr>
      </w:pPr>
      <w:r>
        <w:rPr>
          <w:rFonts w:eastAsia="Arial Unicode MS"/>
          <w:lang w:val="sr-Latn-CS"/>
        </w:rPr>
        <w:t>Etanol (96</w:t>
      </w:r>
      <w:r>
        <w:rPr>
          <w:rFonts w:eastAsia="Arial Unicode MS"/>
          <w:szCs w:val="22"/>
          <w:lang w:val="sr-Latn-CS"/>
        </w:rPr>
        <w:t xml:space="preserve">%) </w:t>
      </w:r>
    </w:p>
    <w:p w:rsidR="00D52456" w:rsidRDefault="004941CB">
      <w:pPr>
        <w:rPr>
          <w:rFonts w:eastAsia="Arial Unicode MS"/>
          <w:szCs w:val="22"/>
          <w:lang w:val="sr-Latn-CS"/>
        </w:rPr>
      </w:pPr>
      <w:r>
        <w:rPr>
          <w:rFonts w:eastAsia="Arial Unicode MS"/>
          <w:szCs w:val="22"/>
          <w:lang w:val="sr-Latn-CS"/>
        </w:rPr>
        <w:lastRenderedPageBreak/>
        <w:t xml:space="preserve">Karbomer </w:t>
      </w:r>
    </w:p>
    <w:p w:rsidR="00D52456" w:rsidRDefault="004941CB">
      <w:pPr>
        <w:rPr>
          <w:rFonts w:eastAsia="Arial Unicode MS"/>
          <w:szCs w:val="22"/>
          <w:lang w:val="sr-Latn-CS"/>
        </w:rPr>
      </w:pPr>
      <w:r>
        <w:rPr>
          <w:rFonts w:eastAsia="Arial Unicode MS"/>
          <w:szCs w:val="22"/>
          <w:lang w:val="sr-Latn-CS"/>
        </w:rPr>
        <w:t xml:space="preserve">Trolamin </w:t>
      </w:r>
    </w:p>
    <w:p w:rsidR="00D52456" w:rsidRDefault="004941CB">
      <w:pPr>
        <w:rPr>
          <w:rFonts w:eastAsia="Arial Unicode MS"/>
          <w:szCs w:val="22"/>
          <w:lang w:val="sr-Latn-CS"/>
        </w:rPr>
      </w:pPr>
      <w:r>
        <w:rPr>
          <w:rFonts w:eastAsia="Arial Unicode MS"/>
          <w:szCs w:val="22"/>
          <w:lang w:val="sr-Latn-CS"/>
        </w:rPr>
        <w:t>Metilparahidroksibenzoat</w:t>
      </w:r>
      <w:r>
        <w:rPr>
          <w:rFonts w:eastAsia="Arial Unicode MS"/>
          <w:lang w:val="sr-Latn-CS"/>
        </w:rPr>
        <w:t xml:space="preserve"> (E218</w:t>
      </w:r>
      <w:r>
        <w:rPr>
          <w:rFonts w:eastAsia="Arial Unicode MS"/>
          <w:szCs w:val="22"/>
          <w:lang w:val="sr-Latn-CS"/>
        </w:rPr>
        <w:t xml:space="preserve">) </w:t>
      </w:r>
    </w:p>
    <w:p w:rsidR="00D52456" w:rsidRDefault="004941CB">
      <w:pPr>
        <w:rPr>
          <w:rFonts w:eastAsia="Arial Unicode MS"/>
          <w:szCs w:val="22"/>
          <w:lang w:val="sr-Latn-CS"/>
        </w:rPr>
      </w:pPr>
      <w:r>
        <w:rPr>
          <w:rFonts w:eastAsia="Arial Unicode MS"/>
          <w:szCs w:val="22"/>
          <w:lang w:val="sr-Latn-CS"/>
        </w:rPr>
        <w:t>Propilparahidroksibenzoat</w:t>
      </w:r>
      <w:r>
        <w:rPr>
          <w:rFonts w:eastAsia="Arial Unicode MS"/>
          <w:lang w:val="sr-Latn-CS"/>
        </w:rPr>
        <w:t xml:space="preserve"> (</w:t>
      </w:r>
      <w:r>
        <w:rPr>
          <w:rFonts w:eastAsia="Arial Unicode MS"/>
          <w:lang w:val="sr-Latn-CS"/>
        </w:rPr>
        <w:t>E216</w:t>
      </w:r>
      <w:r>
        <w:rPr>
          <w:rFonts w:eastAsia="Arial Unicode MS"/>
          <w:szCs w:val="22"/>
          <w:lang w:val="sr-Latn-CS"/>
        </w:rPr>
        <w:t xml:space="preserve">) </w:t>
      </w:r>
    </w:p>
    <w:p w:rsidR="00D52456" w:rsidRDefault="004941CB">
      <w:pPr>
        <w:rPr>
          <w:rFonts w:eastAsia="Arial Unicode MS"/>
          <w:szCs w:val="22"/>
          <w:lang w:val="sr-Latn-CS"/>
        </w:rPr>
      </w:pPr>
      <w:r>
        <w:rPr>
          <w:rFonts w:eastAsia="Arial Unicode MS"/>
          <w:szCs w:val="22"/>
          <w:lang w:val="sr-Latn-CS"/>
        </w:rPr>
        <w:t>Miris cvijeta</w:t>
      </w:r>
      <w:r>
        <w:rPr>
          <w:rFonts w:eastAsia="Arial Unicode MS"/>
          <w:lang w:val="sr-Latn-CS"/>
        </w:rPr>
        <w:t xml:space="preserve"> narandže (koji sadrži: linalol, d-limonen, geraniol, citral, citronelol i farnesol</w:t>
      </w:r>
      <w:r>
        <w:rPr>
          <w:rFonts w:eastAsia="Arial Unicode MS"/>
          <w:szCs w:val="22"/>
          <w:lang w:val="sr-Latn-CS"/>
        </w:rPr>
        <w:t xml:space="preserve">) </w:t>
      </w:r>
    </w:p>
    <w:p w:rsidR="00D52456" w:rsidRDefault="004941CB">
      <w:pPr>
        <w:rPr>
          <w:rFonts w:eastAsia="Arial Unicode MS"/>
          <w:szCs w:val="22"/>
          <w:lang w:val="sr-Latn-CS"/>
        </w:rPr>
      </w:pPr>
      <w:r>
        <w:rPr>
          <w:rFonts w:eastAsia="Arial Unicode MS"/>
          <w:szCs w:val="22"/>
          <w:lang w:val="sr-Latn-CS"/>
        </w:rPr>
        <w:t>Etarsko</w:t>
      </w:r>
      <w:r>
        <w:rPr>
          <w:rFonts w:eastAsia="Arial Unicode MS"/>
          <w:lang w:val="sr-Latn-CS"/>
        </w:rPr>
        <w:t xml:space="preserve"> ulje lavandina (koje sadrži: linalol, d-limonen, geraniol i kumarin</w:t>
      </w:r>
      <w:r>
        <w:rPr>
          <w:rFonts w:eastAsia="Arial Unicode MS"/>
          <w:szCs w:val="22"/>
          <w:lang w:val="sr-Latn-CS"/>
        </w:rPr>
        <w:t xml:space="preserve">) </w:t>
      </w:r>
    </w:p>
    <w:p w:rsidR="00D52456" w:rsidRDefault="004941CB">
      <w:pPr>
        <w:rPr>
          <w:rFonts w:eastAsia="Arial Unicode MS"/>
          <w:lang w:val="sr-Latn-CS"/>
        </w:rPr>
      </w:pPr>
      <w:r>
        <w:rPr>
          <w:rFonts w:eastAsia="Arial Unicode MS"/>
          <w:szCs w:val="22"/>
          <w:lang w:val="sr-Latn-CS"/>
        </w:rPr>
        <w:t>Voda</w:t>
      </w:r>
      <w:r>
        <w:rPr>
          <w:rFonts w:eastAsia="Arial Unicode MS"/>
          <w:lang w:val="sr-Latn-CS"/>
        </w:rPr>
        <w:t>, prečišćena</w:t>
      </w:r>
      <w:r>
        <w:rPr>
          <w:rFonts w:eastAsia="Arial Unicode MS"/>
          <w:szCs w:val="22"/>
          <w:lang w:val="sr-Latn-CS"/>
        </w:rPr>
        <w:t>.</w:t>
      </w:r>
    </w:p>
    <w:p w:rsidR="00D52456" w:rsidRDefault="00D52456">
      <w:pPr>
        <w:rPr>
          <w:lang w:val="de-DE"/>
        </w:rPr>
      </w:pPr>
    </w:p>
    <w:p w:rsidR="00D52456" w:rsidRDefault="004941CB">
      <w:pPr>
        <w:tabs>
          <w:tab w:val="left" w:pos="540"/>
          <w:tab w:val="left" w:pos="569"/>
        </w:tabs>
        <w:rPr>
          <w:b/>
        </w:rPr>
      </w:pPr>
      <w:r>
        <w:rPr>
          <w:b/>
        </w:rPr>
        <w:t xml:space="preserve">6.2. </w:t>
      </w:r>
      <w:r>
        <w:rPr>
          <w:b/>
          <w:bCs/>
          <w:szCs w:val="22"/>
        </w:rPr>
        <w:tab/>
        <w:t>Inkompatibilnosti</w:t>
      </w:r>
    </w:p>
    <w:p w:rsidR="00D52456" w:rsidRDefault="00D52456">
      <w:pPr>
        <w:tabs>
          <w:tab w:val="left" w:pos="540"/>
          <w:tab w:val="left" w:pos="569"/>
        </w:tabs>
      </w:pPr>
    </w:p>
    <w:p w:rsidR="00D52456" w:rsidRDefault="004941CB">
      <w:pPr>
        <w:rPr>
          <w:szCs w:val="22"/>
          <w:lang w:val="de-DE"/>
        </w:rPr>
      </w:pPr>
      <w:r>
        <w:rPr>
          <w:szCs w:val="22"/>
          <w:lang w:val="sr-Latn-CS"/>
        </w:rPr>
        <w:t>Nije poznata.</w:t>
      </w:r>
    </w:p>
    <w:p w:rsidR="00D52456" w:rsidRDefault="00D52456">
      <w:pPr>
        <w:rPr>
          <w:lang w:val="de-DE"/>
        </w:rPr>
      </w:pPr>
    </w:p>
    <w:p w:rsidR="00D52456" w:rsidRDefault="004941CB">
      <w:pPr>
        <w:tabs>
          <w:tab w:val="left" w:pos="540"/>
          <w:tab w:val="left" w:pos="569"/>
        </w:tabs>
        <w:rPr>
          <w:b/>
        </w:rPr>
      </w:pPr>
      <w:r>
        <w:rPr>
          <w:b/>
        </w:rPr>
        <w:t xml:space="preserve">6.3. </w:t>
      </w:r>
      <w:r>
        <w:rPr>
          <w:b/>
          <w:bCs/>
          <w:szCs w:val="22"/>
        </w:rPr>
        <w:tab/>
      </w:r>
      <w:r>
        <w:rPr>
          <w:b/>
        </w:rPr>
        <w:t xml:space="preserve">Rok </w:t>
      </w:r>
      <w:r>
        <w:rPr>
          <w:b/>
        </w:rPr>
        <w:t>upotrebe</w:t>
      </w:r>
    </w:p>
    <w:p w:rsidR="00D52456" w:rsidRDefault="00D52456">
      <w:pPr>
        <w:rPr>
          <w:b/>
          <w:lang w:val="de-DE"/>
        </w:rPr>
      </w:pPr>
    </w:p>
    <w:p w:rsidR="00D52456" w:rsidRDefault="004941CB">
      <w:pPr>
        <w:rPr>
          <w:rFonts w:eastAsia="Arial Unicode MS"/>
          <w:lang w:val="sr-Latn-CS"/>
        </w:rPr>
      </w:pPr>
      <w:r>
        <w:rPr>
          <w:rFonts w:eastAsia="Arial Unicode MS"/>
          <w:lang w:val="sr-Latn-CS"/>
        </w:rPr>
        <w:t>5 godina.</w:t>
      </w:r>
    </w:p>
    <w:p w:rsidR="00D52456" w:rsidRDefault="00D52456">
      <w:pPr>
        <w:rPr>
          <w:rFonts w:eastAsia="Arial Unicode MS"/>
          <w:szCs w:val="22"/>
          <w:lang w:val="sr-Latn-CS"/>
        </w:rPr>
      </w:pPr>
    </w:p>
    <w:p w:rsidR="00D52456" w:rsidRDefault="004941CB">
      <w:pPr>
        <w:tabs>
          <w:tab w:val="left" w:pos="540"/>
          <w:tab w:val="left" w:pos="569"/>
        </w:tabs>
        <w:rPr>
          <w:lang w:val="sr-Latn-CS"/>
        </w:rPr>
      </w:pPr>
      <w:r>
        <w:rPr>
          <w:rFonts w:eastAsia="Arial Unicode MS"/>
          <w:szCs w:val="22"/>
          <w:lang w:val="sr-Latn-CS"/>
        </w:rPr>
        <w:t>Rok upotrebe nakon</w:t>
      </w:r>
      <w:r>
        <w:rPr>
          <w:rFonts w:eastAsia="Arial Unicode MS"/>
          <w:lang w:val="sr-Latn-CS"/>
        </w:rPr>
        <w:t xml:space="preserve"> prvog otvaranja</w:t>
      </w:r>
      <w:r>
        <w:rPr>
          <w:rFonts w:eastAsia="Arial Unicode MS"/>
          <w:szCs w:val="22"/>
          <w:lang w:val="sr-Latn-CS"/>
        </w:rPr>
        <w:t>:</w:t>
      </w:r>
      <w:r>
        <w:rPr>
          <w:rFonts w:eastAsia="Arial Unicode MS"/>
          <w:lang w:val="sr-Latn-CS"/>
        </w:rPr>
        <w:t xml:space="preserve"> 6 </w:t>
      </w:r>
      <w:r>
        <w:rPr>
          <w:rFonts w:eastAsia="Arial Unicode MS"/>
          <w:szCs w:val="22"/>
          <w:lang w:val="sr-Latn-ME"/>
        </w:rPr>
        <w:t>mjeseci</w:t>
      </w:r>
      <w:r>
        <w:rPr>
          <w:rFonts w:eastAsia="Arial Unicode MS"/>
          <w:lang w:val="sr-Latn-CS"/>
        </w:rPr>
        <w:t>.</w:t>
      </w:r>
    </w:p>
    <w:p w:rsidR="00D52456" w:rsidRDefault="00D52456">
      <w:pPr>
        <w:rPr>
          <w:lang w:val="sr-Latn-CS"/>
        </w:rPr>
      </w:pPr>
    </w:p>
    <w:p w:rsidR="00D52456" w:rsidRDefault="004941CB">
      <w:pPr>
        <w:tabs>
          <w:tab w:val="left" w:pos="540"/>
          <w:tab w:val="left" w:pos="569"/>
        </w:tabs>
        <w:rPr>
          <w:b/>
        </w:rPr>
      </w:pPr>
      <w:r>
        <w:rPr>
          <w:b/>
        </w:rPr>
        <w:t xml:space="preserve">6.4. </w:t>
      </w:r>
      <w:r>
        <w:rPr>
          <w:b/>
          <w:bCs/>
          <w:szCs w:val="22"/>
        </w:rPr>
        <w:tab/>
      </w:r>
      <w:r>
        <w:rPr>
          <w:b/>
        </w:rPr>
        <w:t xml:space="preserve">Posebne </w:t>
      </w:r>
      <w:r>
        <w:rPr>
          <w:b/>
          <w:bCs/>
          <w:szCs w:val="22"/>
        </w:rPr>
        <w:t>mjere upozorenja</w:t>
      </w:r>
      <w:r>
        <w:rPr>
          <w:b/>
        </w:rPr>
        <w:t xml:space="preserve"> pri čuvanju</w:t>
      </w:r>
      <w:r>
        <w:rPr>
          <w:b/>
          <w:bCs/>
          <w:szCs w:val="22"/>
        </w:rPr>
        <w:t xml:space="preserve"> lijeka</w:t>
      </w:r>
    </w:p>
    <w:p w:rsidR="00D52456" w:rsidRDefault="00D52456">
      <w:pPr>
        <w:rPr>
          <w:b/>
        </w:rPr>
      </w:pPr>
    </w:p>
    <w:p w:rsidR="00D52456" w:rsidRDefault="004941CB">
      <w:pPr>
        <w:rPr>
          <w:rFonts w:eastAsia="Arial Unicode MS"/>
          <w:lang w:val="sr-Latn-CS"/>
        </w:rPr>
      </w:pPr>
      <w:r>
        <w:rPr>
          <w:rFonts w:eastAsia="Arial Unicode MS"/>
          <w:lang w:val="sr-Latn-CS"/>
        </w:rPr>
        <w:t xml:space="preserve">Čuvati na temperaturi do </w:t>
      </w:r>
      <w:r>
        <w:rPr>
          <w:rFonts w:eastAsia="Arial Unicode MS"/>
          <w:szCs w:val="22"/>
          <w:lang w:val="sr-Latn-CS"/>
        </w:rPr>
        <w:t>25ºC.</w:t>
      </w:r>
    </w:p>
    <w:p w:rsidR="00D52456" w:rsidRDefault="00D52456">
      <w:pPr>
        <w:rPr>
          <w:rFonts w:eastAsia="Arial Unicode MS"/>
          <w:szCs w:val="22"/>
          <w:lang w:val="sr-Latn-CS"/>
        </w:rPr>
      </w:pPr>
    </w:p>
    <w:p w:rsidR="00D52456" w:rsidRDefault="004941CB">
      <w:r>
        <w:t>Za uslove čuvanja nakon prvog otvaranja lijeka, vidjeti dio 6.3.</w:t>
      </w:r>
    </w:p>
    <w:p w:rsidR="00D52456" w:rsidRDefault="00D52456"/>
    <w:p w:rsidR="00D52456" w:rsidRDefault="004941CB">
      <w:pPr>
        <w:tabs>
          <w:tab w:val="left" w:pos="540"/>
          <w:tab w:val="left" w:pos="569"/>
        </w:tabs>
        <w:rPr>
          <w:b/>
        </w:rPr>
      </w:pPr>
      <w:r>
        <w:rPr>
          <w:b/>
        </w:rPr>
        <w:t xml:space="preserve">6.5. </w:t>
      </w:r>
      <w:r>
        <w:rPr>
          <w:b/>
          <w:bCs/>
          <w:szCs w:val="22"/>
        </w:rPr>
        <w:tab/>
        <w:t>Vrsta</w:t>
      </w:r>
      <w:r>
        <w:rPr>
          <w:b/>
        </w:rPr>
        <w:t xml:space="preserve"> i sadržaj pakovanja </w:t>
      </w:r>
    </w:p>
    <w:p w:rsidR="00D52456" w:rsidRDefault="00D52456">
      <w:pPr>
        <w:rPr>
          <w:b/>
          <w:bCs/>
          <w:szCs w:val="22"/>
          <w:lang w:val="sr-Latn-CS"/>
        </w:rPr>
      </w:pPr>
    </w:p>
    <w:p w:rsidR="00D52456" w:rsidRDefault="004941CB">
      <w:pPr>
        <w:rPr>
          <w:szCs w:val="22"/>
          <w:lang w:val="sr-Latn-CS"/>
        </w:rPr>
      </w:pPr>
      <w:bookmarkStart w:id="2" w:name="_Hlk150844832"/>
      <w:r>
        <w:rPr>
          <w:szCs w:val="22"/>
          <w:lang w:val="sr-Latn-CS"/>
        </w:rPr>
        <w:t>Liot</w:t>
      </w:r>
      <w:r>
        <w:rPr>
          <w:szCs w:val="22"/>
          <w:lang w:val="sr-Latn-CS"/>
        </w:rPr>
        <w:t xml:space="preserve">on 1000, </w:t>
      </w:r>
      <w:bookmarkStart w:id="3" w:name="_Hlk150845512"/>
      <w:bookmarkStart w:id="4" w:name="_Hlk150845162"/>
      <w:r>
        <w:rPr>
          <w:szCs w:val="22"/>
          <w:lang w:val="sr-Latn-CS"/>
        </w:rPr>
        <w:t>1000 i.j./g</w:t>
      </w:r>
      <w:bookmarkEnd w:id="3"/>
      <w:r>
        <w:rPr>
          <w:szCs w:val="22"/>
          <w:lang w:val="sr-Latn-CS"/>
        </w:rPr>
        <w:t xml:space="preserve">, </w:t>
      </w:r>
      <w:bookmarkEnd w:id="4"/>
      <w:r>
        <w:rPr>
          <w:szCs w:val="22"/>
          <w:lang w:val="sr-Latn-CS"/>
        </w:rPr>
        <w:t>gel, 1x30 g</w:t>
      </w:r>
    </w:p>
    <w:bookmarkEnd w:id="2"/>
    <w:p w:rsidR="00D52456" w:rsidRDefault="004941CB">
      <w:pPr>
        <w:rPr>
          <w:b/>
          <w:lang w:val="ru-RU"/>
        </w:rPr>
      </w:pPr>
      <w:r>
        <w:rPr>
          <w:rFonts w:eastAsia="Arial Unicode MS"/>
          <w:lang w:val="sr-Latn-CS"/>
        </w:rPr>
        <w:t xml:space="preserve">Unutrašnje pakovanje je meka aluminijumska tuba obložena epoksidnom oblogom sa unutrašnje strane sa polietilenskim </w:t>
      </w:r>
      <w:r>
        <w:rPr>
          <w:rFonts w:eastAsia="Arial Unicode MS"/>
          <w:szCs w:val="22"/>
          <w:lang w:val="sr-Latn-CS"/>
        </w:rPr>
        <w:t xml:space="preserve"> </w:t>
      </w:r>
      <w:r>
        <w:rPr>
          <w:rFonts w:eastAsia="Arial Unicode MS"/>
          <w:lang w:val="sr-Latn-CS"/>
        </w:rPr>
        <w:t>ili polipropilenskim zatvaračem sa navojem</w:t>
      </w:r>
      <w:r>
        <w:rPr>
          <w:rFonts w:eastAsia="Arial Unicode MS"/>
          <w:szCs w:val="22"/>
          <w:lang w:val="sr-Latn-CS"/>
        </w:rPr>
        <w:t>. Tuba sadrži 30 g gela</w:t>
      </w:r>
      <w:r>
        <w:rPr>
          <w:rFonts w:eastAsia="Arial Unicode MS"/>
          <w:lang w:val="sr-Latn-CS"/>
        </w:rPr>
        <w:t>.</w:t>
      </w:r>
    </w:p>
    <w:p w:rsidR="00D52456" w:rsidRDefault="004941CB">
      <w:pPr>
        <w:rPr>
          <w:rFonts w:eastAsia="Arial Unicode MS"/>
          <w:lang w:val="sr-Latn-CS"/>
        </w:rPr>
      </w:pPr>
      <w:r>
        <w:rPr>
          <w:rFonts w:eastAsia="Arial Unicode MS"/>
          <w:lang w:val="sr-Latn-CS"/>
        </w:rPr>
        <w:t xml:space="preserve">Spoljašnje pakovanje je složiva kartonska kutija koja sadrži jednu tubu </w:t>
      </w:r>
      <w:r>
        <w:rPr>
          <w:rFonts w:eastAsia="Arial Unicode MS"/>
          <w:szCs w:val="22"/>
          <w:lang w:val="sr-Latn-CS"/>
        </w:rPr>
        <w:t xml:space="preserve">(1x30 g) </w:t>
      </w:r>
      <w:r>
        <w:rPr>
          <w:rFonts w:eastAsia="Arial Unicode MS"/>
          <w:lang w:val="sr-Latn-CS"/>
        </w:rPr>
        <w:t xml:space="preserve">i Uputstvo za </w:t>
      </w:r>
      <w:r>
        <w:rPr>
          <w:rFonts w:eastAsia="Arial Unicode MS"/>
          <w:szCs w:val="22"/>
          <w:lang w:val="sr-Latn-CS"/>
        </w:rPr>
        <w:t>lijek</w:t>
      </w:r>
      <w:r>
        <w:rPr>
          <w:rFonts w:eastAsia="Arial Unicode MS"/>
          <w:lang w:val="sr-Latn-CS"/>
        </w:rPr>
        <w:t>.</w:t>
      </w:r>
    </w:p>
    <w:p w:rsidR="00D52456" w:rsidRDefault="00D52456">
      <w:pPr>
        <w:rPr>
          <w:szCs w:val="22"/>
          <w:lang w:val="sr-Latn-CS"/>
        </w:rPr>
      </w:pPr>
    </w:p>
    <w:p w:rsidR="00D52456" w:rsidRDefault="004941CB">
      <w:pPr>
        <w:rPr>
          <w:szCs w:val="22"/>
          <w:lang w:val="sr-Latn-CS"/>
        </w:rPr>
      </w:pPr>
      <w:bookmarkStart w:id="5" w:name="_Hlk150844788"/>
      <w:r>
        <w:rPr>
          <w:szCs w:val="22"/>
          <w:lang w:val="sr-Latn-CS"/>
        </w:rPr>
        <w:t>Lioton 1000, 1000 i.j./g, gel, 1x50 g</w:t>
      </w:r>
    </w:p>
    <w:p w:rsidR="00D52456" w:rsidRDefault="004941CB">
      <w:pPr>
        <w:rPr>
          <w:b/>
          <w:bCs/>
          <w:szCs w:val="22"/>
          <w:lang w:val="ru-RU"/>
        </w:rPr>
      </w:pPr>
      <w:r>
        <w:rPr>
          <w:rFonts w:eastAsia="Arial Unicode MS"/>
          <w:szCs w:val="22"/>
          <w:lang w:val="sr-Latn-CS"/>
        </w:rPr>
        <w:t xml:space="preserve">Unutrašnje pakovanje je meka aluminijumska tuba obložena epoksidnom oblogom sa unutrašnje strane sa polietilenskim </w:t>
      </w:r>
      <w:r>
        <w:rPr>
          <w:rFonts w:eastAsia="Arial Unicode MS"/>
          <w:szCs w:val="22"/>
          <w:lang w:val="sr-Latn-CS"/>
        </w:rPr>
        <w:t xml:space="preserve"> ili polipropilenskim zatvaračem sa navojem. Tuba sadrži 50 g gela.</w:t>
      </w:r>
    </w:p>
    <w:p w:rsidR="00D52456" w:rsidRDefault="004941CB">
      <w:pPr>
        <w:rPr>
          <w:rFonts w:eastAsia="Arial Unicode MS"/>
          <w:szCs w:val="22"/>
          <w:lang w:val="sr-Latn-CS"/>
        </w:rPr>
      </w:pPr>
      <w:r>
        <w:rPr>
          <w:rFonts w:eastAsia="Arial Unicode MS"/>
          <w:szCs w:val="22"/>
          <w:lang w:val="sr-Latn-CS"/>
        </w:rPr>
        <w:t>Spoljašnje pakovanje je složiva kartonska kutija koja sadrži jednu tubu (1x50 g) i Uputstvo za lijek.</w:t>
      </w:r>
    </w:p>
    <w:bookmarkEnd w:id="5"/>
    <w:p w:rsidR="00D52456" w:rsidRDefault="00D52456">
      <w:pPr>
        <w:rPr>
          <w:lang w:val="sr-Latn-CS"/>
        </w:rPr>
      </w:pPr>
    </w:p>
    <w:p w:rsidR="00D52456" w:rsidRDefault="004941CB">
      <w:pPr>
        <w:tabs>
          <w:tab w:val="left" w:pos="540"/>
          <w:tab w:val="left" w:pos="569"/>
        </w:tabs>
        <w:rPr>
          <w:b/>
        </w:rPr>
      </w:pPr>
      <w:r>
        <w:rPr>
          <w:b/>
        </w:rPr>
        <w:t xml:space="preserve">6.6. </w:t>
      </w:r>
      <w:r>
        <w:rPr>
          <w:b/>
          <w:bCs/>
          <w:szCs w:val="22"/>
        </w:rPr>
        <w:tab/>
      </w:r>
      <w:r>
        <w:rPr>
          <w:b/>
          <w:color w:val="000000"/>
        </w:rPr>
        <w:t xml:space="preserve">Posebne </w:t>
      </w:r>
      <w:r>
        <w:rPr>
          <w:b/>
          <w:bCs/>
          <w:color w:val="000000"/>
          <w:szCs w:val="22"/>
        </w:rPr>
        <w:t>mjere</w:t>
      </w:r>
      <w:r>
        <w:rPr>
          <w:b/>
          <w:color w:val="000000"/>
        </w:rPr>
        <w:t xml:space="preserve"> opreza pri odlaganju materijala koji treba odbaciti nakon </w:t>
      </w:r>
      <w:r>
        <w:rPr>
          <w:b/>
          <w:bCs/>
          <w:color w:val="000000"/>
          <w:szCs w:val="22"/>
        </w:rPr>
        <w:t>primjen</w:t>
      </w:r>
      <w:r>
        <w:rPr>
          <w:b/>
          <w:bCs/>
          <w:color w:val="000000"/>
          <w:szCs w:val="22"/>
        </w:rPr>
        <w:t>e lijeka</w:t>
      </w:r>
      <w:r>
        <w:rPr>
          <w:b/>
        </w:rPr>
        <w:t xml:space="preserve"> (i druga uputstva za rukovanje </w:t>
      </w:r>
      <w:r>
        <w:rPr>
          <w:b/>
          <w:bCs/>
          <w:szCs w:val="22"/>
        </w:rPr>
        <w:t xml:space="preserve">lijekom) </w:t>
      </w:r>
    </w:p>
    <w:p w:rsidR="00D52456" w:rsidRDefault="00D52456">
      <w:pPr>
        <w:tabs>
          <w:tab w:val="left" w:pos="540"/>
          <w:tab w:val="left" w:pos="569"/>
        </w:tabs>
        <w:rPr>
          <w:lang w:val="sr-Latn-ME"/>
        </w:rPr>
      </w:pPr>
    </w:p>
    <w:p w:rsidR="00D52456" w:rsidRDefault="004941CB">
      <w:pPr>
        <w:rPr>
          <w:lang w:val="sr-Latn-CS"/>
        </w:rPr>
      </w:pPr>
      <w:r>
        <w:rPr>
          <w:lang w:val="sr-Latn-CS"/>
        </w:rPr>
        <w:t xml:space="preserve">Svu neiskorišćenu količinu </w:t>
      </w:r>
      <w:r>
        <w:rPr>
          <w:szCs w:val="22"/>
          <w:lang w:val="sr-Latn-CS"/>
        </w:rPr>
        <w:t>lijeka</w:t>
      </w:r>
      <w:r>
        <w:rPr>
          <w:lang w:val="sr-Latn-CS"/>
        </w:rPr>
        <w:t xml:space="preserve"> ili otpadnog materijala nakon njegove upotrebe treba ukloniti, u skladu sa važećim propisima.</w:t>
      </w:r>
    </w:p>
    <w:p w:rsidR="00D52456" w:rsidRDefault="00D52456">
      <w:pPr>
        <w:rPr>
          <w:szCs w:val="22"/>
          <w:lang w:val="sr-Latn-CS"/>
        </w:rPr>
      </w:pPr>
    </w:p>
    <w:p w:rsidR="00D52456" w:rsidRDefault="00D52456">
      <w:pPr>
        <w:rPr>
          <w:lang w:val="sr-Latn-CS"/>
        </w:rPr>
      </w:pPr>
    </w:p>
    <w:p w:rsidR="00D52456" w:rsidRDefault="004941CB">
      <w:pPr>
        <w:tabs>
          <w:tab w:val="left" w:pos="540"/>
          <w:tab w:val="left" w:pos="569"/>
        </w:tabs>
        <w:rPr>
          <w:b/>
        </w:rPr>
      </w:pPr>
      <w:r>
        <w:rPr>
          <w:b/>
        </w:rPr>
        <w:t xml:space="preserve">7. </w:t>
      </w:r>
      <w:r>
        <w:rPr>
          <w:b/>
          <w:bCs/>
          <w:szCs w:val="22"/>
        </w:rPr>
        <w:tab/>
      </w:r>
      <w:r>
        <w:rPr>
          <w:b/>
        </w:rPr>
        <w:t xml:space="preserve">NOSILAC DOZVOLE </w:t>
      </w:r>
    </w:p>
    <w:p w:rsidR="00D52456" w:rsidRDefault="00D52456">
      <w:pPr>
        <w:tabs>
          <w:tab w:val="left" w:pos="540"/>
          <w:tab w:val="left" w:pos="569"/>
        </w:tabs>
        <w:rPr>
          <w:b/>
        </w:rPr>
      </w:pPr>
    </w:p>
    <w:p w:rsidR="00D52456" w:rsidRDefault="004941CB">
      <w:pPr>
        <w:tabs>
          <w:tab w:val="left" w:pos="540"/>
          <w:tab w:val="left" w:pos="569"/>
        </w:tabs>
        <w:rPr>
          <w:bCs/>
          <w:szCs w:val="22"/>
          <w:lang w:val="sr-Latn-ME"/>
        </w:rPr>
      </w:pPr>
      <w:r>
        <w:rPr>
          <w:bCs/>
          <w:szCs w:val="22"/>
          <w:lang w:val="sr-Latn-ME"/>
        </w:rPr>
        <w:t xml:space="preserve">“Berlin-Chemie/Menarini Montenegro” d.o.o. – </w:t>
      </w:r>
      <w:r>
        <w:rPr>
          <w:bCs/>
          <w:szCs w:val="22"/>
          <w:lang w:val="sr-Latn-ME"/>
        </w:rPr>
        <w:t>Podgorica</w:t>
      </w:r>
    </w:p>
    <w:p w:rsidR="00D52456" w:rsidRDefault="004941CB">
      <w:pPr>
        <w:tabs>
          <w:tab w:val="left" w:pos="540"/>
          <w:tab w:val="left" w:pos="569"/>
        </w:tabs>
        <w:rPr>
          <w:bCs/>
          <w:szCs w:val="22"/>
        </w:rPr>
      </w:pPr>
      <w:r>
        <w:rPr>
          <w:bCs/>
          <w:szCs w:val="22"/>
          <w:lang w:val="sr-Latn-ME"/>
        </w:rPr>
        <w:t>Oktobarske revolucije 120, 81000 Podgorica, Crna Gora</w:t>
      </w:r>
      <w:r>
        <w:rPr>
          <w:bCs/>
          <w:szCs w:val="22"/>
        </w:rPr>
        <w:tab/>
      </w:r>
    </w:p>
    <w:p w:rsidR="00D52456" w:rsidRDefault="00D52456">
      <w:pPr>
        <w:tabs>
          <w:tab w:val="left" w:pos="540"/>
          <w:tab w:val="left" w:pos="569"/>
        </w:tabs>
        <w:rPr>
          <w:bCs/>
          <w:szCs w:val="22"/>
        </w:rPr>
      </w:pPr>
    </w:p>
    <w:p w:rsidR="00D52456" w:rsidRDefault="00D52456">
      <w:pPr>
        <w:tabs>
          <w:tab w:val="left" w:pos="540"/>
          <w:tab w:val="left" w:pos="569"/>
        </w:tabs>
        <w:rPr>
          <w:bCs/>
          <w:szCs w:val="22"/>
        </w:rPr>
      </w:pPr>
    </w:p>
    <w:p w:rsidR="00D52456" w:rsidRDefault="004941CB">
      <w:pPr>
        <w:tabs>
          <w:tab w:val="left" w:pos="540"/>
          <w:tab w:val="left" w:pos="569"/>
        </w:tabs>
        <w:rPr>
          <w:b/>
        </w:rPr>
      </w:pPr>
      <w:r>
        <w:rPr>
          <w:b/>
        </w:rPr>
        <w:t xml:space="preserve">8. </w:t>
      </w:r>
      <w:r>
        <w:rPr>
          <w:b/>
          <w:bCs/>
          <w:szCs w:val="22"/>
        </w:rPr>
        <w:tab/>
      </w:r>
      <w:r>
        <w:rPr>
          <w:b/>
        </w:rPr>
        <w:t xml:space="preserve">BROJ DOZVOLE ZA STAVLJANJE </w:t>
      </w:r>
      <w:r>
        <w:rPr>
          <w:b/>
          <w:bCs/>
          <w:szCs w:val="22"/>
        </w:rPr>
        <w:t>LIJEKA</w:t>
      </w:r>
      <w:r>
        <w:rPr>
          <w:b/>
        </w:rPr>
        <w:t xml:space="preserve"> U PROMET</w:t>
      </w:r>
    </w:p>
    <w:p w:rsidR="00D52456" w:rsidRDefault="00D52456">
      <w:pPr>
        <w:tabs>
          <w:tab w:val="left" w:pos="540"/>
          <w:tab w:val="left" w:pos="569"/>
        </w:tabs>
        <w:rPr>
          <w:bCs/>
          <w:szCs w:val="22"/>
        </w:rPr>
      </w:pPr>
    </w:p>
    <w:p w:rsidR="00D52456" w:rsidRDefault="004941CB">
      <w:pPr>
        <w:tabs>
          <w:tab w:val="left" w:pos="540"/>
          <w:tab w:val="left" w:pos="569"/>
        </w:tabs>
        <w:rPr>
          <w:lang w:val="sr-Latn-CS"/>
        </w:rPr>
      </w:pPr>
      <w:r>
        <w:rPr>
          <w:lang w:val="sr-Latn-CS"/>
        </w:rPr>
        <w:t xml:space="preserve">Lioton 1000, gel, </w:t>
      </w:r>
      <w:r>
        <w:rPr>
          <w:lang w:val="sr-Latn-CS"/>
        </w:rPr>
        <w:t>1000 i.j./</w:t>
      </w:r>
      <w:r>
        <w:rPr>
          <w:lang w:val="sr-Latn-CS"/>
        </w:rPr>
        <w:t>g</w:t>
      </w:r>
      <w:r>
        <w:rPr>
          <w:lang w:val="sr-Latn-CS"/>
        </w:rPr>
        <w:t xml:space="preserve">, tuba, 1 x 30g: 2030/14/96 </w:t>
      </w:r>
      <w:r>
        <w:rPr>
          <w:lang w:val="sr-Latn-CS"/>
        </w:rPr>
        <w:t>-</w:t>
      </w:r>
      <w:r>
        <w:rPr>
          <w:lang w:val="sr-Latn-CS"/>
        </w:rPr>
        <w:t xml:space="preserve"> 4764</w:t>
      </w:r>
    </w:p>
    <w:p w:rsidR="00D52456" w:rsidRDefault="004941CB">
      <w:pPr>
        <w:tabs>
          <w:tab w:val="left" w:pos="540"/>
          <w:tab w:val="left" w:pos="569"/>
        </w:tabs>
        <w:rPr>
          <w:lang w:val="sr-Latn-CS"/>
        </w:rPr>
      </w:pPr>
      <w:r>
        <w:rPr>
          <w:lang w:val="sr-Latn-CS"/>
        </w:rPr>
        <w:t xml:space="preserve">Lioton 1000, gel, </w:t>
      </w:r>
      <w:r>
        <w:rPr>
          <w:lang w:val="sr-Latn-CS"/>
        </w:rPr>
        <w:t>1000 i.j./</w:t>
      </w:r>
      <w:r>
        <w:rPr>
          <w:lang w:val="sr-Latn-CS"/>
        </w:rPr>
        <w:t>g</w:t>
      </w:r>
      <w:r>
        <w:rPr>
          <w:lang w:val="sr-Latn-CS"/>
        </w:rPr>
        <w:t xml:space="preserve">, tuba, 1 x 50g: 2030/14/97 </w:t>
      </w:r>
      <w:r>
        <w:rPr>
          <w:lang w:val="sr-Latn-CS"/>
        </w:rPr>
        <w:t>-</w:t>
      </w:r>
      <w:r>
        <w:rPr>
          <w:lang w:val="sr-Latn-CS"/>
        </w:rPr>
        <w:t xml:space="preserve"> 1028</w:t>
      </w:r>
    </w:p>
    <w:p w:rsidR="00D52456" w:rsidRDefault="00D52456">
      <w:pPr>
        <w:tabs>
          <w:tab w:val="left" w:pos="540"/>
          <w:tab w:val="left" w:pos="569"/>
        </w:tabs>
        <w:rPr>
          <w:bCs/>
          <w:szCs w:val="22"/>
        </w:rPr>
      </w:pPr>
    </w:p>
    <w:p w:rsidR="00D52456" w:rsidRDefault="00D52456">
      <w:pPr>
        <w:rPr>
          <w:lang w:val="sr-Latn-CS"/>
        </w:rPr>
      </w:pPr>
    </w:p>
    <w:p w:rsidR="00D52456" w:rsidRDefault="004941CB">
      <w:pPr>
        <w:tabs>
          <w:tab w:val="left" w:pos="540"/>
          <w:tab w:val="left" w:pos="569"/>
        </w:tabs>
        <w:rPr>
          <w:b/>
        </w:rPr>
      </w:pPr>
      <w:r>
        <w:rPr>
          <w:lang w:val="ru-RU"/>
        </w:rPr>
        <w:lastRenderedPageBreak/>
        <w:t>9</w:t>
      </w:r>
      <w:r>
        <w:rPr>
          <w:b/>
        </w:rPr>
        <w:t xml:space="preserve">. </w:t>
      </w:r>
      <w:r>
        <w:rPr>
          <w:b/>
          <w:bCs/>
          <w:szCs w:val="22"/>
        </w:rPr>
        <w:tab/>
      </w:r>
      <w:r>
        <w:rPr>
          <w:b/>
        </w:rPr>
        <w:t xml:space="preserve">DATUM </w:t>
      </w:r>
      <w:r>
        <w:rPr>
          <w:b/>
        </w:rPr>
        <w:t>PRVE DOZVOLE</w:t>
      </w:r>
      <w:r>
        <w:rPr>
          <w:b/>
          <w:bCs/>
          <w:szCs w:val="22"/>
        </w:rPr>
        <w:t>/</w:t>
      </w:r>
      <w:r>
        <w:rPr>
          <w:b/>
        </w:rPr>
        <w:t xml:space="preserve">OBNOVE DOZVOLE ZA STAVLJANJE </w:t>
      </w:r>
      <w:r>
        <w:rPr>
          <w:b/>
          <w:bCs/>
          <w:szCs w:val="22"/>
        </w:rPr>
        <w:t>LIJEKA</w:t>
      </w:r>
      <w:r>
        <w:rPr>
          <w:b/>
        </w:rPr>
        <w:t xml:space="preserve"> U PROMET</w:t>
      </w:r>
    </w:p>
    <w:p w:rsidR="00D52456" w:rsidRDefault="00D52456">
      <w:pPr>
        <w:tabs>
          <w:tab w:val="left" w:pos="540"/>
          <w:tab w:val="left" w:pos="569"/>
        </w:tabs>
        <w:rPr>
          <w:bCs/>
          <w:szCs w:val="22"/>
        </w:rPr>
      </w:pPr>
    </w:p>
    <w:p w:rsidR="00D52456" w:rsidRDefault="004941CB">
      <w:pPr>
        <w:tabs>
          <w:tab w:val="left" w:pos="540"/>
          <w:tab w:val="left" w:pos="569"/>
        </w:tabs>
        <w:rPr>
          <w:lang w:val="sr-Latn-CS"/>
        </w:rPr>
      </w:pPr>
      <w:r>
        <w:rPr>
          <w:lang w:val="sr-Latn-CS"/>
        </w:rPr>
        <w:t>Lioton 1000, gel, 1000 i.j./g, tuba, 1 x 30g: 07.05.2014.</w:t>
      </w:r>
    </w:p>
    <w:p w:rsidR="00D52456" w:rsidRDefault="004941CB">
      <w:pPr>
        <w:tabs>
          <w:tab w:val="left" w:pos="540"/>
          <w:tab w:val="left" w:pos="569"/>
        </w:tabs>
        <w:rPr>
          <w:lang w:val="sr-Latn-CS"/>
        </w:rPr>
      </w:pPr>
      <w:r>
        <w:rPr>
          <w:lang w:val="sr-Latn-CS"/>
        </w:rPr>
        <w:t>Lioton 1000, gel, 1000 i.j./g, tuba, 1 x 50g: 07.05.2014.</w:t>
      </w:r>
    </w:p>
    <w:p w:rsidR="00D52456" w:rsidRDefault="00D52456">
      <w:pPr>
        <w:tabs>
          <w:tab w:val="left" w:pos="540"/>
          <w:tab w:val="left" w:pos="569"/>
        </w:tabs>
        <w:rPr>
          <w:bCs/>
          <w:szCs w:val="22"/>
        </w:rPr>
      </w:pPr>
    </w:p>
    <w:p w:rsidR="00D52456" w:rsidRDefault="00D52456">
      <w:pPr>
        <w:tabs>
          <w:tab w:val="left" w:pos="540"/>
          <w:tab w:val="left" w:pos="569"/>
        </w:tabs>
        <w:rPr>
          <w:bCs/>
          <w:szCs w:val="22"/>
        </w:rPr>
      </w:pPr>
    </w:p>
    <w:p w:rsidR="00D52456" w:rsidRDefault="004941CB">
      <w:r>
        <w:rPr>
          <w:b/>
        </w:rPr>
        <w:t>10.</w:t>
      </w:r>
      <w:r>
        <w:rPr>
          <w:b/>
          <w:bCs/>
          <w:szCs w:val="22"/>
        </w:rPr>
        <w:t xml:space="preserve"> </w:t>
      </w:r>
      <w:r>
        <w:rPr>
          <w:b/>
        </w:rPr>
        <w:t>DATUM REVIZIJE TEKSTA</w:t>
      </w:r>
      <w:r>
        <w:rPr>
          <w:b/>
          <w:bCs/>
          <w:szCs w:val="22"/>
        </w:rPr>
        <w:t xml:space="preserve"> </w:t>
      </w:r>
    </w:p>
    <w:p w:rsidR="00D52456" w:rsidRDefault="00D52456">
      <w:pPr>
        <w:tabs>
          <w:tab w:val="left" w:pos="540"/>
          <w:tab w:val="left" w:pos="569"/>
        </w:tabs>
        <w:rPr>
          <w:bCs/>
          <w:szCs w:val="22"/>
        </w:rPr>
      </w:pPr>
    </w:p>
    <w:p w:rsidR="00D52456" w:rsidRDefault="00E7627F">
      <w:pPr>
        <w:tabs>
          <w:tab w:val="left" w:pos="540"/>
          <w:tab w:val="left" w:pos="569"/>
        </w:tabs>
        <w:rPr>
          <w:bCs/>
          <w:szCs w:val="22"/>
        </w:rPr>
      </w:pPr>
      <w:r>
        <w:rPr>
          <w:bCs/>
          <w:szCs w:val="22"/>
        </w:rPr>
        <w:t>Avgust</w:t>
      </w:r>
      <w:bookmarkStart w:id="6" w:name="_GoBack"/>
      <w:bookmarkEnd w:id="6"/>
      <w:r w:rsidR="004941CB">
        <w:rPr>
          <w:bCs/>
          <w:szCs w:val="22"/>
        </w:rPr>
        <w:t>, 2025. godine</w:t>
      </w:r>
    </w:p>
    <w:p w:rsidR="00D52456" w:rsidRDefault="00D52456">
      <w:pPr>
        <w:rPr>
          <w:lang w:val="pl-PL"/>
        </w:rPr>
      </w:pPr>
    </w:p>
    <w:sectPr w:rsidR="00D52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1CB" w:rsidRDefault="004941CB">
      <w:r>
        <w:separator/>
      </w:r>
    </w:p>
  </w:endnote>
  <w:endnote w:type="continuationSeparator" w:id="0">
    <w:p w:rsidR="004941CB" w:rsidRDefault="0049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default"/>
    <w:sig w:usb0="00000000" w:usb1="0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imesNewRoman">
    <w:altName w:val="MS Gothic"/>
    <w:charset w:val="EE"/>
    <w:family w:val="auto"/>
    <w:pitch w:val="default"/>
    <w:sig w:usb0="00000000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456" w:rsidRDefault="004941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2456" w:rsidRDefault="00D524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456" w:rsidRDefault="004941CB">
    <w:pPr>
      <w:pStyle w:val="Footer"/>
      <w:tabs>
        <w:tab w:val="left" w:pos="5448"/>
      </w:tabs>
      <w:spacing w:before="360"/>
      <w:jc w:val="center"/>
      <w:rPr>
        <w:sz w:val="28"/>
      </w:rPr>
    </w:pPr>
    <w:r>
      <w:fldChar w:fldCharType="begin"/>
    </w:r>
    <w:r>
      <w:rPr>
        <w:szCs w:val="18"/>
      </w:rPr>
      <w:instrText xml:space="preserve"> PAGE </w:instrText>
    </w:r>
    <w:r>
      <w:fldChar w:fldCharType="separate"/>
    </w:r>
    <w:r w:rsidR="00E7627F">
      <w:rPr>
        <w:noProof/>
        <w:szCs w:val="18"/>
      </w:rPr>
      <w:t>3</w:t>
    </w:r>
    <w:r>
      <w:fldChar w:fldCharType="end"/>
    </w:r>
    <w:r>
      <w:t xml:space="preserve"> </w:t>
    </w:r>
    <w:r>
      <w:rPr>
        <w:szCs w:val="18"/>
      </w:rPr>
      <w:t>/</w:t>
    </w:r>
    <w:r>
      <w:t xml:space="preserve"> </w:t>
    </w:r>
    <w:r>
      <w:fldChar w:fldCharType="begin"/>
    </w:r>
    <w:r>
      <w:rPr>
        <w:szCs w:val="18"/>
      </w:rPr>
      <w:instrText xml:space="preserve"> NUMPAGES  </w:instrText>
    </w:r>
    <w:r>
      <w:fldChar w:fldCharType="separate"/>
    </w:r>
    <w:r w:rsidR="00E7627F">
      <w:rPr>
        <w:noProof/>
        <w:szCs w:val="18"/>
      </w:rPr>
      <w:t>6</w:t>
    </w:r>
    <w:r>
      <w:fldChar w:fldCharType="end"/>
    </w:r>
  </w:p>
  <w:p w:rsidR="00D52456" w:rsidRDefault="00D524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456" w:rsidRDefault="00D52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1CB" w:rsidRDefault="004941CB">
      <w:r>
        <w:separator/>
      </w:r>
    </w:p>
  </w:footnote>
  <w:footnote w:type="continuationSeparator" w:id="0">
    <w:p w:rsidR="004941CB" w:rsidRDefault="00494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456" w:rsidRDefault="00D524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456" w:rsidRDefault="00D524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456" w:rsidRDefault="00D524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A74CC"/>
    <w:multiLevelType w:val="multilevel"/>
    <w:tmpl w:val="493A74C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0528"/>
    <w:rsid w:val="00011CB5"/>
    <w:rsid w:val="000176CA"/>
    <w:rsid w:val="00017801"/>
    <w:rsid w:val="00030982"/>
    <w:rsid w:val="00033469"/>
    <w:rsid w:val="000343EC"/>
    <w:rsid w:val="000346EA"/>
    <w:rsid w:val="00036FA0"/>
    <w:rsid w:val="0003793F"/>
    <w:rsid w:val="00044304"/>
    <w:rsid w:val="00045130"/>
    <w:rsid w:val="00053F10"/>
    <w:rsid w:val="00057947"/>
    <w:rsid w:val="0005798D"/>
    <w:rsid w:val="00057E35"/>
    <w:rsid w:val="00064273"/>
    <w:rsid w:val="00070107"/>
    <w:rsid w:val="00074565"/>
    <w:rsid w:val="00075E28"/>
    <w:rsid w:val="00076726"/>
    <w:rsid w:val="00080303"/>
    <w:rsid w:val="00083BE0"/>
    <w:rsid w:val="00083D02"/>
    <w:rsid w:val="00084743"/>
    <w:rsid w:val="000860F6"/>
    <w:rsid w:val="00086217"/>
    <w:rsid w:val="00092172"/>
    <w:rsid w:val="00095FB6"/>
    <w:rsid w:val="0009758B"/>
    <w:rsid w:val="000A0F4A"/>
    <w:rsid w:val="000A3F58"/>
    <w:rsid w:val="000A6E3A"/>
    <w:rsid w:val="000D2343"/>
    <w:rsid w:val="000D3449"/>
    <w:rsid w:val="000D425A"/>
    <w:rsid w:val="000D5631"/>
    <w:rsid w:val="000D60CC"/>
    <w:rsid w:val="000E2084"/>
    <w:rsid w:val="000E6F55"/>
    <w:rsid w:val="000E75C0"/>
    <w:rsid w:val="000F77FA"/>
    <w:rsid w:val="00107AF9"/>
    <w:rsid w:val="00107BF7"/>
    <w:rsid w:val="0011204B"/>
    <w:rsid w:val="0011741E"/>
    <w:rsid w:val="00126F53"/>
    <w:rsid w:val="00127532"/>
    <w:rsid w:val="00135DE0"/>
    <w:rsid w:val="00136FA2"/>
    <w:rsid w:val="00141639"/>
    <w:rsid w:val="0014180A"/>
    <w:rsid w:val="00145BDC"/>
    <w:rsid w:val="001460D0"/>
    <w:rsid w:val="0014766D"/>
    <w:rsid w:val="001536CC"/>
    <w:rsid w:val="001541CC"/>
    <w:rsid w:val="00173D18"/>
    <w:rsid w:val="00175772"/>
    <w:rsid w:val="00175A7E"/>
    <w:rsid w:val="0018601D"/>
    <w:rsid w:val="00197887"/>
    <w:rsid w:val="001A3FBA"/>
    <w:rsid w:val="001A3FF2"/>
    <w:rsid w:val="001A5518"/>
    <w:rsid w:val="001B1C6A"/>
    <w:rsid w:val="001B48E2"/>
    <w:rsid w:val="001B4E99"/>
    <w:rsid w:val="001B4FDA"/>
    <w:rsid w:val="001B5000"/>
    <w:rsid w:val="001B706A"/>
    <w:rsid w:val="001C1263"/>
    <w:rsid w:val="001C1417"/>
    <w:rsid w:val="001D10C9"/>
    <w:rsid w:val="001D3C95"/>
    <w:rsid w:val="001E0A07"/>
    <w:rsid w:val="001E104C"/>
    <w:rsid w:val="001E390B"/>
    <w:rsid w:val="001E6145"/>
    <w:rsid w:val="001E6401"/>
    <w:rsid w:val="001E7212"/>
    <w:rsid w:val="001F2D4E"/>
    <w:rsid w:val="001F39B6"/>
    <w:rsid w:val="001F42FB"/>
    <w:rsid w:val="001F719A"/>
    <w:rsid w:val="00201CA1"/>
    <w:rsid w:val="002031B3"/>
    <w:rsid w:val="00215931"/>
    <w:rsid w:val="0022218E"/>
    <w:rsid w:val="0022223A"/>
    <w:rsid w:val="002229E8"/>
    <w:rsid w:val="00223BEB"/>
    <w:rsid w:val="00224C91"/>
    <w:rsid w:val="00227BDB"/>
    <w:rsid w:val="00234CB1"/>
    <w:rsid w:val="002352F8"/>
    <w:rsid w:val="0024132F"/>
    <w:rsid w:val="00242DCD"/>
    <w:rsid w:val="002430A2"/>
    <w:rsid w:val="00247C5C"/>
    <w:rsid w:val="002510A5"/>
    <w:rsid w:val="00254A0A"/>
    <w:rsid w:val="00261562"/>
    <w:rsid w:val="00266046"/>
    <w:rsid w:val="002724D8"/>
    <w:rsid w:val="00273BE0"/>
    <w:rsid w:val="002846DB"/>
    <w:rsid w:val="00284CCD"/>
    <w:rsid w:val="00287190"/>
    <w:rsid w:val="002A2640"/>
    <w:rsid w:val="002A314B"/>
    <w:rsid w:val="002A6AFC"/>
    <w:rsid w:val="002B0194"/>
    <w:rsid w:val="002B2DD7"/>
    <w:rsid w:val="002B378C"/>
    <w:rsid w:val="002B6F6A"/>
    <w:rsid w:val="002C0FBF"/>
    <w:rsid w:val="002C6637"/>
    <w:rsid w:val="002D0999"/>
    <w:rsid w:val="002D2415"/>
    <w:rsid w:val="002D357A"/>
    <w:rsid w:val="002D62F9"/>
    <w:rsid w:val="002E0135"/>
    <w:rsid w:val="002E37A5"/>
    <w:rsid w:val="002F2089"/>
    <w:rsid w:val="002F5E2F"/>
    <w:rsid w:val="002F63CC"/>
    <w:rsid w:val="00310F03"/>
    <w:rsid w:val="00316FC0"/>
    <w:rsid w:val="003247D2"/>
    <w:rsid w:val="0032487A"/>
    <w:rsid w:val="003445C1"/>
    <w:rsid w:val="003452C0"/>
    <w:rsid w:val="0034585B"/>
    <w:rsid w:val="00354AF4"/>
    <w:rsid w:val="00355271"/>
    <w:rsid w:val="00355B61"/>
    <w:rsid w:val="00362686"/>
    <w:rsid w:val="00371510"/>
    <w:rsid w:val="0037264D"/>
    <w:rsid w:val="0037752A"/>
    <w:rsid w:val="00383195"/>
    <w:rsid w:val="00394D6F"/>
    <w:rsid w:val="00395BB4"/>
    <w:rsid w:val="00396DFD"/>
    <w:rsid w:val="003A2DF8"/>
    <w:rsid w:val="003A7059"/>
    <w:rsid w:val="003B01B7"/>
    <w:rsid w:val="003B2082"/>
    <w:rsid w:val="003B7A36"/>
    <w:rsid w:val="003C1039"/>
    <w:rsid w:val="003C17AB"/>
    <w:rsid w:val="003C18A4"/>
    <w:rsid w:val="003C50F7"/>
    <w:rsid w:val="003C5EF2"/>
    <w:rsid w:val="003C7823"/>
    <w:rsid w:val="003D17D8"/>
    <w:rsid w:val="003E00CA"/>
    <w:rsid w:val="003E1DCC"/>
    <w:rsid w:val="003E3EC7"/>
    <w:rsid w:val="003E7D43"/>
    <w:rsid w:val="003F06C1"/>
    <w:rsid w:val="003F11A1"/>
    <w:rsid w:val="003F6A59"/>
    <w:rsid w:val="004065C8"/>
    <w:rsid w:val="004109FA"/>
    <w:rsid w:val="00411B4B"/>
    <w:rsid w:val="004121F5"/>
    <w:rsid w:val="004123CD"/>
    <w:rsid w:val="00415BEE"/>
    <w:rsid w:val="004234ED"/>
    <w:rsid w:val="0042479C"/>
    <w:rsid w:val="004254E9"/>
    <w:rsid w:val="00427D41"/>
    <w:rsid w:val="00427F85"/>
    <w:rsid w:val="00430C46"/>
    <w:rsid w:val="00436F42"/>
    <w:rsid w:val="004378B4"/>
    <w:rsid w:val="00451314"/>
    <w:rsid w:val="00452E9D"/>
    <w:rsid w:val="004534C7"/>
    <w:rsid w:val="00462C33"/>
    <w:rsid w:val="0046508E"/>
    <w:rsid w:val="004671AA"/>
    <w:rsid w:val="00471DF8"/>
    <w:rsid w:val="00476713"/>
    <w:rsid w:val="00480FB1"/>
    <w:rsid w:val="00483928"/>
    <w:rsid w:val="0048467C"/>
    <w:rsid w:val="00492248"/>
    <w:rsid w:val="004941CB"/>
    <w:rsid w:val="00497648"/>
    <w:rsid w:val="004B5A11"/>
    <w:rsid w:val="004B71B6"/>
    <w:rsid w:val="004B7A50"/>
    <w:rsid w:val="004C0853"/>
    <w:rsid w:val="004C331F"/>
    <w:rsid w:val="004C5A95"/>
    <w:rsid w:val="004D230F"/>
    <w:rsid w:val="004D6103"/>
    <w:rsid w:val="004E3BCE"/>
    <w:rsid w:val="004E70AD"/>
    <w:rsid w:val="004F0B2E"/>
    <w:rsid w:val="004F0E97"/>
    <w:rsid w:val="004F17E2"/>
    <w:rsid w:val="004F3551"/>
    <w:rsid w:val="004F7253"/>
    <w:rsid w:val="00501DD1"/>
    <w:rsid w:val="00503974"/>
    <w:rsid w:val="00512CC5"/>
    <w:rsid w:val="00515C21"/>
    <w:rsid w:val="005169ED"/>
    <w:rsid w:val="0052230B"/>
    <w:rsid w:val="00524C39"/>
    <w:rsid w:val="00525A8A"/>
    <w:rsid w:val="005276F0"/>
    <w:rsid w:val="00530909"/>
    <w:rsid w:val="00530BD7"/>
    <w:rsid w:val="00531811"/>
    <w:rsid w:val="00531976"/>
    <w:rsid w:val="00532EFA"/>
    <w:rsid w:val="005355A9"/>
    <w:rsid w:val="00536C09"/>
    <w:rsid w:val="00545CD2"/>
    <w:rsid w:val="005476F3"/>
    <w:rsid w:val="005553A6"/>
    <w:rsid w:val="00563189"/>
    <w:rsid w:val="00572527"/>
    <w:rsid w:val="00573DE6"/>
    <w:rsid w:val="00573E40"/>
    <w:rsid w:val="00576348"/>
    <w:rsid w:val="00577EB5"/>
    <w:rsid w:val="005840EB"/>
    <w:rsid w:val="00584FAA"/>
    <w:rsid w:val="00587C33"/>
    <w:rsid w:val="00595ECC"/>
    <w:rsid w:val="00597A7A"/>
    <w:rsid w:val="005A0B2E"/>
    <w:rsid w:val="005A23D2"/>
    <w:rsid w:val="005A2BAC"/>
    <w:rsid w:val="005A36CB"/>
    <w:rsid w:val="005B3388"/>
    <w:rsid w:val="005B49B8"/>
    <w:rsid w:val="005C0741"/>
    <w:rsid w:val="005C3F73"/>
    <w:rsid w:val="005C4A1C"/>
    <w:rsid w:val="005C5EF4"/>
    <w:rsid w:val="005C7891"/>
    <w:rsid w:val="005D6883"/>
    <w:rsid w:val="005E2E0B"/>
    <w:rsid w:val="005E67AD"/>
    <w:rsid w:val="005E7A7D"/>
    <w:rsid w:val="00602457"/>
    <w:rsid w:val="00603302"/>
    <w:rsid w:val="00604E4F"/>
    <w:rsid w:val="006054EE"/>
    <w:rsid w:val="006118B6"/>
    <w:rsid w:val="0061228E"/>
    <w:rsid w:val="006125AA"/>
    <w:rsid w:val="006270C0"/>
    <w:rsid w:val="00630195"/>
    <w:rsid w:val="00644FC3"/>
    <w:rsid w:val="00645368"/>
    <w:rsid w:val="00646BD1"/>
    <w:rsid w:val="00653C5F"/>
    <w:rsid w:val="006559AF"/>
    <w:rsid w:val="006561C2"/>
    <w:rsid w:val="00660ED5"/>
    <w:rsid w:val="00671CB3"/>
    <w:rsid w:val="00674BAF"/>
    <w:rsid w:val="00676CE3"/>
    <w:rsid w:val="00682200"/>
    <w:rsid w:val="00692BF6"/>
    <w:rsid w:val="00693874"/>
    <w:rsid w:val="00693F46"/>
    <w:rsid w:val="006A1351"/>
    <w:rsid w:val="006A1497"/>
    <w:rsid w:val="006A61AC"/>
    <w:rsid w:val="006B0BD1"/>
    <w:rsid w:val="006B5404"/>
    <w:rsid w:val="006C329D"/>
    <w:rsid w:val="006D04E8"/>
    <w:rsid w:val="006D20A5"/>
    <w:rsid w:val="006D29C4"/>
    <w:rsid w:val="006D2EAF"/>
    <w:rsid w:val="006D37BF"/>
    <w:rsid w:val="006F158F"/>
    <w:rsid w:val="00702E22"/>
    <w:rsid w:val="007059A2"/>
    <w:rsid w:val="00713EEC"/>
    <w:rsid w:val="0072020E"/>
    <w:rsid w:val="0073447E"/>
    <w:rsid w:val="00746917"/>
    <w:rsid w:val="00754902"/>
    <w:rsid w:val="00764648"/>
    <w:rsid w:val="007672F3"/>
    <w:rsid w:val="00773899"/>
    <w:rsid w:val="00781B16"/>
    <w:rsid w:val="00784BE9"/>
    <w:rsid w:val="00786071"/>
    <w:rsid w:val="007A3ECB"/>
    <w:rsid w:val="007B1604"/>
    <w:rsid w:val="007B16C4"/>
    <w:rsid w:val="007B7453"/>
    <w:rsid w:val="007C2D7E"/>
    <w:rsid w:val="007C4897"/>
    <w:rsid w:val="007D011A"/>
    <w:rsid w:val="007D17FD"/>
    <w:rsid w:val="007D48C5"/>
    <w:rsid w:val="007D7BB3"/>
    <w:rsid w:val="007E06F0"/>
    <w:rsid w:val="007E31E9"/>
    <w:rsid w:val="007E40E7"/>
    <w:rsid w:val="007E58B6"/>
    <w:rsid w:val="007E6890"/>
    <w:rsid w:val="007F05E3"/>
    <w:rsid w:val="00802DFC"/>
    <w:rsid w:val="008100BD"/>
    <w:rsid w:val="00814781"/>
    <w:rsid w:val="00814805"/>
    <w:rsid w:val="00824AB9"/>
    <w:rsid w:val="008311F5"/>
    <w:rsid w:val="00834DBB"/>
    <w:rsid w:val="00836B35"/>
    <w:rsid w:val="00842FFB"/>
    <w:rsid w:val="00843BDE"/>
    <w:rsid w:val="00850E72"/>
    <w:rsid w:val="00852DB7"/>
    <w:rsid w:val="00857880"/>
    <w:rsid w:val="00860404"/>
    <w:rsid w:val="0086173B"/>
    <w:rsid w:val="0086351A"/>
    <w:rsid w:val="00874B61"/>
    <w:rsid w:val="0087588C"/>
    <w:rsid w:val="00884281"/>
    <w:rsid w:val="0089287C"/>
    <w:rsid w:val="0089705C"/>
    <w:rsid w:val="008A012A"/>
    <w:rsid w:val="008A48B7"/>
    <w:rsid w:val="008A6D43"/>
    <w:rsid w:val="008B3EB5"/>
    <w:rsid w:val="008B491E"/>
    <w:rsid w:val="008C0305"/>
    <w:rsid w:val="008C1A28"/>
    <w:rsid w:val="008C2E98"/>
    <w:rsid w:val="008C5809"/>
    <w:rsid w:val="008D6356"/>
    <w:rsid w:val="008D78C9"/>
    <w:rsid w:val="008E0FC9"/>
    <w:rsid w:val="008E49BD"/>
    <w:rsid w:val="008E53E9"/>
    <w:rsid w:val="008E5771"/>
    <w:rsid w:val="008F4ACF"/>
    <w:rsid w:val="00900F3F"/>
    <w:rsid w:val="00913684"/>
    <w:rsid w:val="0091384B"/>
    <w:rsid w:val="00923865"/>
    <w:rsid w:val="00924166"/>
    <w:rsid w:val="0092591C"/>
    <w:rsid w:val="0093016E"/>
    <w:rsid w:val="00934B4D"/>
    <w:rsid w:val="00940B9B"/>
    <w:rsid w:val="00943F2D"/>
    <w:rsid w:val="009467F6"/>
    <w:rsid w:val="00953573"/>
    <w:rsid w:val="00953F61"/>
    <w:rsid w:val="00955C75"/>
    <w:rsid w:val="0095676E"/>
    <w:rsid w:val="00956983"/>
    <w:rsid w:val="009639A9"/>
    <w:rsid w:val="00963CF0"/>
    <w:rsid w:val="00964BB1"/>
    <w:rsid w:val="009677DF"/>
    <w:rsid w:val="009730F1"/>
    <w:rsid w:val="009775D9"/>
    <w:rsid w:val="00982C4E"/>
    <w:rsid w:val="009946F8"/>
    <w:rsid w:val="00996E6B"/>
    <w:rsid w:val="00997175"/>
    <w:rsid w:val="009A1847"/>
    <w:rsid w:val="009A1D64"/>
    <w:rsid w:val="009A710A"/>
    <w:rsid w:val="009B062A"/>
    <w:rsid w:val="009B1292"/>
    <w:rsid w:val="009B2430"/>
    <w:rsid w:val="009B338B"/>
    <w:rsid w:val="009B58AD"/>
    <w:rsid w:val="009B7935"/>
    <w:rsid w:val="009C7BA2"/>
    <w:rsid w:val="009D1161"/>
    <w:rsid w:val="009D17D8"/>
    <w:rsid w:val="009D667B"/>
    <w:rsid w:val="009D74E2"/>
    <w:rsid w:val="009E0F56"/>
    <w:rsid w:val="009E7C6F"/>
    <w:rsid w:val="009F1793"/>
    <w:rsid w:val="009F2D23"/>
    <w:rsid w:val="009F4449"/>
    <w:rsid w:val="00A01D69"/>
    <w:rsid w:val="00A02252"/>
    <w:rsid w:val="00A02335"/>
    <w:rsid w:val="00A127F1"/>
    <w:rsid w:val="00A27130"/>
    <w:rsid w:val="00A37D29"/>
    <w:rsid w:val="00A46C9A"/>
    <w:rsid w:val="00A607E3"/>
    <w:rsid w:val="00A619F3"/>
    <w:rsid w:val="00A62A73"/>
    <w:rsid w:val="00A652C2"/>
    <w:rsid w:val="00A666D2"/>
    <w:rsid w:val="00A7147C"/>
    <w:rsid w:val="00A7660B"/>
    <w:rsid w:val="00A76B8A"/>
    <w:rsid w:val="00A81100"/>
    <w:rsid w:val="00A86897"/>
    <w:rsid w:val="00A87FF6"/>
    <w:rsid w:val="00A91CD5"/>
    <w:rsid w:val="00A9567D"/>
    <w:rsid w:val="00A95733"/>
    <w:rsid w:val="00AA0A3B"/>
    <w:rsid w:val="00AA2763"/>
    <w:rsid w:val="00AA33B6"/>
    <w:rsid w:val="00AA65A5"/>
    <w:rsid w:val="00AB50CA"/>
    <w:rsid w:val="00AB5465"/>
    <w:rsid w:val="00AB6D64"/>
    <w:rsid w:val="00AC53CE"/>
    <w:rsid w:val="00AD2193"/>
    <w:rsid w:val="00AD5101"/>
    <w:rsid w:val="00AE4F33"/>
    <w:rsid w:val="00AE65FC"/>
    <w:rsid w:val="00AF19F4"/>
    <w:rsid w:val="00AF2AC7"/>
    <w:rsid w:val="00AF5304"/>
    <w:rsid w:val="00AF557A"/>
    <w:rsid w:val="00AF6706"/>
    <w:rsid w:val="00AF74CE"/>
    <w:rsid w:val="00B113B2"/>
    <w:rsid w:val="00B208DB"/>
    <w:rsid w:val="00B2117A"/>
    <w:rsid w:val="00B23F69"/>
    <w:rsid w:val="00B26FAC"/>
    <w:rsid w:val="00B2727A"/>
    <w:rsid w:val="00B31AA2"/>
    <w:rsid w:val="00B60619"/>
    <w:rsid w:val="00B66A70"/>
    <w:rsid w:val="00B67366"/>
    <w:rsid w:val="00B74C0B"/>
    <w:rsid w:val="00B80BD5"/>
    <w:rsid w:val="00B80EE1"/>
    <w:rsid w:val="00B82514"/>
    <w:rsid w:val="00B8400D"/>
    <w:rsid w:val="00B84135"/>
    <w:rsid w:val="00B93A37"/>
    <w:rsid w:val="00B93CCF"/>
    <w:rsid w:val="00BA1819"/>
    <w:rsid w:val="00BA2016"/>
    <w:rsid w:val="00BA2506"/>
    <w:rsid w:val="00BA5A22"/>
    <w:rsid w:val="00BB2DE2"/>
    <w:rsid w:val="00BB55E5"/>
    <w:rsid w:val="00BD725A"/>
    <w:rsid w:val="00BE33DC"/>
    <w:rsid w:val="00BE6770"/>
    <w:rsid w:val="00BF1A46"/>
    <w:rsid w:val="00BF3750"/>
    <w:rsid w:val="00C04B9A"/>
    <w:rsid w:val="00C04D34"/>
    <w:rsid w:val="00C05DF8"/>
    <w:rsid w:val="00C06244"/>
    <w:rsid w:val="00C06864"/>
    <w:rsid w:val="00C10F54"/>
    <w:rsid w:val="00C23D8D"/>
    <w:rsid w:val="00C37AA3"/>
    <w:rsid w:val="00C37FD7"/>
    <w:rsid w:val="00C43419"/>
    <w:rsid w:val="00C44CF3"/>
    <w:rsid w:val="00C536C2"/>
    <w:rsid w:val="00C55F47"/>
    <w:rsid w:val="00C56E2E"/>
    <w:rsid w:val="00C61BE0"/>
    <w:rsid w:val="00C64A31"/>
    <w:rsid w:val="00C6707E"/>
    <w:rsid w:val="00C70B0E"/>
    <w:rsid w:val="00C773CA"/>
    <w:rsid w:val="00C82E8B"/>
    <w:rsid w:val="00C83785"/>
    <w:rsid w:val="00C84551"/>
    <w:rsid w:val="00C87FA8"/>
    <w:rsid w:val="00C94C0D"/>
    <w:rsid w:val="00C96CF8"/>
    <w:rsid w:val="00C96E9B"/>
    <w:rsid w:val="00CA1FEB"/>
    <w:rsid w:val="00CB25D1"/>
    <w:rsid w:val="00CC4C88"/>
    <w:rsid w:val="00CC541D"/>
    <w:rsid w:val="00CD0B1F"/>
    <w:rsid w:val="00CD3F96"/>
    <w:rsid w:val="00CD4718"/>
    <w:rsid w:val="00CD4F85"/>
    <w:rsid w:val="00CD6C95"/>
    <w:rsid w:val="00CD6F02"/>
    <w:rsid w:val="00CE09F3"/>
    <w:rsid w:val="00CE246D"/>
    <w:rsid w:val="00CE7481"/>
    <w:rsid w:val="00CE76DA"/>
    <w:rsid w:val="00CF07A0"/>
    <w:rsid w:val="00CF3E03"/>
    <w:rsid w:val="00D0082A"/>
    <w:rsid w:val="00D11E94"/>
    <w:rsid w:val="00D21455"/>
    <w:rsid w:val="00D24C8B"/>
    <w:rsid w:val="00D30389"/>
    <w:rsid w:val="00D306E3"/>
    <w:rsid w:val="00D337F6"/>
    <w:rsid w:val="00D3753B"/>
    <w:rsid w:val="00D45CA5"/>
    <w:rsid w:val="00D47634"/>
    <w:rsid w:val="00D52456"/>
    <w:rsid w:val="00D52CDB"/>
    <w:rsid w:val="00D60041"/>
    <w:rsid w:val="00D6036D"/>
    <w:rsid w:val="00D61710"/>
    <w:rsid w:val="00D62C78"/>
    <w:rsid w:val="00D6611E"/>
    <w:rsid w:val="00D709B3"/>
    <w:rsid w:val="00D74CD2"/>
    <w:rsid w:val="00D85F37"/>
    <w:rsid w:val="00DA188A"/>
    <w:rsid w:val="00DA2ED6"/>
    <w:rsid w:val="00DA4FC1"/>
    <w:rsid w:val="00DA59E5"/>
    <w:rsid w:val="00DA69EF"/>
    <w:rsid w:val="00DB1579"/>
    <w:rsid w:val="00DB1D55"/>
    <w:rsid w:val="00DB4534"/>
    <w:rsid w:val="00DB76B8"/>
    <w:rsid w:val="00DC2EA1"/>
    <w:rsid w:val="00DD2A82"/>
    <w:rsid w:val="00DD5267"/>
    <w:rsid w:val="00DD6AAF"/>
    <w:rsid w:val="00DD77A4"/>
    <w:rsid w:val="00DE01AE"/>
    <w:rsid w:val="00DE3F5C"/>
    <w:rsid w:val="00DF1D20"/>
    <w:rsid w:val="00DF2F19"/>
    <w:rsid w:val="00DF46E4"/>
    <w:rsid w:val="00E00119"/>
    <w:rsid w:val="00E04856"/>
    <w:rsid w:val="00E21324"/>
    <w:rsid w:val="00E246B9"/>
    <w:rsid w:val="00E24C45"/>
    <w:rsid w:val="00E31FEA"/>
    <w:rsid w:val="00E45169"/>
    <w:rsid w:val="00E47787"/>
    <w:rsid w:val="00E50CD3"/>
    <w:rsid w:val="00E51C30"/>
    <w:rsid w:val="00E56089"/>
    <w:rsid w:val="00E5740E"/>
    <w:rsid w:val="00E64180"/>
    <w:rsid w:val="00E64B1B"/>
    <w:rsid w:val="00E7235D"/>
    <w:rsid w:val="00E74AEE"/>
    <w:rsid w:val="00E75615"/>
    <w:rsid w:val="00E7627F"/>
    <w:rsid w:val="00E77281"/>
    <w:rsid w:val="00E81548"/>
    <w:rsid w:val="00E84F49"/>
    <w:rsid w:val="00E868E5"/>
    <w:rsid w:val="00E87BE1"/>
    <w:rsid w:val="00E9237A"/>
    <w:rsid w:val="00E939FA"/>
    <w:rsid w:val="00E94B02"/>
    <w:rsid w:val="00EA020F"/>
    <w:rsid w:val="00EA1F85"/>
    <w:rsid w:val="00EA5765"/>
    <w:rsid w:val="00EB779F"/>
    <w:rsid w:val="00EC2532"/>
    <w:rsid w:val="00ED4585"/>
    <w:rsid w:val="00ED735F"/>
    <w:rsid w:val="00ED7812"/>
    <w:rsid w:val="00ED7C0D"/>
    <w:rsid w:val="00EE00F0"/>
    <w:rsid w:val="00EF3B86"/>
    <w:rsid w:val="00EF7F66"/>
    <w:rsid w:val="00F06FBA"/>
    <w:rsid w:val="00F27002"/>
    <w:rsid w:val="00F271CF"/>
    <w:rsid w:val="00F30047"/>
    <w:rsid w:val="00F30822"/>
    <w:rsid w:val="00F317E9"/>
    <w:rsid w:val="00F34554"/>
    <w:rsid w:val="00F35B68"/>
    <w:rsid w:val="00F36E50"/>
    <w:rsid w:val="00F4014C"/>
    <w:rsid w:val="00F42610"/>
    <w:rsid w:val="00F4536C"/>
    <w:rsid w:val="00F45F77"/>
    <w:rsid w:val="00F5167F"/>
    <w:rsid w:val="00F52258"/>
    <w:rsid w:val="00F573FC"/>
    <w:rsid w:val="00F5775F"/>
    <w:rsid w:val="00F62083"/>
    <w:rsid w:val="00F63F24"/>
    <w:rsid w:val="00F7261B"/>
    <w:rsid w:val="00F847BE"/>
    <w:rsid w:val="00F8570A"/>
    <w:rsid w:val="00F86BE4"/>
    <w:rsid w:val="00F91C7B"/>
    <w:rsid w:val="00F92F9C"/>
    <w:rsid w:val="00FA0568"/>
    <w:rsid w:val="00FB2A50"/>
    <w:rsid w:val="00FB3442"/>
    <w:rsid w:val="00FD3EB1"/>
    <w:rsid w:val="00FD6654"/>
    <w:rsid w:val="00FE0E50"/>
    <w:rsid w:val="00FE4336"/>
    <w:rsid w:val="00FE7D34"/>
    <w:rsid w:val="00FF0D13"/>
    <w:rsid w:val="00FF280E"/>
    <w:rsid w:val="00FF3EDF"/>
    <w:rsid w:val="00FF5F82"/>
    <w:rsid w:val="57E4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5496A"/>
  <w15:docId w15:val="{DF54B4E1-A3E5-41CA-B384-97BD01BC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Footer">
    <w:name w:val="footer"/>
    <w:basedOn w:val="Normal"/>
    <w:link w:val="FooterChar"/>
    <w:qFormat/>
    <w:pPr>
      <w:tabs>
        <w:tab w:val="clear" w:pos="284"/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lear" w:pos="284"/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customStyle="1" w:styleId="FooterChar">
    <w:name w:val="Footer Char"/>
    <w:link w:val="Footer"/>
    <w:qFormat/>
    <w:rPr>
      <w:sz w:val="22"/>
      <w:szCs w:val="24"/>
    </w:rPr>
  </w:style>
  <w:style w:type="paragraph" w:customStyle="1" w:styleId="NASLOV123">
    <w:name w:val="NASLOV 123"/>
    <w:basedOn w:val="Normal"/>
    <w:qFormat/>
    <w:pPr>
      <w:spacing w:before="200" w:after="200"/>
      <w:jc w:val="left"/>
    </w:pPr>
    <w:rPr>
      <w:b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4"/>
    </w:rPr>
  </w:style>
  <w:style w:type="paragraph" w:styleId="NoSpacing">
    <w:name w:val="No Spacing"/>
    <w:uiPriority w:val="1"/>
    <w:qFormat/>
    <w:rPr>
      <w:sz w:val="24"/>
      <w:szCs w:val="24"/>
    </w:rPr>
  </w:style>
  <w:style w:type="character" w:customStyle="1" w:styleId="CommentTextChar">
    <w:name w:val="Comment Text Char"/>
    <w:link w:val="CommentText"/>
    <w:semiHidden/>
    <w:qFormat/>
  </w:style>
  <w:style w:type="paragraph" w:styleId="Revision">
    <w:name w:val="Revision"/>
    <w:hidden/>
    <w:uiPriority w:val="99"/>
    <w:semiHidden/>
    <w:rsid w:val="00E7627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vigiflow-eforms.who-umc.org/me/mead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1BA28-5B81-46B2-A8CC-17A5524C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Ljumović</cp:lastModifiedBy>
  <cp:revision>2</cp:revision>
  <cp:lastPrinted>2018-04-11T08:29:00Z</cp:lastPrinted>
  <dcterms:created xsi:type="dcterms:W3CDTF">2025-08-05T10:56:00Z</dcterms:created>
  <dcterms:modified xsi:type="dcterms:W3CDTF">2025-08-05T10:56:00Z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1033-12.2.0.21931</vt:lpwstr>
  </property>
  <property fmtid="{D5CDD505-2E9C-101B-9397-08002B2CF9AE}" pid="4" name="ICV">
    <vt:lpwstr>B78CDDCA47F9479F96A13DBA87AA1765_12</vt:lpwstr>
  </property>
</Properties>
</file>