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2DEA0" w14:textId="77777777" w:rsidR="00160EF0" w:rsidRDefault="00160EF0" w:rsidP="004F2B81">
      <w:pPr>
        <w:jc w:val="center"/>
        <w:rPr>
          <w:b/>
          <w:bCs/>
          <w:iCs/>
          <w:szCs w:val="22"/>
          <w:u w:val="single"/>
          <w:lang w:val="sr-Latn-ME"/>
        </w:rPr>
      </w:pPr>
    </w:p>
    <w:p w14:paraId="02021F3C" w14:textId="2487C024" w:rsidR="00137CDC" w:rsidRPr="004F2B81" w:rsidRDefault="00137CDC" w:rsidP="004F2B81">
      <w:pPr>
        <w:jc w:val="center"/>
        <w:rPr>
          <w:b/>
          <w:bCs/>
          <w:iCs/>
          <w:szCs w:val="22"/>
          <w:u w:val="single"/>
          <w:lang w:val="sr-Latn-ME"/>
        </w:rPr>
      </w:pPr>
      <w:r w:rsidRPr="004F2B81">
        <w:rPr>
          <w:b/>
          <w:bCs/>
          <w:iCs/>
          <w:szCs w:val="22"/>
          <w:u w:val="single"/>
          <w:lang w:val="sr-Latn-ME"/>
        </w:rPr>
        <w:t>SAŽETAK KARAKTERISTIKA LIJEKA</w:t>
      </w:r>
    </w:p>
    <w:p w14:paraId="184B8A47" w14:textId="77777777" w:rsidR="00383195" w:rsidRPr="004F2B81" w:rsidRDefault="00383195" w:rsidP="004F2B81">
      <w:pPr>
        <w:rPr>
          <w:szCs w:val="22"/>
          <w:lang w:val="sr-Latn-ME"/>
        </w:rPr>
      </w:pPr>
    </w:p>
    <w:p w14:paraId="184B8A49" w14:textId="77777777" w:rsidR="001F706A" w:rsidRPr="004F2B81" w:rsidRDefault="001F706A" w:rsidP="004F2B81">
      <w:pPr>
        <w:rPr>
          <w:szCs w:val="22"/>
          <w:lang w:val="sr-Latn-ME"/>
        </w:rPr>
      </w:pPr>
    </w:p>
    <w:p w14:paraId="184B8A4A" w14:textId="269E72B7" w:rsidR="00CE09F3" w:rsidRPr="004F2B81" w:rsidRDefault="00CE09F3" w:rsidP="004F2B81">
      <w:pPr>
        <w:pStyle w:val="NASLOV123"/>
        <w:spacing w:before="0" w:after="0"/>
        <w:jc w:val="both"/>
        <w:rPr>
          <w:lang w:val="sr-Latn-ME"/>
        </w:rPr>
      </w:pPr>
      <w:r w:rsidRPr="004F2B81">
        <w:rPr>
          <w:lang w:val="sr-Latn-ME"/>
        </w:rPr>
        <w:t xml:space="preserve">1. </w:t>
      </w:r>
      <w:r w:rsidR="00BC63DA" w:rsidRPr="004F2B81">
        <w:rPr>
          <w:lang w:val="sr-Latn-ME"/>
        </w:rPr>
        <w:t>NAZIV LIJEKA</w:t>
      </w:r>
    </w:p>
    <w:p w14:paraId="0E8F3F49" w14:textId="77777777" w:rsidR="00487746" w:rsidRPr="004F2B81" w:rsidRDefault="00487746" w:rsidP="004F2B81">
      <w:pPr>
        <w:rPr>
          <w:szCs w:val="22"/>
          <w:lang w:val="sr-Latn-ME"/>
        </w:rPr>
      </w:pPr>
    </w:p>
    <w:p w14:paraId="184B8A4B" w14:textId="7FDF51DF" w:rsidR="0076523B" w:rsidRPr="004F2B81" w:rsidRDefault="0076523B" w:rsidP="004F2B81">
      <w:pPr>
        <w:rPr>
          <w:szCs w:val="22"/>
          <w:u w:val="single"/>
          <w:lang w:val="sr-Latn-ME"/>
        </w:rPr>
      </w:pPr>
      <w:r w:rsidRPr="004F2B81">
        <w:rPr>
          <w:szCs w:val="22"/>
          <w:lang w:val="sr-Latn-ME"/>
        </w:rPr>
        <w:t>Glucosi infundibile</w:t>
      </w:r>
      <w:r w:rsidR="001A5C97">
        <w:rPr>
          <w:szCs w:val="22"/>
          <w:lang w:val="sr-Latn-ME"/>
        </w:rPr>
        <w:t xml:space="preserve"> HF</w:t>
      </w:r>
      <w:r w:rsidRPr="004F2B81">
        <w:rPr>
          <w:szCs w:val="22"/>
          <w:lang w:val="sr-Latn-ME"/>
        </w:rPr>
        <w:t>, 5%, rastvor za infuziju</w:t>
      </w:r>
    </w:p>
    <w:p w14:paraId="2CA09713" w14:textId="77777777" w:rsidR="00160EF0" w:rsidRDefault="00160EF0" w:rsidP="004F2B81">
      <w:pPr>
        <w:rPr>
          <w:szCs w:val="22"/>
          <w:lang w:val="sr-Latn-ME"/>
        </w:rPr>
      </w:pPr>
    </w:p>
    <w:p w14:paraId="184B8A4D" w14:textId="6A893419" w:rsidR="00CE09F3" w:rsidRPr="004F2B81" w:rsidRDefault="00CE09F3" w:rsidP="004F2B81">
      <w:pPr>
        <w:rPr>
          <w:b/>
          <w:bCs/>
          <w:szCs w:val="22"/>
          <w:lang w:val="sr-Latn-ME"/>
        </w:rPr>
      </w:pPr>
      <w:r w:rsidRPr="004F2B81">
        <w:rPr>
          <w:szCs w:val="22"/>
          <w:lang w:val="sr-Latn-ME"/>
        </w:rPr>
        <w:t>INN:</w:t>
      </w:r>
      <w:r w:rsidR="0076523B" w:rsidRPr="004F2B81">
        <w:rPr>
          <w:szCs w:val="22"/>
          <w:lang w:val="sr-Latn-ME"/>
        </w:rPr>
        <w:t xml:space="preserve"> glukoza</w:t>
      </w:r>
    </w:p>
    <w:p w14:paraId="25B1B96A" w14:textId="77777777" w:rsidR="00487746" w:rsidRPr="004F2B81" w:rsidRDefault="00487746" w:rsidP="004F2B81">
      <w:pPr>
        <w:pStyle w:val="NASLOV123"/>
        <w:spacing w:before="0" w:after="0"/>
        <w:jc w:val="both"/>
        <w:rPr>
          <w:lang w:val="sr-Latn-ME"/>
        </w:rPr>
      </w:pPr>
    </w:p>
    <w:p w14:paraId="0B1391B8" w14:textId="77777777" w:rsidR="00487746" w:rsidRPr="004F2B81" w:rsidRDefault="00487746" w:rsidP="004F2B81">
      <w:pPr>
        <w:pStyle w:val="NASLOV123"/>
        <w:spacing w:before="0" w:after="0"/>
        <w:jc w:val="both"/>
        <w:rPr>
          <w:lang w:val="sr-Latn-ME"/>
        </w:rPr>
      </w:pPr>
    </w:p>
    <w:p w14:paraId="184B8A4E" w14:textId="2E22E0B7" w:rsidR="00E93467" w:rsidRPr="004F2B81" w:rsidRDefault="00CE09F3" w:rsidP="004F2B81">
      <w:pPr>
        <w:pStyle w:val="NASLOV123"/>
        <w:spacing w:before="0" w:after="0"/>
        <w:jc w:val="both"/>
        <w:rPr>
          <w:lang w:val="sr-Latn-ME"/>
        </w:rPr>
      </w:pPr>
      <w:r w:rsidRPr="004F2B81">
        <w:rPr>
          <w:lang w:val="sr-Latn-ME"/>
        </w:rPr>
        <w:t>2. KVALITATIVNI I KVANTITATIVNI SASTAV</w:t>
      </w:r>
    </w:p>
    <w:p w14:paraId="4596ED53" w14:textId="77777777" w:rsidR="00487746" w:rsidRPr="004F2B81" w:rsidRDefault="00487746" w:rsidP="004F2B81">
      <w:pPr>
        <w:rPr>
          <w:szCs w:val="22"/>
          <w:lang w:val="sr-Latn-ME"/>
        </w:rPr>
      </w:pPr>
    </w:p>
    <w:p w14:paraId="184B8A4F" w14:textId="3531965B" w:rsidR="00E93467" w:rsidRPr="004F2B81" w:rsidRDefault="00C10232" w:rsidP="004F2B81">
      <w:pPr>
        <w:rPr>
          <w:szCs w:val="22"/>
          <w:lang w:val="sr-Latn-ME"/>
        </w:rPr>
      </w:pPr>
      <w:r w:rsidRPr="004F2B81">
        <w:rPr>
          <w:szCs w:val="22"/>
          <w:lang w:val="sr-Latn-ME"/>
        </w:rPr>
        <w:t>1000</w:t>
      </w:r>
      <w:r w:rsidR="00166ACD" w:rsidRPr="004F2B81">
        <w:rPr>
          <w:szCs w:val="22"/>
          <w:lang w:val="sr-Latn-ME"/>
        </w:rPr>
        <w:t xml:space="preserve"> </w:t>
      </w:r>
      <w:r w:rsidR="00E93467" w:rsidRPr="004F2B81">
        <w:rPr>
          <w:szCs w:val="22"/>
          <w:lang w:val="sr-Latn-ME"/>
        </w:rPr>
        <w:t>m</w:t>
      </w:r>
      <w:r w:rsidR="002B7005">
        <w:rPr>
          <w:szCs w:val="22"/>
          <w:lang w:val="sr-Latn-ME"/>
        </w:rPr>
        <w:t>l</w:t>
      </w:r>
      <w:r w:rsidR="00E93467" w:rsidRPr="004F2B81">
        <w:rPr>
          <w:szCs w:val="22"/>
          <w:lang w:val="sr-Latn-ME"/>
        </w:rPr>
        <w:t xml:space="preserve"> rastvora sadrži:</w:t>
      </w:r>
    </w:p>
    <w:p w14:paraId="44BE6226" w14:textId="77777777" w:rsidR="00137CDC" w:rsidRPr="004F2B81" w:rsidRDefault="00137CDC" w:rsidP="004F2B81">
      <w:pPr>
        <w:rPr>
          <w:szCs w:val="22"/>
          <w:lang w:val="sr-Latn-ME"/>
        </w:rPr>
      </w:pPr>
    </w:p>
    <w:p w14:paraId="184B8A51" w14:textId="41838AFB" w:rsidR="00E93467" w:rsidRPr="004F2B81" w:rsidRDefault="00E93467" w:rsidP="004F2B81">
      <w:pPr>
        <w:rPr>
          <w:szCs w:val="22"/>
          <w:lang w:val="sr-Latn-ME"/>
        </w:rPr>
      </w:pPr>
      <w:r w:rsidRPr="004F2B81">
        <w:rPr>
          <w:szCs w:val="22"/>
          <w:lang w:val="sr-Latn-ME"/>
        </w:rPr>
        <w:t>Glukoz</w:t>
      </w:r>
      <w:r w:rsidR="007F2EC6" w:rsidRPr="004F2B81">
        <w:rPr>
          <w:szCs w:val="22"/>
          <w:lang w:val="sr-Latn-ME"/>
        </w:rPr>
        <w:t>a</w:t>
      </w:r>
      <w:r w:rsidR="00DD5F04" w:rsidRPr="004F2B81">
        <w:rPr>
          <w:szCs w:val="22"/>
          <w:lang w:val="sr-Latn-ME"/>
        </w:rPr>
        <w:t>, bezvodn</w:t>
      </w:r>
      <w:r w:rsidR="007F2EC6" w:rsidRPr="004F2B81">
        <w:rPr>
          <w:szCs w:val="22"/>
          <w:lang w:val="sr-Latn-ME"/>
        </w:rPr>
        <w:t>a</w:t>
      </w:r>
      <w:r w:rsidRPr="004F2B81">
        <w:rPr>
          <w:szCs w:val="22"/>
          <w:lang w:val="sr-Latn-ME"/>
        </w:rPr>
        <w:tab/>
      </w:r>
      <w:r w:rsidRPr="004F2B81">
        <w:rPr>
          <w:szCs w:val="22"/>
          <w:lang w:val="sr-Latn-ME"/>
        </w:rPr>
        <w:tab/>
      </w:r>
      <w:r w:rsidRPr="004F2B81">
        <w:rPr>
          <w:szCs w:val="22"/>
          <w:lang w:val="sr-Latn-ME"/>
        </w:rPr>
        <w:tab/>
      </w:r>
      <w:r w:rsidR="00C10232" w:rsidRPr="004F2B81">
        <w:rPr>
          <w:szCs w:val="22"/>
          <w:lang w:val="sr-Latn-ME"/>
        </w:rPr>
        <w:t>50</w:t>
      </w:r>
      <w:r w:rsidRPr="004F2B81">
        <w:rPr>
          <w:szCs w:val="22"/>
          <w:lang w:val="sr-Latn-ME"/>
        </w:rPr>
        <w:t xml:space="preserve"> g</w:t>
      </w:r>
      <w:r w:rsidR="00137CDC" w:rsidRPr="004F2B81">
        <w:rPr>
          <w:szCs w:val="22"/>
          <w:lang w:val="sr-Latn-ME"/>
        </w:rPr>
        <w:t xml:space="preserve"> </w:t>
      </w:r>
      <w:r w:rsidRPr="004F2B81">
        <w:rPr>
          <w:szCs w:val="22"/>
          <w:lang w:val="sr-Latn-ME"/>
        </w:rPr>
        <w:t>(</w:t>
      </w:r>
      <w:r w:rsidR="006B0AEE">
        <w:rPr>
          <w:szCs w:val="22"/>
          <w:lang w:val="sr-Latn-ME"/>
        </w:rPr>
        <w:t xml:space="preserve">što </w:t>
      </w:r>
      <w:r w:rsidRPr="004F2B81">
        <w:rPr>
          <w:szCs w:val="22"/>
          <w:lang w:val="sr-Latn-ME"/>
        </w:rPr>
        <w:t xml:space="preserve">odgovara </w:t>
      </w:r>
      <w:r w:rsidR="00C10232" w:rsidRPr="004F2B81">
        <w:rPr>
          <w:szCs w:val="22"/>
          <w:lang w:val="sr-Latn-ME"/>
        </w:rPr>
        <w:t>55</w:t>
      </w:r>
      <w:r w:rsidR="00A43089" w:rsidRPr="004F2B81">
        <w:rPr>
          <w:szCs w:val="22"/>
          <w:lang w:val="sr-Latn-ME"/>
        </w:rPr>
        <w:t>,0</w:t>
      </w:r>
      <w:r w:rsidRPr="004F2B81">
        <w:rPr>
          <w:szCs w:val="22"/>
          <w:lang w:val="sr-Latn-ME"/>
        </w:rPr>
        <w:t xml:space="preserve"> g glukoz</w:t>
      </w:r>
      <w:r w:rsidR="0012107E" w:rsidRPr="004F2B81">
        <w:rPr>
          <w:szCs w:val="22"/>
          <w:lang w:val="sr-Latn-ME"/>
        </w:rPr>
        <w:t>e</w:t>
      </w:r>
      <w:r w:rsidRPr="004F2B81">
        <w:rPr>
          <w:szCs w:val="22"/>
          <w:lang w:val="sr-Latn-ME"/>
        </w:rPr>
        <w:t xml:space="preserve"> monohidrata)</w:t>
      </w:r>
    </w:p>
    <w:p w14:paraId="184B8A52" w14:textId="44E0329A" w:rsidR="00E93467" w:rsidRPr="004F2B81" w:rsidRDefault="00E93467" w:rsidP="004F2B81">
      <w:pPr>
        <w:rPr>
          <w:szCs w:val="22"/>
          <w:lang w:val="sr-Latn-ME"/>
        </w:rPr>
      </w:pPr>
      <w:r w:rsidRPr="004F2B81">
        <w:rPr>
          <w:szCs w:val="22"/>
          <w:lang w:val="sr-Latn-ME"/>
        </w:rPr>
        <w:t xml:space="preserve">Voda za injekcije do </w:t>
      </w:r>
      <w:r w:rsidRPr="004F2B81">
        <w:rPr>
          <w:szCs w:val="22"/>
          <w:lang w:val="sr-Latn-ME"/>
        </w:rPr>
        <w:tab/>
      </w:r>
      <w:r w:rsidRPr="004F2B81">
        <w:rPr>
          <w:szCs w:val="22"/>
          <w:lang w:val="sr-Latn-ME"/>
        </w:rPr>
        <w:tab/>
      </w:r>
      <w:r w:rsidRPr="004F2B81">
        <w:rPr>
          <w:szCs w:val="22"/>
          <w:lang w:val="sr-Latn-ME"/>
        </w:rPr>
        <w:tab/>
      </w:r>
      <w:r w:rsidR="00371075" w:rsidRPr="004F2B81">
        <w:rPr>
          <w:szCs w:val="22"/>
          <w:lang w:val="sr-Latn-ME"/>
        </w:rPr>
        <w:t>1000</w:t>
      </w:r>
      <w:r w:rsidRPr="004F2B81">
        <w:rPr>
          <w:szCs w:val="22"/>
          <w:lang w:val="sr-Latn-ME"/>
        </w:rPr>
        <w:t xml:space="preserve"> m</w:t>
      </w:r>
      <w:r w:rsidR="002B7005">
        <w:rPr>
          <w:szCs w:val="22"/>
          <w:lang w:val="sr-Latn-ME"/>
        </w:rPr>
        <w:t>l</w:t>
      </w:r>
    </w:p>
    <w:p w14:paraId="184B8A53" w14:textId="77777777" w:rsidR="00E93467" w:rsidRPr="004F2B81" w:rsidRDefault="00E93467" w:rsidP="004F2B81">
      <w:pPr>
        <w:rPr>
          <w:szCs w:val="22"/>
          <w:lang w:val="sr-Latn-ME"/>
        </w:rPr>
      </w:pPr>
    </w:p>
    <w:p w14:paraId="184B8A54" w14:textId="209DA0B6" w:rsidR="00E93467" w:rsidRPr="004F2B81" w:rsidRDefault="008E26B3" w:rsidP="004F2B81">
      <w:pPr>
        <w:rPr>
          <w:szCs w:val="22"/>
          <w:lang w:val="sr-Latn-ME"/>
        </w:rPr>
      </w:pPr>
      <w:r w:rsidRPr="004F2B81">
        <w:rPr>
          <w:szCs w:val="22"/>
          <w:lang w:val="sr-Latn-ME"/>
        </w:rPr>
        <w:t xml:space="preserve">Teoretska osmolarnost </w:t>
      </w:r>
      <w:r w:rsidR="00E93467" w:rsidRPr="004F2B81">
        <w:rPr>
          <w:szCs w:val="22"/>
          <w:lang w:val="sr-Latn-ME"/>
        </w:rPr>
        <w:t>= 277 mOsm/</w:t>
      </w:r>
      <w:r w:rsidR="002B7005">
        <w:rPr>
          <w:szCs w:val="22"/>
          <w:lang w:val="sr-Latn-ME"/>
        </w:rPr>
        <w:t>l</w:t>
      </w:r>
      <w:r w:rsidR="00E93467" w:rsidRPr="004F2B81">
        <w:rPr>
          <w:szCs w:val="22"/>
          <w:lang w:val="sr-Latn-ME"/>
        </w:rPr>
        <w:t xml:space="preserve">; </w:t>
      </w:r>
    </w:p>
    <w:p w14:paraId="184B8A55" w14:textId="6E779220" w:rsidR="00E93467" w:rsidRPr="004F2B81" w:rsidRDefault="00E93467" w:rsidP="004F2B81">
      <w:pPr>
        <w:rPr>
          <w:szCs w:val="22"/>
          <w:lang w:val="sr-Latn-ME"/>
        </w:rPr>
      </w:pPr>
      <w:r w:rsidRPr="004F2B81">
        <w:rPr>
          <w:szCs w:val="22"/>
          <w:lang w:val="sr-Latn-ME"/>
        </w:rPr>
        <w:t xml:space="preserve">pH rastvora je 3,5 </w:t>
      </w:r>
      <w:r w:rsidR="00160EF0">
        <w:rPr>
          <w:szCs w:val="22"/>
          <w:lang w:val="sr-Latn-ME"/>
        </w:rPr>
        <w:t>-</w:t>
      </w:r>
      <w:r w:rsidRPr="004F2B81">
        <w:rPr>
          <w:szCs w:val="22"/>
          <w:lang w:val="sr-Latn-ME"/>
        </w:rPr>
        <w:t xml:space="preserve"> 6,5</w:t>
      </w:r>
      <w:r w:rsidR="001261B6" w:rsidRPr="004F2B81">
        <w:rPr>
          <w:szCs w:val="22"/>
          <w:lang w:val="sr-Latn-ME"/>
        </w:rPr>
        <w:t>.</w:t>
      </w:r>
    </w:p>
    <w:p w14:paraId="184B8A56" w14:textId="77777777" w:rsidR="00E93467" w:rsidRPr="004F2B81" w:rsidRDefault="00E93467" w:rsidP="004F2B81">
      <w:pPr>
        <w:rPr>
          <w:szCs w:val="22"/>
          <w:lang w:val="sr-Latn-ME"/>
        </w:rPr>
      </w:pPr>
    </w:p>
    <w:p w14:paraId="229FFBC7" w14:textId="77777777" w:rsidR="005C08F3" w:rsidRPr="004F2B81" w:rsidRDefault="005C08F3" w:rsidP="004F2B81">
      <w:pPr>
        <w:rPr>
          <w:szCs w:val="22"/>
          <w:lang w:val="sr-Latn-ME"/>
        </w:rPr>
      </w:pPr>
      <w:r w:rsidRPr="004F2B81">
        <w:rPr>
          <w:szCs w:val="22"/>
          <w:lang w:val="sr-Latn-ME"/>
        </w:rPr>
        <w:t>Za spisak svih ekscipijenasa, pogledati dio 6.1.</w:t>
      </w:r>
    </w:p>
    <w:p w14:paraId="184B8A58" w14:textId="77777777" w:rsidR="00CE09F3" w:rsidRPr="004F2B81" w:rsidRDefault="00CE09F3" w:rsidP="004F2B81">
      <w:pPr>
        <w:rPr>
          <w:szCs w:val="22"/>
          <w:lang w:val="sr-Latn-ME"/>
        </w:rPr>
      </w:pPr>
    </w:p>
    <w:p w14:paraId="17C2BB2C" w14:textId="77777777" w:rsidR="00487746" w:rsidRPr="004F2B81" w:rsidRDefault="00487746" w:rsidP="004F2B81">
      <w:pPr>
        <w:rPr>
          <w:szCs w:val="22"/>
          <w:lang w:val="sr-Latn-ME"/>
        </w:rPr>
      </w:pPr>
    </w:p>
    <w:p w14:paraId="184B8A59" w14:textId="77777777" w:rsidR="00CE09F3" w:rsidRPr="004F2B81" w:rsidRDefault="00CE09F3" w:rsidP="004F2B81">
      <w:pPr>
        <w:pStyle w:val="NASLOV123"/>
        <w:spacing w:before="0" w:after="0"/>
        <w:jc w:val="both"/>
        <w:rPr>
          <w:lang w:val="sr-Latn-ME"/>
        </w:rPr>
      </w:pPr>
      <w:r w:rsidRPr="004F2B81">
        <w:rPr>
          <w:lang w:val="sr-Latn-ME"/>
        </w:rPr>
        <w:t>3. FARMACEUTSKI OBLIK</w:t>
      </w:r>
    </w:p>
    <w:p w14:paraId="41307BC7" w14:textId="77777777" w:rsidR="00487746" w:rsidRPr="004F2B81" w:rsidRDefault="00487746" w:rsidP="004F2B81">
      <w:pPr>
        <w:rPr>
          <w:szCs w:val="22"/>
          <w:lang w:val="sr-Latn-ME"/>
        </w:rPr>
      </w:pPr>
    </w:p>
    <w:p w14:paraId="184B8A5A" w14:textId="249347A6" w:rsidR="0076523B" w:rsidRPr="004F2B81" w:rsidRDefault="0076523B" w:rsidP="004F2B81">
      <w:pPr>
        <w:rPr>
          <w:szCs w:val="22"/>
          <w:lang w:val="sr-Latn-ME"/>
        </w:rPr>
      </w:pPr>
      <w:r w:rsidRPr="004F2B81">
        <w:rPr>
          <w:szCs w:val="22"/>
          <w:lang w:val="sr-Latn-ME"/>
        </w:rPr>
        <w:t xml:space="preserve">Rastvor za infuziju. </w:t>
      </w:r>
    </w:p>
    <w:p w14:paraId="184B8A5B" w14:textId="77777777" w:rsidR="00CE09F3" w:rsidRPr="004F2B81" w:rsidRDefault="0076523B" w:rsidP="004F2B81">
      <w:pPr>
        <w:rPr>
          <w:szCs w:val="22"/>
          <w:lang w:val="sr-Latn-ME"/>
        </w:rPr>
      </w:pPr>
      <w:r w:rsidRPr="004F2B81">
        <w:rPr>
          <w:szCs w:val="22"/>
          <w:lang w:val="sr-Latn-ME"/>
        </w:rPr>
        <w:t>Bistar, bezbojan rastvor.</w:t>
      </w:r>
    </w:p>
    <w:p w14:paraId="184B8A5C" w14:textId="77777777" w:rsidR="00CE09F3" w:rsidRPr="004F2B81" w:rsidRDefault="00CE09F3" w:rsidP="004F2B81">
      <w:pPr>
        <w:rPr>
          <w:szCs w:val="22"/>
          <w:lang w:val="sr-Latn-ME"/>
        </w:rPr>
      </w:pPr>
    </w:p>
    <w:p w14:paraId="0E72B398" w14:textId="77777777" w:rsidR="00487746" w:rsidRPr="004F2B81" w:rsidRDefault="00487746" w:rsidP="004F2B81">
      <w:pPr>
        <w:rPr>
          <w:szCs w:val="22"/>
          <w:lang w:val="sr-Latn-ME"/>
        </w:rPr>
      </w:pPr>
    </w:p>
    <w:p w14:paraId="184B8A5D" w14:textId="77777777" w:rsidR="00CE09F3" w:rsidRPr="004F2B81" w:rsidRDefault="00CE09F3" w:rsidP="00CC4573">
      <w:pPr>
        <w:pStyle w:val="NASLOV123"/>
        <w:spacing w:before="0" w:after="0"/>
        <w:jc w:val="both"/>
        <w:rPr>
          <w:lang w:val="sr-Latn-ME"/>
        </w:rPr>
      </w:pPr>
      <w:r w:rsidRPr="004F2B81">
        <w:rPr>
          <w:lang w:val="sr-Latn-ME"/>
        </w:rPr>
        <w:t>4. KLINIČKI PODACI</w:t>
      </w:r>
    </w:p>
    <w:p w14:paraId="5119BBC8" w14:textId="77777777" w:rsidR="00487746" w:rsidRPr="004F2B81" w:rsidRDefault="00487746">
      <w:pPr>
        <w:rPr>
          <w:b/>
          <w:bCs/>
          <w:szCs w:val="22"/>
          <w:lang w:val="sr-Latn-ME"/>
        </w:rPr>
      </w:pPr>
    </w:p>
    <w:p w14:paraId="184B8A5E" w14:textId="616093FA" w:rsidR="00CE09F3" w:rsidRPr="004F2B81" w:rsidRDefault="00CE09F3">
      <w:pPr>
        <w:rPr>
          <w:b/>
          <w:bCs/>
          <w:szCs w:val="22"/>
          <w:lang w:val="sr-Latn-ME"/>
        </w:rPr>
      </w:pPr>
      <w:r w:rsidRPr="004F2B81">
        <w:rPr>
          <w:b/>
          <w:bCs/>
          <w:szCs w:val="22"/>
          <w:lang w:val="sr-Latn-ME"/>
        </w:rPr>
        <w:t>4.1. Terapijske indikacije</w:t>
      </w:r>
    </w:p>
    <w:p w14:paraId="184B8A5F" w14:textId="77777777" w:rsidR="00CE09F3" w:rsidRPr="004F2B81" w:rsidRDefault="00CE09F3">
      <w:pPr>
        <w:rPr>
          <w:szCs w:val="22"/>
          <w:lang w:val="sr-Latn-ME"/>
        </w:rPr>
      </w:pPr>
    </w:p>
    <w:p w14:paraId="512B541B" w14:textId="43EC55D4" w:rsidR="00B64ABF" w:rsidRPr="004F2B81" w:rsidRDefault="00B64ABF">
      <w:pPr>
        <w:pStyle w:val="Header"/>
        <w:numPr>
          <w:ilvl w:val="0"/>
          <w:numId w:val="4"/>
        </w:numPr>
        <w:tabs>
          <w:tab w:val="clear" w:pos="4536"/>
          <w:tab w:val="clear" w:pos="9072"/>
        </w:tabs>
        <w:rPr>
          <w:szCs w:val="22"/>
          <w:lang w:val="sr-Latn-ME"/>
        </w:rPr>
      </w:pPr>
      <w:r w:rsidRPr="004F2B81">
        <w:rPr>
          <w:szCs w:val="22"/>
          <w:lang w:val="sr-Latn-ME"/>
        </w:rPr>
        <w:t>Nadoknada tečnosti i ugljenih hidrata</w:t>
      </w:r>
      <w:r w:rsidR="00653AAE">
        <w:rPr>
          <w:szCs w:val="22"/>
          <w:lang w:val="sr-Latn-ME"/>
        </w:rPr>
        <w:t>.</w:t>
      </w:r>
    </w:p>
    <w:p w14:paraId="064663BB" w14:textId="1FDE2D1D" w:rsidR="00B64ABF" w:rsidRPr="004F2B81" w:rsidRDefault="00B64ABF">
      <w:pPr>
        <w:pStyle w:val="Header"/>
        <w:numPr>
          <w:ilvl w:val="0"/>
          <w:numId w:val="4"/>
        </w:numPr>
        <w:tabs>
          <w:tab w:val="clear" w:pos="4536"/>
          <w:tab w:val="clear" w:pos="9072"/>
        </w:tabs>
        <w:rPr>
          <w:szCs w:val="22"/>
          <w:lang w:val="sr-Latn-ME"/>
        </w:rPr>
      </w:pPr>
      <w:r w:rsidRPr="004F2B81">
        <w:rPr>
          <w:szCs w:val="22"/>
          <w:lang w:val="sr-Latn-ME"/>
        </w:rPr>
        <w:t>Razblaživanje koncentrovanih rastvora drugih l</w:t>
      </w:r>
      <w:r w:rsidR="005C08F3" w:rsidRPr="004F2B81">
        <w:rPr>
          <w:szCs w:val="22"/>
          <w:lang w:val="sr-Latn-ME"/>
        </w:rPr>
        <w:t>j</w:t>
      </w:r>
      <w:r w:rsidRPr="004F2B81">
        <w:rPr>
          <w:szCs w:val="22"/>
          <w:lang w:val="sr-Latn-ME"/>
        </w:rPr>
        <w:t>ekova ili elektrolita radi njihove prim</w:t>
      </w:r>
      <w:r w:rsidR="005C08F3" w:rsidRPr="004F2B81">
        <w:rPr>
          <w:szCs w:val="22"/>
          <w:lang w:val="sr-Latn-ME"/>
        </w:rPr>
        <w:t>j</w:t>
      </w:r>
      <w:r w:rsidRPr="004F2B81">
        <w:rPr>
          <w:szCs w:val="22"/>
          <w:lang w:val="sr-Latn-ME"/>
        </w:rPr>
        <w:t>ene intravenskom infuzijom.</w:t>
      </w:r>
    </w:p>
    <w:p w14:paraId="184B8A62" w14:textId="77777777" w:rsidR="0076523B" w:rsidRPr="004F2B81" w:rsidRDefault="0076523B">
      <w:pPr>
        <w:rPr>
          <w:szCs w:val="22"/>
          <w:lang w:val="sr-Latn-ME"/>
        </w:rPr>
      </w:pPr>
    </w:p>
    <w:p w14:paraId="184B8A63" w14:textId="29756649" w:rsidR="00CE09F3" w:rsidRPr="004F2B81" w:rsidRDefault="00CE09F3">
      <w:pPr>
        <w:rPr>
          <w:b/>
          <w:bCs/>
          <w:szCs w:val="22"/>
          <w:lang w:val="sr-Latn-ME"/>
        </w:rPr>
      </w:pPr>
      <w:r w:rsidRPr="004F2B81">
        <w:rPr>
          <w:b/>
          <w:bCs/>
          <w:szCs w:val="22"/>
          <w:lang w:val="sr-Latn-ME"/>
        </w:rPr>
        <w:t>4.2. Doziranje i način prim</w:t>
      </w:r>
      <w:r w:rsidR="005C08F3" w:rsidRPr="004F2B81">
        <w:rPr>
          <w:b/>
          <w:bCs/>
          <w:szCs w:val="22"/>
          <w:lang w:val="sr-Latn-ME"/>
        </w:rPr>
        <w:t>j</w:t>
      </w:r>
      <w:r w:rsidRPr="004F2B81">
        <w:rPr>
          <w:b/>
          <w:bCs/>
          <w:szCs w:val="22"/>
          <w:lang w:val="sr-Latn-ME"/>
        </w:rPr>
        <w:t>ene</w:t>
      </w:r>
    </w:p>
    <w:p w14:paraId="184B8A64" w14:textId="77777777" w:rsidR="00CE09F3" w:rsidRPr="004F2B81" w:rsidRDefault="00CE09F3">
      <w:pPr>
        <w:rPr>
          <w:szCs w:val="22"/>
          <w:lang w:val="sr-Latn-ME"/>
        </w:rPr>
      </w:pPr>
    </w:p>
    <w:p w14:paraId="4227403F" w14:textId="252C50A2" w:rsidR="00654157" w:rsidRPr="004F2B81" w:rsidRDefault="0082567E">
      <w:pPr>
        <w:rPr>
          <w:szCs w:val="22"/>
          <w:lang w:val="sr-Latn-ME"/>
        </w:rPr>
      </w:pPr>
      <w:r w:rsidRPr="004F2B81">
        <w:rPr>
          <w:szCs w:val="22"/>
          <w:u w:val="single"/>
          <w:lang w:val="sr-Latn-ME"/>
        </w:rPr>
        <w:t>Doziranje</w:t>
      </w:r>
    </w:p>
    <w:p w14:paraId="5C28FD16" w14:textId="77777777" w:rsidR="003F19E4" w:rsidRPr="004F2B81" w:rsidRDefault="003F19E4">
      <w:pPr>
        <w:rPr>
          <w:i/>
          <w:iCs/>
          <w:szCs w:val="22"/>
          <w:u w:val="single"/>
          <w:lang w:val="sr-Latn-ME"/>
        </w:rPr>
      </w:pPr>
    </w:p>
    <w:p w14:paraId="76D896A3" w14:textId="208CFF40" w:rsidR="00654157" w:rsidRPr="004F2B81" w:rsidRDefault="0082567E">
      <w:pPr>
        <w:rPr>
          <w:szCs w:val="22"/>
          <w:lang w:val="sr-Latn-ME"/>
        </w:rPr>
      </w:pPr>
      <w:r w:rsidRPr="004F2B81">
        <w:rPr>
          <w:i/>
          <w:iCs/>
          <w:szCs w:val="22"/>
          <w:u w:val="single"/>
          <w:lang w:val="sr-Latn-ME"/>
        </w:rPr>
        <w:t xml:space="preserve">Odrasli, starije osobe </w:t>
      </w:r>
      <w:r w:rsidR="00E31A6D" w:rsidRPr="004F2B81">
        <w:rPr>
          <w:i/>
          <w:iCs/>
          <w:szCs w:val="22"/>
          <w:u w:val="single"/>
          <w:lang w:val="sr-Latn-ME"/>
        </w:rPr>
        <w:t>i d</w:t>
      </w:r>
      <w:r w:rsidR="00D92DD7" w:rsidRPr="004F2B81">
        <w:rPr>
          <w:i/>
          <w:iCs/>
          <w:szCs w:val="22"/>
          <w:u w:val="single"/>
          <w:lang w:val="sr-Latn-ME"/>
        </w:rPr>
        <w:t>j</w:t>
      </w:r>
      <w:r w:rsidR="00E31A6D" w:rsidRPr="004F2B81">
        <w:rPr>
          <w:i/>
          <w:iCs/>
          <w:szCs w:val="22"/>
          <w:u w:val="single"/>
          <w:lang w:val="sr-Latn-ME"/>
        </w:rPr>
        <w:t>eca:</w:t>
      </w:r>
    </w:p>
    <w:p w14:paraId="6E17DEAD" w14:textId="5E604544" w:rsidR="00654157" w:rsidRDefault="005D29FC">
      <w:pPr>
        <w:rPr>
          <w:szCs w:val="22"/>
          <w:lang w:val="sr-Latn-ME"/>
        </w:rPr>
      </w:pPr>
      <w:r w:rsidRPr="004F2B81">
        <w:rPr>
          <w:szCs w:val="22"/>
          <w:lang w:val="sr-Latn-ME"/>
        </w:rPr>
        <w:t>Koncentracija</w:t>
      </w:r>
      <w:r w:rsidR="00654157" w:rsidRPr="004F2B81">
        <w:rPr>
          <w:szCs w:val="22"/>
          <w:lang w:val="sr-Latn-ME"/>
        </w:rPr>
        <w:t xml:space="preserve"> </w:t>
      </w:r>
      <w:r w:rsidRPr="004F2B81">
        <w:rPr>
          <w:szCs w:val="22"/>
          <w:lang w:val="sr-Latn-ME"/>
        </w:rPr>
        <w:t>i</w:t>
      </w:r>
      <w:r w:rsidR="00654157" w:rsidRPr="004F2B81">
        <w:rPr>
          <w:szCs w:val="22"/>
          <w:lang w:val="sr-Latn-ME"/>
        </w:rPr>
        <w:t xml:space="preserve"> do</w:t>
      </w:r>
      <w:r w:rsidRPr="004F2B81">
        <w:rPr>
          <w:szCs w:val="22"/>
          <w:lang w:val="sr-Latn-ME"/>
        </w:rPr>
        <w:t>za</w:t>
      </w:r>
      <w:r w:rsidR="00EC1420" w:rsidRPr="004F2B81">
        <w:rPr>
          <w:szCs w:val="22"/>
          <w:lang w:val="sr-Latn-ME"/>
        </w:rPr>
        <w:t xml:space="preserve"> 5% rastvora </w:t>
      </w:r>
      <w:r w:rsidR="00E10898" w:rsidRPr="004F2B81">
        <w:rPr>
          <w:szCs w:val="22"/>
          <w:lang w:val="sr-Latn-ME"/>
        </w:rPr>
        <w:t xml:space="preserve">glukoze </w:t>
      </w:r>
      <w:r w:rsidR="00EC1420" w:rsidRPr="004F2B81">
        <w:rPr>
          <w:szCs w:val="22"/>
          <w:lang w:val="sr-Latn-ME"/>
        </w:rPr>
        <w:t>za in</w:t>
      </w:r>
      <w:r w:rsidR="00E10898" w:rsidRPr="004F2B81">
        <w:rPr>
          <w:szCs w:val="22"/>
          <w:lang w:val="sr-Latn-ME"/>
        </w:rPr>
        <w:t>fuziju</w:t>
      </w:r>
      <w:r w:rsidR="00654157" w:rsidRPr="004F2B81">
        <w:rPr>
          <w:szCs w:val="22"/>
          <w:lang w:val="sr-Latn-ME"/>
        </w:rPr>
        <w:t xml:space="preserve"> </w:t>
      </w:r>
      <w:r w:rsidR="00E10898" w:rsidRPr="004F2B81">
        <w:rPr>
          <w:szCs w:val="22"/>
          <w:lang w:val="sr-Latn-ME"/>
        </w:rPr>
        <w:t>zavisi od nekoliko faktora uključujući</w:t>
      </w:r>
      <w:r w:rsidR="002A627E" w:rsidRPr="004F2B81">
        <w:rPr>
          <w:szCs w:val="22"/>
          <w:lang w:val="sr-Latn-ME"/>
        </w:rPr>
        <w:t xml:space="preserve"> starosnu dob, t</w:t>
      </w:r>
      <w:r w:rsidR="00D92DD7" w:rsidRPr="004F2B81">
        <w:rPr>
          <w:szCs w:val="22"/>
          <w:lang w:val="sr-Latn-ME"/>
        </w:rPr>
        <w:t>j</w:t>
      </w:r>
      <w:r w:rsidR="002A627E" w:rsidRPr="004F2B81">
        <w:rPr>
          <w:szCs w:val="22"/>
          <w:lang w:val="sr-Latn-ME"/>
        </w:rPr>
        <w:t>elesnu masu i kliničko stanje</w:t>
      </w:r>
      <w:r w:rsidR="00FD512C" w:rsidRPr="004F2B81">
        <w:rPr>
          <w:szCs w:val="22"/>
          <w:lang w:val="sr-Latn-ME"/>
        </w:rPr>
        <w:t xml:space="preserve"> pacijenta</w:t>
      </w:r>
      <w:r w:rsidR="00654157" w:rsidRPr="004F2B81">
        <w:rPr>
          <w:szCs w:val="22"/>
          <w:lang w:val="sr-Latn-ME"/>
        </w:rPr>
        <w:t xml:space="preserve">. </w:t>
      </w:r>
      <w:r w:rsidR="00853739" w:rsidRPr="004F2B81">
        <w:rPr>
          <w:szCs w:val="22"/>
          <w:lang w:val="sr-Latn-ME"/>
        </w:rPr>
        <w:t>Može biti n</w:t>
      </w:r>
      <w:r w:rsidR="00FD512C" w:rsidRPr="004F2B81">
        <w:rPr>
          <w:szCs w:val="22"/>
          <w:lang w:val="sr-Latn-ME"/>
        </w:rPr>
        <w:t>eophodno</w:t>
      </w:r>
      <w:r w:rsidR="00853739" w:rsidRPr="004F2B81">
        <w:rPr>
          <w:szCs w:val="22"/>
          <w:lang w:val="sr-Latn-ME"/>
        </w:rPr>
        <w:t xml:space="preserve"> pažljivo</w:t>
      </w:r>
      <w:r w:rsidR="00FD512C" w:rsidRPr="004F2B81">
        <w:rPr>
          <w:szCs w:val="22"/>
          <w:lang w:val="sr-Latn-ME"/>
        </w:rPr>
        <w:t xml:space="preserve"> pratiti koncentraciju glukoze u </w:t>
      </w:r>
      <w:r w:rsidR="004B1D74" w:rsidRPr="004F2B81">
        <w:rPr>
          <w:szCs w:val="22"/>
          <w:lang w:val="sr-Latn-ME"/>
        </w:rPr>
        <w:t>serumu</w:t>
      </w:r>
      <w:r w:rsidR="00654157" w:rsidRPr="004F2B81">
        <w:rPr>
          <w:szCs w:val="22"/>
          <w:lang w:val="sr-Latn-ME"/>
        </w:rPr>
        <w:t>.</w:t>
      </w:r>
    </w:p>
    <w:p w14:paraId="235BC373" w14:textId="77777777" w:rsidR="008B06A2" w:rsidRPr="004F2B81" w:rsidRDefault="008B06A2">
      <w:pPr>
        <w:rPr>
          <w:szCs w:val="22"/>
          <w:lang w:val="sr-Latn-ME"/>
        </w:rPr>
      </w:pPr>
    </w:p>
    <w:p w14:paraId="16C78725" w14:textId="62F233AA" w:rsidR="008766BE" w:rsidRPr="00233FBB" w:rsidRDefault="00233FBB">
      <w:pPr>
        <w:tabs>
          <w:tab w:val="clear" w:pos="284"/>
        </w:tabs>
        <w:autoSpaceDE w:val="0"/>
        <w:autoSpaceDN w:val="0"/>
        <w:adjustRightInd w:val="0"/>
        <w:rPr>
          <w:szCs w:val="22"/>
          <w:lang w:val="sr-Latn-ME"/>
        </w:rPr>
      </w:pPr>
      <w:r w:rsidRPr="00233FBB">
        <w:rPr>
          <w:szCs w:val="22"/>
          <w:lang w:val="sr-Latn-ME"/>
        </w:rPr>
        <w:t>Ravnotežu t</w:t>
      </w:r>
      <w:r>
        <w:rPr>
          <w:szCs w:val="22"/>
          <w:lang w:val="sr-Latn-ME"/>
        </w:rPr>
        <w:t>j</w:t>
      </w:r>
      <w:r w:rsidRPr="00233FBB">
        <w:rPr>
          <w:szCs w:val="22"/>
          <w:lang w:val="sr-Latn-ME"/>
        </w:rPr>
        <w:t>elesnih tečnosti, koncentraciju glukoze, natrijuma i ostalih elektrolita u serumu treba kontrolisati pr</w:t>
      </w:r>
      <w:r>
        <w:rPr>
          <w:szCs w:val="22"/>
          <w:lang w:val="sr-Latn-ME"/>
        </w:rPr>
        <w:t>ij</w:t>
      </w:r>
      <w:r w:rsidRPr="00233FBB">
        <w:rPr>
          <w:szCs w:val="22"/>
          <w:lang w:val="sr-Latn-ME"/>
        </w:rPr>
        <w:t>e i tokom prim</w:t>
      </w:r>
      <w:r>
        <w:rPr>
          <w:szCs w:val="22"/>
          <w:lang w:val="sr-Latn-ME"/>
        </w:rPr>
        <w:t>j</w:t>
      </w:r>
      <w:r w:rsidRPr="00233FBB">
        <w:rPr>
          <w:szCs w:val="22"/>
          <w:lang w:val="sr-Latn-ME"/>
        </w:rPr>
        <w:t>ene rastvora za infuziju, posebno kod pacijenata sa povećanim neosmotskim oslobađanjem vazopresina</w:t>
      </w:r>
      <w:r w:rsidR="008766BE" w:rsidRPr="004F2B81">
        <w:rPr>
          <w:szCs w:val="22"/>
          <w:lang w:val="sr-Latn-ME"/>
        </w:rPr>
        <w:t xml:space="preserve"> (sindrom neodgovarajuće sekrecije antidiuretskog hormona, </w:t>
      </w:r>
      <w:r w:rsidR="008766BE" w:rsidRPr="00233FBB">
        <w:rPr>
          <w:szCs w:val="22"/>
          <w:lang w:val="sr-Latn-ME"/>
        </w:rPr>
        <w:t>SIADH</w:t>
      </w:r>
      <w:r w:rsidR="008766BE" w:rsidRPr="004F2B81">
        <w:rPr>
          <w:szCs w:val="22"/>
          <w:lang w:val="sr-Latn-ME"/>
        </w:rPr>
        <w:t>)</w:t>
      </w:r>
      <w:r>
        <w:rPr>
          <w:szCs w:val="22"/>
          <w:lang w:val="sr-Latn-ME"/>
        </w:rPr>
        <w:t>,</w:t>
      </w:r>
      <w:r w:rsidR="008766BE" w:rsidRPr="004F2B81">
        <w:rPr>
          <w:szCs w:val="22"/>
          <w:lang w:val="sr-Latn-ME"/>
        </w:rPr>
        <w:t xml:space="preserve"> kao i kod pacijenata koji su na terapiji agonistima vazopresina zbog rizika od </w:t>
      </w:r>
      <w:r>
        <w:rPr>
          <w:szCs w:val="22"/>
          <w:lang w:val="sr-Latn-ME"/>
        </w:rPr>
        <w:t xml:space="preserve">nastanka </w:t>
      </w:r>
      <w:r w:rsidR="008766BE" w:rsidRPr="004F2B81">
        <w:rPr>
          <w:szCs w:val="22"/>
          <w:lang w:val="sr-Latn-ME"/>
        </w:rPr>
        <w:t>hiponatr</w:t>
      </w:r>
      <w:r w:rsidR="00CC4573">
        <w:rPr>
          <w:szCs w:val="22"/>
          <w:lang w:val="sr-Latn-ME"/>
        </w:rPr>
        <w:t>ij</w:t>
      </w:r>
      <w:r w:rsidR="008766BE" w:rsidRPr="004F2B81">
        <w:rPr>
          <w:szCs w:val="22"/>
          <w:lang w:val="sr-Latn-ME"/>
        </w:rPr>
        <w:t xml:space="preserve">emije. </w:t>
      </w:r>
      <w:r w:rsidR="000B285F" w:rsidRPr="000B285F">
        <w:rPr>
          <w:szCs w:val="22"/>
          <w:lang w:val="sr-Latn-ME"/>
        </w:rPr>
        <w:t xml:space="preserve">Praćenje koncentracije natrijuma u serumu </w:t>
      </w:r>
      <w:r w:rsidR="008766BE" w:rsidRPr="004F2B81">
        <w:rPr>
          <w:szCs w:val="22"/>
          <w:lang w:val="sr-Latn-ME"/>
        </w:rPr>
        <w:t>je posebno važn</w:t>
      </w:r>
      <w:r w:rsidR="000B285F">
        <w:rPr>
          <w:szCs w:val="22"/>
          <w:lang w:val="sr-Latn-ME"/>
        </w:rPr>
        <w:t>o</w:t>
      </w:r>
      <w:r w:rsidR="008766BE" w:rsidRPr="004F2B81">
        <w:rPr>
          <w:szCs w:val="22"/>
          <w:lang w:val="sr-Latn-ME"/>
        </w:rPr>
        <w:t xml:space="preserve"> </w:t>
      </w:r>
      <w:r w:rsidR="007F48E1">
        <w:rPr>
          <w:szCs w:val="22"/>
          <w:lang w:val="sr-Latn-ME"/>
        </w:rPr>
        <w:t>kod</w:t>
      </w:r>
      <w:r w:rsidR="008766BE" w:rsidRPr="004F2B81">
        <w:rPr>
          <w:szCs w:val="22"/>
          <w:lang w:val="sr-Latn-ME"/>
        </w:rPr>
        <w:t xml:space="preserve"> primjene fizioloških hipotoni</w:t>
      </w:r>
      <w:r w:rsidR="007F48E1">
        <w:rPr>
          <w:szCs w:val="22"/>
          <w:lang w:val="sr-Latn-ME"/>
        </w:rPr>
        <w:t>čni</w:t>
      </w:r>
      <w:r w:rsidR="008766BE" w:rsidRPr="004F2B81">
        <w:rPr>
          <w:szCs w:val="22"/>
          <w:lang w:val="sr-Latn-ME"/>
        </w:rPr>
        <w:t xml:space="preserve">h </w:t>
      </w:r>
      <w:r w:rsidR="007F48E1">
        <w:rPr>
          <w:szCs w:val="22"/>
          <w:lang w:val="sr-Latn-ME"/>
        </w:rPr>
        <w:t>rastvora</w:t>
      </w:r>
      <w:r w:rsidR="008766BE" w:rsidRPr="004F2B81">
        <w:rPr>
          <w:szCs w:val="22"/>
          <w:lang w:val="sr-Latn-ME"/>
        </w:rPr>
        <w:t>. Lijek Glucosi infundibile</w:t>
      </w:r>
      <w:r w:rsidR="001A5C97">
        <w:rPr>
          <w:szCs w:val="22"/>
          <w:lang w:val="sr-Latn-ME"/>
        </w:rPr>
        <w:t xml:space="preserve"> HF</w:t>
      </w:r>
      <w:r w:rsidR="008766BE" w:rsidRPr="004F2B81">
        <w:rPr>
          <w:szCs w:val="22"/>
          <w:lang w:val="sr-Latn-ME"/>
        </w:rPr>
        <w:t xml:space="preserve">, 5%, rastvor za infuziju, može postati </w:t>
      </w:r>
      <w:r w:rsidR="007F48E1">
        <w:rPr>
          <w:szCs w:val="22"/>
          <w:lang w:val="sr-Latn-ME"/>
        </w:rPr>
        <w:t>izuzetno</w:t>
      </w:r>
      <w:r w:rsidR="008766BE" w:rsidRPr="004F2B81">
        <w:rPr>
          <w:szCs w:val="22"/>
          <w:lang w:val="sr-Latn-ME"/>
        </w:rPr>
        <w:t xml:space="preserve"> hipoton</w:t>
      </w:r>
      <w:r w:rsidR="007F48E1">
        <w:rPr>
          <w:szCs w:val="22"/>
          <w:lang w:val="sr-Latn-ME"/>
        </w:rPr>
        <w:t>ičan</w:t>
      </w:r>
      <w:r w:rsidR="008766BE" w:rsidRPr="004F2B81">
        <w:rPr>
          <w:szCs w:val="22"/>
          <w:lang w:val="sr-Latn-ME"/>
        </w:rPr>
        <w:t xml:space="preserve"> po primjeni, </w:t>
      </w:r>
      <w:r w:rsidR="00CD4F26">
        <w:rPr>
          <w:szCs w:val="22"/>
          <w:lang w:val="sr-Latn-ME"/>
        </w:rPr>
        <w:t>usljed</w:t>
      </w:r>
      <w:r w:rsidR="008766BE" w:rsidRPr="004F2B81">
        <w:rPr>
          <w:szCs w:val="22"/>
          <w:lang w:val="sr-Latn-ME"/>
        </w:rPr>
        <w:t xml:space="preserve"> </w:t>
      </w:r>
      <w:r w:rsidR="008766BE" w:rsidRPr="004F2B81">
        <w:rPr>
          <w:rFonts w:eastAsia="TimesNewRoman"/>
          <w:szCs w:val="22"/>
          <w:lang w:val="sr-Latn-ME"/>
        </w:rPr>
        <w:t>metabolizma glukoze u organizmu (</w:t>
      </w:r>
      <w:r w:rsidR="00CC4573">
        <w:rPr>
          <w:rFonts w:eastAsia="TimesNewRoman"/>
          <w:szCs w:val="22"/>
          <w:lang w:val="sr-Latn-ME"/>
        </w:rPr>
        <w:t>vidjeti</w:t>
      </w:r>
      <w:r w:rsidR="00CC4573" w:rsidRPr="004F2B81">
        <w:rPr>
          <w:rFonts w:eastAsia="TimesNewRoman"/>
          <w:szCs w:val="22"/>
          <w:lang w:val="sr-Latn-ME"/>
        </w:rPr>
        <w:t xml:space="preserve"> </w:t>
      </w:r>
      <w:r w:rsidR="00A36E26" w:rsidRPr="004F2B81">
        <w:rPr>
          <w:rFonts w:eastAsia="TimesNewRoman"/>
          <w:szCs w:val="22"/>
          <w:lang w:val="sr-Latn-ME"/>
        </w:rPr>
        <w:t>djelove</w:t>
      </w:r>
      <w:r w:rsidR="008766BE" w:rsidRPr="004F2B81">
        <w:rPr>
          <w:rFonts w:eastAsia="TimesNewRoman"/>
          <w:szCs w:val="22"/>
          <w:lang w:val="sr-Latn-ME"/>
        </w:rPr>
        <w:t xml:space="preserve"> 4.4, 4.5 i 4.8).</w:t>
      </w:r>
    </w:p>
    <w:p w14:paraId="7061FC4A" w14:textId="546AD09E" w:rsidR="003F19E4" w:rsidRDefault="003F19E4">
      <w:pPr>
        <w:tabs>
          <w:tab w:val="clear" w:pos="284"/>
        </w:tabs>
        <w:autoSpaceDE w:val="0"/>
        <w:autoSpaceDN w:val="0"/>
        <w:adjustRightInd w:val="0"/>
        <w:rPr>
          <w:rFonts w:eastAsia="TimesNewRoman"/>
          <w:szCs w:val="22"/>
          <w:lang w:val="sr-Latn-ME"/>
        </w:rPr>
      </w:pPr>
    </w:p>
    <w:p w14:paraId="20D221CE" w14:textId="37E51E13" w:rsidR="00160EF0" w:rsidRDefault="00160EF0">
      <w:pPr>
        <w:tabs>
          <w:tab w:val="clear" w:pos="284"/>
        </w:tabs>
        <w:autoSpaceDE w:val="0"/>
        <w:autoSpaceDN w:val="0"/>
        <w:adjustRightInd w:val="0"/>
        <w:rPr>
          <w:rFonts w:eastAsia="TimesNewRoman"/>
          <w:szCs w:val="22"/>
          <w:lang w:val="sr-Latn-ME"/>
        </w:rPr>
      </w:pPr>
    </w:p>
    <w:p w14:paraId="6BBF8495" w14:textId="77777777" w:rsidR="00160EF0" w:rsidRPr="004F2B81" w:rsidRDefault="00160EF0">
      <w:pPr>
        <w:tabs>
          <w:tab w:val="clear" w:pos="284"/>
        </w:tabs>
        <w:autoSpaceDE w:val="0"/>
        <w:autoSpaceDN w:val="0"/>
        <w:adjustRightInd w:val="0"/>
        <w:rPr>
          <w:rFonts w:eastAsia="TimesNewRoman"/>
          <w:szCs w:val="22"/>
          <w:lang w:val="sr-Latn-ME"/>
        </w:rPr>
      </w:pPr>
    </w:p>
    <w:p w14:paraId="09C6B045" w14:textId="62F11CDD" w:rsidR="002A68BF" w:rsidRDefault="002A68BF">
      <w:pPr>
        <w:rPr>
          <w:szCs w:val="22"/>
          <w:lang w:val="sr-Latn-ME"/>
        </w:rPr>
      </w:pPr>
      <w:r w:rsidRPr="004F2B81">
        <w:rPr>
          <w:szCs w:val="22"/>
          <w:lang w:val="sr-Latn-ME"/>
        </w:rPr>
        <w:lastRenderedPageBreak/>
        <w:t>Preporučena doza</w:t>
      </w:r>
      <w:r w:rsidR="00A541A5" w:rsidRPr="004F2B81">
        <w:rPr>
          <w:szCs w:val="22"/>
          <w:lang w:val="sr-Latn-ME"/>
        </w:rPr>
        <w:t xml:space="preserve"> u terapiji nadoknade ugljenih hidrata i tečnosti</w:t>
      </w:r>
      <w:r w:rsidR="007611DB" w:rsidRPr="004F2B81">
        <w:rPr>
          <w:szCs w:val="22"/>
          <w:lang w:val="sr-Latn-ME"/>
        </w:rPr>
        <w:t xml:space="preserve"> je:</w:t>
      </w:r>
      <w:r w:rsidRPr="004F2B81">
        <w:rPr>
          <w:szCs w:val="22"/>
          <w:lang w:val="sr-Latn-ME"/>
        </w:rPr>
        <w:t xml:space="preserve"> </w:t>
      </w:r>
    </w:p>
    <w:p w14:paraId="56ED3DE6" w14:textId="77777777" w:rsidR="00CC4573" w:rsidRPr="004F2B81" w:rsidRDefault="00CC4573">
      <w:pPr>
        <w:rPr>
          <w:szCs w:val="22"/>
          <w:lang w:val="sr-Latn-ME"/>
        </w:rPr>
      </w:pPr>
    </w:p>
    <w:p w14:paraId="26650975" w14:textId="4F80830A" w:rsidR="002A68BF" w:rsidRDefault="007611DB">
      <w:pPr>
        <w:pStyle w:val="ListParagraph"/>
        <w:numPr>
          <w:ilvl w:val="0"/>
          <w:numId w:val="16"/>
        </w:numPr>
        <w:rPr>
          <w:szCs w:val="22"/>
          <w:lang w:val="sr-Latn-ME"/>
        </w:rPr>
      </w:pPr>
      <w:r w:rsidRPr="004F2B81">
        <w:rPr>
          <w:szCs w:val="22"/>
          <w:lang w:val="sr-Latn-ME"/>
        </w:rPr>
        <w:t>za odrasle</w:t>
      </w:r>
      <w:r w:rsidR="002A68BF" w:rsidRPr="004F2B81">
        <w:rPr>
          <w:szCs w:val="22"/>
          <w:lang w:val="sr-Latn-ME"/>
        </w:rPr>
        <w:t>: 500 m</w:t>
      </w:r>
      <w:r w:rsidR="00CD4F26">
        <w:rPr>
          <w:szCs w:val="22"/>
          <w:lang w:val="sr-Latn-ME"/>
        </w:rPr>
        <w:t>l</w:t>
      </w:r>
      <w:r w:rsidR="002A68BF" w:rsidRPr="004F2B81">
        <w:rPr>
          <w:szCs w:val="22"/>
          <w:lang w:val="sr-Latn-ME"/>
        </w:rPr>
        <w:t xml:space="preserve"> </w:t>
      </w:r>
      <w:r w:rsidRPr="004F2B81">
        <w:rPr>
          <w:szCs w:val="22"/>
          <w:lang w:val="sr-Latn-ME"/>
        </w:rPr>
        <w:t>d</w:t>
      </w:r>
      <w:r w:rsidR="002A68BF" w:rsidRPr="004F2B81">
        <w:rPr>
          <w:szCs w:val="22"/>
          <w:lang w:val="sr-Latn-ME"/>
        </w:rPr>
        <w:t>o 3 litr</w:t>
      </w:r>
      <w:r w:rsidRPr="004F2B81">
        <w:rPr>
          <w:szCs w:val="22"/>
          <w:lang w:val="sr-Latn-ME"/>
        </w:rPr>
        <w:t>a</w:t>
      </w:r>
      <w:r w:rsidR="002A68BF" w:rsidRPr="004F2B81">
        <w:rPr>
          <w:szCs w:val="22"/>
          <w:lang w:val="sr-Latn-ME"/>
        </w:rPr>
        <w:t>/24h</w:t>
      </w:r>
    </w:p>
    <w:p w14:paraId="102FF499" w14:textId="77777777" w:rsidR="00CC4573" w:rsidRPr="004F2B81" w:rsidRDefault="00CC4573" w:rsidP="00E90FF7">
      <w:pPr>
        <w:pStyle w:val="ListParagraph"/>
        <w:ind w:left="360"/>
        <w:rPr>
          <w:szCs w:val="22"/>
          <w:lang w:val="sr-Latn-ME"/>
        </w:rPr>
      </w:pPr>
    </w:p>
    <w:p w14:paraId="0D2889F0" w14:textId="66FE04D4" w:rsidR="002A68BF" w:rsidRDefault="007611DB">
      <w:pPr>
        <w:pStyle w:val="ListParagraph"/>
        <w:numPr>
          <w:ilvl w:val="0"/>
          <w:numId w:val="16"/>
        </w:numPr>
        <w:rPr>
          <w:szCs w:val="22"/>
          <w:lang w:val="sr-Latn-ME"/>
        </w:rPr>
      </w:pPr>
      <w:r w:rsidRPr="004F2B81">
        <w:rPr>
          <w:szCs w:val="22"/>
          <w:lang w:val="sr-Latn-ME"/>
        </w:rPr>
        <w:t>za</w:t>
      </w:r>
      <w:r w:rsidR="00297760" w:rsidRPr="004F2B81">
        <w:rPr>
          <w:szCs w:val="22"/>
          <w:lang w:val="sr-Latn-ME"/>
        </w:rPr>
        <w:t xml:space="preserve"> novorođenčad i d</w:t>
      </w:r>
      <w:r w:rsidR="003F19E4" w:rsidRPr="004F2B81">
        <w:rPr>
          <w:szCs w:val="22"/>
          <w:lang w:val="sr-Latn-ME"/>
        </w:rPr>
        <w:t>j</w:t>
      </w:r>
      <w:r w:rsidR="00297760" w:rsidRPr="004F2B81">
        <w:rPr>
          <w:szCs w:val="22"/>
          <w:lang w:val="sr-Latn-ME"/>
        </w:rPr>
        <w:t>ecu</w:t>
      </w:r>
      <w:r w:rsidR="002A68BF" w:rsidRPr="004F2B81">
        <w:rPr>
          <w:szCs w:val="22"/>
          <w:lang w:val="sr-Latn-ME"/>
        </w:rPr>
        <w:t>:</w:t>
      </w:r>
    </w:p>
    <w:p w14:paraId="3A0C2C7B" w14:textId="77777777" w:rsidR="00CC4573" w:rsidRPr="004F2B81" w:rsidRDefault="00CC4573" w:rsidP="00E90FF7">
      <w:pPr>
        <w:pStyle w:val="ListParagraph"/>
        <w:ind w:left="360"/>
        <w:rPr>
          <w:szCs w:val="22"/>
          <w:lang w:val="sr-Latn-ME"/>
        </w:rPr>
      </w:pPr>
    </w:p>
    <w:tbl>
      <w:tblPr>
        <w:tblStyle w:val="TableGrid"/>
        <w:tblW w:w="5000" w:type="pct"/>
        <w:tblLook w:val="04A0" w:firstRow="1" w:lastRow="0" w:firstColumn="1" w:lastColumn="0" w:noHBand="0" w:noVBand="1"/>
      </w:tblPr>
      <w:tblGrid>
        <w:gridCol w:w="453"/>
        <w:gridCol w:w="2678"/>
        <w:gridCol w:w="5930"/>
      </w:tblGrid>
      <w:tr w:rsidR="002A68BF" w:rsidRPr="004F2B81" w14:paraId="67409125" w14:textId="77777777" w:rsidTr="00E90FF7">
        <w:trPr>
          <w:trHeight w:val="20"/>
        </w:trPr>
        <w:tc>
          <w:tcPr>
            <w:tcW w:w="250" w:type="pct"/>
            <w:hideMark/>
          </w:tcPr>
          <w:p w14:paraId="67406F66" w14:textId="77777777" w:rsidR="002A68BF" w:rsidRPr="004F2B81" w:rsidRDefault="002A68BF" w:rsidP="00E90FF7">
            <w:pPr>
              <w:rPr>
                <w:szCs w:val="22"/>
                <w:lang w:val="sr-Latn-ME"/>
              </w:rPr>
            </w:pPr>
          </w:p>
        </w:tc>
        <w:tc>
          <w:tcPr>
            <w:tcW w:w="1478" w:type="pct"/>
            <w:hideMark/>
          </w:tcPr>
          <w:p w14:paraId="2DFE8EE2" w14:textId="324AA0A4" w:rsidR="002A68BF" w:rsidRPr="004F2B81" w:rsidRDefault="002A68BF" w:rsidP="00E90FF7">
            <w:pPr>
              <w:rPr>
                <w:szCs w:val="22"/>
                <w:lang w:val="sr-Latn-ME"/>
              </w:rPr>
            </w:pPr>
            <w:r w:rsidRPr="004F2B81">
              <w:rPr>
                <w:szCs w:val="22"/>
                <w:lang w:val="sr-Latn-ME"/>
              </w:rPr>
              <w:t xml:space="preserve">- 0-10 kg </w:t>
            </w:r>
            <w:r w:rsidR="00297760" w:rsidRPr="004F2B81">
              <w:rPr>
                <w:szCs w:val="22"/>
                <w:lang w:val="sr-Latn-ME"/>
              </w:rPr>
              <w:t>t</w:t>
            </w:r>
            <w:r w:rsidR="003F19E4" w:rsidRPr="004F2B81">
              <w:rPr>
                <w:szCs w:val="22"/>
                <w:lang w:val="sr-Latn-ME"/>
              </w:rPr>
              <w:t>j</w:t>
            </w:r>
            <w:r w:rsidR="00297760" w:rsidRPr="004F2B81">
              <w:rPr>
                <w:szCs w:val="22"/>
                <w:lang w:val="sr-Latn-ME"/>
              </w:rPr>
              <w:t>elesne</w:t>
            </w:r>
            <w:r w:rsidR="00956CD7" w:rsidRPr="004F2B81">
              <w:rPr>
                <w:szCs w:val="22"/>
                <w:lang w:val="sr-Latn-ME"/>
              </w:rPr>
              <w:t xml:space="preserve"> </w:t>
            </w:r>
            <w:r w:rsidR="00297760" w:rsidRPr="004F2B81">
              <w:rPr>
                <w:szCs w:val="22"/>
                <w:lang w:val="sr-Latn-ME"/>
              </w:rPr>
              <w:t>ma</w:t>
            </w:r>
            <w:r w:rsidR="00956CD7" w:rsidRPr="004F2B81">
              <w:rPr>
                <w:szCs w:val="22"/>
                <w:lang w:val="sr-Latn-ME"/>
              </w:rPr>
              <w:t>se</w:t>
            </w:r>
            <w:r w:rsidRPr="004F2B81">
              <w:rPr>
                <w:szCs w:val="22"/>
                <w:lang w:val="sr-Latn-ME"/>
              </w:rPr>
              <w:t>:</w:t>
            </w:r>
          </w:p>
        </w:tc>
        <w:tc>
          <w:tcPr>
            <w:tcW w:w="3272" w:type="pct"/>
            <w:hideMark/>
          </w:tcPr>
          <w:p w14:paraId="19BC48C6" w14:textId="656FFAFF" w:rsidR="002A68BF" w:rsidRPr="004F2B81" w:rsidRDefault="002A68BF" w:rsidP="00E90FF7">
            <w:pPr>
              <w:rPr>
                <w:szCs w:val="22"/>
                <w:lang w:val="sr-Latn-ME"/>
              </w:rPr>
            </w:pPr>
            <w:r w:rsidRPr="004F2B81">
              <w:rPr>
                <w:szCs w:val="22"/>
                <w:lang w:val="sr-Latn-ME"/>
              </w:rPr>
              <w:t>100 m</w:t>
            </w:r>
            <w:r w:rsidR="001F3DCA">
              <w:rPr>
                <w:szCs w:val="22"/>
                <w:lang w:val="sr-Latn-ME"/>
              </w:rPr>
              <w:t>l</w:t>
            </w:r>
            <w:r w:rsidRPr="004F2B81">
              <w:rPr>
                <w:szCs w:val="22"/>
                <w:lang w:val="sr-Latn-ME"/>
              </w:rPr>
              <w:t>/kg/24h.</w:t>
            </w:r>
          </w:p>
        </w:tc>
      </w:tr>
      <w:tr w:rsidR="002A68BF" w:rsidRPr="004F2B81" w14:paraId="212B1093" w14:textId="77777777" w:rsidTr="00E90FF7">
        <w:trPr>
          <w:trHeight w:val="20"/>
        </w:trPr>
        <w:tc>
          <w:tcPr>
            <w:tcW w:w="250" w:type="pct"/>
            <w:hideMark/>
          </w:tcPr>
          <w:p w14:paraId="330D21A4" w14:textId="77777777" w:rsidR="002A68BF" w:rsidRPr="004F2B81" w:rsidRDefault="002A68BF" w:rsidP="00E90FF7">
            <w:pPr>
              <w:rPr>
                <w:szCs w:val="22"/>
                <w:lang w:val="sr-Latn-ME"/>
              </w:rPr>
            </w:pPr>
          </w:p>
        </w:tc>
        <w:tc>
          <w:tcPr>
            <w:tcW w:w="1478" w:type="pct"/>
            <w:hideMark/>
          </w:tcPr>
          <w:p w14:paraId="19D06B52" w14:textId="74018FD0" w:rsidR="002A68BF" w:rsidRPr="004F2B81" w:rsidRDefault="002A68BF" w:rsidP="00E90FF7">
            <w:pPr>
              <w:rPr>
                <w:szCs w:val="22"/>
                <w:lang w:val="sr-Latn-ME"/>
              </w:rPr>
            </w:pPr>
            <w:r w:rsidRPr="004F2B81">
              <w:rPr>
                <w:szCs w:val="22"/>
                <w:lang w:val="sr-Latn-ME"/>
              </w:rPr>
              <w:t xml:space="preserve">- 10-20 kg </w:t>
            </w:r>
            <w:r w:rsidR="00956CD7" w:rsidRPr="004F2B81">
              <w:rPr>
                <w:szCs w:val="22"/>
                <w:lang w:val="sr-Latn-ME"/>
              </w:rPr>
              <w:t>t</w:t>
            </w:r>
            <w:r w:rsidR="003F19E4" w:rsidRPr="004F2B81">
              <w:rPr>
                <w:szCs w:val="22"/>
                <w:lang w:val="sr-Latn-ME"/>
              </w:rPr>
              <w:t>j</w:t>
            </w:r>
            <w:r w:rsidR="00956CD7" w:rsidRPr="004F2B81">
              <w:rPr>
                <w:szCs w:val="22"/>
                <w:lang w:val="sr-Latn-ME"/>
              </w:rPr>
              <w:t>elesne mase</w:t>
            </w:r>
            <w:r w:rsidRPr="004F2B81">
              <w:rPr>
                <w:szCs w:val="22"/>
                <w:lang w:val="sr-Latn-ME"/>
              </w:rPr>
              <w:t>:</w:t>
            </w:r>
          </w:p>
        </w:tc>
        <w:tc>
          <w:tcPr>
            <w:tcW w:w="3272" w:type="pct"/>
            <w:hideMark/>
          </w:tcPr>
          <w:p w14:paraId="6BB1DAFD" w14:textId="516C0BAC" w:rsidR="002A68BF" w:rsidRPr="004F2B81" w:rsidRDefault="002A68BF" w:rsidP="00E90FF7">
            <w:pPr>
              <w:rPr>
                <w:szCs w:val="22"/>
                <w:lang w:val="sr-Latn-ME"/>
              </w:rPr>
            </w:pPr>
            <w:r w:rsidRPr="004F2B81">
              <w:rPr>
                <w:szCs w:val="22"/>
                <w:lang w:val="sr-Latn-ME"/>
              </w:rPr>
              <w:t>1000 m</w:t>
            </w:r>
            <w:r w:rsidR="001F3DCA">
              <w:rPr>
                <w:szCs w:val="22"/>
                <w:lang w:val="sr-Latn-ME"/>
              </w:rPr>
              <w:t>l</w:t>
            </w:r>
            <w:r w:rsidRPr="004F2B81">
              <w:rPr>
                <w:szCs w:val="22"/>
                <w:lang w:val="sr-Latn-ME"/>
              </w:rPr>
              <w:t xml:space="preserve"> + 50 m</w:t>
            </w:r>
            <w:r w:rsidR="001F3DCA">
              <w:rPr>
                <w:szCs w:val="22"/>
                <w:lang w:val="sr-Latn-ME"/>
              </w:rPr>
              <w:t>l</w:t>
            </w:r>
            <w:r w:rsidRPr="004F2B81">
              <w:rPr>
                <w:szCs w:val="22"/>
                <w:lang w:val="sr-Latn-ME"/>
              </w:rPr>
              <w:t xml:space="preserve">/kg </w:t>
            </w:r>
            <w:r w:rsidR="00634FFA" w:rsidRPr="004F2B81">
              <w:rPr>
                <w:szCs w:val="22"/>
                <w:lang w:val="sr-Latn-ME"/>
              </w:rPr>
              <w:t>preko</w:t>
            </w:r>
            <w:r w:rsidRPr="004F2B81">
              <w:rPr>
                <w:szCs w:val="22"/>
                <w:lang w:val="sr-Latn-ME"/>
              </w:rPr>
              <w:t xml:space="preserve"> 10 kg/24h.</w:t>
            </w:r>
          </w:p>
        </w:tc>
      </w:tr>
      <w:tr w:rsidR="002A68BF" w:rsidRPr="004F2B81" w14:paraId="5D80AEC0" w14:textId="77777777" w:rsidTr="00E90FF7">
        <w:trPr>
          <w:trHeight w:val="20"/>
        </w:trPr>
        <w:tc>
          <w:tcPr>
            <w:tcW w:w="250" w:type="pct"/>
            <w:hideMark/>
          </w:tcPr>
          <w:p w14:paraId="0C27AA34" w14:textId="77777777" w:rsidR="002A68BF" w:rsidRPr="004F2B81" w:rsidRDefault="002A68BF" w:rsidP="00E90FF7">
            <w:pPr>
              <w:rPr>
                <w:szCs w:val="22"/>
                <w:lang w:val="sr-Latn-ME"/>
              </w:rPr>
            </w:pPr>
          </w:p>
        </w:tc>
        <w:tc>
          <w:tcPr>
            <w:tcW w:w="1478" w:type="pct"/>
            <w:hideMark/>
          </w:tcPr>
          <w:p w14:paraId="68B9355A" w14:textId="399C9E6E" w:rsidR="002A68BF" w:rsidRPr="007E336A" w:rsidRDefault="002A68BF" w:rsidP="00E90FF7">
            <w:pPr>
              <w:pStyle w:val="ListParagraph"/>
              <w:numPr>
                <w:ilvl w:val="0"/>
                <w:numId w:val="16"/>
              </w:numPr>
              <w:rPr>
                <w:szCs w:val="22"/>
                <w:lang w:val="sr-Latn-ME"/>
              </w:rPr>
            </w:pPr>
            <w:r w:rsidRPr="007E336A">
              <w:rPr>
                <w:szCs w:val="22"/>
                <w:lang w:val="sr-Latn-ME"/>
              </w:rPr>
              <w:t xml:space="preserve">&gt; 20 kg </w:t>
            </w:r>
            <w:r w:rsidR="00956CD7" w:rsidRPr="007E336A">
              <w:rPr>
                <w:szCs w:val="22"/>
                <w:lang w:val="sr-Latn-ME"/>
              </w:rPr>
              <w:t>t</w:t>
            </w:r>
            <w:r w:rsidR="003F19E4" w:rsidRPr="007E336A">
              <w:rPr>
                <w:szCs w:val="22"/>
                <w:lang w:val="sr-Latn-ME"/>
              </w:rPr>
              <w:t>j</w:t>
            </w:r>
            <w:r w:rsidR="00956CD7" w:rsidRPr="007E336A">
              <w:rPr>
                <w:szCs w:val="22"/>
                <w:lang w:val="sr-Latn-ME"/>
              </w:rPr>
              <w:t>elesne mase</w:t>
            </w:r>
            <w:r w:rsidRPr="007E336A">
              <w:rPr>
                <w:szCs w:val="22"/>
                <w:lang w:val="sr-Latn-ME"/>
              </w:rPr>
              <w:t>:</w:t>
            </w:r>
          </w:p>
        </w:tc>
        <w:tc>
          <w:tcPr>
            <w:tcW w:w="3272" w:type="pct"/>
            <w:hideMark/>
          </w:tcPr>
          <w:p w14:paraId="355FB21D" w14:textId="010AADE1" w:rsidR="00216CCA" w:rsidRPr="004F2B81" w:rsidRDefault="002A68BF" w:rsidP="00E90FF7">
            <w:pPr>
              <w:rPr>
                <w:szCs w:val="22"/>
                <w:lang w:val="sr-Latn-ME"/>
              </w:rPr>
            </w:pPr>
            <w:r w:rsidRPr="004F2B81">
              <w:rPr>
                <w:szCs w:val="22"/>
                <w:lang w:val="sr-Latn-ME"/>
              </w:rPr>
              <w:t>1500 m</w:t>
            </w:r>
            <w:r w:rsidR="001F3DCA">
              <w:rPr>
                <w:szCs w:val="22"/>
                <w:lang w:val="sr-Latn-ME"/>
              </w:rPr>
              <w:t>l</w:t>
            </w:r>
            <w:r w:rsidRPr="004F2B81">
              <w:rPr>
                <w:szCs w:val="22"/>
                <w:lang w:val="sr-Latn-ME"/>
              </w:rPr>
              <w:t xml:space="preserve"> + 20 m</w:t>
            </w:r>
            <w:r w:rsidR="001F3DCA">
              <w:rPr>
                <w:szCs w:val="22"/>
                <w:lang w:val="sr-Latn-ME"/>
              </w:rPr>
              <w:t>l</w:t>
            </w:r>
            <w:r w:rsidRPr="004F2B81">
              <w:rPr>
                <w:szCs w:val="22"/>
                <w:lang w:val="sr-Latn-ME"/>
              </w:rPr>
              <w:t xml:space="preserve">/kg </w:t>
            </w:r>
            <w:r w:rsidR="00634FFA" w:rsidRPr="004F2B81">
              <w:rPr>
                <w:szCs w:val="22"/>
                <w:lang w:val="sr-Latn-ME"/>
              </w:rPr>
              <w:t>preko</w:t>
            </w:r>
            <w:r w:rsidRPr="004F2B81">
              <w:rPr>
                <w:szCs w:val="22"/>
                <w:lang w:val="sr-Latn-ME"/>
              </w:rPr>
              <w:t xml:space="preserve"> 20 kg/24h.</w:t>
            </w:r>
          </w:p>
          <w:p w14:paraId="24409AD5" w14:textId="1A0D4C04" w:rsidR="00197D6E" w:rsidRPr="004F2B81" w:rsidRDefault="00197D6E" w:rsidP="00E90FF7">
            <w:pPr>
              <w:rPr>
                <w:szCs w:val="22"/>
                <w:lang w:val="sr-Latn-ME"/>
              </w:rPr>
            </w:pPr>
          </w:p>
        </w:tc>
      </w:tr>
    </w:tbl>
    <w:p w14:paraId="12FCA16A" w14:textId="77777777" w:rsidR="003F19E4" w:rsidRPr="004F2B81" w:rsidRDefault="003F19E4" w:rsidP="004F2B81">
      <w:pPr>
        <w:rPr>
          <w:szCs w:val="22"/>
          <w:lang w:val="sr-Latn-ME"/>
        </w:rPr>
      </w:pPr>
    </w:p>
    <w:p w14:paraId="2CBCDFA2" w14:textId="17578100" w:rsidR="002A68BF" w:rsidRPr="004F2B81" w:rsidRDefault="00634FFA" w:rsidP="004F2B81">
      <w:pPr>
        <w:rPr>
          <w:szCs w:val="22"/>
          <w:lang w:val="sr-Latn-ME"/>
        </w:rPr>
      </w:pPr>
      <w:r w:rsidRPr="004F2B81">
        <w:rPr>
          <w:szCs w:val="22"/>
          <w:lang w:val="sr-Latn-ME"/>
        </w:rPr>
        <w:t>Brzina infuzije zavisi od</w:t>
      </w:r>
      <w:r w:rsidR="00EF21CB" w:rsidRPr="004F2B81">
        <w:rPr>
          <w:szCs w:val="22"/>
          <w:lang w:val="sr-Latn-ME"/>
        </w:rPr>
        <w:t xml:space="preserve"> kliničkog stanja</w:t>
      </w:r>
      <w:r w:rsidR="0032701B" w:rsidRPr="004F2B81">
        <w:rPr>
          <w:szCs w:val="22"/>
          <w:lang w:val="sr-Latn-ME"/>
        </w:rPr>
        <w:t xml:space="preserve"> pacijenta</w:t>
      </w:r>
      <w:r w:rsidR="00EF21CB" w:rsidRPr="004F2B81">
        <w:rPr>
          <w:szCs w:val="22"/>
          <w:lang w:val="sr-Latn-ME"/>
        </w:rPr>
        <w:t>.</w:t>
      </w:r>
    </w:p>
    <w:p w14:paraId="21F0FC00" w14:textId="77777777" w:rsidR="003F19E4" w:rsidRPr="004F2B81" w:rsidRDefault="003F19E4" w:rsidP="004F2B81">
      <w:pPr>
        <w:rPr>
          <w:szCs w:val="22"/>
          <w:lang w:val="sr-Latn-ME"/>
        </w:rPr>
      </w:pPr>
    </w:p>
    <w:p w14:paraId="64DC0232" w14:textId="75F53B37" w:rsidR="002A68BF" w:rsidRPr="004F2B81" w:rsidRDefault="00592B00" w:rsidP="004F2B81">
      <w:pPr>
        <w:rPr>
          <w:szCs w:val="22"/>
          <w:lang w:val="sr-Latn-ME"/>
        </w:rPr>
      </w:pPr>
      <w:r w:rsidRPr="004F2B81">
        <w:rPr>
          <w:szCs w:val="22"/>
          <w:lang w:val="sr-Latn-ME"/>
        </w:rPr>
        <w:t>Brzina infuzije</w:t>
      </w:r>
      <w:r w:rsidR="00454C2B" w:rsidRPr="004F2B81">
        <w:rPr>
          <w:szCs w:val="22"/>
          <w:lang w:val="sr-Latn-ME"/>
        </w:rPr>
        <w:t xml:space="preserve"> ne treba da prevaziđe kapacitet </w:t>
      </w:r>
      <w:r w:rsidR="0049357A" w:rsidRPr="004F2B81">
        <w:rPr>
          <w:szCs w:val="22"/>
          <w:lang w:val="sr-Latn-ME"/>
        </w:rPr>
        <w:t>oksidacij</w:t>
      </w:r>
      <w:r w:rsidR="00701586" w:rsidRPr="004F2B81">
        <w:rPr>
          <w:szCs w:val="22"/>
          <w:lang w:val="sr-Latn-ME"/>
        </w:rPr>
        <w:t>e</w:t>
      </w:r>
      <w:r w:rsidR="0049357A" w:rsidRPr="004F2B81">
        <w:rPr>
          <w:szCs w:val="22"/>
          <w:lang w:val="sr-Latn-ME"/>
        </w:rPr>
        <w:t xml:space="preserve"> glukoze </w:t>
      </w:r>
      <w:r w:rsidR="00701586" w:rsidRPr="004F2B81">
        <w:rPr>
          <w:szCs w:val="22"/>
          <w:lang w:val="sr-Latn-ME"/>
        </w:rPr>
        <w:t xml:space="preserve">pacijenta </w:t>
      </w:r>
      <w:r w:rsidR="0049357A" w:rsidRPr="004F2B81">
        <w:rPr>
          <w:szCs w:val="22"/>
          <w:lang w:val="sr-Latn-ME"/>
        </w:rPr>
        <w:t>kako bi se izb</w:t>
      </w:r>
      <w:r w:rsidR="00141DF8" w:rsidRPr="004F2B81">
        <w:rPr>
          <w:szCs w:val="22"/>
          <w:lang w:val="sr-Latn-ME"/>
        </w:rPr>
        <w:t>j</w:t>
      </w:r>
      <w:r w:rsidR="0049357A" w:rsidRPr="004F2B81">
        <w:rPr>
          <w:szCs w:val="22"/>
          <w:lang w:val="sr-Latn-ME"/>
        </w:rPr>
        <w:t>egla pojava hiperglikemije.</w:t>
      </w:r>
      <w:r w:rsidR="002A68BF" w:rsidRPr="004F2B81">
        <w:rPr>
          <w:szCs w:val="22"/>
          <w:lang w:val="sr-Latn-ME"/>
        </w:rPr>
        <w:t xml:space="preserve"> </w:t>
      </w:r>
      <w:r w:rsidR="0049357A" w:rsidRPr="004F2B81">
        <w:rPr>
          <w:szCs w:val="22"/>
          <w:lang w:val="sr-Latn-ME"/>
        </w:rPr>
        <w:t>Prema tome</w:t>
      </w:r>
      <w:r w:rsidR="002A68BF" w:rsidRPr="004F2B81">
        <w:rPr>
          <w:szCs w:val="22"/>
          <w:lang w:val="sr-Latn-ME"/>
        </w:rPr>
        <w:t xml:space="preserve">, </w:t>
      </w:r>
      <w:r w:rsidR="00C2371C" w:rsidRPr="004F2B81">
        <w:rPr>
          <w:szCs w:val="22"/>
          <w:lang w:val="sr-Latn-ME"/>
        </w:rPr>
        <w:t>maksimalna brzina infuzije je od</w:t>
      </w:r>
      <w:r w:rsidR="002A68BF" w:rsidRPr="004F2B81">
        <w:rPr>
          <w:szCs w:val="22"/>
          <w:lang w:val="sr-Latn-ME"/>
        </w:rPr>
        <w:t xml:space="preserve"> 5</w:t>
      </w:r>
      <w:r w:rsidR="008D45E4">
        <w:rPr>
          <w:szCs w:val="22"/>
          <w:lang w:val="sr-Latn-ME"/>
        </w:rPr>
        <w:t xml:space="preserve"> </w:t>
      </w:r>
      <w:r w:rsidR="002A68BF" w:rsidRPr="004F2B81">
        <w:rPr>
          <w:szCs w:val="22"/>
          <w:lang w:val="sr-Latn-ME"/>
        </w:rPr>
        <w:t xml:space="preserve">mg/kg/min </w:t>
      </w:r>
      <w:r w:rsidR="00AC3F87" w:rsidRPr="004F2B81">
        <w:rPr>
          <w:szCs w:val="22"/>
          <w:lang w:val="sr-Latn-ME"/>
        </w:rPr>
        <w:t>za odrasle</w:t>
      </w:r>
      <w:r w:rsidR="002A68BF" w:rsidRPr="004F2B81">
        <w:rPr>
          <w:szCs w:val="22"/>
          <w:lang w:val="sr-Latn-ME"/>
        </w:rPr>
        <w:t xml:space="preserve"> </w:t>
      </w:r>
      <w:r w:rsidR="00AC3F87" w:rsidRPr="004F2B81">
        <w:rPr>
          <w:szCs w:val="22"/>
          <w:lang w:val="sr-Latn-ME"/>
        </w:rPr>
        <w:t>d</w:t>
      </w:r>
      <w:r w:rsidR="002A68BF" w:rsidRPr="004F2B81">
        <w:rPr>
          <w:szCs w:val="22"/>
          <w:lang w:val="sr-Latn-ME"/>
        </w:rPr>
        <w:t xml:space="preserve">o 10-18 mg/kg/min </w:t>
      </w:r>
      <w:r w:rsidR="00AC3F87" w:rsidRPr="004F2B81">
        <w:rPr>
          <w:szCs w:val="22"/>
          <w:lang w:val="sr-Latn-ME"/>
        </w:rPr>
        <w:t>za</w:t>
      </w:r>
      <w:r w:rsidR="002A68BF" w:rsidRPr="004F2B81">
        <w:rPr>
          <w:szCs w:val="22"/>
          <w:lang w:val="sr-Latn-ME"/>
        </w:rPr>
        <w:t xml:space="preserve"> </w:t>
      </w:r>
      <w:r w:rsidR="00AC3F87" w:rsidRPr="004F2B81">
        <w:rPr>
          <w:szCs w:val="22"/>
          <w:lang w:val="sr-Latn-ME"/>
        </w:rPr>
        <w:t>novorođenčad</w:t>
      </w:r>
      <w:r w:rsidR="002A68BF" w:rsidRPr="004F2B81">
        <w:rPr>
          <w:szCs w:val="22"/>
          <w:lang w:val="sr-Latn-ME"/>
        </w:rPr>
        <w:t xml:space="preserve"> </w:t>
      </w:r>
      <w:r w:rsidR="00AC3F87" w:rsidRPr="004F2B81">
        <w:rPr>
          <w:szCs w:val="22"/>
          <w:lang w:val="sr-Latn-ME"/>
        </w:rPr>
        <w:t>i</w:t>
      </w:r>
      <w:r w:rsidR="002A68BF" w:rsidRPr="004F2B81">
        <w:rPr>
          <w:szCs w:val="22"/>
          <w:lang w:val="sr-Latn-ME"/>
        </w:rPr>
        <w:t xml:space="preserve"> </w:t>
      </w:r>
      <w:r w:rsidR="00775CA0" w:rsidRPr="004F2B81">
        <w:rPr>
          <w:szCs w:val="22"/>
          <w:lang w:val="sr-Latn-ME"/>
        </w:rPr>
        <w:t>d</w:t>
      </w:r>
      <w:r w:rsidR="003F19E4" w:rsidRPr="004F2B81">
        <w:rPr>
          <w:szCs w:val="22"/>
          <w:lang w:val="sr-Latn-ME"/>
        </w:rPr>
        <w:t>j</w:t>
      </w:r>
      <w:r w:rsidR="00775CA0" w:rsidRPr="004F2B81">
        <w:rPr>
          <w:szCs w:val="22"/>
          <w:lang w:val="sr-Latn-ME"/>
        </w:rPr>
        <w:t>ecu zavisno od uzrasta i t</w:t>
      </w:r>
      <w:r w:rsidR="003F19E4" w:rsidRPr="004F2B81">
        <w:rPr>
          <w:szCs w:val="22"/>
          <w:lang w:val="sr-Latn-ME"/>
        </w:rPr>
        <w:t>j</w:t>
      </w:r>
      <w:r w:rsidR="00775CA0" w:rsidRPr="004F2B81">
        <w:rPr>
          <w:szCs w:val="22"/>
          <w:lang w:val="sr-Latn-ME"/>
        </w:rPr>
        <w:t>elesne mase.</w:t>
      </w:r>
    </w:p>
    <w:p w14:paraId="0C90097D" w14:textId="77777777" w:rsidR="00646D50" w:rsidRDefault="00646D50" w:rsidP="004F2B81">
      <w:pPr>
        <w:rPr>
          <w:szCs w:val="22"/>
          <w:lang w:val="sr-Latn-ME"/>
        </w:rPr>
      </w:pPr>
    </w:p>
    <w:p w14:paraId="674D28C7" w14:textId="48CECDC0" w:rsidR="002A68BF" w:rsidRPr="004F2B81" w:rsidRDefault="000A1A19" w:rsidP="004F2B81">
      <w:pPr>
        <w:rPr>
          <w:szCs w:val="22"/>
          <w:lang w:val="sr-Latn-ME"/>
        </w:rPr>
      </w:pPr>
      <w:r w:rsidRPr="004F2B81">
        <w:rPr>
          <w:szCs w:val="22"/>
          <w:lang w:val="sr-Latn-ME"/>
        </w:rPr>
        <w:t>Preporučeno doziranje u slučaju prim</w:t>
      </w:r>
      <w:r w:rsidR="003F19E4" w:rsidRPr="004F2B81">
        <w:rPr>
          <w:szCs w:val="22"/>
          <w:lang w:val="sr-Latn-ME"/>
        </w:rPr>
        <w:t>j</w:t>
      </w:r>
      <w:r w:rsidRPr="004F2B81">
        <w:rPr>
          <w:szCs w:val="22"/>
          <w:lang w:val="sr-Latn-ME"/>
        </w:rPr>
        <w:t xml:space="preserve">ene </w:t>
      </w:r>
      <w:r w:rsidR="00AE4D1D" w:rsidRPr="004F2B81">
        <w:rPr>
          <w:szCs w:val="22"/>
          <w:lang w:val="sr-Latn-ME"/>
        </w:rPr>
        <w:t>rastvora kao rastvarača je od 50 do 250 m</w:t>
      </w:r>
      <w:r w:rsidR="008D45E4">
        <w:rPr>
          <w:szCs w:val="22"/>
          <w:lang w:val="sr-Latn-ME"/>
        </w:rPr>
        <w:t>l</w:t>
      </w:r>
      <w:r w:rsidR="0012202C" w:rsidRPr="004F2B81">
        <w:rPr>
          <w:szCs w:val="22"/>
          <w:lang w:val="sr-Latn-ME"/>
        </w:rPr>
        <w:t xml:space="preserve"> po dozi l</w:t>
      </w:r>
      <w:r w:rsidR="003F19E4" w:rsidRPr="004F2B81">
        <w:rPr>
          <w:szCs w:val="22"/>
          <w:lang w:val="sr-Latn-ME"/>
        </w:rPr>
        <w:t>ij</w:t>
      </w:r>
      <w:r w:rsidR="0012202C" w:rsidRPr="004F2B81">
        <w:rPr>
          <w:szCs w:val="22"/>
          <w:lang w:val="sr-Latn-ME"/>
        </w:rPr>
        <w:t>eka koji se prim</w:t>
      </w:r>
      <w:r w:rsidR="00D9017F" w:rsidRPr="004F2B81">
        <w:rPr>
          <w:szCs w:val="22"/>
          <w:lang w:val="sr-Latn-ME"/>
        </w:rPr>
        <w:t>j</w:t>
      </w:r>
      <w:r w:rsidR="0012202C" w:rsidRPr="004F2B81">
        <w:rPr>
          <w:szCs w:val="22"/>
          <w:lang w:val="sr-Latn-ME"/>
        </w:rPr>
        <w:t>enjuje.</w:t>
      </w:r>
      <w:r w:rsidR="00AE4D1D" w:rsidRPr="004F2B81">
        <w:rPr>
          <w:szCs w:val="22"/>
          <w:lang w:val="sr-Latn-ME"/>
        </w:rPr>
        <w:t xml:space="preserve"> </w:t>
      </w:r>
    </w:p>
    <w:p w14:paraId="66A6D072" w14:textId="77777777" w:rsidR="003F19E4" w:rsidRPr="004F2B81" w:rsidRDefault="003F19E4" w:rsidP="004F2B81">
      <w:pPr>
        <w:rPr>
          <w:szCs w:val="22"/>
          <w:lang w:val="sr-Latn-ME"/>
        </w:rPr>
      </w:pPr>
    </w:p>
    <w:p w14:paraId="16225AB9" w14:textId="53D52756" w:rsidR="002A68BF" w:rsidRPr="004F2B81" w:rsidRDefault="0012202C" w:rsidP="004F2B81">
      <w:pPr>
        <w:rPr>
          <w:szCs w:val="22"/>
          <w:lang w:val="sr-Latn-ME"/>
        </w:rPr>
      </w:pPr>
      <w:r w:rsidRPr="004F2B81">
        <w:rPr>
          <w:szCs w:val="22"/>
          <w:lang w:val="sr-Latn-ME"/>
        </w:rPr>
        <w:t>Kada se</w:t>
      </w:r>
      <w:r w:rsidR="00D30786" w:rsidRPr="004F2B81">
        <w:rPr>
          <w:szCs w:val="22"/>
          <w:lang w:val="sr-Latn-ME"/>
        </w:rPr>
        <w:t xml:space="preserve"> l</w:t>
      </w:r>
      <w:r w:rsidR="003F19E4" w:rsidRPr="004F2B81">
        <w:rPr>
          <w:szCs w:val="22"/>
          <w:lang w:val="sr-Latn-ME"/>
        </w:rPr>
        <w:t>ij</w:t>
      </w:r>
      <w:r w:rsidR="00D30786" w:rsidRPr="004F2B81">
        <w:rPr>
          <w:szCs w:val="22"/>
          <w:lang w:val="sr-Latn-ME"/>
        </w:rPr>
        <w:t>ek</w:t>
      </w:r>
      <w:r w:rsidRPr="004F2B81">
        <w:rPr>
          <w:szCs w:val="22"/>
          <w:lang w:val="sr-Latn-ME"/>
        </w:rPr>
        <w:t xml:space="preserve"> Glucosi infundibile</w:t>
      </w:r>
      <w:r w:rsidR="00A851AF">
        <w:rPr>
          <w:szCs w:val="22"/>
          <w:lang w:val="sr-Latn-ME"/>
        </w:rPr>
        <w:t xml:space="preserve"> HF</w:t>
      </w:r>
      <w:r w:rsidR="0027590D" w:rsidRPr="004F2B81">
        <w:rPr>
          <w:szCs w:val="22"/>
          <w:lang w:val="sr-Latn-ME"/>
        </w:rPr>
        <w:t xml:space="preserve">, rastvor za infuziju, 5% </w:t>
      </w:r>
      <w:r w:rsidR="00D9017F" w:rsidRPr="004F2B81">
        <w:rPr>
          <w:szCs w:val="22"/>
          <w:lang w:val="sr-Latn-ME"/>
        </w:rPr>
        <w:t>primjenjuje</w:t>
      </w:r>
      <w:r w:rsidR="00C16433" w:rsidRPr="004F2B81">
        <w:rPr>
          <w:szCs w:val="22"/>
          <w:lang w:val="sr-Latn-ME"/>
        </w:rPr>
        <w:t xml:space="preserve"> kao rastvarač za l</w:t>
      </w:r>
      <w:r w:rsidR="00D9017F" w:rsidRPr="004F2B81">
        <w:rPr>
          <w:szCs w:val="22"/>
          <w:lang w:val="sr-Latn-ME"/>
        </w:rPr>
        <w:t>j</w:t>
      </w:r>
      <w:r w:rsidR="00C16433" w:rsidRPr="004F2B81">
        <w:rPr>
          <w:szCs w:val="22"/>
          <w:lang w:val="sr-Latn-ME"/>
        </w:rPr>
        <w:t>ekove za injekcionu prim</w:t>
      </w:r>
      <w:r w:rsidR="003F19E4" w:rsidRPr="004F2B81">
        <w:rPr>
          <w:szCs w:val="22"/>
          <w:lang w:val="sr-Latn-ME"/>
        </w:rPr>
        <w:t>j</w:t>
      </w:r>
      <w:r w:rsidR="00C16433" w:rsidRPr="004F2B81">
        <w:rPr>
          <w:szCs w:val="22"/>
          <w:lang w:val="sr-Latn-ME"/>
        </w:rPr>
        <w:t>enu</w:t>
      </w:r>
      <w:r w:rsidR="00083F1F" w:rsidRPr="004F2B81">
        <w:rPr>
          <w:szCs w:val="22"/>
          <w:lang w:val="sr-Latn-ME"/>
        </w:rPr>
        <w:t xml:space="preserve">, doza </w:t>
      </w:r>
      <w:r w:rsidR="00700405" w:rsidRPr="004F2B81">
        <w:rPr>
          <w:szCs w:val="22"/>
          <w:lang w:val="sr-Latn-ME"/>
        </w:rPr>
        <w:t>i</w:t>
      </w:r>
      <w:r w:rsidR="00083F1F" w:rsidRPr="004F2B81">
        <w:rPr>
          <w:szCs w:val="22"/>
          <w:lang w:val="sr-Latn-ME"/>
        </w:rPr>
        <w:t xml:space="preserve"> brzina infuzije će</w:t>
      </w:r>
      <w:r w:rsidR="0027590D" w:rsidRPr="004F2B81">
        <w:rPr>
          <w:szCs w:val="22"/>
          <w:lang w:val="sr-Latn-ME"/>
        </w:rPr>
        <w:t>, uglavnom</w:t>
      </w:r>
      <w:r w:rsidR="00795253" w:rsidRPr="004F2B81">
        <w:rPr>
          <w:szCs w:val="22"/>
          <w:lang w:val="sr-Latn-ME"/>
        </w:rPr>
        <w:t xml:space="preserve">, biti </w:t>
      </w:r>
      <w:r w:rsidR="00700405" w:rsidRPr="004F2B81">
        <w:rPr>
          <w:szCs w:val="22"/>
          <w:lang w:val="sr-Latn-ME"/>
        </w:rPr>
        <w:t>određena prirodom i</w:t>
      </w:r>
      <w:r w:rsidR="00C134F9" w:rsidRPr="004F2B81">
        <w:rPr>
          <w:szCs w:val="22"/>
          <w:lang w:val="sr-Latn-ME"/>
        </w:rPr>
        <w:t xml:space="preserve"> doziranjem propisanog l</w:t>
      </w:r>
      <w:r w:rsidR="003F19E4" w:rsidRPr="004F2B81">
        <w:rPr>
          <w:szCs w:val="22"/>
          <w:lang w:val="sr-Latn-ME"/>
        </w:rPr>
        <w:t>ij</w:t>
      </w:r>
      <w:r w:rsidR="00C134F9" w:rsidRPr="004F2B81">
        <w:rPr>
          <w:szCs w:val="22"/>
          <w:lang w:val="sr-Latn-ME"/>
        </w:rPr>
        <w:t>eka.</w:t>
      </w:r>
      <w:r w:rsidR="00137CDC" w:rsidRPr="004F2B81">
        <w:rPr>
          <w:szCs w:val="22"/>
          <w:lang w:val="sr-Latn-ME"/>
        </w:rPr>
        <w:t xml:space="preserve"> </w:t>
      </w:r>
    </w:p>
    <w:p w14:paraId="7598A70A" w14:textId="77777777" w:rsidR="00654157" w:rsidRPr="004F2B81" w:rsidRDefault="00654157" w:rsidP="004F2B81">
      <w:pPr>
        <w:tabs>
          <w:tab w:val="left" w:pos="1080"/>
        </w:tabs>
        <w:rPr>
          <w:i/>
          <w:szCs w:val="22"/>
          <w:lang w:val="sr-Latn-ME"/>
        </w:rPr>
      </w:pPr>
    </w:p>
    <w:p w14:paraId="68304A97" w14:textId="651F9CCA" w:rsidR="00110D4B" w:rsidRPr="004F2B81" w:rsidRDefault="00110D4B" w:rsidP="004F2B81">
      <w:pPr>
        <w:rPr>
          <w:szCs w:val="22"/>
          <w:lang w:val="sr-Latn-ME"/>
        </w:rPr>
      </w:pPr>
      <w:r w:rsidRPr="004F2B81">
        <w:rPr>
          <w:i/>
          <w:iCs/>
          <w:szCs w:val="22"/>
          <w:u w:val="single"/>
          <w:lang w:val="sr-Latn-ME"/>
        </w:rPr>
        <w:t>Pedijatrijska populacija</w:t>
      </w:r>
    </w:p>
    <w:p w14:paraId="262BD954" w14:textId="61AB2A24" w:rsidR="008A33B5" w:rsidRPr="004F2B81" w:rsidRDefault="00110D4B" w:rsidP="004F2B81">
      <w:pPr>
        <w:rPr>
          <w:szCs w:val="22"/>
          <w:lang w:val="sr-Latn-ME"/>
        </w:rPr>
      </w:pPr>
      <w:r w:rsidRPr="004F2B81">
        <w:rPr>
          <w:szCs w:val="22"/>
          <w:lang w:val="sr-Latn-ME"/>
        </w:rPr>
        <w:t xml:space="preserve">Brzina infuzije </w:t>
      </w:r>
      <w:r w:rsidR="002C2419" w:rsidRPr="004F2B81">
        <w:rPr>
          <w:szCs w:val="22"/>
          <w:lang w:val="sr-Latn-ME"/>
        </w:rPr>
        <w:t>i volumen prim</w:t>
      </w:r>
      <w:r w:rsidR="003F19E4" w:rsidRPr="004F2B81">
        <w:rPr>
          <w:szCs w:val="22"/>
          <w:lang w:val="sr-Latn-ME"/>
        </w:rPr>
        <w:t>ij</w:t>
      </w:r>
      <w:r w:rsidR="002C2419" w:rsidRPr="004F2B81">
        <w:rPr>
          <w:szCs w:val="22"/>
          <w:lang w:val="sr-Latn-ME"/>
        </w:rPr>
        <w:t>enjenog rastvora zavise od uzrasta,</w:t>
      </w:r>
      <w:r w:rsidR="00CA79F1" w:rsidRPr="004F2B81">
        <w:rPr>
          <w:szCs w:val="22"/>
          <w:lang w:val="sr-Latn-ME"/>
        </w:rPr>
        <w:t xml:space="preserve"> t</w:t>
      </w:r>
      <w:r w:rsidR="003F19E4" w:rsidRPr="004F2B81">
        <w:rPr>
          <w:szCs w:val="22"/>
          <w:lang w:val="sr-Latn-ME"/>
        </w:rPr>
        <w:t>j</w:t>
      </w:r>
      <w:r w:rsidR="00CA79F1" w:rsidRPr="004F2B81">
        <w:rPr>
          <w:szCs w:val="22"/>
          <w:lang w:val="sr-Latn-ME"/>
        </w:rPr>
        <w:t xml:space="preserve">elesne mase, kliničkog </w:t>
      </w:r>
      <w:r w:rsidR="00167F4A" w:rsidRPr="004F2B81">
        <w:rPr>
          <w:szCs w:val="22"/>
          <w:lang w:val="sr-Latn-ME"/>
        </w:rPr>
        <w:t>i</w:t>
      </w:r>
      <w:r w:rsidR="00CA79F1" w:rsidRPr="004F2B81">
        <w:rPr>
          <w:szCs w:val="22"/>
          <w:lang w:val="sr-Latn-ME"/>
        </w:rPr>
        <w:t xml:space="preserve"> stanja metabol</w:t>
      </w:r>
      <w:r w:rsidR="00167F4A" w:rsidRPr="004F2B81">
        <w:rPr>
          <w:szCs w:val="22"/>
          <w:lang w:val="sr-Latn-ME"/>
        </w:rPr>
        <w:t>i</w:t>
      </w:r>
      <w:r w:rsidR="00CA79F1" w:rsidRPr="004F2B81">
        <w:rPr>
          <w:szCs w:val="22"/>
          <w:lang w:val="sr-Latn-ME"/>
        </w:rPr>
        <w:t>zma</w:t>
      </w:r>
      <w:r w:rsidR="00167F4A" w:rsidRPr="004F2B81">
        <w:rPr>
          <w:szCs w:val="22"/>
          <w:lang w:val="sr-Latn-ME"/>
        </w:rPr>
        <w:t xml:space="preserve"> pacijenta</w:t>
      </w:r>
      <w:r w:rsidR="0020722D" w:rsidRPr="004F2B81">
        <w:rPr>
          <w:szCs w:val="22"/>
          <w:lang w:val="sr-Latn-ME"/>
        </w:rPr>
        <w:t xml:space="preserve"> kao i</w:t>
      </w:r>
      <w:r w:rsidR="00167F4A" w:rsidRPr="004F2B81">
        <w:rPr>
          <w:szCs w:val="22"/>
          <w:lang w:val="sr-Latn-ME"/>
        </w:rPr>
        <w:t xml:space="preserve"> istovremene terapije</w:t>
      </w:r>
      <w:r w:rsidR="00127DC2" w:rsidRPr="004F2B81">
        <w:rPr>
          <w:szCs w:val="22"/>
          <w:lang w:val="sr-Latn-ME"/>
        </w:rPr>
        <w:t xml:space="preserve"> </w:t>
      </w:r>
      <w:r w:rsidR="004969E8" w:rsidRPr="004F2B81">
        <w:rPr>
          <w:szCs w:val="22"/>
          <w:lang w:val="sr-Latn-ME"/>
        </w:rPr>
        <w:t>i</w:t>
      </w:r>
      <w:r w:rsidR="00127DC2" w:rsidRPr="004F2B81">
        <w:rPr>
          <w:szCs w:val="22"/>
          <w:lang w:val="sr-Latn-ME"/>
        </w:rPr>
        <w:t xml:space="preserve"> treba da ih odredi</w:t>
      </w:r>
      <w:r w:rsidR="00054813" w:rsidRPr="004F2B81">
        <w:rPr>
          <w:szCs w:val="22"/>
          <w:lang w:val="sr-Latn-ME"/>
        </w:rPr>
        <w:t xml:space="preserve"> l</w:t>
      </w:r>
      <w:r w:rsidR="003F19E4" w:rsidRPr="004F2B81">
        <w:rPr>
          <w:szCs w:val="22"/>
          <w:lang w:val="sr-Latn-ME"/>
        </w:rPr>
        <w:t>j</w:t>
      </w:r>
      <w:r w:rsidR="00054813" w:rsidRPr="004F2B81">
        <w:rPr>
          <w:szCs w:val="22"/>
          <w:lang w:val="sr-Latn-ME"/>
        </w:rPr>
        <w:t xml:space="preserve">ekar pedijatar </w:t>
      </w:r>
      <w:r w:rsidR="00795253" w:rsidRPr="004F2B81">
        <w:rPr>
          <w:szCs w:val="22"/>
          <w:lang w:val="sr-Latn-ME"/>
        </w:rPr>
        <w:t>sa iskustvom</w:t>
      </w:r>
      <w:r w:rsidR="00054813" w:rsidRPr="004F2B81">
        <w:rPr>
          <w:szCs w:val="22"/>
          <w:lang w:val="sr-Latn-ME"/>
        </w:rPr>
        <w:t xml:space="preserve"> u pri</w:t>
      </w:r>
      <w:r w:rsidR="004969E8" w:rsidRPr="004F2B81">
        <w:rPr>
          <w:szCs w:val="22"/>
          <w:lang w:val="sr-Latn-ME"/>
        </w:rPr>
        <w:t>m</w:t>
      </w:r>
      <w:r w:rsidR="003F19E4" w:rsidRPr="004F2B81">
        <w:rPr>
          <w:szCs w:val="22"/>
          <w:lang w:val="sr-Latn-ME"/>
        </w:rPr>
        <w:t>j</w:t>
      </w:r>
      <w:r w:rsidR="00054813" w:rsidRPr="004F2B81">
        <w:rPr>
          <w:szCs w:val="22"/>
          <w:lang w:val="sr-Latn-ME"/>
        </w:rPr>
        <w:t>eni</w:t>
      </w:r>
      <w:r w:rsidR="002C2419" w:rsidRPr="004F2B81">
        <w:rPr>
          <w:szCs w:val="22"/>
          <w:lang w:val="sr-Latn-ME"/>
        </w:rPr>
        <w:t xml:space="preserve"> </w:t>
      </w:r>
      <w:r w:rsidR="004969E8" w:rsidRPr="004F2B81">
        <w:rPr>
          <w:szCs w:val="22"/>
          <w:lang w:val="sr-Latn-ME"/>
        </w:rPr>
        <w:t>intravenske terapije</w:t>
      </w:r>
      <w:r w:rsidR="008F0E0F" w:rsidRPr="004F2B81">
        <w:rPr>
          <w:szCs w:val="22"/>
          <w:lang w:val="sr-Latn-ME"/>
        </w:rPr>
        <w:t>.</w:t>
      </w:r>
      <w:r w:rsidR="004969E8" w:rsidRPr="004F2B81">
        <w:rPr>
          <w:szCs w:val="22"/>
          <w:lang w:val="sr-Latn-ME"/>
        </w:rPr>
        <w:t xml:space="preserve"> </w:t>
      </w:r>
    </w:p>
    <w:p w14:paraId="64FC96CF" w14:textId="2BD63C68" w:rsidR="007F7A12" w:rsidRPr="004F2B81" w:rsidRDefault="007F7A12" w:rsidP="004F2B81">
      <w:pPr>
        <w:rPr>
          <w:szCs w:val="22"/>
          <w:lang w:val="sr-Latn-ME"/>
        </w:rPr>
      </w:pPr>
    </w:p>
    <w:p w14:paraId="0E6F9F03" w14:textId="7E7C8DF4" w:rsidR="00654157" w:rsidRPr="004F2B81" w:rsidRDefault="008A33B5" w:rsidP="004F2B81">
      <w:pPr>
        <w:rPr>
          <w:szCs w:val="22"/>
          <w:u w:val="single"/>
          <w:lang w:val="sr-Latn-ME"/>
        </w:rPr>
      </w:pPr>
      <w:r w:rsidRPr="004F2B81">
        <w:rPr>
          <w:szCs w:val="22"/>
          <w:u w:val="single"/>
          <w:lang w:val="sr-Latn-ME"/>
        </w:rPr>
        <w:t>Način prim</w:t>
      </w:r>
      <w:r w:rsidR="003F19E4" w:rsidRPr="004F2B81">
        <w:rPr>
          <w:szCs w:val="22"/>
          <w:u w:val="single"/>
          <w:lang w:val="sr-Latn-ME"/>
        </w:rPr>
        <w:t>j</w:t>
      </w:r>
      <w:r w:rsidRPr="004F2B81">
        <w:rPr>
          <w:szCs w:val="22"/>
          <w:u w:val="single"/>
          <w:lang w:val="sr-Latn-ME"/>
        </w:rPr>
        <w:t>ene:</w:t>
      </w:r>
    </w:p>
    <w:p w14:paraId="7077F53B" w14:textId="77777777" w:rsidR="00B57D82" w:rsidRPr="004F2B81" w:rsidRDefault="00B57D82" w:rsidP="004F2B81">
      <w:pPr>
        <w:rPr>
          <w:szCs w:val="22"/>
          <w:lang w:val="sr-Latn-ME"/>
        </w:rPr>
      </w:pPr>
    </w:p>
    <w:p w14:paraId="0A74B5CE" w14:textId="22680C22" w:rsidR="002B4EA8" w:rsidRPr="004F2B81" w:rsidRDefault="00CB64C5" w:rsidP="004F2B81">
      <w:pPr>
        <w:rPr>
          <w:szCs w:val="22"/>
          <w:lang w:val="sr-Latn-ME"/>
        </w:rPr>
      </w:pPr>
      <w:r w:rsidRPr="004F2B81">
        <w:rPr>
          <w:szCs w:val="22"/>
          <w:lang w:val="sr-Latn-ME"/>
        </w:rPr>
        <w:t>Rastvor</w:t>
      </w:r>
      <w:r w:rsidR="00C4427F" w:rsidRPr="004F2B81">
        <w:rPr>
          <w:szCs w:val="22"/>
          <w:lang w:val="sr-Latn-ME"/>
        </w:rPr>
        <w:t xml:space="preserve"> se </w:t>
      </w:r>
      <w:r w:rsidR="00D9017F" w:rsidRPr="004F2B81">
        <w:rPr>
          <w:szCs w:val="22"/>
          <w:lang w:val="sr-Latn-ME"/>
        </w:rPr>
        <w:t>primjenjuje</w:t>
      </w:r>
      <w:r w:rsidR="00C4427F" w:rsidRPr="004F2B81">
        <w:rPr>
          <w:szCs w:val="22"/>
          <w:lang w:val="sr-Latn-ME"/>
        </w:rPr>
        <w:t xml:space="preserve"> putem intravenske infuzije (perifernom ili centralnom venom).</w:t>
      </w:r>
    </w:p>
    <w:p w14:paraId="427C5A18" w14:textId="77777777" w:rsidR="008674F7" w:rsidRPr="004F2B81" w:rsidRDefault="008674F7" w:rsidP="004F2B81">
      <w:pPr>
        <w:rPr>
          <w:szCs w:val="22"/>
          <w:lang w:val="sr-Latn-ME"/>
        </w:rPr>
      </w:pPr>
    </w:p>
    <w:p w14:paraId="3A6F4B98" w14:textId="168D90C1" w:rsidR="002B4EA8" w:rsidRPr="004F2B81" w:rsidRDefault="005A2F87" w:rsidP="004F2B81">
      <w:pPr>
        <w:rPr>
          <w:szCs w:val="22"/>
          <w:lang w:val="sr-Latn-ME"/>
        </w:rPr>
      </w:pPr>
      <w:r w:rsidRPr="004F2B81">
        <w:rPr>
          <w:szCs w:val="22"/>
          <w:lang w:val="sr-Latn-ME"/>
        </w:rPr>
        <w:t xml:space="preserve">Kada se </w:t>
      </w:r>
      <w:r w:rsidR="00011C41" w:rsidRPr="004F2B81">
        <w:rPr>
          <w:szCs w:val="22"/>
          <w:lang w:val="sr-Latn-ME"/>
        </w:rPr>
        <w:t>l</w:t>
      </w:r>
      <w:r w:rsidR="00A41209" w:rsidRPr="004F2B81">
        <w:rPr>
          <w:szCs w:val="22"/>
          <w:lang w:val="sr-Latn-ME"/>
        </w:rPr>
        <w:t>ij</w:t>
      </w:r>
      <w:r w:rsidR="00011C41" w:rsidRPr="004F2B81">
        <w:rPr>
          <w:szCs w:val="22"/>
          <w:lang w:val="sr-Latn-ME"/>
        </w:rPr>
        <w:t>ek Glucosi infundibile</w:t>
      </w:r>
      <w:r w:rsidR="00A851AF">
        <w:rPr>
          <w:szCs w:val="22"/>
          <w:lang w:val="sr-Latn-ME"/>
        </w:rPr>
        <w:t xml:space="preserve"> HF</w:t>
      </w:r>
      <w:r w:rsidR="00011C41" w:rsidRPr="004F2B81">
        <w:rPr>
          <w:szCs w:val="22"/>
          <w:lang w:val="sr-Latn-ME"/>
        </w:rPr>
        <w:t>, 5%, rastvor za infuziju,</w:t>
      </w:r>
      <w:r w:rsidR="007755DF" w:rsidRPr="004F2B81">
        <w:rPr>
          <w:szCs w:val="22"/>
          <w:lang w:val="sr-Latn-ME"/>
        </w:rPr>
        <w:t xml:space="preserve"> koristi kao rastvarač </w:t>
      </w:r>
      <w:r w:rsidR="0074598A" w:rsidRPr="004F2B81">
        <w:rPr>
          <w:szCs w:val="22"/>
          <w:lang w:val="sr-Latn-ME"/>
        </w:rPr>
        <w:t xml:space="preserve">odnosno za </w:t>
      </w:r>
      <w:r w:rsidR="00B944BB" w:rsidRPr="004F2B81">
        <w:rPr>
          <w:szCs w:val="22"/>
          <w:lang w:val="sr-Latn-ME"/>
        </w:rPr>
        <w:t>prim</w:t>
      </w:r>
      <w:r w:rsidR="00A41209" w:rsidRPr="004F2B81">
        <w:rPr>
          <w:szCs w:val="22"/>
          <w:lang w:val="sr-Latn-ME"/>
        </w:rPr>
        <w:t>j</w:t>
      </w:r>
      <w:r w:rsidR="00B944BB" w:rsidRPr="004F2B81">
        <w:rPr>
          <w:szCs w:val="22"/>
          <w:lang w:val="sr-Latn-ME"/>
        </w:rPr>
        <w:t xml:space="preserve">enu </w:t>
      </w:r>
      <w:r w:rsidR="004A437A" w:rsidRPr="004F2B81">
        <w:rPr>
          <w:szCs w:val="22"/>
          <w:lang w:val="sr-Latn-ME"/>
        </w:rPr>
        <w:t xml:space="preserve">aditivne </w:t>
      </w:r>
      <w:r w:rsidR="00B944BB" w:rsidRPr="004F2B81">
        <w:rPr>
          <w:szCs w:val="22"/>
          <w:lang w:val="sr-Latn-ME"/>
        </w:rPr>
        <w:t>terapij</w:t>
      </w:r>
      <w:r w:rsidR="004A437A" w:rsidRPr="004F2B81">
        <w:rPr>
          <w:szCs w:val="22"/>
          <w:lang w:val="sr-Latn-ME"/>
        </w:rPr>
        <w:t xml:space="preserve">e koja se </w:t>
      </w:r>
      <w:r w:rsidR="00D9017F" w:rsidRPr="004F2B81">
        <w:rPr>
          <w:szCs w:val="22"/>
          <w:lang w:val="sr-Latn-ME"/>
        </w:rPr>
        <w:t>primjenjuje</w:t>
      </w:r>
      <w:r w:rsidR="004A437A" w:rsidRPr="004F2B81">
        <w:rPr>
          <w:szCs w:val="22"/>
          <w:lang w:val="sr-Latn-ME"/>
        </w:rPr>
        <w:t xml:space="preserve"> putem intravenske infuzije</w:t>
      </w:r>
      <w:r w:rsidR="0026727B" w:rsidRPr="004F2B81">
        <w:rPr>
          <w:szCs w:val="22"/>
          <w:lang w:val="sr-Latn-ME"/>
        </w:rPr>
        <w:t>, način prim</w:t>
      </w:r>
      <w:r w:rsidR="00A41209" w:rsidRPr="004F2B81">
        <w:rPr>
          <w:szCs w:val="22"/>
          <w:lang w:val="sr-Latn-ME"/>
        </w:rPr>
        <w:t>j</w:t>
      </w:r>
      <w:r w:rsidR="0026727B" w:rsidRPr="004F2B81">
        <w:rPr>
          <w:szCs w:val="22"/>
          <w:lang w:val="sr-Latn-ME"/>
        </w:rPr>
        <w:t>ene</w:t>
      </w:r>
      <w:r w:rsidR="00780B4E" w:rsidRPr="004F2B81">
        <w:rPr>
          <w:szCs w:val="22"/>
          <w:lang w:val="sr-Latn-ME"/>
        </w:rPr>
        <w:t xml:space="preserve"> dodatnog l</w:t>
      </w:r>
      <w:r w:rsidR="00A41209" w:rsidRPr="004F2B81">
        <w:rPr>
          <w:szCs w:val="22"/>
          <w:lang w:val="sr-Latn-ME"/>
        </w:rPr>
        <w:t>ij</w:t>
      </w:r>
      <w:r w:rsidR="00780B4E" w:rsidRPr="004F2B81">
        <w:rPr>
          <w:szCs w:val="22"/>
          <w:lang w:val="sr-Latn-ME"/>
        </w:rPr>
        <w:t>eka</w:t>
      </w:r>
      <w:r w:rsidR="0027215E" w:rsidRPr="004F2B81">
        <w:rPr>
          <w:szCs w:val="22"/>
          <w:lang w:val="sr-Latn-ME"/>
        </w:rPr>
        <w:t xml:space="preserve"> sa rastvaračem</w:t>
      </w:r>
      <w:r w:rsidR="00780B4E" w:rsidRPr="004F2B81">
        <w:rPr>
          <w:szCs w:val="22"/>
          <w:lang w:val="sr-Latn-ME"/>
        </w:rPr>
        <w:t xml:space="preserve"> </w:t>
      </w:r>
      <w:r w:rsidR="00E0067A" w:rsidRPr="004F2B81">
        <w:rPr>
          <w:szCs w:val="22"/>
          <w:lang w:val="sr-Latn-ME"/>
        </w:rPr>
        <w:t>određuje količinu odgovarajuć</w:t>
      </w:r>
      <w:r w:rsidR="00D74CDC" w:rsidRPr="004F2B81">
        <w:rPr>
          <w:szCs w:val="22"/>
          <w:lang w:val="sr-Latn-ME"/>
        </w:rPr>
        <w:t>ih</w:t>
      </w:r>
      <w:r w:rsidR="00E0067A" w:rsidRPr="004F2B81">
        <w:rPr>
          <w:szCs w:val="22"/>
          <w:lang w:val="sr-Latn-ME"/>
        </w:rPr>
        <w:t xml:space="preserve"> zapremin</w:t>
      </w:r>
      <w:r w:rsidR="00D74CDC" w:rsidRPr="004F2B81">
        <w:rPr>
          <w:szCs w:val="22"/>
          <w:lang w:val="sr-Latn-ME"/>
        </w:rPr>
        <w:t>a svake komponente.</w:t>
      </w:r>
      <w:r w:rsidR="00AE5686" w:rsidRPr="004F2B81">
        <w:rPr>
          <w:szCs w:val="22"/>
          <w:lang w:val="sr-Latn-ME"/>
        </w:rPr>
        <w:t xml:space="preserve"> </w:t>
      </w:r>
    </w:p>
    <w:p w14:paraId="37A4897C" w14:textId="77777777" w:rsidR="00011C41" w:rsidRPr="004F2B81" w:rsidRDefault="00011C41" w:rsidP="004F2B81">
      <w:pPr>
        <w:rPr>
          <w:szCs w:val="22"/>
          <w:lang w:val="sr-Latn-ME"/>
        </w:rPr>
      </w:pPr>
    </w:p>
    <w:p w14:paraId="5AB3E30E" w14:textId="0CBF33BE" w:rsidR="002B4EA8" w:rsidRPr="004F2B81" w:rsidRDefault="00011C41" w:rsidP="004F2B81">
      <w:pPr>
        <w:rPr>
          <w:szCs w:val="22"/>
          <w:lang w:val="sr-Latn-ME"/>
        </w:rPr>
      </w:pPr>
      <w:r w:rsidRPr="004F2B81">
        <w:rPr>
          <w:szCs w:val="22"/>
          <w:lang w:val="sr-Latn-ME"/>
        </w:rPr>
        <w:t>L</w:t>
      </w:r>
      <w:r w:rsidR="00A41209" w:rsidRPr="004F2B81">
        <w:rPr>
          <w:szCs w:val="22"/>
          <w:lang w:val="sr-Latn-ME"/>
        </w:rPr>
        <w:t>ij</w:t>
      </w:r>
      <w:r w:rsidRPr="004F2B81">
        <w:rPr>
          <w:szCs w:val="22"/>
          <w:lang w:val="sr-Latn-ME"/>
        </w:rPr>
        <w:t xml:space="preserve">ek </w:t>
      </w:r>
      <w:r w:rsidR="002B4EA8" w:rsidRPr="004F2B81">
        <w:rPr>
          <w:szCs w:val="22"/>
          <w:lang w:val="sr-Latn-ME"/>
        </w:rPr>
        <w:t>Glucos</w:t>
      </w:r>
      <w:r w:rsidR="00D74CDC" w:rsidRPr="004F2B81">
        <w:rPr>
          <w:szCs w:val="22"/>
          <w:lang w:val="sr-Latn-ME"/>
        </w:rPr>
        <w:t>i infundibile</w:t>
      </w:r>
      <w:r w:rsidR="00A851AF">
        <w:rPr>
          <w:szCs w:val="22"/>
          <w:lang w:val="sr-Latn-ME"/>
        </w:rPr>
        <w:t xml:space="preserve"> HF</w:t>
      </w:r>
      <w:r w:rsidR="00CB32C3" w:rsidRPr="004F2B81">
        <w:rPr>
          <w:szCs w:val="22"/>
          <w:lang w:val="sr-Latn-ME"/>
        </w:rPr>
        <w:t>, rastvor za infuziju,</w:t>
      </w:r>
      <w:r w:rsidR="002B4EA8" w:rsidRPr="004F2B81">
        <w:rPr>
          <w:szCs w:val="22"/>
          <w:lang w:val="sr-Latn-ME"/>
        </w:rPr>
        <w:t xml:space="preserve"> 5%</w:t>
      </w:r>
      <w:r w:rsidR="00CB32C3" w:rsidRPr="004F2B81">
        <w:rPr>
          <w:szCs w:val="22"/>
          <w:lang w:val="sr-Latn-ME"/>
        </w:rPr>
        <w:t xml:space="preserve"> </w:t>
      </w:r>
      <w:r w:rsidR="00D74CDC" w:rsidRPr="004F2B81">
        <w:rPr>
          <w:szCs w:val="22"/>
          <w:lang w:val="sr-Latn-ME"/>
        </w:rPr>
        <w:t>je</w:t>
      </w:r>
      <w:r w:rsidR="002B4EA8" w:rsidRPr="004F2B81">
        <w:rPr>
          <w:szCs w:val="22"/>
          <w:lang w:val="sr-Latn-ME"/>
        </w:rPr>
        <w:t xml:space="preserve"> i</w:t>
      </w:r>
      <w:r w:rsidR="00D74CDC" w:rsidRPr="004F2B81">
        <w:rPr>
          <w:szCs w:val="22"/>
          <w:lang w:val="sr-Latn-ME"/>
        </w:rPr>
        <w:t>z</w:t>
      </w:r>
      <w:r w:rsidR="009A6C71" w:rsidRPr="004F2B81">
        <w:rPr>
          <w:szCs w:val="22"/>
          <w:lang w:val="sr-Latn-ME"/>
        </w:rPr>
        <w:t>o</w:t>
      </w:r>
      <w:r w:rsidR="002B4EA8" w:rsidRPr="004F2B81">
        <w:rPr>
          <w:szCs w:val="22"/>
          <w:lang w:val="sr-Latn-ME"/>
        </w:rPr>
        <w:t>osmot</w:t>
      </w:r>
      <w:r w:rsidR="00D74CDC" w:rsidRPr="004F2B81">
        <w:rPr>
          <w:szCs w:val="22"/>
          <w:lang w:val="sr-Latn-ME"/>
        </w:rPr>
        <w:t>sk</w:t>
      </w:r>
      <w:r w:rsidR="00692366" w:rsidRPr="004F2B81">
        <w:rPr>
          <w:szCs w:val="22"/>
          <w:lang w:val="sr-Latn-ME"/>
        </w:rPr>
        <w:t>i</w:t>
      </w:r>
      <w:r w:rsidR="002B4EA8" w:rsidRPr="004F2B81">
        <w:rPr>
          <w:szCs w:val="22"/>
          <w:lang w:val="sr-Latn-ME"/>
        </w:rPr>
        <w:t xml:space="preserve"> </w:t>
      </w:r>
      <w:r w:rsidR="00692366" w:rsidRPr="004F2B81">
        <w:rPr>
          <w:szCs w:val="22"/>
          <w:lang w:val="sr-Latn-ME"/>
        </w:rPr>
        <w:t>rastvor (</w:t>
      </w:r>
      <w:r w:rsidR="00B64B07">
        <w:rPr>
          <w:szCs w:val="22"/>
          <w:lang w:val="sr-Latn-ME"/>
        </w:rPr>
        <w:t xml:space="preserve">vidjeti </w:t>
      </w:r>
      <w:r w:rsidR="000F1632" w:rsidRPr="004F2B81">
        <w:rPr>
          <w:szCs w:val="22"/>
          <w:lang w:val="sr-Latn-ME"/>
        </w:rPr>
        <w:t>dio</w:t>
      </w:r>
      <w:r w:rsidR="00692366" w:rsidRPr="004F2B81">
        <w:rPr>
          <w:szCs w:val="22"/>
          <w:lang w:val="sr-Latn-ME"/>
        </w:rPr>
        <w:t xml:space="preserve"> </w:t>
      </w:r>
      <w:r w:rsidR="00A4538B" w:rsidRPr="004F2B81">
        <w:rPr>
          <w:szCs w:val="22"/>
          <w:lang w:val="sr-Latn-ME"/>
        </w:rPr>
        <w:t>2</w:t>
      </w:r>
      <w:r w:rsidR="00692366" w:rsidRPr="004F2B81">
        <w:rPr>
          <w:szCs w:val="22"/>
          <w:lang w:val="sr-Latn-ME"/>
        </w:rPr>
        <w:t>)</w:t>
      </w:r>
      <w:r w:rsidR="002B4EA8" w:rsidRPr="004F2B81">
        <w:rPr>
          <w:szCs w:val="22"/>
          <w:lang w:val="sr-Latn-ME"/>
        </w:rPr>
        <w:t>.</w:t>
      </w:r>
    </w:p>
    <w:p w14:paraId="59E36D64" w14:textId="77777777" w:rsidR="00B57D82" w:rsidRPr="004F2B81" w:rsidRDefault="00B57D82" w:rsidP="004F2B81">
      <w:pPr>
        <w:rPr>
          <w:szCs w:val="22"/>
          <w:lang w:val="sr-Latn-ME"/>
        </w:rPr>
      </w:pPr>
    </w:p>
    <w:p w14:paraId="0AAC1748" w14:textId="147EB3EC" w:rsidR="002B4EA8" w:rsidRPr="004F2B81" w:rsidRDefault="00A4538B" w:rsidP="004F2B81">
      <w:pPr>
        <w:rPr>
          <w:szCs w:val="22"/>
          <w:lang w:val="sr-Latn-ME"/>
        </w:rPr>
      </w:pPr>
      <w:r w:rsidRPr="004F2B81">
        <w:rPr>
          <w:i/>
          <w:iCs/>
          <w:szCs w:val="22"/>
          <w:lang w:val="sr-Latn-ME"/>
        </w:rPr>
        <w:t>M</w:t>
      </w:r>
      <w:r w:rsidR="00CF7578" w:rsidRPr="004F2B81">
        <w:rPr>
          <w:i/>
          <w:iCs/>
          <w:szCs w:val="22"/>
          <w:lang w:val="sr-Latn-ME"/>
        </w:rPr>
        <w:t>j</w:t>
      </w:r>
      <w:r w:rsidRPr="004F2B81">
        <w:rPr>
          <w:i/>
          <w:iCs/>
          <w:szCs w:val="22"/>
          <w:lang w:val="sr-Latn-ME"/>
        </w:rPr>
        <w:t>ere opreza</w:t>
      </w:r>
      <w:r w:rsidR="00C83BD8" w:rsidRPr="004F2B81">
        <w:rPr>
          <w:i/>
          <w:iCs/>
          <w:szCs w:val="22"/>
          <w:lang w:val="sr-Latn-ME"/>
        </w:rPr>
        <w:t xml:space="preserve"> pr</w:t>
      </w:r>
      <w:r w:rsidR="00CF7578" w:rsidRPr="004F2B81">
        <w:rPr>
          <w:i/>
          <w:iCs/>
          <w:szCs w:val="22"/>
          <w:lang w:val="sr-Latn-ME"/>
        </w:rPr>
        <w:t>ij</w:t>
      </w:r>
      <w:r w:rsidR="00C83BD8" w:rsidRPr="004F2B81">
        <w:rPr>
          <w:i/>
          <w:iCs/>
          <w:szCs w:val="22"/>
          <w:lang w:val="sr-Latn-ME"/>
        </w:rPr>
        <w:t>e prim</w:t>
      </w:r>
      <w:r w:rsidR="00CF7578" w:rsidRPr="004F2B81">
        <w:rPr>
          <w:i/>
          <w:iCs/>
          <w:szCs w:val="22"/>
          <w:lang w:val="sr-Latn-ME"/>
        </w:rPr>
        <w:t>j</w:t>
      </w:r>
      <w:r w:rsidR="00C83BD8" w:rsidRPr="004F2B81">
        <w:rPr>
          <w:i/>
          <w:iCs/>
          <w:szCs w:val="22"/>
          <w:lang w:val="sr-Latn-ME"/>
        </w:rPr>
        <w:t>ene l</w:t>
      </w:r>
      <w:r w:rsidR="00CF7578" w:rsidRPr="004F2B81">
        <w:rPr>
          <w:i/>
          <w:iCs/>
          <w:szCs w:val="22"/>
          <w:lang w:val="sr-Latn-ME"/>
        </w:rPr>
        <w:t>ij</w:t>
      </w:r>
      <w:r w:rsidR="00C83BD8" w:rsidRPr="004F2B81">
        <w:rPr>
          <w:i/>
          <w:iCs/>
          <w:szCs w:val="22"/>
          <w:lang w:val="sr-Latn-ME"/>
        </w:rPr>
        <w:t>eka</w:t>
      </w:r>
    </w:p>
    <w:p w14:paraId="3A7FEBB3" w14:textId="6C71C17E" w:rsidR="00766A95" w:rsidRPr="004F2B81" w:rsidRDefault="0024599C" w:rsidP="004F2B81">
      <w:pPr>
        <w:tabs>
          <w:tab w:val="clear" w:pos="284"/>
        </w:tabs>
        <w:textAlignment w:val="baseline"/>
        <w:rPr>
          <w:szCs w:val="22"/>
          <w:lang w:val="sr-Latn-ME"/>
        </w:rPr>
      </w:pPr>
      <w:r w:rsidRPr="0024599C">
        <w:rPr>
          <w:szCs w:val="22"/>
          <w:lang w:val="sr-Latn-ME"/>
        </w:rPr>
        <w:t>Pr</w:t>
      </w:r>
      <w:r>
        <w:rPr>
          <w:szCs w:val="22"/>
          <w:lang w:val="sr-Latn-ME"/>
        </w:rPr>
        <w:t>ij</w:t>
      </w:r>
      <w:r w:rsidRPr="0024599C">
        <w:rPr>
          <w:szCs w:val="22"/>
          <w:lang w:val="sr-Latn-ME"/>
        </w:rPr>
        <w:t>e prim</w:t>
      </w:r>
      <w:r>
        <w:rPr>
          <w:szCs w:val="22"/>
          <w:lang w:val="sr-Latn-ME"/>
        </w:rPr>
        <w:t>j</w:t>
      </w:r>
      <w:r w:rsidRPr="0024599C">
        <w:rPr>
          <w:szCs w:val="22"/>
          <w:lang w:val="sr-Latn-ME"/>
        </w:rPr>
        <w:t>ene l</w:t>
      </w:r>
      <w:r>
        <w:rPr>
          <w:szCs w:val="22"/>
          <w:lang w:val="sr-Latn-ME"/>
        </w:rPr>
        <w:t>ij</w:t>
      </w:r>
      <w:r w:rsidRPr="0024599C">
        <w:rPr>
          <w:szCs w:val="22"/>
          <w:lang w:val="sr-Latn-ME"/>
        </w:rPr>
        <w:t>eka za parenteralnu prim</w:t>
      </w:r>
      <w:r>
        <w:rPr>
          <w:szCs w:val="22"/>
          <w:lang w:val="sr-Latn-ME"/>
        </w:rPr>
        <w:t>j</w:t>
      </w:r>
      <w:r w:rsidRPr="0024599C">
        <w:rPr>
          <w:szCs w:val="22"/>
          <w:lang w:val="sr-Latn-ME"/>
        </w:rPr>
        <w:t>enu treba izvršiti vizuelnu inspekciju u cilju prov</w:t>
      </w:r>
      <w:r>
        <w:rPr>
          <w:szCs w:val="22"/>
          <w:lang w:val="sr-Latn-ME"/>
        </w:rPr>
        <w:t>j</w:t>
      </w:r>
      <w:r w:rsidRPr="0024599C">
        <w:rPr>
          <w:szCs w:val="22"/>
          <w:lang w:val="sr-Latn-ME"/>
        </w:rPr>
        <w:t>ere prisustva stranih čestica i prom</w:t>
      </w:r>
      <w:r>
        <w:rPr>
          <w:szCs w:val="22"/>
          <w:lang w:val="sr-Latn-ME"/>
        </w:rPr>
        <w:t>j</w:t>
      </w:r>
      <w:r w:rsidRPr="0024599C">
        <w:rPr>
          <w:szCs w:val="22"/>
          <w:lang w:val="sr-Latn-ME"/>
        </w:rPr>
        <w:t>ene boje, uv</w:t>
      </w:r>
      <w:r>
        <w:rPr>
          <w:szCs w:val="22"/>
          <w:lang w:val="sr-Latn-ME"/>
        </w:rPr>
        <w:t>ij</w:t>
      </w:r>
      <w:r w:rsidRPr="0024599C">
        <w:rPr>
          <w:szCs w:val="22"/>
          <w:lang w:val="sr-Latn-ME"/>
        </w:rPr>
        <w:t>ek kada je to moguće</w:t>
      </w:r>
      <w:r w:rsidR="00766A95" w:rsidRPr="004F2B81">
        <w:rPr>
          <w:szCs w:val="22"/>
          <w:lang w:val="sr-Latn-ME"/>
        </w:rPr>
        <w:t xml:space="preserve">. Lijek </w:t>
      </w:r>
      <w:r>
        <w:rPr>
          <w:szCs w:val="22"/>
          <w:lang w:val="sr-Latn-ME"/>
        </w:rPr>
        <w:t xml:space="preserve">treba </w:t>
      </w:r>
      <w:r w:rsidR="00766A95" w:rsidRPr="004F2B81">
        <w:rPr>
          <w:szCs w:val="22"/>
          <w:lang w:val="sr-Latn-ME"/>
        </w:rPr>
        <w:t xml:space="preserve">primijeniti samo </w:t>
      </w:r>
      <w:r w:rsidR="002673BA">
        <w:rPr>
          <w:szCs w:val="22"/>
          <w:lang w:val="sr-Latn-ME"/>
        </w:rPr>
        <w:t>a</w:t>
      </w:r>
      <w:r w:rsidR="00766A95" w:rsidRPr="004F2B81">
        <w:rPr>
          <w:szCs w:val="22"/>
          <w:lang w:val="sr-Latn-ME"/>
        </w:rPr>
        <w:t xml:space="preserve">ko je rastvor bistar, bez vidljivih čestica i ukoliko primarna ambalaža nije oštećena. Primijeniti odmah po </w:t>
      </w:r>
      <w:r w:rsidR="002673BA">
        <w:rPr>
          <w:szCs w:val="22"/>
          <w:lang w:val="sr-Latn-ME"/>
        </w:rPr>
        <w:t>uvođenju seta za infuziju</w:t>
      </w:r>
      <w:r w:rsidR="00766A95" w:rsidRPr="004F2B81">
        <w:rPr>
          <w:szCs w:val="22"/>
          <w:lang w:val="sr-Latn-ME"/>
        </w:rPr>
        <w:t>. </w:t>
      </w:r>
    </w:p>
    <w:p w14:paraId="441EFC8D" w14:textId="77777777" w:rsidR="00766A95" w:rsidRPr="004F2B81" w:rsidRDefault="00766A95" w:rsidP="004F2B81">
      <w:pPr>
        <w:rPr>
          <w:szCs w:val="22"/>
          <w:lang w:val="sr-Latn-ME"/>
        </w:rPr>
      </w:pPr>
    </w:p>
    <w:p w14:paraId="2BB2E12B" w14:textId="3A8455E2" w:rsidR="00794E82" w:rsidRPr="004F2B81" w:rsidRDefault="00794E82" w:rsidP="004F2B81">
      <w:pPr>
        <w:tabs>
          <w:tab w:val="clear" w:pos="284"/>
        </w:tabs>
        <w:textAlignment w:val="baseline"/>
        <w:rPr>
          <w:szCs w:val="22"/>
          <w:lang w:val="sr-Latn-ME"/>
        </w:rPr>
      </w:pPr>
      <w:r w:rsidRPr="004F2B81">
        <w:rPr>
          <w:szCs w:val="22"/>
          <w:lang w:val="sr-Latn-ME"/>
        </w:rPr>
        <w:t xml:space="preserve">Rastvor treba primijeniti sa sterilnim priborom koristeći aseptičnu tehniku. </w:t>
      </w:r>
      <w:r w:rsidR="0068191C" w:rsidRPr="0068191C">
        <w:rPr>
          <w:szCs w:val="22"/>
          <w:lang w:val="sr-Latn-ME"/>
        </w:rPr>
        <w:t>Treba strogo voditi računa da vazduh ne dosp</w:t>
      </w:r>
      <w:r w:rsidR="00792275">
        <w:rPr>
          <w:szCs w:val="22"/>
          <w:lang w:val="sr-Latn-ME"/>
        </w:rPr>
        <w:t>ij</w:t>
      </w:r>
      <w:r w:rsidR="0068191C" w:rsidRPr="0068191C">
        <w:rPr>
          <w:szCs w:val="22"/>
          <w:lang w:val="sr-Latn-ME"/>
        </w:rPr>
        <w:t>e u sistem za infuziju</w:t>
      </w:r>
      <w:r w:rsidRPr="004F2B81">
        <w:rPr>
          <w:szCs w:val="22"/>
          <w:lang w:val="sr-Latn-ME"/>
        </w:rPr>
        <w:t xml:space="preserve">. </w:t>
      </w:r>
    </w:p>
    <w:p w14:paraId="32A4A832" w14:textId="77777777" w:rsidR="0068191C" w:rsidRDefault="0068191C" w:rsidP="004F2B81">
      <w:pPr>
        <w:tabs>
          <w:tab w:val="clear" w:pos="284"/>
        </w:tabs>
        <w:textAlignment w:val="baseline"/>
        <w:rPr>
          <w:szCs w:val="22"/>
          <w:lang w:val="sr-Latn-ME"/>
        </w:rPr>
      </w:pPr>
    </w:p>
    <w:p w14:paraId="08750A0A" w14:textId="646034C2" w:rsidR="00794E82" w:rsidRPr="004F2B81" w:rsidRDefault="0068191C" w:rsidP="004F2B81">
      <w:pPr>
        <w:tabs>
          <w:tab w:val="clear" w:pos="284"/>
        </w:tabs>
        <w:textAlignment w:val="baseline"/>
        <w:rPr>
          <w:szCs w:val="22"/>
          <w:lang w:val="sr-Latn-ME"/>
        </w:rPr>
      </w:pPr>
      <w:r>
        <w:rPr>
          <w:szCs w:val="22"/>
          <w:lang w:val="sr-Latn-ME"/>
        </w:rPr>
        <w:t>Dodatna terapija</w:t>
      </w:r>
      <w:r w:rsidR="00794E82" w:rsidRPr="004F2B81">
        <w:rPr>
          <w:szCs w:val="22"/>
          <w:lang w:val="sr-Latn-ME"/>
        </w:rPr>
        <w:t xml:space="preserve"> elektrolit</w:t>
      </w:r>
      <w:r>
        <w:rPr>
          <w:szCs w:val="22"/>
          <w:lang w:val="sr-Latn-ME"/>
        </w:rPr>
        <w:t>im</w:t>
      </w:r>
      <w:r w:rsidR="00794E82" w:rsidRPr="004F2B81">
        <w:rPr>
          <w:szCs w:val="22"/>
          <w:lang w:val="sr-Latn-ME"/>
        </w:rPr>
        <w:t xml:space="preserve">a </w:t>
      </w:r>
      <w:r w:rsidR="00511385">
        <w:rPr>
          <w:szCs w:val="22"/>
          <w:lang w:val="sr-Latn-ME"/>
        </w:rPr>
        <w:t>može biti potrebna</w:t>
      </w:r>
      <w:r w:rsidR="00794E82" w:rsidRPr="004F2B81">
        <w:rPr>
          <w:szCs w:val="22"/>
          <w:lang w:val="sr-Latn-ME"/>
        </w:rPr>
        <w:t xml:space="preserve"> u skladu sa </w:t>
      </w:r>
      <w:r w:rsidR="00511385">
        <w:rPr>
          <w:szCs w:val="22"/>
          <w:lang w:val="sr-Latn-ME"/>
        </w:rPr>
        <w:t>kliničkim stanjem</w:t>
      </w:r>
      <w:r w:rsidR="00794E82" w:rsidRPr="004F2B81">
        <w:rPr>
          <w:szCs w:val="22"/>
          <w:lang w:val="sr-Latn-ME"/>
        </w:rPr>
        <w:t xml:space="preserve"> pacijenta. </w:t>
      </w:r>
    </w:p>
    <w:p w14:paraId="5799DB26" w14:textId="1F45C27F" w:rsidR="002B4EA8" w:rsidRPr="004F2B81" w:rsidRDefault="00AE39FD" w:rsidP="004F2B81">
      <w:pPr>
        <w:rPr>
          <w:szCs w:val="22"/>
          <w:lang w:val="sr-Latn-ME"/>
        </w:rPr>
      </w:pPr>
      <w:r w:rsidRPr="004F2B81">
        <w:rPr>
          <w:szCs w:val="22"/>
          <w:lang w:val="sr-Latn-ME"/>
        </w:rPr>
        <w:t xml:space="preserve"> </w:t>
      </w:r>
    </w:p>
    <w:p w14:paraId="44791FE4" w14:textId="37C210B2" w:rsidR="002B4EA8" w:rsidRPr="004F2B81" w:rsidRDefault="00AE39FD" w:rsidP="004F2B81">
      <w:pPr>
        <w:rPr>
          <w:szCs w:val="22"/>
          <w:lang w:val="sr-Latn-ME"/>
        </w:rPr>
      </w:pPr>
      <w:r w:rsidRPr="004F2B81">
        <w:rPr>
          <w:szCs w:val="22"/>
          <w:lang w:val="sr-Latn-ME"/>
        </w:rPr>
        <w:t>Dodatni l</w:t>
      </w:r>
      <w:r w:rsidR="00132362" w:rsidRPr="004F2B81">
        <w:rPr>
          <w:szCs w:val="22"/>
          <w:lang w:val="sr-Latn-ME"/>
        </w:rPr>
        <w:t>j</w:t>
      </w:r>
      <w:r w:rsidRPr="004F2B81">
        <w:rPr>
          <w:szCs w:val="22"/>
          <w:lang w:val="sr-Latn-ME"/>
        </w:rPr>
        <w:t>ekovi mogu biti uvedeni pr</w:t>
      </w:r>
      <w:r w:rsidR="00132362" w:rsidRPr="004F2B81">
        <w:rPr>
          <w:szCs w:val="22"/>
          <w:lang w:val="sr-Latn-ME"/>
        </w:rPr>
        <w:t>ij</w:t>
      </w:r>
      <w:r w:rsidRPr="004F2B81">
        <w:rPr>
          <w:szCs w:val="22"/>
          <w:lang w:val="sr-Latn-ME"/>
        </w:rPr>
        <w:t>e ili tokom prim</w:t>
      </w:r>
      <w:r w:rsidR="00132362" w:rsidRPr="004F2B81">
        <w:rPr>
          <w:szCs w:val="22"/>
          <w:lang w:val="sr-Latn-ME"/>
        </w:rPr>
        <w:t>j</w:t>
      </w:r>
      <w:r w:rsidRPr="004F2B81">
        <w:rPr>
          <w:szCs w:val="22"/>
          <w:lang w:val="sr-Latn-ME"/>
        </w:rPr>
        <w:t>ene</w:t>
      </w:r>
      <w:r w:rsidR="00900CCD" w:rsidRPr="004F2B81">
        <w:rPr>
          <w:szCs w:val="22"/>
          <w:lang w:val="sr-Latn-ME"/>
        </w:rPr>
        <w:t xml:space="preserve"> infuzionog rastvora </w:t>
      </w:r>
      <w:r w:rsidR="006527FE" w:rsidRPr="004F2B81">
        <w:rPr>
          <w:szCs w:val="22"/>
          <w:lang w:val="sr-Latn-ME"/>
        </w:rPr>
        <w:t>kroz isto m</w:t>
      </w:r>
      <w:r w:rsidR="00132362" w:rsidRPr="004F2B81">
        <w:rPr>
          <w:szCs w:val="22"/>
          <w:lang w:val="sr-Latn-ME"/>
        </w:rPr>
        <w:t>j</w:t>
      </w:r>
      <w:r w:rsidR="006527FE" w:rsidRPr="004F2B81">
        <w:rPr>
          <w:szCs w:val="22"/>
          <w:lang w:val="sr-Latn-ME"/>
        </w:rPr>
        <w:t>esto prim</w:t>
      </w:r>
      <w:r w:rsidR="00132362" w:rsidRPr="004F2B81">
        <w:rPr>
          <w:szCs w:val="22"/>
          <w:lang w:val="sr-Latn-ME"/>
        </w:rPr>
        <w:t>j</w:t>
      </w:r>
      <w:r w:rsidR="006527FE" w:rsidRPr="004F2B81">
        <w:rPr>
          <w:szCs w:val="22"/>
          <w:lang w:val="sr-Latn-ME"/>
        </w:rPr>
        <w:t>ene.</w:t>
      </w:r>
      <w:r w:rsidR="00900CCD" w:rsidRPr="004F2B81">
        <w:rPr>
          <w:szCs w:val="22"/>
          <w:lang w:val="sr-Latn-ME"/>
        </w:rPr>
        <w:t xml:space="preserve"> </w:t>
      </w:r>
    </w:p>
    <w:p w14:paraId="75C9348F" w14:textId="4F62B027" w:rsidR="002B4EA8" w:rsidRPr="004F2B81" w:rsidRDefault="00C908F2" w:rsidP="004F2B81">
      <w:pPr>
        <w:rPr>
          <w:szCs w:val="22"/>
          <w:lang w:val="sr-Latn-ME"/>
        </w:rPr>
      </w:pPr>
      <w:r w:rsidRPr="00C908F2">
        <w:rPr>
          <w:szCs w:val="22"/>
          <w:lang w:val="sr-Latn-ME"/>
        </w:rPr>
        <w:t>Pri prim</w:t>
      </w:r>
      <w:r>
        <w:rPr>
          <w:szCs w:val="22"/>
          <w:lang w:val="sr-Latn-ME"/>
        </w:rPr>
        <w:t>j</w:t>
      </w:r>
      <w:r w:rsidRPr="00C908F2">
        <w:rPr>
          <w:szCs w:val="22"/>
          <w:lang w:val="sr-Latn-ME"/>
        </w:rPr>
        <w:t>eni dodatne terapije, treba prov</w:t>
      </w:r>
      <w:r>
        <w:rPr>
          <w:szCs w:val="22"/>
          <w:lang w:val="sr-Latn-ME"/>
        </w:rPr>
        <w:t>j</w:t>
      </w:r>
      <w:r w:rsidRPr="00C908F2">
        <w:rPr>
          <w:szCs w:val="22"/>
          <w:lang w:val="sr-Latn-ME"/>
        </w:rPr>
        <w:t>eriti finalni osmolaritet rastvora</w:t>
      </w:r>
      <w:r w:rsidR="0050499E" w:rsidRPr="004F2B81">
        <w:rPr>
          <w:szCs w:val="22"/>
          <w:lang w:val="sr-Latn-ME"/>
        </w:rPr>
        <w:t>. Primjena hiperosmolarnih rastvora može izazvati vensku iritaciju i flebitis. Obavezno je temeljno i pažljivo miješanje dodatnih supstanci aseptičnom tehnikom</w:t>
      </w:r>
      <w:r w:rsidR="00817BB5" w:rsidRPr="004F2B81">
        <w:rPr>
          <w:szCs w:val="22"/>
          <w:lang w:val="sr-Latn-ME"/>
        </w:rPr>
        <w:t>.</w:t>
      </w:r>
      <w:r w:rsidR="00F84701" w:rsidRPr="004F2B81">
        <w:rPr>
          <w:szCs w:val="22"/>
          <w:lang w:val="sr-Latn-ME"/>
        </w:rPr>
        <w:t xml:space="preserve"> Tako pripremljene rastvore treba odmah prim</w:t>
      </w:r>
      <w:r w:rsidR="0050499E" w:rsidRPr="004F2B81">
        <w:rPr>
          <w:szCs w:val="22"/>
          <w:lang w:val="sr-Latn-ME"/>
        </w:rPr>
        <w:t>ij</w:t>
      </w:r>
      <w:r w:rsidR="00F84701" w:rsidRPr="004F2B81">
        <w:rPr>
          <w:szCs w:val="22"/>
          <w:lang w:val="sr-Latn-ME"/>
        </w:rPr>
        <w:t>eniti</w:t>
      </w:r>
      <w:r w:rsidR="00AF3D9F">
        <w:rPr>
          <w:szCs w:val="22"/>
          <w:lang w:val="sr-Latn-ME"/>
        </w:rPr>
        <w:t xml:space="preserve"> </w:t>
      </w:r>
      <w:r w:rsidR="00AF3D9F" w:rsidRPr="00AF3D9F">
        <w:rPr>
          <w:szCs w:val="22"/>
          <w:lang w:val="sr-Latn-ME"/>
        </w:rPr>
        <w:t>(</w:t>
      </w:r>
      <w:r w:rsidR="00B64B07">
        <w:rPr>
          <w:szCs w:val="22"/>
          <w:lang w:val="sr-Latn-ME"/>
        </w:rPr>
        <w:t>vidjeti</w:t>
      </w:r>
      <w:r w:rsidR="00B64B07" w:rsidRPr="00AF3D9F">
        <w:rPr>
          <w:szCs w:val="22"/>
          <w:lang w:val="sr-Latn-ME"/>
        </w:rPr>
        <w:t xml:space="preserve"> </w:t>
      </w:r>
      <w:r w:rsidR="00AF3D9F">
        <w:rPr>
          <w:szCs w:val="22"/>
          <w:lang w:val="sr-Latn-ME"/>
        </w:rPr>
        <w:t>dio</w:t>
      </w:r>
      <w:r w:rsidR="00AF3D9F" w:rsidRPr="00AF3D9F">
        <w:rPr>
          <w:szCs w:val="22"/>
          <w:lang w:val="sr-Latn-ME"/>
        </w:rPr>
        <w:t xml:space="preserve"> 4.4 za informacije o riziku od embolije vazduhom)</w:t>
      </w:r>
      <w:r w:rsidR="00F84701" w:rsidRPr="004F2B81">
        <w:rPr>
          <w:szCs w:val="22"/>
          <w:lang w:val="sr-Latn-ME"/>
        </w:rPr>
        <w:t>.</w:t>
      </w:r>
      <w:r w:rsidR="002B4EA8" w:rsidRPr="004F2B81">
        <w:rPr>
          <w:szCs w:val="22"/>
          <w:lang w:val="sr-Latn-ME"/>
        </w:rPr>
        <w:t xml:space="preserve"> </w:t>
      </w:r>
    </w:p>
    <w:p w14:paraId="184B8AC2" w14:textId="77777777" w:rsidR="00CE09F3" w:rsidRPr="004F2B81" w:rsidRDefault="00CE09F3" w:rsidP="004F2B81">
      <w:pPr>
        <w:rPr>
          <w:szCs w:val="22"/>
          <w:lang w:val="sr-Latn-ME"/>
        </w:rPr>
      </w:pPr>
    </w:p>
    <w:p w14:paraId="184B8AC3" w14:textId="77777777" w:rsidR="00CE09F3" w:rsidRPr="004F2B81" w:rsidRDefault="00CE09F3" w:rsidP="004F2B81">
      <w:pPr>
        <w:rPr>
          <w:b/>
          <w:bCs/>
          <w:szCs w:val="22"/>
          <w:lang w:val="sr-Latn-ME"/>
        </w:rPr>
      </w:pPr>
      <w:r w:rsidRPr="004F2B81">
        <w:rPr>
          <w:b/>
          <w:bCs/>
          <w:szCs w:val="22"/>
          <w:lang w:val="sr-Latn-ME"/>
        </w:rPr>
        <w:lastRenderedPageBreak/>
        <w:t>4.3. Kontraindikacije</w:t>
      </w:r>
    </w:p>
    <w:p w14:paraId="184B8AC4" w14:textId="77777777" w:rsidR="00CE09F3" w:rsidRPr="004F2B81" w:rsidRDefault="00CE09F3" w:rsidP="004F2B81">
      <w:pPr>
        <w:rPr>
          <w:szCs w:val="22"/>
          <w:lang w:val="sr-Latn-ME"/>
        </w:rPr>
      </w:pPr>
    </w:p>
    <w:p w14:paraId="184B8AC5" w14:textId="50F97674" w:rsidR="006F27F9" w:rsidRPr="004F2B81" w:rsidRDefault="0076523B" w:rsidP="004F2B81">
      <w:pPr>
        <w:numPr>
          <w:ilvl w:val="0"/>
          <w:numId w:val="5"/>
        </w:numPr>
        <w:tabs>
          <w:tab w:val="clear" w:pos="284"/>
        </w:tabs>
        <w:ind w:left="426"/>
        <w:rPr>
          <w:szCs w:val="22"/>
          <w:lang w:val="sr-Latn-ME"/>
        </w:rPr>
      </w:pPr>
      <w:r w:rsidRPr="004F2B81">
        <w:rPr>
          <w:szCs w:val="22"/>
          <w:lang w:val="sr-Latn-ME"/>
        </w:rPr>
        <w:t xml:space="preserve">Dekompenzovani dijabetes </w:t>
      </w:r>
      <w:r w:rsidR="00F73DD8" w:rsidRPr="004F2B81">
        <w:rPr>
          <w:szCs w:val="22"/>
          <w:lang w:val="sr-Latn-ME"/>
        </w:rPr>
        <w:t xml:space="preserve">melitus </w:t>
      </w:r>
      <w:r w:rsidRPr="004F2B81">
        <w:rPr>
          <w:szCs w:val="22"/>
          <w:lang w:val="sr-Latn-ME"/>
        </w:rPr>
        <w:t xml:space="preserve">i druga stanja u kojima postoji intolerancija glukoze (kao što su stanja metaboličkog stresa), hiperosmolarna koma, hiperglikemija, </w:t>
      </w:r>
      <w:r w:rsidR="003C6260" w:rsidRPr="004F2B81">
        <w:rPr>
          <w:szCs w:val="22"/>
          <w:lang w:val="sr-Latn-ME"/>
        </w:rPr>
        <w:t>hiperlaktatemija</w:t>
      </w:r>
      <w:r w:rsidRPr="004F2B81">
        <w:rPr>
          <w:szCs w:val="22"/>
          <w:lang w:val="sr-Latn-ME"/>
        </w:rPr>
        <w:t xml:space="preserve">. </w:t>
      </w:r>
    </w:p>
    <w:p w14:paraId="638938A0" w14:textId="180C9CEA" w:rsidR="008035ED" w:rsidRPr="004F2B81" w:rsidRDefault="008035ED" w:rsidP="004F2B81">
      <w:pPr>
        <w:numPr>
          <w:ilvl w:val="0"/>
          <w:numId w:val="5"/>
        </w:numPr>
        <w:tabs>
          <w:tab w:val="clear" w:pos="284"/>
        </w:tabs>
        <w:ind w:left="426"/>
        <w:rPr>
          <w:szCs w:val="22"/>
          <w:lang w:val="sr-Latn-ME"/>
        </w:rPr>
      </w:pPr>
      <w:r w:rsidRPr="004F2B81">
        <w:rPr>
          <w:szCs w:val="22"/>
          <w:lang w:val="sr-Latn-ME"/>
        </w:rPr>
        <w:t>Preosjetljivost na aktivnu supstancu (</w:t>
      </w:r>
      <w:r w:rsidR="00B64B07">
        <w:rPr>
          <w:szCs w:val="22"/>
          <w:lang w:val="sr-Latn-ME"/>
        </w:rPr>
        <w:t>vidjeti</w:t>
      </w:r>
      <w:r w:rsidR="00B64B07" w:rsidRPr="004F2B81">
        <w:rPr>
          <w:szCs w:val="22"/>
          <w:lang w:val="sr-Latn-ME"/>
        </w:rPr>
        <w:t xml:space="preserve"> </w:t>
      </w:r>
      <w:r w:rsidR="00A36E26" w:rsidRPr="004F2B81">
        <w:rPr>
          <w:szCs w:val="22"/>
          <w:lang w:val="sr-Latn-ME"/>
        </w:rPr>
        <w:t>djelove</w:t>
      </w:r>
      <w:r w:rsidRPr="004F2B81">
        <w:rPr>
          <w:szCs w:val="22"/>
          <w:lang w:val="sr-Latn-ME"/>
        </w:rPr>
        <w:t xml:space="preserve"> 4.4. i 4.8 za alergiju na kukuruz).</w:t>
      </w:r>
    </w:p>
    <w:p w14:paraId="184B8AC7" w14:textId="77777777" w:rsidR="0076523B" w:rsidRPr="004F2B81" w:rsidRDefault="0076523B" w:rsidP="004F2B81">
      <w:pPr>
        <w:rPr>
          <w:szCs w:val="22"/>
          <w:lang w:val="sr-Latn-ME"/>
        </w:rPr>
      </w:pPr>
    </w:p>
    <w:p w14:paraId="184B8AC9" w14:textId="4A6A0868" w:rsidR="00CE09F3" w:rsidRPr="004F2B81" w:rsidRDefault="00245A06" w:rsidP="004F2B81">
      <w:pPr>
        <w:rPr>
          <w:szCs w:val="22"/>
          <w:lang w:val="sr-Latn-ME"/>
        </w:rPr>
      </w:pPr>
      <w:r w:rsidRPr="004F2B81">
        <w:rPr>
          <w:szCs w:val="22"/>
          <w:lang w:val="sr-Latn-ME"/>
        </w:rPr>
        <w:t>Treba imati u vidu i kontraindikacije koje se odnose na lijek koji se dodaje rastvoru glukoze.</w:t>
      </w:r>
    </w:p>
    <w:p w14:paraId="20BC2186" w14:textId="77777777" w:rsidR="004A7DFD" w:rsidRPr="004F2B81" w:rsidRDefault="004A7DFD" w:rsidP="004F2B81">
      <w:pPr>
        <w:rPr>
          <w:b/>
          <w:bCs/>
          <w:szCs w:val="22"/>
          <w:lang w:val="sr-Latn-ME"/>
        </w:rPr>
      </w:pPr>
    </w:p>
    <w:p w14:paraId="184B8ACA" w14:textId="2B701553" w:rsidR="00CE09F3" w:rsidRPr="004F2B81" w:rsidRDefault="00CE09F3" w:rsidP="004F2B81">
      <w:pPr>
        <w:rPr>
          <w:b/>
          <w:bCs/>
          <w:szCs w:val="22"/>
          <w:lang w:val="sr-Latn-ME"/>
        </w:rPr>
      </w:pPr>
      <w:r w:rsidRPr="004F2B81">
        <w:rPr>
          <w:b/>
          <w:bCs/>
          <w:szCs w:val="22"/>
          <w:lang w:val="sr-Latn-ME"/>
        </w:rPr>
        <w:t>4.4. Posebna upozorenja i m</w:t>
      </w:r>
      <w:r w:rsidR="00245A06" w:rsidRPr="004F2B81">
        <w:rPr>
          <w:b/>
          <w:bCs/>
          <w:szCs w:val="22"/>
          <w:lang w:val="sr-Latn-ME"/>
        </w:rPr>
        <w:t>j</w:t>
      </w:r>
      <w:r w:rsidRPr="004F2B81">
        <w:rPr>
          <w:b/>
          <w:bCs/>
          <w:szCs w:val="22"/>
          <w:lang w:val="sr-Latn-ME"/>
        </w:rPr>
        <w:t>ere opreza pri upotrebi l</w:t>
      </w:r>
      <w:r w:rsidR="00245A06" w:rsidRPr="004F2B81">
        <w:rPr>
          <w:b/>
          <w:bCs/>
          <w:szCs w:val="22"/>
          <w:lang w:val="sr-Latn-ME"/>
        </w:rPr>
        <w:t>ij</w:t>
      </w:r>
      <w:r w:rsidRPr="004F2B81">
        <w:rPr>
          <w:b/>
          <w:bCs/>
          <w:szCs w:val="22"/>
          <w:lang w:val="sr-Latn-ME"/>
        </w:rPr>
        <w:t>eka</w:t>
      </w:r>
    </w:p>
    <w:p w14:paraId="184B8ACB" w14:textId="3BD706CA" w:rsidR="00CE09F3" w:rsidRPr="004F2B81" w:rsidRDefault="00CE09F3" w:rsidP="004F2B81">
      <w:pPr>
        <w:rPr>
          <w:szCs w:val="22"/>
          <w:lang w:val="sr-Latn-ME"/>
        </w:rPr>
      </w:pPr>
    </w:p>
    <w:p w14:paraId="69D6F20D" w14:textId="36EC8132" w:rsidR="00F439B4" w:rsidRPr="004F2B81" w:rsidRDefault="00F439B4" w:rsidP="004F2B81">
      <w:pPr>
        <w:pStyle w:val="Header"/>
        <w:tabs>
          <w:tab w:val="clear" w:pos="4536"/>
          <w:tab w:val="clear" w:pos="9072"/>
          <w:tab w:val="left" w:pos="284"/>
        </w:tabs>
        <w:rPr>
          <w:szCs w:val="22"/>
          <w:lang w:val="sr-Latn-ME"/>
        </w:rPr>
      </w:pPr>
      <w:r w:rsidRPr="004F2B81">
        <w:rPr>
          <w:szCs w:val="22"/>
          <w:lang w:val="sr-Latn-ME"/>
        </w:rPr>
        <w:t xml:space="preserve">Intravenski infuzioni rastvori glukoze su obično izotonični rastvori. U tijelu, međutim, rastvori </w:t>
      </w:r>
      <w:r w:rsidR="00D703A2">
        <w:rPr>
          <w:szCs w:val="22"/>
          <w:lang w:val="sr-Latn-ME"/>
        </w:rPr>
        <w:t xml:space="preserve">koji sadrže </w:t>
      </w:r>
      <w:r w:rsidRPr="004F2B81">
        <w:rPr>
          <w:szCs w:val="22"/>
          <w:lang w:val="sr-Latn-ME"/>
        </w:rPr>
        <w:t>glukoz</w:t>
      </w:r>
      <w:r w:rsidR="00D703A2">
        <w:rPr>
          <w:szCs w:val="22"/>
          <w:lang w:val="sr-Latn-ME"/>
        </w:rPr>
        <w:t>u</w:t>
      </w:r>
      <w:r w:rsidRPr="004F2B81">
        <w:rPr>
          <w:szCs w:val="22"/>
          <w:lang w:val="sr-Latn-ME"/>
        </w:rPr>
        <w:t xml:space="preserve"> mogu da postanu ekstremno fiziološki hipotoni</w:t>
      </w:r>
      <w:r w:rsidR="00CA5DAC">
        <w:rPr>
          <w:szCs w:val="22"/>
          <w:lang w:val="sr-Latn-ME"/>
        </w:rPr>
        <w:t>čni</w:t>
      </w:r>
      <w:r w:rsidRPr="004F2B81">
        <w:rPr>
          <w:szCs w:val="22"/>
          <w:lang w:val="sr-Latn-ME"/>
        </w:rPr>
        <w:t xml:space="preserve"> usljed brzog metabol</w:t>
      </w:r>
      <w:r w:rsidR="00D703A2">
        <w:rPr>
          <w:szCs w:val="22"/>
          <w:lang w:val="sr-Latn-ME"/>
        </w:rPr>
        <w:t>izma</w:t>
      </w:r>
      <w:r w:rsidRPr="004F2B81">
        <w:rPr>
          <w:szCs w:val="22"/>
          <w:lang w:val="sr-Latn-ME"/>
        </w:rPr>
        <w:t xml:space="preserve"> glukoze (</w:t>
      </w:r>
      <w:r w:rsidR="00B64B07">
        <w:rPr>
          <w:szCs w:val="22"/>
          <w:lang w:val="sr-Latn-ME"/>
        </w:rPr>
        <w:t>vidjeti</w:t>
      </w:r>
      <w:r w:rsidR="00B64B07" w:rsidRPr="004F2B81">
        <w:rPr>
          <w:szCs w:val="22"/>
          <w:lang w:val="sr-Latn-ME"/>
        </w:rPr>
        <w:t xml:space="preserve"> </w:t>
      </w:r>
      <w:r w:rsidRPr="004F2B81">
        <w:rPr>
          <w:szCs w:val="22"/>
          <w:lang w:val="sr-Latn-ME"/>
        </w:rPr>
        <w:t>dio 4.2).</w:t>
      </w:r>
    </w:p>
    <w:p w14:paraId="2E743A51" w14:textId="77777777" w:rsidR="008A45C0" w:rsidRPr="004F2B81" w:rsidRDefault="008A45C0" w:rsidP="004F2B81">
      <w:pPr>
        <w:rPr>
          <w:szCs w:val="22"/>
          <w:lang w:val="sr-Latn-ME"/>
        </w:rPr>
      </w:pPr>
    </w:p>
    <w:p w14:paraId="184B8ACC" w14:textId="77777777" w:rsidR="0076523B" w:rsidRPr="004F2B81" w:rsidRDefault="0076523B" w:rsidP="004F2B81">
      <w:pPr>
        <w:pStyle w:val="Header"/>
        <w:tabs>
          <w:tab w:val="clear" w:pos="4536"/>
          <w:tab w:val="clear" w:pos="9072"/>
          <w:tab w:val="left" w:pos="284"/>
        </w:tabs>
        <w:rPr>
          <w:szCs w:val="22"/>
          <w:u w:val="single"/>
          <w:lang w:val="sr-Latn-ME"/>
        </w:rPr>
      </w:pPr>
      <w:r w:rsidRPr="004F2B81">
        <w:rPr>
          <w:szCs w:val="22"/>
          <w:u w:val="single"/>
          <w:lang w:val="sr-Latn-ME"/>
        </w:rPr>
        <w:t>Hemodilucija i drugi efekti na serumske elektrolite</w:t>
      </w:r>
    </w:p>
    <w:p w14:paraId="1642065A" w14:textId="77777777" w:rsidR="005B315A" w:rsidRPr="004F2B81" w:rsidRDefault="005B315A" w:rsidP="004F2B81">
      <w:pPr>
        <w:pStyle w:val="Header"/>
        <w:tabs>
          <w:tab w:val="clear" w:pos="4536"/>
          <w:tab w:val="clear" w:pos="9072"/>
          <w:tab w:val="left" w:pos="284"/>
        </w:tabs>
        <w:rPr>
          <w:szCs w:val="22"/>
          <w:lang w:val="sr-Latn-ME"/>
        </w:rPr>
      </w:pPr>
      <w:r w:rsidRPr="004F2B81">
        <w:rPr>
          <w:szCs w:val="22"/>
          <w:lang w:val="sr-Latn-ME"/>
        </w:rPr>
        <w:t>U zavisnosti od toničnosti rastvora, zapremine i brzine davanja infuzije i u zavisnosti od već postojećih oboljenja kod pacijenta i sposobnosti da metaboliše glukozu, intravenska primjena glukoze može da izazove:</w:t>
      </w:r>
    </w:p>
    <w:p w14:paraId="7DFA710D" w14:textId="77777777" w:rsidR="005B315A" w:rsidRPr="004F2B81" w:rsidRDefault="005B315A" w:rsidP="004F2B81">
      <w:pPr>
        <w:pStyle w:val="Header"/>
        <w:numPr>
          <w:ilvl w:val="0"/>
          <w:numId w:val="17"/>
        </w:numPr>
        <w:tabs>
          <w:tab w:val="clear" w:pos="4536"/>
          <w:tab w:val="clear" w:pos="9072"/>
          <w:tab w:val="left" w:pos="284"/>
        </w:tabs>
        <w:rPr>
          <w:szCs w:val="22"/>
          <w:lang w:val="sr-Latn-ME"/>
        </w:rPr>
      </w:pPr>
      <w:r w:rsidRPr="004F2B81">
        <w:rPr>
          <w:szCs w:val="22"/>
          <w:lang w:val="sr-Latn-ME"/>
        </w:rPr>
        <w:t>hiperosmolalnost, osmotsku diurezu i dehidraciju,</w:t>
      </w:r>
    </w:p>
    <w:p w14:paraId="0BCFEF12" w14:textId="77777777" w:rsidR="005B315A" w:rsidRPr="004F2B81" w:rsidRDefault="005B315A" w:rsidP="004F2B81">
      <w:pPr>
        <w:pStyle w:val="Header"/>
        <w:numPr>
          <w:ilvl w:val="0"/>
          <w:numId w:val="17"/>
        </w:numPr>
        <w:tabs>
          <w:tab w:val="clear" w:pos="4536"/>
          <w:tab w:val="clear" w:pos="9072"/>
          <w:tab w:val="left" w:pos="284"/>
        </w:tabs>
        <w:rPr>
          <w:szCs w:val="22"/>
          <w:lang w:val="sr-Latn-ME"/>
        </w:rPr>
      </w:pPr>
      <w:r w:rsidRPr="004F2B81">
        <w:rPr>
          <w:szCs w:val="22"/>
          <w:lang w:val="sr-Latn-ME"/>
        </w:rPr>
        <w:t>hipoosmolalnost,</w:t>
      </w:r>
    </w:p>
    <w:p w14:paraId="43133605" w14:textId="77777777" w:rsidR="005B315A" w:rsidRPr="004F2B81" w:rsidRDefault="005B315A" w:rsidP="004F2B81">
      <w:pPr>
        <w:pStyle w:val="Header"/>
        <w:numPr>
          <w:ilvl w:val="0"/>
          <w:numId w:val="17"/>
        </w:numPr>
        <w:tabs>
          <w:tab w:val="clear" w:pos="4536"/>
          <w:tab w:val="clear" w:pos="9072"/>
          <w:tab w:val="left" w:pos="284"/>
        </w:tabs>
        <w:rPr>
          <w:szCs w:val="22"/>
          <w:lang w:val="sr-Latn-ME"/>
        </w:rPr>
      </w:pPr>
      <w:r w:rsidRPr="004F2B81">
        <w:rPr>
          <w:szCs w:val="22"/>
          <w:lang w:val="sr-Latn-ME"/>
        </w:rPr>
        <w:t>elektrolitne poremećaje, kao što su:</w:t>
      </w:r>
    </w:p>
    <w:p w14:paraId="530C254C" w14:textId="2A2519E1" w:rsidR="005B315A" w:rsidRPr="004F2B81" w:rsidRDefault="005B315A" w:rsidP="004F2B81">
      <w:pPr>
        <w:pStyle w:val="Header"/>
        <w:numPr>
          <w:ilvl w:val="0"/>
          <w:numId w:val="18"/>
        </w:numPr>
        <w:tabs>
          <w:tab w:val="clear" w:pos="4536"/>
          <w:tab w:val="clear" w:pos="9072"/>
          <w:tab w:val="left" w:pos="709"/>
          <w:tab w:val="left" w:pos="1134"/>
        </w:tabs>
        <w:ind w:hanging="11"/>
        <w:rPr>
          <w:szCs w:val="22"/>
          <w:lang w:val="sr-Latn-ME"/>
        </w:rPr>
      </w:pPr>
      <w:r w:rsidRPr="004F2B81">
        <w:rPr>
          <w:szCs w:val="22"/>
          <w:lang w:val="sr-Latn-ME"/>
        </w:rPr>
        <w:t>hipo- ili hiperosmotska hiponatremija (</w:t>
      </w:r>
      <w:r w:rsidR="00B64B07">
        <w:rPr>
          <w:szCs w:val="22"/>
          <w:lang w:val="sr-Latn-ME"/>
        </w:rPr>
        <w:t>vidjeti</w:t>
      </w:r>
      <w:r w:rsidR="00B64B07" w:rsidRPr="004F2B81">
        <w:rPr>
          <w:szCs w:val="22"/>
          <w:lang w:val="sr-Latn-ME"/>
        </w:rPr>
        <w:t xml:space="preserve"> </w:t>
      </w:r>
      <w:r w:rsidRPr="004F2B81">
        <w:rPr>
          <w:szCs w:val="22"/>
          <w:lang w:val="sr-Latn-ME"/>
        </w:rPr>
        <w:t>u tekstu ispod)</w:t>
      </w:r>
    </w:p>
    <w:p w14:paraId="13FFB964" w14:textId="260FC326" w:rsidR="005B315A" w:rsidRPr="004F2B81" w:rsidRDefault="005B315A" w:rsidP="004F2B81">
      <w:pPr>
        <w:pStyle w:val="Header"/>
        <w:numPr>
          <w:ilvl w:val="0"/>
          <w:numId w:val="18"/>
        </w:numPr>
        <w:tabs>
          <w:tab w:val="clear" w:pos="4536"/>
          <w:tab w:val="clear" w:pos="9072"/>
          <w:tab w:val="left" w:pos="709"/>
          <w:tab w:val="left" w:pos="1134"/>
        </w:tabs>
        <w:ind w:hanging="11"/>
        <w:rPr>
          <w:szCs w:val="22"/>
          <w:lang w:val="sr-Latn-ME"/>
        </w:rPr>
      </w:pPr>
      <w:r w:rsidRPr="004F2B81">
        <w:rPr>
          <w:szCs w:val="22"/>
          <w:lang w:val="sr-Latn-ME"/>
        </w:rPr>
        <w:t>hipokal</w:t>
      </w:r>
      <w:r w:rsidR="00B64B07">
        <w:rPr>
          <w:szCs w:val="22"/>
          <w:lang w:val="sr-Latn-ME"/>
        </w:rPr>
        <w:t>ij</w:t>
      </w:r>
      <w:r w:rsidRPr="004F2B81">
        <w:rPr>
          <w:szCs w:val="22"/>
          <w:lang w:val="sr-Latn-ME"/>
        </w:rPr>
        <w:t>emija,</w:t>
      </w:r>
    </w:p>
    <w:p w14:paraId="5477F091" w14:textId="77777777" w:rsidR="005B315A" w:rsidRPr="004F2B81" w:rsidRDefault="005B315A" w:rsidP="004F2B81">
      <w:pPr>
        <w:pStyle w:val="Header"/>
        <w:numPr>
          <w:ilvl w:val="0"/>
          <w:numId w:val="18"/>
        </w:numPr>
        <w:tabs>
          <w:tab w:val="clear" w:pos="4536"/>
          <w:tab w:val="clear" w:pos="9072"/>
          <w:tab w:val="left" w:pos="709"/>
          <w:tab w:val="left" w:pos="1134"/>
        </w:tabs>
        <w:ind w:hanging="11"/>
        <w:rPr>
          <w:szCs w:val="22"/>
          <w:lang w:val="sr-Latn-ME"/>
        </w:rPr>
      </w:pPr>
      <w:r w:rsidRPr="004F2B81">
        <w:rPr>
          <w:szCs w:val="22"/>
          <w:lang w:val="sr-Latn-ME"/>
        </w:rPr>
        <w:t>hipofosfatemija,</w:t>
      </w:r>
    </w:p>
    <w:p w14:paraId="1854D035" w14:textId="38E8B66C" w:rsidR="005B315A" w:rsidRPr="004F2B81" w:rsidRDefault="005B315A" w:rsidP="004F2B81">
      <w:pPr>
        <w:pStyle w:val="Header"/>
        <w:numPr>
          <w:ilvl w:val="0"/>
          <w:numId w:val="18"/>
        </w:numPr>
        <w:tabs>
          <w:tab w:val="clear" w:pos="4536"/>
          <w:tab w:val="clear" w:pos="9072"/>
          <w:tab w:val="left" w:pos="709"/>
          <w:tab w:val="left" w:pos="1134"/>
        </w:tabs>
        <w:ind w:hanging="11"/>
        <w:rPr>
          <w:szCs w:val="22"/>
          <w:lang w:val="sr-Latn-ME"/>
        </w:rPr>
      </w:pPr>
      <w:r w:rsidRPr="004F2B81">
        <w:rPr>
          <w:szCs w:val="22"/>
          <w:lang w:val="sr-Latn-ME"/>
        </w:rPr>
        <w:t>hipomagnez</w:t>
      </w:r>
      <w:r w:rsidR="00EE6F1A">
        <w:rPr>
          <w:szCs w:val="22"/>
          <w:lang w:val="sr-Latn-ME"/>
        </w:rPr>
        <w:t>ij</w:t>
      </w:r>
      <w:r w:rsidRPr="004F2B81">
        <w:rPr>
          <w:szCs w:val="22"/>
          <w:lang w:val="sr-Latn-ME"/>
        </w:rPr>
        <w:t>emija,</w:t>
      </w:r>
    </w:p>
    <w:p w14:paraId="08C43974" w14:textId="409D4429" w:rsidR="005B315A" w:rsidRPr="004F2B81" w:rsidRDefault="005B315A" w:rsidP="004F2B81">
      <w:pPr>
        <w:pStyle w:val="Header"/>
        <w:numPr>
          <w:ilvl w:val="0"/>
          <w:numId w:val="18"/>
        </w:numPr>
        <w:tabs>
          <w:tab w:val="clear" w:pos="4536"/>
          <w:tab w:val="clear" w:pos="9072"/>
          <w:tab w:val="left" w:pos="1134"/>
        </w:tabs>
        <w:ind w:left="1134" w:hanging="425"/>
        <w:rPr>
          <w:szCs w:val="22"/>
          <w:lang w:val="sr-Latn-ME"/>
        </w:rPr>
      </w:pPr>
      <w:r w:rsidRPr="004F2B81">
        <w:rPr>
          <w:szCs w:val="22"/>
          <w:lang w:val="sr-Latn-ME"/>
        </w:rPr>
        <w:t xml:space="preserve">prekomjerna hidracija/hipervolemija i, na primjer, stanja sa kongestijom, uključujući plućnu kongestiju i edem. </w:t>
      </w:r>
    </w:p>
    <w:p w14:paraId="6ADCD375" w14:textId="77777777" w:rsidR="005B315A" w:rsidRPr="004F2B81" w:rsidRDefault="005B315A" w:rsidP="004F2B81">
      <w:pPr>
        <w:pStyle w:val="Header"/>
        <w:tabs>
          <w:tab w:val="clear" w:pos="4536"/>
          <w:tab w:val="clear" w:pos="9072"/>
          <w:tab w:val="left" w:pos="284"/>
        </w:tabs>
        <w:rPr>
          <w:szCs w:val="22"/>
          <w:lang w:val="sr-Latn-ME"/>
        </w:rPr>
      </w:pPr>
    </w:p>
    <w:p w14:paraId="34A911D0" w14:textId="2B5111BF" w:rsidR="005B315A" w:rsidRPr="004F2B81" w:rsidRDefault="005B315A" w:rsidP="004F2B81">
      <w:pPr>
        <w:pStyle w:val="Header"/>
        <w:tabs>
          <w:tab w:val="clear" w:pos="4536"/>
          <w:tab w:val="clear" w:pos="9072"/>
          <w:tab w:val="left" w:pos="284"/>
        </w:tabs>
        <w:rPr>
          <w:szCs w:val="22"/>
          <w:lang w:val="sr-Latn-ME"/>
        </w:rPr>
      </w:pPr>
      <w:r w:rsidRPr="004F2B81">
        <w:rPr>
          <w:szCs w:val="22"/>
          <w:lang w:val="sr-Latn-ME"/>
        </w:rPr>
        <w:t>Ovi navedeni efekti ni</w:t>
      </w:r>
      <w:r w:rsidR="00EE6F1A">
        <w:rPr>
          <w:szCs w:val="22"/>
          <w:lang w:val="sr-Latn-ME"/>
        </w:rPr>
        <w:t>je</w:t>
      </w:r>
      <w:r w:rsidRPr="004F2B81">
        <w:rPr>
          <w:szCs w:val="22"/>
          <w:lang w:val="sr-Latn-ME"/>
        </w:rPr>
        <w:t>su samo rezultat primjene tečnosti bez elektrolita, nego i primjene glukoze.</w:t>
      </w:r>
    </w:p>
    <w:p w14:paraId="794BB1EA" w14:textId="67F561E1" w:rsidR="00E74B44" w:rsidRPr="004F2B81" w:rsidRDefault="00E74B44" w:rsidP="004F2B81">
      <w:pPr>
        <w:pStyle w:val="Header"/>
        <w:tabs>
          <w:tab w:val="clear" w:pos="4536"/>
          <w:tab w:val="clear" w:pos="9072"/>
          <w:tab w:val="left" w:pos="284"/>
        </w:tabs>
        <w:rPr>
          <w:szCs w:val="22"/>
          <w:lang w:val="sr-Latn-ME"/>
        </w:rPr>
      </w:pPr>
    </w:p>
    <w:p w14:paraId="63F63E8F" w14:textId="2E560C6D" w:rsidR="007D5B6F" w:rsidRPr="004F2B81" w:rsidRDefault="007D5B6F" w:rsidP="004F2B81">
      <w:pPr>
        <w:rPr>
          <w:szCs w:val="22"/>
          <w:u w:val="single"/>
          <w:lang w:val="sr-Latn-ME"/>
        </w:rPr>
      </w:pPr>
      <w:r w:rsidRPr="004F2B81">
        <w:rPr>
          <w:szCs w:val="22"/>
          <w:u w:val="single"/>
          <w:lang w:val="sr-Latn-ME"/>
        </w:rPr>
        <w:t>Hiponatr</w:t>
      </w:r>
      <w:r w:rsidR="00EE6F1A">
        <w:rPr>
          <w:szCs w:val="22"/>
          <w:u w:val="single"/>
          <w:lang w:val="sr-Latn-ME"/>
        </w:rPr>
        <w:t>ij</w:t>
      </w:r>
      <w:r w:rsidRPr="004F2B81">
        <w:rPr>
          <w:szCs w:val="22"/>
          <w:u w:val="single"/>
          <w:lang w:val="sr-Latn-ME"/>
        </w:rPr>
        <w:t>emija:</w:t>
      </w:r>
    </w:p>
    <w:p w14:paraId="7BAEE243" w14:textId="6C5EA7D9" w:rsidR="00903056" w:rsidRPr="004F2B81" w:rsidRDefault="00903056" w:rsidP="004F2B81">
      <w:pPr>
        <w:pStyle w:val="Header"/>
        <w:tabs>
          <w:tab w:val="clear" w:pos="4536"/>
          <w:tab w:val="clear" w:pos="9072"/>
          <w:tab w:val="left" w:pos="284"/>
        </w:tabs>
        <w:rPr>
          <w:szCs w:val="22"/>
          <w:lang w:val="sr-Latn-ME"/>
        </w:rPr>
      </w:pPr>
      <w:r w:rsidRPr="004F2B81">
        <w:rPr>
          <w:szCs w:val="22"/>
          <w:lang w:val="sr-Latn-ME"/>
        </w:rPr>
        <w:t xml:space="preserve">Pacijenti sa neosmotskim oslobađanjem vazopresina (npr. tokom akutnih oboljenja, </w:t>
      </w:r>
      <w:r w:rsidR="00A664BC">
        <w:rPr>
          <w:szCs w:val="22"/>
          <w:lang w:val="sr-Latn-ME"/>
        </w:rPr>
        <w:t xml:space="preserve">prisustva </w:t>
      </w:r>
      <w:r w:rsidRPr="004F2B81">
        <w:rPr>
          <w:szCs w:val="22"/>
          <w:lang w:val="sr-Latn-ME"/>
        </w:rPr>
        <w:t>bolova, post-operativnog stresa, infekcija, opekotina i oboljenja CNS-a), pacijenti sa oboljenjima srca, jetre i bubrega i pacijenti koji su na terapiji agonistima vazopresina (</w:t>
      </w:r>
      <w:r w:rsidR="00EE6F1A">
        <w:rPr>
          <w:szCs w:val="22"/>
          <w:lang w:val="sr-Latn-ME"/>
        </w:rPr>
        <w:t>vidjeti</w:t>
      </w:r>
      <w:r w:rsidR="00EE6F1A" w:rsidRPr="004F2B81">
        <w:rPr>
          <w:szCs w:val="22"/>
          <w:lang w:val="sr-Latn-ME"/>
        </w:rPr>
        <w:t xml:space="preserve"> </w:t>
      </w:r>
      <w:r w:rsidRPr="004F2B81">
        <w:rPr>
          <w:szCs w:val="22"/>
          <w:lang w:val="sr-Latn-ME"/>
        </w:rPr>
        <w:t>dio 4.5) su u posebnom riziku od nastanka akutne hiponatr</w:t>
      </w:r>
      <w:r w:rsidR="00EE6F1A">
        <w:rPr>
          <w:szCs w:val="22"/>
          <w:lang w:val="sr-Latn-ME"/>
        </w:rPr>
        <w:t>ij</w:t>
      </w:r>
      <w:r w:rsidRPr="004F2B81">
        <w:rPr>
          <w:szCs w:val="22"/>
          <w:lang w:val="sr-Latn-ME"/>
        </w:rPr>
        <w:t xml:space="preserve">emije po primjeni hipotoničnih </w:t>
      </w:r>
      <w:r w:rsidR="00942FF3">
        <w:rPr>
          <w:szCs w:val="22"/>
          <w:lang w:val="sr-Latn-ME"/>
        </w:rPr>
        <w:t>rastvora</w:t>
      </w:r>
      <w:r w:rsidRPr="004F2B81">
        <w:rPr>
          <w:szCs w:val="22"/>
          <w:lang w:val="sr-Latn-ME"/>
        </w:rPr>
        <w:t xml:space="preserve"> putem infuzije. </w:t>
      </w:r>
    </w:p>
    <w:p w14:paraId="7F2B2570" w14:textId="77777777" w:rsidR="00903056" w:rsidRPr="004F2B81" w:rsidRDefault="00903056" w:rsidP="004F2B81">
      <w:pPr>
        <w:pStyle w:val="Header"/>
        <w:tabs>
          <w:tab w:val="clear" w:pos="4536"/>
          <w:tab w:val="clear" w:pos="9072"/>
          <w:tab w:val="left" w:pos="284"/>
        </w:tabs>
        <w:rPr>
          <w:szCs w:val="22"/>
          <w:lang w:val="sr-Latn-ME"/>
        </w:rPr>
      </w:pPr>
    </w:p>
    <w:p w14:paraId="354838B1" w14:textId="5226A464" w:rsidR="00903056" w:rsidRPr="004F2B81" w:rsidRDefault="00903056" w:rsidP="004F2B81">
      <w:pPr>
        <w:pStyle w:val="Header"/>
        <w:tabs>
          <w:tab w:val="clear" w:pos="4536"/>
          <w:tab w:val="clear" w:pos="9072"/>
          <w:tab w:val="left" w:pos="284"/>
        </w:tabs>
        <w:rPr>
          <w:szCs w:val="22"/>
          <w:lang w:val="sr-Latn-ME"/>
        </w:rPr>
      </w:pPr>
      <w:r w:rsidRPr="004F2B81">
        <w:rPr>
          <w:szCs w:val="22"/>
          <w:lang w:val="sr-Latn-ME"/>
        </w:rPr>
        <w:t>Akutna hiponatr</w:t>
      </w:r>
      <w:r w:rsidR="00EE6F1A">
        <w:rPr>
          <w:szCs w:val="22"/>
          <w:lang w:val="sr-Latn-ME"/>
        </w:rPr>
        <w:t>ij</w:t>
      </w:r>
      <w:r w:rsidRPr="004F2B81">
        <w:rPr>
          <w:szCs w:val="22"/>
          <w:lang w:val="sr-Latn-ME"/>
        </w:rPr>
        <w:t>emija može da progredira do akutne hiponatr</w:t>
      </w:r>
      <w:r w:rsidR="00EE6F1A">
        <w:rPr>
          <w:szCs w:val="22"/>
          <w:lang w:val="sr-Latn-ME"/>
        </w:rPr>
        <w:t>ij</w:t>
      </w:r>
      <w:r w:rsidRPr="004F2B81">
        <w:rPr>
          <w:szCs w:val="22"/>
          <w:lang w:val="sr-Latn-ME"/>
        </w:rPr>
        <w:t xml:space="preserve">emijske encefalopatije (edem mozga), koju karakterišu glavobolja, nauzeja, epileptični napadi, letargija i povraćanje. Pacijenti sa edemom mozga su u posebnom riziku od nastanka teškog, ireverzibilnog i po život opasnog oštećenja mozga. </w:t>
      </w:r>
    </w:p>
    <w:p w14:paraId="2EB3B3A5" w14:textId="77777777" w:rsidR="00903056" w:rsidRPr="004F2B81" w:rsidRDefault="00903056" w:rsidP="004F2B81">
      <w:pPr>
        <w:pStyle w:val="Header"/>
        <w:tabs>
          <w:tab w:val="clear" w:pos="4536"/>
          <w:tab w:val="clear" w:pos="9072"/>
          <w:tab w:val="left" w:pos="284"/>
        </w:tabs>
        <w:rPr>
          <w:szCs w:val="22"/>
          <w:lang w:val="sr-Latn-ME"/>
        </w:rPr>
      </w:pPr>
    </w:p>
    <w:p w14:paraId="3EFF9683" w14:textId="12216446" w:rsidR="00903056" w:rsidRPr="004F2B81" w:rsidRDefault="00903056" w:rsidP="004F2B81">
      <w:pPr>
        <w:pStyle w:val="Header"/>
        <w:tabs>
          <w:tab w:val="clear" w:pos="4536"/>
          <w:tab w:val="clear" w:pos="9072"/>
          <w:tab w:val="left" w:pos="284"/>
        </w:tabs>
        <w:rPr>
          <w:szCs w:val="22"/>
          <w:lang w:val="sr-Latn-ME"/>
        </w:rPr>
      </w:pPr>
      <w:r w:rsidRPr="004F2B81">
        <w:rPr>
          <w:szCs w:val="22"/>
          <w:lang w:val="sr-Latn-ME"/>
        </w:rPr>
        <w:t xml:space="preserve">Djeca, žene u </w:t>
      </w:r>
      <w:r w:rsidR="0056795E">
        <w:rPr>
          <w:szCs w:val="22"/>
          <w:lang w:val="sr-Latn-ME"/>
        </w:rPr>
        <w:t>reproduktivnom</w:t>
      </w:r>
      <w:r w:rsidRPr="004F2B81">
        <w:rPr>
          <w:szCs w:val="22"/>
          <w:lang w:val="sr-Latn-ME"/>
        </w:rPr>
        <w:t xml:space="preserve"> periodu i pacijenti sa oboljenjima centralnog nervnog sistema (npr. meningitis, intrakranijalno krvarenje i kontuzija mozga) su u posebnom riziku od nastanka teškog i po život opasnog edema mozga izazvanog akutnom hiponatr</w:t>
      </w:r>
      <w:r w:rsidR="00EE6F1A">
        <w:rPr>
          <w:szCs w:val="22"/>
          <w:lang w:val="sr-Latn-ME"/>
        </w:rPr>
        <w:t>ij</w:t>
      </w:r>
      <w:r w:rsidRPr="004F2B81">
        <w:rPr>
          <w:szCs w:val="22"/>
          <w:lang w:val="sr-Latn-ME"/>
        </w:rPr>
        <w:t>emijom.</w:t>
      </w:r>
    </w:p>
    <w:p w14:paraId="6E3DE3B2" w14:textId="77777777" w:rsidR="00903056" w:rsidRPr="004F2B81" w:rsidRDefault="00903056" w:rsidP="004F2B81">
      <w:pPr>
        <w:pStyle w:val="Header"/>
        <w:tabs>
          <w:tab w:val="clear" w:pos="4536"/>
          <w:tab w:val="clear" w:pos="9072"/>
          <w:tab w:val="left" w:pos="284"/>
        </w:tabs>
        <w:rPr>
          <w:szCs w:val="22"/>
          <w:lang w:val="sr-Latn-ME"/>
        </w:rPr>
      </w:pPr>
    </w:p>
    <w:p w14:paraId="57552823" w14:textId="77777777" w:rsidR="00903056" w:rsidRPr="004F2B81" w:rsidRDefault="00903056" w:rsidP="004F2B81">
      <w:pPr>
        <w:pStyle w:val="Header"/>
        <w:tabs>
          <w:tab w:val="clear" w:pos="4536"/>
          <w:tab w:val="clear" w:pos="9072"/>
          <w:tab w:val="left" w:pos="284"/>
        </w:tabs>
        <w:rPr>
          <w:szCs w:val="22"/>
          <w:lang w:val="sr-Latn-ME"/>
        </w:rPr>
      </w:pPr>
      <w:r w:rsidRPr="004F2B81">
        <w:rPr>
          <w:szCs w:val="22"/>
          <w:lang w:val="sr-Latn-ME"/>
        </w:rPr>
        <w:t>Nekada je potrebna klinička evaluacija i periodične laboratorijske analize u cilju praćenja promjena balansa tečnosti, koncentracije elektrolita i acido-bazne ravnoteže tokom produžene parenteralne terapije ili kad god stanje pacijenta ili brzina davanja infuzije nalažu takvu evaluaciju.</w:t>
      </w:r>
    </w:p>
    <w:p w14:paraId="78F1A5F2" w14:textId="77777777" w:rsidR="00903056" w:rsidRPr="004F2B81" w:rsidRDefault="00903056" w:rsidP="004F2B81">
      <w:pPr>
        <w:pStyle w:val="Header"/>
        <w:tabs>
          <w:tab w:val="clear" w:pos="4536"/>
          <w:tab w:val="clear" w:pos="9072"/>
          <w:tab w:val="left" w:pos="284"/>
        </w:tabs>
        <w:rPr>
          <w:szCs w:val="22"/>
          <w:lang w:val="sr-Latn-ME"/>
        </w:rPr>
      </w:pPr>
    </w:p>
    <w:p w14:paraId="69782FF2" w14:textId="5A3A4FCF" w:rsidR="00903056" w:rsidRPr="004F2B81" w:rsidRDefault="00903056" w:rsidP="004F2B81">
      <w:pPr>
        <w:pStyle w:val="Header"/>
        <w:tabs>
          <w:tab w:val="clear" w:pos="4536"/>
          <w:tab w:val="clear" w:pos="9072"/>
          <w:tab w:val="left" w:pos="284"/>
        </w:tabs>
        <w:rPr>
          <w:szCs w:val="22"/>
          <w:lang w:val="sr-Latn-ME"/>
        </w:rPr>
      </w:pPr>
      <w:r w:rsidRPr="004F2B81">
        <w:rPr>
          <w:szCs w:val="22"/>
          <w:lang w:val="sr-Latn-ME"/>
        </w:rPr>
        <w:t xml:space="preserve">Poseban oprez se </w:t>
      </w:r>
      <w:r w:rsidR="00795F04" w:rsidRPr="004F2B81">
        <w:rPr>
          <w:szCs w:val="22"/>
          <w:lang w:val="sr-Latn-ME"/>
        </w:rPr>
        <w:t>savjetuje</w:t>
      </w:r>
      <w:r w:rsidRPr="004F2B81">
        <w:rPr>
          <w:szCs w:val="22"/>
          <w:lang w:val="sr-Latn-ME"/>
        </w:rPr>
        <w:t xml:space="preserve"> kod pacijenata kod kojih postoji povećani rizik </w:t>
      </w:r>
      <w:r w:rsidR="00EE6F1A">
        <w:rPr>
          <w:szCs w:val="22"/>
          <w:lang w:val="sr-Latn-ME"/>
        </w:rPr>
        <w:t>od</w:t>
      </w:r>
      <w:r w:rsidRPr="004F2B81">
        <w:rPr>
          <w:szCs w:val="22"/>
          <w:lang w:val="sr-Latn-ME"/>
        </w:rPr>
        <w:t xml:space="preserve"> pojav</w:t>
      </w:r>
      <w:r w:rsidR="00EE6F1A">
        <w:rPr>
          <w:szCs w:val="22"/>
          <w:lang w:val="sr-Latn-ME"/>
        </w:rPr>
        <w:t>e</w:t>
      </w:r>
      <w:r w:rsidRPr="004F2B81">
        <w:rPr>
          <w:szCs w:val="22"/>
          <w:lang w:val="sr-Latn-ME"/>
        </w:rPr>
        <w:t xml:space="preserve"> disbalansa tečnosti i elektrolita, do čijeg pogoršanja mogu da dovedu povećano opterećenje organizma tečnošću, hiperglikemija ili eventualno neophodna primjena insulina (</w:t>
      </w:r>
      <w:r w:rsidR="00EE6F1A">
        <w:rPr>
          <w:szCs w:val="22"/>
          <w:lang w:val="sr-Latn-ME"/>
        </w:rPr>
        <w:t>vidjeti</w:t>
      </w:r>
      <w:r w:rsidR="00EE6F1A" w:rsidRPr="004F2B81">
        <w:rPr>
          <w:szCs w:val="22"/>
          <w:lang w:val="sr-Latn-ME"/>
        </w:rPr>
        <w:t xml:space="preserve"> </w:t>
      </w:r>
      <w:r w:rsidRPr="004F2B81">
        <w:rPr>
          <w:szCs w:val="22"/>
          <w:lang w:val="sr-Latn-ME"/>
        </w:rPr>
        <w:t xml:space="preserve">u daljem tekstu). </w:t>
      </w:r>
    </w:p>
    <w:p w14:paraId="184B8AE1" w14:textId="77777777" w:rsidR="0076523B" w:rsidRPr="004F2B81" w:rsidRDefault="0076523B" w:rsidP="004F2B81">
      <w:pPr>
        <w:pStyle w:val="Header"/>
        <w:tabs>
          <w:tab w:val="clear" w:pos="4536"/>
          <w:tab w:val="clear" w:pos="9072"/>
          <w:tab w:val="left" w:pos="284"/>
        </w:tabs>
        <w:rPr>
          <w:szCs w:val="22"/>
          <w:lang w:val="sr-Latn-ME"/>
        </w:rPr>
      </w:pPr>
    </w:p>
    <w:p w14:paraId="184B8AE3" w14:textId="49EE2A35" w:rsidR="0076523B" w:rsidRPr="004F2B81" w:rsidRDefault="0076523B" w:rsidP="004F2B81">
      <w:pPr>
        <w:pStyle w:val="Header"/>
        <w:tabs>
          <w:tab w:val="clear" w:pos="4536"/>
          <w:tab w:val="clear" w:pos="9072"/>
          <w:tab w:val="left" w:pos="284"/>
        </w:tabs>
        <w:rPr>
          <w:szCs w:val="22"/>
          <w:u w:val="single"/>
          <w:lang w:val="sr-Latn-ME"/>
        </w:rPr>
      </w:pPr>
      <w:r w:rsidRPr="004F2B81">
        <w:rPr>
          <w:szCs w:val="22"/>
          <w:u w:val="single"/>
          <w:lang w:val="sr-Latn-ME"/>
        </w:rPr>
        <w:t>Hiperglikemija</w:t>
      </w:r>
    </w:p>
    <w:p w14:paraId="259A5F6C" w14:textId="77777777" w:rsidR="00FD7E63" w:rsidRPr="004F2B81" w:rsidRDefault="00FD7E63" w:rsidP="00F71DFD">
      <w:pPr>
        <w:pStyle w:val="Header"/>
        <w:numPr>
          <w:ilvl w:val="0"/>
          <w:numId w:val="12"/>
        </w:numPr>
        <w:tabs>
          <w:tab w:val="clear" w:pos="4536"/>
          <w:tab w:val="clear" w:pos="9072"/>
        </w:tabs>
        <w:rPr>
          <w:szCs w:val="22"/>
          <w:lang w:val="sr-Latn-ME"/>
        </w:rPr>
      </w:pPr>
      <w:r w:rsidRPr="004F2B81">
        <w:rPr>
          <w:szCs w:val="22"/>
          <w:lang w:val="sr-Latn-ME"/>
        </w:rPr>
        <w:t>Brza primjena rastvora glukoze može da dovede do značajne hiperglikemije i hiperosmolarnog sindroma.</w:t>
      </w:r>
    </w:p>
    <w:p w14:paraId="2E4B8901" w14:textId="4CA8D537" w:rsidR="00FD7E63" w:rsidRPr="004F2B81" w:rsidRDefault="007E2247" w:rsidP="00F71DFD">
      <w:pPr>
        <w:pStyle w:val="Header"/>
        <w:numPr>
          <w:ilvl w:val="0"/>
          <w:numId w:val="12"/>
        </w:numPr>
        <w:tabs>
          <w:tab w:val="clear" w:pos="4536"/>
          <w:tab w:val="clear" w:pos="9072"/>
        </w:tabs>
        <w:rPr>
          <w:szCs w:val="22"/>
          <w:lang w:val="sr-Latn-ME"/>
        </w:rPr>
      </w:pPr>
      <w:r w:rsidRPr="007E2247">
        <w:rPr>
          <w:szCs w:val="22"/>
          <w:lang w:val="sr-Latn-ME"/>
        </w:rPr>
        <w:t>Ukoliko se javi hiperglikemija, mora se podesiti brzina davanja infuzije i/ili prim</w:t>
      </w:r>
      <w:r w:rsidR="004B5148">
        <w:rPr>
          <w:szCs w:val="22"/>
          <w:lang w:val="sr-Latn-ME"/>
        </w:rPr>
        <w:t>ij</w:t>
      </w:r>
      <w:r w:rsidRPr="007E2247">
        <w:rPr>
          <w:szCs w:val="22"/>
          <w:lang w:val="sr-Latn-ME"/>
        </w:rPr>
        <w:t>eniti insulin</w:t>
      </w:r>
      <w:r w:rsidR="00FD7E63" w:rsidRPr="004F2B81">
        <w:rPr>
          <w:szCs w:val="22"/>
          <w:lang w:val="sr-Latn-ME"/>
        </w:rPr>
        <w:t xml:space="preserve">. </w:t>
      </w:r>
    </w:p>
    <w:p w14:paraId="184B8AE6" w14:textId="77777777" w:rsidR="006F27F9" w:rsidRPr="004F2B81" w:rsidRDefault="0076523B" w:rsidP="00F71DFD">
      <w:pPr>
        <w:pStyle w:val="Header"/>
        <w:numPr>
          <w:ilvl w:val="0"/>
          <w:numId w:val="12"/>
        </w:numPr>
        <w:tabs>
          <w:tab w:val="clear" w:pos="4536"/>
          <w:tab w:val="clear" w:pos="9072"/>
        </w:tabs>
        <w:rPr>
          <w:szCs w:val="22"/>
          <w:lang w:val="sr-Latn-ME"/>
        </w:rPr>
      </w:pPr>
      <w:r w:rsidRPr="004F2B81">
        <w:rPr>
          <w:szCs w:val="22"/>
          <w:lang w:val="sr-Latn-ME"/>
        </w:rPr>
        <w:t>Ukoliko je potrebno, kalijum treba nadoknaditi parenteralnim putem.</w:t>
      </w:r>
    </w:p>
    <w:p w14:paraId="487E6AA8" w14:textId="509EF1D0" w:rsidR="00102770" w:rsidRPr="004F2B81" w:rsidRDefault="00102770" w:rsidP="00F71DFD">
      <w:pPr>
        <w:pStyle w:val="Header"/>
        <w:numPr>
          <w:ilvl w:val="0"/>
          <w:numId w:val="12"/>
        </w:numPr>
        <w:tabs>
          <w:tab w:val="clear" w:pos="4536"/>
          <w:tab w:val="clear" w:pos="9072"/>
        </w:tabs>
        <w:rPr>
          <w:szCs w:val="22"/>
          <w:lang w:val="sr-Latn-ME"/>
        </w:rPr>
      </w:pPr>
      <w:r w:rsidRPr="004F2B81">
        <w:rPr>
          <w:szCs w:val="22"/>
          <w:lang w:val="sr-Latn-ME"/>
        </w:rPr>
        <w:lastRenderedPageBreak/>
        <w:t xml:space="preserve">Glukozu treba oprezno </w:t>
      </w:r>
      <w:r w:rsidR="00E70330" w:rsidRPr="004F2B81">
        <w:rPr>
          <w:szCs w:val="22"/>
          <w:lang w:val="sr-Latn-ME"/>
        </w:rPr>
        <w:t>primjenjivati</w:t>
      </w:r>
      <w:r w:rsidRPr="004F2B81">
        <w:rPr>
          <w:szCs w:val="22"/>
          <w:lang w:val="sr-Latn-ME"/>
        </w:rPr>
        <w:t xml:space="preserve"> intravenski kod pacijenata koji imaju, na prim</w:t>
      </w:r>
      <w:r w:rsidR="00E70330" w:rsidRPr="004F2B81">
        <w:rPr>
          <w:szCs w:val="22"/>
          <w:lang w:val="sr-Latn-ME"/>
        </w:rPr>
        <w:t>j</w:t>
      </w:r>
      <w:r w:rsidRPr="004F2B81">
        <w:rPr>
          <w:szCs w:val="22"/>
          <w:lang w:val="sr-Latn-ME"/>
        </w:rPr>
        <w:t>er:</w:t>
      </w:r>
    </w:p>
    <w:p w14:paraId="34CE8593" w14:textId="0A1490B1" w:rsidR="00102770" w:rsidRPr="004F2B81" w:rsidRDefault="00102770" w:rsidP="004F2B81">
      <w:pPr>
        <w:pStyle w:val="Header"/>
        <w:numPr>
          <w:ilvl w:val="0"/>
          <w:numId w:val="20"/>
        </w:numPr>
        <w:tabs>
          <w:tab w:val="clear" w:pos="4536"/>
          <w:tab w:val="clear" w:pos="9072"/>
          <w:tab w:val="left" w:pos="284"/>
        </w:tabs>
        <w:ind w:left="709" w:hanging="283"/>
        <w:rPr>
          <w:szCs w:val="22"/>
          <w:lang w:val="sr-Latn-ME"/>
        </w:rPr>
      </w:pPr>
      <w:r w:rsidRPr="004F2B81">
        <w:rPr>
          <w:szCs w:val="22"/>
          <w:lang w:val="sr-Latn-ME"/>
        </w:rPr>
        <w:t>poremećaj tolerancije glukoze (kao što su pacijenti sa dijabetes melitusom</w:t>
      </w:r>
      <w:r w:rsidR="00685D9F">
        <w:rPr>
          <w:szCs w:val="22"/>
          <w:lang w:val="sr-Latn-ME"/>
        </w:rPr>
        <w:t xml:space="preserve"> ili </w:t>
      </w:r>
      <w:r w:rsidR="00685D9F" w:rsidRPr="004F2B81">
        <w:rPr>
          <w:szCs w:val="22"/>
          <w:lang w:val="sr-Latn-ME"/>
        </w:rPr>
        <w:t>bubrežnom insuficijencijom</w:t>
      </w:r>
      <w:r w:rsidRPr="004F2B81">
        <w:rPr>
          <w:szCs w:val="22"/>
          <w:lang w:val="sr-Latn-ME"/>
        </w:rPr>
        <w:t xml:space="preserve"> ili kod prisutne sepse, traume ili šoka).</w:t>
      </w:r>
    </w:p>
    <w:p w14:paraId="71E73802" w14:textId="564F26B1" w:rsidR="00102770" w:rsidRPr="004F2B81" w:rsidRDefault="00102770" w:rsidP="004F2B81">
      <w:pPr>
        <w:pStyle w:val="Header"/>
        <w:numPr>
          <w:ilvl w:val="0"/>
          <w:numId w:val="20"/>
        </w:numPr>
        <w:tabs>
          <w:tab w:val="clear" w:pos="4536"/>
          <w:tab w:val="clear" w:pos="9072"/>
          <w:tab w:val="left" w:pos="284"/>
        </w:tabs>
        <w:ind w:left="709" w:hanging="283"/>
        <w:rPr>
          <w:szCs w:val="22"/>
          <w:lang w:val="sr-Latn-ME"/>
        </w:rPr>
      </w:pPr>
      <w:r w:rsidRPr="004F2B81">
        <w:rPr>
          <w:szCs w:val="22"/>
          <w:lang w:val="sr-Latn-ME"/>
        </w:rPr>
        <w:t xml:space="preserve">tešku malnutriciju (rizik </w:t>
      </w:r>
      <w:r w:rsidR="00EE6F1A">
        <w:rPr>
          <w:szCs w:val="22"/>
          <w:lang w:val="sr-Latn-ME"/>
        </w:rPr>
        <w:t xml:space="preserve">od </w:t>
      </w:r>
      <w:r w:rsidRPr="004F2B81">
        <w:rPr>
          <w:szCs w:val="22"/>
          <w:lang w:val="sr-Latn-ME"/>
        </w:rPr>
        <w:t>nastanak</w:t>
      </w:r>
      <w:r w:rsidR="00EE6F1A">
        <w:rPr>
          <w:szCs w:val="22"/>
          <w:lang w:val="sr-Latn-ME"/>
        </w:rPr>
        <w:t>a</w:t>
      </w:r>
      <w:r w:rsidRPr="004F2B81">
        <w:rPr>
          <w:szCs w:val="22"/>
          <w:lang w:val="sr-Latn-ME"/>
        </w:rPr>
        <w:t xml:space="preserve"> sindroma ponovnog hranjenja – </w:t>
      </w:r>
      <w:r w:rsidRPr="004F2B81">
        <w:rPr>
          <w:i/>
          <w:szCs w:val="22"/>
          <w:lang w:val="sr-Latn-ME"/>
        </w:rPr>
        <w:t xml:space="preserve">refeeding </w:t>
      </w:r>
      <w:r w:rsidRPr="004F2B81">
        <w:rPr>
          <w:szCs w:val="22"/>
          <w:lang w:val="sr-Latn-ME"/>
        </w:rPr>
        <w:t>sindrom)</w:t>
      </w:r>
      <w:r w:rsidR="00C760FA">
        <w:rPr>
          <w:szCs w:val="22"/>
          <w:lang w:val="sr-Latn-ME"/>
        </w:rPr>
        <w:t xml:space="preserve"> (</w:t>
      </w:r>
      <w:r w:rsidR="00EE6F1A">
        <w:rPr>
          <w:szCs w:val="22"/>
          <w:lang w:val="sr-Latn-ME"/>
        </w:rPr>
        <w:t xml:space="preserve">vidjeti  </w:t>
      </w:r>
      <w:r w:rsidR="00C760FA">
        <w:rPr>
          <w:szCs w:val="22"/>
          <w:lang w:val="sr-Latn-ME"/>
        </w:rPr>
        <w:t>u nastavku)</w:t>
      </w:r>
      <w:r w:rsidRPr="004F2B81">
        <w:rPr>
          <w:szCs w:val="22"/>
          <w:lang w:val="sr-Latn-ME"/>
        </w:rPr>
        <w:t>,</w:t>
      </w:r>
    </w:p>
    <w:p w14:paraId="4E5C9C3D" w14:textId="77777777" w:rsidR="00102770" w:rsidRPr="004F2B81" w:rsidRDefault="00102770" w:rsidP="004F2B81">
      <w:pPr>
        <w:pStyle w:val="Header"/>
        <w:numPr>
          <w:ilvl w:val="0"/>
          <w:numId w:val="20"/>
        </w:numPr>
        <w:tabs>
          <w:tab w:val="clear" w:pos="4536"/>
          <w:tab w:val="clear" w:pos="9072"/>
          <w:tab w:val="left" w:pos="284"/>
        </w:tabs>
        <w:ind w:left="709" w:hanging="283"/>
        <w:rPr>
          <w:szCs w:val="22"/>
          <w:lang w:val="sr-Latn-ME"/>
        </w:rPr>
      </w:pPr>
      <w:r w:rsidRPr="004F2B81">
        <w:rPr>
          <w:szCs w:val="22"/>
          <w:lang w:val="sr-Latn-ME"/>
        </w:rPr>
        <w:t>deficijenciju tiamina, npr. kod pacijenata sa hroničnim alkoholizmom (rizik od teške laktatne acidoze usljed narušenog oksidativnog metabolizma piruvata),</w:t>
      </w:r>
    </w:p>
    <w:p w14:paraId="7E02A64B" w14:textId="547FDF0C" w:rsidR="00102770" w:rsidRPr="007A7D83" w:rsidRDefault="00102770" w:rsidP="004F2B81">
      <w:pPr>
        <w:pStyle w:val="Header"/>
        <w:numPr>
          <w:ilvl w:val="0"/>
          <w:numId w:val="20"/>
        </w:numPr>
        <w:tabs>
          <w:tab w:val="clear" w:pos="4536"/>
          <w:tab w:val="clear" w:pos="9072"/>
          <w:tab w:val="left" w:pos="284"/>
        </w:tabs>
        <w:ind w:left="709" w:hanging="283"/>
        <w:rPr>
          <w:szCs w:val="22"/>
          <w:lang w:val="sr-Latn-ME"/>
        </w:rPr>
      </w:pPr>
      <w:r w:rsidRPr="007A7D83">
        <w:rPr>
          <w:szCs w:val="22"/>
          <w:lang w:val="sr-Latn-ME"/>
        </w:rPr>
        <w:t>ishemični moždani udar ili tešku povredu mozga</w:t>
      </w:r>
      <w:r w:rsidR="007A7D83" w:rsidRPr="007A7D83">
        <w:rPr>
          <w:szCs w:val="22"/>
          <w:lang w:val="sr-Latn-ME"/>
        </w:rPr>
        <w:t xml:space="preserve">. </w:t>
      </w:r>
      <w:r w:rsidRPr="007A7D83">
        <w:rPr>
          <w:szCs w:val="22"/>
          <w:lang w:val="sr-Latn-ME"/>
        </w:rPr>
        <w:t>Treba izbjegavati primjenu ovog rastvora za infuziju unutar prvih 24 sata posl</w:t>
      </w:r>
      <w:r w:rsidR="00EE6F1A">
        <w:rPr>
          <w:szCs w:val="22"/>
          <w:lang w:val="sr-Latn-ME"/>
        </w:rPr>
        <w:t>ij</w:t>
      </w:r>
      <w:r w:rsidRPr="007A7D83">
        <w:rPr>
          <w:szCs w:val="22"/>
          <w:lang w:val="sr-Latn-ME"/>
        </w:rPr>
        <w:t>e povrede glave. Pažljivo pratiti glikemiju jer je rana hiperglikemija povezivana sa nepovoljnim ishodima kod pacijenata sa teškom povredom mozga.</w:t>
      </w:r>
    </w:p>
    <w:p w14:paraId="46B2769E" w14:textId="77777777" w:rsidR="00102770" w:rsidRPr="004F2B81" w:rsidRDefault="00102770" w:rsidP="004F2B81">
      <w:pPr>
        <w:pStyle w:val="Header"/>
        <w:numPr>
          <w:ilvl w:val="0"/>
          <w:numId w:val="21"/>
        </w:numPr>
        <w:tabs>
          <w:tab w:val="clear" w:pos="4536"/>
          <w:tab w:val="clear" w:pos="9072"/>
          <w:tab w:val="left" w:pos="284"/>
        </w:tabs>
        <w:ind w:hanging="294"/>
        <w:rPr>
          <w:szCs w:val="22"/>
          <w:lang w:val="sr-Latn-ME"/>
        </w:rPr>
      </w:pPr>
      <w:r w:rsidRPr="004F2B81">
        <w:rPr>
          <w:szCs w:val="22"/>
          <w:lang w:val="sr-Latn-ME"/>
        </w:rPr>
        <w:t>kod novorođenčadi.</w:t>
      </w:r>
    </w:p>
    <w:p w14:paraId="184B8AEE" w14:textId="77777777" w:rsidR="00E93467" w:rsidRPr="004F2B81" w:rsidRDefault="00E93467" w:rsidP="004F2B81">
      <w:pPr>
        <w:pStyle w:val="Header"/>
        <w:tabs>
          <w:tab w:val="clear" w:pos="4536"/>
          <w:tab w:val="clear" w:pos="9072"/>
          <w:tab w:val="left" w:pos="284"/>
        </w:tabs>
        <w:ind w:left="360"/>
        <w:rPr>
          <w:szCs w:val="22"/>
          <w:u w:val="single"/>
          <w:lang w:val="sr-Latn-ME"/>
        </w:rPr>
      </w:pPr>
    </w:p>
    <w:p w14:paraId="1D991AE4" w14:textId="77777777" w:rsidR="009C35E0" w:rsidRPr="004F2B81" w:rsidRDefault="009C35E0" w:rsidP="004F2B81">
      <w:pPr>
        <w:pStyle w:val="Header"/>
        <w:tabs>
          <w:tab w:val="clear" w:pos="4536"/>
          <w:tab w:val="clear" w:pos="9072"/>
          <w:tab w:val="left" w:pos="284"/>
        </w:tabs>
        <w:rPr>
          <w:szCs w:val="22"/>
          <w:u w:val="single"/>
          <w:lang w:val="sr-Latn-ME"/>
        </w:rPr>
      </w:pPr>
      <w:r w:rsidRPr="004F2B81">
        <w:rPr>
          <w:szCs w:val="22"/>
          <w:u w:val="single"/>
          <w:lang w:val="sr-Latn-ME"/>
        </w:rPr>
        <w:t>Efekti na sekreciju insulina</w:t>
      </w:r>
    </w:p>
    <w:p w14:paraId="15A94E82" w14:textId="77777777" w:rsidR="009C35E0" w:rsidRPr="004F2B81" w:rsidRDefault="009C35E0" w:rsidP="004F2B81">
      <w:pPr>
        <w:pStyle w:val="Header"/>
        <w:tabs>
          <w:tab w:val="clear" w:pos="4536"/>
          <w:tab w:val="clear" w:pos="9072"/>
          <w:tab w:val="left" w:pos="284"/>
        </w:tabs>
        <w:rPr>
          <w:szCs w:val="22"/>
          <w:lang w:val="sr-Latn-ME"/>
        </w:rPr>
      </w:pPr>
      <w:r w:rsidRPr="004F2B81">
        <w:rPr>
          <w:szCs w:val="22"/>
          <w:lang w:val="sr-Latn-ME"/>
        </w:rPr>
        <w:t>Produžena intravenska primjena glukoze i udružena hiperglikemija, mogu da dovedu do smanjenja glukozom stimulisane sekrecije insulina.</w:t>
      </w:r>
    </w:p>
    <w:p w14:paraId="1B35951D" w14:textId="77777777" w:rsidR="009C35E0" w:rsidRPr="004F2B81" w:rsidRDefault="009C35E0" w:rsidP="004F2B81">
      <w:pPr>
        <w:pStyle w:val="Header"/>
        <w:tabs>
          <w:tab w:val="clear" w:pos="4536"/>
          <w:tab w:val="clear" w:pos="9072"/>
          <w:tab w:val="left" w:pos="284"/>
        </w:tabs>
        <w:rPr>
          <w:szCs w:val="22"/>
          <w:lang w:val="sr-Latn-ME"/>
        </w:rPr>
      </w:pPr>
    </w:p>
    <w:p w14:paraId="71A642BD" w14:textId="77777777" w:rsidR="009C35E0" w:rsidRPr="004F2B81" w:rsidRDefault="009C35E0" w:rsidP="004F2B81">
      <w:pPr>
        <w:pStyle w:val="Header"/>
        <w:tabs>
          <w:tab w:val="clear" w:pos="4536"/>
          <w:tab w:val="clear" w:pos="9072"/>
          <w:tab w:val="left" w:pos="284"/>
        </w:tabs>
        <w:rPr>
          <w:szCs w:val="22"/>
          <w:u w:val="single"/>
          <w:lang w:val="sr-Latn-ME"/>
        </w:rPr>
      </w:pPr>
      <w:r w:rsidRPr="004F2B81">
        <w:rPr>
          <w:szCs w:val="22"/>
          <w:u w:val="single"/>
          <w:lang w:val="sr-Latn-ME"/>
        </w:rPr>
        <w:t>Reakcije preosjetljivosti</w:t>
      </w:r>
    </w:p>
    <w:p w14:paraId="125B3843" w14:textId="60D26A38" w:rsidR="009C35E0" w:rsidRPr="004F2B81" w:rsidRDefault="009C35E0" w:rsidP="004F2B81">
      <w:pPr>
        <w:pStyle w:val="Header"/>
        <w:numPr>
          <w:ilvl w:val="0"/>
          <w:numId w:val="22"/>
        </w:numPr>
        <w:tabs>
          <w:tab w:val="clear" w:pos="4536"/>
          <w:tab w:val="clear" w:pos="9072"/>
          <w:tab w:val="left" w:pos="284"/>
        </w:tabs>
        <w:ind w:left="284" w:hanging="284"/>
        <w:rPr>
          <w:szCs w:val="22"/>
          <w:lang w:val="sr-Latn-ME"/>
        </w:rPr>
      </w:pPr>
      <w:r w:rsidRPr="004F2B81">
        <w:rPr>
          <w:szCs w:val="22"/>
          <w:lang w:val="sr-Latn-ME"/>
        </w:rPr>
        <w:t>Prilikom primjene rastvora glukoze, prijavljivane su reakcije preosjetljivosti/reakcije povezane sa davanjem infuzije, uključujući anafilaktičke/anafilaktoidne reakcije (</w:t>
      </w:r>
      <w:r w:rsidR="00EE6F1A">
        <w:rPr>
          <w:szCs w:val="22"/>
          <w:lang w:val="sr-Latn-ME"/>
        </w:rPr>
        <w:t>vidjeti</w:t>
      </w:r>
      <w:r w:rsidR="00EE6F1A" w:rsidRPr="004F2B81">
        <w:rPr>
          <w:szCs w:val="22"/>
          <w:lang w:val="sr-Latn-ME"/>
        </w:rPr>
        <w:t xml:space="preserve"> </w:t>
      </w:r>
      <w:r w:rsidRPr="004F2B81">
        <w:rPr>
          <w:szCs w:val="22"/>
          <w:lang w:val="sr-Latn-ME"/>
        </w:rPr>
        <w:t xml:space="preserve">dio 4.8). Rastvore koji sadrže glukozu, stoga ne treba </w:t>
      </w:r>
      <w:r w:rsidR="00E70330" w:rsidRPr="004F2B81">
        <w:rPr>
          <w:szCs w:val="22"/>
          <w:lang w:val="sr-Latn-ME"/>
        </w:rPr>
        <w:t>primjenjivati</w:t>
      </w:r>
      <w:r w:rsidRPr="004F2B81">
        <w:rPr>
          <w:szCs w:val="22"/>
          <w:lang w:val="sr-Latn-ME"/>
        </w:rPr>
        <w:t xml:space="preserve"> kod pacijenata sa poznatom alergijom na kukuruz ili na proizvode od kukuruza </w:t>
      </w:r>
      <w:r w:rsidRPr="004F2B81">
        <w:rPr>
          <w:iCs/>
          <w:szCs w:val="22"/>
          <w:lang w:val="sr-Latn-ME"/>
        </w:rPr>
        <w:t>(</w:t>
      </w:r>
      <w:r w:rsidR="00EE6F1A">
        <w:rPr>
          <w:iCs/>
          <w:szCs w:val="22"/>
          <w:lang w:val="sr-Latn-ME"/>
        </w:rPr>
        <w:t>vidjeti</w:t>
      </w:r>
      <w:r w:rsidR="00EE6F1A" w:rsidRPr="004F2B81">
        <w:rPr>
          <w:iCs/>
          <w:szCs w:val="22"/>
          <w:lang w:val="sr-Latn-ME"/>
        </w:rPr>
        <w:t xml:space="preserve"> </w:t>
      </w:r>
      <w:r w:rsidRPr="004F2B81">
        <w:rPr>
          <w:iCs/>
          <w:szCs w:val="22"/>
          <w:lang w:val="sr-Latn-ME"/>
        </w:rPr>
        <w:t>dio 4.3).</w:t>
      </w:r>
      <w:r w:rsidRPr="004F2B81">
        <w:rPr>
          <w:szCs w:val="22"/>
          <w:lang w:val="sr-Latn-ME"/>
        </w:rPr>
        <w:t xml:space="preserve"> </w:t>
      </w:r>
    </w:p>
    <w:p w14:paraId="508A0F85" w14:textId="36B00C2A" w:rsidR="009C35E0" w:rsidRPr="004F2B81" w:rsidRDefault="009C35E0" w:rsidP="004F2B81">
      <w:pPr>
        <w:pStyle w:val="Header"/>
        <w:numPr>
          <w:ilvl w:val="0"/>
          <w:numId w:val="22"/>
        </w:numPr>
        <w:tabs>
          <w:tab w:val="clear" w:pos="4536"/>
          <w:tab w:val="clear" w:pos="9072"/>
          <w:tab w:val="left" w:pos="284"/>
        </w:tabs>
        <w:ind w:left="284" w:hanging="284"/>
        <w:rPr>
          <w:szCs w:val="22"/>
          <w:lang w:val="sr-Latn-ME"/>
        </w:rPr>
      </w:pPr>
      <w:r w:rsidRPr="004F2B81">
        <w:rPr>
          <w:szCs w:val="22"/>
          <w:lang w:val="sr-Latn-ME"/>
        </w:rPr>
        <w:t xml:space="preserve">Ukoliko se jave bilo kakvi znaci ili simptomi koji upućuju na sumnju na reakciju preosjetljivosti, infuziju treba odmah prekinuti. </w:t>
      </w:r>
      <w:r w:rsidR="00F502ED">
        <w:rPr>
          <w:szCs w:val="22"/>
          <w:lang w:val="sr-Latn-ME"/>
        </w:rPr>
        <w:t>Treba sprovesti o</w:t>
      </w:r>
      <w:r w:rsidRPr="004F2B81">
        <w:rPr>
          <w:szCs w:val="22"/>
          <w:lang w:val="sr-Latn-ME"/>
        </w:rPr>
        <w:t xml:space="preserve">dgovarajuće terapijske mjere </w:t>
      </w:r>
      <w:r w:rsidR="00144A42">
        <w:rPr>
          <w:szCs w:val="22"/>
          <w:lang w:val="sr-Latn-ME"/>
        </w:rPr>
        <w:t>koje su klinički indikovane</w:t>
      </w:r>
      <w:r w:rsidRPr="004F2B81">
        <w:rPr>
          <w:szCs w:val="22"/>
          <w:lang w:val="sr-Latn-ME"/>
        </w:rPr>
        <w:t xml:space="preserve">. </w:t>
      </w:r>
    </w:p>
    <w:p w14:paraId="5B824F76" w14:textId="77777777" w:rsidR="009C35E0" w:rsidRPr="004F2B81" w:rsidRDefault="009C35E0" w:rsidP="004F2B81">
      <w:pPr>
        <w:pStyle w:val="Header"/>
        <w:tabs>
          <w:tab w:val="clear" w:pos="4536"/>
          <w:tab w:val="clear" w:pos="9072"/>
          <w:tab w:val="left" w:pos="284"/>
        </w:tabs>
        <w:rPr>
          <w:szCs w:val="22"/>
          <w:lang w:val="sr-Latn-ME"/>
        </w:rPr>
      </w:pPr>
    </w:p>
    <w:p w14:paraId="312F3C28" w14:textId="77777777" w:rsidR="009C35E0" w:rsidRPr="004F2B81" w:rsidRDefault="009C35E0" w:rsidP="004F2B81">
      <w:pPr>
        <w:pStyle w:val="Header"/>
        <w:tabs>
          <w:tab w:val="clear" w:pos="4536"/>
          <w:tab w:val="clear" w:pos="9072"/>
          <w:tab w:val="left" w:pos="0"/>
        </w:tabs>
        <w:rPr>
          <w:szCs w:val="22"/>
          <w:u w:val="single"/>
          <w:lang w:val="sr-Latn-ME"/>
        </w:rPr>
      </w:pPr>
      <w:r w:rsidRPr="004F2B81">
        <w:rPr>
          <w:szCs w:val="22"/>
          <w:u w:val="single"/>
          <w:lang w:val="sr-Latn-ME"/>
        </w:rPr>
        <w:t xml:space="preserve">Sindrom ponovnog hranjenja – </w:t>
      </w:r>
      <w:r w:rsidRPr="004F2B81">
        <w:rPr>
          <w:i/>
          <w:szCs w:val="22"/>
          <w:u w:val="single"/>
          <w:lang w:val="sr-Latn-ME"/>
        </w:rPr>
        <w:t xml:space="preserve">refeeding </w:t>
      </w:r>
      <w:r w:rsidRPr="004F2B81">
        <w:rPr>
          <w:szCs w:val="22"/>
          <w:u w:val="single"/>
          <w:lang w:val="sr-Latn-ME"/>
        </w:rPr>
        <w:t>sindrom</w:t>
      </w:r>
    </w:p>
    <w:p w14:paraId="7C239FA5" w14:textId="54295A19" w:rsidR="009C35E0" w:rsidRPr="004F2B81" w:rsidRDefault="009C35E0" w:rsidP="004F2B81">
      <w:pPr>
        <w:pStyle w:val="Header"/>
        <w:numPr>
          <w:ilvl w:val="0"/>
          <w:numId w:val="23"/>
        </w:numPr>
        <w:tabs>
          <w:tab w:val="clear" w:pos="4536"/>
          <w:tab w:val="clear" w:pos="9072"/>
          <w:tab w:val="left" w:pos="0"/>
        </w:tabs>
        <w:ind w:left="284" w:hanging="284"/>
        <w:rPr>
          <w:szCs w:val="22"/>
          <w:lang w:val="sr-Latn-ME"/>
        </w:rPr>
      </w:pPr>
      <w:r w:rsidRPr="004F2B81">
        <w:rPr>
          <w:szCs w:val="22"/>
          <w:lang w:val="sr-Latn-ME"/>
        </w:rPr>
        <w:t xml:space="preserve">Ponovno uvođenje ishrane kod teško pothranjenih pacijenata, može da dovede do sindroma ponovnog hranjenja </w:t>
      </w:r>
      <w:r w:rsidRPr="004F2B81">
        <w:rPr>
          <w:iCs/>
          <w:szCs w:val="22"/>
          <w:lang w:val="sr-Latn-ME"/>
        </w:rPr>
        <w:t>(</w:t>
      </w:r>
      <w:r w:rsidRPr="004F2B81">
        <w:rPr>
          <w:i/>
          <w:szCs w:val="22"/>
          <w:lang w:val="sr-Latn-ME"/>
        </w:rPr>
        <w:t>refeeding</w:t>
      </w:r>
      <w:r w:rsidRPr="004F2B81">
        <w:rPr>
          <w:iCs/>
          <w:szCs w:val="22"/>
          <w:lang w:val="sr-Latn-ME"/>
        </w:rPr>
        <w:t xml:space="preserve"> sindrom),</w:t>
      </w:r>
      <w:r w:rsidRPr="004F2B81">
        <w:rPr>
          <w:szCs w:val="22"/>
          <w:lang w:val="sr-Latn-ME"/>
        </w:rPr>
        <w:t xml:space="preserve"> </w:t>
      </w:r>
      <w:r w:rsidR="00C608A1" w:rsidRPr="00C608A1">
        <w:rPr>
          <w:szCs w:val="22"/>
          <w:lang w:val="sr-Latn-ME"/>
        </w:rPr>
        <w:t>koji karakteriše prelazak kalijuma, fosfora i magnezijuma u ćelije</w:t>
      </w:r>
      <w:r w:rsidRPr="004F2B81">
        <w:rPr>
          <w:szCs w:val="22"/>
          <w:lang w:val="sr-Latn-ME"/>
        </w:rPr>
        <w:t>. Može doći i do deficijencije tiamina i zadržavanja tečnosti. Razvoj ovih komplikacija mogu da spr</w:t>
      </w:r>
      <w:r w:rsidR="00E70330" w:rsidRPr="004F2B81">
        <w:rPr>
          <w:szCs w:val="22"/>
          <w:lang w:val="sr-Latn-ME"/>
        </w:rPr>
        <w:t>ij</w:t>
      </w:r>
      <w:r w:rsidRPr="004F2B81">
        <w:rPr>
          <w:szCs w:val="22"/>
          <w:lang w:val="sr-Latn-ME"/>
        </w:rPr>
        <w:t>eče pažljiv monitoring i sporo povećanje primjene nutrijenata, uz izbjegavanje njihovog pret</w:t>
      </w:r>
      <w:r w:rsidR="0005103C">
        <w:rPr>
          <w:szCs w:val="22"/>
          <w:lang w:val="sr-Latn-ME"/>
        </w:rPr>
        <w:t>j</w:t>
      </w:r>
      <w:r w:rsidRPr="004F2B81">
        <w:rPr>
          <w:szCs w:val="22"/>
          <w:lang w:val="sr-Latn-ME"/>
        </w:rPr>
        <w:t xml:space="preserve">eranog unosa. </w:t>
      </w:r>
    </w:p>
    <w:p w14:paraId="184B8AF9" w14:textId="77777777" w:rsidR="0076523B" w:rsidRPr="004F2B81" w:rsidRDefault="0076523B" w:rsidP="004F2B81">
      <w:pPr>
        <w:pStyle w:val="Header"/>
        <w:tabs>
          <w:tab w:val="clear" w:pos="4536"/>
          <w:tab w:val="clear" w:pos="9072"/>
          <w:tab w:val="left" w:pos="0"/>
        </w:tabs>
        <w:rPr>
          <w:szCs w:val="22"/>
          <w:lang w:val="sr-Latn-ME"/>
        </w:rPr>
      </w:pPr>
    </w:p>
    <w:p w14:paraId="56B6E7AC" w14:textId="77777777" w:rsidR="00B13008" w:rsidRPr="004F2B81" w:rsidRDefault="00B13008" w:rsidP="004F2B81">
      <w:pPr>
        <w:pStyle w:val="Header"/>
        <w:tabs>
          <w:tab w:val="clear" w:pos="4536"/>
          <w:tab w:val="clear" w:pos="9072"/>
          <w:tab w:val="left" w:pos="0"/>
        </w:tabs>
        <w:rPr>
          <w:i/>
          <w:szCs w:val="22"/>
          <w:u w:val="single"/>
          <w:lang w:val="sr-Latn-ME"/>
        </w:rPr>
      </w:pPr>
      <w:r w:rsidRPr="004F2B81">
        <w:rPr>
          <w:i/>
          <w:szCs w:val="22"/>
          <w:u w:val="single"/>
          <w:lang w:val="sr-Latn-ME"/>
        </w:rPr>
        <w:t>Pedijatrijska populacija</w:t>
      </w:r>
    </w:p>
    <w:p w14:paraId="41E2A600" w14:textId="28148ECE" w:rsidR="00B13008" w:rsidRPr="004F2B81" w:rsidRDefault="00B13008" w:rsidP="004F2B81">
      <w:pPr>
        <w:pStyle w:val="Header"/>
        <w:tabs>
          <w:tab w:val="clear" w:pos="4536"/>
          <w:tab w:val="clear" w:pos="9072"/>
          <w:tab w:val="left" w:pos="0"/>
        </w:tabs>
        <w:rPr>
          <w:szCs w:val="22"/>
          <w:lang w:val="sr-Latn-ME"/>
        </w:rPr>
      </w:pPr>
      <w:r w:rsidRPr="004F2B81">
        <w:rPr>
          <w:szCs w:val="22"/>
          <w:lang w:val="sr-Latn-ME"/>
        </w:rPr>
        <w:t xml:space="preserve">Brzina davanja infuzije i njen volumen zavise od uzrasta, tjelesne mase, kliničkog i metaboličkog statusa pacijenta, ljekova koji se primjenjuju u isto vrijeme, a treba da ih odredi ljekar specijalista koji ima iskustva u intravenskoj nadoknadi tečnosti u pedijatrijskoj populaciji. </w:t>
      </w:r>
    </w:p>
    <w:p w14:paraId="2F0712C9" w14:textId="77777777" w:rsidR="00B13008" w:rsidRPr="004F2B81" w:rsidRDefault="00B13008" w:rsidP="004F2B81">
      <w:pPr>
        <w:pStyle w:val="Header"/>
        <w:tabs>
          <w:tab w:val="clear" w:pos="4536"/>
          <w:tab w:val="clear" w:pos="9072"/>
          <w:tab w:val="left" w:pos="0"/>
        </w:tabs>
        <w:rPr>
          <w:szCs w:val="22"/>
          <w:lang w:val="sr-Latn-ME"/>
        </w:rPr>
      </w:pPr>
    </w:p>
    <w:p w14:paraId="3D68791E" w14:textId="0341CBF3" w:rsidR="00B13008" w:rsidRPr="004F2B81" w:rsidRDefault="00B13008" w:rsidP="004F2B81">
      <w:pPr>
        <w:pStyle w:val="Header"/>
        <w:tabs>
          <w:tab w:val="clear" w:pos="4536"/>
          <w:tab w:val="clear" w:pos="9072"/>
          <w:tab w:val="left" w:pos="0"/>
        </w:tabs>
        <w:rPr>
          <w:szCs w:val="22"/>
          <w:lang w:val="sr-Latn-ME"/>
        </w:rPr>
      </w:pPr>
      <w:r w:rsidRPr="004F2B81">
        <w:rPr>
          <w:szCs w:val="22"/>
          <w:lang w:val="sr-Latn-ME"/>
        </w:rPr>
        <w:t xml:space="preserve">U cilju sprečavanja potencijalno fatalne </w:t>
      </w:r>
      <w:r w:rsidR="008A1B3F" w:rsidRPr="004F2B81">
        <w:rPr>
          <w:szCs w:val="22"/>
          <w:lang w:val="sr-Latn-ME"/>
        </w:rPr>
        <w:t>prekomjerne</w:t>
      </w:r>
      <w:r w:rsidRPr="004F2B81">
        <w:rPr>
          <w:szCs w:val="22"/>
          <w:lang w:val="sr-Latn-ME"/>
        </w:rPr>
        <w:t xml:space="preserve"> intravenske prim</w:t>
      </w:r>
      <w:r w:rsidR="00C00E1F" w:rsidRPr="004F2B81">
        <w:rPr>
          <w:szCs w:val="22"/>
          <w:lang w:val="sr-Latn-ME"/>
        </w:rPr>
        <w:t>j</w:t>
      </w:r>
      <w:r w:rsidRPr="004F2B81">
        <w:rPr>
          <w:szCs w:val="22"/>
          <w:lang w:val="sr-Latn-ME"/>
        </w:rPr>
        <w:t xml:space="preserve">ene tečnosti kod novorođenčadi, posebnu pažnju treba obratiti na način primjene infuzije. Pri intravenskoj nadoknadi tečnosti ili primjeni ljekova kod novorođenčadi preko špric pumpe, bocu sa infuzijom ne treba ostaviti povezanu na špric. </w:t>
      </w:r>
    </w:p>
    <w:p w14:paraId="6BFB5467" w14:textId="77777777" w:rsidR="00B13008" w:rsidRPr="004F2B81" w:rsidRDefault="00B13008" w:rsidP="004F2B81">
      <w:pPr>
        <w:pStyle w:val="Header"/>
        <w:tabs>
          <w:tab w:val="clear" w:pos="4536"/>
          <w:tab w:val="clear" w:pos="9072"/>
          <w:tab w:val="left" w:pos="0"/>
        </w:tabs>
        <w:rPr>
          <w:szCs w:val="22"/>
          <w:lang w:val="sr-Latn-ME"/>
        </w:rPr>
      </w:pPr>
    </w:p>
    <w:p w14:paraId="23E1F1D3" w14:textId="0E39E872" w:rsidR="00B13008" w:rsidRPr="004F2B81" w:rsidRDefault="00B13008" w:rsidP="004F2B81">
      <w:pPr>
        <w:pStyle w:val="Header"/>
        <w:tabs>
          <w:tab w:val="clear" w:pos="4536"/>
          <w:tab w:val="clear" w:pos="9072"/>
          <w:tab w:val="left" w:pos="0"/>
        </w:tabs>
        <w:rPr>
          <w:szCs w:val="22"/>
          <w:lang w:val="sr-Latn-ME"/>
        </w:rPr>
      </w:pPr>
      <w:r w:rsidRPr="004F2B81">
        <w:rPr>
          <w:szCs w:val="22"/>
          <w:lang w:val="sr-Latn-ME"/>
        </w:rPr>
        <w:t xml:space="preserve">Prilikom upotrebe infuzione pumpe, sve kleme na infuzionom setu moraju biti zatvorene prije uklanjanja seta sa pumpe ili isključivanja pumpe. Ovaj postupak je obavezan, bez obzira na to da li infuzioni set ima dio koji </w:t>
      </w:r>
      <w:r w:rsidR="00C97F85" w:rsidRPr="004F2B81">
        <w:rPr>
          <w:szCs w:val="22"/>
          <w:lang w:val="sr-Latn-ME"/>
        </w:rPr>
        <w:t>sprečava</w:t>
      </w:r>
      <w:r w:rsidRPr="004F2B81">
        <w:rPr>
          <w:szCs w:val="22"/>
          <w:lang w:val="sr-Latn-ME"/>
        </w:rPr>
        <w:t xml:space="preserve"> slobodno isticanje infuzije. </w:t>
      </w:r>
    </w:p>
    <w:p w14:paraId="2E06EF9D" w14:textId="77777777" w:rsidR="00B13008" w:rsidRPr="004F2B81" w:rsidRDefault="00B13008" w:rsidP="004F2B81">
      <w:pPr>
        <w:pStyle w:val="Header"/>
        <w:tabs>
          <w:tab w:val="clear" w:pos="4536"/>
          <w:tab w:val="clear" w:pos="9072"/>
          <w:tab w:val="left" w:pos="0"/>
        </w:tabs>
        <w:rPr>
          <w:szCs w:val="22"/>
          <w:lang w:val="sr-Latn-ME"/>
        </w:rPr>
      </w:pPr>
    </w:p>
    <w:p w14:paraId="5B232A35" w14:textId="77777777" w:rsidR="00B13008" w:rsidRPr="004F2B81" w:rsidRDefault="00B13008" w:rsidP="004F2B81">
      <w:pPr>
        <w:pStyle w:val="Header"/>
        <w:tabs>
          <w:tab w:val="clear" w:pos="4536"/>
          <w:tab w:val="clear" w:pos="9072"/>
          <w:tab w:val="left" w:pos="0"/>
        </w:tabs>
        <w:rPr>
          <w:szCs w:val="22"/>
          <w:lang w:val="sr-Latn-ME"/>
        </w:rPr>
      </w:pPr>
      <w:r w:rsidRPr="004F2B81">
        <w:rPr>
          <w:szCs w:val="22"/>
          <w:lang w:val="sr-Latn-ME"/>
        </w:rPr>
        <w:t>Uređaj za intravensku infuziju, kao i infuzioni set moraju se kontrolisati u kratkim vremenskim intervalima.</w:t>
      </w:r>
    </w:p>
    <w:p w14:paraId="184B8B03" w14:textId="77777777" w:rsidR="0076523B" w:rsidRPr="004F2B81" w:rsidRDefault="0076523B" w:rsidP="004F2B81">
      <w:pPr>
        <w:pStyle w:val="Header"/>
        <w:tabs>
          <w:tab w:val="clear" w:pos="4536"/>
          <w:tab w:val="clear" w:pos="9072"/>
          <w:tab w:val="left" w:pos="0"/>
        </w:tabs>
        <w:rPr>
          <w:szCs w:val="22"/>
          <w:lang w:val="sr-Latn-ME"/>
        </w:rPr>
      </w:pPr>
    </w:p>
    <w:p w14:paraId="2CF4E59E" w14:textId="77777777" w:rsidR="009373F1" w:rsidRPr="004F2B81" w:rsidRDefault="009373F1" w:rsidP="004F2B81">
      <w:pPr>
        <w:pStyle w:val="Header"/>
        <w:tabs>
          <w:tab w:val="clear" w:pos="4536"/>
          <w:tab w:val="clear" w:pos="9072"/>
          <w:tab w:val="left" w:pos="0"/>
        </w:tabs>
        <w:rPr>
          <w:szCs w:val="22"/>
          <w:u w:val="single"/>
          <w:lang w:val="sr-Latn-ME"/>
        </w:rPr>
      </w:pPr>
      <w:r w:rsidRPr="004F2B81">
        <w:rPr>
          <w:szCs w:val="22"/>
          <w:u w:val="single"/>
          <w:lang w:val="sr-Latn-ME"/>
        </w:rPr>
        <w:t>Problemi vezani za glikemiju u pedijatrijskoj populaciji</w:t>
      </w:r>
    </w:p>
    <w:p w14:paraId="4A19B7A3" w14:textId="2BDF5DDC" w:rsidR="009373F1" w:rsidRPr="004F2B81" w:rsidRDefault="009373F1" w:rsidP="004F2B81">
      <w:pPr>
        <w:pStyle w:val="Header"/>
        <w:tabs>
          <w:tab w:val="clear" w:pos="4536"/>
          <w:tab w:val="clear" w:pos="9072"/>
          <w:tab w:val="left" w:pos="0"/>
        </w:tabs>
        <w:rPr>
          <w:szCs w:val="22"/>
          <w:lang w:val="sr-Latn-ME"/>
        </w:rPr>
      </w:pPr>
      <w:r w:rsidRPr="004F2B81">
        <w:rPr>
          <w:szCs w:val="22"/>
          <w:lang w:val="sr-Latn-ME"/>
        </w:rPr>
        <w:t xml:space="preserve">Kod novorođenčadi, posebno </w:t>
      </w:r>
      <w:r w:rsidR="00E70330" w:rsidRPr="004F2B81">
        <w:rPr>
          <w:szCs w:val="22"/>
          <w:lang w:val="sr-Latn-ME"/>
        </w:rPr>
        <w:t>prijevremeno</w:t>
      </w:r>
      <w:r w:rsidRPr="004F2B81">
        <w:rPr>
          <w:szCs w:val="22"/>
          <w:lang w:val="sr-Latn-ME"/>
        </w:rPr>
        <w:t xml:space="preserve"> rođene djece i sa malom porođajnom težinom, postoji povećani rizik od razvoja hipoglikemije ili hiperglikemije pa ih zato treba pažljivo pratiti tokom intravenske primjene rastvora glukoze, kako bi se obezb</w:t>
      </w:r>
      <w:r w:rsidR="00E70330" w:rsidRPr="004F2B81">
        <w:rPr>
          <w:szCs w:val="22"/>
          <w:lang w:val="sr-Latn-ME"/>
        </w:rPr>
        <w:t>ij</w:t>
      </w:r>
      <w:r w:rsidRPr="004F2B81">
        <w:rPr>
          <w:szCs w:val="22"/>
          <w:lang w:val="sr-Latn-ME"/>
        </w:rPr>
        <w:t xml:space="preserve">edila adekvatna glikemijska kontrola i tako spriječili mogući dugoročni neželjeni efekti. Hipoglikemija kod novorođenčadi može da prouzrokuje produžene epileptične napade, komu i oštećenje mozga. Hiperglikemija je povezivana sa cerebralnom intraventrikularnom hemoragijom, bakterijskom i gljivičnom infekcijom sa kasnim početkom, </w:t>
      </w:r>
      <w:r w:rsidRPr="004F2B81">
        <w:rPr>
          <w:szCs w:val="22"/>
          <w:lang w:val="sr-Latn-ME"/>
        </w:rPr>
        <w:lastRenderedPageBreak/>
        <w:t xml:space="preserve">retinopatijom </w:t>
      </w:r>
      <w:r w:rsidR="00E70330" w:rsidRPr="004F2B81">
        <w:rPr>
          <w:szCs w:val="22"/>
          <w:lang w:val="sr-Latn-ME"/>
        </w:rPr>
        <w:t>prijevremeno</w:t>
      </w:r>
      <w:r w:rsidRPr="004F2B81">
        <w:rPr>
          <w:szCs w:val="22"/>
          <w:lang w:val="sr-Latn-ME"/>
        </w:rPr>
        <w:t xml:space="preserve"> rođene djece, nekrotišućim enterokolitisom, bronhopulmonalnom displazijom, produženom hospitalizacijom i smrtnim ishodom.</w:t>
      </w:r>
    </w:p>
    <w:p w14:paraId="184B8B07" w14:textId="77777777" w:rsidR="0076523B" w:rsidRPr="004F2B81" w:rsidRDefault="0076523B" w:rsidP="004F2B81">
      <w:pPr>
        <w:pStyle w:val="Header"/>
        <w:tabs>
          <w:tab w:val="clear" w:pos="4536"/>
          <w:tab w:val="clear" w:pos="9072"/>
          <w:tab w:val="left" w:pos="0"/>
        </w:tabs>
        <w:rPr>
          <w:szCs w:val="22"/>
          <w:lang w:val="sr-Latn-ME"/>
        </w:rPr>
      </w:pPr>
    </w:p>
    <w:p w14:paraId="65179765" w14:textId="606258AF" w:rsidR="009410D2" w:rsidRPr="004F2B81" w:rsidRDefault="009410D2" w:rsidP="004F2B81">
      <w:pPr>
        <w:pStyle w:val="Header"/>
        <w:tabs>
          <w:tab w:val="clear" w:pos="4536"/>
          <w:tab w:val="clear" w:pos="9072"/>
          <w:tab w:val="left" w:pos="0"/>
        </w:tabs>
        <w:rPr>
          <w:szCs w:val="22"/>
          <w:u w:val="single"/>
          <w:lang w:val="sr-Latn-ME"/>
        </w:rPr>
      </w:pPr>
      <w:r w:rsidRPr="004F2B81">
        <w:rPr>
          <w:szCs w:val="22"/>
          <w:u w:val="single"/>
          <w:lang w:val="sr-Latn-ME"/>
        </w:rPr>
        <w:t>Problemi vezani za hiponatr</w:t>
      </w:r>
      <w:r w:rsidR="0005103C">
        <w:rPr>
          <w:szCs w:val="22"/>
          <w:u w:val="single"/>
          <w:lang w:val="sr-Latn-ME"/>
        </w:rPr>
        <w:t>ij</w:t>
      </w:r>
      <w:r w:rsidRPr="004F2B81">
        <w:rPr>
          <w:szCs w:val="22"/>
          <w:u w:val="single"/>
          <w:lang w:val="sr-Latn-ME"/>
        </w:rPr>
        <w:t>emiju u pedijatrijskoj populaciji</w:t>
      </w:r>
    </w:p>
    <w:p w14:paraId="5517E278" w14:textId="54303A96" w:rsidR="009410D2" w:rsidRPr="004F2B81" w:rsidRDefault="009410D2" w:rsidP="004F2B81">
      <w:pPr>
        <w:pStyle w:val="Header"/>
        <w:numPr>
          <w:ilvl w:val="0"/>
          <w:numId w:val="24"/>
        </w:numPr>
        <w:tabs>
          <w:tab w:val="clear" w:pos="4536"/>
          <w:tab w:val="clear" w:pos="9072"/>
          <w:tab w:val="left" w:pos="0"/>
        </w:tabs>
        <w:ind w:left="284" w:hanging="284"/>
        <w:rPr>
          <w:szCs w:val="22"/>
          <w:lang w:val="sr-Latn-ME"/>
        </w:rPr>
      </w:pPr>
      <w:r w:rsidRPr="004F2B81">
        <w:rPr>
          <w:szCs w:val="22"/>
          <w:lang w:val="sr-Latn-ME"/>
        </w:rPr>
        <w:t>Kod djece (uključujući novorođenčad i djecu starijeg uzrasta) postoji povećani rizik od razvoja hipoosmotske hiponatr</w:t>
      </w:r>
      <w:r w:rsidR="0005103C">
        <w:rPr>
          <w:szCs w:val="22"/>
          <w:lang w:val="sr-Latn-ME"/>
        </w:rPr>
        <w:t>ij</w:t>
      </w:r>
      <w:r w:rsidRPr="004F2B81">
        <w:rPr>
          <w:szCs w:val="22"/>
          <w:lang w:val="sr-Latn-ME"/>
        </w:rPr>
        <w:t>emije, kao i za nastanak hiponatr</w:t>
      </w:r>
      <w:r w:rsidR="0005103C">
        <w:rPr>
          <w:szCs w:val="22"/>
          <w:lang w:val="sr-Latn-ME"/>
        </w:rPr>
        <w:t>ij</w:t>
      </w:r>
      <w:r w:rsidRPr="004F2B81">
        <w:rPr>
          <w:szCs w:val="22"/>
          <w:lang w:val="sr-Latn-ME"/>
        </w:rPr>
        <w:t xml:space="preserve">emijske encefalopatije. </w:t>
      </w:r>
    </w:p>
    <w:p w14:paraId="1057FB33" w14:textId="77777777" w:rsidR="009410D2" w:rsidRPr="004F2B81" w:rsidRDefault="009410D2" w:rsidP="004F2B81">
      <w:pPr>
        <w:pStyle w:val="Header"/>
        <w:numPr>
          <w:ilvl w:val="0"/>
          <w:numId w:val="24"/>
        </w:numPr>
        <w:tabs>
          <w:tab w:val="clear" w:pos="4536"/>
          <w:tab w:val="clear" w:pos="9072"/>
          <w:tab w:val="left" w:pos="0"/>
        </w:tabs>
        <w:ind w:left="284" w:hanging="284"/>
        <w:rPr>
          <w:szCs w:val="22"/>
          <w:lang w:val="sr-Latn-ME"/>
        </w:rPr>
      </w:pPr>
      <w:r w:rsidRPr="004F2B81">
        <w:rPr>
          <w:szCs w:val="22"/>
          <w:lang w:val="sr-Latn-ME"/>
        </w:rPr>
        <w:t>U pedijatrijskoj populaciji treba pažljivo pratiti koncentraciju elektrolita u plazmi.</w:t>
      </w:r>
    </w:p>
    <w:p w14:paraId="1A4C92B2" w14:textId="612D159A" w:rsidR="009410D2" w:rsidRPr="004F2B81" w:rsidRDefault="009410D2" w:rsidP="004F2B81">
      <w:pPr>
        <w:pStyle w:val="Header"/>
        <w:numPr>
          <w:ilvl w:val="0"/>
          <w:numId w:val="24"/>
        </w:numPr>
        <w:tabs>
          <w:tab w:val="clear" w:pos="4536"/>
          <w:tab w:val="clear" w:pos="9072"/>
          <w:tab w:val="left" w:pos="0"/>
        </w:tabs>
        <w:ind w:left="284" w:hanging="284"/>
        <w:rPr>
          <w:szCs w:val="22"/>
          <w:lang w:val="sr-Latn-ME"/>
        </w:rPr>
      </w:pPr>
      <w:r w:rsidRPr="004F2B81">
        <w:rPr>
          <w:szCs w:val="22"/>
          <w:lang w:val="sr-Latn-ME"/>
        </w:rPr>
        <w:t>Brza korekcija hipoosmotske hiponatr</w:t>
      </w:r>
      <w:r w:rsidR="0005103C">
        <w:rPr>
          <w:szCs w:val="22"/>
          <w:lang w:val="sr-Latn-ME"/>
        </w:rPr>
        <w:t>ij</w:t>
      </w:r>
      <w:r w:rsidRPr="004F2B81">
        <w:rPr>
          <w:szCs w:val="22"/>
          <w:lang w:val="sr-Latn-ME"/>
        </w:rPr>
        <w:t xml:space="preserve">emije je potencijalno opasna (postoji rizik od ozbiljnih neuroloških komplikacija). </w:t>
      </w:r>
    </w:p>
    <w:p w14:paraId="06A46EDD" w14:textId="77777777" w:rsidR="009410D2" w:rsidRPr="004F2B81" w:rsidRDefault="009410D2" w:rsidP="004F2B81">
      <w:pPr>
        <w:pStyle w:val="Header"/>
        <w:numPr>
          <w:ilvl w:val="0"/>
          <w:numId w:val="24"/>
        </w:numPr>
        <w:tabs>
          <w:tab w:val="clear" w:pos="4536"/>
          <w:tab w:val="clear" w:pos="9072"/>
          <w:tab w:val="left" w:pos="0"/>
        </w:tabs>
        <w:ind w:left="284" w:hanging="284"/>
        <w:rPr>
          <w:szCs w:val="22"/>
          <w:lang w:val="sr-Latn-ME"/>
        </w:rPr>
      </w:pPr>
      <w:r w:rsidRPr="004F2B81">
        <w:rPr>
          <w:szCs w:val="22"/>
          <w:lang w:val="sr-Latn-ME"/>
        </w:rPr>
        <w:t>Doziranje, brzinu davanja infuzije i trajanje njene primjene, treba da odredi ljekar koji ima iskustva u intravenskoj nadoknadi tečnosti kod pedijatrijskih pacijenata.</w:t>
      </w:r>
    </w:p>
    <w:p w14:paraId="184B8B0C" w14:textId="77777777" w:rsidR="0076523B" w:rsidRPr="004F2B81" w:rsidRDefault="0076523B" w:rsidP="004F2B81">
      <w:pPr>
        <w:pStyle w:val="Header"/>
        <w:tabs>
          <w:tab w:val="clear" w:pos="4536"/>
          <w:tab w:val="clear" w:pos="9072"/>
          <w:tab w:val="left" w:pos="0"/>
        </w:tabs>
        <w:rPr>
          <w:szCs w:val="22"/>
          <w:u w:val="single"/>
          <w:lang w:val="sr-Latn-ME"/>
        </w:rPr>
      </w:pPr>
    </w:p>
    <w:p w14:paraId="33DF8A2B" w14:textId="77777777" w:rsidR="009A4211" w:rsidRPr="004F2B81" w:rsidRDefault="009A4211" w:rsidP="004F2B81">
      <w:pPr>
        <w:pStyle w:val="Header"/>
        <w:tabs>
          <w:tab w:val="clear" w:pos="4536"/>
          <w:tab w:val="clear" w:pos="9072"/>
          <w:tab w:val="left" w:pos="0"/>
        </w:tabs>
        <w:rPr>
          <w:szCs w:val="22"/>
          <w:u w:val="single"/>
          <w:lang w:val="sr-Latn-ME"/>
        </w:rPr>
      </w:pPr>
      <w:r w:rsidRPr="004F2B81">
        <w:rPr>
          <w:szCs w:val="22"/>
          <w:u w:val="single"/>
          <w:lang w:val="sr-Latn-ME"/>
        </w:rPr>
        <w:t>Gerijatrijska populacija</w:t>
      </w:r>
    </w:p>
    <w:p w14:paraId="21C454E3" w14:textId="178EF788" w:rsidR="009A4211" w:rsidRPr="004F2B81" w:rsidRDefault="009A4211" w:rsidP="00117013">
      <w:pPr>
        <w:pStyle w:val="Header"/>
        <w:tabs>
          <w:tab w:val="clear" w:pos="4536"/>
          <w:tab w:val="clear" w:pos="9072"/>
          <w:tab w:val="left" w:pos="0"/>
        </w:tabs>
        <w:rPr>
          <w:szCs w:val="22"/>
          <w:lang w:val="sr-Latn-ME"/>
        </w:rPr>
      </w:pPr>
      <w:r w:rsidRPr="004F2B81">
        <w:rPr>
          <w:szCs w:val="22"/>
          <w:lang w:val="sr-Latn-ME"/>
        </w:rPr>
        <w:t xml:space="preserve">Prilikom izbora vrste rastvora za infuziju i volumena/brzine davanja infuzije kod gerijatrijskih pacijenata, treba imati u vidu da je kod starijih osoba veća vjerovatnoća da su prisutna srčana, bubrežna, hepatička i druga oboljenja, kao i da su te osobe na istovremenoj terapiji i drugim ljekovima. </w:t>
      </w:r>
    </w:p>
    <w:p w14:paraId="03F943F6" w14:textId="77777777" w:rsidR="009A4211" w:rsidRPr="004F2B81" w:rsidRDefault="009A4211" w:rsidP="004F2B81">
      <w:pPr>
        <w:pStyle w:val="Header"/>
        <w:tabs>
          <w:tab w:val="clear" w:pos="4536"/>
          <w:tab w:val="clear" w:pos="9072"/>
          <w:tab w:val="left" w:pos="0"/>
        </w:tabs>
        <w:rPr>
          <w:szCs w:val="22"/>
          <w:lang w:val="sr-Latn-ME"/>
        </w:rPr>
      </w:pPr>
    </w:p>
    <w:p w14:paraId="0CB0F063" w14:textId="77777777" w:rsidR="009A4211" w:rsidRPr="004F2B81" w:rsidRDefault="009A4211" w:rsidP="004F2B81">
      <w:pPr>
        <w:pStyle w:val="Header"/>
        <w:tabs>
          <w:tab w:val="clear" w:pos="4536"/>
          <w:tab w:val="clear" w:pos="9072"/>
          <w:tab w:val="left" w:pos="0"/>
        </w:tabs>
        <w:rPr>
          <w:szCs w:val="22"/>
          <w:u w:val="single"/>
          <w:lang w:val="sr-Latn-ME"/>
        </w:rPr>
      </w:pPr>
      <w:r w:rsidRPr="004F2B81">
        <w:rPr>
          <w:szCs w:val="22"/>
          <w:u w:val="single"/>
          <w:lang w:val="sr-Latn-ME"/>
        </w:rPr>
        <w:t>Krv</w:t>
      </w:r>
    </w:p>
    <w:p w14:paraId="7B02CC65" w14:textId="16F65285" w:rsidR="009A4211" w:rsidRPr="004F2B81" w:rsidRDefault="009A4211" w:rsidP="00117013">
      <w:pPr>
        <w:pStyle w:val="Header"/>
        <w:tabs>
          <w:tab w:val="clear" w:pos="4536"/>
          <w:tab w:val="clear" w:pos="9072"/>
          <w:tab w:val="left" w:pos="0"/>
        </w:tabs>
        <w:rPr>
          <w:szCs w:val="22"/>
          <w:lang w:val="sr-Latn-ME"/>
        </w:rPr>
      </w:pPr>
      <w:r w:rsidRPr="004F2B81">
        <w:rPr>
          <w:szCs w:val="22"/>
          <w:lang w:val="sr-Latn-ME"/>
        </w:rPr>
        <w:t>Rastvor glukoze</w:t>
      </w:r>
      <w:r w:rsidR="00E72817">
        <w:rPr>
          <w:szCs w:val="22"/>
          <w:lang w:val="sr-Latn-ME"/>
        </w:rPr>
        <w:t xml:space="preserve"> 5%</w:t>
      </w:r>
      <w:r w:rsidRPr="004F2B81">
        <w:rPr>
          <w:szCs w:val="22"/>
          <w:lang w:val="sr-Latn-ME"/>
        </w:rPr>
        <w:t xml:space="preserve"> (vodeni rastvor, odnosno rastvor koji ne sadrži elektrolite) ne treba </w:t>
      </w:r>
      <w:r w:rsidR="00E70330" w:rsidRPr="004F2B81">
        <w:rPr>
          <w:szCs w:val="22"/>
          <w:lang w:val="sr-Latn-ME"/>
        </w:rPr>
        <w:t>primjenjivati</w:t>
      </w:r>
      <w:r w:rsidRPr="004F2B81">
        <w:rPr>
          <w:szCs w:val="22"/>
          <w:lang w:val="sr-Latn-ME"/>
        </w:rPr>
        <w:t xml:space="preserve"> </w:t>
      </w:r>
      <w:r w:rsidR="00AB3C6A" w:rsidRPr="00AB3C6A">
        <w:rPr>
          <w:szCs w:val="22"/>
          <w:lang w:val="sr-Latn-ME"/>
        </w:rPr>
        <w:t>istovremeno, pr</w:t>
      </w:r>
      <w:r w:rsidR="00AB3C6A">
        <w:rPr>
          <w:szCs w:val="22"/>
          <w:lang w:val="sr-Latn-ME"/>
        </w:rPr>
        <w:t>ij</w:t>
      </w:r>
      <w:r w:rsidR="00AB3C6A" w:rsidRPr="00AB3C6A">
        <w:rPr>
          <w:szCs w:val="22"/>
          <w:lang w:val="sr-Latn-ME"/>
        </w:rPr>
        <w:t>e ili posl</w:t>
      </w:r>
      <w:r w:rsidR="00057598">
        <w:rPr>
          <w:szCs w:val="22"/>
          <w:lang w:val="sr-Latn-ME"/>
        </w:rPr>
        <w:t>ij</w:t>
      </w:r>
      <w:r w:rsidR="00AB3C6A" w:rsidRPr="00AB3C6A">
        <w:rPr>
          <w:szCs w:val="22"/>
          <w:lang w:val="sr-Latn-ME"/>
        </w:rPr>
        <w:t xml:space="preserve">e davanja krvi </w:t>
      </w:r>
      <w:r w:rsidRPr="004F2B81">
        <w:rPr>
          <w:szCs w:val="22"/>
          <w:lang w:val="sr-Latn-ME"/>
        </w:rPr>
        <w:t xml:space="preserve">kroz isti infuzioni set, pošto može doći do hemolize i pseudoaglutinacije. </w:t>
      </w:r>
    </w:p>
    <w:p w14:paraId="35683501" w14:textId="77777777" w:rsidR="009A4211" w:rsidRPr="004F2B81" w:rsidRDefault="009A4211" w:rsidP="004F2B81">
      <w:pPr>
        <w:pStyle w:val="Header"/>
        <w:tabs>
          <w:tab w:val="clear" w:pos="4536"/>
          <w:tab w:val="clear" w:pos="9072"/>
          <w:tab w:val="left" w:pos="0"/>
        </w:tabs>
        <w:rPr>
          <w:szCs w:val="22"/>
          <w:lang w:val="sr-Latn-ME"/>
        </w:rPr>
      </w:pPr>
    </w:p>
    <w:p w14:paraId="79C63A02" w14:textId="5A3ED635" w:rsidR="009A4211" w:rsidRPr="004F2B81" w:rsidRDefault="009A4211" w:rsidP="004F2B81">
      <w:pPr>
        <w:pStyle w:val="Header"/>
        <w:tabs>
          <w:tab w:val="left" w:pos="0"/>
        </w:tabs>
        <w:rPr>
          <w:szCs w:val="22"/>
          <w:lang w:val="sr-Latn-ME"/>
        </w:rPr>
      </w:pPr>
      <w:r w:rsidRPr="004F2B81">
        <w:rPr>
          <w:szCs w:val="22"/>
          <w:lang w:val="sr-Latn-ME"/>
        </w:rPr>
        <w:t>Dodavanje drugog lijeka ili korišćenje pogrešne tehnike prim</w:t>
      </w:r>
      <w:r w:rsidR="00693EFD" w:rsidRPr="004F2B81">
        <w:rPr>
          <w:szCs w:val="22"/>
          <w:lang w:val="sr-Latn-ME"/>
        </w:rPr>
        <w:t>j</w:t>
      </w:r>
      <w:r w:rsidRPr="004F2B81">
        <w:rPr>
          <w:szCs w:val="22"/>
          <w:lang w:val="sr-Latn-ME"/>
        </w:rPr>
        <w:t xml:space="preserve">ene može uzrokovati pojavu </w:t>
      </w:r>
      <w:r w:rsidR="00D556FD" w:rsidRPr="00955712">
        <w:rPr>
          <w:szCs w:val="22"/>
          <w:lang w:val="sr-Latn-RS"/>
        </w:rPr>
        <w:t>reaktivne hiperpireksije</w:t>
      </w:r>
      <w:r w:rsidRPr="004F2B81">
        <w:rPr>
          <w:szCs w:val="22"/>
          <w:lang w:val="sr-Latn-ME"/>
        </w:rPr>
        <w:t xml:space="preserve"> </w:t>
      </w:r>
      <w:r w:rsidR="00D556FD">
        <w:rPr>
          <w:szCs w:val="22"/>
          <w:lang w:val="sr-Latn-ME"/>
        </w:rPr>
        <w:t>usljed</w:t>
      </w:r>
      <w:r w:rsidRPr="004F2B81">
        <w:rPr>
          <w:szCs w:val="22"/>
          <w:lang w:val="sr-Latn-ME"/>
        </w:rPr>
        <w:t xml:space="preserve"> mogućeg </w:t>
      </w:r>
      <w:r w:rsidR="00D556FD">
        <w:rPr>
          <w:szCs w:val="22"/>
          <w:lang w:val="sr-Latn-ME"/>
        </w:rPr>
        <w:t>prisustva</w:t>
      </w:r>
      <w:r w:rsidRPr="004F2B81">
        <w:rPr>
          <w:szCs w:val="22"/>
          <w:lang w:val="sr-Latn-ME"/>
        </w:rPr>
        <w:t xml:space="preserve"> pirogen</w:t>
      </w:r>
      <w:r w:rsidR="00D556FD">
        <w:rPr>
          <w:szCs w:val="22"/>
          <w:lang w:val="sr-Latn-ME"/>
        </w:rPr>
        <w:t>ih supstanci</w:t>
      </w:r>
      <w:r w:rsidRPr="004F2B81">
        <w:rPr>
          <w:szCs w:val="22"/>
          <w:lang w:val="sr-Latn-ME"/>
        </w:rPr>
        <w:t xml:space="preserve">. U slučaju </w:t>
      </w:r>
      <w:r w:rsidR="00D556FD">
        <w:rPr>
          <w:szCs w:val="22"/>
          <w:lang w:val="sr-Latn-ME"/>
        </w:rPr>
        <w:t xml:space="preserve">pojave </w:t>
      </w:r>
      <w:r w:rsidRPr="004F2B81">
        <w:rPr>
          <w:szCs w:val="22"/>
          <w:lang w:val="sr-Latn-ME"/>
        </w:rPr>
        <w:t>neželjen</w:t>
      </w:r>
      <w:r w:rsidR="00D556FD">
        <w:rPr>
          <w:szCs w:val="22"/>
          <w:lang w:val="sr-Latn-ME"/>
        </w:rPr>
        <w:t>ih</w:t>
      </w:r>
      <w:r w:rsidRPr="004F2B81">
        <w:rPr>
          <w:szCs w:val="22"/>
          <w:lang w:val="sr-Latn-ME"/>
        </w:rPr>
        <w:t xml:space="preserve"> reakcij</w:t>
      </w:r>
      <w:r w:rsidR="00D556FD">
        <w:rPr>
          <w:szCs w:val="22"/>
          <w:lang w:val="sr-Latn-ME"/>
        </w:rPr>
        <w:t>a</w:t>
      </w:r>
      <w:r w:rsidRPr="004F2B81">
        <w:rPr>
          <w:szCs w:val="22"/>
          <w:lang w:val="sr-Latn-ME"/>
        </w:rPr>
        <w:t>, infuziju je potrebno odmah prekinuti.</w:t>
      </w:r>
    </w:p>
    <w:p w14:paraId="7167F6FC" w14:textId="5CF638BF" w:rsidR="006551F3" w:rsidRPr="000670AE" w:rsidRDefault="006551F3" w:rsidP="004F2B81">
      <w:pPr>
        <w:pStyle w:val="Header"/>
        <w:tabs>
          <w:tab w:val="clear" w:pos="4536"/>
          <w:tab w:val="clear" w:pos="9072"/>
          <w:tab w:val="left" w:pos="0"/>
        </w:tabs>
        <w:rPr>
          <w:szCs w:val="22"/>
          <w:lang w:val="sr-Latn-ME"/>
        </w:rPr>
      </w:pPr>
    </w:p>
    <w:p w14:paraId="609B02B6" w14:textId="77777777" w:rsidR="000670AE" w:rsidRPr="000670AE" w:rsidRDefault="000670AE" w:rsidP="000670AE">
      <w:pPr>
        <w:pStyle w:val="Header"/>
        <w:rPr>
          <w:szCs w:val="22"/>
          <w:u w:val="single"/>
          <w:lang w:val="sr-Latn-ME"/>
        </w:rPr>
      </w:pPr>
      <w:r w:rsidRPr="000670AE">
        <w:rPr>
          <w:szCs w:val="22"/>
          <w:u w:val="single"/>
          <w:lang w:val="sr-Latn-ME"/>
        </w:rPr>
        <w:t>Rizik od embolije vazduhom</w:t>
      </w:r>
    </w:p>
    <w:p w14:paraId="35C3F42F" w14:textId="0B134290" w:rsidR="000670AE" w:rsidRPr="000670AE" w:rsidRDefault="000670AE" w:rsidP="000670AE">
      <w:pPr>
        <w:pStyle w:val="Header"/>
        <w:numPr>
          <w:ilvl w:val="0"/>
          <w:numId w:val="6"/>
        </w:numPr>
        <w:rPr>
          <w:szCs w:val="22"/>
          <w:lang w:val="sr-Latn-ME"/>
        </w:rPr>
      </w:pPr>
      <w:r w:rsidRPr="000670AE">
        <w:rPr>
          <w:szCs w:val="22"/>
          <w:lang w:val="sr-Latn-ME"/>
        </w:rPr>
        <w:t>Nemojte koristiti plastična pakovanja u serijskim vezama. Njihova prim</w:t>
      </w:r>
      <w:r>
        <w:rPr>
          <w:szCs w:val="22"/>
          <w:lang w:val="sr-Latn-ME"/>
        </w:rPr>
        <w:t>j</w:t>
      </w:r>
      <w:r w:rsidRPr="000670AE">
        <w:rPr>
          <w:szCs w:val="22"/>
          <w:lang w:val="sr-Latn-ME"/>
        </w:rPr>
        <w:t>ena bi mogla dovesti do embolije vazduhom usljed zaostalih m</w:t>
      </w:r>
      <w:r w:rsidR="00822DFD">
        <w:rPr>
          <w:szCs w:val="22"/>
          <w:lang w:val="sr-Latn-ME"/>
        </w:rPr>
        <w:t>j</w:t>
      </w:r>
      <w:r w:rsidRPr="000670AE">
        <w:rPr>
          <w:szCs w:val="22"/>
          <w:lang w:val="sr-Latn-ME"/>
        </w:rPr>
        <w:t>ehurića vazduha koji se izvlače iz primarnog pakovanja pr</w:t>
      </w:r>
      <w:r>
        <w:rPr>
          <w:szCs w:val="22"/>
          <w:lang w:val="sr-Latn-ME"/>
        </w:rPr>
        <w:t>ij</w:t>
      </w:r>
      <w:r w:rsidRPr="000670AE">
        <w:rPr>
          <w:szCs w:val="22"/>
          <w:lang w:val="sr-Latn-ME"/>
        </w:rPr>
        <w:t>e nego što je završena prim</w:t>
      </w:r>
      <w:r>
        <w:rPr>
          <w:szCs w:val="22"/>
          <w:lang w:val="sr-Latn-ME"/>
        </w:rPr>
        <w:t>j</w:t>
      </w:r>
      <w:r w:rsidRPr="000670AE">
        <w:rPr>
          <w:szCs w:val="22"/>
          <w:lang w:val="sr-Latn-ME"/>
        </w:rPr>
        <w:t>ena tečnosti iz sekundarnog pakovanja.</w:t>
      </w:r>
    </w:p>
    <w:p w14:paraId="397B706A" w14:textId="7DE52FBD" w:rsidR="000670AE" w:rsidRPr="000670AE" w:rsidRDefault="000670AE" w:rsidP="000670AE">
      <w:pPr>
        <w:pStyle w:val="Header"/>
        <w:numPr>
          <w:ilvl w:val="0"/>
          <w:numId w:val="6"/>
        </w:numPr>
        <w:rPr>
          <w:szCs w:val="22"/>
          <w:lang w:val="sr-Latn-ME"/>
        </w:rPr>
      </w:pPr>
      <w:r w:rsidRPr="000670AE">
        <w:rPr>
          <w:szCs w:val="22"/>
          <w:lang w:val="sr-Latn-ME"/>
        </w:rPr>
        <w:t>Prim</w:t>
      </w:r>
      <w:r>
        <w:rPr>
          <w:szCs w:val="22"/>
          <w:lang w:val="sr-Latn-ME"/>
        </w:rPr>
        <w:t>j</w:t>
      </w:r>
      <w:r w:rsidRPr="000670AE">
        <w:rPr>
          <w:szCs w:val="22"/>
          <w:lang w:val="sr-Latn-ME"/>
        </w:rPr>
        <w:t>ena pod pritiskom intravenskih rastvora koji su sm</w:t>
      </w:r>
      <w:r>
        <w:rPr>
          <w:szCs w:val="22"/>
          <w:lang w:val="sr-Latn-ME"/>
        </w:rPr>
        <w:t>j</w:t>
      </w:r>
      <w:r w:rsidRPr="000670AE">
        <w:rPr>
          <w:szCs w:val="22"/>
          <w:lang w:val="sr-Latn-ME"/>
        </w:rPr>
        <w:t>ešteni u fleksibilna plastična pakovanja radi povećanja brzine protoka može da dovede do embolije vazduhom ukoliko rezidualni vazduh u pakovanju nije u potpunosti uklonjen pr</w:t>
      </w:r>
      <w:r>
        <w:rPr>
          <w:szCs w:val="22"/>
          <w:lang w:val="sr-Latn-ME"/>
        </w:rPr>
        <w:t>ij</w:t>
      </w:r>
      <w:r w:rsidRPr="000670AE">
        <w:rPr>
          <w:szCs w:val="22"/>
          <w:lang w:val="sr-Latn-ME"/>
        </w:rPr>
        <w:t>e prim</w:t>
      </w:r>
      <w:r>
        <w:rPr>
          <w:szCs w:val="22"/>
          <w:lang w:val="sr-Latn-ME"/>
        </w:rPr>
        <w:t>j</w:t>
      </w:r>
      <w:r w:rsidRPr="000670AE">
        <w:rPr>
          <w:szCs w:val="22"/>
          <w:lang w:val="sr-Latn-ME"/>
        </w:rPr>
        <w:t>ene.</w:t>
      </w:r>
    </w:p>
    <w:p w14:paraId="4F9454F8" w14:textId="06B1C5CC" w:rsidR="000670AE" w:rsidRPr="000670AE" w:rsidRDefault="000670AE" w:rsidP="000670AE">
      <w:pPr>
        <w:pStyle w:val="Header"/>
        <w:numPr>
          <w:ilvl w:val="0"/>
          <w:numId w:val="6"/>
        </w:numPr>
        <w:rPr>
          <w:szCs w:val="22"/>
          <w:lang w:val="sr-Latn-ME"/>
        </w:rPr>
      </w:pPr>
      <w:r w:rsidRPr="000670AE">
        <w:rPr>
          <w:szCs w:val="22"/>
          <w:lang w:val="sr-Latn-ME"/>
        </w:rPr>
        <w:t>Prim</w:t>
      </w:r>
      <w:r>
        <w:rPr>
          <w:szCs w:val="22"/>
          <w:lang w:val="sr-Latn-ME"/>
        </w:rPr>
        <w:t>j</w:t>
      </w:r>
      <w:r w:rsidRPr="000670AE">
        <w:rPr>
          <w:szCs w:val="22"/>
          <w:lang w:val="sr-Latn-ME"/>
        </w:rPr>
        <w:t>ena setova sa ventilima za intravensku prim</w:t>
      </w:r>
      <w:r>
        <w:rPr>
          <w:szCs w:val="22"/>
          <w:lang w:val="sr-Latn-ME"/>
        </w:rPr>
        <w:t>j</w:t>
      </w:r>
      <w:r w:rsidRPr="000670AE">
        <w:rPr>
          <w:szCs w:val="22"/>
          <w:lang w:val="sr-Latn-ME"/>
        </w:rPr>
        <w:t>enu, sa ventilom u otvorenoj poziciji bi mogla dovesti do embolije vazduhom. Setovi sa ventilom za intravensku prim</w:t>
      </w:r>
      <w:r>
        <w:rPr>
          <w:szCs w:val="22"/>
          <w:lang w:val="sr-Latn-ME"/>
        </w:rPr>
        <w:t>j</w:t>
      </w:r>
      <w:r w:rsidRPr="000670AE">
        <w:rPr>
          <w:szCs w:val="22"/>
          <w:lang w:val="sr-Latn-ME"/>
        </w:rPr>
        <w:t>enu, sa ventilom u otvorenoj poziciji ne smeju se koristiti sa fleksibilnim plastičnim pakovanjima.</w:t>
      </w:r>
    </w:p>
    <w:p w14:paraId="0B50C887" w14:textId="77777777" w:rsidR="000670AE" w:rsidRPr="000670AE" w:rsidRDefault="000670AE" w:rsidP="004F2B81">
      <w:pPr>
        <w:pStyle w:val="Header"/>
        <w:tabs>
          <w:tab w:val="clear" w:pos="4536"/>
          <w:tab w:val="clear" w:pos="9072"/>
          <w:tab w:val="left" w:pos="0"/>
        </w:tabs>
        <w:rPr>
          <w:szCs w:val="22"/>
          <w:lang w:val="sr-Latn-ME"/>
        </w:rPr>
      </w:pPr>
    </w:p>
    <w:p w14:paraId="184B8B13" w14:textId="33208D93" w:rsidR="00CE09F3" w:rsidRPr="000670AE" w:rsidRDefault="00CE09F3" w:rsidP="004F2B81">
      <w:pPr>
        <w:rPr>
          <w:b/>
          <w:bCs/>
          <w:szCs w:val="22"/>
          <w:lang w:val="sr-Latn-ME"/>
        </w:rPr>
      </w:pPr>
      <w:r w:rsidRPr="000670AE">
        <w:rPr>
          <w:b/>
          <w:bCs/>
          <w:szCs w:val="22"/>
          <w:lang w:val="sr-Latn-ME"/>
        </w:rPr>
        <w:t>4.5. Interakcije sa drugim l</w:t>
      </w:r>
      <w:r w:rsidR="00E70330" w:rsidRPr="000670AE">
        <w:rPr>
          <w:b/>
          <w:bCs/>
          <w:szCs w:val="22"/>
          <w:lang w:val="sr-Latn-ME"/>
        </w:rPr>
        <w:t>j</w:t>
      </w:r>
      <w:r w:rsidRPr="000670AE">
        <w:rPr>
          <w:b/>
          <w:bCs/>
          <w:szCs w:val="22"/>
          <w:lang w:val="sr-Latn-ME"/>
        </w:rPr>
        <w:t>ekovima i druge vrste interakcija</w:t>
      </w:r>
    </w:p>
    <w:p w14:paraId="184B8B14" w14:textId="7C97F34D" w:rsidR="00CE09F3" w:rsidRPr="004F2B81" w:rsidRDefault="00CE09F3" w:rsidP="004F2B81">
      <w:pPr>
        <w:rPr>
          <w:szCs w:val="22"/>
          <w:lang w:val="sr-Latn-ME"/>
        </w:rPr>
      </w:pPr>
    </w:p>
    <w:p w14:paraId="2C39D0EA" w14:textId="77777777" w:rsidR="00CA562C" w:rsidRPr="004F2B81" w:rsidRDefault="00CA562C" w:rsidP="004F2B81">
      <w:pPr>
        <w:pStyle w:val="Header"/>
        <w:tabs>
          <w:tab w:val="clear" w:pos="4536"/>
          <w:tab w:val="clear" w:pos="9072"/>
          <w:tab w:val="left" w:pos="284"/>
        </w:tabs>
        <w:rPr>
          <w:szCs w:val="22"/>
          <w:lang w:val="sr-Latn-ME"/>
        </w:rPr>
      </w:pPr>
      <w:r w:rsidRPr="004F2B81">
        <w:rPr>
          <w:szCs w:val="22"/>
          <w:lang w:val="sr-Latn-ME"/>
        </w:rPr>
        <w:t xml:space="preserve">Prilikom primjene rastvora glukoze kod pacijenata koji su na terapiji drugim ljekovima koji utiču na glikemijsku kontrolu ili balans tečnosti i/ili elektrolita, treba imati u vidu glikemijsko dejstvo rastvora glukoze, kao i njegovo dejstvo na balans tečnosti i elektrolita. </w:t>
      </w:r>
    </w:p>
    <w:p w14:paraId="41106857" w14:textId="77777777" w:rsidR="00CA562C" w:rsidRPr="004F2B81" w:rsidRDefault="00CA562C" w:rsidP="004F2B81">
      <w:pPr>
        <w:pStyle w:val="Header"/>
        <w:tabs>
          <w:tab w:val="clear" w:pos="4536"/>
          <w:tab w:val="clear" w:pos="9072"/>
          <w:tab w:val="left" w:pos="284"/>
        </w:tabs>
        <w:rPr>
          <w:szCs w:val="22"/>
          <w:lang w:val="sr-Latn-ME"/>
        </w:rPr>
      </w:pPr>
    </w:p>
    <w:p w14:paraId="2D7FA873" w14:textId="77777777" w:rsidR="00CA562C" w:rsidRPr="004F2B81" w:rsidRDefault="00CA562C" w:rsidP="004F2B81">
      <w:pPr>
        <w:pStyle w:val="Header"/>
        <w:tabs>
          <w:tab w:val="clear" w:pos="4536"/>
          <w:tab w:val="clear" w:pos="9072"/>
          <w:tab w:val="left" w:pos="284"/>
        </w:tabs>
        <w:rPr>
          <w:szCs w:val="22"/>
          <w:lang w:val="sr-Latn-ME"/>
        </w:rPr>
      </w:pPr>
      <w:r w:rsidRPr="004F2B81">
        <w:rPr>
          <w:szCs w:val="22"/>
          <w:lang w:val="sr-Latn-ME"/>
        </w:rPr>
        <w:t>Istovremena primjena kateholamina i steroida smanjuje preuzimanje glukoze.</w:t>
      </w:r>
    </w:p>
    <w:p w14:paraId="1E8923BE" w14:textId="77777777" w:rsidR="00DF3D15" w:rsidRPr="004F2B81" w:rsidRDefault="00DF3D15" w:rsidP="004F2B81">
      <w:pPr>
        <w:pStyle w:val="Header"/>
        <w:tabs>
          <w:tab w:val="clear" w:pos="4536"/>
          <w:tab w:val="clear" w:pos="9072"/>
          <w:tab w:val="left" w:pos="284"/>
        </w:tabs>
        <w:rPr>
          <w:szCs w:val="22"/>
          <w:lang w:val="sr-Latn-ME"/>
        </w:rPr>
      </w:pPr>
    </w:p>
    <w:p w14:paraId="1BD0CF46" w14:textId="77777777" w:rsidR="00C7334E" w:rsidRPr="004F2B81" w:rsidRDefault="00C7334E" w:rsidP="004F2B81">
      <w:pPr>
        <w:rPr>
          <w:szCs w:val="22"/>
          <w:lang w:val="sr-Latn-ME"/>
        </w:rPr>
      </w:pPr>
      <w:r w:rsidRPr="004F2B81">
        <w:rPr>
          <w:i/>
          <w:iCs/>
          <w:szCs w:val="22"/>
          <w:lang w:val="sr-Latn-ME"/>
        </w:rPr>
        <w:t>Ljekovi koji dovode do povećanog efekta vazopresina</w:t>
      </w:r>
    </w:p>
    <w:p w14:paraId="34AC803B" w14:textId="5E97159C" w:rsidR="00C7334E" w:rsidRPr="004F2B81" w:rsidRDefault="00C7334E" w:rsidP="004F2B81">
      <w:pPr>
        <w:rPr>
          <w:szCs w:val="22"/>
          <w:lang w:val="sr-Latn-ME"/>
        </w:rPr>
      </w:pPr>
      <w:r w:rsidRPr="004F2B81">
        <w:rPr>
          <w:szCs w:val="22"/>
          <w:lang w:val="sr-Latn-ME"/>
        </w:rPr>
        <w:t>Niže navedeni ljekovi povećavaju efekat vazopresina, što dovodi do smanjenja izlučivanja vode bez elektrolita putem bubrega i povećanja rizika od nastanka intra-hospitalne hiponatr</w:t>
      </w:r>
      <w:r w:rsidR="00057598">
        <w:rPr>
          <w:szCs w:val="22"/>
          <w:lang w:val="sr-Latn-ME"/>
        </w:rPr>
        <w:t>ij</w:t>
      </w:r>
      <w:r w:rsidRPr="004F2B81">
        <w:rPr>
          <w:szCs w:val="22"/>
          <w:lang w:val="sr-Latn-ME"/>
        </w:rPr>
        <w:t>emije kao posljedice nedovoljno balansirane terapije intravenskim tečnostima za nadoknadu (</w:t>
      </w:r>
      <w:r w:rsidR="00057598">
        <w:rPr>
          <w:szCs w:val="22"/>
          <w:lang w:val="sr-Latn-ME"/>
        </w:rPr>
        <w:t xml:space="preserve">vidjeti </w:t>
      </w:r>
      <w:r w:rsidR="00A36E26" w:rsidRPr="004F2B81">
        <w:rPr>
          <w:szCs w:val="22"/>
          <w:lang w:val="sr-Latn-ME"/>
        </w:rPr>
        <w:t>djelove</w:t>
      </w:r>
      <w:r w:rsidRPr="004F2B81">
        <w:rPr>
          <w:szCs w:val="22"/>
          <w:lang w:val="sr-Latn-ME"/>
        </w:rPr>
        <w:t xml:space="preserve"> 4.2, 4.4 i 4.8). </w:t>
      </w:r>
    </w:p>
    <w:p w14:paraId="58C01C11" w14:textId="4E4A6BC7" w:rsidR="00C7334E" w:rsidRPr="00780FFB" w:rsidRDefault="00C7334E" w:rsidP="00780FFB">
      <w:pPr>
        <w:pStyle w:val="ListParagraph"/>
        <w:numPr>
          <w:ilvl w:val="0"/>
          <w:numId w:val="29"/>
        </w:numPr>
        <w:tabs>
          <w:tab w:val="clear" w:pos="284"/>
        </w:tabs>
        <w:rPr>
          <w:szCs w:val="22"/>
          <w:lang w:val="sr-Latn-ME"/>
        </w:rPr>
      </w:pPr>
      <w:r w:rsidRPr="00780FFB">
        <w:rPr>
          <w:szCs w:val="22"/>
          <w:lang w:val="sr-Latn-ME"/>
        </w:rPr>
        <w:t>Ljekovi koji stimulišu oslobađanje vazopresina, npr: hlorpropamid, klofibrat, karbamazepin, vinkristin, selektivni inhibitori ponovnog preuzimanja serotonina, 3.4-metilenedioksi-N-metamfetamin, ifosfamid, antipsihotici, narkotici;</w:t>
      </w:r>
    </w:p>
    <w:p w14:paraId="5D01A0B3" w14:textId="24FC67FF" w:rsidR="00C7334E" w:rsidRPr="00780FFB" w:rsidRDefault="00C7334E" w:rsidP="00780FFB">
      <w:pPr>
        <w:pStyle w:val="ListParagraph"/>
        <w:numPr>
          <w:ilvl w:val="0"/>
          <w:numId w:val="29"/>
        </w:numPr>
        <w:tabs>
          <w:tab w:val="clear" w:pos="284"/>
        </w:tabs>
        <w:rPr>
          <w:szCs w:val="22"/>
          <w:lang w:val="sr-Latn-ME"/>
        </w:rPr>
      </w:pPr>
      <w:r w:rsidRPr="00780FFB">
        <w:rPr>
          <w:szCs w:val="22"/>
          <w:lang w:val="sr-Latn-ME"/>
        </w:rPr>
        <w:t>Ljekovi koji potenciraju dejstvo vazopresina, npr: hlorpropamid, NSAIL, ciklofosfamid;</w:t>
      </w:r>
    </w:p>
    <w:p w14:paraId="227EDBC7" w14:textId="66F4FFCE" w:rsidR="00C7334E" w:rsidRPr="00780FFB" w:rsidRDefault="00C7334E" w:rsidP="00780FFB">
      <w:pPr>
        <w:pStyle w:val="ListParagraph"/>
        <w:numPr>
          <w:ilvl w:val="0"/>
          <w:numId w:val="29"/>
        </w:numPr>
        <w:tabs>
          <w:tab w:val="clear" w:pos="284"/>
        </w:tabs>
        <w:rPr>
          <w:szCs w:val="22"/>
          <w:lang w:val="sr-Latn-ME"/>
        </w:rPr>
      </w:pPr>
      <w:r w:rsidRPr="00780FFB">
        <w:rPr>
          <w:szCs w:val="22"/>
          <w:lang w:val="sr-Latn-ME"/>
        </w:rPr>
        <w:t>Analozi vazopresina, npr: dezmopresin, oksitocin, terlipresin.</w:t>
      </w:r>
    </w:p>
    <w:p w14:paraId="769D8943" w14:textId="77777777" w:rsidR="00780FFB" w:rsidRDefault="00780FFB" w:rsidP="004F2B81">
      <w:pPr>
        <w:rPr>
          <w:szCs w:val="22"/>
          <w:lang w:val="sr-Latn-ME"/>
        </w:rPr>
      </w:pPr>
    </w:p>
    <w:p w14:paraId="77C23895" w14:textId="56CFC453" w:rsidR="00C7334E" w:rsidRPr="004F2B81" w:rsidRDefault="00C7334E" w:rsidP="004F2B81">
      <w:pPr>
        <w:rPr>
          <w:szCs w:val="22"/>
          <w:lang w:val="sr-Latn-ME"/>
        </w:rPr>
      </w:pPr>
      <w:r w:rsidRPr="004F2B81">
        <w:rPr>
          <w:szCs w:val="22"/>
          <w:lang w:val="sr-Latn-ME"/>
        </w:rPr>
        <w:lastRenderedPageBreak/>
        <w:t>Drugi ljekovi koji povećavaju rizik od nastanka hiponatr</w:t>
      </w:r>
      <w:r w:rsidR="00057598">
        <w:rPr>
          <w:szCs w:val="22"/>
          <w:lang w:val="sr-Latn-ME"/>
        </w:rPr>
        <w:t>ij</w:t>
      </w:r>
      <w:r w:rsidRPr="004F2B81">
        <w:rPr>
          <w:szCs w:val="22"/>
          <w:lang w:val="sr-Latn-ME"/>
        </w:rPr>
        <w:t>emije takođe generalno uključuju diuretike i antiepileptike kao što je okskarbazepin.</w:t>
      </w:r>
    </w:p>
    <w:p w14:paraId="0AE4561C" w14:textId="77777777" w:rsidR="00D478A5" w:rsidRDefault="00D478A5" w:rsidP="004F2B81">
      <w:pPr>
        <w:pStyle w:val="Header"/>
        <w:tabs>
          <w:tab w:val="clear" w:pos="4536"/>
          <w:tab w:val="clear" w:pos="9072"/>
          <w:tab w:val="left" w:pos="284"/>
        </w:tabs>
        <w:rPr>
          <w:szCs w:val="22"/>
          <w:lang w:val="sr-Latn-ME"/>
        </w:rPr>
      </w:pPr>
    </w:p>
    <w:p w14:paraId="71019D6B" w14:textId="30510C7E" w:rsidR="00C7334E" w:rsidRPr="004F2B81" w:rsidRDefault="00C7334E" w:rsidP="004F2B81">
      <w:pPr>
        <w:pStyle w:val="Header"/>
        <w:tabs>
          <w:tab w:val="clear" w:pos="4536"/>
          <w:tab w:val="clear" w:pos="9072"/>
          <w:tab w:val="left" w:pos="284"/>
        </w:tabs>
        <w:rPr>
          <w:szCs w:val="22"/>
          <w:lang w:val="sr-Latn-ME"/>
        </w:rPr>
      </w:pPr>
      <w:r w:rsidRPr="004F2B81">
        <w:rPr>
          <w:szCs w:val="22"/>
          <w:lang w:val="sr-Latn-ME"/>
        </w:rPr>
        <w:t>Ni</w:t>
      </w:r>
      <w:r w:rsidR="00057598">
        <w:rPr>
          <w:szCs w:val="22"/>
          <w:lang w:val="sr-Latn-ME"/>
        </w:rPr>
        <w:t>je</w:t>
      </w:r>
      <w:r w:rsidRPr="004F2B81">
        <w:rPr>
          <w:szCs w:val="22"/>
          <w:lang w:val="sr-Latn-ME"/>
        </w:rPr>
        <w:t>su vršena ispitivanja interakcija.</w:t>
      </w:r>
    </w:p>
    <w:p w14:paraId="184B8B1A" w14:textId="77777777" w:rsidR="00CE09F3" w:rsidRPr="004F2B81" w:rsidRDefault="00CE09F3" w:rsidP="004F2B81">
      <w:pPr>
        <w:rPr>
          <w:szCs w:val="22"/>
          <w:lang w:val="sr-Latn-ME"/>
        </w:rPr>
      </w:pPr>
    </w:p>
    <w:p w14:paraId="184B8B1B" w14:textId="77777777" w:rsidR="00CE09F3" w:rsidRPr="004F2B81" w:rsidRDefault="00CE09F3" w:rsidP="004F2B81">
      <w:pPr>
        <w:rPr>
          <w:b/>
          <w:bCs/>
          <w:szCs w:val="22"/>
          <w:lang w:val="sr-Latn-ME"/>
        </w:rPr>
      </w:pPr>
      <w:r w:rsidRPr="004F2B81">
        <w:rPr>
          <w:b/>
          <w:bCs/>
          <w:szCs w:val="22"/>
          <w:lang w:val="sr-Latn-ME"/>
        </w:rPr>
        <w:t>4.6. Plodnost, trudnoća i dojenje</w:t>
      </w:r>
    </w:p>
    <w:p w14:paraId="184B8B1C" w14:textId="77777777" w:rsidR="00CE09F3" w:rsidRPr="004F2B81" w:rsidRDefault="00CE09F3" w:rsidP="004F2B81">
      <w:pPr>
        <w:rPr>
          <w:szCs w:val="22"/>
          <w:lang w:val="sr-Latn-ME"/>
        </w:rPr>
      </w:pPr>
    </w:p>
    <w:p w14:paraId="3A1DA666" w14:textId="77777777" w:rsidR="00FA1B74" w:rsidRPr="004F2B81" w:rsidRDefault="00FA1B74" w:rsidP="004F2B81">
      <w:pPr>
        <w:pStyle w:val="Header"/>
        <w:tabs>
          <w:tab w:val="clear" w:pos="4536"/>
          <w:tab w:val="clear" w:pos="9072"/>
          <w:tab w:val="left" w:pos="284"/>
        </w:tabs>
        <w:rPr>
          <w:szCs w:val="22"/>
          <w:lang w:val="sr-Latn-ME"/>
        </w:rPr>
      </w:pPr>
      <w:r w:rsidRPr="004F2B81">
        <w:rPr>
          <w:szCs w:val="22"/>
          <w:lang w:val="sr-Latn-ME"/>
        </w:rPr>
        <w:t xml:space="preserve">Kada se jedan lijek dodaje u drugi, priroda tako dobijenog preparata i primjena tokom trudnoće i dojenja, moraju se razmatrati zasebno za svaki lijek. </w:t>
      </w:r>
    </w:p>
    <w:p w14:paraId="184B8B1E" w14:textId="77777777" w:rsidR="0076523B" w:rsidRPr="004F2B81" w:rsidRDefault="0076523B" w:rsidP="004F2B81">
      <w:pPr>
        <w:pStyle w:val="Header"/>
        <w:tabs>
          <w:tab w:val="clear" w:pos="4536"/>
          <w:tab w:val="clear" w:pos="9072"/>
          <w:tab w:val="left" w:pos="284"/>
        </w:tabs>
        <w:rPr>
          <w:szCs w:val="22"/>
          <w:lang w:val="sr-Latn-ME"/>
        </w:rPr>
      </w:pPr>
    </w:p>
    <w:p w14:paraId="2D47AA22" w14:textId="56CBAB4C" w:rsidR="00193DAF" w:rsidRPr="004F2B81" w:rsidRDefault="00193DAF" w:rsidP="004F2B81">
      <w:pPr>
        <w:pStyle w:val="Header"/>
        <w:tabs>
          <w:tab w:val="clear" w:pos="4536"/>
          <w:tab w:val="clear" w:pos="9072"/>
          <w:tab w:val="left" w:pos="284"/>
        </w:tabs>
        <w:rPr>
          <w:szCs w:val="22"/>
          <w:lang w:val="sr-Latn-ME"/>
        </w:rPr>
      </w:pPr>
      <w:r w:rsidRPr="004F2B81">
        <w:rPr>
          <w:szCs w:val="22"/>
          <w:lang w:val="sr-Latn-ME"/>
        </w:rPr>
        <w:t xml:space="preserve">Intravensko davanje rastvora glukoze porodilji tokom porođaja, može da dovede do lučenja insulina kod fetusa, što nosi rizik </w:t>
      </w:r>
      <w:r w:rsidR="00057598">
        <w:rPr>
          <w:szCs w:val="22"/>
          <w:lang w:val="sr-Latn-ME"/>
        </w:rPr>
        <w:t>od</w:t>
      </w:r>
      <w:r w:rsidRPr="004F2B81">
        <w:rPr>
          <w:szCs w:val="22"/>
          <w:lang w:val="sr-Latn-ME"/>
        </w:rPr>
        <w:t xml:space="preserve"> pojav</w:t>
      </w:r>
      <w:r w:rsidR="00057598">
        <w:rPr>
          <w:szCs w:val="22"/>
          <w:lang w:val="sr-Latn-ME"/>
        </w:rPr>
        <w:t>e</w:t>
      </w:r>
      <w:r w:rsidRPr="004F2B81">
        <w:rPr>
          <w:szCs w:val="22"/>
          <w:lang w:val="sr-Latn-ME"/>
        </w:rPr>
        <w:t xml:space="preserve"> fetalne hiperglikemije i metaboličke acidoze, kao i </w:t>
      </w:r>
      <w:r w:rsidRPr="004F2B81">
        <w:rPr>
          <w:i/>
          <w:szCs w:val="22"/>
          <w:lang w:val="sr-Latn-ME"/>
        </w:rPr>
        <w:t xml:space="preserve">rebound </w:t>
      </w:r>
      <w:r w:rsidRPr="004F2B81">
        <w:rPr>
          <w:szCs w:val="22"/>
          <w:lang w:val="sr-Latn-ME"/>
        </w:rPr>
        <w:t xml:space="preserve">hipoglikemije kod novorođenčeta. </w:t>
      </w:r>
    </w:p>
    <w:p w14:paraId="3156B192" w14:textId="77777777" w:rsidR="00193DAF" w:rsidRPr="004F2B81" w:rsidRDefault="00193DAF" w:rsidP="004F2B81">
      <w:pPr>
        <w:pStyle w:val="Header"/>
        <w:tabs>
          <w:tab w:val="clear" w:pos="4536"/>
          <w:tab w:val="clear" w:pos="9072"/>
          <w:tab w:val="left" w:pos="284"/>
        </w:tabs>
        <w:rPr>
          <w:szCs w:val="22"/>
          <w:lang w:val="sr-Latn-ME"/>
        </w:rPr>
      </w:pPr>
    </w:p>
    <w:p w14:paraId="1DAB36B3" w14:textId="77777777" w:rsidR="00472B84" w:rsidRPr="004F2B81" w:rsidRDefault="00472B84" w:rsidP="00472B84">
      <w:pPr>
        <w:pStyle w:val="Header"/>
        <w:tabs>
          <w:tab w:val="clear" w:pos="4536"/>
          <w:tab w:val="clear" w:pos="9072"/>
          <w:tab w:val="left" w:pos="284"/>
        </w:tabs>
        <w:rPr>
          <w:bCs/>
          <w:i/>
          <w:iCs/>
          <w:szCs w:val="22"/>
          <w:lang w:val="sr-Latn-ME"/>
        </w:rPr>
      </w:pPr>
      <w:r w:rsidRPr="004F2B81">
        <w:rPr>
          <w:bCs/>
          <w:i/>
          <w:iCs/>
          <w:szCs w:val="22"/>
          <w:lang w:val="sr-Latn-ME"/>
        </w:rPr>
        <w:t>Plodnost</w:t>
      </w:r>
    </w:p>
    <w:p w14:paraId="4C5E4300" w14:textId="77777777" w:rsidR="00472B84" w:rsidRPr="004F2B81" w:rsidRDefault="00472B84" w:rsidP="00472B84">
      <w:pPr>
        <w:pStyle w:val="Header"/>
        <w:tabs>
          <w:tab w:val="clear" w:pos="4536"/>
          <w:tab w:val="clear" w:pos="9072"/>
          <w:tab w:val="left" w:pos="284"/>
        </w:tabs>
        <w:rPr>
          <w:szCs w:val="22"/>
          <w:lang w:val="sr-Latn-ME"/>
        </w:rPr>
      </w:pPr>
      <w:r w:rsidRPr="004F2B81">
        <w:rPr>
          <w:szCs w:val="22"/>
          <w:lang w:val="sr-Latn-ME"/>
        </w:rPr>
        <w:t xml:space="preserve">Nema adekvatnih podataka koji bi se odnosili na uticaj rastvora glukoze na plodnost. Međutim, ne očekuje se bilo kakav uticaj na plodnost. </w:t>
      </w:r>
    </w:p>
    <w:p w14:paraId="573D25E6" w14:textId="77777777" w:rsidR="00472B84" w:rsidRPr="004F2B81" w:rsidRDefault="00472B84" w:rsidP="00472B84">
      <w:pPr>
        <w:pStyle w:val="Header"/>
        <w:tabs>
          <w:tab w:val="clear" w:pos="4536"/>
          <w:tab w:val="clear" w:pos="9072"/>
          <w:tab w:val="left" w:pos="284"/>
        </w:tabs>
        <w:rPr>
          <w:szCs w:val="22"/>
          <w:lang w:val="sr-Latn-ME"/>
        </w:rPr>
      </w:pPr>
    </w:p>
    <w:p w14:paraId="65E6F1FF" w14:textId="77777777" w:rsidR="00193DAF" w:rsidRPr="004F2B81" w:rsidRDefault="00193DAF" w:rsidP="004F2B81">
      <w:pPr>
        <w:pStyle w:val="Header"/>
        <w:tabs>
          <w:tab w:val="clear" w:pos="4536"/>
          <w:tab w:val="clear" w:pos="9072"/>
          <w:tab w:val="left" w:pos="284"/>
        </w:tabs>
        <w:rPr>
          <w:bCs/>
          <w:i/>
          <w:iCs/>
          <w:szCs w:val="22"/>
          <w:lang w:val="sr-Latn-ME"/>
        </w:rPr>
      </w:pPr>
      <w:r w:rsidRPr="004F2B81">
        <w:rPr>
          <w:bCs/>
          <w:i/>
          <w:iCs/>
          <w:szCs w:val="22"/>
          <w:lang w:val="sr-Latn-ME"/>
        </w:rPr>
        <w:t>Trudnoća</w:t>
      </w:r>
    </w:p>
    <w:p w14:paraId="67DEBA2C" w14:textId="6BC6BA72" w:rsidR="00193DAF" w:rsidRPr="004F2B81" w:rsidRDefault="00193DAF" w:rsidP="004F2B81">
      <w:pPr>
        <w:pStyle w:val="Header"/>
        <w:tabs>
          <w:tab w:val="clear" w:pos="4536"/>
          <w:tab w:val="clear" w:pos="9072"/>
          <w:tab w:val="left" w:pos="284"/>
        </w:tabs>
        <w:rPr>
          <w:szCs w:val="22"/>
          <w:lang w:val="sr-Latn-ME"/>
        </w:rPr>
      </w:pPr>
      <w:r w:rsidRPr="004F2B81">
        <w:rPr>
          <w:szCs w:val="22"/>
          <w:lang w:val="sr-Latn-ME"/>
        </w:rPr>
        <w:t xml:space="preserve">Rastvor glukoze se može </w:t>
      </w:r>
      <w:r w:rsidR="00E70330" w:rsidRPr="004F2B81">
        <w:rPr>
          <w:szCs w:val="22"/>
          <w:lang w:val="sr-Latn-ME"/>
        </w:rPr>
        <w:t>primjenjivati</w:t>
      </w:r>
      <w:r w:rsidRPr="004F2B81">
        <w:rPr>
          <w:szCs w:val="22"/>
          <w:lang w:val="sr-Latn-ME"/>
        </w:rPr>
        <w:t xml:space="preserve"> tokom trudnoće. Međutim, treba biti oprezan prilikom primjene ovog rastvora u toku porođaja. </w:t>
      </w:r>
    </w:p>
    <w:p w14:paraId="66991175" w14:textId="77777777" w:rsidR="00193DAF" w:rsidRPr="004F2B81" w:rsidRDefault="00193DAF" w:rsidP="004F2B81">
      <w:pPr>
        <w:pStyle w:val="Header"/>
        <w:tabs>
          <w:tab w:val="clear" w:pos="4536"/>
          <w:tab w:val="clear" w:pos="9072"/>
          <w:tab w:val="left" w:pos="284"/>
        </w:tabs>
        <w:rPr>
          <w:szCs w:val="22"/>
          <w:lang w:val="sr-Latn-ME"/>
        </w:rPr>
      </w:pPr>
    </w:p>
    <w:p w14:paraId="193FAFCA" w14:textId="5E776942" w:rsidR="00193DAF" w:rsidRPr="004F2B81" w:rsidRDefault="00193DAF" w:rsidP="004F2B81">
      <w:pPr>
        <w:pStyle w:val="Header"/>
        <w:tabs>
          <w:tab w:val="clear" w:pos="4536"/>
          <w:tab w:val="clear" w:pos="9072"/>
          <w:tab w:val="left" w:pos="284"/>
        </w:tabs>
        <w:rPr>
          <w:szCs w:val="22"/>
          <w:lang w:val="sr-Latn-ME"/>
        </w:rPr>
      </w:pPr>
      <w:r w:rsidRPr="004F2B81">
        <w:rPr>
          <w:szCs w:val="22"/>
          <w:lang w:val="sr-Latn-ME"/>
        </w:rPr>
        <w:t>Lijek Glucosi infundibile</w:t>
      </w:r>
      <w:r w:rsidR="00A851AF">
        <w:rPr>
          <w:szCs w:val="22"/>
          <w:lang w:val="sr-Latn-ME"/>
        </w:rPr>
        <w:t xml:space="preserve"> HF</w:t>
      </w:r>
      <w:r w:rsidR="008E3D7F" w:rsidRPr="004F2B81">
        <w:rPr>
          <w:szCs w:val="22"/>
          <w:lang w:val="sr-Latn-ME"/>
        </w:rPr>
        <w:t>,</w:t>
      </w:r>
      <w:r w:rsidRPr="004F2B81">
        <w:rPr>
          <w:szCs w:val="22"/>
          <w:lang w:val="sr-Latn-ME"/>
        </w:rPr>
        <w:t xml:space="preserve"> </w:t>
      </w:r>
      <w:r w:rsidR="008E3D7F" w:rsidRPr="004F2B81">
        <w:rPr>
          <w:szCs w:val="22"/>
          <w:lang w:val="sr-Latn-ME"/>
        </w:rPr>
        <w:t>5</w:t>
      </w:r>
      <w:r w:rsidRPr="004F2B81">
        <w:rPr>
          <w:szCs w:val="22"/>
          <w:lang w:val="sr-Latn-ME"/>
        </w:rPr>
        <w:t xml:space="preserve">% treba </w:t>
      </w:r>
      <w:r w:rsidR="00E70330" w:rsidRPr="004F2B81">
        <w:rPr>
          <w:szCs w:val="22"/>
          <w:lang w:val="sr-Latn-ME"/>
        </w:rPr>
        <w:t>primjenjivati</w:t>
      </w:r>
      <w:r w:rsidRPr="004F2B81">
        <w:rPr>
          <w:szCs w:val="22"/>
          <w:lang w:val="sr-Latn-ME"/>
        </w:rPr>
        <w:t xml:space="preserve"> sa posebnim oprezom trudnicama tokom porođaja, posebno ukoliko se </w:t>
      </w:r>
      <w:r w:rsidR="00D9017F" w:rsidRPr="004F2B81">
        <w:rPr>
          <w:szCs w:val="22"/>
          <w:lang w:val="sr-Latn-ME"/>
        </w:rPr>
        <w:t>primjenjuje</w:t>
      </w:r>
      <w:r w:rsidRPr="004F2B81">
        <w:rPr>
          <w:szCs w:val="22"/>
          <w:lang w:val="sr-Latn-ME"/>
        </w:rPr>
        <w:t xml:space="preserve"> u kombinaciji sa oksitocinom zbog rizika od hiponatr</w:t>
      </w:r>
      <w:r w:rsidR="00057598">
        <w:rPr>
          <w:szCs w:val="22"/>
          <w:lang w:val="sr-Latn-ME"/>
        </w:rPr>
        <w:t>ij</w:t>
      </w:r>
      <w:r w:rsidRPr="004F2B81">
        <w:rPr>
          <w:szCs w:val="22"/>
          <w:lang w:val="sr-Latn-ME"/>
        </w:rPr>
        <w:t>emije (</w:t>
      </w:r>
      <w:r w:rsidR="00057598">
        <w:rPr>
          <w:szCs w:val="22"/>
          <w:lang w:val="sr-Latn-ME"/>
        </w:rPr>
        <w:t xml:space="preserve">vidjeti </w:t>
      </w:r>
      <w:r w:rsidR="00A36E26" w:rsidRPr="004F2B81">
        <w:rPr>
          <w:szCs w:val="22"/>
          <w:lang w:val="sr-Latn-ME"/>
        </w:rPr>
        <w:t>djelove</w:t>
      </w:r>
      <w:r w:rsidRPr="004F2B81">
        <w:rPr>
          <w:szCs w:val="22"/>
          <w:lang w:val="sr-Latn-ME"/>
        </w:rPr>
        <w:t xml:space="preserve"> 4.4, 4.5 i 4.8).</w:t>
      </w:r>
    </w:p>
    <w:p w14:paraId="3B479CA5" w14:textId="77777777" w:rsidR="00193DAF" w:rsidRPr="004F2B81" w:rsidRDefault="00193DAF" w:rsidP="004F2B81">
      <w:pPr>
        <w:pStyle w:val="Header"/>
        <w:tabs>
          <w:tab w:val="clear" w:pos="4536"/>
          <w:tab w:val="clear" w:pos="9072"/>
          <w:tab w:val="left" w:pos="284"/>
        </w:tabs>
        <w:rPr>
          <w:szCs w:val="22"/>
          <w:lang w:val="sr-Latn-ME"/>
        </w:rPr>
      </w:pPr>
    </w:p>
    <w:p w14:paraId="253F73F7" w14:textId="77777777" w:rsidR="00193DAF" w:rsidRPr="004F2B81" w:rsidRDefault="00193DAF" w:rsidP="004F2B81">
      <w:pPr>
        <w:pStyle w:val="Header"/>
        <w:tabs>
          <w:tab w:val="clear" w:pos="4536"/>
          <w:tab w:val="clear" w:pos="9072"/>
          <w:tab w:val="left" w:pos="284"/>
        </w:tabs>
        <w:rPr>
          <w:bCs/>
          <w:i/>
          <w:iCs/>
          <w:szCs w:val="22"/>
          <w:lang w:val="sr-Latn-ME"/>
        </w:rPr>
      </w:pPr>
      <w:r w:rsidRPr="004F2B81">
        <w:rPr>
          <w:bCs/>
          <w:i/>
          <w:iCs/>
          <w:szCs w:val="22"/>
          <w:lang w:val="sr-Latn-ME"/>
        </w:rPr>
        <w:t>Dojenje</w:t>
      </w:r>
    </w:p>
    <w:p w14:paraId="0E508AB9" w14:textId="0FAFE7B6" w:rsidR="00193DAF" w:rsidRPr="004F2B81" w:rsidRDefault="00193DAF" w:rsidP="004F2B81">
      <w:pPr>
        <w:pStyle w:val="Header"/>
        <w:tabs>
          <w:tab w:val="clear" w:pos="4536"/>
          <w:tab w:val="clear" w:pos="9072"/>
          <w:tab w:val="left" w:pos="284"/>
        </w:tabs>
        <w:rPr>
          <w:szCs w:val="22"/>
          <w:lang w:val="sr-Latn-ME"/>
        </w:rPr>
      </w:pPr>
      <w:r w:rsidRPr="004F2B81">
        <w:rPr>
          <w:szCs w:val="22"/>
          <w:lang w:val="sr-Latn-ME"/>
        </w:rPr>
        <w:t xml:space="preserve">Ne postoje adekvatni podaci o primjeni rastvora glukoze tokom perioda dojenja. Međutim, ne očekuje se bilo kakav efekat na dojenje. Rastvor glukoze </w:t>
      </w:r>
      <w:r w:rsidR="00472B84">
        <w:rPr>
          <w:szCs w:val="22"/>
          <w:lang w:val="sr-Latn-ME"/>
        </w:rPr>
        <w:t>5</w:t>
      </w:r>
      <w:r w:rsidRPr="004F2B81">
        <w:rPr>
          <w:szCs w:val="22"/>
          <w:lang w:val="sr-Latn-ME"/>
        </w:rPr>
        <w:t xml:space="preserve">%, može se </w:t>
      </w:r>
      <w:r w:rsidR="00E70330" w:rsidRPr="004F2B81">
        <w:rPr>
          <w:szCs w:val="22"/>
          <w:lang w:val="sr-Latn-ME"/>
        </w:rPr>
        <w:t>primjenjivati</w:t>
      </w:r>
      <w:r w:rsidRPr="004F2B81">
        <w:rPr>
          <w:szCs w:val="22"/>
          <w:lang w:val="sr-Latn-ME"/>
        </w:rPr>
        <w:t xml:space="preserve"> u periodu dojenja. </w:t>
      </w:r>
    </w:p>
    <w:p w14:paraId="184B8B29" w14:textId="77777777" w:rsidR="0076523B" w:rsidRPr="004F2B81" w:rsidRDefault="0076523B" w:rsidP="004F2B81">
      <w:pPr>
        <w:rPr>
          <w:szCs w:val="22"/>
          <w:lang w:val="sr-Latn-ME"/>
        </w:rPr>
      </w:pPr>
    </w:p>
    <w:p w14:paraId="184B8B2A" w14:textId="02C43A3A" w:rsidR="00CE09F3" w:rsidRPr="004F2B81" w:rsidRDefault="00CE09F3" w:rsidP="004F2B81">
      <w:pPr>
        <w:rPr>
          <w:b/>
          <w:bCs/>
          <w:szCs w:val="22"/>
          <w:lang w:val="sr-Latn-ME"/>
        </w:rPr>
      </w:pPr>
      <w:r w:rsidRPr="004F2B81">
        <w:rPr>
          <w:b/>
          <w:bCs/>
          <w:szCs w:val="22"/>
          <w:lang w:val="sr-Latn-ME"/>
        </w:rPr>
        <w:t>4.7. Uticaj l</w:t>
      </w:r>
      <w:r w:rsidR="00E70330" w:rsidRPr="004F2B81">
        <w:rPr>
          <w:b/>
          <w:bCs/>
          <w:szCs w:val="22"/>
          <w:lang w:val="sr-Latn-ME"/>
        </w:rPr>
        <w:t>ij</w:t>
      </w:r>
      <w:r w:rsidRPr="004F2B81">
        <w:rPr>
          <w:b/>
          <w:bCs/>
          <w:szCs w:val="22"/>
          <w:lang w:val="sr-Latn-ME"/>
        </w:rPr>
        <w:t>eka na sposobnost upravljanja vozilima i rukovanja mašinama</w:t>
      </w:r>
    </w:p>
    <w:p w14:paraId="184B8B2B" w14:textId="77777777" w:rsidR="00CE09F3" w:rsidRPr="004F2B81" w:rsidRDefault="00CE09F3" w:rsidP="004F2B81">
      <w:pPr>
        <w:rPr>
          <w:szCs w:val="22"/>
          <w:lang w:val="sr-Latn-ME"/>
        </w:rPr>
      </w:pPr>
    </w:p>
    <w:p w14:paraId="184B8B2C" w14:textId="77777777" w:rsidR="0076523B" w:rsidRPr="004F2B81" w:rsidRDefault="001D30A4" w:rsidP="004F2B81">
      <w:pPr>
        <w:rPr>
          <w:szCs w:val="22"/>
          <w:lang w:val="sr-Latn-ME"/>
        </w:rPr>
      </w:pPr>
      <w:r w:rsidRPr="004F2B81">
        <w:rPr>
          <w:szCs w:val="22"/>
          <w:lang w:val="sr-Latn-ME"/>
        </w:rPr>
        <w:t>Nije poznat</w:t>
      </w:r>
      <w:r w:rsidR="0076523B" w:rsidRPr="004F2B81">
        <w:rPr>
          <w:szCs w:val="22"/>
          <w:lang w:val="sr-Latn-ME"/>
        </w:rPr>
        <w:t>.</w:t>
      </w:r>
    </w:p>
    <w:p w14:paraId="184B8B2D" w14:textId="77777777" w:rsidR="00CE09F3" w:rsidRPr="004F2B81" w:rsidRDefault="00CE09F3" w:rsidP="004F2B81">
      <w:pPr>
        <w:rPr>
          <w:szCs w:val="22"/>
          <w:lang w:val="sr-Latn-ME"/>
        </w:rPr>
      </w:pPr>
    </w:p>
    <w:p w14:paraId="184B8B2E" w14:textId="77777777" w:rsidR="00CE09F3" w:rsidRPr="004F2B81" w:rsidRDefault="00CE09F3" w:rsidP="004F2B81">
      <w:pPr>
        <w:rPr>
          <w:b/>
          <w:bCs/>
          <w:szCs w:val="22"/>
          <w:lang w:val="sr-Latn-ME"/>
        </w:rPr>
      </w:pPr>
      <w:r w:rsidRPr="004F2B81">
        <w:rPr>
          <w:b/>
          <w:bCs/>
          <w:szCs w:val="22"/>
          <w:lang w:val="sr-Latn-ME"/>
        </w:rPr>
        <w:t>4.8. Neželjena dejstva</w:t>
      </w:r>
    </w:p>
    <w:p w14:paraId="184B8B2F" w14:textId="77777777" w:rsidR="00CE09F3" w:rsidRPr="004F2B81" w:rsidRDefault="00CE09F3" w:rsidP="004F2B81">
      <w:pPr>
        <w:rPr>
          <w:noProof/>
          <w:szCs w:val="22"/>
          <w:u w:val="single"/>
          <w:lang w:val="sr-Latn-ME"/>
        </w:rPr>
      </w:pPr>
    </w:p>
    <w:p w14:paraId="608CCD5B" w14:textId="57C70FE0" w:rsidR="00514F22" w:rsidRPr="004F2B81" w:rsidRDefault="00514F22" w:rsidP="004F2B81">
      <w:pPr>
        <w:autoSpaceDE w:val="0"/>
        <w:autoSpaceDN w:val="0"/>
        <w:adjustRightInd w:val="0"/>
        <w:rPr>
          <w:szCs w:val="22"/>
          <w:lang w:val="sr-Latn-ME"/>
        </w:rPr>
      </w:pPr>
      <w:r w:rsidRPr="004F2B81">
        <w:rPr>
          <w:szCs w:val="22"/>
          <w:lang w:val="sr-Latn-ME"/>
        </w:rPr>
        <w:t xml:space="preserve">Neželjena dejstva koja su se tokom postmarketinškog praćenja javljala kod pacijenata kod kojih je primijenjena glukoza 5%, rastvor za infuziju, navedena su u donjoj tabeli prema MedDRA klasifikaciji sistema organa i prema kriterijumu opadajuće težine. </w:t>
      </w:r>
    </w:p>
    <w:p w14:paraId="14AF0EDB" w14:textId="77777777" w:rsidR="00514F22" w:rsidRPr="004F2B81" w:rsidRDefault="00514F22" w:rsidP="004F2B81">
      <w:pPr>
        <w:autoSpaceDE w:val="0"/>
        <w:autoSpaceDN w:val="0"/>
        <w:adjustRightInd w:val="0"/>
        <w:rPr>
          <w:szCs w:val="22"/>
          <w:lang w:val="sr-Latn-ME"/>
        </w:rPr>
      </w:pPr>
    </w:p>
    <w:p w14:paraId="1AD9962B" w14:textId="636A3CE5" w:rsidR="00514F22" w:rsidRPr="004F2B81" w:rsidRDefault="00514F22" w:rsidP="004F2B81">
      <w:pPr>
        <w:rPr>
          <w:szCs w:val="22"/>
          <w:lang w:val="sr-Latn-ME"/>
        </w:rPr>
      </w:pPr>
      <w:r w:rsidRPr="004F2B81">
        <w:rPr>
          <w:szCs w:val="22"/>
          <w:lang w:val="sr-Latn-ME"/>
        </w:rPr>
        <w:t>Neželjena dejstva su rangirana prema organskom sistemu i učestalosti javljanja na sl</w:t>
      </w:r>
      <w:r w:rsidR="00057598">
        <w:rPr>
          <w:szCs w:val="22"/>
          <w:lang w:val="sr-Latn-ME"/>
        </w:rPr>
        <w:t>j</w:t>
      </w:r>
      <w:r w:rsidRPr="004F2B81">
        <w:rPr>
          <w:szCs w:val="22"/>
          <w:lang w:val="sr-Latn-ME"/>
        </w:rPr>
        <w:t>edeći način: veoma česta (≥</w:t>
      </w:r>
      <w:r w:rsidR="00057598">
        <w:rPr>
          <w:szCs w:val="22"/>
          <w:lang w:val="sr-Latn-ME"/>
        </w:rPr>
        <w:t xml:space="preserve"> </w:t>
      </w:r>
      <w:r w:rsidRPr="004F2B81">
        <w:rPr>
          <w:szCs w:val="22"/>
          <w:lang w:val="sr-Latn-ME"/>
        </w:rPr>
        <w:t>1/10), česta (≥</w:t>
      </w:r>
      <w:r w:rsidR="00057598">
        <w:rPr>
          <w:szCs w:val="22"/>
          <w:lang w:val="sr-Latn-ME"/>
        </w:rPr>
        <w:t xml:space="preserve"> </w:t>
      </w:r>
      <w:r w:rsidRPr="004F2B81">
        <w:rPr>
          <w:szCs w:val="22"/>
          <w:lang w:val="sr-Latn-ME"/>
        </w:rPr>
        <w:t>1/100 i &lt;</w:t>
      </w:r>
      <w:r w:rsidR="00057598">
        <w:rPr>
          <w:szCs w:val="22"/>
          <w:lang w:val="sr-Latn-ME"/>
        </w:rPr>
        <w:t xml:space="preserve"> </w:t>
      </w:r>
      <w:r w:rsidRPr="004F2B81">
        <w:rPr>
          <w:szCs w:val="22"/>
          <w:lang w:val="sr-Latn-ME"/>
        </w:rPr>
        <w:t>1/10), povremena (≥</w:t>
      </w:r>
      <w:r w:rsidR="00057598">
        <w:rPr>
          <w:szCs w:val="22"/>
          <w:lang w:val="sr-Latn-ME"/>
        </w:rPr>
        <w:t xml:space="preserve"> </w:t>
      </w:r>
      <w:r w:rsidRPr="004F2B81">
        <w:rPr>
          <w:szCs w:val="22"/>
          <w:lang w:val="sr-Latn-ME"/>
        </w:rPr>
        <w:t>1/1000 i &lt;</w:t>
      </w:r>
      <w:r w:rsidR="00057598">
        <w:rPr>
          <w:szCs w:val="22"/>
          <w:lang w:val="sr-Latn-ME"/>
        </w:rPr>
        <w:t xml:space="preserve"> </w:t>
      </w:r>
      <w:r w:rsidRPr="004F2B81">
        <w:rPr>
          <w:szCs w:val="22"/>
          <w:lang w:val="sr-Latn-ME"/>
        </w:rPr>
        <w:t>1/100), rijetka (≥</w:t>
      </w:r>
      <w:r w:rsidR="00057598">
        <w:rPr>
          <w:szCs w:val="22"/>
          <w:lang w:val="sr-Latn-ME"/>
        </w:rPr>
        <w:t xml:space="preserve"> </w:t>
      </w:r>
      <w:r w:rsidRPr="004F2B81">
        <w:rPr>
          <w:szCs w:val="22"/>
          <w:lang w:val="sr-Latn-ME"/>
        </w:rPr>
        <w:t>1/10 000 i &lt;</w:t>
      </w:r>
      <w:r w:rsidR="00057598">
        <w:rPr>
          <w:szCs w:val="22"/>
          <w:lang w:val="sr-Latn-ME"/>
        </w:rPr>
        <w:t xml:space="preserve"> </w:t>
      </w:r>
      <w:r w:rsidRPr="004F2B81">
        <w:rPr>
          <w:szCs w:val="22"/>
          <w:lang w:val="sr-Latn-ME"/>
        </w:rPr>
        <w:t>1/1000), veoma rijetka (&lt;</w:t>
      </w:r>
      <w:r w:rsidR="00057598">
        <w:rPr>
          <w:szCs w:val="22"/>
          <w:lang w:val="sr-Latn-ME"/>
        </w:rPr>
        <w:t xml:space="preserve"> </w:t>
      </w:r>
      <w:r w:rsidRPr="004F2B81">
        <w:rPr>
          <w:szCs w:val="22"/>
          <w:lang w:val="sr-Latn-ME"/>
        </w:rPr>
        <w:t xml:space="preserve">1/10 000) i neželjena dejstva čija učestalost nije poznata (ne može da se procijeni na osnovu raspoloživih podataka). </w:t>
      </w:r>
    </w:p>
    <w:p w14:paraId="184B8B33" w14:textId="77777777" w:rsidR="0076523B" w:rsidRPr="004F2B81" w:rsidRDefault="0076523B" w:rsidP="004F2B81">
      <w:pPr>
        <w:autoSpaceDE w:val="0"/>
        <w:autoSpaceDN w:val="0"/>
        <w:adjustRightInd w:val="0"/>
        <w:rPr>
          <w:noProof/>
          <w:szCs w:val="22"/>
          <w:lang w:val="sr-Latn-ME"/>
        </w:rPr>
      </w:pPr>
    </w:p>
    <w:p w14:paraId="6F96E944" w14:textId="0F7A84FF" w:rsidR="00472B84" w:rsidRPr="004F2B81" w:rsidRDefault="0063676A" w:rsidP="00E90FF7">
      <w:pPr>
        <w:autoSpaceDE w:val="0"/>
        <w:autoSpaceDN w:val="0"/>
        <w:adjustRightInd w:val="0"/>
        <w:jc w:val="center"/>
        <w:rPr>
          <w:b/>
          <w:noProof/>
          <w:szCs w:val="22"/>
          <w:lang w:val="sr-Latn-ME"/>
        </w:rPr>
      </w:pPr>
      <w:r w:rsidRPr="004F2B81">
        <w:rPr>
          <w:b/>
          <w:noProof/>
          <w:szCs w:val="22"/>
          <w:lang w:val="sr-Latn-ME"/>
        </w:rPr>
        <w:t xml:space="preserve">Tabela 1. </w:t>
      </w:r>
      <w:r w:rsidR="0076523B" w:rsidRPr="004F2B81">
        <w:rPr>
          <w:b/>
          <w:noProof/>
          <w:szCs w:val="22"/>
          <w:lang w:val="sr-Latn-ME"/>
        </w:rPr>
        <w:t>Lista neželjenih reakcija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414"/>
        <w:gridCol w:w="4505"/>
        <w:gridCol w:w="1142"/>
      </w:tblGrid>
      <w:tr w:rsidR="004A3080" w:rsidRPr="00472B84" w14:paraId="2F1ED73D" w14:textId="77777777" w:rsidTr="00737A70">
        <w:trPr>
          <w:trHeight w:val="20"/>
        </w:trPr>
        <w:tc>
          <w:tcPr>
            <w:tcW w:w="1884" w:type="pct"/>
            <w:shd w:val="clear" w:color="auto" w:fill="auto"/>
            <w:vAlign w:val="center"/>
          </w:tcPr>
          <w:p w14:paraId="7CA65937" w14:textId="11DC9113" w:rsidR="004A3080" w:rsidRPr="002165C7" w:rsidRDefault="004A3080" w:rsidP="00E90FF7">
            <w:pPr>
              <w:autoSpaceDE w:val="0"/>
              <w:autoSpaceDN w:val="0"/>
              <w:adjustRightInd w:val="0"/>
              <w:jc w:val="center"/>
              <w:rPr>
                <w:i/>
                <w:szCs w:val="20"/>
                <w:lang w:val="sr-Latn-ME"/>
              </w:rPr>
            </w:pPr>
            <w:r w:rsidRPr="002165C7">
              <w:rPr>
                <w:i/>
                <w:szCs w:val="20"/>
                <w:lang w:val="sr-Latn-ME"/>
              </w:rPr>
              <w:t>MedDRA klasifikacija sistema organa</w:t>
            </w:r>
          </w:p>
        </w:tc>
        <w:tc>
          <w:tcPr>
            <w:tcW w:w="2486" w:type="pct"/>
            <w:shd w:val="clear" w:color="auto" w:fill="auto"/>
            <w:vAlign w:val="center"/>
          </w:tcPr>
          <w:p w14:paraId="14B98B3E" w14:textId="55B642F8" w:rsidR="004A3080" w:rsidRPr="002165C7" w:rsidRDefault="004A3080" w:rsidP="00E90FF7">
            <w:pPr>
              <w:autoSpaceDE w:val="0"/>
              <w:autoSpaceDN w:val="0"/>
              <w:adjustRightInd w:val="0"/>
              <w:jc w:val="center"/>
              <w:rPr>
                <w:i/>
                <w:szCs w:val="20"/>
                <w:lang w:val="sr-Latn-ME"/>
              </w:rPr>
            </w:pPr>
            <w:r w:rsidRPr="002165C7">
              <w:rPr>
                <w:i/>
                <w:szCs w:val="20"/>
                <w:lang w:val="sr-Latn-ME"/>
              </w:rPr>
              <w:t>Neželjene reakcije</w:t>
            </w:r>
          </w:p>
        </w:tc>
        <w:tc>
          <w:tcPr>
            <w:tcW w:w="630" w:type="pct"/>
            <w:shd w:val="clear" w:color="auto" w:fill="auto"/>
            <w:vAlign w:val="center"/>
          </w:tcPr>
          <w:p w14:paraId="2D1F9188" w14:textId="77777777" w:rsidR="004A3080" w:rsidRPr="002165C7" w:rsidRDefault="004A3080" w:rsidP="00E90FF7">
            <w:pPr>
              <w:autoSpaceDE w:val="0"/>
              <w:autoSpaceDN w:val="0"/>
              <w:adjustRightInd w:val="0"/>
              <w:jc w:val="center"/>
              <w:rPr>
                <w:i/>
                <w:szCs w:val="20"/>
                <w:lang w:val="sr-Latn-ME"/>
              </w:rPr>
            </w:pPr>
            <w:r w:rsidRPr="002165C7">
              <w:rPr>
                <w:i/>
                <w:szCs w:val="20"/>
                <w:lang w:val="sr-Latn-ME"/>
              </w:rPr>
              <w:t>Učestalost</w:t>
            </w:r>
          </w:p>
        </w:tc>
      </w:tr>
      <w:tr w:rsidR="004A3080" w:rsidRPr="00472B84" w14:paraId="1BDF8357" w14:textId="77777777" w:rsidTr="00737A70">
        <w:trPr>
          <w:trHeight w:val="20"/>
        </w:trPr>
        <w:tc>
          <w:tcPr>
            <w:tcW w:w="1884" w:type="pct"/>
            <w:shd w:val="clear" w:color="auto" w:fill="auto"/>
            <w:vAlign w:val="center"/>
          </w:tcPr>
          <w:p w14:paraId="4D3407EA" w14:textId="77777777" w:rsidR="004A3080" w:rsidRPr="002165C7" w:rsidRDefault="004A3080" w:rsidP="004F2B81">
            <w:pPr>
              <w:autoSpaceDE w:val="0"/>
              <w:autoSpaceDN w:val="0"/>
              <w:adjustRightInd w:val="0"/>
              <w:jc w:val="left"/>
              <w:rPr>
                <w:szCs w:val="20"/>
                <w:lang w:val="sr-Latn-ME"/>
              </w:rPr>
            </w:pPr>
            <w:r w:rsidRPr="002165C7">
              <w:rPr>
                <w:szCs w:val="20"/>
                <w:lang w:val="sr-Latn-ME"/>
              </w:rPr>
              <w:t>Poremećaji imunskog sistema</w:t>
            </w:r>
          </w:p>
        </w:tc>
        <w:tc>
          <w:tcPr>
            <w:tcW w:w="2486" w:type="pct"/>
            <w:shd w:val="clear" w:color="auto" w:fill="auto"/>
            <w:vAlign w:val="center"/>
          </w:tcPr>
          <w:p w14:paraId="60208428" w14:textId="7C46959F" w:rsidR="004A3080" w:rsidRPr="002165C7" w:rsidRDefault="004A3080" w:rsidP="004F2B81">
            <w:pPr>
              <w:autoSpaceDE w:val="0"/>
              <w:autoSpaceDN w:val="0"/>
              <w:adjustRightInd w:val="0"/>
              <w:jc w:val="left"/>
              <w:rPr>
                <w:szCs w:val="20"/>
                <w:lang w:val="sr-Latn-ME"/>
              </w:rPr>
            </w:pPr>
            <w:r w:rsidRPr="002165C7">
              <w:rPr>
                <w:szCs w:val="20"/>
                <w:lang w:val="sr-Latn-ME"/>
              </w:rPr>
              <w:t>Anafilaktička reakcija*</w:t>
            </w:r>
          </w:p>
          <w:p w14:paraId="5A7ADECD" w14:textId="3AE6E0E2" w:rsidR="004A3080" w:rsidRPr="002165C7" w:rsidRDefault="004A3080" w:rsidP="004F2B81">
            <w:pPr>
              <w:autoSpaceDE w:val="0"/>
              <w:autoSpaceDN w:val="0"/>
              <w:adjustRightInd w:val="0"/>
              <w:jc w:val="left"/>
              <w:rPr>
                <w:szCs w:val="20"/>
                <w:lang w:val="sr-Latn-ME"/>
              </w:rPr>
            </w:pPr>
            <w:r w:rsidRPr="002165C7">
              <w:rPr>
                <w:szCs w:val="20"/>
                <w:lang w:val="sr-Latn-ME"/>
              </w:rPr>
              <w:t>Hipersenzitivnost*</w:t>
            </w:r>
          </w:p>
        </w:tc>
        <w:tc>
          <w:tcPr>
            <w:tcW w:w="630" w:type="pct"/>
            <w:vMerge w:val="restart"/>
            <w:shd w:val="clear" w:color="auto" w:fill="auto"/>
            <w:vAlign w:val="center"/>
          </w:tcPr>
          <w:p w14:paraId="56ABE791" w14:textId="464E1C23" w:rsidR="004A3080" w:rsidRPr="002165C7" w:rsidRDefault="004A3080" w:rsidP="004F2B81">
            <w:pPr>
              <w:autoSpaceDE w:val="0"/>
              <w:autoSpaceDN w:val="0"/>
              <w:adjustRightInd w:val="0"/>
              <w:jc w:val="left"/>
              <w:rPr>
                <w:szCs w:val="20"/>
                <w:lang w:val="sr-Latn-ME"/>
              </w:rPr>
            </w:pPr>
            <w:r w:rsidRPr="002165C7">
              <w:rPr>
                <w:szCs w:val="20"/>
                <w:lang w:val="sr-Latn-ME"/>
              </w:rPr>
              <w:t>Nepoznato</w:t>
            </w:r>
          </w:p>
        </w:tc>
      </w:tr>
      <w:tr w:rsidR="004A3080" w:rsidRPr="00472B84" w14:paraId="31B042FC" w14:textId="77777777" w:rsidTr="00737A70">
        <w:trPr>
          <w:trHeight w:val="20"/>
        </w:trPr>
        <w:tc>
          <w:tcPr>
            <w:tcW w:w="1884" w:type="pct"/>
            <w:shd w:val="clear" w:color="auto" w:fill="auto"/>
            <w:vAlign w:val="center"/>
          </w:tcPr>
          <w:p w14:paraId="68BE5607" w14:textId="77777777" w:rsidR="004A3080" w:rsidRPr="002165C7" w:rsidRDefault="004A3080" w:rsidP="004F2B81">
            <w:pPr>
              <w:autoSpaceDE w:val="0"/>
              <w:autoSpaceDN w:val="0"/>
              <w:adjustRightInd w:val="0"/>
              <w:jc w:val="left"/>
              <w:rPr>
                <w:szCs w:val="20"/>
                <w:lang w:val="sr-Latn-ME"/>
              </w:rPr>
            </w:pPr>
          </w:p>
          <w:p w14:paraId="68F737F0" w14:textId="77777777" w:rsidR="004A3080" w:rsidRPr="002165C7" w:rsidRDefault="004A3080" w:rsidP="004F2B81">
            <w:pPr>
              <w:autoSpaceDE w:val="0"/>
              <w:autoSpaceDN w:val="0"/>
              <w:adjustRightInd w:val="0"/>
              <w:jc w:val="left"/>
              <w:rPr>
                <w:szCs w:val="20"/>
                <w:lang w:val="sr-Latn-ME"/>
              </w:rPr>
            </w:pPr>
            <w:r w:rsidRPr="002165C7">
              <w:rPr>
                <w:szCs w:val="20"/>
                <w:lang w:val="sr-Latn-ME"/>
              </w:rPr>
              <w:t>Poremećaji metabolizma i ishrane</w:t>
            </w:r>
          </w:p>
        </w:tc>
        <w:tc>
          <w:tcPr>
            <w:tcW w:w="2486" w:type="pct"/>
            <w:shd w:val="clear" w:color="auto" w:fill="auto"/>
            <w:vAlign w:val="center"/>
          </w:tcPr>
          <w:p w14:paraId="6F29D384" w14:textId="77777777" w:rsidR="004A3080" w:rsidRPr="002165C7" w:rsidRDefault="004A3080" w:rsidP="004F2B81">
            <w:pPr>
              <w:autoSpaceDE w:val="0"/>
              <w:autoSpaceDN w:val="0"/>
              <w:adjustRightInd w:val="0"/>
              <w:jc w:val="left"/>
              <w:rPr>
                <w:szCs w:val="20"/>
                <w:lang w:val="sr-Latn-ME"/>
              </w:rPr>
            </w:pPr>
            <w:r w:rsidRPr="002165C7">
              <w:rPr>
                <w:szCs w:val="20"/>
                <w:lang w:val="sr-Latn-ME"/>
              </w:rPr>
              <w:t>Elektrolitni disbalans</w:t>
            </w:r>
          </w:p>
          <w:p w14:paraId="0C4C217C" w14:textId="3AA02DD0" w:rsidR="004A3080" w:rsidRPr="002165C7" w:rsidRDefault="004A3080" w:rsidP="004F2B81">
            <w:pPr>
              <w:pStyle w:val="Header"/>
              <w:tabs>
                <w:tab w:val="clear" w:pos="4536"/>
                <w:tab w:val="clear" w:pos="9072"/>
                <w:tab w:val="left" w:pos="709"/>
                <w:tab w:val="left" w:pos="1134"/>
              </w:tabs>
              <w:rPr>
                <w:szCs w:val="20"/>
                <w:lang w:val="sr-Latn-ME"/>
              </w:rPr>
            </w:pPr>
            <w:r w:rsidRPr="002165C7">
              <w:rPr>
                <w:szCs w:val="20"/>
                <w:lang w:val="sr-Latn-ME"/>
              </w:rPr>
              <w:t>Hipokal</w:t>
            </w:r>
            <w:r w:rsidR="00057598" w:rsidRPr="002165C7">
              <w:rPr>
                <w:szCs w:val="20"/>
                <w:lang w:val="sr-Latn-ME"/>
              </w:rPr>
              <w:t>ij</w:t>
            </w:r>
            <w:r w:rsidRPr="002165C7">
              <w:rPr>
                <w:szCs w:val="20"/>
                <w:lang w:val="sr-Latn-ME"/>
              </w:rPr>
              <w:t>emija</w:t>
            </w:r>
          </w:p>
          <w:p w14:paraId="5FAD3BA1" w14:textId="2B84DE3C" w:rsidR="004A3080" w:rsidRPr="002165C7" w:rsidRDefault="004A3080" w:rsidP="004F2B81">
            <w:pPr>
              <w:autoSpaceDE w:val="0"/>
              <w:autoSpaceDN w:val="0"/>
              <w:adjustRightInd w:val="0"/>
              <w:rPr>
                <w:noProof/>
                <w:szCs w:val="20"/>
                <w:lang w:val="sr-Latn-ME"/>
              </w:rPr>
            </w:pPr>
            <w:r w:rsidRPr="002165C7">
              <w:rPr>
                <w:szCs w:val="20"/>
                <w:lang w:val="sr-Latn-ME"/>
              </w:rPr>
              <w:t>Hipomagnez</w:t>
            </w:r>
            <w:r w:rsidR="00057598" w:rsidRPr="002165C7">
              <w:rPr>
                <w:szCs w:val="20"/>
                <w:lang w:val="sr-Latn-ME"/>
              </w:rPr>
              <w:t>ij</w:t>
            </w:r>
            <w:r w:rsidRPr="002165C7">
              <w:rPr>
                <w:szCs w:val="20"/>
                <w:lang w:val="sr-Latn-ME"/>
              </w:rPr>
              <w:t>emija</w:t>
            </w:r>
          </w:p>
          <w:p w14:paraId="13D5886D" w14:textId="77777777" w:rsidR="004A3080" w:rsidRPr="002165C7" w:rsidRDefault="004A3080" w:rsidP="004F2B81">
            <w:pPr>
              <w:pStyle w:val="Header"/>
              <w:tabs>
                <w:tab w:val="clear" w:pos="4536"/>
                <w:tab w:val="clear" w:pos="9072"/>
                <w:tab w:val="left" w:pos="709"/>
                <w:tab w:val="left" w:pos="1134"/>
              </w:tabs>
              <w:rPr>
                <w:szCs w:val="20"/>
                <w:lang w:val="sr-Latn-ME"/>
              </w:rPr>
            </w:pPr>
            <w:r w:rsidRPr="002165C7">
              <w:rPr>
                <w:szCs w:val="20"/>
                <w:lang w:val="sr-Latn-ME"/>
              </w:rPr>
              <w:t>Hipofosfatemija</w:t>
            </w:r>
          </w:p>
          <w:p w14:paraId="32A46D49" w14:textId="77777777" w:rsidR="004A3080" w:rsidRPr="002165C7" w:rsidRDefault="004A3080" w:rsidP="004F2B81">
            <w:pPr>
              <w:autoSpaceDE w:val="0"/>
              <w:autoSpaceDN w:val="0"/>
              <w:adjustRightInd w:val="0"/>
              <w:jc w:val="left"/>
              <w:rPr>
                <w:szCs w:val="20"/>
                <w:lang w:val="sr-Latn-ME"/>
              </w:rPr>
            </w:pPr>
            <w:r w:rsidRPr="002165C7">
              <w:rPr>
                <w:szCs w:val="20"/>
                <w:lang w:val="sr-Latn-ME"/>
              </w:rPr>
              <w:t>Hiperglikemija</w:t>
            </w:r>
          </w:p>
          <w:p w14:paraId="16E03EA3" w14:textId="77777777" w:rsidR="004A3080" w:rsidRPr="002165C7" w:rsidRDefault="004A3080" w:rsidP="004F2B81">
            <w:pPr>
              <w:autoSpaceDE w:val="0"/>
              <w:autoSpaceDN w:val="0"/>
              <w:adjustRightInd w:val="0"/>
              <w:rPr>
                <w:noProof/>
                <w:szCs w:val="20"/>
                <w:lang w:val="sr-Latn-ME"/>
              </w:rPr>
            </w:pPr>
            <w:r w:rsidRPr="002165C7">
              <w:rPr>
                <w:noProof/>
                <w:szCs w:val="20"/>
                <w:lang w:val="sr-Latn-ME"/>
              </w:rPr>
              <w:t>Dehidratacija</w:t>
            </w:r>
          </w:p>
          <w:p w14:paraId="70FDC3C1" w14:textId="03807FAF" w:rsidR="004A3080" w:rsidRPr="002165C7" w:rsidRDefault="004A3080" w:rsidP="004F2B81">
            <w:pPr>
              <w:autoSpaceDE w:val="0"/>
              <w:autoSpaceDN w:val="0"/>
              <w:adjustRightInd w:val="0"/>
              <w:jc w:val="left"/>
              <w:rPr>
                <w:szCs w:val="20"/>
                <w:lang w:val="sr-Latn-ME"/>
              </w:rPr>
            </w:pPr>
            <w:r w:rsidRPr="002165C7">
              <w:rPr>
                <w:szCs w:val="20"/>
                <w:lang w:val="sr-Latn-ME"/>
              </w:rPr>
              <w:t>Hip</w:t>
            </w:r>
            <w:r w:rsidR="00313DDE" w:rsidRPr="002165C7">
              <w:rPr>
                <w:szCs w:val="20"/>
                <w:lang w:val="sr-Latn-ME"/>
              </w:rPr>
              <w:t>er</w:t>
            </w:r>
            <w:r w:rsidRPr="002165C7">
              <w:rPr>
                <w:szCs w:val="20"/>
                <w:lang w:val="sr-Latn-ME"/>
              </w:rPr>
              <w:t>volemija</w:t>
            </w:r>
          </w:p>
          <w:p w14:paraId="524BA618" w14:textId="14D794CA" w:rsidR="004A3080" w:rsidRPr="002165C7" w:rsidRDefault="004A3080" w:rsidP="004F2B81">
            <w:pPr>
              <w:autoSpaceDE w:val="0"/>
              <w:autoSpaceDN w:val="0"/>
              <w:adjustRightInd w:val="0"/>
              <w:jc w:val="left"/>
              <w:rPr>
                <w:szCs w:val="20"/>
                <w:lang w:val="sr-Latn-ME"/>
              </w:rPr>
            </w:pPr>
            <w:r w:rsidRPr="002165C7">
              <w:rPr>
                <w:szCs w:val="20"/>
                <w:lang w:val="sr-Latn-ME"/>
              </w:rPr>
              <w:lastRenderedPageBreak/>
              <w:t>Intra-hospitalna hiponatr</w:t>
            </w:r>
            <w:r w:rsidR="00057598" w:rsidRPr="002165C7">
              <w:rPr>
                <w:szCs w:val="20"/>
                <w:lang w:val="sr-Latn-ME"/>
              </w:rPr>
              <w:t>ij</w:t>
            </w:r>
            <w:r w:rsidRPr="002165C7">
              <w:rPr>
                <w:szCs w:val="20"/>
                <w:lang w:val="sr-Latn-ME"/>
              </w:rPr>
              <w:t>emija**</w:t>
            </w:r>
          </w:p>
        </w:tc>
        <w:tc>
          <w:tcPr>
            <w:tcW w:w="630" w:type="pct"/>
            <w:vMerge/>
            <w:shd w:val="clear" w:color="auto" w:fill="auto"/>
            <w:vAlign w:val="center"/>
          </w:tcPr>
          <w:p w14:paraId="3B2FBE9C" w14:textId="77777777" w:rsidR="004A3080" w:rsidRPr="002165C7" w:rsidRDefault="004A3080" w:rsidP="004F2B81">
            <w:pPr>
              <w:autoSpaceDE w:val="0"/>
              <w:autoSpaceDN w:val="0"/>
              <w:adjustRightInd w:val="0"/>
              <w:jc w:val="left"/>
              <w:rPr>
                <w:b/>
                <w:szCs w:val="20"/>
                <w:lang w:val="sr-Latn-ME"/>
              </w:rPr>
            </w:pPr>
          </w:p>
        </w:tc>
      </w:tr>
      <w:tr w:rsidR="004A3080" w:rsidRPr="00472B84" w14:paraId="09B206B8" w14:textId="77777777" w:rsidTr="00737A70">
        <w:trPr>
          <w:trHeight w:val="20"/>
        </w:trPr>
        <w:tc>
          <w:tcPr>
            <w:tcW w:w="1884" w:type="pct"/>
            <w:shd w:val="clear" w:color="auto" w:fill="auto"/>
            <w:vAlign w:val="center"/>
          </w:tcPr>
          <w:p w14:paraId="002F8A24" w14:textId="77777777" w:rsidR="004A3080" w:rsidRPr="002165C7" w:rsidRDefault="004A3080" w:rsidP="004F2B81">
            <w:pPr>
              <w:autoSpaceDE w:val="0"/>
              <w:autoSpaceDN w:val="0"/>
              <w:adjustRightInd w:val="0"/>
              <w:jc w:val="left"/>
              <w:rPr>
                <w:szCs w:val="20"/>
                <w:lang w:val="sr-Latn-ME"/>
              </w:rPr>
            </w:pPr>
            <w:r w:rsidRPr="002165C7">
              <w:rPr>
                <w:szCs w:val="20"/>
                <w:lang w:val="sr-Latn-ME"/>
              </w:rPr>
              <w:t>Poremećaji nervnog sistema</w:t>
            </w:r>
          </w:p>
        </w:tc>
        <w:tc>
          <w:tcPr>
            <w:tcW w:w="2486" w:type="pct"/>
            <w:shd w:val="clear" w:color="auto" w:fill="auto"/>
            <w:vAlign w:val="center"/>
          </w:tcPr>
          <w:p w14:paraId="3AD32F9D" w14:textId="39230AD1" w:rsidR="004A3080" w:rsidRPr="002165C7" w:rsidRDefault="004A3080" w:rsidP="004F2B81">
            <w:pPr>
              <w:autoSpaceDE w:val="0"/>
              <w:autoSpaceDN w:val="0"/>
              <w:adjustRightInd w:val="0"/>
              <w:jc w:val="left"/>
              <w:rPr>
                <w:szCs w:val="20"/>
                <w:lang w:val="sr-Latn-ME"/>
              </w:rPr>
            </w:pPr>
            <w:r w:rsidRPr="002165C7">
              <w:rPr>
                <w:szCs w:val="20"/>
                <w:lang w:val="sr-Latn-ME"/>
              </w:rPr>
              <w:t>Hiponatr</w:t>
            </w:r>
            <w:r w:rsidR="00057598" w:rsidRPr="002165C7">
              <w:rPr>
                <w:szCs w:val="20"/>
                <w:lang w:val="sr-Latn-ME"/>
              </w:rPr>
              <w:t>ij</w:t>
            </w:r>
            <w:r w:rsidRPr="002165C7">
              <w:rPr>
                <w:szCs w:val="20"/>
                <w:lang w:val="sr-Latn-ME"/>
              </w:rPr>
              <w:t>emijska encefalopatija**</w:t>
            </w:r>
          </w:p>
        </w:tc>
        <w:tc>
          <w:tcPr>
            <w:tcW w:w="630" w:type="pct"/>
            <w:vMerge/>
            <w:shd w:val="clear" w:color="auto" w:fill="auto"/>
            <w:vAlign w:val="center"/>
          </w:tcPr>
          <w:p w14:paraId="52D67E24" w14:textId="77777777" w:rsidR="004A3080" w:rsidRPr="002165C7" w:rsidRDefault="004A3080" w:rsidP="004F2B81">
            <w:pPr>
              <w:autoSpaceDE w:val="0"/>
              <w:autoSpaceDN w:val="0"/>
              <w:adjustRightInd w:val="0"/>
              <w:jc w:val="left"/>
              <w:rPr>
                <w:b/>
                <w:szCs w:val="20"/>
                <w:lang w:val="sr-Latn-ME"/>
              </w:rPr>
            </w:pPr>
          </w:p>
        </w:tc>
      </w:tr>
      <w:tr w:rsidR="00783876" w:rsidRPr="00472B84" w14:paraId="2FFE7FD7" w14:textId="77777777" w:rsidTr="00737A70">
        <w:trPr>
          <w:trHeight w:val="20"/>
        </w:trPr>
        <w:tc>
          <w:tcPr>
            <w:tcW w:w="1884" w:type="pct"/>
            <w:shd w:val="clear" w:color="auto" w:fill="auto"/>
          </w:tcPr>
          <w:p w14:paraId="58F9E1C3" w14:textId="395D9F46" w:rsidR="00783876" w:rsidRPr="002165C7" w:rsidRDefault="00783876" w:rsidP="004F2B81">
            <w:pPr>
              <w:autoSpaceDE w:val="0"/>
              <w:autoSpaceDN w:val="0"/>
              <w:adjustRightInd w:val="0"/>
              <w:jc w:val="left"/>
              <w:rPr>
                <w:szCs w:val="20"/>
                <w:lang w:val="sr-Latn-ME"/>
              </w:rPr>
            </w:pPr>
            <w:r w:rsidRPr="002165C7">
              <w:rPr>
                <w:noProof/>
                <w:szCs w:val="20"/>
                <w:lang w:val="sr-Latn-ME"/>
              </w:rPr>
              <w:t>Poremećaji kože i potkožnog tkiva</w:t>
            </w:r>
          </w:p>
        </w:tc>
        <w:tc>
          <w:tcPr>
            <w:tcW w:w="2486" w:type="pct"/>
            <w:shd w:val="clear" w:color="auto" w:fill="auto"/>
            <w:vAlign w:val="center"/>
          </w:tcPr>
          <w:p w14:paraId="0556D9B9" w14:textId="57B40CC8" w:rsidR="00783876" w:rsidRPr="002165C7" w:rsidRDefault="00783876" w:rsidP="004F2B81">
            <w:pPr>
              <w:autoSpaceDE w:val="0"/>
              <w:autoSpaceDN w:val="0"/>
              <w:adjustRightInd w:val="0"/>
              <w:jc w:val="left"/>
              <w:rPr>
                <w:szCs w:val="20"/>
                <w:lang w:val="sr-Latn-ME"/>
              </w:rPr>
            </w:pPr>
            <w:r w:rsidRPr="002165C7">
              <w:rPr>
                <w:noProof/>
                <w:szCs w:val="20"/>
                <w:lang w:val="sr-Latn-ME"/>
              </w:rPr>
              <w:t>Osip</w:t>
            </w:r>
          </w:p>
        </w:tc>
        <w:tc>
          <w:tcPr>
            <w:tcW w:w="630" w:type="pct"/>
            <w:shd w:val="clear" w:color="auto" w:fill="auto"/>
            <w:vAlign w:val="center"/>
          </w:tcPr>
          <w:p w14:paraId="6FEB468D" w14:textId="315B3D7B" w:rsidR="00783876" w:rsidRPr="002165C7" w:rsidRDefault="00783876" w:rsidP="004F2B81">
            <w:pPr>
              <w:autoSpaceDE w:val="0"/>
              <w:autoSpaceDN w:val="0"/>
              <w:adjustRightInd w:val="0"/>
              <w:jc w:val="left"/>
              <w:rPr>
                <w:b/>
                <w:szCs w:val="20"/>
                <w:lang w:val="sr-Latn-ME"/>
              </w:rPr>
            </w:pPr>
            <w:r w:rsidRPr="002165C7">
              <w:rPr>
                <w:noProof/>
                <w:szCs w:val="20"/>
                <w:lang w:val="sr-Latn-ME"/>
              </w:rPr>
              <w:t>Nepoznato</w:t>
            </w:r>
          </w:p>
        </w:tc>
      </w:tr>
      <w:tr w:rsidR="00783876" w:rsidRPr="00472B84" w14:paraId="053924B4" w14:textId="77777777" w:rsidTr="00737A70">
        <w:trPr>
          <w:trHeight w:val="20"/>
        </w:trPr>
        <w:tc>
          <w:tcPr>
            <w:tcW w:w="1884" w:type="pct"/>
            <w:shd w:val="clear" w:color="auto" w:fill="auto"/>
          </w:tcPr>
          <w:p w14:paraId="37999537" w14:textId="145275F2" w:rsidR="00783876" w:rsidRPr="002165C7" w:rsidRDefault="00783876" w:rsidP="004F2B81">
            <w:pPr>
              <w:autoSpaceDE w:val="0"/>
              <w:autoSpaceDN w:val="0"/>
              <w:adjustRightInd w:val="0"/>
              <w:jc w:val="left"/>
              <w:rPr>
                <w:szCs w:val="20"/>
                <w:lang w:val="sr-Latn-ME"/>
              </w:rPr>
            </w:pPr>
            <w:r w:rsidRPr="002165C7">
              <w:rPr>
                <w:noProof/>
                <w:szCs w:val="20"/>
                <w:lang w:val="sr-Latn-ME"/>
              </w:rPr>
              <w:t>Vaskularni poremećaji</w:t>
            </w:r>
          </w:p>
        </w:tc>
        <w:tc>
          <w:tcPr>
            <w:tcW w:w="2486" w:type="pct"/>
            <w:shd w:val="clear" w:color="auto" w:fill="auto"/>
            <w:vAlign w:val="center"/>
          </w:tcPr>
          <w:p w14:paraId="3A838BB9" w14:textId="77777777" w:rsidR="00783876" w:rsidRPr="002165C7" w:rsidRDefault="00783876" w:rsidP="004F2B81">
            <w:pPr>
              <w:autoSpaceDE w:val="0"/>
              <w:autoSpaceDN w:val="0"/>
              <w:adjustRightInd w:val="0"/>
              <w:rPr>
                <w:noProof/>
                <w:szCs w:val="20"/>
                <w:lang w:val="sr-Latn-ME"/>
              </w:rPr>
            </w:pPr>
            <w:r w:rsidRPr="002165C7">
              <w:rPr>
                <w:noProof/>
                <w:szCs w:val="20"/>
                <w:lang w:val="sr-Latn-ME"/>
              </w:rPr>
              <w:t>Venska tromboza</w:t>
            </w:r>
          </w:p>
          <w:p w14:paraId="19FE239E" w14:textId="1684DDE1" w:rsidR="00783876" w:rsidRPr="002165C7" w:rsidRDefault="00783876" w:rsidP="004F2B81">
            <w:pPr>
              <w:autoSpaceDE w:val="0"/>
              <w:autoSpaceDN w:val="0"/>
              <w:adjustRightInd w:val="0"/>
              <w:rPr>
                <w:noProof/>
                <w:szCs w:val="20"/>
                <w:lang w:val="sr-Latn-ME"/>
              </w:rPr>
            </w:pPr>
            <w:r w:rsidRPr="002165C7">
              <w:rPr>
                <w:noProof/>
                <w:szCs w:val="20"/>
                <w:lang w:val="sr-Latn-ME"/>
              </w:rPr>
              <w:t>Flebitis</w:t>
            </w:r>
          </w:p>
        </w:tc>
        <w:tc>
          <w:tcPr>
            <w:tcW w:w="630" w:type="pct"/>
            <w:shd w:val="clear" w:color="auto" w:fill="auto"/>
            <w:vAlign w:val="center"/>
          </w:tcPr>
          <w:p w14:paraId="45A9268F" w14:textId="40829F2E" w:rsidR="00783876" w:rsidRPr="002165C7" w:rsidRDefault="00783876" w:rsidP="004F2B81">
            <w:pPr>
              <w:autoSpaceDE w:val="0"/>
              <w:autoSpaceDN w:val="0"/>
              <w:adjustRightInd w:val="0"/>
              <w:jc w:val="left"/>
              <w:rPr>
                <w:b/>
                <w:szCs w:val="20"/>
                <w:lang w:val="sr-Latn-ME"/>
              </w:rPr>
            </w:pPr>
            <w:r w:rsidRPr="002165C7">
              <w:rPr>
                <w:noProof/>
                <w:szCs w:val="20"/>
                <w:lang w:val="sr-Latn-ME"/>
              </w:rPr>
              <w:t>Nepoznato</w:t>
            </w:r>
          </w:p>
        </w:tc>
      </w:tr>
      <w:tr w:rsidR="00783876" w:rsidRPr="00472B84" w14:paraId="1CC036EE" w14:textId="77777777" w:rsidTr="00737A70">
        <w:trPr>
          <w:trHeight w:val="20"/>
        </w:trPr>
        <w:tc>
          <w:tcPr>
            <w:tcW w:w="1884" w:type="pct"/>
            <w:shd w:val="clear" w:color="auto" w:fill="auto"/>
          </w:tcPr>
          <w:p w14:paraId="10FAC90C" w14:textId="6E2189DD" w:rsidR="00783876" w:rsidRPr="002165C7" w:rsidRDefault="00783876" w:rsidP="004F2B81">
            <w:pPr>
              <w:autoSpaceDE w:val="0"/>
              <w:autoSpaceDN w:val="0"/>
              <w:adjustRightInd w:val="0"/>
              <w:jc w:val="left"/>
              <w:rPr>
                <w:szCs w:val="20"/>
                <w:lang w:val="sr-Latn-ME"/>
              </w:rPr>
            </w:pPr>
            <w:r w:rsidRPr="002165C7">
              <w:rPr>
                <w:noProof/>
                <w:szCs w:val="20"/>
                <w:lang w:val="sr-Latn-ME"/>
              </w:rPr>
              <w:t>Poremećaji bubrega i urinarnog sistema</w:t>
            </w:r>
          </w:p>
        </w:tc>
        <w:tc>
          <w:tcPr>
            <w:tcW w:w="2486" w:type="pct"/>
            <w:shd w:val="clear" w:color="auto" w:fill="auto"/>
            <w:vAlign w:val="center"/>
          </w:tcPr>
          <w:p w14:paraId="7FFF86E4" w14:textId="2AB11A44" w:rsidR="00783876" w:rsidRPr="002165C7" w:rsidRDefault="00783876" w:rsidP="004F2B81">
            <w:pPr>
              <w:autoSpaceDE w:val="0"/>
              <w:autoSpaceDN w:val="0"/>
              <w:adjustRightInd w:val="0"/>
              <w:rPr>
                <w:noProof/>
                <w:szCs w:val="20"/>
                <w:lang w:val="sr-Latn-ME"/>
              </w:rPr>
            </w:pPr>
            <w:r w:rsidRPr="002165C7">
              <w:rPr>
                <w:noProof/>
                <w:szCs w:val="20"/>
                <w:lang w:val="sr-Latn-ME"/>
              </w:rPr>
              <w:t>Poliurija</w:t>
            </w:r>
          </w:p>
        </w:tc>
        <w:tc>
          <w:tcPr>
            <w:tcW w:w="630" w:type="pct"/>
            <w:shd w:val="clear" w:color="auto" w:fill="auto"/>
            <w:vAlign w:val="center"/>
          </w:tcPr>
          <w:p w14:paraId="08E6E3DC" w14:textId="44834785" w:rsidR="00783876" w:rsidRPr="002165C7" w:rsidRDefault="00783876" w:rsidP="004F2B81">
            <w:pPr>
              <w:autoSpaceDE w:val="0"/>
              <w:autoSpaceDN w:val="0"/>
              <w:adjustRightInd w:val="0"/>
              <w:jc w:val="left"/>
              <w:rPr>
                <w:b/>
                <w:szCs w:val="20"/>
                <w:lang w:val="sr-Latn-ME"/>
              </w:rPr>
            </w:pPr>
            <w:r w:rsidRPr="002165C7">
              <w:rPr>
                <w:noProof/>
                <w:szCs w:val="20"/>
                <w:lang w:val="sr-Latn-ME"/>
              </w:rPr>
              <w:t>Nepoznato</w:t>
            </w:r>
          </w:p>
        </w:tc>
      </w:tr>
      <w:tr w:rsidR="00783876" w:rsidRPr="00472B84" w14:paraId="398B4634" w14:textId="77777777" w:rsidTr="00737A70">
        <w:trPr>
          <w:trHeight w:val="20"/>
        </w:trPr>
        <w:tc>
          <w:tcPr>
            <w:tcW w:w="1884" w:type="pct"/>
            <w:shd w:val="clear" w:color="auto" w:fill="auto"/>
            <w:vAlign w:val="center"/>
          </w:tcPr>
          <w:p w14:paraId="0DB879F1" w14:textId="77777777" w:rsidR="00783876" w:rsidRPr="002165C7" w:rsidRDefault="00783876" w:rsidP="004F2B81">
            <w:pPr>
              <w:autoSpaceDE w:val="0"/>
              <w:autoSpaceDN w:val="0"/>
              <w:adjustRightInd w:val="0"/>
              <w:jc w:val="left"/>
              <w:rPr>
                <w:szCs w:val="20"/>
                <w:lang w:val="sr-Latn-ME"/>
              </w:rPr>
            </w:pPr>
            <w:r w:rsidRPr="002165C7">
              <w:rPr>
                <w:szCs w:val="20"/>
                <w:lang w:val="sr-Latn-ME"/>
              </w:rPr>
              <w:t>Opšti poremećaji i reakcije na mjestu primjene</w:t>
            </w:r>
          </w:p>
        </w:tc>
        <w:tc>
          <w:tcPr>
            <w:tcW w:w="2486" w:type="pct"/>
            <w:shd w:val="clear" w:color="auto" w:fill="auto"/>
            <w:vAlign w:val="center"/>
          </w:tcPr>
          <w:p w14:paraId="5F6E9A96" w14:textId="4D670033" w:rsidR="00783876" w:rsidRPr="002165C7" w:rsidRDefault="00783876" w:rsidP="004F2B81">
            <w:pPr>
              <w:autoSpaceDE w:val="0"/>
              <w:autoSpaceDN w:val="0"/>
              <w:adjustRightInd w:val="0"/>
              <w:rPr>
                <w:noProof/>
                <w:szCs w:val="20"/>
                <w:lang w:val="sr-Latn-ME"/>
              </w:rPr>
            </w:pPr>
            <w:r w:rsidRPr="002165C7">
              <w:rPr>
                <w:noProof/>
                <w:szCs w:val="20"/>
                <w:lang w:val="sr-Latn-ME"/>
              </w:rPr>
              <w:t>Jeza*</w:t>
            </w:r>
          </w:p>
          <w:p w14:paraId="312D5C36" w14:textId="037F8C02" w:rsidR="00783876" w:rsidRPr="002165C7" w:rsidRDefault="00783876" w:rsidP="004F2B81">
            <w:pPr>
              <w:autoSpaceDE w:val="0"/>
              <w:autoSpaceDN w:val="0"/>
              <w:adjustRightInd w:val="0"/>
              <w:rPr>
                <w:noProof/>
                <w:szCs w:val="20"/>
                <w:lang w:val="sr-Latn-ME"/>
              </w:rPr>
            </w:pPr>
            <w:r w:rsidRPr="002165C7">
              <w:rPr>
                <w:noProof/>
                <w:szCs w:val="20"/>
                <w:lang w:val="sr-Latn-ME"/>
              </w:rPr>
              <w:t>Pireksija*</w:t>
            </w:r>
          </w:p>
          <w:p w14:paraId="2CD575FD" w14:textId="77777777" w:rsidR="00737A70" w:rsidRPr="002165C7" w:rsidRDefault="00783876" w:rsidP="004F2B81">
            <w:pPr>
              <w:autoSpaceDE w:val="0"/>
              <w:autoSpaceDN w:val="0"/>
              <w:adjustRightInd w:val="0"/>
              <w:jc w:val="left"/>
              <w:rPr>
                <w:szCs w:val="20"/>
                <w:lang w:val="sr-Latn-ME"/>
              </w:rPr>
            </w:pPr>
            <w:r w:rsidRPr="002165C7">
              <w:rPr>
                <w:szCs w:val="20"/>
                <w:lang w:val="sr-Latn-ME"/>
              </w:rPr>
              <w:t xml:space="preserve">Infekcije na mjestu primjene infuzije, </w:t>
            </w:r>
          </w:p>
          <w:p w14:paraId="0C27783F" w14:textId="75C88AFF" w:rsidR="00783876" w:rsidRPr="002165C7" w:rsidRDefault="00783876" w:rsidP="004F2B81">
            <w:pPr>
              <w:autoSpaceDE w:val="0"/>
              <w:autoSpaceDN w:val="0"/>
              <w:adjustRightInd w:val="0"/>
              <w:jc w:val="left"/>
              <w:rPr>
                <w:szCs w:val="20"/>
                <w:lang w:val="sr-Latn-ME"/>
              </w:rPr>
            </w:pPr>
            <w:r w:rsidRPr="002165C7">
              <w:rPr>
                <w:szCs w:val="20"/>
                <w:lang w:val="sr-Latn-ME"/>
              </w:rPr>
              <w:t xml:space="preserve">Iritacija na mjestu primjene infuzije, </w:t>
            </w:r>
            <w:r w:rsidR="00737A70" w:rsidRPr="002165C7">
              <w:rPr>
                <w:szCs w:val="20"/>
                <w:lang w:val="sr-Latn-ME"/>
              </w:rPr>
              <w:t>npr.</w:t>
            </w:r>
            <w:r w:rsidRPr="002165C7">
              <w:rPr>
                <w:szCs w:val="20"/>
                <w:lang w:val="sr-Latn-ME"/>
              </w:rPr>
              <w:t xml:space="preserve"> eritem</w:t>
            </w:r>
          </w:p>
          <w:p w14:paraId="5B18959F" w14:textId="77777777" w:rsidR="00783876" w:rsidRPr="002165C7" w:rsidRDefault="00783876" w:rsidP="004F2B81">
            <w:pPr>
              <w:autoSpaceDE w:val="0"/>
              <w:autoSpaceDN w:val="0"/>
              <w:adjustRightInd w:val="0"/>
              <w:jc w:val="left"/>
              <w:rPr>
                <w:szCs w:val="20"/>
                <w:lang w:val="sr-Latn-ME"/>
              </w:rPr>
            </w:pPr>
            <w:r w:rsidRPr="002165C7">
              <w:rPr>
                <w:szCs w:val="20"/>
                <w:lang w:val="sr-Latn-ME"/>
              </w:rPr>
              <w:t>Ekstravazacija</w:t>
            </w:r>
          </w:p>
          <w:p w14:paraId="04FF4A60" w14:textId="77777777" w:rsidR="00783876" w:rsidRPr="002165C7" w:rsidRDefault="00783876" w:rsidP="004F2B81">
            <w:pPr>
              <w:autoSpaceDE w:val="0"/>
              <w:autoSpaceDN w:val="0"/>
              <w:adjustRightInd w:val="0"/>
              <w:jc w:val="left"/>
              <w:rPr>
                <w:szCs w:val="20"/>
                <w:lang w:val="sr-Latn-ME"/>
              </w:rPr>
            </w:pPr>
            <w:r w:rsidRPr="002165C7">
              <w:rPr>
                <w:szCs w:val="20"/>
                <w:lang w:val="sr-Latn-ME"/>
              </w:rPr>
              <w:t>Lokalna reakcija</w:t>
            </w:r>
          </w:p>
          <w:p w14:paraId="254DB9BB" w14:textId="15897D33" w:rsidR="00783876" w:rsidRPr="002165C7" w:rsidRDefault="00783876" w:rsidP="004F2B81">
            <w:pPr>
              <w:autoSpaceDE w:val="0"/>
              <w:autoSpaceDN w:val="0"/>
              <w:adjustRightInd w:val="0"/>
              <w:jc w:val="left"/>
              <w:rPr>
                <w:szCs w:val="20"/>
                <w:lang w:val="sr-Latn-ME"/>
              </w:rPr>
            </w:pPr>
            <w:r w:rsidRPr="002165C7">
              <w:rPr>
                <w:szCs w:val="20"/>
                <w:lang w:val="sr-Latn-ME"/>
              </w:rPr>
              <w:t>Lokal</w:t>
            </w:r>
            <w:r w:rsidR="00737A70" w:rsidRPr="002165C7">
              <w:rPr>
                <w:szCs w:val="20"/>
                <w:lang w:val="sr-Latn-ME"/>
              </w:rPr>
              <w:t>i</w:t>
            </w:r>
            <w:r w:rsidRPr="002165C7">
              <w:rPr>
                <w:szCs w:val="20"/>
                <w:lang w:val="sr-Latn-ME"/>
              </w:rPr>
              <w:t>zovani bol</w:t>
            </w:r>
          </w:p>
        </w:tc>
        <w:tc>
          <w:tcPr>
            <w:tcW w:w="630" w:type="pct"/>
            <w:shd w:val="clear" w:color="auto" w:fill="auto"/>
            <w:vAlign w:val="center"/>
          </w:tcPr>
          <w:p w14:paraId="31DAFF92" w14:textId="77777777" w:rsidR="00783876" w:rsidRPr="002165C7" w:rsidRDefault="00783876" w:rsidP="004F2B81">
            <w:pPr>
              <w:autoSpaceDE w:val="0"/>
              <w:autoSpaceDN w:val="0"/>
              <w:adjustRightInd w:val="0"/>
              <w:jc w:val="left"/>
              <w:rPr>
                <w:szCs w:val="20"/>
                <w:lang w:val="sr-Latn-ME"/>
              </w:rPr>
            </w:pPr>
            <w:r w:rsidRPr="002165C7">
              <w:rPr>
                <w:szCs w:val="20"/>
                <w:lang w:val="sr-Latn-ME"/>
              </w:rPr>
              <w:t>Nepoznato</w:t>
            </w:r>
          </w:p>
        </w:tc>
      </w:tr>
    </w:tbl>
    <w:p w14:paraId="40FE6F7D" w14:textId="260E0356" w:rsidR="00DD434F" w:rsidRPr="00A25564" w:rsidRDefault="00737A70" w:rsidP="00737A70">
      <w:pPr>
        <w:autoSpaceDE w:val="0"/>
        <w:autoSpaceDN w:val="0"/>
        <w:adjustRightInd w:val="0"/>
        <w:rPr>
          <w:i/>
          <w:sz w:val="20"/>
          <w:szCs w:val="20"/>
          <w:lang w:val="sr-Latn-ME"/>
        </w:rPr>
      </w:pPr>
      <w:r w:rsidRPr="00A25564">
        <w:rPr>
          <w:sz w:val="20"/>
          <w:szCs w:val="20"/>
          <w:lang w:val="sr-Latn-ME"/>
        </w:rPr>
        <w:t xml:space="preserve">* </w:t>
      </w:r>
      <w:r w:rsidR="00DD434F" w:rsidRPr="00A25564">
        <w:rPr>
          <w:sz w:val="20"/>
          <w:szCs w:val="20"/>
          <w:lang w:val="sr-Latn-ME"/>
        </w:rPr>
        <w:t>Može da se javi kod pacijenata kod kojih postoji alergija na kukuruz</w:t>
      </w:r>
      <w:r w:rsidR="00DD434F" w:rsidRPr="00A25564">
        <w:rPr>
          <w:i/>
          <w:sz w:val="20"/>
          <w:szCs w:val="20"/>
          <w:lang w:val="sr-Latn-ME"/>
        </w:rPr>
        <w:t xml:space="preserve"> </w:t>
      </w:r>
      <w:r w:rsidR="00DD434F" w:rsidRPr="00A25564">
        <w:rPr>
          <w:iCs/>
          <w:sz w:val="20"/>
          <w:szCs w:val="20"/>
          <w:lang w:val="sr-Latn-ME"/>
        </w:rPr>
        <w:t>(</w:t>
      </w:r>
      <w:r w:rsidR="00057598">
        <w:rPr>
          <w:iCs/>
          <w:sz w:val="20"/>
          <w:szCs w:val="20"/>
          <w:lang w:val="sr-Latn-ME"/>
        </w:rPr>
        <w:t xml:space="preserve">vidjeti </w:t>
      </w:r>
      <w:r w:rsidR="00DD434F" w:rsidRPr="00A25564">
        <w:rPr>
          <w:iCs/>
          <w:sz w:val="20"/>
          <w:szCs w:val="20"/>
          <w:lang w:val="sr-Latn-ME"/>
        </w:rPr>
        <w:t>dio 4.4).</w:t>
      </w:r>
    </w:p>
    <w:p w14:paraId="7C07EFF7" w14:textId="02A2C579" w:rsidR="00DD434F" w:rsidRPr="00A25564" w:rsidRDefault="00DD434F" w:rsidP="004F2B81">
      <w:pPr>
        <w:autoSpaceDE w:val="0"/>
        <w:autoSpaceDN w:val="0"/>
        <w:adjustRightInd w:val="0"/>
        <w:rPr>
          <w:sz w:val="20"/>
          <w:szCs w:val="20"/>
          <w:lang w:val="sr-Latn-ME"/>
        </w:rPr>
      </w:pPr>
      <w:r w:rsidRPr="00A25564">
        <w:rPr>
          <w:sz w:val="20"/>
          <w:szCs w:val="20"/>
          <w:lang w:val="sr-Latn-ME"/>
        </w:rPr>
        <w:t>** Intra</w:t>
      </w:r>
      <w:r w:rsidR="00737A70" w:rsidRPr="00A25564">
        <w:rPr>
          <w:sz w:val="20"/>
          <w:szCs w:val="20"/>
          <w:lang w:val="sr-Latn-ME"/>
        </w:rPr>
        <w:t>-</w:t>
      </w:r>
      <w:r w:rsidRPr="00A25564">
        <w:rPr>
          <w:sz w:val="20"/>
          <w:szCs w:val="20"/>
          <w:lang w:val="sr-Latn-ME"/>
        </w:rPr>
        <w:t>hospitalna hiponatr</w:t>
      </w:r>
      <w:r w:rsidR="00057598">
        <w:rPr>
          <w:sz w:val="20"/>
          <w:szCs w:val="20"/>
          <w:lang w:val="sr-Latn-ME"/>
        </w:rPr>
        <w:t>ij</w:t>
      </w:r>
      <w:r w:rsidRPr="00A25564">
        <w:rPr>
          <w:sz w:val="20"/>
          <w:szCs w:val="20"/>
          <w:lang w:val="sr-Latn-ME"/>
        </w:rPr>
        <w:t>emija može izazvati ireverzibilno oštećenje mozga i smrt usljed razvoja akutne hiponatremijske encefalopatije (</w:t>
      </w:r>
      <w:r w:rsidR="00EB4189">
        <w:rPr>
          <w:sz w:val="20"/>
          <w:szCs w:val="20"/>
          <w:lang w:val="sr-Latn-ME"/>
        </w:rPr>
        <w:t xml:space="preserve">vidjeti </w:t>
      </w:r>
      <w:r w:rsidR="00A36E26" w:rsidRPr="00A25564">
        <w:rPr>
          <w:sz w:val="20"/>
          <w:szCs w:val="20"/>
          <w:lang w:val="sr-Latn-ME"/>
        </w:rPr>
        <w:t>djelove</w:t>
      </w:r>
      <w:r w:rsidRPr="00A25564">
        <w:rPr>
          <w:sz w:val="20"/>
          <w:szCs w:val="20"/>
          <w:lang w:val="sr-Latn-ME"/>
        </w:rPr>
        <w:t xml:space="preserve"> 4.2 i 4.4).</w:t>
      </w:r>
    </w:p>
    <w:p w14:paraId="134ABD66" w14:textId="77777777" w:rsidR="00B72A7F" w:rsidRPr="004F2B81" w:rsidRDefault="00B72A7F" w:rsidP="004F2B81">
      <w:pPr>
        <w:rPr>
          <w:noProof/>
          <w:szCs w:val="22"/>
          <w:u w:val="single"/>
          <w:lang w:val="sr-Latn-ME"/>
        </w:rPr>
      </w:pPr>
    </w:p>
    <w:p w14:paraId="2C9CFDFF" w14:textId="77777777" w:rsidR="0024155D" w:rsidRPr="004F2B81" w:rsidRDefault="0024155D" w:rsidP="004F2B81">
      <w:pPr>
        <w:rPr>
          <w:rFonts w:eastAsia="Calibri"/>
          <w:szCs w:val="22"/>
          <w:u w:val="single"/>
          <w:lang w:val="sr-Latn-ME"/>
        </w:rPr>
      </w:pPr>
      <w:r w:rsidRPr="004F2B81">
        <w:rPr>
          <w:rFonts w:eastAsia="Calibri"/>
          <w:szCs w:val="22"/>
          <w:u w:val="single"/>
          <w:lang w:val="sr-Latn-ME"/>
        </w:rPr>
        <w:t>Prijavljivanje sumnji na neželjena dejstva</w:t>
      </w:r>
    </w:p>
    <w:p w14:paraId="6AD9059E" w14:textId="77777777" w:rsidR="0062575D" w:rsidRDefault="0062575D" w:rsidP="004F2B81">
      <w:pPr>
        <w:rPr>
          <w:rFonts w:eastAsia="Calibri"/>
          <w:szCs w:val="22"/>
          <w:lang w:val="sr-Latn-ME"/>
        </w:rPr>
      </w:pPr>
    </w:p>
    <w:p w14:paraId="1DC8ED0A" w14:textId="0964608F" w:rsidR="0024155D" w:rsidRPr="004F2B81" w:rsidRDefault="0024155D" w:rsidP="004F2B81">
      <w:pPr>
        <w:rPr>
          <w:rFonts w:eastAsia="Calibri"/>
          <w:szCs w:val="22"/>
          <w:lang w:val="sr-Latn-ME"/>
        </w:rPr>
      </w:pPr>
      <w:r w:rsidRPr="004F2B81">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03A6476" w14:textId="77777777" w:rsidR="0024155D" w:rsidRPr="004F2B81" w:rsidRDefault="0024155D" w:rsidP="004F2B81">
      <w:pPr>
        <w:pStyle w:val="NoSpacing"/>
        <w:jc w:val="both"/>
        <w:rPr>
          <w:rFonts w:eastAsia="Calibri"/>
          <w:sz w:val="22"/>
          <w:szCs w:val="22"/>
          <w:lang w:val="sr-Latn-ME"/>
        </w:rPr>
      </w:pPr>
      <w:r w:rsidRPr="004F2B81">
        <w:rPr>
          <w:rFonts w:eastAsia="Calibri"/>
          <w:sz w:val="22"/>
          <w:szCs w:val="22"/>
          <w:lang w:val="sr-Latn-ME"/>
        </w:rPr>
        <w:t xml:space="preserve">Institut za ljekove i medicinska sredstva </w:t>
      </w:r>
    </w:p>
    <w:p w14:paraId="1B2CD5D1" w14:textId="77777777" w:rsidR="0024155D" w:rsidRPr="004F2B81" w:rsidRDefault="0024155D" w:rsidP="004F2B81">
      <w:pPr>
        <w:pStyle w:val="NoSpacing"/>
        <w:jc w:val="both"/>
        <w:rPr>
          <w:rFonts w:eastAsia="Calibri"/>
          <w:sz w:val="22"/>
          <w:szCs w:val="22"/>
          <w:lang w:val="sr-Latn-ME"/>
        </w:rPr>
      </w:pPr>
      <w:r w:rsidRPr="004F2B81">
        <w:rPr>
          <w:rFonts w:eastAsia="Calibri"/>
          <w:sz w:val="22"/>
          <w:szCs w:val="22"/>
          <w:lang w:val="sr-Latn-ME"/>
        </w:rPr>
        <w:t>Odjeljenje za farmakovigilancu</w:t>
      </w:r>
    </w:p>
    <w:p w14:paraId="22136953" w14:textId="77777777" w:rsidR="0024155D" w:rsidRPr="004F2B81" w:rsidRDefault="0024155D" w:rsidP="004F2B81">
      <w:pPr>
        <w:pStyle w:val="NoSpacing"/>
        <w:jc w:val="both"/>
        <w:rPr>
          <w:rFonts w:eastAsia="Calibri"/>
          <w:sz w:val="22"/>
          <w:szCs w:val="22"/>
          <w:lang w:val="sr-Latn-ME"/>
        </w:rPr>
      </w:pPr>
      <w:r w:rsidRPr="004F2B81">
        <w:rPr>
          <w:rFonts w:eastAsia="Calibri"/>
          <w:sz w:val="22"/>
          <w:szCs w:val="22"/>
          <w:lang w:val="sr-Latn-ME"/>
        </w:rPr>
        <w:t>Bulevar Ivana Crnojevića 64a, 81000 Podgorica</w:t>
      </w:r>
    </w:p>
    <w:p w14:paraId="5DBC6A0B" w14:textId="77777777" w:rsidR="0024155D" w:rsidRPr="004F2B81" w:rsidRDefault="0024155D" w:rsidP="004F2B81">
      <w:pPr>
        <w:pStyle w:val="NoSpacing"/>
        <w:rPr>
          <w:rFonts w:eastAsia="Calibri"/>
          <w:sz w:val="22"/>
          <w:szCs w:val="22"/>
          <w:lang w:val="sr-Latn-ME"/>
        </w:rPr>
      </w:pPr>
    </w:p>
    <w:p w14:paraId="203D207C" w14:textId="77777777" w:rsidR="0024155D" w:rsidRPr="004F2B81" w:rsidRDefault="0024155D" w:rsidP="004F2B81">
      <w:pPr>
        <w:pStyle w:val="NoSpacing"/>
        <w:jc w:val="both"/>
        <w:rPr>
          <w:rFonts w:eastAsia="Calibri"/>
          <w:sz w:val="22"/>
          <w:szCs w:val="22"/>
          <w:lang w:val="sr-Latn-ME"/>
        </w:rPr>
      </w:pPr>
      <w:r w:rsidRPr="004F2B81">
        <w:rPr>
          <w:rFonts w:eastAsia="Calibri"/>
          <w:sz w:val="22"/>
          <w:szCs w:val="22"/>
          <w:lang w:val="sr-Latn-ME"/>
        </w:rPr>
        <w:t>tel: +382 (0) 20 310 280</w:t>
      </w:r>
    </w:p>
    <w:p w14:paraId="6413EB85" w14:textId="77777777" w:rsidR="0024155D" w:rsidRPr="004F2B81" w:rsidRDefault="0024155D" w:rsidP="004F2B81">
      <w:pPr>
        <w:pStyle w:val="NoSpacing"/>
        <w:tabs>
          <w:tab w:val="left" w:pos="6720"/>
        </w:tabs>
        <w:jc w:val="both"/>
        <w:rPr>
          <w:rFonts w:eastAsia="Calibri"/>
          <w:sz w:val="22"/>
          <w:szCs w:val="22"/>
          <w:lang w:val="sr-Latn-ME"/>
        </w:rPr>
      </w:pPr>
      <w:r w:rsidRPr="004F2B81">
        <w:rPr>
          <w:rFonts w:eastAsia="Calibri"/>
          <w:sz w:val="22"/>
          <w:szCs w:val="22"/>
          <w:lang w:val="sr-Latn-ME"/>
        </w:rPr>
        <w:t>fax: +382 (0) 20 310 581</w:t>
      </w:r>
      <w:r w:rsidRPr="004F2B81">
        <w:rPr>
          <w:rFonts w:eastAsia="Calibri"/>
          <w:sz w:val="22"/>
          <w:szCs w:val="22"/>
          <w:lang w:val="sr-Latn-ME"/>
        </w:rPr>
        <w:tab/>
      </w:r>
    </w:p>
    <w:p w14:paraId="6B3F292D" w14:textId="77777777" w:rsidR="0024155D" w:rsidRPr="004F2B81" w:rsidRDefault="00AB6E2A" w:rsidP="004F2B81">
      <w:pPr>
        <w:pStyle w:val="NoSpacing"/>
        <w:jc w:val="both"/>
        <w:rPr>
          <w:rFonts w:eastAsia="Calibri"/>
          <w:sz w:val="22"/>
          <w:szCs w:val="22"/>
          <w:lang w:val="sr-Latn-ME"/>
        </w:rPr>
      </w:pPr>
      <w:hyperlink r:id="rId11" w:history="1">
        <w:r w:rsidR="0024155D" w:rsidRPr="004F2B81">
          <w:rPr>
            <w:rStyle w:val="Hyperlink"/>
            <w:rFonts w:eastAsia="Calibri"/>
            <w:sz w:val="22"/>
            <w:szCs w:val="22"/>
            <w:lang w:val="sr-Latn-ME"/>
          </w:rPr>
          <w:t>www.cinmed.me</w:t>
        </w:r>
      </w:hyperlink>
    </w:p>
    <w:p w14:paraId="711B97B5" w14:textId="77777777" w:rsidR="0024155D" w:rsidRPr="004F2B81" w:rsidRDefault="00AB6E2A" w:rsidP="004F2B81">
      <w:pPr>
        <w:pStyle w:val="NoSpacing"/>
        <w:jc w:val="both"/>
        <w:rPr>
          <w:rFonts w:eastAsia="Calibri"/>
          <w:color w:val="0000FF"/>
          <w:sz w:val="22"/>
          <w:szCs w:val="22"/>
          <w:u w:val="single"/>
          <w:lang w:val="sr-Latn-ME"/>
        </w:rPr>
      </w:pPr>
      <w:hyperlink r:id="rId12" w:history="1">
        <w:r w:rsidR="0024155D" w:rsidRPr="004F2B81">
          <w:rPr>
            <w:rStyle w:val="Hyperlink"/>
            <w:rFonts w:eastAsia="Calibri"/>
            <w:sz w:val="22"/>
            <w:szCs w:val="22"/>
            <w:lang w:val="sr-Latn-ME"/>
          </w:rPr>
          <w:t>nezeljenadejstva@cinmed.me</w:t>
        </w:r>
      </w:hyperlink>
    </w:p>
    <w:p w14:paraId="4A97FE67" w14:textId="77777777" w:rsidR="0024155D" w:rsidRPr="004F2B81" w:rsidRDefault="0024155D" w:rsidP="004F2B81">
      <w:pPr>
        <w:pStyle w:val="NoSpacing"/>
        <w:jc w:val="both"/>
        <w:rPr>
          <w:rFonts w:eastAsia="Calibri"/>
          <w:sz w:val="22"/>
          <w:szCs w:val="22"/>
          <w:lang w:val="sr-Latn-ME"/>
        </w:rPr>
      </w:pPr>
      <w:r w:rsidRPr="004F2B81">
        <w:rPr>
          <w:rFonts w:eastAsia="Calibri"/>
          <w:sz w:val="22"/>
          <w:szCs w:val="22"/>
          <w:lang w:val="sr-Latn-ME"/>
        </w:rPr>
        <w:t>putem IS zdravstvene zaštite</w:t>
      </w:r>
    </w:p>
    <w:p w14:paraId="440794CD" w14:textId="77777777" w:rsidR="0024155D" w:rsidRPr="004F2B81" w:rsidRDefault="0024155D" w:rsidP="004F2B81">
      <w:pPr>
        <w:pStyle w:val="NoSpacing"/>
        <w:jc w:val="both"/>
        <w:rPr>
          <w:rFonts w:eastAsia="Calibri"/>
          <w:sz w:val="22"/>
          <w:szCs w:val="22"/>
          <w:lang w:val="sr-Latn-ME"/>
        </w:rPr>
      </w:pPr>
      <w:r w:rsidRPr="004F2B81">
        <w:rPr>
          <w:rFonts w:eastAsia="Calibri"/>
          <w:sz w:val="22"/>
          <w:szCs w:val="22"/>
          <w:lang w:val="sr-Latn-ME"/>
        </w:rPr>
        <w:t>QR kod za online prijavu sumnje na neželjeno dejstvo lijeka:</w:t>
      </w:r>
    </w:p>
    <w:p w14:paraId="71E45F13" w14:textId="77777777" w:rsidR="0024155D" w:rsidRPr="004F2B81" w:rsidRDefault="0024155D" w:rsidP="004F2B81">
      <w:pPr>
        <w:pStyle w:val="NoSpacing"/>
        <w:jc w:val="both"/>
        <w:rPr>
          <w:rFonts w:eastAsia="Calibri"/>
          <w:sz w:val="22"/>
          <w:szCs w:val="22"/>
          <w:lang w:val="sr-Latn-ME"/>
        </w:rPr>
      </w:pPr>
    </w:p>
    <w:p w14:paraId="5C7DDE45" w14:textId="3D21B354" w:rsidR="00A334D4" w:rsidRPr="004F2B81" w:rsidRDefault="00A334D4" w:rsidP="004F2B81">
      <w:pPr>
        <w:pStyle w:val="NoSpacing"/>
        <w:rPr>
          <w:rFonts w:eastAsia="Calibri"/>
          <w:sz w:val="22"/>
          <w:szCs w:val="22"/>
          <w:lang w:val="sr-Latn-ME"/>
        </w:rPr>
      </w:pPr>
      <w:r>
        <w:rPr>
          <w:noProof/>
        </w:rPr>
        <w:drawing>
          <wp:inline distT="0" distB="0" distL="0" distR="0" wp14:anchorId="7B686E35" wp14:editId="36999624">
            <wp:extent cx="981075" cy="971550"/>
            <wp:effectExtent l="0" t="0" r="9525" b="0"/>
            <wp:docPr id="730355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inline>
        </w:drawing>
      </w:r>
    </w:p>
    <w:p w14:paraId="184B8B7B" w14:textId="77777777" w:rsidR="00CE09F3" w:rsidRPr="004F2B81" w:rsidRDefault="00CE09F3" w:rsidP="004F2B81">
      <w:pPr>
        <w:rPr>
          <w:szCs w:val="22"/>
          <w:lang w:val="sr-Latn-ME"/>
        </w:rPr>
      </w:pPr>
    </w:p>
    <w:p w14:paraId="184B8B7C" w14:textId="77777777" w:rsidR="00CE09F3" w:rsidRPr="004F2B81" w:rsidRDefault="00CE09F3" w:rsidP="004F2B81">
      <w:pPr>
        <w:rPr>
          <w:b/>
          <w:bCs/>
          <w:szCs w:val="22"/>
          <w:lang w:val="sr-Latn-ME"/>
        </w:rPr>
      </w:pPr>
      <w:r w:rsidRPr="004F2B81">
        <w:rPr>
          <w:b/>
          <w:bCs/>
          <w:szCs w:val="22"/>
          <w:lang w:val="sr-Latn-ME"/>
        </w:rPr>
        <w:t>4.9. Predoziranje</w:t>
      </w:r>
    </w:p>
    <w:p w14:paraId="184B8B7D" w14:textId="77777777" w:rsidR="00CE09F3" w:rsidRPr="004F2B81" w:rsidRDefault="00CE09F3" w:rsidP="004F2B81">
      <w:pPr>
        <w:rPr>
          <w:szCs w:val="22"/>
          <w:lang w:val="sr-Latn-ME"/>
        </w:rPr>
      </w:pPr>
    </w:p>
    <w:p w14:paraId="5C4168C4" w14:textId="397E7485" w:rsidR="00F44820" w:rsidRPr="004F2B81" w:rsidRDefault="00F44820" w:rsidP="004F2B81">
      <w:pPr>
        <w:rPr>
          <w:szCs w:val="22"/>
          <w:lang w:val="sr-Latn-ME"/>
        </w:rPr>
      </w:pPr>
      <w:r w:rsidRPr="004F2B81">
        <w:rPr>
          <w:szCs w:val="22"/>
          <w:lang w:val="sr-Latn-ME"/>
        </w:rPr>
        <w:t>Produžena primjena ili brza infuzija velikih zapremina 5% rastvora glukoze, može dovesti do hiperosmolarnosti i hiponatr</w:t>
      </w:r>
      <w:r w:rsidR="00EB4189">
        <w:rPr>
          <w:szCs w:val="22"/>
          <w:lang w:val="sr-Latn-ME"/>
        </w:rPr>
        <w:t>ij</w:t>
      </w:r>
      <w:r w:rsidRPr="004F2B81">
        <w:rPr>
          <w:szCs w:val="22"/>
          <w:lang w:val="sr-Latn-ME"/>
        </w:rPr>
        <w:t>emije, dehidracije, hiperglikemije, izražene glikozurije, osmotske diureze (usljed hiperglikemije), intoksikacije vodom i edema. Teška hiperglikemija i hiponatr</w:t>
      </w:r>
      <w:r w:rsidR="00EB4189">
        <w:rPr>
          <w:szCs w:val="22"/>
          <w:lang w:val="sr-Latn-ME"/>
        </w:rPr>
        <w:t>ij</w:t>
      </w:r>
      <w:r w:rsidRPr="004F2B81">
        <w:rPr>
          <w:szCs w:val="22"/>
          <w:lang w:val="sr-Latn-ME"/>
        </w:rPr>
        <w:t>emija mogu dovesti do smrtnog ishoda (</w:t>
      </w:r>
      <w:r w:rsidR="00EB4189">
        <w:rPr>
          <w:szCs w:val="22"/>
          <w:lang w:val="sr-Latn-ME"/>
        </w:rPr>
        <w:t xml:space="preserve">vidjeti </w:t>
      </w:r>
      <w:r w:rsidR="00A36E26" w:rsidRPr="004F2B81">
        <w:rPr>
          <w:szCs w:val="22"/>
          <w:lang w:val="sr-Latn-ME"/>
        </w:rPr>
        <w:t>djelove</w:t>
      </w:r>
      <w:r w:rsidRPr="004F2B81">
        <w:rPr>
          <w:szCs w:val="22"/>
          <w:lang w:val="sr-Latn-ME"/>
        </w:rPr>
        <w:t xml:space="preserve"> 4.4 i 4.8). </w:t>
      </w:r>
    </w:p>
    <w:p w14:paraId="545D181F" w14:textId="77777777" w:rsidR="00F44820" w:rsidRPr="004F2B81" w:rsidRDefault="00F44820" w:rsidP="004F2B81">
      <w:pPr>
        <w:pStyle w:val="Header"/>
        <w:tabs>
          <w:tab w:val="clear" w:pos="4536"/>
          <w:tab w:val="clear" w:pos="9072"/>
          <w:tab w:val="left" w:pos="284"/>
        </w:tabs>
        <w:rPr>
          <w:i/>
          <w:szCs w:val="22"/>
          <w:lang w:val="sr-Latn-ME"/>
        </w:rPr>
      </w:pPr>
    </w:p>
    <w:p w14:paraId="127343D7" w14:textId="614C56E3" w:rsidR="00F44820" w:rsidRPr="004F2B81" w:rsidRDefault="00F44820" w:rsidP="004F2B81">
      <w:pPr>
        <w:pStyle w:val="Header"/>
        <w:tabs>
          <w:tab w:val="clear" w:pos="4536"/>
          <w:tab w:val="clear" w:pos="9072"/>
          <w:tab w:val="left" w:pos="284"/>
        </w:tabs>
        <w:rPr>
          <w:szCs w:val="22"/>
          <w:lang w:val="sr-Latn-ME"/>
        </w:rPr>
      </w:pPr>
      <w:r w:rsidRPr="004F2B81">
        <w:rPr>
          <w:szCs w:val="22"/>
          <w:lang w:val="sr-Latn-ME"/>
        </w:rPr>
        <w:t xml:space="preserve">U slučaju sumnje na predoziranje, odmah prekinuti primjenu infuzije 5% rastvora glukoze. Liječenje predoziranja je simptomatsko i suportivno, uz odgovarajući monitoring. </w:t>
      </w:r>
    </w:p>
    <w:p w14:paraId="2AF60976" w14:textId="77777777" w:rsidR="00F44820" w:rsidRPr="004F2B81" w:rsidRDefault="00F44820" w:rsidP="004F2B81">
      <w:pPr>
        <w:pStyle w:val="NASLOV123"/>
        <w:spacing w:before="0" w:after="0"/>
        <w:jc w:val="both"/>
        <w:rPr>
          <w:lang w:val="sr-Latn-ME"/>
        </w:rPr>
      </w:pPr>
    </w:p>
    <w:p w14:paraId="127E1EBC" w14:textId="77777777" w:rsidR="00F44820" w:rsidRPr="004F2B81" w:rsidRDefault="00F44820" w:rsidP="004F2B81">
      <w:pPr>
        <w:pStyle w:val="NASLOV123"/>
        <w:spacing w:before="0" w:after="0"/>
        <w:jc w:val="both"/>
        <w:rPr>
          <w:lang w:val="sr-Latn-ME"/>
        </w:rPr>
      </w:pPr>
    </w:p>
    <w:p w14:paraId="184B8B82" w14:textId="3BD5C1F1" w:rsidR="00CE09F3" w:rsidRPr="004F2B81" w:rsidRDefault="00CE09F3" w:rsidP="004F2B81">
      <w:pPr>
        <w:pStyle w:val="NASLOV123"/>
        <w:spacing w:before="0" w:after="0"/>
        <w:jc w:val="both"/>
        <w:rPr>
          <w:lang w:val="sr-Latn-ME"/>
        </w:rPr>
      </w:pPr>
      <w:r w:rsidRPr="004F2B81">
        <w:rPr>
          <w:lang w:val="sr-Latn-ME"/>
        </w:rPr>
        <w:t>5. FARMAKOLOŠKI PODACI</w:t>
      </w:r>
    </w:p>
    <w:p w14:paraId="5C32BA7A" w14:textId="77777777" w:rsidR="00F44820" w:rsidRPr="004F2B81" w:rsidRDefault="00F44820" w:rsidP="004F2B81">
      <w:pPr>
        <w:rPr>
          <w:b/>
          <w:bCs/>
          <w:szCs w:val="22"/>
          <w:lang w:val="sr-Latn-ME"/>
        </w:rPr>
      </w:pPr>
    </w:p>
    <w:p w14:paraId="184B8B83" w14:textId="48AE279E" w:rsidR="00CE09F3" w:rsidRPr="004F2B81" w:rsidRDefault="00CE09F3" w:rsidP="004F2B81">
      <w:pPr>
        <w:rPr>
          <w:b/>
          <w:bCs/>
          <w:szCs w:val="22"/>
          <w:lang w:val="sr-Latn-ME"/>
        </w:rPr>
      </w:pPr>
      <w:r w:rsidRPr="004F2B81">
        <w:rPr>
          <w:b/>
          <w:bCs/>
          <w:szCs w:val="22"/>
          <w:lang w:val="sr-Latn-ME"/>
        </w:rPr>
        <w:t>5.1. Farmakodinamski podaci</w:t>
      </w:r>
    </w:p>
    <w:p w14:paraId="302147C2" w14:textId="77777777" w:rsidR="00193172" w:rsidRPr="004F2B81" w:rsidRDefault="00193172" w:rsidP="004F2B81">
      <w:pPr>
        <w:pStyle w:val="Header"/>
        <w:tabs>
          <w:tab w:val="clear" w:pos="4536"/>
          <w:tab w:val="clear" w:pos="9072"/>
          <w:tab w:val="left" w:pos="284"/>
        </w:tabs>
        <w:rPr>
          <w:b/>
          <w:bCs/>
          <w:szCs w:val="22"/>
          <w:lang w:val="sr-Latn-ME"/>
        </w:rPr>
      </w:pPr>
    </w:p>
    <w:p w14:paraId="7EC77E3A" w14:textId="3B5115F0" w:rsidR="00DD1120" w:rsidRDefault="00DD1120" w:rsidP="004F2B81">
      <w:pPr>
        <w:pStyle w:val="Header"/>
        <w:tabs>
          <w:tab w:val="clear" w:pos="4536"/>
          <w:tab w:val="clear" w:pos="9072"/>
          <w:tab w:val="left" w:pos="284"/>
        </w:tabs>
        <w:rPr>
          <w:szCs w:val="22"/>
          <w:lang w:val="sr-Latn-ME"/>
        </w:rPr>
      </w:pPr>
      <w:r w:rsidRPr="004F2B81">
        <w:rPr>
          <w:b/>
          <w:bCs/>
          <w:szCs w:val="22"/>
          <w:lang w:val="sr-Latn-ME"/>
        </w:rPr>
        <w:t xml:space="preserve">Farmakoterapijska grupa: </w:t>
      </w:r>
      <w:r w:rsidRPr="004F2B81">
        <w:rPr>
          <w:szCs w:val="22"/>
          <w:lang w:val="sr-Latn-ME"/>
        </w:rPr>
        <w:t xml:space="preserve">Rastvori za intravensku primjenu. Rastvori za parenteralnu ishranu. </w:t>
      </w:r>
    </w:p>
    <w:p w14:paraId="30C360DF" w14:textId="77777777" w:rsidR="00EB4189" w:rsidRPr="004F2B81" w:rsidRDefault="00EB4189" w:rsidP="004F2B81">
      <w:pPr>
        <w:pStyle w:val="Header"/>
        <w:tabs>
          <w:tab w:val="clear" w:pos="4536"/>
          <w:tab w:val="clear" w:pos="9072"/>
          <w:tab w:val="left" w:pos="284"/>
        </w:tabs>
        <w:rPr>
          <w:szCs w:val="22"/>
          <w:lang w:val="sr-Latn-ME"/>
        </w:rPr>
      </w:pPr>
    </w:p>
    <w:p w14:paraId="46426AD6" w14:textId="77777777" w:rsidR="00DD1120" w:rsidRPr="004F2B81" w:rsidRDefault="00DD1120" w:rsidP="004F2B81">
      <w:pPr>
        <w:rPr>
          <w:b/>
          <w:bCs/>
          <w:szCs w:val="22"/>
          <w:lang w:val="sr-Latn-ME"/>
        </w:rPr>
      </w:pPr>
      <w:r w:rsidRPr="004F2B81">
        <w:rPr>
          <w:b/>
          <w:bCs/>
          <w:szCs w:val="22"/>
          <w:lang w:val="sr-Latn-ME"/>
        </w:rPr>
        <w:t xml:space="preserve">ATC kod: </w:t>
      </w:r>
      <w:r w:rsidRPr="004F2B81">
        <w:rPr>
          <w:szCs w:val="22"/>
          <w:lang w:val="sr-Latn-ME"/>
        </w:rPr>
        <w:t>B05BA03</w:t>
      </w:r>
    </w:p>
    <w:p w14:paraId="184B8B86" w14:textId="77777777" w:rsidR="00CE09F3" w:rsidRPr="004F2B81" w:rsidRDefault="00CE09F3" w:rsidP="004F2B81">
      <w:pPr>
        <w:rPr>
          <w:szCs w:val="22"/>
          <w:lang w:val="sr-Latn-ME"/>
        </w:rPr>
      </w:pPr>
    </w:p>
    <w:p w14:paraId="562396B8" w14:textId="586EAFC3" w:rsidR="000C315D" w:rsidRPr="004F2B81" w:rsidRDefault="000C315D" w:rsidP="000C315D">
      <w:pPr>
        <w:rPr>
          <w:szCs w:val="22"/>
          <w:lang w:val="sr-Latn-ME"/>
        </w:rPr>
      </w:pPr>
      <w:r w:rsidRPr="004F2B81">
        <w:rPr>
          <w:szCs w:val="22"/>
          <w:lang w:val="sr-Latn-ME"/>
        </w:rPr>
        <w:t>Farmakodinamska svojstva ovog rastvora potiču od glukoze,</w:t>
      </w:r>
      <w:r w:rsidRPr="004F2B81">
        <w:rPr>
          <w:color w:val="000000"/>
          <w:szCs w:val="22"/>
          <w:lang w:val="sr-Latn-ME"/>
        </w:rPr>
        <w:t xml:space="preserve"> kao glavnog izvora energije u ćelijskom metabolizmu. </w:t>
      </w:r>
      <w:r>
        <w:rPr>
          <w:color w:val="000000"/>
          <w:szCs w:val="22"/>
          <w:lang w:val="sr-Latn-ME"/>
        </w:rPr>
        <w:t>Ovaj rastvor</w:t>
      </w:r>
      <w:r w:rsidRPr="004F2B81">
        <w:rPr>
          <w:szCs w:val="22"/>
          <w:lang w:val="sr-Latn-ME"/>
        </w:rPr>
        <w:t xml:space="preserve"> se daje kao izvor ugljenih hidrata u sklopu parenteralne ishrane</w:t>
      </w:r>
      <w:r w:rsidRPr="004F2B81">
        <w:rPr>
          <w:color w:val="000000"/>
          <w:szCs w:val="22"/>
          <w:lang w:val="sr-Latn-ME"/>
        </w:rPr>
        <w:t xml:space="preserve">. </w:t>
      </w:r>
      <w:r w:rsidRPr="004F2B81">
        <w:rPr>
          <w:szCs w:val="22"/>
          <w:lang w:val="sr-Latn-ME"/>
        </w:rPr>
        <w:t>Rastvor glukoze 5% obezbjeđuje kalorijski unos od 200 kcal/</w:t>
      </w:r>
      <w:r>
        <w:rPr>
          <w:szCs w:val="22"/>
          <w:lang w:val="sr-Latn-ME"/>
        </w:rPr>
        <w:t>l</w:t>
      </w:r>
      <w:r w:rsidRPr="004F2B81">
        <w:rPr>
          <w:szCs w:val="22"/>
          <w:lang w:val="sr-Latn-ME"/>
        </w:rPr>
        <w:t xml:space="preserve">. Takođe, ovaj infuzioni rastvor omogućava rehidrataciju bez dodavanja elektrolita. </w:t>
      </w:r>
    </w:p>
    <w:p w14:paraId="1BECE6BB" w14:textId="77777777" w:rsidR="000C315D" w:rsidRDefault="000C315D" w:rsidP="004F2B81">
      <w:pPr>
        <w:rPr>
          <w:szCs w:val="22"/>
          <w:lang w:val="sr-Latn-ME"/>
        </w:rPr>
      </w:pPr>
    </w:p>
    <w:p w14:paraId="184B8B87" w14:textId="4348E9AF" w:rsidR="0076523B" w:rsidRPr="004F2B81" w:rsidRDefault="006C09B1" w:rsidP="004F2B81">
      <w:pPr>
        <w:rPr>
          <w:szCs w:val="22"/>
          <w:lang w:val="sr-Latn-ME"/>
        </w:rPr>
      </w:pPr>
      <w:r w:rsidRPr="004F2B81">
        <w:rPr>
          <w:szCs w:val="22"/>
          <w:lang w:val="sr-Latn-ME"/>
        </w:rPr>
        <w:t>Lijek Glucosi infundibile</w:t>
      </w:r>
      <w:r w:rsidR="00A851AF">
        <w:rPr>
          <w:szCs w:val="22"/>
          <w:lang w:val="sr-Latn-ME"/>
        </w:rPr>
        <w:t xml:space="preserve"> HF</w:t>
      </w:r>
      <w:r w:rsidRPr="004F2B81">
        <w:rPr>
          <w:szCs w:val="22"/>
          <w:lang w:val="sr-Latn-ME"/>
        </w:rPr>
        <w:t>, 5%, rastvor za infuziju je izoosmotski rastvor, sa teorijskim osmolaritetom od 277 mOsm/</w:t>
      </w:r>
      <w:r w:rsidR="00EB4189">
        <w:rPr>
          <w:szCs w:val="22"/>
          <w:lang w:val="sr-Latn-ME"/>
        </w:rPr>
        <w:t>l</w:t>
      </w:r>
      <w:r w:rsidRPr="004F2B81">
        <w:rPr>
          <w:szCs w:val="22"/>
          <w:lang w:val="sr-Latn-ME"/>
        </w:rPr>
        <w:t xml:space="preserve">. </w:t>
      </w:r>
    </w:p>
    <w:p w14:paraId="184B8B88" w14:textId="77777777" w:rsidR="0076523B" w:rsidRPr="004F2B81" w:rsidRDefault="0076523B" w:rsidP="004F2B81">
      <w:pPr>
        <w:rPr>
          <w:szCs w:val="22"/>
          <w:lang w:val="sr-Latn-ME"/>
        </w:rPr>
      </w:pPr>
    </w:p>
    <w:p w14:paraId="5469BD0D" w14:textId="451DC7E6" w:rsidR="00F34AA9" w:rsidRPr="004F2B81" w:rsidRDefault="00F34AA9" w:rsidP="004F2B81">
      <w:pPr>
        <w:rPr>
          <w:szCs w:val="22"/>
          <w:u w:val="single"/>
          <w:lang w:val="sr-Latn-ME"/>
        </w:rPr>
      </w:pPr>
      <w:r w:rsidRPr="004F2B81">
        <w:rPr>
          <w:szCs w:val="22"/>
          <w:lang w:val="sr-Latn-ME"/>
        </w:rPr>
        <w:t xml:space="preserve">Kada se u </w:t>
      </w:r>
      <w:r w:rsidR="00F71D53" w:rsidRPr="00F71D53">
        <w:rPr>
          <w:szCs w:val="22"/>
          <w:lang w:val="sr-Latn-ME"/>
        </w:rPr>
        <w:t>l</w:t>
      </w:r>
      <w:r w:rsidR="00F71D53">
        <w:rPr>
          <w:szCs w:val="22"/>
          <w:lang w:val="sr-Latn-ME"/>
        </w:rPr>
        <w:t>ij</w:t>
      </w:r>
      <w:r w:rsidR="00F71D53" w:rsidRPr="00F71D53">
        <w:rPr>
          <w:szCs w:val="22"/>
          <w:lang w:val="sr-Latn-ME"/>
        </w:rPr>
        <w:t>ek Glucosi infundibile HF, 5%, rastvor za infuziju</w:t>
      </w:r>
      <w:r w:rsidRPr="004F2B81">
        <w:rPr>
          <w:szCs w:val="22"/>
          <w:lang w:val="sr-Latn-ME"/>
        </w:rPr>
        <w:t xml:space="preserve">, doda neki lijek, farmakodinamika tako dobijenog rastvora zavisiće od prirode svakog lijeka ponaosob. </w:t>
      </w:r>
    </w:p>
    <w:p w14:paraId="184B8B8A" w14:textId="77777777" w:rsidR="0076523B" w:rsidRPr="004F2B81" w:rsidRDefault="0076523B" w:rsidP="004F2B81">
      <w:pPr>
        <w:rPr>
          <w:szCs w:val="22"/>
          <w:lang w:val="sr-Latn-ME"/>
        </w:rPr>
      </w:pPr>
    </w:p>
    <w:p w14:paraId="184B8B8B" w14:textId="77777777" w:rsidR="00CE09F3" w:rsidRPr="004F2B81" w:rsidRDefault="00CE09F3" w:rsidP="004F2B81">
      <w:pPr>
        <w:rPr>
          <w:b/>
          <w:bCs/>
          <w:szCs w:val="22"/>
          <w:lang w:val="sr-Latn-ME"/>
        </w:rPr>
      </w:pPr>
      <w:r w:rsidRPr="004F2B81">
        <w:rPr>
          <w:b/>
          <w:bCs/>
          <w:szCs w:val="22"/>
          <w:lang w:val="sr-Latn-ME"/>
        </w:rPr>
        <w:t>5.2. Farmakokinetički podaci</w:t>
      </w:r>
    </w:p>
    <w:p w14:paraId="184B8B8C" w14:textId="77777777" w:rsidR="00CE09F3" w:rsidRPr="004F2B81" w:rsidRDefault="00CE09F3" w:rsidP="004F2B81">
      <w:pPr>
        <w:rPr>
          <w:szCs w:val="22"/>
          <w:lang w:val="sr-Latn-ME"/>
        </w:rPr>
      </w:pPr>
    </w:p>
    <w:p w14:paraId="604F057A" w14:textId="5F39C779" w:rsidR="00267C65" w:rsidRPr="004F2B81" w:rsidRDefault="00267C65" w:rsidP="004F2B81">
      <w:pPr>
        <w:pStyle w:val="Header"/>
        <w:tabs>
          <w:tab w:val="clear" w:pos="4536"/>
          <w:tab w:val="clear" w:pos="9072"/>
          <w:tab w:val="left" w:pos="284"/>
        </w:tabs>
        <w:rPr>
          <w:szCs w:val="22"/>
          <w:lang w:val="sr-Latn-ME"/>
        </w:rPr>
      </w:pPr>
      <w:r w:rsidRPr="004F2B81">
        <w:rPr>
          <w:szCs w:val="22"/>
          <w:lang w:val="sr-Latn-ME"/>
        </w:rPr>
        <w:t>Glukoza se metaboliše preko pirogrožđane kiseline ili mliječne kiseline do ugljen</w:t>
      </w:r>
      <w:r w:rsidR="00EB4189">
        <w:rPr>
          <w:szCs w:val="22"/>
          <w:lang w:val="sr-Latn-ME"/>
        </w:rPr>
        <w:t xml:space="preserve"> </w:t>
      </w:r>
      <w:r w:rsidRPr="004F2B81">
        <w:rPr>
          <w:szCs w:val="22"/>
          <w:lang w:val="sr-Latn-ME"/>
        </w:rPr>
        <w:t xml:space="preserve">dioksida i vode, uz oslobađanje energije. </w:t>
      </w:r>
    </w:p>
    <w:p w14:paraId="529206DD" w14:textId="77777777" w:rsidR="00267C65" w:rsidRPr="004F2B81" w:rsidRDefault="00267C65" w:rsidP="004F2B81">
      <w:pPr>
        <w:pStyle w:val="Header"/>
        <w:tabs>
          <w:tab w:val="clear" w:pos="4536"/>
          <w:tab w:val="clear" w:pos="9072"/>
          <w:tab w:val="left" w:pos="284"/>
        </w:tabs>
        <w:rPr>
          <w:szCs w:val="22"/>
          <w:lang w:val="sr-Latn-ME"/>
        </w:rPr>
      </w:pPr>
    </w:p>
    <w:p w14:paraId="471E3B8E" w14:textId="3911AF60" w:rsidR="00267C65" w:rsidRPr="004F2B81" w:rsidRDefault="00267C65" w:rsidP="004F2B81">
      <w:pPr>
        <w:rPr>
          <w:szCs w:val="22"/>
          <w:lang w:val="sr-Latn-ME"/>
        </w:rPr>
      </w:pPr>
      <w:r w:rsidRPr="004F2B81">
        <w:rPr>
          <w:szCs w:val="22"/>
          <w:lang w:val="sr-Latn-ME"/>
        </w:rPr>
        <w:t>Kada se u lijek Glucosi infundibile</w:t>
      </w:r>
      <w:r w:rsidR="00A851AF">
        <w:rPr>
          <w:szCs w:val="22"/>
          <w:lang w:val="sr-Latn-ME"/>
        </w:rPr>
        <w:t xml:space="preserve"> HF</w:t>
      </w:r>
      <w:r w:rsidRPr="004F2B81">
        <w:rPr>
          <w:szCs w:val="22"/>
          <w:lang w:val="sr-Latn-ME"/>
        </w:rPr>
        <w:t>, 5%, rastvor za infuziju, doda neki lijek, farmakokinetika tako dobijenog rastvora zavisiće od prirode svakog lijeka ponaosob.</w:t>
      </w:r>
    </w:p>
    <w:p w14:paraId="184B8B90" w14:textId="77777777" w:rsidR="0076523B" w:rsidRPr="004F2B81" w:rsidRDefault="0076523B" w:rsidP="004F2B81">
      <w:pPr>
        <w:rPr>
          <w:szCs w:val="22"/>
          <w:lang w:val="sr-Latn-ME"/>
        </w:rPr>
      </w:pPr>
    </w:p>
    <w:p w14:paraId="3AC8C8F2" w14:textId="26B6AD26" w:rsidR="00676FB6" w:rsidRPr="004F2B81" w:rsidRDefault="00676FB6" w:rsidP="004F2B81">
      <w:pPr>
        <w:rPr>
          <w:b/>
          <w:bCs/>
          <w:szCs w:val="22"/>
          <w:lang w:val="sr-Latn-ME"/>
        </w:rPr>
      </w:pPr>
      <w:r w:rsidRPr="004F2B81">
        <w:rPr>
          <w:b/>
          <w:bCs/>
          <w:szCs w:val="22"/>
          <w:lang w:val="sr-Latn-ME"/>
        </w:rPr>
        <w:t xml:space="preserve">5.3. Pretklinički podaci o bezbjednosti </w:t>
      </w:r>
    </w:p>
    <w:p w14:paraId="43D1AF6D" w14:textId="77777777" w:rsidR="00676FB6" w:rsidRPr="004F2B81" w:rsidRDefault="00676FB6" w:rsidP="004F2B81">
      <w:pPr>
        <w:rPr>
          <w:szCs w:val="22"/>
          <w:lang w:val="sr-Latn-ME"/>
        </w:rPr>
      </w:pPr>
    </w:p>
    <w:p w14:paraId="5E43B553" w14:textId="35E2EE10" w:rsidR="00676FB6" w:rsidRPr="004F2B81" w:rsidRDefault="00676FB6" w:rsidP="004F2B81">
      <w:pPr>
        <w:pStyle w:val="Header"/>
        <w:tabs>
          <w:tab w:val="clear" w:pos="4536"/>
          <w:tab w:val="clear" w:pos="9072"/>
          <w:tab w:val="left" w:pos="284"/>
        </w:tabs>
        <w:rPr>
          <w:bCs/>
          <w:szCs w:val="22"/>
          <w:lang w:val="sr-Latn-ME"/>
        </w:rPr>
      </w:pPr>
      <w:r w:rsidRPr="004F2B81">
        <w:rPr>
          <w:bCs/>
          <w:szCs w:val="22"/>
          <w:lang w:val="sr-Latn-ME"/>
        </w:rPr>
        <w:t>Pretklinički podaci o bezbjednosti ovog rastvora za infuziju, ni</w:t>
      </w:r>
      <w:r w:rsidR="00EB4189">
        <w:rPr>
          <w:bCs/>
          <w:szCs w:val="22"/>
          <w:lang w:val="sr-Latn-ME"/>
        </w:rPr>
        <w:t>je</w:t>
      </w:r>
      <w:r w:rsidRPr="004F2B81">
        <w:rPr>
          <w:bCs/>
          <w:szCs w:val="22"/>
          <w:lang w:val="sr-Latn-ME"/>
        </w:rPr>
        <w:t xml:space="preserve">su relevantni pošto supstance iz rastvora predstavljaju fiziološke komponente plazme kod ljudi i životinja. </w:t>
      </w:r>
    </w:p>
    <w:p w14:paraId="66900AFD" w14:textId="77777777" w:rsidR="00676FB6" w:rsidRPr="004F2B81" w:rsidRDefault="00676FB6" w:rsidP="004F2B81">
      <w:pPr>
        <w:pStyle w:val="Header"/>
        <w:tabs>
          <w:tab w:val="clear" w:pos="4536"/>
          <w:tab w:val="clear" w:pos="9072"/>
          <w:tab w:val="left" w:pos="284"/>
        </w:tabs>
        <w:rPr>
          <w:bCs/>
          <w:szCs w:val="22"/>
          <w:lang w:val="sr-Latn-ME"/>
        </w:rPr>
      </w:pPr>
    </w:p>
    <w:p w14:paraId="3F0283F2" w14:textId="77777777" w:rsidR="00676FB6" w:rsidRPr="004F2B81" w:rsidRDefault="00676FB6" w:rsidP="004F2B81">
      <w:pPr>
        <w:rPr>
          <w:bCs/>
          <w:szCs w:val="22"/>
          <w:lang w:val="sr-Latn-ME"/>
        </w:rPr>
      </w:pPr>
      <w:r w:rsidRPr="004F2B81">
        <w:rPr>
          <w:bCs/>
          <w:szCs w:val="22"/>
          <w:lang w:val="sr-Latn-ME"/>
        </w:rPr>
        <w:t>Bezbjednost primjene ljekova koji se dodaju u rastvor, treba razmatrati zasebno.</w:t>
      </w:r>
    </w:p>
    <w:p w14:paraId="24645033" w14:textId="77777777" w:rsidR="00E47F28" w:rsidRPr="004F2B81" w:rsidRDefault="00E47F28" w:rsidP="004F2B81">
      <w:pPr>
        <w:rPr>
          <w:szCs w:val="22"/>
          <w:lang w:val="sr-Latn-ME"/>
        </w:rPr>
      </w:pPr>
    </w:p>
    <w:p w14:paraId="705F21B6" w14:textId="77777777" w:rsidR="00676FB6" w:rsidRPr="004F2B81" w:rsidRDefault="00676FB6" w:rsidP="004F2B81">
      <w:pPr>
        <w:rPr>
          <w:szCs w:val="22"/>
          <w:lang w:val="sr-Latn-ME"/>
        </w:rPr>
      </w:pPr>
    </w:p>
    <w:p w14:paraId="184B8B96" w14:textId="77777777" w:rsidR="00CE09F3" w:rsidRPr="004F2B81" w:rsidRDefault="00CE09F3" w:rsidP="004F2B81">
      <w:pPr>
        <w:pStyle w:val="NASLOV123"/>
        <w:spacing w:before="0" w:after="0"/>
        <w:jc w:val="both"/>
        <w:rPr>
          <w:lang w:val="sr-Latn-ME"/>
        </w:rPr>
      </w:pPr>
      <w:r w:rsidRPr="004F2B81">
        <w:rPr>
          <w:lang w:val="sr-Latn-ME"/>
        </w:rPr>
        <w:t>6. FARMACEUTSKI PODACI</w:t>
      </w:r>
    </w:p>
    <w:p w14:paraId="06076B2A" w14:textId="77777777" w:rsidR="00676FB6" w:rsidRPr="004F2B81" w:rsidRDefault="00676FB6" w:rsidP="004F2B81">
      <w:pPr>
        <w:rPr>
          <w:b/>
          <w:bCs/>
          <w:szCs w:val="22"/>
          <w:lang w:val="sr-Latn-ME"/>
        </w:rPr>
      </w:pPr>
    </w:p>
    <w:p w14:paraId="48C7C3D3" w14:textId="77777777" w:rsidR="00D23BEE" w:rsidRPr="004F2B81" w:rsidRDefault="00D23BEE" w:rsidP="004F2B81">
      <w:pPr>
        <w:rPr>
          <w:b/>
          <w:bCs/>
          <w:szCs w:val="22"/>
          <w:lang w:val="sr-Latn-ME"/>
        </w:rPr>
      </w:pPr>
      <w:r w:rsidRPr="004F2B81">
        <w:rPr>
          <w:b/>
          <w:bCs/>
          <w:szCs w:val="22"/>
          <w:lang w:val="sr-Latn-ME"/>
        </w:rPr>
        <w:t>6.1. Lista pomoćnih supstanci (ekscipijenasa)</w:t>
      </w:r>
    </w:p>
    <w:p w14:paraId="184B8B98" w14:textId="77777777" w:rsidR="0076523B" w:rsidRPr="004F2B81" w:rsidRDefault="0076523B" w:rsidP="004F2B81">
      <w:pPr>
        <w:rPr>
          <w:b/>
          <w:bCs/>
          <w:szCs w:val="22"/>
          <w:lang w:val="sr-Latn-ME"/>
        </w:rPr>
      </w:pPr>
    </w:p>
    <w:p w14:paraId="184B8B99" w14:textId="77777777" w:rsidR="0076523B" w:rsidRPr="004F2B81" w:rsidRDefault="0076523B" w:rsidP="00E90FF7">
      <w:pPr>
        <w:pStyle w:val="Header"/>
        <w:tabs>
          <w:tab w:val="clear" w:pos="4536"/>
          <w:tab w:val="clear" w:pos="9072"/>
          <w:tab w:val="left" w:pos="284"/>
        </w:tabs>
        <w:rPr>
          <w:szCs w:val="22"/>
          <w:lang w:val="sr-Latn-ME"/>
        </w:rPr>
      </w:pPr>
      <w:r w:rsidRPr="004F2B81">
        <w:rPr>
          <w:szCs w:val="22"/>
          <w:lang w:val="sr-Latn-ME"/>
        </w:rPr>
        <w:t>Hlorovodonična kis</w:t>
      </w:r>
      <w:r w:rsidR="000E42AD" w:rsidRPr="004F2B81">
        <w:rPr>
          <w:szCs w:val="22"/>
          <w:lang w:val="sr-Latn-ME"/>
        </w:rPr>
        <w:t>e</w:t>
      </w:r>
      <w:r w:rsidRPr="004F2B81">
        <w:rPr>
          <w:szCs w:val="22"/>
          <w:lang w:val="sr-Latn-ME"/>
        </w:rPr>
        <w:t>lina, koncentrovana (za podešavanje pH)</w:t>
      </w:r>
    </w:p>
    <w:p w14:paraId="184B8B9A" w14:textId="46A6522F" w:rsidR="00CE09F3" w:rsidRPr="00CC4573" w:rsidRDefault="0076523B" w:rsidP="00E90FF7">
      <w:pPr>
        <w:rPr>
          <w:szCs w:val="22"/>
          <w:lang w:val="sr-Latn-ME"/>
        </w:rPr>
      </w:pPr>
      <w:r w:rsidRPr="00CC4573">
        <w:rPr>
          <w:szCs w:val="22"/>
          <w:lang w:val="sr-Latn-ME"/>
        </w:rPr>
        <w:t>Voda za injekcije</w:t>
      </w:r>
    </w:p>
    <w:p w14:paraId="184B8B9B" w14:textId="77777777" w:rsidR="0076523B" w:rsidRPr="004F2B81" w:rsidRDefault="0076523B" w:rsidP="004F2B81">
      <w:pPr>
        <w:pStyle w:val="ListParagraph"/>
        <w:rPr>
          <w:szCs w:val="22"/>
          <w:lang w:val="sr-Latn-ME"/>
        </w:rPr>
      </w:pPr>
    </w:p>
    <w:p w14:paraId="184B8B9C" w14:textId="4283275C" w:rsidR="00CE09F3" w:rsidRPr="004F2B81" w:rsidRDefault="00CE09F3" w:rsidP="004F2B81">
      <w:pPr>
        <w:rPr>
          <w:b/>
          <w:bCs/>
          <w:szCs w:val="22"/>
          <w:lang w:val="sr-Latn-ME"/>
        </w:rPr>
      </w:pPr>
      <w:r w:rsidRPr="004F2B81">
        <w:rPr>
          <w:b/>
          <w:bCs/>
          <w:szCs w:val="22"/>
          <w:lang w:val="sr-Latn-ME"/>
        </w:rPr>
        <w:t>6.2. Inkompatibilnost</w:t>
      </w:r>
      <w:r w:rsidR="00D23BEE" w:rsidRPr="004F2B81">
        <w:rPr>
          <w:b/>
          <w:bCs/>
          <w:szCs w:val="22"/>
          <w:lang w:val="sr-Latn-ME"/>
        </w:rPr>
        <w:t>i</w:t>
      </w:r>
    </w:p>
    <w:p w14:paraId="184B8B9D" w14:textId="77777777" w:rsidR="00CE09F3" w:rsidRPr="004F2B81" w:rsidRDefault="00CE09F3" w:rsidP="004F2B81">
      <w:pPr>
        <w:rPr>
          <w:szCs w:val="22"/>
          <w:lang w:val="sr-Latn-ME"/>
        </w:rPr>
      </w:pPr>
    </w:p>
    <w:p w14:paraId="75B10174" w14:textId="0D93314E" w:rsidR="00870781" w:rsidRPr="004F2B81" w:rsidRDefault="00870781" w:rsidP="004F2B81">
      <w:pPr>
        <w:pStyle w:val="Header"/>
        <w:tabs>
          <w:tab w:val="clear" w:pos="4536"/>
          <w:tab w:val="clear" w:pos="9072"/>
          <w:tab w:val="left" w:pos="284"/>
        </w:tabs>
        <w:rPr>
          <w:szCs w:val="22"/>
          <w:lang w:val="sr-Latn-ME"/>
        </w:rPr>
      </w:pPr>
      <w:r w:rsidRPr="004F2B81">
        <w:rPr>
          <w:szCs w:val="22"/>
          <w:lang w:val="sr-Latn-ME"/>
        </w:rPr>
        <w:t>Lijek Glucosi infundibile</w:t>
      </w:r>
      <w:r w:rsidR="00A851AF">
        <w:rPr>
          <w:szCs w:val="22"/>
          <w:lang w:val="sr-Latn-ME"/>
        </w:rPr>
        <w:t xml:space="preserve"> HF</w:t>
      </w:r>
      <w:r w:rsidR="008E3D7F" w:rsidRPr="004F2B81">
        <w:rPr>
          <w:szCs w:val="22"/>
          <w:lang w:val="sr-Latn-ME"/>
        </w:rPr>
        <w:t>,</w:t>
      </w:r>
      <w:r w:rsidRPr="004F2B81">
        <w:rPr>
          <w:szCs w:val="22"/>
          <w:lang w:val="sr-Latn-ME"/>
        </w:rPr>
        <w:t xml:space="preserve"> 5%</w:t>
      </w:r>
      <w:r w:rsidR="00993CAF">
        <w:rPr>
          <w:szCs w:val="22"/>
          <w:lang w:val="sr-Latn-ME"/>
        </w:rPr>
        <w:t xml:space="preserve">, </w:t>
      </w:r>
      <w:r w:rsidR="00993CAF" w:rsidRPr="00993CAF">
        <w:rPr>
          <w:szCs w:val="22"/>
          <w:lang w:val="sr-Latn-ME"/>
        </w:rPr>
        <w:t>rastvor za infuziju</w:t>
      </w:r>
      <w:r w:rsidRPr="004F2B81">
        <w:rPr>
          <w:szCs w:val="22"/>
          <w:lang w:val="sr-Latn-ME"/>
        </w:rPr>
        <w:t xml:space="preserve"> se ne smije </w:t>
      </w:r>
      <w:r w:rsidR="00E70330" w:rsidRPr="004F2B81">
        <w:rPr>
          <w:szCs w:val="22"/>
          <w:lang w:val="sr-Latn-ME"/>
        </w:rPr>
        <w:t>primjenjivati</w:t>
      </w:r>
      <w:r w:rsidRPr="004F2B81">
        <w:rPr>
          <w:szCs w:val="22"/>
          <w:lang w:val="sr-Latn-ME"/>
        </w:rPr>
        <w:t xml:space="preserve"> istovremeno, prije ili posl</w:t>
      </w:r>
      <w:r w:rsidR="002165C7">
        <w:rPr>
          <w:szCs w:val="22"/>
          <w:lang w:val="sr-Latn-ME"/>
        </w:rPr>
        <w:t>ij</w:t>
      </w:r>
      <w:r w:rsidRPr="004F2B81">
        <w:rPr>
          <w:szCs w:val="22"/>
          <w:lang w:val="sr-Latn-ME"/>
        </w:rPr>
        <w:t>e davanja krvi kroz isti infuzioni set, jer može doći do hemolize i pseudoaglutinacije.</w:t>
      </w:r>
    </w:p>
    <w:p w14:paraId="2291A352" w14:textId="77777777" w:rsidR="00870781" w:rsidRPr="004F2B81" w:rsidRDefault="00870781" w:rsidP="004F2B81">
      <w:pPr>
        <w:pStyle w:val="Header"/>
        <w:tabs>
          <w:tab w:val="clear" w:pos="4536"/>
          <w:tab w:val="clear" w:pos="9072"/>
          <w:tab w:val="left" w:pos="284"/>
        </w:tabs>
        <w:rPr>
          <w:szCs w:val="22"/>
          <w:lang w:val="sr-Latn-ME"/>
        </w:rPr>
      </w:pPr>
    </w:p>
    <w:p w14:paraId="48335515" w14:textId="36BE6A05" w:rsidR="00870781" w:rsidRPr="004F2B81" w:rsidRDefault="00870781" w:rsidP="004F2B81">
      <w:pPr>
        <w:pStyle w:val="Header"/>
        <w:tabs>
          <w:tab w:val="clear" w:pos="4536"/>
          <w:tab w:val="clear" w:pos="9072"/>
          <w:tab w:val="left" w:pos="284"/>
        </w:tabs>
        <w:rPr>
          <w:szCs w:val="22"/>
          <w:lang w:val="sr-Latn-ME"/>
        </w:rPr>
      </w:pPr>
      <w:r w:rsidRPr="004F2B81">
        <w:rPr>
          <w:szCs w:val="22"/>
          <w:lang w:val="sr-Latn-ME"/>
        </w:rPr>
        <w:t>Lijek Glucosi infundibile</w:t>
      </w:r>
      <w:r w:rsidR="00A851AF">
        <w:rPr>
          <w:szCs w:val="22"/>
          <w:lang w:val="sr-Latn-ME"/>
        </w:rPr>
        <w:t xml:space="preserve"> HF</w:t>
      </w:r>
      <w:r w:rsidR="008E3D7F" w:rsidRPr="004F2B81">
        <w:rPr>
          <w:szCs w:val="22"/>
          <w:lang w:val="sr-Latn-ME"/>
        </w:rPr>
        <w:t xml:space="preserve">, </w:t>
      </w:r>
      <w:r w:rsidRPr="004F2B81">
        <w:rPr>
          <w:szCs w:val="22"/>
          <w:lang w:val="sr-Latn-ME"/>
        </w:rPr>
        <w:t>5%</w:t>
      </w:r>
      <w:r w:rsidR="00F7617E">
        <w:rPr>
          <w:szCs w:val="22"/>
          <w:lang w:val="sr-Latn-ME"/>
        </w:rPr>
        <w:t xml:space="preserve">, </w:t>
      </w:r>
      <w:r w:rsidR="00F7617E" w:rsidRPr="00955712">
        <w:rPr>
          <w:szCs w:val="22"/>
          <w:lang w:val="sr-Latn-RS"/>
        </w:rPr>
        <w:t>rastvor za infuziju</w:t>
      </w:r>
      <w:r w:rsidRPr="004F2B81">
        <w:rPr>
          <w:szCs w:val="22"/>
          <w:lang w:val="sr-Latn-ME"/>
        </w:rPr>
        <w:t xml:space="preserve"> ne smije se </w:t>
      </w:r>
      <w:r w:rsidR="00E70330" w:rsidRPr="004F2B81">
        <w:rPr>
          <w:szCs w:val="22"/>
          <w:lang w:val="sr-Latn-ME"/>
        </w:rPr>
        <w:t>primjenjivati</w:t>
      </w:r>
      <w:r w:rsidRPr="004F2B81">
        <w:rPr>
          <w:szCs w:val="22"/>
          <w:lang w:val="sr-Latn-ME"/>
        </w:rPr>
        <w:t xml:space="preserve"> sa drugim ljekovima ukoliko nije dokazana kompatibilnost</w:t>
      </w:r>
      <w:r w:rsidR="0081220A">
        <w:rPr>
          <w:szCs w:val="22"/>
          <w:lang w:val="sr-Latn-ME"/>
        </w:rPr>
        <w:t xml:space="preserve"> </w:t>
      </w:r>
      <w:r w:rsidR="0081220A" w:rsidRPr="00955712">
        <w:rPr>
          <w:szCs w:val="22"/>
          <w:lang w:val="sr-Latn-RS"/>
        </w:rPr>
        <w:t>(što je navedeno u Sažetku karakteristika l</w:t>
      </w:r>
      <w:r w:rsidR="00774707">
        <w:rPr>
          <w:szCs w:val="22"/>
          <w:lang w:val="sr-Latn-RS"/>
        </w:rPr>
        <w:t>ij</w:t>
      </w:r>
      <w:r w:rsidR="0081220A" w:rsidRPr="00955712">
        <w:rPr>
          <w:szCs w:val="22"/>
          <w:lang w:val="sr-Latn-RS"/>
        </w:rPr>
        <w:t>eka koji se dodaje u rastvor glukoze)</w:t>
      </w:r>
      <w:r w:rsidRPr="004F2B81">
        <w:rPr>
          <w:szCs w:val="22"/>
          <w:lang w:val="sr-Latn-ME"/>
        </w:rPr>
        <w:t xml:space="preserve">. </w:t>
      </w:r>
    </w:p>
    <w:p w14:paraId="7453EDBA" w14:textId="77777777" w:rsidR="00870781" w:rsidRPr="004F2B81" w:rsidRDefault="00870781" w:rsidP="004F2B81">
      <w:pPr>
        <w:rPr>
          <w:szCs w:val="22"/>
          <w:lang w:val="sr-Latn-ME"/>
        </w:rPr>
      </w:pPr>
    </w:p>
    <w:p w14:paraId="52D3F660" w14:textId="77777777" w:rsidR="00870781" w:rsidRPr="004F2B81" w:rsidRDefault="00870781" w:rsidP="004F2B81">
      <w:pPr>
        <w:rPr>
          <w:b/>
          <w:bCs/>
          <w:szCs w:val="22"/>
          <w:lang w:val="sr-Latn-ME"/>
        </w:rPr>
      </w:pPr>
      <w:r w:rsidRPr="004F2B81">
        <w:rPr>
          <w:b/>
          <w:bCs/>
          <w:szCs w:val="22"/>
          <w:lang w:val="sr-Latn-ME"/>
        </w:rPr>
        <w:t>6.3. Rok upotrebe</w:t>
      </w:r>
    </w:p>
    <w:p w14:paraId="289F99D1" w14:textId="77777777" w:rsidR="00870781" w:rsidRPr="004F2B81" w:rsidRDefault="00870781" w:rsidP="004F2B81">
      <w:pPr>
        <w:rPr>
          <w:szCs w:val="22"/>
          <w:lang w:val="sr-Latn-ME"/>
        </w:rPr>
      </w:pPr>
    </w:p>
    <w:p w14:paraId="0DDCB1B5" w14:textId="77777777" w:rsidR="00870781" w:rsidRPr="004F2B81" w:rsidRDefault="00870781" w:rsidP="004F2B81">
      <w:pPr>
        <w:pStyle w:val="Header"/>
        <w:tabs>
          <w:tab w:val="clear" w:pos="4536"/>
          <w:tab w:val="clear" w:pos="9072"/>
          <w:tab w:val="left" w:pos="284"/>
        </w:tabs>
        <w:rPr>
          <w:szCs w:val="22"/>
          <w:lang w:val="sr-Latn-ME"/>
        </w:rPr>
      </w:pPr>
      <w:r w:rsidRPr="004F2B81">
        <w:rPr>
          <w:szCs w:val="22"/>
          <w:lang w:val="sr-Latn-ME"/>
        </w:rPr>
        <w:t>3 godine.</w:t>
      </w:r>
    </w:p>
    <w:p w14:paraId="669A2ADE" w14:textId="77777777" w:rsidR="00870781" w:rsidRPr="004F2B81" w:rsidRDefault="00870781" w:rsidP="004F2B81">
      <w:pPr>
        <w:rPr>
          <w:szCs w:val="22"/>
          <w:lang w:val="sr-Latn-ME"/>
        </w:rPr>
      </w:pPr>
      <w:r w:rsidRPr="004F2B81">
        <w:rPr>
          <w:rFonts w:eastAsia="TimesNewRoman"/>
          <w:szCs w:val="22"/>
          <w:lang w:val="sr-Latn-ME"/>
        </w:rPr>
        <w:t>Rok upotrebe nakon prvog otvaranja</w:t>
      </w:r>
      <w:r w:rsidRPr="004F2B81">
        <w:rPr>
          <w:szCs w:val="22"/>
          <w:lang w:val="sr-Latn-ME"/>
        </w:rPr>
        <w:t>: rastvor se mora odmah upotrijebiti.</w:t>
      </w:r>
    </w:p>
    <w:p w14:paraId="436B76BE" w14:textId="77777777" w:rsidR="00870781" w:rsidRPr="004F2B81" w:rsidRDefault="00870781" w:rsidP="004F2B81">
      <w:pPr>
        <w:rPr>
          <w:szCs w:val="22"/>
          <w:lang w:val="sr-Latn-ME"/>
        </w:rPr>
      </w:pPr>
    </w:p>
    <w:p w14:paraId="0CB726AD" w14:textId="7159965F" w:rsidR="00870781" w:rsidRPr="004F2B81" w:rsidRDefault="00870781" w:rsidP="004F2B81">
      <w:pPr>
        <w:rPr>
          <w:b/>
          <w:bCs/>
          <w:szCs w:val="22"/>
          <w:lang w:val="sr-Latn-ME"/>
        </w:rPr>
      </w:pPr>
      <w:r w:rsidRPr="004F2B81">
        <w:rPr>
          <w:b/>
          <w:bCs/>
          <w:szCs w:val="22"/>
          <w:lang w:val="sr-Latn-ME"/>
        </w:rPr>
        <w:t xml:space="preserve">6.4. Posebne mjere </w:t>
      </w:r>
      <w:r w:rsidR="00916931">
        <w:rPr>
          <w:b/>
          <w:bCs/>
          <w:szCs w:val="22"/>
          <w:lang w:val="sr-Latn-ME"/>
        </w:rPr>
        <w:t>upozorenja</w:t>
      </w:r>
      <w:r w:rsidRPr="004F2B81">
        <w:rPr>
          <w:b/>
          <w:bCs/>
          <w:szCs w:val="22"/>
          <w:lang w:val="sr-Latn-ME"/>
        </w:rPr>
        <w:t xml:space="preserve"> pri čuvanju lijeka</w:t>
      </w:r>
    </w:p>
    <w:p w14:paraId="6953718B" w14:textId="77777777" w:rsidR="00870781" w:rsidRPr="004F2B81" w:rsidRDefault="00870781" w:rsidP="004F2B81">
      <w:pPr>
        <w:rPr>
          <w:szCs w:val="22"/>
          <w:lang w:val="sr-Latn-ME"/>
        </w:rPr>
      </w:pPr>
    </w:p>
    <w:p w14:paraId="4137D243" w14:textId="77777777" w:rsidR="00870781" w:rsidRPr="004F2B81" w:rsidRDefault="00870781" w:rsidP="004F2B81">
      <w:pPr>
        <w:rPr>
          <w:szCs w:val="22"/>
          <w:lang w:val="sr-Latn-ME"/>
        </w:rPr>
      </w:pPr>
      <w:r w:rsidRPr="004F2B81">
        <w:rPr>
          <w:szCs w:val="22"/>
          <w:lang w:val="sr-Latn-ME"/>
        </w:rPr>
        <w:t>Čuvati na temperaturi do 25°C.</w:t>
      </w:r>
    </w:p>
    <w:p w14:paraId="184B8BAA" w14:textId="5F7D8F65" w:rsidR="0076523B" w:rsidRDefault="0076523B" w:rsidP="004F2B81">
      <w:pPr>
        <w:rPr>
          <w:szCs w:val="22"/>
          <w:lang w:val="sr-Latn-ME"/>
        </w:rPr>
      </w:pPr>
    </w:p>
    <w:p w14:paraId="6EF30E06" w14:textId="1BB5FAD0" w:rsidR="002165C7" w:rsidRDefault="002165C7" w:rsidP="004F2B81">
      <w:pPr>
        <w:rPr>
          <w:szCs w:val="22"/>
          <w:lang w:val="sr-Latn-ME"/>
        </w:rPr>
      </w:pPr>
    </w:p>
    <w:p w14:paraId="2F63B769" w14:textId="77777777" w:rsidR="002165C7" w:rsidRPr="004F2B81" w:rsidRDefault="002165C7" w:rsidP="004F2B81">
      <w:pPr>
        <w:rPr>
          <w:szCs w:val="22"/>
          <w:lang w:val="sr-Latn-ME"/>
        </w:rPr>
      </w:pPr>
    </w:p>
    <w:p w14:paraId="107205F5" w14:textId="77777777" w:rsidR="003834A8" w:rsidRPr="004F2B81" w:rsidRDefault="003834A8" w:rsidP="004F2B81">
      <w:pPr>
        <w:rPr>
          <w:b/>
          <w:bCs/>
          <w:szCs w:val="22"/>
          <w:lang w:val="sr-Latn-ME"/>
        </w:rPr>
      </w:pPr>
      <w:r w:rsidRPr="004F2B81">
        <w:rPr>
          <w:b/>
          <w:bCs/>
          <w:szCs w:val="22"/>
          <w:lang w:val="sr-Latn-ME"/>
        </w:rPr>
        <w:lastRenderedPageBreak/>
        <w:t>6.5. Vrsta i sadržaj pakovanja</w:t>
      </w:r>
    </w:p>
    <w:p w14:paraId="184B8BAC" w14:textId="77777777" w:rsidR="0076523B" w:rsidRPr="004F2B81" w:rsidRDefault="0076523B" w:rsidP="004F2B81">
      <w:pPr>
        <w:rPr>
          <w:b/>
          <w:bCs/>
          <w:szCs w:val="22"/>
          <w:lang w:val="sr-Latn-ME"/>
        </w:rPr>
      </w:pPr>
    </w:p>
    <w:p w14:paraId="184B8BAD" w14:textId="5514AA02" w:rsidR="00EC6A58" w:rsidRPr="004F2B81" w:rsidRDefault="00EC6A58" w:rsidP="004F2B81">
      <w:pPr>
        <w:rPr>
          <w:szCs w:val="22"/>
          <w:lang w:val="sr-Latn-ME"/>
        </w:rPr>
      </w:pPr>
      <w:r w:rsidRPr="004F2B81">
        <w:rPr>
          <w:szCs w:val="22"/>
          <w:lang w:val="sr-Latn-ME"/>
        </w:rPr>
        <w:t>Plastična boca zapremine 500 m</w:t>
      </w:r>
      <w:r w:rsidR="00342EC2">
        <w:rPr>
          <w:szCs w:val="22"/>
          <w:lang w:val="sr-Latn-ME"/>
        </w:rPr>
        <w:t>l</w:t>
      </w:r>
      <w:r w:rsidRPr="004F2B81">
        <w:rPr>
          <w:szCs w:val="22"/>
          <w:lang w:val="sr-Latn-ME"/>
        </w:rPr>
        <w:t xml:space="preserve"> od polietilena niske gustine. Boca je dovoljno providna da se u svakom trenutku vizuelno može pogledati izgled rastvora za infuziju u boci. </w:t>
      </w:r>
      <w:r w:rsidR="00D132EC" w:rsidRPr="004F2B81">
        <w:rPr>
          <w:szCs w:val="22"/>
          <w:lang w:val="sr-Latn-ME"/>
        </w:rPr>
        <w:t xml:space="preserve">Uz bocu je priloženo </w:t>
      </w:r>
      <w:r w:rsidR="00916931">
        <w:rPr>
          <w:szCs w:val="22"/>
          <w:lang w:val="sr-Latn-ME"/>
        </w:rPr>
        <w:t>U</w:t>
      </w:r>
      <w:r w:rsidR="00D132EC" w:rsidRPr="004F2B81">
        <w:rPr>
          <w:szCs w:val="22"/>
          <w:lang w:val="sr-Latn-ME"/>
        </w:rPr>
        <w:t>putstvo za l</w:t>
      </w:r>
      <w:r w:rsidR="00313F96" w:rsidRPr="004F2B81">
        <w:rPr>
          <w:szCs w:val="22"/>
          <w:lang w:val="sr-Latn-ME"/>
        </w:rPr>
        <w:t>ij</w:t>
      </w:r>
      <w:r w:rsidR="00D132EC" w:rsidRPr="004F2B81">
        <w:rPr>
          <w:szCs w:val="22"/>
          <w:lang w:val="sr-Latn-ME"/>
        </w:rPr>
        <w:t>ek.</w:t>
      </w:r>
    </w:p>
    <w:p w14:paraId="184B8BAE" w14:textId="77777777" w:rsidR="00EC6A58" w:rsidRPr="004F2B81" w:rsidRDefault="00EC6A58" w:rsidP="004F2B81">
      <w:pPr>
        <w:rPr>
          <w:szCs w:val="22"/>
          <w:lang w:val="sr-Latn-ME"/>
        </w:rPr>
      </w:pPr>
    </w:p>
    <w:p w14:paraId="3CFAB3AD" w14:textId="77777777" w:rsidR="00C11C66" w:rsidRPr="004F2B81" w:rsidRDefault="00C11C66" w:rsidP="004F2B81">
      <w:pPr>
        <w:rPr>
          <w:b/>
          <w:bCs/>
          <w:szCs w:val="22"/>
          <w:lang w:val="sr-Latn-ME"/>
        </w:rPr>
      </w:pPr>
      <w:r w:rsidRPr="004F2B81">
        <w:rPr>
          <w:b/>
          <w:bCs/>
          <w:szCs w:val="22"/>
          <w:lang w:val="sr-Latn-ME"/>
        </w:rPr>
        <w:t>6.6. Posebne mjere opreza pri odlaganju materijala koji treba odbaciti nakon primjene lijeka (i druga uputstva za rukovanje lijekom)</w:t>
      </w:r>
    </w:p>
    <w:p w14:paraId="78CBDA92" w14:textId="77777777" w:rsidR="00C11C66" w:rsidRPr="004F2B81" w:rsidRDefault="00C11C66" w:rsidP="004F2B81">
      <w:pPr>
        <w:rPr>
          <w:szCs w:val="22"/>
          <w:lang w:val="sr-Latn-ME"/>
        </w:rPr>
      </w:pPr>
    </w:p>
    <w:p w14:paraId="680D6ED7" w14:textId="2797CFC1" w:rsidR="000750DF" w:rsidRDefault="000750DF" w:rsidP="004F2B81">
      <w:pPr>
        <w:rPr>
          <w:szCs w:val="22"/>
          <w:lang w:val="sr-Latn-ME"/>
        </w:rPr>
      </w:pPr>
      <w:r w:rsidRPr="000750DF">
        <w:rPr>
          <w:szCs w:val="22"/>
          <w:lang w:val="sr-Latn-ME"/>
        </w:rPr>
        <w:t>Neupotrebljeni l</w:t>
      </w:r>
      <w:r>
        <w:rPr>
          <w:szCs w:val="22"/>
          <w:lang w:val="sr-Latn-ME"/>
        </w:rPr>
        <w:t>ij</w:t>
      </w:r>
      <w:r w:rsidRPr="000750DF">
        <w:rPr>
          <w:szCs w:val="22"/>
          <w:lang w:val="sr-Latn-ME"/>
        </w:rPr>
        <w:t>ek se uništava prema važećim propisima.</w:t>
      </w:r>
    </w:p>
    <w:p w14:paraId="5D303A0C" w14:textId="77777777" w:rsidR="000750DF" w:rsidRDefault="000750DF" w:rsidP="004F2B81">
      <w:pPr>
        <w:rPr>
          <w:szCs w:val="22"/>
          <w:lang w:val="sr-Latn-ME"/>
        </w:rPr>
      </w:pPr>
    </w:p>
    <w:p w14:paraId="3F8D145E" w14:textId="66621E45" w:rsidR="00C11C66" w:rsidRPr="004F2B81" w:rsidRDefault="00C11C66" w:rsidP="004F2B81">
      <w:pPr>
        <w:rPr>
          <w:szCs w:val="22"/>
          <w:lang w:val="sr-Latn-ME"/>
        </w:rPr>
      </w:pPr>
      <w:r w:rsidRPr="004F2B81">
        <w:rPr>
          <w:szCs w:val="22"/>
          <w:lang w:val="sr-Latn-ME"/>
        </w:rPr>
        <w:t>Svu neiskorišćenu količinu lijeka ili otpadnog materijala nakon njegove upotrebe treba ukloniti, u skladu sa važećim propisima.</w:t>
      </w:r>
    </w:p>
    <w:p w14:paraId="0F79346C" w14:textId="77777777" w:rsidR="00E70256" w:rsidRPr="004F2B81" w:rsidRDefault="00E70256" w:rsidP="004F2B81">
      <w:pPr>
        <w:rPr>
          <w:szCs w:val="22"/>
          <w:lang w:val="sr-Latn-ME"/>
        </w:rPr>
      </w:pPr>
    </w:p>
    <w:p w14:paraId="1E3C2BA3" w14:textId="77777777" w:rsidR="00C11C66" w:rsidRPr="004F2B81" w:rsidRDefault="00C11C66" w:rsidP="004F2B81">
      <w:pPr>
        <w:rPr>
          <w:szCs w:val="22"/>
          <w:lang w:val="sr-Latn-ME"/>
        </w:rPr>
      </w:pPr>
    </w:p>
    <w:p w14:paraId="2A4E930E" w14:textId="77777777" w:rsidR="001D274B" w:rsidRPr="004F2B81" w:rsidRDefault="001D274B" w:rsidP="004F2B81">
      <w:pPr>
        <w:pStyle w:val="NASLOV123"/>
        <w:spacing w:before="0" w:after="0"/>
        <w:jc w:val="both"/>
        <w:rPr>
          <w:lang w:val="sr-Latn-ME"/>
        </w:rPr>
      </w:pPr>
      <w:r w:rsidRPr="004F2B81">
        <w:rPr>
          <w:lang w:val="sr-Latn-ME"/>
        </w:rPr>
        <w:t xml:space="preserve">7. NOSILAC DOZVOLE </w:t>
      </w:r>
    </w:p>
    <w:p w14:paraId="236C5AFA" w14:textId="77777777" w:rsidR="001D274B" w:rsidRPr="004F2B81" w:rsidRDefault="001D274B" w:rsidP="004F2B81">
      <w:pPr>
        <w:rPr>
          <w:szCs w:val="22"/>
          <w:lang w:val="sr-Latn-ME"/>
        </w:rPr>
      </w:pPr>
    </w:p>
    <w:p w14:paraId="58E50750" w14:textId="0C5ADAFC" w:rsidR="00C82D33" w:rsidRPr="00EE671A" w:rsidRDefault="00294FB2" w:rsidP="00C82D33">
      <w:pPr>
        <w:rPr>
          <w:szCs w:val="22"/>
          <w:lang w:val="sr-Latn-ME"/>
        </w:rPr>
      </w:pPr>
      <w:r w:rsidRPr="00EE671A">
        <w:rPr>
          <w:szCs w:val="22"/>
          <w:lang w:val="sr-Latn-ME"/>
        </w:rPr>
        <w:t>Hemofarm</w:t>
      </w:r>
      <w:r w:rsidR="00C82D33" w:rsidRPr="00EE671A">
        <w:rPr>
          <w:szCs w:val="22"/>
          <w:lang w:val="sr-Latn-ME"/>
        </w:rPr>
        <w:t xml:space="preserve"> A</w:t>
      </w:r>
      <w:r>
        <w:rPr>
          <w:szCs w:val="22"/>
          <w:lang w:val="sr-Latn-ME"/>
        </w:rPr>
        <w:t>.</w:t>
      </w:r>
      <w:r w:rsidR="00C82D33" w:rsidRPr="00EE671A">
        <w:rPr>
          <w:szCs w:val="22"/>
          <w:lang w:val="sr-Latn-ME"/>
        </w:rPr>
        <w:t>D</w:t>
      </w:r>
      <w:r>
        <w:rPr>
          <w:szCs w:val="22"/>
          <w:lang w:val="sr-Latn-ME"/>
        </w:rPr>
        <w:t>.</w:t>
      </w:r>
      <w:r w:rsidR="00C82D33" w:rsidRPr="00EE671A">
        <w:rPr>
          <w:szCs w:val="22"/>
          <w:lang w:val="sr-Latn-ME"/>
        </w:rPr>
        <w:t xml:space="preserve"> </w:t>
      </w:r>
      <w:r w:rsidRPr="00EE671A">
        <w:rPr>
          <w:szCs w:val="22"/>
          <w:lang w:val="sr-Latn-ME"/>
        </w:rPr>
        <w:t>Vršac</w:t>
      </w:r>
      <w:r w:rsidR="00C82D33" w:rsidRPr="00EE671A">
        <w:rPr>
          <w:szCs w:val="22"/>
          <w:lang w:val="sr-Latn-ME"/>
        </w:rPr>
        <w:t xml:space="preserve"> P</w:t>
      </w:r>
      <w:r>
        <w:rPr>
          <w:szCs w:val="22"/>
          <w:lang w:val="sr-Latn-ME"/>
        </w:rPr>
        <w:t>.</w:t>
      </w:r>
      <w:r w:rsidR="00C82D33" w:rsidRPr="00EE671A">
        <w:rPr>
          <w:szCs w:val="22"/>
          <w:lang w:val="sr-Latn-ME"/>
        </w:rPr>
        <w:t>J</w:t>
      </w:r>
      <w:r>
        <w:rPr>
          <w:szCs w:val="22"/>
          <w:lang w:val="sr-Latn-ME"/>
        </w:rPr>
        <w:t>.</w:t>
      </w:r>
      <w:r w:rsidR="00C82D33" w:rsidRPr="00EE671A">
        <w:rPr>
          <w:szCs w:val="22"/>
          <w:lang w:val="sr-Latn-ME"/>
        </w:rPr>
        <w:t xml:space="preserve"> </w:t>
      </w:r>
      <w:r w:rsidRPr="00EE671A">
        <w:rPr>
          <w:szCs w:val="22"/>
          <w:lang w:val="sr-Latn-ME"/>
        </w:rPr>
        <w:t>Podgorica</w:t>
      </w:r>
    </w:p>
    <w:p w14:paraId="655673E2" w14:textId="425BF6B6" w:rsidR="00C82D33" w:rsidRPr="00EE671A" w:rsidRDefault="00C82D33" w:rsidP="00C82D33">
      <w:pPr>
        <w:rPr>
          <w:szCs w:val="22"/>
          <w:lang w:val="sr-Latn-ME"/>
        </w:rPr>
      </w:pPr>
      <w:r w:rsidRPr="00EE671A">
        <w:rPr>
          <w:szCs w:val="22"/>
          <w:lang w:val="sr-Latn-ME"/>
        </w:rPr>
        <w:t>8</w:t>
      </w:r>
      <w:r w:rsidR="00294FB2">
        <w:rPr>
          <w:szCs w:val="22"/>
          <w:lang w:val="sr-Latn-ME"/>
        </w:rPr>
        <w:t>.</w:t>
      </w:r>
      <w:r w:rsidRPr="00EE671A">
        <w:rPr>
          <w:szCs w:val="22"/>
          <w:lang w:val="sr-Latn-ME"/>
        </w:rPr>
        <w:t xml:space="preserve"> marta 55A,</w:t>
      </w:r>
      <w:r>
        <w:rPr>
          <w:szCs w:val="22"/>
          <w:lang w:val="sr-Latn-ME"/>
        </w:rPr>
        <w:t xml:space="preserve"> </w:t>
      </w:r>
      <w:r w:rsidRPr="00EE671A">
        <w:rPr>
          <w:szCs w:val="22"/>
          <w:lang w:val="sr-Latn-ME"/>
        </w:rPr>
        <w:t>Podgorica,</w:t>
      </w:r>
      <w:r>
        <w:rPr>
          <w:szCs w:val="22"/>
          <w:lang w:val="sr-Latn-ME"/>
        </w:rPr>
        <w:t xml:space="preserve"> </w:t>
      </w:r>
      <w:r w:rsidRPr="00EE671A">
        <w:rPr>
          <w:szCs w:val="22"/>
          <w:lang w:val="sr-Latn-ME"/>
        </w:rPr>
        <w:t>Crna Gora</w:t>
      </w:r>
    </w:p>
    <w:p w14:paraId="64F7EB6C" w14:textId="77777777" w:rsidR="001D274B" w:rsidRPr="004F2B81" w:rsidRDefault="001D274B" w:rsidP="004F2B81">
      <w:pPr>
        <w:rPr>
          <w:szCs w:val="22"/>
          <w:lang w:val="sr-Latn-ME"/>
        </w:rPr>
      </w:pPr>
    </w:p>
    <w:p w14:paraId="160F8812" w14:textId="77777777" w:rsidR="001D274B" w:rsidRPr="004F2B81" w:rsidRDefault="001D274B" w:rsidP="004F2B81">
      <w:pPr>
        <w:rPr>
          <w:szCs w:val="22"/>
          <w:lang w:val="sr-Latn-ME"/>
        </w:rPr>
      </w:pPr>
    </w:p>
    <w:p w14:paraId="6CE3DB5A" w14:textId="45947E14" w:rsidR="001D274B" w:rsidRPr="004F2B81" w:rsidRDefault="001D274B" w:rsidP="004F2B81">
      <w:pPr>
        <w:pStyle w:val="NASLOV123"/>
        <w:spacing w:before="0" w:after="0"/>
        <w:jc w:val="both"/>
        <w:rPr>
          <w:lang w:val="sr-Latn-ME"/>
        </w:rPr>
      </w:pPr>
      <w:r w:rsidRPr="004F2B81">
        <w:rPr>
          <w:lang w:val="sr-Latn-ME"/>
        </w:rPr>
        <w:t>8. BROJ DOZVOLE ZA STAVLJANJE L</w:t>
      </w:r>
      <w:r w:rsidR="00551CFE">
        <w:rPr>
          <w:lang w:val="sr-Latn-ME"/>
        </w:rPr>
        <w:t>IJ</w:t>
      </w:r>
      <w:r w:rsidRPr="004F2B81">
        <w:rPr>
          <w:lang w:val="sr-Latn-ME"/>
        </w:rPr>
        <w:t>EKA U PROMET</w:t>
      </w:r>
    </w:p>
    <w:p w14:paraId="7C62EA1A" w14:textId="77777777" w:rsidR="001D274B" w:rsidRPr="004F2B81" w:rsidRDefault="001D274B" w:rsidP="004F2B81">
      <w:pPr>
        <w:autoSpaceDE w:val="0"/>
        <w:autoSpaceDN w:val="0"/>
        <w:adjustRightInd w:val="0"/>
        <w:rPr>
          <w:szCs w:val="22"/>
          <w:lang w:val="sr-Latn-ME"/>
        </w:rPr>
      </w:pPr>
    </w:p>
    <w:p w14:paraId="37EF25D9" w14:textId="740C474A" w:rsidR="001D274B" w:rsidRPr="002165C7" w:rsidRDefault="002165C7" w:rsidP="004F2B81">
      <w:pPr>
        <w:pStyle w:val="NASLOV123"/>
        <w:spacing w:before="0" w:after="0"/>
        <w:jc w:val="both"/>
        <w:rPr>
          <w:b w:val="0"/>
          <w:lang w:val="sr-Latn-ME"/>
        </w:rPr>
      </w:pPr>
      <w:r w:rsidRPr="002165C7">
        <w:rPr>
          <w:b w:val="0"/>
          <w:lang w:val="sr-Latn-ME"/>
        </w:rPr>
        <w:t>2030/25/2861 - 3779</w:t>
      </w:r>
    </w:p>
    <w:p w14:paraId="6C8BBB96" w14:textId="16FFB492" w:rsidR="001D274B" w:rsidRDefault="001D274B" w:rsidP="004F2B81">
      <w:pPr>
        <w:pStyle w:val="NASLOV123"/>
        <w:spacing w:before="0" w:after="0"/>
        <w:jc w:val="both"/>
        <w:rPr>
          <w:lang w:val="sr-Latn-ME"/>
        </w:rPr>
      </w:pPr>
    </w:p>
    <w:p w14:paraId="6ABEF7EA" w14:textId="77777777" w:rsidR="002165C7" w:rsidRPr="004F2B81" w:rsidRDefault="002165C7" w:rsidP="004F2B81">
      <w:pPr>
        <w:pStyle w:val="NASLOV123"/>
        <w:spacing w:before="0" w:after="0"/>
        <w:jc w:val="both"/>
        <w:rPr>
          <w:lang w:val="sr-Latn-ME"/>
        </w:rPr>
      </w:pPr>
    </w:p>
    <w:p w14:paraId="47A86DD1" w14:textId="01AB1925" w:rsidR="001D274B" w:rsidRPr="004F2B81" w:rsidRDefault="001D274B" w:rsidP="004F2B81">
      <w:pPr>
        <w:pStyle w:val="NASLOV123"/>
        <w:spacing w:before="0" w:after="0"/>
        <w:jc w:val="both"/>
        <w:rPr>
          <w:lang w:val="sr-Latn-ME"/>
        </w:rPr>
      </w:pPr>
      <w:r w:rsidRPr="004F2B81">
        <w:rPr>
          <w:lang w:val="sr-Latn-ME"/>
        </w:rPr>
        <w:t>9. DATUM PRVE DOZVOLE</w:t>
      </w:r>
      <w:r w:rsidR="00551CFE">
        <w:rPr>
          <w:lang w:val="sr-Latn-ME"/>
        </w:rPr>
        <w:t>/</w:t>
      </w:r>
      <w:r w:rsidRPr="004F2B81">
        <w:rPr>
          <w:lang w:val="sr-Latn-ME"/>
        </w:rPr>
        <w:t xml:space="preserve"> OBNOVE DOZVOLE ZA STAVLJANJE L</w:t>
      </w:r>
      <w:r w:rsidR="00551CFE">
        <w:rPr>
          <w:lang w:val="sr-Latn-ME"/>
        </w:rPr>
        <w:t>IJ</w:t>
      </w:r>
      <w:r w:rsidRPr="004F2B81">
        <w:rPr>
          <w:lang w:val="sr-Latn-ME"/>
        </w:rPr>
        <w:t>EKA U PROMET</w:t>
      </w:r>
    </w:p>
    <w:p w14:paraId="2389BC60" w14:textId="77777777" w:rsidR="001D274B" w:rsidRPr="004F2B81" w:rsidRDefault="001D274B" w:rsidP="004F2B81">
      <w:pPr>
        <w:autoSpaceDE w:val="0"/>
        <w:autoSpaceDN w:val="0"/>
        <w:adjustRightInd w:val="0"/>
        <w:rPr>
          <w:szCs w:val="22"/>
          <w:lang w:val="sr-Latn-ME"/>
        </w:rPr>
      </w:pPr>
    </w:p>
    <w:p w14:paraId="760C735B" w14:textId="5ED5AE02" w:rsidR="001D274B" w:rsidRDefault="00294FB2" w:rsidP="004F2B81">
      <w:pPr>
        <w:autoSpaceDE w:val="0"/>
        <w:autoSpaceDN w:val="0"/>
        <w:adjustRightInd w:val="0"/>
        <w:rPr>
          <w:szCs w:val="22"/>
          <w:lang w:val="sr-Latn-ME"/>
        </w:rPr>
      </w:pPr>
      <w:r>
        <w:rPr>
          <w:szCs w:val="22"/>
          <w:lang w:val="sr-Latn-ME"/>
        </w:rPr>
        <w:t xml:space="preserve">Datum prve dozvole: </w:t>
      </w:r>
      <w:r w:rsidR="0033253C" w:rsidRPr="0033253C">
        <w:rPr>
          <w:szCs w:val="22"/>
          <w:lang w:val="sr-Latn-ME"/>
        </w:rPr>
        <w:t>16.11.2016.</w:t>
      </w:r>
      <w:r>
        <w:rPr>
          <w:szCs w:val="22"/>
          <w:lang w:val="sr-Latn-ME"/>
        </w:rPr>
        <w:t xml:space="preserve"> godine</w:t>
      </w:r>
    </w:p>
    <w:p w14:paraId="46815B4B" w14:textId="56C7E8B1" w:rsidR="00294FB2" w:rsidRPr="004F2B81" w:rsidRDefault="00294FB2" w:rsidP="004F2B81">
      <w:pPr>
        <w:autoSpaceDE w:val="0"/>
        <w:autoSpaceDN w:val="0"/>
        <w:adjustRightInd w:val="0"/>
        <w:rPr>
          <w:szCs w:val="22"/>
          <w:lang w:val="sr-Latn-ME"/>
        </w:rPr>
      </w:pPr>
      <w:r>
        <w:rPr>
          <w:szCs w:val="22"/>
          <w:lang w:val="sr-Latn-ME"/>
        </w:rPr>
        <w:t>Datum poslednje obnove dozvole:</w:t>
      </w:r>
      <w:r w:rsidR="002165C7">
        <w:rPr>
          <w:szCs w:val="22"/>
          <w:lang w:val="sr-Latn-ME"/>
        </w:rPr>
        <w:t xml:space="preserve"> </w:t>
      </w:r>
      <w:r w:rsidR="002165C7" w:rsidRPr="002165C7">
        <w:rPr>
          <w:szCs w:val="22"/>
          <w:lang w:val="sr-Latn-ME"/>
        </w:rPr>
        <w:t>07.08.2025. godine</w:t>
      </w:r>
    </w:p>
    <w:p w14:paraId="56B26B02" w14:textId="77777777" w:rsidR="001D274B" w:rsidRPr="004F2B81" w:rsidRDefault="001D274B" w:rsidP="004F2B81">
      <w:pPr>
        <w:autoSpaceDE w:val="0"/>
        <w:autoSpaceDN w:val="0"/>
        <w:adjustRightInd w:val="0"/>
        <w:rPr>
          <w:szCs w:val="22"/>
          <w:lang w:val="sr-Latn-ME"/>
        </w:rPr>
      </w:pPr>
    </w:p>
    <w:p w14:paraId="15C01CCC" w14:textId="77777777" w:rsidR="001D274B" w:rsidRPr="004F2B81" w:rsidRDefault="001D274B" w:rsidP="004F2B81">
      <w:pPr>
        <w:rPr>
          <w:szCs w:val="22"/>
          <w:lang w:val="sr-Latn-ME"/>
        </w:rPr>
      </w:pPr>
    </w:p>
    <w:p w14:paraId="061D7543" w14:textId="77777777" w:rsidR="001D274B" w:rsidRPr="004F2B81" w:rsidRDefault="001D274B" w:rsidP="004F2B81">
      <w:pPr>
        <w:pStyle w:val="NASLOV123"/>
        <w:spacing w:before="0" w:after="0"/>
        <w:jc w:val="both"/>
        <w:rPr>
          <w:lang w:val="sr-Latn-ME"/>
        </w:rPr>
      </w:pPr>
      <w:r w:rsidRPr="004F2B81">
        <w:rPr>
          <w:lang w:val="sr-Latn-ME"/>
        </w:rPr>
        <w:t>10. DATUM REVIZIJE TEKSTA</w:t>
      </w:r>
    </w:p>
    <w:p w14:paraId="332832D4" w14:textId="77777777" w:rsidR="001D274B" w:rsidRPr="004F2B81" w:rsidRDefault="001D274B" w:rsidP="004F2B81">
      <w:pPr>
        <w:pStyle w:val="NASLOV123"/>
        <w:spacing w:before="0" w:after="0"/>
        <w:jc w:val="both"/>
        <w:rPr>
          <w:b w:val="0"/>
          <w:bCs/>
          <w:lang w:val="sr-Latn-ME"/>
        </w:rPr>
      </w:pPr>
    </w:p>
    <w:p w14:paraId="184B8BBF" w14:textId="20CF1125" w:rsidR="00923865" w:rsidRPr="004F2B81" w:rsidRDefault="002165C7">
      <w:pPr>
        <w:pStyle w:val="NASLOV123"/>
        <w:spacing w:before="0" w:after="0"/>
        <w:jc w:val="both"/>
        <w:rPr>
          <w:b w:val="0"/>
          <w:bCs/>
          <w:lang w:val="sr-Latn-ME"/>
        </w:rPr>
      </w:pPr>
      <w:r>
        <w:rPr>
          <w:b w:val="0"/>
          <w:bCs/>
          <w:lang w:val="sr-Latn-ME"/>
        </w:rPr>
        <w:t>Avgust, 2025. godine</w:t>
      </w:r>
      <w:bookmarkStart w:id="0" w:name="_GoBack"/>
      <w:bookmarkEnd w:id="0"/>
    </w:p>
    <w:sectPr w:rsidR="00923865" w:rsidRPr="004F2B81" w:rsidSect="003478EF">
      <w:footerReference w:type="even" r:id="rId14"/>
      <w:footerReference w:type="defaul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F3722" w14:textId="77777777" w:rsidR="00AB6E2A" w:rsidRDefault="00AB6E2A">
      <w:r>
        <w:separator/>
      </w:r>
    </w:p>
  </w:endnote>
  <w:endnote w:type="continuationSeparator" w:id="0">
    <w:p w14:paraId="487610B3" w14:textId="77777777" w:rsidR="00AB6E2A" w:rsidRDefault="00AB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EE"/>
    <w:family w:val="swiss"/>
    <w:pitch w:val="variable"/>
    <w:sig w:usb0="E0002EFF" w:usb1="C000785B" w:usb2="00000009" w:usb3="00000000" w:csb0="000001FF" w:csb1="00000000"/>
  </w:font>
  <w:font w:name="Humanist777">
    <w:charset w:val="00"/>
    <w:family w:val="swiss"/>
    <w:pitch w:val="variable"/>
    <w:sig w:usb0="00000001" w:usb1="00000000" w:usb2="00000000" w:usb3="00000000" w:csb0="0000001B"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B8BC4" w14:textId="77777777" w:rsidR="006F27F9" w:rsidRDefault="006F27F9"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84B8BC5" w14:textId="77777777" w:rsidR="006F27F9" w:rsidRDefault="006F27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B8BC7" w14:textId="19F07806" w:rsidR="006F27F9" w:rsidRPr="00487746" w:rsidRDefault="00AB6E2A" w:rsidP="00487746">
    <w:pPr>
      <w:pStyle w:val="Footer"/>
      <w:tabs>
        <w:tab w:val="left" w:pos="5448"/>
      </w:tabs>
      <w:jc w:val="center"/>
      <w:rPr>
        <w:sz w:val="28"/>
        <w:szCs w:val="32"/>
      </w:rPr>
    </w:pPr>
    <w:sdt>
      <w:sdtPr>
        <w:rPr>
          <w:sz w:val="28"/>
          <w:szCs w:val="32"/>
        </w:rPr>
        <w:id w:val="25862803"/>
        <w:docPartObj>
          <w:docPartGallery w:val="Page Numbers (Bottom of Page)"/>
          <w:docPartUnique/>
        </w:docPartObj>
      </w:sdtPr>
      <w:sdtEndPr/>
      <w:sdtContent>
        <w:sdt>
          <w:sdtPr>
            <w:rPr>
              <w:sz w:val="28"/>
              <w:szCs w:val="32"/>
            </w:rPr>
            <w:id w:val="565050477"/>
            <w:docPartObj>
              <w:docPartGallery w:val="Page Numbers (Top of Page)"/>
              <w:docPartUnique/>
            </w:docPartObj>
          </w:sdtPr>
          <w:sdtEndPr/>
          <w:sdtContent>
            <w:r w:rsidR="006F27F9" w:rsidRPr="00487746">
              <w:rPr>
                <w:szCs w:val="22"/>
              </w:rPr>
              <w:fldChar w:fldCharType="begin"/>
            </w:r>
            <w:r w:rsidR="006F27F9" w:rsidRPr="00487746">
              <w:rPr>
                <w:szCs w:val="22"/>
              </w:rPr>
              <w:instrText xml:space="preserve"> PAGE </w:instrText>
            </w:r>
            <w:r w:rsidR="006F27F9" w:rsidRPr="00487746">
              <w:rPr>
                <w:szCs w:val="22"/>
              </w:rPr>
              <w:fldChar w:fldCharType="separate"/>
            </w:r>
            <w:r w:rsidR="002165C7">
              <w:rPr>
                <w:noProof/>
                <w:szCs w:val="22"/>
              </w:rPr>
              <w:t>9</w:t>
            </w:r>
            <w:r w:rsidR="006F27F9" w:rsidRPr="00487746">
              <w:rPr>
                <w:szCs w:val="22"/>
              </w:rPr>
              <w:fldChar w:fldCharType="end"/>
            </w:r>
            <w:r w:rsidR="006F27F9" w:rsidRPr="00487746">
              <w:rPr>
                <w:szCs w:val="22"/>
              </w:rPr>
              <w:t xml:space="preserve"> </w:t>
            </w:r>
            <w:r w:rsidR="00487746">
              <w:rPr>
                <w:szCs w:val="22"/>
              </w:rPr>
              <w:t>/</w:t>
            </w:r>
            <w:r w:rsidR="006F27F9" w:rsidRPr="00487746">
              <w:rPr>
                <w:szCs w:val="22"/>
              </w:rPr>
              <w:t xml:space="preserve"> </w:t>
            </w:r>
            <w:r w:rsidR="006F27F9" w:rsidRPr="00487746">
              <w:rPr>
                <w:szCs w:val="22"/>
              </w:rPr>
              <w:fldChar w:fldCharType="begin"/>
            </w:r>
            <w:r w:rsidR="006F27F9" w:rsidRPr="00487746">
              <w:rPr>
                <w:szCs w:val="22"/>
              </w:rPr>
              <w:instrText xml:space="preserve"> NUMPAGES  </w:instrText>
            </w:r>
            <w:r w:rsidR="006F27F9" w:rsidRPr="00487746">
              <w:rPr>
                <w:szCs w:val="22"/>
              </w:rPr>
              <w:fldChar w:fldCharType="separate"/>
            </w:r>
            <w:r w:rsidR="002165C7">
              <w:rPr>
                <w:noProof/>
                <w:szCs w:val="22"/>
              </w:rPr>
              <w:t>9</w:t>
            </w:r>
            <w:r w:rsidR="006F27F9" w:rsidRPr="00487746">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498A4" w14:textId="77777777" w:rsidR="00AB6E2A" w:rsidRDefault="00AB6E2A">
      <w:r>
        <w:separator/>
      </w:r>
    </w:p>
  </w:footnote>
  <w:footnote w:type="continuationSeparator" w:id="0">
    <w:p w14:paraId="29832EFB" w14:textId="77777777" w:rsidR="00AB6E2A" w:rsidRDefault="00AB6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45C"/>
    <w:multiLevelType w:val="hybridMultilevel"/>
    <w:tmpl w:val="92B225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4199F"/>
    <w:multiLevelType w:val="hybridMultilevel"/>
    <w:tmpl w:val="33968CB6"/>
    <w:lvl w:ilvl="0" w:tplc="241A0001">
      <w:start w:val="1"/>
      <w:numFmt w:val="bullet"/>
      <w:lvlText w:val=""/>
      <w:lvlJc w:val="left"/>
      <w:pPr>
        <w:ind w:left="770" w:hanging="360"/>
      </w:pPr>
      <w:rPr>
        <w:rFonts w:ascii="Symbol" w:hAnsi="Symbol" w:hint="default"/>
      </w:rPr>
    </w:lvl>
    <w:lvl w:ilvl="1" w:tplc="241A0003" w:tentative="1">
      <w:start w:val="1"/>
      <w:numFmt w:val="bullet"/>
      <w:lvlText w:val="o"/>
      <w:lvlJc w:val="left"/>
      <w:pPr>
        <w:ind w:left="1490" w:hanging="360"/>
      </w:pPr>
      <w:rPr>
        <w:rFonts w:ascii="Courier New" w:hAnsi="Courier New" w:cs="Courier New" w:hint="default"/>
      </w:rPr>
    </w:lvl>
    <w:lvl w:ilvl="2" w:tplc="241A0005" w:tentative="1">
      <w:start w:val="1"/>
      <w:numFmt w:val="bullet"/>
      <w:lvlText w:val=""/>
      <w:lvlJc w:val="left"/>
      <w:pPr>
        <w:ind w:left="2210" w:hanging="360"/>
      </w:pPr>
      <w:rPr>
        <w:rFonts w:ascii="Wingdings" w:hAnsi="Wingdings" w:hint="default"/>
      </w:rPr>
    </w:lvl>
    <w:lvl w:ilvl="3" w:tplc="241A0001" w:tentative="1">
      <w:start w:val="1"/>
      <w:numFmt w:val="bullet"/>
      <w:lvlText w:val=""/>
      <w:lvlJc w:val="left"/>
      <w:pPr>
        <w:ind w:left="2930" w:hanging="360"/>
      </w:pPr>
      <w:rPr>
        <w:rFonts w:ascii="Symbol" w:hAnsi="Symbol" w:hint="default"/>
      </w:rPr>
    </w:lvl>
    <w:lvl w:ilvl="4" w:tplc="241A0003" w:tentative="1">
      <w:start w:val="1"/>
      <w:numFmt w:val="bullet"/>
      <w:lvlText w:val="o"/>
      <w:lvlJc w:val="left"/>
      <w:pPr>
        <w:ind w:left="3650" w:hanging="360"/>
      </w:pPr>
      <w:rPr>
        <w:rFonts w:ascii="Courier New" w:hAnsi="Courier New" w:cs="Courier New" w:hint="default"/>
      </w:rPr>
    </w:lvl>
    <w:lvl w:ilvl="5" w:tplc="241A0005" w:tentative="1">
      <w:start w:val="1"/>
      <w:numFmt w:val="bullet"/>
      <w:lvlText w:val=""/>
      <w:lvlJc w:val="left"/>
      <w:pPr>
        <w:ind w:left="4370" w:hanging="360"/>
      </w:pPr>
      <w:rPr>
        <w:rFonts w:ascii="Wingdings" w:hAnsi="Wingdings" w:hint="default"/>
      </w:rPr>
    </w:lvl>
    <w:lvl w:ilvl="6" w:tplc="241A0001" w:tentative="1">
      <w:start w:val="1"/>
      <w:numFmt w:val="bullet"/>
      <w:lvlText w:val=""/>
      <w:lvlJc w:val="left"/>
      <w:pPr>
        <w:ind w:left="5090" w:hanging="360"/>
      </w:pPr>
      <w:rPr>
        <w:rFonts w:ascii="Symbol" w:hAnsi="Symbol" w:hint="default"/>
      </w:rPr>
    </w:lvl>
    <w:lvl w:ilvl="7" w:tplc="241A0003" w:tentative="1">
      <w:start w:val="1"/>
      <w:numFmt w:val="bullet"/>
      <w:lvlText w:val="o"/>
      <w:lvlJc w:val="left"/>
      <w:pPr>
        <w:ind w:left="5810" w:hanging="360"/>
      </w:pPr>
      <w:rPr>
        <w:rFonts w:ascii="Courier New" w:hAnsi="Courier New" w:cs="Courier New" w:hint="default"/>
      </w:rPr>
    </w:lvl>
    <w:lvl w:ilvl="8" w:tplc="241A0005" w:tentative="1">
      <w:start w:val="1"/>
      <w:numFmt w:val="bullet"/>
      <w:lvlText w:val=""/>
      <w:lvlJc w:val="left"/>
      <w:pPr>
        <w:ind w:left="6530" w:hanging="360"/>
      </w:pPr>
      <w:rPr>
        <w:rFonts w:ascii="Wingdings" w:hAnsi="Wingdings" w:hint="default"/>
      </w:rPr>
    </w:lvl>
  </w:abstractNum>
  <w:abstractNum w:abstractNumId="2" w15:restartNumberingAfterBreak="0">
    <w:nsid w:val="043811C1"/>
    <w:multiLevelType w:val="hybridMultilevel"/>
    <w:tmpl w:val="8258E0A8"/>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4" w15:restartNumberingAfterBreak="0">
    <w:nsid w:val="09C21785"/>
    <w:multiLevelType w:val="hybridMultilevel"/>
    <w:tmpl w:val="83EA3A1A"/>
    <w:lvl w:ilvl="0" w:tplc="776CE6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07A77"/>
    <w:multiLevelType w:val="hybridMultilevel"/>
    <w:tmpl w:val="A9B29C2A"/>
    <w:lvl w:ilvl="0" w:tplc="B6465020">
      <w:start w:val="6"/>
      <w:numFmt w:val="bullet"/>
      <w:lvlText w:val="-"/>
      <w:lvlJc w:val="left"/>
      <w:pPr>
        <w:ind w:left="720" w:hanging="360"/>
      </w:pPr>
      <w:rPr>
        <w:rFonts w:ascii="Times New Roman" w:eastAsia="Times New Roman" w:hAnsi="Times New Roman" w:cs="Times New Roman"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1A4D2FFE"/>
    <w:multiLevelType w:val="hybridMultilevel"/>
    <w:tmpl w:val="D902C8D4"/>
    <w:lvl w:ilvl="0" w:tplc="B6465020">
      <w:start w:val="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B2F1338"/>
    <w:multiLevelType w:val="hybridMultilevel"/>
    <w:tmpl w:val="070EE290"/>
    <w:lvl w:ilvl="0" w:tplc="B6465020">
      <w:start w:val="6"/>
      <w:numFmt w:val="bullet"/>
      <w:lvlText w:val="-"/>
      <w:lvlJc w:val="left"/>
      <w:pPr>
        <w:ind w:left="1004" w:hanging="360"/>
      </w:pPr>
      <w:rPr>
        <w:rFonts w:ascii="Times New Roman" w:eastAsia="Times New Roman" w:hAnsi="Times New Roman" w:cs="Times New Roman"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8"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DBA2FDF"/>
    <w:multiLevelType w:val="hybridMultilevel"/>
    <w:tmpl w:val="35E4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C6399"/>
    <w:multiLevelType w:val="hybridMultilevel"/>
    <w:tmpl w:val="5D7E3FAE"/>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7F06748"/>
    <w:multiLevelType w:val="hybridMultilevel"/>
    <w:tmpl w:val="238A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97870"/>
    <w:multiLevelType w:val="hybridMultilevel"/>
    <w:tmpl w:val="589A7758"/>
    <w:lvl w:ilvl="0" w:tplc="B6465020">
      <w:start w:val="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2E3D0FEA"/>
    <w:multiLevelType w:val="hybridMultilevel"/>
    <w:tmpl w:val="3B7A21A0"/>
    <w:lvl w:ilvl="0" w:tplc="4524E3BA">
      <w:start w:val="1"/>
      <w:numFmt w:val="bullet"/>
      <w:lvlText w:val=""/>
      <w:lvlJc w:val="left"/>
      <w:pPr>
        <w:ind w:left="360" w:hanging="360"/>
      </w:pPr>
      <w:rPr>
        <w:rFonts w:ascii="Symbol" w:hAnsi="Symbol" w:hint="default"/>
        <w:i w:val="0"/>
        <w:iCs w:val="0"/>
        <w:color w:val="000000"/>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2F2339B"/>
    <w:multiLevelType w:val="hybridMultilevel"/>
    <w:tmpl w:val="94BC7A7A"/>
    <w:lvl w:ilvl="0" w:tplc="0C84984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7B21EA"/>
    <w:multiLevelType w:val="hybridMultilevel"/>
    <w:tmpl w:val="84CE3C5A"/>
    <w:lvl w:ilvl="0" w:tplc="8E7EFB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82D61"/>
    <w:multiLevelType w:val="hybridMultilevel"/>
    <w:tmpl w:val="2A5670F4"/>
    <w:lvl w:ilvl="0" w:tplc="E670D55C">
      <w:numFmt w:val="bullet"/>
      <w:lvlText w:val="-"/>
      <w:lvlJc w:val="left"/>
      <w:pPr>
        <w:ind w:left="720" w:hanging="360"/>
      </w:pPr>
      <w:rPr>
        <w:rFonts w:ascii="Tahoma" w:hAnsi="Tahoma" w:cs="Symbol" w:hint="default"/>
        <w:i/>
        <w:iCs/>
        <w:color w:val="000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81876E9"/>
    <w:multiLevelType w:val="hybridMultilevel"/>
    <w:tmpl w:val="4830B5E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54E35060"/>
    <w:multiLevelType w:val="hybridMultilevel"/>
    <w:tmpl w:val="3D94C1B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63AE4846"/>
    <w:multiLevelType w:val="hybridMultilevel"/>
    <w:tmpl w:val="DB58666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AE06E72"/>
    <w:multiLevelType w:val="hybridMultilevel"/>
    <w:tmpl w:val="2E329CC8"/>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6DAE6FBA"/>
    <w:multiLevelType w:val="hybridMultilevel"/>
    <w:tmpl w:val="F15876B6"/>
    <w:lvl w:ilvl="0" w:tplc="0C84984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2A11DF"/>
    <w:multiLevelType w:val="hybridMultilevel"/>
    <w:tmpl w:val="B1D6DCB6"/>
    <w:lvl w:ilvl="0" w:tplc="E0B62582">
      <w:start w:val="1"/>
      <w:numFmt w:val="bullet"/>
      <w:lvlText w:val=""/>
      <w:lvlJc w:val="left"/>
      <w:pPr>
        <w:ind w:left="360" w:hanging="360"/>
      </w:pPr>
      <w:rPr>
        <w:rFonts w:ascii="Symbol" w:hAnsi="Symbol" w:hint="default"/>
        <w:color w:val="auto"/>
      </w:rPr>
    </w:lvl>
    <w:lvl w:ilvl="1" w:tplc="241A0003">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3" w15:restartNumberingAfterBreak="0">
    <w:nsid w:val="6E3D7B3F"/>
    <w:multiLevelType w:val="hybridMultilevel"/>
    <w:tmpl w:val="BD80840A"/>
    <w:lvl w:ilvl="0" w:tplc="06765AEA">
      <w:start w:val="1"/>
      <w:numFmt w:val="bullet"/>
      <w:lvlText w:val=""/>
      <w:lvlJc w:val="left"/>
      <w:pPr>
        <w:ind w:left="720" w:hanging="360"/>
      </w:pPr>
      <w:rPr>
        <w:rFonts w:ascii="Symbol" w:hAnsi="Symbol" w:hint="default"/>
        <w:i w:val="0"/>
        <w:iCs w:val="0"/>
        <w:color w:val="000000"/>
        <w:sz w:val="22"/>
        <w:szCs w:val="22"/>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72A62467"/>
    <w:multiLevelType w:val="hybridMultilevel"/>
    <w:tmpl w:val="DD742BEA"/>
    <w:lvl w:ilvl="0" w:tplc="B6465020">
      <w:start w:val="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731F4ADD"/>
    <w:multiLevelType w:val="hybridMultilevel"/>
    <w:tmpl w:val="81204C2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76795714"/>
    <w:multiLevelType w:val="hybridMultilevel"/>
    <w:tmpl w:val="1A0EFDE8"/>
    <w:lvl w:ilvl="0" w:tplc="E0B62582">
      <w:start w:val="1"/>
      <w:numFmt w:val="bullet"/>
      <w:lvlText w:val=""/>
      <w:lvlJc w:val="left"/>
      <w:pPr>
        <w:ind w:left="360" w:hanging="360"/>
      </w:pPr>
      <w:rPr>
        <w:rFonts w:ascii="Symbol" w:hAnsi="Symbol" w:hint="default"/>
        <w:color w:val="auto"/>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7"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E4745F9"/>
    <w:multiLevelType w:val="hybridMultilevel"/>
    <w:tmpl w:val="626C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lvlOverride w:ilvl="0">
      <w:startOverride w:val="7"/>
    </w:lvlOverride>
  </w:num>
  <w:num w:numId="3">
    <w:abstractNumId w:val="27"/>
  </w:num>
  <w:num w:numId="4">
    <w:abstractNumId w:val="26"/>
  </w:num>
  <w:num w:numId="5">
    <w:abstractNumId w:val="9"/>
  </w:num>
  <w:num w:numId="6">
    <w:abstractNumId w:val="22"/>
  </w:num>
  <w:num w:numId="7">
    <w:abstractNumId w:val="16"/>
  </w:num>
  <w:num w:numId="8">
    <w:abstractNumId w:val="23"/>
  </w:num>
  <w:num w:numId="9">
    <w:abstractNumId w:val="5"/>
  </w:num>
  <w:num w:numId="10">
    <w:abstractNumId w:val="12"/>
  </w:num>
  <w:num w:numId="11">
    <w:abstractNumId w:val="15"/>
  </w:num>
  <w:num w:numId="12">
    <w:abstractNumId w:val="13"/>
  </w:num>
  <w:num w:numId="13">
    <w:abstractNumId w:val="0"/>
  </w:num>
  <w:num w:numId="14">
    <w:abstractNumId w:val="11"/>
  </w:num>
  <w:num w:numId="15">
    <w:abstractNumId w:val="14"/>
  </w:num>
  <w:num w:numId="16">
    <w:abstractNumId w:val="21"/>
  </w:num>
  <w:num w:numId="17">
    <w:abstractNumId w:val="25"/>
  </w:num>
  <w:num w:numId="18">
    <w:abstractNumId w:val="6"/>
  </w:num>
  <w:num w:numId="19">
    <w:abstractNumId w:val="1"/>
  </w:num>
  <w:num w:numId="20">
    <w:abstractNumId w:val="7"/>
  </w:num>
  <w:num w:numId="21">
    <w:abstractNumId w:val="24"/>
  </w:num>
  <w:num w:numId="22">
    <w:abstractNumId w:val="17"/>
  </w:num>
  <w:num w:numId="23">
    <w:abstractNumId w:val="18"/>
  </w:num>
  <w:num w:numId="24">
    <w:abstractNumId w:val="2"/>
  </w:num>
  <w:num w:numId="25">
    <w:abstractNumId w:val="20"/>
  </w:num>
  <w:num w:numId="26">
    <w:abstractNumId w:val="10"/>
  </w:num>
  <w:num w:numId="27">
    <w:abstractNumId w:val="28"/>
  </w:num>
  <w:num w:numId="28">
    <w:abstractNumId w:val="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01D0"/>
    <w:rsid w:val="00001C44"/>
    <w:rsid w:val="00011C41"/>
    <w:rsid w:val="00013D41"/>
    <w:rsid w:val="00013F38"/>
    <w:rsid w:val="00014834"/>
    <w:rsid w:val="0001591B"/>
    <w:rsid w:val="00016624"/>
    <w:rsid w:val="00017801"/>
    <w:rsid w:val="000216BA"/>
    <w:rsid w:val="000244A3"/>
    <w:rsid w:val="0003457F"/>
    <w:rsid w:val="00037BE4"/>
    <w:rsid w:val="00040C02"/>
    <w:rsid w:val="0005103C"/>
    <w:rsid w:val="00053083"/>
    <w:rsid w:val="00054813"/>
    <w:rsid w:val="00057598"/>
    <w:rsid w:val="0005798D"/>
    <w:rsid w:val="00060F5D"/>
    <w:rsid w:val="00061F00"/>
    <w:rsid w:val="000628A7"/>
    <w:rsid w:val="00062E18"/>
    <w:rsid w:val="00064273"/>
    <w:rsid w:val="000651AF"/>
    <w:rsid w:val="000670AE"/>
    <w:rsid w:val="00067DB2"/>
    <w:rsid w:val="000750DF"/>
    <w:rsid w:val="00077258"/>
    <w:rsid w:val="00083BE0"/>
    <w:rsid w:val="00083F1F"/>
    <w:rsid w:val="00095FB6"/>
    <w:rsid w:val="0009758B"/>
    <w:rsid w:val="000A0F4A"/>
    <w:rsid w:val="000A1A19"/>
    <w:rsid w:val="000A3D40"/>
    <w:rsid w:val="000A44A3"/>
    <w:rsid w:val="000B285F"/>
    <w:rsid w:val="000B727C"/>
    <w:rsid w:val="000C0E87"/>
    <w:rsid w:val="000C315D"/>
    <w:rsid w:val="000C36D6"/>
    <w:rsid w:val="000D11C9"/>
    <w:rsid w:val="000D13A6"/>
    <w:rsid w:val="000D4C01"/>
    <w:rsid w:val="000D5631"/>
    <w:rsid w:val="000E42AD"/>
    <w:rsid w:val="000E75C0"/>
    <w:rsid w:val="000E7829"/>
    <w:rsid w:val="000F1210"/>
    <w:rsid w:val="000F1632"/>
    <w:rsid w:val="000F1B81"/>
    <w:rsid w:val="00102770"/>
    <w:rsid w:val="00105A86"/>
    <w:rsid w:val="00110D4B"/>
    <w:rsid w:val="001121BD"/>
    <w:rsid w:val="00117013"/>
    <w:rsid w:val="001173D6"/>
    <w:rsid w:val="0012107E"/>
    <w:rsid w:val="0012202C"/>
    <w:rsid w:val="00123F4E"/>
    <w:rsid w:val="001261B6"/>
    <w:rsid w:val="00127DC2"/>
    <w:rsid w:val="00132362"/>
    <w:rsid w:val="001328BB"/>
    <w:rsid w:val="00137CDC"/>
    <w:rsid w:val="00140B9B"/>
    <w:rsid w:val="00141639"/>
    <w:rsid w:val="0014180A"/>
    <w:rsid w:val="00141DF8"/>
    <w:rsid w:val="00144A42"/>
    <w:rsid w:val="00144E55"/>
    <w:rsid w:val="00151C33"/>
    <w:rsid w:val="00152D9E"/>
    <w:rsid w:val="00156605"/>
    <w:rsid w:val="00156819"/>
    <w:rsid w:val="00160EF0"/>
    <w:rsid w:val="00161B71"/>
    <w:rsid w:val="00166ACD"/>
    <w:rsid w:val="00167C86"/>
    <w:rsid w:val="00167F4A"/>
    <w:rsid w:val="00167F86"/>
    <w:rsid w:val="00173D18"/>
    <w:rsid w:val="00175772"/>
    <w:rsid w:val="00175A7E"/>
    <w:rsid w:val="0018006F"/>
    <w:rsid w:val="0018601D"/>
    <w:rsid w:val="001921FA"/>
    <w:rsid w:val="00193172"/>
    <w:rsid w:val="00193DAF"/>
    <w:rsid w:val="00197D6E"/>
    <w:rsid w:val="001A0AAE"/>
    <w:rsid w:val="001A4939"/>
    <w:rsid w:val="001A5C97"/>
    <w:rsid w:val="001A70D9"/>
    <w:rsid w:val="001A7480"/>
    <w:rsid w:val="001A7E4B"/>
    <w:rsid w:val="001B706A"/>
    <w:rsid w:val="001C3E35"/>
    <w:rsid w:val="001D08E4"/>
    <w:rsid w:val="001D10C9"/>
    <w:rsid w:val="001D274B"/>
    <w:rsid w:val="001D30A4"/>
    <w:rsid w:val="001D31F7"/>
    <w:rsid w:val="001E0A07"/>
    <w:rsid w:val="001E6145"/>
    <w:rsid w:val="001E70C1"/>
    <w:rsid w:val="001E7C5B"/>
    <w:rsid w:val="001F2D4E"/>
    <w:rsid w:val="001F39B1"/>
    <w:rsid w:val="001F39B6"/>
    <w:rsid w:val="001F3DCA"/>
    <w:rsid w:val="001F4B73"/>
    <w:rsid w:val="001F706A"/>
    <w:rsid w:val="0020722D"/>
    <w:rsid w:val="002165C7"/>
    <w:rsid w:val="00216CCA"/>
    <w:rsid w:val="0022116E"/>
    <w:rsid w:val="0022218E"/>
    <w:rsid w:val="0022223A"/>
    <w:rsid w:val="00233FBB"/>
    <w:rsid w:val="0024132F"/>
    <w:rsid w:val="0024155D"/>
    <w:rsid w:val="00242DCD"/>
    <w:rsid w:val="0024599C"/>
    <w:rsid w:val="00245A06"/>
    <w:rsid w:val="00247C5C"/>
    <w:rsid w:val="00250E28"/>
    <w:rsid w:val="00257E12"/>
    <w:rsid w:val="0026048B"/>
    <w:rsid w:val="0026727B"/>
    <w:rsid w:val="002673BA"/>
    <w:rsid w:val="00267C65"/>
    <w:rsid w:val="00271B83"/>
    <w:rsid w:val="0027215E"/>
    <w:rsid w:val="00273BE0"/>
    <w:rsid w:val="002751D5"/>
    <w:rsid w:val="0027590D"/>
    <w:rsid w:val="00291713"/>
    <w:rsid w:val="002922A0"/>
    <w:rsid w:val="00294FB2"/>
    <w:rsid w:val="00295C9E"/>
    <w:rsid w:val="00297760"/>
    <w:rsid w:val="002A627E"/>
    <w:rsid w:val="002A668D"/>
    <w:rsid w:val="002A68BF"/>
    <w:rsid w:val="002A6F18"/>
    <w:rsid w:val="002B4A34"/>
    <w:rsid w:val="002B4EA8"/>
    <w:rsid w:val="002B6F6A"/>
    <w:rsid w:val="002B7005"/>
    <w:rsid w:val="002C06DA"/>
    <w:rsid w:val="002C0FBF"/>
    <w:rsid w:val="002C15E9"/>
    <w:rsid w:val="002C2419"/>
    <w:rsid w:val="002D5638"/>
    <w:rsid w:val="002F097D"/>
    <w:rsid w:val="002F1128"/>
    <w:rsid w:val="002F5E2F"/>
    <w:rsid w:val="002F6441"/>
    <w:rsid w:val="002F746C"/>
    <w:rsid w:val="00300B1F"/>
    <w:rsid w:val="0030322E"/>
    <w:rsid w:val="00313DDE"/>
    <w:rsid w:val="00313F96"/>
    <w:rsid w:val="00316FC0"/>
    <w:rsid w:val="0032701B"/>
    <w:rsid w:val="0033253C"/>
    <w:rsid w:val="00334344"/>
    <w:rsid w:val="00335ECF"/>
    <w:rsid w:val="00336C4C"/>
    <w:rsid w:val="00342EC2"/>
    <w:rsid w:val="003452C0"/>
    <w:rsid w:val="00346C29"/>
    <w:rsid w:val="003478EF"/>
    <w:rsid w:val="00354E3E"/>
    <w:rsid w:val="00360F39"/>
    <w:rsid w:val="00367877"/>
    <w:rsid w:val="00371075"/>
    <w:rsid w:val="00383195"/>
    <w:rsid w:val="003834A8"/>
    <w:rsid w:val="00393E95"/>
    <w:rsid w:val="0039749B"/>
    <w:rsid w:val="003A2814"/>
    <w:rsid w:val="003A2DF8"/>
    <w:rsid w:val="003B2082"/>
    <w:rsid w:val="003C18A4"/>
    <w:rsid w:val="003C6260"/>
    <w:rsid w:val="003D2B16"/>
    <w:rsid w:val="003D3C8C"/>
    <w:rsid w:val="003D5576"/>
    <w:rsid w:val="003E3EC7"/>
    <w:rsid w:val="003F19E4"/>
    <w:rsid w:val="003F4F8A"/>
    <w:rsid w:val="003F642A"/>
    <w:rsid w:val="003F75D3"/>
    <w:rsid w:val="003F78E8"/>
    <w:rsid w:val="00402B9E"/>
    <w:rsid w:val="004123CD"/>
    <w:rsid w:val="00420C1F"/>
    <w:rsid w:val="004234ED"/>
    <w:rsid w:val="00425459"/>
    <w:rsid w:val="00427D41"/>
    <w:rsid w:val="00433080"/>
    <w:rsid w:val="00436E6A"/>
    <w:rsid w:val="004410BC"/>
    <w:rsid w:val="00445C74"/>
    <w:rsid w:val="00446DBC"/>
    <w:rsid w:val="00450595"/>
    <w:rsid w:val="00450632"/>
    <w:rsid w:val="00454C2B"/>
    <w:rsid w:val="00462C33"/>
    <w:rsid w:val="004664B2"/>
    <w:rsid w:val="00466C4F"/>
    <w:rsid w:val="00466CF8"/>
    <w:rsid w:val="00472B84"/>
    <w:rsid w:val="00484CBB"/>
    <w:rsid w:val="00485742"/>
    <w:rsid w:val="00487746"/>
    <w:rsid w:val="00487AAE"/>
    <w:rsid w:val="00492248"/>
    <w:rsid w:val="0049357A"/>
    <w:rsid w:val="004969E8"/>
    <w:rsid w:val="00497648"/>
    <w:rsid w:val="004A2CFE"/>
    <w:rsid w:val="004A3080"/>
    <w:rsid w:val="004A437A"/>
    <w:rsid w:val="004A7DFD"/>
    <w:rsid w:val="004B1D74"/>
    <w:rsid w:val="004B2128"/>
    <w:rsid w:val="004B5148"/>
    <w:rsid w:val="004B5A11"/>
    <w:rsid w:val="004B7A50"/>
    <w:rsid w:val="004C01C3"/>
    <w:rsid w:val="004D0110"/>
    <w:rsid w:val="004D13D0"/>
    <w:rsid w:val="004D147D"/>
    <w:rsid w:val="004D230F"/>
    <w:rsid w:val="004D36D4"/>
    <w:rsid w:val="004D7B91"/>
    <w:rsid w:val="004E56B2"/>
    <w:rsid w:val="004F2B81"/>
    <w:rsid w:val="004F3BBD"/>
    <w:rsid w:val="004F67E4"/>
    <w:rsid w:val="00503974"/>
    <w:rsid w:val="00504872"/>
    <w:rsid w:val="0050499E"/>
    <w:rsid w:val="00506088"/>
    <w:rsid w:val="00511385"/>
    <w:rsid w:val="00514F22"/>
    <w:rsid w:val="0052230B"/>
    <w:rsid w:val="00523EE0"/>
    <w:rsid w:val="00525A8A"/>
    <w:rsid w:val="005274C1"/>
    <w:rsid w:val="005276F0"/>
    <w:rsid w:val="00530909"/>
    <w:rsid w:val="005335A2"/>
    <w:rsid w:val="00534CB2"/>
    <w:rsid w:val="00534D76"/>
    <w:rsid w:val="00536CB5"/>
    <w:rsid w:val="0054046E"/>
    <w:rsid w:val="005416BD"/>
    <w:rsid w:val="00551CFE"/>
    <w:rsid w:val="005534A4"/>
    <w:rsid w:val="005602E2"/>
    <w:rsid w:val="00566F0B"/>
    <w:rsid w:val="00567406"/>
    <w:rsid w:val="0056795E"/>
    <w:rsid w:val="00592B00"/>
    <w:rsid w:val="00596686"/>
    <w:rsid w:val="005A2C35"/>
    <w:rsid w:val="005A2F87"/>
    <w:rsid w:val="005B1445"/>
    <w:rsid w:val="005B315A"/>
    <w:rsid w:val="005B3388"/>
    <w:rsid w:val="005C08F3"/>
    <w:rsid w:val="005C3235"/>
    <w:rsid w:val="005C3F73"/>
    <w:rsid w:val="005C7891"/>
    <w:rsid w:val="005D29FC"/>
    <w:rsid w:val="005D31CE"/>
    <w:rsid w:val="005D7C36"/>
    <w:rsid w:val="005F059C"/>
    <w:rsid w:val="005F59E2"/>
    <w:rsid w:val="00601FFA"/>
    <w:rsid w:val="00603302"/>
    <w:rsid w:val="00604E4F"/>
    <w:rsid w:val="006054EE"/>
    <w:rsid w:val="006118B6"/>
    <w:rsid w:val="006156EA"/>
    <w:rsid w:val="006161CF"/>
    <w:rsid w:val="00623C8F"/>
    <w:rsid w:val="0062575D"/>
    <w:rsid w:val="006270C0"/>
    <w:rsid w:val="00630195"/>
    <w:rsid w:val="00634FFA"/>
    <w:rsid w:val="0063645D"/>
    <w:rsid w:val="0063676A"/>
    <w:rsid w:val="00641E2F"/>
    <w:rsid w:val="0064506F"/>
    <w:rsid w:val="00646D50"/>
    <w:rsid w:val="006527FE"/>
    <w:rsid w:val="00653AAE"/>
    <w:rsid w:val="00654157"/>
    <w:rsid w:val="006551F3"/>
    <w:rsid w:val="006559AF"/>
    <w:rsid w:val="00660ED5"/>
    <w:rsid w:val="00662BCD"/>
    <w:rsid w:val="00676FB6"/>
    <w:rsid w:val="0068191C"/>
    <w:rsid w:val="00685D9F"/>
    <w:rsid w:val="00687D12"/>
    <w:rsid w:val="00692366"/>
    <w:rsid w:val="00693874"/>
    <w:rsid w:val="00693EFD"/>
    <w:rsid w:val="00693F46"/>
    <w:rsid w:val="0069500E"/>
    <w:rsid w:val="006A2D10"/>
    <w:rsid w:val="006B0AEE"/>
    <w:rsid w:val="006C09B1"/>
    <w:rsid w:val="006D0202"/>
    <w:rsid w:val="006D167B"/>
    <w:rsid w:val="006E48CC"/>
    <w:rsid w:val="006F158F"/>
    <w:rsid w:val="006F189F"/>
    <w:rsid w:val="006F22D3"/>
    <w:rsid w:val="006F27F9"/>
    <w:rsid w:val="00700405"/>
    <w:rsid w:val="00701586"/>
    <w:rsid w:val="00721941"/>
    <w:rsid w:val="0072362D"/>
    <w:rsid w:val="007337AC"/>
    <w:rsid w:val="007371B4"/>
    <w:rsid w:val="00737A70"/>
    <w:rsid w:val="00743B07"/>
    <w:rsid w:val="0074598A"/>
    <w:rsid w:val="00760B19"/>
    <w:rsid w:val="007611DB"/>
    <w:rsid w:val="00764648"/>
    <w:rsid w:val="0076523B"/>
    <w:rsid w:val="00766A95"/>
    <w:rsid w:val="00766C41"/>
    <w:rsid w:val="007671F0"/>
    <w:rsid w:val="007672F3"/>
    <w:rsid w:val="00771C28"/>
    <w:rsid w:val="0077225E"/>
    <w:rsid w:val="00772BAA"/>
    <w:rsid w:val="00774707"/>
    <w:rsid w:val="007755DF"/>
    <w:rsid w:val="00775CA0"/>
    <w:rsid w:val="00780B4E"/>
    <w:rsid w:val="00780FFB"/>
    <w:rsid w:val="00783193"/>
    <w:rsid w:val="00783876"/>
    <w:rsid w:val="0078412E"/>
    <w:rsid w:val="00792275"/>
    <w:rsid w:val="00794E82"/>
    <w:rsid w:val="00795253"/>
    <w:rsid w:val="00795F04"/>
    <w:rsid w:val="007A4073"/>
    <w:rsid w:val="007A7D83"/>
    <w:rsid w:val="007B16C4"/>
    <w:rsid w:val="007B47ED"/>
    <w:rsid w:val="007B585F"/>
    <w:rsid w:val="007B6218"/>
    <w:rsid w:val="007B7CB2"/>
    <w:rsid w:val="007C2D7E"/>
    <w:rsid w:val="007C4754"/>
    <w:rsid w:val="007C76BD"/>
    <w:rsid w:val="007D0057"/>
    <w:rsid w:val="007D17FD"/>
    <w:rsid w:val="007D48C5"/>
    <w:rsid w:val="007D5B6F"/>
    <w:rsid w:val="007D62A0"/>
    <w:rsid w:val="007D7D88"/>
    <w:rsid w:val="007E00CA"/>
    <w:rsid w:val="007E06F0"/>
    <w:rsid w:val="007E0C5B"/>
    <w:rsid w:val="007E2247"/>
    <w:rsid w:val="007E336A"/>
    <w:rsid w:val="007E370B"/>
    <w:rsid w:val="007E438E"/>
    <w:rsid w:val="007E7E76"/>
    <w:rsid w:val="007F2436"/>
    <w:rsid w:val="007F2EC6"/>
    <w:rsid w:val="007F337C"/>
    <w:rsid w:val="007F48E1"/>
    <w:rsid w:val="007F7A12"/>
    <w:rsid w:val="00802DFC"/>
    <w:rsid w:val="008035ED"/>
    <w:rsid w:val="00804385"/>
    <w:rsid w:val="00805C58"/>
    <w:rsid w:val="008070D0"/>
    <w:rsid w:val="0081117C"/>
    <w:rsid w:val="0081220A"/>
    <w:rsid w:val="00814781"/>
    <w:rsid w:val="00817BB5"/>
    <w:rsid w:val="00821326"/>
    <w:rsid w:val="00822DFD"/>
    <w:rsid w:val="0082567E"/>
    <w:rsid w:val="008276E3"/>
    <w:rsid w:val="00834DBB"/>
    <w:rsid w:val="00841961"/>
    <w:rsid w:val="00841E59"/>
    <w:rsid w:val="00842FFB"/>
    <w:rsid w:val="00853739"/>
    <w:rsid w:val="00853DDF"/>
    <w:rsid w:val="00855FAD"/>
    <w:rsid w:val="00862857"/>
    <w:rsid w:val="0086351A"/>
    <w:rsid w:val="008674F7"/>
    <w:rsid w:val="00870781"/>
    <w:rsid w:val="008737C6"/>
    <w:rsid w:val="00874B61"/>
    <w:rsid w:val="00874BB8"/>
    <w:rsid w:val="008766BE"/>
    <w:rsid w:val="00877E2F"/>
    <w:rsid w:val="00881ACF"/>
    <w:rsid w:val="00886FC7"/>
    <w:rsid w:val="008917D5"/>
    <w:rsid w:val="008A1B3F"/>
    <w:rsid w:val="008A1D84"/>
    <w:rsid w:val="008A25F9"/>
    <w:rsid w:val="008A33B5"/>
    <w:rsid w:val="008A45C0"/>
    <w:rsid w:val="008A48B7"/>
    <w:rsid w:val="008B06A2"/>
    <w:rsid w:val="008B1E42"/>
    <w:rsid w:val="008B3EB5"/>
    <w:rsid w:val="008B6CDE"/>
    <w:rsid w:val="008C5809"/>
    <w:rsid w:val="008C58DB"/>
    <w:rsid w:val="008C5AB7"/>
    <w:rsid w:val="008D45E4"/>
    <w:rsid w:val="008D574C"/>
    <w:rsid w:val="008D78C9"/>
    <w:rsid w:val="008E0927"/>
    <w:rsid w:val="008E0FC9"/>
    <w:rsid w:val="008E26B3"/>
    <w:rsid w:val="008E2788"/>
    <w:rsid w:val="008E3D7F"/>
    <w:rsid w:val="008E4DB1"/>
    <w:rsid w:val="008F0BA1"/>
    <w:rsid w:val="008F0E0F"/>
    <w:rsid w:val="00900CCD"/>
    <w:rsid w:val="00903056"/>
    <w:rsid w:val="00903F7F"/>
    <w:rsid w:val="00905F08"/>
    <w:rsid w:val="00913684"/>
    <w:rsid w:val="00916931"/>
    <w:rsid w:val="009179A8"/>
    <w:rsid w:val="00917E37"/>
    <w:rsid w:val="00923865"/>
    <w:rsid w:val="00927423"/>
    <w:rsid w:val="0093016E"/>
    <w:rsid w:val="00934B4D"/>
    <w:rsid w:val="00936F10"/>
    <w:rsid w:val="009373F1"/>
    <w:rsid w:val="009410D2"/>
    <w:rsid w:val="00941C7C"/>
    <w:rsid w:val="00942FF3"/>
    <w:rsid w:val="00945AFF"/>
    <w:rsid w:val="00950DD8"/>
    <w:rsid w:val="009518D2"/>
    <w:rsid w:val="009530C6"/>
    <w:rsid w:val="00955C75"/>
    <w:rsid w:val="00956CD7"/>
    <w:rsid w:val="00966D17"/>
    <w:rsid w:val="009677DF"/>
    <w:rsid w:val="009860BD"/>
    <w:rsid w:val="009867B0"/>
    <w:rsid w:val="00991BDB"/>
    <w:rsid w:val="00993CAF"/>
    <w:rsid w:val="009946F8"/>
    <w:rsid w:val="00996723"/>
    <w:rsid w:val="00996E6B"/>
    <w:rsid w:val="009A15AD"/>
    <w:rsid w:val="009A1D64"/>
    <w:rsid w:val="009A4211"/>
    <w:rsid w:val="009A6C71"/>
    <w:rsid w:val="009B1292"/>
    <w:rsid w:val="009B1C41"/>
    <w:rsid w:val="009B2430"/>
    <w:rsid w:val="009B338B"/>
    <w:rsid w:val="009B52C4"/>
    <w:rsid w:val="009B58AD"/>
    <w:rsid w:val="009B5D7C"/>
    <w:rsid w:val="009B6D40"/>
    <w:rsid w:val="009B7935"/>
    <w:rsid w:val="009C35E0"/>
    <w:rsid w:val="009C3872"/>
    <w:rsid w:val="009C7BA2"/>
    <w:rsid w:val="009D1161"/>
    <w:rsid w:val="009D667B"/>
    <w:rsid w:val="009E013D"/>
    <w:rsid w:val="009E1F41"/>
    <w:rsid w:val="009E767E"/>
    <w:rsid w:val="009F080F"/>
    <w:rsid w:val="009F4449"/>
    <w:rsid w:val="009F706D"/>
    <w:rsid w:val="009F7AB2"/>
    <w:rsid w:val="00A02252"/>
    <w:rsid w:val="00A035E2"/>
    <w:rsid w:val="00A127F1"/>
    <w:rsid w:val="00A25131"/>
    <w:rsid w:val="00A25564"/>
    <w:rsid w:val="00A27130"/>
    <w:rsid w:val="00A27C90"/>
    <w:rsid w:val="00A32B59"/>
    <w:rsid w:val="00A334D4"/>
    <w:rsid w:val="00A36E26"/>
    <w:rsid w:val="00A41209"/>
    <w:rsid w:val="00A43089"/>
    <w:rsid w:val="00A4538B"/>
    <w:rsid w:val="00A50B59"/>
    <w:rsid w:val="00A52241"/>
    <w:rsid w:val="00A541A5"/>
    <w:rsid w:val="00A54588"/>
    <w:rsid w:val="00A561F7"/>
    <w:rsid w:val="00A602A8"/>
    <w:rsid w:val="00A61D28"/>
    <w:rsid w:val="00A62E81"/>
    <w:rsid w:val="00A664BC"/>
    <w:rsid w:val="00A71419"/>
    <w:rsid w:val="00A7147C"/>
    <w:rsid w:val="00A728DA"/>
    <w:rsid w:val="00A7605B"/>
    <w:rsid w:val="00A765E3"/>
    <w:rsid w:val="00A7660B"/>
    <w:rsid w:val="00A815F3"/>
    <w:rsid w:val="00A851AF"/>
    <w:rsid w:val="00A86897"/>
    <w:rsid w:val="00A91553"/>
    <w:rsid w:val="00A95733"/>
    <w:rsid w:val="00A96239"/>
    <w:rsid w:val="00AB3C6A"/>
    <w:rsid w:val="00AB5465"/>
    <w:rsid w:val="00AB6E2A"/>
    <w:rsid w:val="00AB727C"/>
    <w:rsid w:val="00AB73C3"/>
    <w:rsid w:val="00AC3F87"/>
    <w:rsid w:val="00AC4142"/>
    <w:rsid w:val="00AC56F7"/>
    <w:rsid w:val="00AD5B5D"/>
    <w:rsid w:val="00AE14B1"/>
    <w:rsid w:val="00AE1924"/>
    <w:rsid w:val="00AE39FD"/>
    <w:rsid w:val="00AE4D1D"/>
    <w:rsid w:val="00AE5686"/>
    <w:rsid w:val="00AE6EB3"/>
    <w:rsid w:val="00AF3D9F"/>
    <w:rsid w:val="00B012F3"/>
    <w:rsid w:val="00B13008"/>
    <w:rsid w:val="00B136B9"/>
    <w:rsid w:val="00B15716"/>
    <w:rsid w:val="00B233C7"/>
    <w:rsid w:val="00B26FAC"/>
    <w:rsid w:val="00B31AA2"/>
    <w:rsid w:val="00B33129"/>
    <w:rsid w:val="00B41C4C"/>
    <w:rsid w:val="00B47253"/>
    <w:rsid w:val="00B57D82"/>
    <w:rsid w:val="00B64ABF"/>
    <w:rsid w:val="00B64B07"/>
    <w:rsid w:val="00B70C10"/>
    <w:rsid w:val="00B71906"/>
    <w:rsid w:val="00B72A7F"/>
    <w:rsid w:val="00B74470"/>
    <w:rsid w:val="00B747B4"/>
    <w:rsid w:val="00B74C0B"/>
    <w:rsid w:val="00B82E96"/>
    <w:rsid w:val="00B8400D"/>
    <w:rsid w:val="00B85CD0"/>
    <w:rsid w:val="00B93A37"/>
    <w:rsid w:val="00B944BB"/>
    <w:rsid w:val="00B9772B"/>
    <w:rsid w:val="00BA1819"/>
    <w:rsid w:val="00BA5A22"/>
    <w:rsid w:val="00BB3E40"/>
    <w:rsid w:val="00BB55E5"/>
    <w:rsid w:val="00BB78B2"/>
    <w:rsid w:val="00BC07B1"/>
    <w:rsid w:val="00BC1D99"/>
    <w:rsid w:val="00BC63DA"/>
    <w:rsid w:val="00BD0EBF"/>
    <w:rsid w:val="00BD2B8E"/>
    <w:rsid w:val="00BD4E6C"/>
    <w:rsid w:val="00BD6787"/>
    <w:rsid w:val="00BD725A"/>
    <w:rsid w:val="00BE0C7D"/>
    <w:rsid w:val="00BF2543"/>
    <w:rsid w:val="00BF3750"/>
    <w:rsid w:val="00BF4BFB"/>
    <w:rsid w:val="00BF71D9"/>
    <w:rsid w:val="00C00E1F"/>
    <w:rsid w:val="00C042C1"/>
    <w:rsid w:val="00C05823"/>
    <w:rsid w:val="00C06244"/>
    <w:rsid w:val="00C10232"/>
    <w:rsid w:val="00C11C66"/>
    <w:rsid w:val="00C134F9"/>
    <w:rsid w:val="00C16433"/>
    <w:rsid w:val="00C20CE3"/>
    <w:rsid w:val="00C21CBF"/>
    <w:rsid w:val="00C2371C"/>
    <w:rsid w:val="00C2686E"/>
    <w:rsid w:val="00C4427F"/>
    <w:rsid w:val="00C448CC"/>
    <w:rsid w:val="00C536C2"/>
    <w:rsid w:val="00C55F47"/>
    <w:rsid w:val="00C56E2E"/>
    <w:rsid w:val="00C576B1"/>
    <w:rsid w:val="00C608A1"/>
    <w:rsid w:val="00C63039"/>
    <w:rsid w:val="00C64A31"/>
    <w:rsid w:val="00C6551D"/>
    <w:rsid w:val="00C7334E"/>
    <w:rsid w:val="00C760FA"/>
    <w:rsid w:val="00C82D33"/>
    <w:rsid w:val="00C82E8B"/>
    <w:rsid w:val="00C83BD8"/>
    <w:rsid w:val="00C84F08"/>
    <w:rsid w:val="00C908F2"/>
    <w:rsid w:val="00C9176B"/>
    <w:rsid w:val="00C918AC"/>
    <w:rsid w:val="00C91C65"/>
    <w:rsid w:val="00C97F85"/>
    <w:rsid w:val="00CA0749"/>
    <w:rsid w:val="00CA4B7D"/>
    <w:rsid w:val="00CA562C"/>
    <w:rsid w:val="00CA5DAC"/>
    <w:rsid w:val="00CA79F1"/>
    <w:rsid w:val="00CB32C3"/>
    <w:rsid w:val="00CB64C5"/>
    <w:rsid w:val="00CC0CF9"/>
    <w:rsid w:val="00CC4573"/>
    <w:rsid w:val="00CC4C88"/>
    <w:rsid w:val="00CC6164"/>
    <w:rsid w:val="00CC75BC"/>
    <w:rsid w:val="00CD0B1F"/>
    <w:rsid w:val="00CD3F96"/>
    <w:rsid w:val="00CD4F26"/>
    <w:rsid w:val="00CD5420"/>
    <w:rsid w:val="00CD7345"/>
    <w:rsid w:val="00CE09F3"/>
    <w:rsid w:val="00CE76BF"/>
    <w:rsid w:val="00CE76DA"/>
    <w:rsid w:val="00CF7578"/>
    <w:rsid w:val="00D03930"/>
    <w:rsid w:val="00D11E94"/>
    <w:rsid w:val="00D132EC"/>
    <w:rsid w:val="00D17035"/>
    <w:rsid w:val="00D17E71"/>
    <w:rsid w:val="00D23BEE"/>
    <w:rsid w:val="00D26E50"/>
    <w:rsid w:val="00D30389"/>
    <w:rsid w:val="00D30786"/>
    <w:rsid w:val="00D32A79"/>
    <w:rsid w:val="00D33752"/>
    <w:rsid w:val="00D337F6"/>
    <w:rsid w:val="00D41DEE"/>
    <w:rsid w:val="00D43CF3"/>
    <w:rsid w:val="00D478A5"/>
    <w:rsid w:val="00D52CDB"/>
    <w:rsid w:val="00D556FD"/>
    <w:rsid w:val="00D610E6"/>
    <w:rsid w:val="00D61710"/>
    <w:rsid w:val="00D6611E"/>
    <w:rsid w:val="00D703A2"/>
    <w:rsid w:val="00D74CDC"/>
    <w:rsid w:val="00D85F37"/>
    <w:rsid w:val="00D86F2D"/>
    <w:rsid w:val="00D87330"/>
    <w:rsid w:val="00D9017F"/>
    <w:rsid w:val="00D90F76"/>
    <w:rsid w:val="00D913E7"/>
    <w:rsid w:val="00D92351"/>
    <w:rsid w:val="00D92DD7"/>
    <w:rsid w:val="00D97B82"/>
    <w:rsid w:val="00DA427E"/>
    <w:rsid w:val="00DB4534"/>
    <w:rsid w:val="00DB4663"/>
    <w:rsid w:val="00DB7FDE"/>
    <w:rsid w:val="00DC75DD"/>
    <w:rsid w:val="00DD1120"/>
    <w:rsid w:val="00DD2A82"/>
    <w:rsid w:val="00DD434F"/>
    <w:rsid w:val="00DD4416"/>
    <w:rsid w:val="00DD4782"/>
    <w:rsid w:val="00DD5F04"/>
    <w:rsid w:val="00DD71D5"/>
    <w:rsid w:val="00DD7500"/>
    <w:rsid w:val="00DF1A76"/>
    <w:rsid w:val="00DF3D15"/>
    <w:rsid w:val="00DF46E4"/>
    <w:rsid w:val="00E0067A"/>
    <w:rsid w:val="00E0250B"/>
    <w:rsid w:val="00E04856"/>
    <w:rsid w:val="00E10898"/>
    <w:rsid w:val="00E1712E"/>
    <w:rsid w:val="00E21B5F"/>
    <w:rsid w:val="00E31A6D"/>
    <w:rsid w:val="00E325BC"/>
    <w:rsid w:val="00E33949"/>
    <w:rsid w:val="00E47F28"/>
    <w:rsid w:val="00E47F78"/>
    <w:rsid w:val="00E50CD3"/>
    <w:rsid w:val="00E56089"/>
    <w:rsid w:val="00E70256"/>
    <w:rsid w:val="00E70330"/>
    <w:rsid w:val="00E72817"/>
    <w:rsid w:val="00E739F7"/>
    <w:rsid w:val="00E74B44"/>
    <w:rsid w:val="00E828A9"/>
    <w:rsid w:val="00E82ED5"/>
    <w:rsid w:val="00E83D7F"/>
    <w:rsid w:val="00E87BE1"/>
    <w:rsid w:val="00E90FF7"/>
    <w:rsid w:val="00E92E9F"/>
    <w:rsid w:val="00E93467"/>
    <w:rsid w:val="00E96D0E"/>
    <w:rsid w:val="00EA020F"/>
    <w:rsid w:val="00EA1F85"/>
    <w:rsid w:val="00EA440A"/>
    <w:rsid w:val="00EA4B74"/>
    <w:rsid w:val="00EB102F"/>
    <w:rsid w:val="00EB2BFF"/>
    <w:rsid w:val="00EB39A1"/>
    <w:rsid w:val="00EB4189"/>
    <w:rsid w:val="00EB4E56"/>
    <w:rsid w:val="00EB5150"/>
    <w:rsid w:val="00EC1420"/>
    <w:rsid w:val="00EC32A8"/>
    <w:rsid w:val="00EC6A58"/>
    <w:rsid w:val="00ED4585"/>
    <w:rsid w:val="00ED735F"/>
    <w:rsid w:val="00EE0D1C"/>
    <w:rsid w:val="00EE6F1A"/>
    <w:rsid w:val="00EF1B3B"/>
    <w:rsid w:val="00EF21CB"/>
    <w:rsid w:val="00EF32A9"/>
    <w:rsid w:val="00EF42DD"/>
    <w:rsid w:val="00F0546B"/>
    <w:rsid w:val="00F16552"/>
    <w:rsid w:val="00F22F13"/>
    <w:rsid w:val="00F34AA9"/>
    <w:rsid w:val="00F42610"/>
    <w:rsid w:val="00F439B4"/>
    <w:rsid w:val="00F43FC5"/>
    <w:rsid w:val="00F44820"/>
    <w:rsid w:val="00F47F0F"/>
    <w:rsid w:val="00F502ED"/>
    <w:rsid w:val="00F54AAB"/>
    <w:rsid w:val="00F56660"/>
    <w:rsid w:val="00F5775F"/>
    <w:rsid w:val="00F63F24"/>
    <w:rsid w:val="00F702E9"/>
    <w:rsid w:val="00F71D53"/>
    <w:rsid w:val="00F71DFD"/>
    <w:rsid w:val="00F73DD8"/>
    <w:rsid w:val="00F74B49"/>
    <w:rsid w:val="00F752D1"/>
    <w:rsid w:val="00F7617E"/>
    <w:rsid w:val="00F7728B"/>
    <w:rsid w:val="00F820D9"/>
    <w:rsid w:val="00F84701"/>
    <w:rsid w:val="00F84AEF"/>
    <w:rsid w:val="00F86B72"/>
    <w:rsid w:val="00F87588"/>
    <w:rsid w:val="00F87C77"/>
    <w:rsid w:val="00FA0AFB"/>
    <w:rsid w:val="00FA1B74"/>
    <w:rsid w:val="00FB39F5"/>
    <w:rsid w:val="00FB3E39"/>
    <w:rsid w:val="00FC20F1"/>
    <w:rsid w:val="00FD3EA3"/>
    <w:rsid w:val="00FD512C"/>
    <w:rsid w:val="00FD7A1D"/>
    <w:rsid w:val="00FD7E63"/>
    <w:rsid w:val="00FF0D13"/>
    <w:rsid w:val="00FF383F"/>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B8A44"/>
  <w15:docId w15:val="{A687FF34-699B-4E1E-A85F-52BB0EC8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 Char Char Ch"/>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rsid w:val="0076523B"/>
    <w:rPr>
      <w:sz w:val="22"/>
      <w:szCs w:val="24"/>
    </w:rPr>
  </w:style>
  <w:style w:type="paragraph" w:styleId="ListParagraph">
    <w:name w:val="List Paragraph"/>
    <w:basedOn w:val="Normal"/>
    <w:uiPriority w:val="34"/>
    <w:qFormat/>
    <w:rsid w:val="0076523B"/>
    <w:pPr>
      <w:ind w:left="720"/>
      <w:contextualSpacing/>
    </w:pPr>
  </w:style>
  <w:style w:type="paragraph" w:styleId="BodyTextIndent2">
    <w:name w:val="Body Text Indent 2"/>
    <w:basedOn w:val="Normal"/>
    <w:link w:val="BodyTextIndent2Char"/>
    <w:rsid w:val="00506088"/>
    <w:pPr>
      <w:tabs>
        <w:tab w:val="clear" w:pos="284"/>
      </w:tabs>
      <w:ind w:left="1440"/>
      <w:jc w:val="left"/>
    </w:pPr>
    <w:rPr>
      <w:i/>
      <w:sz w:val="24"/>
    </w:rPr>
  </w:style>
  <w:style w:type="character" w:customStyle="1" w:styleId="BodyTextIndent2Char">
    <w:name w:val="Body Text Indent 2 Char"/>
    <w:basedOn w:val="DefaultParagraphFont"/>
    <w:link w:val="BodyTextIndent2"/>
    <w:rsid w:val="00506088"/>
    <w:rPr>
      <w:i/>
      <w:sz w:val="24"/>
      <w:szCs w:val="24"/>
    </w:rPr>
  </w:style>
  <w:style w:type="paragraph" w:styleId="NoSpacing">
    <w:name w:val="No Spacing"/>
    <w:uiPriority w:val="1"/>
    <w:qFormat/>
    <w:rsid w:val="0024155D"/>
    <w:rPr>
      <w:sz w:val="24"/>
      <w:szCs w:val="24"/>
    </w:rPr>
  </w:style>
  <w:style w:type="character" w:styleId="Hyperlink">
    <w:name w:val="Hyperlink"/>
    <w:basedOn w:val="DefaultParagraphFont"/>
    <w:rsid w:val="0024155D"/>
    <w:rPr>
      <w:color w:val="0000FF" w:themeColor="hyperlink"/>
      <w:u w:val="single"/>
    </w:rPr>
  </w:style>
  <w:style w:type="table" w:styleId="TableGrid">
    <w:name w:val="Table Grid"/>
    <w:basedOn w:val="TableNormal"/>
    <w:rsid w:val="00156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336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DAC7E52276B4792ADED521BDDA371" ma:contentTypeVersion="14" ma:contentTypeDescription="Create a new document." ma:contentTypeScope="" ma:versionID="4a2f181a4652faf5de5d273d908f143f">
  <xsd:schema xmlns:xsd="http://www.w3.org/2001/XMLSchema" xmlns:xs="http://www.w3.org/2001/XMLSchema" xmlns:p="http://schemas.microsoft.com/office/2006/metadata/properties" xmlns:ns2="6519839b-3246-47b8-aeda-c6e170c0fdaa" xmlns:ns3="21f902b5-4108-4240-8aa7-05bee4e09846" targetNamespace="http://schemas.microsoft.com/office/2006/metadata/properties" ma:root="true" ma:fieldsID="c0a38147a8d839801fd599a25eca01e5" ns2:_="" ns3:_="">
    <xsd:import namespace="6519839b-3246-47b8-aeda-c6e170c0fdaa"/>
    <xsd:import namespace="21f902b5-4108-4240-8aa7-05bee4e098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839b-3246-47b8-aeda-c6e170c0f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902b5-4108-4240-8aa7-05bee4e098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ceeb3c-f4ba-486f-b225-7327b5019d3e}" ma:internalName="TaxCatchAll" ma:showField="CatchAllData" ma:web="21f902b5-4108-4240-8aa7-05bee4e098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19839b-3246-47b8-aeda-c6e170c0fdaa">
      <Terms xmlns="http://schemas.microsoft.com/office/infopath/2007/PartnerControls"/>
    </lcf76f155ced4ddcb4097134ff3c332f>
    <TaxCatchAll xmlns="21f902b5-4108-4240-8aa7-05bee4e098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B8256-F9D3-4FA9-9B62-7B380A21E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839b-3246-47b8-aeda-c6e170c0fdaa"/>
    <ds:schemaRef ds:uri="21f902b5-4108-4240-8aa7-05bee4e0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B8D70-D68A-4966-A131-D305CD190B0E}">
  <ds:schemaRefs>
    <ds:schemaRef ds:uri="http://schemas.microsoft.com/sharepoint/v3/contenttype/forms"/>
  </ds:schemaRefs>
</ds:datastoreItem>
</file>

<file path=customXml/itemProps3.xml><?xml version="1.0" encoding="utf-8"?>
<ds:datastoreItem xmlns:ds="http://schemas.openxmlformats.org/officeDocument/2006/customXml" ds:itemID="{08DC0B4B-D4A9-4EB2-9D1B-2F20CB9822CD}">
  <ds:schemaRefs>
    <ds:schemaRef ds:uri="http://schemas.microsoft.com/office/2006/metadata/properties"/>
    <ds:schemaRef ds:uri="http://schemas.microsoft.com/office/infopath/2007/PartnerControls"/>
    <ds:schemaRef ds:uri="6519839b-3246-47b8-aeda-c6e170c0fdaa"/>
    <ds:schemaRef ds:uri="21f902b5-4108-4240-8aa7-05bee4e09846"/>
  </ds:schemaRefs>
</ds:datastoreItem>
</file>

<file path=customXml/itemProps4.xml><?xml version="1.0" encoding="utf-8"?>
<ds:datastoreItem xmlns:ds="http://schemas.openxmlformats.org/officeDocument/2006/customXml" ds:itemID="{E59509A0-78DE-446E-9970-4C215ECC7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3326</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3</cp:revision>
  <cp:lastPrinted>2017-03-27T12:10:00Z</cp:lastPrinted>
  <dcterms:created xsi:type="dcterms:W3CDTF">2025-08-07T07:18:00Z</dcterms:created>
  <dcterms:modified xsi:type="dcterms:W3CDTF">2025-08-07T08:15:00Z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0x0101000A9DAC7E52276B4792ADED521BDDA371</vt:lpwstr>
  </property>
  <property fmtid="{D5CDD505-2E9C-101B-9397-08002B2CF9AE}" pid="3" name="_ExtendedDescription">
    <vt:lpwstr/>
  </property>
  <property fmtid="{D5CDD505-2E9C-101B-9397-08002B2CF9AE}" pid="4" name="MediaServiceImageTags">
    <vt:lpwstr/>
  </property>
</Properties>
</file>